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AB170E" w14:textId="77777777" w:rsidR="00414FDA" w:rsidRPr="002278D1" w:rsidRDefault="00414FDA" w:rsidP="0063700A">
      <w:pPr>
        <w:jc w:val="center"/>
        <w:rPr>
          <w:rFonts w:ascii="Verdana" w:hAnsi="Verdana" w:cstheme="minorHAnsi"/>
          <w:b/>
          <w:sz w:val="20"/>
          <w:szCs w:val="20"/>
          <w:lang w:val="es-ES"/>
        </w:rPr>
      </w:pPr>
      <w:bookmarkStart w:id="0" w:name="_Hlk152165295"/>
    </w:p>
    <w:p w14:paraId="62CA3491" w14:textId="451D9093" w:rsidR="00833A77" w:rsidRPr="00D80603" w:rsidRDefault="00833A77" w:rsidP="008A78FA">
      <w:pPr>
        <w:jc w:val="center"/>
        <w:rPr>
          <w:rFonts w:ascii="Verdana" w:hAnsi="Verdana" w:cstheme="minorHAnsi"/>
          <w:b/>
          <w:sz w:val="20"/>
          <w:szCs w:val="20"/>
          <w:lang w:val="es-ES"/>
        </w:rPr>
      </w:pPr>
      <w:r w:rsidRPr="00D80603">
        <w:rPr>
          <w:rFonts w:ascii="Verdana" w:hAnsi="Verdana" w:cstheme="minorHAnsi"/>
          <w:b/>
          <w:sz w:val="20"/>
          <w:szCs w:val="20"/>
          <w:lang w:val="es-ES"/>
        </w:rPr>
        <w:t xml:space="preserve">VOTO RAZONADO DE LOS JUECES </w:t>
      </w:r>
    </w:p>
    <w:p w14:paraId="127E2571" w14:textId="77777777" w:rsidR="000E1565" w:rsidRPr="00D80603" w:rsidRDefault="00833A77" w:rsidP="008A78FA">
      <w:pPr>
        <w:jc w:val="center"/>
        <w:rPr>
          <w:rFonts w:ascii="Verdana" w:hAnsi="Verdana" w:cstheme="minorHAnsi"/>
          <w:b/>
          <w:sz w:val="20"/>
          <w:szCs w:val="20"/>
          <w:lang w:val="es-ES"/>
        </w:rPr>
      </w:pPr>
      <w:r w:rsidRPr="00D80603">
        <w:rPr>
          <w:rFonts w:ascii="Verdana" w:hAnsi="Verdana" w:cstheme="minorHAnsi"/>
          <w:b/>
          <w:sz w:val="20"/>
          <w:szCs w:val="20"/>
          <w:lang w:val="es-ES"/>
        </w:rPr>
        <w:t xml:space="preserve">EDUARDO FERRER MAC-GREGOR POISOT </w:t>
      </w:r>
    </w:p>
    <w:p w14:paraId="024F8C73" w14:textId="7A43DC90" w:rsidR="00833A77" w:rsidRPr="00D80603" w:rsidRDefault="00833A77" w:rsidP="008A78FA">
      <w:pPr>
        <w:jc w:val="center"/>
        <w:rPr>
          <w:rFonts w:ascii="Verdana" w:eastAsia="Verdana" w:hAnsi="Verdana" w:cstheme="minorHAnsi"/>
          <w:b/>
          <w:bCs/>
          <w:sz w:val="20"/>
          <w:szCs w:val="20"/>
          <w:lang w:val="es-ES_tradnl"/>
        </w:rPr>
      </w:pPr>
      <w:r w:rsidRPr="00D80603">
        <w:rPr>
          <w:rFonts w:ascii="Verdana" w:hAnsi="Verdana" w:cstheme="minorHAnsi"/>
          <w:b/>
          <w:sz w:val="20"/>
          <w:szCs w:val="20"/>
          <w:lang w:val="es-ES"/>
        </w:rPr>
        <w:t xml:space="preserve">Y </w:t>
      </w:r>
      <w:r w:rsidRPr="00D80603">
        <w:rPr>
          <w:rFonts w:ascii="Verdana" w:eastAsia="Verdana" w:hAnsi="Verdana" w:cstheme="minorHAnsi"/>
          <w:b/>
          <w:bCs/>
          <w:sz w:val="20"/>
          <w:szCs w:val="20"/>
          <w:lang w:val="es-ES_tradnl"/>
        </w:rPr>
        <w:t>RODRIGO MUDROVITSCH</w:t>
      </w:r>
    </w:p>
    <w:p w14:paraId="40CBCF39" w14:textId="77777777" w:rsidR="00833A77" w:rsidRPr="00D80603" w:rsidRDefault="00833A77" w:rsidP="00F673B3">
      <w:pPr>
        <w:rPr>
          <w:rFonts w:ascii="Verdana" w:hAnsi="Verdana" w:cstheme="minorHAnsi"/>
          <w:b/>
          <w:sz w:val="20"/>
          <w:szCs w:val="20"/>
          <w:lang w:val="es-ES"/>
        </w:rPr>
      </w:pPr>
    </w:p>
    <w:p w14:paraId="65D9A76E" w14:textId="4E0B5358" w:rsidR="00833A77" w:rsidRPr="00D80603" w:rsidRDefault="00833A77" w:rsidP="00821CE7">
      <w:pPr>
        <w:tabs>
          <w:tab w:val="left" w:pos="851"/>
          <w:tab w:val="left" w:pos="1701"/>
          <w:tab w:val="left" w:pos="3544"/>
          <w:tab w:val="left" w:pos="3696"/>
        </w:tabs>
        <w:jc w:val="center"/>
        <w:rPr>
          <w:rFonts w:ascii="Verdana" w:hAnsi="Verdana" w:cstheme="minorHAnsi"/>
          <w:b/>
          <w:i/>
          <w:sz w:val="20"/>
          <w:szCs w:val="20"/>
        </w:rPr>
      </w:pPr>
      <w:r w:rsidRPr="00D80603">
        <w:rPr>
          <w:rFonts w:ascii="Verdana" w:hAnsi="Verdana" w:cstheme="minorHAnsi"/>
          <w:b/>
          <w:i/>
          <w:sz w:val="20"/>
          <w:szCs w:val="20"/>
        </w:rPr>
        <w:t xml:space="preserve">CASO </w:t>
      </w:r>
      <w:r w:rsidRPr="00D80603">
        <w:rPr>
          <w:rFonts w:ascii="Verdana" w:hAnsi="Verdana" w:cstheme="minorHAnsi"/>
          <w:b/>
          <w:i/>
          <w:caps/>
          <w:sz w:val="20"/>
          <w:szCs w:val="20"/>
          <w:lang w:val="es-ES_tradnl"/>
        </w:rPr>
        <w:t xml:space="preserve">comunidad garífuna de san juan y sus miembros vs. honduras </w:t>
      </w:r>
    </w:p>
    <w:p w14:paraId="69F9231D" w14:textId="77777777" w:rsidR="00833A77" w:rsidRPr="00D80603" w:rsidRDefault="00833A77" w:rsidP="00833A77">
      <w:pPr>
        <w:jc w:val="center"/>
        <w:rPr>
          <w:rFonts w:ascii="Verdana" w:hAnsi="Verdana" w:cstheme="minorHAnsi"/>
          <w:b/>
          <w:sz w:val="20"/>
          <w:szCs w:val="20"/>
        </w:rPr>
      </w:pPr>
    </w:p>
    <w:p w14:paraId="15C50EEB" w14:textId="6A6013AD" w:rsidR="00833A77" w:rsidRPr="00D80603" w:rsidRDefault="00833A77" w:rsidP="00833A77">
      <w:pPr>
        <w:jc w:val="center"/>
        <w:rPr>
          <w:rFonts w:ascii="Verdana" w:hAnsi="Verdana" w:cstheme="minorHAnsi"/>
          <w:b/>
          <w:sz w:val="18"/>
          <w:szCs w:val="18"/>
        </w:rPr>
      </w:pPr>
      <w:r w:rsidRPr="00D80603">
        <w:rPr>
          <w:rFonts w:ascii="Verdana" w:hAnsi="Verdana" w:cstheme="minorHAnsi"/>
          <w:b/>
          <w:sz w:val="18"/>
          <w:szCs w:val="18"/>
        </w:rPr>
        <w:t>SENTENCIA DE 29 DE AGOSTO DE 2023</w:t>
      </w:r>
    </w:p>
    <w:p w14:paraId="43D9F8C1" w14:textId="77777777" w:rsidR="00833A77" w:rsidRPr="00D80603" w:rsidRDefault="00833A77" w:rsidP="00833A77">
      <w:pPr>
        <w:jc w:val="center"/>
        <w:rPr>
          <w:rFonts w:ascii="Verdana" w:hAnsi="Verdana" w:cstheme="minorHAnsi"/>
          <w:b/>
          <w:i/>
          <w:sz w:val="20"/>
          <w:szCs w:val="20"/>
        </w:rPr>
      </w:pPr>
      <w:r w:rsidRPr="00D80603">
        <w:rPr>
          <w:rFonts w:ascii="Verdana" w:hAnsi="Verdana" w:cstheme="minorHAnsi"/>
          <w:b/>
          <w:i/>
          <w:sz w:val="20"/>
          <w:szCs w:val="20"/>
        </w:rPr>
        <w:t>(Excepciones Preliminares, Fondo, Reparaciones y Costas)</w:t>
      </w:r>
    </w:p>
    <w:p w14:paraId="742BDA5D" w14:textId="77777777" w:rsidR="00833A77" w:rsidRPr="00D80603" w:rsidRDefault="00833A77" w:rsidP="009C343D">
      <w:pPr>
        <w:spacing w:line="276" w:lineRule="auto"/>
        <w:jc w:val="center"/>
        <w:rPr>
          <w:rFonts w:ascii="Verdana" w:eastAsia="Verdana" w:hAnsi="Verdana" w:cstheme="minorHAnsi"/>
          <w:b/>
          <w:bCs/>
          <w:sz w:val="20"/>
          <w:szCs w:val="20"/>
        </w:rPr>
      </w:pPr>
    </w:p>
    <w:p w14:paraId="48B58B7B" w14:textId="77777777" w:rsidR="00626716" w:rsidRPr="00D80603" w:rsidRDefault="00626716" w:rsidP="00833A77">
      <w:pPr>
        <w:spacing w:line="276" w:lineRule="auto"/>
        <w:rPr>
          <w:rFonts w:ascii="Verdana" w:hAnsi="Verdana" w:cstheme="minorHAnsi"/>
          <w:b/>
          <w:bCs/>
          <w:sz w:val="20"/>
          <w:szCs w:val="20"/>
          <w:lang w:val="es-ES_tradnl"/>
        </w:rPr>
      </w:pPr>
    </w:p>
    <w:p w14:paraId="0EA95FCA" w14:textId="293B9E75" w:rsidR="009C343D" w:rsidRPr="00D80603" w:rsidRDefault="000B6C55" w:rsidP="000B6C55">
      <w:pPr>
        <w:spacing w:line="276" w:lineRule="auto"/>
        <w:jc w:val="center"/>
        <w:rPr>
          <w:rFonts w:ascii="Verdana" w:hAnsi="Verdana" w:cstheme="minorHAnsi"/>
          <w:b/>
          <w:bCs/>
          <w:sz w:val="20"/>
          <w:szCs w:val="20"/>
          <w:lang w:val="es-ES_tradnl"/>
        </w:rPr>
      </w:pPr>
      <w:r w:rsidRPr="00D80603">
        <w:rPr>
          <w:rFonts w:ascii="Verdana" w:hAnsi="Verdana" w:cstheme="minorHAnsi"/>
          <w:b/>
          <w:bCs/>
          <w:sz w:val="20"/>
          <w:szCs w:val="20"/>
          <w:lang w:val="es-ES_tradnl"/>
        </w:rPr>
        <w:t xml:space="preserve">I. </w:t>
      </w:r>
      <w:r w:rsidR="009C343D" w:rsidRPr="00D80603">
        <w:rPr>
          <w:rFonts w:ascii="Verdana" w:hAnsi="Verdana" w:cstheme="minorHAnsi"/>
          <w:b/>
          <w:bCs/>
          <w:sz w:val="20"/>
          <w:szCs w:val="20"/>
          <w:lang w:val="es-ES_tradnl"/>
        </w:rPr>
        <w:t>INTRODUCCIÓN</w:t>
      </w:r>
    </w:p>
    <w:p w14:paraId="161F84B0" w14:textId="77777777" w:rsidR="009C343D" w:rsidRPr="00D80603" w:rsidRDefault="009C343D" w:rsidP="00626716">
      <w:pPr>
        <w:spacing w:line="276" w:lineRule="auto"/>
        <w:jc w:val="center"/>
        <w:rPr>
          <w:rFonts w:ascii="Verdana" w:hAnsi="Verdana" w:cstheme="minorHAnsi"/>
          <w:b/>
          <w:bCs/>
          <w:sz w:val="20"/>
          <w:szCs w:val="20"/>
          <w:lang w:val="es-ES_tradnl"/>
        </w:rPr>
      </w:pPr>
    </w:p>
    <w:p w14:paraId="5DFAD4B2" w14:textId="6635C27F" w:rsidR="00414FDA" w:rsidRPr="00D80603" w:rsidRDefault="00626716" w:rsidP="00414FDA">
      <w:pPr>
        <w:numPr>
          <w:ilvl w:val="0"/>
          <w:numId w:val="2"/>
        </w:numPr>
        <w:ind w:left="0" w:right="48" w:firstLine="0"/>
        <w:contextualSpacing/>
        <w:jc w:val="both"/>
        <w:rPr>
          <w:rFonts w:ascii="Verdana" w:eastAsia="Verdana" w:hAnsi="Verdana" w:cstheme="minorHAnsi"/>
          <w:sz w:val="20"/>
          <w:szCs w:val="20"/>
          <w:lang w:val="es-ES_tradnl"/>
        </w:rPr>
      </w:pPr>
      <w:r w:rsidRPr="00D80603">
        <w:rPr>
          <w:rFonts w:ascii="Verdana" w:hAnsi="Verdana" w:cstheme="minorHAnsi"/>
          <w:sz w:val="20"/>
          <w:szCs w:val="20"/>
          <w:lang w:val="es-ES_tradnl"/>
        </w:rPr>
        <w:t xml:space="preserve">El caso de la comunidad </w:t>
      </w:r>
      <w:r w:rsidRPr="00D80603">
        <w:rPr>
          <w:rFonts w:ascii="Verdana" w:hAnsi="Verdana" w:cstheme="minorHAnsi"/>
          <w:i/>
          <w:iCs/>
          <w:sz w:val="20"/>
          <w:szCs w:val="20"/>
          <w:lang w:val="es-ES_tradnl"/>
        </w:rPr>
        <w:t xml:space="preserve">Garífuna de San Juan y sus miembros Vs. Honduras </w:t>
      </w:r>
      <w:r w:rsidRPr="00D80603">
        <w:rPr>
          <w:rFonts w:ascii="Verdana" w:hAnsi="Verdana" w:cstheme="minorHAnsi"/>
          <w:sz w:val="20"/>
          <w:szCs w:val="20"/>
          <w:lang w:val="es-ES_tradnl"/>
        </w:rPr>
        <w:t xml:space="preserve">se suma a la </w:t>
      </w:r>
      <w:r w:rsidR="00D70966" w:rsidRPr="00D80603">
        <w:rPr>
          <w:rFonts w:ascii="Verdana" w:hAnsi="Verdana" w:cstheme="minorHAnsi"/>
          <w:sz w:val="20"/>
          <w:szCs w:val="20"/>
          <w:lang w:val="es-ES_tradnl"/>
        </w:rPr>
        <w:t xml:space="preserve">rica </w:t>
      </w:r>
      <w:r w:rsidRPr="00D80603">
        <w:rPr>
          <w:rFonts w:ascii="Verdana" w:hAnsi="Verdana" w:cstheme="minorHAnsi"/>
          <w:sz w:val="20"/>
          <w:szCs w:val="20"/>
          <w:lang w:val="es-ES_tradnl"/>
        </w:rPr>
        <w:t>jurisprudencia de la Corte Interamericana de Derechos Humanos (en adelante “Corte IDH”</w:t>
      </w:r>
      <w:r w:rsidR="00AB13C3" w:rsidRPr="00D80603">
        <w:rPr>
          <w:rFonts w:ascii="Verdana" w:hAnsi="Verdana" w:cstheme="minorHAnsi"/>
          <w:sz w:val="20"/>
          <w:szCs w:val="20"/>
          <w:lang w:val="es-ES_tradnl"/>
        </w:rPr>
        <w:t xml:space="preserve"> </w:t>
      </w:r>
      <w:r w:rsidRPr="00D80603">
        <w:rPr>
          <w:rFonts w:ascii="Verdana" w:hAnsi="Verdana" w:cstheme="minorHAnsi"/>
          <w:sz w:val="20"/>
          <w:szCs w:val="20"/>
          <w:lang w:val="es-ES_tradnl"/>
        </w:rPr>
        <w:t>o “Tribunal”) sobre los derechos y garantías de los pueblos originarios</w:t>
      </w:r>
      <w:r w:rsidR="00D70966" w:rsidRPr="00D80603">
        <w:rPr>
          <w:rFonts w:ascii="Verdana" w:hAnsi="Verdana" w:cstheme="minorHAnsi"/>
          <w:sz w:val="20"/>
          <w:szCs w:val="20"/>
          <w:lang w:val="es-ES_tradnl"/>
        </w:rPr>
        <w:t>, desde su primer precedente en el caso de la</w:t>
      </w:r>
      <w:r w:rsidR="00D70966" w:rsidRPr="00D80603">
        <w:rPr>
          <w:rFonts w:ascii="Verdana" w:hAnsi="Verdana" w:cstheme="minorHAnsi"/>
          <w:i/>
          <w:iCs/>
          <w:sz w:val="20"/>
          <w:szCs w:val="20"/>
          <w:lang w:val="es-ES_tradnl"/>
        </w:rPr>
        <w:t xml:space="preserve"> Comunidad Mayagna (Sumo) Awas Tigni Vs. Nicaragua </w:t>
      </w:r>
      <w:r w:rsidR="00D70966" w:rsidRPr="00D80603">
        <w:rPr>
          <w:rFonts w:ascii="Verdana" w:hAnsi="Verdana" w:cstheme="minorHAnsi"/>
          <w:sz w:val="20"/>
          <w:szCs w:val="20"/>
          <w:lang w:val="es-ES_tradnl"/>
        </w:rPr>
        <w:t>de 2001.</w:t>
      </w:r>
    </w:p>
    <w:p w14:paraId="7C5B36F2" w14:textId="77777777" w:rsidR="00414FDA" w:rsidRPr="00D80603" w:rsidRDefault="00414FDA" w:rsidP="00414FDA">
      <w:pPr>
        <w:ind w:right="48"/>
        <w:contextualSpacing/>
        <w:jc w:val="both"/>
        <w:rPr>
          <w:rFonts w:ascii="Verdana" w:eastAsia="Verdana" w:hAnsi="Verdana" w:cstheme="minorHAnsi"/>
          <w:sz w:val="20"/>
          <w:szCs w:val="20"/>
          <w:lang w:val="es-ES_tradnl"/>
        </w:rPr>
      </w:pPr>
    </w:p>
    <w:p w14:paraId="19956F12" w14:textId="2E2C2413" w:rsidR="00414FDA" w:rsidRPr="00D80603" w:rsidRDefault="00414FDA" w:rsidP="00414FDA">
      <w:pPr>
        <w:numPr>
          <w:ilvl w:val="0"/>
          <w:numId w:val="2"/>
        </w:numPr>
        <w:ind w:left="0" w:right="48" w:firstLine="0"/>
        <w:contextualSpacing/>
        <w:jc w:val="both"/>
        <w:rPr>
          <w:rFonts w:ascii="Verdana" w:eastAsia="Verdana" w:hAnsi="Verdana" w:cstheme="minorHAnsi"/>
          <w:sz w:val="20"/>
          <w:szCs w:val="20"/>
          <w:lang w:val="es-ES_tradnl"/>
        </w:rPr>
      </w:pPr>
      <w:r w:rsidRPr="00D80603">
        <w:rPr>
          <w:rFonts w:ascii="Verdana" w:eastAsia="Verdana" w:hAnsi="Verdana" w:cstheme="minorHAnsi"/>
          <w:sz w:val="20"/>
          <w:szCs w:val="20"/>
          <w:lang w:val="es-ES_tradnl"/>
        </w:rPr>
        <w:t xml:space="preserve">La </w:t>
      </w:r>
      <w:r w:rsidR="00D70966" w:rsidRPr="00D80603">
        <w:rPr>
          <w:rFonts w:ascii="Verdana" w:eastAsia="Verdana" w:hAnsi="Verdana" w:cstheme="minorHAnsi"/>
          <w:sz w:val="20"/>
          <w:szCs w:val="20"/>
          <w:lang w:val="es-ES_tradnl"/>
        </w:rPr>
        <w:t xml:space="preserve">presente </w:t>
      </w:r>
      <w:r w:rsidRPr="00D80603">
        <w:rPr>
          <w:rFonts w:ascii="Verdana" w:eastAsia="Verdana" w:hAnsi="Verdana" w:cstheme="minorHAnsi"/>
          <w:sz w:val="20"/>
          <w:szCs w:val="20"/>
          <w:lang w:val="es-ES_tradnl"/>
        </w:rPr>
        <w:t xml:space="preserve">sentencia aborda </w:t>
      </w:r>
      <w:r w:rsidRPr="00D80603">
        <w:rPr>
          <w:rFonts w:ascii="Verdana" w:hAnsi="Verdana" w:cstheme="minorHAnsi"/>
          <w:sz w:val="20"/>
          <w:szCs w:val="20"/>
          <w:lang w:val="es-ES_tradnl"/>
        </w:rPr>
        <w:t xml:space="preserve">la falta de protección de las tierras ancestrales de la Comunidad Garífuna de San Juan, así como las amenazas contra varios de sus líderes y lideresas. Además, se analizó </w:t>
      </w:r>
      <w:r w:rsidRPr="00D80603">
        <w:rPr>
          <w:rFonts w:ascii="Verdana" w:eastAsia="Verdana" w:hAnsi="Verdana" w:cstheme="minorHAnsi"/>
          <w:sz w:val="20"/>
          <w:szCs w:val="20"/>
          <w:lang w:val="es-ES_tradnl"/>
        </w:rPr>
        <w:t xml:space="preserve">que </w:t>
      </w:r>
      <w:r w:rsidRPr="00D80603">
        <w:rPr>
          <w:rFonts w:ascii="Verdana" w:hAnsi="Verdana" w:cstheme="minorHAnsi"/>
          <w:sz w:val="20"/>
          <w:szCs w:val="20"/>
          <w:lang w:val="es-ES_tradnl"/>
        </w:rPr>
        <w:t>la Comunidad Garífuna de San Juan no cuenta con un título de propiedad colectiv</w:t>
      </w:r>
      <w:r w:rsidR="003C7AA6" w:rsidRPr="00D80603">
        <w:rPr>
          <w:rFonts w:ascii="Verdana" w:hAnsi="Verdana" w:cstheme="minorHAnsi"/>
          <w:sz w:val="20"/>
          <w:szCs w:val="20"/>
          <w:lang w:val="es-ES_tradnl"/>
        </w:rPr>
        <w:t>o</w:t>
      </w:r>
      <w:r w:rsidRPr="00D80603">
        <w:rPr>
          <w:rFonts w:ascii="Verdana" w:hAnsi="Verdana" w:cstheme="minorHAnsi"/>
          <w:sz w:val="20"/>
          <w:szCs w:val="20"/>
          <w:lang w:val="es-ES_tradnl"/>
        </w:rPr>
        <w:t xml:space="preserve"> que reconozca la totalidad de sus tierras y territorios ancestrales y, en ese escenario, </w:t>
      </w:r>
      <w:r w:rsidR="008609DC" w:rsidRPr="00D80603">
        <w:rPr>
          <w:rFonts w:ascii="Verdana" w:hAnsi="Verdana" w:cstheme="minorHAnsi"/>
          <w:sz w:val="20"/>
          <w:szCs w:val="20"/>
          <w:lang w:val="es-ES_tradnl"/>
        </w:rPr>
        <w:t xml:space="preserve">se </w:t>
      </w:r>
      <w:r w:rsidRPr="00D80603">
        <w:rPr>
          <w:rFonts w:ascii="Verdana" w:hAnsi="Verdana" w:cstheme="minorHAnsi"/>
          <w:sz w:val="20"/>
          <w:szCs w:val="20"/>
          <w:lang w:val="es-ES_tradnl"/>
        </w:rPr>
        <w:t>constató el otorgamiento de títulos a terceros ajenos a la comunidad</w:t>
      </w:r>
      <w:r w:rsidR="00E31315" w:rsidRPr="00D80603">
        <w:rPr>
          <w:rFonts w:ascii="Verdana" w:hAnsi="Verdana" w:cstheme="minorHAnsi"/>
          <w:sz w:val="20"/>
          <w:szCs w:val="20"/>
          <w:lang w:val="es-ES_tradnl"/>
        </w:rPr>
        <w:t xml:space="preserve"> (personas no Garífunas)</w:t>
      </w:r>
      <w:r w:rsidRPr="00D80603">
        <w:rPr>
          <w:rFonts w:ascii="Verdana" w:hAnsi="Verdana" w:cstheme="minorHAnsi"/>
          <w:sz w:val="20"/>
          <w:szCs w:val="20"/>
          <w:lang w:val="es-ES_tradnl"/>
        </w:rPr>
        <w:t xml:space="preserve">; la ampliación del casco urbano de la Municipalidad de Tela; y la creación de un Parque Nacional, todo ello en el territorio reivindicado por la comunidad. </w:t>
      </w:r>
    </w:p>
    <w:p w14:paraId="14D2D065" w14:textId="77777777" w:rsidR="00414FDA" w:rsidRPr="00D80603" w:rsidRDefault="00414FDA" w:rsidP="00414FDA">
      <w:pPr>
        <w:pStyle w:val="Prrafodelista"/>
        <w:rPr>
          <w:rFonts w:ascii="Verdana" w:hAnsi="Verdana" w:cstheme="minorHAnsi"/>
          <w:sz w:val="20"/>
          <w:szCs w:val="20"/>
          <w:lang w:val="es-ES_tradnl"/>
        </w:rPr>
      </w:pPr>
    </w:p>
    <w:p w14:paraId="47E8093B" w14:textId="1546D5BF" w:rsidR="00040128" w:rsidRPr="00D80603" w:rsidRDefault="00040128" w:rsidP="00402497">
      <w:pPr>
        <w:numPr>
          <w:ilvl w:val="0"/>
          <w:numId w:val="2"/>
        </w:numPr>
        <w:ind w:left="0" w:right="48" w:firstLine="0"/>
        <w:contextualSpacing/>
        <w:jc w:val="both"/>
        <w:rPr>
          <w:rFonts w:ascii="Verdana" w:eastAsia="Verdana" w:hAnsi="Verdana" w:cstheme="minorHAnsi"/>
          <w:sz w:val="20"/>
          <w:szCs w:val="20"/>
          <w:lang w:val="es-ES_tradnl"/>
        </w:rPr>
      </w:pPr>
      <w:r w:rsidRPr="00D80603">
        <w:rPr>
          <w:rFonts w:ascii="Verdana" w:eastAsia="Verdana" w:hAnsi="Verdana" w:cstheme="minorHAnsi"/>
          <w:sz w:val="20"/>
          <w:szCs w:val="20"/>
          <w:lang w:val="es-ES_tradnl"/>
        </w:rPr>
        <w:t xml:space="preserve">La Corte IDH declaró la vulneración, </w:t>
      </w:r>
      <w:r w:rsidRPr="00D80603">
        <w:rPr>
          <w:rFonts w:ascii="Verdana" w:eastAsia="Verdana" w:hAnsi="Verdana" w:cstheme="minorHAnsi"/>
          <w:i/>
          <w:iCs/>
          <w:sz w:val="20"/>
          <w:szCs w:val="20"/>
          <w:lang w:val="es-ES_tradnl"/>
        </w:rPr>
        <w:t>inter alia</w:t>
      </w:r>
      <w:r w:rsidRPr="00D80603">
        <w:rPr>
          <w:rFonts w:ascii="Verdana" w:eastAsia="Verdana" w:hAnsi="Verdana" w:cstheme="minorHAnsi"/>
          <w:sz w:val="20"/>
          <w:szCs w:val="20"/>
          <w:lang w:val="es-ES_tradnl"/>
        </w:rPr>
        <w:t>, a los derechos a la propiedad</w:t>
      </w:r>
      <w:r w:rsidR="00E46441" w:rsidRPr="00D80603">
        <w:rPr>
          <w:rFonts w:ascii="Verdana" w:eastAsia="Verdana" w:hAnsi="Verdana" w:cstheme="minorHAnsi"/>
          <w:sz w:val="20"/>
          <w:szCs w:val="20"/>
          <w:lang w:val="es-ES_tradnl"/>
        </w:rPr>
        <w:t xml:space="preserve"> colectiva</w:t>
      </w:r>
      <w:r w:rsidRPr="00D80603">
        <w:rPr>
          <w:rFonts w:ascii="Verdana" w:eastAsia="Verdana" w:hAnsi="Verdana" w:cstheme="minorHAnsi"/>
          <w:sz w:val="20"/>
          <w:szCs w:val="20"/>
          <w:lang w:val="es-ES_tradnl"/>
        </w:rPr>
        <w:t xml:space="preserve">, a la participación en los asuntos públicos y </w:t>
      </w:r>
      <w:r w:rsidR="00402497" w:rsidRPr="00D80603">
        <w:rPr>
          <w:rFonts w:ascii="Verdana" w:eastAsia="Verdana" w:hAnsi="Verdana" w:cstheme="minorHAnsi"/>
          <w:sz w:val="20"/>
          <w:szCs w:val="20"/>
          <w:lang w:val="es-ES_tradnl"/>
        </w:rPr>
        <w:t>al</w:t>
      </w:r>
      <w:r w:rsidRPr="00D80603">
        <w:rPr>
          <w:rFonts w:ascii="Verdana" w:eastAsia="Verdana" w:hAnsi="Verdana" w:cstheme="minorHAnsi"/>
          <w:sz w:val="20"/>
          <w:szCs w:val="20"/>
          <w:lang w:val="es-ES_tradnl"/>
        </w:rPr>
        <w:t xml:space="preserve"> acceso a la información pública, contenidos en los artículos 21, 23 y 13 de la Convención Americana </w:t>
      </w:r>
      <w:r w:rsidRPr="00D80603">
        <w:rPr>
          <w:rFonts w:ascii="Verdana" w:hAnsi="Verdana" w:cstheme="minorHAnsi"/>
          <w:sz w:val="20"/>
          <w:szCs w:val="20"/>
          <w:lang w:val="es-ES_tradnl"/>
        </w:rPr>
        <w:t>sobre Derechos Humanos</w:t>
      </w:r>
      <w:r w:rsidR="00AB13C3" w:rsidRPr="00D80603">
        <w:rPr>
          <w:rFonts w:ascii="Verdana" w:hAnsi="Verdana" w:cstheme="minorHAnsi"/>
          <w:sz w:val="20"/>
          <w:szCs w:val="20"/>
          <w:lang w:val="es-ES_tradnl"/>
        </w:rPr>
        <w:t xml:space="preserve"> (en adelante “Convención Americana” o “Pacto de San José”)</w:t>
      </w:r>
      <w:r w:rsidR="00402497" w:rsidRPr="00D80603">
        <w:rPr>
          <w:rFonts w:ascii="Verdana" w:hAnsi="Verdana" w:cstheme="minorHAnsi"/>
          <w:sz w:val="20"/>
          <w:szCs w:val="20"/>
          <w:lang w:val="es-ES_tradnl"/>
        </w:rPr>
        <w:t>, en relación con la</w:t>
      </w:r>
      <w:r w:rsidR="008A78FA" w:rsidRPr="00D80603">
        <w:rPr>
          <w:rFonts w:ascii="Verdana" w:hAnsi="Verdana" w:cstheme="minorHAnsi"/>
          <w:sz w:val="20"/>
          <w:szCs w:val="20"/>
          <w:lang w:val="es-ES_tradnl"/>
        </w:rPr>
        <w:t>s obligaciones</w:t>
      </w:r>
      <w:r w:rsidR="00402497" w:rsidRPr="00D80603">
        <w:rPr>
          <w:rFonts w:ascii="Verdana" w:hAnsi="Verdana" w:cstheme="minorHAnsi"/>
          <w:sz w:val="20"/>
          <w:szCs w:val="20"/>
          <w:lang w:val="es-ES_tradnl"/>
        </w:rPr>
        <w:t xml:space="preserve"> </w:t>
      </w:r>
      <w:r w:rsidR="008A78FA" w:rsidRPr="00D80603">
        <w:rPr>
          <w:rFonts w:ascii="Verdana" w:hAnsi="Verdana" w:cstheme="minorHAnsi"/>
          <w:sz w:val="20"/>
          <w:szCs w:val="20"/>
          <w:lang w:val="es-ES_tradnl"/>
        </w:rPr>
        <w:t xml:space="preserve">de respeto y garantía </w:t>
      </w:r>
      <w:r w:rsidR="00402497" w:rsidRPr="00D80603">
        <w:rPr>
          <w:rFonts w:ascii="Verdana" w:hAnsi="Verdana" w:cstheme="minorHAnsi"/>
          <w:sz w:val="20"/>
          <w:szCs w:val="20"/>
          <w:lang w:val="es-ES_tradnl"/>
        </w:rPr>
        <w:t>prevista</w:t>
      </w:r>
      <w:r w:rsidR="00BC5E30" w:rsidRPr="00D80603">
        <w:rPr>
          <w:rFonts w:ascii="Verdana" w:hAnsi="Verdana" w:cstheme="minorHAnsi"/>
          <w:sz w:val="20"/>
          <w:szCs w:val="20"/>
          <w:lang w:val="es-ES_tradnl"/>
        </w:rPr>
        <w:t>s</w:t>
      </w:r>
      <w:r w:rsidR="00402497" w:rsidRPr="00D80603">
        <w:rPr>
          <w:rFonts w:ascii="Verdana" w:hAnsi="Verdana" w:cstheme="minorHAnsi"/>
          <w:sz w:val="20"/>
          <w:szCs w:val="20"/>
          <w:lang w:val="es-ES_tradnl"/>
        </w:rPr>
        <w:t xml:space="preserve"> en el artículo 1.1 del mismo instrumento, en perjuicio de la Comunidad Garífuna de San Juan. </w:t>
      </w:r>
      <w:r w:rsidRPr="00D80603">
        <w:rPr>
          <w:rFonts w:ascii="Verdana" w:eastAsia="Verdana" w:hAnsi="Verdana" w:cstheme="minorHAnsi"/>
          <w:sz w:val="20"/>
          <w:szCs w:val="20"/>
          <w:lang w:val="es-ES_tradnl"/>
        </w:rPr>
        <w:t xml:space="preserve">Para ello, el Tribunal </w:t>
      </w:r>
      <w:r w:rsidR="00D54A9C" w:rsidRPr="00D80603">
        <w:rPr>
          <w:rFonts w:ascii="Verdana" w:eastAsia="Verdana" w:hAnsi="Verdana" w:cstheme="minorHAnsi"/>
          <w:sz w:val="20"/>
          <w:szCs w:val="20"/>
          <w:lang w:val="es-ES_tradnl"/>
        </w:rPr>
        <w:t>ordenó</w:t>
      </w:r>
      <w:r w:rsidRPr="00D80603">
        <w:rPr>
          <w:rFonts w:ascii="Verdana" w:eastAsia="Verdana" w:hAnsi="Verdana" w:cstheme="minorHAnsi"/>
          <w:sz w:val="20"/>
          <w:szCs w:val="20"/>
          <w:lang w:val="es-ES_tradnl"/>
        </w:rPr>
        <w:t xml:space="preserve"> una serie de medidas de reparación. </w:t>
      </w:r>
    </w:p>
    <w:p w14:paraId="262EC71E" w14:textId="77777777" w:rsidR="00040128" w:rsidRPr="00D80603" w:rsidRDefault="00040128" w:rsidP="00040128">
      <w:pPr>
        <w:pStyle w:val="Prrafodelista"/>
        <w:rPr>
          <w:rFonts w:ascii="Verdana" w:eastAsia="Verdana" w:hAnsi="Verdana" w:cstheme="minorHAnsi"/>
          <w:sz w:val="20"/>
          <w:szCs w:val="20"/>
          <w:lang w:val="es-ES_tradnl"/>
        </w:rPr>
      </w:pPr>
    </w:p>
    <w:p w14:paraId="5976A132" w14:textId="50850CE0" w:rsidR="00402497" w:rsidRPr="00D80603" w:rsidRDefault="00040128" w:rsidP="00040128">
      <w:pPr>
        <w:numPr>
          <w:ilvl w:val="0"/>
          <w:numId w:val="2"/>
        </w:numPr>
        <w:ind w:left="0" w:right="48" w:firstLine="0"/>
        <w:contextualSpacing/>
        <w:jc w:val="both"/>
        <w:rPr>
          <w:rFonts w:ascii="Verdana" w:hAnsi="Verdana" w:cstheme="minorHAnsi"/>
          <w:i/>
          <w:iCs/>
          <w:sz w:val="20"/>
          <w:szCs w:val="20"/>
          <w:lang w:val="es-ES_tradnl"/>
        </w:rPr>
      </w:pPr>
      <w:r w:rsidRPr="00D80603">
        <w:rPr>
          <w:rFonts w:ascii="Verdana" w:eastAsia="Verdana" w:hAnsi="Verdana" w:cstheme="minorHAnsi"/>
          <w:sz w:val="20"/>
          <w:szCs w:val="20"/>
          <w:lang w:val="es-ES_tradnl"/>
        </w:rPr>
        <w:t>Coincidimos, en general, con la decisión adoptada por unanimidad</w:t>
      </w:r>
      <w:r w:rsidR="00402497" w:rsidRPr="00D80603">
        <w:rPr>
          <w:rFonts w:ascii="Verdana" w:eastAsia="Verdana" w:hAnsi="Verdana" w:cstheme="minorHAnsi"/>
          <w:sz w:val="20"/>
          <w:szCs w:val="20"/>
          <w:lang w:val="es-ES_tradnl"/>
        </w:rPr>
        <w:t xml:space="preserve">. Sin embargo, </w:t>
      </w:r>
      <w:r w:rsidR="00442914" w:rsidRPr="00D80603">
        <w:rPr>
          <w:rFonts w:ascii="Verdana" w:eastAsia="Verdana" w:hAnsi="Verdana" w:cstheme="minorHAnsi"/>
          <w:sz w:val="20"/>
          <w:szCs w:val="20"/>
          <w:lang w:val="es-ES_tradnl"/>
        </w:rPr>
        <w:t>consideramos</w:t>
      </w:r>
      <w:r w:rsidR="00402497" w:rsidRPr="00D80603">
        <w:rPr>
          <w:rFonts w:ascii="Verdana" w:eastAsia="Verdana" w:hAnsi="Verdana" w:cstheme="minorHAnsi"/>
          <w:sz w:val="20"/>
          <w:szCs w:val="20"/>
          <w:lang w:val="es-ES_tradnl"/>
        </w:rPr>
        <w:t xml:space="preserve"> oportuno </w:t>
      </w:r>
      <w:r w:rsidR="00E46441" w:rsidRPr="00D80603">
        <w:rPr>
          <w:rFonts w:ascii="Verdana" w:eastAsia="Verdana" w:hAnsi="Verdana" w:cstheme="minorHAnsi"/>
          <w:sz w:val="20"/>
          <w:szCs w:val="20"/>
          <w:lang w:val="es-ES_tradnl"/>
        </w:rPr>
        <w:t xml:space="preserve">acompañar </w:t>
      </w:r>
      <w:r w:rsidR="00402497" w:rsidRPr="00D80603">
        <w:rPr>
          <w:rFonts w:ascii="Verdana" w:eastAsia="Verdana" w:hAnsi="Verdana" w:cstheme="minorHAnsi"/>
          <w:sz w:val="20"/>
          <w:szCs w:val="20"/>
          <w:lang w:val="es-ES_tradnl"/>
        </w:rPr>
        <w:t xml:space="preserve">el presente voto </w:t>
      </w:r>
      <w:r w:rsidR="00E46441" w:rsidRPr="00D80603">
        <w:rPr>
          <w:rFonts w:ascii="Verdana" w:eastAsia="Verdana" w:hAnsi="Verdana" w:cstheme="minorHAnsi"/>
          <w:sz w:val="20"/>
          <w:szCs w:val="20"/>
          <w:lang w:val="es-ES_tradnl"/>
        </w:rPr>
        <w:t>razonado a la sentenci</w:t>
      </w:r>
      <w:r w:rsidR="006D03AF" w:rsidRPr="00D80603">
        <w:rPr>
          <w:rFonts w:ascii="Verdana" w:eastAsia="Verdana" w:hAnsi="Verdana" w:cstheme="minorHAnsi"/>
          <w:sz w:val="20"/>
          <w:szCs w:val="20"/>
          <w:lang w:val="es-ES_tradnl"/>
        </w:rPr>
        <w:t>a —</w:t>
      </w:r>
      <w:r w:rsidR="003C7AA6" w:rsidRPr="00D80603">
        <w:rPr>
          <w:rFonts w:ascii="Verdana" w:eastAsia="Verdana" w:hAnsi="Verdana" w:cstheme="minorHAnsi"/>
          <w:sz w:val="20"/>
          <w:szCs w:val="20"/>
          <w:lang w:val="es-ES_tradnl"/>
        </w:rPr>
        <w:t xml:space="preserve">en términos de los dispuesto en el artículo </w:t>
      </w:r>
      <w:r w:rsidR="00E31315" w:rsidRPr="00D80603">
        <w:rPr>
          <w:rFonts w:ascii="Verdana" w:eastAsia="Verdana" w:hAnsi="Verdana" w:cstheme="minorHAnsi"/>
          <w:sz w:val="20"/>
          <w:szCs w:val="20"/>
          <w:lang w:val="es-ES_tradnl"/>
        </w:rPr>
        <w:t>65.2 del Reglamento de la Corte IDH</w:t>
      </w:r>
      <w:r w:rsidR="006D03AF" w:rsidRPr="00D80603">
        <w:rPr>
          <w:rFonts w:ascii="Verdana" w:eastAsia="Verdana" w:hAnsi="Verdana" w:cstheme="minorHAnsi"/>
          <w:sz w:val="20"/>
          <w:szCs w:val="20"/>
          <w:lang w:val="es-ES_tradnl"/>
        </w:rPr>
        <w:t>—</w:t>
      </w:r>
      <w:r w:rsidR="00E31315" w:rsidRPr="00D80603">
        <w:rPr>
          <w:rStyle w:val="Refdenotaalpie"/>
          <w:rFonts w:ascii="Verdana" w:eastAsia="Verdana" w:hAnsi="Verdana" w:cstheme="minorHAnsi"/>
          <w:sz w:val="20"/>
          <w:szCs w:val="20"/>
          <w:lang w:val="es-ES_tradnl"/>
        </w:rPr>
        <w:footnoteReference w:id="1"/>
      </w:r>
      <w:r w:rsidR="003C7AA6" w:rsidRPr="00D80603">
        <w:rPr>
          <w:rFonts w:ascii="Verdana" w:eastAsia="Verdana" w:hAnsi="Verdana" w:cstheme="minorHAnsi"/>
          <w:sz w:val="20"/>
          <w:szCs w:val="20"/>
          <w:lang w:val="es-ES_tradnl"/>
        </w:rPr>
        <w:t xml:space="preserve">, </w:t>
      </w:r>
      <w:r w:rsidR="00402497" w:rsidRPr="00D80603">
        <w:rPr>
          <w:rFonts w:ascii="Verdana" w:eastAsia="Verdana" w:hAnsi="Verdana" w:cstheme="minorHAnsi"/>
          <w:sz w:val="20"/>
          <w:szCs w:val="20"/>
          <w:lang w:val="es-ES_tradnl"/>
        </w:rPr>
        <w:t xml:space="preserve">para dejar claro nuestro entendimiento relativo a que, en el caso particular, </w:t>
      </w:r>
      <w:r w:rsidR="00E46441" w:rsidRPr="00D80603">
        <w:rPr>
          <w:rFonts w:ascii="Verdana" w:eastAsia="Verdana" w:hAnsi="Verdana" w:cstheme="minorHAnsi"/>
          <w:sz w:val="20"/>
          <w:szCs w:val="20"/>
          <w:lang w:val="es-ES_tradnl"/>
        </w:rPr>
        <w:t>la vulneración a la participación de los asuntos públicos</w:t>
      </w:r>
      <w:r w:rsidR="0064055A" w:rsidRPr="00D80603">
        <w:rPr>
          <w:rFonts w:ascii="Verdana" w:eastAsia="Verdana" w:hAnsi="Verdana" w:cstheme="minorHAnsi"/>
          <w:sz w:val="20"/>
          <w:szCs w:val="20"/>
          <w:lang w:val="es-ES_tradnl"/>
        </w:rPr>
        <w:t xml:space="preserve"> </w:t>
      </w:r>
      <w:r w:rsidR="00E46441" w:rsidRPr="00D80603">
        <w:rPr>
          <w:rFonts w:ascii="Verdana" w:eastAsia="Verdana" w:hAnsi="Verdana" w:cstheme="minorHAnsi"/>
          <w:sz w:val="20"/>
          <w:szCs w:val="20"/>
          <w:lang w:val="es-ES_tradnl"/>
        </w:rPr>
        <w:t>y el acceso a la información en relación con el derecho de propiedad</w:t>
      </w:r>
      <w:r w:rsidR="00F73E48" w:rsidRPr="00D80603">
        <w:rPr>
          <w:rFonts w:ascii="Verdana" w:eastAsia="Verdana" w:hAnsi="Verdana" w:cstheme="minorHAnsi"/>
          <w:sz w:val="20"/>
          <w:szCs w:val="20"/>
          <w:lang w:val="es-ES_tradnl"/>
        </w:rPr>
        <w:t xml:space="preserve"> colectiva</w:t>
      </w:r>
      <w:r w:rsidR="006D03AF" w:rsidRPr="00D80603">
        <w:rPr>
          <w:rFonts w:ascii="Verdana" w:eastAsia="Verdana" w:hAnsi="Verdana" w:cstheme="minorHAnsi"/>
          <w:sz w:val="20"/>
          <w:szCs w:val="20"/>
          <w:lang w:val="es-ES_tradnl"/>
        </w:rPr>
        <w:t xml:space="preserve"> (</w:t>
      </w:r>
      <w:r w:rsidR="00E46441" w:rsidRPr="00D80603">
        <w:rPr>
          <w:rFonts w:ascii="Verdana" w:eastAsia="Verdana" w:hAnsi="Verdana" w:cstheme="minorHAnsi"/>
          <w:sz w:val="20"/>
          <w:szCs w:val="20"/>
          <w:lang w:val="es-ES_tradnl"/>
        </w:rPr>
        <w:t>declarados violados</w:t>
      </w:r>
      <w:r w:rsidR="006D03AF" w:rsidRPr="00D80603">
        <w:rPr>
          <w:rFonts w:ascii="Verdana" w:eastAsia="Verdana" w:hAnsi="Verdana" w:cstheme="minorHAnsi"/>
          <w:sz w:val="20"/>
          <w:szCs w:val="20"/>
          <w:lang w:val="es-ES_tradnl"/>
        </w:rPr>
        <w:t>)</w:t>
      </w:r>
      <w:r w:rsidR="00E46441" w:rsidRPr="00D80603">
        <w:rPr>
          <w:rFonts w:ascii="Verdana" w:eastAsia="Verdana" w:hAnsi="Verdana" w:cstheme="minorHAnsi"/>
          <w:sz w:val="20"/>
          <w:szCs w:val="20"/>
          <w:lang w:val="es-ES_tradnl"/>
        </w:rPr>
        <w:t xml:space="preserve">, debe entenderse referido </w:t>
      </w:r>
      <w:r w:rsidR="00442914" w:rsidRPr="00D80603">
        <w:rPr>
          <w:rFonts w:ascii="Verdana" w:eastAsia="Verdana" w:hAnsi="Verdana" w:cstheme="minorHAnsi"/>
          <w:sz w:val="20"/>
          <w:szCs w:val="20"/>
          <w:lang w:val="es-ES_tradnl"/>
        </w:rPr>
        <w:t xml:space="preserve">a la vulneración </w:t>
      </w:r>
      <w:r w:rsidR="00E46441" w:rsidRPr="00D80603">
        <w:rPr>
          <w:rFonts w:ascii="Verdana" w:eastAsia="Verdana" w:hAnsi="Verdana" w:cstheme="minorHAnsi"/>
          <w:i/>
          <w:iCs/>
          <w:sz w:val="20"/>
          <w:szCs w:val="20"/>
          <w:lang w:val="es-ES_tradnl"/>
        </w:rPr>
        <w:t>al derecho a la consulta previa, libre e informada</w:t>
      </w:r>
      <w:r w:rsidR="00442914" w:rsidRPr="00D80603">
        <w:rPr>
          <w:rFonts w:ascii="Verdana" w:eastAsia="Verdana" w:hAnsi="Verdana" w:cstheme="minorHAnsi"/>
          <w:i/>
          <w:iCs/>
          <w:sz w:val="20"/>
          <w:szCs w:val="20"/>
          <w:lang w:val="es-ES_tradnl"/>
        </w:rPr>
        <w:t>;</w:t>
      </w:r>
      <w:r w:rsidR="00E46441" w:rsidRPr="00D80603">
        <w:rPr>
          <w:rFonts w:ascii="Verdana" w:eastAsia="Verdana" w:hAnsi="Verdana" w:cstheme="minorHAnsi"/>
          <w:sz w:val="20"/>
          <w:szCs w:val="20"/>
          <w:lang w:val="es-ES_tradnl"/>
        </w:rPr>
        <w:t xml:space="preserve"> siendo que este derecho </w:t>
      </w:r>
      <w:r w:rsidR="00442914" w:rsidRPr="00D80603">
        <w:rPr>
          <w:rFonts w:ascii="Verdana" w:eastAsia="Verdana" w:hAnsi="Verdana" w:cstheme="minorHAnsi"/>
          <w:sz w:val="20"/>
          <w:szCs w:val="20"/>
          <w:lang w:val="es-ES_tradnl"/>
        </w:rPr>
        <w:t>deriva</w:t>
      </w:r>
      <w:r w:rsidR="00E46441" w:rsidRPr="00D80603">
        <w:rPr>
          <w:rFonts w:ascii="Verdana" w:eastAsia="Verdana" w:hAnsi="Verdana" w:cstheme="minorHAnsi"/>
          <w:sz w:val="20"/>
          <w:szCs w:val="20"/>
          <w:lang w:val="es-ES_tradnl"/>
        </w:rPr>
        <w:t xml:space="preserve"> de la propia Convención Americana</w:t>
      </w:r>
      <w:r w:rsidR="005C2C8B" w:rsidRPr="00D80603">
        <w:rPr>
          <w:rFonts w:ascii="Verdana" w:eastAsia="Verdana" w:hAnsi="Verdana" w:cstheme="minorHAnsi"/>
          <w:sz w:val="20"/>
          <w:szCs w:val="20"/>
          <w:lang w:val="es-ES_tradnl"/>
        </w:rPr>
        <w:t xml:space="preserve"> (arts. 13, 21 y 2</w:t>
      </w:r>
      <w:r w:rsidR="000E7604" w:rsidRPr="00D80603">
        <w:rPr>
          <w:rFonts w:ascii="Verdana" w:eastAsia="Verdana" w:hAnsi="Verdana" w:cstheme="minorHAnsi"/>
          <w:sz w:val="20"/>
          <w:szCs w:val="20"/>
          <w:lang w:val="es-ES_tradnl"/>
        </w:rPr>
        <w:t>3</w:t>
      </w:r>
      <w:r w:rsidR="005C2C8B" w:rsidRPr="00D80603">
        <w:rPr>
          <w:rFonts w:ascii="Verdana" w:eastAsia="Verdana" w:hAnsi="Verdana" w:cstheme="minorHAnsi"/>
          <w:sz w:val="20"/>
          <w:szCs w:val="20"/>
          <w:lang w:val="es-ES_tradnl"/>
        </w:rPr>
        <w:t>)</w:t>
      </w:r>
      <w:r w:rsidR="00E46441" w:rsidRPr="00D80603">
        <w:rPr>
          <w:rFonts w:ascii="Verdana" w:eastAsia="Verdana" w:hAnsi="Verdana" w:cstheme="minorHAnsi"/>
          <w:sz w:val="20"/>
          <w:szCs w:val="20"/>
          <w:lang w:val="es-ES_tradnl"/>
        </w:rPr>
        <w:t xml:space="preserve">, con independencia de preverse en el </w:t>
      </w:r>
      <w:r w:rsidR="00442914" w:rsidRPr="00D80603">
        <w:rPr>
          <w:rFonts w:ascii="Verdana" w:eastAsia="Verdana" w:hAnsi="Verdana" w:cstheme="minorHAnsi"/>
          <w:sz w:val="20"/>
          <w:szCs w:val="20"/>
          <w:lang w:val="es-ES_tradnl"/>
        </w:rPr>
        <w:t>Convenio 169 de la OI</w:t>
      </w:r>
      <w:r w:rsidR="003C7AA6" w:rsidRPr="00D80603">
        <w:rPr>
          <w:rFonts w:ascii="Verdana" w:eastAsia="Verdana" w:hAnsi="Verdana" w:cstheme="minorHAnsi"/>
          <w:sz w:val="20"/>
          <w:szCs w:val="20"/>
          <w:lang w:val="es-ES_tradnl"/>
        </w:rPr>
        <w:t>T</w:t>
      </w:r>
      <w:r w:rsidR="00615455" w:rsidRPr="00D80603">
        <w:rPr>
          <w:rFonts w:ascii="Verdana" w:eastAsia="Verdana" w:hAnsi="Verdana" w:cstheme="minorHAnsi"/>
          <w:sz w:val="20"/>
          <w:szCs w:val="20"/>
          <w:lang w:val="es-ES_tradnl"/>
        </w:rPr>
        <w:t xml:space="preserve">, </w:t>
      </w:r>
      <w:r w:rsidR="003C7AA6" w:rsidRPr="00D80603">
        <w:rPr>
          <w:rFonts w:ascii="Verdana" w:eastAsia="Verdana" w:hAnsi="Verdana" w:cstheme="minorHAnsi"/>
          <w:sz w:val="20"/>
          <w:szCs w:val="20"/>
          <w:lang w:val="es-ES_tradnl"/>
        </w:rPr>
        <w:t xml:space="preserve">tal como lo ha </w:t>
      </w:r>
      <w:r w:rsidR="00615455" w:rsidRPr="00D80603">
        <w:rPr>
          <w:rFonts w:ascii="Verdana" w:eastAsia="Verdana" w:hAnsi="Verdana" w:cstheme="minorHAnsi"/>
          <w:sz w:val="20"/>
          <w:szCs w:val="20"/>
          <w:lang w:val="es-ES_tradnl"/>
        </w:rPr>
        <w:t>considerado</w:t>
      </w:r>
      <w:r w:rsidR="003C7AA6" w:rsidRPr="00D80603">
        <w:rPr>
          <w:rFonts w:ascii="Verdana" w:eastAsia="Verdana" w:hAnsi="Verdana" w:cstheme="minorHAnsi"/>
          <w:sz w:val="20"/>
          <w:szCs w:val="20"/>
          <w:lang w:val="es-ES_tradnl"/>
        </w:rPr>
        <w:t xml:space="preserve"> la Corte IDH en sus últim</w:t>
      </w:r>
      <w:r w:rsidR="00756320" w:rsidRPr="00D80603">
        <w:rPr>
          <w:rFonts w:ascii="Verdana" w:eastAsia="Verdana" w:hAnsi="Verdana" w:cstheme="minorHAnsi"/>
          <w:sz w:val="20"/>
          <w:szCs w:val="20"/>
          <w:lang w:val="es-ES_tradnl"/>
        </w:rPr>
        <w:t xml:space="preserve">as decisiones y en el precedente del </w:t>
      </w:r>
      <w:r w:rsidR="00756320" w:rsidRPr="00D80603">
        <w:rPr>
          <w:rFonts w:ascii="Verdana" w:eastAsia="Verdana" w:hAnsi="Verdana" w:cstheme="minorHAnsi"/>
          <w:i/>
          <w:iCs/>
          <w:sz w:val="20"/>
          <w:szCs w:val="20"/>
          <w:lang w:val="es-ES_tradnl"/>
        </w:rPr>
        <w:t>Caso Sarayaku</w:t>
      </w:r>
      <w:r w:rsidR="00C25749" w:rsidRPr="00D80603">
        <w:rPr>
          <w:rFonts w:ascii="Verdana" w:eastAsia="Verdana" w:hAnsi="Verdana" w:cstheme="minorHAnsi"/>
          <w:i/>
          <w:iCs/>
          <w:sz w:val="20"/>
          <w:szCs w:val="20"/>
          <w:lang w:val="es-ES_tradnl"/>
        </w:rPr>
        <w:t xml:space="preserve"> Vs. Ecuador</w:t>
      </w:r>
      <w:r w:rsidR="00C25749" w:rsidRPr="00D80603">
        <w:rPr>
          <w:rFonts w:ascii="Verdana" w:eastAsia="Verdana" w:hAnsi="Verdana" w:cstheme="minorHAnsi"/>
          <w:sz w:val="20"/>
          <w:szCs w:val="20"/>
          <w:lang w:val="es-ES_tradnl"/>
        </w:rPr>
        <w:t xml:space="preserve"> </w:t>
      </w:r>
      <w:r w:rsidR="00756320" w:rsidRPr="00D80603">
        <w:rPr>
          <w:rFonts w:ascii="Verdana" w:eastAsia="Verdana" w:hAnsi="Verdana" w:cstheme="minorHAnsi"/>
          <w:sz w:val="20"/>
          <w:szCs w:val="20"/>
          <w:lang w:val="es-ES_tradnl"/>
        </w:rPr>
        <w:t>de 2007</w:t>
      </w:r>
      <w:r w:rsidR="00C25749" w:rsidRPr="00D80603">
        <w:rPr>
          <w:rStyle w:val="Refdenotaalpie"/>
          <w:rFonts w:ascii="Verdana" w:eastAsia="Verdana" w:hAnsi="Verdana" w:cstheme="minorHAnsi"/>
          <w:sz w:val="20"/>
          <w:szCs w:val="20"/>
          <w:lang w:val="es-ES_tradnl"/>
        </w:rPr>
        <w:footnoteReference w:id="2"/>
      </w:r>
      <w:r w:rsidR="00756320" w:rsidRPr="00D80603">
        <w:rPr>
          <w:rFonts w:ascii="Verdana" w:eastAsia="Verdana" w:hAnsi="Verdana" w:cstheme="minorHAnsi"/>
          <w:sz w:val="20"/>
          <w:szCs w:val="20"/>
          <w:lang w:val="es-ES_tradnl"/>
        </w:rPr>
        <w:t>.</w:t>
      </w:r>
    </w:p>
    <w:p w14:paraId="5DEAF76D" w14:textId="77777777" w:rsidR="00442914" w:rsidRPr="00D80603" w:rsidRDefault="00442914" w:rsidP="00442914">
      <w:pPr>
        <w:pStyle w:val="Prrafodelista"/>
        <w:rPr>
          <w:rFonts w:ascii="Verdana" w:hAnsi="Verdana" w:cstheme="minorHAnsi"/>
          <w:i/>
          <w:iCs/>
          <w:sz w:val="20"/>
          <w:szCs w:val="20"/>
          <w:lang w:val="es-ES_tradnl"/>
        </w:rPr>
      </w:pPr>
    </w:p>
    <w:p w14:paraId="1645ABD6" w14:textId="103A3A31" w:rsidR="00E46441" w:rsidRPr="00D80603" w:rsidRDefault="00442914" w:rsidP="00115123">
      <w:pPr>
        <w:numPr>
          <w:ilvl w:val="0"/>
          <w:numId w:val="2"/>
        </w:numPr>
        <w:ind w:left="0" w:right="48" w:firstLine="0"/>
        <w:contextualSpacing/>
        <w:jc w:val="both"/>
        <w:rPr>
          <w:rFonts w:ascii="Verdana" w:eastAsia="Verdana" w:hAnsi="Verdana" w:cstheme="minorHAnsi"/>
          <w:sz w:val="20"/>
          <w:szCs w:val="20"/>
        </w:rPr>
      </w:pPr>
      <w:r w:rsidRPr="00D80603">
        <w:rPr>
          <w:rFonts w:ascii="Verdana" w:hAnsi="Verdana" w:cstheme="minorHAnsi"/>
          <w:sz w:val="20"/>
          <w:szCs w:val="20"/>
          <w:lang w:val="es-ES_tradnl"/>
        </w:rPr>
        <w:t xml:space="preserve">En efecto, como lo expresamos en nuestro voto </w:t>
      </w:r>
      <w:r w:rsidR="006D03AF" w:rsidRPr="00D80603">
        <w:rPr>
          <w:rFonts w:ascii="Verdana" w:hAnsi="Verdana" w:cstheme="minorHAnsi"/>
          <w:sz w:val="20"/>
          <w:szCs w:val="20"/>
          <w:lang w:val="es-ES_tradnl"/>
        </w:rPr>
        <w:t>concurrente</w:t>
      </w:r>
      <w:r w:rsidRPr="00D80603">
        <w:rPr>
          <w:rFonts w:ascii="Verdana" w:hAnsi="Verdana" w:cstheme="minorHAnsi"/>
          <w:sz w:val="20"/>
          <w:szCs w:val="20"/>
          <w:lang w:val="es-ES_tradnl"/>
        </w:rPr>
        <w:t xml:space="preserve"> en el reciente caso </w:t>
      </w:r>
      <w:r w:rsidRPr="00D80603">
        <w:rPr>
          <w:rFonts w:ascii="Verdana" w:hAnsi="Verdana" w:cstheme="minorHAnsi"/>
          <w:i/>
          <w:iCs/>
          <w:sz w:val="20"/>
          <w:szCs w:val="20"/>
          <w:lang w:val="es-ES_tradnl"/>
        </w:rPr>
        <w:t xml:space="preserve">Comunidad Maya Q’eqchi Agua Caliente Vs. </w:t>
      </w:r>
      <w:r w:rsidR="00EC7293" w:rsidRPr="00D80603">
        <w:rPr>
          <w:rFonts w:ascii="Verdana" w:hAnsi="Verdana" w:cstheme="minorHAnsi"/>
          <w:i/>
          <w:iCs/>
          <w:sz w:val="20"/>
          <w:szCs w:val="20"/>
          <w:lang w:val="es-ES_tradnl"/>
        </w:rPr>
        <w:t xml:space="preserve">Guatemala </w:t>
      </w:r>
      <w:r w:rsidR="007B0F31" w:rsidRPr="00D80603">
        <w:rPr>
          <w:rFonts w:ascii="Verdana" w:hAnsi="Verdana" w:cstheme="minorHAnsi"/>
          <w:sz w:val="20"/>
          <w:szCs w:val="20"/>
          <w:lang w:val="es-ES_tradnl"/>
        </w:rPr>
        <w:t>(2023</w:t>
      </w:r>
      <w:r w:rsidR="007C1BD5" w:rsidRPr="00D80603">
        <w:rPr>
          <w:rFonts w:ascii="Verdana" w:hAnsi="Verdana" w:cstheme="minorHAnsi"/>
          <w:sz w:val="20"/>
          <w:szCs w:val="20"/>
          <w:lang w:val="es-ES_tradnl"/>
        </w:rPr>
        <w:t>)</w:t>
      </w:r>
      <w:r w:rsidRPr="00D80603">
        <w:rPr>
          <w:rStyle w:val="Refdenotaalpie"/>
          <w:rFonts w:ascii="Verdana" w:hAnsi="Verdana" w:cstheme="minorHAnsi"/>
          <w:sz w:val="20"/>
          <w:szCs w:val="20"/>
          <w:lang w:val="es-ES_tradnl"/>
        </w:rPr>
        <w:footnoteReference w:id="3"/>
      </w:r>
      <w:r w:rsidRPr="00D80603">
        <w:rPr>
          <w:rFonts w:ascii="Verdana" w:hAnsi="Verdana" w:cstheme="minorHAnsi"/>
          <w:i/>
          <w:iCs/>
          <w:sz w:val="20"/>
          <w:szCs w:val="20"/>
          <w:lang w:val="es-ES_tradnl"/>
        </w:rPr>
        <w:t xml:space="preserve">, </w:t>
      </w:r>
      <w:r w:rsidRPr="00D80603">
        <w:rPr>
          <w:rFonts w:ascii="Verdana" w:hAnsi="Verdana" w:cstheme="minorHAnsi"/>
          <w:sz w:val="20"/>
          <w:szCs w:val="20"/>
          <w:lang w:val="es-ES_tradnl"/>
        </w:rPr>
        <w:t xml:space="preserve">desde el caso </w:t>
      </w:r>
      <w:r w:rsidRPr="00D80603">
        <w:rPr>
          <w:rFonts w:ascii="Verdana" w:hAnsi="Verdana" w:cstheme="minorHAnsi"/>
          <w:i/>
          <w:iCs/>
          <w:sz w:val="20"/>
          <w:szCs w:val="20"/>
          <w:lang w:val="es-ES_tradnl"/>
        </w:rPr>
        <w:t>Kaliña y Lokono Vs. Suriname</w:t>
      </w:r>
      <w:r w:rsidRPr="00D80603">
        <w:rPr>
          <w:rFonts w:ascii="Verdana" w:hAnsi="Verdana" w:cstheme="minorHAnsi"/>
          <w:sz w:val="20"/>
          <w:szCs w:val="20"/>
          <w:lang w:val="es-ES_tradnl"/>
        </w:rPr>
        <w:t xml:space="preserve"> (2015), refrendado en el </w:t>
      </w:r>
      <w:r w:rsidR="005C2C8B" w:rsidRPr="00D80603">
        <w:rPr>
          <w:rFonts w:ascii="Verdana" w:hAnsi="Verdana" w:cstheme="minorHAnsi"/>
          <w:sz w:val="20"/>
          <w:szCs w:val="20"/>
          <w:lang w:val="es-ES_tradnl"/>
        </w:rPr>
        <w:t>c</w:t>
      </w:r>
      <w:r w:rsidRPr="00D80603">
        <w:rPr>
          <w:rFonts w:ascii="Verdana" w:hAnsi="Verdana" w:cstheme="minorHAnsi"/>
          <w:sz w:val="20"/>
          <w:szCs w:val="20"/>
          <w:lang w:val="es-ES_tradnl"/>
        </w:rPr>
        <w:t xml:space="preserve">aso </w:t>
      </w:r>
      <w:r w:rsidRPr="00D80603">
        <w:rPr>
          <w:rFonts w:ascii="Verdana" w:eastAsia="Verdana" w:hAnsi="Verdana" w:cstheme="minorHAnsi"/>
          <w:i/>
          <w:iCs/>
          <w:sz w:val="20"/>
          <w:szCs w:val="20"/>
        </w:rPr>
        <w:t xml:space="preserve">Comunidades Indígenas Miembros de la Asociación Lhaka Honhat (Nuestra Tierra) </w:t>
      </w:r>
      <w:r w:rsidR="004346EA" w:rsidRPr="00D80603">
        <w:rPr>
          <w:rFonts w:ascii="Verdana" w:eastAsia="Verdana" w:hAnsi="Verdana" w:cstheme="minorHAnsi"/>
          <w:i/>
          <w:iCs/>
          <w:sz w:val="20"/>
          <w:szCs w:val="20"/>
        </w:rPr>
        <w:t>V</w:t>
      </w:r>
      <w:r w:rsidRPr="00D80603">
        <w:rPr>
          <w:rFonts w:ascii="Verdana" w:eastAsia="Verdana" w:hAnsi="Verdana" w:cstheme="minorHAnsi"/>
          <w:i/>
          <w:iCs/>
          <w:sz w:val="20"/>
          <w:szCs w:val="20"/>
        </w:rPr>
        <w:t xml:space="preserve">s. Argentina </w:t>
      </w:r>
      <w:r w:rsidRPr="00D80603">
        <w:rPr>
          <w:rFonts w:ascii="Verdana" w:eastAsia="Verdana" w:hAnsi="Verdana" w:cstheme="minorHAnsi"/>
          <w:sz w:val="20"/>
          <w:szCs w:val="20"/>
        </w:rPr>
        <w:t xml:space="preserve">(2020), </w:t>
      </w:r>
      <w:r w:rsidR="0064055A" w:rsidRPr="00D80603">
        <w:rPr>
          <w:rFonts w:ascii="Verdana" w:eastAsia="Verdana" w:hAnsi="Verdana" w:cstheme="minorHAnsi"/>
          <w:sz w:val="20"/>
          <w:szCs w:val="20"/>
        </w:rPr>
        <w:t xml:space="preserve">el incumplimiento del deber estatal de </w:t>
      </w:r>
      <w:r w:rsidR="0064055A" w:rsidRPr="00D80603">
        <w:rPr>
          <w:rFonts w:ascii="Verdana" w:eastAsia="Verdana" w:hAnsi="Verdana" w:cstheme="minorHAnsi"/>
          <w:i/>
          <w:iCs/>
          <w:sz w:val="20"/>
          <w:szCs w:val="20"/>
        </w:rPr>
        <w:t>consulta previa, libre e informada</w:t>
      </w:r>
      <w:r w:rsidR="00620E65" w:rsidRPr="00D80603">
        <w:rPr>
          <w:rFonts w:ascii="Verdana" w:eastAsia="Verdana" w:hAnsi="Verdana" w:cstheme="minorHAnsi"/>
          <w:i/>
          <w:iCs/>
          <w:sz w:val="20"/>
          <w:szCs w:val="20"/>
        </w:rPr>
        <w:t xml:space="preserve"> </w:t>
      </w:r>
      <w:r w:rsidR="00620E65" w:rsidRPr="00D80603">
        <w:rPr>
          <w:rFonts w:ascii="Verdana" w:eastAsia="Verdana" w:hAnsi="Verdana" w:cstheme="minorHAnsi"/>
          <w:sz w:val="20"/>
          <w:szCs w:val="20"/>
        </w:rPr>
        <w:t>para los pueblos o comunidades indigenas o tribuales</w:t>
      </w:r>
      <w:r w:rsidR="0064055A" w:rsidRPr="00D80603">
        <w:rPr>
          <w:rFonts w:ascii="Verdana" w:eastAsia="Verdana" w:hAnsi="Verdana" w:cstheme="minorHAnsi"/>
          <w:sz w:val="20"/>
          <w:szCs w:val="20"/>
        </w:rPr>
        <w:t xml:space="preserve">, </w:t>
      </w:r>
      <w:r w:rsidR="0064055A" w:rsidRPr="00D80603">
        <w:rPr>
          <w:rFonts w:ascii="Verdana" w:eastAsia="Verdana" w:hAnsi="Verdana" w:cstheme="minorHAnsi"/>
          <w:i/>
          <w:iCs/>
          <w:sz w:val="20"/>
          <w:szCs w:val="20"/>
        </w:rPr>
        <w:t xml:space="preserve">surge </w:t>
      </w:r>
      <w:r w:rsidR="005C2C8B" w:rsidRPr="00D80603">
        <w:rPr>
          <w:rFonts w:ascii="Verdana" w:eastAsia="Verdana" w:hAnsi="Verdana" w:cstheme="minorHAnsi"/>
          <w:i/>
          <w:iCs/>
          <w:sz w:val="20"/>
          <w:szCs w:val="20"/>
        </w:rPr>
        <w:t xml:space="preserve">en </w:t>
      </w:r>
      <w:r w:rsidR="0064055A" w:rsidRPr="00D80603">
        <w:rPr>
          <w:rFonts w:ascii="Verdana" w:eastAsia="Verdana" w:hAnsi="Verdana" w:cstheme="minorHAnsi"/>
          <w:i/>
          <w:iCs/>
          <w:sz w:val="20"/>
          <w:szCs w:val="20"/>
        </w:rPr>
        <w:t>el momento en el que el Estado parte ratifica</w:t>
      </w:r>
      <w:r w:rsidR="00652451" w:rsidRPr="00D80603">
        <w:rPr>
          <w:rFonts w:ascii="Verdana" w:eastAsia="Verdana" w:hAnsi="Verdana" w:cstheme="minorHAnsi"/>
          <w:i/>
          <w:iCs/>
          <w:sz w:val="20"/>
          <w:szCs w:val="20"/>
        </w:rPr>
        <w:t xml:space="preserve"> y entra en vigor</w:t>
      </w:r>
      <w:r w:rsidR="0064055A" w:rsidRPr="00D80603">
        <w:rPr>
          <w:rFonts w:ascii="Verdana" w:eastAsia="Verdana" w:hAnsi="Verdana" w:cstheme="minorHAnsi"/>
          <w:i/>
          <w:iCs/>
          <w:sz w:val="20"/>
          <w:szCs w:val="20"/>
        </w:rPr>
        <w:t xml:space="preserve"> la Convención Americana.</w:t>
      </w:r>
      <w:r w:rsidR="0064055A" w:rsidRPr="00D80603">
        <w:rPr>
          <w:rFonts w:ascii="Verdana" w:eastAsia="Verdana" w:hAnsi="Verdana" w:cstheme="minorHAnsi"/>
          <w:sz w:val="20"/>
          <w:szCs w:val="20"/>
        </w:rPr>
        <w:t xml:space="preserve"> Por tanto, </w:t>
      </w:r>
      <w:r w:rsidR="00E46441" w:rsidRPr="00D80603">
        <w:rPr>
          <w:rFonts w:ascii="Verdana" w:eastAsia="Verdana" w:hAnsi="Verdana" w:cstheme="minorHAnsi"/>
          <w:sz w:val="20"/>
          <w:szCs w:val="20"/>
        </w:rPr>
        <w:t>los instrumentos internacionales puedan ser complementarios a la interpretación de las disposiciones de la Convención Americana</w:t>
      </w:r>
      <w:r w:rsidR="0064055A" w:rsidRPr="00D80603">
        <w:rPr>
          <w:rFonts w:ascii="Verdana" w:eastAsia="Verdana" w:hAnsi="Verdana" w:cstheme="minorHAnsi"/>
          <w:sz w:val="20"/>
          <w:szCs w:val="20"/>
        </w:rPr>
        <w:t>, pero de ninguna manera pueden</w:t>
      </w:r>
      <w:r w:rsidR="00E46441" w:rsidRPr="00D80603">
        <w:rPr>
          <w:rFonts w:ascii="Verdana" w:eastAsia="Verdana" w:hAnsi="Verdana" w:cstheme="minorHAnsi"/>
          <w:sz w:val="20"/>
          <w:szCs w:val="20"/>
        </w:rPr>
        <w:t xml:space="preserve"> condiciona</w:t>
      </w:r>
      <w:r w:rsidR="0064055A" w:rsidRPr="00D80603">
        <w:rPr>
          <w:rFonts w:ascii="Verdana" w:eastAsia="Verdana" w:hAnsi="Verdana" w:cstheme="minorHAnsi"/>
          <w:sz w:val="20"/>
          <w:szCs w:val="20"/>
        </w:rPr>
        <w:t>r</w:t>
      </w:r>
      <w:r w:rsidR="00E46441" w:rsidRPr="00D80603">
        <w:rPr>
          <w:rFonts w:ascii="Verdana" w:eastAsia="Verdana" w:hAnsi="Verdana" w:cstheme="minorHAnsi"/>
          <w:sz w:val="20"/>
          <w:szCs w:val="20"/>
        </w:rPr>
        <w:t xml:space="preserve"> </w:t>
      </w:r>
      <w:r w:rsidR="0064055A" w:rsidRPr="00D80603">
        <w:rPr>
          <w:rFonts w:ascii="Verdana" w:eastAsia="Verdana" w:hAnsi="Verdana" w:cstheme="minorHAnsi"/>
          <w:sz w:val="20"/>
          <w:szCs w:val="20"/>
        </w:rPr>
        <w:t xml:space="preserve">el </w:t>
      </w:r>
      <w:r w:rsidR="00E46441" w:rsidRPr="00D80603">
        <w:rPr>
          <w:rFonts w:ascii="Verdana" w:eastAsia="Verdana" w:hAnsi="Verdana" w:cstheme="minorHAnsi"/>
          <w:i/>
          <w:iCs/>
          <w:sz w:val="20"/>
          <w:szCs w:val="20"/>
        </w:rPr>
        <w:t xml:space="preserve">derecho a la consulta </w:t>
      </w:r>
      <w:r w:rsidR="00620E65" w:rsidRPr="00D80603">
        <w:rPr>
          <w:rFonts w:ascii="Verdana" w:eastAsia="Verdana" w:hAnsi="Verdana" w:cstheme="minorHAnsi"/>
          <w:i/>
          <w:iCs/>
          <w:sz w:val="20"/>
          <w:szCs w:val="20"/>
        </w:rPr>
        <w:t>previa, libre e informada</w:t>
      </w:r>
      <w:r w:rsidR="00620E65" w:rsidRPr="00D80603">
        <w:rPr>
          <w:rFonts w:ascii="Verdana" w:eastAsia="Verdana" w:hAnsi="Verdana" w:cstheme="minorHAnsi"/>
          <w:sz w:val="20"/>
          <w:szCs w:val="20"/>
        </w:rPr>
        <w:t xml:space="preserve">, </w:t>
      </w:r>
      <w:r w:rsidR="00E46441" w:rsidRPr="00D80603">
        <w:rPr>
          <w:rFonts w:ascii="Verdana" w:eastAsia="Verdana" w:hAnsi="Verdana" w:cstheme="minorHAnsi"/>
          <w:sz w:val="20"/>
          <w:szCs w:val="20"/>
        </w:rPr>
        <w:t xml:space="preserve">que </w:t>
      </w:r>
      <w:r w:rsidR="0064055A" w:rsidRPr="00D80603">
        <w:rPr>
          <w:rFonts w:ascii="Verdana" w:eastAsia="Verdana" w:hAnsi="Verdana" w:cstheme="minorHAnsi"/>
          <w:sz w:val="20"/>
          <w:szCs w:val="20"/>
        </w:rPr>
        <w:t xml:space="preserve">deriva directamente </w:t>
      </w:r>
      <w:r w:rsidR="007B0F31" w:rsidRPr="00D80603">
        <w:rPr>
          <w:rFonts w:ascii="Verdana" w:eastAsia="Verdana" w:hAnsi="Verdana" w:cstheme="minorHAnsi"/>
          <w:sz w:val="20"/>
          <w:szCs w:val="20"/>
        </w:rPr>
        <w:t xml:space="preserve">y de manera autónoma </w:t>
      </w:r>
      <w:r w:rsidR="0064055A" w:rsidRPr="00D80603">
        <w:rPr>
          <w:rFonts w:ascii="Verdana" w:eastAsia="Verdana" w:hAnsi="Verdana" w:cstheme="minorHAnsi"/>
          <w:sz w:val="20"/>
          <w:szCs w:val="20"/>
        </w:rPr>
        <w:t>de las propias disposiciones del</w:t>
      </w:r>
      <w:r w:rsidR="00E46441" w:rsidRPr="00D80603">
        <w:rPr>
          <w:rFonts w:ascii="Verdana" w:eastAsia="Verdana" w:hAnsi="Verdana" w:cstheme="minorHAnsi"/>
          <w:sz w:val="20"/>
          <w:szCs w:val="20"/>
        </w:rPr>
        <w:t xml:space="preserve"> Pacto de San José, con independencia de si el Estado involucrado en la controversia es parte</w:t>
      </w:r>
      <w:r w:rsidR="00AB13C3" w:rsidRPr="00D80603">
        <w:rPr>
          <w:rFonts w:ascii="Verdana" w:eastAsia="Verdana" w:hAnsi="Verdana" w:cstheme="minorHAnsi"/>
          <w:sz w:val="20"/>
          <w:szCs w:val="20"/>
        </w:rPr>
        <w:t>,</w:t>
      </w:r>
      <w:r w:rsidR="00E46441" w:rsidRPr="00D80603">
        <w:rPr>
          <w:rFonts w:ascii="Verdana" w:eastAsia="Verdana" w:hAnsi="Verdana" w:cstheme="minorHAnsi"/>
          <w:sz w:val="20"/>
          <w:szCs w:val="20"/>
        </w:rPr>
        <w:t xml:space="preserve"> o no</w:t>
      </w:r>
      <w:r w:rsidR="00AB13C3" w:rsidRPr="00D80603">
        <w:rPr>
          <w:rFonts w:ascii="Verdana" w:eastAsia="Verdana" w:hAnsi="Verdana" w:cstheme="minorHAnsi"/>
          <w:sz w:val="20"/>
          <w:szCs w:val="20"/>
        </w:rPr>
        <w:t>,</w:t>
      </w:r>
      <w:r w:rsidR="00E46441" w:rsidRPr="00D80603">
        <w:rPr>
          <w:rFonts w:ascii="Verdana" w:eastAsia="Verdana" w:hAnsi="Verdana" w:cstheme="minorHAnsi"/>
          <w:sz w:val="20"/>
          <w:szCs w:val="20"/>
        </w:rPr>
        <w:t xml:space="preserve"> </w:t>
      </w:r>
      <w:r w:rsidR="005C2C8B" w:rsidRPr="00D80603">
        <w:rPr>
          <w:rFonts w:ascii="Verdana" w:eastAsia="Verdana" w:hAnsi="Verdana" w:cstheme="minorHAnsi"/>
          <w:sz w:val="20"/>
          <w:szCs w:val="20"/>
        </w:rPr>
        <w:t>d</w:t>
      </w:r>
      <w:r w:rsidR="0064055A" w:rsidRPr="00D80603">
        <w:rPr>
          <w:rFonts w:ascii="Verdana" w:eastAsia="Verdana" w:hAnsi="Verdana" w:cstheme="minorHAnsi"/>
          <w:sz w:val="20"/>
          <w:szCs w:val="20"/>
        </w:rPr>
        <w:t>el Convenio 169 de la O</w:t>
      </w:r>
      <w:r w:rsidR="00AB13C3" w:rsidRPr="00D80603">
        <w:rPr>
          <w:rFonts w:ascii="Verdana" w:eastAsia="Verdana" w:hAnsi="Verdana" w:cstheme="minorHAnsi"/>
          <w:sz w:val="20"/>
          <w:szCs w:val="20"/>
        </w:rPr>
        <w:t xml:space="preserve">rganización </w:t>
      </w:r>
      <w:r w:rsidR="0064055A" w:rsidRPr="00D80603">
        <w:rPr>
          <w:rFonts w:ascii="Verdana" w:eastAsia="Verdana" w:hAnsi="Verdana" w:cstheme="minorHAnsi"/>
          <w:sz w:val="20"/>
          <w:szCs w:val="20"/>
        </w:rPr>
        <w:t>I</w:t>
      </w:r>
      <w:r w:rsidR="00AB13C3" w:rsidRPr="00D80603">
        <w:rPr>
          <w:rFonts w:ascii="Verdana" w:eastAsia="Verdana" w:hAnsi="Verdana" w:cstheme="minorHAnsi"/>
          <w:sz w:val="20"/>
          <w:szCs w:val="20"/>
        </w:rPr>
        <w:t xml:space="preserve">nternacional del </w:t>
      </w:r>
      <w:r w:rsidR="0064055A" w:rsidRPr="00D80603">
        <w:rPr>
          <w:rFonts w:ascii="Verdana" w:eastAsia="Verdana" w:hAnsi="Verdana" w:cstheme="minorHAnsi"/>
          <w:sz w:val="20"/>
          <w:szCs w:val="20"/>
        </w:rPr>
        <w:t>T</w:t>
      </w:r>
      <w:r w:rsidR="00AB13C3" w:rsidRPr="00D80603">
        <w:rPr>
          <w:rFonts w:ascii="Verdana" w:eastAsia="Verdana" w:hAnsi="Verdana" w:cstheme="minorHAnsi"/>
          <w:sz w:val="20"/>
          <w:szCs w:val="20"/>
        </w:rPr>
        <w:t>rabajo (en adelante “Convenio 169 de la OIT")</w:t>
      </w:r>
      <w:r w:rsidR="0064055A" w:rsidRPr="00D80603">
        <w:rPr>
          <w:rFonts w:ascii="Verdana" w:eastAsia="Verdana" w:hAnsi="Verdana" w:cstheme="minorHAnsi"/>
          <w:sz w:val="20"/>
          <w:szCs w:val="20"/>
        </w:rPr>
        <w:t>.</w:t>
      </w:r>
      <w:r w:rsidR="00B72A11" w:rsidRPr="00D80603">
        <w:rPr>
          <w:rFonts w:ascii="Verdana" w:eastAsia="Verdana" w:hAnsi="Verdana" w:cstheme="minorHAnsi"/>
          <w:sz w:val="20"/>
          <w:szCs w:val="20"/>
        </w:rPr>
        <w:t xml:space="preserve">   </w:t>
      </w:r>
    </w:p>
    <w:p w14:paraId="55B701CA" w14:textId="77777777" w:rsidR="0064055A" w:rsidRPr="00D80603" w:rsidRDefault="0064055A" w:rsidP="0064055A">
      <w:pPr>
        <w:ind w:right="48"/>
        <w:contextualSpacing/>
        <w:jc w:val="both"/>
        <w:rPr>
          <w:rFonts w:ascii="Verdana" w:eastAsia="Verdana" w:hAnsi="Verdana" w:cstheme="minorHAnsi"/>
          <w:sz w:val="20"/>
          <w:szCs w:val="20"/>
        </w:rPr>
      </w:pPr>
    </w:p>
    <w:p w14:paraId="33071B3B" w14:textId="5AE5B141" w:rsidR="0064055A" w:rsidRPr="00D80603" w:rsidRDefault="0064055A" w:rsidP="00620E65">
      <w:pPr>
        <w:numPr>
          <w:ilvl w:val="0"/>
          <w:numId w:val="2"/>
        </w:numPr>
        <w:ind w:left="0" w:right="48" w:firstLine="0"/>
        <w:contextualSpacing/>
        <w:jc w:val="both"/>
        <w:rPr>
          <w:rFonts w:ascii="Verdana" w:eastAsia="Verdana" w:hAnsi="Verdana" w:cstheme="minorHAnsi"/>
          <w:sz w:val="20"/>
          <w:szCs w:val="20"/>
        </w:rPr>
      </w:pPr>
      <w:r w:rsidRPr="00D80603">
        <w:rPr>
          <w:rFonts w:ascii="Verdana" w:eastAsia="Verdana" w:hAnsi="Verdana" w:cstheme="minorHAnsi"/>
          <w:sz w:val="20"/>
          <w:szCs w:val="20"/>
        </w:rPr>
        <w:t xml:space="preserve">Lo anterior es de especial importancia en el presente caso, ya que el Estado alega, entre otras cuestiones, que </w:t>
      </w:r>
      <w:r w:rsidR="00620E65" w:rsidRPr="00D80603">
        <w:rPr>
          <w:rFonts w:ascii="Verdana" w:eastAsia="Verdana" w:hAnsi="Verdana" w:cstheme="minorHAnsi"/>
          <w:sz w:val="20"/>
          <w:szCs w:val="20"/>
        </w:rPr>
        <w:t>la ampliación del cas</w:t>
      </w:r>
      <w:r w:rsidR="00970737" w:rsidRPr="00D80603">
        <w:rPr>
          <w:rFonts w:ascii="Verdana" w:eastAsia="Verdana" w:hAnsi="Verdana" w:cstheme="minorHAnsi"/>
          <w:sz w:val="20"/>
          <w:szCs w:val="20"/>
        </w:rPr>
        <w:t>c</w:t>
      </w:r>
      <w:r w:rsidR="00620E65" w:rsidRPr="00D80603">
        <w:rPr>
          <w:rFonts w:ascii="Verdana" w:eastAsia="Verdana" w:hAnsi="Verdana" w:cstheme="minorHAnsi"/>
          <w:sz w:val="20"/>
          <w:szCs w:val="20"/>
        </w:rPr>
        <w:t xml:space="preserve">o urbano de la ciudad de Tela se dio con anterioridad a la </w:t>
      </w:r>
      <w:proofErr w:type="gramStart"/>
      <w:r w:rsidR="00620E65" w:rsidRPr="00D80603">
        <w:rPr>
          <w:rFonts w:ascii="Verdana" w:eastAsia="Verdana" w:hAnsi="Verdana" w:cstheme="minorHAnsi"/>
          <w:sz w:val="20"/>
          <w:szCs w:val="20"/>
        </w:rPr>
        <w:t>entrada en vigencia</w:t>
      </w:r>
      <w:proofErr w:type="gramEnd"/>
      <w:r w:rsidR="00620E65" w:rsidRPr="00D80603">
        <w:rPr>
          <w:rFonts w:ascii="Verdana" w:eastAsia="Verdana" w:hAnsi="Verdana" w:cstheme="minorHAnsi"/>
          <w:sz w:val="20"/>
          <w:szCs w:val="20"/>
        </w:rPr>
        <w:t xml:space="preserve"> para Honduras del Convenio 169 de la OIT. Es decir, </w:t>
      </w:r>
      <w:r w:rsidR="005C5263" w:rsidRPr="00D80603">
        <w:rPr>
          <w:rFonts w:ascii="Verdana" w:eastAsia="Verdana" w:hAnsi="Verdana" w:cstheme="minorHAnsi"/>
          <w:sz w:val="20"/>
          <w:szCs w:val="20"/>
        </w:rPr>
        <w:t xml:space="preserve">el Estado sostiene </w:t>
      </w:r>
      <w:r w:rsidR="00620E65" w:rsidRPr="00D80603">
        <w:rPr>
          <w:rFonts w:ascii="Verdana" w:eastAsia="Verdana" w:hAnsi="Verdana" w:cstheme="minorHAnsi"/>
          <w:sz w:val="20"/>
          <w:szCs w:val="20"/>
        </w:rPr>
        <w:t>que</w:t>
      </w:r>
      <w:r w:rsidR="00D54A9C" w:rsidRPr="00D80603">
        <w:rPr>
          <w:rFonts w:ascii="Verdana" w:eastAsia="Verdana" w:hAnsi="Verdana" w:cstheme="minorHAnsi"/>
          <w:sz w:val="20"/>
          <w:szCs w:val="20"/>
        </w:rPr>
        <w:t>,</w:t>
      </w:r>
      <w:r w:rsidR="00620E65" w:rsidRPr="00D80603">
        <w:rPr>
          <w:rFonts w:ascii="Verdana" w:eastAsia="Verdana" w:hAnsi="Verdana" w:cstheme="minorHAnsi"/>
          <w:sz w:val="20"/>
          <w:szCs w:val="20"/>
        </w:rPr>
        <w:t xml:space="preserve"> para la fecha de la ampliación del casco urbano de la ciudad de Tela</w:t>
      </w:r>
      <w:r w:rsidR="003C7AA6" w:rsidRPr="00D80603">
        <w:rPr>
          <w:rFonts w:ascii="Verdana" w:eastAsia="Verdana" w:hAnsi="Verdana" w:cstheme="minorHAnsi"/>
          <w:sz w:val="20"/>
          <w:szCs w:val="20"/>
        </w:rPr>
        <w:t xml:space="preserve"> (</w:t>
      </w:r>
      <w:r w:rsidR="007B0F31" w:rsidRPr="00D80603">
        <w:rPr>
          <w:rFonts w:ascii="Verdana" w:hAnsi="Verdana"/>
          <w:sz w:val="20"/>
          <w:szCs w:val="20"/>
        </w:rPr>
        <w:t>mediante resolución N° 055-89 emitida por el I</w:t>
      </w:r>
      <w:r w:rsidR="00CA19C3" w:rsidRPr="00D80603">
        <w:rPr>
          <w:rFonts w:ascii="Verdana" w:hAnsi="Verdana"/>
          <w:sz w:val="20"/>
          <w:szCs w:val="20"/>
        </w:rPr>
        <w:t xml:space="preserve">nstituto </w:t>
      </w:r>
      <w:r w:rsidR="007B0F31" w:rsidRPr="00D80603">
        <w:rPr>
          <w:rFonts w:ascii="Verdana" w:hAnsi="Verdana"/>
          <w:sz w:val="20"/>
          <w:szCs w:val="20"/>
        </w:rPr>
        <w:t>N</w:t>
      </w:r>
      <w:r w:rsidR="00CA19C3" w:rsidRPr="00D80603">
        <w:rPr>
          <w:rFonts w:ascii="Verdana" w:hAnsi="Verdana"/>
          <w:sz w:val="20"/>
          <w:szCs w:val="20"/>
        </w:rPr>
        <w:t xml:space="preserve">acional </w:t>
      </w:r>
      <w:r w:rsidR="007B0F31" w:rsidRPr="00D80603">
        <w:rPr>
          <w:rFonts w:ascii="Verdana" w:hAnsi="Verdana"/>
          <w:sz w:val="20"/>
          <w:szCs w:val="20"/>
        </w:rPr>
        <w:t>A</w:t>
      </w:r>
      <w:r w:rsidR="00CA19C3" w:rsidRPr="00D80603">
        <w:rPr>
          <w:rFonts w:ascii="Verdana" w:hAnsi="Verdana"/>
          <w:sz w:val="20"/>
          <w:szCs w:val="20"/>
        </w:rPr>
        <w:t>grario</w:t>
      </w:r>
      <w:r w:rsidR="007B0F31" w:rsidRPr="00D80603">
        <w:rPr>
          <w:rFonts w:ascii="Verdana" w:hAnsi="Verdana"/>
          <w:sz w:val="20"/>
          <w:szCs w:val="20"/>
        </w:rPr>
        <w:t xml:space="preserve"> en abril de 1989</w:t>
      </w:r>
      <w:r w:rsidR="003C7AA6" w:rsidRPr="00D80603">
        <w:rPr>
          <w:rFonts w:ascii="Verdana" w:eastAsia="Verdana" w:hAnsi="Verdana" w:cstheme="minorHAnsi"/>
          <w:sz w:val="20"/>
          <w:szCs w:val="20"/>
        </w:rPr>
        <w:t>)</w:t>
      </w:r>
      <w:r w:rsidR="00620E65" w:rsidRPr="00D80603">
        <w:rPr>
          <w:rFonts w:ascii="Verdana" w:eastAsia="Verdana" w:hAnsi="Verdana" w:cstheme="minorHAnsi"/>
          <w:sz w:val="20"/>
          <w:szCs w:val="20"/>
        </w:rPr>
        <w:t>, no estaba obligado a cumplir con las disposiciones de</w:t>
      </w:r>
      <w:r w:rsidR="00792504" w:rsidRPr="00D80603">
        <w:rPr>
          <w:rFonts w:ascii="Verdana" w:eastAsia="Verdana" w:hAnsi="Verdana" w:cstheme="minorHAnsi"/>
          <w:sz w:val="20"/>
          <w:szCs w:val="20"/>
        </w:rPr>
        <w:t>l</w:t>
      </w:r>
      <w:r w:rsidR="00620E65" w:rsidRPr="00D80603">
        <w:rPr>
          <w:rFonts w:ascii="Verdana" w:eastAsia="Verdana" w:hAnsi="Verdana" w:cstheme="minorHAnsi"/>
          <w:sz w:val="20"/>
          <w:szCs w:val="20"/>
        </w:rPr>
        <w:t xml:space="preserve"> </w:t>
      </w:r>
      <w:r w:rsidR="00CA19C3" w:rsidRPr="00D80603">
        <w:rPr>
          <w:rFonts w:ascii="Verdana" w:eastAsia="Verdana" w:hAnsi="Verdana" w:cstheme="minorHAnsi"/>
          <w:sz w:val="20"/>
          <w:szCs w:val="20"/>
        </w:rPr>
        <w:t xml:space="preserve">referido </w:t>
      </w:r>
      <w:r w:rsidR="00620E65" w:rsidRPr="00D80603">
        <w:rPr>
          <w:rFonts w:ascii="Verdana" w:eastAsia="Verdana" w:hAnsi="Verdana" w:cstheme="minorHAnsi"/>
          <w:sz w:val="20"/>
          <w:szCs w:val="20"/>
        </w:rPr>
        <w:t xml:space="preserve">Convenio </w:t>
      </w:r>
      <w:r w:rsidR="00CA19C3" w:rsidRPr="00D80603">
        <w:rPr>
          <w:rFonts w:ascii="Verdana" w:eastAsia="Verdana" w:hAnsi="Verdana" w:cstheme="minorHAnsi"/>
          <w:sz w:val="20"/>
          <w:szCs w:val="20"/>
        </w:rPr>
        <w:t xml:space="preserve">de la OIT </w:t>
      </w:r>
      <w:r w:rsidR="00620E65" w:rsidRPr="00D80603">
        <w:rPr>
          <w:rFonts w:ascii="Verdana" w:eastAsia="Verdana" w:hAnsi="Verdana" w:cstheme="minorHAnsi"/>
          <w:sz w:val="20"/>
          <w:szCs w:val="20"/>
        </w:rPr>
        <w:t>relacionadas con la consulta previa</w:t>
      </w:r>
      <w:r w:rsidR="003C7AA6" w:rsidRPr="00D80603">
        <w:rPr>
          <w:rStyle w:val="Refdenotaalpie"/>
          <w:rFonts w:ascii="Verdana" w:eastAsia="Verdana" w:hAnsi="Verdana" w:cstheme="minorHAnsi"/>
          <w:sz w:val="20"/>
          <w:szCs w:val="20"/>
        </w:rPr>
        <w:footnoteReference w:id="4"/>
      </w:r>
      <w:r w:rsidR="00620E65" w:rsidRPr="00D80603">
        <w:rPr>
          <w:rFonts w:ascii="Verdana" w:eastAsia="Verdana" w:hAnsi="Verdana" w:cstheme="minorHAnsi"/>
          <w:sz w:val="20"/>
          <w:szCs w:val="20"/>
        </w:rPr>
        <w:t>.</w:t>
      </w:r>
    </w:p>
    <w:p w14:paraId="5376A198" w14:textId="77777777" w:rsidR="0064055A" w:rsidRPr="00D80603" w:rsidRDefault="0064055A" w:rsidP="0064055A">
      <w:pPr>
        <w:pStyle w:val="Prrafodelista"/>
        <w:rPr>
          <w:rFonts w:ascii="Verdana" w:eastAsia="Verdana" w:hAnsi="Verdana" w:cstheme="minorHAnsi"/>
          <w:sz w:val="20"/>
          <w:szCs w:val="20"/>
        </w:rPr>
      </w:pPr>
    </w:p>
    <w:p w14:paraId="3EFC6442" w14:textId="25721838" w:rsidR="00FC6710" w:rsidRPr="00D80603" w:rsidRDefault="00620E65" w:rsidP="007C1BD5">
      <w:pPr>
        <w:numPr>
          <w:ilvl w:val="0"/>
          <w:numId w:val="2"/>
        </w:numPr>
        <w:ind w:left="0" w:right="48" w:firstLine="0"/>
        <w:contextualSpacing/>
        <w:jc w:val="both"/>
        <w:rPr>
          <w:rFonts w:ascii="Verdana" w:eastAsia="Verdana" w:hAnsi="Verdana" w:cstheme="minorHAnsi"/>
          <w:sz w:val="20"/>
          <w:szCs w:val="20"/>
        </w:rPr>
      </w:pPr>
      <w:r w:rsidRPr="00D80603">
        <w:rPr>
          <w:rFonts w:ascii="Verdana" w:eastAsia="Verdana" w:hAnsi="Verdana" w:cstheme="minorHAnsi"/>
          <w:sz w:val="20"/>
          <w:szCs w:val="20"/>
        </w:rPr>
        <w:t>Como veremos más adelante, la Corte IDH</w:t>
      </w:r>
      <w:r w:rsidR="005C5263" w:rsidRPr="00D80603">
        <w:rPr>
          <w:rFonts w:ascii="Verdana" w:eastAsia="Verdana" w:hAnsi="Verdana" w:cstheme="minorHAnsi"/>
          <w:sz w:val="20"/>
          <w:szCs w:val="20"/>
        </w:rPr>
        <w:t xml:space="preserve"> considera que uno de los requisitos con los que deben cumplir las consultas a los pueblos indígenas es el acceso a la información</w:t>
      </w:r>
      <w:r w:rsidR="00FC6710" w:rsidRPr="00D80603">
        <w:rPr>
          <w:rFonts w:ascii="Verdana" w:eastAsia="Verdana" w:hAnsi="Verdana" w:cstheme="minorHAnsi"/>
          <w:sz w:val="20"/>
          <w:szCs w:val="20"/>
        </w:rPr>
        <w:t>, reconocido en el artículo 13 de la Convención Americana</w:t>
      </w:r>
      <w:r w:rsidR="007C1BD5" w:rsidRPr="00D80603">
        <w:rPr>
          <w:rFonts w:ascii="Verdana" w:eastAsia="Verdana" w:hAnsi="Verdana" w:cstheme="minorHAnsi"/>
          <w:sz w:val="20"/>
          <w:szCs w:val="20"/>
        </w:rPr>
        <w:t xml:space="preserve">, siguiendo el precedente anterior del caso </w:t>
      </w:r>
      <w:r w:rsidR="007C1BD5" w:rsidRPr="00D80603">
        <w:rPr>
          <w:rFonts w:ascii="Verdana" w:hAnsi="Verdana" w:cstheme="minorHAnsi"/>
          <w:i/>
          <w:iCs/>
          <w:sz w:val="20"/>
          <w:szCs w:val="20"/>
          <w:lang w:val="es-ES_tradnl"/>
        </w:rPr>
        <w:t xml:space="preserve">Comunidad Maya Q’eqchi Agua Caliente Vs. </w:t>
      </w:r>
      <w:r w:rsidR="0028352C" w:rsidRPr="00D80603">
        <w:rPr>
          <w:rFonts w:ascii="Verdana" w:hAnsi="Verdana" w:cstheme="minorHAnsi"/>
          <w:i/>
          <w:iCs/>
          <w:sz w:val="20"/>
          <w:szCs w:val="20"/>
          <w:lang w:val="es-ES_tradnl"/>
        </w:rPr>
        <w:t>Guatemala</w:t>
      </w:r>
      <w:r w:rsidR="007C1BD5" w:rsidRPr="00D80603">
        <w:rPr>
          <w:rStyle w:val="Refdenotaalpie"/>
          <w:rFonts w:ascii="Verdana" w:hAnsi="Verdana" w:cstheme="minorHAnsi"/>
          <w:i/>
          <w:iCs/>
          <w:sz w:val="20"/>
          <w:szCs w:val="20"/>
          <w:lang w:val="es-ES_tradnl"/>
        </w:rPr>
        <w:footnoteReference w:id="5"/>
      </w:r>
      <w:r w:rsidR="00FC6710" w:rsidRPr="00D80603">
        <w:rPr>
          <w:rFonts w:ascii="Verdana" w:eastAsia="Verdana" w:hAnsi="Verdana" w:cstheme="minorHAnsi"/>
          <w:sz w:val="20"/>
          <w:szCs w:val="20"/>
        </w:rPr>
        <w:t>.</w:t>
      </w:r>
      <w:r w:rsidRPr="00D80603">
        <w:rPr>
          <w:rFonts w:ascii="Verdana" w:eastAsia="Verdana" w:hAnsi="Verdana" w:cstheme="minorHAnsi"/>
          <w:sz w:val="20"/>
          <w:szCs w:val="20"/>
        </w:rPr>
        <w:t xml:space="preserve"> </w:t>
      </w:r>
      <w:r w:rsidR="00FC6710" w:rsidRPr="00D80603">
        <w:rPr>
          <w:rFonts w:ascii="Verdana" w:eastAsia="Verdana" w:hAnsi="Verdana" w:cstheme="minorHAnsi"/>
          <w:sz w:val="20"/>
          <w:szCs w:val="20"/>
        </w:rPr>
        <w:t xml:space="preserve">El Tribunal Interamericano </w:t>
      </w:r>
      <w:r w:rsidR="00652451" w:rsidRPr="00D80603">
        <w:rPr>
          <w:rFonts w:ascii="Verdana" w:eastAsia="Verdana" w:hAnsi="Verdana" w:cstheme="minorHAnsi"/>
          <w:sz w:val="20"/>
          <w:szCs w:val="20"/>
        </w:rPr>
        <w:t xml:space="preserve">considera </w:t>
      </w:r>
      <w:r w:rsidR="00FC6710" w:rsidRPr="00D80603">
        <w:rPr>
          <w:rFonts w:ascii="Verdana" w:eastAsia="Verdana" w:hAnsi="Verdana" w:cstheme="minorHAnsi"/>
          <w:sz w:val="20"/>
          <w:szCs w:val="20"/>
        </w:rPr>
        <w:t xml:space="preserve">que </w:t>
      </w:r>
      <w:r w:rsidR="00FC6710" w:rsidRPr="00D80603">
        <w:rPr>
          <w:rFonts w:ascii="Verdana" w:hAnsi="Verdana" w:cstheme="minorHAnsi"/>
          <w:sz w:val="20"/>
          <w:szCs w:val="20"/>
        </w:rPr>
        <w:t xml:space="preserve">las autoridades no garantizaron ni respetaron el </w:t>
      </w:r>
      <w:r w:rsidR="00AB13C3" w:rsidRPr="00D80603">
        <w:rPr>
          <w:rFonts w:ascii="Verdana" w:hAnsi="Verdana" w:cstheme="minorHAnsi"/>
          <w:sz w:val="20"/>
          <w:szCs w:val="20"/>
        </w:rPr>
        <w:t>“</w:t>
      </w:r>
      <w:r w:rsidR="00FC6710" w:rsidRPr="00D80603">
        <w:rPr>
          <w:rFonts w:ascii="Verdana" w:hAnsi="Verdana" w:cstheme="minorHAnsi"/>
          <w:sz w:val="20"/>
          <w:szCs w:val="20"/>
        </w:rPr>
        <w:t>derecho a la participación</w:t>
      </w:r>
      <w:r w:rsidR="00AB13C3" w:rsidRPr="00D80603">
        <w:rPr>
          <w:rFonts w:ascii="Verdana" w:hAnsi="Verdana" w:cstheme="minorHAnsi"/>
          <w:sz w:val="20"/>
          <w:szCs w:val="20"/>
        </w:rPr>
        <w:t>”</w:t>
      </w:r>
      <w:r w:rsidR="00FC6710" w:rsidRPr="00D80603">
        <w:rPr>
          <w:rFonts w:ascii="Verdana" w:hAnsi="Verdana" w:cstheme="minorHAnsi"/>
          <w:sz w:val="20"/>
          <w:szCs w:val="20"/>
        </w:rPr>
        <w:t xml:space="preserve"> de la Comunidad Garífuna de San Juan en asuntos que afectaron su territorio, por lo que </w:t>
      </w:r>
      <w:r w:rsidR="00652451" w:rsidRPr="00D80603">
        <w:rPr>
          <w:rFonts w:ascii="Verdana" w:hAnsi="Verdana" w:cstheme="minorHAnsi"/>
          <w:sz w:val="20"/>
          <w:szCs w:val="20"/>
        </w:rPr>
        <w:t>declaró</w:t>
      </w:r>
      <w:r w:rsidR="00FC6710" w:rsidRPr="00D80603">
        <w:rPr>
          <w:rFonts w:ascii="Verdana" w:hAnsi="Verdana" w:cstheme="minorHAnsi"/>
          <w:sz w:val="20"/>
          <w:szCs w:val="20"/>
        </w:rPr>
        <w:t xml:space="preserve"> la responsabilidad del Estado por la violación de los artículos 23 y 13 de la Convención Americana, en relación con el derecho a la propiedad comunal y la obligación de respetar y garantizar los derechos contenidos en los artículos 21 y 1.1. del mismo instrumento, en perjuicio de la Comunidad Garífuna de San Juan</w:t>
      </w:r>
      <w:r w:rsidR="00FC6710" w:rsidRPr="00D80603">
        <w:rPr>
          <w:rStyle w:val="Refdenotaalpie"/>
          <w:rFonts w:ascii="Verdana" w:hAnsi="Verdana" w:cstheme="minorHAnsi"/>
          <w:sz w:val="20"/>
          <w:szCs w:val="20"/>
        </w:rPr>
        <w:footnoteReference w:id="6"/>
      </w:r>
      <w:r w:rsidR="00FC6710" w:rsidRPr="00D80603">
        <w:rPr>
          <w:rFonts w:ascii="Verdana" w:hAnsi="Verdana" w:cstheme="minorHAnsi"/>
          <w:sz w:val="20"/>
          <w:szCs w:val="20"/>
        </w:rPr>
        <w:t>.</w:t>
      </w:r>
    </w:p>
    <w:p w14:paraId="23428881" w14:textId="77777777" w:rsidR="00FC6710" w:rsidRPr="00D80603" w:rsidRDefault="00FC6710" w:rsidP="00FC6710">
      <w:pPr>
        <w:pStyle w:val="Prrafodelista"/>
        <w:rPr>
          <w:rFonts w:ascii="Verdana" w:eastAsia="Verdana" w:hAnsi="Verdana" w:cstheme="minorHAnsi"/>
          <w:sz w:val="20"/>
          <w:szCs w:val="20"/>
        </w:rPr>
      </w:pPr>
    </w:p>
    <w:p w14:paraId="1D0CFB75" w14:textId="00B8806E" w:rsidR="00615455" w:rsidRPr="00D80603" w:rsidRDefault="008E4781" w:rsidP="00E75E0F">
      <w:pPr>
        <w:numPr>
          <w:ilvl w:val="0"/>
          <w:numId w:val="2"/>
        </w:numPr>
        <w:ind w:left="0" w:right="48" w:firstLine="0"/>
        <w:contextualSpacing/>
        <w:jc w:val="both"/>
        <w:rPr>
          <w:rFonts w:ascii="Verdana" w:eastAsia="Verdana" w:hAnsi="Verdana" w:cstheme="minorHAnsi"/>
          <w:sz w:val="20"/>
          <w:szCs w:val="20"/>
        </w:rPr>
      </w:pPr>
      <w:r w:rsidRPr="00D80603">
        <w:rPr>
          <w:rFonts w:ascii="Verdana" w:eastAsia="Verdana" w:hAnsi="Verdana" w:cstheme="minorHAnsi"/>
          <w:sz w:val="20"/>
          <w:szCs w:val="20"/>
        </w:rPr>
        <w:t xml:space="preserve">Consideramos que </w:t>
      </w:r>
      <w:r w:rsidR="000E7604" w:rsidRPr="00D80603">
        <w:rPr>
          <w:rFonts w:ascii="Verdana" w:eastAsia="Verdana" w:hAnsi="Verdana" w:cstheme="minorHAnsi"/>
          <w:sz w:val="20"/>
          <w:szCs w:val="20"/>
        </w:rPr>
        <w:t xml:space="preserve">esa </w:t>
      </w:r>
      <w:r w:rsidRPr="00D80603">
        <w:rPr>
          <w:rFonts w:ascii="Verdana" w:eastAsia="Verdana" w:hAnsi="Verdana" w:cstheme="minorHAnsi"/>
          <w:sz w:val="20"/>
          <w:szCs w:val="20"/>
        </w:rPr>
        <w:t xml:space="preserve">“falta de participación” de la Comunidad Garífuna de San Juan, en el caso concreto, debe entenderse como afectación al </w:t>
      </w:r>
      <w:r w:rsidRPr="00D80603">
        <w:rPr>
          <w:rFonts w:ascii="Verdana" w:eastAsia="Verdana" w:hAnsi="Verdana" w:cstheme="minorHAnsi"/>
          <w:i/>
          <w:iCs/>
          <w:sz w:val="20"/>
          <w:szCs w:val="20"/>
        </w:rPr>
        <w:t>derecho a la consulta previa, libre e informada,</w:t>
      </w:r>
      <w:r w:rsidRPr="00D80603">
        <w:rPr>
          <w:rFonts w:ascii="Verdana" w:eastAsia="Verdana" w:hAnsi="Verdana" w:cstheme="minorHAnsi"/>
          <w:sz w:val="20"/>
          <w:szCs w:val="20"/>
        </w:rPr>
        <w:t xml:space="preserve"> en términos de los artículos 13, 21 y 23 de la Convención Americana, en relación con el art. 1.1. del mismo tratado. En otras palabras, de manera implícita, la Corte </w:t>
      </w:r>
      <w:r w:rsidR="00E75E0F" w:rsidRPr="00D80603">
        <w:rPr>
          <w:rFonts w:ascii="Verdana" w:eastAsia="Verdana" w:hAnsi="Verdana" w:cstheme="minorHAnsi"/>
          <w:sz w:val="20"/>
          <w:szCs w:val="20"/>
        </w:rPr>
        <w:t xml:space="preserve">IDH </w:t>
      </w:r>
      <w:r w:rsidRPr="00D80603">
        <w:rPr>
          <w:rFonts w:ascii="Verdana" w:eastAsia="Verdana" w:hAnsi="Verdana" w:cstheme="minorHAnsi"/>
          <w:sz w:val="20"/>
          <w:szCs w:val="20"/>
        </w:rPr>
        <w:t xml:space="preserve">considera que </w:t>
      </w:r>
      <w:r w:rsidR="008227A7" w:rsidRPr="00D80603">
        <w:rPr>
          <w:rFonts w:ascii="Verdana" w:eastAsia="Verdana" w:hAnsi="Verdana" w:cstheme="minorHAnsi"/>
          <w:sz w:val="20"/>
          <w:szCs w:val="20"/>
        </w:rPr>
        <w:t xml:space="preserve">este </w:t>
      </w:r>
      <w:r w:rsidRPr="00D80603">
        <w:rPr>
          <w:rFonts w:ascii="Verdana" w:eastAsia="Verdana" w:hAnsi="Verdana" w:cstheme="minorHAnsi"/>
          <w:sz w:val="20"/>
          <w:szCs w:val="20"/>
        </w:rPr>
        <w:t xml:space="preserve">derecho se desprende de los preceptos del propio Pacto de San José, </w:t>
      </w:r>
      <w:proofErr w:type="gramStart"/>
      <w:r w:rsidRPr="00D80603">
        <w:rPr>
          <w:rFonts w:ascii="Verdana" w:eastAsia="Verdana" w:hAnsi="Verdana" w:cstheme="minorHAnsi"/>
          <w:sz w:val="20"/>
          <w:szCs w:val="20"/>
        </w:rPr>
        <w:t>que</w:t>
      </w:r>
      <w:proofErr w:type="gramEnd"/>
      <w:r w:rsidRPr="00D80603">
        <w:rPr>
          <w:rFonts w:ascii="Verdana" w:eastAsia="Verdana" w:hAnsi="Verdana" w:cstheme="minorHAnsi"/>
          <w:sz w:val="20"/>
          <w:szCs w:val="20"/>
        </w:rPr>
        <w:t xml:space="preserve"> al momento de la ampliación del casco urbano de la </w:t>
      </w:r>
      <w:r w:rsidRPr="00D80603">
        <w:rPr>
          <w:rFonts w:ascii="Verdana" w:eastAsia="Verdana" w:hAnsi="Verdana" w:cstheme="minorHAnsi"/>
          <w:sz w:val="20"/>
          <w:szCs w:val="20"/>
        </w:rPr>
        <w:lastRenderedPageBreak/>
        <w:t xml:space="preserve">ciudad de Tela, se encontraba vigente en Honduras, con independencia de la </w:t>
      </w:r>
      <w:r w:rsidR="000E7604" w:rsidRPr="00D80603">
        <w:rPr>
          <w:rFonts w:ascii="Verdana" w:eastAsia="Verdana" w:hAnsi="Verdana" w:cstheme="minorHAnsi"/>
          <w:sz w:val="20"/>
          <w:szCs w:val="20"/>
        </w:rPr>
        <w:t>ratificación y la entrada en vigor</w:t>
      </w:r>
      <w:r w:rsidRPr="00D80603">
        <w:rPr>
          <w:rFonts w:ascii="Verdana" w:eastAsia="Verdana" w:hAnsi="Verdana" w:cstheme="minorHAnsi"/>
          <w:sz w:val="20"/>
          <w:szCs w:val="20"/>
        </w:rPr>
        <w:t xml:space="preserve"> del Convenio </w:t>
      </w:r>
      <w:r w:rsidR="00E75E0F" w:rsidRPr="00D80603">
        <w:rPr>
          <w:rFonts w:ascii="Verdana" w:eastAsia="Verdana" w:hAnsi="Verdana" w:cstheme="minorHAnsi"/>
          <w:sz w:val="20"/>
          <w:szCs w:val="20"/>
        </w:rPr>
        <w:t>169 de la OIT</w:t>
      </w:r>
      <w:r w:rsidR="000E7604" w:rsidRPr="00D80603">
        <w:rPr>
          <w:rStyle w:val="Refdenotaalpie"/>
          <w:rFonts w:ascii="Verdana" w:eastAsia="Verdana" w:hAnsi="Verdana" w:cstheme="minorHAnsi"/>
          <w:sz w:val="20"/>
          <w:szCs w:val="20"/>
        </w:rPr>
        <w:footnoteReference w:id="7"/>
      </w:r>
      <w:r w:rsidR="00E75E0F" w:rsidRPr="00D80603">
        <w:rPr>
          <w:rFonts w:ascii="Verdana" w:eastAsia="Verdana" w:hAnsi="Verdana" w:cstheme="minorHAnsi"/>
          <w:sz w:val="20"/>
          <w:szCs w:val="20"/>
        </w:rPr>
        <w:t xml:space="preserve">. </w:t>
      </w:r>
    </w:p>
    <w:p w14:paraId="16178AAD" w14:textId="77777777" w:rsidR="00615455" w:rsidRPr="00D80603" w:rsidRDefault="00615455" w:rsidP="00615455">
      <w:pPr>
        <w:pStyle w:val="Prrafodelista"/>
        <w:rPr>
          <w:rFonts w:ascii="Verdana" w:eastAsia="Verdana" w:hAnsi="Verdana" w:cstheme="minorHAnsi"/>
          <w:sz w:val="20"/>
          <w:szCs w:val="20"/>
        </w:rPr>
      </w:pPr>
    </w:p>
    <w:p w14:paraId="20909A82" w14:textId="78EEF380" w:rsidR="00040128" w:rsidRPr="00D80603" w:rsidRDefault="00E75E0F" w:rsidP="00E75E0F">
      <w:pPr>
        <w:numPr>
          <w:ilvl w:val="0"/>
          <w:numId w:val="2"/>
        </w:numPr>
        <w:ind w:left="0" w:right="48" w:firstLine="0"/>
        <w:contextualSpacing/>
        <w:jc w:val="both"/>
        <w:rPr>
          <w:rFonts w:ascii="Verdana" w:eastAsia="Verdana" w:hAnsi="Verdana" w:cstheme="minorHAnsi"/>
          <w:sz w:val="20"/>
          <w:szCs w:val="20"/>
        </w:rPr>
      </w:pPr>
      <w:r w:rsidRPr="00D80603">
        <w:rPr>
          <w:rFonts w:ascii="Verdana" w:eastAsia="Verdana" w:hAnsi="Verdana" w:cstheme="minorHAnsi"/>
          <w:sz w:val="20"/>
          <w:szCs w:val="20"/>
        </w:rPr>
        <w:t>E</w:t>
      </w:r>
      <w:r w:rsidR="00956A10" w:rsidRPr="00D80603">
        <w:rPr>
          <w:rFonts w:ascii="Verdana" w:eastAsia="Verdana" w:hAnsi="Verdana" w:cstheme="minorHAnsi"/>
          <w:sz w:val="20"/>
          <w:szCs w:val="20"/>
        </w:rPr>
        <w:t>s decir,</w:t>
      </w:r>
      <w:r w:rsidRPr="00D80603">
        <w:rPr>
          <w:rFonts w:ascii="Verdana" w:eastAsia="Verdana" w:hAnsi="Verdana" w:cstheme="minorHAnsi"/>
          <w:sz w:val="20"/>
          <w:szCs w:val="20"/>
        </w:rPr>
        <w:t xml:space="preserve"> </w:t>
      </w:r>
      <w:r w:rsidR="00040128" w:rsidRPr="00D80603">
        <w:rPr>
          <w:rFonts w:ascii="Verdana" w:eastAsia="Verdana" w:hAnsi="Verdana" w:cstheme="minorHAnsi"/>
          <w:sz w:val="20"/>
          <w:szCs w:val="20"/>
          <w:lang w:val="es-ES_tradnl"/>
        </w:rPr>
        <w:t xml:space="preserve">la sentencia declaró que el Estado vulneró “el derecho a la participación” </w:t>
      </w:r>
      <w:r w:rsidR="00615455" w:rsidRPr="00D80603">
        <w:rPr>
          <w:rFonts w:ascii="Verdana" w:eastAsia="Verdana" w:hAnsi="Verdana" w:cstheme="minorHAnsi"/>
          <w:sz w:val="20"/>
          <w:szCs w:val="20"/>
          <w:lang w:val="es-ES_tradnl"/>
        </w:rPr>
        <w:t xml:space="preserve">en general </w:t>
      </w:r>
      <w:r w:rsidR="00040128" w:rsidRPr="00D80603">
        <w:rPr>
          <w:rFonts w:ascii="Verdana" w:eastAsia="Verdana" w:hAnsi="Verdana" w:cstheme="minorHAnsi"/>
          <w:sz w:val="20"/>
          <w:szCs w:val="20"/>
          <w:lang w:val="es-ES_tradnl"/>
        </w:rPr>
        <w:t>de la Comunidad Garífuna de San Juan</w:t>
      </w:r>
      <w:r w:rsidR="00615455" w:rsidRPr="00D80603">
        <w:rPr>
          <w:rFonts w:ascii="Verdana" w:eastAsia="Verdana" w:hAnsi="Verdana" w:cstheme="minorHAnsi"/>
          <w:sz w:val="20"/>
          <w:szCs w:val="20"/>
          <w:lang w:val="es-ES_tradnl"/>
        </w:rPr>
        <w:t>,</w:t>
      </w:r>
      <w:r w:rsidR="00040128" w:rsidRPr="00D80603">
        <w:rPr>
          <w:rFonts w:ascii="Verdana" w:eastAsia="Verdana" w:hAnsi="Verdana" w:cstheme="minorHAnsi"/>
          <w:sz w:val="20"/>
          <w:szCs w:val="20"/>
          <w:lang w:val="es-ES_tradnl"/>
        </w:rPr>
        <w:t xml:space="preserve"> en lugar de especificar que se trató de una vulneración </w:t>
      </w:r>
      <w:r w:rsidRPr="00D80603">
        <w:rPr>
          <w:rFonts w:ascii="Verdana" w:eastAsia="Verdana" w:hAnsi="Verdana" w:cstheme="minorHAnsi"/>
          <w:sz w:val="20"/>
          <w:szCs w:val="20"/>
          <w:lang w:val="es-ES_tradnl"/>
        </w:rPr>
        <w:t>al</w:t>
      </w:r>
      <w:r w:rsidR="00040128" w:rsidRPr="00D80603">
        <w:rPr>
          <w:rFonts w:ascii="Verdana" w:eastAsia="Verdana" w:hAnsi="Verdana" w:cstheme="minorHAnsi"/>
          <w:sz w:val="20"/>
          <w:szCs w:val="20"/>
          <w:lang w:val="es-ES_tradnl"/>
        </w:rPr>
        <w:t xml:space="preserve"> </w:t>
      </w:r>
      <w:r w:rsidR="00040128" w:rsidRPr="00D80603">
        <w:rPr>
          <w:rFonts w:ascii="Verdana" w:eastAsia="Verdana" w:hAnsi="Verdana" w:cstheme="minorHAnsi"/>
          <w:i/>
          <w:iCs/>
          <w:sz w:val="20"/>
          <w:szCs w:val="20"/>
          <w:lang w:val="es-ES_tradnl"/>
        </w:rPr>
        <w:t>derecho a la consulta</w:t>
      </w:r>
      <w:r w:rsidRPr="00D80603">
        <w:rPr>
          <w:rFonts w:ascii="Verdana" w:eastAsia="Verdana" w:hAnsi="Verdana" w:cstheme="minorHAnsi"/>
          <w:i/>
          <w:iCs/>
          <w:sz w:val="20"/>
          <w:szCs w:val="20"/>
          <w:lang w:val="es-ES_tradnl"/>
        </w:rPr>
        <w:t xml:space="preserve"> previa, libre e informada</w:t>
      </w:r>
      <w:r w:rsidRPr="00D80603">
        <w:rPr>
          <w:rFonts w:ascii="Verdana" w:eastAsia="Verdana" w:hAnsi="Verdana" w:cstheme="minorHAnsi"/>
          <w:sz w:val="20"/>
          <w:szCs w:val="20"/>
          <w:lang w:val="es-ES_tradnl"/>
        </w:rPr>
        <w:t>, que se desprende de los citados preceptos convencionales.</w:t>
      </w:r>
      <w:r w:rsidR="00EE0679" w:rsidRPr="00D80603">
        <w:rPr>
          <w:rFonts w:ascii="Verdana" w:eastAsia="Verdana" w:hAnsi="Verdana" w:cstheme="minorHAnsi"/>
          <w:sz w:val="20"/>
          <w:szCs w:val="20"/>
          <w:lang w:val="es-ES_tradnl"/>
        </w:rPr>
        <w:t xml:space="preserve"> En otras palabras, a nuestro entender, esa “falta de participación”, que se traduce en el derecho de participación </w:t>
      </w:r>
      <w:r w:rsidR="00756320" w:rsidRPr="00D80603">
        <w:rPr>
          <w:rFonts w:ascii="Verdana" w:eastAsia="Verdana" w:hAnsi="Verdana" w:cstheme="minorHAnsi"/>
          <w:sz w:val="20"/>
          <w:szCs w:val="20"/>
          <w:lang w:val="es-ES_tradnl"/>
        </w:rPr>
        <w:t xml:space="preserve">efectiva </w:t>
      </w:r>
      <w:r w:rsidR="00EE0679" w:rsidRPr="00D80603">
        <w:rPr>
          <w:rFonts w:ascii="Verdana" w:eastAsia="Verdana" w:hAnsi="Verdana" w:cstheme="minorHAnsi"/>
          <w:sz w:val="20"/>
          <w:szCs w:val="20"/>
          <w:lang w:val="es-ES_tradnl"/>
        </w:rPr>
        <w:t xml:space="preserve">de la Comunidad Garífuna de San Juan, debe necesariamente materializarse en la consulta previa, libre e informada, cuyos contenidos </w:t>
      </w:r>
      <w:r w:rsidR="00D54A9C" w:rsidRPr="00D80603">
        <w:rPr>
          <w:rFonts w:ascii="Verdana" w:eastAsia="Verdana" w:hAnsi="Verdana" w:cstheme="minorHAnsi"/>
          <w:sz w:val="20"/>
          <w:szCs w:val="20"/>
          <w:lang w:val="es-ES_tradnl"/>
        </w:rPr>
        <w:t>y características h</w:t>
      </w:r>
      <w:r w:rsidR="00EE0679" w:rsidRPr="00D80603">
        <w:rPr>
          <w:rFonts w:ascii="Verdana" w:eastAsia="Verdana" w:hAnsi="Verdana" w:cstheme="minorHAnsi"/>
          <w:sz w:val="20"/>
          <w:szCs w:val="20"/>
          <w:lang w:val="es-ES_tradnl"/>
        </w:rPr>
        <w:t>a delineado la jurisprudencia del Tribunal</w:t>
      </w:r>
      <w:r w:rsidR="00756320" w:rsidRPr="00D80603">
        <w:rPr>
          <w:rFonts w:ascii="Verdana" w:eastAsia="Verdana" w:hAnsi="Verdana" w:cstheme="minorHAnsi"/>
          <w:sz w:val="20"/>
          <w:szCs w:val="20"/>
          <w:lang w:val="es-ES_tradnl"/>
        </w:rPr>
        <w:t xml:space="preserve"> y que </w:t>
      </w:r>
      <w:r w:rsidR="00D54A9C" w:rsidRPr="00D80603">
        <w:rPr>
          <w:rFonts w:ascii="Verdana" w:eastAsia="Verdana" w:hAnsi="Verdana" w:cstheme="minorHAnsi"/>
          <w:sz w:val="20"/>
          <w:szCs w:val="20"/>
          <w:lang w:val="es-ES_tradnl"/>
        </w:rPr>
        <w:t xml:space="preserve">expresamente </w:t>
      </w:r>
      <w:r w:rsidR="00756320" w:rsidRPr="00D80603">
        <w:rPr>
          <w:rFonts w:ascii="Verdana" w:eastAsia="Verdana" w:hAnsi="Verdana" w:cstheme="minorHAnsi"/>
          <w:sz w:val="20"/>
          <w:szCs w:val="20"/>
          <w:lang w:val="es-ES_tradnl"/>
        </w:rPr>
        <w:t xml:space="preserve">son </w:t>
      </w:r>
      <w:r w:rsidR="00D54A9C" w:rsidRPr="00D80603">
        <w:rPr>
          <w:rFonts w:ascii="Verdana" w:eastAsia="Verdana" w:hAnsi="Verdana" w:cstheme="minorHAnsi"/>
          <w:sz w:val="20"/>
          <w:szCs w:val="20"/>
          <w:lang w:val="es-ES_tradnl"/>
        </w:rPr>
        <w:t>invocados en la sentencia.</w:t>
      </w:r>
    </w:p>
    <w:p w14:paraId="668426B2" w14:textId="77777777" w:rsidR="00040128" w:rsidRPr="00D80603" w:rsidRDefault="00040128" w:rsidP="00040128">
      <w:pPr>
        <w:pStyle w:val="Prrafodelista"/>
        <w:rPr>
          <w:rFonts w:ascii="Verdana" w:eastAsia="Verdana" w:hAnsi="Verdana" w:cstheme="minorHAnsi"/>
          <w:sz w:val="20"/>
          <w:szCs w:val="20"/>
          <w:lang w:val="es-ES_tradnl"/>
        </w:rPr>
      </w:pPr>
    </w:p>
    <w:p w14:paraId="40043575" w14:textId="1A4F6877" w:rsidR="00040128" w:rsidRPr="00D80603" w:rsidRDefault="00E75E0F" w:rsidP="008669D0">
      <w:pPr>
        <w:numPr>
          <w:ilvl w:val="0"/>
          <w:numId w:val="2"/>
        </w:numPr>
        <w:ind w:left="0" w:right="48" w:firstLine="0"/>
        <w:contextualSpacing/>
        <w:jc w:val="both"/>
        <w:rPr>
          <w:rFonts w:ascii="Verdana" w:hAnsi="Verdana" w:cstheme="minorHAnsi"/>
          <w:i/>
          <w:iCs/>
          <w:sz w:val="20"/>
          <w:szCs w:val="20"/>
          <w:lang w:val="es-ES_tradnl"/>
        </w:rPr>
      </w:pPr>
      <w:r w:rsidRPr="00D80603">
        <w:rPr>
          <w:rFonts w:ascii="Verdana" w:eastAsia="Verdana" w:hAnsi="Verdana" w:cstheme="minorHAnsi"/>
          <w:sz w:val="20"/>
          <w:szCs w:val="20"/>
          <w:lang w:val="es-ES_tradnl"/>
        </w:rPr>
        <w:t>Por otra parte</w:t>
      </w:r>
      <w:r w:rsidR="00040128" w:rsidRPr="00D80603">
        <w:rPr>
          <w:rFonts w:ascii="Verdana" w:eastAsia="Verdana" w:hAnsi="Verdana" w:cstheme="minorHAnsi"/>
          <w:sz w:val="20"/>
          <w:szCs w:val="20"/>
          <w:lang w:val="es-ES_tradnl"/>
        </w:rPr>
        <w:t>, en cuanto a las medidas de reparación, la sentencia precisa que “dadas las circunstancias particulares de este asunto” lo procedente fue ordenar que a la Comunidad</w:t>
      </w:r>
      <w:r w:rsidR="00CA19C3" w:rsidRPr="00D80603">
        <w:rPr>
          <w:rFonts w:ascii="Verdana" w:eastAsia="Verdana" w:hAnsi="Verdana" w:cstheme="minorHAnsi"/>
          <w:sz w:val="20"/>
          <w:szCs w:val="20"/>
          <w:lang w:val="es-ES_tradnl"/>
        </w:rPr>
        <w:t xml:space="preserve"> Garífuna de San Juan </w:t>
      </w:r>
      <w:r w:rsidR="00040128" w:rsidRPr="00D80603">
        <w:rPr>
          <w:rFonts w:ascii="Verdana" w:eastAsia="Verdana" w:hAnsi="Verdana" w:cstheme="minorHAnsi"/>
          <w:sz w:val="20"/>
          <w:szCs w:val="20"/>
          <w:lang w:val="es-ES_tradnl"/>
        </w:rPr>
        <w:t xml:space="preserve">se le otorguen tierras alternativas o bien una indemnización, </w:t>
      </w:r>
      <w:r w:rsidR="00792504" w:rsidRPr="00D80603">
        <w:rPr>
          <w:rFonts w:ascii="Verdana" w:eastAsia="Verdana" w:hAnsi="Verdana" w:cstheme="minorHAnsi"/>
          <w:sz w:val="20"/>
          <w:szCs w:val="20"/>
          <w:lang w:val="es-ES_tradnl"/>
        </w:rPr>
        <w:t>si así lo considera</w:t>
      </w:r>
      <w:r w:rsidR="00D54A9C" w:rsidRPr="00D80603">
        <w:rPr>
          <w:rFonts w:ascii="Verdana" w:eastAsia="Verdana" w:hAnsi="Verdana" w:cstheme="minorHAnsi"/>
          <w:sz w:val="20"/>
          <w:szCs w:val="20"/>
          <w:lang w:val="es-ES_tradnl"/>
        </w:rPr>
        <w:t xml:space="preserve"> la comunidad</w:t>
      </w:r>
      <w:r w:rsidR="00792504" w:rsidRPr="00D80603">
        <w:rPr>
          <w:rFonts w:ascii="Verdana" w:eastAsia="Verdana" w:hAnsi="Verdana" w:cstheme="minorHAnsi"/>
          <w:sz w:val="20"/>
          <w:szCs w:val="20"/>
          <w:lang w:val="es-ES_tradnl"/>
        </w:rPr>
        <w:t xml:space="preserve">, </w:t>
      </w:r>
      <w:r w:rsidR="00040128" w:rsidRPr="00D80603">
        <w:rPr>
          <w:rFonts w:ascii="Verdana" w:eastAsia="Verdana" w:hAnsi="Verdana" w:cstheme="minorHAnsi"/>
          <w:sz w:val="20"/>
          <w:szCs w:val="20"/>
          <w:lang w:val="es-ES_tradnl"/>
        </w:rPr>
        <w:t xml:space="preserve">en lugar de proceder a que se le restituya su territorio ancestral </w:t>
      </w:r>
      <w:r w:rsidR="00D54A9C" w:rsidRPr="00D80603">
        <w:rPr>
          <w:rFonts w:ascii="Verdana" w:eastAsia="Verdana" w:hAnsi="Verdana" w:cstheme="minorHAnsi"/>
          <w:sz w:val="20"/>
          <w:szCs w:val="20"/>
          <w:lang w:val="es-ES_tradnl"/>
        </w:rPr>
        <w:t>—</w:t>
      </w:r>
      <w:r w:rsidR="00040128" w:rsidRPr="00D80603">
        <w:rPr>
          <w:rFonts w:ascii="Verdana" w:eastAsia="Verdana" w:hAnsi="Verdana" w:cstheme="minorHAnsi"/>
          <w:sz w:val="20"/>
          <w:szCs w:val="20"/>
          <w:lang w:val="es-ES_tradnl"/>
        </w:rPr>
        <w:t>como tradicionalmente lo ha ordenado la jurisprudencia de la Corte IDH</w:t>
      </w:r>
      <w:r w:rsidR="00D54A9C" w:rsidRPr="00D80603">
        <w:rPr>
          <w:rFonts w:ascii="Verdana" w:eastAsia="Verdana" w:hAnsi="Verdana" w:cstheme="minorHAnsi"/>
          <w:sz w:val="20"/>
          <w:szCs w:val="20"/>
          <w:lang w:val="es-ES_tradnl"/>
        </w:rPr>
        <w:t>—</w:t>
      </w:r>
      <w:r w:rsidR="00040128" w:rsidRPr="00D80603">
        <w:rPr>
          <w:rFonts w:ascii="Verdana" w:eastAsia="Verdana" w:hAnsi="Verdana" w:cstheme="minorHAnsi"/>
          <w:sz w:val="20"/>
          <w:szCs w:val="20"/>
          <w:lang w:val="es-ES_tradnl"/>
        </w:rPr>
        <w:t xml:space="preserve">. En este sentido, </w:t>
      </w:r>
      <w:r w:rsidRPr="00D80603">
        <w:rPr>
          <w:rFonts w:ascii="Verdana" w:eastAsia="Verdana" w:hAnsi="Verdana" w:cstheme="minorHAnsi"/>
          <w:sz w:val="20"/>
          <w:szCs w:val="20"/>
          <w:lang w:val="es-ES_tradnl"/>
        </w:rPr>
        <w:t xml:space="preserve">si bien coincidimos con lo decidido en las reparaciones ordenadas, en virtud de las especiales circunstancias del caso, </w:t>
      </w:r>
      <w:r w:rsidR="00615455" w:rsidRPr="00D80603">
        <w:rPr>
          <w:rFonts w:ascii="Verdana" w:eastAsia="Verdana" w:hAnsi="Verdana" w:cstheme="minorHAnsi"/>
          <w:sz w:val="20"/>
          <w:szCs w:val="20"/>
          <w:lang w:val="es-ES_tradnl"/>
        </w:rPr>
        <w:t>debe dejarse claro que l</w:t>
      </w:r>
      <w:r w:rsidRPr="00D80603">
        <w:rPr>
          <w:rFonts w:ascii="Verdana" w:eastAsia="Verdana" w:hAnsi="Verdana" w:cstheme="minorHAnsi"/>
          <w:sz w:val="20"/>
          <w:szCs w:val="20"/>
          <w:lang w:val="es-ES_tradnl"/>
        </w:rPr>
        <w:t>o anterior no implica</w:t>
      </w:r>
      <w:r w:rsidR="00452884" w:rsidRPr="00D80603">
        <w:rPr>
          <w:rFonts w:ascii="Verdana" w:eastAsia="Verdana" w:hAnsi="Verdana" w:cstheme="minorHAnsi"/>
          <w:sz w:val="20"/>
          <w:szCs w:val="20"/>
          <w:lang w:val="es-ES_tradnl"/>
        </w:rPr>
        <w:t>,</w:t>
      </w:r>
      <w:r w:rsidRPr="00D80603">
        <w:rPr>
          <w:rFonts w:ascii="Verdana" w:eastAsia="Verdana" w:hAnsi="Verdana" w:cstheme="minorHAnsi"/>
          <w:sz w:val="20"/>
          <w:szCs w:val="20"/>
          <w:lang w:val="es-ES_tradnl"/>
        </w:rPr>
        <w:t xml:space="preserve"> </w:t>
      </w:r>
      <w:r w:rsidR="00CA19C3" w:rsidRPr="00D80603">
        <w:rPr>
          <w:rFonts w:ascii="Verdana" w:eastAsia="Verdana" w:hAnsi="Verdana" w:cstheme="minorHAnsi"/>
          <w:sz w:val="20"/>
          <w:szCs w:val="20"/>
          <w:lang w:val="es-ES_tradnl"/>
        </w:rPr>
        <w:t>en modo alguno</w:t>
      </w:r>
      <w:r w:rsidR="00452884" w:rsidRPr="00D80603">
        <w:rPr>
          <w:rFonts w:ascii="Verdana" w:eastAsia="Verdana" w:hAnsi="Verdana" w:cstheme="minorHAnsi"/>
          <w:sz w:val="20"/>
          <w:szCs w:val="20"/>
          <w:lang w:val="es-ES_tradnl"/>
        </w:rPr>
        <w:t>,</w:t>
      </w:r>
      <w:r w:rsidR="00CA19C3" w:rsidRPr="00D80603">
        <w:rPr>
          <w:rFonts w:ascii="Verdana" w:eastAsia="Verdana" w:hAnsi="Verdana" w:cstheme="minorHAnsi"/>
          <w:sz w:val="20"/>
          <w:szCs w:val="20"/>
          <w:lang w:val="es-ES_tradnl"/>
        </w:rPr>
        <w:t xml:space="preserve"> </w:t>
      </w:r>
      <w:r w:rsidRPr="00D80603">
        <w:rPr>
          <w:rFonts w:ascii="Verdana" w:eastAsia="Verdana" w:hAnsi="Verdana" w:cstheme="minorHAnsi"/>
          <w:sz w:val="20"/>
          <w:szCs w:val="20"/>
          <w:lang w:val="es-ES_tradnl"/>
        </w:rPr>
        <w:t xml:space="preserve">modificar </w:t>
      </w:r>
      <w:r w:rsidR="00D54A9C" w:rsidRPr="00D80603">
        <w:rPr>
          <w:rFonts w:ascii="Verdana" w:eastAsia="Verdana" w:hAnsi="Verdana" w:cstheme="minorHAnsi"/>
          <w:sz w:val="20"/>
          <w:szCs w:val="20"/>
          <w:lang w:val="es-ES_tradnl"/>
        </w:rPr>
        <w:t xml:space="preserve">su </w:t>
      </w:r>
      <w:r w:rsidRPr="00D80603">
        <w:rPr>
          <w:rFonts w:ascii="Verdana" w:eastAsia="Verdana" w:hAnsi="Verdana" w:cstheme="minorHAnsi"/>
          <w:sz w:val="20"/>
          <w:szCs w:val="20"/>
          <w:lang w:val="es-ES_tradnl"/>
        </w:rPr>
        <w:t>jurisprudencia histórica sobre la materia</w:t>
      </w:r>
      <w:r w:rsidR="00D54A9C" w:rsidRPr="00D80603">
        <w:rPr>
          <w:rFonts w:ascii="Verdana" w:eastAsia="Verdana" w:hAnsi="Verdana" w:cstheme="minorHAnsi"/>
          <w:sz w:val="20"/>
          <w:szCs w:val="20"/>
          <w:lang w:val="es-ES_tradnl"/>
        </w:rPr>
        <w:t xml:space="preserve"> (restitución de las tierras ancestrales</w:t>
      </w:r>
      <w:r w:rsidR="00C24F57" w:rsidRPr="00D80603">
        <w:rPr>
          <w:rFonts w:ascii="Verdana" w:eastAsia="Verdana" w:hAnsi="Verdana" w:cstheme="minorHAnsi"/>
          <w:sz w:val="20"/>
          <w:szCs w:val="20"/>
          <w:lang w:val="es-ES_tradnl"/>
        </w:rPr>
        <w:t xml:space="preserve"> como principal medida de restitución</w:t>
      </w:r>
      <w:r w:rsidR="00D54A9C" w:rsidRPr="00D80603">
        <w:rPr>
          <w:rFonts w:ascii="Verdana" w:eastAsia="Verdana" w:hAnsi="Verdana" w:cstheme="minorHAnsi"/>
          <w:sz w:val="20"/>
          <w:szCs w:val="20"/>
          <w:lang w:val="es-ES_tradnl"/>
        </w:rPr>
        <w:t>),</w:t>
      </w:r>
      <w:r w:rsidRPr="00D80603">
        <w:rPr>
          <w:rFonts w:ascii="Verdana" w:eastAsia="Verdana" w:hAnsi="Verdana" w:cstheme="minorHAnsi"/>
          <w:sz w:val="20"/>
          <w:szCs w:val="20"/>
          <w:lang w:val="es-ES_tradnl"/>
        </w:rPr>
        <w:t xml:space="preserve"> siendo una situación excepcional</w:t>
      </w:r>
      <w:r w:rsidR="00D54A9C" w:rsidRPr="00D80603">
        <w:rPr>
          <w:rFonts w:ascii="Verdana" w:eastAsia="Verdana" w:hAnsi="Verdana" w:cstheme="minorHAnsi"/>
          <w:sz w:val="20"/>
          <w:szCs w:val="20"/>
          <w:lang w:val="es-ES_tradnl"/>
        </w:rPr>
        <w:t xml:space="preserve"> por las características singulares del caso, que fueron además corroboradas por la diligencia </w:t>
      </w:r>
      <w:r w:rsidR="00452884" w:rsidRPr="00D80603">
        <w:rPr>
          <w:rFonts w:ascii="Verdana" w:eastAsia="Verdana" w:hAnsi="Verdana" w:cstheme="minorHAnsi"/>
          <w:i/>
          <w:iCs/>
          <w:sz w:val="20"/>
          <w:szCs w:val="20"/>
          <w:lang w:val="es-ES_tradnl"/>
        </w:rPr>
        <w:t>in situ</w:t>
      </w:r>
      <w:r w:rsidR="00452884" w:rsidRPr="00D80603">
        <w:rPr>
          <w:rFonts w:ascii="Verdana" w:eastAsia="Verdana" w:hAnsi="Verdana" w:cstheme="minorHAnsi"/>
          <w:sz w:val="20"/>
          <w:szCs w:val="20"/>
          <w:lang w:val="es-ES_tradnl"/>
        </w:rPr>
        <w:t xml:space="preserve"> </w:t>
      </w:r>
      <w:r w:rsidR="00D54A9C" w:rsidRPr="00D80603">
        <w:rPr>
          <w:rFonts w:ascii="Verdana" w:eastAsia="Verdana" w:hAnsi="Verdana" w:cstheme="minorHAnsi"/>
          <w:sz w:val="20"/>
          <w:szCs w:val="20"/>
          <w:lang w:val="es-ES_tradnl"/>
        </w:rPr>
        <w:t>realizada por una delegación del Tribunal.</w:t>
      </w:r>
    </w:p>
    <w:p w14:paraId="21047B2B" w14:textId="77777777" w:rsidR="00E75E0F" w:rsidRPr="00D80603" w:rsidRDefault="00E75E0F" w:rsidP="00E75E0F">
      <w:pPr>
        <w:ind w:right="48"/>
        <w:contextualSpacing/>
        <w:jc w:val="both"/>
        <w:rPr>
          <w:rFonts w:ascii="Verdana" w:hAnsi="Verdana" w:cstheme="minorHAnsi"/>
          <w:i/>
          <w:iCs/>
          <w:sz w:val="20"/>
          <w:szCs w:val="20"/>
          <w:lang w:val="es-ES_tradnl"/>
        </w:rPr>
      </w:pPr>
    </w:p>
    <w:p w14:paraId="44F86FCC" w14:textId="0180A162" w:rsidR="00570B79" w:rsidRPr="00D80603" w:rsidRDefault="00E75E0F" w:rsidP="002278D1">
      <w:pPr>
        <w:numPr>
          <w:ilvl w:val="0"/>
          <w:numId w:val="2"/>
        </w:numPr>
        <w:ind w:left="0" w:right="48" w:firstLine="0"/>
        <w:contextualSpacing/>
        <w:jc w:val="both"/>
        <w:rPr>
          <w:rFonts w:ascii="Verdana" w:hAnsi="Verdana" w:cstheme="minorHAnsi"/>
          <w:i/>
          <w:iCs/>
          <w:sz w:val="20"/>
          <w:szCs w:val="20"/>
          <w:lang w:val="es-ES_tradnl"/>
        </w:rPr>
      </w:pPr>
      <w:r w:rsidRPr="00D80603">
        <w:rPr>
          <w:rFonts w:ascii="Verdana" w:hAnsi="Verdana" w:cstheme="minorHAnsi"/>
          <w:sz w:val="20"/>
          <w:szCs w:val="20"/>
          <w:lang w:val="es-ES_tradnl"/>
        </w:rPr>
        <w:t xml:space="preserve">En suma, el presente voto razonado </w:t>
      </w:r>
      <w:r w:rsidR="00CA19C3" w:rsidRPr="00D80603">
        <w:rPr>
          <w:rFonts w:ascii="Verdana" w:hAnsi="Verdana" w:cstheme="minorHAnsi"/>
          <w:sz w:val="20"/>
          <w:szCs w:val="20"/>
          <w:lang w:val="es-ES_tradnl"/>
        </w:rPr>
        <w:t xml:space="preserve">se divide </w:t>
      </w:r>
      <w:r w:rsidR="002278D1" w:rsidRPr="00D80603">
        <w:rPr>
          <w:rFonts w:ascii="Verdana" w:hAnsi="Verdana" w:cstheme="minorHAnsi"/>
          <w:sz w:val="20"/>
          <w:szCs w:val="20"/>
          <w:lang w:val="es-ES_tradnl"/>
        </w:rPr>
        <w:t xml:space="preserve">en </w:t>
      </w:r>
      <w:r w:rsidR="001A4967" w:rsidRPr="00D80603">
        <w:rPr>
          <w:rFonts w:ascii="Verdana" w:hAnsi="Verdana" w:cstheme="minorHAnsi"/>
          <w:sz w:val="20"/>
          <w:szCs w:val="20"/>
          <w:lang w:val="es-ES_tradnl"/>
        </w:rPr>
        <w:t>tres</w:t>
      </w:r>
      <w:r w:rsidR="002278D1" w:rsidRPr="00D80603">
        <w:rPr>
          <w:rFonts w:ascii="Verdana" w:hAnsi="Verdana" w:cstheme="minorHAnsi"/>
          <w:sz w:val="20"/>
          <w:szCs w:val="20"/>
          <w:lang w:val="es-ES_tradnl"/>
        </w:rPr>
        <w:t xml:space="preserve"> apartados. </w:t>
      </w:r>
      <w:r w:rsidR="00CA19C3" w:rsidRPr="00D80603">
        <w:rPr>
          <w:rFonts w:ascii="Verdana" w:hAnsi="Verdana" w:cstheme="minorHAnsi"/>
          <w:sz w:val="20"/>
          <w:szCs w:val="20"/>
          <w:lang w:val="es-ES_tradnl"/>
        </w:rPr>
        <w:t xml:space="preserve">En </w:t>
      </w:r>
      <w:r w:rsidR="00EE0679" w:rsidRPr="00D80603">
        <w:rPr>
          <w:rFonts w:ascii="Verdana" w:hAnsi="Verdana" w:cstheme="minorHAnsi"/>
          <w:sz w:val="20"/>
          <w:szCs w:val="20"/>
          <w:lang w:val="es-ES_tradnl"/>
        </w:rPr>
        <w:t>el primero</w:t>
      </w:r>
      <w:r w:rsidR="00CA19C3" w:rsidRPr="00D80603">
        <w:rPr>
          <w:rFonts w:ascii="Verdana" w:hAnsi="Verdana" w:cstheme="minorHAnsi"/>
          <w:sz w:val="20"/>
          <w:szCs w:val="20"/>
          <w:lang w:val="es-ES_tradnl"/>
        </w:rPr>
        <w:t xml:space="preserve">, se abordará </w:t>
      </w:r>
      <w:r w:rsidR="00570B79" w:rsidRPr="00D80603">
        <w:rPr>
          <w:rFonts w:ascii="Verdana" w:hAnsi="Verdana" w:cstheme="minorHAnsi"/>
          <w:sz w:val="20"/>
          <w:szCs w:val="20"/>
          <w:lang w:val="es-ES_tradnl"/>
        </w:rPr>
        <w:t>la autonom</w:t>
      </w:r>
      <w:r w:rsidR="000B6C55" w:rsidRPr="00D80603">
        <w:rPr>
          <w:rFonts w:ascii="Verdana" w:hAnsi="Verdana" w:cstheme="minorHAnsi"/>
          <w:sz w:val="20"/>
          <w:szCs w:val="20"/>
          <w:lang w:val="es-ES_tradnl"/>
        </w:rPr>
        <w:t>í</w:t>
      </w:r>
      <w:r w:rsidR="00570B79" w:rsidRPr="00D80603">
        <w:rPr>
          <w:rFonts w:ascii="Verdana" w:hAnsi="Verdana" w:cstheme="minorHAnsi"/>
          <w:sz w:val="20"/>
          <w:szCs w:val="20"/>
          <w:lang w:val="es-ES_tradnl"/>
        </w:rPr>
        <w:t>a del derecho a la consulta desde la Convención Americana</w:t>
      </w:r>
      <w:r w:rsidR="002278D1" w:rsidRPr="00D80603">
        <w:rPr>
          <w:rFonts w:ascii="Verdana" w:hAnsi="Verdana" w:cstheme="minorHAnsi"/>
          <w:sz w:val="20"/>
          <w:szCs w:val="20"/>
          <w:lang w:val="es-ES_tradnl"/>
        </w:rPr>
        <w:t xml:space="preserve"> (</w:t>
      </w:r>
      <w:r w:rsidR="002278D1" w:rsidRPr="00D80603">
        <w:rPr>
          <w:rFonts w:ascii="Verdana" w:hAnsi="Verdana" w:cstheme="minorHAnsi"/>
          <w:i/>
          <w:iCs/>
          <w:sz w:val="20"/>
          <w:szCs w:val="20"/>
          <w:lang w:val="es-ES_tradnl"/>
        </w:rPr>
        <w:t>párrs. 1</w:t>
      </w:r>
      <w:r w:rsidR="00D54A9C" w:rsidRPr="00D80603">
        <w:rPr>
          <w:rFonts w:ascii="Verdana" w:hAnsi="Verdana" w:cstheme="minorHAnsi"/>
          <w:i/>
          <w:iCs/>
          <w:sz w:val="20"/>
          <w:szCs w:val="20"/>
          <w:lang w:val="es-ES_tradnl"/>
        </w:rPr>
        <w:t>2</w:t>
      </w:r>
      <w:r w:rsidR="002278D1" w:rsidRPr="00D80603">
        <w:rPr>
          <w:rFonts w:ascii="Verdana" w:hAnsi="Verdana" w:cstheme="minorHAnsi"/>
          <w:i/>
          <w:iCs/>
          <w:sz w:val="20"/>
          <w:szCs w:val="20"/>
          <w:lang w:val="es-ES_tradnl"/>
        </w:rPr>
        <w:t>-</w:t>
      </w:r>
      <w:r w:rsidR="00D54A9C" w:rsidRPr="00D80603">
        <w:rPr>
          <w:rFonts w:ascii="Verdana" w:hAnsi="Verdana" w:cstheme="minorHAnsi"/>
          <w:i/>
          <w:iCs/>
          <w:sz w:val="20"/>
          <w:szCs w:val="20"/>
          <w:lang w:val="es-ES_tradnl"/>
        </w:rPr>
        <w:t>50</w:t>
      </w:r>
      <w:r w:rsidR="002278D1" w:rsidRPr="00D80603">
        <w:rPr>
          <w:rFonts w:ascii="Verdana" w:hAnsi="Verdana" w:cstheme="minorHAnsi"/>
          <w:sz w:val="20"/>
          <w:szCs w:val="20"/>
          <w:lang w:val="es-ES_tradnl"/>
        </w:rPr>
        <w:t xml:space="preserve">). </w:t>
      </w:r>
      <w:r w:rsidR="001A4967" w:rsidRPr="00D80603">
        <w:rPr>
          <w:rFonts w:ascii="Verdana" w:hAnsi="Verdana" w:cstheme="minorHAnsi"/>
          <w:sz w:val="20"/>
          <w:szCs w:val="20"/>
          <w:lang w:val="es-ES_tradnl"/>
        </w:rPr>
        <w:t>En el segundo</w:t>
      </w:r>
      <w:r w:rsidR="002278D1" w:rsidRPr="00D80603">
        <w:rPr>
          <w:rFonts w:ascii="Verdana" w:hAnsi="Verdana" w:cstheme="minorHAnsi"/>
          <w:sz w:val="20"/>
          <w:szCs w:val="20"/>
          <w:lang w:val="es-ES_tradnl"/>
        </w:rPr>
        <w:t xml:space="preserve">, </w:t>
      </w:r>
      <w:r w:rsidR="00CA19C3" w:rsidRPr="00D80603">
        <w:rPr>
          <w:rFonts w:ascii="Verdana" w:hAnsi="Verdana" w:cstheme="minorHAnsi"/>
          <w:sz w:val="20"/>
          <w:szCs w:val="20"/>
          <w:lang w:val="es-ES_tradnl"/>
        </w:rPr>
        <w:t xml:space="preserve">se </w:t>
      </w:r>
      <w:r w:rsidR="001A4967" w:rsidRPr="00D80603">
        <w:rPr>
          <w:rFonts w:ascii="Verdana" w:hAnsi="Verdana" w:cstheme="minorHAnsi"/>
          <w:sz w:val="20"/>
          <w:szCs w:val="20"/>
          <w:lang w:val="es-ES_tradnl"/>
        </w:rPr>
        <w:t>precisarán</w:t>
      </w:r>
      <w:r w:rsidR="00CA19C3" w:rsidRPr="00D80603">
        <w:rPr>
          <w:rFonts w:ascii="Verdana" w:hAnsi="Verdana" w:cstheme="minorHAnsi"/>
          <w:sz w:val="20"/>
          <w:szCs w:val="20"/>
          <w:lang w:val="es-ES_tradnl"/>
        </w:rPr>
        <w:t xml:space="preserve"> </w:t>
      </w:r>
      <w:r w:rsidR="00570B79" w:rsidRPr="00D80603">
        <w:rPr>
          <w:rFonts w:ascii="Verdana" w:hAnsi="Verdana" w:cstheme="minorHAnsi"/>
          <w:sz w:val="20"/>
          <w:szCs w:val="20"/>
          <w:lang w:val="es-ES_tradnl"/>
        </w:rPr>
        <w:t>las caracter</w:t>
      </w:r>
      <w:r w:rsidR="000B6C55" w:rsidRPr="00D80603">
        <w:rPr>
          <w:rFonts w:ascii="Verdana" w:hAnsi="Verdana" w:cstheme="minorHAnsi"/>
          <w:sz w:val="20"/>
          <w:szCs w:val="20"/>
          <w:lang w:val="es-ES_tradnl"/>
        </w:rPr>
        <w:t>í</w:t>
      </w:r>
      <w:r w:rsidR="00570B79" w:rsidRPr="00D80603">
        <w:rPr>
          <w:rFonts w:ascii="Verdana" w:hAnsi="Verdana" w:cstheme="minorHAnsi"/>
          <w:sz w:val="20"/>
          <w:szCs w:val="20"/>
          <w:lang w:val="es-ES_tradnl"/>
        </w:rPr>
        <w:t>sticas particulares de este cas</w:t>
      </w:r>
      <w:r w:rsidR="00CB1303" w:rsidRPr="00D80603">
        <w:rPr>
          <w:rFonts w:ascii="Verdana" w:hAnsi="Verdana" w:cstheme="minorHAnsi"/>
          <w:sz w:val="20"/>
          <w:szCs w:val="20"/>
          <w:lang w:val="es-ES_tradnl"/>
        </w:rPr>
        <w:t>o</w:t>
      </w:r>
      <w:r w:rsidR="002278D1" w:rsidRPr="00D80603">
        <w:rPr>
          <w:rFonts w:ascii="Verdana" w:hAnsi="Verdana" w:cstheme="minorHAnsi"/>
          <w:sz w:val="20"/>
          <w:szCs w:val="20"/>
          <w:lang w:val="es-ES_tradnl"/>
        </w:rPr>
        <w:t>,</w:t>
      </w:r>
      <w:r w:rsidR="00CB1303" w:rsidRPr="00D80603">
        <w:rPr>
          <w:rFonts w:ascii="Verdana" w:hAnsi="Verdana" w:cstheme="minorHAnsi"/>
          <w:sz w:val="20"/>
          <w:szCs w:val="20"/>
          <w:lang w:val="es-ES_tradnl"/>
        </w:rPr>
        <w:t xml:space="preserve"> que ameri</w:t>
      </w:r>
      <w:r w:rsidR="002278D1" w:rsidRPr="00D80603">
        <w:rPr>
          <w:rFonts w:ascii="Verdana" w:hAnsi="Verdana" w:cstheme="minorHAnsi"/>
          <w:sz w:val="20"/>
          <w:szCs w:val="20"/>
          <w:lang w:val="es-ES_tradnl"/>
        </w:rPr>
        <w:t>taron</w:t>
      </w:r>
      <w:r w:rsidR="00CB1303" w:rsidRPr="00D80603">
        <w:rPr>
          <w:rFonts w:ascii="Verdana" w:hAnsi="Verdana" w:cstheme="minorHAnsi"/>
          <w:sz w:val="20"/>
          <w:szCs w:val="20"/>
          <w:lang w:val="es-ES_tradnl"/>
        </w:rPr>
        <w:t xml:space="preserve"> </w:t>
      </w:r>
      <w:r w:rsidR="00CA19C3" w:rsidRPr="00D80603">
        <w:rPr>
          <w:rFonts w:ascii="Verdana" w:hAnsi="Verdana" w:cstheme="minorHAnsi"/>
          <w:sz w:val="20"/>
          <w:szCs w:val="20"/>
          <w:lang w:val="es-ES_tradnl"/>
        </w:rPr>
        <w:t xml:space="preserve">de manera excepcional </w:t>
      </w:r>
      <w:r w:rsidR="00CB1303" w:rsidRPr="00D80603">
        <w:rPr>
          <w:rFonts w:ascii="Verdana" w:hAnsi="Verdana" w:cstheme="minorHAnsi"/>
          <w:sz w:val="20"/>
          <w:szCs w:val="20"/>
          <w:lang w:val="es-ES_tradnl"/>
        </w:rPr>
        <w:t xml:space="preserve">que se ordenara directamente </w:t>
      </w:r>
      <w:r w:rsidR="001A4967" w:rsidRPr="00D80603">
        <w:rPr>
          <w:rFonts w:ascii="Verdana" w:hAnsi="Verdana" w:cstheme="minorHAnsi"/>
          <w:sz w:val="20"/>
          <w:szCs w:val="20"/>
          <w:lang w:val="es-ES_tradnl"/>
        </w:rPr>
        <w:t>el otorgamiento a la Comunidad de tierras alternativas o la indemnización</w:t>
      </w:r>
      <w:r w:rsidR="002278D1" w:rsidRPr="00D80603">
        <w:rPr>
          <w:rFonts w:ascii="Verdana" w:hAnsi="Verdana" w:cstheme="minorHAnsi"/>
          <w:sz w:val="20"/>
          <w:szCs w:val="20"/>
          <w:lang w:val="es-ES_tradnl"/>
        </w:rPr>
        <w:t xml:space="preserve">, sin que </w:t>
      </w:r>
      <w:r w:rsidR="001A4967" w:rsidRPr="00D80603">
        <w:rPr>
          <w:rFonts w:ascii="Verdana" w:hAnsi="Verdana" w:cstheme="minorHAnsi"/>
          <w:sz w:val="20"/>
          <w:szCs w:val="20"/>
          <w:lang w:val="es-ES_tradnl"/>
        </w:rPr>
        <w:t xml:space="preserve">represente un cambio jurisprudencial </w:t>
      </w:r>
      <w:r w:rsidR="002278D1" w:rsidRPr="00D80603">
        <w:rPr>
          <w:rFonts w:ascii="Verdana" w:hAnsi="Verdana" w:cstheme="minorHAnsi"/>
          <w:sz w:val="20"/>
          <w:szCs w:val="20"/>
          <w:lang w:val="es-ES_tradnl"/>
        </w:rPr>
        <w:t>sobre la materia (</w:t>
      </w:r>
      <w:r w:rsidR="002278D1" w:rsidRPr="00D80603">
        <w:rPr>
          <w:rFonts w:ascii="Verdana" w:hAnsi="Verdana" w:cstheme="minorHAnsi"/>
          <w:i/>
          <w:iCs/>
          <w:sz w:val="20"/>
          <w:szCs w:val="20"/>
          <w:lang w:val="es-ES_tradnl"/>
        </w:rPr>
        <w:t xml:space="preserve">párrs. </w:t>
      </w:r>
      <w:r w:rsidR="00C87B7D" w:rsidRPr="00D80603">
        <w:rPr>
          <w:rFonts w:ascii="Verdana" w:hAnsi="Verdana" w:cstheme="minorHAnsi"/>
          <w:i/>
          <w:iCs/>
          <w:sz w:val="20"/>
          <w:szCs w:val="20"/>
          <w:lang w:val="es-ES_tradnl"/>
        </w:rPr>
        <w:t>5</w:t>
      </w:r>
      <w:r w:rsidR="00D54A9C" w:rsidRPr="00D80603">
        <w:rPr>
          <w:rFonts w:ascii="Verdana" w:hAnsi="Verdana" w:cstheme="minorHAnsi"/>
          <w:i/>
          <w:iCs/>
          <w:sz w:val="20"/>
          <w:szCs w:val="20"/>
          <w:lang w:val="es-ES_tradnl"/>
        </w:rPr>
        <w:t>1</w:t>
      </w:r>
      <w:r w:rsidR="002278D1" w:rsidRPr="00D80603">
        <w:rPr>
          <w:rFonts w:ascii="Verdana" w:hAnsi="Verdana" w:cstheme="minorHAnsi"/>
          <w:i/>
          <w:iCs/>
          <w:sz w:val="20"/>
          <w:szCs w:val="20"/>
          <w:lang w:val="es-ES_tradnl"/>
        </w:rPr>
        <w:t>-5</w:t>
      </w:r>
      <w:r w:rsidR="00D54A9C" w:rsidRPr="00D80603">
        <w:rPr>
          <w:rFonts w:ascii="Verdana" w:hAnsi="Verdana" w:cstheme="minorHAnsi"/>
          <w:i/>
          <w:iCs/>
          <w:sz w:val="20"/>
          <w:szCs w:val="20"/>
          <w:lang w:val="es-ES_tradnl"/>
        </w:rPr>
        <w:t>7</w:t>
      </w:r>
      <w:r w:rsidR="002278D1" w:rsidRPr="00D80603">
        <w:rPr>
          <w:rFonts w:ascii="Verdana" w:hAnsi="Verdana" w:cstheme="minorHAnsi"/>
          <w:sz w:val="20"/>
          <w:szCs w:val="20"/>
          <w:lang w:val="es-ES_tradnl"/>
        </w:rPr>
        <w:t xml:space="preserve">). </w:t>
      </w:r>
      <w:r w:rsidR="001A4967" w:rsidRPr="00D80603">
        <w:rPr>
          <w:rFonts w:ascii="Verdana" w:hAnsi="Verdana" w:cstheme="minorHAnsi"/>
          <w:sz w:val="20"/>
          <w:szCs w:val="20"/>
          <w:lang w:val="es-ES_tradnl"/>
        </w:rPr>
        <w:t xml:space="preserve">Al </w:t>
      </w:r>
      <w:r w:rsidR="002278D1" w:rsidRPr="00D80603">
        <w:rPr>
          <w:rFonts w:ascii="Verdana" w:hAnsi="Verdana" w:cstheme="minorHAnsi"/>
          <w:sz w:val="20"/>
          <w:szCs w:val="20"/>
          <w:lang w:val="es-ES_tradnl"/>
        </w:rPr>
        <w:t xml:space="preserve">final </w:t>
      </w:r>
      <w:r w:rsidR="001A4967" w:rsidRPr="00D80603">
        <w:rPr>
          <w:rFonts w:ascii="Verdana" w:hAnsi="Verdana" w:cstheme="minorHAnsi"/>
          <w:sz w:val="20"/>
          <w:szCs w:val="20"/>
          <w:lang w:val="es-ES_tradnl"/>
        </w:rPr>
        <w:t xml:space="preserve">se realizarán </w:t>
      </w:r>
      <w:r w:rsidR="002278D1" w:rsidRPr="00D80603">
        <w:rPr>
          <w:rFonts w:ascii="Verdana" w:hAnsi="Verdana" w:cstheme="minorHAnsi"/>
          <w:sz w:val="20"/>
          <w:szCs w:val="20"/>
          <w:lang w:val="es-ES_tradnl"/>
        </w:rPr>
        <w:t>unas conclusiones generales (</w:t>
      </w:r>
      <w:proofErr w:type="spellStart"/>
      <w:r w:rsidR="002278D1" w:rsidRPr="00D80603">
        <w:rPr>
          <w:rFonts w:ascii="Verdana" w:hAnsi="Verdana" w:cstheme="minorHAnsi"/>
          <w:i/>
          <w:iCs/>
          <w:sz w:val="20"/>
          <w:szCs w:val="20"/>
          <w:lang w:val="es-ES_tradnl"/>
        </w:rPr>
        <w:t>párrs</w:t>
      </w:r>
      <w:proofErr w:type="spellEnd"/>
      <w:r w:rsidR="002278D1" w:rsidRPr="00D80603">
        <w:rPr>
          <w:rFonts w:ascii="Verdana" w:hAnsi="Verdana" w:cstheme="minorHAnsi"/>
          <w:i/>
          <w:iCs/>
          <w:sz w:val="20"/>
          <w:szCs w:val="20"/>
          <w:lang w:val="es-ES_tradnl"/>
        </w:rPr>
        <w:t>. 5</w:t>
      </w:r>
      <w:r w:rsidR="00D54A9C" w:rsidRPr="00D80603">
        <w:rPr>
          <w:rFonts w:ascii="Verdana" w:hAnsi="Verdana" w:cstheme="minorHAnsi"/>
          <w:i/>
          <w:iCs/>
          <w:sz w:val="20"/>
          <w:szCs w:val="20"/>
          <w:lang w:val="es-ES_tradnl"/>
        </w:rPr>
        <w:t>8</w:t>
      </w:r>
      <w:r w:rsidR="002278D1" w:rsidRPr="00D80603">
        <w:rPr>
          <w:rFonts w:ascii="Verdana" w:hAnsi="Verdana" w:cstheme="minorHAnsi"/>
          <w:i/>
          <w:iCs/>
          <w:sz w:val="20"/>
          <w:szCs w:val="20"/>
          <w:lang w:val="es-ES_tradnl"/>
        </w:rPr>
        <w:t>-</w:t>
      </w:r>
      <w:r w:rsidR="00FE4EC6" w:rsidRPr="00D80603">
        <w:rPr>
          <w:rFonts w:ascii="Verdana" w:hAnsi="Verdana" w:cstheme="minorHAnsi"/>
          <w:i/>
          <w:iCs/>
          <w:sz w:val="20"/>
          <w:szCs w:val="20"/>
          <w:lang w:val="es-ES_tradnl"/>
        </w:rPr>
        <w:t>6</w:t>
      </w:r>
      <w:r w:rsidR="00D54A9C" w:rsidRPr="00D80603">
        <w:rPr>
          <w:rFonts w:ascii="Verdana" w:hAnsi="Verdana" w:cstheme="minorHAnsi"/>
          <w:i/>
          <w:iCs/>
          <w:sz w:val="20"/>
          <w:szCs w:val="20"/>
          <w:lang w:val="es-ES_tradnl"/>
        </w:rPr>
        <w:t>8</w:t>
      </w:r>
      <w:r w:rsidR="002278D1" w:rsidRPr="00D80603">
        <w:rPr>
          <w:rFonts w:ascii="Verdana" w:hAnsi="Verdana" w:cstheme="minorHAnsi"/>
          <w:sz w:val="20"/>
          <w:szCs w:val="20"/>
          <w:lang w:val="es-ES_tradnl"/>
        </w:rPr>
        <w:t>).</w:t>
      </w:r>
      <w:r w:rsidR="00CB1303" w:rsidRPr="00D80603">
        <w:rPr>
          <w:rFonts w:ascii="Verdana" w:hAnsi="Verdana" w:cstheme="minorHAnsi"/>
          <w:sz w:val="20"/>
          <w:szCs w:val="20"/>
          <w:lang w:val="es-ES_tradnl"/>
        </w:rPr>
        <w:t xml:space="preserve"> </w:t>
      </w:r>
    </w:p>
    <w:p w14:paraId="28DE490D" w14:textId="77777777" w:rsidR="001B3E58" w:rsidRPr="00D80603" w:rsidRDefault="001B3E58" w:rsidP="00C0723F">
      <w:pPr>
        <w:spacing w:line="276" w:lineRule="auto"/>
        <w:ind w:right="48"/>
        <w:contextualSpacing/>
        <w:rPr>
          <w:rFonts w:ascii="Verdana" w:hAnsi="Verdana" w:cstheme="minorHAnsi"/>
          <w:b/>
          <w:bCs/>
          <w:sz w:val="20"/>
          <w:szCs w:val="20"/>
          <w:lang w:val="es-ES_tradnl"/>
        </w:rPr>
      </w:pPr>
    </w:p>
    <w:p w14:paraId="63EDBFCA" w14:textId="1E2EA81C" w:rsidR="004D3CB7" w:rsidRPr="00D80603" w:rsidRDefault="00F84C77" w:rsidP="004D3CB7">
      <w:pPr>
        <w:spacing w:line="276" w:lineRule="auto"/>
        <w:ind w:right="48"/>
        <w:contextualSpacing/>
        <w:jc w:val="center"/>
        <w:rPr>
          <w:rFonts w:ascii="Verdana" w:hAnsi="Verdana" w:cstheme="minorHAnsi"/>
          <w:b/>
          <w:bCs/>
          <w:sz w:val="20"/>
          <w:szCs w:val="20"/>
          <w:lang w:val="es-ES_tradnl"/>
        </w:rPr>
      </w:pPr>
      <w:r w:rsidRPr="00D80603">
        <w:rPr>
          <w:rFonts w:ascii="Verdana" w:hAnsi="Verdana" w:cstheme="minorHAnsi"/>
          <w:b/>
          <w:bCs/>
          <w:sz w:val="20"/>
          <w:szCs w:val="20"/>
          <w:lang w:val="es-ES_tradnl"/>
        </w:rPr>
        <w:t>I</w:t>
      </w:r>
      <w:r w:rsidR="000B6C55" w:rsidRPr="00D80603">
        <w:rPr>
          <w:rFonts w:ascii="Verdana" w:hAnsi="Verdana" w:cstheme="minorHAnsi"/>
          <w:b/>
          <w:bCs/>
          <w:sz w:val="20"/>
          <w:szCs w:val="20"/>
          <w:lang w:val="es-ES_tradnl"/>
        </w:rPr>
        <w:t>I.</w:t>
      </w:r>
      <w:r w:rsidRPr="00D80603">
        <w:rPr>
          <w:rFonts w:ascii="Verdana" w:hAnsi="Verdana" w:cstheme="minorHAnsi"/>
          <w:b/>
          <w:bCs/>
          <w:sz w:val="20"/>
          <w:szCs w:val="20"/>
          <w:lang w:val="es-ES_tradnl"/>
        </w:rPr>
        <w:t xml:space="preserve"> </w:t>
      </w:r>
      <w:r w:rsidR="004D3CB7" w:rsidRPr="00D80603">
        <w:rPr>
          <w:rFonts w:ascii="Verdana" w:hAnsi="Verdana" w:cstheme="minorHAnsi"/>
          <w:b/>
          <w:bCs/>
          <w:sz w:val="20"/>
          <w:szCs w:val="20"/>
          <w:lang w:val="es-ES_tradnl"/>
        </w:rPr>
        <w:t xml:space="preserve">EL </w:t>
      </w:r>
      <w:r w:rsidR="004D3CB7" w:rsidRPr="00D80603">
        <w:rPr>
          <w:rFonts w:ascii="Verdana" w:hAnsi="Verdana" w:cstheme="minorHAnsi"/>
          <w:b/>
          <w:bCs/>
          <w:i/>
          <w:iCs/>
          <w:sz w:val="20"/>
          <w:szCs w:val="20"/>
          <w:lang w:val="es-ES_tradnl"/>
        </w:rPr>
        <w:t>DERECHO A LA CONSULTA</w:t>
      </w:r>
      <w:r w:rsidR="001A4967" w:rsidRPr="00D80603">
        <w:rPr>
          <w:rFonts w:ascii="Verdana" w:hAnsi="Verdana" w:cstheme="minorHAnsi"/>
          <w:b/>
          <w:bCs/>
          <w:sz w:val="20"/>
          <w:szCs w:val="20"/>
          <w:lang w:val="es-ES_tradnl"/>
        </w:rPr>
        <w:t xml:space="preserve"> DE LOS PUEBLOS ORIGINARIOS</w:t>
      </w:r>
      <w:r w:rsidR="004D3CB7" w:rsidRPr="00D80603">
        <w:rPr>
          <w:rFonts w:ascii="Verdana" w:hAnsi="Verdana" w:cstheme="minorHAnsi"/>
          <w:b/>
          <w:bCs/>
          <w:sz w:val="20"/>
          <w:szCs w:val="20"/>
          <w:lang w:val="es-ES_tradnl"/>
        </w:rPr>
        <w:t xml:space="preserve"> COMO DERECHO AUTÓNOMO DESDE LA CONVENCIÓN AMERICANA</w:t>
      </w:r>
    </w:p>
    <w:p w14:paraId="7818669D" w14:textId="77777777" w:rsidR="005604FB" w:rsidRPr="00D80603" w:rsidRDefault="005604FB" w:rsidP="004D3CB7">
      <w:pPr>
        <w:spacing w:line="276" w:lineRule="auto"/>
        <w:ind w:right="48"/>
        <w:contextualSpacing/>
        <w:jc w:val="center"/>
        <w:rPr>
          <w:rFonts w:ascii="Verdana" w:hAnsi="Verdana" w:cstheme="minorHAnsi"/>
          <w:b/>
          <w:bCs/>
          <w:sz w:val="20"/>
          <w:szCs w:val="20"/>
          <w:lang w:val="es-ES_tradnl"/>
        </w:rPr>
      </w:pPr>
    </w:p>
    <w:p w14:paraId="4CF1EA49" w14:textId="3B65A178" w:rsidR="005604FB" w:rsidRPr="00D80603" w:rsidRDefault="005604FB" w:rsidP="005604FB">
      <w:pPr>
        <w:spacing w:line="276" w:lineRule="auto"/>
        <w:ind w:right="48"/>
        <w:contextualSpacing/>
        <w:rPr>
          <w:rFonts w:ascii="Verdana" w:hAnsi="Verdana" w:cstheme="minorHAnsi"/>
          <w:i/>
          <w:iCs/>
          <w:sz w:val="20"/>
          <w:szCs w:val="20"/>
          <w:lang w:val="es-ES_tradnl"/>
        </w:rPr>
      </w:pPr>
      <w:r w:rsidRPr="00D80603">
        <w:rPr>
          <w:rFonts w:ascii="Verdana" w:hAnsi="Verdana" w:cstheme="minorHAnsi"/>
          <w:i/>
          <w:iCs/>
          <w:sz w:val="20"/>
          <w:szCs w:val="20"/>
          <w:lang w:val="es-ES_tradnl"/>
        </w:rPr>
        <w:t>i) El contenido del derecho a la consulta</w:t>
      </w:r>
    </w:p>
    <w:p w14:paraId="5B0BB7AB" w14:textId="77777777" w:rsidR="004239A2" w:rsidRPr="00D80603" w:rsidRDefault="004239A2" w:rsidP="004239A2">
      <w:pPr>
        <w:pStyle w:val="Prrafodelista"/>
        <w:rPr>
          <w:rFonts w:ascii="Verdana" w:hAnsi="Verdana" w:cstheme="minorHAnsi"/>
          <w:sz w:val="20"/>
          <w:szCs w:val="20"/>
          <w:lang w:val="es-ES_tradnl"/>
        </w:rPr>
      </w:pPr>
    </w:p>
    <w:p w14:paraId="550131A8" w14:textId="1B49EB56" w:rsidR="00010B7E" w:rsidRPr="00D80603" w:rsidRDefault="00FA1AD6" w:rsidP="00010B7E">
      <w:pPr>
        <w:numPr>
          <w:ilvl w:val="0"/>
          <w:numId w:val="2"/>
        </w:numPr>
        <w:ind w:left="0" w:right="48" w:firstLine="0"/>
        <w:contextualSpacing/>
        <w:jc w:val="both"/>
        <w:rPr>
          <w:rFonts w:ascii="Verdana" w:hAnsi="Verdana" w:cstheme="minorHAnsi"/>
          <w:i/>
          <w:iCs/>
          <w:sz w:val="20"/>
          <w:szCs w:val="20"/>
          <w:lang w:val="es-ES_tradnl"/>
        </w:rPr>
      </w:pPr>
      <w:r w:rsidRPr="00D80603">
        <w:rPr>
          <w:rFonts w:ascii="Verdana" w:hAnsi="Verdana" w:cstheme="minorHAnsi"/>
          <w:sz w:val="20"/>
          <w:szCs w:val="20"/>
          <w:lang w:val="es-ES_tradnl"/>
        </w:rPr>
        <w:t xml:space="preserve">El derecho a la consulta es un derecho </w:t>
      </w:r>
      <w:r w:rsidR="00C87B7D" w:rsidRPr="00D80603">
        <w:rPr>
          <w:rFonts w:ascii="Verdana" w:hAnsi="Verdana" w:cstheme="minorHAnsi"/>
          <w:sz w:val="20"/>
          <w:szCs w:val="20"/>
          <w:lang w:val="es-ES_tradnl"/>
        </w:rPr>
        <w:t xml:space="preserve">esencial </w:t>
      </w:r>
      <w:r w:rsidRPr="00D80603">
        <w:rPr>
          <w:rFonts w:ascii="Verdana" w:hAnsi="Verdana" w:cstheme="minorHAnsi"/>
          <w:sz w:val="20"/>
          <w:szCs w:val="20"/>
          <w:lang w:val="es-ES_tradnl"/>
        </w:rPr>
        <w:t xml:space="preserve">para los pueblos originarios alrededor del mundo, pues tiene como finalidad que </w:t>
      </w:r>
      <w:r w:rsidR="004346EA" w:rsidRPr="00D80603">
        <w:rPr>
          <w:rFonts w:ascii="Verdana" w:hAnsi="Verdana" w:cstheme="minorHAnsi"/>
          <w:sz w:val="20"/>
          <w:szCs w:val="20"/>
          <w:lang w:val="es-ES_tradnl"/>
        </w:rPr>
        <w:t xml:space="preserve">estos </w:t>
      </w:r>
      <w:r w:rsidR="00AD13BE" w:rsidRPr="00D80603">
        <w:rPr>
          <w:rFonts w:ascii="Verdana" w:hAnsi="Verdana" w:cstheme="minorHAnsi"/>
          <w:sz w:val="20"/>
          <w:szCs w:val="20"/>
          <w:lang w:val="es-ES_tradnl"/>
        </w:rPr>
        <w:t>pueblos</w:t>
      </w:r>
      <w:r w:rsidRPr="00D80603">
        <w:rPr>
          <w:rFonts w:ascii="Verdana" w:hAnsi="Verdana" w:cstheme="minorHAnsi"/>
          <w:sz w:val="20"/>
          <w:szCs w:val="20"/>
          <w:lang w:val="es-ES_tradnl"/>
        </w:rPr>
        <w:t xml:space="preserve"> puedan expresar su voluntad mediante el acuerdo o </w:t>
      </w:r>
      <w:r w:rsidR="00452884" w:rsidRPr="00D80603">
        <w:rPr>
          <w:rFonts w:ascii="Verdana" w:hAnsi="Verdana" w:cstheme="minorHAnsi"/>
          <w:sz w:val="20"/>
          <w:szCs w:val="20"/>
          <w:lang w:val="es-ES_tradnl"/>
        </w:rPr>
        <w:t>su</w:t>
      </w:r>
      <w:r w:rsidRPr="00D80603">
        <w:rPr>
          <w:rFonts w:ascii="Verdana" w:hAnsi="Verdana" w:cstheme="minorHAnsi"/>
          <w:sz w:val="20"/>
          <w:szCs w:val="20"/>
          <w:lang w:val="es-ES_tradnl"/>
        </w:rPr>
        <w:t xml:space="preserve"> consentimiento de toda actividad </w:t>
      </w:r>
      <w:r w:rsidR="00C24F57" w:rsidRPr="00D80603">
        <w:rPr>
          <w:rFonts w:ascii="Verdana" w:hAnsi="Verdana" w:cstheme="minorHAnsi"/>
          <w:sz w:val="20"/>
          <w:szCs w:val="20"/>
          <w:lang w:val="es-ES_tradnl"/>
        </w:rPr>
        <w:t xml:space="preserve">o acto </w:t>
      </w:r>
      <w:r w:rsidRPr="00D80603">
        <w:rPr>
          <w:rFonts w:ascii="Verdana" w:hAnsi="Verdana" w:cstheme="minorHAnsi"/>
          <w:sz w:val="20"/>
          <w:szCs w:val="20"/>
          <w:lang w:val="es-ES_tradnl"/>
        </w:rPr>
        <w:t xml:space="preserve">que potencialmente pueda afectar su vida cotidiana. </w:t>
      </w:r>
    </w:p>
    <w:p w14:paraId="4B4C8031" w14:textId="77777777" w:rsidR="00010B7E" w:rsidRPr="00D80603" w:rsidRDefault="00010B7E" w:rsidP="00010B7E">
      <w:pPr>
        <w:ind w:right="48"/>
        <w:contextualSpacing/>
        <w:jc w:val="both"/>
        <w:rPr>
          <w:rFonts w:ascii="Verdana" w:hAnsi="Verdana" w:cstheme="minorHAnsi"/>
          <w:i/>
          <w:iCs/>
          <w:sz w:val="20"/>
          <w:szCs w:val="20"/>
          <w:lang w:val="es-ES_tradnl"/>
        </w:rPr>
      </w:pPr>
    </w:p>
    <w:p w14:paraId="20704D7B" w14:textId="17B1433C" w:rsidR="00FA1AD6" w:rsidRPr="00D80603" w:rsidRDefault="00FA1AD6" w:rsidP="00010B7E">
      <w:pPr>
        <w:numPr>
          <w:ilvl w:val="0"/>
          <w:numId w:val="2"/>
        </w:numPr>
        <w:ind w:left="0" w:right="48" w:firstLine="0"/>
        <w:contextualSpacing/>
        <w:jc w:val="both"/>
        <w:rPr>
          <w:rFonts w:ascii="Verdana" w:hAnsi="Verdana" w:cstheme="minorHAnsi"/>
          <w:i/>
          <w:iCs/>
          <w:sz w:val="20"/>
          <w:szCs w:val="20"/>
          <w:lang w:val="es-ES_tradnl"/>
        </w:rPr>
      </w:pPr>
      <w:r w:rsidRPr="00D80603">
        <w:rPr>
          <w:rFonts w:ascii="Verdana" w:hAnsi="Verdana" w:cstheme="minorHAnsi"/>
          <w:sz w:val="20"/>
          <w:szCs w:val="20"/>
          <w:lang w:val="es-ES_tradnl"/>
        </w:rPr>
        <w:t>Al respecto, desde su jurisprudencia temprana</w:t>
      </w:r>
      <w:r w:rsidR="00010B7E" w:rsidRPr="00D80603">
        <w:rPr>
          <w:rFonts w:ascii="Verdana" w:hAnsi="Verdana" w:cstheme="minorHAnsi"/>
          <w:sz w:val="20"/>
          <w:szCs w:val="20"/>
          <w:lang w:val="es-ES_tradnl"/>
        </w:rPr>
        <w:t>,</w:t>
      </w:r>
      <w:r w:rsidRPr="00D80603">
        <w:rPr>
          <w:rFonts w:ascii="Verdana" w:hAnsi="Verdana" w:cstheme="minorHAnsi"/>
          <w:sz w:val="20"/>
          <w:szCs w:val="20"/>
          <w:lang w:val="es-ES_tradnl"/>
        </w:rPr>
        <w:t xml:space="preserve"> </w:t>
      </w:r>
      <w:r w:rsidR="00472545" w:rsidRPr="00D80603">
        <w:rPr>
          <w:rFonts w:ascii="Verdana" w:hAnsi="Verdana" w:cstheme="minorHAnsi"/>
          <w:sz w:val="20"/>
          <w:szCs w:val="20"/>
          <w:lang w:val="es-ES_tradnl"/>
        </w:rPr>
        <w:t xml:space="preserve">la Corte IDH </w:t>
      </w:r>
      <w:r w:rsidRPr="00D80603">
        <w:rPr>
          <w:rFonts w:ascii="Verdana" w:hAnsi="Verdana" w:cstheme="minorHAnsi"/>
          <w:sz w:val="20"/>
          <w:szCs w:val="20"/>
          <w:lang w:val="es-ES_tradnl"/>
        </w:rPr>
        <w:t>fue pionera en interpretar la existencia de este derecho de l</w:t>
      </w:r>
      <w:r w:rsidR="007C1BD5" w:rsidRPr="00D80603">
        <w:rPr>
          <w:rFonts w:ascii="Verdana" w:hAnsi="Verdana" w:cstheme="minorHAnsi"/>
          <w:sz w:val="20"/>
          <w:szCs w:val="20"/>
          <w:lang w:val="es-ES_tradnl"/>
        </w:rPr>
        <w:t>os pueblos o comunidades in</w:t>
      </w:r>
      <w:r w:rsidR="00393D78" w:rsidRPr="00D80603">
        <w:rPr>
          <w:rFonts w:ascii="Verdana" w:hAnsi="Verdana" w:cstheme="minorHAnsi"/>
          <w:sz w:val="20"/>
          <w:szCs w:val="20"/>
          <w:lang w:val="es-ES_tradnl"/>
        </w:rPr>
        <w:t>dígenas o tribunales</w:t>
      </w:r>
      <w:r w:rsidRPr="00D80603">
        <w:rPr>
          <w:rFonts w:ascii="Verdana" w:hAnsi="Verdana" w:cstheme="minorHAnsi"/>
          <w:sz w:val="20"/>
          <w:szCs w:val="20"/>
          <w:lang w:val="es-ES_tradnl"/>
        </w:rPr>
        <w:t xml:space="preserve"> y </w:t>
      </w:r>
      <w:r w:rsidR="00393D78" w:rsidRPr="00D80603">
        <w:rPr>
          <w:rFonts w:ascii="Verdana" w:hAnsi="Verdana" w:cstheme="minorHAnsi"/>
          <w:sz w:val="20"/>
          <w:szCs w:val="20"/>
          <w:lang w:val="es-ES_tradnl"/>
        </w:rPr>
        <w:t xml:space="preserve">precisar la </w:t>
      </w:r>
      <w:r w:rsidRPr="00D80603">
        <w:rPr>
          <w:rFonts w:ascii="Verdana" w:hAnsi="Verdana" w:cstheme="minorHAnsi"/>
          <w:sz w:val="20"/>
          <w:szCs w:val="20"/>
          <w:lang w:val="es-ES_tradnl"/>
        </w:rPr>
        <w:t xml:space="preserve">obligación a cargo del Estado. Este derecho </w:t>
      </w:r>
      <w:r w:rsidR="00112F4D" w:rsidRPr="00D80603">
        <w:rPr>
          <w:rFonts w:ascii="Verdana" w:hAnsi="Verdana" w:cstheme="minorHAnsi"/>
          <w:sz w:val="20"/>
          <w:szCs w:val="20"/>
          <w:lang w:val="es-ES_tradnl"/>
        </w:rPr>
        <w:t xml:space="preserve">de los pueblos originarios </w:t>
      </w:r>
      <w:r w:rsidRPr="00D80603">
        <w:rPr>
          <w:rFonts w:ascii="Verdana" w:hAnsi="Verdana" w:cstheme="minorHAnsi"/>
          <w:sz w:val="20"/>
          <w:szCs w:val="20"/>
          <w:lang w:val="es-ES_tradnl"/>
        </w:rPr>
        <w:t xml:space="preserve">consiste en un </w:t>
      </w:r>
      <w:r w:rsidRPr="00D80603">
        <w:rPr>
          <w:rFonts w:ascii="Verdana" w:hAnsi="Verdana" w:cstheme="minorHAnsi"/>
          <w:i/>
          <w:iCs/>
          <w:sz w:val="20"/>
          <w:szCs w:val="20"/>
          <w:lang w:val="es-ES_tradnl"/>
        </w:rPr>
        <w:t xml:space="preserve">proceso de </w:t>
      </w:r>
      <w:r w:rsidR="00C87B7D" w:rsidRPr="00D80603">
        <w:rPr>
          <w:rFonts w:ascii="Verdana" w:hAnsi="Verdana" w:cstheme="minorHAnsi"/>
          <w:i/>
          <w:iCs/>
          <w:sz w:val="20"/>
          <w:szCs w:val="20"/>
          <w:lang w:val="es-ES_tradnl"/>
        </w:rPr>
        <w:t xml:space="preserve">participación efectiva y </w:t>
      </w:r>
      <w:r w:rsidRPr="00D80603">
        <w:rPr>
          <w:rFonts w:ascii="Verdana" w:hAnsi="Verdana" w:cstheme="minorHAnsi"/>
          <w:i/>
          <w:iCs/>
          <w:sz w:val="20"/>
          <w:szCs w:val="20"/>
          <w:lang w:val="es-ES_tradnl"/>
        </w:rPr>
        <w:t>diálogo</w:t>
      </w:r>
      <w:r w:rsidRPr="00D80603">
        <w:rPr>
          <w:rFonts w:ascii="Verdana" w:hAnsi="Verdana" w:cstheme="minorHAnsi"/>
          <w:sz w:val="20"/>
          <w:szCs w:val="20"/>
          <w:lang w:val="es-ES_tradnl"/>
        </w:rPr>
        <w:t xml:space="preserve"> que se debe llevar a cabo antes de tomar decisiones o implementar proyectos que puedan afectar los derechos y los intereses de estas comunidades, en particular en temas relacionados con su territorio, recursos naturales, cultura y formas de vida.  </w:t>
      </w:r>
    </w:p>
    <w:p w14:paraId="758BF7AC" w14:textId="77777777" w:rsidR="00FA1AD6" w:rsidRPr="00D80603" w:rsidRDefault="00FA1AD6" w:rsidP="00FA1AD6">
      <w:pPr>
        <w:ind w:right="48"/>
        <w:contextualSpacing/>
        <w:jc w:val="both"/>
        <w:rPr>
          <w:rFonts w:ascii="Verdana" w:hAnsi="Verdana" w:cstheme="minorHAnsi"/>
          <w:i/>
          <w:iCs/>
          <w:sz w:val="20"/>
          <w:szCs w:val="20"/>
          <w:lang w:val="es-ES_tradnl"/>
        </w:rPr>
      </w:pPr>
    </w:p>
    <w:p w14:paraId="4FE15372" w14:textId="726BC688" w:rsidR="00FA1AD6" w:rsidRPr="00D80603" w:rsidRDefault="00FA1AD6" w:rsidP="00FA1AD6">
      <w:pPr>
        <w:numPr>
          <w:ilvl w:val="0"/>
          <w:numId w:val="2"/>
        </w:numPr>
        <w:ind w:left="0" w:right="48" w:firstLine="0"/>
        <w:contextualSpacing/>
        <w:jc w:val="both"/>
        <w:rPr>
          <w:rFonts w:ascii="Verdana" w:hAnsi="Verdana" w:cstheme="minorHAnsi"/>
          <w:i/>
          <w:iCs/>
          <w:sz w:val="20"/>
          <w:szCs w:val="20"/>
          <w:lang w:val="es-ES_tradnl"/>
        </w:rPr>
      </w:pPr>
      <w:r w:rsidRPr="00D80603">
        <w:rPr>
          <w:rFonts w:ascii="Verdana" w:hAnsi="Verdana" w:cstheme="minorHAnsi"/>
          <w:sz w:val="20"/>
          <w:szCs w:val="20"/>
          <w:lang w:val="es-ES_tradnl"/>
        </w:rPr>
        <w:t>En particular, el Tribunal</w:t>
      </w:r>
      <w:r w:rsidR="00010B7E" w:rsidRPr="00D80603">
        <w:rPr>
          <w:rFonts w:ascii="Verdana" w:hAnsi="Verdana" w:cstheme="minorHAnsi"/>
          <w:sz w:val="20"/>
          <w:szCs w:val="20"/>
          <w:lang w:val="es-ES_tradnl"/>
        </w:rPr>
        <w:t xml:space="preserve"> Interamericano</w:t>
      </w:r>
      <w:r w:rsidRPr="00D80603">
        <w:rPr>
          <w:rFonts w:ascii="Verdana" w:hAnsi="Verdana" w:cstheme="minorHAnsi"/>
          <w:sz w:val="20"/>
          <w:szCs w:val="20"/>
          <w:lang w:val="es-ES_tradnl"/>
        </w:rPr>
        <w:t xml:space="preserve"> estableció que, para que la exploración o extracción de recursos naturales en los territorios tradicionales no impliquen una denegación de la subsistencia del pueblo indígena como tal, el Estado debe cumplir con las siguientes salvaguardias: i) efectuar un proceso adecuado y participativo que garantice su derecho a la consulta, en particular, entre otros supuestos, en casos </w:t>
      </w:r>
      <w:r w:rsidRPr="00D80603">
        <w:rPr>
          <w:rFonts w:ascii="Verdana" w:hAnsi="Verdana" w:cstheme="minorHAnsi"/>
          <w:iCs/>
          <w:sz w:val="20"/>
          <w:szCs w:val="20"/>
          <w:lang w:val="es-ES_tradnl"/>
        </w:rPr>
        <w:t>de planes de desarrollo o de inversión a gran escala</w:t>
      </w:r>
      <w:r w:rsidRPr="00D80603">
        <w:rPr>
          <w:rFonts w:ascii="Verdana" w:hAnsi="Verdana" w:cstheme="minorHAnsi"/>
          <w:sz w:val="20"/>
          <w:szCs w:val="20"/>
          <w:lang w:val="es-ES_tradnl"/>
        </w:rPr>
        <w:t>; ii) la realización de un estudio de impacto ambiental; y iii) en su caso, compartir razonablemente los beneficios que se produzcan de la explotación de los recursos naturales, según lo que la propia comunidad determine y resuelva según sus costumbres y tradiciones</w:t>
      </w:r>
      <w:r w:rsidRPr="00D80603">
        <w:rPr>
          <w:rStyle w:val="Refdenotaalpie"/>
          <w:rFonts w:ascii="Verdana" w:eastAsia="Batang" w:hAnsi="Verdana" w:cstheme="minorHAnsi"/>
          <w:sz w:val="20"/>
          <w:szCs w:val="20"/>
          <w:lang w:val="es-ES_tradnl"/>
        </w:rPr>
        <w:footnoteReference w:id="8"/>
      </w:r>
      <w:r w:rsidRPr="00D80603">
        <w:rPr>
          <w:rFonts w:ascii="Verdana" w:hAnsi="Verdana" w:cstheme="minorHAnsi"/>
          <w:sz w:val="20"/>
          <w:szCs w:val="20"/>
          <w:lang w:val="es-ES_tradnl"/>
        </w:rPr>
        <w:t>.</w:t>
      </w:r>
      <w:r w:rsidR="00686781" w:rsidRPr="00D80603">
        <w:rPr>
          <w:rFonts w:ascii="Verdana" w:hAnsi="Verdana" w:cstheme="minorHAnsi"/>
          <w:sz w:val="20"/>
          <w:szCs w:val="20"/>
          <w:lang w:val="es-ES_tradnl"/>
        </w:rPr>
        <w:t xml:space="preserve"> Lo anterior con la finalidad de llegar </w:t>
      </w:r>
      <w:r w:rsidR="000B6C55" w:rsidRPr="00D80603">
        <w:rPr>
          <w:rFonts w:ascii="Verdana" w:hAnsi="Verdana" w:cstheme="minorHAnsi"/>
          <w:sz w:val="20"/>
          <w:szCs w:val="20"/>
          <w:lang w:val="es-ES_tradnl"/>
        </w:rPr>
        <w:t xml:space="preserve">a un </w:t>
      </w:r>
      <w:r w:rsidR="00686781" w:rsidRPr="00D80603">
        <w:rPr>
          <w:rFonts w:ascii="Verdana" w:hAnsi="Verdana" w:cstheme="minorHAnsi"/>
          <w:sz w:val="20"/>
          <w:szCs w:val="20"/>
          <w:lang w:val="es-ES_tradnl"/>
        </w:rPr>
        <w:t xml:space="preserve">acuerdo o que la comunidad brinde su consentimiento. </w:t>
      </w:r>
    </w:p>
    <w:p w14:paraId="124B2E88" w14:textId="77777777" w:rsidR="00FA1AD6" w:rsidRPr="00D80603" w:rsidRDefault="00FA1AD6" w:rsidP="00FA1AD6">
      <w:pPr>
        <w:pStyle w:val="Prrafodelista"/>
        <w:rPr>
          <w:rFonts w:ascii="Verdana" w:hAnsi="Verdana" w:cstheme="minorHAnsi"/>
          <w:sz w:val="20"/>
          <w:szCs w:val="20"/>
          <w:lang w:val="es-ES_tradnl"/>
        </w:rPr>
      </w:pPr>
    </w:p>
    <w:p w14:paraId="24FB870A" w14:textId="7DD605AD" w:rsidR="00C379F3" w:rsidRPr="00D80603" w:rsidRDefault="00010B7E" w:rsidP="00C379F3">
      <w:pPr>
        <w:numPr>
          <w:ilvl w:val="0"/>
          <w:numId w:val="2"/>
        </w:numPr>
        <w:tabs>
          <w:tab w:val="left" w:pos="567"/>
        </w:tabs>
        <w:ind w:left="0" w:right="48" w:firstLine="0"/>
        <w:contextualSpacing/>
        <w:jc w:val="both"/>
        <w:rPr>
          <w:rFonts w:ascii="Verdana" w:hAnsi="Verdana" w:cstheme="minorHAnsi"/>
          <w:i/>
          <w:iCs/>
          <w:sz w:val="20"/>
          <w:szCs w:val="20"/>
          <w:lang w:val="es-ES_tradnl"/>
        </w:rPr>
      </w:pPr>
      <w:r w:rsidRPr="00D80603">
        <w:rPr>
          <w:rFonts w:ascii="Verdana" w:hAnsi="Verdana" w:cstheme="minorHAnsi"/>
          <w:sz w:val="20"/>
          <w:szCs w:val="20"/>
          <w:lang w:val="es-ES_tradnl"/>
        </w:rPr>
        <w:t>Adem</w:t>
      </w:r>
      <w:r w:rsidR="000B6C55" w:rsidRPr="00D80603">
        <w:rPr>
          <w:rFonts w:ascii="Verdana" w:hAnsi="Verdana" w:cstheme="minorHAnsi"/>
          <w:sz w:val="20"/>
          <w:szCs w:val="20"/>
          <w:lang w:val="es-ES_tradnl"/>
        </w:rPr>
        <w:t>á</w:t>
      </w:r>
      <w:r w:rsidRPr="00D80603">
        <w:rPr>
          <w:rFonts w:ascii="Verdana" w:hAnsi="Verdana" w:cstheme="minorHAnsi"/>
          <w:sz w:val="20"/>
          <w:szCs w:val="20"/>
          <w:lang w:val="es-ES_tradnl"/>
        </w:rPr>
        <w:t>s, el Tribunal Interamericano ha precisado</w:t>
      </w:r>
      <w:r w:rsidR="00FA1AD6" w:rsidRPr="00D80603">
        <w:rPr>
          <w:rFonts w:ascii="Verdana" w:hAnsi="Verdana" w:cstheme="minorHAnsi"/>
          <w:sz w:val="20"/>
          <w:szCs w:val="20"/>
          <w:lang w:val="es-ES_tradnl"/>
        </w:rPr>
        <w:t xml:space="preserve">, en el </w:t>
      </w:r>
      <w:r w:rsidR="0016412A" w:rsidRPr="00D80603">
        <w:rPr>
          <w:rFonts w:ascii="Verdana" w:hAnsi="Verdana" w:cstheme="minorHAnsi"/>
          <w:iCs/>
          <w:sz w:val="20"/>
          <w:szCs w:val="20"/>
          <w:lang w:val="es-ES_tradnl"/>
        </w:rPr>
        <w:t>c</w:t>
      </w:r>
      <w:r w:rsidR="00FA1AD6" w:rsidRPr="00D80603">
        <w:rPr>
          <w:rFonts w:ascii="Verdana" w:hAnsi="Verdana" w:cstheme="minorHAnsi"/>
          <w:iCs/>
          <w:sz w:val="20"/>
          <w:szCs w:val="20"/>
          <w:lang w:val="es-ES_tradnl"/>
        </w:rPr>
        <w:t>aso</w:t>
      </w:r>
      <w:r w:rsidR="00FA1AD6" w:rsidRPr="00D80603">
        <w:rPr>
          <w:rFonts w:ascii="Verdana" w:hAnsi="Verdana" w:cstheme="minorHAnsi"/>
          <w:i/>
          <w:sz w:val="20"/>
          <w:szCs w:val="20"/>
          <w:lang w:val="es-ES_tradnl"/>
        </w:rPr>
        <w:t xml:space="preserve"> Pueblo indígena </w:t>
      </w:r>
      <w:proofErr w:type="spellStart"/>
      <w:r w:rsidR="00FA1AD6" w:rsidRPr="00D80603">
        <w:rPr>
          <w:rFonts w:ascii="Verdana" w:hAnsi="Verdana" w:cstheme="minorHAnsi"/>
          <w:i/>
          <w:sz w:val="20"/>
          <w:szCs w:val="20"/>
          <w:lang w:val="es-ES_tradnl"/>
        </w:rPr>
        <w:t>Kichwa</w:t>
      </w:r>
      <w:proofErr w:type="spellEnd"/>
      <w:r w:rsidR="00FA1AD6" w:rsidRPr="00D80603">
        <w:rPr>
          <w:rFonts w:ascii="Verdana" w:hAnsi="Verdana" w:cstheme="minorHAnsi"/>
          <w:i/>
          <w:sz w:val="20"/>
          <w:szCs w:val="20"/>
          <w:lang w:val="es-ES_tradnl"/>
        </w:rPr>
        <w:t xml:space="preserve"> de </w:t>
      </w:r>
      <w:proofErr w:type="spellStart"/>
      <w:r w:rsidR="00FA1AD6" w:rsidRPr="00D80603">
        <w:rPr>
          <w:rFonts w:ascii="Verdana" w:hAnsi="Verdana" w:cstheme="minorHAnsi"/>
          <w:i/>
          <w:sz w:val="20"/>
          <w:szCs w:val="20"/>
          <w:lang w:val="es-ES_tradnl"/>
        </w:rPr>
        <w:t>Sarayaku</w:t>
      </w:r>
      <w:proofErr w:type="spellEnd"/>
      <w:r w:rsidR="00FA1AD6" w:rsidRPr="00D80603">
        <w:rPr>
          <w:rFonts w:ascii="Verdana" w:hAnsi="Verdana" w:cstheme="minorHAnsi"/>
          <w:i/>
          <w:sz w:val="20"/>
          <w:szCs w:val="20"/>
          <w:lang w:val="es-ES_tradnl"/>
        </w:rPr>
        <w:t xml:space="preserve"> Vs. Ecuador</w:t>
      </w:r>
      <w:r w:rsidR="0043677B" w:rsidRPr="00D80603">
        <w:rPr>
          <w:rFonts w:ascii="Verdana" w:hAnsi="Verdana" w:cstheme="minorHAnsi"/>
          <w:i/>
          <w:sz w:val="20"/>
          <w:szCs w:val="20"/>
          <w:lang w:val="es-ES_tradnl"/>
        </w:rPr>
        <w:t xml:space="preserve"> </w:t>
      </w:r>
      <w:r w:rsidR="0043677B" w:rsidRPr="00D80603">
        <w:rPr>
          <w:rFonts w:ascii="Verdana" w:hAnsi="Verdana" w:cstheme="minorHAnsi"/>
          <w:iCs/>
          <w:sz w:val="20"/>
          <w:szCs w:val="20"/>
          <w:lang w:val="es-ES_tradnl"/>
        </w:rPr>
        <w:t>(2012)</w:t>
      </w:r>
      <w:r w:rsidR="00FA1AD6" w:rsidRPr="00D80603">
        <w:rPr>
          <w:rFonts w:ascii="Verdana" w:hAnsi="Verdana" w:cstheme="minorHAnsi"/>
          <w:iCs/>
          <w:sz w:val="20"/>
          <w:szCs w:val="20"/>
          <w:lang w:val="es-ES_tradnl"/>
        </w:rPr>
        <w:t>,</w:t>
      </w:r>
      <w:r w:rsidR="00FA1AD6" w:rsidRPr="00D80603" w:rsidDel="001B0D55">
        <w:rPr>
          <w:rFonts w:ascii="Verdana" w:hAnsi="Verdana" w:cstheme="minorHAnsi"/>
          <w:bCs/>
          <w:iCs/>
          <w:sz w:val="20"/>
          <w:szCs w:val="20"/>
          <w:lang w:val="es-ES_tradnl"/>
        </w:rPr>
        <w:t xml:space="preserve"> </w:t>
      </w:r>
      <w:r w:rsidR="00FA1AD6" w:rsidRPr="00D80603">
        <w:rPr>
          <w:rFonts w:ascii="Verdana" w:hAnsi="Verdana" w:cstheme="minorHAnsi"/>
          <w:sz w:val="20"/>
          <w:szCs w:val="20"/>
          <w:lang w:val="es-ES_tradnl"/>
        </w:rPr>
        <w:t>que el derecho a la consulta de los pueblos indígenas y tribales, además de constituir una norma convencional, es también un principio general del Derecho Internacional</w:t>
      </w:r>
      <w:r w:rsidR="00FA1AD6" w:rsidRPr="00D80603">
        <w:rPr>
          <w:rStyle w:val="Refdenotaalpie"/>
          <w:rFonts w:ascii="Verdana" w:eastAsia="Batang" w:hAnsi="Verdana" w:cstheme="minorHAnsi"/>
          <w:sz w:val="20"/>
          <w:szCs w:val="20"/>
          <w:lang w:val="es-ES_tradnl"/>
        </w:rPr>
        <w:footnoteReference w:id="9"/>
      </w:r>
      <w:r w:rsidR="00FA1AD6" w:rsidRPr="00D80603">
        <w:rPr>
          <w:rFonts w:ascii="Verdana" w:hAnsi="Verdana" w:cstheme="minorHAnsi"/>
          <w:sz w:val="20"/>
          <w:szCs w:val="20"/>
          <w:lang w:val="es-ES_tradnl"/>
        </w:rPr>
        <w:t xml:space="preserve"> </w:t>
      </w:r>
      <w:r w:rsidR="00393D78" w:rsidRPr="00D80603">
        <w:rPr>
          <w:rFonts w:ascii="Verdana" w:hAnsi="Verdana" w:cstheme="minorHAnsi"/>
          <w:sz w:val="20"/>
          <w:szCs w:val="20"/>
          <w:lang w:val="es-ES_tradnl"/>
        </w:rPr>
        <w:t>(</w:t>
      </w:r>
      <w:r w:rsidR="00C87B7D" w:rsidRPr="00D80603">
        <w:rPr>
          <w:rFonts w:ascii="Verdana" w:hAnsi="Verdana" w:cstheme="minorHAnsi"/>
          <w:sz w:val="20"/>
          <w:szCs w:val="20"/>
          <w:lang w:val="es-ES_tradnl"/>
        </w:rPr>
        <w:t xml:space="preserve">tal y como se </w:t>
      </w:r>
      <w:r w:rsidR="00393D78" w:rsidRPr="00D80603">
        <w:rPr>
          <w:rFonts w:ascii="Verdana" w:hAnsi="Verdana" w:cstheme="minorHAnsi"/>
          <w:sz w:val="20"/>
          <w:szCs w:val="20"/>
          <w:lang w:val="es-ES_tradnl"/>
        </w:rPr>
        <w:t>reitera en la presente sentencia)</w:t>
      </w:r>
      <w:r w:rsidR="00393D78" w:rsidRPr="00D80603">
        <w:rPr>
          <w:rStyle w:val="Refdenotaalpie"/>
          <w:rFonts w:ascii="Verdana" w:hAnsi="Verdana" w:cstheme="minorHAnsi"/>
          <w:sz w:val="20"/>
          <w:szCs w:val="20"/>
          <w:lang w:val="es-ES_tradnl"/>
        </w:rPr>
        <w:footnoteReference w:id="10"/>
      </w:r>
      <w:r w:rsidR="00393D78" w:rsidRPr="00D80603">
        <w:rPr>
          <w:rFonts w:ascii="Verdana" w:hAnsi="Verdana" w:cstheme="minorHAnsi"/>
          <w:sz w:val="20"/>
          <w:szCs w:val="20"/>
          <w:lang w:val="es-ES_tradnl"/>
        </w:rPr>
        <w:t xml:space="preserve">, </w:t>
      </w:r>
      <w:r w:rsidR="00FA1AD6" w:rsidRPr="00D80603">
        <w:rPr>
          <w:rFonts w:ascii="Verdana" w:hAnsi="Verdana" w:cstheme="minorHAnsi"/>
          <w:sz w:val="20"/>
          <w:szCs w:val="20"/>
          <w:lang w:val="es-ES_tradnl"/>
        </w:rPr>
        <w:t>que está cimentado, entre otros, en la estrecha relación de dichas comunidades con su territorio y en el respeto de sus derechos a la propiedad colectiva y a la identidad cultural.</w:t>
      </w:r>
    </w:p>
    <w:p w14:paraId="0080AF55" w14:textId="77777777" w:rsidR="00C379F3" w:rsidRPr="00D80603" w:rsidRDefault="00C379F3" w:rsidP="00C379F3">
      <w:pPr>
        <w:pStyle w:val="Prrafodelista"/>
        <w:rPr>
          <w:rFonts w:ascii="Verdana" w:hAnsi="Verdana" w:cstheme="minorHAnsi"/>
          <w:i/>
          <w:iCs/>
          <w:sz w:val="20"/>
          <w:szCs w:val="20"/>
          <w:lang w:val="es-ES_tradnl"/>
        </w:rPr>
      </w:pPr>
    </w:p>
    <w:p w14:paraId="63D30201" w14:textId="233FCBD0" w:rsidR="00C379F3" w:rsidRPr="00D80603" w:rsidRDefault="00C379F3" w:rsidP="00C379F3">
      <w:pPr>
        <w:ind w:right="48"/>
        <w:jc w:val="both"/>
        <w:rPr>
          <w:rFonts w:ascii="Verdana" w:hAnsi="Verdana" w:cstheme="minorHAnsi"/>
          <w:i/>
          <w:iCs/>
          <w:sz w:val="20"/>
          <w:szCs w:val="20"/>
          <w:lang w:val="es-ES_tradnl"/>
        </w:rPr>
      </w:pPr>
      <w:r w:rsidRPr="00D80603">
        <w:rPr>
          <w:rFonts w:ascii="Verdana" w:hAnsi="Verdana" w:cstheme="minorHAnsi"/>
          <w:i/>
          <w:iCs/>
          <w:sz w:val="20"/>
          <w:szCs w:val="20"/>
          <w:lang w:val="es-ES_tradnl"/>
        </w:rPr>
        <w:t>ii) Evoluci</w:t>
      </w:r>
      <w:r w:rsidR="000B6C55" w:rsidRPr="00D80603">
        <w:rPr>
          <w:rFonts w:ascii="Verdana" w:hAnsi="Verdana" w:cstheme="minorHAnsi"/>
          <w:i/>
          <w:iCs/>
          <w:sz w:val="20"/>
          <w:szCs w:val="20"/>
          <w:lang w:val="es-ES_tradnl"/>
        </w:rPr>
        <w:t>ó</w:t>
      </w:r>
      <w:r w:rsidRPr="00D80603">
        <w:rPr>
          <w:rFonts w:ascii="Verdana" w:hAnsi="Verdana" w:cstheme="minorHAnsi"/>
          <w:i/>
          <w:iCs/>
          <w:sz w:val="20"/>
          <w:szCs w:val="20"/>
          <w:lang w:val="es-ES_tradnl"/>
        </w:rPr>
        <w:t xml:space="preserve">n de la obligación de </w:t>
      </w:r>
      <w:r w:rsidR="00AD13BE" w:rsidRPr="00D80603">
        <w:rPr>
          <w:rFonts w:ascii="Verdana" w:hAnsi="Verdana" w:cstheme="minorHAnsi"/>
          <w:i/>
          <w:iCs/>
          <w:sz w:val="20"/>
          <w:szCs w:val="20"/>
          <w:lang w:val="es-ES_tradnl"/>
        </w:rPr>
        <w:t>la consulta</w:t>
      </w:r>
      <w:r w:rsidRPr="00D80603">
        <w:rPr>
          <w:rFonts w:ascii="Verdana" w:hAnsi="Verdana" w:cstheme="minorHAnsi"/>
          <w:i/>
          <w:iCs/>
          <w:sz w:val="20"/>
          <w:szCs w:val="20"/>
          <w:lang w:val="es-ES_tradnl"/>
        </w:rPr>
        <w:t xml:space="preserve"> previa en la jurisprudencia de la Corte IDH</w:t>
      </w:r>
    </w:p>
    <w:p w14:paraId="2595431C" w14:textId="77777777" w:rsidR="00C379F3" w:rsidRPr="00D80603" w:rsidRDefault="00C379F3" w:rsidP="00C379F3">
      <w:pPr>
        <w:ind w:right="48"/>
        <w:jc w:val="both"/>
        <w:rPr>
          <w:rFonts w:ascii="Verdana" w:hAnsi="Verdana" w:cstheme="minorHAnsi"/>
          <w:i/>
          <w:iCs/>
          <w:sz w:val="20"/>
          <w:szCs w:val="20"/>
          <w:lang w:val="es-ES_tradnl"/>
        </w:rPr>
      </w:pPr>
    </w:p>
    <w:p w14:paraId="158F50E1" w14:textId="62EFB7D6" w:rsidR="00010B7E" w:rsidRPr="00D80603" w:rsidRDefault="00010B7E" w:rsidP="00010B7E">
      <w:pPr>
        <w:pStyle w:val="Prrafodelista"/>
        <w:numPr>
          <w:ilvl w:val="0"/>
          <w:numId w:val="2"/>
        </w:numPr>
        <w:ind w:left="0" w:right="48" w:firstLine="0"/>
        <w:jc w:val="both"/>
        <w:rPr>
          <w:rFonts w:ascii="Verdana" w:hAnsi="Verdana" w:cstheme="minorHAnsi"/>
          <w:i/>
          <w:iCs/>
          <w:sz w:val="20"/>
          <w:szCs w:val="20"/>
          <w:lang w:val="es-ES_tradnl"/>
        </w:rPr>
      </w:pPr>
      <w:r w:rsidRPr="00D80603">
        <w:rPr>
          <w:rFonts w:ascii="Verdana" w:hAnsi="Verdana" w:cstheme="minorHAnsi"/>
          <w:sz w:val="20"/>
          <w:szCs w:val="20"/>
          <w:lang w:val="es-ES_tradnl"/>
        </w:rPr>
        <w:t xml:space="preserve">La jurisprudencia de la Corte IDH </w:t>
      </w:r>
      <w:r w:rsidR="00AD13BE" w:rsidRPr="00D80603">
        <w:rPr>
          <w:rFonts w:ascii="Verdana" w:hAnsi="Verdana" w:cstheme="minorHAnsi"/>
          <w:sz w:val="20"/>
          <w:szCs w:val="20"/>
          <w:lang w:val="es-ES_tradnl"/>
        </w:rPr>
        <w:t>en relación con</w:t>
      </w:r>
      <w:r w:rsidRPr="00D80603">
        <w:rPr>
          <w:rFonts w:ascii="Verdana" w:hAnsi="Verdana" w:cstheme="minorHAnsi"/>
          <w:sz w:val="20"/>
          <w:szCs w:val="20"/>
          <w:lang w:val="es-ES_tradnl"/>
        </w:rPr>
        <w:t xml:space="preserve"> la obligación de consulta ha evolucionado considerablemente desde sus primeras decisiones (a inicios del año 2000) hasta </w:t>
      </w:r>
      <w:r w:rsidR="00C87B7D" w:rsidRPr="00D80603">
        <w:rPr>
          <w:rFonts w:ascii="Verdana" w:hAnsi="Verdana" w:cstheme="minorHAnsi"/>
          <w:sz w:val="20"/>
          <w:szCs w:val="20"/>
          <w:lang w:val="es-ES_tradnl"/>
        </w:rPr>
        <w:t>la presente sentencia</w:t>
      </w:r>
      <w:r w:rsidR="001F5A88" w:rsidRPr="00D80603">
        <w:rPr>
          <w:rFonts w:ascii="Verdana" w:hAnsi="Verdana" w:cstheme="minorHAnsi"/>
          <w:sz w:val="20"/>
          <w:szCs w:val="20"/>
          <w:lang w:val="es-ES_tradnl"/>
        </w:rPr>
        <w:t>, y</w:t>
      </w:r>
      <w:r w:rsidRPr="00D80603">
        <w:rPr>
          <w:rFonts w:ascii="Verdana" w:hAnsi="Verdana" w:cstheme="minorHAnsi"/>
          <w:sz w:val="20"/>
          <w:szCs w:val="20"/>
          <w:lang w:val="es-ES_tradnl"/>
        </w:rPr>
        <w:t xml:space="preserve"> es justamente por est</w:t>
      </w:r>
      <w:r w:rsidR="00452884" w:rsidRPr="00D80603">
        <w:rPr>
          <w:rFonts w:ascii="Verdana" w:hAnsi="Verdana" w:cstheme="minorHAnsi"/>
          <w:sz w:val="20"/>
          <w:szCs w:val="20"/>
          <w:lang w:val="es-ES_tradnl"/>
        </w:rPr>
        <w:t>a</w:t>
      </w:r>
      <w:r w:rsidRPr="00D80603">
        <w:rPr>
          <w:rFonts w:ascii="Verdana" w:hAnsi="Verdana" w:cstheme="minorHAnsi"/>
          <w:sz w:val="20"/>
          <w:szCs w:val="20"/>
          <w:lang w:val="es-ES_tradnl"/>
        </w:rPr>
        <w:t xml:space="preserve"> raz</w:t>
      </w:r>
      <w:r w:rsidR="000B6C55" w:rsidRPr="00D80603">
        <w:rPr>
          <w:rFonts w:ascii="Verdana" w:hAnsi="Verdana" w:cstheme="minorHAnsi"/>
          <w:sz w:val="20"/>
          <w:szCs w:val="20"/>
          <w:lang w:val="es-ES_tradnl"/>
        </w:rPr>
        <w:t>ó</w:t>
      </w:r>
      <w:r w:rsidRPr="00D80603">
        <w:rPr>
          <w:rFonts w:ascii="Verdana" w:hAnsi="Verdana" w:cstheme="minorHAnsi"/>
          <w:sz w:val="20"/>
          <w:szCs w:val="20"/>
          <w:lang w:val="es-ES_tradnl"/>
        </w:rPr>
        <w:t xml:space="preserve">n por la que decidimos que es necesario reconstruir cuál ha sido el entendimiento de </w:t>
      </w:r>
      <w:r w:rsidR="000B6C55" w:rsidRPr="00D80603">
        <w:rPr>
          <w:rFonts w:ascii="Verdana" w:hAnsi="Verdana" w:cstheme="minorHAnsi"/>
          <w:sz w:val="20"/>
          <w:szCs w:val="20"/>
          <w:lang w:val="es-ES_tradnl"/>
        </w:rPr>
        <w:t>e</w:t>
      </w:r>
      <w:r w:rsidRPr="00D80603">
        <w:rPr>
          <w:rFonts w:ascii="Verdana" w:hAnsi="Verdana" w:cstheme="minorHAnsi"/>
          <w:sz w:val="20"/>
          <w:szCs w:val="20"/>
          <w:lang w:val="es-ES_tradnl"/>
        </w:rPr>
        <w:t>st</w:t>
      </w:r>
      <w:r w:rsidR="000B6C55" w:rsidRPr="00D80603">
        <w:rPr>
          <w:rFonts w:ascii="Verdana" w:hAnsi="Verdana" w:cstheme="minorHAnsi"/>
          <w:sz w:val="20"/>
          <w:szCs w:val="20"/>
          <w:lang w:val="es-ES_tradnl"/>
        </w:rPr>
        <w:t>a</w:t>
      </w:r>
      <w:r w:rsidRPr="00D80603">
        <w:rPr>
          <w:rFonts w:ascii="Verdana" w:hAnsi="Verdana" w:cstheme="minorHAnsi"/>
          <w:sz w:val="20"/>
          <w:szCs w:val="20"/>
          <w:lang w:val="es-ES_tradnl"/>
        </w:rPr>
        <w:t xml:space="preserve"> obligación desde la jurisprudencia de la Corte IDH</w:t>
      </w:r>
      <w:r w:rsidR="00C87B7D" w:rsidRPr="00D80603">
        <w:rPr>
          <w:rFonts w:ascii="Verdana" w:hAnsi="Verdana" w:cstheme="minorHAnsi"/>
          <w:sz w:val="20"/>
          <w:szCs w:val="20"/>
          <w:lang w:val="es-ES_tradnl"/>
        </w:rPr>
        <w:t>.</w:t>
      </w:r>
    </w:p>
    <w:p w14:paraId="7184FBF6" w14:textId="2BB92D80" w:rsidR="00C379F3" w:rsidRPr="00D80603" w:rsidRDefault="00C379F3" w:rsidP="00C379F3">
      <w:pPr>
        <w:tabs>
          <w:tab w:val="left" w:pos="567"/>
        </w:tabs>
        <w:ind w:right="48"/>
        <w:contextualSpacing/>
        <w:jc w:val="both"/>
        <w:rPr>
          <w:rFonts w:ascii="Verdana" w:hAnsi="Verdana" w:cstheme="minorHAnsi"/>
          <w:i/>
          <w:iCs/>
          <w:sz w:val="20"/>
          <w:szCs w:val="20"/>
          <w:lang w:val="es-ES_tradnl"/>
        </w:rPr>
      </w:pPr>
    </w:p>
    <w:p w14:paraId="7562357F" w14:textId="7A317598" w:rsidR="00F160FB" w:rsidRPr="00D80603" w:rsidRDefault="00F160FB" w:rsidP="00F160FB">
      <w:pPr>
        <w:numPr>
          <w:ilvl w:val="0"/>
          <w:numId w:val="2"/>
        </w:numPr>
        <w:tabs>
          <w:tab w:val="left" w:pos="567"/>
        </w:tabs>
        <w:ind w:left="0" w:right="48" w:firstLine="0"/>
        <w:contextualSpacing/>
        <w:jc w:val="both"/>
        <w:rPr>
          <w:rFonts w:ascii="Verdana" w:hAnsi="Verdana" w:cstheme="minorHAnsi"/>
          <w:i/>
          <w:iCs/>
          <w:sz w:val="20"/>
          <w:szCs w:val="20"/>
          <w:lang w:val="es-ES_tradnl"/>
        </w:rPr>
      </w:pPr>
      <w:r w:rsidRPr="00D80603">
        <w:rPr>
          <w:rFonts w:ascii="Verdana" w:hAnsi="Verdana" w:cstheme="minorHAnsi"/>
          <w:sz w:val="20"/>
          <w:szCs w:val="20"/>
          <w:lang w:val="es-ES_tradnl"/>
        </w:rPr>
        <w:t>El caso</w:t>
      </w:r>
      <w:r w:rsidRPr="00D80603">
        <w:rPr>
          <w:rFonts w:ascii="Verdana" w:hAnsi="Verdana" w:cstheme="minorHAnsi"/>
          <w:i/>
          <w:iCs/>
          <w:sz w:val="20"/>
          <w:szCs w:val="20"/>
          <w:lang w:val="es-ES_tradnl"/>
        </w:rPr>
        <w:t xml:space="preserve"> </w:t>
      </w:r>
      <w:r w:rsidR="006452D3" w:rsidRPr="00D80603">
        <w:rPr>
          <w:rFonts w:ascii="Verdana" w:hAnsi="Verdana" w:cstheme="minorHAnsi"/>
          <w:i/>
          <w:iCs/>
          <w:sz w:val="20"/>
          <w:szCs w:val="20"/>
          <w:lang w:val="es-ES_tradnl"/>
        </w:rPr>
        <w:t>Pueblo</w:t>
      </w:r>
      <w:r w:rsidR="006452D3" w:rsidRPr="00D80603">
        <w:rPr>
          <w:rFonts w:ascii="Verdana" w:hAnsi="Verdana" w:cstheme="minorHAnsi"/>
          <w:sz w:val="20"/>
          <w:szCs w:val="20"/>
          <w:lang w:val="es-ES_tradnl"/>
        </w:rPr>
        <w:t xml:space="preserve"> </w:t>
      </w:r>
      <w:proofErr w:type="spellStart"/>
      <w:r w:rsidRPr="00D80603">
        <w:rPr>
          <w:rFonts w:ascii="Verdana" w:hAnsi="Verdana" w:cstheme="minorHAnsi"/>
          <w:i/>
          <w:iCs/>
          <w:sz w:val="20"/>
          <w:szCs w:val="20"/>
          <w:lang w:val="es-ES_tradnl"/>
        </w:rPr>
        <w:t>Saramaka</w:t>
      </w:r>
      <w:proofErr w:type="spellEnd"/>
      <w:r w:rsidRPr="00D80603">
        <w:rPr>
          <w:rFonts w:ascii="Verdana" w:hAnsi="Verdana" w:cstheme="minorHAnsi"/>
          <w:i/>
          <w:iCs/>
          <w:sz w:val="20"/>
          <w:szCs w:val="20"/>
          <w:lang w:val="es-ES_tradnl"/>
        </w:rPr>
        <w:t xml:space="preserve"> Vs. Surinam</w:t>
      </w:r>
      <w:r w:rsidR="00694B57" w:rsidRPr="00D80603">
        <w:rPr>
          <w:rFonts w:ascii="Verdana" w:hAnsi="Verdana" w:cstheme="minorHAnsi"/>
          <w:i/>
          <w:iCs/>
          <w:sz w:val="20"/>
          <w:szCs w:val="20"/>
          <w:lang w:val="es-ES_tradnl"/>
        </w:rPr>
        <w:t xml:space="preserve"> </w:t>
      </w:r>
      <w:r w:rsidR="00694B57" w:rsidRPr="00D80603">
        <w:rPr>
          <w:rFonts w:ascii="Verdana" w:hAnsi="Verdana" w:cstheme="minorHAnsi"/>
          <w:sz w:val="20"/>
          <w:szCs w:val="20"/>
          <w:lang w:val="es-ES_tradnl"/>
        </w:rPr>
        <w:t>(2007)</w:t>
      </w:r>
      <w:r w:rsidRPr="00D80603">
        <w:rPr>
          <w:rFonts w:ascii="Verdana" w:hAnsi="Verdana" w:cstheme="minorHAnsi"/>
          <w:sz w:val="20"/>
          <w:szCs w:val="20"/>
          <w:lang w:val="es-ES_tradnl"/>
        </w:rPr>
        <w:t xml:space="preserve">, </w:t>
      </w:r>
      <w:r w:rsidR="006452D3" w:rsidRPr="00D80603">
        <w:rPr>
          <w:rFonts w:ascii="Verdana" w:hAnsi="Verdana" w:cstheme="minorHAnsi"/>
          <w:sz w:val="20"/>
          <w:szCs w:val="20"/>
          <w:lang w:val="es-ES_tradnl"/>
        </w:rPr>
        <w:t xml:space="preserve">es el </w:t>
      </w:r>
      <w:r w:rsidRPr="00D80603">
        <w:rPr>
          <w:rFonts w:ascii="Verdana" w:hAnsi="Verdana" w:cstheme="minorHAnsi"/>
          <w:sz w:val="20"/>
          <w:szCs w:val="20"/>
          <w:lang w:val="es-ES_tradnl"/>
        </w:rPr>
        <w:t xml:space="preserve">primer caso en el que la Corte IDH se pronunció </w:t>
      </w:r>
      <w:r w:rsidR="00452884" w:rsidRPr="00D80603">
        <w:rPr>
          <w:rFonts w:ascii="Verdana" w:hAnsi="Verdana" w:cstheme="minorHAnsi"/>
          <w:sz w:val="20"/>
          <w:szCs w:val="20"/>
          <w:lang w:val="es-ES_tradnl"/>
        </w:rPr>
        <w:t xml:space="preserve">expresamente </w:t>
      </w:r>
      <w:r w:rsidRPr="00D80603">
        <w:rPr>
          <w:rFonts w:ascii="Verdana" w:hAnsi="Verdana" w:cstheme="minorHAnsi"/>
          <w:sz w:val="20"/>
          <w:szCs w:val="20"/>
          <w:lang w:val="es-ES_tradnl"/>
        </w:rPr>
        <w:t xml:space="preserve">sobre el derecho a la </w:t>
      </w:r>
      <w:r w:rsidR="00112F4D" w:rsidRPr="00D80603">
        <w:rPr>
          <w:rFonts w:ascii="Verdana" w:hAnsi="Verdana" w:cstheme="minorHAnsi"/>
          <w:sz w:val="20"/>
          <w:szCs w:val="20"/>
          <w:lang w:val="es-ES_tradnl"/>
        </w:rPr>
        <w:t>consulta</w:t>
      </w:r>
      <w:r w:rsidRPr="00D80603">
        <w:rPr>
          <w:rFonts w:ascii="Verdana" w:hAnsi="Verdana" w:cstheme="minorHAnsi"/>
          <w:sz w:val="20"/>
          <w:szCs w:val="20"/>
          <w:lang w:val="es-ES_tradnl"/>
        </w:rPr>
        <w:t xml:space="preserve"> advirtió que </w:t>
      </w:r>
      <w:r w:rsidR="006B25E9" w:rsidRPr="00D80603">
        <w:rPr>
          <w:rFonts w:ascii="Verdana" w:hAnsi="Verdana" w:cstheme="minorHAnsi"/>
          <w:sz w:val="20"/>
          <w:szCs w:val="20"/>
          <w:lang w:val="es-ES_tradnl"/>
        </w:rPr>
        <w:t>la legislación interna de Surinam no reconoc</w:t>
      </w:r>
      <w:r w:rsidR="00112F4D" w:rsidRPr="00D80603">
        <w:rPr>
          <w:rFonts w:ascii="Verdana" w:hAnsi="Verdana" w:cstheme="minorHAnsi"/>
          <w:sz w:val="20"/>
          <w:szCs w:val="20"/>
          <w:lang w:val="es-ES_tradnl"/>
        </w:rPr>
        <w:t>ía</w:t>
      </w:r>
      <w:r w:rsidR="006B25E9" w:rsidRPr="00D80603">
        <w:rPr>
          <w:rFonts w:ascii="Verdana" w:hAnsi="Verdana" w:cstheme="minorHAnsi"/>
          <w:sz w:val="20"/>
          <w:szCs w:val="20"/>
          <w:lang w:val="es-ES_tradnl"/>
        </w:rPr>
        <w:t xml:space="preserve"> el derecho a la propiedad comunal de los miembros de sus pueblos tribales y </w:t>
      </w:r>
      <w:r w:rsidR="00112F4D" w:rsidRPr="00D80603">
        <w:rPr>
          <w:rFonts w:ascii="Verdana" w:hAnsi="Verdana" w:cstheme="minorHAnsi"/>
          <w:sz w:val="20"/>
          <w:szCs w:val="20"/>
          <w:lang w:val="es-ES_tradnl"/>
        </w:rPr>
        <w:t xml:space="preserve">que </w:t>
      </w:r>
      <w:r w:rsidR="006B25E9" w:rsidRPr="00D80603">
        <w:rPr>
          <w:rFonts w:ascii="Verdana" w:hAnsi="Verdana" w:cstheme="minorHAnsi"/>
          <w:sz w:val="20"/>
          <w:szCs w:val="20"/>
          <w:lang w:val="es-ES_tradnl"/>
        </w:rPr>
        <w:t>no ha</w:t>
      </w:r>
      <w:r w:rsidR="00112F4D" w:rsidRPr="00D80603">
        <w:rPr>
          <w:rFonts w:ascii="Verdana" w:hAnsi="Verdana" w:cstheme="minorHAnsi"/>
          <w:sz w:val="20"/>
          <w:szCs w:val="20"/>
          <w:lang w:val="es-ES_tradnl"/>
        </w:rPr>
        <w:t>bía</w:t>
      </w:r>
      <w:r w:rsidR="006B25E9" w:rsidRPr="00D80603">
        <w:rPr>
          <w:rFonts w:ascii="Verdana" w:hAnsi="Verdana" w:cstheme="minorHAnsi"/>
          <w:sz w:val="20"/>
          <w:szCs w:val="20"/>
          <w:lang w:val="es-ES_tradnl"/>
        </w:rPr>
        <w:t xml:space="preserve"> ratificado el Convenio No. 169</w:t>
      </w:r>
      <w:r w:rsidR="00112F4D" w:rsidRPr="00D80603">
        <w:rPr>
          <w:rFonts w:ascii="Verdana" w:hAnsi="Verdana" w:cstheme="minorHAnsi"/>
          <w:sz w:val="20"/>
          <w:szCs w:val="20"/>
          <w:lang w:val="es-ES_tradnl"/>
        </w:rPr>
        <w:t xml:space="preserve"> de la OIT</w:t>
      </w:r>
      <w:r w:rsidR="006B25E9" w:rsidRPr="00D80603">
        <w:rPr>
          <w:rFonts w:ascii="Verdana" w:hAnsi="Verdana" w:cstheme="minorHAnsi"/>
          <w:sz w:val="20"/>
          <w:szCs w:val="20"/>
          <w:lang w:val="es-ES_tradnl"/>
        </w:rPr>
        <w:t>.  No obstante, observó que Surinam ratificó tanto el Pacto Internacional de Derechos Civiles y Políticos como el Pacto Internacional de Derechos Económicos, Sociales y Culturales. Agregó que el Comité sobre Derechos Económicos, Sociales y Culturales</w:t>
      </w:r>
      <w:r w:rsidR="00112F4D" w:rsidRPr="00D80603">
        <w:rPr>
          <w:rFonts w:ascii="Verdana" w:hAnsi="Verdana" w:cstheme="minorHAnsi"/>
          <w:sz w:val="20"/>
          <w:szCs w:val="20"/>
          <w:lang w:val="es-ES_tradnl"/>
        </w:rPr>
        <w:t xml:space="preserve"> (en adelante “Comité DESC”)</w:t>
      </w:r>
      <w:r w:rsidR="006B25E9" w:rsidRPr="00D80603">
        <w:rPr>
          <w:rFonts w:ascii="Verdana" w:hAnsi="Verdana" w:cstheme="minorHAnsi"/>
          <w:sz w:val="20"/>
          <w:szCs w:val="20"/>
          <w:lang w:val="es-ES_tradnl"/>
        </w:rPr>
        <w:t xml:space="preserve">, que es el organismo de expertos independientes que supervisa la implementación del PIDESC por parte de los Estados Parte, ha interpretado el artículo 1 en común de dichos pactos como aplicable a los pueblos indígenas. </w:t>
      </w:r>
    </w:p>
    <w:p w14:paraId="69F62548" w14:textId="77777777" w:rsidR="00F160FB" w:rsidRPr="00D80603" w:rsidRDefault="00F160FB" w:rsidP="00F160FB">
      <w:pPr>
        <w:tabs>
          <w:tab w:val="left" w:pos="567"/>
        </w:tabs>
        <w:ind w:right="48"/>
        <w:contextualSpacing/>
        <w:jc w:val="both"/>
        <w:rPr>
          <w:rFonts w:ascii="Verdana" w:hAnsi="Verdana" w:cstheme="minorHAnsi"/>
          <w:i/>
          <w:iCs/>
          <w:sz w:val="20"/>
          <w:szCs w:val="20"/>
          <w:lang w:val="es-ES_tradnl"/>
        </w:rPr>
      </w:pPr>
    </w:p>
    <w:p w14:paraId="0CC5EDAC" w14:textId="7949D20A" w:rsidR="00C379F3" w:rsidRPr="00D80603" w:rsidRDefault="006B25E9" w:rsidP="00F160FB">
      <w:pPr>
        <w:numPr>
          <w:ilvl w:val="0"/>
          <w:numId w:val="2"/>
        </w:numPr>
        <w:tabs>
          <w:tab w:val="left" w:pos="567"/>
        </w:tabs>
        <w:ind w:left="0" w:right="48" w:firstLine="0"/>
        <w:contextualSpacing/>
        <w:jc w:val="both"/>
        <w:rPr>
          <w:rFonts w:ascii="Verdana" w:hAnsi="Verdana" w:cstheme="minorHAnsi"/>
          <w:i/>
          <w:iCs/>
          <w:sz w:val="20"/>
          <w:szCs w:val="20"/>
          <w:lang w:val="es-ES_tradnl"/>
        </w:rPr>
      </w:pPr>
      <w:r w:rsidRPr="00D80603">
        <w:rPr>
          <w:rFonts w:ascii="Verdana" w:hAnsi="Verdana" w:cstheme="minorHAnsi"/>
          <w:sz w:val="20"/>
          <w:szCs w:val="20"/>
          <w:lang w:val="es-ES_tradnl"/>
        </w:rPr>
        <w:t>Al respecto,</w:t>
      </w:r>
      <w:r w:rsidR="00112F4D" w:rsidRPr="00D80603">
        <w:rPr>
          <w:rFonts w:ascii="Verdana" w:hAnsi="Verdana" w:cstheme="minorHAnsi"/>
          <w:sz w:val="20"/>
          <w:szCs w:val="20"/>
          <w:lang w:val="es-ES_tradnl"/>
        </w:rPr>
        <w:t xml:space="preserve"> t</w:t>
      </w:r>
      <w:r w:rsidR="00337E9D" w:rsidRPr="00D80603">
        <w:rPr>
          <w:rFonts w:ascii="Verdana" w:hAnsi="Verdana" w:cstheme="minorHAnsi"/>
          <w:sz w:val="20"/>
          <w:szCs w:val="20"/>
          <w:lang w:val="es-ES_tradnl"/>
        </w:rPr>
        <w:t>eniendo</w:t>
      </w:r>
      <w:r w:rsidR="00112F4D" w:rsidRPr="00D80603">
        <w:rPr>
          <w:rFonts w:ascii="Verdana" w:hAnsi="Verdana" w:cstheme="minorHAnsi"/>
          <w:sz w:val="20"/>
          <w:szCs w:val="20"/>
          <w:lang w:val="es-ES_tradnl"/>
        </w:rPr>
        <w:t xml:space="preserve"> en consideración la interpretación del Comité DESC, la Corte IDH observó que </w:t>
      </w:r>
      <w:r w:rsidRPr="00D80603">
        <w:rPr>
          <w:rFonts w:ascii="Verdana" w:hAnsi="Verdana" w:cstheme="minorHAnsi"/>
          <w:sz w:val="20"/>
          <w:szCs w:val="20"/>
          <w:lang w:val="es-ES_tradnl"/>
        </w:rPr>
        <w:t xml:space="preserve">en virtud del derecho a la autodeterminación de los pueblos indígenas conforme a dicho artículo 1, </w:t>
      </w:r>
      <w:r w:rsidR="00AE12D7" w:rsidRPr="00D80603">
        <w:rPr>
          <w:rFonts w:ascii="Verdana" w:hAnsi="Verdana" w:cstheme="minorHAnsi"/>
          <w:sz w:val="20"/>
          <w:szCs w:val="20"/>
          <w:lang w:val="es-ES_tradnl"/>
        </w:rPr>
        <w:t>estos podrán</w:t>
      </w:r>
      <w:r w:rsidRPr="00D80603">
        <w:rPr>
          <w:rFonts w:ascii="Verdana" w:hAnsi="Verdana" w:cstheme="minorHAnsi"/>
          <w:sz w:val="20"/>
          <w:szCs w:val="20"/>
          <w:lang w:val="es-ES_tradnl"/>
        </w:rPr>
        <w:t xml:space="preserve"> “provee[r] a su desarrollo económico, social y cultural” y pueden “disponer libremente de sus riquezas y recursos naturales” para que no se los prive de “sus propios medios de subsistencia”</w:t>
      </w:r>
      <w:r w:rsidRPr="00D80603">
        <w:rPr>
          <w:rStyle w:val="Refdenotaalpie"/>
          <w:rFonts w:ascii="Verdana" w:hAnsi="Verdana" w:cstheme="minorHAnsi"/>
          <w:sz w:val="20"/>
          <w:szCs w:val="20"/>
          <w:lang w:val="es-ES_tradnl"/>
        </w:rPr>
        <w:footnoteReference w:id="11"/>
      </w:r>
      <w:r w:rsidRPr="00D80603">
        <w:rPr>
          <w:rFonts w:ascii="Verdana" w:hAnsi="Verdana" w:cstheme="minorHAnsi"/>
          <w:sz w:val="20"/>
          <w:szCs w:val="20"/>
          <w:lang w:val="es-ES_tradnl"/>
        </w:rPr>
        <w:t xml:space="preserve">. </w:t>
      </w:r>
      <w:r w:rsidR="00F160FB" w:rsidRPr="00D80603">
        <w:rPr>
          <w:rFonts w:ascii="Verdana" w:hAnsi="Verdana" w:cstheme="minorHAnsi"/>
          <w:i/>
          <w:iCs/>
          <w:sz w:val="20"/>
          <w:szCs w:val="20"/>
          <w:lang w:val="es-ES_tradnl"/>
        </w:rPr>
        <w:t xml:space="preserve"> </w:t>
      </w:r>
      <w:r w:rsidRPr="00D80603">
        <w:rPr>
          <w:rFonts w:ascii="Verdana" w:hAnsi="Verdana" w:cstheme="minorHAnsi"/>
          <w:sz w:val="20"/>
          <w:szCs w:val="20"/>
          <w:lang w:val="es-ES_tradnl"/>
        </w:rPr>
        <w:t xml:space="preserve">En suma, en ese caso </w:t>
      </w:r>
      <w:r w:rsidRPr="00D80603">
        <w:rPr>
          <w:rFonts w:ascii="Verdana" w:hAnsi="Verdana" w:cstheme="minorHAnsi"/>
          <w:i/>
          <w:iCs/>
          <w:sz w:val="20"/>
          <w:szCs w:val="20"/>
          <w:lang w:val="es-ES_tradnl"/>
        </w:rPr>
        <w:t xml:space="preserve">la </w:t>
      </w:r>
      <w:r w:rsidRPr="00D80603">
        <w:rPr>
          <w:rFonts w:ascii="Verdana" w:hAnsi="Verdana" w:cstheme="minorHAnsi"/>
          <w:i/>
          <w:iCs/>
          <w:sz w:val="20"/>
          <w:szCs w:val="20"/>
          <w:lang w:val="es-ES_tradnl"/>
        </w:rPr>
        <w:lastRenderedPageBreak/>
        <w:t xml:space="preserve">Corte </w:t>
      </w:r>
      <w:r w:rsidR="00393D78" w:rsidRPr="00D80603">
        <w:rPr>
          <w:rFonts w:ascii="Verdana" w:hAnsi="Verdana" w:cstheme="minorHAnsi"/>
          <w:i/>
          <w:iCs/>
          <w:sz w:val="20"/>
          <w:szCs w:val="20"/>
          <w:lang w:val="es-ES_tradnl"/>
        </w:rPr>
        <w:t xml:space="preserve">IDH </w:t>
      </w:r>
      <w:r w:rsidRPr="00D80603">
        <w:rPr>
          <w:rFonts w:ascii="Verdana" w:hAnsi="Verdana" w:cstheme="minorHAnsi"/>
          <w:i/>
          <w:iCs/>
          <w:sz w:val="20"/>
          <w:szCs w:val="20"/>
          <w:lang w:val="es-ES_tradnl"/>
        </w:rPr>
        <w:t>consideró que la obligación de llevar a cabo la consulta previa se deriva</w:t>
      </w:r>
      <w:r w:rsidR="00112F4D" w:rsidRPr="00D80603">
        <w:rPr>
          <w:rFonts w:ascii="Verdana" w:hAnsi="Verdana" w:cstheme="minorHAnsi"/>
          <w:i/>
          <w:iCs/>
          <w:sz w:val="20"/>
          <w:szCs w:val="20"/>
          <w:lang w:val="es-ES_tradnl"/>
        </w:rPr>
        <w:t>ba</w:t>
      </w:r>
      <w:r w:rsidRPr="00D80603">
        <w:rPr>
          <w:rFonts w:ascii="Verdana" w:hAnsi="Verdana" w:cstheme="minorHAnsi"/>
          <w:i/>
          <w:iCs/>
          <w:sz w:val="20"/>
          <w:szCs w:val="20"/>
          <w:lang w:val="es-ES_tradnl"/>
        </w:rPr>
        <w:t xml:space="preserve"> del contenido del artículo 21 de la </w:t>
      </w:r>
      <w:r w:rsidR="00F160FB" w:rsidRPr="00D80603">
        <w:rPr>
          <w:rFonts w:ascii="Verdana" w:hAnsi="Verdana" w:cstheme="minorHAnsi"/>
          <w:i/>
          <w:iCs/>
          <w:sz w:val="20"/>
          <w:szCs w:val="20"/>
          <w:lang w:val="es-ES_tradnl"/>
        </w:rPr>
        <w:t>C</w:t>
      </w:r>
      <w:r w:rsidRPr="00D80603">
        <w:rPr>
          <w:rFonts w:ascii="Verdana" w:hAnsi="Verdana" w:cstheme="minorHAnsi"/>
          <w:i/>
          <w:iCs/>
          <w:sz w:val="20"/>
          <w:szCs w:val="20"/>
          <w:lang w:val="es-ES_tradnl"/>
        </w:rPr>
        <w:t xml:space="preserve">onvención </w:t>
      </w:r>
      <w:r w:rsidR="00F160FB" w:rsidRPr="00D80603">
        <w:rPr>
          <w:rFonts w:ascii="Verdana" w:hAnsi="Verdana" w:cstheme="minorHAnsi"/>
          <w:i/>
          <w:iCs/>
          <w:sz w:val="20"/>
          <w:szCs w:val="20"/>
          <w:lang w:val="es-ES_tradnl"/>
        </w:rPr>
        <w:t>A</w:t>
      </w:r>
      <w:r w:rsidRPr="00D80603">
        <w:rPr>
          <w:rFonts w:ascii="Verdana" w:hAnsi="Verdana" w:cstheme="minorHAnsi"/>
          <w:i/>
          <w:iCs/>
          <w:sz w:val="20"/>
          <w:szCs w:val="20"/>
          <w:lang w:val="es-ES_tradnl"/>
        </w:rPr>
        <w:t>mericana</w:t>
      </w:r>
      <w:r w:rsidR="00F160FB" w:rsidRPr="00D80603">
        <w:rPr>
          <w:rFonts w:ascii="Verdana" w:hAnsi="Verdana" w:cstheme="minorHAnsi"/>
          <w:i/>
          <w:iCs/>
          <w:sz w:val="20"/>
          <w:szCs w:val="20"/>
          <w:lang w:val="es-ES_tradnl"/>
        </w:rPr>
        <w:t>, con independencia de si el Estado era parte del Convenio 169 de la OIT</w:t>
      </w:r>
      <w:r w:rsidR="00F160FB" w:rsidRPr="00D80603">
        <w:rPr>
          <w:rFonts w:ascii="Verdana" w:hAnsi="Verdana" w:cstheme="minorHAnsi"/>
          <w:sz w:val="20"/>
          <w:szCs w:val="20"/>
          <w:lang w:val="es-ES_tradnl"/>
        </w:rPr>
        <w:t xml:space="preserve">. </w:t>
      </w:r>
    </w:p>
    <w:p w14:paraId="203B8CAB" w14:textId="77777777" w:rsidR="00C379F3" w:rsidRPr="00D80603" w:rsidRDefault="00C379F3" w:rsidP="00C379F3">
      <w:pPr>
        <w:pStyle w:val="Prrafodelista"/>
        <w:rPr>
          <w:rFonts w:ascii="Verdana" w:hAnsi="Verdana" w:cstheme="minorHAnsi"/>
          <w:i/>
          <w:iCs/>
          <w:sz w:val="20"/>
          <w:szCs w:val="20"/>
          <w:lang w:val="es-ES_tradnl"/>
        </w:rPr>
      </w:pPr>
    </w:p>
    <w:p w14:paraId="11233C57" w14:textId="6E0A3D2C" w:rsidR="00C379F3" w:rsidRPr="00D80603" w:rsidRDefault="00F160FB" w:rsidP="00406877">
      <w:pPr>
        <w:numPr>
          <w:ilvl w:val="0"/>
          <w:numId w:val="2"/>
        </w:numPr>
        <w:tabs>
          <w:tab w:val="left" w:pos="567"/>
        </w:tabs>
        <w:ind w:left="0" w:right="48" w:firstLine="0"/>
        <w:contextualSpacing/>
        <w:jc w:val="both"/>
        <w:rPr>
          <w:rFonts w:ascii="Verdana" w:hAnsi="Verdana" w:cstheme="minorHAnsi"/>
          <w:sz w:val="20"/>
          <w:szCs w:val="20"/>
          <w:lang w:val="es-ES_tradnl"/>
        </w:rPr>
      </w:pPr>
      <w:r w:rsidRPr="00D80603">
        <w:rPr>
          <w:rFonts w:ascii="Verdana" w:hAnsi="Verdana" w:cstheme="minorHAnsi"/>
          <w:sz w:val="20"/>
          <w:szCs w:val="20"/>
          <w:lang w:val="es-ES_tradnl"/>
        </w:rPr>
        <w:t xml:space="preserve">Por otro lado, en el caso </w:t>
      </w:r>
      <w:r w:rsidR="006B25E9" w:rsidRPr="00D80603">
        <w:rPr>
          <w:rFonts w:ascii="Verdana" w:hAnsi="Verdana" w:cstheme="minorHAnsi"/>
          <w:i/>
          <w:iCs/>
          <w:sz w:val="20"/>
          <w:szCs w:val="20"/>
          <w:lang w:val="es-ES_tradnl"/>
        </w:rPr>
        <w:t xml:space="preserve">Sarayaku </w:t>
      </w:r>
      <w:r w:rsidRPr="00D80603">
        <w:rPr>
          <w:rFonts w:ascii="Verdana" w:hAnsi="Verdana" w:cstheme="minorHAnsi"/>
          <w:i/>
          <w:iCs/>
          <w:sz w:val="20"/>
          <w:szCs w:val="20"/>
          <w:lang w:val="es-ES_tradnl"/>
        </w:rPr>
        <w:t>Vs. Ec</w:t>
      </w:r>
      <w:r w:rsidRPr="00D80603">
        <w:rPr>
          <w:rFonts w:ascii="Verdana" w:hAnsi="Verdana" w:cstheme="minorHAnsi"/>
          <w:sz w:val="20"/>
          <w:szCs w:val="20"/>
          <w:lang w:val="es-ES_tradnl"/>
        </w:rPr>
        <w:t>uador</w:t>
      </w:r>
      <w:r w:rsidR="00694B57" w:rsidRPr="00D80603">
        <w:rPr>
          <w:rFonts w:ascii="Verdana" w:hAnsi="Verdana" w:cstheme="minorHAnsi"/>
          <w:sz w:val="20"/>
          <w:szCs w:val="20"/>
          <w:lang w:val="es-ES_tradnl"/>
        </w:rPr>
        <w:t xml:space="preserve"> (2012)</w:t>
      </w:r>
      <w:r w:rsidRPr="00D80603">
        <w:rPr>
          <w:rFonts w:ascii="Verdana" w:hAnsi="Verdana" w:cstheme="minorHAnsi"/>
          <w:sz w:val="20"/>
          <w:szCs w:val="20"/>
          <w:lang w:val="es-ES_tradnl"/>
        </w:rPr>
        <w:t xml:space="preserve">, la </w:t>
      </w:r>
      <w:r w:rsidR="006B25E9" w:rsidRPr="00D80603">
        <w:rPr>
          <w:rFonts w:ascii="Verdana" w:hAnsi="Verdana" w:cstheme="minorHAnsi"/>
          <w:sz w:val="20"/>
          <w:szCs w:val="20"/>
          <w:lang w:val="es-ES_tradnl"/>
        </w:rPr>
        <w:t>Corte</w:t>
      </w:r>
      <w:r w:rsidRPr="00D80603">
        <w:rPr>
          <w:rFonts w:ascii="Verdana" w:hAnsi="Verdana" w:cstheme="minorHAnsi"/>
          <w:sz w:val="20"/>
          <w:szCs w:val="20"/>
          <w:lang w:val="es-ES_tradnl"/>
        </w:rPr>
        <w:t xml:space="preserve"> IDH hizo un razonamiento distinto</w:t>
      </w:r>
      <w:r w:rsidR="000B6C55" w:rsidRPr="00D80603">
        <w:rPr>
          <w:rFonts w:ascii="Verdana" w:hAnsi="Verdana" w:cstheme="minorHAnsi"/>
          <w:sz w:val="20"/>
          <w:szCs w:val="20"/>
          <w:lang w:val="es-ES_tradnl"/>
        </w:rPr>
        <w:t xml:space="preserve">. Consideró que </w:t>
      </w:r>
      <w:r w:rsidR="006B25E9" w:rsidRPr="00D80603">
        <w:rPr>
          <w:rFonts w:ascii="Verdana" w:hAnsi="Verdana" w:cstheme="minorHAnsi"/>
          <w:sz w:val="20"/>
          <w:szCs w:val="20"/>
          <w:lang w:val="es-ES_tradnl"/>
        </w:rPr>
        <w:t xml:space="preserve">si bien, antes de la ratificación del Convenio 169 </w:t>
      </w:r>
      <w:r w:rsidR="000B6C55" w:rsidRPr="00D80603">
        <w:rPr>
          <w:rFonts w:ascii="Verdana" w:hAnsi="Verdana" w:cstheme="minorHAnsi"/>
          <w:sz w:val="20"/>
          <w:szCs w:val="20"/>
          <w:lang w:val="es-ES_tradnl"/>
        </w:rPr>
        <w:t xml:space="preserve">de la OIT </w:t>
      </w:r>
      <w:r w:rsidR="006B25E9" w:rsidRPr="00D80603">
        <w:rPr>
          <w:rFonts w:ascii="Verdana" w:hAnsi="Verdana" w:cstheme="minorHAnsi"/>
          <w:sz w:val="20"/>
          <w:szCs w:val="20"/>
          <w:lang w:val="es-ES_tradnl"/>
        </w:rPr>
        <w:t>existía la obligación de garantizar al Pueblo Sarayaku el derecho al goce efectivo de su propiedad conforme su tradición comunitaria, teniendo en cuenta las particularidades propias de su identidad indígena en su relación con el territorio, el Estado “adquirió el compromiso internacional de garantizar el derecho a la consulta, al ratificar en abril de 1998 el Convenio N</w:t>
      </w:r>
      <w:r w:rsidR="00406877" w:rsidRPr="00D80603">
        <w:rPr>
          <w:rFonts w:ascii="Verdana" w:hAnsi="Verdana" w:cstheme="minorHAnsi"/>
          <w:sz w:val="20"/>
          <w:szCs w:val="20"/>
          <w:lang w:val="es-ES_tradnl"/>
        </w:rPr>
        <w:t>o</w:t>
      </w:r>
      <w:r w:rsidR="006B25E9" w:rsidRPr="00D80603">
        <w:rPr>
          <w:rFonts w:ascii="Verdana" w:hAnsi="Verdana" w:cstheme="minorHAnsi"/>
          <w:sz w:val="20"/>
          <w:szCs w:val="20"/>
          <w:lang w:val="es-ES_tradnl"/>
        </w:rPr>
        <w:t xml:space="preserve"> 169 de la OIT, y desde que se consagraron constitucionalmente los derechos colectivos de los Pueblos indígenas y afroecuatorianos, al entrar en vigor la Constitución Política del Ecuador de 1998”</w:t>
      </w:r>
      <w:r w:rsidR="006B25E9" w:rsidRPr="00D80603">
        <w:rPr>
          <w:rStyle w:val="Refdenotaalpie"/>
          <w:rFonts w:ascii="Verdana" w:hAnsi="Verdana" w:cstheme="minorHAnsi"/>
          <w:sz w:val="20"/>
          <w:szCs w:val="20"/>
          <w:lang w:val="es-ES_tradnl"/>
        </w:rPr>
        <w:footnoteReference w:id="12"/>
      </w:r>
      <w:r w:rsidR="006B25E9" w:rsidRPr="00D80603">
        <w:rPr>
          <w:rFonts w:ascii="Verdana" w:hAnsi="Verdana" w:cstheme="minorHAnsi"/>
          <w:sz w:val="20"/>
          <w:szCs w:val="20"/>
          <w:lang w:val="es-ES_tradnl"/>
        </w:rPr>
        <w:t>.</w:t>
      </w:r>
    </w:p>
    <w:p w14:paraId="0FCEA0FD" w14:textId="77777777" w:rsidR="00C379F3" w:rsidRPr="00D80603" w:rsidRDefault="00C379F3" w:rsidP="00C379F3">
      <w:pPr>
        <w:pStyle w:val="Prrafodelista"/>
        <w:rPr>
          <w:rFonts w:ascii="Verdana" w:hAnsi="Verdana" w:cstheme="minorHAnsi"/>
          <w:sz w:val="20"/>
          <w:szCs w:val="20"/>
          <w:lang w:val="es-ES_tradnl"/>
        </w:rPr>
      </w:pPr>
    </w:p>
    <w:p w14:paraId="24EC5C69" w14:textId="5F044908" w:rsidR="00C379F3" w:rsidRPr="00D80603" w:rsidRDefault="006B25E9" w:rsidP="00C379F3">
      <w:pPr>
        <w:numPr>
          <w:ilvl w:val="0"/>
          <w:numId w:val="2"/>
        </w:numPr>
        <w:tabs>
          <w:tab w:val="left" w:pos="567"/>
        </w:tabs>
        <w:ind w:left="0" w:right="48" w:firstLine="0"/>
        <w:contextualSpacing/>
        <w:jc w:val="both"/>
        <w:rPr>
          <w:rFonts w:ascii="Verdana" w:hAnsi="Verdana" w:cstheme="minorHAnsi"/>
          <w:i/>
          <w:iCs/>
          <w:sz w:val="20"/>
          <w:szCs w:val="20"/>
          <w:lang w:val="es-ES_tradnl"/>
        </w:rPr>
      </w:pPr>
      <w:r w:rsidRPr="00D80603">
        <w:rPr>
          <w:rFonts w:ascii="Verdana" w:hAnsi="Verdana" w:cstheme="minorHAnsi"/>
          <w:sz w:val="20"/>
          <w:szCs w:val="20"/>
          <w:lang w:val="es-ES_tradnl"/>
        </w:rPr>
        <w:t>Sostuvo</w:t>
      </w:r>
      <w:r w:rsidR="000B6C55" w:rsidRPr="00D80603">
        <w:rPr>
          <w:rFonts w:ascii="Verdana" w:hAnsi="Verdana" w:cstheme="minorHAnsi"/>
          <w:sz w:val="20"/>
          <w:szCs w:val="20"/>
          <w:lang w:val="es-ES_tradnl"/>
        </w:rPr>
        <w:t>,</w:t>
      </w:r>
      <w:r w:rsidRPr="00D80603">
        <w:rPr>
          <w:rFonts w:ascii="Verdana" w:hAnsi="Verdana" w:cstheme="minorHAnsi"/>
          <w:sz w:val="20"/>
          <w:szCs w:val="20"/>
          <w:lang w:val="es-ES_tradnl"/>
        </w:rPr>
        <w:t xml:space="preserve"> asimismo</w:t>
      </w:r>
      <w:r w:rsidR="000B6C55" w:rsidRPr="00D80603">
        <w:rPr>
          <w:rFonts w:ascii="Verdana" w:hAnsi="Verdana" w:cstheme="minorHAnsi"/>
          <w:sz w:val="20"/>
          <w:szCs w:val="20"/>
          <w:lang w:val="es-ES_tradnl"/>
        </w:rPr>
        <w:t>,</w:t>
      </w:r>
      <w:r w:rsidRPr="00D80603">
        <w:rPr>
          <w:rFonts w:ascii="Verdana" w:hAnsi="Verdana" w:cstheme="minorHAnsi"/>
          <w:sz w:val="20"/>
          <w:szCs w:val="20"/>
          <w:lang w:val="es-ES_tradnl"/>
        </w:rPr>
        <w:t xml:space="preserve"> que dado que “el Convenio N</w:t>
      </w:r>
      <w:r w:rsidR="00112F4D" w:rsidRPr="00D80603">
        <w:rPr>
          <w:rFonts w:ascii="Verdana" w:hAnsi="Verdana" w:cstheme="minorHAnsi"/>
          <w:sz w:val="20"/>
          <w:szCs w:val="20"/>
          <w:lang w:val="es-ES_tradnl"/>
        </w:rPr>
        <w:t>o.</w:t>
      </w:r>
      <w:r w:rsidRPr="00D80603">
        <w:rPr>
          <w:rFonts w:ascii="Verdana" w:hAnsi="Verdana" w:cstheme="minorHAnsi"/>
          <w:sz w:val="20"/>
          <w:szCs w:val="20"/>
          <w:lang w:val="es-ES_tradnl"/>
        </w:rPr>
        <w:t xml:space="preserve"> 169 de la OIT aplica en relación con los impactos y decisiones posteriores originados en proyectos petroleros […] es indudable que </w:t>
      </w:r>
      <w:r w:rsidRPr="00D80603">
        <w:rPr>
          <w:rFonts w:ascii="Verdana" w:hAnsi="Verdana" w:cstheme="minorHAnsi"/>
          <w:sz w:val="20"/>
          <w:szCs w:val="20"/>
          <w:u w:val="single"/>
          <w:lang w:val="es-ES_tradnl"/>
        </w:rPr>
        <w:t>al menos desde mayo de 1999</w:t>
      </w:r>
      <w:r w:rsidRPr="00D80603">
        <w:rPr>
          <w:rFonts w:ascii="Verdana" w:hAnsi="Verdana" w:cstheme="minorHAnsi"/>
          <w:sz w:val="20"/>
          <w:szCs w:val="20"/>
          <w:lang w:val="es-ES_tradnl"/>
        </w:rPr>
        <w:t xml:space="preserve"> el Estado tenía la obligación de garantizar el derecho a la consulta previa al Pueblo Sarayaku, en relación con su derecho a la propiedad comunal e identidad cultural, para asegurar que los actos de ejecución de la referida concesión no comprometieran su territorio ancestral o su supervivencia y subsistencia como pueblo indígena”</w:t>
      </w:r>
      <w:r w:rsidRPr="00D80603">
        <w:rPr>
          <w:rStyle w:val="Refdenotaalpie"/>
          <w:rFonts w:ascii="Verdana" w:hAnsi="Verdana" w:cstheme="minorHAnsi"/>
          <w:sz w:val="20"/>
          <w:szCs w:val="20"/>
          <w:lang w:val="es-ES_tradnl"/>
        </w:rPr>
        <w:footnoteReference w:id="13"/>
      </w:r>
      <w:r w:rsidRPr="00D80603">
        <w:rPr>
          <w:rFonts w:ascii="Verdana" w:hAnsi="Verdana" w:cstheme="minorHAnsi"/>
          <w:sz w:val="20"/>
          <w:szCs w:val="20"/>
          <w:lang w:val="es-ES_tradnl"/>
        </w:rPr>
        <w:t>.</w:t>
      </w:r>
    </w:p>
    <w:p w14:paraId="1AA1F699" w14:textId="77777777" w:rsidR="00C379F3" w:rsidRPr="00D80603" w:rsidRDefault="00C379F3" w:rsidP="00C379F3">
      <w:pPr>
        <w:pStyle w:val="Prrafodelista"/>
        <w:rPr>
          <w:rFonts w:ascii="Verdana" w:hAnsi="Verdana" w:cstheme="minorHAnsi"/>
          <w:sz w:val="20"/>
          <w:szCs w:val="20"/>
          <w:u w:val="single"/>
          <w:lang w:val="es-ES_tradnl"/>
        </w:rPr>
      </w:pPr>
    </w:p>
    <w:p w14:paraId="39EF5521" w14:textId="4198893C" w:rsidR="00C379F3" w:rsidRPr="00D80603" w:rsidRDefault="006B25E9" w:rsidP="00EB5C1F">
      <w:pPr>
        <w:numPr>
          <w:ilvl w:val="0"/>
          <w:numId w:val="2"/>
        </w:numPr>
        <w:tabs>
          <w:tab w:val="left" w:pos="567"/>
        </w:tabs>
        <w:ind w:left="0" w:right="48" w:firstLine="0"/>
        <w:contextualSpacing/>
        <w:jc w:val="both"/>
        <w:rPr>
          <w:rFonts w:ascii="Verdana" w:hAnsi="Verdana" w:cstheme="minorHAnsi"/>
          <w:i/>
          <w:iCs/>
          <w:sz w:val="20"/>
          <w:szCs w:val="20"/>
          <w:lang w:val="es-ES_tradnl"/>
        </w:rPr>
      </w:pPr>
      <w:r w:rsidRPr="00D80603">
        <w:rPr>
          <w:rFonts w:ascii="Verdana" w:hAnsi="Verdana" w:cstheme="minorHAnsi"/>
          <w:sz w:val="20"/>
          <w:szCs w:val="20"/>
          <w:lang w:val="es-ES_tradnl"/>
        </w:rPr>
        <w:t>En conclusión, en ese caso la Corte consideró que la obligación de llevar a cabo la consulta previa nació a partir del momento en que se ratificó el Convenio 169 de la OIT por parte de Ecuador, esto es en el año 1998.</w:t>
      </w:r>
      <w:r w:rsidR="00EB5C1F" w:rsidRPr="00D80603">
        <w:rPr>
          <w:rFonts w:ascii="Verdana" w:hAnsi="Verdana" w:cstheme="minorHAnsi"/>
          <w:sz w:val="20"/>
          <w:szCs w:val="20"/>
          <w:lang w:val="es-ES_tradnl"/>
        </w:rPr>
        <w:t xml:space="preserve"> Si bien esta argumentación difiere de la expresada un lustro antes en el caso</w:t>
      </w:r>
      <w:r w:rsidR="00EB5C1F" w:rsidRPr="00D80603">
        <w:rPr>
          <w:rFonts w:ascii="Verdana" w:hAnsi="Verdana" w:cstheme="minorHAnsi"/>
          <w:i/>
          <w:iCs/>
          <w:sz w:val="20"/>
          <w:szCs w:val="20"/>
          <w:lang w:val="es-ES_tradnl"/>
        </w:rPr>
        <w:t xml:space="preserve"> Saramaka</w:t>
      </w:r>
      <w:r w:rsidR="00EB5C1F" w:rsidRPr="00D80603">
        <w:rPr>
          <w:rFonts w:ascii="Verdana" w:hAnsi="Verdana" w:cstheme="minorHAnsi"/>
          <w:sz w:val="20"/>
          <w:szCs w:val="20"/>
          <w:lang w:val="es-ES_tradnl"/>
        </w:rPr>
        <w:t xml:space="preserve">, la Corte IDH dejó una ventana abierta, para interpretar en el futuro la consulta previa a partir de la Convención Americana, al indicar que, “… </w:t>
      </w:r>
      <w:r w:rsidR="00EB5C1F" w:rsidRPr="00D80603">
        <w:rPr>
          <w:rFonts w:ascii="Verdana" w:hAnsi="Verdana" w:cstheme="minorHAnsi"/>
          <w:sz w:val="20"/>
          <w:szCs w:val="20"/>
          <w:u w:val="single"/>
          <w:lang w:val="es-ES_tradnl"/>
        </w:rPr>
        <w:t>al menos desde mayo de 1999 el Estado tenía la obligación de garantizar el derecho a la consulta previa</w:t>
      </w:r>
      <w:r w:rsidR="00EB5C1F" w:rsidRPr="00D80603">
        <w:rPr>
          <w:rFonts w:ascii="Verdana" w:hAnsi="Verdana" w:cstheme="minorHAnsi"/>
          <w:sz w:val="20"/>
          <w:szCs w:val="20"/>
          <w:lang w:val="es-ES_tradnl"/>
        </w:rPr>
        <w:t>”.</w:t>
      </w:r>
      <w:r w:rsidR="00BA3360" w:rsidRPr="00D80603">
        <w:rPr>
          <w:rFonts w:ascii="Verdana" w:hAnsi="Verdana" w:cstheme="minorHAnsi"/>
          <w:i/>
          <w:iCs/>
          <w:sz w:val="20"/>
          <w:szCs w:val="20"/>
          <w:lang w:val="es-ES_tradnl"/>
        </w:rPr>
        <w:t xml:space="preserve"> </w:t>
      </w:r>
      <w:r w:rsidR="00EB5C1F" w:rsidRPr="00D80603">
        <w:rPr>
          <w:rFonts w:ascii="Verdana" w:hAnsi="Verdana" w:cstheme="minorHAnsi"/>
          <w:sz w:val="20"/>
          <w:szCs w:val="20"/>
          <w:lang w:val="es-ES_tradnl"/>
        </w:rPr>
        <w:t>T</w:t>
      </w:r>
      <w:r w:rsidR="00691304" w:rsidRPr="00D80603">
        <w:rPr>
          <w:rFonts w:ascii="Verdana" w:hAnsi="Verdana" w:cstheme="minorHAnsi"/>
          <w:sz w:val="20"/>
          <w:szCs w:val="20"/>
          <w:lang w:val="es-ES_tradnl"/>
        </w:rPr>
        <w:t>ampoco se debe perder de vista que, en todo caso, este desarrollo en el caso concreto se decidió bajo un reconocimiento de responsabilidad del Estado.</w:t>
      </w:r>
      <w:r w:rsidR="00691304" w:rsidRPr="00D80603">
        <w:rPr>
          <w:rFonts w:ascii="Verdana" w:hAnsi="Verdana" w:cstheme="minorHAnsi"/>
          <w:sz w:val="20"/>
          <w:szCs w:val="20"/>
          <w:u w:val="single"/>
          <w:lang w:val="es-ES_tradnl"/>
        </w:rPr>
        <w:t xml:space="preserve"> </w:t>
      </w:r>
    </w:p>
    <w:p w14:paraId="2DA1B3DF" w14:textId="77777777" w:rsidR="00C379F3" w:rsidRPr="00D80603" w:rsidRDefault="00C379F3" w:rsidP="00C379F3">
      <w:pPr>
        <w:pStyle w:val="Prrafodelista"/>
        <w:rPr>
          <w:rFonts w:ascii="Verdana" w:hAnsi="Verdana" w:cstheme="minorHAnsi"/>
          <w:i/>
          <w:iCs/>
          <w:sz w:val="20"/>
          <w:szCs w:val="20"/>
          <w:lang w:val="es-ES_tradnl"/>
        </w:rPr>
      </w:pPr>
    </w:p>
    <w:p w14:paraId="0201B45A" w14:textId="6DC7A947" w:rsidR="00C379F3" w:rsidRPr="00D80603" w:rsidRDefault="00BA3360" w:rsidP="00C379F3">
      <w:pPr>
        <w:numPr>
          <w:ilvl w:val="0"/>
          <w:numId w:val="2"/>
        </w:numPr>
        <w:tabs>
          <w:tab w:val="left" w:pos="567"/>
        </w:tabs>
        <w:ind w:left="0" w:right="48" w:firstLine="0"/>
        <w:contextualSpacing/>
        <w:jc w:val="both"/>
        <w:rPr>
          <w:rFonts w:ascii="Verdana" w:hAnsi="Verdana" w:cstheme="minorHAnsi"/>
          <w:i/>
          <w:iCs/>
          <w:sz w:val="20"/>
          <w:szCs w:val="20"/>
          <w:lang w:val="es-ES_tradnl"/>
        </w:rPr>
      </w:pPr>
      <w:r w:rsidRPr="00D80603">
        <w:rPr>
          <w:rFonts w:ascii="Verdana" w:hAnsi="Verdana" w:cstheme="minorHAnsi"/>
          <w:sz w:val="20"/>
          <w:szCs w:val="20"/>
          <w:lang w:val="es-ES_tradnl"/>
        </w:rPr>
        <w:t>En tercer lugar</w:t>
      </w:r>
      <w:r w:rsidR="00694B57" w:rsidRPr="00D80603">
        <w:rPr>
          <w:rFonts w:ascii="Verdana" w:hAnsi="Verdana" w:cstheme="minorHAnsi"/>
          <w:sz w:val="20"/>
          <w:szCs w:val="20"/>
          <w:lang w:val="es-ES_tradnl"/>
        </w:rPr>
        <w:t>,</w:t>
      </w:r>
      <w:r w:rsidRPr="00D80603">
        <w:rPr>
          <w:rFonts w:ascii="Verdana" w:hAnsi="Verdana" w:cstheme="minorHAnsi"/>
          <w:sz w:val="20"/>
          <w:szCs w:val="20"/>
          <w:lang w:val="es-ES_tradnl"/>
        </w:rPr>
        <w:t xml:space="preserve"> se encuentra el caso </w:t>
      </w:r>
      <w:r w:rsidR="0009131C" w:rsidRPr="00D80603">
        <w:rPr>
          <w:rFonts w:ascii="Verdana" w:hAnsi="Verdana" w:cstheme="minorHAnsi"/>
          <w:sz w:val="20"/>
          <w:szCs w:val="20"/>
          <w:lang w:val="es-ES_tradnl"/>
        </w:rPr>
        <w:t xml:space="preserve">Comunidad Garífuna </w:t>
      </w:r>
      <w:r w:rsidR="006B25E9" w:rsidRPr="00D80603">
        <w:rPr>
          <w:rFonts w:ascii="Verdana" w:hAnsi="Verdana" w:cstheme="minorHAnsi"/>
          <w:i/>
          <w:iCs/>
          <w:sz w:val="20"/>
          <w:szCs w:val="20"/>
          <w:lang w:val="es-ES_tradnl"/>
        </w:rPr>
        <w:t xml:space="preserve">Triunfo de la </w:t>
      </w:r>
      <w:r w:rsidRPr="00D80603">
        <w:rPr>
          <w:rFonts w:ascii="Verdana" w:hAnsi="Verdana" w:cstheme="minorHAnsi"/>
          <w:i/>
          <w:iCs/>
          <w:sz w:val="20"/>
          <w:szCs w:val="20"/>
          <w:lang w:val="es-ES_tradnl"/>
        </w:rPr>
        <w:t>C</w:t>
      </w:r>
      <w:r w:rsidR="006B25E9" w:rsidRPr="00D80603">
        <w:rPr>
          <w:rFonts w:ascii="Verdana" w:hAnsi="Verdana" w:cstheme="minorHAnsi"/>
          <w:i/>
          <w:iCs/>
          <w:sz w:val="20"/>
          <w:szCs w:val="20"/>
          <w:lang w:val="es-ES_tradnl"/>
        </w:rPr>
        <w:t>ruz</w:t>
      </w:r>
      <w:r w:rsidR="0009131C" w:rsidRPr="00D80603">
        <w:rPr>
          <w:rFonts w:ascii="Verdana" w:hAnsi="Verdana" w:cstheme="minorHAnsi"/>
          <w:i/>
          <w:iCs/>
          <w:sz w:val="20"/>
          <w:szCs w:val="20"/>
          <w:lang w:val="es-ES_tradnl"/>
        </w:rPr>
        <w:t xml:space="preserve"> y sus miembros</w:t>
      </w:r>
      <w:r w:rsidRPr="00D80603">
        <w:rPr>
          <w:rFonts w:ascii="Verdana" w:hAnsi="Verdana" w:cstheme="minorHAnsi"/>
          <w:i/>
          <w:iCs/>
          <w:sz w:val="20"/>
          <w:szCs w:val="20"/>
          <w:lang w:val="es-ES_tradnl"/>
        </w:rPr>
        <w:t xml:space="preserve"> Vs. </w:t>
      </w:r>
      <w:r w:rsidR="00AD13BE" w:rsidRPr="00D80603">
        <w:rPr>
          <w:rFonts w:ascii="Verdana" w:hAnsi="Verdana" w:cstheme="minorHAnsi"/>
          <w:i/>
          <w:iCs/>
          <w:sz w:val="20"/>
          <w:szCs w:val="20"/>
          <w:lang w:val="es-ES_tradnl"/>
        </w:rPr>
        <w:t>Honduras</w:t>
      </w:r>
      <w:r w:rsidR="00393D78" w:rsidRPr="00D80603">
        <w:rPr>
          <w:rFonts w:ascii="Verdana" w:hAnsi="Verdana" w:cstheme="minorHAnsi"/>
          <w:sz w:val="20"/>
          <w:szCs w:val="20"/>
          <w:lang w:val="es-ES_tradnl"/>
        </w:rPr>
        <w:t xml:space="preserve"> (2015)</w:t>
      </w:r>
      <w:r w:rsidR="00AC224E" w:rsidRPr="00D80603">
        <w:rPr>
          <w:rFonts w:ascii="Verdana" w:hAnsi="Verdana" w:cstheme="minorHAnsi"/>
          <w:i/>
          <w:iCs/>
          <w:sz w:val="20"/>
          <w:szCs w:val="20"/>
          <w:lang w:val="es-ES_tradnl"/>
        </w:rPr>
        <w:t>.</w:t>
      </w:r>
      <w:r w:rsidR="00AD13BE" w:rsidRPr="00D80603">
        <w:rPr>
          <w:rFonts w:ascii="Verdana" w:hAnsi="Verdana" w:cstheme="minorHAnsi"/>
          <w:i/>
          <w:iCs/>
          <w:sz w:val="20"/>
          <w:szCs w:val="20"/>
          <w:lang w:val="es-ES_tradnl"/>
        </w:rPr>
        <w:t xml:space="preserve"> </w:t>
      </w:r>
      <w:r w:rsidR="00AC224E" w:rsidRPr="00D80603">
        <w:rPr>
          <w:rFonts w:ascii="Verdana" w:hAnsi="Verdana" w:cstheme="minorHAnsi"/>
          <w:sz w:val="20"/>
          <w:szCs w:val="20"/>
          <w:lang w:val="es-ES_tradnl"/>
        </w:rPr>
        <w:t xml:space="preserve">La Corte </w:t>
      </w:r>
      <w:r w:rsidR="00694B57" w:rsidRPr="00D80603">
        <w:rPr>
          <w:rFonts w:ascii="Verdana" w:hAnsi="Verdana" w:cstheme="minorHAnsi"/>
          <w:sz w:val="20"/>
          <w:szCs w:val="20"/>
          <w:lang w:val="es-ES_tradnl"/>
        </w:rPr>
        <w:t xml:space="preserve">IDH </w:t>
      </w:r>
      <w:r w:rsidR="006B25E9" w:rsidRPr="00D80603">
        <w:rPr>
          <w:rFonts w:ascii="Verdana" w:hAnsi="Verdana" w:cstheme="minorHAnsi"/>
          <w:sz w:val="20"/>
          <w:szCs w:val="20"/>
          <w:lang w:val="es-ES_tradnl"/>
        </w:rPr>
        <w:t>tuvo que determinar si la falta de consulta previa respecto de la ampliación del casco urbano de la Ciudad de Tela en 1989, sin que estuviera ratificado el convenio 169 de la OIT por parte de Honduras, constituía una violación a la C</w:t>
      </w:r>
      <w:r w:rsidR="00C87B7D" w:rsidRPr="00D80603">
        <w:rPr>
          <w:rFonts w:ascii="Verdana" w:hAnsi="Verdana" w:cstheme="minorHAnsi"/>
          <w:sz w:val="20"/>
          <w:szCs w:val="20"/>
          <w:lang w:val="es-ES_tradnl"/>
        </w:rPr>
        <w:t>onvención Americana.</w:t>
      </w:r>
      <w:r w:rsidR="006B25E9" w:rsidRPr="00D80603">
        <w:rPr>
          <w:rFonts w:ascii="Verdana" w:hAnsi="Verdana" w:cstheme="minorHAnsi"/>
          <w:sz w:val="20"/>
          <w:szCs w:val="20"/>
          <w:lang w:val="es-ES_tradnl"/>
        </w:rPr>
        <w:t xml:space="preserve"> </w:t>
      </w:r>
    </w:p>
    <w:p w14:paraId="16708989" w14:textId="77777777" w:rsidR="00C379F3" w:rsidRPr="00D80603" w:rsidRDefault="00C379F3" w:rsidP="00C379F3">
      <w:pPr>
        <w:pStyle w:val="Prrafodelista"/>
        <w:rPr>
          <w:rFonts w:ascii="Verdana" w:hAnsi="Verdana" w:cstheme="minorHAnsi"/>
          <w:sz w:val="20"/>
          <w:szCs w:val="20"/>
          <w:lang w:val="es-ES_tradnl"/>
        </w:rPr>
      </w:pPr>
    </w:p>
    <w:p w14:paraId="417E0738" w14:textId="686E1980" w:rsidR="00BA3360" w:rsidRPr="00D80603" w:rsidRDefault="006B25E9" w:rsidP="00C87B7D">
      <w:pPr>
        <w:numPr>
          <w:ilvl w:val="0"/>
          <w:numId w:val="2"/>
        </w:numPr>
        <w:tabs>
          <w:tab w:val="left" w:pos="567"/>
        </w:tabs>
        <w:ind w:left="0" w:right="48" w:firstLine="0"/>
        <w:contextualSpacing/>
        <w:jc w:val="both"/>
        <w:rPr>
          <w:rFonts w:ascii="Verdana" w:hAnsi="Verdana" w:cstheme="minorHAnsi"/>
          <w:i/>
          <w:iCs/>
          <w:sz w:val="20"/>
          <w:szCs w:val="20"/>
          <w:lang w:val="es-ES_tradnl"/>
        </w:rPr>
      </w:pPr>
      <w:r w:rsidRPr="00D80603">
        <w:rPr>
          <w:rFonts w:ascii="Verdana" w:hAnsi="Verdana" w:cstheme="minorHAnsi"/>
          <w:sz w:val="20"/>
          <w:szCs w:val="20"/>
          <w:lang w:val="es-ES_tradnl"/>
        </w:rPr>
        <w:t>En ese caso</w:t>
      </w:r>
      <w:r w:rsidR="00EB5C1F" w:rsidRPr="00D80603">
        <w:rPr>
          <w:rFonts w:ascii="Verdana" w:hAnsi="Verdana" w:cstheme="minorHAnsi"/>
          <w:sz w:val="20"/>
          <w:szCs w:val="20"/>
          <w:lang w:val="es-ES_tradnl"/>
        </w:rPr>
        <w:t>,</w:t>
      </w:r>
      <w:r w:rsidRPr="00D80603">
        <w:rPr>
          <w:rFonts w:ascii="Verdana" w:hAnsi="Verdana" w:cstheme="minorHAnsi"/>
          <w:sz w:val="20"/>
          <w:szCs w:val="20"/>
          <w:lang w:val="es-ES_tradnl"/>
        </w:rPr>
        <w:t xml:space="preserve"> </w:t>
      </w:r>
      <w:r w:rsidR="00C87B7D" w:rsidRPr="00D80603">
        <w:rPr>
          <w:rFonts w:ascii="Verdana" w:hAnsi="Verdana" w:cstheme="minorHAnsi"/>
          <w:sz w:val="20"/>
          <w:szCs w:val="20"/>
          <w:lang w:val="es-ES_tradnl"/>
        </w:rPr>
        <w:t>el Tribunal</w:t>
      </w:r>
      <w:r w:rsidRPr="00D80603">
        <w:rPr>
          <w:rFonts w:ascii="Verdana" w:hAnsi="Verdana" w:cstheme="minorHAnsi"/>
          <w:sz w:val="20"/>
          <w:szCs w:val="20"/>
          <w:lang w:val="es-ES_tradnl"/>
        </w:rPr>
        <w:t xml:space="preserve"> indicó que, “si bien desde 1982 existía la obligación interna de garantizar el derecho al uso y goce efectivo de la propiedad a los pueblos indígenas </w:t>
      </w:r>
      <w:r w:rsidRPr="00D80603">
        <w:rPr>
          <w:rFonts w:ascii="Verdana" w:hAnsi="Verdana" w:cstheme="minorHAnsi"/>
          <w:sz w:val="20"/>
          <w:szCs w:val="20"/>
          <w:lang w:val="es-ES_tradnl"/>
        </w:rPr>
        <w:lastRenderedPageBreak/>
        <w:t xml:space="preserve">y tribales, </w:t>
      </w:r>
      <w:r w:rsidRPr="00D80603">
        <w:rPr>
          <w:rFonts w:ascii="Verdana" w:hAnsi="Verdana" w:cstheme="minorHAnsi"/>
          <w:sz w:val="20"/>
          <w:szCs w:val="20"/>
          <w:u w:val="single"/>
          <w:lang w:val="es-ES_tradnl"/>
        </w:rPr>
        <w:t>al menos desde el 28 de marzo de 1996</w:t>
      </w:r>
      <w:r w:rsidRPr="00D80603">
        <w:rPr>
          <w:rFonts w:ascii="Verdana" w:hAnsi="Verdana" w:cstheme="minorHAnsi"/>
          <w:sz w:val="20"/>
          <w:szCs w:val="20"/>
          <w:lang w:val="es-ES_tradnl"/>
        </w:rPr>
        <w:t xml:space="preserve"> Honduras adquirió el compromiso internacional de garantizar el derecho a la consulta cuando entró en vigor el Convenio 169 de la OIT, ratificado por ese Estado el 28 de marzo de 1995”</w:t>
      </w:r>
      <w:r w:rsidRPr="00D80603">
        <w:rPr>
          <w:rStyle w:val="Refdenotaalpie"/>
          <w:rFonts w:ascii="Verdana" w:hAnsi="Verdana" w:cstheme="minorHAnsi"/>
          <w:sz w:val="20"/>
          <w:szCs w:val="20"/>
          <w:lang w:val="es-ES_tradnl"/>
        </w:rPr>
        <w:footnoteReference w:id="14"/>
      </w:r>
      <w:r w:rsidR="00BA3360" w:rsidRPr="00D80603">
        <w:rPr>
          <w:rFonts w:ascii="Verdana" w:hAnsi="Verdana" w:cstheme="minorHAnsi"/>
          <w:sz w:val="20"/>
          <w:szCs w:val="20"/>
          <w:lang w:val="es-ES_tradnl"/>
        </w:rPr>
        <w:t xml:space="preserve">, siendo que </w:t>
      </w:r>
      <w:r w:rsidR="00694B57" w:rsidRPr="00D80603">
        <w:rPr>
          <w:rFonts w:ascii="Verdana" w:hAnsi="Verdana" w:cstheme="minorHAnsi"/>
          <w:sz w:val="20"/>
          <w:szCs w:val="20"/>
          <w:lang w:val="es-ES_tradnl"/>
        </w:rPr>
        <w:t>Honduras es parte de la</w:t>
      </w:r>
      <w:r w:rsidR="00BA3360" w:rsidRPr="00D80603">
        <w:rPr>
          <w:rFonts w:ascii="Verdana" w:hAnsi="Verdana" w:cstheme="minorHAnsi"/>
          <w:sz w:val="20"/>
          <w:szCs w:val="20"/>
          <w:lang w:val="es-ES_tradnl"/>
        </w:rPr>
        <w:t xml:space="preserve"> </w:t>
      </w:r>
      <w:r w:rsidRPr="00D80603">
        <w:rPr>
          <w:rFonts w:ascii="Verdana" w:hAnsi="Verdana" w:cstheme="minorHAnsi"/>
          <w:sz w:val="20"/>
          <w:szCs w:val="20"/>
          <w:lang w:val="es-ES_tradnl"/>
        </w:rPr>
        <w:t xml:space="preserve">Convención Americana </w:t>
      </w:r>
      <w:r w:rsidR="00694B57" w:rsidRPr="00D80603">
        <w:rPr>
          <w:rFonts w:ascii="Verdana" w:hAnsi="Verdana" w:cstheme="minorHAnsi"/>
          <w:sz w:val="20"/>
          <w:szCs w:val="20"/>
          <w:lang w:val="es-ES_tradnl"/>
        </w:rPr>
        <w:t xml:space="preserve">desde </w:t>
      </w:r>
      <w:r w:rsidRPr="00D80603">
        <w:rPr>
          <w:rFonts w:ascii="Verdana" w:hAnsi="Verdana" w:cstheme="minorHAnsi"/>
          <w:sz w:val="20"/>
          <w:szCs w:val="20"/>
          <w:lang w:val="es-ES_tradnl"/>
        </w:rPr>
        <w:t xml:space="preserve">1977. </w:t>
      </w:r>
      <w:r w:rsidR="00BA3360" w:rsidRPr="00D80603">
        <w:rPr>
          <w:rFonts w:ascii="Verdana" w:hAnsi="Verdana" w:cstheme="minorHAnsi"/>
          <w:sz w:val="20"/>
          <w:szCs w:val="20"/>
          <w:lang w:val="es-ES_tradnl"/>
        </w:rPr>
        <w:t xml:space="preserve">Textualmente, el Tribunal Interamericano indicó: </w:t>
      </w:r>
    </w:p>
    <w:p w14:paraId="1AE7B82D" w14:textId="77777777" w:rsidR="00BA3360" w:rsidRPr="00D80603" w:rsidRDefault="00BA3360" w:rsidP="00BA3360">
      <w:pPr>
        <w:pStyle w:val="Prrafodelista"/>
        <w:rPr>
          <w:rFonts w:ascii="Verdana" w:hAnsi="Verdana" w:cstheme="minorHAnsi"/>
          <w:sz w:val="20"/>
          <w:szCs w:val="20"/>
          <w:u w:val="single"/>
          <w:lang w:val="es-ES_tradnl"/>
        </w:rPr>
      </w:pPr>
    </w:p>
    <w:p w14:paraId="0913349F" w14:textId="70514EE9" w:rsidR="00C379F3" w:rsidRPr="00D80603" w:rsidRDefault="006B25E9" w:rsidP="00BA3360">
      <w:pPr>
        <w:tabs>
          <w:tab w:val="left" w:pos="567"/>
        </w:tabs>
        <w:ind w:left="567" w:right="48"/>
        <w:contextualSpacing/>
        <w:jc w:val="both"/>
        <w:rPr>
          <w:rFonts w:ascii="Verdana" w:hAnsi="Verdana" w:cstheme="minorHAnsi"/>
          <w:i/>
          <w:iCs/>
          <w:sz w:val="20"/>
          <w:szCs w:val="20"/>
          <w:lang w:val="es-ES_tradnl"/>
        </w:rPr>
      </w:pPr>
      <w:r w:rsidRPr="00D80603">
        <w:rPr>
          <w:rFonts w:ascii="Verdana" w:hAnsi="Verdana" w:cstheme="minorHAnsi"/>
          <w:sz w:val="20"/>
          <w:szCs w:val="20"/>
          <w:lang w:val="es-ES_tradnl"/>
        </w:rPr>
        <w:t xml:space="preserve"> “la referida ampliación del casco urbano tuvo lugar, entre otros, en las tierras</w:t>
      </w:r>
      <w:r w:rsidR="00BA3360" w:rsidRPr="00D80603">
        <w:rPr>
          <w:rFonts w:ascii="Verdana" w:hAnsi="Verdana" w:cstheme="minorHAnsi"/>
          <w:sz w:val="20"/>
          <w:szCs w:val="20"/>
          <w:lang w:val="es-ES_tradnl"/>
        </w:rPr>
        <w:t xml:space="preserve"> </w:t>
      </w:r>
      <w:r w:rsidRPr="00D80603">
        <w:rPr>
          <w:rFonts w:ascii="Verdana" w:hAnsi="Verdana" w:cstheme="minorHAnsi"/>
          <w:sz w:val="20"/>
          <w:szCs w:val="20"/>
          <w:lang w:val="es-ES_tradnl"/>
        </w:rPr>
        <w:t xml:space="preserve">denominadas “Lote A1” (infra Mapa Anexo), reconocidas como tierras tradicionales de la Comunidad por el Estado. No obstante, dicha ampliación fue decretada mediante resolución N° 055-89 emitida por el INA en el año 1989 (supra párr. 73), por lo que esta medida administrativa fue adoptada antes que existiera una obligación internacional del Estado de Honduras de consultar a la Comunidad. </w:t>
      </w:r>
      <w:r w:rsidRPr="00D80603">
        <w:rPr>
          <w:rFonts w:ascii="Verdana" w:hAnsi="Verdana" w:cstheme="minorHAnsi"/>
          <w:sz w:val="20"/>
          <w:szCs w:val="20"/>
          <w:u w:val="single"/>
          <w:lang w:val="es-ES_tradnl"/>
        </w:rPr>
        <w:t>En consecuencia, la alegada ausencia de un proceso de consulta sobre dicha ampliación, en si mismo, no constituye una violación al derecho a la consulta de la Comunidad</w:t>
      </w:r>
      <w:bookmarkStart w:id="1" w:name="_Hlk128493199"/>
      <w:r w:rsidR="00BA3360" w:rsidRPr="00D80603">
        <w:rPr>
          <w:rFonts w:ascii="Verdana" w:hAnsi="Verdana" w:cstheme="minorHAnsi"/>
          <w:sz w:val="20"/>
          <w:szCs w:val="20"/>
          <w:lang w:val="es-ES_tradnl"/>
        </w:rPr>
        <w:t>”</w:t>
      </w:r>
      <w:r w:rsidRPr="00D80603">
        <w:rPr>
          <w:rStyle w:val="Refdenotaalpie"/>
          <w:rFonts w:ascii="Verdana" w:hAnsi="Verdana" w:cstheme="minorHAnsi"/>
          <w:sz w:val="20"/>
          <w:szCs w:val="20"/>
          <w:lang w:val="es-ES_tradnl"/>
        </w:rPr>
        <w:footnoteReference w:id="15"/>
      </w:r>
      <w:bookmarkEnd w:id="1"/>
      <w:r w:rsidR="00694B57" w:rsidRPr="00D80603">
        <w:rPr>
          <w:rFonts w:ascii="Verdana" w:hAnsi="Verdana" w:cstheme="minorHAnsi"/>
          <w:sz w:val="20"/>
          <w:szCs w:val="20"/>
          <w:lang w:val="es-ES_tradnl"/>
        </w:rPr>
        <w:t xml:space="preserve"> (subrayado nuestro)</w:t>
      </w:r>
      <w:r w:rsidRPr="00D80603">
        <w:rPr>
          <w:rFonts w:ascii="Verdana" w:hAnsi="Verdana" w:cstheme="minorHAnsi"/>
          <w:sz w:val="20"/>
          <w:szCs w:val="20"/>
          <w:lang w:val="es-ES_tradnl"/>
        </w:rPr>
        <w:t>.</w:t>
      </w:r>
    </w:p>
    <w:p w14:paraId="40D679D9" w14:textId="77777777" w:rsidR="00C379F3" w:rsidRPr="00D80603" w:rsidRDefault="00C379F3" w:rsidP="00C379F3">
      <w:pPr>
        <w:pStyle w:val="Prrafodelista"/>
        <w:rPr>
          <w:rFonts w:ascii="Verdana" w:hAnsi="Verdana" w:cstheme="minorHAnsi"/>
          <w:sz w:val="20"/>
          <w:szCs w:val="20"/>
          <w:u w:val="single"/>
          <w:lang w:val="es-ES_tradnl"/>
        </w:rPr>
      </w:pPr>
    </w:p>
    <w:p w14:paraId="67273642" w14:textId="213FCCAD" w:rsidR="00C379F3" w:rsidRPr="00D80603" w:rsidRDefault="00AC224E" w:rsidP="00C379F3">
      <w:pPr>
        <w:numPr>
          <w:ilvl w:val="0"/>
          <w:numId w:val="2"/>
        </w:numPr>
        <w:tabs>
          <w:tab w:val="left" w:pos="567"/>
        </w:tabs>
        <w:ind w:left="0" w:right="48" w:firstLine="0"/>
        <w:contextualSpacing/>
        <w:jc w:val="both"/>
        <w:rPr>
          <w:rFonts w:ascii="Verdana" w:hAnsi="Verdana" w:cstheme="minorHAnsi"/>
          <w:i/>
          <w:iCs/>
          <w:sz w:val="20"/>
          <w:szCs w:val="20"/>
          <w:lang w:val="es-ES_tradnl"/>
        </w:rPr>
      </w:pPr>
      <w:r w:rsidRPr="00D80603">
        <w:rPr>
          <w:rFonts w:ascii="Verdana" w:hAnsi="Verdana" w:cstheme="minorHAnsi"/>
          <w:sz w:val="20"/>
          <w:szCs w:val="20"/>
          <w:lang w:val="es-ES_tradnl"/>
        </w:rPr>
        <w:t>Por lo tanto</w:t>
      </w:r>
      <w:r w:rsidR="00BA3360" w:rsidRPr="00D80603">
        <w:rPr>
          <w:rFonts w:ascii="Verdana" w:hAnsi="Verdana" w:cstheme="minorHAnsi"/>
          <w:sz w:val="20"/>
          <w:szCs w:val="20"/>
          <w:lang w:val="es-ES_tradnl"/>
        </w:rPr>
        <w:t xml:space="preserve">, </w:t>
      </w:r>
      <w:r w:rsidR="006B25E9" w:rsidRPr="00D80603">
        <w:rPr>
          <w:rFonts w:ascii="Verdana" w:hAnsi="Verdana" w:cstheme="minorHAnsi"/>
          <w:sz w:val="20"/>
          <w:szCs w:val="20"/>
          <w:lang w:val="es-ES_tradnl"/>
        </w:rPr>
        <w:t>la Corte</w:t>
      </w:r>
      <w:r w:rsidR="00BA3360" w:rsidRPr="00D80603">
        <w:rPr>
          <w:rFonts w:ascii="Verdana" w:hAnsi="Verdana" w:cstheme="minorHAnsi"/>
          <w:sz w:val="20"/>
          <w:szCs w:val="20"/>
          <w:lang w:val="es-ES_tradnl"/>
        </w:rPr>
        <w:t xml:space="preserve"> </w:t>
      </w:r>
      <w:r w:rsidR="00686781" w:rsidRPr="00D80603">
        <w:rPr>
          <w:rFonts w:ascii="Verdana" w:hAnsi="Verdana" w:cstheme="minorHAnsi"/>
          <w:sz w:val="20"/>
          <w:szCs w:val="20"/>
          <w:lang w:val="es-ES_tradnl"/>
        </w:rPr>
        <w:t>IDH entendió</w:t>
      </w:r>
      <w:r w:rsidR="006B25E9" w:rsidRPr="00D80603">
        <w:rPr>
          <w:rFonts w:ascii="Verdana" w:hAnsi="Verdana" w:cstheme="minorHAnsi"/>
          <w:sz w:val="20"/>
          <w:szCs w:val="20"/>
          <w:lang w:val="es-ES_tradnl"/>
        </w:rPr>
        <w:t xml:space="preserve">, al igual que lo había hecho en el caso </w:t>
      </w:r>
      <w:r w:rsidR="006B25E9" w:rsidRPr="00D80603">
        <w:rPr>
          <w:rFonts w:ascii="Verdana" w:hAnsi="Verdana" w:cstheme="minorHAnsi"/>
          <w:i/>
          <w:iCs/>
          <w:sz w:val="20"/>
          <w:szCs w:val="20"/>
          <w:lang w:val="es-ES_tradnl"/>
        </w:rPr>
        <w:t>Sarayaku</w:t>
      </w:r>
      <w:r w:rsidR="006B25E9" w:rsidRPr="00D80603">
        <w:rPr>
          <w:rFonts w:ascii="Verdana" w:hAnsi="Verdana" w:cstheme="minorHAnsi"/>
          <w:sz w:val="20"/>
          <w:szCs w:val="20"/>
          <w:lang w:val="es-ES_tradnl"/>
        </w:rPr>
        <w:t xml:space="preserve"> </w:t>
      </w:r>
      <w:r w:rsidR="00694B57" w:rsidRPr="00D80603">
        <w:rPr>
          <w:rFonts w:ascii="Verdana" w:hAnsi="Verdana" w:cstheme="minorHAnsi"/>
          <w:sz w:val="20"/>
          <w:szCs w:val="20"/>
          <w:lang w:val="es-ES_tradnl"/>
        </w:rPr>
        <w:t>de</w:t>
      </w:r>
      <w:r w:rsidR="00C87B7D" w:rsidRPr="00D80603">
        <w:rPr>
          <w:rFonts w:ascii="Verdana" w:hAnsi="Verdana" w:cstheme="minorHAnsi"/>
          <w:sz w:val="20"/>
          <w:szCs w:val="20"/>
          <w:lang w:val="es-ES_tradnl"/>
        </w:rPr>
        <w:t xml:space="preserve"> </w:t>
      </w:r>
      <w:r w:rsidR="006B25E9" w:rsidRPr="00D80603">
        <w:rPr>
          <w:rFonts w:ascii="Verdana" w:hAnsi="Verdana" w:cstheme="minorHAnsi"/>
          <w:sz w:val="20"/>
          <w:szCs w:val="20"/>
          <w:lang w:val="es-ES_tradnl"/>
        </w:rPr>
        <w:t>2012, que la obligación de consultar nacía con la ratificación</w:t>
      </w:r>
      <w:r w:rsidR="00EB5C1F" w:rsidRPr="00D80603">
        <w:rPr>
          <w:rFonts w:ascii="Verdana" w:hAnsi="Verdana" w:cstheme="minorHAnsi"/>
          <w:sz w:val="20"/>
          <w:szCs w:val="20"/>
          <w:lang w:val="es-ES_tradnl"/>
        </w:rPr>
        <w:t xml:space="preserve"> y entrada en vigor</w:t>
      </w:r>
      <w:r w:rsidR="006B25E9" w:rsidRPr="00D80603">
        <w:rPr>
          <w:rFonts w:ascii="Verdana" w:hAnsi="Verdana" w:cstheme="minorHAnsi"/>
          <w:sz w:val="20"/>
          <w:szCs w:val="20"/>
          <w:lang w:val="es-ES_tradnl"/>
        </w:rPr>
        <w:t xml:space="preserve"> del </w:t>
      </w:r>
      <w:r w:rsidR="00AE12D7" w:rsidRPr="00D80603">
        <w:rPr>
          <w:rFonts w:ascii="Verdana" w:hAnsi="Verdana" w:cstheme="minorHAnsi"/>
          <w:sz w:val="20"/>
          <w:szCs w:val="20"/>
          <w:lang w:val="es-ES_tradnl"/>
        </w:rPr>
        <w:t xml:space="preserve">Convenio </w:t>
      </w:r>
      <w:r w:rsidR="006B25E9" w:rsidRPr="00D80603">
        <w:rPr>
          <w:rFonts w:ascii="Verdana" w:hAnsi="Verdana" w:cstheme="minorHAnsi"/>
          <w:sz w:val="20"/>
          <w:szCs w:val="20"/>
          <w:lang w:val="es-ES_tradnl"/>
        </w:rPr>
        <w:t xml:space="preserve">169 de la OIT. </w:t>
      </w:r>
    </w:p>
    <w:p w14:paraId="497F7E1A" w14:textId="77777777" w:rsidR="00BA3360" w:rsidRPr="00D80603" w:rsidRDefault="00BA3360" w:rsidP="00BA3360">
      <w:pPr>
        <w:tabs>
          <w:tab w:val="left" w:pos="567"/>
        </w:tabs>
        <w:ind w:right="48"/>
        <w:contextualSpacing/>
        <w:jc w:val="both"/>
        <w:rPr>
          <w:rFonts w:ascii="Verdana" w:hAnsi="Verdana" w:cstheme="minorHAnsi"/>
          <w:i/>
          <w:iCs/>
          <w:sz w:val="20"/>
          <w:szCs w:val="20"/>
          <w:lang w:val="es-ES_tradnl"/>
        </w:rPr>
      </w:pPr>
    </w:p>
    <w:p w14:paraId="49420BF2" w14:textId="79F62E42" w:rsidR="00C379F3" w:rsidRPr="00D80603" w:rsidRDefault="00856033" w:rsidP="00C379F3">
      <w:pPr>
        <w:numPr>
          <w:ilvl w:val="0"/>
          <w:numId w:val="2"/>
        </w:numPr>
        <w:tabs>
          <w:tab w:val="left" w:pos="567"/>
        </w:tabs>
        <w:ind w:left="0" w:right="48" w:firstLine="0"/>
        <w:contextualSpacing/>
        <w:jc w:val="both"/>
        <w:rPr>
          <w:rFonts w:ascii="Verdana" w:hAnsi="Verdana" w:cstheme="minorHAnsi"/>
          <w:i/>
          <w:iCs/>
          <w:sz w:val="20"/>
          <w:szCs w:val="20"/>
          <w:lang w:val="es-ES_tradnl"/>
        </w:rPr>
      </w:pPr>
      <w:r w:rsidRPr="00D80603">
        <w:rPr>
          <w:rFonts w:ascii="Verdana" w:hAnsi="Verdana" w:cstheme="minorHAnsi"/>
          <w:sz w:val="20"/>
          <w:szCs w:val="20"/>
          <w:lang w:val="es-ES_tradnl"/>
        </w:rPr>
        <w:t>En quinto lugar, la Corte IDH resolvió el caso</w:t>
      </w:r>
      <w:r w:rsidRPr="00D80603">
        <w:rPr>
          <w:rFonts w:ascii="Verdana" w:hAnsi="Verdana" w:cstheme="minorHAnsi"/>
          <w:i/>
          <w:iCs/>
          <w:sz w:val="20"/>
          <w:szCs w:val="20"/>
          <w:lang w:val="es-ES_tradnl"/>
        </w:rPr>
        <w:t xml:space="preserve"> </w:t>
      </w:r>
      <w:r w:rsidR="00162644" w:rsidRPr="00D80603">
        <w:rPr>
          <w:rFonts w:ascii="Verdana" w:hAnsi="Verdana" w:cstheme="minorHAnsi"/>
          <w:i/>
          <w:iCs/>
          <w:sz w:val="20"/>
          <w:szCs w:val="20"/>
          <w:lang w:val="es-ES_tradnl"/>
        </w:rPr>
        <w:t>Pueblos</w:t>
      </w:r>
      <w:r w:rsidR="00162644" w:rsidRPr="00D80603">
        <w:rPr>
          <w:rFonts w:ascii="Verdana" w:hAnsi="Verdana" w:cstheme="minorHAnsi"/>
          <w:sz w:val="20"/>
          <w:szCs w:val="20"/>
          <w:lang w:val="es-ES_tradnl"/>
        </w:rPr>
        <w:t xml:space="preserve"> </w:t>
      </w:r>
      <w:proofErr w:type="spellStart"/>
      <w:r w:rsidR="006B25E9" w:rsidRPr="00D80603">
        <w:rPr>
          <w:rFonts w:ascii="Verdana" w:hAnsi="Verdana" w:cstheme="minorHAnsi"/>
          <w:i/>
          <w:iCs/>
          <w:sz w:val="20"/>
          <w:szCs w:val="20"/>
          <w:lang w:val="es-ES_tradnl"/>
        </w:rPr>
        <w:t>Kaliña</w:t>
      </w:r>
      <w:proofErr w:type="spellEnd"/>
      <w:r w:rsidRPr="00D80603">
        <w:rPr>
          <w:rFonts w:ascii="Verdana" w:hAnsi="Verdana" w:cstheme="minorHAnsi"/>
          <w:i/>
          <w:iCs/>
          <w:sz w:val="20"/>
          <w:szCs w:val="20"/>
          <w:lang w:val="es-ES_tradnl"/>
        </w:rPr>
        <w:t xml:space="preserve"> y </w:t>
      </w:r>
      <w:proofErr w:type="spellStart"/>
      <w:r w:rsidRPr="00D80603">
        <w:rPr>
          <w:rFonts w:ascii="Verdana" w:hAnsi="Verdana" w:cstheme="minorHAnsi"/>
          <w:i/>
          <w:iCs/>
          <w:sz w:val="20"/>
          <w:szCs w:val="20"/>
          <w:lang w:val="es-ES_tradnl"/>
        </w:rPr>
        <w:t>Lokono</w:t>
      </w:r>
      <w:proofErr w:type="spellEnd"/>
      <w:r w:rsidRPr="00D80603">
        <w:rPr>
          <w:rFonts w:ascii="Verdana" w:hAnsi="Verdana" w:cstheme="minorHAnsi"/>
          <w:i/>
          <w:iCs/>
          <w:sz w:val="20"/>
          <w:szCs w:val="20"/>
          <w:lang w:val="es-ES_tradnl"/>
        </w:rPr>
        <w:t xml:space="preserve"> Vs. Surinam</w:t>
      </w:r>
      <w:r w:rsidR="00AC224E" w:rsidRPr="00D80603">
        <w:rPr>
          <w:rFonts w:ascii="Verdana" w:hAnsi="Verdana" w:cstheme="minorHAnsi"/>
          <w:i/>
          <w:iCs/>
          <w:sz w:val="20"/>
          <w:szCs w:val="20"/>
          <w:lang w:val="es-ES_tradnl"/>
        </w:rPr>
        <w:t xml:space="preserve"> </w:t>
      </w:r>
      <w:r w:rsidR="00694B57" w:rsidRPr="00D80603">
        <w:rPr>
          <w:rFonts w:ascii="Verdana" w:hAnsi="Verdana" w:cstheme="minorHAnsi"/>
          <w:sz w:val="20"/>
          <w:szCs w:val="20"/>
          <w:lang w:val="es-ES_tradnl"/>
        </w:rPr>
        <w:t xml:space="preserve">(2015) </w:t>
      </w:r>
      <w:r w:rsidR="00AC224E" w:rsidRPr="00D80603">
        <w:rPr>
          <w:rFonts w:ascii="Verdana" w:hAnsi="Verdana" w:cstheme="minorHAnsi"/>
          <w:i/>
          <w:iCs/>
          <w:sz w:val="20"/>
          <w:szCs w:val="20"/>
          <w:lang w:val="es-ES_tradnl"/>
        </w:rPr>
        <w:t>—</w:t>
      </w:r>
      <w:r w:rsidR="006B25E9" w:rsidRPr="00D80603">
        <w:rPr>
          <w:rFonts w:ascii="Verdana" w:hAnsi="Verdana" w:cstheme="minorHAnsi"/>
          <w:sz w:val="20"/>
          <w:szCs w:val="20"/>
          <w:lang w:val="es-ES_tradnl"/>
        </w:rPr>
        <w:t xml:space="preserve">unas semanas después de la </w:t>
      </w:r>
      <w:r w:rsidRPr="00D80603">
        <w:rPr>
          <w:rFonts w:ascii="Verdana" w:hAnsi="Verdana" w:cstheme="minorHAnsi"/>
          <w:sz w:val="20"/>
          <w:szCs w:val="20"/>
          <w:lang w:val="es-ES_tradnl"/>
        </w:rPr>
        <w:t>s</w:t>
      </w:r>
      <w:r w:rsidR="006B25E9" w:rsidRPr="00D80603">
        <w:rPr>
          <w:rFonts w:ascii="Verdana" w:hAnsi="Verdana" w:cstheme="minorHAnsi"/>
          <w:sz w:val="20"/>
          <w:szCs w:val="20"/>
          <w:lang w:val="es-ES_tradnl"/>
        </w:rPr>
        <w:t xml:space="preserve">entencia en el </w:t>
      </w:r>
      <w:r w:rsidR="00694B57" w:rsidRPr="00D80603">
        <w:rPr>
          <w:rFonts w:ascii="Verdana" w:hAnsi="Verdana" w:cstheme="minorHAnsi"/>
          <w:sz w:val="20"/>
          <w:szCs w:val="20"/>
          <w:lang w:val="es-ES_tradnl"/>
        </w:rPr>
        <w:t xml:space="preserve">referido </w:t>
      </w:r>
      <w:r w:rsidR="006B25E9" w:rsidRPr="00D80603">
        <w:rPr>
          <w:rFonts w:ascii="Verdana" w:hAnsi="Verdana" w:cstheme="minorHAnsi"/>
          <w:sz w:val="20"/>
          <w:szCs w:val="20"/>
          <w:lang w:val="es-ES_tradnl"/>
        </w:rPr>
        <w:t xml:space="preserve">caso </w:t>
      </w:r>
      <w:r w:rsidR="006B25E9" w:rsidRPr="00D80603">
        <w:rPr>
          <w:rFonts w:ascii="Verdana" w:hAnsi="Verdana" w:cstheme="minorHAnsi"/>
          <w:i/>
          <w:iCs/>
          <w:sz w:val="20"/>
          <w:szCs w:val="20"/>
          <w:lang w:val="es-ES_tradnl"/>
        </w:rPr>
        <w:t>Triunfo de la Cruz</w:t>
      </w:r>
      <w:r w:rsidR="00AC224E" w:rsidRPr="00D80603">
        <w:rPr>
          <w:rFonts w:ascii="Verdana" w:hAnsi="Verdana" w:cstheme="minorHAnsi"/>
          <w:sz w:val="20"/>
          <w:szCs w:val="20"/>
          <w:lang w:val="es-ES_tradnl"/>
        </w:rPr>
        <w:t>,</w:t>
      </w:r>
      <w:r w:rsidRPr="00D80603">
        <w:rPr>
          <w:rFonts w:ascii="Verdana" w:hAnsi="Verdana" w:cstheme="minorHAnsi"/>
          <w:sz w:val="20"/>
          <w:szCs w:val="20"/>
          <w:lang w:val="es-ES_tradnl"/>
        </w:rPr>
        <w:t xml:space="preserve"> en la</w:t>
      </w:r>
      <w:r w:rsidR="006B25E9" w:rsidRPr="00D80603">
        <w:rPr>
          <w:rFonts w:ascii="Verdana" w:hAnsi="Verdana" w:cstheme="minorHAnsi"/>
          <w:sz w:val="20"/>
          <w:szCs w:val="20"/>
          <w:lang w:val="es-ES_tradnl"/>
        </w:rPr>
        <w:t xml:space="preserve"> </w:t>
      </w:r>
      <w:r w:rsidRPr="00D80603">
        <w:rPr>
          <w:rFonts w:ascii="Verdana" w:hAnsi="Verdana" w:cstheme="minorHAnsi"/>
          <w:sz w:val="20"/>
          <w:szCs w:val="20"/>
          <w:lang w:val="es-ES_tradnl"/>
        </w:rPr>
        <w:t>que</w:t>
      </w:r>
      <w:r w:rsidR="006B25E9" w:rsidRPr="00D80603">
        <w:rPr>
          <w:rFonts w:ascii="Verdana" w:hAnsi="Verdana" w:cstheme="minorHAnsi"/>
          <w:sz w:val="20"/>
          <w:szCs w:val="20"/>
          <w:lang w:val="es-ES_tradnl"/>
        </w:rPr>
        <w:t xml:space="preserve"> retomó las argumentaciones que había desarrollado en el año 2007 para el caso </w:t>
      </w:r>
      <w:r w:rsidR="006B25E9" w:rsidRPr="00D80603">
        <w:rPr>
          <w:rFonts w:ascii="Verdana" w:hAnsi="Verdana" w:cstheme="minorHAnsi"/>
          <w:i/>
          <w:iCs/>
          <w:sz w:val="20"/>
          <w:szCs w:val="20"/>
          <w:lang w:val="es-ES_tradnl"/>
        </w:rPr>
        <w:t>Saramaka</w:t>
      </w:r>
      <w:r w:rsidR="00AC224E" w:rsidRPr="00D80603">
        <w:rPr>
          <w:rFonts w:ascii="Verdana" w:hAnsi="Verdana" w:cstheme="minorHAnsi"/>
          <w:sz w:val="20"/>
          <w:szCs w:val="20"/>
          <w:lang w:val="es-ES_tradnl"/>
        </w:rPr>
        <w:t xml:space="preserve">. </w:t>
      </w:r>
      <w:r w:rsidR="003C6187" w:rsidRPr="00D80603">
        <w:rPr>
          <w:rFonts w:ascii="Verdana" w:hAnsi="Verdana" w:cstheme="minorHAnsi"/>
          <w:sz w:val="20"/>
          <w:szCs w:val="20"/>
          <w:lang w:val="es-ES_tradnl"/>
        </w:rPr>
        <w:t>El Tribunal Interamericano c</w:t>
      </w:r>
      <w:r w:rsidR="00AC224E" w:rsidRPr="00D80603">
        <w:rPr>
          <w:rFonts w:ascii="Verdana" w:hAnsi="Verdana" w:cstheme="minorHAnsi"/>
          <w:sz w:val="20"/>
          <w:szCs w:val="20"/>
          <w:lang w:val="es-ES_tradnl"/>
        </w:rPr>
        <w:t>onsideró</w:t>
      </w:r>
      <w:r w:rsidR="006B25E9" w:rsidRPr="00D80603">
        <w:rPr>
          <w:rFonts w:ascii="Verdana" w:hAnsi="Verdana" w:cstheme="minorHAnsi"/>
          <w:sz w:val="20"/>
          <w:szCs w:val="20"/>
          <w:lang w:val="es-ES_tradnl"/>
        </w:rPr>
        <w:t xml:space="preserve"> que</w:t>
      </w:r>
      <w:r w:rsidR="006B25E9" w:rsidRPr="00D80603">
        <w:rPr>
          <w:rFonts w:ascii="Verdana" w:hAnsi="Verdana" w:cstheme="minorHAnsi"/>
          <w:i/>
          <w:iCs/>
          <w:sz w:val="20"/>
          <w:szCs w:val="20"/>
          <w:lang w:val="es-ES_tradnl"/>
        </w:rPr>
        <w:t xml:space="preserve"> la obligación de llevar a cabo la consulta previa existía desde la ratificación de la C</w:t>
      </w:r>
      <w:r w:rsidR="00C87B7D" w:rsidRPr="00D80603">
        <w:rPr>
          <w:rFonts w:ascii="Verdana" w:hAnsi="Verdana" w:cstheme="minorHAnsi"/>
          <w:i/>
          <w:iCs/>
          <w:sz w:val="20"/>
          <w:szCs w:val="20"/>
          <w:lang w:val="es-ES_tradnl"/>
        </w:rPr>
        <w:t>onvención Americana</w:t>
      </w:r>
      <w:r w:rsidR="006B25E9" w:rsidRPr="00D80603">
        <w:rPr>
          <w:rFonts w:ascii="Verdana" w:hAnsi="Verdana" w:cstheme="minorHAnsi"/>
          <w:sz w:val="20"/>
          <w:szCs w:val="20"/>
          <w:lang w:val="es-ES_tradnl"/>
        </w:rPr>
        <w:t xml:space="preserve"> y no mencionó la </w:t>
      </w:r>
      <w:proofErr w:type="gramStart"/>
      <w:r w:rsidR="006B25E9" w:rsidRPr="00D80603">
        <w:rPr>
          <w:rFonts w:ascii="Verdana" w:hAnsi="Verdana" w:cstheme="minorHAnsi"/>
          <w:sz w:val="20"/>
          <w:szCs w:val="20"/>
          <w:lang w:val="es-ES_tradnl"/>
        </w:rPr>
        <w:t>entrada en vigencia</w:t>
      </w:r>
      <w:proofErr w:type="gramEnd"/>
      <w:r w:rsidR="006B25E9" w:rsidRPr="00D80603">
        <w:rPr>
          <w:rFonts w:ascii="Verdana" w:hAnsi="Verdana" w:cstheme="minorHAnsi"/>
          <w:sz w:val="20"/>
          <w:szCs w:val="20"/>
          <w:lang w:val="es-ES_tradnl"/>
        </w:rPr>
        <w:t xml:space="preserve"> del </w:t>
      </w:r>
      <w:r w:rsidR="00AE12D7" w:rsidRPr="00D80603">
        <w:rPr>
          <w:rFonts w:ascii="Verdana" w:hAnsi="Verdana" w:cstheme="minorHAnsi"/>
          <w:sz w:val="20"/>
          <w:szCs w:val="20"/>
          <w:lang w:val="es-ES_tradnl"/>
        </w:rPr>
        <w:t>C</w:t>
      </w:r>
      <w:r w:rsidR="006B25E9" w:rsidRPr="00D80603">
        <w:rPr>
          <w:rFonts w:ascii="Verdana" w:hAnsi="Verdana" w:cstheme="minorHAnsi"/>
          <w:sz w:val="20"/>
          <w:szCs w:val="20"/>
          <w:lang w:val="es-ES_tradnl"/>
        </w:rPr>
        <w:t xml:space="preserve">onvenio 169 de la OIT. Además, en este caso indicó que la participación a través de la consulta previa a las comunidades indígenas y tribales </w:t>
      </w:r>
      <w:r w:rsidR="006B25E9" w:rsidRPr="00D80603">
        <w:rPr>
          <w:rFonts w:ascii="Verdana" w:hAnsi="Verdana" w:cstheme="minorHAnsi"/>
          <w:i/>
          <w:iCs/>
          <w:sz w:val="20"/>
          <w:szCs w:val="20"/>
          <w:lang w:val="es-ES_tradnl"/>
        </w:rPr>
        <w:t>se derivaba también de la protección de los derechos políticos contenida en el artículo 23 de la convención</w:t>
      </w:r>
      <w:r w:rsidRPr="00D80603">
        <w:rPr>
          <w:rFonts w:ascii="Verdana" w:hAnsi="Verdana" w:cstheme="minorHAnsi"/>
          <w:i/>
          <w:iCs/>
          <w:sz w:val="20"/>
          <w:szCs w:val="20"/>
          <w:lang w:val="es-ES_tradnl"/>
        </w:rPr>
        <w:t xml:space="preserve"> </w:t>
      </w:r>
      <w:r w:rsidRPr="00D80603">
        <w:rPr>
          <w:rFonts w:ascii="Verdana" w:hAnsi="Verdana" w:cstheme="minorHAnsi"/>
          <w:sz w:val="20"/>
          <w:szCs w:val="20"/>
          <w:lang w:val="es-ES_tradnl"/>
        </w:rPr>
        <w:t>(participación efectiva)</w:t>
      </w:r>
      <w:r w:rsidR="006B25E9" w:rsidRPr="00D80603">
        <w:rPr>
          <w:rFonts w:ascii="Verdana" w:hAnsi="Verdana" w:cstheme="minorHAnsi"/>
          <w:sz w:val="20"/>
          <w:szCs w:val="20"/>
          <w:lang w:val="es-ES_tradnl"/>
        </w:rPr>
        <w:t>.</w:t>
      </w:r>
      <w:r w:rsidR="00694B57" w:rsidRPr="00D80603">
        <w:rPr>
          <w:rFonts w:ascii="Verdana" w:hAnsi="Verdana" w:cstheme="minorHAnsi"/>
          <w:sz w:val="20"/>
          <w:szCs w:val="20"/>
          <w:lang w:val="es-ES_tradnl"/>
        </w:rPr>
        <w:t xml:space="preserve"> </w:t>
      </w:r>
      <w:r w:rsidR="003C6187" w:rsidRPr="00D80603">
        <w:rPr>
          <w:rFonts w:ascii="Verdana" w:hAnsi="Verdana" w:cstheme="minorHAnsi"/>
          <w:sz w:val="20"/>
          <w:szCs w:val="20"/>
          <w:lang w:val="es-ES_tradnl"/>
        </w:rPr>
        <w:t xml:space="preserve">Este proceso de </w:t>
      </w:r>
      <w:r w:rsidR="00EB5C1F" w:rsidRPr="00D80603">
        <w:rPr>
          <w:rFonts w:ascii="Verdana" w:hAnsi="Verdana" w:cstheme="minorHAnsi"/>
          <w:sz w:val="20"/>
          <w:szCs w:val="20"/>
          <w:lang w:val="es-ES_tradnl"/>
        </w:rPr>
        <w:t>“</w:t>
      </w:r>
      <w:r w:rsidR="003C6187" w:rsidRPr="00D80603">
        <w:rPr>
          <w:rFonts w:ascii="Verdana" w:hAnsi="Verdana" w:cstheme="minorHAnsi"/>
          <w:sz w:val="20"/>
          <w:szCs w:val="20"/>
          <w:lang w:val="es-ES_tradnl"/>
        </w:rPr>
        <w:t>participación efectiva</w:t>
      </w:r>
      <w:r w:rsidR="00EB5C1F" w:rsidRPr="00D80603">
        <w:rPr>
          <w:rFonts w:ascii="Verdana" w:hAnsi="Verdana" w:cstheme="minorHAnsi"/>
          <w:sz w:val="20"/>
          <w:szCs w:val="20"/>
          <w:lang w:val="es-ES_tradnl"/>
        </w:rPr>
        <w:t>”</w:t>
      </w:r>
      <w:r w:rsidR="00C87B7D" w:rsidRPr="00D80603">
        <w:rPr>
          <w:rFonts w:ascii="Verdana" w:hAnsi="Verdana" w:cstheme="minorHAnsi"/>
          <w:sz w:val="20"/>
          <w:szCs w:val="20"/>
          <w:lang w:val="es-ES_tradnl"/>
        </w:rPr>
        <w:t>, implica</w:t>
      </w:r>
      <w:r w:rsidR="00EB5C1F" w:rsidRPr="00D80603">
        <w:rPr>
          <w:rFonts w:ascii="Verdana" w:hAnsi="Verdana" w:cstheme="minorHAnsi"/>
          <w:sz w:val="20"/>
          <w:szCs w:val="20"/>
          <w:lang w:val="es-ES_tradnl"/>
        </w:rPr>
        <w:t>, a nuestro entender,</w:t>
      </w:r>
      <w:r w:rsidR="00C87B7D" w:rsidRPr="00D80603">
        <w:rPr>
          <w:rFonts w:ascii="Verdana" w:hAnsi="Verdana" w:cstheme="minorHAnsi"/>
          <w:sz w:val="20"/>
          <w:szCs w:val="20"/>
          <w:lang w:val="es-ES_tradnl"/>
        </w:rPr>
        <w:t xml:space="preserve"> que </w:t>
      </w:r>
      <w:r w:rsidR="003C6187" w:rsidRPr="00D80603">
        <w:rPr>
          <w:rFonts w:ascii="Verdana" w:hAnsi="Verdana" w:cstheme="minorHAnsi"/>
          <w:sz w:val="20"/>
          <w:szCs w:val="20"/>
          <w:lang w:val="es-ES_tradnl"/>
        </w:rPr>
        <w:t>se “materializa a través de la consulta previa, libre e informada”</w:t>
      </w:r>
      <w:r w:rsidR="003C6187" w:rsidRPr="00D80603">
        <w:rPr>
          <w:rStyle w:val="Refdenotaalpie"/>
          <w:rFonts w:ascii="Verdana" w:hAnsi="Verdana" w:cstheme="minorHAnsi"/>
          <w:sz w:val="20"/>
          <w:szCs w:val="20"/>
          <w:lang w:val="es-ES_tradnl"/>
        </w:rPr>
        <w:footnoteReference w:id="16"/>
      </w:r>
      <w:r w:rsidR="003C6187" w:rsidRPr="00D80603">
        <w:rPr>
          <w:rFonts w:ascii="Verdana" w:hAnsi="Verdana" w:cstheme="minorHAnsi"/>
          <w:sz w:val="20"/>
          <w:szCs w:val="20"/>
          <w:lang w:val="es-ES_tradnl"/>
        </w:rPr>
        <w:t>.</w:t>
      </w:r>
    </w:p>
    <w:p w14:paraId="05D12ED1" w14:textId="77777777" w:rsidR="00C379F3" w:rsidRPr="00D80603" w:rsidRDefault="00C379F3" w:rsidP="00587742">
      <w:pPr>
        <w:rPr>
          <w:rFonts w:ascii="Verdana" w:hAnsi="Verdana" w:cstheme="minorHAnsi"/>
          <w:i/>
          <w:iCs/>
          <w:sz w:val="20"/>
          <w:szCs w:val="20"/>
          <w:lang w:val="es-ES_tradnl"/>
        </w:rPr>
      </w:pPr>
    </w:p>
    <w:p w14:paraId="757A57E0" w14:textId="5A71B5B3" w:rsidR="00C379F3" w:rsidRPr="00D80603" w:rsidRDefault="00856033" w:rsidP="00856033">
      <w:pPr>
        <w:numPr>
          <w:ilvl w:val="0"/>
          <w:numId w:val="2"/>
        </w:numPr>
        <w:tabs>
          <w:tab w:val="left" w:pos="567"/>
        </w:tabs>
        <w:ind w:left="0" w:right="48" w:firstLine="0"/>
        <w:contextualSpacing/>
        <w:jc w:val="both"/>
        <w:rPr>
          <w:rFonts w:ascii="Verdana" w:hAnsi="Verdana" w:cstheme="minorHAnsi"/>
          <w:i/>
          <w:iCs/>
          <w:sz w:val="20"/>
          <w:szCs w:val="20"/>
          <w:lang w:val="es-ES_tradnl"/>
        </w:rPr>
      </w:pPr>
      <w:r w:rsidRPr="00D80603">
        <w:rPr>
          <w:rFonts w:ascii="Verdana" w:hAnsi="Verdana" w:cstheme="minorHAnsi"/>
          <w:sz w:val="20"/>
          <w:szCs w:val="20"/>
          <w:lang w:val="es-ES_tradnl"/>
        </w:rPr>
        <w:t xml:space="preserve">En sexto lugar, el Tribunal Interamericano </w:t>
      </w:r>
      <w:r w:rsidR="00FB068A" w:rsidRPr="00D80603">
        <w:rPr>
          <w:rFonts w:ascii="Verdana" w:hAnsi="Verdana" w:cstheme="minorHAnsi"/>
          <w:sz w:val="20"/>
          <w:szCs w:val="20"/>
          <w:lang w:val="es-ES_tradnl"/>
        </w:rPr>
        <w:t xml:space="preserve">en </w:t>
      </w:r>
      <w:r w:rsidRPr="00D80603">
        <w:rPr>
          <w:rFonts w:ascii="Verdana" w:hAnsi="Verdana" w:cstheme="minorHAnsi"/>
          <w:sz w:val="20"/>
          <w:szCs w:val="20"/>
          <w:lang w:val="es-ES_tradnl"/>
        </w:rPr>
        <w:t>el cas</w:t>
      </w:r>
      <w:r w:rsidR="00FB2B2E" w:rsidRPr="00D80603">
        <w:rPr>
          <w:rFonts w:ascii="Verdana" w:hAnsi="Verdana" w:cstheme="minorHAnsi"/>
          <w:i/>
          <w:iCs/>
          <w:sz w:val="20"/>
          <w:szCs w:val="20"/>
          <w:lang w:val="es-ES_tradnl"/>
        </w:rPr>
        <w:t xml:space="preserve">o </w:t>
      </w:r>
      <w:r w:rsidR="00710023" w:rsidRPr="00D80603">
        <w:rPr>
          <w:rFonts w:ascii="Verdana" w:hAnsi="Verdana" w:cstheme="minorHAnsi"/>
          <w:i/>
          <w:iCs/>
          <w:sz w:val="20"/>
          <w:szCs w:val="20"/>
          <w:lang w:val="es-ES_tradnl"/>
        </w:rPr>
        <w:t xml:space="preserve">Comunidades Indígenas Miembros de la Asociación </w:t>
      </w:r>
      <w:proofErr w:type="spellStart"/>
      <w:r w:rsidR="006B25E9" w:rsidRPr="00D80603">
        <w:rPr>
          <w:rFonts w:ascii="Verdana" w:hAnsi="Verdana" w:cstheme="minorHAnsi"/>
          <w:i/>
          <w:iCs/>
          <w:sz w:val="20"/>
          <w:szCs w:val="20"/>
          <w:lang w:val="es-ES_tradnl"/>
        </w:rPr>
        <w:t>Lakha</w:t>
      </w:r>
      <w:proofErr w:type="spellEnd"/>
      <w:r w:rsidR="006B25E9" w:rsidRPr="00D80603">
        <w:rPr>
          <w:rFonts w:ascii="Verdana" w:hAnsi="Verdana" w:cstheme="minorHAnsi"/>
          <w:i/>
          <w:iCs/>
          <w:sz w:val="20"/>
          <w:szCs w:val="20"/>
          <w:lang w:val="es-ES_tradnl"/>
        </w:rPr>
        <w:t xml:space="preserve"> </w:t>
      </w:r>
      <w:proofErr w:type="spellStart"/>
      <w:r w:rsidR="006B25E9" w:rsidRPr="00D80603">
        <w:rPr>
          <w:rFonts w:ascii="Verdana" w:hAnsi="Verdana" w:cstheme="minorHAnsi"/>
          <w:i/>
          <w:iCs/>
          <w:sz w:val="20"/>
          <w:szCs w:val="20"/>
          <w:lang w:val="es-ES_tradnl"/>
        </w:rPr>
        <w:t>Hon</w:t>
      </w:r>
      <w:r w:rsidR="003C6187" w:rsidRPr="00D80603">
        <w:rPr>
          <w:rFonts w:ascii="Verdana" w:hAnsi="Verdana" w:cstheme="minorHAnsi"/>
          <w:i/>
          <w:iCs/>
          <w:sz w:val="20"/>
          <w:szCs w:val="20"/>
          <w:lang w:val="es-ES_tradnl"/>
        </w:rPr>
        <w:t>h</w:t>
      </w:r>
      <w:r w:rsidR="006B25E9" w:rsidRPr="00D80603">
        <w:rPr>
          <w:rFonts w:ascii="Verdana" w:hAnsi="Verdana" w:cstheme="minorHAnsi"/>
          <w:i/>
          <w:iCs/>
          <w:sz w:val="20"/>
          <w:szCs w:val="20"/>
          <w:lang w:val="es-ES_tradnl"/>
        </w:rPr>
        <w:t>at</w:t>
      </w:r>
      <w:proofErr w:type="spellEnd"/>
      <w:r w:rsidRPr="00D80603">
        <w:rPr>
          <w:rFonts w:ascii="Verdana" w:hAnsi="Verdana" w:cstheme="minorHAnsi"/>
          <w:i/>
          <w:iCs/>
          <w:sz w:val="20"/>
          <w:szCs w:val="20"/>
          <w:lang w:val="es-ES_tradnl"/>
        </w:rPr>
        <w:t xml:space="preserve"> </w:t>
      </w:r>
      <w:r w:rsidR="003C6187" w:rsidRPr="00D80603">
        <w:rPr>
          <w:rFonts w:ascii="Verdana" w:hAnsi="Verdana" w:cstheme="minorHAnsi"/>
          <w:i/>
          <w:iCs/>
          <w:sz w:val="20"/>
          <w:szCs w:val="20"/>
          <w:lang w:val="es-ES_tradnl"/>
        </w:rPr>
        <w:t xml:space="preserve">(Nuestra Tierra) </w:t>
      </w:r>
      <w:r w:rsidRPr="00D80603">
        <w:rPr>
          <w:rFonts w:ascii="Verdana" w:hAnsi="Verdana" w:cstheme="minorHAnsi"/>
          <w:i/>
          <w:iCs/>
          <w:sz w:val="20"/>
          <w:szCs w:val="20"/>
          <w:lang w:val="es-ES_tradnl"/>
        </w:rPr>
        <w:t xml:space="preserve">Vs. Argentina </w:t>
      </w:r>
      <w:r w:rsidR="003C6187" w:rsidRPr="00D80603">
        <w:rPr>
          <w:rFonts w:ascii="Verdana" w:hAnsi="Verdana" w:cstheme="minorHAnsi"/>
          <w:sz w:val="20"/>
          <w:szCs w:val="20"/>
          <w:lang w:val="es-ES_tradnl"/>
        </w:rPr>
        <w:t xml:space="preserve">(2020), </w:t>
      </w:r>
      <w:r w:rsidR="00472545" w:rsidRPr="00D80603">
        <w:rPr>
          <w:rFonts w:ascii="Verdana" w:hAnsi="Verdana" w:cstheme="minorHAnsi"/>
          <w:sz w:val="20"/>
          <w:szCs w:val="20"/>
          <w:lang w:val="es-ES_tradnl"/>
        </w:rPr>
        <w:t xml:space="preserve">constató la falta del </w:t>
      </w:r>
      <w:r w:rsidR="006B25E9" w:rsidRPr="00D80603">
        <w:rPr>
          <w:rFonts w:ascii="Verdana" w:hAnsi="Verdana" w:cstheme="minorHAnsi"/>
          <w:sz w:val="20"/>
          <w:szCs w:val="20"/>
          <w:lang w:val="es-ES_tradnl"/>
        </w:rPr>
        <w:t>proceso de consulta previa</w:t>
      </w:r>
      <w:r w:rsidR="006B25E9" w:rsidRPr="00D80603">
        <w:rPr>
          <w:rStyle w:val="Refdenotaalpie"/>
          <w:rFonts w:ascii="Verdana" w:hAnsi="Verdana" w:cstheme="minorHAnsi"/>
          <w:sz w:val="20"/>
          <w:szCs w:val="20"/>
          <w:lang w:val="es-ES_tradnl"/>
        </w:rPr>
        <w:footnoteReference w:id="17"/>
      </w:r>
      <w:r w:rsidR="002723E0" w:rsidRPr="00D80603">
        <w:rPr>
          <w:rFonts w:ascii="Verdana" w:hAnsi="Verdana" w:cstheme="minorHAnsi"/>
          <w:sz w:val="20"/>
          <w:szCs w:val="20"/>
          <w:lang w:val="es-ES_tradnl"/>
        </w:rPr>
        <w:t>.</w:t>
      </w:r>
      <w:r w:rsidR="00C379F3" w:rsidRPr="00D80603">
        <w:rPr>
          <w:rFonts w:ascii="Verdana" w:hAnsi="Verdana" w:cstheme="minorHAnsi"/>
          <w:i/>
          <w:iCs/>
          <w:sz w:val="20"/>
          <w:szCs w:val="20"/>
          <w:lang w:val="es-ES_tradnl"/>
        </w:rPr>
        <w:t xml:space="preserve"> </w:t>
      </w:r>
      <w:r w:rsidR="002723E0" w:rsidRPr="00D80603">
        <w:rPr>
          <w:rFonts w:ascii="Verdana" w:hAnsi="Verdana" w:cstheme="minorHAnsi"/>
          <w:sz w:val="20"/>
          <w:szCs w:val="20"/>
          <w:lang w:val="es-ES_tradnl"/>
        </w:rPr>
        <w:t>E</w:t>
      </w:r>
      <w:r w:rsidR="006B25E9" w:rsidRPr="00D80603">
        <w:rPr>
          <w:rFonts w:ascii="Verdana" w:hAnsi="Verdana" w:cstheme="minorHAnsi"/>
          <w:sz w:val="20"/>
          <w:szCs w:val="20"/>
          <w:lang w:val="es-ES_tradnl"/>
        </w:rPr>
        <w:t>n relación con la construcción de</w:t>
      </w:r>
      <w:r w:rsidRPr="00D80603">
        <w:rPr>
          <w:rFonts w:ascii="Verdana" w:hAnsi="Verdana" w:cstheme="minorHAnsi"/>
          <w:sz w:val="20"/>
          <w:szCs w:val="20"/>
          <w:lang w:val="es-ES_tradnl"/>
        </w:rPr>
        <w:t xml:space="preserve"> un</w:t>
      </w:r>
      <w:r w:rsidR="006B25E9" w:rsidRPr="00D80603">
        <w:rPr>
          <w:rFonts w:ascii="Verdana" w:hAnsi="Verdana" w:cstheme="minorHAnsi"/>
          <w:sz w:val="20"/>
          <w:szCs w:val="20"/>
          <w:lang w:val="es-ES_tradnl"/>
        </w:rPr>
        <w:t xml:space="preserve"> puente internacional, la Corte</w:t>
      </w:r>
      <w:r w:rsidRPr="00D80603">
        <w:rPr>
          <w:rFonts w:ascii="Verdana" w:hAnsi="Verdana" w:cstheme="minorHAnsi"/>
          <w:sz w:val="20"/>
          <w:szCs w:val="20"/>
          <w:lang w:val="es-ES_tradnl"/>
        </w:rPr>
        <w:t xml:space="preserve"> IDH</w:t>
      </w:r>
      <w:r w:rsidR="006B25E9" w:rsidRPr="00D80603">
        <w:rPr>
          <w:rFonts w:ascii="Verdana" w:hAnsi="Verdana" w:cstheme="minorHAnsi"/>
          <w:sz w:val="20"/>
          <w:szCs w:val="20"/>
          <w:lang w:val="es-ES_tradnl"/>
        </w:rPr>
        <w:t xml:space="preserve"> concluyó “que el Estado incumplió su obligación de procurar mecanismos adecuados de consulta libre, previa e informada a las comunidades indígenas afectadas. Por ende, vulneró en su perjuicio el derecho de propiedad y a la participación, en relación con las obligaciones estatales de respetar y garantizar los derechos. Por ese motivo, incumplió los artículos 21 y 23.1 de la Convención, en relación con el artículo 1.1 del tratado”</w:t>
      </w:r>
      <w:r w:rsidR="006B25E9" w:rsidRPr="00D80603">
        <w:rPr>
          <w:rStyle w:val="Refdenotaalpie"/>
          <w:rFonts w:ascii="Verdana" w:hAnsi="Verdana" w:cstheme="minorHAnsi"/>
          <w:sz w:val="20"/>
          <w:szCs w:val="20"/>
          <w:lang w:val="es-ES_tradnl"/>
        </w:rPr>
        <w:footnoteReference w:id="18"/>
      </w:r>
      <w:r w:rsidR="002723E0" w:rsidRPr="00D80603">
        <w:rPr>
          <w:rFonts w:ascii="Verdana" w:hAnsi="Verdana" w:cstheme="minorHAnsi"/>
          <w:sz w:val="20"/>
          <w:szCs w:val="20"/>
          <w:lang w:val="es-ES_tradnl"/>
        </w:rPr>
        <w:t>.</w:t>
      </w:r>
    </w:p>
    <w:p w14:paraId="718A2E5F" w14:textId="77777777" w:rsidR="00C379F3" w:rsidRPr="00D80603" w:rsidRDefault="00C379F3" w:rsidP="00C379F3">
      <w:pPr>
        <w:pStyle w:val="Prrafodelista"/>
        <w:rPr>
          <w:rFonts w:ascii="Verdana" w:hAnsi="Verdana" w:cstheme="minorHAnsi"/>
          <w:sz w:val="20"/>
          <w:szCs w:val="20"/>
          <w:lang w:val="es-ES_tradnl"/>
        </w:rPr>
      </w:pPr>
    </w:p>
    <w:p w14:paraId="2B836C55" w14:textId="7056C0E6" w:rsidR="00C379F3" w:rsidRPr="00D80603" w:rsidRDefault="00686781" w:rsidP="00C379F3">
      <w:pPr>
        <w:numPr>
          <w:ilvl w:val="0"/>
          <w:numId w:val="2"/>
        </w:numPr>
        <w:tabs>
          <w:tab w:val="left" w:pos="567"/>
        </w:tabs>
        <w:ind w:left="0" w:right="48" w:firstLine="0"/>
        <w:contextualSpacing/>
        <w:jc w:val="both"/>
        <w:rPr>
          <w:rFonts w:ascii="Verdana" w:hAnsi="Verdana" w:cstheme="minorHAnsi"/>
          <w:i/>
          <w:iCs/>
          <w:sz w:val="20"/>
          <w:szCs w:val="20"/>
          <w:lang w:val="es-ES_tradnl"/>
        </w:rPr>
      </w:pPr>
      <w:r w:rsidRPr="00D80603">
        <w:rPr>
          <w:rFonts w:ascii="Verdana" w:hAnsi="Verdana" w:cstheme="minorHAnsi"/>
          <w:sz w:val="20"/>
          <w:szCs w:val="20"/>
          <w:lang w:val="es-ES_tradnl"/>
        </w:rPr>
        <w:lastRenderedPageBreak/>
        <w:t>L</w:t>
      </w:r>
      <w:r w:rsidR="006B25E9" w:rsidRPr="00D80603">
        <w:rPr>
          <w:rFonts w:ascii="Verdana" w:hAnsi="Verdana" w:cstheme="minorHAnsi"/>
          <w:sz w:val="20"/>
          <w:szCs w:val="20"/>
          <w:lang w:val="es-ES_tradnl"/>
        </w:rPr>
        <w:t>a Corte</w:t>
      </w:r>
      <w:r w:rsidR="00856033" w:rsidRPr="00D80603">
        <w:rPr>
          <w:rFonts w:ascii="Verdana" w:hAnsi="Verdana" w:cstheme="minorHAnsi"/>
          <w:sz w:val="20"/>
          <w:szCs w:val="20"/>
          <w:lang w:val="es-ES_tradnl"/>
        </w:rPr>
        <w:t xml:space="preserve"> IDH</w:t>
      </w:r>
      <w:r w:rsidR="006B25E9" w:rsidRPr="00D80603">
        <w:rPr>
          <w:rFonts w:ascii="Verdana" w:hAnsi="Verdana" w:cstheme="minorHAnsi"/>
          <w:sz w:val="20"/>
          <w:szCs w:val="20"/>
          <w:lang w:val="es-ES_tradnl"/>
        </w:rPr>
        <w:t xml:space="preserve"> consideró</w:t>
      </w:r>
      <w:r w:rsidR="00683FB2" w:rsidRPr="00D80603">
        <w:rPr>
          <w:rFonts w:ascii="Verdana" w:hAnsi="Verdana" w:cstheme="minorHAnsi"/>
          <w:sz w:val="20"/>
          <w:szCs w:val="20"/>
          <w:lang w:val="es-ES_tradnl"/>
        </w:rPr>
        <w:t>,</w:t>
      </w:r>
      <w:r w:rsidR="006B25E9" w:rsidRPr="00D80603">
        <w:rPr>
          <w:rFonts w:ascii="Verdana" w:hAnsi="Verdana" w:cstheme="minorHAnsi"/>
          <w:sz w:val="20"/>
          <w:szCs w:val="20"/>
          <w:lang w:val="es-ES_tradnl"/>
        </w:rPr>
        <w:t xml:space="preserve"> al igual que en el caso </w:t>
      </w:r>
      <w:r w:rsidR="006B25E9" w:rsidRPr="00D80603">
        <w:rPr>
          <w:rFonts w:ascii="Verdana" w:hAnsi="Verdana" w:cstheme="minorHAnsi"/>
          <w:i/>
          <w:iCs/>
          <w:sz w:val="20"/>
          <w:szCs w:val="20"/>
          <w:lang w:val="es-ES_tradnl"/>
        </w:rPr>
        <w:t>Pueblos Kaliña y Lokono</w:t>
      </w:r>
      <w:r w:rsidR="00AE12D7" w:rsidRPr="00D80603">
        <w:rPr>
          <w:rFonts w:ascii="Verdana" w:hAnsi="Verdana" w:cstheme="minorHAnsi"/>
          <w:i/>
          <w:iCs/>
          <w:sz w:val="20"/>
          <w:szCs w:val="20"/>
          <w:lang w:val="es-ES_tradnl"/>
        </w:rPr>
        <w:t xml:space="preserve"> (2015)</w:t>
      </w:r>
      <w:r w:rsidR="006B25E9" w:rsidRPr="00D80603">
        <w:rPr>
          <w:rFonts w:ascii="Verdana" w:hAnsi="Verdana" w:cstheme="minorHAnsi"/>
          <w:sz w:val="20"/>
          <w:szCs w:val="20"/>
          <w:lang w:val="es-ES_tradnl"/>
        </w:rPr>
        <w:t xml:space="preserve"> y </w:t>
      </w:r>
      <w:r w:rsidR="00856033" w:rsidRPr="00D80603">
        <w:rPr>
          <w:rFonts w:ascii="Verdana" w:hAnsi="Verdana" w:cstheme="minorHAnsi"/>
          <w:i/>
          <w:iCs/>
          <w:sz w:val="20"/>
          <w:szCs w:val="20"/>
          <w:lang w:val="es-ES_tradnl"/>
        </w:rPr>
        <w:t>Saramaka</w:t>
      </w:r>
      <w:r w:rsidR="00AE12D7" w:rsidRPr="00D80603">
        <w:rPr>
          <w:rFonts w:ascii="Verdana" w:hAnsi="Verdana" w:cstheme="minorHAnsi"/>
          <w:i/>
          <w:iCs/>
          <w:sz w:val="20"/>
          <w:szCs w:val="20"/>
          <w:lang w:val="es-ES_tradnl"/>
        </w:rPr>
        <w:t xml:space="preserve"> (2007)</w:t>
      </w:r>
      <w:r w:rsidR="006B25E9" w:rsidRPr="00D80603">
        <w:rPr>
          <w:rFonts w:ascii="Verdana" w:hAnsi="Verdana" w:cstheme="minorHAnsi"/>
          <w:sz w:val="20"/>
          <w:szCs w:val="20"/>
          <w:lang w:val="es-ES_tradnl"/>
        </w:rPr>
        <w:t>, que la obligación de llevar a cabo una consulta previa no nacía con la ratificación del Convenio 169 de la OIT por parte de Argentina, sino que se podía derivar de los artículos 23 y 21 de la C</w:t>
      </w:r>
      <w:r w:rsidR="00683FB2" w:rsidRPr="00D80603">
        <w:rPr>
          <w:rFonts w:ascii="Verdana" w:hAnsi="Verdana" w:cstheme="minorHAnsi"/>
          <w:sz w:val="20"/>
          <w:szCs w:val="20"/>
          <w:lang w:val="es-ES_tradnl"/>
        </w:rPr>
        <w:t>onvención Americana</w:t>
      </w:r>
      <w:r w:rsidR="00856033" w:rsidRPr="00D80603">
        <w:rPr>
          <w:rStyle w:val="Refdenotaalpie"/>
          <w:rFonts w:ascii="Verdana" w:hAnsi="Verdana" w:cstheme="minorHAnsi"/>
          <w:sz w:val="20"/>
          <w:szCs w:val="20"/>
          <w:lang w:val="es-ES_tradnl"/>
        </w:rPr>
        <w:footnoteReference w:id="19"/>
      </w:r>
      <w:r w:rsidR="006B25E9" w:rsidRPr="00D80603">
        <w:rPr>
          <w:rFonts w:ascii="Verdana" w:hAnsi="Verdana" w:cstheme="minorHAnsi"/>
          <w:sz w:val="20"/>
          <w:szCs w:val="20"/>
          <w:lang w:val="es-ES_tradnl"/>
        </w:rPr>
        <w:t xml:space="preserve">. </w:t>
      </w:r>
    </w:p>
    <w:p w14:paraId="6BDFC0BC" w14:textId="77777777" w:rsidR="00C379F3" w:rsidRPr="00D80603" w:rsidRDefault="00C379F3" w:rsidP="00C379F3">
      <w:pPr>
        <w:pStyle w:val="Prrafodelista"/>
        <w:rPr>
          <w:rFonts w:ascii="Verdana" w:hAnsi="Verdana" w:cstheme="minorHAnsi"/>
          <w:sz w:val="20"/>
          <w:szCs w:val="20"/>
          <w:u w:val="single"/>
          <w:lang w:val="es-ES_tradnl"/>
        </w:rPr>
      </w:pPr>
    </w:p>
    <w:p w14:paraId="24463F64" w14:textId="42131334" w:rsidR="0080386E" w:rsidRPr="00D80603" w:rsidRDefault="0080386E" w:rsidP="0080386E">
      <w:pPr>
        <w:numPr>
          <w:ilvl w:val="0"/>
          <w:numId w:val="2"/>
        </w:numPr>
        <w:ind w:left="0" w:right="48" w:firstLine="0"/>
        <w:contextualSpacing/>
        <w:jc w:val="both"/>
        <w:rPr>
          <w:rFonts w:ascii="Verdana" w:eastAsia="Verdana" w:hAnsi="Verdana" w:cstheme="minorHAnsi"/>
          <w:sz w:val="20"/>
          <w:szCs w:val="20"/>
          <w:lang w:val="es-ES_tradnl"/>
        </w:rPr>
      </w:pPr>
      <w:r w:rsidRPr="00D80603">
        <w:rPr>
          <w:rFonts w:ascii="Verdana" w:eastAsia="Verdana" w:hAnsi="Verdana" w:cstheme="minorHAnsi"/>
          <w:sz w:val="20"/>
          <w:szCs w:val="20"/>
          <w:lang w:val="es-ES_tradnl"/>
        </w:rPr>
        <w:t>Finalmente, e</w:t>
      </w:r>
      <w:r w:rsidR="00AC224E" w:rsidRPr="00D80603">
        <w:rPr>
          <w:rFonts w:ascii="Verdana" w:eastAsia="Verdana" w:hAnsi="Verdana" w:cstheme="minorHAnsi"/>
          <w:sz w:val="20"/>
          <w:szCs w:val="20"/>
          <w:lang w:val="es-ES_tradnl"/>
        </w:rPr>
        <w:t>n el precedente más reciente de hace unos meses, en e</w:t>
      </w:r>
      <w:r w:rsidRPr="00D80603">
        <w:rPr>
          <w:rFonts w:ascii="Verdana" w:eastAsia="Verdana" w:hAnsi="Verdana" w:cstheme="minorHAnsi"/>
          <w:sz w:val="20"/>
          <w:szCs w:val="20"/>
          <w:lang w:val="es-ES_tradnl"/>
        </w:rPr>
        <w:t xml:space="preserve">l caso </w:t>
      </w:r>
      <w:r w:rsidRPr="00D80603">
        <w:rPr>
          <w:rFonts w:ascii="Verdana" w:eastAsia="Verdana" w:hAnsi="Verdana" w:cstheme="minorHAnsi"/>
          <w:i/>
          <w:iCs/>
          <w:sz w:val="20"/>
          <w:szCs w:val="20"/>
          <w:lang w:val="es-ES_tradnl"/>
        </w:rPr>
        <w:t xml:space="preserve">Comunidad </w:t>
      </w:r>
      <w:r w:rsidR="00C25BE4" w:rsidRPr="00D80603">
        <w:rPr>
          <w:rFonts w:ascii="Verdana" w:eastAsia="Verdana" w:hAnsi="Verdana" w:cstheme="minorHAnsi"/>
          <w:i/>
          <w:iCs/>
          <w:sz w:val="20"/>
          <w:szCs w:val="20"/>
          <w:lang w:val="es-ES_tradnl"/>
        </w:rPr>
        <w:t xml:space="preserve">Indígena </w:t>
      </w:r>
      <w:r w:rsidR="00710023" w:rsidRPr="00D80603">
        <w:rPr>
          <w:rFonts w:ascii="Verdana" w:eastAsia="Verdana" w:hAnsi="Verdana" w:cstheme="minorHAnsi"/>
          <w:i/>
          <w:iCs/>
          <w:sz w:val="20"/>
          <w:szCs w:val="20"/>
          <w:lang w:val="es-ES_tradnl"/>
        </w:rPr>
        <w:t>M</w:t>
      </w:r>
      <w:r w:rsidRPr="00D80603">
        <w:rPr>
          <w:rFonts w:ascii="Verdana" w:eastAsia="Verdana" w:hAnsi="Verdana" w:cstheme="minorHAnsi"/>
          <w:i/>
          <w:iCs/>
          <w:sz w:val="20"/>
          <w:szCs w:val="20"/>
          <w:lang w:val="es-ES_tradnl"/>
        </w:rPr>
        <w:t xml:space="preserve">aya </w:t>
      </w:r>
      <w:proofErr w:type="spellStart"/>
      <w:r w:rsidRPr="00D80603">
        <w:rPr>
          <w:rFonts w:ascii="Verdana" w:eastAsia="Verdana" w:hAnsi="Verdana" w:cstheme="minorHAnsi"/>
          <w:i/>
          <w:iCs/>
          <w:sz w:val="20"/>
          <w:szCs w:val="20"/>
          <w:lang w:val="es-ES_tradnl"/>
        </w:rPr>
        <w:t>Q’eqchi</w:t>
      </w:r>
      <w:proofErr w:type="spellEnd"/>
      <w:r w:rsidRPr="00D80603">
        <w:rPr>
          <w:rFonts w:ascii="Verdana" w:eastAsia="Verdana" w:hAnsi="Verdana" w:cstheme="minorHAnsi"/>
          <w:i/>
          <w:iCs/>
          <w:sz w:val="20"/>
          <w:szCs w:val="20"/>
          <w:lang w:val="es-ES_tradnl"/>
        </w:rPr>
        <w:t xml:space="preserve"> Agua Caliente Vs. </w:t>
      </w:r>
      <w:r w:rsidR="006B148F" w:rsidRPr="00D80603">
        <w:rPr>
          <w:rFonts w:ascii="Verdana" w:eastAsia="Verdana" w:hAnsi="Verdana" w:cstheme="minorHAnsi"/>
          <w:i/>
          <w:iCs/>
          <w:sz w:val="20"/>
          <w:szCs w:val="20"/>
          <w:lang w:val="es-ES_tradnl"/>
        </w:rPr>
        <w:t xml:space="preserve">Guatemala </w:t>
      </w:r>
      <w:r w:rsidR="002723E0" w:rsidRPr="00D80603">
        <w:rPr>
          <w:rFonts w:ascii="Verdana" w:eastAsia="Verdana" w:hAnsi="Verdana" w:cstheme="minorHAnsi"/>
          <w:sz w:val="20"/>
          <w:szCs w:val="20"/>
          <w:lang w:val="es-ES_tradnl"/>
        </w:rPr>
        <w:t>(2023)</w:t>
      </w:r>
      <w:r w:rsidRPr="00D80603">
        <w:rPr>
          <w:rFonts w:ascii="Verdana" w:eastAsia="Verdana" w:hAnsi="Verdana" w:cstheme="minorHAnsi"/>
          <w:sz w:val="20"/>
          <w:szCs w:val="20"/>
          <w:lang w:val="es-ES_tradnl"/>
        </w:rPr>
        <w:t xml:space="preserve">, además de reiterar la incidencia del artículo 23 de la Convención, relativo a los derechos de participación política en asuntos de interés público, </w:t>
      </w:r>
      <w:r w:rsidRPr="00D80603">
        <w:rPr>
          <w:rFonts w:ascii="Verdana" w:eastAsia="Verdana" w:hAnsi="Verdana" w:cstheme="minorHAnsi"/>
          <w:sz w:val="20"/>
          <w:szCs w:val="20"/>
          <w:u w:val="single"/>
          <w:lang w:val="es-ES_tradnl"/>
        </w:rPr>
        <w:t>la Corte IDH declaró</w:t>
      </w:r>
      <w:r w:rsidR="00EB5C1F" w:rsidRPr="00D80603">
        <w:rPr>
          <w:rFonts w:ascii="Verdana" w:eastAsia="Verdana" w:hAnsi="Verdana" w:cstheme="minorHAnsi"/>
          <w:sz w:val="20"/>
          <w:szCs w:val="20"/>
          <w:u w:val="single"/>
          <w:lang w:val="es-ES_tradnl"/>
        </w:rPr>
        <w:t>,</w:t>
      </w:r>
      <w:r w:rsidRPr="00D80603">
        <w:rPr>
          <w:rFonts w:ascii="Verdana" w:eastAsia="Verdana" w:hAnsi="Verdana" w:cstheme="minorHAnsi"/>
          <w:sz w:val="20"/>
          <w:szCs w:val="20"/>
          <w:u w:val="single"/>
          <w:lang w:val="es-ES_tradnl"/>
        </w:rPr>
        <w:t xml:space="preserve"> por primera vez</w:t>
      </w:r>
      <w:r w:rsidR="00EB5C1F" w:rsidRPr="00D80603">
        <w:rPr>
          <w:rFonts w:ascii="Verdana" w:eastAsia="Verdana" w:hAnsi="Verdana" w:cstheme="minorHAnsi"/>
          <w:sz w:val="20"/>
          <w:szCs w:val="20"/>
          <w:u w:val="single"/>
          <w:lang w:val="es-ES_tradnl"/>
        </w:rPr>
        <w:t>,</w:t>
      </w:r>
      <w:r w:rsidRPr="00D80603">
        <w:rPr>
          <w:rFonts w:ascii="Verdana" w:eastAsia="Verdana" w:hAnsi="Verdana" w:cstheme="minorHAnsi"/>
          <w:sz w:val="20"/>
          <w:szCs w:val="20"/>
          <w:u w:val="single"/>
          <w:lang w:val="es-ES_tradnl"/>
        </w:rPr>
        <w:t xml:space="preserve"> la responsabilidad del Estado por la violación del derecho de acceso a la información,</w:t>
      </w:r>
      <w:r w:rsidRPr="00D80603">
        <w:rPr>
          <w:rFonts w:ascii="Verdana" w:hAnsi="Verdana" w:cstheme="minorHAnsi"/>
          <w:sz w:val="20"/>
          <w:szCs w:val="20"/>
          <w:u w:val="single"/>
          <w:lang w:val="es-ES_tradnl"/>
        </w:rPr>
        <w:t xml:space="preserve"> </w:t>
      </w:r>
      <w:r w:rsidRPr="00D80603">
        <w:rPr>
          <w:rFonts w:ascii="Verdana" w:eastAsia="Verdana" w:hAnsi="Verdana" w:cstheme="minorHAnsi"/>
          <w:sz w:val="20"/>
          <w:szCs w:val="20"/>
          <w:u w:val="single"/>
          <w:lang w:val="es-ES_tradnl"/>
        </w:rPr>
        <w:t>previsto en el artículo 13 de la Convención</w:t>
      </w:r>
      <w:r w:rsidR="002723E0" w:rsidRPr="00D80603">
        <w:rPr>
          <w:rFonts w:ascii="Verdana" w:eastAsia="Verdana" w:hAnsi="Verdana" w:cstheme="minorHAnsi"/>
          <w:sz w:val="20"/>
          <w:szCs w:val="20"/>
          <w:u w:val="single"/>
          <w:lang w:val="es-ES_tradnl"/>
        </w:rPr>
        <w:t xml:space="preserve"> Americana</w:t>
      </w:r>
      <w:r w:rsidRPr="00D80603">
        <w:rPr>
          <w:rFonts w:ascii="Verdana" w:eastAsia="Verdana" w:hAnsi="Verdana" w:cstheme="minorHAnsi"/>
          <w:sz w:val="20"/>
          <w:szCs w:val="20"/>
          <w:lang w:val="es-ES_tradnl"/>
        </w:rPr>
        <w:t>, en el ámbito de procesos de consulta, debido a las deficiencias informativas y a la inaccesibilidad lingüística de los estudios que fundamentaron la concesión de explotación mineral en territorio tradicional</w:t>
      </w:r>
      <w:r w:rsidRPr="00D80603">
        <w:rPr>
          <w:rStyle w:val="Refdenotaalpie"/>
          <w:rFonts w:ascii="Verdana" w:eastAsia="Verdana" w:hAnsi="Verdana" w:cstheme="minorHAnsi"/>
          <w:sz w:val="20"/>
          <w:szCs w:val="20"/>
          <w:lang w:val="es-ES_tradnl"/>
        </w:rPr>
        <w:footnoteReference w:id="20"/>
      </w:r>
      <w:r w:rsidRPr="00D80603">
        <w:rPr>
          <w:rFonts w:ascii="Verdana" w:eastAsia="Verdana" w:hAnsi="Verdana" w:cstheme="minorHAnsi"/>
          <w:sz w:val="20"/>
          <w:szCs w:val="20"/>
          <w:lang w:val="es-ES_tradnl"/>
        </w:rPr>
        <w:t>.</w:t>
      </w:r>
    </w:p>
    <w:p w14:paraId="7DF82BD6" w14:textId="77777777" w:rsidR="00C379F3" w:rsidRPr="00D80603" w:rsidRDefault="00C379F3" w:rsidP="0080386E">
      <w:pPr>
        <w:rPr>
          <w:rFonts w:ascii="Verdana" w:hAnsi="Verdana" w:cstheme="minorHAnsi"/>
          <w:i/>
          <w:iCs/>
          <w:sz w:val="20"/>
          <w:szCs w:val="20"/>
          <w:lang w:val="es-ES_tradnl"/>
        </w:rPr>
      </w:pPr>
    </w:p>
    <w:p w14:paraId="34B6B118" w14:textId="77777777" w:rsidR="00C379F3" w:rsidRPr="00D80603" w:rsidRDefault="00C379F3" w:rsidP="00C379F3">
      <w:pPr>
        <w:tabs>
          <w:tab w:val="left" w:pos="1176"/>
        </w:tabs>
        <w:spacing w:before="120" w:after="120"/>
        <w:jc w:val="both"/>
        <w:rPr>
          <w:rFonts w:ascii="Verdana" w:hAnsi="Verdana" w:cstheme="minorHAnsi"/>
          <w:i/>
          <w:iCs/>
          <w:sz w:val="20"/>
          <w:szCs w:val="20"/>
          <w:lang w:val="es-ES_tradnl"/>
        </w:rPr>
      </w:pPr>
      <w:r w:rsidRPr="00D80603">
        <w:rPr>
          <w:rFonts w:ascii="Verdana" w:hAnsi="Verdana" w:cstheme="minorHAnsi"/>
          <w:i/>
          <w:iCs/>
          <w:sz w:val="20"/>
          <w:szCs w:val="20"/>
          <w:lang w:val="es-ES_tradnl"/>
        </w:rPr>
        <w:t>iii) Reflexiones en torno al caso concreto</w:t>
      </w:r>
    </w:p>
    <w:p w14:paraId="745E8E4A" w14:textId="77777777" w:rsidR="00C379F3" w:rsidRPr="00D80603" w:rsidRDefault="00C379F3" w:rsidP="00C379F3">
      <w:pPr>
        <w:rPr>
          <w:rFonts w:ascii="Verdana" w:hAnsi="Verdana" w:cstheme="minorHAnsi"/>
          <w:sz w:val="20"/>
          <w:szCs w:val="20"/>
          <w:lang w:val="es-ES_tradnl"/>
        </w:rPr>
      </w:pPr>
    </w:p>
    <w:p w14:paraId="42B18D80" w14:textId="1866C84C" w:rsidR="00655C28" w:rsidRPr="00D80603" w:rsidRDefault="00691304" w:rsidP="00C379F3">
      <w:pPr>
        <w:numPr>
          <w:ilvl w:val="0"/>
          <w:numId w:val="2"/>
        </w:numPr>
        <w:tabs>
          <w:tab w:val="left" w:pos="567"/>
        </w:tabs>
        <w:ind w:left="0" w:right="48" w:firstLine="0"/>
        <w:contextualSpacing/>
        <w:jc w:val="both"/>
        <w:rPr>
          <w:rFonts w:ascii="Verdana" w:hAnsi="Verdana" w:cstheme="minorHAnsi"/>
          <w:i/>
          <w:iCs/>
          <w:sz w:val="20"/>
          <w:szCs w:val="20"/>
          <w:lang w:val="es-ES_tradnl"/>
        </w:rPr>
      </w:pPr>
      <w:bookmarkStart w:id="2" w:name="_Hlk152250371"/>
      <w:r w:rsidRPr="00D80603">
        <w:rPr>
          <w:rFonts w:ascii="Verdana" w:hAnsi="Verdana" w:cstheme="minorHAnsi"/>
          <w:sz w:val="20"/>
          <w:szCs w:val="20"/>
          <w:lang w:val="es-ES_tradnl"/>
        </w:rPr>
        <w:t xml:space="preserve">En suma, </w:t>
      </w:r>
      <w:r w:rsidR="00A71A68" w:rsidRPr="00D80603">
        <w:rPr>
          <w:rFonts w:ascii="Verdana" w:hAnsi="Verdana" w:cstheme="minorHAnsi"/>
          <w:sz w:val="20"/>
          <w:szCs w:val="20"/>
          <w:lang w:val="es-ES_tradnl"/>
        </w:rPr>
        <w:t xml:space="preserve">como podemos observar en la jurisprudencia de la Corte IDH se han desarrollado </w:t>
      </w:r>
      <w:r w:rsidRPr="00D80603">
        <w:rPr>
          <w:rFonts w:ascii="Verdana" w:hAnsi="Verdana" w:cstheme="minorHAnsi"/>
          <w:sz w:val="20"/>
          <w:szCs w:val="20"/>
          <w:lang w:val="es-ES_tradnl"/>
        </w:rPr>
        <w:t xml:space="preserve">dos supuestos </w:t>
      </w:r>
      <w:r w:rsidR="00AC224E" w:rsidRPr="00D80603">
        <w:rPr>
          <w:rFonts w:ascii="Verdana" w:hAnsi="Verdana" w:cstheme="minorHAnsi"/>
          <w:sz w:val="20"/>
          <w:szCs w:val="20"/>
          <w:lang w:val="es-ES_tradnl"/>
        </w:rPr>
        <w:t xml:space="preserve">distintos </w:t>
      </w:r>
      <w:r w:rsidR="00A71A68" w:rsidRPr="00D80603">
        <w:rPr>
          <w:rFonts w:ascii="Verdana" w:hAnsi="Verdana" w:cstheme="minorHAnsi"/>
          <w:sz w:val="20"/>
          <w:szCs w:val="20"/>
          <w:lang w:val="es-ES_tradnl"/>
        </w:rPr>
        <w:t xml:space="preserve">sobre </w:t>
      </w:r>
      <w:r w:rsidR="00AC224E" w:rsidRPr="00D80603">
        <w:rPr>
          <w:rFonts w:ascii="Verdana" w:hAnsi="Verdana" w:cstheme="minorHAnsi"/>
          <w:sz w:val="20"/>
          <w:szCs w:val="20"/>
          <w:lang w:val="es-ES_tradnl"/>
        </w:rPr>
        <w:t xml:space="preserve">cuándo nace </w:t>
      </w:r>
      <w:r w:rsidR="00655C28" w:rsidRPr="00D80603">
        <w:rPr>
          <w:rFonts w:ascii="Verdana" w:hAnsi="Verdana" w:cstheme="minorHAnsi"/>
          <w:sz w:val="20"/>
          <w:szCs w:val="20"/>
          <w:lang w:val="es-ES_tradnl"/>
        </w:rPr>
        <w:t xml:space="preserve">la </w:t>
      </w:r>
      <w:r w:rsidR="00AD13BE" w:rsidRPr="00D80603">
        <w:rPr>
          <w:rFonts w:ascii="Verdana" w:hAnsi="Verdana" w:cstheme="minorHAnsi"/>
          <w:sz w:val="20"/>
          <w:szCs w:val="20"/>
          <w:lang w:val="es-ES_tradnl"/>
        </w:rPr>
        <w:t>obligación de</w:t>
      </w:r>
      <w:r w:rsidRPr="00D80603">
        <w:rPr>
          <w:rFonts w:ascii="Verdana" w:hAnsi="Verdana" w:cstheme="minorHAnsi"/>
          <w:sz w:val="20"/>
          <w:szCs w:val="20"/>
          <w:lang w:val="es-ES_tradnl"/>
        </w:rPr>
        <w:t xml:space="preserve"> consulta: a)</w:t>
      </w:r>
      <w:r w:rsidR="00655C28" w:rsidRPr="00D80603">
        <w:rPr>
          <w:rFonts w:ascii="Verdana" w:hAnsi="Verdana" w:cstheme="minorHAnsi"/>
          <w:sz w:val="20"/>
          <w:szCs w:val="20"/>
          <w:lang w:val="es-ES_tradnl"/>
        </w:rPr>
        <w:t xml:space="preserve"> </w:t>
      </w:r>
      <w:r w:rsidR="002723E0" w:rsidRPr="00D80603">
        <w:rPr>
          <w:rFonts w:ascii="Verdana" w:hAnsi="Verdana" w:cstheme="minorHAnsi"/>
          <w:sz w:val="20"/>
          <w:szCs w:val="20"/>
          <w:lang w:val="es-ES_tradnl"/>
        </w:rPr>
        <w:t xml:space="preserve">cuando la Corte IDH supedita la existencia de esta obligación a que el Estado haya ratificado el Convenio 169 de la OIT, y b) </w:t>
      </w:r>
      <w:r w:rsidR="00655C28" w:rsidRPr="00D80603">
        <w:rPr>
          <w:rFonts w:ascii="Verdana" w:hAnsi="Verdana" w:cstheme="minorHAnsi"/>
          <w:sz w:val="20"/>
          <w:szCs w:val="20"/>
          <w:lang w:val="es-ES_tradnl"/>
        </w:rPr>
        <w:t xml:space="preserve">cuando ha entendido que dicha obligación se desprende desde el momento de la ratificación </w:t>
      </w:r>
      <w:r w:rsidR="00652451" w:rsidRPr="00D80603">
        <w:rPr>
          <w:rFonts w:ascii="Verdana" w:hAnsi="Verdana" w:cstheme="minorHAnsi"/>
          <w:sz w:val="20"/>
          <w:szCs w:val="20"/>
          <w:lang w:val="es-ES_tradnl"/>
        </w:rPr>
        <w:t xml:space="preserve">y entrada en vigor </w:t>
      </w:r>
      <w:r w:rsidR="00655C28" w:rsidRPr="00D80603">
        <w:rPr>
          <w:rFonts w:ascii="Verdana" w:hAnsi="Verdana" w:cstheme="minorHAnsi"/>
          <w:sz w:val="20"/>
          <w:szCs w:val="20"/>
          <w:lang w:val="es-ES_tradnl"/>
        </w:rPr>
        <w:t>de la Convención Americana</w:t>
      </w:r>
      <w:r w:rsidR="002723E0" w:rsidRPr="00D80603">
        <w:rPr>
          <w:rFonts w:ascii="Verdana" w:hAnsi="Verdana" w:cstheme="minorHAnsi"/>
          <w:sz w:val="20"/>
          <w:szCs w:val="20"/>
          <w:lang w:val="es-ES_tradnl"/>
        </w:rPr>
        <w:t>.</w:t>
      </w:r>
    </w:p>
    <w:p w14:paraId="5CE632D8" w14:textId="77777777" w:rsidR="00655C28" w:rsidRPr="00D80603" w:rsidRDefault="00655C28" w:rsidP="00655C28">
      <w:pPr>
        <w:tabs>
          <w:tab w:val="left" w:pos="567"/>
        </w:tabs>
        <w:ind w:right="48"/>
        <w:contextualSpacing/>
        <w:jc w:val="both"/>
        <w:rPr>
          <w:rFonts w:ascii="Verdana" w:hAnsi="Verdana" w:cstheme="minorHAnsi"/>
          <w:i/>
          <w:iCs/>
          <w:sz w:val="20"/>
          <w:szCs w:val="20"/>
          <w:lang w:val="es-ES_tradnl"/>
        </w:rPr>
      </w:pPr>
    </w:p>
    <w:p w14:paraId="04DA91A5" w14:textId="705E595A" w:rsidR="001F41AE" w:rsidRPr="00D80603" w:rsidRDefault="002723E0" w:rsidP="001F41AE">
      <w:pPr>
        <w:numPr>
          <w:ilvl w:val="0"/>
          <w:numId w:val="2"/>
        </w:numPr>
        <w:tabs>
          <w:tab w:val="left" w:pos="567"/>
        </w:tabs>
        <w:ind w:left="0" w:right="48" w:firstLine="0"/>
        <w:contextualSpacing/>
        <w:jc w:val="both"/>
        <w:rPr>
          <w:rFonts w:ascii="Verdana" w:hAnsi="Verdana" w:cstheme="minorHAnsi"/>
          <w:i/>
          <w:iCs/>
          <w:sz w:val="20"/>
          <w:szCs w:val="20"/>
          <w:lang w:val="es-ES_tradnl"/>
        </w:rPr>
      </w:pPr>
      <w:r w:rsidRPr="00D80603">
        <w:rPr>
          <w:rFonts w:ascii="Verdana" w:hAnsi="Verdana" w:cstheme="minorHAnsi"/>
          <w:sz w:val="20"/>
          <w:szCs w:val="20"/>
          <w:lang w:val="es-ES_tradnl"/>
        </w:rPr>
        <w:t>Este último supuesto es el seguido en los precedentes más recientes de la Corte IDH</w:t>
      </w:r>
      <w:bookmarkEnd w:id="2"/>
      <w:r w:rsidR="00A90E1F" w:rsidRPr="00D80603">
        <w:rPr>
          <w:rStyle w:val="Refdenotaalpie"/>
          <w:rFonts w:ascii="Verdana" w:hAnsi="Verdana" w:cstheme="minorHAnsi"/>
          <w:sz w:val="20"/>
          <w:szCs w:val="20"/>
          <w:lang w:val="es-ES_tradnl"/>
        </w:rPr>
        <w:footnoteReference w:id="21"/>
      </w:r>
      <w:r w:rsidRPr="00D80603">
        <w:rPr>
          <w:rFonts w:ascii="Verdana" w:hAnsi="Verdana" w:cstheme="minorHAnsi"/>
          <w:sz w:val="20"/>
          <w:szCs w:val="20"/>
          <w:lang w:val="es-ES_tradnl"/>
        </w:rPr>
        <w:t xml:space="preserve">, en el que se ha </w:t>
      </w:r>
      <w:r w:rsidR="00691304" w:rsidRPr="00D80603">
        <w:rPr>
          <w:rFonts w:ascii="Verdana" w:hAnsi="Verdana" w:cstheme="minorHAnsi"/>
          <w:sz w:val="20"/>
          <w:szCs w:val="20"/>
          <w:lang w:val="es-ES_tradnl"/>
        </w:rPr>
        <w:t xml:space="preserve">decantado por el criterio más favorable para determinar que existe una obligación de consulta desde la Convención Americana. </w:t>
      </w:r>
      <w:r w:rsidRPr="00D80603">
        <w:rPr>
          <w:rFonts w:ascii="Verdana" w:hAnsi="Verdana" w:cstheme="minorHAnsi"/>
          <w:sz w:val="20"/>
          <w:szCs w:val="20"/>
          <w:lang w:val="es-ES_tradnl"/>
        </w:rPr>
        <w:t>L</w:t>
      </w:r>
      <w:r w:rsidR="005604FB" w:rsidRPr="00D80603">
        <w:rPr>
          <w:rFonts w:ascii="Verdana" w:hAnsi="Verdana" w:cstheme="minorHAnsi"/>
          <w:sz w:val="20"/>
          <w:szCs w:val="20"/>
          <w:lang w:val="es-ES_tradnl"/>
        </w:rPr>
        <w:t>a Corte IDH ha entendido que el derecho a la consulta previa, como derecho autónomo desde la C</w:t>
      </w:r>
      <w:r w:rsidR="00683FB2" w:rsidRPr="00D80603">
        <w:rPr>
          <w:rFonts w:ascii="Verdana" w:hAnsi="Verdana" w:cstheme="minorHAnsi"/>
          <w:sz w:val="20"/>
          <w:szCs w:val="20"/>
          <w:lang w:val="es-ES_tradnl"/>
        </w:rPr>
        <w:t>onvención Americana</w:t>
      </w:r>
      <w:r w:rsidR="005604FB" w:rsidRPr="00D80603">
        <w:rPr>
          <w:rFonts w:ascii="Verdana" w:hAnsi="Verdana" w:cstheme="minorHAnsi"/>
          <w:sz w:val="20"/>
          <w:szCs w:val="20"/>
          <w:lang w:val="es-ES_tradnl"/>
        </w:rPr>
        <w:t>, se encuentra en el marco</w:t>
      </w:r>
      <w:r w:rsidR="00683FB2" w:rsidRPr="00D80603">
        <w:rPr>
          <w:rFonts w:ascii="Verdana" w:hAnsi="Verdana" w:cstheme="minorHAnsi"/>
          <w:sz w:val="20"/>
          <w:szCs w:val="20"/>
          <w:lang w:val="es-ES_tradnl"/>
        </w:rPr>
        <w:t xml:space="preserve">, fundamentalmente, de </w:t>
      </w:r>
      <w:r w:rsidR="005604FB" w:rsidRPr="00D80603">
        <w:rPr>
          <w:rFonts w:ascii="Verdana" w:hAnsi="Verdana" w:cstheme="minorHAnsi"/>
          <w:sz w:val="20"/>
          <w:szCs w:val="20"/>
          <w:lang w:val="es-ES_tradnl"/>
        </w:rPr>
        <w:t>los artículos 1, 2, 13</w:t>
      </w:r>
      <w:r w:rsidR="00683FB2" w:rsidRPr="00D80603">
        <w:rPr>
          <w:rFonts w:ascii="Verdana" w:hAnsi="Verdana" w:cstheme="minorHAnsi"/>
          <w:sz w:val="20"/>
          <w:szCs w:val="20"/>
          <w:lang w:val="es-ES_tradnl"/>
        </w:rPr>
        <w:t xml:space="preserve">, 21 y </w:t>
      </w:r>
      <w:r w:rsidR="005604FB" w:rsidRPr="00D80603">
        <w:rPr>
          <w:rFonts w:ascii="Verdana" w:hAnsi="Verdana" w:cstheme="minorHAnsi"/>
          <w:sz w:val="20"/>
          <w:szCs w:val="20"/>
          <w:lang w:val="es-ES_tradnl"/>
        </w:rPr>
        <w:t xml:space="preserve">23 </w:t>
      </w:r>
      <w:r w:rsidR="00683FB2" w:rsidRPr="00D80603">
        <w:rPr>
          <w:rFonts w:ascii="Verdana" w:hAnsi="Verdana" w:cstheme="minorHAnsi"/>
          <w:sz w:val="20"/>
          <w:szCs w:val="20"/>
          <w:lang w:val="es-ES_tradnl"/>
        </w:rPr>
        <w:t>del Pacto de San José</w:t>
      </w:r>
      <w:r w:rsidR="00A71A68" w:rsidRPr="00D80603">
        <w:rPr>
          <w:rStyle w:val="Refdenotaalpie"/>
          <w:rFonts w:ascii="Verdana" w:hAnsi="Verdana" w:cstheme="minorHAnsi"/>
          <w:sz w:val="20"/>
          <w:szCs w:val="20"/>
          <w:lang w:val="es-ES_tradnl"/>
        </w:rPr>
        <w:footnoteReference w:id="22"/>
      </w:r>
      <w:r w:rsidR="005604FB" w:rsidRPr="00D80603">
        <w:rPr>
          <w:rFonts w:ascii="Verdana" w:hAnsi="Verdana" w:cstheme="minorHAnsi"/>
          <w:sz w:val="20"/>
          <w:szCs w:val="20"/>
          <w:lang w:val="es-ES_tradnl"/>
        </w:rPr>
        <w:t xml:space="preserve">. </w:t>
      </w:r>
    </w:p>
    <w:p w14:paraId="50121014" w14:textId="77777777" w:rsidR="001F41AE" w:rsidRPr="00D80603" w:rsidRDefault="001F41AE" w:rsidP="001F41AE">
      <w:pPr>
        <w:pStyle w:val="Prrafodelista"/>
        <w:rPr>
          <w:rFonts w:ascii="Verdana" w:hAnsi="Verdana" w:cstheme="minorHAnsi"/>
          <w:sz w:val="20"/>
          <w:szCs w:val="20"/>
          <w:lang w:val="es-ES_tradnl"/>
        </w:rPr>
      </w:pPr>
    </w:p>
    <w:p w14:paraId="6C6C34F9" w14:textId="77777777" w:rsidR="001F41AE" w:rsidRPr="00D80603" w:rsidRDefault="00691304" w:rsidP="001F41AE">
      <w:pPr>
        <w:numPr>
          <w:ilvl w:val="0"/>
          <w:numId w:val="2"/>
        </w:numPr>
        <w:tabs>
          <w:tab w:val="left" w:pos="567"/>
        </w:tabs>
        <w:ind w:left="0" w:right="48" w:firstLine="0"/>
        <w:contextualSpacing/>
        <w:jc w:val="both"/>
        <w:rPr>
          <w:rFonts w:ascii="Verdana" w:hAnsi="Verdana" w:cstheme="minorHAnsi"/>
          <w:i/>
          <w:iCs/>
          <w:sz w:val="20"/>
          <w:szCs w:val="20"/>
          <w:lang w:val="es-ES_tradnl"/>
        </w:rPr>
      </w:pPr>
      <w:r w:rsidRPr="00D80603">
        <w:rPr>
          <w:rFonts w:ascii="Verdana" w:hAnsi="Verdana" w:cstheme="minorHAnsi"/>
          <w:sz w:val="20"/>
          <w:szCs w:val="20"/>
          <w:lang w:val="es-ES_tradnl"/>
        </w:rPr>
        <w:t>E</w:t>
      </w:r>
      <w:r w:rsidR="00CF1D69" w:rsidRPr="00D80603">
        <w:rPr>
          <w:rFonts w:ascii="Verdana" w:hAnsi="Verdana" w:cstheme="minorHAnsi"/>
          <w:sz w:val="20"/>
          <w:szCs w:val="20"/>
          <w:lang w:val="es-ES_tradnl"/>
        </w:rPr>
        <w:t xml:space="preserve">n el presente caso, </w:t>
      </w:r>
      <w:r w:rsidR="00144CE0" w:rsidRPr="00D80603">
        <w:rPr>
          <w:rFonts w:ascii="Verdana" w:hAnsi="Verdana" w:cstheme="minorHAnsi"/>
          <w:sz w:val="20"/>
          <w:szCs w:val="20"/>
          <w:lang w:val="es-ES_tradnl"/>
        </w:rPr>
        <w:t xml:space="preserve">la falta de consulta previa fue alegada de manera explícita tanto por la Comisión como por los Representantes de la Comunidad Garífuna de San Juan. Específicamente, la Comisión Interamericana en el Informe de Fondo alegó que </w:t>
      </w:r>
      <w:r w:rsidR="00144CE0" w:rsidRPr="00D80603">
        <w:rPr>
          <w:rFonts w:ascii="Verdana" w:eastAsia="Calibri" w:hAnsi="Verdana"/>
          <w:iCs/>
          <w:sz w:val="20"/>
          <w:szCs w:val="20"/>
        </w:rPr>
        <w:t xml:space="preserve">“el Estado no </w:t>
      </w:r>
      <w:r w:rsidR="00144CE0" w:rsidRPr="00D80603">
        <w:rPr>
          <w:rFonts w:ascii="Verdana" w:hAnsi="Verdana"/>
          <w:iCs/>
          <w:sz w:val="20"/>
          <w:szCs w:val="20"/>
          <w:lang w:val="es-ES_tradnl"/>
        </w:rPr>
        <w:t>habría</w:t>
      </w:r>
      <w:r w:rsidR="00144CE0" w:rsidRPr="00D80603">
        <w:rPr>
          <w:rFonts w:ascii="Verdana" w:eastAsia="Calibri" w:hAnsi="Verdana"/>
          <w:iCs/>
          <w:sz w:val="20"/>
          <w:szCs w:val="20"/>
        </w:rPr>
        <w:t xml:space="preserve"> consultado, de manera previa, libre e informada con la Comunidad respecto de la adopción de decisiones que afectarían o habrían restringido su derecho a la propiedad colectiva</w:t>
      </w:r>
      <w:r w:rsidR="00144CE0" w:rsidRPr="00D80603">
        <w:rPr>
          <w:rFonts w:ascii="Verdana" w:hAnsi="Verdana" w:cstheme="minorHAnsi"/>
          <w:sz w:val="20"/>
          <w:szCs w:val="20"/>
          <w:lang w:val="es-ES_tradnl"/>
        </w:rPr>
        <w:t>”</w:t>
      </w:r>
      <w:r w:rsidR="00144CE0" w:rsidRPr="00D80603">
        <w:rPr>
          <w:rStyle w:val="Refdenotaalpie"/>
          <w:rFonts w:ascii="Verdana" w:hAnsi="Verdana" w:cstheme="minorHAnsi"/>
          <w:sz w:val="20"/>
          <w:szCs w:val="20"/>
          <w:lang w:val="es-ES_tradnl"/>
        </w:rPr>
        <w:footnoteReference w:id="23"/>
      </w:r>
      <w:r w:rsidR="00144CE0" w:rsidRPr="00D80603">
        <w:rPr>
          <w:rFonts w:ascii="Verdana" w:hAnsi="Verdana" w:cstheme="minorHAnsi"/>
          <w:sz w:val="20"/>
          <w:szCs w:val="20"/>
          <w:lang w:val="es-ES_tradnl"/>
        </w:rPr>
        <w:t xml:space="preserve">. </w:t>
      </w:r>
    </w:p>
    <w:p w14:paraId="0E391BB6" w14:textId="77777777" w:rsidR="001F41AE" w:rsidRPr="00D80603" w:rsidRDefault="001F41AE" w:rsidP="001F41AE">
      <w:pPr>
        <w:pStyle w:val="Prrafodelista"/>
        <w:rPr>
          <w:rFonts w:ascii="Verdana" w:hAnsi="Verdana" w:cstheme="minorHAnsi"/>
          <w:sz w:val="20"/>
          <w:szCs w:val="20"/>
          <w:lang w:val="es-ES_tradnl"/>
        </w:rPr>
      </w:pPr>
    </w:p>
    <w:p w14:paraId="6224ACB7" w14:textId="172E26D1" w:rsidR="001F41AE" w:rsidRPr="00D80603" w:rsidRDefault="00144CE0" w:rsidP="001F41AE">
      <w:pPr>
        <w:numPr>
          <w:ilvl w:val="0"/>
          <w:numId w:val="2"/>
        </w:numPr>
        <w:tabs>
          <w:tab w:val="left" w:pos="567"/>
        </w:tabs>
        <w:ind w:left="0" w:right="48" w:firstLine="0"/>
        <w:contextualSpacing/>
        <w:jc w:val="both"/>
        <w:rPr>
          <w:rFonts w:ascii="Verdana" w:hAnsi="Verdana" w:cstheme="minorHAnsi"/>
          <w:i/>
          <w:iCs/>
          <w:sz w:val="20"/>
          <w:szCs w:val="20"/>
          <w:lang w:val="es-ES_tradnl"/>
        </w:rPr>
      </w:pPr>
      <w:r w:rsidRPr="00D80603">
        <w:rPr>
          <w:rFonts w:ascii="Verdana" w:hAnsi="Verdana" w:cstheme="minorHAnsi"/>
          <w:sz w:val="20"/>
          <w:szCs w:val="20"/>
          <w:lang w:val="es-ES_tradnl"/>
        </w:rPr>
        <w:t>El Tribunal Interamericano consideró que</w:t>
      </w:r>
      <w:r w:rsidR="001F41AE" w:rsidRPr="00D80603">
        <w:rPr>
          <w:rFonts w:ascii="Verdana" w:hAnsi="Verdana" w:cstheme="minorHAnsi"/>
          <w:sz w:val="20"/>
          <w:szCs w:val="20"/>
          <w:lang w:val="es-ES_tradnl"/>
        </w:rPr>
        <w:t xml:space="preserve"> “</w:t>
      </w:r>
      <w:r w:rsidR="001F41AE" w:rsidRPr="00D80603">
        <w:rPr>
          <w:rFonts w:ascii="Verdana" w:hAnsi="Verdana"/>
          <w:sz w:val="20"/>
          <w:szCs w:val="20"/>
        </w:rPr>
        <w:t xml:space="preserve">corresponde determinar si el Estado cumplió o no la obligación de </w:t>
      </w:r>
      <w:r w:rsidR="001F41AE" w:rsidRPr="00D80603">
        <w:rPr>
          <w:rFonts w:ascii="Verdana" w:hAnsi="Verdana"/>
          <w:sz w:val="20"/>
          <w:szCs w:val="20"/>
          <w:u w:val="single"/>
        </w:rPr>
        <w:t>garantizar el derecho a la participación y a la consulta</w:t>
      </w:r>
      <w:r w:rsidR="001F41AE" w:rsidRPr="00D80603">
        <w:rPr>
          <w:rFonts w:ascii="Verdana" w:hAnsi="Verdana"/>
          <w:sz w:val="20"/>
          <w:szCs w:val="20"/>
        </w:rPr>
        <w:t xml:space="preserve"> de </w:t>
      </w:r>
      <w:r w:rsidR="001F41AE" w:rsidRPr="00D80603">
        <w:rPr>
          <w:rFonts w:ascii="Verdana" w:hAnsi="Verdana"/>
          <w:sz w:val="20"/>
          <w:szCs w:val="20"/>
        </w:rPr>
        <w:lastRenderedPageBreak/>
        <w:t>la Comunidad Garífuna de San Juan, tomando en cuenta que algunos de los elementos esenciales del referido derecho acorde a la normativa y jurisprudencia interamericana, la práctica de los Estados y la evolución del Derecho Internacional son: a) el carácter previo de la consulta; b) la buena fe y la finalidad de llegar a un acuerdo; c) la consulta adecuada y accesible; d) el estudio de impacto ambiental, y e) la consulta informada</w:t>
      </w:r>
      <w:r w:rsidR="001F41AE" w:rsidRPr="00D80603">
        <w:rPr>
          <w:rStyle w:val="Refdenotaalpie"/>
          <w:rFonts w:ascii="Verdana" w:hAnsi="Verdana"/>
          <w:sz w:val="20"/>
          <w:szCs w:val="20"/>
        </w:rPr>
        <w:footnoteReference w:id="24"/>
      </w:r>
      <w:r w:rsidR="001F41AE" w:rsidRPr="00D80603">
        <w:rPr>
          <w:rFonts w:ascii="Verdana" w:hAnsi="Verdana"/>
          <w:sz w:val="20"/>
          <w:szCs w:val="20"/>
        </w:rPr>
        <w:t>”.</w:t>
      </w:r>
    </w:p>
    <w:p w14:paraId="234CDAA4" w14:textId="77777777" w:rsidR="001F41AE" w:rsidRPr="00D80603" w:rsidRDefault="001F41AE" w:rsidP="001F41AE">
      <w:pPr>
        <w:pStyle w:val="Prrafodelista"/>
        <w:rPr>
          <w:rFonts w:ascii="Verdana" w:hAnsi="Verdana" w:cstheme="minorHAnsi"/>
          <w:i/>
          <w:iCs/>
          <w:sz w:val="20"/>
          <w:szCs w:val="20"/>
          <w:lang w:val="es-ES_tradnl"/>
        </w:rPr>
      </w:pPr>
    </w:p>
    <w:p w14:paraId="099AD1CD" w14:textId="22CCAE74" w:rsidR="00144CE0" w:rsidRPr="00D80603" w:rsidRDefault="001F41AE" w:rsidP="001F41AE">
      <w:pPr>
        <w:numPr>
          <w:ilvl w:val="0"/>
          <w:numId w:val="2"/>
        </w:numPr>
        <w:tabs>
          <w:tab w:val="left" w:pos="567"/>
        </w:tabs>
        <w:ind w:left="0" w:right="48" w:firstLine="0"/>
        <w:contextualSpacing/>
        <w:jc w:val="both"/>
        <w:rPr>
          <w:rFonts w:ascii="Verdana" w:hAnsi="Verdana" w:cstheme="minorHAnsi"/>
          <w:i/>
          <w:iCs/>
          <w:sz w:val="20"/>
          <w:szCs w:val="20"/>
          <w:lang w:val="es-ES_tradnl"/>
        </w:rPr>
      </w:pPr>
      <w:r w:rsidRPr="00D80603">
        <w:rPr>
          <w:rFonts w:ascii="Verdana" w:hAnsi="Verdana" w:cstheme="minorHAnsi"/>
          <w:sz w:val="20"/>
          <w:szCs w:val="20"/>
          <w:lang w:val="es-ES_tradnl"/>
        </w:rPr>
        <w:t>Específicamente, al analizar a la luz de dichos estándares la falta de consulta previa por la ampliación del caso urbano de la Municipalidad de Tela, la Corte IDH sostuvo:</w:t>
      </w:r>
    </w:p>
    <w:p w14:paraId="2C8D67D5" w14:textId="41E50D6C" w:rsidR="001F41AE" w:rsidRPr="00D80603" w:rsidRDefault="001F41AE" w:rsidP="001F41AE">
      <w:pPr>
        <w:spacing w:before="120" w:after="120"/>
        <w:ind w:left="567"/>
        <w:jc w:val="both"/>
        <w:rPr>
          <w:rFonts w:ascii="Verdana" w:hAnsi="Verdana"/>
          <w:sz w:val="18"/>
          <w:szCs w:val="18"/>
        </w:rPr>
      </w:pPr>
      <w:r w:rsidRPr="00D80603">
        <w:rPr>
          <w:rFonts w:ascii="Verdana" w:hAnsi="Verdana"/>
          <w:sz w:val="18"/>
          <w:szCs w:val="18"/>
        </w:rPr>
        <w:t xml:space="preserve">“… A pesar de que la Corte en el caso de la Comunidad Garífuna Triunfo de la Cruz, afirmó que  la referida ampliación del casco urbano que tuvo lugar mediante la resolución N° 055-89 emitida por el INA en el año 1989 no constituyó una violación al derecho a la consulta, por ser previa a la ratificación por parte de Honduras del Convenio 169 de la OIT, </w:t>
      </w:r>
      <w:r w:rsidRPr="00D80603">
        <w:rPr>
          <w:rFonts w:ascii="Verdana" w:hAnsi="Verdana"/>
          <w:sz w:val="18"/>
          <w:szCs w:val="18"/>
          <w:u w:val="single"/>
        </w:rPr>
        <w:t>la Corte recuerda que los derechos a la propiedad colectiva, al acceso a la información, a la participación y a la identidad cultural de las comunidades indígenas y tribales, contenidos en los artículos 13, 21 y 23 de la Convención Americana, deben ser garantizados, y que esto implica la obligación de los Estados de reconocer a estas poblaciones su participación en las decisiones relativas a medidas que pueden afectar sus derechos, de acuerdo con sus valores, costumbres y formas de organización</w:t>
      </w:r>
      <w:r w:rsidRPr="00D80603">
        <w:rPr>
          <w:rStyle w:val="Refdenotaalpie"/>
          <w:rFonts w:ascii="Verdana" w:eastAsia="Batang" w:hAnsi="Verdana"/>
          <w:sz w:val="18"/>
          <w:szCs w:val="18"/>
          <w:lang w:val="es-ES"/>
        </w:rPr>
        <w:footnoteReference w:id="25"/>
      </w:r>
      <w:r w:rsidRPr="00D80603">
        <w:rPr>
          <w:rFonts w:ascii="Verdana" w:hAnsi="Verdana"/>
          <w:sz w:val="18"/>
          <w:szCs w:val="18"/>
          <w:lang w:val="es-ES"/>
        </w:rPr>
        <w:t xml:space="preserve">. </w:t>
      </w:r>
      <w:r w:rsidRPr="00D80603">
        <w:rPr>
          <w:rFonts w:ascii="Verdana" w:hAnsi="Verdana"/>
          <w:sz w:val="18"/>
          <w:szCs w:val="18"/>
        </w:rPr>
        <w:t>Dichos derechos deben ser garantizados, particularmente, en una sociedad pluralista, multicultural y democrática</w:t>
      </w:r>
      <w:r w:rsidRPr="00D80603">
        <w:rPr>
          <w:rStyle w:val="Refdenotaalpie"/>
          <w:rFonts w:ascii="Verdana" w:eastAsia="Batang" w:hAnsi="Verdana"/>
          <w:sz w:val="18"/>
          <w:szCs w:val="18"/>
        </w:rPr>
        <w:footnoteReference w:id="26"/>
      </w:r>
      <w:r w:rsidRPr="00D80603">
        <w:rPr>
          <w:rFonts w:ascii="Verdana" w:hAnsi="Verdana"/>
          <w:sz w:val="18"/>
          <w:szCs w:val="18"/>
        </w:rPr>
        <w:t>. Lo anterior es necesario para posibilitar la creación de canales de diálogo sostenidos, efectivos y confiables con los pueblos indígenas y tribales en los procedimientos de participación a través de sus instituciones representativas</w:t>
      </w:r>
      <w:r w:rsidRPr="00D80603">
        <w:rPr>
          <w:rStyle w:val="Refdenotaalpie"/>
          <w:rFonts w:ascii="Verdana" w:eastAsia="Batang" w:hAnsi="Verdana" w:cs="Arial"/>
          <w:color w:val="000000"/>
          <w:sz w:val="18"/>
          <w:szCs w:val="18"/>
        </w:rPr>
        <w:footnoteReference w:id="27"/>
      </w:r>
      <w:r w:rsidR="0014325C" w:rsidRPr="00D80603">
        <w:rPr>
          <w:rFonts w:ascii="Verdana" w:hAnsi="Verdana"/>
          <w:sz w:val="18"/>
          <w:szCs w:val="18"/>
        </w:rPr>
        <w:t>” (subrayado nuestro)</w:t>
      </w:r>
      <w:r w:rsidRPr="00D80603">
        <w:rPr>
          <w:rFonts w:ascii="Verdana" w:hAnsi="Verdana"/>
          <w:sz w:val="18"/>
          <w:szCs w:val="18"/>
        </w:rPr>
        <w:t>.</w:t>
      </w:r>
    </w:p>
    <w:p w14:paraId="5881DDE8" w14:textId="77777777" w:rsidR="00CF1D69" w:rsidRPr="00D80603" w:rsidRDefault="00CF1D69" w:rsidP="00F6001E">
      <w:pPr>
        <w:rPr>
          <w:rFonts w:ascii="Verdana" w:hAnsi="Verdana" w:cstheme="minorHAnsi"/>
          <w:sz w:val="20"/>
          <w:szCs w:val="20"/>
          <w:lang w:val="es-ES_tradnl"/>
        </w:rPr>
      </w:pPr>
    </w:p>
    <w:p w14:paraId="28AE7FC7" w14:textId="7356661F" w:rsidR="00764E07" w:rsidRPr="00D80603" w:rsidRDefault="0014325C" w:rsidP="00764E07">
      <w:pPr>
        <w:numPr>
          <w:ilvl w:val="0"/>
          <w:numId w:val="2"/>
        </w:numPr>
        <w:tabs>
          <w:tab w:val="left" w:pos="567"/>
        </w:tabs>
        <w:ind w:left="0" w:right="48" w:firstLine="0"/>
        <w:contextualSpacing/>
        <w:jc w:val="both"/>
        <w:rPr>
          <w:rFonts w:ascii="Verdana" w:hAnsi="Verdana" w:cstheme="minorHAnsi"/>
          <w:i/>
          <w:iCs/>
          <w:sz w:val="20"/>
          <w:szCs w:val="20"/>
          <w:lang w:val="es-ES_tradnl"/>
        </w:rPr>
      </w:pPr>
      <w:r w:rsidRPr="00D80603">
        <w:rPr>
          <w:rFonts w:ascii="Verdana" w:hAnsi="Verdana" w:cstheme="minorHAnsi"/>
          <w:sz w:val="20"/>
          <w:szCs w:val="20"/>
          <w:lang w:val="es-ES_tradnl"/>
        </w:rPr>
        <w:t>C</w:t>
      </w:r>
      <w:r w:rsidR="00691304" w:rsidRPr="00D80603">
        <w:rPr>
          <w:rFonts w:ascii="Verdana" w:hAnsi="Verdana" w:cstheme="minorHAnsi"/>
          <w:sz w:val="20"/>
          <w:szCs w:val="20"/>
          <w:lang w:val="es-ES_tradnl"/>
        </w:rPr>
        <w:t>o</w:t>
      </w:r>
      <w:r w:rsidRPr="00D80603">
        <w:rPr>
          <w:rFonts w:ascii="Verdana" w:hAnsi="Verdana" w:cstheme="minorHAnsi"/>
          <w:sz w:val="20"/>
          <w:szCs w:val="20"/>
          <w:lang w:val="es-ES_tradnl"/>
        </w:rPr>
        <w:t>mo puede apreciarse, la Corte IDH consideró que</w:t>
      </w:r>
      <w:r w:rsidR="00683FB2" w:rsidRPr="00D80603">
        <w:rPr>
          <w:rFonts w:ascii="Verdana" w:hAnsi="Verdana" w:cstheme="minorHAnsi"/>
          <w:sz w:val="20"/>
          <w:szCs w:val="20"/>
          <w:lang w:val="es-ES_tradnl"/>
        </w:rPr>
        <w:t>,</w:t>
      </w:r>
      <w:r w:rsidRPr="00D80603">
        <w:rPr>
          <w:rFonts w:ascii="Verdana" w:hAnsi="Verdana" w:cstheme="minorHAnsi"/>
          <w:sz w:val="20"/>
          <w:szCs w:val="20"/>
          <w:lang w:val="es-ES_tradnl"/>
        </w:rPr>
        <w:t xml:space="preserve"> a pesar de que en un caso </w:t>
      </w:r>
      <w:r w:rsidR="00683FB2" w:rsidRPr="00D80603">
        <w:rPr>
          <w:rFonts w:ascii="Verdana" w:hAnsi="Verdana" w:cstheme="minorHAnsi"/>
          <w:sz w:val="20"/>
          <w:szCs w:val="20"/>
          <w:lang w:val="es-ES_tradnl"/>
        </w:rPr>
        <w:t>anterior</w:t>
      </w:r>
      <w:r w:rsidRPr="00D80603">
        <w:rPr>
          <w:rFonts w:ascii="Verdana" w:hAnsi="Verdana" w:cstheme="minorHAnsi"/>
          <w:sz w:val="20"/>
          <w:szCs w:val="20"/>
          <w:lang w:val="es-ES_tradnl"/>
        </w:rPr>
        <w:t xml:space="preserve"> </w:t>
      </w:r>
      <w:r w:rsidR="00782A46" w:rsidRPr="00D80603">
        <w:rPr>
          <w:rFonts w:ascii="Verdana" w:hAnsi="Verdana" w:cstheme="minorHAnsi"/>
          <w:sz w:val="20"/>
          <w:szCs w:val="20"/>
          <w:lang w:val="es-ES_tradnl"/>
        </w:rPr>
        <w:t xml:space="preserve">de 2015 </w:t>
      </w:r>
      <w:r w:rsidRPr="00D80603">
        <w:rPr>
          <w:rFonts w:ascii="Verdana" w:hAnsi="Verdana" w:cstheme="minorHAnsi"/>
          <w:sz w:val="20"/>
          <w:szCs w:val="20"/>
          <w:lang w:val="es-ES_tradnl"/>
        </w:rPr>
        <w:t xml:space="preserve">(Caso de la Comunidad Garífuna Triunfo de la Cruz), se había determinado que </w:t>
      </w:r>
      <w:r w:rsidRPr="00D80603">
        <w:rPr>
          <w:rFonts w:ascii="Verdana" w:hAnsi="Verdana" w:cstheme="minorHAnsi"/>
          <w:i/>
          <w:iCs/>
          <w:sz w:val="20"/>
          <w:szCs w:val="20"/>
          <w:lang w:val="es-ES_tradnl"/>
        </w:rPr>
        <w:t>“</w:t>
      </w:r>
      <w:r w:rsidRPr="00D80603">
        <w:rPr>
          <w:rFonts w:ascii="Verdana" w:hAnsi="Verdana"/>
          <w:sz w:val="20"/>
          <w:szCs w:val="20"/>
        </w:rPr>
        <w:t xml:space="preserve">no constituyó una violación al derecho a la consulta”, debido a ser previa a la ratificación por parte de Honduras del Convenio 169 de la OIT, </w:t>
      </w:r>
      <w:r w:rsidRPr="00D80603">
        <w:rPr>
          <w:rFonts w:ascii="Verdana" w:hAnsi="Verdana"/>
          <w:sz w:val="20"/>
          <w:szCs w:val="20"/>
          <w:u w:val="single"/>
        </w:rPr>
        <w:t xml:space="preserve">consideró necesario recordar que los derechos a la la propiedad colectiva, al acceso a la información, a la participación y a la identidad cultural de las comunidades indígenas y tribales, </w:t>
      </w:r>
      <w:r w:rsidR="00764E07" w:rsidRPr="00D80603">
        <w:rPr>
          <w:rFonts w:ascii="Verdana" w:hAnsi="Verdana"/>
          <w:sz w:val="20"/>
          <w:szCs w:val="20"/>
          <w:u w:val="single"/>
        </w:rPr>
        <w:t>“</w:t>
      </w:r>
      <w:r w:rsidRPr="00D80603">
        <w:rPr>
          <w:rFonts w:ascii="Verdana" w:hAnsi="Verdana"/>
          <w:sz w:val="20"/>
          <w:szCs w:val="20"/>
          <w:u w:val="single"/>
        </w:rPr>
        <w:t>deben ser garantizados</w:t>
      </w:r>
      <w:r w:rsidR="00764E07" w:rsidRPr="00D80603">
        <w:rPr>
          <w:rFonts w:ascii="Verdana" w:hAnsi="Verdana"/>
          <w:sz w:val="20"/>
          <w:szCs w:val="20"/>
          <w:u w:val="single"/>
        </w:rPr>
        <w:t>”</w:t>
      </w:r>
      <w:r w:rsidRPr="00D80603">
        <w:rPr>
          <w:rFonts w:ascii="Verdana" w:hAnsi="Verdana"/>
          <w:sz w:val="20"/>
          <w:szCs w:val="20"/>
        </w:rPr>
        <w:t xml:space="preserve">, </w:t>
      </w:r>
      <w:r w:rsidR="00764E07" w:rsidRPr="00D80603">
        <w:rPr>
          <w:rFonts w:ascii="Verdana" w:hAnsi="Verdana"/>
          <w:sz w:val="20"/>
          <w:szCs w:val="20"/>
        </w:rPr>
        <w:t xml:space="preserve">lo que implica </w:t>
      </w:r>
      <w:r w:rsidRPr="00D80603">
        <w:rPr>
          <w:rFonts w:ascii="Verdana" w:hAnsi="Verdana"/>
          <w:sz w:val="20"/>
          <w:szCs w:val="20"/>
        </w:rPr>
        <w:t>la obligación</w:t>
      </w:r>
      <w:r w:rsidR="00764E07" w:rsidRPr="00D80603">
        <w:rPr>
          <w:rFonts w:ascii="Verdana" w:hAnsi="Verdana"/>
          <w:sz w:val="20"/>
          <w:szCs w:val="20"/>
        </w:rPr>
        <w:t xml:space="preserve"> estatal de reconocer “</w:t>
      </w:r>
      <w:r w:rsidRPr="00D80603">
        <w:rPr>
          <w:rFonts w:ascii="Verdana" w:hAnsi="Verdana"/>
          <w:sz w:val="20"/>
          <w:szCs w:val="20"/>
        </w:rPr>
        <w:t>a estas poblaciones su participación en las decisiones relativas a medidas que pueden afectar sus derechos, de acuerdo con sus valores, costumbres y formas de organización”</w:t>
      </w:r>
      <w:r w:rsidR="00C755B4" w:rsidRPr="00D80603">
        <w:rPr>
          <w:rFonts w:ascii="Verdana" w:hAnsi="Verdana"/>
          <w:sz w:val="20"/>
          <w:szCs w:val="20"/>
        </w:rPr>
        <w:t xml:space="preserve">. </w:t>
      </w:r>
    </w:p>
    <w:p w14:paraId="54BF7E72" w14:textId="77777777" w:rsidR="00764E07" w:rsidRPr="00D80603" w:rsidRDefault="00764E07" w:rsidP="00764E07">
      <w:pPr>
        <w:tabs>
          <w:tab w:val="left" w:pos="567"/>
        </w:tabs>
        <w:ind w:right="48"/>
        <w:contextualSpacing/>
        <w:jc w:val="both"/>
        <w:rPr>
          <w:rFonts w:ascii="Verdana" w:hAnsi="Verdana" w:cstheme="minorHAnsi"/>
          <w:i/>
          <w:iCs/>
          <w:sz w:val="20"/>
          <w:szCs w:val="20"/>
          <w:lang w:val="es-ES_tradnl"/>
        </w:rPr>
      </w:pPr>
    </w:p>
    <w:p w14:paraId="2337FC6F" w14:textId="21BAF1BE" w:rsidR="00764E07" w:rsidRPr="00D80603" w:rsidRDefault="00764E07" w:rsidP="00764E07">
      <w:pPr>
        <w:numPr>
          <w:ilvl w:val="0"/>
          <w:numId w:val="2"/>
        </w:numPr>
        <w:tabs>
          <w:tab w:val="left" w:pos="567"/>
        </w:tabs>
        <w:ind w:left="0" w:right="48" w:firstLine="0"/>
        <w:contextualSpacing/>
        <w:jc w:val="both"/>
        <w:rPr>
          <w:rFonts w:ascii="Verdana" w:hAnsi="Verdana" w:cstheme="minorHAnsi"/>
          <w:i/>
          <w:iCs/>
          <w:sz w:val="20"/>
          <w:szCs w:val="20"/>
          <w:lang w:val="es-ES_tradnl"/>
        </w:rPr>
      </w:pPr>
      <w:r w:rsidRPr="00D80603">
        <w:rPr>
          <w:rFonts w:ascii="Verdana" w:hAnsi="Verdana" w:cstheme="minorHAnsi"/>
          <w:sz w:val="20"/>
          <w:szCs w:val="20"/>
          <w:lang w:val="es-ES_tradnl"/>
        </w:rPr>
        <w:t xml:space="preserve">A nuestro entender, esta “participación en las decisiones relativas a medidas que puedan afectar sus derechos, de acuerdo con sus valores, costumbres y formas de organización”, debe necesariamente materializarse a través de la consulta previa, libre e informada a la Comunidad Garífuna de San Juan, a la luz de la jurisprudencia interamericana y reiterada en la presente sentencia. Es decir, la Corte IDH al declarar la violación de los artículos 13, 21 y 23, en relación con el 1 de la Convención Americana, implícitamente reconoce que el derecho a la consulta previa y la obligación estatal a </w:t>
      </w:r>
      <w:proofErr w:type="gramStart"/>
      <w:r w:rsidRPr="00D80603">
        <w:rPr>
          <w:rFonts w:ascii="Verdana" w:hAnsi="Verdana" w:cstheme="minorHAnsi"/>
          <w:sz w:val="20"/>
          <w:szCs w:val="20"/>
          <w:lang w:val="es-ES_tradnl"/>
        </w:rPr>
        <w:t>garantizarla,</w:t>
      </w:r>
      <w:proofErr w:type="gramEnd"/>
      <w:r w:rsidRPr="00D80603">
        <w:rPr>
          <w:rFonts w:ascii="Verdana" w:hAnsi="Verdana" w:cstheme="minorHAnsi"/>
          <w:sz w:val="20"/>
          <w:szCs w:val="20"/>
          <w:lang w:val="es-ES_tradnl"/>
        </w:rPr>
        <w:t xml:space="preserve"> nace de la propia Convención Americana y no del Convenio 169 de la OIT.</w:t>
      </w:r>
    </w:p>
    <w:p w14:paraId="57EF2C2E" w14:textId="77777777" w:rsidR="00CF1D69" w:rsidRPr="00D80603" w:rsidRDefault="00CF1D69" w:rsidP="00D46940">
      <w:pPr>
        <w:rPr>
          <w:rFonts w:ascii="Verdana" w:hAnsi="Verdana" w:cstheme="minorHAnsi"/>
          <w:sz w:val="20"/>
          <w:szCs w:val="20"/>
          <w:lang w:val="es-ES_tradnl"/>
        </w:rPr>
      </w:pPr>
    </w:p>
    <w:p w14:paraId="33ECBB8A" w14:textId="0CD92EDA" w:rsidR="00D46940" w:rsidRPr="00D80603" w:rsidRDefault="00D46940" w:rsidP="00D46940">
      <w:pPr>
        <w:numPr>
          <w:ilvl w:val="0"/>
          <w:numId w:val="2"/>
        </w:numPr>
        <w:tabs>
          <w:tab w:val="left" w:pos="567"/>
        </w:tabs>
        <w:ind w:left="0" w:right="48" w:firstLine="0"/>
        <w:contextualSpacing/>
        <w:jc w:val="both"/>
        <w:rPr>
          <w:rFonts w:ascii="Verdana" w:hAnsi="Verdana" w:cstheme="minorHAnsi"/>
          <w:i/>
          <w:iCs/>
          <w:sz w:val="20"/>
          <w:szCs w:val="20"/>
          <w:lang w:val="es-ES_tradnl"/>
        </w:rPr>
      </w:pPr>
      <w:r w:rsidRPr="00D80603">
        <w:rPr>
          <w:rFonts w:ascii="Verdana" w:hAnsi="Verdana" w:cstheme="minorHAnsi"/>
          <w:sz w:val="20"/>
          <w:szCs w:val="20"/>
          <w:lang w:val="es-ES_tradnl"/>
        </w:rPr>
        <w:t xml:space="preserve">En efecto, la </w:t>
      </w:r>
      <w:r w:rsidR="005604FB" w:rsidRPr="00D80603">
        <w:rPr>
          <w:rFonts w:ascii="Verdana" w:hAnsi="Verdana" w:cstheme="minorHAnsi"/>
          <w:sz w:val="20"/>
          <w:szCs w:val="20"/>
          <w:lang w:val="es-ES_tradnl"/>
        </w:rPr>
        <w:t>sentencia refiere</w:t>
      </w:r>
      <w:r w:rsidR="008F7F78" w:rsidRPr="00D80603">
        <w:rPr>
          <w:rFonts w:ascii="Verdana" w:hAnsi="Verdana" w:cstheme="minorHAnsi"/>
          <w:sz w:val="20"/>
          <w:szCs w:val="20"/>
          <w:lang w:val="es-ES_tradnl"/>
        </w:rPr>
        <w:t xml:space="preserve"> i) “que las autoridades no garantizaron ni </w:t>
      </w:r>
      <w:r w:rsidR="00AD13BE" w:rsidRPr="00D80603">
        <w:rPr>
          <w:rFonts w:ascii="Verdana" w:hAnsi="Verdana" w:cstheme="minorHAnsi"/>
          <w:sz w:val="20"/>
          <w:szCs w:val="20"/>
          <w:lang w:val="es-ES_tradnl"/>
        </w:rPr>
        <w:t>respetaron</w:t>
      </w:r>
      <w:r w:rsidR="008F7F78" w:rsidRPr="00D80603">
        <w:rPr>
          <w:rFonts w:ascii="Verdana" w:hAnsi="Verdana" w:cstheme="minorHAnsi"/>
          <w:sz w:val="20"/>
          <w:szCs w:val="20"/>
          <w:lang w:val="es-ES_tradnl"/>
        </w:rPr>
        <w:t xml:space="preserve"> el derecho a la participación de la Comunidad”, ii) </w:t>
      </w:r>
      <w:r w:rsidR="00683FB2" w:rsidRPr="00D80603">
        <w:rPr>
          <w:rFonts w:ascii="Verdana" w:hAnsi="Verdana" w:cstheme="minorHAnsi"/>
          <w:sz w:val="20"/>
          <w:szCs w:val="20"/>
          <w:lang w:val="es-ES_tradnl"/>
        </w:rPr>
        <w:t>“</w:t>
      </w:r>
      <w:r w:rsidR="008F7F78" w:rsidRPr="00D80603">
        <w:rPr>
          <w:rFonts w:ascii="Verdana" w:hAnsi="Verdana" w:cstheme="minorHAnsi"/>
          <w:sz w:val="20"/>
          <w:szCs w:val="20"/>
          <w:lang w:val="es-ES_tradnl"/>
        </w:rPr>
        <w:t>no se desprende de la prueba aportada por el Estado que se hubiese brindado los elementos de información suficiente”</w:t>
      </w:r>
      <w:r w:rsidR="00DC39A8" w:rsidRPr="00D80603">
        <w:rPr>
          <w:rFonts w:ascii="Verdana" w:hAnsi="Verdana" w:cstheme="minorHAnsi"/>
          <w:sz w:val="20"/>
          <w:szCs w:val="20"/>
          <w:lang w:val="es-ES_tradnl"/>
        </w:rPr>
        <w:t xml:space="preserve"> y que ello se </w:t>
      </w:r>
      <w:r w:rsidR="00AD13BE" w:rsidRPr="00D80603">
        <w:rPr>
          <w:rFonts w:ascii="Verdana" w:hAnsi="Verdana" w:cstheme="minorHAnsi"/>
          <w:sz w:val="20"/>
          <w:szCs w:val="20"/>
          <w:lang w:val="es-ES_tradnl"/>
        </w:rPr>
        <w:t>traducía</w:t>
      </w:r>
      <w:r w:rsidR="00DC39A8" w:rsidRPr="00D80603">
        <w:rPr>
          <w:rFonts w:ascii="Verdana" w:hAnsi="Verdana" w:cstheme="minorHAnsi"/>
          <w:sz w:val="20"/>
          <w:szCs w:val="20"/>
          <w:lang w:val="es-ES_tradnl"/>
        </w:rPr>
        <w:t xml:space="preserve"> en una vulneración</w:t>
      </w:r>
      <w:r w:rsidR="001066B3" w:rsidRPr="00D80603">
        <w:rPr>
          <w:rFonts w:ascii="Verdana" w:hAnsi="Verdana" w:cstheme="minorHAnsi"/>
          <w:sz w:val="20"/>
          <w:szCs w:val="20"/>
          <w:lang w:val="es-ES_tradnl"/>
        </w:rPr>
        <w:t>,</w:t>
      </w:r>
      <w:r w:rsidR="00C755B4" w:rsidRPr="00D80603">
        <w:rPr>
          <w:rFonts w:ascii="Verdana" w:hAnsi="Verdana" w:cstheme="minorHAnsi"/>
          <w:sz w:val="20"/>
          <w:szCs w:val="20"/>
          <w:lang w:val="es-ES_tradnl"/>
        </w:rPr>
        <w:t xml:space="preserve"> y</w:t>
      </w:r>
      <w:r w:rsidR="00DC39A8" w:rsidRPr="00D80603">
        <w:rPr>
          <w:rFonts w:ascii="Verdana" w:hAnsi="Verdana" w:cstheme="minorHAnsi"/>
          <w:sz w:val="20"/>
          <w:szCs w:val="20"/>
          <w:lang w:val="es-ES_tradnl"/>
        </w:rPr>
        <w:t xml:space="preserve"> </w:t>
      </w:r>
      <w:r w:rsidR="004E4140" w:rsidRPr="00D80603">
        <w:rPr>
          <w:rFonts w:ascii="Verdana" w:hAnsi="Verdana" w:cstheme="minorHAnsi"/>
          <w:sz w:val="20"/>
          <w:szCs w:val="20"/>
          <w:lang w:val="es-ES_tradnl"/>
        </w:rPr>
        <w:t xml:space="preserve">iii) </w:t>
      </w:r>
      <w:r w:rsidR="00DC39A8" w:rsidRPr="00D80603">
        <w:rPr>
          <w:rFonts w:ascii="Verdana" w:hAnsi="Verdana" w:cstheme="minorHAnsi"/>
          <w:i/>
          <w:iCs/>
          <w:sz w:val="20"/>
          <w:szCs w:val="20"/>
          <w:lang w:val="es-ES_tradnl"/>
        </w:rPr>
        <w:t>“</w:t>
      </w:r>
      <w:r w:rsidR="008F7F78" w:rsidRPr="00D80603">
        <w:rPr>
          <w:rFonts w:ascii="Verdana" w:hAnsi="Verdana" w:cstheme="minorHAnsi"/>
          <w:sz w:val="20"/>
          <w:szCs w:val="20"/>
          <w:lang w:val="es-ES_tradnl"/>
        </w:rPr>
        <w:t>a la obligación de garantizar la participación en los asuntos públicos y al acceso a la información pública, contenidos en los artículos 23 y 13 de la Convención Americana, en relación con el derecho a la propiedad comunal y la obligación de respetar y garantizar los derechos contenidos en los artículos 21 y 1.1 del mismo instrumento</w:t>
      </w:r>
      <w:r w:rsidR="00DC39A8" w:rsidRPr="00D80603">
        <w:rPr>
          <w:rFonts w:ascii="Verdana" w:hAnsi="Verdana" w:cstheme="minorHAnsi"/>
          <w:i/>
          <w:iCs/>
          <w:sz w:val="20"/>
          <w:szCs w:val="20"/>
          <w:lang w:val="es-ES_tradnl"/>
        </w:rPr>
        <w:t>”</w:t>
      </w:r>
      <w:r w:rsidR="004E4140" w:rsidRPr="00D80603">
        <w:rPr>
          <w:rStyle w:val="Refdenotaalpie"/>
          <w:rFonts w:ascii="Verdana" w:hAnsi="Verdana" w:cstheme="minorHAnsi"/>
          <w:sz w:val="20"/>
          <w:szCs w:val="20"/>
          <w:lang w:val="es-ES_tradnl"/>
        </w:rPr>
        <w:footnoteReference w:id="28"/>
      </w:r>
      <w:r w:rsidR="00DC39A8" w:rsidRPr="00D80603">
        <w:rPr>
          <w:rFonts w:ascii="Verdana" w:hAnsi="Verdana" w:cstheme="minorHAnsi"/>
          <w:sz w:val="20"/>
          <w:szCs w:val="20"/>
          <w:lang w:val="es-ES_tradnl"/>
        </w:rPr>
        <w:t xml:space="preserve">. </w:t>
      </w:r>
    </w:p>
    <w:p w14:paraId="7C5B8E09" w14:textId="77777777" w:rsidR="00D46940" w:rsidRPr="00D80603" w:rsidRDefault="00D46940" w:rsidP="00D46940">
      <w:pPr>
        <w:tabs>
          <w:tab w:val="left" w:pos="567"/>
        </w:tabs>
        <w:ind w:right="48"/>
        <w:contextualSpacing/>
        <w:jc w:val="both"/>
        <w:rPr>
          <w:rFonts w:ascii="Verdana" w:hAnsi="Verdana" w:cstheme="minorHAnsi"/>
          <w:i/>
          <w:iCs/>
          <w:sz w:val="20"/>
          <w:szCs w:val="20"/>
          <w:lang w:val="es-ES_tradnl"/>
        </w:rPr>
      </w:pPr>
    </w:p>
    <w:p w14:paraId="7A9E45C8" w14:textId="4808A700" w:rsidR="0039487D" w:rsidRPr="00D80603" w:rsidRDefault="00087E6D" w:rsidP="00D46940">
      <w:pPr>
        <w:numPr>
          <w:ilvl w:val="0"/>
          <w:numId w:val="2"/>
        </w:numPr>
        <w:tabs>
          <w:tab w:val="left" w:pos="567"/>
        </w:tabs>
        <w:ind w:left="0" w:right="48" w:firstLine="0"/>
        <w:contextualSpacing/>
        <w:jc w:val="both"/>
        <w:rPr>
          <w:rFonts w:ascii="Verdana" w:hAnsi="Verdana" w:cstheme="minorHAnsi"/>
          <w:i/>
          <w:iCs/>
          <w:sz w:val="20"/>
          <w:szCs w:val="20"/>
          <w:lang w:val="es-ES_tradnl"/>
        </w:rPr>
      </w:pPr>
      <w:r w:rsidRPr="00D80603">
        <w:rPr>
          <w:rFonts w:ascii="Verdana" w:hAnsi="Verdana" w:cstheme="minorHAnsi"/>
          <w:sz w:val="20"/>
          <w:szCs w:val="20"/>
          <w:lang w:val="es-ES_tradnl"/>
        </w:rPr>
        <w:t>Si bien</w:t>
      </w:r>
      <w:r w:rsidR="00EE6FFF" w:rsidRPr="00D80603">
        <w:rPr>
          <w:rFonts w:ascii="Verdana" w:hAnsi="Verdana" w:cstheme="minorHAnsi"/>
          <w:sz w:val="20"/>
          <w:szCs w:val="20"/>
          <w:lang w:val="es-ES_tradnl"/>
        </w:rPr>
        <w:t xml:space="preserve"> coincidimos con la declaración de responsabilidad internacional del Estado</w:t>
      </w:r>
      <w:r w:rsidR="001066B3" w:rsidRPr="00D80603">
        <w:rPr>
          <w:rFonts w:ascii="Verdana" w:hAnsi="Verdana" w:cstheme="minorHAnsi"/>
          <w:sz w:val="20"/>
          <w:szCs w:val="20"/>
          <w:lang w:val="es-ES_tradnl"/>
        </w:rPr>
        <w:t>,</w:t>
      </w:r>
      <w:r w:rsidR="00EE6FFF" w:rsidRPr="00D80603">
        <w:rPr>
          <w:rFonts w:ascii="Verdana" w:hAnsi="Verdana" w:cstheme="minorHAnsi"/>
          <w:sz w:val="20"/>
          <w:szCs w:val="20"/>
          <w:lang w:val="es-ES_tradnl"/>
        </w:rPr>
        <w:t xml:space="preserve"> lo cierto es que hubiera sido adecuado precisar </w:t>
      </w:r>
      <w:r w:rsidR="00C755B4" w:rsidRPr="00D80603">
        <w:rPr>
          <w:rFonts w:ascii="Verdana" w:hAnsi="Verdana" w:cstheme="minorHAnsi"/>
          <w:sz w:val="20"/>
          <w:szCs w:val="20"/>
          <w:lang w:val="es-ES_tradnl"/>
        </w:rPr>
        <w:t xml:space="preserve">de manera expresa </w:t>
      </w:r>
      <w:r w:rsidR="00EE6FFF" w:rsidRPr="00D80603">
        <w:rPr>
          <w:rFonts w:ascii="Verdana" w:hAnsi="Verdana" w:cstheme="minorHAnsi"/>
          <w:sz w:val="20"/>
          <w:szCs w:val="20"/>
          <w:lang w:val="es-ES_tradnl"/>
        </w:rPr>
        <w:t xml:space="preserve">que la obligación de consulta surge desde el momento de la ratificación del Estado de la Convención Americana </w:t>
      </w:r>
      <w:r w:rsidRPr="00D80603">
        <w:rPr>
          <w:rFonts w:ascii="Verdana" w:hAnsi="Verdana" w:cstheme="minorHAnsi"/>
          <w:sz w:val="20"/>
          <w:szCs w:val="20"/>
          <w:lang w:val="es-ES_tradnl"/>
        </w:rPr>
        <w:t xml:space="preserve">—a la luz de los precedentes más recientes citados— </w:t>
      </w:r>
      <w:r w:rsidR="00EE6FFF" w:rsidRPr="00D80603">
        <w:rPr>
          <w:rFonts w:ascii="Verdana" w:hAnsi="Verdana" w:cstheme="minorHAnsi"/>
          <w:sz w:val="20"/>
          <w:szCs w:val="20"/>
          <w:lang w:val="es-ES_tradnl"/>
        </w:rPr>
        <w:t>y no solo hacer referencia a la vulneración del derecho a la participación en los asuntos públicos</w:t>
      </w:r>
      <w:r w:rsidR="00652451" w:rsidRPr="00D80603">
        <w:rPr>
          <w:rFonts w:ascii="Verdana" w:hAnsi="Verdana" w:cstheme="minorHAnsi"/>
          <w:sz w:val="20"/>
          <w:szCs w:val="20"/>
          <w:lang w:val="es-ES_tradnl"/>
        </w:rPr>
        <w:t>;</w:t>
      </w:r>
      <w:r w:rsidR="001066B3" w:rsidRPr="00D80603">
        <w:rPr>
          <w:rFonts w:ascii="Verdana" w:hAnsi="Verdana" w:cstheme="minorHAnsi"/>
          <w:sz w:val="20"/>
          <w:szCs w:val="20"/>
          <w:lang w:val="es-ES_tradnl"/>
        </w:rPr>
        <w:t xml:space="preserve"> </w:t>
      </w:r>
      <w:r w:rsidR="00EE6FFF" w:rsidRPr="00D80603">
        <w:rPr>
          <w:rFonts w:ascii="Verdana" w:hAnsi="Verdana" w:cstheme="minorHAnsi"/>
          <w:sz w:val="20"/>
          <w:szCs w:val="20"/>
          <w:lang w:val="es-ES_tradnl"/>
        </w:rPr>
        <w:t>inclusiv</w:t>
      </w:r>
      <w:r w:rsidR="0039487D" w:rsidRPr="00D80603">
        <w:rPr>
          <w:rFonts w:ascii="Verdana" w:hAnsi="Verdana" w:cstheme="minorHAnsi"/>
          <w:sz w:val="20"/>
          <w:szCs w:val="20"/>
          <w:lang w:val="es-ES_tradnl"/>
        </w:rPr>
        <w:t>e,</w:t>
      </w:r>
      <w:r w:rsidR="00EE6FFF" w:rsidRPr="00D80603">
        <w:rPr>
          <w:rFonts w:ascii="Verdana" w:hAnsi="Verdana" w:cstheme="minorHAnsi"/>
          <w:sz w:val="20"/>
          <w:szCs w:val="20"/>
          <w:lang w:val="es-ES_tradnl"/>
        </w:rPr>
        <w:t xml:space="preserve"> </w:t>
      </w:r>
      <w:r w:rsidRPr="00D80603">
        <w:rPr>
          <w:rFonts w:ascii="Verdana" w:hAnsi="Verdana" w:cstheme="minorHAnsi"/>
          <w:sz w:val="20"/>
          <w:szCs w:val="20"/>
          <w:lang w:val="es-ES_tradnl"/>
        </w:rPr>
        <w:t xml:space="preserve">debido a que </w:t>
      </w:r>
      <w:r w:rsidR="00EE6FFF" w:rsidRPr="00D80603">
        <w:rPr>
          <w:rFonts w:ascii="Verdana" w:hAnsi="Verdana" w:cstheme="minorHAnsi"/>
          <w:sz w:val="20"/>
          <w:szCs w:val="20"/>
          <w:lang w:val="es-ES_tradnl"/>
        </w:rPr>
        <w:t>la Corte IDH ha identificado una distinción entre “participar en asuntos públicos” en general y la obligación reforzada de consulta</w:t>
      </w:r>
      <w:r w:rsidR="00C755B4" w:rsidRPr="00D80603">
        <w:rPr>
          <w:rFonts w:ascii="Verdana" w:hAnsi="Verdana" w:cstheme="minorHAnsi"/>
          <w:sz w:val="20"/>
          <w:szCs w:val="20"/>
          <w:lang w:val="es-ES_tradnl"/>
        </w:rPr>
        <w:t xml:space="preserve"> desde el artículo 23 del Pacto de San José</w:t>
      </w:r>
      <w:r w:rsidR="00AF32AD" w:rsidRPr="00D80603">
        <w:rPr>
          <w:rStyle w:val="Refdenotaalpie"/>
          <w:rFonts w:ascii="Verdana" w:hAnsi="Verdana" w:cstheme="minorHAnsi"/>
          <w:sz w:val="20"/>
          <w:szCs w:val="20"/>
          <w:lang w:val="es-ES_tradnl"/>
        </w:rPr>
        <w:footnoteReference w:id="29"/>
      </w:r>
      <w:r w:rsidR="00EE6FFF" w:rsidRPr="00D80603">
        <w:rPr>
          <w:rFonts w:ascii="Verdana" w:hAnsi="Verdana" w:cstheme="minorHAnsi"/>
          <w:sz w:val="20"/>
          <w:szCs w:val="20"/>
          <w:lang w:val="es-ES_tradnl"/>
        </w:rPr>
        <w:t>.</w:t>
      </w:r>
      <w:r w:rsidR="00AF32AD" w:rsidRPr="00D80603">
        <w:rPr>
          <w:rFonts w:ascii="Verdana" w:hAnsi="Verdana" w:cstheme="minorHAnsi"/>
          <w:sz w:val="20"/>
          <w:szCs w:val="20"/>
          <w:lang w:val="es-ES_tradnl"/>
        </w:rPr>
        <w:t xml:space="preserve"> </w:t>
      </w:r>
    </w:p>
    <w:p w14:paraId="24E7F76E" w14:textId="77777777" w:rsidR="0039487D" w:rsidRPr="00D80603" w:rsidRDefault="0039487D" w:rsidP="0039487D">
      <w:pPr>
        <w:pStyle w:val="Prrafodelista"/>
        <w:rPr>
          <w:rFonts w:ascii="Verdana" w:hAnsi="Verdana" w:cstheme="minorHAnsi"/>
          <w:sz w:val="20"/>
          <w:szCs w:val="20"/>
          <w:lang w:val="es-ES_tradnl"/>
        </w:rPr>
      </w:pPr>
    </w:p>
    <w:p w14:paraId="68A51DAB" w14:textId="43AFA81B" w:rsidR="00856033" w:rsidRPr="00D80603" w:rsidRDefault="00AF32AD" w:rsidP="002D72B4">
      <w:pPr>
        <w:numPr>
          <w:ilvl w:val="0"/>
          <w:numId w:val="2"/>
        </w:numPr>
        <w:tabs>
          <w:tab w:val="left" w:pos="567"/>
        </w:tabs>
        <w:ind w:left="0" w:right="48" w:firstLine="0"/>
        <w:contextualSpacing/>
        <w:jc w:val="both"/>
        <w:rPr>
          <w:rFonts w:ascii="Verdana" w:hAnsi="Verdana" w:cstheme="minorHAnsi"/>
          <w:i/>
          <w:iCs/>
          <w:sz w:val="20"/>
          <w:szCs w:val="20"/>
          <w:lang w:val="es-ES_tradnl"/>
        </w:rPr>
      </w:pPr>
      <w:r w:rsidRPr="00D80603">
        <w:rPr>
          <w:rFonts w:ascii="Verdana" w:hAnsi="Verdana" w:cstheme="minorHAnsi"/>
          <w:sz w:val="20"/>
          <w:szCs w:val="20"/>
          <w:lang w:val="es-ES_tradnl"/>
        </w:rPr>
        <w:t xml:space="preserve">Esto es de especial relevancia ya que se pudiera dar la idea que cuando la Corte IDH enuncia que se vulneró el derecho de </w:t>
      </w:r>
      <w:r w:rsidR="00AD13BE" w:rsidRPr="00D80603">
        <w:rPr>
          <w:rFonts w:ascii="Verdana" w:hAnsi="Verdana" w:cstheme="minorHAnsi"/>
          <w:sz w:val="20"/>
          <w:szCs w:val="20"/>
          <w:lang w:val="es-ES_tradnl"/>
        </w:rPr>
        <w:t>participación de</w:t>
      </w:r>
      <w:r w:rsidR="00FA77A2" w:rsidRPr="00D80603">
        <w:rPr>
          <w:rFonts w:ascii="Verdana" w:hAnsi="Verdana" w:cstheme="minorHAnsi"/>
          <w:sz w:val="20"/>
          <w:szCs w:val="20"/>
          <w:lang w:val="es-ES_tradnl"/>
        </w:rPr>
        <w:t xml:space="preserve"> comunidades originarias </w:t>
      </w:r>
      <w:r w:rsidR="00D46940" w:rsidRPr="00D80603">
        <w:rPr>
          <w:rFonts w:ascii="Verdana" w:hAnsi="Verdana" w:cstheme="minorHAnsi"/>
          <w:sz w:val="20"/>
          <w:szCs w:val="20"/>
          <w:lang w:val="es-ES_tradnl"/>
        </w:rPr>
        <w:t>se refiere a</w:t>
      </w:r>
      <w:r w:rsidRPr="00D80603">
        <w:rPr>
          <w:rFonts w:ascii="Verdana" w:hAnsi="Verdana" w:cstheme="minorHAnsi"/>
          <w:sz w:val="20"/>
          <w:szCs w:val="20"/>
          <w:lang w:val="es-ES_tradnl"/>
        </w:rPr>
        <w:t xml:space="preserve"> un est</w:t>
      </w:r>
      <w:r w:rsidR="0070001D" w:rsidRPr="00D80603">
        <w:rPr>
          <w:rFonts w:ascii="Verdana" w:hAnsi="Verdana" w:cstheme="minorHAnsi"/>
          <w:sz w:val="20"/>
          <w:szCs w:val="20"/>
          <w:lang w:val="es-ES_tradnl"/>
        </w:rPr>
        <w:t>á</w:t>
      </w:r>
      <w:r w:rsidRPr="00D80603">
        <w:rPr>
          <w:rFonts w:ascii="Verdana" w:hAnsi="Verdana" w:cstheme="minorHAnsi"/>
          <w:sz w:val="20"/>
          <w:szCs w:val="20"/>
          <w:lang w:val="es-ES_tradnl"/>
        </w:rPr>
        <w:t xml:space="preserve">ndar </w:t>
      </w:r>
      <w:r w:rsidR="00087DD1" w:rsidRPr="00D80603">
        <w:rPr>
          <w:rFonts w:ascii="Verdana" w:hAnsi="Verdana" w:cstheme="minorHAnsi"/>
          <w:sz w:val="20"/>
          <w:szCs w:val="20"/>
          <w:lang w:val="es-ES_tradnl"/>
        </w:rPr>
        <w:t xml:space="preserve">menos intenso que </w:t>
      </w:r>
      <w:r w:rsidR="00D46940" w:rsidRPr="00D80603">
        <w:rPr>
          <w:rFonts w:ascii="Verdana" w:hAnsi="Verdana" w:cstheme="minorHAnsi"/>
          <w:sz w:val="20"/>
          <w:szCs w:val="20"/>
          <w:lang w:val="es-ES_tradnl"/>
        </w:rPr>
        <w:t xml:space="preserve">la obligación </w:t>
      </w:r>
      <w:r w:rsidRPr="00D80603">
        <w:rPr>
          <w:rFonts w:ascii="Verdana" w:hAnsi="Verdana" w:cstheme="minorHAnsi"/>
          <w:sz w:val="20"/>
          <w:szCs w:val="20"/>
          <w:lang w:val="es-ES_tradnl"/>
        </w:rPr>
        <w:t xml:space="preserve">de consulta </w:t>
      </w:r>
      <w:r w:rsidR="00087E6D" w:rsidRPr="00D80603">
        <w:rPr>
          <w:rFonts w:ascii="Verdana" w:hAnsi="Verdana" w:cstheme="minorHAnsi"/>
          <w:sz w:val="20"/>
          <w:szCs w:val="20"/>
          <w:lang w:val="es-ES_tradnl"/>
        </w:rPr>
        <w:t xml:space="preserve">previa, libre e informada </w:t>
      </w:r>
      <w:r w:rsidR="00087DD1" w:rsidRPr="00D80603">
        <w:rPr>
          <w:rFonts w:ascii="Verdana" w:hAnsi="Verdana" w:cstheme="minorHAnsi"/>
          <w:sz w:val="20"/>
          <w:szCs w:val="20"/>
          <w:lang w:val="es-ES_tradnl"/>
        </w:rPr>
        <w:t>—</w:t>
      </w:r>
      <w:r w:rsidRPr="00D80603">
        <w:rPr>
          <w:rFonts w:ascii="Verdana" w:hAnsi="Verdana" w:cstheme="minorHAnsi"/>
          <w:sz w:val="20"/>
          <w:szCs w:val="20"/>
          <w:lang w:val="es-ES_tradnl"/>
        </w:rPr>
        <w:t>que necesariamente requiere l</w:t>
      </w:r>
      <w:r w:rsidR="00087E6D" w:rsidRPr="00D80603">
        <w:rPr>
          <w:rFonts w:ascii="Verdana" w:hAnsi="Verdana" w:cstheme="minorHAnsi"/>
          <w:sz w:val="20"/>
          <w:szCs w:val="20"/>
          <w:lang w:val="es-ES_tradnl"/>
        </w:rPr>
        <w:t>a</w:t>
      </w:r>
      <w:r w:rsidRPr="00D80603">
        <w:rPr>
          <w:rFonts w:ascii="Verdana" w:hAnsi="Verdana" w:cstheme="minorHAnsi"/>
          <w:sz w:val="20"/>
          <w:szCs w:val="20"/>
          <w:lang w:val="es-ES_tradnl"/>
        </w:rPr>
        <w:t xml:space="preserve"> expresión del acuerdo</w:t>
      </w:r>
      <w:r w:rsidR="00782A46" w:rsidRPr="00D80603">
        <w:rPr>
          <w:rFonts w:ascii="Verdana" w:hAnsi="Verdana" w:cstheme="minorHAnsi"/>
          <w:sz w:val="20"/>
          <w:szCs w:val="20"/>
          <w:lang w:val="es-ES_tradnl"/>
        </w:rPr>
        <w:t xml:space="preserve"> de las comunidades</w:t>
      </w:r>
      <w:r w:rsidR="00087DD1" w:rsidRPr="00D80603">
        <w:rPr>
          <w:rFonts w:ascii="Verdana" w:hAnsi="Verdana" w:cstheme="minorHAnsi"/>
          <w:sz w:val="20"/>
          <w:szCs w:val="20"/>
          <w:lang w:val="es-ES_tradnl"/>
        </w:rPr>
        <w:t>—</w:t>
      </w:r>
      <w:r w:rsidR="00D46940" w:rsidRPr="00D80603">
        <w:rPr>
          <w:rFonts w:ascii="Verdana" w:hAnsi="Verdana" w:cstheme="minorHAnsi"/>
          <w:sz w:val="20"/>
          <w:szCs w:val="20"/>
          <w:lang w:val="es-ES_tradnl"/>
        </w:rPr>
        <w:t>. De ahí que</w:t>
      </w:r>
      <w:r w:rsidR="0070001D" w:rsidRPr="00D80603">
        <w:rPr>
          <w:rFonts w:ascii="Verdana" w:hAnsi="Verdana" w:cstheme="minorHAnsi"/>
          <w:sz w:val="20"/>
          <w:szCs w:val="20"/>
          <w:lang w:val="es-ES_tradnl"/>
        </w:rPr>
        <w:t xml:space="preserve"> </w:t>
      </w:r>
      <w:r w:rsidR="00087DD1" w:rsidRPr="00D80603">
        <w:rPr>
          <w:rFonts w:ascii="Verdana" w:hAnsi="Verdana" w:cstheme="minorHAnsi"/>
          <w:sz w:val="20"/>
          <w:szCs w:val="20"/>
          <w:lang w:val="es-ES_tradnl"/>
        </w:rPr>
        <w:t xml:space="preserve">consideramos que </w:t>
      </w:r>
      <w:r w:rsidR="00087E6D" w:rsidRPr="00D80603">
        <w:rPr>
          <w:rFonts w:ascii="Verdana" w:hAnsi="Verdana" w:cstheme="minorHAnsi"/>
          <w:sz w:val="20"/>
          <w:szCs w:val="20"/>
          <w:lang w:val="es-ES_tradnl"/>
        </w:rPr>
        <w:t xml:space="preserve">en el presente caso debe entenderse que </w:t>
      </w:r>
      <w:r w:rsidR="00087E6D" w:rsidRPr="00D80603">
        <w:rPr>
          <w:rFonts w:ascii="Verdana" w:hAnsi="Verdana" w:cstheme="minorHAnsi"/>
          <w:i/>
          <w:iCs/>
          <w:sz w:val="20"/>
          <w:szCs w:val="20"/>
          <w:lang w:val="es-ES_tradnl"/>
        </w:rPr>
        <w:t xml:space="preserve">esa falta de participación se debió a la ausencia de </w:t>
      </w:r>
      <w:r w:rsidR="0070001D" w:rsidRPr="00D80603">
        <w:rPr>
          <w:rFonts w:ascii="Verdana" w:hAnsi="Verdana" w:cstheme="minorHAnsi"/>
          <w:i/>
          <w:iCs/>
          <w:sz w:val="20"/>
          <w:szCs w:val="20"/>
          <w:lang w:val="es-ES_tradnl"/>
        </w:rPr>
        <w:t>consulta</w:t>
      </w:r>
      <w:r w:rsidR="00087E6D" w:rsidRPr="00D80603">
        <w:rPr>
          <w:rFonts w:ascii="Verdana" w:hAnsi="Verdana" w:cstheme="minorHAnsi"/>
          <w:sz w:val="20"/>
          <w:szCs w:val="20"/>
          <w:lang w:val="es-ES_tradnl"/>
        </w:rPr>
        <w:t xml:space="preserve"> de la Comunidad Garífuna de San Juan</w:t>
      </w:r>
      <w:r w:rsidR="0070001D" w:rsidRPr="00D80603">
        <w:rPr>
          <w:rFonts w:ascii="Verdana" w:hAnsi="Verdana" w:cstheme="minorHAnsi"/>
          <w:sz w:val="20"/>
          <w:szCs w:val="20"/>
          <w:lang w:val="es-ES_tradnl"/>
        </w:rPr>
        <w:t xml:space="preserve">. </w:t>
      </w:r>
      <w:r w:rsidR="00C755B4" w:rsidRPr="00D80603">
        <w:rPr>
          <w:rFonts w:ascii="Verdana" w:hAnsi="Verdana" w:cstheme="minorHAnsi"/>
          <w:sz w:val="20"/>
          <w:szCs w:val="20"/>
          <w:lang w:val="es-ES_tradnl"/>
        </w:rPr>
        <w:t xml:space="preserve">Es por ello </w:t>
      </w:r>
      <w:proofErr w:type="gramStart"/>
      <w:r w:rsidR="00C755B4" w:rsidRPr="00D80603">
        <w:rPr>
          <w:rFonts w:ascii="Verdana" w:hAnsi="Verdana" w:cstheme="minorHAnsi"/>
          <w:sz w:val="20"/>
          <w:szCs w:val="20"/>
          <w:lang w:val="es-ES_tradnl"/>
        </w:rPr>
        <w:t>que</w:t>
      </w:r>
      <w:proofErr w:type="gramEnd"/>
      <w:r w:rsidR="00C755B4" w:rsidRPr="00D80603">
        <w:rPr>
          <w:rFonts w:ascii="Verdana" w:hAnsi="Verdana" w:cstheme="minorHAnsi"/>
          <w:sz w:val="20"/>
          <w:szCs w:val="20"/>
          <w:lang w:val="es-ES_tradnl"/>
        </w:rPr>
        <w:t xml:space="preserve"> estimamos oportuno</w:t>
      </w:r>
      <w:r w:rsidR="002D72B4" w:rsidRPr="00D80603">
        <w:rPr>
          <w:rFonts w:ascii="Verdana" w:hAnsi="Verdana" w:cstheme="minorHAnsi"/>
          <w:sz w:val="20"/>
          <w:szCs w:val="20"/>
          <w:lang w:val="es-ES_tradnl"/>
        </w:rPr>
        <w:t xml:space="preserve"> precisar</w:t>
      </w:r>
      <w:r w:rsidR="00C755B4" w:rsidRPr="00D80603">
        <w:rPr>
          <w:rFonts w:ascii="Verdana" w:hAnsi="Verdana" w:cstheme="minorHAnsi"/>
          <w:sz w:val="20"/>
          <w:szCs w:val="20"/>
          <w:lang w:val="es-ES_tradnl"/>
        </w:rPr>
        <w:t xml:space="preserve"> que no </w:t>
      </w:r>
      <w:r w:rsidR="0070001D" w:rsidRPr="00D80603">
        <w:rPr>
          <w:rFonts w:ascii="Verdana" w:hAnsi="Verdana" w:cstheme="minorHAnsi"/>
          <w:sz w:val="20"/>
          <w:szCs w:val="20"/>
          <w:lang w:val="es-ES_tradnl"/>
        </w:rPr>
        <w:t xml:space="preserve">existen dos obligaciones con un contenido </w:t>
      </w:r>
      <w:r w:rsidR="00AD13BE" w:rsidRPr="00D80603">
        <w:rPr>
          <w:rFonts w:ascii="Verdana" w:hAnsi="Verdana" w:cstheme="minorHAnsi"/>
          <w:sz w:val="20"/>
          <w:szCs w:val="20"/>
          <w:lang w:val="es-ES_tradnl"/>
        </w:rPr>
        <w:t>diferente,</w:t>
      </w:r>
      <w:r w:rsidR="00FA77A2" w:rsidRPr="00D80603">
        <w:rPr>
          <w:rFonts w:ascii="Verdana" w:hAnsi="Verdana" w:cstheme="minorHAnsi"/>
          <w:sz w:val="20"/>
          <w:szCs w:val="20"/>
          <w:lang w:val="es-ES_tradnl"/>
        </w:rPr>
        <w:t xml:space="preserve"> si</w:t>
      </w:r>
      <w:r w:rsidR="00D46940" w:rsidRPr="00D80603">
        <w:rPr>
          <w:rFonts w:ascii="Verdana" w:hAnsi="Verdana" w:cstheme="minorHAnsi"/>
          <w:sz w:val="20"/>
          <w:szCs w:val="20"/>
          <w:lang w:val="es-ES_tradnl"/>
        </w:rPr>
        <w:t>endo</w:t>
      </w:r>
      <w:r w:rsidR="00FA77A2" w:rsidRPr="00D80603">
        <w:rPr>
          <w:rFonts w:ascii="Verdana" w:hAnsi="Verdana" w:cstheme="minorHAnsi"/>
          <w:sz w:val="20"/>
          <w:szCs w:val="20"/>
          <w:lang w:val="es-ES_tradnl"/>
        </w:rPr>
        <w:t xml:space="preserve"> que las dos formas enunciadas por la Corte IDH (</w:t>
      </w:r>
      <w:r w:rsidR="00686781" w:rsidRPr="00D80603">
        <w:rPr>
          <w:rFonts w:ascii="Verdana" w:hAnsi="Verdana" w:cstheme="minorHAnsi"/>
          <w:sz w:val="20"/>
          <w:szCs w:val="20"/>
          <w:lang w:val="es-ES_tradnl"/>
        </w:rPr>
        <w:t xml:space="preserve">ya sea </w:t>
      </w:r>
      <w:r w:rsidR="00FA77A2" w:rsidRPr="00D80603">
        <w:rPr>
          <w:rFonts w:ascii="Verdana" w:hAnsi="Verdana" w:cstheme="minorHAnsi"/>
          <w:sz w:val="20"/>
          <w:szCs w:val="20"/>
          <w:lang w:val="es-ES_tradnl"/>
        </w:rPr>
        <w:t xml:space="preserve">consulta o participación) tienen el mismo estándar de protección </w:t>
      </w:r>
      <w:r w:rsidR="00982FE5" w:rsidRPr="00D80603">
        <w:rPr>
          <w:rFonts w:ascii="Verdana" w:hAnsi="Verdana" w:cstheme="minorHAnsi"/>
          <w:sz w:val="20"/>
          <w:szCs w:val="20"/>
          <w:lang w:val="es-ES_tradnl"/>
        </w:rPr>
        <w:t>en el caso concreto. E</w:t>
      </w:r>
      <w:r w:rsidR="00FA77A2" w:rsidRPr="00D80603">
        <w:rPr>
          <w:rFonts w:ascii="Verdana" w:hAnsi="Verdana" w:cstheme="minorHAnsi"/>
          <w:sz w:val="20"/>
          <w:szCs w:val="20"/>
          <w:lang w:val="es-ES_tradnl"/>
        </w:rPr>
        <w:t xml:space="preserve">s decir, debe cumplir con las </w:t>
      </w:r>
      <w:r w:rsidR="00AD13BE" w:rsidRPr="00D80603">
        <w:rPr>
          <w:rFonts w:ascii="Verdana" w:hAnsi="Verdana" w:cstheme="minorHAnsi"/>
          <w:sz w:val="20"/>
          <w:szCs w:val="20"/>
          <w:lang w:val="es-ES_tradnl"/>
        </w:rPr>
        <w:t>garantías</w:t>
      </w:r>
      <w:r w:rsidR="00FA77A2" w:rsidRPr="00D80603">
        <w:rPr>
          <w:rFonts w:ascii="Verdana" w:hAnsi="Verdana" w:cstheme="minorHAnsi"/>
          <w:sz w:val="20"/>
          <w:szCs w:val="20"/>
          <w:lang w:val="es-ES_tradnl"/>
        </w:rPr>
        <w:t xml:space="preserve"> y con la finalidad que tradicionalmente la Corte IDH ha identificado en su jurisprudencia</w:t>
      </w:r>
      <w:r w:rsidR="00D46940" w:rsidRPr="00D80603">
        <w:rPr>
          <w:rFonts w:ascii="Verdana" w:hAnsi="Verdana" w:cstheme="minorHAnsi"/>
          <w:sz w:val="20"/>
          <w:szCs w:val="20"/>
          <w:lang w:val="es-ES_tradnl"/>
        </w:rPr>
        <w:t xml:space="preserve"> sobre la consulta previa y que la propia sentencia refiere</w:t>
      </w:r>
      <w:r w:rsidR="00D46940" w:rsidRPr="00D80603">
        <w:rPr>
          <w:rStyle w:val="Refdenotaalpie"/>
          <w:rFonts w:ascii="Verdana" w:hAnsi="Verdana" w:cstheme="minorHAnsi"/>
          <w:sz w:val="20"/>
          <w:szCs w:val="20"/>
          <w:lang w:val="es-ES_tradnl"/>
        </w:rPr>
        <w:footnoteReference w:id="30"/>
      </w:r>
      <w:r w:rsidR="00D46940" w:rsidRPr="00D80603">
        <w:rPr>
          <w:rFonts w:ascii="Verdana" w:hAnsi="Verdana" w:cstheme="minorHAnsi"/>
          <w:sz w:val="20"/>
          <w:szCs w:val="20"/>
          <w:lang w:val="es-ES_tradnl"/>
        </w:rPr>
        <w:t>.</w:t>
      </w:r>
    </w:p>
    <w:p w14:paraId="13C3FE20" w14:textId="77777777" w:rsidR="00C379F3" w:rsidRPr="00D80603" w:rsidRDefault="00C379F3" w:rsidP="00C304AC">
      <w:pPr>
        <w:rPr>
          <w:rFonts w:ascii="Verdana" w:hAnsi="Verdana" w:cstheme="minorHAnsi"/>
          <w:sz w:val="20"/>
          <w:szCs w:val="20"/>
          <w:u w:val="single"/>
          <w:lang w:val="es-ES_tradnl"/>
        </w:rPr>
      </w:pPr>
    </w:p>
    <w:p w14:paraId="57A51849" w14:textId="5AB4122C" w:rsidR="00E02196" w:rsidRPr="00D80603" w:rsidRDefault="00C755B4" w:rsidP="00E02196">
      <w:pPr>
        <w:numPr>
          <w:ilvl w:val="0"/>
          <w:numId w:val="2"/>
        </w:numPr>
        <w:tabs>
          <w:tab w:val="left" w:pos="567"/>
        </w:tabs>
        <w:ind w:left="0" w:right="48" w:firstLine="0"/>
        <w:contextualSpacing/>
        <w:jc w:val="both"/>
        <w:rPr>
          <w:rFonts w:ascii="Verdana" w:hAnsi="Verdana" w:cstheme="minorHAnsi"/>
          <w:i/>
          <w:iCs/>
          <w:sz w:val="20"/>
          <w:szCs w:val="20"/>
          <w:lang w:val="es-ES_tradnl"/>
        </w:rPr>
      </w:pPr>
      <w:r w:rsidRPr="00D80603">
        <w:rPr>
          <w:rFonts w:ascii="Verdana" w:hAnsi="Verdana" w:cstheme="minorHAnsi"/>
          <w:sz w:val="20"/>
          <w:szCs w:val="20"/>
          <w:lang w:val="es-ES_tradnl"/>
        </w:rPr>
        <w:t>En adición a lo anterior</w:t>
      </w:r>
      <w:r w:rsidR="00691304" w:rsidRPr="00D80603">
        <w:rPr>
          <w:rFonts w:ascii="Verdana" w:hAnsi="Verdana" w:cstheme="minorHAnsi"/>
          <w:sz w:val="20"/>
          <w:szCs w:val="20"/>
          <w:lang w:val="es-ES_tradnl"/>
        </w:rPr>
        <w:t xml:space="preserve">, hay tres argumentos </w:t>
      </w:r>
      <w:r w:rsidR="00087DD1" w:rsidRPr="00D80603">
        <w:rPr>
          <w:rFonts w:ascii="Verdana" w:hAnsi="Verdana" w:cstheme="minorHAnsi"/>
          <w:sz w:val="20"/>
          <w:szCs w:val="20"/>
          <w:lang w:val="es-ES_tradnl"/>
        </w:rPr>
        <w:t xml:space="preserve">que consideramos </w:t>
      </w:r>
      <w:r w:rsidR="00691304" w:rsidRPr="00D80603">
        <w:rPr>
          <w:rFonts w:ascii="Verdana" w:hAnsi="Verdana" w:cstheme="minorHAnsi"/>
          <w:sz w:val="20"/>
          <w:szCs w:val="20"/>
          <w:lang w:val="es-ES_tradnl"/>
        </w:rPr>
        <w:t>pertinente</w:t>
      </w:r>
      <w:r w:rsidRPr="00D80603">
        <w:rPr>
          <w:rFonts w:ascii="Verdana" w:hAnsi="Verdana" w:cstheme="minorHAnsi"/>
          <w:sz w:val="20"/>
          <w:szCs w:val="20"/>
          <w:lang w:val="es-ES_tradnl"/>
        </w:rPr>
        <w:t>s</w:t>
      </w:r>
      <w:r w:rsidR="00691304" w:rsidRPr="00D80603">
        <w:rPr>
          <w:rFonts w:ascii="Verdana" w:hAnsi="Verdana" w:cstheme="minorHAnsi"/>
          <w:sz w:val="20"/>
          <w:szCs w:val="20"/>
          <w:lang w:val="es-ES_tradnl"/>
        </w:rPr>
        <w:t xml:space="preserve"> para aclarar lo decidido en este caso: </w:t>
      </w:r>
      <w:r w:rsidR="005604FB" w:rsidRPr="00D80603">
        <w:rPr>
          <w:rFonts w:ascii="Verdana" w:hAnsi="Verdana" w:cstheme="minorHAnsi"/>
          <w:sz w:val="20"/>
          <w:szCs w:val="20"/>
          <w:lang w:val="es-ES_tradnl"/>
        </w:rPr>
        <w:t xml:space="preserve">i) la </w:t>
      </w:r>
      <w:r w:rsidR="00AD13BE" w:rsidRPr="00D80603">
        <w:rPr>
          <w:rFonts w:ascii="Verdana" w:hAnsi="Verdana" w:cstheme="minorHAnsi"/>
          <w:sz w:val="20"/>
          <w:szCs w:val="20"/>
          <w:lang w:val="es-ES_tradnl"/>
        </w:rPr>
        <w:t>jurisprudencia</w:t>
      </w:r>
      <w:r w:rsidR="005604FB" w:rsidRPr="00D80603">
        <w:rPr>
          <w:rFonts w:ascii="Verdana" w:hAnsi="Verdana" w:cstheme="minorHAnsi"/>
          <w:sz w:val="20"/>
          <w:szCs w:val="20"/>
          <w:lang w:val="es-ES_tradnl"/>
        </w:rPr>
        <w:t xml:space="preserve"> de la Corte IDH sobre el nacim</w:t>
      </w:r>
      <w:r w:rsidR="00C304AC" w:rsidRPr="00D80603">
        <w:rPr>
          <w:rFonts w:ascii="Verdana" w:hAnsi="Verdana" w:cstheme="minorHAnsi"/>
          <w:sz w:val="20"/>
          <w:szCs w:val="20"/>
          <w:lang w:val="es-ES_tradnl"/>
        </w:rPr>
        <w:t>iento</w:t>
      </w:r>
      <w:r w:rsidR="005604FB" w:rsidRPr="00D80603">
        <w:rPr>
          <w:rFonts w:ascii="Verdana" w:hAnsi="Verdana" w:cstheme="minorHAnsi"/>
          <w:sz w:val="20"/>
          <w:szCs w:val="20"/>
          <w:lang w:val="es-ES_tradnl"/>
        </w:rPr>
        <w:t xml:space="preserve"> de las obligaciones </w:t>
      </w:r>
      <w:r w:rsidR="00982FE5" w:rsidRPr="00D80603">
        <w:rPr>
          <w:rFonts w:ascii="Verdana" w:hAnsi="Verdana" w:cstheme="minorHAnsi"/>
          <w:sz w:val="20"/>
          <w:szCs w:val="20"/>
          <w:lang w:val="es-ES_tradnl"/>
        </w:rPr>
        <w:t xml:space="preserve">de la consulta previa </w:t>
      </w:r>
      <w:r w:rsidR="005604FB" w:rsidRPr="00D80603">
        <w:rPr>
          <w:rFonts w:ascii="Verdana" w:hAnsi="Verdana" w:cstheme="minorHAnsi"/>
          <w:sz w:val="20"/>
          <w:szCs w:val="20"/>
          <w:lang w:val="es-ES_tradnl"/>
        </w:rPr>
        <w:t>en el marco de la C</w:t>
      </w:r>
      <w:r w:rsidR="00982FE5" w:rsidRPr="00D80603">
        <w:rPr>
          <w:rFonts w:ascii="Verdana" w:hAnsi="Verdana" w:cstheme="minorHAnsi"/>
          <w:sz w:val="20"/>
          <w:szCs w:val="20"/>
          <w:lang w:val="es-ES_tradnl"/>
        </w:rPr>
        <w:t>onvención Americana</w:t>
      </w:r>
      <w:r w:rsidR="005604FB" w:rsidRPr="00D80603">
        <w:rPr>
          <w:rFonts w:ascii="Verdana" w:hAnsi="Verdana" w:cstheme="minorHAnsi"/>
          <w:sz w:val="20"/>
          <w:szCs w:val="20"/>
          <w:lang w:val="es-ES_tradnl"/>
        </w:rPr>
        <w:t>; ii) la jurisprudencia de la Corte IDH no es estática y es válida la reflexión en torno al contenido de un derecho, siempre que est</w:t>
      </w:r>
      <w:r w:rsidR="001066B3" w:rsidRPr="00D80603">
        <w:rPr>
          <w:rFonts w:ascii="Verdana" w:hAnsi="Verdana" w:cstheme="minorHAnsi"/>
          <w:sz w:val="20"/>
          <w:szCs w:val="20"/>
          <w:lang w:val="es-ES_tradnl"/>
        </w:rPr>
        <w:t>a</w:t>
      </w:r>
      <w:r w:rsidR="005604FB" w:rsidRPr="00D80603">
        <w:rPr>
          <w:rFonts w:ascii="Verdana" w:hAnsi="Verdana" w:cstheme="minorHAnsi"/>
          <w:sz w:val="20"/>
          <w:szCs w:val="20"/>
          <w:lang w:val="es-ES_tradnl"/>
        </w:rPr>
        <w:t xml:space="preserve"> sea más favorable (principio de progresividad); y iii) </w:t>
      </w:r>
      <w:r w:rsidR="00982FE5" w:rsidRPr="00D80603">
        <w:rPr>
          <w:rFonts w:ascii="Verdana" w:hAnsi="Verdana" w:cstheme="minorHAnsi"/>
          <w:sz w:val="20"/>
          <w:szCs w:val="20"/>
          <w:lang w:val="es-ES_tradnl"/>
        </w:rPr>
        <w:lastRenderedPageBreak/>
        <w:t xml:space="preserve">en el presente caso no puede considerarse que existe </w:t>
      </w:r>
      <w:r w:rsidR="005604FB" w:rsidRPr="00D80603">
        <w:rPr>
          <w:rFonts w:ascii="Verdana" w:hAnsi="Verdana" w:cstheme="minorHAnsi"/>
          <w:sz w:val="20"/>
          <w:szCs w:val="20"/>
          <w:lang w:val="es-ES_tradnl"/>
        </w:rPr>
        <w:t xml:space="preserve">cosa juzgada respecto al caso </w:t>
      </w:r>
      <w:r w:rsidR="005604FB" w:rsidRPr="00D80603">
        <w:rPr>
          <w:rFonts w:ascii="Verdana" w:hAnsi="Verdana" w:cstheme="minorHAnsi"/>
          <w:i/>
          <w:iCs/>
          <w:sz w:val="20"/>
          <w:szCs w:val="20"/>
          <w:lang w:val="es-ES_tradnl"/>
        </w:rPr>
        <w:t>Triunfo de la Cruz</w:t>
      </w:r>
      <w:r w:rsidR="00982FE5" w:rsidRPr="00D80603">
        <w:rPr>
          <w:rFonts w:ascii="Verdana" w:hAnsi="Verdana" w:cstheme="minorHAnsi"/>
          <w:sz w:val="20"/>
          <w:szCs w:val="20"/>
          <w:lang w:val="es-ES_tradnl"/>
        </w:rPr>
        <w:t xml:space="preserve"> de 2015.</w:t>
      </w:r>
      <w:r w:rsidR="005604FB" w:rsidRPr="00D80603">
        <w:rPr>
          <w:rFonts w:ascii="Verdana" w:hAnsi="Verdana" w:cstheme="minorHAnsi"/>
          <w:sz w:val="20"/>
          <w:szCs w:val="20"/>
          <w:lang w:val="es-ES_tradnl"/>
        </w:rPr>
        <w:t xml:space="preserve"> </w:t>
      </w:r>
    </w:p>
    <w:p w14:paraId="73A1929D" w14:textId="77777777" w:rsidR="00E02196" w:rsidRPr="00D80603" w:rsidRDefault="00E02196" w:rsidP="00E02196">
      <w:pPr>
        <w:pStyle w:val="Prrafodelista"/>
        <w:rPr>
          <w:rFonts w:ascii="Verdana" w:hAnsi="Verdana" w:cstheme="minorHAnsi"/>
          <w:sz w:val="20"/>
          <w:szCs w:val="20"/>
          <w:lang w:val="es-ES_tradnl"/>
        </w:rPr>
      </w:pPr>
    </w:p>
    <w:p w14:paraId="1DE2932C" w14:textId="7EE89B0C" w:rsidR="00E11431" w:rsidRPr="00D80603" w:rsidRDefault="00C304AC" w:rsidP="00E02196">
      <w:pPr>
        <w:numPr>
          <w:ilvl w:val="0"/>
          <w:numId w:val="2"/>
        </w:numPr>
        <w:tabs>
          <w:tab w:val="left" w:pos="567"/>
        </w:tabs>
        <w:ind w:left="0" w:right="48" w:firstLine="0"/>
        <w:contextualSpacing/>
        <w:jc w:val="both"/>
        <w:rPr>
          <w:rFonts w:ascii="Verdana" w:hAnsi="Verdana" w:cstheme="minorHAnsi"/>
          <w:i/>
          <w:iCs/>
          <w:sz w:val="20"/>
          <w:szCs w:val="20"/>
          <w:lang w:val="es-ES_tradnl"/>
        </w:rPr>
      </w:pPr>
      <w:r w:rsidRPr="00D80603">
        <w:rPr>
          <w:rFonts w:ascii="Verdana" w:hAnsi="Verdana" w:cstheme="minorHAnsi"/>
          <w:sz w:val="20"/>
          <w:szCs w:val="20"/>
          <w:lang w:val="es-ES_tradnl"/>
        </w:rPr>
        <w:t>En cuanto a</w:t>
      </w:r>
      <w:r w:rsidR="00982FE5" w:rsidRPr="00D80603">
        <w:rPr>
          <w:rFonts w:ascii="Verdana" w:hAnsi="Verdana" w:cstheme="minorHAnsi"/>
          <w:sz w:val="20"/>
          <w:szCs w:val="20"/>
          <w:lang w:val="es-ES_tradnl"/>
        </w:rPr>
        <w:t xml:space="preserve"> lo primero</w:t>
      </w:r>
      <w:r w:rsidRPr="00D80603">
        <w:rPr>
          <w:rFonts w:ascii="Verdana" w:hAnsi="Verdana" w:cstheme="minorHAnsi"/>
          <w:sz w:val="20"/>
          <w:szCs w:val="20"/>
          <w:lang w:val="es-ES_tradnl"/>
        </w:rPr>
        <w:t xml:space="preserve">, </w:t>
      </w:r>
      <w:r w:rsidR="007959E0" w:rsidRPr="00D80603">
        <w:rPr>
          <w:rFonts w:ascii="Verdana" w:hAnsi="Verdana" w:cstheme="minorHAnsi"/>
          <w:sz w:val="20"/>
          <w:szCs w:val="20"/>
          <w:lang w:val="es-ES_tradnl"/>
        </w:rPr>
        <w:t>la Corte IDH ha precisado que las obligaciones</w:t>
      </w:r>
      <w:r w:rsidR="00E02196" w:rsidRPr="00D80603">
        <w:rPr>
          <w:rFonts w:ascii="Verdana" w:hAnsi="Verdana" w:cstheme="minorHAnsi"/>
          <w:sz w:val="20"/>
          <w:szCs w:val="20"/>
          <w:lang w:val="es-ES_tradnl"/>
        </w:rPr>
        <w:t xml:space="preserve"> y los derechos</w:t>
      </w:r>
      <w:r w:rsidR="007959E0" w:rsidRPr="00D80603">
        <w:rPr>
          <w:rFonts w:ascii="Verdana" w:hAnsi="Verdana" w:cstheme="minorHAnsi"/>
          <w:sz w:val="20"/>
          <w:szCs w:val="20"/>
          <w:lang w:val="es-ES_tradnl"/>
        </w:rPr>
        <w:t xml:space="preserve"> en el marco de la Convención Americana surgen desde el momento en el que el Estado ratifica el instrumento internacional, con </w:t>
      </w:r>
      <w:r w:rsidR="00AD13BE" w:rsidRPr="00D80603">
        <w:rPr>
          <w:rFonts w:ascii="Verdana" w:hAnsi="Verdana" w:cstheme="minorHAnsi"/>
          <w:sz w:val="20"/>
          <w:szCs w:val="20"/>
          <w:lang w:val="es-ES_tradnl"/>
        </w:rPr>
        <w:t>independencia</w:t>
      </w:r>
      <w:r w:rsidR="007959E0" w:rsidRPr="00D80603">
        <w:rPr>
          <w:rFonts w:ascii="Verdana" w:hAnsi="Verdana" w:cstheme="minorHAnsi"/>
          <w:sz w:val="20"/>
          <w:szCs w:val="20"/>
          <w:lang w:val="es-ES_tradnl"/>
        </w:rPr>
        <w:t xml:space="preserve"> de si la Corte IDH se pronuncia </w:t>
      </w:r>
      <w:r w:rsidR="00AD13BE" w:rsidRPr="00D80603">
        <w:rPr>
          <w:rFonts w:ascii="Verdana" w:hAnsi="Verdana" w:cstheme="minorHAnsi"/>
          <w:sz w:val="20"/>
          <w:szCs w:val="20"/>
          <w:lang w:val="es-ES_tradnl"/>
        </w:rPr>
        <w:t>al</w:t>
      </w:r>
      <w:r w:rsidR="007959E0" w:rsidRPr="00D80603">
        <w:rPr>
          <w:rFonts w:ascii="Verdana" w:hAnsi="Verdana" w:cstheme="minorHAnsi"/>
          <w:sz w:val="20"/>
          <w:szCs w:val="20"/>
          <w:lang w:val="es-ES_tradnl"/>
        </w:rPr>
        <w:t xml:space="preserve"> respecto con posterioridad o sobre el alcance de </w:t>
      </w:r>
      <w:proofErr w:type="gramStart"/>
      <w:r w:rsidR="007959E0" w:rsidRPr="00D80603">
        <w:rPr>
          <w:rFonts w:ascii="Verdana" w:hAnsi="Verdana" w:cstheme="minorHAnsi"/>
          <w:sz w:val="20"/>
          <w:szCs w:val="20"/>
          <w:lang w:val="es-ES_tradnl"/>
        </w:rPr>
        <w:t>los mismos</w:t>
      </w:r>
      <w:proofErr w:type="gramEnd"/>
      <w:r w:rsidR="007959E0" w:rsidRPr="00D80603">
        <w:rPr>
          <w:rStyle w:val="Refdenotaalpie"/>
          <w:rFonts w:ascii="Verdana" w:hAnsi="Verdana" w:cstheme="minorHAnsi"/>
          <w:sz w:val="20"/>
          <w:szCs w:val="20"/>
          <w:lang w:val="es-ES_tradnl"/>
        </w:rPr>
        <w:footnoteReference w:id="31"/>
      </w:r>
      <w:r w:rsidR="007959E0" w:rsidRPr="00D80603">
        <w:rPr>
          <w:rFonts w:ascii="Verdana" w:hAnsi="Verdana" w:cstheme="minorHAnsi"/>
          <w:sz w:val="20"/>
          <w:szCs w:val="20"/>
          <w:lang w:val="es-ES_tradnl"/>
        </w:rPr>
        <w:t xml:space="preserve">. </w:t>
      </w:r>
    </w:p>
    <w:p w14:paraId="1834CBF1" w14:textId="77777777" w:rsidR="00E11431" w:rsidRPr="00D80603" w:rsidRDefault="00E11431" w:rsidP="00E11431">
      <w:pPr>
        <w:pStyle w:val="Prrafodelista"/>
        <w:rPr>
          <w:rFonts w:ascii="Verdana" w:hAnsi="Verdana" w:cstheme="minorHAnsi"/>
          <w:sz w:val="20"/>
          <w:szCs w:val="20"/>
          <w:lang w:val="es-ES_tradnl"/>
        </w:rPr>
      </w:pPr>
    </w:p>
    <w:p w14:paraId="781218D7" w14:textId="41E8AD49" w:rsidR="00E02196" w:rsidRPr="00D80603" w:rsidRDefault="007959E0" w:rsidP="00C26EDB">
      <w:pPr>
        <w:numPr>
          <w:ilvl w:val="0"/>
          <w:numId w:val="2"/>
        </w:numPr>
        <w:tabs>
          <w:tab w:val="left" w:pos="567"/>
        </w:tabs>
        <w:ind w:left="0" w:right="48" w:firstLine="0"/>
        <w:contextualSpacing/>
        <w:jc w:val="both"/>
        <w:rPr>
          <w:rFonts w:ascii="Verdana" w:hAnsi="Verdana" w:cstheme="minorHAnsi"/>
          <w:i/>
          <w:iCs/>
          <w:sz w:val="20"/>
          <w:szCs w:val="20"/>
          <w:lang w:val="es-ES_tradnl"/>
        </w:rPr>
      </w:pPr>
      <w:r w:rsidRPr="00D80603">
        <w:rPr>
          <w:rFonts w:ascii="Verdana" w:hAnsi="Verdana" w:cstheme="minorHAnsi"/>
          <w:sz w:val="20"/>
          <w:szCs w:val="20"/>
          <w:lang w:val="es-ES_tradnl"/>
        </w:rPr>
        <w:t xml:space="preserve">En este sentido, </w:t>
      </w:r>
      <w:r w:rsidR="00C755B4" w:rsidRPr="00D80603">
        <w:rPr>
          <w:rFonts w:ascii="Verdana" w:hAnsi="Verdana" w:cstheme="minorHAnsi"/>
          <w:sz w:val="20"/>
          <w:szCs w:val="20"/>
          <w:lang w:val="es-ES_tradnl"/>
        </w:rPr>
        <w:t xml:space="preserve">se debe entender que los Estados del Sistema Interamericano </w:t>
      </w:r>
      <w:r w:rsidR="00C26EDB" w:rsidRPr="00D80603">
        <w:rPr>
          <w:rFonts w:ascii="Verdana" w:hAnsi="Verdana" w:cstheme="minorHAnsi"/>
          <w:sz w:val="20"/>
          <w:szCs w:val="20"/>
          <w:lang w:val="es-ES_tradnl"/>
        </w:rPr>
        <w:t xml:space="preserve">incluyeron las obligaciones que deriven de la Convención Americana a partir de su ratificación y entrada en vigor al interior de su jurisdicción, </w:t>
      </w:r>
      <w:r w:rsidR="002D72B4" w:rsidRPr="00D80603">
        <w:rPr>
          <w:rFonts w:ascii="Verdana" w:hAnsi="Verdana" w:cstheme="minorHAnsi"/>
          <w:sz w:val="20"/>
          <w:szCs w:val="20"/>
          <w:lang w:val="es-ES_tradnl"/>
        </w:rPr>
        <w:t xml:space="preserve">lo que incluye </w:t>
      </w:r>
      <w:r w:rsidR="00C26EDB" w:rsidRPr="00D80603">
        <w:rPr>
          <w:rFonts w:ascii="Verdana" w:hAnsi="Verdana" w:cstheme="minorHAnsi"/>
          <w:sz w:val="20"/>
          <w:szCs w:val="20"/>
          <w:lang w:val="es-ES_tradnl"/>
        </w:rPr>
        <w:t xml:space="preserve">los elementos constitutivos de la consulta previa. Lo anterior </w:t>
      </w:r>
      <w:r w:rsidR="002D72B4" w:rsidRPr="00D80603">
        <w:rPr>
          <w:rFonts w:ascii="Verdana" w:hAnsi="Verdana" w:cstheme="minorHAnsi"/>
          <w:sz w:val="20"/>
          <w:szCs w:val="20"/>
          <w:lang w:val="es-ES_tradnl"/>
        </w:rPr>
        <w:t xml:space="preserve">se entiende </w:t>
      </w:r>
      <w:r w:rsidR="00C26EDB" w:rsidRPr="00D80603">
        <w:rPr>
          <w:rFonts w:ascii="Verdana" w:hAnsi="Verdana" w:cstheme="minorHAnsi"/>
          <w:sz w:val="20"/>
          <w:szCs w:val="20"/>
          <w:lang w:val="es-ES_tradnl"/>
        </w:rPr>
        <w:t xml:space="preserve">con independencia del momento de ratificación y entrada en vigor del Convenio 169 de la OIT. </w:t>
      </w:r>
      <w:r w:rsidR="00E02196" w:rsidRPr="00D80603">
        <w:rPr>
          <w:rFonts w:ascii="Verdana" w:hAnsi="Verdana" w:cstheme="minorHAnsi"/>
          <w:sz w:val="20"/>
          <w:szCs w:val="20"/>
          <w:lang w:val="es-ES_tradnl"/>
        </w:rPr>
        <w:t xml:space="preserve">Inclusive, la Corte IDH ha señalado que, aunque una obligación no tenga un conceso en un </w:t>
      </w:r>
      <w:r w:rsidR="00AD13BE" w:rsidRPr="00D80603">
        <w:rPr>
          <w:rFonts w:ascii="Verdana" w:hAnsi="Verdana" w:cstheme="minorHAnsi"/>
          <w:sz w:val="20"/>
          <w:szCs w:val="20"/>
          <w:lang w:val="es-ES_tradnl"/>
        </w:rPr>
        <w:t>ámbito</w:t>
      </w:r>
      <w:r w:rsidR="00E02196" w:rsidRPr="00D80603">
        <w:rPr>
          <w:rFonts w:ascii="Verdana" w:hAnsi="Verdana" w:cstheme="minorHAnsi"/>
          <w:sz w:val="20"/>
          <w:szCs w:val="20"/>
          <w:lang w:val="es-ES_tradnl"/>
        </w:rPr>
        <w:t xml:space="preserve"> temporal determinado</w:t>
      </w:r>
      <w:r w:rsidR="00E11431" w:rsidRPr="00D80603">
        <w:rPr>
          <w:rFonts w:ascii="Verdana" w:hAnsi="Verdana" w:cstheme="minorHAnsi"/>
          <w:sz w:val="20"/>
          <w:szCs w:val="20"/>
          <w:lang w:val="es-ES_tradnl"/>
        </w:rPr>
        <w:t>,</w:t>
      </w:r>
      <w:r w:rsidR="00E02196" w:rsidRPr="00D80603">
        <w:rPr>
          <w:rFonts w:ascii="Verdana" w:hAnsi="Verdana" w:cstheme="minorHAnsi"/>
          <w:sz w:val="20"/>
          <w:szCs w:val="20"/>
          <w:lang w:val="es-ES_tradnl"/>
        </w:rPr>
        <w:t xml:space="preserve"> y que se haya producido un </w:t>
      </w:r>
      <w:r w:rsidR="00AD13BE" w:rsidRPr="00D80603">
        <w:rPr>
          <w:rFonts w:ascii="Verdana" w:hAnsi="Verdana" w:cstheme="minorHAnsi"/>
          <w:sz w:val="20"/>
          <w:szCs w:val="20"/>
          <w:lang w:val="es-ES_tradnl"/>
        </w:rPr>
        <w:t>ilícito</w:t>
      </w:r>
      <w:r w:rsidR="00E02196" w:rsidRPr="00D80603">
        <w:rPr>
          <w:rFonts w:ascii="Verdana" w:hAnsi="Verdana" w:cstheme="minorHAnsi"/>
          <w:sz w:val="20"/>
          <w:szCs w:val="20"/>
          <w:lang w:val="es-ES_tradnl"/>
        </w:rPr>
        <w:t xml:space="preserve"> internacional por una actuación/omisión del Estado “no puede conducir al Tribunal a abstenerse de decidir, pues al hacerlo debe remitirse </w:t>
      </w:r>
      <w:r w:rsidR="00AD13BE" w:rsidRPr="00D80603">
        <w:rPr>
          <w:rFonts w:ascii="Verdana" w:hAnsi="Verdana" w:cstheme="minorHAnsi"/>
          <w:sz w:val="20"/>
          <w:szCs w:val="20"/>
          <w:lang w:val="es-ES_tradnl"/>
        </w:rPr>
        <w:t>única</w:t>
      </w:r>
      <w:r w:rsidR="00E02196" w:rsidRPr="00D80603">
        <w:rPr>
          <w:rFonts w:ascii="Verdana" w:hAnsi="Verdana" w:cstheme="minorHAnsi"/>
          <w:sz w:val="20"/>
          <w:szCs w:val="20"/>
          <w:lang w:val="es-ES_tradnl"/>
        </w:rPr>
        <w:t xml:space="preserve"> y exclusivamente a las estipulaciones de las obligaciones internacionales </w:t>
      </w:r>
      <w:r w:rsidR="00AD13BE" w:rsidRPr="00D80603">
        <w:rPr>
          <w:rFonts w:ascii="Verdana" w:hAnsi="Verdana" w:cstheme="minorHAnsi"/>
          <w:sz w:val="20"/>
          <w:szCs w:val="20"/>
          <w:lang w:val="es-ES_tradnl"/>
        </w:rPr>
        <w:t>contraídas</w:t>
      </w:r>
      <w:r w:rsidR="00E02196" w:rsidRPr="00D80603">
        <w:rPr>
          <w:rFonts w:ascii="Verdana" w:hAnsi="Verdana" w:cstheme="minorHAnsi"/>
          <w:sz w:val="20"/>
          <w:szCs w:val="20"/>
          <w:lang w:val="es-ES_tradnl"/>
        </w:rPr>
        <w:t xml:space="preserve"> por </w:t>
      </w:r>
      <w:r w:rsidR="00AD13BE" w:rsidRPr="00D80603">
        <w:rPr>
          <w:rFonts w:ascii="Verdana" w:hAnsi="Verdana" w:cstheme="minorHAnsi"/>
          <w:sz w:val="20"/>
          <w:szCs w:val="20"/>
          <w:lang w:val="es-ES_tradnl"/>
        </w:rPr>
        <w:t>decisión</w:t>
      </w:r>
      <w:r w:rsidR="00E02196" w:rsidRPr="00D80603">
        <w:rPr>
          <w:rFonts w:ascii="Verdana" w:hAnsi="Verdana" w:cstheme="minorHAnsi"/>
          <w:sz w:val="20"/>
          <w:szCs w:val="20"/>
          <w:lang w:val="es-ES_tradnl"/>
        </w:rPr>
        <w:t xml:space="preserve"> soberana de los Estados a </w:t>
      </w:r>
      <w:r w:rsidR="00AD13BE" w:rsidRPr="00D80603">
        <w:rPr>
          <w:rFonts w:ascii="Verdana" w:hAnsi="Verdana" w:cstheme="minorHAnsi"/>
          <w:sz w:val="20"/>
          <w:szCs w:val="20"/>
          <w:lang w:val="es-ES_tradnl"/>
        </w:rPr>
        <w:t>través</w:t>
      </w:r>
      <w:r w:rsidR="00E02196" w:rsidRPr="00D80603">
        <w:rPr>
          <w:rFonts w:ascii="Verdana" w:hAnsi="Verdana" w:cstheme="minorHAnsi"/>
          <w:sz w:val="20"/>
          <w:szCs w:val="20"/>
          <w:lang w:val="es-ES_tradnl"/>
        </w:rPr>
        <w:t xml:space="preserve"> de la </w:t>
      </w:r>
      <w:r w:rsidR="00AD13BE" w:rsidRPr="00D80603">
        <w:rPr>
          <w:rFonts w:ascii="Verdana" w:hAnsi="Verdana" w:cstheme="minorHAnsi"/>
          <w:sz w:val="20"/>
          <w:szCs w:val="20"/>
          <w:lang w:val="es-ES_tradnl"/>
        </w:rPr>
        <w:t>Convención</w:t>
      </w:r>
      <w:r w:rsidR="00E02196" w:rsidRPr="00D80603">
        <w:rPr>
          <w:rFonts w:ascii="Verdana" w:hAnsi="Verdana" w:cstheme="minorHAnsi"/>
          <w:sz w:val="20"/>
          <w:szCs w:val="20"/>
          <w:lang w:val="es-ES_tradnl"/>
        </w:rPr>
        <w:t xml:space="preserve"> Americana”</w:t>
      </w:r>
      <w:r w:rsidR="00E02196" w:rsidRPr="00D80603">
        <w:rPr>
          <w:rStyle w:val="Refdenotaalpie"/>
          <w:rFonts w:ascii="Verdana" w:hAnsi="Verdana" w:cstheme="minorHAnsi"/>
          <w:sz w:val="20"/>
          <w:szCs w:val="20"/>
          <w:lang w:val="es-ES_tradnl"/>
        </w:rPr>
        <w:footnoteReference w:id="32"/>
      </w:r>
      <w:r w:rsidR="00E02196" w:rsidRPr="00D80603">
        <w:rPr>
          <w:rFonts w:ascii="Verdana" w:hAnsi="Verdana" w:cstheme="minorHAnsi"/>
          <w:sz w:val="20"/>
          <w:szCs w:val="20"/>
          <w:lang w:val="es-ES_tradnl"/>
        </w:rPr>
        <w:t xml:space="preserve">. </w:t>
      </w:r>
    </w:p>
    <w:p w14:paraId="152765D4" w14:textId="77777777" w:rsidR="00E02196" w:rsidRPr="00D80603" w:rsidRDefault="00E02196" w:rsidP="00E02196">
      <w:pPr>
        <w:tabs>
          <w:tab w:val="left" w:pos="567"/>
        </w:tabs>
        <w:ind w:right="48"/>
        <w:contextualSpacing/>
        <w:jc w:val="both"/>
        <w:rPr>
          <w:rFonts w:ascii="Verdana" w:hAnsi="Verdana" w:cstheme="minorHAnsi"/>
          <w:i/>
          <w:iCs/>
          <w:sz w:val="20"/>
          <w:szCs w:val="20"/>
          <w:lang w:val="es-ES_tradnl"/>
        </w:rPr>
      </w:pPr>
    </w:p>
    <w:p w14:paraId="0DE10AD0" w14:textId="5A5E7D91" w:rsidR="00C304AC" w:rsidRPr="00D80603" w:rsidRDefault="00E02196" w:rsidP="00C379F3">
      <w:pPr>
        <w:numPr>
          <w:ilvl w:val="0"/>
          <w:numId w:val="2"/>
        </w:numPr>
        <w:tabs>
          <w:tab w:val="left" w:pos="567"/>
        </w:tabs>
        <w:ind w:left="0" w:right="48" w:firstLine="0"/>
        <w:contextualSpacing/>
        <w:jc w:val="both"/>
        <w:rPr>
          <w:rFonts w:ascii="Verdana" w:hAnsi="Verdana" w:cstheme="minorHAnsi"/>
          <w:i/>
          <w:iCs/>
          <w:sz w:val="20"/>
          <w:szCs w:val="20"/>
          <w:lang w:val="es-ES_tradnl"/>
        </w:rPr>
      </w:pPr>
      <w:r w:rsidRPr="00D80603">
        <w:rPr>
          <w:rFonts w:ascii="Verdana" w:hAnsi="Verdana" w:cstheme="minorHAnsi"/>
          <w:sz w:val="20"/>
          <w:szCs w:val="20"/>
          <w:lang w:val="es-ES_tradnl"/>
        </w:rPr>
        <w:t>Ahora bien, tampoco resulta contradictori</w:t>
      </w:r>
      <w:r w:rsidR="00087DD1" w:rsidRPr="00D80603">
        <w:rPr>
          <w:rFonts w:ascii="Verdana" w:hAnsi="Verdana" w:cstheme="minorHAnsi"/>
          <w:sz w:val="20"/>
          <w:szCs w:val="20"/>
          <w:lang w:val="es-ES_tradnl"/>
        </w:rPr>
        <w:t>a</w:t>
      </w:r>
      <w:r w:rsidRPr="00D80603">
        <w:rPr>
          <w:rFonts w:ascii="Verdana" w:hAnsi="Verdana" w:cstheme="minorHAnsi"/>
          <w:sz w:val="20"/>
          <w:szCs w:val="20"/>
          <w:lang w:val="es-ES_tradnl"/>
        </w:rPr>
        <w:t xml:space="preserve"> la decisión asumida</w:t>
      </w:r>
      <w:r w:rsidR="00087DD1" w:rsidRPr="00D80603">
        <w:rPr>
          <w:rFonts w:ascii="Verdana" w:hAnsi="Verdana" w:cstheme="minorHAnsi"/>
          <w:sz w:val="20"/>
          <w:szCs w:val="20"/>
          <w:lang w:val="es-ES_tradnl"/>
        </w:rPr>
        <w:t xml:space="preserve"> con lo resuelto en el anterior caso </w:t>
      </w:r>
      <w:r w:rsidR="00087DD1" w:rsidRPr="00D80603">
        <w:rPr>
          <w:rFonts w:ascii="Verdana" w:hAnsi="Verdana" w:cstheme="minorHAnsi"/>
          <w:i/>
          <w:iCs/>
          <w:sz w:val="20"/>
          <w:szCs w:val="20"/>
          <w:lang w:val="es-ES_tradnl"/>
        </w:rPr>
        <w:t>Triunfo de la Cruz</w:t>
      </w:r>
      <w:r w:rsidR="00087DD1" w:rsidRPr="00D80603">
        <w:rPr>
          <w:rFonts w:ascii="Verdana" w:hAnsi="Verdana" w:cstheme="minorHAnsi"/>
          <w:sz w:val="20"/>
          <w:szCs w:val="20"/>
          <w:lang w:val="es-ES_tradnl"/>
        </w:rPr>
        <w:t xml:space="preserve"> de 2015</w:t>
      </w:r>
      <w:r w:rsidR="00980D43" w:rsidRPr="00D80603">
        <w:rPr>
          <w:rFonts w:ascii="Verdana" w:hAnsi="Verdana" w:cstheme="minorHAnsi"/>
          <w:sz w:val="20"/>
          <w:szCs w:val="20"/>
          <w:lang w:val="es-ES_tradnl"/>
        </w:rPr>
        <w:t>. P</w:t>
      </w:r>
      <w:r w:rsidRPr="00D80603">
        <w:rPr>
          <w:rFonts w:ascii="Verdana" w:hAnsi="Verdana" w:cstheme="minorHAnsi"/>
          <w:sz w:val="20"/>
          <w:szCs w:val="20"/>
          <w:lang w:val="es-ES_tradnl"/>
        </w:rPr>
        <w:t>or el contrario, permit</w:t>
      </w:r>
      <w:r w:rsidR="00AD13BE" w:rsidRPr="00D80603">
        <w:rPr>
          <w:rFonts w:ascii="Verdana" w:hAnsi="Verdana" w:cstheme="minorHAnsi"/>
          <w:sz w:val="20"/>
          <w:szCs w:val="20"/>
          <w:lang w:val="es-ES_tradnl"/>
        </w:rPr>
        <w:t>e</w:t>
      </w:r>
      <w:r w:rsidRPr="00D80603">
        <w:rPr>
          <w:rFonts w:ascii="Verdana" w:hAnsi="Verdana" w:cstheme="minorHAnsi"/>
          <w:sz w:val="20"/>
          <w:szCs w:val="20"/>
          <w:lang w:val="es-ES_tradnl"/>
        </w:rPr>
        <w:t xml:space="preserve"> visibilizar la forma en la que se ha ido construyendo el derecho/obligación de consulta en el marco de la Convención Americana. Desde nuestra perspectiva</w:t>
      </w:r>
      <w:r w:rsidR="00982FE5" w:rsidRPr="00D80603">
        <w:rPr>
          <w:rFonts w:ascii="Verdana" w:hAnsi="Verdana" w:cstheme="minorHAnsi"/>
          <w:sz w:val="20"/>
          <w:szCs w:val="20"/>
          <w:lang w:val="es-ES_tradnl"/>
        </w:rPr>
        <w:t>,</w:t>
      </w:r>
      <w:r w:rsidRPr="00D80603">
        <w:rPr>
          <w:rFonts w:ascii="Verdana" w:hAnsi="Verdana" w:cstheme="minorHAnsi"/>
          <w:sz w:val="20"/>
          <w:szCs w:val="20"/>
          <w:lang w:val="es-ES_tradnl"/>
        </w:rPr>
        <w:t xml:space="preserve"> aun cuando cada caso se resuelve conforme a sus particularidades, también </w:t>
      </w:r>
      <w:r w:rsidR="00980D43" w:rsidRPr="00D80603">
        <w:rPr>
          <w:rFonts w:ascii="Verdana" w:hAnsi="Verdana" w:cstheme="minorHAnsi"/>
          <w:sz w:val="20"/>
          <w:szCs w:val="20"/>
          <w:lang w:val="es-ES_tradnl"/>
        </w:rPr>
        <w:t xml:space="preserve">constituye </w:t>
      </w:r>
      <w:r w:rsidRPr="00D80603">
        <w:rPr>
          <w:rFonts w:ascii="Verdana" w:hAnsi="Verdana" w:cstheme="minorHAnsi"/>
          <w:sz w:val="20"/>
          <w:szCs w:val="20"/>
          <w:lang w:val="es-ES_tradnl"/>
        </w:rPr>
        <w:t xml:space="preserve">un ejercicio </w:t>
      </w:r>
      <w:r w:rsidR="00980D43" w:rsidRPr="00D80603">
        <w:rPr>
          <w:rFonts w:ascii="Verdana" w:hAnsi="Verdana" w:cstheme="minorHAnsi"/>
          <w:sz w:val="20"/>
          <w:szCs w:val="20"/>
          <w:lang w:val="es-ES_tradnl"/>
        </w:rPr>
        <w:t>adecuado</w:t>
      </w:r>
      <w:r w:rsidRPr="00D80603">
        <w:rPr>
          <w:rFonts w:ascii="Verdana" w:hAnsi="Verdana" w:cstheme="minorHAnsi"/>
          <w:sz w:val="20"/>
          <w:szCs w:val="20"/>
          <w:lang w:val="es-ES_tradnl"/>
        </w:rPr>
        <w:t xml:space="preserve"> que</w:t>
      </w:r>
      <w:r w:rsidR="00686781" w:rsidRPr="00D80603">
        <w:rPr>
          <w:rFonts w:ascii="Verdana" w:hAnsi="Verdana" w:cstheme="minorHAnsi"/>
          <w:sz w:val="20"/>
          <w:szCs w:val="20"/>
          <w:lang w:val="es-ES_tradnl"/>
        </w:rPr>
        <w:t>,</w:t>
      </w:r>
      <w:r w:rsidRPr="00D80603">
        <w:rPr>
          <w:rFonts w:ascii="Verdana" w:hAnsi="Verdana" w:cstheme="minorHAnsi"/>
          <w:sz w:val="20"/>
          <w:szCs w:val="20"/>
          <w:lang w:val="es-ES_tradnl"/>
        </w:rPr>
        <w:t xml:space="preserve"> en determinados casos, la Corte IDH reflexione sobre sus propios estándares y</w:t>
      </w:r>
      <w:r w:rsidR="00E11431" w:rsidRPr="00D80603">
        <w:rPr>
          <w:rFonts w:ascii="Verdana" w:hAnsi="Verdana" w:cstheme="minorHAnsi"/>
          <w:sz w:val="20"/>
          <w:szCs w:val="20"/>
          <w:lang w:val="es-ES_tradnl"/>
        </w:rPr>
        <w:t xml:space="preserve">, </w:t>
      </w:r>
      <w:r w:rsidRPr="00D80603">
        <w:rPr>
          <w:rFonts w:ascii="Verdana" w:hAnsi="Verdana" w:cstheme="minorHAnsi"/>
          <w:sz w:val="20"/>
          <w:szCs w:val="20"/>
          <w:lang w:val="es-ES_tradnl"/>
        </w:rPr>
        <w:t>en caso de advertir posibles criterios contradictorios debe sustentar</w:t>
      </w:r>
      <w:r w:rsidR="00C26EDB" w:rsidRPr="00D80603">
        <w:rPr>
          <w:rFonts w:ascii="Verdana" w:hAnsi="Verdana" w:cstheme="minorHAnsi"/>
          <w:sz w:val="20"/>
          <w:szCs w:val="20"/>
          <w:lang w:val="es-ES_tradnl"/>
        </w:rPr>
        <w:t xml:space="preserve">, </w:t>
      </w:r>
      <w:r w:rsidRPr="00D80603">
        <w:rPr>
          <w:rFonts w:ascii="Verdana" w:hAnsi="Verdana" w:cstheme="minorHAnsi"/>
          <w:sz w:val="20"/>
          <w:szCs w:val="20"/>
          <w:lang w:val="es-ES_tradnl"/>
        </w:rPr>
        <w:t xml:space="preserve">con mayores argumentos, </w:t>
      </w:r>
      <w:r w:rsidR="00980D43" w:rsidRPr="00D80603">
        <w:rPr>
          <w:rFonts w:ascii="Verdana" w:hAnsi="Verdana" w:cstheme="minorHAnsi"/>
          <w:sz w:val="20"/>
          <w:szCs w:val="20"/>
          <w:lang w:val="es-ES_tradnl"/>
        </w:rPr>
        <w:t>el</w:t>
      </w:r>
      <w:r w:rsidRPr="00D80603">
        <w:rPr>
          <w:rFonts w:ascii="Verdana" w:hAnsi="Verdana" w:cstheme="minorHAnsi"/>
          <w:sz w:val="20"/>
          <w:szCs w:val="20"/>
          <w:lang w:val="es-ES_tradnl"/>
        </w:rPr>
        <w:t xml:space="preserve"> criterio </w:t>
      </w:r>
      <w:r w:rsidR="00E11431" w:rsidRPr="00D80603">
        <w:rPr>
          <w:rFonts w:ascii="Verdana" w:hAnsi="Verdana" w:cstheme="minorHAnsi"/>
          <w:sz w:val="20"/>
          <w:szCs w:val="20"/>
          <w:lang w:val="es-ES_tradnl"/>
        </w:rPr>
        <w:t>que guíe sus decisiones</w:t>
      </w:r>
      <w:r w:rsidR="00963BEE" w:rsidRPr="00D80603">
        <w:rPr>
          <w:rStyle w:val="Refdenotaalpie"/>
          <w:rFonts w:ascii="Verdana" w:hAnsi="Verdana" w:cstheme="minorHAnsi"/>
          <w:sz w:val="20"/>
          <w:szCs w:val="20"/>
          <w:lang w:val="es-ES_tradnl"/>
        </w:rPr>
        <w:footnoteReference w:id="33"/>
      </w:r>
      <w:r w:rsidRPr="00D80603">
        <w:rPr>
          <w:rFonts w:ascii="Verdana" w:hAnsi="Verdana" w:cstheme="minorHAnsi"/>
          <w:sz w:val="20"/>
          <w:szCs w:val="20"/>
          <w:lang w:val="es-ES_tradnl"/>
        </w:rPr>
        <w:t xml:space="preserve">. </w:t>
      </w:r>
      <w:r w:rsidR="00E11431" w:rsidRPr="00D80603">
        <w:rPr>
          <w:rFonts w:ascii="Verdana" w:hAnsi="Verdana" w:cstheme="minorHAnsi"/>
          <w:sz w:val="20"/>
          <w:szCs w:val="20"/>
          <w:lang w:val="es-ES_tradnl"/>
        </w:rPr>
        <w:t>Est</w:t>
      </w:r>
      <w:r w:rsidR="00982FE5" w:rsidRPr="00D80603">
        <w:rPr>
          <w:rFonts w:ascii="Verdana" w:hAnsi="Verdana" w:cstheme="minorHAnsi"/>
          <w:sz w:val="20"/>
          <w:szCs w:val="20"/>
          <w:lang w:val="es-ES_tradnl"/>
        </w:rPr>
        <w:t>a</w:t>
      </w:r>
      <w:r w:rsidR="00E11431" w:rsidRPr="00D80603">
        <w:rPr>
          <w:rFonts w:ascii="Verdana" w:hAnsi="Verdana" w:cstheme="minorHAnsi"/>
          <w:sz w:val="20"/>
          <w:szCs w:val="20"/>
          <w:lang w:val="es-ES_tradnl"/>
        </w:rPr>
        <w:t xml:space="preserve"> interpretación siempre debe preferir la interpretación más amplia como lo mandata el propio artículo 29 del Pacto del San José. </w:t>
      </w:r>
    </w:p>
    <w:p w14:paraId="2DA84536" w14:textId="77777777" w:rsidR="00E02196" w:rsidRPr="00D80603" w:rsidRDefault="00E02196" w:rsidP="00E02196">
      <w:pPr>
        <w:pStyle w:val="Prrafodelista"/>
        <w:rPr>
          <w:rFonts w:ascii="Verdana" w:hAnsi="Verdana" w:cstheme="minorHAnsi"/>
          <w:i/>
          <w:iCs/>
          <w:sz w:val="20"/>
          <w:szCs w:val="20"/>
          <w:lang w:val="es-ES_tradnl"/>
        </w:rPr>
      </w:pPr>
    </w:p>
    <w:p w14:paraId="762A8B42" w14:textId="61849A08" w:rsidR="00963BEE" w:rsidRPr="00D80603" w:rsidRDefault="00E02196" w:rsidP="00963BEE">
      <w:pPr>
        <w:numPr>
          <w:ilvl w:val="0"/>
          <w:numId w:val="2"/>
        </w:numPr>
        <w:tabs>
          <w:tab w:val="left" w:pos="567"/>
        </w:tabs>
        <w:ind w:left="0" w:right="48" w:firstLine="0"/>
        <w:contextualSpacing/>
        <w:jc w:val="both"/>
        <w:rPr>
          <w:rFonts w:ascii="Verdana" w:hAnsi="Verdana" w:cstheme="minorHAnsi"/>
          <w:i/>
          <w:iCs/>
          <w:sz w:val="20"/>
          <w:szCs w:val="20"/>
          <w:lang w:val="es-ES_tradnl"/>
        </w:rPr>
      </w:pPr>
      <w:r w:rsidRPr="00D80603">
        <w:rPr>
          <w:rFonts w:ascii="Verdana" w:hAnsi="Verdana" w:cstheme="minorHAnsi"/>
          <w:sz w:val="20"/>
          <w:szCs w:val="20"/>
          <w:lang w:val="es-ES_tradnl"/>
        </w:rPr>
        <w:t>E</w:t>
      </w:r>
      <w:r w:rsidR="00E11431" w:rsidRPr="00D80603">
        <w:rPr>
          <w:rFonts w:ascii="Verdana" w:hAnsi="Verdana" w:cstheme="minorHAnsi"/>
          <w:sz w:val="20"/>
          <w:szCs w:val="20"/>
          <w:lang w:val="es-ES_tradnl"/>
        </w:rPr>
        <w:t xml:space="preserve">ste ejercicio </w:t>
      </w:r>
      <w:r w:rsidRPr="00D80603">
        <w:rPr>
          <w:rFonts w:ascii="Verdana" w:hAnsi="Verdana" w:cstheme="minorHAnsi"/>
          <w:sz w:val="20"/>
          <w:szCs w:val="20"/>
          <w:lang w:val="es-ES_tradnl"/>
        </w:rPr>
        <w:t>no es ajeno al tema de comunidades indígenas</w:t>
      </w:r>
      <w:r w:rsidR="00686781" w:rsidRPr="00D80603">
        <w:rPr>
          <w:rFonts w:ascii="Verdana" w:hAnsi="Verdana" w:cstheme="minorHAnsi"/>
          <w:sz w:val="20"/>
          <w:szCs w:val="20"/>
          <w:lang w:val="es-ES_tradnl"/>
        </w:rPr>
        <w:t xml:space="preserve"> y tribales</w:t>
      </w:r>
      <w:r w:rsidR="00982FE5" w:rsidRPr="00D80603">
        <w:rPr>
          <w:rFonts w:ascii="Verdana" w:hAnsi="Verdana" w:cstheme="minorHAnsi"/>
          <w:sz w:val="20"/>
          <w:szCs w:val="20"/>
          <w:lang w:val="es-ES_tradnl"/>
        </w:rPr>
        <w:t>. P</w:t>
      </w:r>
      <w:r w:rsidRPr="00D80603">
        <w:rPr>
          <w:rFonts w:ascii="Verdana" w:hAnsi="Verdana" w:cstheme="minorHAnsi"/>
          <w:sz w:val="20"/>
          <w:szCs w:val="20"/>
          <w:lang w:val="es-ES_tradnl"/>
        </w:rPr>
        <w:t xml:space="preserve">or ejemplo, cuando la Corte IDH emitió su Opinión Consultiva No. </w:t>
      </w:r>
      <w:r w:rsidR="00963BEE" w:rsidRPr="00D80603">
        <w:rPr>
          <w:rFonts w:ascii="Verdana" w:hAnsi="Verdana" w:cstheme="minorHAnsi"/>
          <w:sz w:val="20"/>
          <w:szCs w:val="20"/>
          <w:lang w:val="es-ES_tradnl"/>
        </w:rPr>
        <w:t>22</w:t>
      </w:r>
      <w:r w:rsidRPr="00D80603">
        <w:rPr>
          <w:rFonts w:ascii="Verdana" w:hAnsi="Verdana" w:cstheme="minorHAnsi"/>
          <w:sz w:val="20"/>
          <w:szCs w:val="20"/>
          <w:lang w:val="es-ES_tradnl"/>
        </w:rPr>
        <w:t xml:space="preserve">, el Tribunal Interamericano se percató que </w:t>
      </w:r>
      <w:r w:rsidR="00AD13BE" w:rsidRPr="00D80603">
        <w:rPr>
          <w:rFonts w:ascii="Verdana" w:hAnsi="Verdana" w:cstheme="minorHAnsi"/>
          <w:sz w:val="20"/>
          <w:szCs w:val="20"/>
          <w:lang w:val="es-ES_tradnl"/>
        </w:rPr>
        <w:t>existían</w:t>
      </w:r>
      <w:r w:rsidR="00963BEE" w:rsidRPr="00D80603">
        <w:rPr>
          <w:rFonts w:ascii="Verdana" w:hAnsi="Verdana" w:cstheme="minorHAnsi"/>
          <w:sz w:val="20"/>
          <w:szCs w:val="20"/>
          <w:lang w:val="es-ES_tradnl"/>
        </w:rPr>
        <w:t xml:space="preserve"> dos criterios diferentes sobre la forma en la que había considerado</w:t>
      </w:r>
      <w:r w:rsidR="00C26EDB" w:rsidRPr="00D80603">
        <w:rPr>
          <w:rFonts w:ascii="Verdana" w:hAnsi="Verdana" w:cstheme="minorHAnsi"/>
          <w:sz w:val="20"/>
          <w:szCs w:val="20"/>
          <w:lang w:val="es-ES_tradnl"/>
        </w:rPr>
        <w:t xml:space="preserve"> a “las comunidades como ente colectivo”</w:t>
      </w:r>
      <w:r w:rsidR="00963BEE" w:rsidRPr="00D80603">
        <w:rPr>
          <w:rFonts w:ascii="Verdana" w:hAnsi="Verdana" w:cstheme="minorHAnsi"/>
          <w:sz w:val="20"/>
          <w:szCs w:val="20"/>
          <w:lang w:val="es-ES_tradnl"/>
        </w:rPr>
        <w:t xml:space="preserve"> como sujetos de derechos</w:t>
      </w:r>
      <w:r w:rsidR="00C26EDB" w:rsidRPr="00D80603">
        <w:rPr>
          <w:rFonts w:ascii="Verdana" w:hAnsi="Verdana" w:cstheme="minorHAnsi"/>
          <w:sz w:val="20"/>
          <w:szCs w:val="20"/>
          <w:lang w:val="es-ES_tradnl"/>
        </w:rPr>
        <w:t xml:space="preserve">. </w:t>
      </w:r>
      <w:r w:rsidR="00963BEE" w:rsidRPr="00D80603">
        <w:rPr>
          <w:rFonts w:ascii="Verdana" w:hAnsi="Verdana" w:cstheme="minorHAnsi"/>
          <w:sz w:val="20"/>
          <w:szCs w:val="20"/>
          <w:lang w:val="es-ES_tradnl"/>
        </w:rPr>
        <w:t xml:space="preserve">Por un </w:t>
      </w:r>
      <w:r w:rsidR="00AD13BE" w:rsidRPr="00D80603">
        <w:rPr>
          <w:rFonts w:ascii="Verdana" w:hAnsi="Verdana" w:cstheme="minorHAnsi"/>
          <w:sz w:val="20"/>
          <w:szCs w:val="20"/>
          <w:lang w:val="es-ES_tradnl"/>
        </w:rPr>
        <w:t>lado,</w:t>
      </w:r>
      <w:r w:rsidR="00963BEE" w:rsidRPr="00D80603">
        <w:rPr>
          <w:rFonts w:ascii="Verdana" w:hAnsi="Verdana" w:cstheme="minorHAnsi"/>
          <w:sz w:val="20"/>
          <w:szCs w:val="20"/>
          <w:lang w:val="es-ES_tradnl"/>
        </w:rPr>
        <w:t xml:space="preserve"> estaban los casos donde la Corte IDH no había tomado como un sujeto colectivo diferenciado “a la comunidad” sino </w:t>
      </w:r>
      <w:r w:rsidR="00AD13BE" w:rsidRPr="00D80603">
        <w:rPr>
          <w:rFonts w:ascii="Verdana" w:hAnsi="Verdana" w:cstheme="minorHAnsi"/>
          <w:sz w:val="20"/>
          <w:szCs w:val="20"/>
          <w:lang w:val="es-ES_tradnl"/>
        </w:rPr>
        <w:t>únicamente</w:t>
      </w:r>
      <w:r w:rsidR="00963BEE" w:rsidRPr="00D80603">
        <w:rPr>
          <w:rFonts w:ascii="Verdana" w:hAnsi="Verdana" w:cstheme="minorHAnsi"/>
          <w:sz w:val="20"/>
          <w:szCs w:val="20"/>
          <w:lang w:val="es-ES_tradnl"/>
        </w:rPr>
        <w:t xml:space="preserve"> a sus miembros y, por el otro, una serie de casos en donde le había reconocido personalidad </w:t>
      </w:r>
      <w:r w:rsidR="00AD13BE" w:rsidRPr="00D80603">
        <w:rPr>
          <w:rFonts w:ascii="Verdana" w:hAnsi="Verdana" w:cstheme="minorHAnsi"/>
          <w:sz w:val="20"/>
          <w:szCs w:val="20"/>
          <w:lang w:val="es-ES_tradnl"/>
        </w:rPr>
        <w:t>jurídica</w:t>
      </w:r>
      <w:r w:rsidR="00963BEE" w:rsidRPr="00D80603">
        <w:rPr>
          <w:rFonts w:ascii="Verdana" w:hAnsi="Verdana" w:cstheme="minorHAnsi"/>
          <w:sz w:val="20"/>
          <w:szCs w:val="20"/>
          <w:lang w:val="es-ES_tradnl"/>
        </w:rPr>
        <w:t xml:space="preserve"> tanto a los miembros (en lo individual) como a la comunidad (como colectivo). En es</w:t>
      </w:r>
      <w:r w:rsidR="00980D43" w:rsidRPr="00D80603">
        <w:rPr>
          <w:rFonts w:ascii="Verdana" w:hAnsi="Verdana" w:cstheme="minorHAnsi"/>
          <w:sz w:val="20"/>
          <w:szCs w:val="20"/>
          <w:lang w:val="es-ES_tradnl"/>
        </w:rPr>
        <w:t>a</w:t>
      </w:r>
      <w:r w:rsidR="00963BEE" w:rsidRPr="00D80603">
        <w:rPr>
          <w:rFonts w:ascii="Verdana" w:hAnsi="Verdana" w:cstheme="minorHAnsi"/>
          <w:sz w:val="20"/>
          <w:szCs w:val="20"/>
          <w:lang w:val="es-ES_tradnl"/>
        </w:rPr>
        <w:t xml:space="preserve"> O</w:t>
      </w:r>
      <w:r w:rsidR="000E39D5" w:rsidRPr="00D80603">
        <w:rPr>
          <w:rFonts w:ascii="Verdana" w:hAnsi="Verdana" w:cstheme="minorHAnsi"/>
          <w:sz w:val="20"/>
          <w:szCs w:val="20"/>
          <w:lang w:val="es-ES_tradnl"/>
        </w:rPr>
        <w:t xml:space="preserve">pinión </w:t>
      </w:r>
      <w:r w:rsidR="00963BEE" w:rsidRPr="00D80603">
        <w:rPr>
          <w:rFonts w:ascii="Verdana" w:hAnsi="Verdana" w:cstheme="minorHAnsi"/>
          <w:sz w:val="20"/>
          <w:szCs w:val="20"/>
          <w:lang w:val="es-ES_tradnl"/>
        </w:rPr>
        <w:t>C</w:t>
      </w:r>
      <w:r w:rsidR="000E39D5" w:rsidRPr="00D80603">
        <w:rPr>
          <w:rFonts w:ascii="Verdana" w:hAnsi="Verdana" w:cstheme="minorHAnsi"/>
          <w:sz w:val="20"/>
          <w:szCs w:val="20"/>
          <w:lang w:val="es-ES_tradnl"/>
        </w:rPr>
        <w:t>onsultiva</w:t>
      </w:r>
      <w:r w:rsidR="00963BEE" w:rsidRPr="00D80603">
        <w:rPr>
          <w:rFonts w:ascii="Verdana" w:hAnsi="Verdana" w:cstheme="minorHAnsi"/>
          <w:sz w:val="20"/>
          <w:szCs w:val="20"/>
          <w:lang w:val="es-ES_tradnl"/>
        </w:rPr>
        <w:t xml:space="preserve"> </w:t>
      </w:r>
      <w:r w:rsidR="000E39D5" w:rsidRPr="00D80603">
        <w:rPr>
          <w:rFonts w:ascii="Verdana" w:hAnsi="Verdana" w:cstheme="minorHAnsi"/>
          <w:sz w:val="20"/>
          <w:szCs w:val="20"/>
          <w:lang w:val="es-ES_tradnl"/>
        </w:rPr>
        <w:t xml:space="preserve">se </w:t>
      </w:r>
      <w:r w:rsidR="00963BEE" w:rsidRPr="00D80603">
        <w:rPr>
          <w:rFonts w:ascii="Verdana" w:hAnsi="Verdana" w:cstheme="minorHAnsi"/>
          <w:sz w:val="20"/>
          <w:szCs w:val="20"/>
          <w:lang w:val="es-ES_tradnl"/>
        </w:rPr>
        <w:t xml:space="preserve">precisó que “la Corte no encuentra razones para apartarse de su criterio jurisprudencial en la materia y establece que las referidas comunidades pueden acceder de manera directa al sistema interamericano, </w:t>
      </w:r>
      <w:r w:rsidR="00963BEE" w:rsidRPr="00D80603">
        <w:rPr>
          <w:rFonts w:ascii="Verdana" w:hAnsi="Verdana" w:cstheme="minorHAnsi"/>
          <w:i/>
          <w:iCs/>
          <w:sz w:val="20"/>
          <w:szCs w:val="20"/>
          <w:lang w:val="es-ES_tradnl"/>
        </w:rPr>
        <w:t>como lo han venido haciendo en los últimos años</w:t>
      </w:r>
      <w:r w:rsidR="00963BEE" w:rsidRPr="00D80603">
        <w:rPr>
          <w:rFonts w:ascii="Verdana" w:hAnsi="Verdana" w:cstheme="minorHAnsi"/>
          <w:sz w:val="20"/>
          <w:szCs w:val="20"/>
          <w:lang w:val="es-ES_tradnl"/>
        </w:rPr>
        <w:t xml:space="preserve">, en la </w:t>
      </w:r>
      <w:r w:rsidR="00AD13BE" w:rsidRPr="00D80603">
        <w:rPr>
          <w:rFonts w:ascii="Verdana" w:hAnsi="Verdana" w:cstheme="minorHAnsi"/>
          <w:sz w:val="20"/>
          <w:szCs w:val="20"/>
          <w:lang w:val="es-ES_tradnl"/>
        </w:rPr>
        <w:t>búsqueda</w:t>
      </w:r>
      <w:r w:rsidR="00963BEE" w:rsidRPr="00D80603">
        <w:rPr>
          <w:rFonts w:ascii="Verdana" w:hAnsi="Verdana" w:cstheme="minorHAnsi"/>
          <w:sz w:val="20"/>
          <w:szCs w:val="20"/>
          <w:lang w:val="es-ES_tradnl"/>
        </w:rPr>
        <w:t xml:space="preserve"> de </w:t>
      </w:r>
      <w:r w:rsidR="00AD13BE" w:rsidRPr="00D80603">
        <w:rPr>
          <w:rFonts w:ascii="Verdana" w:hAnsi="Verdana" w:cstheme="minorHAnsi"/>
          <w:sz w:val="20"/>
          <w:szCs w:val="20"/>
          <w:lang w:val="es-ES_tradnl"/>
        </w:rPr>
        <w:t>protección</w:t>
      </w:r>
      <w:r w:rsidR="00963BEE" w:rsidRPr="00D80603">
        <w:rPr>
          <w:rFonts w:ascii="Verdana" w:hAnsi="Verdana" w:cstheme="minorHAnsi"/>
          <w:sz w:val="20"/>
          <w:szCs w:val="20"/>
          <w:lang w:val="es-ES_tradnl"/>
        </w:rPr>
        <w:t xml:space="preserve"> de sus derechos humanos y los de sus integrantes, no siendo necesario que cada uno de estos </w:t>
      </w:r>
      <w:r w:rsidR="00AD13BE" w:rsidRPr="00D80603">
        <w:rPr>
          <w:rFonts w:ascii="Verdana" w:hAnsi="Verdana" w:cstheme="minorHAnsi"/>
          <w:sz w:val="20"/>
          <w:szCs w:val="20"/>
          <w:lang w:val="es-ES_tradnl"/>
        </w:rPr>
        <w:t>últimos</w:t>
      </w:r>
      <w:r w:rsidR="00963BEE" w:rsidRPr="00D80603">
        <w:rPr>
          <w:rFonts w:ascii="Verdana" w:hAnsi="Verdana" w:cstheme="minorHAnsi"/>
          <w:sz w:val="20"/>
          <w:szCs w:val="20"/>
          <w:lang w:val="es-ES_tradnl"/>
        </w:rPr>
        <w:t xml:space="preserve"> se presente </w:t>
      </w:r>
      <w:r w:rsidR="00963BEE" w:rsidRPr="00D80603">
        <w:rPr>
          <w:rFonts w:ascii="Verdana" w:hAnsi="Verdana" w:cstheme="minorHAnsi"/>
          <w:sz w:val="20"/>
          <w:szCs w:val="20"/>
          <w:lang w:val="es-ES_tradnl"/>
        </w:rPr>
        <w:lastRenderedPageBreak/>
        <w:t>individualmente para tal fin”</w:t>
      </w:r>
      <w:r w:rsidR="00963BEE" w:rsidRPr="00D80603">
        <w:rPr>
          <w:rStyle w:val="Refdenotaalpie"/>
          <w:rFonts w:ascii="Verdana" w:hAnsi="Verdana" w:cstheme="minorHAnsi"/>
          <w:sz w:val="20"/>
          <w:szCs w:val="20"/>
          <w:lang w:val="es-ES_tradnl"/>
        </w:rPr>
        <w:footnoteReference w:id="34"/>
      </w:r>
      <w:r w:rsidR="00963BEE" w:rsidRPr="00D80603">
        <w:rPr>
          <w:rFonts w:ascii="Verdana" w:hAnsi="Verdana" w:cstheme="minorHAnsi"/>
          <w:sz w:val="20"/>
          <w:szCs w:val="20"/>
          <w:lang w:val="es-ES_tradnl"/>
        </w:rPr>
        <w:t xml:space="preserve">. Entonces, la Corte IDH unificó el criterio </w:t>
      </w:r>
      <w:r w:rsidR="00AD13BE" w:rsidRPr="00D80603">
        <w:rPr>
          <w:rFonts w:ascii="Verdana" w:hAnsi="Verdana" w:cstheme="minorHAnsi"/>
          <w:sz w:val="20"/>
          <w:szCs w:val="20"/>
          <w:lang w:val="es-ES_tradnl"/>
        </w:rPr>
        <w:t>decantándose</w:t>
      </w:r>
      <w:r w:rsidR="00963BEE" w:rsidRPr="00D80603">
        <w:rPr>
          <w:rFonts w:ascii="Verdana" w:hAnsi="Verdana" w:cstheme="minorHAnsi"/>
          <w:sz w:val="20"/>
          <w:szCs w:val="20"/>
          <w:lang w:val="es-ES_tradnl"/>
        </w:rPr>
        <w:t xml:space="preserve"> </w:t>
      </w:r>
      <w:r w:rsidR="002F7D14" w:rsidRPr="00D80603">
        <w:rPr>
          <w:rFonts w:ascii="Verdana" w:hAnsi="Verdana" w:cstheme="minorHAnsi"/>
          <w:sz w:val="20"/>
          <w:szCs w:val="20"/>
          <w:lang w:val="es-ES_tradnl"/>
        </w:rPr>
        <w:t xml:space="preserve">por el segundo supuesto, es decir, la interpretación más amplia. </w:t>
      </w:r>
    </w:p>
    <w:p w14:paraId="79F38AE8" w14:textId="77777777" w:rsidR="002F7D14" w:rsidRPr="00D80603" w:rsidRDefault="002F7D14" w:rsidP="002F7D14">
      <w:pPr>
        <w:tabs>
          <w:tab w:val="left" w:pos="567"/>
        </w:tabs>
        <w:ind w:right="48"/>
        <w:contextualSpacing/>
        <w:jc w:val="both"/>
        <w:rPr>
          <w:rFonts w:ascii="Verdana" w:hAnsi="Verdana" w:cstheme="minorHAnsi"/>
          <w:i/>
          <w:iCs/>
          <w:sz w:val="20"/>
          <w:szCs w:val="20"/>
          <w:lang w:val="es-ES_tradnl"/>
        </w:rPr>
      </w:pPr>
    </w:p>
    <w:p w14:paraId="775B3DFE" w14:textId="195E89B3" w:rsidR="00963BEE" w:rsidRPr="00D80603" w:rsidRDefault="00E11431" w:rsidP="00C379F3">
      <w:pPr>
        <w:numPr>
          <w:ilvl w:val="0"/>
          <w:numId w:val="2"/>
        </w:numPr>
        <w:tabs>
          <w:tab w:val="left" w:pos="567"/>
        </w:tabs>
        <w:ind w:left="0" w:right="48" w:firstLine="0"/>
        <w:contextualSpacing/>
        <w:jc w:val="both"/>
        <w:rPr>
          <w:rFonts w:ascii="Verdana" w:hAnsi="Verdana" w:cstheme="minorHAnsi"/>
          <w:i/>
          <w:iCs/>
          <w:sz w:val="20"/>
          <w:szCs w:val="20"/>
          <w:lang w:val="es-ES_tradnl"/>
        </w:rPr>
      </w:pPr>
      <w:r w:rsidRPr="00D80603">
        <w:rPr>
          <w:rFonts w:ascii="Verdana" w:hAnsi="Verdana" w:cstheme="minorHAnsi"/>
          <w:sz w:val="20"/>
          <w:szCs w:val="20"/>
          <w:lang w:val="es-ES_tradnl"/>
        </w:rPr>
        <w:t>En e</w:t>
      </w:r>
      <w:r w:rsidR="000E39D5" w:rsidRPr="00D80603">
        <w:rPr>
          <w:rFonts w:ascii="Verdana" w:hAnsi="Verdana" w:cstheme="minorHAnsi"/>
          <w:sz w:val="20"/>
          <w:szCs w:val="20"/>
          <w:lang w:val="es-ES_tradnl"/>
        </w:rPr>
        <w:t xml:space="preserve">l presente </w:t>
      </w:r>
      <w:r w:rsidRPr="00D80603">
        <w:rPr>
          <w:rFonts w:ascii="Verdana" w:hAnsi="Verdana" w:cstheme="minorHAnsi"/>
          <w:sz w:val="20"/>
          <w:szCs w:val="20"/>
          <w:lang w:val="es-ES_tradnl"/>
        </w:rPr>
        <w:t>caso, consider</w:t>
      </w:r>
      <w:r w:rsidR="00686781" w:rsidRPr="00D80603">
        <w:rPr>
          <w:rFonts w:ascii="Verdana" w:hAnsi="Verdana" w:cstheme="minorHAnsi"/>
          <w:sz w:val="20"/>
          <w:szCs w:val="20"/>
          <w:lang w:val="es-ES_tradnl"/>
        </w:rPr>
        <w:t>amos</w:t>
      </w:r>
      <w:r w:rsidRPr="00D80603">
        <w:rPr>
          <w:rFonts w:ascii="Verdana" w:hAnsi="Verdana" w:cstheme="minorHAnsi"/>
          <w:sz w:val="20"/>
          <w:szCs w:val="20"/>
          <w:lang w:val="es-ES_tradnl"/>
        </w:rPr>
        <w:t xml:space="preserve"> que fue correcto lo decidido por el Tribunal porque se desarrollan dos criterios </w:t>
      </w:r>
      <w:r w:rsidR="00980D43" w:rsidRPr="00D80603">
        <w:rPr>
          <w:rFonts w:ascii="Verdana" w:hAnsi="Verdana" w:cstheme="minorHAnsi"/>
          <w:sz w:val="20"/>
          <w:szCs w:val="20"/>
          <w:lang w:val="es-ES_tradnl"/>
        </w:rPr>
        <w:t>importantes</w:t>
      </w:r>
      <w:r w:rsidRPr="00D80603">
        <w:rPr>
          <w:rFonts w:ascii="Verdana" w:hAnsi="Verdana" w:cstheme="minorHAnsi"/>
          <w:sz w:val="20"/>
          <w:szCs w:val="20"/>
          <w:lang w:val="es-ES_tradnl"/>
        </w:rPr>
        <w:t>: i)</w:t>
      </w:r>
      <w:r w:rsidR="00782A46" w:rsidRPr="00D80603">
        <w:rPr>
          <w:rFonts w:ascii="Verdana" w:hAnsi="Verdana" w:cstheme="minorHAnsi"/>
          <w:sz w:val="20"/>
          <w:szCs w:val="20"/>
          <w:lang w:val="es-ES_tradnl"/>
        </w:rPr>
        <w:t xml:space="preserve">, </w:t>
      </w:r>
      <w:r w:rsidR="000E39D5" w:rsidRPr="00D80603">
        <w:rPr>
          <w:rFonts w:ascii="Verdana" w:hAnsi="Verdana" w:cstheme="minorHAnsi"/>
          <w:sz w:val="20"/>
          <w:szCs w:val="20"/>
          <w:lang w:val="es-ES_tradnl"/>
        </w:rPr>
        <w:t xml:space="preserve">la Corte IDH </w:t>
      </w:r>
      <w:r w:rsidR="00782A46" w:rsidRPr="00D80603">
        <w:rPr>
          <w:rFonts w:ascii="Verdana" w:hAnsi="Verdana" w:cstheme="minorHAnsi"/>
          <w:sz w:val="20"/>
          <w:szCs w:val="20"/>
          <w:lang w:val="es-ES_tradnl"/>
        </w:rPr>
        <w:t xml:space="preserve">implícitamente </w:t>
      </w:r>
      <w:r w:rsidR="000E39D5" w:rsidRPr="00D80603">
        <w:rPr>
          <w:rFonts w:ascii="Verdana" w:hAnsi="Verdana" w:cstheme="minorHAnsi"/>
          <w:sz w:val="20"/>
          <w:szCs w:val="20"/>
          <w:lang w:val="es-ES_tradnl"/>
        </w:rPr>
        <w:t xml:space="preserve">sigue sus últimos precedentes sobre cuándo nace la obligación </w:t>
      </w:r>
      <w:r w:rsidR="00782A46" w:rsidRPr="00D80603">
        <w:rPr>
          <w:rFonts w:ascii="Verdana" w:hAnsi="Verdana" w:cstheme="minorHAnsi"/>
          <w:sz w:val="20"/>
          <w:szCs w:val="20"/>
          <w:lang w:val="es-ES_tradnl"/>
        </w:rPr>
        <w:t xml:space="preserve">estatal </w:t>
      </w:r>
      <w:r w:rsidR="000E39D5" w:rsidRPr="00D80603">
        <w:rPr>
          <w:rFonts w:ascii="Verdana" w:hAnsi="Verdana" w:cstheme="minorHAnsi"/>
          <w:sz w:val="20"/>
          <w:szCs w:val="20"/>
          <w:lang w:val="es-ES_tradnl"/>
        </w:rPr>
        <w:t>de consulta, al referirse a los estándares sobre la consulta y sus elementos esenciales a la luz de su jurisprudencia</w:t>
      </w:r>
      <w:r w:rsidR="00782A46" w:rsidRPr="00D80603">
        <w:rPr>
          <w:rFonts w:ascii="Verdana" w:hAnsi="Verdana" w:cstheme="minorHAnsi"/>
          <w:sz w:val="20"/>
          <w:szCs w:val="20"/>
          <w:lang w:val="es-ES_tradnl"/>
        </w:rPr>
        <w:t>,</w:t>
      </w:r>
      <w:r w:rsidR="000E39D5" w:rsidRPr="00D80603">
        <w:rPr>
          <w:rFonts w:ascii="Verdana" w:hAnsi="Verdana" w:cstheme="minorHAnsi"/>
          <w:sz w:val="20"/>
          <w:szCs w:val="20"/>
          <w:lang w:val="es-ES_tradnl"/>
        </w:rPr>
        <w:t xml:space="preserve"> por lo que </w:t>
      </w:r>
      <w:r w:rsidR="00C26EDB" w:rsidRPr="00D80603">
        <w:rPr>
          <w:rFonts w:ascii="Verdana" w:hAnsi="Verdana" w:cstheme="minorHAnsi"/>
          <w:sz w:val="20"/>
          <w:szCs w:val="20"/>
          <w:lang w:val="es-ES_tradnl"/>
        </w:rPr>
        <w:t xml:space="preserve">se </w:t>
      </w:r>
      <w:r w:rsidR="000E39D5" w:rsidRPr="00D80603">
        <w:rPr>
          <w:rFonts w:ascii="Verdana" w:hAnsi="Verdana" w:cstheme="minorHAnsi"/>
          <w:sz w:val="20"/>
          <w:szCs w:val="20"/>
          <w:lang w:val="es-ES_tradnl"/>
        </w:rPr>
        <w:t xml:space="preserve">establece que la obligación estatal para garantizarla </w:t>
      </w:r>
      <w:r w:rsidRPr="00D80603">
        <w:rPr>
          <w:rFonts w:ascii="Verdana" w:hAnsi="Verdana" w:cstheme="minorHAnsi"/>
          <w:sz w:val="20"/>
          <w:szCs w:val="20"/>
          <w:lang w:val="es-ES_tradnl"/>
        </w:rPr>
        <w:t>surge desde el momento en el que el Estado ratifica la C</w:t>
      </w:r>
      <w:r w:rsidR="000E39D5" w:rsidRPr="00D80603">
        <w:rPr>
          <w:rFonts w:ascii="Verdana" w:hAnsi="Verdana" w:cstheme="minorHAnsi"/>
          <w:sz w:val="20"/>
          <w:szCs w:val="20"/>
          <w:lang w:val="es-ES_tradnl"/>
        </w:rPr>
        <w:t>onvención Americana</w:t>
      </w:r>
      <w:r w:rsidRPr="00D80603">
        <w:rPr>
          <w:rFonts w:ascii="Verdana" w:hAnsi="Verdana" w:cstheme="minorHAnsi"/>
          <w:sz w:val="20"/>
          <w:szCs w:val="20"/>
          <w:lang w:val="es-ES_tradnl"/>
        </w:rPr>
        <w:t xml:space="preserve"> con independencia de </w:t>
      </w:r>
      <w:r w:rsidR="00C26EDB" w:rsidRPr="00D80603">
        <w:rPr>
          <w:rFonts w:ascii="Verdana" w:hAnsi="Verdana" w:cstheme="minorHAnsi"/>
          <w:sz w:val="20"/>
          <w:szCs w:val="20"/>
          <w:lang w:val="es-ES_tradnl"/>
        </w:rPr>
        <w:t>si se encuentra</w:t>
      </w:r>
      <w:r w:rsidRPr="00D80603">
        <w:rPr>
          <w:rFonts w:ascii="Verdana" w:hAnsi="Verdana" w:cstheme="minorHAnsi"/>
          <w:sz w:val="20"/>
          <w:szCs w:val="20"/>
          <w:lang w:val="es-ES_tradnl"/>
        </w:rPr>
        <w:t xml:space="preserve"> vigor el Convenio 169 de la OIT</w:t>
      </w:r>
      <w:r w:rsidR="000E39D5" w:rsidRPr="00D80603">
        <w:rPr>
          <w:rFonts w:ascii="Verdana" w:hAnsi="Verdana" w:cstheme="minorHAnsi"/>
          <w:sz w:val="20"/>
          <w:szCs w:val="20"/>
          <w:lang w:val="es-ES_tradnl"/>
        </w:rPr>
        <w:t>;</w:t>
      </w:r>
      <w:r w:rsidRPr="00D80603">
        <w:rPr>
          <w:rFonts w:ascii="Verdana" w:hAnsi="Verdana" w:cstheme="minorHAnsi"/>
          <w:sz w:val="20"/>
          <w:szCs w:val="20"/>
          <w:lang w:val="es-ES_tradnl"/>
        </w:rPr>
        <w:t xml:space="preserve"> </w:t>
      </w:r>
      <w:r w:rsidR="00782A46" w:rsidRPr="00D80603">
        <w:rPr>
          <w:rFonts w:ascii="Verdana" w:hAnsi="Verdana" w:cstheme="minorHAnsi"/>
          <w:sz w:val="20"/>
          <w:szCs w:val="20"/>
          <w:lang w:val="es-ES_tradnl"/>
        </w:rPr>
        <w:t>y</w:t>
      </w:r>
      <w:r w:rsidR="00686781" w:rsidRPr="00D80603">
        <w:rPr>
          <w:rFonts w:ascii="Verdana" w:hAnsi="Verdana" w:cstheme="minorHAnsi"/>
          <w:sz w:val="20"/>
          <w:szCs w:val="20"/>
          <w:lang w:val="es-ES_tradnl"/>
        </w:rPr>
        <w:t xml:space="preserve"> ii)</w:t>
      </w:r>
      <w:r w:rsidRPr="00D80603">
        <w:rPr>
          <w:rFonts w:ascii="Verdana" w:hAnsi="Verdana" w:cstheme="minorHAnsi"/>
          <w:sz w:val="20"/>
          <w:szCs w:val="20"/>
          <w:lang w:val="es-ES_tradnl"/>
        </w:rPr>
        <w:t xml:space="preserve"> el derecho a la consulta es un derecho autónomo que encuentra su fundamento en los artículos 1.1, 2, 13, 21 y 23 de</w:t>
      </w:r>
      <w:r w:rsidR="008516D1" w:rsidRPr="00D80603">
        <w:rPr>
          <w:rFonts w:ascii="Verdana" w:hAnsi="Verdana" w:cstheme="minorHAnsi"/>
          <w:sz w:val="20"/>
          <w:szCs w:val="20"/>
          <w:lang w:val="es-ES_tradnl"/>
        </w:rPr>
        <w:t>l Pacto de San José</w:t>
      </w:r>
      <w:r w:rsidRPr="00D80603">
        <w:rPr>
          <w:rFonts w:ascii="Verdana" w:hAnsi="Verdana" w:cstheme="minorHAnsi"/>
          <w:sz w:val="20"/>
          <w:szCs w:val="20"/>
          <w:lang w:val="es-ES_tradnl"/>
        </w:rPr>
        <w:t>. Estos son los criterios que</w:t>
      </w:r>
      <w:r w:rsidR="00C26EDB" w:rsidRPr="00D80603">
        <w:rPr>
          <w:rFonts w:ascii="Verdana" w:hAnsi="Verdana" w:cstheme="minorHAnsi"/>
          <w:sz w:val="20"/>
          <w:szCs w:val="20"/>
          <w:lang w:val="es-ES_tradnl"/>
        </w:rPr>
        <w:t>,</w:t>
      </w:r>
      <w:r w:rsidRPr="00D80603">
        <w:rPr>
          <w:rFonts w:ascii="Verdana" w:hAnsi="Verdana" w:cstheme="minorHAnsi"/>
          <w:sz w:val="20"/>
          <w:szCs w:val="20"/>
          <w:lang w:val="es-ES_tradnl"/>
        </w:rPr>
        <w:t xml:space="preserve"> a nuestro juicio</w:t>
      </w:r>
      <w:r w:rsidR="00C26EDB" w:rsidRPr="00D80603">
        <w:rPr>
          <w:rFonts w:ascii="Verdana" w:hAnsi="Verdana" w:cstheme="minorHAnsi"/>
          <w:sz w:val="20"/>
          <w:szCs w:val="20"/>
          <w:lang w:val="es-ES_tradnl"/>
        </w:rPr>
        <w:t>,</w:t>
      </w:r>
      <w:r w:rsidRPr="00D80603">
        <w:rPr>
          <w:rFonts w:ascii="Verdana" w:hAnsi="Verdana" w:cstheme="minorHAnsi"/>
          <w:sz w:val="20"/>
          <w:szCs w:val="20"/>
          <w:lang w:val="es-ES_tradnl"/>
        </w:rPr>
        <w:t xml:space="preserve"> se unificaron en est</w:t>
      </w:r>
      <w:r w:rsidR="00016EF9" w:rsidRPr="00D80603">
        <w:rPr>
          <w:rFonts w:ascii="Verdana" w:hAnsi="Verdana" w:cstheme="minorHAnsi"/>
          <w:sz w:val="20"/>
          <w:szCs w:val="20"/>
          <w:lang w:val="es-ES_tradnl"/>
        </w:rPr>
        <w:t>a</w:t>
      </w:r>
      <w:r w:rsidRPr="00D80603">
        <w:rPr>
          <w:rFonts w:ascii="Verdana" w:hAnsi="Verdana" w:cstheme="minorHAnsi"/>
          <w:sz w:val="20"/>
          <w:szCs w:val="20"/>
          <w:lang w:val="es-ES_tradnl"/>
        </w:rPr>
        <w:t xml:space="preserve"> </w:t>
      </w:r>
      <w:r w:rsidR="008516D1" w:rsidRPr="00D80603">
        <w:rPr>
          <w:rFonts w:ascii="Verdana" w:hAnsi="Verdana" w:cstheme="minorHAnsi"/>
          <w:sz w:val="20"/>
          <w:szCs w:val="20"/>
          <w:lang w:val="es-ES_tradnl"/>
        </w:rPr>
        <w:t>s</w:t>
      </w:r>
      <w:r w:rsidRPr="00D80603">
        <w:rPr>
          <w:rFonts w:ascii="Verdana" w:hAnsi="Verdana" w:cstheme="minorHAnsi"/>
          <w:sz w:val="20"/>
          <w:szCs w:val="20"/>
          <w:lang w:val="es-ES_tradnl"/>
        </w:rPr>
        <w:t xml:space="preserve">entencia por el Tribunal Interamericano. </w:t>
      </w:r>
    </w:p>
    <w:p w14:paraId="570B4A58" w14:textId="77777777" w:rsidR="003F434E" w:rsidRPr="00D80603" w:rsidRDefault="003F434E" w:rsidP="003F434E">
      <w:pPr>
        <w:pStyle w:val="Prrafodelista"/>
        <w:rPr>
          <w:rFonts w:ascii="Verdana" w:hAnsi="Verdana" w:cstheme="minorHAnsi"/>
          <w:i/>
          <w:iCs/>
          <w:sz w:val="20"/>
          <w:szCs w:val="20"/>
          <w:lang w:val="es-ES_tradnl"/>
        </w:rPr>
      </w:pPr>
    </w:p>
    <w:p w14:paraId="673002E2" w14:textId="135A08A8" w:rsidR="003F434E" w:rsidRPr="00D80603" w:rsidRDefault="003F434E" w:rsidP="003F434E">
      <w:pPr>
        <w:numPr>
          <w:ilvl w:val="0"/>
          <w:numId w:val="2"/>
        </w:numPr>
        <w:tabs>
          <w:tab w:val="left" w:pos="567"/>
        </w:tabs>
        <w:ind w:left="0" w:right="48" w:firstLine="0"/>
        <w:contextualSpacing/>
        <w:jc w:val="both"/>
        <w:rPr>
          <w:rFonts w:ascii="Verdana" w:hAnsi="Verdana" w:cstheme="minorHAnsi"/>
          <w:i/>
          <w:iCs/>
          <w:sz w:val="20"/>
          <w:szCs w:val="20"/>
          <w:lang w:val="es-ES_tradnl"/>
        </w:rPr>
      </w:pPr>
      <w:r w:rsidRPr="00D80603">
        <w:rPr>
          <w:rFonts w:ascii="Verdana" w:hAnsi="Verdana" w:cstheme="minorHAnsi"/>
          <w:sz w:val="20"/>
          <w:szCs w:val="20"/>
          <w:lang w:val="es-ES_tradnl"/>
        </w:rPr>
        <w:t xml:space="preserve">Adicionalmente, como lo manifestamos en el reciente caso </w:t>
      </w:r>
      <w:r w:rsidRPr="00D80603">
        <w:rPr>
          <w:rFonts w:ascii="Verdana" w:hAnsi="Verdana" w:cstheme="minorHAnsi"/>
          <w:i/>
          <w:iCs/>
          <w:sz w:val="20"/>
          <w:szCs w:val="20"/>
          <w:lang w:val="es-ES_tradnl"/>
        </w:rPr>
        <w:t>Agua Caliente</w:t>
      </w:r>
      <w:r w:rsidR="008516D1" w:rsidRPr="00D80603">
        <w:rPr>
          <w:rFonts w:ascii="Verdana" w:hAnsi="Verdana" w:cstheme="minorHAnsi"/>
          <w:i/>
          <w:iCs/>
          <w:sz w:val="20"/>
          <w:szCs w:val="20"/>
          <w:lang w:val="es-ES_tradnl"/>
        </w:rPr>
        <w:t xml:space="preserve"> vs. Guatemala</w:t>
      </w:r>
      <w:r w:rsidRPr="00D80603">
        <w:rPr>
          <w:rFonts w:ascii="Verdana" w:hAnsi="Verdana" w:cstheme="minorHAnsi"/>
          <w:sz w:val="20"/>
          <w:szCs w:val="20"/>
          <w:lang w:val="es-ES_tradnl"/>
        </w:rPr>
        <w:t>, consideramos necesario que se reflexione sobre lo oportuno que sería que la Corte IDH avance en la configuración de la consulta como derecho autónomo también desde el artículo 26 de la Convención Americana</w:t>
      </w:r>
      <w:r w:rsidR="00F9274C" w:rsidRPr="00D80603">
        <w:rPr>
          <w:rFonts w:ascii="Verdana" w:hAnsi="Verdana" w:cstheme="minorHAnsi"/>
          <w:sz w:val="20"/>
          <w:szCs w:val="20"/>
          <w:lang w:val="es-ES_tradnl"/>
        </w:rPr>
        <w:t xml:space="preserve">. No debe soslayarse </w:t>
      </w:r>
      <w:r w:rsidRPr="00D80603">
        <w:rPr>
          <w:rFonts w:ascii="Verdana" w:hAnsi="Verdana" w:cstheme="minorHAnsi"/>
          <w:sz w:val="20"/>
          <w:szCs w:val="20"/>
          <w:lang w:val="es-ES_tradnl"/>
        </w:rPr>
        <w:t xml:space="preserve">que en la jurisprudencia del Tribunal se ha reconocido que </w:t>
      </w:r>
      <w:r w:rsidR="00F9274C" w:rsidRPr="00D80603">
        <w:rPr>
          <w:rFonts w:ascii="Verdana" w:hAnsi="Verdana" w:cstheme="minorHAnsi"/>
          <w:sz w:val="20"/>
          <w:szCs w:val="20"/>
          <w:lang w:val="es-ES_tradnl"/>
        </w:rPr>
        <w:t xml:space="preserve">de </w:t>
      </w:r>
      <w:r w:rsidRPr="00D80603">
        <w:rPr>
          <w:rFonts w:ascii="Verdana" w:hAnsi="Verdana" w:cstheme="minorHAnsi"/>
          <w:sz w:val="20"/>
          <w:szCs w:val="20"/>
          <w:lang w:val="es-ES_tradnl"/>
        </w:rPr>
        <w:t>est</w:t>
      </w:r>
      <w:r w:rsidR="00982FE5" w:rsidRPr="00D80603">
        <w:rPr>
          <w:rFonts w:ascii="Verdana" w:hAnsi="Verdana" w:cstheme="minorHAnsi"/>
          <w:sz w:val="20"/>
          <w:szCs w:val="20"/>
          <w:lang w:val="es-ES_tradnl"/>
        </w:rPr>
        <w:t xml:space="preserve">a </w:t>
      </w:r>
      <w:r w:rsidRPr="00D80603">
        <w:rPr>
          <w:rFonts w:ascii="Verdana" w:hAnsi="Verdana" w:cstheme="minorHAnsi"/>
          <w:sz w:val="20"/>
          <w:szCs w:val="20"/>
          <w:lang w:val="es-ES_tradnl"/>
        </w:rPr>
        <w:t>disposición puede derivar, entre otros, los derechos culturales</w:t>
      </w:r>
      <w:r w:rsidR="00F9274C" w:rsidRPr="00D80603">
        <w:rPr>
          <w:rFonts w:ascii="Verdana" w:hAnsi="Verdana" w:cstheme="minorHAnsi"/>
          <w:sz w:val="20"/>
          <w:szCs w:val="20"/>
          <w:lang w:val="es-ES_tradnl"/>
        </w:rPr>
        <w:t>, siendo</w:t>
      </w:r>
      <w:r w:rsidRPr="00D80603">
        <w:rPr>
          <w:rFonts w:ascii="Verdana" w:hAnsi="Verdana" w:cstheme="minorHAnsi"/>
          <w:sz w:val="20"/>
          <w:szCs w:val="20"/>
          <w:lang w:val="es-ES_tradnl"/>
        </w:rPr>
        <w:t xml:space="preserve"> uno de los parámetros para evaluar la consulta previa que sea “culturalmente adecuada”</w:t>
      </w:r>
      <w:r w:rsidR="00EC7293" w:rsidRPr="00D80603">
        <w:rPr>
          <w:rFonts w:ascii="Verdana" w:hAnsi="Verdana" w:cstheme="minorHAnsi"/>
          <w:sz w:val="20"/>
          <w:szCs w:val="20"/>
          <w:lang w:val="es-ES_tradnl"/>
        </w:rPr>
        <w:t>, es decir, en conformidad con las pr</w:t>
      </w:r>
      <w:r w:rsidR="004D60DE" w:rsidRPr="00D80603">
        <w:rPr>
          <w:rFonts w:ascii="Verdana" w:hAnsi="Verdana" w:cstheme="minorHAnsi"/>
          <w:sz w:val="20"/>
          <w:szCs w:val="20"/>
          <w:lang w:val="es-ES_tradnl"/>
        </w:rPr>
        <w:t>á</w:t>
      </w:r>
      <w:r w:rsidR="00EC7293" w:rsidRPr="00D80603">
        <w:rPr>
          <w:rFonts w:ascii="Verdana" w:hAnsi="Verdana" w:cstheme="minorHAnsi"/>
          <w:sz w:val="20"/>
          <w:szCs w:val="20"/>
          <w:lang w:val="es-ES_tradnl"/>
        </w:rPr>
        <w:t>cticas, costumbres y tradiciones de la comunidad</w:t>
      </w:r>
      <w:r w:rsidR="00982FE5" w:rsidRPr="00D80603">
        <w:rPr>
          <w:rStyle w:val="Refdenotaalpie"/>
          <w:rFonts w:ascii="Verdana" w:hAnsi="Verdana" w:cstheme="minorHAnsi"/>
          <w:sz w:val="20"/>
          <w:szCs w:val="20"/>
          <w:lang w:val="es-ES_tradnl"/>
        </w:rPr>
        <w:footnoteReference w:id="35"/>
      </w:r>
      <w:r w:rsidRPr="00D80603">
        <w:rPr>
          <w:rFonts w:ascii="Verdana" w:hAnsi="Verdana" w:cstheme="minorHAnsi"/>
          <w:sz w:val="20"/>
          <w:szCs w:val="20"/>
          <w:lang w:val="es-ES_tradnl"/>
        </w:rPr>
        <w:t xml:space="preserve">. </w:t>
      </w:r>
    </w:p>
    <w:p w14:paraId="158AA513" w14:textId="77777777" w:rsidR="00E11431" w:rsidRPr="00D80603" w:rsidRDefault="00E11431" w:rsidP="003F434E">
      <w:pPr>
        <w:rPr>
          <w:rFonts w:ascii="Verdana" w:hAnsi="Verdana" w:cstheme="minorHAnsi"/>
          <w:i/>
          <w:iCs/>
          <w:sz w:val="20"/>
          <w:szCs w:val="20"/>
          <w:lang w:val="es-ES_tradnl"/>
        </w:rPr>
      </w:pPr>
    </w:p>
    <w:p w14:paraId="5636F610" w14:textId="68124960" w:rsidR="00E11431" w:rsidRPr="00D80603" w:rsidRDefault="00E11431" w:rsidP="00C379F3">
      <w:pPr>
        <w:numPr>
          <w:ilvl w:val="0"/>
          <w:numId w:val="2"/>
        </w:numPr>
        <w:tabs>
          <w:tab w:val="left" w:pos="567"/>
        </w:tabs>
        <w:ind w:left="0" w:right="48" w:firstLine="0"/>
        <w:contextualSpacing/>
        <w:jc w:val="both"/>
        <w:rPr>
          <w:rFonts w:ascii="Verdana" w:hAnsi="Verdana" w:cstheme="minorHAnsi"/>
          <w:i/>
          <w:iCs/>
          <w:sz w:val="20"/>
          <w:szCs w:val="20"/>
          <w:lang w:val="es-ES_tradnl"/>
        </w:rPr>
      </w:pPr>
      <w:r w:rsidRPr="00D80603">
        <w:rPr>
          <w:rFonts w:ascii="Verdana" w:hAnsi="Verdana" w:cstheme="minorHAnsi"/>
          <w:sz w:val="20"/>
          <w:szCs w:val="20"/>
          <w:lang w:val="es-ES_tradnl"/>
        </w:rPr>
        <w:t xml:space="preserve">Finalmente, </w:t>
      </w:r>
      <w:r w:rsidR="00980D43" w:rsidRPr="00D80603">
        <w:rPr>
          <w:rFonts w:ascii="Verdana" w:hAnsi="Verdana" w:cstheme="minorHAnsi"/>
          <w:sz w:val="20"/>
          <w:szCs w:val="20"/>
          <w:lang w:val="es-ES_tradnl"/>
        </w:rPr>
        <w:t xml:space="preserve">estimamos que no puede esgrimirse que en el caso concreto </w:t>
      </w:r>
      <w:r w:rsidR="009A048F" w:rsidRPr="00D80603">
        <w:rPr>
          <w:rFonts w:ascii="Verdana" w:hAnsi="Verdana" w:cstheme="minorHAnsi"/>
          <w:sz w:val="20"/>
          <w:szCs w:val="20"/>
          <w:lang w:val="es-ES_tradnl"/>
        </w:rPr>
        <w:t>se configura la</w:t>
      </w:r>
      <w:r w:rsidR="00980D43" w:rsidRPr="00D80603">
        <w:rPr>
          <w:rFonts w:ascii="Verdana" w:hAnsi="Verdana" w:cstheme="minorHAnsi"/>
          <w:sz w:val="20"/>
          <w:szCs w:val="20"/>
          <w:lang w:val="es-ES_tradnl"/>
        </w:rPr>
        <w:t xml:space="preserve"> </w:t>
      </w:r>
      <w:r w:rsidR="00980D43" w:rsidRPr="00D80603">
        <w:rPr>
          <w:rFonts w:ascii="Verdana" w:hAnsi="Verdana" w:cstheme="minorHAnsi"/>
          <w:i/>
          <w:iCs/>
          <w:sz w:val="20"/>
          <w:szCs w:val="20"/>
          <w:lang w:val="es-ES_tradnl"/>
        </w:rPr>
        <w:t>cosa juzgada</w:t>
      </w:r>
      <w:r w:rsidR="00980D43" w:rsidRPr="00D80603">
        <w:rPr>
          <w:rFonts w:ascii="Verdana" w:hAnsi="Verdana" w:cstheme="minorHAnsi"/>
          <w:sz w:val="20"/>
          <w:szCs w:val="20"/>
          <w:lang w:val="es-ES_tradnl"/>
        </w:rPr>
        <w:t xml:space="preserve"> internacional, </w:t>
      </w:r>
      <w:r w:rsidR="00087C3B" w:rsidRPr="00D80603">
        <w:rPr>
          <w:rFonts w:ascii="Verdana" w:hAnsi="Verdana" w:cstheme="minorHAnsi"/>
          <w:sz w:val="20"/>
          <w:szCs w:val="20"/>
          <w:lang w:val="es-ES_tradnl"/>
        </w:rPr>
        <w:t xml:space="preserve">al estimarse </w:t>
      </w:r>
      <w:r w:rsidR="00980D43" w:rsidRPr="00D80603">
        <w:rPr>
          <w:rFonts w:ascii="Verdana" w:hAnsi="Verdana" w:cstheme="minorHAnsi"/>
          <w:sz w:val="20"/>
          <w:szCs w:val="20"/>
          <w:lang w:val="es-ES_tradnl"/>
        </w:rPr>
        <w:t xml:space="preserve">que en el </w:t>
      </w:r>
      <w:r w:rsidR="00980D43" w:rsidRPr="00D80603">
        <w:rPr>
          <w:rFonts w:ascii="Verdana" w:hAnsi="Verdana" w:cstheme="minorHAnsi"/>
          <w:i/>
          <w:iCs/>
          <w:sz w:val="20"/>
          <w:szCs w:val="20"/>
          <w:lang w:val="es-ES_tradnl"/>
        </w:rPr>
        <w:t>caso</w:t>
      </w:r>
      <w:r w:rsidR="00980D43" w:rsidRPr="00D80603">
        <w:rPr>
          <w:rFonts w:ascii="Verdana" w:hAnsi="Verdana" w:cstheme="minorHAnsi"/>
          <w:sz w:val="20"/>
          <w:szCs w:val="20"/>
          <w:lang w:val="es-ES_tradnl"/>
        </w:rPr>
        <w:t xml:space="preserve"> </w:t>
      </w:r>
      <w:r w:rsidR="00980D43" w:rsidRPr="00D80603">
        <w:rPr>
          <w:rFonts w:ascii="Verdana" w:hAnsi="Verdana" w:cstheme="minorHAnsi"/>
          <w:i/>
          <w:iCs/>
          <w:sz w:val="20"/>
          <w:szCs w:val="20"/>
          <w:lang w:val="es-ES_tradnl"/>
        </w:rPr>
        <w:t>Triunfo de la Cruz</w:t>
      </w:r>
      <w:r w:rsidR="00980D43" w:rsidRPr="00D80603">
        <w:rPr>
          <w:rFonts w:ascii="Verdana" w:hAnsi="Verdana" w:cstheme="minorHAnsi"/>
          <w:sz w:val="20"/>
          <w:szCs w:val="20"/>
          <w:lang w:val="es-ES_tradnl"/>
        </w:rPr>
        <w:t xml:space="preserve"> (2015), respecto a la ampliación del casco urbano del Municipio de Tela, la Corte IDH no consideró violación a la obligación de la consulta previa</w:t>
      </w:r>
      <w:r w:rsidRPr="00D80603">
        <w:rPr>
          <w:rFonts w:ascii="Verdana" w:hAnsi="Verdana" w:cstheme="minorHAnsi"/>
          <w:sz w:val="20"/>
          <w:szCs w:val="20"/>
          <w:lang w:val="es-ES_tradnl"/>
        </w:rPr>
        <w:t xml:space="preserve">. </w:t>
      </w:r>
      <w:r w:rsidR="00980D43" w:rsidRPr="00D80603">
        <w:rPr>
          <w:rFonts w:ascii="Verdana" w:hAnsi="Verdana" w:cstheme="minorHAnsi"/>
          <w:sz w:val="20"/>
          <w:szCs w:val="20"/>
          <w:lang w:val="es-ES_tradnl"/>
        </w:rPr>
        <w:t xml:space="preserve">En </w:t>
      </w:r>
      <w:r w:rsidRPr="00D80603">
        <w:rPr>
          <w:rFonts w:ascii="Verdana" w:hAnsi="Verdana" w:cstheme="minorHAnsi"/>
          <w:sz w:val="20"/>
          <w:szCs w:val="20"/>
          <w:lang w:val="es-ES_tradnl"/>
        </w:rPr>
        <w:t>primer lugar, debemos partir que est</w:t>
      </w:r>
      <w:r w:rsidR="00980D43" w:rsidRPr="00D80603">
        <w:rPr>
          <w:rFonts w:ascii="Verdana" w:hAnsi="Verdana" w:cstheme="minorHAnsi"/>
          <w:sz w:val="20"/>
          <w:szCs w:val="20"/>
          <w:lang w:val="es-ES_tradnl"/>
        </w:rPr>
        <w:t>a</w:t>
      </w:r>
      <w:r w:rsidRPr="00D80603">
        <w:rPr>
          <w:rFonts w:ascii="Verdana" w:hAnsi="Verdana" w:cstheme="minorHAnsi"/>
          <w:sz w:val="20"/>
          <w:szCs w:val="20"/>
          <w:lang w:val="es-ES_tradnl"/>
        </w:rPr>
        <w:t xml:space="preserve"> figura solo opera cuan</w:t>
      </w:r>
      <w:r w:rsidR="00FA77A2" w:rsidRPr="00D80603">
        <w:rPr>
          <w:rFonts w:ascii="Verdana" w:hAnsi="Verdana" w:cstheme="minorHAnsi"/>
          <w:sz w:val="20"/>
          <w:szCs w:val="20"/>
          <w:lang w:val="es-ES_tradnl"/>
        </w:rPr>
        <w:t xml:space="preserve">do </w:t>
      </w:r>
      <w:r w:rsidRPr="00D80603">
        <w:rPr>
          <w:rFonts w:ascii="Verdana" w:hAnsi="Verdana" w:cstheme="minorHAnsi"/>
          <w:sz w:val="20"/>
          <w:szCs w:val="20"/>
          <w:lang w:val="es-ES_tradnl"/>
        </w:rPr>
        <w:t xml:space="preserve">existe identidad de sujetos, objeto y pretensión, lo cual no se cumple </w:t>
      </w:r>
      <w:r w:rsidR="008516D1" w:rsidRPr="00D80603">
        <w:rPr>
          <w:rFonts w:ascii="Verdana" w:hAnsi="Verdana" w:cstheme="minorHAnsi"/>
          <w:sz w:val="20"/>
          <w:szCs w:val="20"/>
          <w:lang w:val="es-ES_tradnl"/>
        </w:rPr>
        <w:t xml:space="preserve">en el caso. En efecto, si </w:t>
      </w:r>
      <w:r w:rsidR="00980D43" w:rsidRPr="00D80603">
        <w:rPr>
          <w:rFonts w:ascii="Verdana" w:hAnsi="Verdana" w:cstheme="minorHAnsi"/>
          <w:sz w:val="20"/>
          <w:szCs w:val="20"/>
          <w:lang w:val="es-ES_tradnl"/>
        </w:rPr>
        <w:t>bien la Corte IDH se</w:t>
      </w:r>
      <w:r w:rsidR="00287DA2" w:rsidRPr="00D80603">
        <w:rPr>
          <w:rFonts w:ascii="Verdana" w:hAnsi="Verdana" w:cstheme="minorHAnsi"/>
          <w:sz w:val="20"/>
          <w:szCs w:val="20"/>
          <w:lang w:val="es-ES_tradnl"/>
        </w:rPr>
        <w:t xml:space="preserve"> había pronunciado sobre</w:t>
      </w:r>
      <w:r w:rsidR="00AD13BE" w:rsidRPr="00D80603">
        <w:rPr>
          <w:rFonts w:ascii="Verdana" w:hAnsi="Verdana" w:cstheme="minorHAnsi"/>
          <w:sz w:val="20"/>
          <w:szCs w:val="20"/>
          <w:lang w:val="es-ES_tradnl"/>
        </w:rPr>
        <w:t xml:space="preserve"> el casco urbano de la Ciudad de Tela</w:t>
      </w:r>
      <w:r w:rsidR="00287DA2" w:rsidRPr="00D80603">
        <w:rPr>
          <w:rFonts w:ascii="Verdana" w:hAnsi="Verdana" w:cstheme="minorHAnsi"/>
          <w:sz w:val="20"/>
          <w:szCs w:val="20"/>
          <w:lang w:val="es-ES_tradnl"/>
        </w:rPr>
        <w:t xml:space="preserve">, lo hizo </w:t>
      </w:r>
      <w:proofErr w:type="gramStart"/>
      <w:r w:rsidR="00287DA2" w:rsidRPr="00D80603">
        <w:rPr>
          <w:rFonts w:ascii="Verdana" w:hAnsi="Verdana" w:cstheme="minorHAnsi"/>
          <w:sz w:val="20"/>
          <w:szCs w:val="20"/>
          <w:lang w:val="es-ES_tradnl"/>
        </w:rPr>
        <w:t xml:space="preserve">en relación </w:t>
      </w:r>
      <w:r w:rsidR="00072D0B" w:rsidRPr="00D80603">
        <w:rPr>
          <w:rFonts w:ascii="Verdana" w:hAnsi="Verdana" w:cstheme="minorHAnsi"/>
          <w:sz w:val="20"/>
          <w:szCs w:val="20"/>
          <w:lang w:val="es-ES_tradnl"/>
        </w:rPr>
        <w:t>a</w:t>
      </w:r>
      <w:proofErr w:type="gramEnd"/>
      <w:r w:rsidR="00072D0B" w:rsidRPr="00D80603">
        <w:rPr>
          <w:rFonts w:ascii="Verdana" w:hAnsi="Verdana" w:cstheme="minorHAnsi"/>
          <w:sz w:val="20"/>
          <w:szCs w:val="20"/>
          <w:lang w:val="es-ES_tradnl"/>
        </w:rPr>
        <w:t xml:space="preserve"> </w:t>
      </w:r>
      <w:r w:rsidR="00287DA2" w:rsidRPr="00D80603">
        <w:rPr>
          <w:rFonts w:ascii="Verdana" w:hAnsi="Verdana" w:cstheme="minorHAnsi"/>
          <w:sz w:val="20"/>
          <w:szCs w:val="20"/>
          <w:lang w:val="es-ES_tradnl"/>
        </w:rPr>
        <w:t xml:space="preserve">la </w:t>
      </w:r>
      <w:r w:rsidR="00287DA2" w:rsidRPr="00D80603">
        <w:rPr>
          <w:rFonts w:ascii="Verdana" w:hAnsi="Verdana" w:cstheme="minorHAnsi"/>
          <w:i/>
          <w:iCs/>
          <w:sz w:val="20"/>
          <w:szCs w:val="20"/>
          <w:lang w:val="es-ES_tradnl"/>
        </w:rPr>
        <w:t>comunidad Triunfo de la Cruz</w:t>
      </w:r>
      <w:r w:rsidR="00287DA2" w:rsidRPr="00D80603">
        <w:rPr>
          <w:rFonts w:ascii="Verdana" w:hAnsi="Verdana" w:cstheme="minorHAnsi"/>
          <w:sz w:val="20"/>
          <w:szCs w:val="20"/>
          <w:lang w:val="es-ES_tradnl"/>
        </w:rPr>
        <w:t xml:space="preserve"> y, de hecho, </w:t>
      </w:r>
      <w:r w:rsidR="00980D43" w:rsidRPr="00D80603">
        <w:rPr>
          <w:rFonts w:ascii="Verdana" w:hAnsi="Verdana" w:cstheme="minorHAnsi"/>
          <w:sz w:val="20"/>
          <w:szCs w:val="20"/>
          <w:lang w:val="es-ES_tradnl"/>
        </w:rPr>
        <w:t xml:space="preserve">el Tribunal Interamericano </w:t>
      </w:r>
      <w:r w:rsidR="00287DA2" w:rsidRPr="00D80603">
        <w:rPr>
          <w:rFonts w:ascii="Verdana" w:hAnsi="Verdana" w:cstheme="minorHAnsi"/>
          <w:sz w:val="20"/>
          <w:szCs w:val="20"/>
          <w:lang w:val="es-ES_tradnl"/>
        </w:rPr>
        <w:t>no vinculó al Estado para que consultara a otr</w:t>
      </w:r>
      <w:r w:rsidR="00FA77A2" w:rsidRPr="00D80603">
        <w:rPr>
          <w:rFonts w:ascii="Verdana" w:hAnsi="Verdana" w:cstheme="minorHAnsi"/>
          <w:sz w:val="20"/>
          <w:szCs w:val="20"/>
          <w:lang w:val="es-ES_tradnl"/>
        </w:rPr>
        <w:t>a</w:t>
      </w:r>
      <w:r w:rsidR="00287DA2" w:rsidRPr="00D80603">
        <w:rPr>
          <w:rFonts w:ascii="Verdana" w:hAnsi="Verdana" w:cstheme="minorHAnsi"/>
          <w:sz w:val="20"/>
          <w:szCs w:val="20"/>
          <w:lang w:val="es-ES_tradnl"/>
        </w:rPr>
        <w:t>s comunidades sobre el mismo hecho</w:t>
      </w:r>
      <w:r w:rsidR="00FA77A2" w:rsidRPr="00D80603">
        <w:rPr>
          <w:rStyle w:val="Refdenotaalpie"/>
          <w:rFonts w:ascii="Verdana" w:hAnsi="Verdana" w:cstheme="minorHAnsi"/>
          <w:sz w:val="20"/>
          <w:szCs w:val="20"/>
          <w:lang w:val="es-ES_tradnl"/>
        </w:rPr>
        <w:footnoteReference w:id="36"/>
      </w:r>
      <w:r w:rsidR="00072D0B" w:rsidRPr="00D80603">
        <w:rPr>
          <w:rFonts w:ascii="Verdana" w:hAnsi="Verdana" w:cstheme="minorHAnsi"/>
          <w:sz w:val="20"/>
          <w:szCs w:val="20"/>
          <w:lang w:val="es-ES_tradnl"/>
        </w:rPr>
        <w:t>, ni quedó reflejado en los resolutivos de la sentencia la no violación de la consulta previa.</w:t>
      </w:r>
    </w:p>
    <w:p w14:paraId="514623BB" w14:textId="77777777" w:rsidR="00287DA2" w:rsidRPr="00D80603" w:rsidRDefault="00287DA2" w:rsidP="00287DA2">
      <w:pPr>
        <w:pStyle w:val="Prrafodelista"/>
        <w:rPr>
          <w:rFonts w:ascii="Verdana" w:hAnsi="Verdana" w:cstheme="minorHAnsi"/>
          <w:i/>
          <w:iCs/>
          <w:sz w:val="20"/>
          <w:szCs w:val="20"/>
          <w:lang w:val="es-ES_tradnl"/>
        </w:rPr>
      </w:pPr>
    </w:p>
    <w:p w14:paraId="51660121" w14:textId="06580640" w:rsidR="00287DA2" w:rsidRPr="00D80603" w:rsidRDefault="00287DA2" w:rsidP="00C379F3">
      <w:pPr>
        <w:numPr>
          <w:ilvl w:val="0"/>
          <w:numId w:val="2"/>
        </w:numPr>
        <w:tabs>
          <w:tab w:val="left" w:pos="567"/>
        </w:tabs>
        <w:ind w:left="0" w:right="48" w:firstLine="0"/>
        <w:contextualSpacing/>
        <w:jc w:val="both"/>
        <w:rPr>
          <w:rFonts w:ascii="Verdana" w:hAnsi="Verdana" w:cstheme="minorHAnsi"/>
          <w:i/>
          <w:iCs/>
          <w:sz w:val="20"/>
          <w:szCs w:val="20"/>
          <w:lang w:val="es-ES_tradnl"/>
        </w:rPr>
      </w:pPr>
      <w:r w:rsidRPr="00D80603">
        <w:rPr>
          <w:rFonts w:ascii="Verdana" w:hAnsi="Verdana" w:cstheme="minorHAnsi"/>
          <w:sz w:val="20"/>
          <w:szCs w:val="20"/>
          <w:lang w:val="es-ES_tradnl"/>
        </w:rPr>
        <w:t xml:space="preserve">Por otro lado, tampoco </w:t>
      </w:r>
      <w:r w:rsidR="00072D0B" w:rsidRPr="00D80603">
        <w:rPr>
          <w:rFonts w:ascii="Verdana" w:hAnsi="Verdana" w:cstheme="minorHAnsi"/>
          <w:sz w:val="20"/>
          <w:szCs w:val="20"/>
          <w:lang w:val="es-ES_tradnl"/>
        </w:rPr>
        <w:t xml:space="preserve">puede </w:t>
      </w:r>
      <w:r w:rsidRPr="00D80603">
        <w:rPr>
          <w:rFonts w:ascii="Verdana" w:hAnsi="Verdana" w:cstheme="minorHAnsi"/>
          <w:sz w:val="20"/>
          <w:szCs w:val="20"/>
          <w:lang w:val="es-ES_tradnl"/>
        </w:rPr>
        <w:t>constitu</w:t>
      </w:r>
      <w:r w:rsidR="00087C3B" w:rsidRPr="00D80603">
        <w:rPr>
          <w:rFonts w:ascii="Verdana" w:hAnsi="Verdana" w:cstheme="minorHAnsi"/>
          <w:sz w:val="20"/>
          <w:szCs w:val="20"/>
          <w:lang w:val="es-ES_tradnl"/>
        </w:rPr>
        <w:t>i</w:t>
      </w:r>
      <w:r w:rsidR="00072D0B" w:rsidRPr="00D80603">
        <w:rPr>
          <w:rFonts w:ascii="Verdana" w:hAnsi="Verdana" w:cstheme="minorHAnsi"/>
          <w:sz w:val="20"/>
          <w:szCs w:val="20"/>
          <w:lang w:val="es-ES_tradnl"/>
        </w:rPr>
        <w:t>r</w:t>
      </w:r>
      <w:r w:rsidRPr="00D80603">
        <w:rPr>
          <w:rFonts w:ascii="Verdana" w:hAnsi="Verdana" w:cstheme="minorHAnsi"/>
          <w:sz w:val="20"/>
          <w:szCs w:val="20"/>
          <w:lang w:val="es-ES_tradnl"/>
        </w:rPr>
        <w:t xml:space="preserve"> cosa juzgada el hecho de qué criterio </w:t>
      </w:r>
      <w:r w:rsidR="00AD13BE" w:rsidRPr="00D80603">
        <w:rPr>
          <w:rFonts w:ascii="Verdana" w:hAnsi="Verdana" w:cstheme="minorHAnsi"/>
          <w:sz w:val="20"/>
          <w:szCs w:val="20"/>
          <w:lang w:val="es-ES_tradnl"/>
        </w:rPr>
        <w:t>debía</w:t>
      </w:r>
      <w:r w:rsidRPr="00D80603">
        <w:rPr>
          <w:rFonts w:ascii="Verdana" w:hAnsi="Verdana" w:cstheme="minorHAnsi"/>
          <w:sz w:val="20"/>
          <w:szCs w:val="20"/>
          <w:lang w:val="es-ES_tradnl"/>
        </w:rPr>
        <w:t xml:space="preserve"> </w:t>
      </w:r>
      <w:r w:rsidR="00AD13BE" w:rsidRPr="00D80603">
        <w:rPr>
          <w:rFonts w:ascii="Verdana" w:hAnsi="Verdana" w:cstheme="minorHAnsi"/>
          <w:sz w:val="20"/>
          <w:szCs w:val="20"/>
          <w:lang w:val="es-ES_tradnl"/>
        </w:rPr>
        <w:t>prevalecer</w:t>
      </w:r>
      <w:r w:rsidRPr="00D80603">
        <w:rPr>
          <w:rFonts w:ascii="Verdana" w:hAnsi="Verdana" w:cstheme="minorHAnsi"/>
          <w:sz w:val="20"/>
          <w:szCs w:val="20"/>
          <w:lang w:val="es-ES_tradnl"/>
        </w:rPr>
        <w:t xml:space="preserve"> en este </w:t>
      </w:r>
      <w:r w:rsidR="008516D1" w:rsidRPr="00D80603">
        <w:rPr>
          <w:rFonts w:ascii="Verdana" w:hAnsi="Verdana" w:cstheme="minorHAnsi"/>
          <w:sz w:val="20"/>
          <w:szCs w:val="20"/>
          <w:lang w:val="es-ES_tradnl"/>
        </w:rPr>
        <w:t>caso</w:t>
      </w:r>
      <w:r w:rsidRPr="00D80603">
        <w:rPr>
          <w:rFonts w:ascii="Verdana" w:hAnsi="Verdana" w:cstheme="minorHAnsi"/>
          <w:sz w:val="20"/>
          <w:szCs w:val="20"/>
          <w:lang w:val="es-ES_tradnl"/>
        </w:rPr>
        <w:t xml:space="preserve">.  En primer lugar, porque cuando el caso </w:t>
      </w:r>
      <w:r w:rsidRPr="00D80603">
        <w:rPr>
          <w:rFonts w:ascii="Verdana" w:hAnsi="Verdana" w:cstheme="minorHAnsi"/>
          <w:i/>
          <w:iCs/>
          <w:sz w:val="20"/>
          <w:szCs w:val="20"/>
          <w:lang w:val="es-ES_tradnl"/>
        </w:rPr>
        <w:t>Triunfo de la Cruz</w:t>
      </w:r>
      <w:r w:rsidRPr="00D80603">
        <w:rPr>
          <w:rFonts w:ascii="Verdana" w:hAnsi="Verdana" w:cstheme="minorHAnsi"/>
          <w:sz w:val="20"/>
          <w:szCs w:val="20"/>
          <w:lang w:val="es-ES_tradnl"/>
        </w:rPr>
        <w:t xml:space="preserve"> fue decidido la Corte IDH no había reflexionado sobre la pertinencia de analizar la consulta </w:t>
      </w:r>
      <w:r w:rsidR="00FA77A2" w:rsidRPr="00D80603">
        <w:rPr>
          <w:rFonts w:ascii="Verdana" w:hAnsi="Verdana" w:cstheme="minorHAnsi"/>
          <w:sz w:val="20"/>
          <w:szCs w:val="20"/>
          <w:lang w:val="es-ES_tradnl"/>
        </w:rPr>
        <w:t xml:space="preserve">de manera autónoma </w:t>
      </w:r>
      <w:r w:rsidRPr="00D80603">
        <w:rPr>
          <w:rFonts w:ascii="Verdana" w:hAnsi="Verdana" w:cstheme="minorHAnsi"/>
          <w:sz w:val="20"/>
          <w:szCs w:val="20"/>
          <w:lang w:val="es-ES_tradnl"/>
        </w:rPr>
        <w:t>desde el artículo 21 y 23 de la Convención Americana (</w:t>
      </w:r>
      <w:r w:rsidR="00980D43" w:rsidRPr="00D80603">
        <w:rPr>
          <w:rFonts w:ascii="Verdana" w:hAnsi="Verdana" w:cstheme="minorHAnsi"/>
          <w:sz w:val="20"/>
          <w:szCs w:val="20"/>
          <w:lang w:val="es-ES_tradnl"/>
        </w:rPr>
        <w:t>lo cual realizó posterior</w:t>
      </w:r>
      <w:r w:rsidR="00FE4EC6" w:rsidRPr="00D80603">
        <w:rPr>
          <w:rFonts w:ascii="Verdana" w:hAnsi="Verdana" w:cstheme="minorHAnsi"/>
          <w:sz w:val="20"/>
          <w:szCs w:val="20"/>
          <w:lang w:val="es-ES_tradnl"/>
        </w:rPr>
        <w:t xml:space="preserve">mente, en el </w:t>
      </w:r>
      <w:r w:rsidRPr="00D80603">
        <w:rPr>
          <w:rFonts w:ascii="Verdana" w:hAnsi="Verdana" w:cstheme="minorHAnsi"/>
          <w:i/>
          <w:iCs/>
          <w:sz w:val="20"/>
          <w:szCs w:val="20"/>
          <w:lang w:val="es-ES_tradnl"/>
        </w:rPr>
        <w:t>Caso Kaliña y Lokono</w:t>
      </w:r>
      <w:r w:rsidRPr="00D80603">
        <w:rPr>
          <w:rFonts w:ascii="Verdana" w:hAnsi="Verdana" w:cstheme="minorHAnsi"/>
          <w:sz w:val="20"/>
          <w:szCs w:val="20"/>
          <w:lang w:val="es-ES_tradnl"/>
        </w:rPr>
        <w:t xml:space="preserve">) y mucho menos había ampliado este </w:t>
      </w:r>
      <w:r w:rsidR="00FA77A2" w:rsidRPr="00D80603">
        <w:rPr>
          <w:rFonts w:ascii="Verdana" w:hAnsi="Verdana" w:cstheme="minorHAnsi"/>
          <w:sz w:val="20"/>
          <w:szCs w:val="20"/>
          <w:lang w:val="es-ES_tradnl"/>
        </w:rPr>
        <w:t>razonamiento</w:t>
      </w:r>
      <w:r w:rsidRPr="00D80603">
        <w:rPr>
          <w:rFonts w:ascii="Verdana" w:hAnsi="Verdana" w:cstheme="minorHAnsi"/>
          <w:sz w:val="20"/>
          <w:szCs w:val="20"/>
          <w:lang w:val="es-ES_tradnl"/>
        </w:rPr>
        <w:t xml:space="preserve"> al art</w:t>
      </w:r>
      <w:r w:rsidR="008516D1" w:rsidRPr="00D80603">
        <w:rPr>
          <w:rFonts w:ascii="Verdana" w:hAnsi="Verdana" w:cstheme="minorHAnsi"/>
          <w:sz w:val="20"/>
          <w:szCs w:val="20"/>
          <w:lang w:val="es-ES_tradnl"/>
        </w:rPr>
        <w:t>í</w:t>
      </w:r>
      <w:r w:rsidRPr="00D80603">
        <w:rPr>
          <w:rFonts w:ascii="Verdana" w:hAnsi="Verdana" w:cstheme="minorHAnsi"/>
          <w:sz w:val="20"/>
          <w:szCs w:val="20"/>
          <w:lang w:val="es-ES_tradnl"/>
        </w:rPr>
        <w:t>culo 13 del Pacto de San José (</w:t>
      </w:r>
      <w:r w:rsidR="00087C3B" w:rsidRPr="00D80603">
        <w:rPr>
          <w:rFonts w:ascii="Verdana" w:hAnsi="Verdana" w:cstheme="minorHAnsi"/>
          <w:sz w:val="20"/>
          <w:szCs w:val="20"/>
          <w:lang w:val="es-ES_tradnl"/>
        </w:rPr>
        <w:t xml:space="preserve">en el </w:t>
      </w:r>
      <w:r w:rsidRPr="00D80603">
        <w:rPr>
          <w:rFonts w:ascii="Verdana" w:hAnsi="Verdana" w:cstheme="minorHAnsi"/>
          <w:i/>
          <w:iCs/>
          <w:sz w:val="20"/>
          <w:szCs w:val="20"/>
          <w:lang w:val="es-ES_tradnl"/>
        </w:rPr>
        <w:t>Caso Agua Caliente</w:t>
      </w:r>
      <w:r w:rsidRPr="00D80603">
        <w:rPr>
          <w:rFonts w:ascii="Verdana" w:hAnsi="Verdana" w:cstheme="minorHAnsi"/>
          <w:sz w:val="20"/>
          <w:szCs w:val="20"/>
          <w:lang w:val="es-ES_tradnl"/>
        </w:rPr>
        <w:t>). Así, este segundo entendimiento</w:t>
      </w:r>
      <w:r w:rsidR="00FA77A2" w:rsidRPr="00D80603">
        <w:rPr>
          <w:rFonts w:ascii="Verdana" w:hAnsi="Verdana" w:cstheme="minorHAnsi"/>
          <w:sz w:val="20"/>
          <w:szCs w:val="20"/>
          <w:lang w:val="es-ES_tradnl"/>
        </w:rPr>
        <w:t>,</w:t>
      </w:r>
      <w:r w:rsidRPr="00D80603">
        <w:rPr>
          <w:rFonts w:ascii="Verdana" w:hAnsi="Verdana" w:cstheme="minorHAnsi"/>
          <w:sz w:val="20"/>
          <w:szCs w:val="20"/>
          <w:lang w:val="es-ES_tradnl"/>
        </w:rPr>
        <w:t xml:space="preserve"> de a partir </w:t>
      </w:r>
      <w:r w:rsidR="00FA77A2" w:rsidRPr="00D80603">
        <w:rPr>
          <w:rFonts w:ascii="Verdana" w:hAnsi="Verdana" w:cstheme="minorHAnsi"/>
          <w:sz w:val="20"/>
          <w:szCs w:val="20"/>
          <w:lang w:val="es-ES_tradnl"/>
        </w:rPr>
        <w:t>de qué momento</w:t>
      </w:r>
      <w:r w:rsidRPr="00D80603">
        <w:rPr>
          <w:rFonts w:ascii="Verdana" w:hAnsi="Verdana" w:cstheme="minorHAnsi"/>
          <w:sz w:val="20"/>
          <w:szCs w:val="20"/>
          <w:lang w:val="es-ES_tradnl"/>
        </w:rPr>
        <w:t xml:space="preserve"> nace la obligación de consulta</w:t>
      </w:r>
      <w:r w:rsidR="00FA77A2" w:rsidRPr="00D80603">
        <w:rPr>
          <w:rFonts w:ascii="Verdana" w:hAnsi="Verdana" w:cstheme="minorHAnsi"/>
          <w:sz w:val="20"/>
          <w:szCs w:val="20"/>
          <w:lang w:val="es-ES_tradnl"/>
        </w:rPr>
        <w:t xml:space="preserve">, </w:t>
      </w:r>
      <w:r w:rsidRPr="00D80603">
        <w:rPr>
          <w:rFonts w:ascii="Verdana" w:hAnsi="Verdana" w:cstheme="minorHAnsi"/>
          <w:sz w:val="20"/>
          <w:szCs w:val="20"/>
          <w:lang w:val="es-ES_tradnl"/>
        </w:rPr>
        <w:t>surgió con posterioridad al referido caso</w:t>
      </w:r>
      <w:r w:rsidR="002E55F5" w:rsidRPr="00D80603">
        <w:rPr>
          <w:rFonts w:ascii="Verdana" w:hAnsi="Verdana" w:cstheme="minorHAnsi"/>
          <w:sz w:val="20"/>
          <w:szCs w:val="20"/>
          <w:lang w:val="es-ES_tradnl"/>
        </w:rPr>
        <w:t xml:space="preserve"> (siguiendo el precedente de 2007 en el </w:t>
      </w:r>
      <w:r w:rsidR="002E55F5" w:rsidRPr="00D80603">
        <w:rPr>
          <w:rFonts w:ascii="Verdana" w:hAnsi="Verdana" w:cstheme="minorHAnsi"/>
          <w:i/>
          <w:iCs/>
          <w:sz w:val="20"/>
          <w:szCs w:val="20"/>
          <w:lang w:val="es-ES_tradnl"/>
        </w:rPr>
        <w:t xml:space="preserve">caso </w:t>
      </w:r>
      <w:r w:rsidR="002E55F5" w:rsidRPr="00D80603">
        <w:rPr>
          <w:rFonts w:ascii="Verdana" w:hAnsi="Verdana" w:cstheme="minorHAnsi"/>
          <w:i/>
          <w:iCs/>
          <w:sz w:val="20"/>
          <w:szCs w:val="20"/>
          <w:lang w:val="es-ES_tradnl"/>
        </w:rPr>
        <w:lastRenderedPageBreak/>
        <w:t>Saramaka</w:t>
      </w:r>
      <w:r w:rsidR="002E55F5" w:rsidRPr="00D80603">
        <w:rPr>
          <w:rFonts w:ascii="Verdana" w:hAnsi="Verdana" w:cstheme="minorHAnsi"/>
          <w:sz w:val="20"/>
          <w:szCs w:val="20"/>
          <w:lang w:val="es-ES_tradnl"/>
        </w:rPr>
        <w:t>)</w:t>
      </w:r>
      <w:r w:rsidRPr="00D80603">
        <w:rPr>
          <w:rFonts w:ascii="Verdana" w:hAnsi="Verdana" w:cstheme="minorHAnsi"/>
          <w:sz w:val="20"/>
          <w:szCs w:val="20"/>
          <w:lang w:val="es-ES_tradnl"/>
        </w:rPr>
        <w:t>, por lo que nada impide que, a partir de una nueva reflexión, la Corte IDH aplique el criterio más favorecedo</w:t>
      </w:r>
      <w:r w:rsidR="00FE4EC6" w:rsidRPr="00D80603">
        <w:rPr>
          <w:rFonts w:ascii="Verdana" w:hAnsi="Verdana" w:cstheme="minorHAnsi"/>
          <w:sz w:val="20"/>
          <w:szCs w:val="20"/>
          <w:lang w:val="es-ES_tradnl"/>
        </w:rPr>
        <w:t>r</w:t>
      </w:r>
      <w:r w:rsidR="008516D1" w:rsidRPr="00D80603">
        <w:rPr>
          <w:rFonts w:ascii="Verdana" w:hAnsi="Verdana" w:cstheme="minorHAnsi"/>
          <w:sz w:val="20"/>
          <w:szCs w:val="20"/>
          <w:lang w:val="es-ES_tradnl"/>
        </w:rPr>
        <w:t xml:space="preserve"> para los pueblos originarios.</w:t>
      </w:r>
    </w:p>
    <w:p w14:paraId="45C8CBF8" w14:textId="77777777" w:rsidR="00287DA2" w:rsidRPr="00D80603" w:rsidRDefault="00287DA2" w:rsidP="00287DA2">
      <w:pPr>
        <w:pStyle w:val="Prrafodelista"/>
        <w:rPr>
          <w:rFonts w:ascii="Verdana" w:hAnsi="Verdana" w:cstheme="minorHAnsi"/>
          <w:i/>
          <w:iCs/>
          <w:sz w:val="20"/>
          <w:szCs w:val="20"/>
          <w:lang w:val="es-ES_tradnl"/>
        </w:rPr>
      </w:pPr>
    </w:p>
    <w:p w14:paraId="43F12E98" w14:textId="20D90C72" w:rsidR="005728EF" w:rsidRPr="00D80603" w:rsidRDefault="00287DA2" w:rsidP="00C379F3">
      <w:pPr>
        <w:numPr>
          <w:ilvl w:val="0"/>
          <w:numId w:val="2"/>
        </w:numPr>
        <w:tabs>
          <w:tab w:val="left" w:pos="567"/>
        </w:tabs>
        <w:ind w:left="0" w:right="48" w:firstLine="0"/>
        <w:contextualSpacing/>
        <w:jc w:val="both"/>
        <w:rPr>
          <w:rFonts w:ascii="Verdana" w:hAnsi="Verdana" w:cstheme="minorHAnsi"/>
          <w:i/>
          <w:iCs/>
          <w:sz w:val="20"/>
          <w:szCs w:val="20"/>
          <w:lang w:val="es-ES_tradnl"/>
        </w:rPr>
      </w:pPr>
      <w:r w:rsidRPr="00D80603">
        <w:rPr>
          <w:rFonts w:ascii="Verdana" w:hAnsi="Verdana" w:cstheme="minorHAnsi"/>
          <w:sz w:val="20"/>
          <w:szCs w:val="20"/>
          <w:lang w:val="es-ES_tradnl"/>
        </w:rPr>
        <w:t>En adición a lo anterior, consideramos</w:t>
      </w:r>
      <w:r w:rsidR="008516D1" w:rsidRPr="00D80603">
        <w:rPr>
          <w:rFonts w:ascii="Verdana" w:hAnsi="Verdana" w:cstheme="minorHAnsi"/>
          <w:sz w:val="20"/>
          <w:szCs w:val="20"/>
          <w:lang w:val="es-ES_tradnl"/>
        </w:rPr>
        <w:t xml:space="preserve"> </w:t>
      </w:r>
      <w:r w:rsidRPr="00D80603">
        <w:rPr>
          <w:rFonts w:ascii="Verdana" w:hAnsi="Verdana" w:cstheme="minorHAnsi"/>
          <w:sz w:val="20"/>
          <w:szCs w:val="20"/>
          <w:lang w:val="es-ES_tradnl"/>
        </w:rPr>
        <w:t xml:space="preserve">que </w:t>
      </w:r>
      <w:r w:rsidR="002E55F5" w:rsidRPr="00D80603">
        <w:rPr>
          <w:rFonts w:ascii="Verdana" w:hAnsi="Verdana" w:cstheme="minorHAnsi"/>
          <w:sz w:val="20"/>
          <w:szCs w:val="20"/>
          <w:lang w:val="es-ES_tradnl"/>
        </w:rPr>
        <w:t xml:space="preserve">en </w:t>
      </w:r>
      <w:r w:rsidRPr="00D80603">
        <w:rPr>
          <w:rFonts w:ascii="Verdana" w:hAnsi="Verdana" w:cstheme="minorHAnsi"/>
          <w:sz w:val="20"/>
          <w:szCs w:val="20"/>
          <w:lang w:val="es-ES_tradnl"/>
        </w:rPr>
        <w:t xml:space="preserve">el caso </w:t>
      </w:r>
      <w:r w:rsidRPr="00D80603">
        <w:rPr>
          <w:rFonts w:ascii="Verdana" w:hAnsi="Verdana" w:cstheme="minorHAnsi"/>
          <w:i/>
          <w:iCs/>
          <w:sz w:val="20"/>
          <w:szCs w:val="20"/>
          <w:lang w:val="es-ES_tradnl"/>
        </w:rPr>
        <w:t>Triunfo de la Cruz</w:t>
      </w:r>
      <w:r w:rsidRPr="00D80603">
        <w:rPr>
          <w:rFonts w:ascii="Verdana" w:hAnsi="Verdana" w:cstheme="minorHAnsi"/>
          <w:sz w:val="20"/>
          <w:szCs w:val="20"/>
          <w:lang w:val="es-ES_tradnl"/>
        </w:rPr>
        <w:t>, lo que</w:t>
      </w:r>
      <w:r w:rsidR="002E55F5" w:rsidRPr="00D80603">
        <w:rPr>
          <w:rFonts w:ascii="Verdana" w:hAnsi="Verdana" w:cstheme="minorHAnsi"/>
          <w:sz w:val="20"/>
          <w:szCs w:val="20"/>
          <w:lang w:val="es-ES_tradnl"/>
        </w:rPr>
        <w:t xml:space="preserve"> </w:t>
      </w:r>
      <w:r w:rsidR="007257B5" w:rsidRPr="00D80603">
        <w:rPr>
          <w:rFonts w:ascii="Verdana" w:hAnsi="Verdana" w:cstheme="minorHAnsi"/>
          <w:sz w:val="20"/>
          <w:szCs w:val="20"/>
          <w:lang w:val="es-ES_tradnl"/>
        </w:rPr>
        <w:t>aconteció fue</w:t>
      </w:r>
      <w:r w:rsidRPr="00D80603">
        <w:rPr>
          <w:rFonts w:ascii="Verdana" w:hAnsi="Verdana" w:cstheme="minorHAnsi"/>
          <w:sz w:val="20"/>
          <w:szCs w:val="20"/>
          <w:lang w:val="es-ES_tradnl"/>
        </w:rPr>
        <w:t xml:space="preserve"> lo que la doctrina denomina “cosa juzgada aparente”</w:t>
      </w:r>
      <w:r w:rsidR="00087C3B" w:rsidRPr="00D80603">
        <w:rPr>
          <w:rFonts w:ascii="Verdana" w:hAnsi="Verdana" w:cstheme="minorHAnsi"/>
          <w:sz w:val="20"/>
          <w:szCs w:val="20"/>
          <w:lang w:val="es-ES_tradnl"/>
        </w:rPr>
        <w:t>,</w:t>
      </w:r>
      <w:r w:rsidRPr="00D80603">
        <w:rPr>
          <w:rFonts w:ascii="Verdana" w:hAnsi="Verdana" w:cstheme="minorHAnsi"/>
          <w:sz w:val="20"/>
          <w:szCs w:val="20"/>
          <w:lang w:val="es-ES_tradnl"/>
        </w:rPr>
        <w:t xml:space="preserve"> en donde pese a que se resuelve un caso concreto</w:t>
      </w:r>
      <w:r w:rsidR="008516D1" w:rsidRPr="00D80603">
        <w:rPr>
          <w:rFonts w:ascii="Verdana" w:hAnsi="Verdana" w:cstheme="minorHAnsi"/>
          <w:sz w:val="20"/>
          <w:szCs w:val="20"/>
          <w:lang w:val="es-ES_tradnl"/>
        </w:rPr>
        <w:t>,</w:t>
      </w:r>
      <w:r w:rsidRPr="00D80603">
        <w:rPr>
          <w:rFonts w:ascii="Verdana" w:hAnsi="Verdana" w:cstheme="minorHAnsi"/>
          <w:sz w:val="20"/>
          <w:szCs w:val="20"/>
          <w:lang w:val="es-ES_tradnl"/>
        </w:rPr>
        <w:t xml:space="preserve"> el principio de seguridad </w:t>
      </w:r>
      <w:r w:rsidR="00AD13BE" w:rsidRPr="00D80603">
        <w:rPr>
          <w:rFonts w:ascii="Verdana" w:hAnsi="Verdana" w:cstheme="minorHAnsi"/>
          <w:sz w:val="20"/>
          <w:szCs w:val="20"/>
          <w:lang w:val="es-ES_tradnl"/>
        </w:rPr>
        <w:t>jurídica</w:t>
      </w:r>
      <w:r w:rsidRPr="00D80603">
        <w:rPr>
          <w:rFonts w:ascii="Verdana" w:hAnsi="Verdana" w:cstheme="minorHAnsi"/>
          <w:sz w:val="20"/>
          <w:szCs w:val="20"/>
          <w:lang w:val="es-ES_tradnl"/>
        </w:rPr>
        <w:t xml:space="preserve"> y certeza no se cristaliza</w:t>
      </w:r>
      <w:r w:rsidR="00FE4EC6" w:rsidRPr="00D80603">
        <w:rPr>
          <w:rFonts w:ascii="Verdana" w:hAnsi="Verdana" w:cstheme="minorHAnsi"/>
          <w:sz w:val="20"/>
          <w:szCs w:val="20"/>
          <w:lang w:val="es-ES_tradnl"/>
        </w:rPr>
        <w:t>,</w:t>
      </w:r>
      <w:r w:rsidRPr="00D80603">
        <w:rPr>
          <w:rFonts w:ascii="Verdana" w:hAnsi="Verdana" w:cstheme="minorHAnsi"/>
          <w:sz w:val="20"/>
          <w:szCs w:val="20"/>
          <w:lang w:val="es-ES_tradnl"/>
        </w:rPr>
        <w:t xml:space="preserve"> </w:t>
      </w:r>
      <w:r w:rsidR="002E55F5" w:rsidRPr="00D80603">
        <w:rPr>
          <w:rFonts w:ascii="Verdana" w:hAnsi="Verdana" w:cstheme="minorHAnsi"/>
          <w:sz w:val="20"/>
          <w:szCs w:val="20"/>
          <w:lang w:val="es-ES_tradnl"/>
        </w:rPr>
        <w:t xml:space="preserve">al no reflejarse en el resolutivo de la sentencia, ni </w:t>
      </w:r>
      <w:r w:rsidRPr="00D80603">
        <w:rPr>
          <w:rFonts w:ascii="Verdana" w:hAnsi="Verdana" w:cstheme="minorHAnsi"/>
          <w:sz w:val="20"/>
          <w:szCs w:val="20"/>
          <w:lang w:val="es-ES_tradnl"/>
        </w:rPr>
        <w:t xml:space="preserve">se hacen consideraciones de fondo al caso </w:t>
      </w:r>
      <w:r w:rsidR="00FA77A2" w:rsidRPr="00D80603">
        <w:rPr>
          <w:rFonts w:ascii="Verdana" w:hAnsi="Verdana" w:cstheme="minorHAnsi"/>
          <w:sz w:val="20"/>
          <w:szCs w:val="20"/>
          <w:lang w:val="es-ES_tradnl"/>
        </w:rPr>
        <w:t xml:space="preserve">o sobre la </w:t>
      </w:r>
      <w:r w:rsidR="00AD13BE" w:rsidRPr="00D80603">
        <w:rPr>
          <w:rFonts w:ascii="Verdana" w:hAnsi="Verdana" w:cstheme="minorHAnsi"/>
          <w:sz w:val="20"/>
          <w:szCs w:val="20"/>
          <w:lang w:val="es-ES_tradnl"/>
        </w:rPr>
        <w:t>razón</w:t>
      </w:r>
      <w:r w:rsidR="00FA77A2" w:rsidRPr="00D80603">
        <w:rPr>
          <w:rFonts w:ascii="Verdana" w:hAnsi="Verdana" w:cstheme="minorHAnsi"/>
          <w:sz w:val="20"/>
          <w:szCs w:val="20"/>
          <w:lang w:val="es-ES_tradnl"/>
        </w:rPr>
        <w:t xml:space="preserve"> de la decisión</w:t>
      </w:r>
      <w:r w:rsidR="00686781" w:rsidRPr="00D80603">
        <w:rPr>
          <w:rFonts w:ascii="Verdana" w:hAnsi="Verdana" w:cstheme="minorHAnsi"/>
          <w:sz w:val="20"/>
          <w:szCs w:val="20"/>
          <w:lang w:val="es-ES_tradnl"/>
        </w:rPr>
        <w:t xml:space="preserve"> respecto a un punto controvertido</w:t>
      </w:r>
      <w:r w:rsidR="00087C3B" w:rsidRPr="00D80603">
        <w:rPr>
          <w:rFonts w:ascii="Verdana" w:hAnsi="Verdana" w:cstheme="minorHAnsi"/>
          <w:sz w:val="20"/>
          <w:szCs w:val="20"/>
          <w:lang w:val="es-ES_tradnl"/>
        </w:rPr>
        <w:t>. De ahí</w:t>
      </w:r>
      <w:r w:rsidR="00686781" w:rsidRPr="00D80603">
        <w:rPr>
          <w:rFonts w:ascii="Verdana" w:hAnsi="Verdana" w:cstheme="minorHAnsi"/>
          <w:sz w:val="20"/>
          <w:szCs w:val="20"/>
          <w:lang w:val="es-ES_tradnl"/>
        </w:rPr>
        <w:t xml:space="preserve"> que lo decidido solo opera para el caso concreto</w:t>
      </w:r>
      <w:r w:rsidRPr="00D80603">
        <w:rPr>
          <w:rFonts w:ascii="Verdana" w:hAnsi="Verdana" w:cstheme="minorHAnsi"/>
          <w:sz w:val="20"/>
          <w:szCs w:val="20"/>
          <w:lang w:val="es-ES_tradnl"/>
        </w:rPr>
        <w:t xml:space="preserve">. En este sentido, si analizamos la decisión de la Corte IDH en aquel </w:t>
      </w:r>
      <w:r w:rsidR="008516D1" w:rsidRPr="00D80603">
        <w:rPr>
          <w:rFonts w:ascii="Verdana" w:hAnsi="Verdana" w:cstheme="minorHAnsi"/>
          <w:sz w:val="20"/>
          <w:szCs w:val="20"/>
          <w:lang w:val="es-ES_tradnl"/>
        </w:rPr>
        <w:t>caso</w:t>
      </w:r>
      <w:r w:rsidR="00FA77A2" w:rsidRPr="00D80603">
        <w:rPr>
          <w:rFonts w:ascii="Verdana" w:hAnsi="Verdana" w:cstheme="minorHAnsi"/>
          <w:sz w:val="20"/>
          <w:szCs w:val="20"/>
          <w:lang w:val="es-ES_tradnl"/>
        </w:rPr>
        <w:t xml:space="preserve"> (</w:t>
      </w:r>
      <w:r w:rsidR="00FA77A2" w:rsidRPr="00D80603">
        <w:rPr>
          <w:rFonts w:ascii="Verdana" w:hAnsi="Verdana" w:cstheme="minorHAnsi"/>
          <w:i/>
          <w:iCs/>
          <w:sz w:val="20"/>
          <w:szCs w:val="20"/>
          <w:lang w:val="es-ES_tradnl"/>
        </w:rPr>
        <w:t>supra</w:t>
      </w:r>
      <w:r w:rsidR="00FA77A2" w:rsidRPr="00D80603">
        <w:rPr>
          <w:rFonts w:ascii="Verdana" w:hAnsi="Verdana" w:cstheme="minorHAnsi"/>
          <w:sz w:val="20"/>
          <w:szCs w:val="20"/>
          <w:lang w:val="es-ES_tradnl"/>
        </w:rPr>
        <w:t xml:space="preserve"> párr</w:t>
      </w:r>
      <w:r w:rsidR="008516D1" w:rsidRPr="00D80603">
        <w:rPr>
          <w:rFonts w:ascii="Verdana" w:hAnsi="Verdana" w:cstheme="minorHAnsi"/>
          <w:sz w:val="20"/>
          <w:szCs w:val="20"/>
          <w:lang w:val="es-ES_tradnl"/>
        </w:rPr>
        <w:t>s</w:t>
      </w:r>
      <w:r w:rsidR="00FA77A2" w:rsidRPr="00D80603">
        <w:rPr>
          <w:rFonts w:ascii="Verdana" w:hAnsi="Verdana" w:cstheme="minorHAnsi"/>
          <w:sz w:val="20"/>
          <w:szCs w:val="20"/>
          <w:lang w:val="es-ES_tradnl"/>
        </w:rPr>
        <w:t xml:space="preserve">. </w:t>
      </w:r>
      <w:r w:rsidR="00D51D65" w:rsidRPr="00D80603">
        <w:rPr>
          <w:rFonts w:ascii="Verdana" w:hAnsi="Verdana" w:cstheme="minorHAnsi"/>
          <w:sz w:val="20"/>
          <w:szCs w:val="20"/>
          <w:lang w:val="es-ES_tradnl"/>
        </w:rPr>
        <w:t xml:space="preserve">22, </w:t>
      </w:r>
      <w:r w:rsidR="008516D1" w:rsidRPr="00D80603">
        <w:rPr>
          <w:rFonts w:ascii="Verdana" w:hAnsi="Verdana" w:cstheme="minorHAnsi"/>
          <w:sz w:val="20"/>
          <w:szCs w:val="20"/>
          <w:lang w:val="es-ES_tradnl"/>
        </w:rPr>
        <w:t>2</w:t>
      </w:r>
      <w:r w:rsidR="00D51D65" w:rsidRPr="00D80603">
        <w:rPr>
          <w:rFonts w:ascii="Verdana" w:hAnsi="Verdana" w:cstheme="minorHAnsi"/>
          <w:sz w:val="20"/>
          <w:szCs w:val="20"/>
          <w:lang w:val="es-ES_tradnl"/>
        </w:rPr>
        <w:t>3 y 24</w:t>
      </w:r>
      <w:r w:rsidR="00FA77A2" w:rsidRPr="00D80603">
        <w:rPr>
          <w:rFonts w:ascii="Verdana" w:hAnsi="Verdana" w:cstheme="minorHAnsi"/>
          <w:sz w:val="20"/>
          <w:szCs w:val="20"/>
          <w:lang w:val="es-ES_tradnl"/>
        </w:rPr>
        <w:t>)</w:t>
      </w:r>
      <w:r w:rsidRPr="00D80603">
        <w:rPr>
          <w:rFonts w:ascii="Verdana" w:hAnsi="Verdana" w:cstheme="minorHAnsi"/>
          <w:sz w:val="20"/>
          <w:szCs w:val="20"/>
          <w:lang w:val="es-ES_tradnl"/>
        </w:rPr>
        <w:t xml:space="preserve">, el pronunciamiento </w:t>
      </w:r>
      <w:r w:rsidR="00CB7B49" w:rsidRPr="00D80603">
        <w:rPr>
          <w:rFonts w:ascii="Verdana" w:hAnsi="Verdana" w:cstheme="minorHAnsi"/>
          <w:sz w:val="20"/>
          <w:szCs w:val="20"/>
          <w:lang w:val="es-ES_tradnl"/>
        </w:rPr>
        <w:t xml:space="preserve">únicamente </w:t>
      </w:r>
      <w:r w:rsidRPr="00D80603">
        <w:rPr>
          <w:rFonts w:ascii="Verdana" w:hAnsi="Verdana" w:cstheme="minorHAnsi"/>
          <w:sz w:val="20"/>
          <w:szCs w:val="20"/>
          <w:lang w:val="es-ES_tradnl"/>
        </w:rPr>
        <w:t xml:space="preserve">se basó en una </w:t>
      </w:r>
      <w:r w:rsidR="00AD13BE" w:rsidRPr="00D80603">
        <w:rPr>
          <w:rFonts w:ascii="Verdana" w:hAnsi="Verdana" w:cstheme="minorHAnsi"/>
          <w:sz w:val="20"/>
          <w:szCs w:val="20"/>
          <w:lang w:val="es-ES_tradnl"/>
        </w:rPr>
        <w:t>premisa:</w:t>
      </w:r>
      <w:r w:rsidRPr="00D80603">
        <w:rPr>
          <w:rFonts w:ascii="Verdana" w:hAnsi="Verdana" w:cstheme="minorHAnsi"/>
          <w:sz w:val="20"/>
          <w:szCs w:val="20"/>
          <w:lang w:val="es-ES_tradnl"/>
        </w:rPr>
        <w:t xml:space="preserve"> </w:t>
      </w:r>
      <w:r w:rsidRPr="00D80603">
        <w:rPr>
          <w:rFonts w:ascii="Verdana" w:hAnsi="Verdana" w:cstheme="minorHAnsi"/>
          <w:i/>
          <w:iCs/>
          <w:sz w:val="20"/>
          <w:szCs w:val="20"/>
          <w:lang w:val="es-ES_tradnl"/>
        </w:rPr>
        <w:t>que el Estado no era parte del Convenio 169 de la OIT al momento de los hechos</w:t>
      </w:r>
      <w:r w:rsidRPr="00D80603">
        <w:rPr>
          <w:rFonts w:ascii="Verdana" w:hAnsi="Verdana" w:cstheme="minorHAnsi"/>
          <w:sz w:val="20"/>
          <w:szCs w:val="20"/>
          <w:lang w:val="es-ES_tradnl"/>
        </w:rPr>
        <w:t xml:space="preserve">, pero no </w:t>
      </w:r>
      <w:r w:rsidR="002E55F5" w:rsidRPr="00D80603">
        <w:rPr>
          <w:rFonts w:ascii="Verdana" w:hAnsi="Verdana" w:cstheme="minorHAnsi"/>
          <w:sz w:val="20"/>
          <w:szCs w:val="20"/>
          <w:lang w:val="es-ES_tradnl"/>
        </w:rPr>
        <w:t xml:space="preserve">se refleja en el resolutivo del fallo, ni </w:t>
      </w:r>
      <w:r w:rsidRPr="00D80603">
        <w:rPr>
          <w:rFonts w:ascii="Verdana" w:hAnsi="Verdana" w:cstheme="minorHAnsi"/>
          <w:sz w:val="20"/>
          <w:szCs w:val="20"/>
          <w:lang w:val="es-ES_tradnl"/>
        </w:rPr>
        <w:t xml:space="preserve">se hicieron más pronunciamientos, por ejemplo, </w:t>
      </w:r>
      <w:r w:rsidR="00F70CC7" w:rsidRPr="00D80603">
        <w:rPr>
          <w:rFonts w:ascii="Verdana" w:hAnsi="Verdana" w:cstheme="minorHAnsi"/>
          <w:sz w:val="20"/>
          <w:szCs w:val="20"/>
          <w:lang w:val="es-ES_tradnl"/>
        </w:rPr>
        <w:t>por qué</w:t>
      </w:r>
      <w:r w:rsidR="00FA77A2" w:rsidRPr="00D80603">
        <w:rPr>
          <w:rFonts w:ascii="Verdana" w:hAnsi="Verdana" w:cstheme="minorHAnsi"/>
          <w:sz w:val="20"/>
          <w:szCs w:val="20"/>
          <w:lang w:val="es-ES_tradnl"/>
        </w:rPr>
        <w:t xml:space="preserve">, </w:t>
      </w:r>
      <w:r w:rsidRPr="00D80603">
        <w:rPr>
          <w:rFonts w:ascii="Verdana" w:hAnsi="Verdana" w:cstheme="minorHAnsi"/>
          <w:sz w:val="20"/>
          <w:szCs w:val="20"/>
          <w:lang w:val="es-ES_tradnl"/>
        </w:rPr>
        <w:t>en todo caso</w:t>
      </w:r>
      <w:r w:rsidR="00FA77A2" w:rsidRPr="00D80603">
        <w:rPr>
          <w:rFonts w:ascii="Verdana" w:hAnsi="Verdana" w:cstheme="minorHAnsi"/>
          <w:sz w:val="20"/>
          <w:szCs w:val="20"/>
          <w:lang w:val="es-ES_tradnl"/>
        </w:rPr>
        <w:t xml:space="preserve">, </w:t>
      </w:r>
      <w:r w:rsidRPr="00D80603">
        <w:rPr>
          <w:rFonts w:ascii="Verdana" w:hAnsi="Verdana" w:cstheme="minorHAnsi"/>
          <w:sz w:val="20"/>
          <w:szCs w:val="20"/>
          <w:lang w:val="es-ES_tradnl"/>
        </w:rPr>
        <w:t xml:space="preserve">no aplicaba el razonamiento del caso </w:t>
      </w:r>
      <w:r w:rsidRPr="00D80603">
        <w:rPr>
          <w:rFonts w:ascii="Verdana" w:hAnsi="Verdana" w:cstheme="minorHAnsi"/>
          <w:i/>
          <w:iCs/>
          <w:sz w:val="20"/>
          <w:szCs w:val="20"/>
          <w:lang w:val="es-ES_tradnl"/>
        </w:rPr>
        <w:t>Saramaka</w:t>
      </w:r>
      <w:r w:rsidRPr="00D80603">
        <w:rPr>
          <w:rFonts w:ascii="Verdana" w:hAnsi="Verdana" w:cstheme="minorHAnsi"/>
          <w:sz w:val="20"/>
          <w:szCs w:val="20"/>
          <w:lang w:val="es-ES_tradnl"/>
        </w:rPr>
        <w:t xml:space="preserve"> </w:t>
      </w:r>
      <w:r w:rsidR="008516D1" w:rsidRPr="00D80603">
        <w:rPr>
          <w:rFonts w:ascii="Verdana" w:hAnsi="Verdana" w:cstheme="minorHAnsi"/>
          <w:sz w:val="20"/>
          <w:szCs w:val="20"/>
          <w:lang w:val="es-ES_tradnl"/>
        </w:rPr>
        <w:t xml:space="preserve">de 2007 </w:t>
      </w:r>
      <w:r w:rsidRPr="00D80603">
        <w:rPr>
          <w:rFonts w:ascii="Verdana" w:hAnsi="Verdana" w:cstheme="minorHAnsi"/>
          <w:sz w:val="20"/>
          <w:szCs w:val="20"/>
          <w:lang w:val="es-ES_tradnl"/>
        </w:rPr>
        <w:t>o bien por</w:t>
      </w:r>
      <w:r w:rsidR="00FA77A2" w:rsidRPr="00D80603">
        <w:rPr>
          <w:rFonts w:ascii="Verdana" w:hAnsi="Verdana" w:cstheme="minorHAnsi"/>
          <w:sz w:val="20"/>
          <w:szCs w:val="20"/>
          <w:lang w:val="es-ES_tradnl"/>
        </w:rPr>
        <w:t xml:space="preserve"> </w:t>
      </w:r>
      <w:r w:rsidRPr="00D80603">
        <w:rPr>
          <w:rFonts w:ascii="Verdana" w:hAnsi="Verdana" w:cstheme="minorHAnsi"/>
          <w:sz w:val="20"/>
          <w:szCs w:val="20"/>
          <w:lang w:val="es-ES_tradnl"/>
        </w:rPr>
        <w:t xml:space="preserve">qué tendría que preferirse el criterio del caso </w:t>
      </w:r>
      <w:r w:rsidRPr="00D80603">
        <w:rPr>
          <w:rFonts w:ascii="Verdana" w:hAnsi="Verdana" w:cstheme="minorHAnsi"/>
          <w:i/>
          <w:iCs/>
          <w:sz w:val="20"/>
          <w:szCs w:val="20"/>
          <w:lang w:val="es-ES_tradnl"/>
        </w:rPr>
        <w:t>Sarayaku</w:t>
      </w:r>
      <w:r w:rsidRPr="00D80603">
        <w:rPr>
          <w:rFonts w:ascii="Verdana" w:hAnsi="Verdana" w:cstheme="minorHAnsi"/>
          <w:sz w:val="20"/>
          <w:szCs w:val="20"/>
          <w:lang w:val="es-ES_tradnl"/>
        </w:rPr>
        <w:t xml:space="preserve">. </w:t>
      </w:r>
      <w:r w:rsidR="00FA77A2" w:rsidRPr="00D80603">
        <w:rPr>
          <w:rFonts w:ascii="Verdana" w:hAnsi="Verdana" w:cstheme="minorHAnsi"/>
          <w:sz w:val="20"/>
          <w:szCs w:val="20"/>
          <w:lang w:val="es-ES_tradnl"/>
        </w:rPr>
        <w:t>Tampoco surtiría en este caso la denominada “eficacia refleja de la cosa juzgada”</w:t>
      </w:r>
      <w:r w:rsidR="00087C3B" w:rsidRPr="00D80603">
        <w:rPr>
          <w:rFonts w:ascii="Verdana" w:hAnsi="Verdana" w:cstheme="minorHAnsi"/>
          <w:sz w:val="20"/>
          <w:szCs w:val="20"/>
          <w:lang w:val="es-ES_tradnl"/>
        </w:rPr>
        <w:t xml:space="preserve">, </w:t>
      </w:r>
      <w:r w:rsidR="00FA77A2" w:rsidRPr="00D80603">
        <w:rPr>
          <w:rFonts w:ascii="Verdana" w:hAnsi="Verdana" w:cstheme="minorHAnsi"/>
          <w:sz w:val="20"/>
          <w:szCs w:val="20"/>
          <w:lang w:val="es-ES_tradnl"/>
        </w:rPr>
        <w:t>porque para ello se necesitan consideraciones de fondo que vinculen</w:t>
      </w:r>
      <w:r w:rsidR="00686781" w:rsidRPr="00D80603">
        <w:rPr>
          <w:rFonts w:ascii="Verdana" w:hAnsi="Verdana" w:cstheme="minorHAnsi"/>
          <w:sz w:val="20"/>
          <w:szCs w:val="20"/>
          <w:lang w:val="es-ES_tradnl"/>
        </w:rPr>
        <w:t xml:space="preserve"> de manera contundente</w:t>
      </w:r>
      <w:r w:rsidR="00FA77A2" w:rsidRPr="00D80603">
        <w:rPr>
          <w:rFonts w:ascii="Verdana" w:hAnsi="Verdana" w:cstheme="minorHAnsi"/>
          <w:sz w:val="20"/>
          <w:szCs w:val="20"/>
          <w:lang w:val="es-ES_tradnl"/>
        </w:rPr>
        <w:t xml:space="preserve"> </w:t>
      </w:r>
      <w:r w:rsidR="00686781" w:rsidRPr="00D80603">
        <w:rPr>
          <w:rFonts w:ascii="Verdana" w:hAnsi="Verdana" w:cstheme="minorHAnsi"/>
          <w:sz w:val="20"/>
          <w:szCs w:val="20"/>
          <w:lang w:val="es-ES_tradnl"/>
        </w:rPr>
        <w:t>a terceros, en este caso, a otras comunidades</w:t>
      </w:r>
      <w:r w:rsidR="00E17425" w:rsidRPr="00D80603">
        <w:rPr>
          <w:rFonts w:ascii="Verdana" w:hAnsi="Verdana" w:cstheme="minorHAnsi"/>
          <w:sz w:val="20"/>
          <w:szCs w:val="20"/>
          <w:lang w:val="es-ES_tradnl"/>
        </w:rPr>
        <w:t xml:space="preserve"> que debieron ser consultadas</w:t>
      </w:r>
      <w:r w:rsidR="00FA77A2" w:rsidRPr="00D80603">
        <w:rPr>
          <w:rFonts w:ascii="Verdana" w:hAnsi="Verdana" w:cstheme="minorHAnsi"/>
          <w:sz w:val="20"/>
          <w:szCs w:val="20"/>
          <w:lang w:val="es-ES_tradnl"/>
        </w:rPr>
        <w:t xml:space="preserve">. </w:t>
      </w:r>
    </w:p>
    <w:p w14:paraId="1695556A" w14:textId="77777777" w:rsidR="005728EF" w:rsidRPr="00D80603" w:rsidRDefault="005728EF" w:rsidP="005728EF">
      <w:pPr>
        <w:pStyle w:val="Prrafodelista"/>
        <w:rPr>
          <w:rFonts w:ascii="Verdana" w:hAnsi="Verdana" w:cstheme="minorHAnsi"/>
          <w:sz w:val="20"/>
          <w:szCs w:val="20"/>
          <w:lang w:val="es-ES_tradnl"/>
        </w:rPr>
      </w:pPr>
    </w:p>
    <w:p w14:paraId="3BF0F2FA" w14:textId="38306F84" w:rsidR="00C304AC" w:rsidRPr="00D80603" w:rsidRDefault="005728EF" w:rsidP="00CE1BB1">
      <w:pPr>
        <w:numPr>
          <w:ilvl w:val="0"/>
          <w:numId w:val="2"/>
        </w:numPr>
        <w:tabs>
          <w:tab w:val="left" w:pos="567"/>
        </w:tabs>
        <w:ind w:left="0" w:right="48" w:firstLine="0"/>
        <w:contextualSpacing/>
        <w:jc w:val="both"/>
        <w:rPr>
          <w:rFonts w:ascii="Verdana" w:hAnsi="Verdana" w:cstheme="minorHAnsi"/>
          <w:i/>
          <w:iCs/>
          <w:sz w:val="20"/>
          <w:szCs w:val="20"/>
          <w:lang w:val="es-ES_tradnl"/>
        </w:rPr>
      </w:pPr>
      <w:r w:rsidRPr="00D80603">
        <w:rPr>
          <w:rFonts w:ascii="Verdana" w:hAnsi="Verdana" w:cstheme="minorHAnsi"/>
          <w:sz w:val="20"/>
          <w:szCs w:val="20"/>
          <w:lang w:val="es-ES_tradnl"/>
        </w:rPr>
        <w:t>Inclusive, la Corte IDH indicó en el caso</w:t>
      </w:r>
      <w:r w:rsidRPr="00D80603">
        <w:rPr>
          <w:rFonts w:ascii="Verdana" w:hAnsi="Verdana" w:cstheme="minorHAnsi"/>
          <w:i/>
          <w:iCs/>
          <w:sz w:val="20"/>
          <w:szCs w:val="20"/>
          <w:lang w:val="es-ES_tradnl"/>
        </w:rPr>
        <w:t xml:space="preserve"> Triunfo de la Cruz</w:t>
      </w:r>
      <w:r w:rsidRPr="00D80603">
        <w:rPr>
          <w:rFonts w:ascii="Verdana" w:hAnsi="Verdana" w:cstheme="minorHAnsi"/>
          <w:sz w:val="20"/>
          <w:szCs w:val="20"/>
          <w:lang w:val="es-ES_tradnl"/>
        </w:rPr>
        <w:t xml:space="preserve"> que </w:t>
      </w:r>
      <w:r w:rsidR="00087C3B" w:rsidRPr="00D80603">
        <w:rPr>
          <w:rFonts w:ascii="Verdana" w:hAnsi="Verdana" w:cstheme="minorHAnsi"/>
          <w:i/>
          <w:iCs/>
          <w:sz w:val="20"/>
          <w:szCs w:val="20"/>
          <w:lang w:val="es-ES_tradnl"/>
        </w:rPr>
        <w:t>“</w:t>
      </w:r>
      <w:r w:rsidRPr="00D80603">
        <w:rPr>
          <w:rFonts w:ascii="Verdana" w:hAnsi="Verdana" w:cstheme="minorHAnsi"/>
          <w:sz w:val="20"/>
          <w:szCs w:val="20"/>
          <w:lang w:val="es-ES_tradnl"/>
        </w:rPr>
        <w:t>la alegada ausencia de un proceso de consulta sobre dicha ampliación</w:t>
      </w:r>
      <w:r w:rsidRPr="00D80603">
        <w:rPr>
          <w:rFonts w:ascii="Verdana" w:hAnsi="Verdana" w:cstheme="minorHAnsi"/>
          <w:i/>
          <w:iCs/>
          <w:sz w:val="20"/>
          <w:szCs w:val="20"/>
          <w:lang w:val="es-ES_tradnl"/>
        </w:rPr>
        <w:t xml:space="preserve">, en </w:t>
      </w:r>
      <w:r w:rsidR="00CB7B49" w:rsidRPr="00D80603">
        <w:rPr>
          <w:rFonts w:ascii="Verdana" w:hAnsi="Verdana" w:cstheme="minorHAnsi"/>
          <w:i/>
          <w:iCs/>
          <w:sz w:val="20"/>
          <w:szCs w:val="20"/>
          <w:lang w:val="es-ES_tradnl"/>
        </w:rPr>
        <w:t>sí</w:t>
      </w:r>
      <w:r w:rsidRPr="00D80603">
        <w:rPr>
          <w:rFonts w:ascii="Verdana" w:hAnsi="Verdana" w:cstheme="minorHAnsi"/>
          <w:i/>
          <w:iCs/>
          <w:sz w:val="20"/>
          <w:szCs w:val="20"/>
          <w:lang w:val="es-ES_tradnl"/>
        </w:rPr>
        <w:t xml:space="preserve"> mism</w:t>
      </w:r>
      <w:r w:rsidR="002E55F5" w:rsidRPr="00D80603">
        <w:rPr>
          <w:rFonts w:ascii="Verdana" w:hAnsi="Verdana" w:cstheme="minorHAnsi"/>
          <w:i/>
          <w:iCs/>
          <w:sz w:val="20"/>
          <w:szCs w:val="20"/>
          <w:lang w:val="es-ES_tradnl"/>
        </w:rPr>
        <w:t>a</w:t>
      </w:r>
      <w:r w:rsidRPr="00D80603">
        <w:rPr>
          <w:rFonts w:ascii="Verdana" w:hAnsi="Verdana" w:cstheme="minorHAnsi"/>
          <w:sz w:val="20"/>
          <w:szCs w:val="20"/>
          <w:lang w:val="es-ES_tradnl"/>
        </w:rPr>
        <w:t>, no constituye una violación al derecho a la consulta de la Comunidad”. Desde nuestra perspectiva, lo precisado por el Tribunal Interamericano</w:t>
      </w:r>
      <w:r w:rsidR="00CB7B49" w:rsidRPr="00D80603">
        <w:rPr>
          <w:rFonts w:ascii="Verdana" w:hAnsi="Verdana" w:cstheme="minorHAnsi"/>
          <w:sz w:val="20"/>
          <w:szCs w:val="20"/>
          <w:lang w:val="es-ES_tradnl"/>
        </w:rPr>
        <w:t xml:space="preserve">, </w:t>
      </w:r>
      <w:r w:rsidRPr="00D80603">
        <w:rPr>
          <w:rFonts w:ascii="Verdana" w:hAnsi="Verdana" w:cstheme="minorHAnsi"/>
          <w:sz w:val="20"/>
          <w:szCs w:val="20"/>
          <w:lang w:val="es-ES_tradnl"/>
        </w:rPr>
        <w:t xml:space="preserve">en ese momento, parte de la idea de que como en ese </w:t>
      </w:r>
      <w:r w:rsidR="00FE4EC6" w:rsidRPr="00D80603">
        <w:rPr>
          <w:rFonts w:ascii="Verdana" w:hAnsi="Verdana" w:cstheme="minorHAnsi"/>
          <w:sz w:val="20"/>
          <w:szCs w:val="20"/>
          <w:lang w:val="es-ES_tradnl"/>
        </w:rPr>
        <w:t>caso</w:t>
      </w:r>
      <w:r w:rsidRPr="00D80603">
        <w:rPr>
          <w:rFonts w:ascii="Verdana" w:hAnsi="Verdana" w:cstheme="minorHAnsi"/>
          <w:sz w:val="20"/>
          <w:szCs w:val="20"/>
          <w:lang w:val="es-ES_tradnl"/>
        </w:rPr>
        <w:t xml:space="preserve"> la obligación se analizó desde el Convenio 169 de la OIT</w:t>
      </w:r>
      <w:r w:rsidR="008516D1" w:rsidRPr="00D80603">
        <w:rPr>
          <w:rFonts w:ascii="Verdana" w:hAnsi="Verdana" w:cstheme="minorHAnsi"/>
          <w:sz w:val="20"/>
          <w:szCs w:val="20"/>
          <w:lang w:val="es-ES_tradnl"/>
        </w:rPr>
        <w:t>,</w:t>
      </w:r>
      <w:r w:rsidRPr="00D80603">
        <w:rPr>
          <w:rFonts w:ascii="Verdana" w:hAnsi="Verdana" w:cstheme="minorHAnsi"/>
          <w:sz w:val="20"/>
          <w:szCs w:val="20"/>
          <w:lang w:val="es-ES_tradnl"/>
        </w:rPr>
        <w:t xml:space="preserve"> no descartó la posibilidad de que la misma obligación sobre el mismo hecho derivara de la propia Convención Americana de manera autónoma. </w:t>
      </w:r>
    </w:p>
    <w:p w14:paraId="6F9EFA05" w14:textId="77777777" w:rsidR="005728EF" w:rsidRPr="00D80603" w:rsidRDefault="005728EF" w:rsidP="005728EF">
      <w:pPr>
        <w:pStyle w:val="Prrafodelista"/>
        <w:rPr>
          <w:rFonts w:ascii="Verdana" w:hAnsi="Verdana" w:cstheme="minorHAnsi"/>
          <w:i/>
          <w:iCs/>
          <w:sz w:val="20"/>
          <w:szCs w:val="20"/>
          <w:lang w:val="es-ES_tradnl"/>
        </w:rPr>
      </w:pPr>
    </w:p>
    <w:p w14:paraId="024D38C6" w14:textId="00756F72" w:rsidR="0087768E" w:rsidRPr="00D80603" w:rsidRDefault="005728EF" w:rsidP="0087768E">
      <w:pPr>
        <w:numPr>
          <w:ilvl w:val="0"/>
          <w:numId w:val="2"/>
        </w:numPr>
        <w:tabs>
          <w:tab w:val="left" w:pos="567"/>
        </w:tabs>
        <w:ind w:left="0" w:right="48" w:firstLine="0"/>
        <w:contextualSpacing/>
        <w:jc w:val="both"/>
        <w:rPr>
          <w:rFonts w:ascii="Verdana" w:hAnsi="Verdana" w:cstheme="minorHAnsi"/>
          <w:i/>
          <w:iCs/>
          <w:sz w:val="20"/>
          <w:szCs w:val="20"/>
          <w:lang w:val="es-ES_tradnl"/>
        </w:rPr>
      </w:pPr>
      <w:r w:rsidRPr="00D80603">
        <w:rPr>
          <w:rFonts w:ascii="Verdana" w:hAnsi="Verdana" w:cstheme="minorHAnsi"/>
          <w:sz w:val="20"/>
          <w:szCs w:val="20"/>
          <w:lang w:val="es-ES_tradnl"/>
        </w:rPr>
        <w:t xml:space="preserve">A diferencia del caso </w:t>
      </w:r>
      <w:r w:rsidRPr="00D80603">
        <w:rPr>
          <w:rFonts w:ascii="Verdana" w:hAnsi="Verdana" w:cstheme="minorHAnsi"/>
          <w:i/>
          <w:iCs/>
          <w:sz w:val="20"/>
          <w:szCs w:val="20"/>
          <w:lang w:val="es-ES_tradnl"/>
        </w:rPr>
        <w:t>Triunfo de la Cruz</w:t>
      </w:r>
      <w:r w:rsidRPr="00D80603">
        <w:rPr>
          <w:rFonts w:ascii="Verdana" w:hAnsi="Verdana" w:cstheme="minorHAnsi"/>
          <w:sz w:val="20"/>
          <w:szCs w:val="20"/>
          <w:lang w:val="es-ES_tradnl"/>
        </w:rPr>
        <w:t>, e</w:t>
      </w:r>
      <w:r w:rsidR="008516D1" w:rsidRPr="00D80603">
        <w:rPr>
          <w:rFonts w:ascii="Verdana" w:hAnsi="Verdana" w:cstheme="minorHAnsi"/>
          <w:sz w:val="20"/>
          <w:szCs w:val="20"/>
          <w:lang w:val="es-ES_tradnl"/>
        </w:rPr>
        <w:t>l presente</w:t>
      </w:r>
      <w:r w:rsidRPr="00D80603">
        <w:rPr>
          <w:rFonts w:ascii="Verdana" w:hAnsi="Verdana" w:cstheme="minorHAnsi"/>
          <w:sz w:val="20"/>
          <w:szCs w:val="20"/>
          <w:lang w:val="es-ES_tradnl"/>
        </w:rPr>
        <w:t xml:space="preserve"> </w:t>
      </w:r>
      <w:r w:rsidR="00016EF9" w:rsidRPr="00D80603">
        <w:rPr>
          <w:rFonts w:ascii="Verdana" w:hAnsi="Verdana" w:cstheme="minorHAnsi"/>
          <w:sz w:val="20"/>
          <w:szCs w:val="20"/>
          <w:lang w:val="es-ES_tradnl"/>
        </w:rPr>
        <w:t>caso</w:t>
      </w:r>
      <w:r w:rsidRPr="00D80603">
        <w:rPr>
          <w:rFonts w:ascii="Verdana" w:hAnsi="Verdana" w:cstheme="minorHAnsi"/>
          <w:sz w:val="20"/>
          <w:szCs w:val="20"/>
          <w:lang w:val="es-ES_tradnl"/>
        </w:rPr>
        <w:t xml:space="preserve"> sí hace diversas </w:t>
      </w:r>
      <w:r w:rsidR="00AD13BE" w:rsidRPr="00D80603">
        <w:rPr>
          <w:rFonts w:ascii="Verdana" w:hAnsi="Verdana" w:cstheme="minorHAnsi"/>
          <w:sz w:val="20"/>
          <w:szCs w:val="20"/>
          <w:lang w:val="es-ES_tradnl"/>
        </w:rPr>
        <w:t>consideraciones</w:t>
      </w:r>
      <w:r w:rsidRPr="00D80603">
        <w:rPr>
          <w:rFonts w:ascii="Verdana" w:hAnsi="Verdana" w:cstheme="minorHAnsi"/>
          <w:sz w:val="20"/>
          <w:szCs w:val="20"/>
          <w:lang w:val="es-ES_tradnl"/>
        </w:rPr>
        <w:t xml:space="preserve"> de fondo que no se encuentran presentes en el caso referido</w:t>
      </w:r>
      <w:r w:rsidR="00087C3B" w:rsidRPr="00D80603">
        <w:rPr>
          <w:rFonts w:ascii="Verdana" w:hAnsi="Verdana" w:cstheme="minorHAnsi"/>
          <w:sz w:val="20"/>
          <w:szCs w:val="20"/>
          <w:lang w:val="es-ES_tradnl"/>
        </w:rPr>
        <w:t>;</w:t>
      </w:r>
      <w:r w:rsidRPr="00D80603">
        <w:rPr>
          <w:rFonts w:ascii="Verdana" w:hAnsi="Verdana" w:cstheme="minorHAnsi"/>
          <w:sz w:val="20"/>
          <w:szCs w:val="20"/>
          <w:lang w:val="es-ES_tradnl"/>
        </w:rPr>
        <w:t xml:space="preserve"> por e</w:t>
      </w:r>
      <w:r w:rsidR="002A04A9" w:rsidRPr="00D80603">
        <w:rPr>
          <w:rFonts w:ascii="Verdana" w:hAnsi="Verdana" w:cstheme="minorHAnsi"/>
          <w:sz w:val="20"/>
          <w:szCs w:val="20"/>
          <w:lang w:val="es-ES_tradnl"/>
        </w:rPr>
        <w:t>jemplo, contrastar el caso</w:t>
      </w:r>
      <w:r w:rsidR="002A04A9" w:rsidRPr="00D80603">
        <w:rPr>
          <w:rFonts w:ascii="Verdana" w:hAnsi="Verdana" w:cstheme="minorHAnsi"/>
          <w:i/>
          <w:iCs/>
          <w:sz w:val="20"/>
          <w:szCs w:val="20"/>
          <w:lang w:val="es-ES_tradnl"/>
        </w:rPr>
        <w:t xml:space="preserve"> </w:t>
      </w:r>
      <w:proofErr w:type="spellStart"/>
      <w:r w:rsidR="002A04A9" w:rsidRPr="00D80603">
        <w:rPr>
          <w:rFonts w:ascii="Verdana" w:hAnsi="Verdana" w:cstheme="minorHAnsi"/>
          <w:i/>
          <w:iCs/>
          <w:sz w:val="20"/>
          <w:szCs w:val="20"/>
          <w:lang w:val="es-ES_tradnl"/>
        </w:rPr>
        <w:t>Sarayaku</w:t>
      </w:r>
      <w:proofErr w:type="spellEnd"/>
      <w:r w:rsidR="002A04A9" w:rsidRPr="00D80603">
        <w:rPr>
          <w:rFonts w:ascii="Verdana" w:hAnsi="Verdana" w:cstheme="minorHAnsi"/>
          <w:sz w:val="20"/>
          <w:szCs w:val="20"/>
          <w:lang w:val="es-ES_tradnl"/>
        </w:rPr>
        <w:t xml:space="preserve"> frente al desarrollo posterior que tuvo la obligación de consulta desde la Convención Americana (mediante </w:t>
      </w:r>
      <w:r w:rsidR="00FE4EC6" w:rsidRPr="00D80603">
        <w:rPr>
          <w:rFonts w:ascii="Verdana" w:hAnsi="Verdana" w:cstheme="minorHAnsi"/>
          <w:sz w:val="20"/>
          <w:szCs w:val="20"/>
          <w:lang w:val="es-ES_tradnl"/>
        </w:rPr>
        <w:t>los</w:t>
      </w:r>
      <w:r w:rsidR="002A04A9" w:rsidRPr="00D80603">
        <w:rPr>
          <w:rFonts w:ascii="Verdana" w:hAnsi="Verdana" w:cstheme="minorHAnsi"/>
          <w:sz w:val="20"/>
          <w:szCs w:val="20"/>
          <w:lang w:val="es-ES_tradnl"/>
        </w:rPr>
        <w:t xml:space="preserve"> artículo</w:t>
      </w:r>
      <w:r w:rsidR="00FE4EC6" w:rsidRPr="00D80603">
        <w:rPr>
          <w:rFonts w:ascii="Verdana" w:hAnsi="Verdana" w:cstheme="minorHAnsi"/>
          <w:sz w:val="20"/>
          <w:szCs w:val="20"/>
          <w:lang w:val="es-ES_tradnl"/>
        </w:rPr>
        <w:t>s</w:t>
      </w:r>
      <w:r w:rsidR="002A04A9" w:rsidRPr="00D80603">
        <w:rPr>
          <w:rFonts w:ascii="Verdana" w:hAnsi="Verdana" w:cstheme="minorHAnsi"/>
          <w:sz w:val="20"/>
          <w:szCs w:val="20"/>
          <w:lang w:val="es-ES_tradnl"/>
        </w:rPr>
        <w:t xml:space="preserve"> 13 y 23 de la Convención Americana)</w:t>
      </w:r>
      <w:r w:rsidR="00FA77A2" w:rsidRPr="00D80603">
        <w:rPr>
          <w:rFonts w:ascii="Verdana" w:hAnsi="Verdana" w:cstheme="minorHAnsi"/>
          <w:sz w:val="20"/>
          <w:szCs w:val="20"/>
          <w:lang w:val="es-ES_tradnl"/>
        </w:rPr>
        <w:t xml:space="preserve"> o </w:t>
      </w:r>
      <w:r w:rsidR="008516D1" w:rsidRPr="00D80603">
        <w:rPr>
          <w:rFonts w:ascii="Verdana" w:hAnsi="Verdana" w:cstheme="minorHAnsi"/>
          <w:sz w:val="20"/>
          <w:szCs w:val="20"/>
          <w:lang w:val="es-ES_tradnl"/>
        </w:rPr>
        <w:t xml:space="preserve">incluso </w:t>
      </w:r>
      <w:r w:rsidR="00FA77A2" w:rsidRPr="00D80603">
        <w:rPr>
          <w:rFonts w:ascii="Verdana" w:hAnsi="Verdana" w:cstheme="minorHAnsi"/>
          <w:sz w:val="20"/>
          <w:szCs w:val="20"/>
          <w:lang w:val="es-ES_tradnl"/>
        </w:rPr>
        <w:t>se le da una respuesta frontal al alegato del Estado sobre la falta de ratificación del Convenio 169 de la OIT</w:t>
      </w:r>
      <w:r w:rsidR="00FA77A2" w:rsidRPr="00D80603">
        <w:rPr>
          <w:rStyle w:val="Refdenotaalpie"/>
          <w:rFonts w:ascii="Verdana" w:hAnsi="Verdana" w:cstheme="minorHAnsi"/>
          <w:sz w:val="20"/>
          <w:szCs w:val="20"/>
          <w:lang w:val="es-ES_tradnl"/>
        </w:rPr>
        <w:footnoteReference w:id="37"/>
      </w:r>
      <w:r w:rsidR="002A04A9" w:rsidRPr="00D80603">
        <w:rPr>
          <w:rFonts w:ascii="Verdana" w:hAnsi="Verdana" w:cstheme="minorHAnsi"/>
          <w:sz w:val="20"/>
          <w:szCs w:val="20"/>
          <w:lang w:val="es-ES_tradnl"/>
        </w:rPr>
        <w:t>. E</w:t>
      </w:r>
      <w:r w:rsidRPr="00D80603">
        <w:rPr>
          <w:rFonts w:ascii="Verdana" w:hAnsi="Verdana" w:cstheme="minorHAnsi"/>
          <w:sz w:val="20"/>
          <w:szCs w:val="20"/>
          <w:lang w:val="es-ES_tradnl"/>
        </w:rPr>
        <w:t xml:space="preserve">n todo caso, lo que cristaliza el principio de certeza jurídica sobre el criterio </w:t>
      </w:r>
      <w:r w:rsidR="002A04A9" w:rsidRPr="00D80603">
        <w:rPr>
          <w:rFonts w:ascii="Verdana" w:hAnsi="Verdana" w:cstheme="minorHAnsi"/>
          <w:sz w:val="20"/>
          <w:szCs w:val="20"/>
          <w:lang w:val="es-ES_tradnl"/>
        </w:rPr>
        <w:t>que es aplicable a la consulta, y desde cuándo se debe entender que nace la obligación</w:t>
      </w:r>
      <w:r w:rsidR="008A78FA" w:rsidRPr="00D80603">
        <w:rPr>
          <w:rFonts w:ascii="Verdana" w:hAnsi="Verdana" w:cstheme="minorHAnsi"/>
          <w:sz w:val="20"/>
          <w:szCs w:val="20"/>
          <w:lang w:val="es-ES_tradnl"/>
        </w:rPr>
        <w:t xml:space="preserve"> estatal</w:t>
      </w:r>
      <w:r w:rsidR="002A04A9" w:rsidRPr="00D80603">
        <w:rPr>
          <w:rFonts w:ascii="Verdana" w:hAnsi="Verdana" w:cstheme="minorHAnsi"/>
          <w:sz w:val="20"/>
          <w:szCs w:val="20"/>
          <w:lang w:val="es-ES_tradnl"/>
        </w:rPr>
        <w:t xml:space="preserve">, es </w:t>
      </w:r>
      <w:r w:rsidR="00FE4EC6" w:rsidRPr="00D80603">
        <w:rPr>
          <w:rFonts w:ascii="Verdana" w:hAnsi="Verdana" w:cstheme="minorHAnsi"/>
          <w:sz w:val="20"/>
          <w:szCs w:val="20"/>
          <w:lang w:val="es-ES_tradnl"/>
        </w:rPr>
        <w:t>en la presente</w:t>
      </w:r>
      <w:r w:rsidR="002A04A9" w:rsidRPr="00D80603">
        <w:rPr>
          <w:rFonts w:ascii="Verdana" w:hAnsi="Verdana" w:cstheme="minorHAnsi"/>
          <w:sz w:val="20"/>
          <w:szCs w:val="20"/>
          <w:lang w:val="es-ES_tradnl"/>
        </w:rPr>
        <w:t xml:space="preserve"> sentencia.</w:t>
      </w:r>
    </w:p>
    <w:p w14:paraId="48E855EC" w14:textId="77777777" w:rsidR="0087768E" w:rsidRPr="00D80603" w:rsidRDefault="0087768E" w:rsidP="00742020">
      <w:pPr>
        <w:rPr>
          <w:rFonts w:ascii="Verdana" w:hAnsi="Verdana" w:cstheme="minorHAnsi"/>
          <w:i/>
          <w:iCs/>
          <w:sz w:val="20"/>
          <w:szCs w:val="20"/>
          <w:lang w:val="es-ES_tradnl"/>
        </w:rPr>
      </w:pPr>
    </w:p>
    <w:p w14:paraId="49B892E6" w14:textId="7C8398B8" w:rsidR="0087768E" w:rsidRPr="00D80603" w:rsidRDefault="0087768E" w:rsidP="0087768E">
      <w:pPr>
        <w:tabs>
          <w:tab w:val="left" w:pos="1176"/>
        </w:tabs>
        <w:spacing w:before="120" w:after="120"/>
        <w:jc w:val="center"/>
        <w:rPr>
          <w:rFonts w:ascii="Verdana" w:hAnsi="Verdana" w:cstheme="minorHAnsi"/>
          <w:b/>
          <w:bCs/>
          <w:sz w:val="20"/>
          <w:szCs w:val="20"/>
          <w:lang w:val="es-ES_tradnl"/>
        </w:rPr>
      </w:pPr>
      <w:r w:rsidRPr="00D80603">
        <w:rPr>
          <w:rFonts w:ascii="Verdana" w:hAnsi="Verdana" w:cstheme="minorHAnsi"/>
          <w:b/>
          <w:bCs/>
          <w:sz w:val="20"/>
          <w:szCs w:val="20"/>
          <w:lang w:val="es-ES_tradnl"/>
        </w:rPr>
        <w:t>II</w:t>
      </w:r>
      <w:r w:rsidR="00016EF9" w:rsidRPr="00D80603">
        <w:rPr>
          <w:rFonts w:ascii="Verdana" w:hAnsi="Verdana" w:cstheme="minorHAnsi"/>
          <w:b/>
          <w:bCs/>
          <w:sz w:val="20"/>
          <w:szCs w:val="20"/>
          <w:lang w:val="es-ES_tradnl"/>
        </w:rPr>
        <w:t>I</w:t>
      </w:r>
      <w:r w:rsidRPr="00D80603">
        <w:rPr>
          <w:rFonts w:ascii="Verdana" w:hAnsi="Verdana" w:cstheme="minorHAnsi"/>
          <w:b/>
          <w:bCs/>
          <w:sz w:val="20"/>
          <w:szCs w:val="20"/>
          <w:lang w:val="es-ES_tradnl"/>
        </w:rPr>
        <w:t>. LA REPARACIÓN EN EL CASO CONCRETO</w:t>
      </w:r>
    </w:p>
    <w:p w14:paraId="6787C21E" w14:textId="77777777" w:rsidR="0087768E" w:rsidRPr="00D80603" w:rsidRDefault="0087768E" w:rsidP="0087768E">
      <w:pPr>
        <w:pStyle w:val="Prrafodelista"/>
        <w:rPr>
          <w:rFonts w:ascii="Verdana" w:hAnsi="Verdana" w:cstheme="minorHAnsi"/>
          <w:sz w:val="20"/>
          <w:szCs w:val="20"/>
          <w:lang w:val="es-ES_tradnl"/>
        </w:rPr>
      </w:pPr>
    </w:p>
    <w:p w14:paraId="7B3F1E1A" w14:textId="0361CD74" w:rsidR="0087768E" w:rsidRPr="00D80603" w:rsidRDefault="0087768E" w:rsidP="0087768E">
      <w:pPr>
        <w:numPr>
          <w:ilvl w:val="0"/>
          <w:numId w:val="2"/>
        </w:numPr>
        <w:tabs>
          <w:tab w:val="left" w:pos="567"/>
        </w:tabs>
        <w:ind w:left="0" w:right="48" w:firstLine="0"/>
        <w:contextualSpacing/>
        <w:jc w:val="both"/>
        <w:rPr>
          <w:rFonts w:ascii="Verdana" w:hAnsi="Verdana" w:cstheme="minorHAnsi"/>
          <w:sz w:val="20"/>
          <w:szCs w:val="20"/>
          <w:lang w:val="es-ES_tradnl"/>
        </w:rPr>
      </w:pPr>
      <w:r w:rsidRPr="00D80603">
        <w:rPr>
          <w:rFonts w:ascii="Verdana" w:hAnsi="Verdana" w:cstheme="minorHAnsi"/>
          <w:sz w:val="20"/>
          <w:szCs w:val="20"/>
          <w:lang w:val="es-ES_tradnl"/>
        </w:rPr>
        <w:t>Como segundo punto, coincidimos con la medida ordenada en la sentencia</w:t>
      </w:r>
      <w:r w:rsidR="00FE4EC6" w:rsidRPr="00D80603">
        <w:rPr>
          <w:rFonts w:ascii="Verdana" w:hAnsi="Verdana" w:cstheme="minorHAnsi"/>
          <w:sz w:val="20"/>
          <w:szCs w:val="20"/>
          <w:lang w:val="es-ES_tradnl"/>
        </w:rPr>
        <w:t xml:space="preserve">, referida a que </w:t>
      </w:r>
      <w:r w:rsidRPr="00D80603">
        <w:rPr>
          <w:rFonts w:ascii="Verdana" w:hAnsi="Verdana" w:cstheme="minorHAnsi"/>
          <w:sz w:val="20"/>
          <w:szCs w:val="20"/>
          <w:lang w:val="es-ES_tradnl"/>
        </w:rPr>
        <w:t>en este caso</w:t>
      </w:r>
      <w:r w:rsidR="00FE4EC6" w:rsidRPr="00D80603">
        <w:rPr>
          <w:rFonts w:ascii="Verdana" w:hAnsi="Verdana" w:cstheme="minorHAnsi"/>
          <w:sz w:val="20"/>
          <w:szCs w:val="20"/>
          <w:lang w:val="es-ES_tradnl"/>
        </w:rPr>
        <w:t xml:space="preserve"> </w:t>
      </w:r>
      <w:r w:rsidRPr="00D80603">
        <w:rPr>
          <w:rFonts w:ascii="Verdana" w:hAnsi="Verdana" w:cstheme="minorHAnsi"/>
          <w:sz w:val="20"/>
          <w:szCs w:val="20"/>
          <w:lang w:val="es-ES_tradnl"/>
        </w:rPr>
        <w:t xml:space="preserve">no era </w:t>
      </w:r>
      <w:r w:rsidR="00AD13BE" w:rsidRPr="00D80603">
        <w:rPr>
          <w:rFonts w:ascii="Verdana" w:hAnsi="Verdana" w:cstheme="minorHAnsi"/>
          <w:sz w:val="20"/>
          <w:szCs w:val="20"/>
          <w:lang w:val="es-ES_tradnl"/>
        </w:rPr>
        <w:t>viable</w:t>
      </w:r>
      <w:r w:rsidRPr="00D80603">
        <w:rPr>
          <w:rFonts w:ascii="Verdana" w:hAnsi="Verdana" w:cstheme="minorHAnsi"/>
          <w:sz w:val="20"/>
          <w:szCs w:val="20"/>
          <w:lang w:val="es-ES_tradnl"/>
        </w:rPr>
        <w:t xml:space="preserve"> que se restituyera a la comunidad el territorio ancestral reclamado</w:t>
      </w:r>
      <w:r w:rsidR="00FE4EC6" w:rsidRPr="00D80603">
        <w:rPr>
          <w:rFonts w:ascii="Verdana" w:hAnsi="Verdana" w:cstheme="minorHAnsi"/>
          <w:sz w:val="20"/>
          <w:szCs w:val="20"/>
          <w:lang w:val="es-ES_tradnl"/>
        </w:rPr>
        <w:t>, sino</w:t>
      </w:r>
      <w:r w:rsidRPr="00D80603">
        <w:rPr>
          <w:rFonts w:ascii="Verdana" w:hAnsi="Verdana" w:cstheme="minorHAnsi"/>
          <w:sz w:val="20"/>
          <w:szCs w:val="20"/>
          <w:lang w:val="es-ES_tradnl"/>
        </w:rPr>
        <w:t xml:space="preserve"> lo procedente</w:t>
      </w:r>
      <w:r w:rsidR="00FE4EC6" w:rsidRPr="00D80603">
        <w:rPr>
          <w:rFonts w:ascii="Verdana" w:hAnsi="Verdana" w:cstheme="minorHAnsi"/>
          <w:sz w:val="20"/>
          <w:szCs w:val="20"/>
          <w:lang w:val="es-ES_tradnl"/>
        </w:rPr>
        <w:t>, dadas las particularidades del caso,</w:t>
      </w:r>
      <w:r w:rsidRPr="00D80603">
        <w:rPr>
          <w:rFonts w:ascii="Verdana" w:hAnsi="Verdana" w:cstheme="minorHAnsi"/>
          <w:sz w:val="20"/>
          <w:szCs w:val="20"/>
          <w:lang w:val="es-ES_tradnl"/>
        </w:rPr>
        <w:t xml:space="preserve"> fue ordenar que se le dotara de tierras alternativas o bien, si la comunidad lo desea, una indemnización. Est</w:t>
      </w:r>
      <w:r w:rsidR="00BF10F0" w:rsidRPr="00D80603">
        <w:rPr>
          <w:rFonts w:ascii="Verdana" w:hAnsi="Verdana" w:cstheme="minorHAnsi"/>
          <w:sz w:val="20"/>
          <w:szCs w:val="20"/>
          <w:lang w:val="es-ES_tradnl"/>
        </w:rPr>
        <w:t>a</w:t>
      </w:r>
      <w:r w:rsidRPr="00D80603">
        <w:rPr>
          <w:rFonts w:ascii="Verdana" w:hAnsi="Verdana" w:cstheme="minorHAnsi"/>
          <w:sz w:val="20"/>
          <w:szCs w:val="20"/>
          <w:lang w:val="es-ES_tradnl"/>
        </w:rPr>
        <w:t xml:space="preserve"> determinación es concordante con la propia jurisprudencia de la Corte IDH </w:t>
      </w:r>
      <w:r w:rsidR="00BF10F0" w:rsidRPr="00D80603">
        <w:rPr>
          <w:rFonts w:ascii="Verdana" w:hAnsi="Verdana" w:cstheme="minorHAnsi"/>
          <w:sz w:val="20"/>
          <w:szCs w:val="20"/>
          <w:lang w:val="es-ES_tradnl"/>
        </w:rPr>
        <w:t>—si bien</w:t>
      </w:r>
      <w:r w:rsidRPr="00D80603">
        <w:rPr>
          <w:rFonts w:ascii="Verdana" w:hAnsi="Verdana" w:cstheme="minorHAnsi"/>
          <w:sz w:val="20"/>
          <w:szCs w:val="20"/>
          <w:lang w:val="es-ES_tradnl"/>
        </w:rPr>
        <w:t xml:space="preserve"> no se había materializado este supuesto</w:t>
      </w:r>
      <w:r w:rsidR="00BF10F0" w:rsidRPr="00D80603">
        <w:rPr>
          <w:rFonts w:ascii="Verdana" w:hAnsi="Verdana" w:cstheme="minorHAnsi"/>
          <w:sz w:val="20"/>
          <w:szCs w:val="20"/>
          <w:lang w:val="es-ES_tradnl"/>
        </w:rPr>
        <w:t>—</w:t>
      </w:r>
      <w:r w:rsidRPr="00D80603">
        <w:rPr>
          <w:rFonts w:ascii="Verdana" w:hAnsi="Verdana" w:cstheme="minorHAnsi"/>
          <w:sz w:val="20"/>
          <w:szCs w:val="20"/>
          <w:lang w:val="es-ES_tradnl"/>
        </w:rPr>
        <w:t xml:space="preserve"> y con los principales instrumentos internacionales en la materia. </w:t>
      </w:r>
    </w:p>
    <w:p w14:paraId="2E7F7973" w14:textId="77777777" w:rsidR="0087768E" w:rsidRPr="00D80603" w:rsidRDefault="0087768E" w:rsidP="0087768E">
      <w:pPr>
        <w:tabs>
          <w:tab w:val="left" w:pos="567"/>
        </w:tabs>
        <w:ind w:right="48"/>
        <w:contextualSpacing/>
        <w:jc w:val="both"/>
        <w:rPr>
          <w:rFonts w:ascii="Verdana" w:hAnsi="Verdana" w:cstheme="minorHAnsi"/>
          <w:sz w:val="20"/>
          <w:szCs w:val="20"/>
          <w:lang w:val="es-ES_tradnl"/>
        </w:rPr>
      </w:pPr>
    </w:p>
    <w:p w14:paraId="5BF9B4C4" w14:textId="04B3CB1E" w:rsidR="0087768E" w:rsidRPr="00D80603" w:rsidRDefault="00BF10F0" w:rsidP="0087768E">
      <w:pPr>
        <w:numPr>
          <w:ilvl w:val="0"/>
          <w:numId w:val="2"/>
        </w:numPr>
        <w:tabs>
          <w:tab w:val="left" w:pos="567"/>
        </w:tabs>
        <w:ind w:left="0" w:right="48" w:firstLine="0"/>
        <w:contextualSpacing/>
        <w:jc w:val="both"/>
        <w:rPr>
          <w:rFonts w:ascii="Verdana" w:hAnsi="Verdana" w:cstheme="minorHAnsi"/>
          <w:i/>
          <w:iCs/>
          <w:sz w:val="20"/>
          <w:szCs w:val="20"/>
          <w:lang w:val="es-ES_tradnl"/>
        </w:rPr>
      </w:pPr>
      <w:r w:rsidRPr="00D80603">
        <w:rPr>
          <w:rFonts w:ascii="Verdana" w:hAnsi="Verdana" w:cstheme="minorHAnsi"/>
          <w:sz w:val="20"/>
          <w:szCs w:val="20"/>
          <w:lang w:val="es-ES_tradnl"/>
        </w:rPr>
        <w:t>La sentencia deja claro que no se trata de un cambio jurisprudencial</w:t>
      </w:r>
      <w:r w:rsidR="009838F1" w:rsidRPr="00D80603">
        <w:rPr>
          <w:rFonts w:ascii="Verdana" w:hAnsi="Verdana" w:cstheme="minorHAnsi"/>
          <w:sz w:val="20"/>
          <w:szCs w:val="20"/>
          <w:lang w:val="es-ES_tradnl"/>
        </w:rPr>
        <w:t>. Recuerda</w:t>
      </w:r>
      <w:r w:rsidRPr="00D80603">
        <w:rPr>
          <w:rFonts w:ascii="Verdana" w:hAnsi="Verdana" w:cstheme="minorHAnsi"/>
          <w:sz w:val="20"/>
          <w:szCs w:val="20"/>
          <w:lang w:val="es-ES_tradnl"/>
        </w:rPr>
        <w:t xml:space="preserve"> expresamente </w:t>
      </w:r>
      <w:r w:rsidR="0087768E" w:rsidRPr="00D80603">
        <w:rPr>
          <w:rFonts w:ascii="Verdana" w:hAnsi="Verdana" w:cstheme="minorHAnsi"/>
          <w:sz w:val="20"/>
          <w:szCs w:val="20"/>
          <w:lang w:val="es-ES_tradnl"/>
        </w:rPr>
        <w:t>que l</w:t>
      </w:r>
      <w:r w:rsidR="00223E95" w:rsidRPr="00D80603">
        <w:rPr>
          <w:rFonts w:ascii="Verdana" w:hAnsi="Verdana" w:cstheme="minorHAnsi"/>
          <w:sz w:val="20"/>
          <w:szCs w:val="20"/>
          <w:lang w:val="es-ES_tradnl"/>
        </w:rPr>
        <w:t xml:space="preserve">a jurisprudencia constante de </w:t>
      </w:r>
      <w:r w:rsidR="00FE4EC6" w:rsidRPr="00D80603">
        <w:rPr>
          <w:rFonts w:ascii="Verdana" w:hAnsi="Verdana" w:cstheme="minorHAnsi"/>
          <w:sz w:val="20"/>
          <w:szCs w:val="20"/>
          <w:lang w:val="es-ES_tradnl"/>
        </w:rPr>
        <w:t xml:space="preserve">este </w:t>
      </w:r>
      <w:r w:rsidR="00223E95" w:rsidRPr="00D80603">
        <w:rPr>
          <w:rFonts w:ascii="Verdana" w:hAnsi="Verdana" w:cstheme="minorHAnsi"/>
          <w:sz w:val="20"/>
          <w:szCs w:val="20"/>
          <w:lang w:val="es-ES_tradnl"/>
        </w:rPr>
        <w:t xml:space="preserve">Tribunal establece que los pueblos y comunidades indígenas y tribales tienen, en principio, el derecho de regresar a sus territorios ancestrales, o, </w:t>
      </w:r>
      <w:r w:rsidR="00223E95" w:rsidRPr="00D80603">
        <w:rPr>
          <w:rFonts w:ascii="Verdana" w:hAnsi="Verdana" w:cstheme="minorHAnsi"/>
          <w:i/>
          <w:iCs/>
          <w:sz w:val="20"/>
          <w:szCs w:val="20"/>
          <w:lang w:val="es-ES_tradnl"/>
        </w:rPr>
        <w:t xml:space="preserve">si por motivos objetivos y fundamentados, cuando el </w:t>
      </w:r>
      <w:r w:rsidR="00223E95" w:rsidRPr="00D80603">
        <w:rPr>
          <w:rFonts w:ascii="Verdana" w:hAnsi="Verdana" w:cstheme="minorHAnsi"/>
          <w:i/>
          <w:iCs/>
          <w:sz w:val="20"/>
          <w:szCs w:val="20"/>
          <w:lang w:val="es-ES_tradnl"/>
        </w:rPr>
        <w:lastRenderedPageBreak/>
        <w:t>retorno no sea posible y de forma excepcional, se les deberá otorgar tierras alternativas, de la misma o mayor calidad física</w:t>
      </w:r>
      <w:r w:rsidR="00223E95" w:rsidRPr="00D80603">
        <w:rPr>
          <w:rFonts w:ascii="Verdana" w:hAnsi="Verdana" w:cstheme="minorHAnsi"/>
          <w:sz w:val="20"/>
          <w:szCs w:val="20"/>
          <w:lang w:val="es-ES_tradnl"/>
        </w:rPr>
        <w:t>. Además, si los pueblos interesados prefier</w:t>
      </w:r>
      <w:r w:rsidR="000C7188" w:rsidRPr="00D80603">
        <w:rPr>
          <w:rFonts w:ascii="Verdana" w:hAnsi="Verdana" w:cstheme="minorHAnsi"/>
          <w:sz w:val="20"/>
          <w:szCs w:val="20"/>
          <w:lang w:val="es-ES_tradnl"/>
        </w:rPr>
        <w:t>e</w:t>
      </w:r>
      <w:r w:rsidR="00223E95" w:rsidRPr="00D80603">
        <w:rPr>
          <w:rFonts w:ascii="Verdana" w:hAnsi="Verdana" w:cstheme="minorHAnsi"/>
          <w:sz w:val="20"/>
          <w:szCs w:val="20"/>
          <w:lang w:val="es-ES_tradnl"/>
        </w:rPr>
        <w:t>n recibir una indemnización en dinero o en especie, deberá concedérseles dicha indemnización</w:t>
      </w:r>
      <w:r w:rsidR="00223E95" w:rsidRPr="00D80603">
        <w:rPr>
          <w:rStyle w:val="Refdenotaalpie"/>
          <w:rFonts w:ascii="Verdana" w:hAnsi="Verdana" w:cstheme="minorHAnsi"/>
          <w:sz w:val="20"/>
          <w:szCs w:val="20"/>
          <w:lang w:val="es-ES_tradnl"/>
        </w:rPr>
        <w:footnoteReference w:id="38"/>
      </w:r>
      <w:r w:rsidR="00223E95" w:rsidRPr="00D80603">
        <w:rPr>
          <w:rFonts w:ascii="Verdana" w:hAnsi="Verdana" w:cstheme="minorHAnsi"/>
          <w:sz w:val="20"/>
          <w:szCs w:val="20"/>
          <w:lang w:val="es-ES_tradnl"/>
        </w:rPr>
        <w:t>. Por otra parte, esa jurisprudencia se encuentra en armonía con lo dispuesto en el artículo 16 del Convenio 169 de la OIT</w:t>
      </w:r>
      <w:r w:rsidR="00223E95" w:rsidRPr="00D80603">
        <w:rPr>
          <w:rStyle w:val="Refdenotaalpie"/>
          <w:rFonts w:ascii="Verdana" w:hAnsi="Verdana" w:cstheme="minorHAnsi"/>
          <w:sz w:val="20"/>
          <w:szCs w:val="20"/>
          <w:lang w:val="es-ES_tradnl"/>
        </w:rPr>
        <w:footnoteReference w:id="39"/>
      </w:r>
      <w:r w:rsidR="00223E95" w:rsidRPr="00D80603">
        <w:rPr>
          <w:rFonts w:ascii="Verdana" w:hAnsi="Verdana" w:cstheme="minorHAnsi"/>
          <w:sz w:val="20"/>
          <w:szCs w:val="20"/>
          <w:lang w:val="es-ES_tradnl"/>
        </w:rPr>
        <w:t>, en el artículo 28 de la de las Naciones Unidas sobre los derechos de los pueblos indígenas</w:t>
      </w:r>
      <w:r w:rsidR="00223E95" w:rsidRPr="00D80603">
        <w:rPr>
          <w:rFonts w:ascii="Verdana" w:hAnsi="Verdana" w:cstheme="minorHAnsi"/>
          <w:sz w:val="20"/>
          <w:szCs w:val="20"/>
          <w:vertAlign w:val="superscript"/>
          <w:lang w:val="es-ES_tradnl"/>
        </w:rPr>
        <w:footnoteReference w:id="40"/>
      </w:r>
      <w:r w:rsidR="00223E95" w:rsidRPr="00D80603">
        <w:rPr>
          <w:rFonts w:ascii="Verdana" w:hAnsi="Verdana" w:cstheme="minorHAnsi"/>
          <w:sz w:val="20"/>
          <w:szCs w:val="20"/>
          <w:lang w:val="es-ES_tradnl"/>
        </w:rPr>
        <w:t>, y en el artículo XXIX.5 de la Declaración Americana sobre los Derechos de los Pueblos Indígenas</w:t>
      </w:r>
      <w:r w:rsidR="00223E95" w:rsidRPr="00D80603">
        <w:rPr>
          <w:rStyle w:val="Refdenotaalpie"/>
          <w:rFonts w:ascii="Verdana" w:hAnsi="Verdana" w:cstheme="minorHAnsi"/>
          <w:sz w:val="20"/>
          <w:szCs w:val="20"/>
          <w:lang w:val="es-ES_tradnl"/>
        </w:rPr>
        <w:footnoteReference w:id="41"/>
      </w:r>
      <w:r w:rsidR="00223E95" w:rsidRPr="00D80603">
        <w:rPr>
          <w:rFonts w:ascii="Verdana" w:hAnsi="Verdana" w:cstheme="minorHAnsi"/>
          <w:sz w:val="20"/>
          <w:szCs w:val="20"/>
          <w:lang w:val="es-ES_tradnl"/>
        </w:rPr>
        <w:t>.</w:t>
      </w:r>
    </w:p>
    <w:p w14:paraId="1598B360" w14:textId="77777777" w:rsidR="0087768E" w:rsidRPr="00D80603" w:rsidRDefault="0087768E" w:rsidP="0087768E">
      <w:pPr>
        <w:pStyle w:val="Prrafodelista"/>
        <w:rPr>
          <w:rFonts w:ascii="Verdana" w:hAnsi="Verdana" w:cstheme="minorHAnsi"/>
          <w:sz w:val="20"/>
          <w:szCs w:val="20"/>
          <w:lang w:val="es-ES_tradnl"/>
        </w:rPr>
      </w:pPr>
    </w:p>
    <w:p w14:paraId="383FC3F2" w14:textId="0D02421E" w:rsidR="00223E95" w:rsidRPr="00D80603" w:rsidRDefault="00223E95" w:rsidP="0087768E">
      <w:pPr>
        <w:numPr>
          <w:ilvl w:val="0"/>
          <w:numId w:val="2"/>
        </w:numPr>
        <w:tabs>
          <w:tab w:val="left" w:pos="567"/>
        </w:tabs>
        <w:ind w:left="0" w:right="48" w:firstLine="0"/>
        <w:contextualSpacing/>
        <w:jc w:val="both"/>
        <w:rPr>
          <w:rFonts w:ascii="Verdana" w:hAnsi="Verdana" w:cstheme="minorHAnsi"/>
          <w:i/>
          <w:iCs/>
          <w:sz w:val="20"/>
          <w:szCs w:val="20"/>
          <w:lang w:val="es-ES_tradnl"/>
        </w:rPr>
      </w:pPr>
      <w:r w:rsidRPr="00D80603">
        <w:rPr>
          <w:rFonts w:ascii="Verdana" w:hAnsi="Verdana" w:cstheme="minorHAnsi"/>
          <w:sz w:val="20"/>
          <w:szCs w:val="20"/>
          <w:lang w:val="es-ES_tradnl"/>
        </w:rPr>
        <w:t>En el presente caso, de acuerdo con la prueba</w:t>
      </w:r>
      <w:r w:rsidR="0087768E" w:rsidRPr="00D80603">
        <w:rPr>
          <w:rFonts w:ascii="Verdana" w:hAnsi="Verdana" w:cstheme="minorHAnsi"/>
          <w:sz w:val="20"/>
          <w:szCs w:val="20"/>
          <w:lang w:val="es-ES_tradnl"/>
        </w:rPr>
        <w:t>s</w:t>
      </w:r>
      <w:r w:rsidRPr="00D80603">
        <w:rPr>
          <w:rFonts w:ascii="Verdana" w:hAnsi="Verdana" w:cstheme="minorHAnsi"/>
          <w:sz w:val="20"/>
          <w:szCs w:val="20"/>
          <w:lang w:val="es-ES_tradnl"/>
        </w:rPr>
        <w:t xml:space="preserve"> que figu</w:t>
      </w:r>
      <w:r w:rsidR="0087768E" w:rsidRPr="00D80603">
        <w:rPr>
          <w:rFonts w:ascii="Verdana" w:hAnsi="Verdana" w:cstheme="minorHAnsi"/>
          <w:sz w:val="20"/>
          <w:szCs w:val="20"/>
          <w:lang w:val="es-ES_tradnl"/>
        </w:rPr>
        <w:t>ran</w:t>
      </w:r>
      <w:r w:rsidRPr="00D80603">
        <w:rPr>
          <w:rFonts w:ascii="Verdana" w:hAnsi="Verdana" w:cstheme="minorHAnsi"/>
          <w:sz w:val="20"/>
          <w:szCs w:val="20"/>
          <w:lang w:val="es-ES_tradnl"/>
        </w:rPr>
        <w:t xml:space="preserve"> en el expediente</w:t>
      </w:r>
      <w:r w:rsidR="00FE4EC6" w:rsidRPr="00D80603">
        <w:rPr>
          <w:rFonts w:ascii="Verdana" w:hAnsi="Verdana" w:cstheme="minorHAnsi"/>
          <w:sz w:val="20"/>
          <w:szCs w:val="20"/>
          <w:lang w:val="es-ES_tradnl"/>
        </w:rPr>
        <w:t>,</w:t>
      </w:r>
      <w:r w:rsidR="00AD13BE" w:rsidRPr="00D80603">
        <w:rPr>
          <w:rFonts w:ascii="Verdana" w:hAnsi="Verdana" w:cstheme="minorHAnsi"/>
          <w:sz w:val="20"/>
          <w:szCs w:val="20"/>
          <w:lang w:val="es-ES_tradnl"/>
        </w:rPr>
        <w:t xml:space="preserve"> </w:t>
      </w:r>
      <w:r w:rsidR="0087768E" w:rsidRPr="00D80603">
        <w:rPr>
          <w:rFonts w:ascii="Verdana" w:hAnsi="Verdana" w:cstheme="minorHAnsi"/>
          <w:sz w:val="20"/>
          <w:szCs w:val="20"/>
          <w:lang w:val="es-ES_tradnl"/>
        </w:rPr>
        <w:t>el Tribunal Interamericano arribó</w:t>
      </w:r>
      <w:r w:rsidRPr="00D80603">
        <w:rPr>
          <w:rFonts w:ascii="Verdana" w:hAnsi="Verdana" w:cstheme="minorHAnsi"/>
          <w:sz w:val="20"/>
          <w:szCs w:val="20"/>
          <w:lang w:val="es-ES_tradnl"/>
        </w:rPr>
        <w:t xml:space="preserve"> a las siguientes conclusiones: a) la ocupación del territorio por parte de terceros no garífunas asciende a un número de varios miles de personas (7620 personas); b) ordenar el desplazamiento de </w:t>
      </w:r>
      <w:r w:rsidR="009838F1" w:rsidRPr="00D80603">
        <w:rPr>
          <w:rFonts w:ascii="Verdana" w:hAnsi="Verdana" w:cstheme="minorHAnsi"/>
          <w:sz w:val="20"/>
          <w:szCs w:val="20"/>
          <w:lang w:val="es-ES_tradnl"/>
        </w:rPr>
        <w:t>e</w:t>
      </w:r>
      <w:r w:rsidRPr="00D80603">
        <w:rPr>
          <w:rFonts w:ascii="Verdana" w:hAnsi="Verdana" w:cstheme="minorHAnsi"/>
          <w:sz w:val="20"/>
          <w:szCs w:val="20"/>
          <w:lang w:val="es-ES_tradnl"/>
        </w:rPr>
        <w:t>stas poblaciones podría acarrear dificultades y consecuencias humanitarias; c) se cuenta con documentación en la cual consta que varios lotes de terreno que se encuentran en el área reclamado por la Comunidad fueron legítimamente trasladados a terceros; d) no hay elementos de prueba que permitan determinar de manera exacta y completa, la situación jurídica de todas las personas que se encuentran en posesión o que poseen títulos de propiedad sobre los lotes de terreno ubicados dentro de ese territorio; e) existe una situación de violencia y de conflictividad social que pone en riesgo el tejido social y la convivencia entre las comunidades garífunas y “ladinas”; f) se carece de información clara, precisa y consistente sobre la extensión real del territorio ancestral de la Comunidad Garífuna de San Juan, y g) se desprende de un conjunto de elementos materiales y testimoniales que partes del territorio reclamado en este caso, podrían haber sido ocupados por otras poblaciones incluyendo las Comunidades Indígenas Hicaques y Tolupanes con anterioridad a la creación de la Comunidad de San Juan</w:t>
      </w:r>
      <w:r w:rsidR="0087768E" w:rsidRPr="00D80603">
        <w:rPr>
          <w:rStyle w:val="Refdenotaalpie"/>
          <w:rFonts w:ascii="Verdana" w:hAnsi="Verdana" w:cstheme="minorHAnsi"/>
          <w:sz w:val="20"/>
          <w:szCs w:val="20"/>
          <w:lang w:val="es-ES_tradnl"/>
        </w:rPr>
        <w:footnoteReference w:id="42"/>
      </w:r>
      <w:r w:rsidRPr="00D80603">
        <w:rPr>
          <w:rFonts w:ascii="Verdana" w:hAnsi="Verdana" w:cstheme="minorHAnsi"/>
          <w:sz w:val="20"/>
          <w:szCs w:val="20"/>
          <w:lang w:val="es-ES_tradnl"/>
        </w:rPr>
        <w:t xml:space="preserve">. </w:t>
      </w:r>
    </w:p>
    <w:p w14:paraId="0824856B" w14:textId="77777777" w:rsidR="0087768E" w:rsidRPr="00D80603" w:rsidRDefault="0087768E" w:rsidP="0087768E">
      <w:pPr>
        <w:tabs>
          <w:tab w:val="left" w:pos="567"/>
        </w:tabs>
        <w:ind w:right="48"/>
        <w:contextualSpacing/>
        <w:jc w:val="both"/>
        <w:rPr>
          <w:rFonts w:ascii="Verdana" w:hAnsi="Verdana" w:cstheme="minorHAnsi"/>
          <w:i/>
          <w:iCs/>
          <w:sz w:val="20"/>
          <w:szCs w:val="20"/>
          <w:lang w:val="es-ES_tradnl"/>
        </w:rPr>
      </w:pPr>
    </w:p>
    <w:p w14:paraId="74E0B48C" w14:textId="324A2A64" w:rsidR="00B47F79" w:rsidRPr="00D80603" w:rsidRDefault="0087768E" w:rsidP="0087768E">
      <w:pPr>
        <w:numPr>
          <w:ilvl w:val="0"/>
          <w:numId w:val="2"/>
        </w:numPr>
        <w:tabs>
          <w:tab w:val="left" w:pos="567"/>
        </w:tabs>
        <w:ind w:left="0" w:right="48" w:firstLine="0"/>
        <w:contextualSpacing/>
        <w:jc w:val="both"/>
        <w:rPr>
          <w:rFonts w:ascii="Verdana" w:hAnsi="Verdana" w:cstheme="minorHAnsi"/>
          <w:i/>
          <w:iCs/>
          <w:sz w:val="20"/>
          <w:szCs w:val="20"/>
          <w:lang w:val="es-ES_tradnl"/>
        </w:rPr>
      </w:pPr>
      <w:r w:rsidRPr="00D80603">
        <w:rPr>
          <w:rFonts w:ascii="Verdana" w:hAnsi="Verdana" w:cstheme="minorHAnsi"/>
          <w:sz w:val="20"/>
          <w:szCs w:val="20"/>
          <w:lang w:val="es-ES_tradnl"/>
        </w:rPr>
        <w:t>Desde nuestra perspectiva</w:t>
      </w:r>
      <w:r w:rsidR="00087DD1" w:rsidRPr="00D80603">
        <w:rPr>
          <w:rFonts w:ascii="Verdana" w:hAnsi="Verdana" w:cstheme="minorHAnsi"/>
          <w:sz w:val="20"/>
          <w:szCs w:val="20"/>
          <w:lang w:val="es-ES_tradnl"/>
        </w:rPr>
        <w:t>,</w:t>
      </w:r>
      <w:r w:rsidRPr="00D80603">
        <w:rPr>
          <w:rFonts w:ascii="Verdana" w:hAnsi="Verdana" w:cstheme="minorHAnsi"/>
          <w:sz w:val="20"/>
          <w:szCs w:val="20"/>
          <w:lang w:val="es-ES_tradnl"/>
        </w:rPr>
        <w:t xml:space="preserve"> la decisión de ordenar directamente las tierras alternativas o bien optar por una indemnización</w:t>
      </w:r>
      <w:r w:rsidR="00FE4EC6" w:rsidRPr="00D80603">
        <w:rPr>
          <w:rFonts w:ascii="Verdana" w:hAnsi="Verdana" w:cstheme="minorHAnsi"/>
          <w:sz w:val="20"/>
          <w:szCs w:val="20"/>
          <w:lang w:val="es-ES_tradnl"/>
        </w:rPr>
        <w:t>,</w:t>
      </w:r>
      <w:r w:rsidRPr="00D80603">
        <w:rPr>
          <w:rFonts w:ascii="Verdana" w:hAnsi="Verdana" w:cstheme="minorHAnsi"/>
          <w:sz w:val="20"/>
          <w:szCs w:val="20"/>
          <w:lang w:val="es-ES_tradnl"/>
        </w:rPr>
        <w:t xml:space="preserve"> es la opción más viable en este caso</w:t>
      </w:r>
      <w:r w:rsidR="009838F1" w:rsidRPr="00D80603">
        <w:rPr>
          <w:rFonts w:ascii="Verdana" w:hAnsi="Verdana" w:cstheme="minorHAnsi"/>
          <w:sz w:val="20"/>
          <w:szCs w:val="20"/>
          <w:lang w:val="es-ES_tradnl"/>
        </w:rPr>
        <w:t>,</w:t>
      </w:r>
      <w:r w:rsidRPr="00D80603">
        <w:rPr>
          <w:rFonts w:ascii="Verdana" w:hAnsi="Verdana" w:cstheme="minorHAnsi"/>
          <w:sz w:val="20"/>
          <w:szCs w:val="20"/>
          <w:lang w:val="es-ES_tradnl"/>
        </w:rPr>
        <w:t xml:space="preserve"> </w:t>
      </w:r>
      <w:r w:rsidR="009838F1" w:rsidRPr="00D80603">
        <w:rPr>
          <w:rFonts w:ascii="Verdana" w:hAnsi="Verdana" w:cstheme="minorHAnsi"/>
          <w:sz w:val="20"/>
          <w:szCs w:val="20"/>
          <w:lang w:val="es-ES_tradnl"/>
        </w:rPr>
        <w:t>al existir</w:t>
      </w:r>
      <w:r w:rsidRPr="00D80603">
        <w:rPr>
          <w:rFonts w:ascii="Verdana" w:hAnsi="Verdana" w:cstheme="minorHAnsi"/>
          <w:sz w:val="20"/>
          <w:szCs w:val="20"/>
          <w:lang w:val="es-ES_tradnl"/>
        </w:rPr>
        <w:t xml:space="preserve"> motivos </w:t>
      </w:r>
      <w:r w:rsidR="00AD13BE" w:rsidRPr="00D80603">
        <w:rPr>
          <w:rFonts w:ascii="Verdana" w:hAnsi="Verdana" w:cstheme="minorHAnsi"/>
          <w:sz w:val="20"/>
          <w:szCs w:val="20"/>
          <w:lang w:val="es-ES_tradnl"/>
        </w:rPr>
        <w:t>fundados</w:t>
      </w:r>
      <w:r w:rsidRPr="00D80603">
        <w:rPr>
          <w:rFonts w:ascii="Verdana" w:hAnsi="Verdana" w:cstheme="minorHAnsi"/>
          <w:sz w:val="20"/>
          <w:szCs w:val="20"/>
          <w:lang w:val="es-ES_tradnl"/>
        </w:rPr>
        <w:t xml:space="preserve"> </w:t>
      </w:r>
      <w:r w:rsidR="00FE4EC6" w:rsidRPr="00D80603">
        <w:rPr>
          <w:rFonts w:ascii="Verdana" w:hAnsi="Verdana" w:cstheme="minorHAnsi"/>
          <w:sz w:val="20"/>
          <w:szCs w:val="20"/>
          <w:lang w:val="es-ES_tradnl"/>
        </w:rPr>
        <w:t xml:space="preserve">y </w:t>
      </w:r>
      <w:r w:rsidRPr="00D80603">
        <w:rPr>
          <w:rFonts w:ascii="Verdana" w:hAnsi="Verdana" w:cstheme="minorHAnsi"/>
          <w:sz w:val="20"/>
          <w:szCs w:val="20"/>
          <w:lang w:val="es-ES_tradnl"/>
        </w:rPr>
        <w:t xml:space="preserve">razonables que permiten, de manera </w:t>
      </w:r>
      <w:r w:rsidR="00AD13BE" w:rsidRPr="00D80603">
        <w:rPr>
          <w:rFonts w:ascii="Verdana" w:hAnsi="Verdana" w:cstheme="minorHAnsi"/>
          <w:sz w:val="20"/>
          <w:szCs w:val="20"/>
          <w:lang w:val="es-ES_tradnl"/>
        </w:rPr>
        <w:t>excepcional</w:t>
      </w:r>
      <w:r w:rsidRPr="00D80603">
        <w:rPr>
          <w:rFonts w:ascii="Verdana" w:hAnsi="Verdana" w:cstheme="minorHAnsi"/>
          <w:sz w:val="20"/>
          <w:szCs w:val="20"/>
          <w:lang w:val="es-ES_tradnl"/>
        </w:rPr>
        <w:t>, ordenar est</w:t>
      </w:r>
      <w:r w:rsidR="00FE4EC6" w:rsidRPr="00D80603">
        <w:rPr>
          <w:rFonts w:ascii="Verdana" w:hAnsi="Verdana" w:cstheme="minorHAnsi"/>
          <w:sz w:val="20"/>
          <w:szCs w:val="20"/>
          <w:lang w:val="es-ES_tradnl"/>
        </w:rPr>
        <w:t>a</w:t>
      </w:r>
      <w:r w:rsidRPr="00D80603">
        <w:rPr>
          <w:rFonts w:ascii="Verdana" w:hAnsi="Verdana" w:cstheme="minorHAnsi"/>
          <w:sz w:val="20"/>
          <w:szCs w:val="20"/>
          <w:lang w:val="es-ES_tradnl"/>
        </w:rPr>
        <w:t xml:space="preserve"> medida. </w:t>
      </w:r>
    </w:p>
    <w:p w14:paraId="6B7B4A28" w14:textId="77777777" w:rsidR="00B47F79" w:rsidRPr="00D80603" w:rsidRDefault="00B47F79" w:rsidP="00B47F79">
      <w:pPr>
        <w:pStyle w:val="Prrafodelista"/>
        <w:rPr>
          <w:rFonts w:ascii="Verdana" w:hAnsi="Verdana" w:cstheme="minorHAnsi"/>
          <w:sz w:val="20"/>
          <w:szCs w:val="20"/>
          <w:lang w:val="es-ES_tradnl"/>
        </w:rPr>
      </w:pPr>
    </w:p>
    <w:p w14:paraId="5D139904" w14:textId="28DC872E" w:rsidR="00B47F79" w:rsidRPr="00D80603" w:rsidRDefault="00B47F79" w:rsidP="0087768E">
      <w:pPr>
        <w:numPr>
          <w:ilvl w:val="0"/>
          <w:numId w:val="2"/>
        </w:numPr>
        <w:tabs>
          <w:tab w:val="left" w:pos="567"/>
        </w:tabs>
        <w:ind w:left="0" w:right="48" w:firstLine="0"/>
        <w:contextualSpacing/>
        <w:jc w:val="both"/>
        <w:rPr>
          <w:rFonts w:ascii="Verdana" w:hAnsi="Verdana" w:cstheme="minorHAnsi"/>
          <w:i/>
          <w:iCs/>
          <w:sz w:val="20"/>
          <w:szCs w:val="20"/>
          <w:lang w:val="es-ES_tradnl"/>
        </w:rPr>
      </w:pPr>
      <w:r w:rsidRPr="00D80603">
        <w:rPr>
          <w:rFonts w:ascii="Verdana" w:hAnsi="Verdana" w:cstheme="minorHAnsi"/>
          <w:sz w:val="20"/>
          <w:szCs w:val="20"/>
          <w:lang w:val="es-ES_tradnl"/>
        </w:rPr>
        <w:t>De hecho, en los casos en los que la Corte IDH ha ordenado como medida principal la restitución de la tierra ancestral</w:t>
      </w:r>
      <w:r w:rsidR="00FE4EC6" w:rsidRPr="00D80603">
        <w:rPr>
          <w:rFonts w:ascii="Verdana" w:hAnsi="Verdana" w:cstheme="minorHAnsi"/>
          <w:sz w:val="20"/>
          <w:szCs w:val="20"/>
          <w:lang w:val="es-ES_tradnl"/>
        </w:rPr>
        <w:t>,</w:t>
      </w:r>
      <w:r w:rsidRPr="00D80603">
        <w:rPr>
          <w:rFonts w:ascii="Verdana" w:hAnsi="Verdana" w:cstheme="minorHAnsi"/>
          <w:sz w:val="20"/>
          <w:szCs w:val="20"/>
          <w:lang w:val="es-ES_tradnl"/>
        </w:rPr>
        <w:t xml:space="preserve"> también ha precisado que, en caso de no lograrse, se </w:t>
      </w:r>
      <w:r w:rsidR="00AD13BE" w:rsidRPr="00D80603">
        <w:rPr>
          <w:rFonts w:ascii="Verdana" w:hAnsi="Verdana" w:cstheme="minorHAnsi"/>
          <w:sz w:val="20"/>
          <w:szCs w:val="20"/>
          <w:lang w:val="es-ES_tradnl"/>
        </w:rPr>
        <w:t>podría</w:t>
      </w:r>
      <w:r w:rsidRPr="00D80603">
        <w:rPr>
          <w:rFonts w:ascii="Verdana" w:hAnsi="Verdana" w:cstheme="minorHAnsi"/>
          <w:sz w:val="20"/>
          <w:szCs w:val="20"/>
          <w:lang w:val="es-ES_tradnl"/>
        </w:rPr>
        <w:t xml:space="preserve"> optar por la forma en la que fue reparado este caso. Sin embargo, la diferencia de este </w:t>
      </w:r>
      <w:r w:rsidR="00AD13BE" w:rsidRPr="00D80603">
        <w:rPr>
          <w:rFonts w:ascii="Verdana" w:hAnsi="Verdana" w:cstheme="minorHAnsi"/>
          <w:sz w:val="20"/>
          <w:szCs w:val="20"/>
          <w:lang w:val="es-ES_tradnl"/>
        </w:rPr>
        <w:t>caso</w:t>
      </w:r>
      <w:r w:rsidRPr="00D80603">
        <w:rPr>
          <w:rFonts w:ascii="Verdana" w:hAnsi="Verdana" w:cstheme="minorHAnsi"/>
          <w:sz w:val="20"/>
          <w:szCs w:val="20"/>
          <w:lang w:val="es-ES_tradnl"/>
        </w:rPr>
        <w:t xml:space="preserve"> es que al momento que fue decidido en el expediente obraban estos obstáculos que hacían inviable la restitución de la tierra ancestral. </w:t>
      </w:r>
    </w:p>
    <w:p w14:paraId="53E20E49" w14:textId="77777777" w:rsidR="00B47F79" w:rsidRPr="00D80603" w:rsidRDefault="00B47F79" w:rsidP="00B47F79">
      <w:pPr>
        <w:pStyle w:val="Prrafodelista"/>
        <w:rPr>
          <w:rFonts w:ascii="Verdana" w:hAnsi="Verdana" w:cstheme="minorHAnsi"/>
          <w:sz w:val="20"/>
          <w:szCs w:val="20"/>
          <w:lang w:val="es-ES_tradnl"/>
        </w:rPr>
      </w:pPr>
    </w:p>
    <w:p w14:paraId="07B95D28" w14:textId="1866FB18" w:rsidR="00B47F79" w:rsidRPr="00D80603" w:rsidRDefault="00B47F79" w:rsidP="00BF10F0">
      <w:pPr>
        <w:numPr>
          <w:ilvl w:val="0"/>
          <w:numId w:val="2"/>
        </w:numPr>
        <w:tabs>
          <w:tab w:val="left" w:pos="567"/>
        </w:tabs>
        <w:ind w:left="0" w:right="48" w:firstLine="0"/>
        <w:contextualSpacing/>
        <w:jc w:val="both"/>
        <w:rPr>
          <w:rFonts w:ascii="Verdana" w:hAnsi="Verdana" w:cstheme="minorHAnsi"/>
          <w:i/>
          <w:iCs/>
          <w:sz w:val="20"/>
          <w:szCs w:val="20"/>
          <w:lang w:val="es-ES_tradnl"/>
        </w:rPr>
      </w:pPr>
      <w:r w:rsidRPr="00D80603">
        <w:rPr>
          <w:rFonts w:ascii="Verdana" w:hAnsi="Verdana" w:cstheme="minorHAnsi"/>
          <w:sz w:val="20"/>
          <w:szCs w:val="20"/>
          <w:lang w:val="es-ES_tradnl"/>
        </w:rPr>
        <w:t xml:space="preserve">No se trata de suplantar la voluntad de la comunidad sino de armonizar los derechos en juego de las personas afectadas </w:t>
      </w:r>
      <w:r w:rsidR="00BF10F0" w:rsidRPr="00D80603">
        <w:rPr>
          <w:rFonts w:ascii="Verdana" w:hAnsi="Verdana" w:cstheme="minorHAnsi"/>
          <w:sz w:val="20"/>
          <w:szCs w:val="20"/>
          <w:lang w:val="es-ES_tradnl"/>
        </w:rPr>
        <w:t>—</w:t>
      </w:r>
      <w:r w:rsidRPr="00D80603">
        <w:rPr>
          <w:rFonts w:ascii="Verdana" w:hAnsi="Verdana" w:cstheme="minorHAnsi"/>
          <w:sz w:val="20"/>
          <w:szCs w:val="20"/>
          <w:lang w:val="es-ES_tradnl"/>
        </w:rPr>
        <w:t>personas no pertenecientes a la comunidad vs. personas de la comunidad</w:t>
      </w:r>
      <w:r w:rsidR="00BF10F0" w:rsidRPr="00D80603">
        <w:rPr>
          <w:rFonts w:ascii="Verdana" w:hAnsi="Verdana" w:cstheme="minorHAnsi"/>
          <w:sz w:val="20"/>
          <w:szCs w:val="20"/>
          <w:lang w:val="es-ES_tradnl"/>
        </w:rPr>
        <w:t xml:space="preserve">—, particularmente teniendo en cuenta el número de personas no garífunas y la situación de violencia y conflictividad social; y así evitar </w:t>
      </w:r>
      <w:r w:rsidRPr="00D80603">
        <w:rPr>
          <w:rFonts w:ascii="Verdana" w:hAnsi="Verdana" w:cstheme="minorHAnsi"/>
          <w:sz w:val="20"/>
          <w:szCs w:val="20"/>
          <w:lang w:val="es-ES_tradnl"/>
        </w:rPr>
        <w:t xml:space="preserve">que, en el proceso de ejecución de sentencia, </w:t>
      </w:r>
      <w:r w:rsidR="009838F1" w:rsidRPr="00D80603">
        <w:rPr>
          <w:rFonts w:ascii="Verdana" w:hAnsi="Verdana" w:cstheme="minorHAnsi"/>
          <w:sz w:val="20"/>
          <w:szCs w:val="20"/>
          <w:lang w:val="es-ES_tradnl"/>
        </w:rPr>
        <w:t>pudiese darse</w:t>
      </w:r>
      <w:r w:rsidRPr="00D80603">
        <w:rPr>
          <w:rFonts w:ascii="Verdana" w:hAnsi="Verdana" w:cstheme="minorHAnsi"/>
          <w:sz w:val="20"/>
          <w:szCs w:val="20"/>
          <w:lang w:val="es-ES_tradnl"/>
        </w:rPr>
        <w:t xml:space="preserve"> violaciones a derechos humanos en aras de cumplir una decisión internacional. </w:t>
      </w:r>
      <w:r w:rsidR="007E449D" w:rsidRPr="00D80603">
        <w:rPr>
          <w:rFonts w:ascii="Verdana" w:hAnsi="Verdana" w:cstheme="minorHAnsi"/>
          <w:sz w:val="20"/>
          <w:szCs w:val="20"/>
          <w:lang w:val="es-ES_tradnl"/>
        </w:rPr>
        <w:t xml:space="preserve">Por ello, dadas las circunstancias particulares del caso, </w:t>
      </w:r>
      <w:r w:rsidR="00BF10F0" w:rsidRPr="00D80603">
        <w:rPr>
          <w:rFonts w:ascii="Verdana" w:hAnsi="Verdana" w:cstheme="minorHAnsi"/>
          <w:sz w:val="20"/>
          <w:szCs w:val="20"/>
          <w:lang w:val="es-ES_tradnl"/>
        </w:rPr>
        <w:t xml:space="preserve">corroboradas por la diligencia </w:t>
      </w:r>
      <w:r w:rsidR="00087DD1" w:rsidRPr="00D80603">
        <w:rPr>
          <w:rFonts w:ascii="Verdana" w:hAnsi="Verdana" w:cstheme="minorHAnsi"/>
          <w:i/>
          <w:iCs/>
          <w:sz w:val="20"/>
          <w:szCs w:val="20"/>
          <w:lang w:val="es-ES_tradnl"/>
        </w:rPr>
        <w:t>in situ</w:t>
      </w:r>
      <w:r w:rsidR="00087DD1" w:rsidRPr="00D80603">
        <w:rPr>
          <w:rFonts w:ascii="Verdana" w:hAnsi="Verdana" w:cstheme="minorHAnsi"/>
          <w:sz w:val="20"/>
          <w:szCs w:val="20"/>
          <w:lang w:val="es-ES_tradnl"/>
        </w:rPr>
        <w:t xml:space="preserve"> que llevó a cabo el Tribunal, </w:t>
      </w:r>
      <w:r w:rsidR="00850460" w:rsidRPr="00D80603">
        <w:rPr>
          <w:rFonts w:ascii="Verdana" w:hAnsi="Verdana" w:cstheme="minorHAnsi"/>
          <w:sz w:val="20"/>
          <w:szCs w:val="20"/>
          <w:lang w:val="es-ES_tradnl"/>
        </w:rPr>
        <w:t xml:space="preserve">consideramos que </w:t>
      </w:r>
      <w:r w:rsidR="007E449D" w:rsidRPr="00D80603">
        <w:rPr>
          <w:rFonts w:ascii="Verdana" w:hAnsi="Verdana" w:cstheme="minorHAnsi"/>
          <w:sz w:val="20"/>
          <w:szCs w:val="20"/>
          <w:lang w:val="es-ES_tradnl"/>
        </w:rPr>
        <w:t>era necesario dictar la medida de reparación con estos alcances.</w:t>
      </w:r>
    </w:p>
    <w:p w14:paraId="6D3776E2" w14:textId="77777777" w:rsidR="00B47F79" w:rsidRPr="00D80603" w:rsidRDefault="00B47F79" w:rsidP="00B47F79">
      <w:pPr>
        <w:pStyle w:val="Prrafodelista"/>
        <w:rPr>
          <w:rFonts w:ascii="Verdana" w:hAnsi="Verdana" w:cstheme="minorHAnsi"/>
          <w:sz w:val="20"/>
          <w:szCs w:val="20"/>
          <w:lang w:val="es-ES_tradnl"/>
        </w:rPr>
      </w:pPr>
    </w:p>
    <w:p w14:paraId="008D5C66" w14:textId="6368B624" w:rsidR="00F673B3" w:rsidRPr="00D80603" w:rsidRDefault="00850460" w:rsidP="00F673B3">
      <w:pPr>
        <w:numPr>
          <w:ilvl w:val="0"/>
          <w:numId w:val="2"/>
        </w:numPr>
        <w:tabs>
          <w:tab w:val="left" w:pos="567"/>
        </w:tabs>
        <w:ind w:left="0" w:right="48" w:firstLine="0"/>
        <w:contextualSpacing/>
        <w:jc w:val="both"/>
        <w:rPr>
          <w:rFonts w:ascii="Verdana" w:hAnsi="Verdana" w:cstheme="minorHAnsi"/>
          <w:i/>
          <w:iCs/>
          <w:sz w:val="20"/>
          <w:szCs w:val="20"/>
          <w:lang w:val="es-ES_tradnl"/>
        </w:rPr>
      </w:pPr>
      <w:r w:rsidRPr="00D80603">
        <w:rPr>
          <w:rFonts w:ascii="Verdana" w:hAnsi="Verdana" w:cstheme="minorHAnsi"/>
          <w:sz w:val="20"/>
          <w:szCs w:val="20"/>
          <w:lang w:val="es-ES_tradnl"/>
        </w:rPr>
        <w:t>Lo anterior no implica modificar la jurisprudencia histórica sobre la materia, para optar por la entrega de tierras alternativas o la indemnización.</w:t>
      </w:r>
      <w:r w:rsidR="00B47F79" w:rsidRPr="00D80603">
        <w:rPr>
          <w:rFonts w:ascii="Verdana" w:hAnsi="Verdana" w:cstheme="minorHAnsi"/>
          <w:sz w:val="20"/>
          <w:szCs w:val="20"/>
          <w:lang w:val="es-ES_tradnl"/>
        </w:rPr>
        <w:t xml:space="preserve"> Por el contrario, tal como sucedió en este caso, se deben acreditar motivos “suficientes y razonables” por el cual el Tribunal Internacional ordene que no es viable restituir las tierras ancestrales. En conclusión, </w:t>
      </w:r>
      <w:r w:rsidRPr="00D80603">
        <w:rPr>
          <w:rFonts w:ascii="Verdana" w:hAnsi="Verdana" w:cstheme="minorHAnsi"/>
          <w:sz w:val="20"/>
          <w:szCs w:val="20"/>
          <w:lang w:val="es-ES_tradnl"/>
        </w:rPr>
        <w:t xml:space="preserve">tal y como se dejó claro en la sentencia, la regla </w:t>
      </w:r>
      <w:r w:rsidR="00B47F79" w:rsidRPr="00D80603">
        <w:rPr>
          <w:rFonts w:ascii="Verdana" w:hAnsi="Verdana" w:cstheme="minorHAnsi"/>
          <w:sz w:val="20"/>
          <w:szCs w:val="20"/>
          <w:lang w:val="es-ES_tradnl"/>
        </w:rPr>
        <w:t xml:space="preserve">es la restitución </w:t>
      </w:r>
      <w:r w:rsidRPr="00D80603">
        <w:rPr>
          <w:rFonts w:ascii="Verdana" w:hAnsi="Verdana" w:cstheme="minorHAnsi"/>
          <w:sz w:val="20"/>
          <w:szCs w:val="20"/>
          <w:lang w:val="es-ES_tradnl"/>
        </w:rPr>
        <w:t xml:space="preserve">de las tierras </w:t>
      </w:r>
      <w:r w:rsidR="00B47F79" w:rsidRPr="00D80603">
        <w:rPr>
          <w:rFonts w:ascii="Verdana" w:hAnsi="Verdana" w:cstheme="minorHAnsi"/>
          <w:sz w:val="20"/>
          <w:szCs w:val="20"/>
          <w:lang w:val="es-ES_tradnl"/>
        </w:rPr>
        <w:t xml:space="preserve">como medida de reparación. </w:t>
      </w:r>
    </w:p>
    <w:p w14:paraId="2FAE489C" w14:textId="77777777" w:rsidR="00F673B3" w:rsidRPr="00D80603" w:rsidRDefault="00F673B3" w:rsidP="00F673B3">
      <w:pPr>
        <w:tabs>
          <w:tab w:val="left" w:pos="567"/>
        </w:tabs>
        <w:ind w:right="48"/>
        <w:contextualSpacing/>
        <w:jc w:val="both"/>
        <w:rPr>
          <w:rFonts w:ascii="Verdana" w:hAnsi="Verdana" w:cstheme="minorHAnsi"/>
          <w:i/>
          <w:iCs/>
          <w:sz w:val="20"/>
          <w:szCs w:val="20"/>
          <w:lang w:val="es-ES_tradnl"/>
        </w:rPr>
      </w:pPr>
    </w:p>
    <w:p w14:paraId="515AB5FF" w14:textId="43205ECA" w:rsidR="00F673B3" w:rsidRPr="00D80603" w:rsidRDefault="00B47F79" w:rsidP="00F673B3">
      <w:pPr>
        <w:tabs>
          <w:tab w:val="left" w:pos="567"/>
        </w:tabs>
        <w:spacing w:after="120"/>
        <w:ind w:right="45"/>
        <w:contextualSpacing/>
        <w:jc w:val="center"/>
        <w:rPr>
          <w:rFonts w:ascii="Verdana" w:hAnsi="Verdana" w:cstheme="minorHAnsi"/>
          <w:b/>
          <w:bCs/>
          <w:sz w:val="20"/>
          <w:szCs w:val="20"/>
          <w:lang w:val="es-ES_tradnl"/>
        </w:rPr>
      </w:pPr>
      <w:r w:rsidRPr="00D80603">
        <w:rPr>
          <w:rFonts w:ascii="Verdana" w:hAnsi="Verdana" w:cstheme="minorHAnsi"/>
          <w:b/>
          <w:bCs/>
          <w:sz w:val="20"/>
          <w:szCs w:val="20"/>
          <w:lang w:val="es-ES_tradnl"/>
        </w:rPr>
        <w:t>I</w:t>
      </w:r>
      <w:r w:rsidR="00016EF9" w:rsidRPr="00D80603">
        <w:rPr>
          <w:rFonts w:ascii="Verdana" w:hAnsi="Verdana" w:cstheme="minorHAnsi"/>
          <w:b/>
          <w:bCs/>
          <w:sz w:val="20"/>
          <w:szCs w:val="20"/>
          <w:lang w:val="es-ES_tradnl"/>
        </w:rPr>
        <w:t>V</w:t>
      </w:r>
      <w:r w:rsidRPr="00D80603">
        <w:rPr>
          <w:rFonts w:ascii="Verdana" w:hAnsi="Verdana" w:cstheme="minorHAnsi"/>
          <w:b/>
          <w:bCs/>
          <w:sz w:val="20"/>
          <w:szCs w:val="20"/>
          <w:lang w:val="es-ES_tradnl"/>
        </w:rPr>
        <w:t>. CONCLUSIÓN</w:t>
      </w:r>
    </w:p>
    <w:p w14:paraId="4BE151CF" w14:textId="77777777" w:rsidR="00087DD1" w:rsidRPr="00D80603" w:rsidRDefault="00087DD1" w:rsidP="00F673B3">
      <w:pPr>
        <w:tabs>
          <w:tab w:val="left" w:pos="567"/>
        </w:tabs>
        <w:spacing w:after="120"/>
        <w:ind w:right="45"/>
        <w:contextualSpacing/>
        <w:jc w:val="center"/>
        <w:rPr>
          <w:rFonts w:ascii="Verdana" w:hAnsi="Verdana" w:cstheme="minorHAnsi"/>
          <w:b/>
          <w:bCs/>
          <w:sz w:val="20"/>
          <w:szCs w:val="20"/>
          <w:lang w:val="es-ES_tradnl"/>
        </w:rPr>
      </w:pPr>
    </w:p>
    <w:p w14:paraId="3E2E8716" w14:textId="3E10F844" w:rsidR="00BC4A78" w:rsidRPr="00D80603" w:rsidRDefault="00BC4A78" w:rsidP="00BC4A78">
      <w:pPr>
        <w:spacing w:before="120" w:after="120"/>
        <w:jc w:val="both"/>
        <w:rPr>
          <w:rFonts w:ascii="Verdana" w:hAnsi="Verdana" w:cstheme="minorHAnsi"/>
          <w:sz w:val="20"/>
          <w:szCs w:val="20"/>
          <w:lang w:val="es-ES_tradnl"/>
        </w:rPr>
      </w:pPr>
      <w:r w:rsidRPr="00D80603">
        <w:rPr>
          <w:rFonts w:ascii="Verdana" w:hAnsi="Verdana" w:cstheme="minorHAnsi"/>
          <w:sz w:val="20"/>
          <w:szCs w:val="20"/>
          <w:lang w:val="es-ES_tradnl"/>
        </w:rPr>
        <w:t>5</w:t>
      </w:r>
      <w:r w:rsidR="00B83A7D" w:rsidRPr="00D80603">
        <w:rPr>
          <w:rFonts w:ascii="Verdana" w:hAnsi="Verdana" w:cstheme="minorHAnsi"/>
          <w:sz w:val="20"/>
          <w:szCs w:val="20"/>
          <w:lang w:val="es-ES_tradnl"/>
        </w:rPr>
        <w:t>8</w:t>
      </w:r>
      <w:r w:rsidRPr="00D80603">
        <w:rPr>
          <w:rFonts w:ascii="Verdana" w:hAnsi="Verdana" w:cstheme="minorHAnsi"/>
          <w:sz w:val="20"/>
          <w:szCs w:val="20"/>
          <w:lang w:val="es-ES_tradnl"/>
        </w:rPr>
        <w:t xml:space="preserve">. </w:t>
      </w:r>
      <w:r w:rsidRPr="00D80603">
        <w:rPr>
          <w:rFonts w:ascii="Verdana" w:hAnsi="Verdana" w:cstheme="minorHAnsi"/>
          <w:sz w:val="20"/>
          <w:szCs w:val="20"/>
          <w:lang w:val="es-ES_tradnl"/>
        </w:rPr>
        <w:tab/>
      </w:r>
      <w:r w:rsidR="00215033" w:rsidRPr="00D80603">
        <w:rPr>
          <w:rFonts w:ascii="Verdana" w:hAnsi="Verdana" w:cstheme="minorHAnsi"/>
          <w:sz w:val="20"/>
          <w:szCs w:val="20"/>
          <w:lang w:val="es-ES_tradnl"/>
        </w:rPr>
        <w:t xml:space="preserve">El </w:t>
      </w:r>
      <w:r w:rsidR="00215033" w:rsidRPr="00D80603">
        <w:rPr>
          <w:rFonts w:ascii="Verdana" w:hAnsi="Verdana" w:cstheme="minorHAnsi"/>
          <w:i/>
          <w:iCs/>
          <w:sz w:val="20"/>
          <w:szCs w:val="20"/>
          <w:lang w:val="es-ES_tradnl"/>
        </w:rPr>
        <w:t>derecho a la consulta</w:t>
      </w:r>
      <w:r w:rsidR="00215033" w:rsidRPr="00D80603">
        <w:rPr>
          <w:rFonts w:ascii="Verdana" w:hAnsi="Verdana" w:cstheme="minorHAnsi"/>
          <w:sz w:val="20"/>
          <w:szCs w:val="20"/>
          <w:lang w:val="es-ES_tradnl"/>
        </w:rPr>
        <w:t xml:space="preserve"> de los pueblos o comunidades indígenas y tribunales, así como la obligación a cargo de los Estados de garantizarla, ha evolucionado de manera importante en la jurisprudencia interamericana</w:t>
      </w:r>
      <w:r w:rsidRPr="00D80603">
        <w:rPr>
          <w:rFonts w:ascii="Verdana" w:hAnsi="Verdana" w:cstheme="minorHAnsi"/>
          <w:sz w:val="20"/>
          <w:szCs w:val="20"/>
          <w:lang w:val="es-ES_tradnl"/>
        </w:rPr>
        <w:t>. El primer precedente donde explícitamente se reconoce</w:t>
      </w:r>
      <w:r w:rsidR="004F095E" w:rsidRPr="00D80603">
        <w:rPr>
          <w:rFonts w:ascii="Verdana" w:hAnsi="Verdana" w:cstheme="minorHAnsi"/>
          <w:sz w:val="20"/>
          <w:szCs w:val="20"/>
          <w:lang w:val="es-ES_tradnl"/>
        </w:rPr>
        <w:t xml:space="preserve"> </w:t>
      </w:r>
      <w:r w:rsidRPr="00D80603">
        <w:rPr>
          <w:rFonts w:ascii="Verdana" w:hAnsi="Verdana" w:cstheme="minorHAnsi"/>
          <w:sz w:val="20"/>
          <w:szCs w:val="20"/>
          <w:lang w:val="es-ES_tradnl"/>
        </w:rPr>
        <w:t>dicho derecho</w:t>
      </w:r>
      <w:r w:rsidR="006446A2" w:rsidRPr="00D80603">
        <w:rPr>
          <w:rFonts w:ascii="Verdana" w:hAnsi="Verdana" w:cstheme="minorHAnsi"/>
          <w:sz w:val="20"/>
          <w:szCs w:val="20"/>
          <w:lang w:val="es-ES_tradnl"/>
        </w:rPr>
        <w:t>, de manera autónoma desde la Convención Americana</w:t>
      </w:r>
      <w:r w:rsidRPr="00D80603">
        <w:rPr>
          <w:rFonts w:ascii="Verdana" w:hAnsi="Verdana" w:cstheme="minorHAnsi"/>
          <w:sz w:val="20"/>
          <w:szCs w:val="20"/>
          <w:lang w:val="es-ES_tradnl"/>
        </w:rPr>
        <w:t xml:space="preserve">, fue el caso </w:t>
      </w:r>
      <w:r w:rsidR="004F095E" w:rsidRPr="00D80603">
        <w:rPr>
          <w:rFonts w:ascii="Verdana" w:hAnsi="Verdana" w:cstheme="minorHAnsi"/>
          <w:i/>
          <w:iCs/>
          <w:sz w:val="20"/>
          <w:szCs w:val="20"/>
          <w:lang w:val="es-ES_tradnl"/>
        </w:rPr>
        <w:t>Saramaka Vs. Ecuador</w:t>
      </w:r>
      <w:r w:rsidR="004F095E" w:rsidRPr="00D80603">
        <w:rPr>
          <w:rFonts w:ascii="Verdana" w:hAnsi="Verdana" w:cstheme="minorHAnsi"/>
          <w:sz w:val="20"/>
          <w:szCs w:val="20"/>
          <w:lang w:val="es-ES_tradnl"/>
        </w:rPr>
        <w:t xml:space="preserve"> (2007), donde derivó </w:t>
      </w:r>
      <w:r w:rsidR="009F193C" w:rsidRPr="00D80603">
        <w:rPr>
          <w:rFonts w:ascii="Verdana" w:hAnsi="Verdana" w:cstheme="minorHAnsi"/>
          <w:sz w:val="20"/>
          <w:szCs w:val="20"/>
          <w:lang w:val="es-ES_tradnl"/>
        </w:rPr>
        <w:t xml:space="preserve">el derecho a la consulta </w:t>
      </w:r>
      <w:r w:rsidR="004F095E" w:rsidRPr="00D80603">
        <w:rPr>
          <w:rFonts w:ascii="Verdana" w:hAnsi="Verdana" w:cstheme="minorHAnsi"/>
          <w:sz w:val="20"/>
          <w:szCs w:val="20"/>
          <w:lang w:val="es-ES_tradnl"/>
        </w:rPr>
        <w:t xml:space="preserve">del artículo 21 </w:t>
      </w:r>
      <w:r w:rsidR="000D1042" w:rsidRPr="00D80603">
        <w:rPr>
          <w:rFonts w:ascii="Verdana" w:hAnsi="Verdana" w:cstheme="minorHAnsi"/>
          <w:sz w:val="20"/>
          <w:szCs w:val="20"/>
          <w:lang w:val="es-ES_tradnl"/>
        </w:rPr>
        <w:t xml:space="preserve">(derecho de propiedad) </w:t>
      </w:r>
      <w:r w:rsidR="004F095E" w:rsidRPr="00D80603">
        <w:rPr>
          <w:rFonts w:ascii="Verdana" w:hAnsi="Verdana" w:cstheme="minorHAnsi"/>
          <w:sz w:val="20"/>
          <w:szCs w:val="20"/>
          <w:lang w:val="es-ES_tradnl"/>
        </w:rPr>
        <w:t>de</w:t>
      </w:r>
      <w:r w:rsidR="006446A2" w:rsidRPr="00D80603">
        <w:rPr>
          <w:rFonts w:ascii="Verdana" w:hAnsi="Verdana" w:cstheme="minorHAnsi"/>
          <w:sz w:val="20"/>
          <w:szCs w:val="20"/>
          <w:lang w:val="es-ES_tradnl"/>
        </w:rPr>
        <w:t>l Pacto de San José,</w:t>
      </w:r>
      <w:r w:rsidR="004F095E" w:rsidRPr="00D80603">
        <w:rPr>
          <w:rFonts w:ascii="Verdana" w:hAnsi="Verdana" w:cstheme="minorHAnsi"/>
          <w:sz w:val="20"/>
          <w:szCs w:val="20"/>
          <w:lang w:val="es-ES_tradnl"/>
        </w:rPr>
        <w:t xml:space="preserve"> a pesar de que el Estado no había ratificado la Convención 169 de la OIT. </w:t>
      </w:r>
    </w:p>
    <w:p w14:paraId="32B1009A" w14:textId="2716AF4D" w:rsidR="00BC4A78" w:rsidRPr="00D80603" w:rsidRDefault="00BC4A78" w:rsidP="00BC4A78">
      <w:pPr>
        <w:spacing w:before="120" w:after="120"/>
        <w:jc w:val="both"/>
        <w:rPr>
          <w:rFonts w:ascii="Verdana" w:hAnsi="Verdana" w:cstheme="minorHAnsi"/>
          <w:sz w:val="20"/>
          <w:szCs w:val="20"/>
          <w:lang w:val="es-ES_tradnl"/>
        </w:rPr>
      </w:pPr>
      <w:r w:rsidRPr="00D80603">
        <w:rPr>
          <w:rFonts w:ascii="Verdana" w:hAnsi="Verdana" w:cstheme="minorHAnsi"/>
          <w:sz w:val="20"/>
          <w:szCs w:val="20"/>
          <w:lang w:val="es-ES_tradnl"/>
        </w:rPr>
        <w:t>5</w:t>
      </w:r>
      <w:r w:rsidR="00B83A7D" w:rsidRPr="00D80603">
        <w:rPr>
          <w:rFonts w:ascii="Verdana" w:hAnsi="Verdana" w:cstheme="minorHAnsi"/>
          <w:sz w:val="20"/>
          <w:szCs w:val="20"/>
          <w:lang w:val="es-ES_tradnl"/>
        </w:rPr>
        <w:t>9</w:t>
      </w:r>
      <w:r w:rsidRPr="00D80603">
        <w:rPr>
          <w:rFonts w:ascii="Verdana" w:hAnsi="Verdana" w:cstheme="minorHAnsi"/>
          <w:sz w:val="20"/>
          <w:szCs w:val="20"/>
          <w:lang w:val="es-ES_tradnl"/>
        </w:rPr>
        <w:t xml:space="preserve">. </w:t>
      </w:r>
      <w:r w:rsidRPr="00D80603">
        <w:rPr>
          <w:rFonts w:ascii="Verdana" w:hAnsi="Verdana" w:cstheme="minorHAnsi"/>
          <w:sz w:val="20"/>
          <w:szCs w:val="20"/>
          <w:lang w:val="es-ES_tradnl"/>
        </w:rPr>
        <w:tab/>
        <w:t>Posteriormente, algunos precedentes supedita</w:t>
      </w:r>
      <w:r w:rsidR="006446A2" w:rsidRPr="00D80603">
        <w:rPr>
          <w:rFonts w:ascii="Verdana" w:hAnsi="Verdana" w:cstheme="minorHAnsi"/>
          <w:sz w:val="20"/>
          <w:szCs w:val="20"/>
          <w:lang w:val="es-ES_tradnl"/>
        </w:rPr>
        <w:t>ron</w:t>
      </w:r>
      <w:r w:rsidRPr="00D80603">
        <w:rPr>
          <w:rFonts w:ascii="Verdana" w:hAnsi="Verdana" w:cstheme="minorHAnsi"/>
          <w:sz w:val="20"/>
          <w:szCs w:val="20"/>
          <w:lang w:val="es-ES_tradnl"/>
        </w:rPr>
        <w:t xml:space="preserve"> la exigibilidad del derecho a la consulta previa a la ratificación y entrada en vigor del Convenio 169 de la OIT por parte del Estado inv</w:t>
      </w:r>
      <w:r w:rsidR="006446A2" w:rsidRPr="00D80603">
        <w:rPr>
          <w:rFonts w:ascii="Verdana" w:hAnsi="Verdana" w:cstheme="minorHAnsi"/>
          <w:sz w:val="20"/>
          <w:szCs w:val="20"/>
          <w:lang w:val="es-ES_tradnl"/>
        </w:rPr>
        <w:t>o</w:t>
      </w:r>
      <w:r w:rsidRPr="00D80603">
        <w:rPr>
          <w:rFonts w:ascii="Verdana" w:hAnsi="Verdana" w:cstheme="minorHAnsi"/>
          <w:sz w:val="20"/>
          <w:szCs w:val="20"/>
          <w:lang w:val="es-ES_tradnl"/>
        </w:rPr>
        <w:t xml:space="preserve">lucrado en la controversia, lo que implicó, por ejemplo, a limitar parcialmente el alcance temporal de esta obligación en el </w:t>
      </w:r>
      <w:r w:rsidRPr="00D80603">
        <w:rPr>
          <w:rFonts w:ascii="Verdana" w:hAnsi="Verdana" w:cstheme="minorHAnsi"/>
          <w:i/>
          <w:iCs/>
          <w:sz w:val="20"/>
          <w:szCs w:val="20"/>
          <w:lang w:val="es-ES_tradnl"/>
        </w:rPr>
        <w:t>Caso Comunidad Garífuna Triunfo de la Cruz vs. Honduras</w:t>
      </w:r>
      <w:r w:rsidRPr="00D80603">
        <w:rPr>
          <w:rStyle w:val="Refdenotaalpie"/>
          <w:rFonts w:ascii="Verdana" w:hAnsi="Verdana" w:cstheme="minorHAnsi"/>
          <w:sz w:val="20"/>
          <w:szCs w:val="20"/>
          <w:lang w:val="es-ES_tradnl"/>
        </w:rPr>
        <w:footnoteReference w:id="43"/>
      </w:r>
      <w:r w:rsidRPr="00D80603">
        <w:rPr>
          <w:rFonts w:ascii="Verdana" w:hAnsi="Verdana" w:cstheme="minorHAnsi"/>
          <w:sz w:val="20"/>
          <w:szCs w:val="20"/>
          <w:lang w:val="es-ES_tradnl"/>
        </w:rPr>
        <w:t xml:space="preserve">. </w:t>
      </w:r>
    </w:p>
    <w:p w14:paraId="5B90F170" w14:textId="6D546FA2" w:rsidR="002078CB" w:rsidRPr="00D80603" w:rsidRDefault="00B83A7D" w:rsidP="00637937">
      <w:pPr>
        <w:spacing w:before="120" w:after="120"/>
        <w:jc w:val="both"/>
        <w:rPr>
          <w:rFonts w:ascii="Verdana" w:hAnsi="Verdana" w:cstheme="minorHAnsi"/>
          <w:sz w:val="20"/>
          <w:szCs w:val="20"/>
          <w:lang w:val="es-ES_tradnl"/>
        </w:rPr>
      </w:pPr>
      <w:r w:rsidRPr="00D80603">
        <w:rPr>
          <w:rFonts w:ascii="Verdana" w:hAnsi="Verdana" w:cstheme="minorHAnsi"/>
          <w:sz w:val="20"/>
          <w:szCs w:val="20"/>
          <w:lang w:val="es-ES_tradnl"/>
        </w:rPr>
        <w:t>60</w:t>
      </w:r>
      <w:r w:rsidR="00BC4A78" w:rsidRPr="00D80603">
        <w:rPr>
          <w:rFonts w:ascii="Verdana" w:hAnsi="Verdana" w:cstheme="minorHAnsi"/>
          <w:sz w:val="20"/>
          <w:szCs w:val="20"/>
          <w:lang w:val="es-ES_tradnl"/>
        </w:rPr>
        <w:t xml:space="preserve">. </w:t>
      </w:r>
      <w:r w:rsidR="00BC4A78" w:rsidRPr="00D80603">
        <w:rPr>
          <w:rFonts w:ascii="Verdana" w:hAnsi="Verdana" w:cstheme="minorHAnsi"/>
          <w:sz w:val="20"/>
          <w:szCs w:val="20"/>
          <w:lang w:val="es-ES_tradnl"/>
        </w:rPr>
        <w:tab/>
      </w:r>
      <w:r w:rsidR="006446A2" w:rsidRPr="00D80603">
        <w:rPr>
          <w:rFonts w:ascii="Verdana" w:hAnsi="Verdana" w:cstheme="minorHAnsi"/>
          <w:sz w:val="20"/>
          <w:szCs w:val="20"/>
          <w:lang w:val="es-ES_tradnl"/>
        </w:rPr>
        <w:t xml:space="preserve"> </w:t>
      </w:r>
      <w:r w:rsidR="00241E9A" w:rsidRPr="00D80603">
        <w:rPr>
          <w:rFonts w:ascii="Verdana" w:hAnsi="Verdana" w:cstheme="minorHAnsi"/>
          <w:sz w:val="20"/>
          <w:szCs w:val="20"/>
          <w:lang w:val="es-ES_tradnl"/>
        </w:rPr>
        <w:t>Sin embargo, l</w:t>
      </w:r>
      <w:r w:rsidR="000D1042" w:rsidRPr="00D80603">
        <w:rPr>
          <w:rFonts w:ascii="Verdana" w:hAnsi="Verdana" w:cstheme="minorHAnsi"/>
          <w:sz w:val="20"/>
          <w:szCs w:val="20"/>
          <w:lang w:val="es-ES_tradnl"/>
        </w:rPr>
        <w:t>a</w:t>
      </w:r>
      <w:r w:rsidR="006446A2" w:rsidRPr="00D80603">
        <w:rPr>
          <w:rFonts w:ascii="Verdana" w:hAnsi="Verdana" w:cstheme="minorHAnsi"/>
          <w:sz w:val="20"/>
          <w:szCs w:val="20"/>
          <w:lang w:val="es-ES_tradnl"/>
        </w:rPr>
        <w:t xml:space="preserve"> interpretación evolutiva </w:t>
      </w:r>
      <w:r w:rsidR="00536D66" w:rsidRPr="00D80603">
        <w:rPr>
          <w:rFonts w:ascii="Verdana" w:hAnsi="Verdana" w:cstheme="minorHAnsi"/>
          <w:sz w:val="20"/>
          <w:szCs w:val="20"/>
          <w:lang w:val="es-ES_tradnl"/>
        </w:rPr>
        <w:t xml:space="preserve">del derecho a la consulta previa realizada por la </w:t>
      </w:r>
      <w:r w:rsidR="006446A2" w:rsidRPr="00D80603">
        <w:rPr>
          <w:rFonts w:ascii="Verdana" w:hAnsi="Verdana" w:cstheme="minorHAnsi"/>
          <w:sz w:val="20"/>
          <w:szCs w:val="20"/>
          <w:lang w:val="es-ES_tradnl"/>
        </w:rPr>
        <w:t xml:space="preserve">Corte IDH ha llevado al entendimiento </w:t>
      </w:r>
      <w:r w:rsidR="009842AF" w:rsidRPr="00D80603">
        <w:rPr>
          <w:rFonts w:ascii="Verdana" w:hAnsi="Verdana" w:cstheme="minorHAnsi"/>
          <w:sz w:val="20"/>
          <w:szCs w:val="20"/>
          <w:lang w:val="es-ES_tradnl"/>
        </w:rPr>
        <w:t xml:space="preserve">actual </w:t>
      </w:r>
      <w:r w:rsidR="006446A2" w:rsidRPr="00D80603">
        <w:rPr>
          <w:rFonts w:ascii="Verdana" w:hAnsi="Verdana" w:cstheme="minorHAnsi"/>
          <w:sz w:val="20"/>
          <w:szCs w:val="20"/>
          <w:lang w:val="es-ES_tradnl"/>
        </w:rPr>
        <w:t xml:space="preserve">de considerar </w:t>
      </w:r>
      <w:r w:rsidR="00536D66" w:rsidRPr="00D80603">
        <w:rPr>
          <w:rFonts w:ascii="Verdana" w:hAnsi="Verdana" w:cstheme="minorHAnsi"/>
          <w:sz w:val="20"/>
          <w:szCs w:val="20"/>
          <w:lang w:val="es-ES_tradnl"/>
        </w:rPr>
        <w:t xml:space="preserve">que no solo </w:t>
      </w:r>
      <w:r w:rsidR="00536D66" w:rsidRPr="00D80603">
        <w:rPr>
          <w:rFonts w:ascii="Verdana" w:hAnsi="Verdana" w:cstheme="minorHAnsi"/>
          <w:sz w:val="20"/>
          <w:szCs w:val="20"/>
          <w:lang w:val="es-ES_tradnl"/>
        </w:rPr>
        <w:lastRenderedPageBreak/>
        <w:t xml:space="preserve">se deriva </w:t>
      </w:r>
      <w:r w:rsidR="006446A2" w:rsidRPr="00D80603">
        <w:rPr>
          <w:rFonts w:ascii="Verdana" w:hAnsi="Verdana" w:cstheme="minorHAnsi"/>
          <w:sz w:val="20"/>
          <w:szCs w:val="20"/>
          <w:lang w:val="es-ES_tradnl"/>
        </w:rPr>
        <w:t>de</w:t>
      </w:r>
      <w:r w:rsidR="00536D66" w:rsidRPr="00D80603">
        <w:rPr>
          <w:rFonts w:ascii="Verdana" w:hAnsi="Verdana" w:cstheme="minorHAnsi"/>
          <w:sz w:val="20"/>
          <w:szCs w:val="20"/>
          <w:lang w:val="es-ES_tradnl"/>
        </w:rPr>
        <w:t>l derecho a la</w:t>
      </w:r>
      <w:r w:rsidR="006446A2" w:rsidRPr="00D80603">
        <w:rPr>
          <w:rFonts w:ascii="Verdana" w:hAnsi="Verdana" w:cstheme="minorHAnsi"/>
          <w:sz w:val="20"/>
          <w:szCs w:val="20"/>
          <w:lang w:val="es-ES_tradnl"/>
        </w:rPr>
        <w:t xml:space="preserve"> propiedad comunal (art. 21), sino también </w:t>
      </w:r>
      <w:r w:rsidR="00536D66" w:rsidRPr="00D80603">
        <w:rPr>
          <w:rFonts w:ascii="Verdana" w:hAnsi="Verdana" w:cstheme="minorHAnsi"/>
          <w:sz w:val="20"/>
          <w:szCs w:val="20"/>
          <w:lang w:val="es-ES_tradnl"/>
        </w:rPr>
        <w:t xml:space="preserve">de los derechos de participación </w:t>
      </w:r>
      <w:r w:rsidR="006446A2" w:rsidRPr="00D80603">
        <w:rPr>
          <w:rFonts w:ascii="Verdana" w:hAnsi="Verdana" w:cstheme="minorHAnsi"/>
          <w:sz w:val="20"/>
          <w:szCs w:val="20"/>
          <w:lang w:val="es-ES_tradnl"/>
        </w:rPr>
        <w:t>(art. 23)</w:t>
      </w:r>
      <w:r w:rsidR="00536D66" w:rsidRPr="00D80603">
        <w:rPr>
          <w:rStyle w:val="Refdenotaalpie"/>
          <w:rFonts w:ascii="Verdana" w:hAnsi="Verdana" w:cstheme="minorHAnsi"/>
          <w:sz w:val="20"/>
          <w:szCs w:val="20"/>
          <w:lang w:val="es-ES_tradnl"/>
        </w:rPr>
        <w:footnoteReference w:id="44"/>
      </w:r>
      <w:r w:rsidR="006446A2" w:rsidRPr="00D80603">
        <w:rPr>
          <w:rFonts w:ascii="Verdana" w:hAnsi="Verdana" w:cstheme="minorHAnsi"/>
          <w:sz w:val="20"/>
          <w:szCs w:val="20"/>
          <w:lang w:val="es-ES_tradnl"/>
        </w:rPr>
        <w:t>, y</w:t>
      </w:r>
      <w:r w:rsidR="00536D66" w:rsidRPr="00D80603">
        <w:rPr>
          <w:rFonts w:ascii="Verdana" w:hAnsi="Verdana" w:cstheme="minorHAnsi"/>
          <w:sz w:val="20"/>
          <w:szCs w:val="20"/>
          <w:lang w:val="es-ES_tradnl"/>
        </w:rPr>
        <w:t xml:space="preserve"> de</w:t>
      </w:r>
      <w:r w:rsidR="001D7460" w:rsidRPr="00D80603">
        <w:rPr>
          <w:rFonts w:ascii="Verdana" w:hAnsi="Verdana" w:cstheme="minorHAnsi"/>
          <w:sz w:val="20"/>
          <w:szCs w:val="20"/>
          <w:lang w:val="es-ES_tradnl"/>
        </w:rPr>
        <w:t>l</w:t>
      </w:r>
      <w:r w:rsidR="006446A2" w:rsidRPr="00D80603">
        <w:rPr>
          <w:rFonts w:ascii="Verdana" w:hAnsi="Verdana" w:cstheme="minorHAnsi"/>
          <w:sz w:val="20"/>
          <w:szCs w:val="20"/>
          <w:lang w:val="es-ES_tradnl"/>
        </w:rPr>
        <w:t xml:space="preserve"> acceso a la información</w:t>
      </w:r>
      <w:r w:rsidR="003F434E" w:rsidRPr="00D80603">
        <w:rPr>
          <w:rFonts w:ascii="Verdana" w:hAnsi="Verdana" w:cstheme="minorHAnsi"/>
          <w:sz w:val="20"/>
          <w:szCs w:val="20"/>
          <w:lang w:val="es-ES_tradnl"/>
        </w:rPr>
        <w:t xml:space="preserve"> (</w:t>
      </w:r>
      <w:r w:rsidR="000D1042" w:rsidRPr="00D80603">
        <w:rPr>
          <w:rFonts w:ascii="Verdana" w:hAnsi="Verdana" w:cstheme="minorHAnsi"/>
          <w:sz w:val="20"/>
          <w:szCs w:val="20"/>
          <w:lang w:val="es-ES_tradnl"/>
        </w:rPr>
        <w:t>artículo 13)</w:t>
      </w:r>
      <w:r w:rsidR="00CC27D6" w:rsidRPr="00D80603">
        <w:rPr>
          <w:rStyle w:val="Refdenotaalpie"/>
          <w:rFonts w:ascii="Verdana" w:hAnsi="Verdana" w:cstheme="minorHAnsi"/>
          <w:sz w:val="20"/>
          <w:szCs w:val="20"/>
          <w:lang w:val="es-ES_tradnl"/>
        </w:rPr>
        <w:footnoteReference w:id="45"/>
      </w:r>
      <w:r w:rsidR="0020540A" w:rsidRPr="00D80603">
        <w:rPr>
          <w:rFonts w:ascii="Verdana" w:hAnsi="Verdana" w:cstheme="minorHAnsi"/>
          <w:sz w:val="20"/>
          <w:szCs w:val="20"/>
          <w:lang w:val="es-ES_tradnl"/>
        </w:rPr>
        <w:t>.</w:t>
      </w:r>
    </w:p>
    <w:p w14:paraId="441090BA" w14:textId="7B56DFCD" w:rsidR="00637937" w:rsidRPr="00D80603" w:rsidRDefault="00F6001E" w:rsidP="00637937">
      <w:pPr>
        <w:spacing w:before="120" w:after="120"/>
        <w:jc w:val="both"/>
        <w:rPr>
          <w:rFonts w:ascii="Verdana" w:hAnsi="Verdana" w:cstheme="minorHAnsi"/>
          <w:sz w:val="20"/>
          <w:szCs w:val="20"/>
          <w:lang w:val="es-ES_tradnl"/>
        </w:rPr>
      </w:pPr>
      <w:r w:rsidRPr="00D80603">
        <w:rPr>
          <w:rFonts w:ascii="Verdana" w:hAnsi="Verdana" w:cstheme="minorHAnsi"/>
          <w:sz w:val="20"/>
          <w:szCs w:val="20"/>
          <w:lang w:val="es-ES_tradnl"/>
        </w:rPr>
        <w:t>6</w:t>
      </w:r>
      <w:r w:rsidR="00B83A7D" w:rsidRPr="00D80603">
        <w:rPr>
          <w:rFonts w:ascii="Verdana" w:hAnsi="Verdana" w:cstheme="minorHAnsi"/>
          <w:sz w:val="20"/>
          <w:szCs w:val="20"/>
          <w:lang w:val="es-ES_tradnl"/>
        </w:rPr>
        <w:t>1</w:t>
      </w:r>
      <w:r w:rsidRPr="00D80603">
        <w:rPr>
          <w:rFonts w:ascii="Verdana" w:hAnsi="Verdana" w:cstheme="minorHAnsi"/>
          <w:sz w:val="20"/>
          <w:szCs w:val="20"/>
          <w:lang w:val="es-ES_tradnl"/>
        </w:rPr>
        <w:t xml:space="preserve">. </w:t>
      </w:r>
      <w:r w:rsidRPr="00D80603">
        <w:rPr>
          <w:rFonts w:ascii="Verdana" w:hAnsi="Verdana" w:cstheme="minorHAnsi"/>
          <w:sz w:val="20"/>
          <w:szCs w:val="20"/>
          <w:lang w:val="es-ES_tradnl"/>
        </w:rPr>
        <w:tab/>
      </w:r>
      <w:r w:rsidR="00956A10" w:rsidRPr="00D80603">
        <w:rPr>
          <w:rFonts w:ascii="Verdana" w:hAnsi="Verdana" w:cstheme="minorHAnsi"/>
          <w:sz w:val="20"/>
          <w:szCs w:val="20"/>
          <w:lang w:val="es-ES_tradnl"/>
        </w:rPr>
        <w:t xml:space="preserve">Tal y como se recuerda en la </w:t>
      </w:r>
      <w:r w:rsidR="00CC27D6" w:rsidRPr="00D80603">
        <w:rPr>
          <w:rFonts w:ascii="Verdana" w:hAnsi="Verdana" w:cstheme="minorHAnsi"/>
          <w:sz w:val="20"/>
          <w:szCs w:val="20"/>
          <w:lang w:val="es-ES_tradnl"/>
        </w:rPr>
        <w:t xml:space="preserve">presente </w:t>
      </w:r>
      <w:r w:rsidR="00215033" w:rsidRPr="00D80603">
        <w:rPr>
          <w:rFonts w:ascii="Verdana" w:hAnsi="Verdana" w:cstheme="minorHAnsi"/>
          <w:sz w:val="20"/>
          <w:szCs w:val="20"/>
          <w:lang w:val="es-ES_tradnl"/>
        </w:rPr>
        <w:t>s</w:t>
      </w:r>
      <w:r w:rsidR="00956A10" w:rsidRPr="00D80603">
        <w:rPr>
          <w:rFonts w:ascii="Verdana" w:hAnsi="Verdana" w:cstheme="minorHAnsi"/>
          <w:sz w:val="20"/>
          <w:szCs w:val="20"/>
          <w:lang w:val="es-ES_tradnl"/>
        </w:rPr>
        <w:t xml:space="preserve">entencia, </w:t>
      </w:r>
      <w:r w:rsidR="00215033" w:rsidRPr="00D80603">
        <w:rPr>
          <w:rFonts w:ascii="Verdana" w:hAnsi="Verdana" w:cstheme="minorHAnsi"/>
          <w:sz w:val="20"/>
          <w:szCs w:val="20"/>
          <w:lang w:val="es-ES_tradnl"/>
        </w:rPr>
        <w:t>la consulta debe realizarse con carácter previo, de buena fe, con la finalidad de llegar a un acuerd</w:t>
      </w:r>
      <w:r w:rsidR="001E6557" w:rsidRPr="00D80603">
        <w:rPr>
          <w:rFonts w:ascii="Verdana" w:hAnsi="Verdana" w:cstheme="minorHAnsi"/>
          <w:sz w:val="20"/>
          <w:szCs w:val="20"/>
          <w:lang w:val="es-ES_tradnl"/>
        </w:rPr>
        <w:t>o</w:t>
      </w:r>
      <w:r w:rsidR="00215033" w:rsidRPr="00D80603">
        <w:rPr>
          <w:rFonts w:ascii="Verdana" w:hAnsi="Verdana" w:cstheme="minorHAnsi"/>
          <w:sz w:val="20"/>
          <w:szCs w:val="20"/>
          <w:lang w:val="es-ES_tradnl"/>
        </w:rPr>
        <w:t xml:space="preserve">, adecuada, accesible e informada. </w:t>
      </w:r>
      <w:r w:rsidR="001E6557" w:rsidRPr="00D80603">
        <w:rPr>
          <w:rFonts w:ascii="Verdana" w:hAnsi="Verdana" w:cstheme="minorHAnsi"/>
          <w:sz w:val="20"/>
          <w:szCs w:val="20"/>
          <w:lang w:val="es-ES_tradnl"/>
        </w:rPr>
        <w:t xml:space="preserve">Siendo </w:t>
      </w:r>
      <w:r w:rsidR="00215033" w:rsidRPr="00D80603">
        <w:rPr>
          <w:rFonts w:ascii="Verdana" w:hAnsi="Verdana" w:cstheme="minorHAnsi"/>
          <w:sz w:val="20"/>
          <w:szCs w:val="20"/>
          <w:lang w:val="es-ES_tradnl"/>
        </w:rPr>
        <w:t xml:space="preserve">deber de los Estados —y no de los pueblos originarios— demostrar en cada caso si estas dimensiones del derecho a la consulta fueron efectivamente garantizadas, de tal suerte que el incumplimiento de la obligación de consultar o realizarla sin observar </w:t>
      </w:r>
      <w:r w:rsidR="004F095E" w:rsidRPr="00D80603">
        <w:rPr>
          <w:rFonts w:ascii="Verdana" w:hAnsi="Verdana" w:cstheme="minorHAnsi"/>
          <w:sz w:val="20"/>
          <w:szCs w:val="20"/>
          <w:lang w:val="es-ES_tradnl"/>
        </w:rPr>
        <w:t>sus</w:t>
      </w:r>
      <w:r w:rsidR="00215033" w:rsidRPr="00D80603">
        <w:rPr>
          <w:rFonts w:ascii="Verdana" w:hAnsi="Verdana" w:cstheme="minorHAnsi"/>
          <w:sz w:val="20"/>
          <w:szCs w:val="20"/>
          <w:lang w:val="es-ES_tradnl"/>
        </w:rPr>
        <w:t xml:space="preserve"> características esenciales, comprometen la responsabilidad estatal</w:t>
      </w:r>
      <w:r w:rsidR="00215033" w:rsidRPr="00D80603">
        <w:rPr>
          <w:rStyle w:val="Refdenotaalpie"/>
          <w:rFonts w:ascii="Verdana" w:hAnsi="Verdana" w:cstheme="minorHAnsi"/>
          <w:sz w:val="20"/>
          <w:szCs w:val="20"/>
          <w:lang w:val="es-ES_tradnl"/>
        </w:rPr>
        <w:footnoteReference w:id="46"/>
      </w:r>
      <w:r w:rsidR="00215033" w:rsidRPr="00D80603">
        <w:rPr>
          <w:rFonts w:ascii="Verdana" w:hAnsi="Verdana" w:cstheme="minorHAnsi"/>
          <w:sz w:val="20"/>
          <w:szCs w:val="20"/>
          <w:lang w:val="es-ES_tradnl"/>
        </w:rPr>
        <w:t>.</w:t>
      </w:r>
      <w:r w:rsidR="00637937" w:rsidRPr="00D80603">
        <w:rPr>
          <w:rFonts w:ascii="Verdana" w:hAnsi="Verdana"/>
          <w:sz w:val="20"/>
          <w:szCs w:val="20"/>
          <w:lang w:val="es-ES"/>
        </w:rPr>
        <w:t xml:space="preserve"> </w:t>
      </w:r>
    </w:p>
    <w:p w14:paraId="25D518A9" w14:textId="52C34713" w:rsidR="009549E7" w:rsidRPr="00D80603" w:rsidRDefault="00F6001E" w:rsidP="00637937">
      <w:pPr>
        <w:spacing w:before="120" w:after="120"/>
        <w:jc w:val="both"/>
        <w:rPr>
          <w:rFonts w:ascii="Verdana" w:hAnsi="Verdana" w:cstheme="minorHAnsi"/>
          <w:sz w:val="20"/>
          <w:szCs w:val="20"/>
        </w:rPr>
      </w:pPr>
      <w:r w:rsidRPr="00D80603">
        <w:rPr>
          <w:rFonts w:ascii="Verdana" w:hAnsi="Verdana"/>
          <w:sz w:val="20"/>
          <w:szCs w:val="20"/>
          <w:lang w:val="es-ES"/>
        </w:rPr>
        <w:t>6</w:t>
      </w:r>
      <w:r w:rsidR="00B83A7D" w:rsidRPr="00D80603">
        <w:rPr>
          <w:rFonts w:ascii="Verdana" w:hAnsi="Verdana"/>
          <w:sz w:val="20"/>
          <w:szCs w:val="20"/>
          <w:lang w:val="es-ES"/>
        </w:rPr>
        <w:t>2</w:t>
      </w:r>
      <w:r w:rsidRPr="00D80603">
        <w:rPr>
          <w:rFonts w:ascii="Verdana" w:hAnsi="Verdana"/>
          <w:sz w:val="20"/>
          <w:szCs w:val="20"/>
          <w:lang w:val="es-ES"/>
        </w:rPr>
        <w:t xml:space="preserve">. </w:t>
      </w:r>
      <w:r w:rsidRPr="00D80603">
        <w:rPr>
          <w:rFonts w:ascii="Verdana" w:hAnsi="Verdana"/>
          <w:sz w:val="20"/>
          <w:szCs w:val="20"/>
          <w:lang w:val="es-ES"/>
        </w:rPr>
        <w:tab/>
      </w:r>
      <w:r w:rsidR="001E6557" w:rsidRPr="00D80603">
        <w:rPr>
          <w:rFonts w:ascii="Verdana" w:hAnsi="Verdana"/>
          <w:sz w:val="20"/>
          <w:szCs w:val="20"/>
          <w:lang w:val="es-ES"/>
        </w:rPr>
        <w:t xml:space="preserve">En el presente caso, la Corte IDH declaró la vulneración </w:t>
      </w:r>
      <w:r w:rsidR="00637937" w:rsidRPr="00D80603">
        <w:rPr>
          <w:rFonts w:ascii="Verdana" w:hAnsi="Verdana" w:cstheme="minorHAnsi"/>
          <w:sz w:val="20"/>
          <w:szCs w:val="20"/>
          <w:lang w:val="es-ES"/>
        </w:rPr>
        <w:t>a los derechos a la propiedad, a la participación en los asuntos públicos y el acceso</w:t>
      </w:r>
      <w:r w:rsidR="009549E7" w:rsidRPr="00D80603">
        <w:rPr>
          <w:rFonts w:ascii="Verdana" w:hAnsi="Verdana" w:cstheme="minorHAnsi"/>
          <w:sz w:val="20"/>
          <w:szCs w:val="20"/>
          <w:lang w:val="es-ES"/>
        </w:rPr>
        <w:t xml:space="preserve"> a la información, </w:t>
      </w:r>
      <w:r w:rsidR="00637937" w:rsidRPr="00D80603">
        <w:rPr>
          <w:rFonts w:ascii="Verdana" w:hAnsi="Verdana" w:cstheme="minorHAnsi"/>
          <w:sz w:val="20"/>
          <w:szCs w:val="20"/>
          <w:lang w:val="es-ES"/>
        </w:rPr>
        <w:t>contenidos en los artículos 21, 23 y 13 de la Convención Americana, en relación con la obligación de respeto y garantía que prevé el artículo 1.1 del mismo instrumento</w:t>
      </w:r>
      <w:r w:rsidR="00637937" w:rsidRPr="00D80603">
        <w:rPr>
          <w:rFonts w:ascii="Verdana" w:hAnsi="Verdana" w:cstheme="minorHAnsi"/>
          <w:sz w:val="20"/>
          <w:szCs w:val="20"/>
          <w:lang w:val="es-ES_tradnl"/>
        </w:rPr>
        <w:t xml:space="preserve">. </w:t>
      </w:r>
      <w:r w:rsidR="009549E7" w:rsidRPr="00D80603">
        <w:rPr>
          <w:rFonts w:ascii="Verdana" w:hAnsi="Verdana" w:cstheme="minorHAnsi"/>
          <w:sz w:val="20"/>
          <w:szCs w:val="20"/>
          <w:lang w:val="es-ES_tradnl"/>
        </w:rPr>
        <w:t>Lo anterior debido a que “</w:t>
      </w:r>
      <w:r w:rsidR="009549E7" w:rsidRPr="00D80603">
        <w:rPr>
          <w:rFonts w:ascii="Verdana" w:hAnsi="Verdana"/>
          <w:sz w:val="20"/>
          <w:szCs w:val="20"/>
        </w:rPr>
        <w:t xml:space="preserve">tanto en el marco de la ampliación del casco urbano de la ciudad de Tela, como de la creación del parque Kawas, las autoridades no garantizaron ni respetaron el </w:t>
      </w:r>
      <w:r w:rsidR="009549E7" w:rsidRPr="00D80603">
        <w:rPr>
          <w:rFonts w:ascii="Verdana" w:hAnsi="Verdana"/>
          <w:i/>
          <w:iCs/>
          <w:sz w:val="20"/>
          <w:szCs w:val="20"/>
        </w:rPr>
        <w:t>derecho a la participación</w:t>
      </w:r>
      <w:r w:rsidR="009549E7" w:rsidRPr="00D80603">
        <w:rPr>
          <w:rFonts w:ascii="Verdana" w:hAnsi="Verdana"/>
          <w:sz w:val="20"/>
          <w:szCs w:val="20"/>
        </w:rPr>
        <w:t xml:space="preserve"> de la Comunidad Garífuna de San Juan en asuntos que los afectaron”</w:t>
      </w:r>
      <w:r w:rsidR="009549E7" w:rsidRPr="00D80603">
        <w:rPr>
          <w:rStyle w:val="Refdenotaalpie"/>
          <w:rFonts w:ascii="Verdana" w:hAnsi="Verdana"/>
          <w:sz w:val="20"/>
          <w:szCs w:val="20"/>
        </w:rPr>
        <w:footnoteReference w:id="47"/>
      </w:r>
      <w:r w:rsidR="009549E7" w:rsidRPr="00D80603">
        <w:rPr>
          <w:rFonts w:ascii="Verdana" w:hAnsi="Verdana"/>
          <w:sz w:val="20"/>
          <w:szCs w:val="20"/>
        </w:rPr>
        <w:t>.</w:t>
      </w:r>
    </w:p>
    <w:p w14:paraId="52C3A71F" w14:textId="2B5310A7" w:rsidR="007E449D" w:rsidRPr="00D80603" w:rsidRDefault="00F6001E" w:rsidP="001E1AEC">
      <w:pPr>
        <w:spacing w:before="120" w:after="120"/>
        <w:jc w:val="both"/>
        <w:rPr>
          <w:rFonts w:ascii="Verdana" w:hAnsi="Verdana" w:cstheme="minorHAnsi"/>
          <w:sz w:val="20"/>
          <w:szCs w:val="20"/>
          <w:lang w:val="es-ES_tradnl"/>
        </w:rPr>
      </w:pPr>
      <w:r w:rsidRPr="00D80603">
        <w:rPr>
          <w:rFonts w:ascii="Verdana" w:hAnsi="Verdana" w:cstheme="minorHAnsi"/>
          <w:sz w:val="20"/>
          <w:szCs w:val="20"/>
        </w:rPr>
        <w:t>6</w:t>
      </w:r>
      <w:r w:rsidR="00B83A7D" w:rsidRPr="00D80603">
        <w:rPr>
          <w:rFonts w:ascii="Verdana" w:hAnsi="Verdana" w:cstheme="minorHAnsi"/>
          <w:sz w:val="20"/>
          <w:szCs w:val="20"/>
        </w:rPr>
        <w:t>3</w:t>
      </w:r>
      <w:r w:rsidRPr="00D80603">
        <w:rPr>
          <w:rFonts w:ascii="Verdana" w:hAnsi="Verdana" w:cstheme="minorHAnsi"/>
          <w:sz w:val="20"/>
          <w:szCs w:val="20"/>
        </w:rPr>
        <w:t xml:space="preserve">. </w:t>
      </w:r>
      <w:r w:rsidRPr="00D80603">
        <w:rPr>
          <w:rFonts w:ascii="Verdana" w:hAnsi="Verdana" w:cstheme="minorHAnsi"/>
          <w:sz w:val="20"/>
          <w:szCs w:val="20"/>
        </w:rPr>
        <w:tab/>
      </w:r>
      <w:r w:rsidR="004F095E" w:rsidRPr="00D80603">
        <w:rPr>
          <w:rFonts w:ascii="Verdana" w:hAnsi="Verdana" w:cstheme="minorHAnsi"/>
          <w:sz w:val="20"/>
          <w:szCs w:val="20"/>
        </w:rPr>
        <w:t xml:space="preserve">A nuestro entender, </w:t>
      </w:r>
      <w:r w:rsidR="00637937" w:rsidRPr="00D80603">
        <w:rPr>
          <w:rFonts w:ascii="Verdana" w:eastAsia="Verdana" w:hAnsi="Verdana" w:cstheme="minorHAnsi"/>
          <w:sz w:val="20"/>
          <w:szCs w:val="20"/>
          <w:lang w:val="es-ES_tradnl"/>
        </w:rPr>
        <w:t>como lo trata</w:t>
      </w:r>
      <w:r w:rsidR="009549E7" w:rsidRPr="00D80603">
        <w:rPr>
          <w:rFonts w:ascii="Verdana" w:eastAsia="Verdana" w:hAnsi="Verdana" w:cstheme="minorHAnsi"/>
          <w:sz w:val="20"/>
          <w:szCs w:val="20"/>
          <w:lang w:val="es-ES_tradnl"/>
        </w:rPr>
        <w:t>m</w:t>
      </w:r>
      <w:r w:rsidR="00637937" w:rsidRPr="00D80603">
        <w:rPr>
          <w:rFonts w:ascii="Verdana" w:eastAsia="Verdana" w:hAnsi="Verdana" w:cstheme="minorHAnsi"/>
          <w:sz w:val="20"/>
          <w:szCs w:val="20"/>
          <w:lang w:val="es-ES_tradnl"/>
        </w:rPr>
        <w:t xml:space="preserve">os de evidenciar en el presente voto, </w:t>
      </w:r>
      <w:r w:rsidR="009549E7" w:rsidRPr="00D80603">
        <w:rPr>
          <w:rFonts w:ascii="Verdana" w:eastAsia="Verdana" w:hAnsi="Verdana" w:cstheme="minorHAnsi"/>
          <w:sz w:val="20"/>
          <w:szCs w:val="20"/>
          <w:lang w:val="es-ES_tradnl"/>
        </w:rPr>
        <w:t>esta falta de respeto y garantía del “derecho a la participación” de la Comunidad Garífuna de San Juan, debe</w:t>
      </w:r>
      <w:r w:rsidR="004D60DE" w:rsidRPr="00D80603">
        <w:rPr>
          <w:rFonts w:ascii="Verdana" w:eastAsia="Verdana" w:hAnsi="Verdana" w:cstheme="minorHAnsi"/>
          <w:sz w:val="20"/>
          <w:szCs w:val="20"/>
          <w:lang w:val="es-ES_tradnl"/>
        </w:rPr>
        <w:t xml:space="preserve"> referirse</w:t>
      </w:r>
      <w:r w:rsidR="001D7460" w:rsidRPr="00D80603">
        <w:rPr>
          <w:rFonts w:ascii="Verdana" w:eastAsia="Verdana" w:hAnsi="Verdana" w:cstheme="minorHAnsi"/>
          <w:sz w:val="20"/>
          <w:szCs w:val="20"/>
          <w:lang w:val="es-ES_tradnl"/>
        </w:rPr>
        <w:t xml:space="preserve">, </w:t>
      </w:r>
      <w:r w:rsidR="009549E7" w:rsidRPr="00D80603">
        <w:rPr>
          <w:rFonts w:ascii="Verdana" w:eastAsia="Verdana" w:hAnsi="Verdana" w:cstheme="minorHAnsi"/>
          <w:sz w:val="20"/>
          <w:szCs w:val="20"/>
          <w:lang w:val="es-ES_tradnl"/>
        </w:rPr>
        <w:t>necesariamente</w:t>
      </w:r>
      <w:r w:rsidR="001D7460" w:rsidRPr="00D80603">
        <w:rPr>
          <w:rFonts w:ascii="Verdana" w:eastAsia="Verdana" w:hAnsi="Verdana" w:cstheme="minorHAnsi"/>
          <w:sz w:val="20"/>
          <w:szCs w:val="20"/>
          <w:lang w:val="es-ES_tradnl"/>
        </w:rPr>
        <w:t>,</w:t>
      </w:r>
      <w:r w:rsidR="009549E7" w:rsidRPr="00D80603">
        <w:rPr>
          <w:rFonts w:ascii="Verdana" w:eastAsia="Verdana" w:hAnsi="Verdana" w:cstheme="minorHAnsi"/>
          <w:sz w:val="20"/>
          <w:szCs w:val="20"/>
          <w:lang w:val="es-ES_tradnl"/>
        </w:rPr>
        <w:t xml:space="preserve"> </w:t>
      </w:r>
      <w:r w:rsidR="001E1AEC" w:rsidRPr="00D80603">
        <w:rPr>
          <w:rFonts w:ascii="Verdana" w:eastAsia="Verdana" w:hAnsi="Verdana" w:cstheme="minorHAnsi"/>
          <w:i/>
          <w:iCs/>
          <w:sz w:val="20"/>
          <w:szCs w:val="20"/>
          <w:lang w:val="es-ES_tradnl"/>
        </w:rPr>
        <w:t>a la falta de consulta previa, libre e informada</w:t>
      </w:r>
      <w:r w:rsidR="001E1AEC" w:rsidRPr="00D80603">
        <w:rPr>
          <w:rFonts w:ascii="Verdana" w:eastAsia="Verdana" w:hAnsi="Verdana" w:cstheme="minorHAnsi"/>
          <w:sz w:val="20"/>
          <w:szCs w:val="20"/>
          <w:lang w:val="es-ES_tradnl"/>
        </w:rPr>
        <w:t xml:space="preserve">, </w:t>
      </w:r>
      <w:r w:rsidR="00CC27D6" w:rsidRPr="00D80603">
        <w:rPr>
          <w:rFonts w:ascii="Verdana" w:eastAsia="Verdana" w:hAnsi="Verdana" w:cstheme="minorHAnsi"/>
          <w:sz w:val="20"/>
          <w:szCs w:val="20"/>
          <w:lang w:val="es-ES_tradnl"/>
        </w:rPr>
        <w:t>ya</w:t>
      </w:r>
      <w:r w:rsidR="00637937" w:rsidRPr="00D80603">
        <w:rPr>
          <w:rFonts w:ascii="Verdana" w:eastAsia="Verdana" w:hAnsi="Verdana" w:cstheme="minorHAnsi"/>
          <w:sz w:val="20"/>
          <w:szCs w:val="20"/>
          <w:lang w:val="es-ES_tradnl"/>
        </w:rPr>
        <w:t xml:space="preserve"> que </w:t>
      </w:r>
      <w:r w:rsidR="001E1AEC" w:rsidRPr="00D80603">
        <w:rPr>
          <w:rFonts w:ascii="Verdana" w:eastAsia="Verdana" w:hAnsi="Verdana" w:cstheme="minorHAnsi"/>
          <w:sz w:val="20"/>
          <w:szCs w:val="20"/>
          <w:lang w:val="es-ES_tradnl"/>
        </w:rPr>
        <w:t xml:space="preserve">la obligación estatal de garantizarla surge </w:t>
      </w:r>
      <w:r w:rsidR="001E1AEC" w:rsidRPr="00D80603">
        <w:rPr>
          <w:rFonts w:ascii="Verdana" w:eastAsia="Verdana" w:hAnsi="Verdana" w:cstheme="minorHAnsi"/>
          <w:i/>
          <w:iCs/>
          <w:sz w:val="20"/>
          <w:szCs w:val="20"/>
          <w:lang w:val="es-ES_tradnl"/>
        </w:rPr>
        <w:t xml:space="preserve">desde </w:t>
      </w:r>
      <w:r w:rsidR="00637937" w:rsidRPr="00D80603">
        <w:rPr>
          <w:rFonts w:ascii="Verdana" w:eastAsia="Verdana" w:hAnsi="Verdana" w:cstheme="minorHAnsi"/>
          <w:i/>
          <w:iCs/>
          <w:sz w:val="20"/>
          <w:szCs w:val="20"/>
          <w:lang w:val="es-ES_tradnl"/>
        </w:rPr>
        <w:t xml:space="preserve">la propia Convención Americana </w:t>
      </w:r>
      <w:r w:rsidR="00637937" w:rsidRPr="00D80603">
        <w:rPr>
          <w:rFonts w:ascii="Verdana" w:eastAsia="Verdana" w:hAnsi="Verdana" w:cstheme="minorHAnsi"/>
          <w:sz w:val="20"/>
          <w:szCs w:val="20"/>
          <w:lang w:val="es-ES_tradnl"/>
        </w:rPr>
        <w:t xml:space="preserve">(arts. </w:t>
      </w:r>
      <w:r w:rsidR="001E1AEC" w:rsidRPr="00D80603">
        <w:rPr>
          <w:rFonts w:ascii="Verdana" w:eastAsia="Verdana" w:hAnsi="Verdana" w:cstheme="minorHAnsi"/>
          <w:sz w:val="20"/>
          <w:szCs w:val="20"/>
          <w:lang w:val="es-ES_tradnl"/>
        </w:rPr>
        <w:t>1,</w:t>
      </w:r>
      <w:r w:rsidR="002D72B4" w:rsidRPr="00D80603">
        <w:rPr>
          <w:rFonts w:ascii="Verdana" w:eastAsia="Verdana" w:hAnsi="Verdana" w:cstheme="minorHAnsi"/>
          <w:sz w:val="20"/>
          <w:szCs w:val="20"/>
          <w:lang w:val="es-ES_tradnl"/>
        </w:rPr>
        <w:t xml:space="preserve"> </w:t>
      </w:r>
      <w:r w:rsidR="00000C8F" w:rsidRPr="00D80603">
        <w:rPr>
          <w:rFonts w:ascii="Verdana" w:eastAsia="Verdana" w:hAnsi="Verdana" w:cstheme="minorHAnsi"/>
          <w:sz w:val="20"/>
          <w:szCs w:val="20"/>
          <w:lang w:val="es-ES_tradnl"/>
        </w:rPr>
        <w:t xml:space="preserve">2, </w:t>
      </w:r>
      <w:r w:rsidR="00637937" w:rsidRPr="00D80603">
        <w:rPr>
          <w:rFonts w:ascii="Verdana" w:eastAsia="Verdana" w:hAnsi="Verdana" w:cstheme="minorHAnsi"/>
          <w:sz w:val="20"/>
          <w:szCs w:val="20"/>
          <w:lang w:val="es-ES_tradnl"/>
        </w:rPr>
        <w:t>13, 21 y 2</w:t>
      </w:r>
      <w:r w:rsidR="000D1042" w:rsidRPr="00D80603">
        <w:rPr>
          <w:rFonts w:ascii="Verdana" w:eastAsia="Verdana" w:hAnsi="Verdana" w:cstheme="minorHAnsi"/>
          <w:sz w:val="20"/>
          <w:szCs w:val="20"/>
          <w:lang w:val="es-ES_tradnl"/>
        </w:rPr>
        <w:t>3</w:t>
      </w:r>
      <w:r w:rsidR="00637937" w:rsidRPr="00D80603">
        <w:rPr>
          <w:rFonts w:ascii="Verdana" w:eastAsia="Verdana" w:hAnsi="Verdana" w:cstheme="minorHAnsi"/>
          <w:sz w:val="20"/>
          <w:szCs w:val="20"/>
          <w:lang w:val="es-ES_tradnl"/>
        </w:rPr>
        <w:t>), con independencia de preverse en el Convenio 169 de la OIT</w:t>
      </w:r>
      <w:r w:rsidR="003F434E" w:rsidRPr="00D80603">
        <w:rPr>
          <w:rFonts w:ascii="Verdana" w:eastAsia="Verdana" w:hAnsi="Verdana" w:cstheme="minorHAnsi"/>
          <w:sz w:val="20"/>
          <w:szCs w:val="20"/>
          <w:lang w:val="es-ES_tradnl"/>
        </w:rPr>
        <w:t xml:space="preserve"> y si el Estado</w:t>
      </w:r>
      <w:r w:rsidR="00F9274C" w:rsidRPr="00D80603">
        <w:rPr>
          <w:rFonts w:ascii="Verdana" w:eastAsia="Verdana" w:hAnsi="Verdana" w:cstheme="minorHAnsi"/>
          <w:sz w:val="20"/>
          <w:szCs w:val="20"/>
          <w:lang w:val="es-ES_tradnl"/>
        </w:rPr>
        <w:t xml:space="preserve"> involucrado</w:t>
      </w:r>
      <w:r w:rsidR="003F434E" w:rsidRPr="00D80603">
        <w:rPr>
          <w:rFonts w:ascii="Verdana" w:eastAsia="Verdana" w:hAnsi="Verdana" w:cstheme="minorHAnsi"/>
          <w:sz w:val="20"/>
          <w:szCs w:val="20"/>
          <w:lang w:val="es-ES_tradnl"/>
        </w:rPr>
        <w:t xml:space="preserve"> lo ha ratificado</w:t>
      </w:r>
      <w:r w:rsidR="00000C8F" w:rsidRPr="00D80603">
        <w:rPr>
          <w:rFonts w:ascii="Verdana" w:eastAsia="Verdana" w:hAnsi="Verdana" w:cstheme="minorHAnsi"/>
          <w:sz w:val="20"/>
          <w:szCs w:val="20"/>
          <w:lang w:val="es-ES_tradnl"/>
        </w:rPr>
        <w:t>, así como su eventual entrada en vigor.</w:t>
      </w:r>
      <w:r w:rsidR="001D7460" w:rsidRPr="00D80603">
        <w:rPr>
          <w:rFonts w:ascii="Verdana" w:eastAsia="Verdana" w:hAnsi="Verdana" w:cstheme="minorHAnsi"/>
          <w:sz w:val="20"/>
          <w:szCs w:val="20"/>
          <w:lang w:val="es-ES_tradnl"/>
        </w:rPr>
        <w:t xml:space="preserve"> Este entendimiento es el que </w:t>
      </w:r>
      <w:r w:rsidR="00F673B3" w:rsidRPr="00D80603">
        <w:rPr>
          <w:rFonts w:ascii="Verdana" w:eastAsia="Verdana" w:hAnsi="Verdana" w:cstheme="minorHAnsi"/>
          <w:sz w:val="20"/>
          <w:szCs w:val="20"/>
          <w:lang w:val="es-ES_tradnl"/>
        </w:rPr>
        <w:t xml:space="preserve">claramente </w:t>
      </w:r>
      <w:r w:rsidR="00637937" w:rsidRPr="00D80603">
        <w:rPr>
          <w:rFonts w:ascii="Verdana" w:eastAsia="Verdana" w:hAnsi="Verdana" w:cstheme="minorHAnsi"/>
          <w:sz w:val="20"/>
          <w:szCs w:val="20"/>
          <w:lang w:val="es-ES_tradnl"/>
        </w:rPr>
        <w:t xml:space="preserve">ha </w:t>
      </w:r>
      <w:r w:rsidR="001E1AEC" w:rsidRPr="00D80603">
        <w:rPr>
          <w:rFonts w:ascii="Verdana" w:eastAsia="Verdana" w:hAnsi="Verdana" w:cstheme="minorHAnsi"/>
          <w:sz w:val="20"/>
          <w:szCs w:val="20"/>
          <w:lang w:val="es-ES_tradnl"/>
        </w:rPr>
        <w:t>sostenido</w:t>
      </w:r>
      <w:r w:rsidR="00637937" w:rsidRPr="00D80603">
        <w:rPr>
          <w:rFonts w:ascii="Verdana" w:eastAsia="Verdana" w:hAnsi="Verdana" w:cstheme="minorHAnsi"/>
          <w:sz w:val="20"/>
          <w:szCs w:val="20"/>
          <w:lang w:val="es-ES_tradnl"/>
        </w:rPr>
        <w:t xml:space="preserve"> la Corte IDH en sus últimos precedentes</w:t>
      </w:r>
      <w:r w:rsidR="001E1AEC" w:rsidRPr="00D80603">
        <w:rPr>
          <w:rFonts w:ascii="Verdana" w:eastAsia="Verdana" w:hAnsi="Verdana" w:cstheme="minorHAnsi"/>
          <w:sz w:val="20"/>
          <w:szCs w:val="20"/>
          <w:lang w:val="es-ES_tradnl"/>
        </w:rPr>
        <w:t xml:space="preserve"> </w:t>
      </w:r>
      <w:r w:rsidR="001E6557" w:rsidRPr="00D80603">
        <w:rPr>
          <w:rFonts w:ascii="Verdana" w:eastAsia="Verdana" w:hAnsi="Verdana" w:cstheme="minorHAnsi"/>
          <w:sz w:val="20"/>
          <w:szCs w:val="20"/>
          <w:lang w:val="es-ES_tradnl"/>
        </w:rPr>
        <w:t xml:space="preserve">donde se </w:t>
      </w:r>
      <w:r w:rsidR="004F095E" w:rsidRPr="00D80603">
        <w:rPr>
          <w:rFonts w:ascii="Verdana" w:eastAsia="Verdana" w:hAnsi="Verdana" w:cstheme="minorHAnsi"/>
          <w:sz w:val="20"/>
          <w:szCs w:val="20"/>
          <w:lang w:val="es-ES_tradnl"/>
        </w:rPr>
        <w:t xml:space="preserve">ha </w:t>
      </w:r>
      <w:r w:rsidR="001E6557" w:rsidRPr="00D80603">
        <w:rPr>
          <w:rFonts w:ascii="Verdana" w:eastAsia="Verdana" w:hAnsi="Verdana" w:cstheme="minorHAnsi"/>
          <w:sz w:val="20"/>
          <w:szCs w:val="20"/>
          <w:lang w:val="es-ES_tradnl"/>
        </w:rPr>
        <w:t xml:space="preserve">pronunciado </w:t>
      </w:r>
      <w:r w:rsidR="00251C10" w:rsidRPr="00D80603">
        <w:rPr>
          <w:rFonts w:ascii="Verdana" w:eastAsia="Verdana" w:hAnsi="Verdana" w:cstheme="minorHAnsi"/>
          <w:sz w:val="20"/>
          <w:szCs w:val="20"/>
          <w:lang w:val="es-ES_tradnl"/>
        </w:rPr>
        <w:t xml:space="preserve">sobre el particular </w:t>
      </w:r>
      <w:r w:rsidR="001E1AEC" w:rsidRPr="00D80603">
        <w:rPr>
          <w:rFonts w:ascii="Verdana" w:eastAsia="Verdana" w:hAnsi="Verdana" w:cstheme="minorHAnsi"/>
          <w:sz w:val="20"/>
          <w:szCs w:val="20"/>
          <w:lang w:val="es-ES_tradnl"/>
        </w:rPr>
        <w:t>(</w:t>
      </w:r>
      <w:r w:rsidR="004F095E" w:rsidRPr="00D80603">
        <w:rPr>
          <w:rFonts w:ascii="Verdana" w:eastAsia="Verdana" w:hAnsi="Verdana" w:cstheme="minorHAnsi"/>
          <w:sz w:val="20"/>
          <w:szCs w:val="20"/>
          <w:lang w:val="es-ES_tradnl"/>
        </w:rPr>
        <w:t xml:space="preserve">casos </w:t>
      </w:r>
      <w:r w:rsidR="001E6557" w:rsidRPr="00D80603">
        <w:rPr>
          <w:rFonts w:ascii="Verdana" w:hAnsi="Verdana" w:cstheme="minorHAnsi"/>
          <w:i/>
          <w:iCs/>
          <w:sz w:val="20"/>
          <w:szCs w:val="20"/>
          <w:lang w:val="es-ES_tradnl"/>
        </w:rPr>
        <w:t>Pueblos Kaliña y Lokono</w:t>
      </w:r>
      <w:r w:rsidR="004F095E" w:rsidRPr="00D80603">
        <w:rPr>
          <w:rFonts w:ascii="Verdana" w:hAnsi="Verdana" w:cstheme="minorHAnsi"/>
          <w:i/>
          <w:iCs/>
          <w:sz w:val="20"/>
          <w:szCs w:val="20"/>
          <w:lang w:val="es-ES_tradnl"/>
        </w:rPr>
        <w:t xml:space="preserve"> Vs. Sur</w:t>
      </w:r>
      <w:r w:rsidR="00000C8F" w:rsidRPr="00D80603">
        <w:rPr>
          <w:rFonts w:ascii="Verdana" w:hAnsi="Verdana" w:cstheme="minorHAnsi"/>
          <w:i/>
          <w:iCs/>
          <w:sz w:val="20"/>
          <w:szCs w:val="20"/>
          <w:lang w:val="es-ES_tradnl"/>
        </w:rPr>
        <w:t>i</w:t>
      </w:r>
      <w:r w:rsidR="004F095E" w:rsidRPr="00D80603">
        <w:rPr>
          <w:rFonts w:ascii="Verdana" w:hAnsi="Verdana" w:cstheme="minorHAnsi"/>
          <w:i/>
          <w:iCs/>
          <w:sz w:val="20"/>
          <w:szCs w:val="20"/>
          <w:lang w:val="es-ES_tradnl"/>
        </w:rPr>
        <w:t>name</w:t>
      </w:r>
      <w:r w:rsidR="00251C10" w:rsidRPr="00D80603">
        <w:rPr>
          <w:rFonts w:ascii="Verdana" w:hAnsi="Verdana" w:cstheme="minorHAnsi"/>
          <w:i/>
          <w:iCs/>
          <w:sz w:val="20"/>
          <w:szCs w:val="20"/>
          <w:lang w:val="es-ES_tradnl"/>
        </w:rPr>
        <w:t xml:space="preserve">, </w:t>
      </w:r>
      <w:r w:rsidR="00251C10" w:rsidRPr="00D80603">
        <w:rPr>
          <w:rFonts w:ascii="Verdana" w:hAnsi="Verdana" w:cstheme="minorHAnsi"/>
          <w:sz w:val="20"/>
          <w:szCs w:val="20"/>
          <w:lang w:val="es-ES_tradnl"/>
        </w:rPr>
        <w:t>2015,</w:t>
      </w:r>
      <w:r w:rsidR="004F095E" w:rsidRPr="00D80603">
        <w:rPr>
          <w:rFonts w:ascii="Verdana" w:hAnsi="Verdana" w:cstheme="minorHAnsi"/>
          <w:sz w:val="20"/>
          <w:szCs w:val="20"/>
          <w:lang w:val="es-ES_tradnl"/>
        </w:rPr>
        <w:t xml:space="preserve"> y</w:t>
      </w:r>
      <w:r w:rsidR="001E6557" w:rsidRPr="00D80603">
        <w:rPr>
          <w:rFonts w:ascii="Verdana" w:hAnsi="Verdana" w:cstheme="minorHAnsi"/>
          <w:sz w:val="20"/>
          <w:szCs w:val="20"/>
          <w:lang w:val="es-ES_tradnl"/>
        </w:rPr>
        <w:t xml:space="preserve"> </w:t>
      </w:r>
      <w:r w:rsidR="00251C10" w:rsidRPr="00D80603">
        <w:rPr>
          <w:rFonts w:ascii="Verdana" w:hAnsi="Verdana" w:cstheme="minorHAnsi"/>
          <w:i/>
          <w:iCs/>
          <w:sz w:val="20"/>
          <w:szCs w:val="20"/>
          <w:lang w:val="es-ES_tradnl"/>
        </w:rPr>
        <w:t xml:space="preserve">Comunidad </w:t>
      </w:r>
      <w:r w:rsidR="00251C10" w:rsidRPr="00D80603">
        <w:rPr>
          <w:rFonts w:ascii="Verdana" w:hAnsi="Verdana"/>
          <w:i/>
          <w:iCs/>
          <w:sz w:val="20"/>
          <w:szCs w:val="20"/>
          <w:lang w:val="es-ES"/>
        </w:rPr>
        <w:t xml:space="preserve">Lhaka Honhat Vs. Argentina, </w:t>
      </w:r>
      <w:r w:rsidR="00251C10" w:rsidRPr="00D80603">
        <w:rPr>
          <w:rFonts w:ascii="Verdana" w:hAnsi="Verdana"/>
          <w:sz w:val="20"/>
          <w:szCs w:val="20"/>
          <w:lang w:val="es-ES"/>
        </w:rPr>
        <w:t>2020), siguiendo el caso</w:t>
      </w:r>
      <w:r w:rsidR="00251C10" w:rsidRPr="00D80603">
        <w:rPr>
          <w:rFonts w:ascii="Verdana" w:hAnsi="Verdana"/>
          <w:i/>
          <w:iCs/>
          <w:sz w:val="20"/>
          <w:szCs w:val="20"/>
          <w:lang w:val="es-ES"/>
        </w:rPr>
        <w:t xml:space="preserve"> Saramaka</w:t>
      </w:r>
      <w:r w:rsidR="00251C10" w:rsidRPr="00D80603">
        <w:rPr>
          <w:rFonts w:ascii="Verdana" w:hAnsi="Verdana"/>
          <w:sz w:val="20"/>
          <w:szCs w:val="20"/>
          <w:lang w:val="es-ES"/>
        </w:rPr>
        <w:t xml:space="preserve"> de 2007. </w:t>
      </w:r>
      <w:r w:rsidR="00251C10" w:rsidRPr="00D80603">
        <w:rPr>
          <w:rFonts w:ascii="Verdana" w:hAnsi="Verdana" w:cstheme="minorHAnsi"/>
          <w:sz w:val="20"/>
          <w:szCs w:val="20"/>
          <w:lang w:val="es-ES_tradnl"/>
        </w:rPr>
        <w:t xml:space="preserve"> </w:t>
      </w:r>
    </w:p>
    <w:p w14:paraId="316FCCC8" w14:textId="5A5D79A8" w:rsidR="007E449D" w:rsidRPr="00D80603" w:rsidRDefault="00F6001E" w:rsidP="003F434E">
      <w:pPr>
        <w:spacing w:before="120" w:after="120"/>
        <w:jc w:val="both"/>
        <w:rPr>
          <w:rFonts w:ascii="Verdana" w:hAnsi="Verdana" w:cstheme="minorHAnsi"/>
          <w:sz w:val="20"/>
          <w:szCs w:val="20"/>
          <w:lang w:val="es-ES_tradnl"/>
        </w:rPr>
      </w:pPr>
      <w:r w:rsidRPr="00D80603">
        <w:rPr>
          <w:rFonts w:ascii="Verdana" w:hAnsi="Verdana" w:cstheme="minorHAnsi"/>
          <w:sz w:val="20"/>
          <w:szCs w:val="20"/>
          <w:lang w:val="es-ES_tradnl"/>
        </w:rPr>
        <w:t>6</w:t>
      </w:r>
      <w:r w:rsidR="00B83A7D" w:rsidRPr="00D80603">
        <w:rPr>
          <w:rFonts w:ascii="Verdana" w:hAnsi="Verdana" w:cstheme="minorHAnsi"/>
          <w:sz w:val="20"/>
          <w:szCs w:val="20"/>
          <w:lang w:val="es-ES_tradnl"/>
        </w:rPr>
        <w:t>4</w:t>
      </w:r>
      <w:r w:rsidRPr="00D80603">
        <w:rPr>
          <w:rFonts w:ascii="Verdana" w:hAnsi="Verdana" w:cstheme="minorHAnsi"/>
          <w:sz w:val="20"/>
          <w:szCs w:val="20"/>
          <w:lang w:val="es-ES_tradnl"/>
        </w:rPr>
        <w:t xml:space="preserve">. </w:t>
      </w:r>
      <w:r w:rsidRPr="00D80603">
        <w:rPr>
          <w:rFonts w:ascii="Verdana" w:hAnsi="Verdana" w:cstheme="minorHAnsi"/>
          <w:sz w:val="20"/>
          <w:szCs w:val="20"/>
          <w:lang w:val="es-ES_tradnl"/>
        </w:rPr>
        <w:tab/>
      </w:r>
      <w:r w:rsidR="00425001" w:rsidRPr="00D80603">
        <w:rPr>
          <w:rFonts w:ascii="Verdana" w:hAnsi="Verdana" w:cstheme="minorHAnsi"/>
          <w:sz w:val="20"/>
          <w:szCs w:val="20"/>
          <w:lang w:val="es-ES_tradnl"/>
        </w:rPr>
        <w:t>En este sentido</w:t>
      </w:r>
      <w:r w:rsidR="00241E9A" w:rsidRPr="00D80603">
        <w:rPr>
          <w:rFonts w:ascii="Verdana" w:hAnsi="Verdana" w:cstheme="minorHAnsi"/>
          <w:sz w:val="20"/>
          <w:szCs w:val="20"/>
          <w:lang w:val="es-ES_tradnl"/>
        </w:rPr>
        <w:t xml:space="preserve">, </w:t>
      </w:r>
      <w:r w:rsidR="000D1042" w:rsidRPr="00D80603">
        <w:rPr>
          <w:rFonts w:ascii="Verdana" w:hAnsi="Verdana" w:cstheme="minorHAnsi"/>
          <w:sz w:val="20"/>
          <w:szCs w:val="20"/>
          <w:lang w:val="es-ES_tradnl"/>
        </w:rPr>
        <w:t xml:space="preserve">consideramos que no debe entenderse </w:t>
      </w:r>
      <w:r w:rsidR="007E449D" w:rsidRPr="00D80603">
        <w:rPr>
          <w:rFonts w:ascii="Verdana" w:hAnsi="Verdana" w:cstheme="minorHAnsi"/>
          <w:sz w:val="20"/>
          <w:szCs w:val="20"/>
          <w:lang w:val="es-ES_tradnl"/>
        </w:rPr>
        <w:t>que existen dos obligaciones diferenciadas a cargo de los Estados (“participación” y “consulta”)</w:t>
      </w:r>
      <w:r w:rsidR="00365E82" w:rsidRPr="00D80603">
        <w:rPr>
          <w:rFonts w:ascii="Verdana" w:hAnsi="Verdana" w:cstheme="minorHAnsi"/>
          <w:sz w:val="20"/>
          <w:szCs w:val="20"/>
          <w:lang w:val="es-ES_tradnl"/>
        </w:rPr>
        <w:t xml:space="preserve"> y menos entender que “la participación” de los pueblos o comunidades implique una obligación menos intensa para los Estados</w:t>
      </w:r>
      <w:r w:rsidR="00241E9A" w:rsidRPr="00D80603">
        <w:rPr>
          <w:rFonts w:ascii="Verdana" w:hAnsi="Verdana" w:cstheme="minorHAnsi"/>
          <w:sz w:val="20"/>
          <w:szCs w:val="20"/>
          <w:lang w:val="es-ES_tradnl"/>
        </w:rPr>
        <w:t xml:space="preserve">, sino que </w:t>
      </w:r>
      <w:r w:rsidR="001D7460" w:rsidRPr="00D80603">
        <w:rPr>
          <w:rFonts w:ascii="Verdana" w:hAnsi="Verdana" w:cstheme="minorHAnsi"/>
          <w:sz w:val="20"/>
          <w:szCs w:val="20"/>
          <w:lang w:val="es-ES_tradnl"/>
        </w:rPr>
        <w:t>esa</w:t>
      </w:r>
      <w:r w:rsidR="009842AF" w:rsidRPr="00D80603">
        <w:rPr>
          <w:rFonts w:ascii="Verdana" w:hAnsi="Verdana" w:cstheme="minorHAnsi"/>
          <w:sz w:val="20"/>
          <w:szCs w:val="20"/>
          <w:lang w:val="es-ES_tradnl"/>
        </w:rPr>
        <w:t xml:space="preserve"> </w:t>
      </w:r>
      <w:r w:rsidR="00F673B3" w:rsidRPr="00D80603">
        <w:rPr>
          <w:rFonts w:ascii="Verdana" w:hAnsi="Verdana" w:cstheme="minorHAnsi"/>
          <w:sz w:val="20"/>
          <w:szCs w:val="20"/>
          <w:lang w:val="es-ES_tradnl"/>
        </w:rPr>
        <w:t>“</w:t>
      </w:r>
      <w:r w:rsidR="009842AF" w:rsidRPr="00D80603">
        <w:rPr>
          <w:rFonts w:ascii="Verdana" w:hAnsi="Verdana" w:cstheme="minorHAnsi"/>
          <w:sz w:val="20"/>
          <w:szCs w:val="20"/>
          <w:lang w:val="es-ES_tradnl"/>
        </w:rPr>
        <w:t>participación</w:t>
      </w:r>
      <w:r w:rsidR="00F673B3" w:rsidRPr="00D80603">
        <w:rPr>
          <w:rFonts w:ascii="Verdana" w:hAnsi="Verdana" w:cstheme="minorHAnsi"/>
          <w:sz w:val="20"/>
          <w:szCs w:val="20"/>
          <w:lang w:val="es-ES_tradnl"/>
        </w:rPr>
        <w:t>”</w:t>
      </w:r>
      <w:r w:rsidR="001D7460" w:rsidRPr="00D80603">
        <w:rPr>
          <w:rFonts w:ascii="Verdana" w:hAnsi="Verdana" w:cstheme="minorHAnsi"/>
          <w:sz w:val="20"/>
          <w:szCs w:val="20"/>
          <w:lang w:val="es-ES_tradnl"/>
        </w:rPr>
        <w:t xml:space="preserve"> constitu</w:t>
      </w:r>
      <w:r w:rsidR="00203AB5" w:rsidRPr="00D80603">
        <w:rPr>
          <w:rFonts w:ascii="Verdana" w:hAnsi="Verdana" w:cstheme="minorHAnsi"/>
          <w:sz w:val="20"/>
          <w:szCs w:val="20"/>
          <w:lang w:val="es-ES_tradnl"/>
        </w:rPr>
        <w:t>ye</w:t>
      </w:r>
      <w:r w:rsidR="001D7460" w:rsidRPr="00D80603">
        <w:rPr>
          <w:rFonts w:ascii="Verdana" w:hAnsi="Verdana" w:cstheme="minorHAnsi"/>
          <w:sz w:val="20"/>
          <w:szCs w:val="20"/>
          <w:lang w:val="es-ES_tradnl"/>
        </w:rPr>
        <w:t xml:space="preserve"> </w:t>
      </w:r>
      <w:r w:rsidR="00241E9A" w:rsidRPr="00D80603">
        <w:rPr>
          <w:rFonts w:ascii="Verdana" w:hAnsi="Verdana" w:cstheme="minorHAnsi"/>
          <w:sz w:val="20"/>
          <w:szCs w:val="20"/>
          <w:lang w:val="es-ES_tradnl"/>
        </w:rPr>
        <w:t xml:space="preserve">una obligación reforzada cuando se trata de la consulta a los pueblos </w:t>
      </w:r>
      <w:r w:rsidR="00000C8F" w:rsidRPr="00D80603">
        <w:rPr>
          <w:rFonts w:ascii="Verdana" w:hAnsi="Verdana" w:cstheme="minorHAnsi"/>
          <w:sz w:val="20"/>
          <w:szCs w:val="20"/>
          <w:lang w:val="es-ES_tradnl"/>
        </w:rPr>
        <w:t>originarios</w:t>
      </w:r>
      <w:r w:rsidR="00241E9A" w:rsidRPr="00D80603">
        <w:rPr>
          <w:rFonts w:ascii="Verdana" w:hAnsi="Verdana" w:cstheme="minorHAnsi"/>
          <w:sz w:val="20"/>
          <w:szCs w:val="20"/>
          <w:lang w:val="es-ES_tradnl"/>
        </w:rPr>
        <w:t xml:space="preserve">, a la luz de los elementos </w:t>
      </w:r>
      <w:r w:rsidR="001D7460" w:rsidRPr="00D80603">
        <w:rPr>
          <w:rFonts w:ascii="Verdana" w:hAnsi="Verdana" w:cstheme="minorHAnsi"/>
          <w:sz w:val="20"/>
          <w:szCs w:val="20"/>
          <w:lang w:val="es-ES_tradnl"/>
        </w:rPr>
        <w:t xml:space="preserve">que ha ido desarrollando </w:t>
      </w:r>
      <w:r w:rsidR="00241E9A" w:rsidRPr="00D80603">
        <w:rPr>
          <w:rFonts w:ascii="Verdana" w:hAnsi="Verdana" w:cstheme="minorHAnsi"/>
          <w:sz w:val="20"/>
          <w:szCs w:val="20"/>
          <w:lang w:val="es-ES_tradnl"/>
        </w:rPr>
        <w:t>la jurisprudencia interamericana</w:t>
      </w:r>
      <w:r w:rsidR="00365E82" w:rsidRPr="00D80603">
        <w:rPr>
          <w:rFonts w:ascii="Verdana" w:hAnsi="Verdana" w:cstheme="minorHAnsi"/>
          <w:sz w:val="20"/>
          <w:szCs w:val="20"/>
          <w:lang w:val="es-ES_tradnl"/>
        </w:rPr>
        <w:t>.</w:t>
      </w:r>
      <w:r w:rsidR="00CC27D6" w:rsidRPr="00D80603">
        <w:rPr>
          <w:rFonts w:ascii="Verdana" w:hAnsi="Verdana" w:cstheme="minorHAnsi"/>
          <w:sz w:val="20"/>
          <w:szCs w:val="20"/>
          <w:lang w:val="es-ES_tradnl"/>
        </w:rPr>
        <w:t xml:space="preserve"> En realidad, el </w:t>
      </w:r>
      <w:r w:rsidR="00CC27D6" w:rsidRPr="00D80603">
        <w:rPr>
          <w:rFonts w:ascii="Verdana" w:hAnsi="Verdana" w:cstheme="minorHAnsi"/>
          <w:i/>
          <w:iCs/>
          <w:sz w:val="20"/>
          <w:szCs w:val="20"/>
          <w:lang w:val="es-ES_tradnl"/>
        </w:rPr>
        <w:t>derecho a la consulta</w:t>
      </w:r>
      <w:r w:rsidR="002078CB" w:rsidRPr="00D80603">
        <w:rPr>
          <w:rFonts w:ascii="Verdana" w:hAnsi="Verdana" w:cstheme="minorHAnsi"/>
          <w:i/>
          <w:iCs/>
          <w:sz w:val="20"/>
          <w:szCs w:val="20"/>
          <w:lang w:val="es-ES_tradnl"/>
        </w:rPr>
        <w:t xml:space="preserve">, previa, libre e </w:t>
      </w:r>
      <w:proofErr w:type="gramStart"/>
      <w:r w:rsidR="002078CB" w:rsidRPr="00D80603">
        <w:rPr>
          <w:rFonts w:ascii="Verdana" w:hAnsi="Verdana" w:cstheme="minorHAnsi"/>
          <w:i/>
          <w:iCs/>
          <w:sz w:val="20"/>
          <w:szCs w:val="20"/>
          <w:lang w:val="es-ES_tradnl"/>
        </w:rPr>
        <w:t>informada,</w:t>
      </w:r>
      <w:proofErr w:type="gramEnd"/>
      <w:r w:rsidR="00CC27D6" w:rsidRPr="00D80603">
        <w:rPr>
          <w:rFonts w:ascii="Verdana" w:hAnsi="Verdana" w:cstheme="minorHAnsi"/>
          <w:sz w:val="20"/>
          <w:szCs w:val="20"/>
          <w:lang w:val="es-ES_tradnl"/>
        </w:rPr>
        <w:t xml:space="preserve"> incluye</w:t>
      </w:r>
      <w:r w:rsidR="001D7460" w:rsidRPr="00D80603">
        <w:rPr>
          <w:rFonts w:ascii="Verdana" w:hAnsi="Verdana" w:cstheme="minorHAnsi"/>
          <w:sz w:val="20"/>
          <w:szCs w:val="20"/>
          <w:lang w:val="es-ES_tradnl"/>
        </w:rPr>
        <w:t xml:space="preserve">, </w:t>
      </w:r>
      <w:r w:rsidR="00CC27D6" w:rsidRPr="00D80603">
        <w:rPr>
          <w:rFonts w:ascii="Verdana" w:hAnsi="Verdana" w:cstheme="minorHAnsi"/>
          <w:sz w:val="20"/>
          <w:szCs w:val="20"/>
          <w:lang w:val="es-ES_tradnl"/>
        </w:rPr>
        <w:t>necesariament</w:t>
      </w:r>
      <w:r w:rsidR="003F46D3" w:rsidRPr="00D80603">
        <w:rPr>
          <w:rFonts w:ascii="Verdana" w:hAnsi="Verdana" w:cstheme="minorHAnsi"/>
          <w:sz w:val="20"/>
          <w:szCs w:val="20"/>
          <w:lang w:val="es-ES_tradnl"/>
        </w:rPr>
        <w:t>e,</w:t>
      </w:r>
      <w:r w:rsidR="00CC27D6" w:rsidRPr="00D80603">
        <w:rPr>
          <w:rFonts w:ascii="Verdana" w:hAnsi="Verdana" w:cstheme="minorHAnsi"/>
          <w:sz w:val="20"/>
          <w:szCs w:val="20"/>
          <w:lang w:val="es-ES_tradnl"/>
        </w:rPr>
        <w:t xml:space="preserve"> entre sus elementos </w:t>
      </w:r>
      <w:r w:rsidR="003F46D3" w:rsidRPr="00D80603">
        <w:rPr>
          <w:rFonts w:ascii="Verdana" w:hAnsi="Verdana" w:cstheme="minorHAnsi"/>
          <w:sz w:val="20"/>
          <w:szCs w:val="20"/>
          <w:lang w:val="es-ES_tradnl"/>
        </w:rPr>
        <w:t>esenciales,</w:t>
      </w:r>
      <w:r w:rsidR="00CC27D6" w:rsidRPr="00D80603">
        <w:rPr>
          <w:rFonts w:ascii="Verdana" w:hAnsi="Verdana" w:cstheme="minorHAnsi"/>
          <w:sz w:val="20"/>
          <w:szCs w:val="20"/>
          <w:lang w:val="es-ES_tradnl"/>
        </w:rPr>
        <w:t xml:space="preserve"> </w:t>
      </w:r>
      <w:r w:rsidR="00CC27D6" w:rsidRPr="00D80603">
        <w:rPr>
          <w:rFonts w:ascii="Verdana" w:hAnsi="Verdana" w:cstheme="minorHAnsi"/>
          <w:i/>
          <w:iCs/>
          <w:sz w:val="20"/>
          <w:szCs w:val="20"/>
          <w:lang w:val="es-ES_tradnl"/>
        </w:rPr>
        <w:t xml:space="preserve">la participación </w:t>
      </w:r>
      <w:r w:rsidR="003F46D3" w:rsidRPr="00D80603">
        <w:rPr>
          <w:rFonts w:ascii="Verdana" w:hAnsi="Verdana" w:cstheme="minorHAnsi"/>
          <w:i/>
          <w:iCs/>
          <w:sz w:val="20"/>
          <w:szCs w:val="20"/>
          <w:lang w:val="es-ES_tradnl"/>
        </w:rPr>
        <w:t xml:space="preserve">efectiva </w:t>
      </w:r>
      <w:r w:rsidR="00CC27D6" w:rsidRPr="00D80603">
        <w:rPr>
          <w:rFonts w:ascii="Verdana" w:hAnsi="Verdana" w:cstheme="minorHAnsi"/>
          <w:sz w:val="20"/>
          <w:szCs w:val="20"/>
          <w:lang w:val="es-ES_tradnl"/>
        </w:rPr>
        <w:t xml:space="preserve">de los pueblos o comunidades </w:t>
      </w:r>
      <w:r w:rsidR="00082095" w:rsidRPr="00D80603">
        <w:rPr>
          <w:rFonts w:ascii="Verdana" w:hAnsi="Verdana" w:cstheme="minorHAnsi"/>
          <w:sz w:val="20"/>
          <w:szCs w:val="20"/>
          <w:lang w:val="es-ES_tradnl"/>
        </w:rPr>
        <w:t>indígenas o tribales “en las decisiones relativas a medidas que pueden afectar sus derechos, y en particular su derecho a la propiedad comunal, de acuerdo con sus valores, costumbres y formas de organización”</w:t>
      </w:r>
      <w:r w:rsidR="00082095" w:rsidRPr="00D80603">
        <w:rPr>
          <w:rStyle w:val="Refdenotaalpie"/>
          <w:rFonts w:ascii="Verdana" w:hAnsi="Verdana" w:cstheme="minorHAnsi"/>
          <w:sz w:val="20"/>
          <w:szCs w:val="20"/>
          <w:lang w:val="es-ES_tradnl"/>
        </w:rPr>
        <w:footnoteReference w:id="48"/>
      </w:r>
      <w:r w:rsidR="00082095" w:rsidRPr="00D80603">
        <w:rPr>
          <w:rFonts w:ascii="Verdana" w:hAnsi="Verdana" w:cstheme="minorHAnsi"/>
          <w:sz w:val="20"/>
          <w:szCs w:val="20"/>
          <w:lang w:val="es-ES_tradnl"/>
        </w:rPr>
        <w:t>.</w:t>
      </w:r>
      <w:r w:rsidR="00CC27D6" w:rsidRPr="00D80603">
        <w:rPr>
          <w:rFonts w:ascii="Verdana" w:hAnsi="Verdana" w:cstheme="minorHAnsi"/>
          <w:sz w:val="20"/>
          <w:szCs w:val="20"/>
          <w:lang w:val="es-ES_tradnl"/>
        </w:rPr>
        <w:t xml:space="preserve"> </w:t>
      </w:r>
    </w:p>
    <w:p w14:paraId="1F7D34D5" w14:textId="5D7F5018" w:rsidR="00365E82" w:rsidRPr="00D80603" w:rsidRDefault="00F6001E" w:rsidP="001D7460">
      <w:pPr>
        <w:spacing w:before="120" w:after="120"/>
        <w:jc w:val="both"/>
        <w:rPr>
          <w:rFonts w:ascii="Verdana" w:hAnsi="Verdana" w:cstheme="minorHAnsi"/>
          <w:sz w:val="20"/>
          <w:szCs w:val="20"/>
          <w:lang w:val="es-ES_tradnl"/>
        </w:rPr>
      </w:pPr>
      <w:r w:rsidRPr="00D80603">
        <w:rPr>
          <w:rFonts w:ascii="Verdana" w:hAnsi="Verdana" w:cstheme="minorHAnsi"/>
          <w:sz w:val="20"/>
          <w:szCs w:val="20"/>
          <w:lang w:val="es-ES_tradnl"/>
        </w:rPr>
        <w:lastRenderedPageBreak/>
        <w:t>6</w:t>
      </w:r>
      <w:r w:rsidR="00B83A7D" w:rsidRPr="00D80603">
        <w:rPr>
          <w:rFonts w:ascii="Verdana" w:hAnsi="Verdana" w:cstheme="minorHAnsi"/>
          <w:sz w:val="20"/>
          <w:szCs w:val="20"/>
          <w:lang w:val="es-ES_tradnl"/>
        </w:rPr>
        <w:t>5</w:t>
      </w:r>
      <w:r w:rsidRPr="00D80603">
        <w:rPr>
          <w:rFonts w:ascii="Verdana" w:hAnsi="Verdana" w:cstheme="minorHAnsi"/>
          <w:sz w:val="20"/>
          <w:szCs w:val="20"/>
          <w:lang w:val="es-ES_tradnl"/>
        </w:rPr>
        <w:t xml:space="preserve">. </w:t>
      </w:r>
      <w:r w:rsidRPr="00D80603">
        <w:rPr>
          <w:rFonts w:ascii="Verdana" w:hAnsi="Verdana" w:cstheme="minorHAnsi"/>
          <w:sz w:val="20"/>
          <w:szCs w:val="20"/>
          <w:lang w:val="es-ES_tradnl"/>
        </w:rPr>
        <w:tab/>
      </w:r>
      <w:r w:rsidR="00425001" w:rsidRPr="00D80603">
        <w:rPr>
          <w:rFonts w:ascii="Verdana" w:hAnsi="Verdana" w:cstheme="minorHAnsi"/>
          <w:sz w:val="20"/>
          <w:szCs w:val="20"/>
          <w:lang w:val="es-ES_tradnl"/>
        </w:rPr>
        <w:t>Ta</w:t>
      </w:r>
      <w:r w:rsidR="002078CB" w:rsidRPr="00D80603">
        <w:rPr>
          <w:rFonts w:ascii="Verdana" w:hAnsi="Verdana" w:cstheme="minorHAnsi"/>
          <w:sz w:val="20"/>
          <w:szCs w:val="20"/>
          <w:lang w:val="es-ES_tradnl"/>
        </w:rPr>
        <w:t>l y como lo expresamos en nuestro voto</w:t>
      </w:r>
      <w:r w:rsidR="0016707D" w:rsidRPr="00D80603">
        <w:rPr>
          <w:rFonts w:ascii="Verdana" w:hAnsi="Verdana" w:cstheme="minorHAnsi"/>
          <w:sz w:val="20"/>
          <w:szCs w:val="20"/>
          <w:lang w:val="es-ES_tradnl"/>
        </w:rPr>
        <w:t xml:space="preserve"> concurrente en el caso </w:t>
      </w:r>
      <w:r w:rsidR="002078CB" w:rsidRPr="00D80603">
        <w:rPr>
          <w:rFonts w:ascii="Verdana" w:eastAsia="Verdana" w:hAnsi="Verdana"/>
          <w:i/>
          <w:iCs/>
          <w:sz w:val="20"/>
          <w:szCs w:val="20"/>
        </w:rPr>
        <w:t>Agua Caliente</w:t>
      </w:r>
      <w:r w:rsidR="0016707D" w:rsidRPr="00D80603">
        <w:rPr>
          <w:rFonts w:ascii="Verdana" w:eastAsia="Verdana" w:hAnsi="Verdana"/>
          <w:i/>
          <w:iCs/>
          <w:sz w:val="20"/>
          <w:szCs w:val="20"/>
        </w:rPr>
        <w:t xml:space="preserve"> Vs. Guatemala</w:t>
      </w:r>
      <w:r w:rsidR="001D7460" w:rsidRPr="00D80603">
        <w:rPr>
          <w:rStyle w:val="Refdenotaalpie"/>
          <w:rFonts w:ascii="Verdana" w:eastAsia="Verdana" w:hAnsi="Verdana"/>
          <w:sz w:val="20"/>
          <w:szCs w:val="20"/>
        </w:rPr>
        <w:footnoteReference w:id="49"/>
      </w:r>
      <w:r w:rsidR="002078CB" w:rsidRPr="00D80603">
        <w:rPr>
          <w:rFonts w:ascii="Verdana" w:eastAsia="Verdana" w:hAnsi="Verdana"/>
          <w:sz w:val="20"/>
          <w:szCs w:val="20"/>
        </w:rPr>
        <w:t xml:space="preserve">, </w:t>
      </w:r>
      <w:r w:rsidR="0016707D" w:rsidRPr="00D80603">
        <w:rPr>
          <w:rFonts w:ascii="Verdana" w:eastAsia="Verdana" w:hAnsi="Verdana"/>
          <w:sz w:val="20"/>
          <w:szCs w:val="20"/>
        </w:rPr>
        <w:t xml:space="preserve">el entendimiento autónomo desde la Convención Americana de cada </w:t>
      </w:r>
      <w:r w:rsidR="003F46D3" w:rsidRPr="00D80603">
        <w:rPr>
          <w:rFonts w:ascii="Verdana" w:eastAsia="Verdana" w:hAnsi="Verdana"/>
          <w:sz w:val="20"/>
          <w:szCs w:val="20"/>
        </w:rPr>
        <w:t xml:space="preserve">uno </w:t>
      </w:r>
      <w:r w:rsidR="0016707D" w:rsidRPr="00D80603">
        <w:rPr>
          <w:rFonts w:ascii="Verdana" w:eastAsia="Verdana" w:hAnsi="Verdana"/>
          <w:sz w:val="20"/>
          <w:szCs w:val="20"/>
        </w:rPr>
        <w:t xml:space="preserve">de los derechos establecidos permite delimitar el ámbito de incidencia de las obligaciones del Estado en relación con la garantía del </w:t>
      </w:r>
      <w:r w:rsidR="0016707D" w:rsidRPr="00D80603">
        <w:rPr>
          <w:rFonts w:ascii="Verdana" w:eastAsia="Verdana" w:hAnsi="Verdana"/>
          <w:i/>
          <w:iCs/>
          <w:sz w:val="20"/>
          <w:szCs w:val="20"/>
        </w:rPr>
        <w:t>derecho a la consulta</w:t>
      </w:r>
      <w:r w:rsidR="003F46D3" w:rsidRPr="00D80603">
        <w:rPr>
          <w:rFonts w:ascii="Verdana" w:eastAsia="Verdana" w:hAnsi="Verdana"/>
          <w:i/>
          <w:iCs/>
          <w:sz w:val="20"/>
          <w:szCs w:val="20"/>
        </w:rPr>
        <w:t xml:space="preserve"> previa, libre e informada.</w:t>
      </w:r>
      <w:r w:rsidR="003F46D3" w:rsidRPr="00D80603">
        <w:rPr>
          <w:rFonts w:ascii="Verdana" w:eastAsia="Verdana" w:hAnsi="Verdana"/>
          <w:sz w:val="20"/>
          <w:szCs w:val="20"/>
        </w:rPr>
        <w:t xml:space="preserve"> </w:t>
      </w:r>
      <w:r w:rsidR="00241E9A" w:rsidRPr="00D80603">
        <w:rPr>
          <w:rFonts w:ascii="Verdana" w:eastAsia="Verdana" w:hAnsi="Verdana"/>
          <w:sz w:val="20"/>
          <w:szCs w:val="20"/>
        </w:rPr>
        <w:t>L</w:t>
      </w:r>
      <w:r w:rsidR="002078CB" w:rsidRPr="00D80603">
        <w:rPr>
          <w:rFonts w:ascii="Verdana" w:eastAsia="Verdana" w:hAnsi="Verdana"/>
          <w:sz w:val="20"/>
          <w:szCs w:val="20"/>
        </w:rPr>
        <w:t xml:space="preserve">a perspectiva hermenéutica tradicional de la Corte IDH en la materia, informada por una lógica de autosuficiencia de las disposiciones convencionales, </w:t>
      </w:r>
      <w:r w:rsidR="0016707D" w:rsidRPr="00D80603">
        <w:rPr>
          <w:rFonts w:ascii="Verdana" w:eastAsia="Verdana" w:hAnsi="Verdana"/>
          <w:sz w:val="20"/>
          <w:szCs w:val="20"/>
        </w:rPr>
        <w:t>ha cedido</w:t>
      </w:r>
      <w:r w:rsidR="002078CB" w:rsidRPr="00D80603">
        <w:rPr>
          <w:rFonts w:ascii="Verdana" w:eastAsia="Verdana" w:hAnsi="Verdana"/>
          <w:sz w:val="20"/>
          <w:szCs w:val="20"/>
        </w:rPr>
        <w:t xml:space="preserve"> en favor de un </w:t>
      </w:r>
      <w:r w:rsidR="002078CB" w:rsidRPr="00D80603">
        <w:rPr>
          <w:rFonts w:ascii="Verdana" w:eastAsia="Verdana" w:hAnsi="Verdana"/>
          <w:i/>
          <w:iCs/>
          <w:sz w:val="20"/>
          <w:szCs w:val="20"/>
        </w:rPr>
        <w:t>enfoque integral</w:t>
      </w:r>
      <w:r w:rsidR="002078CB" w:rsidRPr="00D80603">
        <w:rPr>
          <w:rFonts w:ascii="Verdana" w:eastAsia="Verdana" w:hAnsi="Verdana"/>
          <w:sz w:val="20"/>
          <w:szCs w:val="20"/>
        </w:rPr>
        <w:t xml:space="preserve"> de la Convención</w:t>
      </w:r>
      <w:r w:rsidR="0016707D" w:rsidRPr="00D80603">
        <w:rPr>
          <w:rFonts w:ascii="Verdana" w:eastAsia="Verdana" w:hAnsi="Verdana"/>
          <w:sz w:val="20"/>
          <w:szCs w:val="20"/>
        </w:rPr>
        <w:t xml:space="preserve"> Americana</w:t>
      </w:r>
      <w:r w:rsidR="002078CB" w:rsidRPr="00D80603">
        <w:rPr>
          <w:rFonts w:ascii="Verdana" w:eastAsia="Verdana" w:hAnsi="Verdana"/>
          <w:sz w:val="20"/>
          <w:szCs w:val="20"/>
        </w:rPr>
        <w:t>, que exige la aplicación concomitante de todas las disposiciones susceptibles de ser violadas</w:t>
      </w:r>
      <w:r w:rsidR="0016707D" w:rsidRPr="00D80603">
        <w:rPr>
          <w:rFonts w:ascii="Verdana" w:eastAsia="Verdana" w:hAnsi="Verdana"/>
          <w:sz w:val="20"/>
          <w:szCs w:val="20"/>
        </w:rPr>
        <w:t xml:space="preserve"> </w:t>
      </w:r>
      <w:r w:rsidR="009842AF" w:rsidRPr="00D80603">
        <w:rPr>
          <w:rFonts w:ascii="Verdana" w:eastAsia="Verdana" w:hAnsi="Verdana"/>
          <w:sz w:val="20"/>
          <w:szCs w:val="20"/>
        </w:rPr>
        <w:t>(</w:t>
      </w:r>
      <w:r w:rsidR="002078CB" w:rsidRPr="00D80603">
        <w:rPr>
          <w:rFonts w:ascii="Verdana" w:eastAsia="Verdana" w:hAnsi="Verdana"/>
          <w:sz w:val="20"/>
          <w:szCs w:val="20"/>
        </w:rPr>
        <w:t xml:space="preserve">artículos </w:t>
      </w:r>
      <w:r w:rsidR="009842AF" w:rsidRPr="00D80603">
        <w:rPr>
          <w:rFonts w:ascii="Verdana" w:eastAsia="Verdana" w:hAnsi="Verdana"/>
          <w:sz w:val="20"/>
          <w:szCs w:val="20"/>
        </w:rPr>
        <w:t xml:space="preserve">1, 2, </w:t>
      </w:r>
      <w:r w:rsidR="002078CB" w:rsidRPr="00D80603">
        <w:rPr>
          <w:rFonts w:ascii="Verdana" w:eastAsia="Verdana" w:hAnsi="Verdana"/>
          <w:sz w:val="20"/>
          <w:szCs w:val="20"/>
        </w:rPr>
        <w:t>13, 21 y 23 de</w:t>
      </w:r>
      <w:r w:rsidR="0016707D" w:rsidRPr="00D80603">
        <w:rPr>
          <w:rFonts w:ascii="Verdana" w:eastAsia="Verdana" w:hAnsi="Verdana"/>
          <w:sz w:val="20"/>
          <w:szCs w:val="20"/>
        </w:rPr>
        <w:t>l Pacto de San José</w:t>
      </w:r>
      <w:r w:rsidR="002078CB" w:rsidRPr="00D80603">
        <w:rPr>
          <w:rFonts w:ascii="Verdana" w:eastAsia="Verdana" w:hAnsi="Verdana"/>
          <w:sz w:val="20"/>
          <w:szCs w:val="20"/>
        </w:rPr>
        <w:t xml:space="preserve">), </w:t>
      </w:r>
      <w:r w:rsidR="0016707D" w:rsidRPr="00D80603">
        <w:rPr>
          <w:rFonts w:ascii="Verdana" w:eastAsia="Verdana" w:hAnsi="Verdana"/>
          <w:sz w:val="20"/>
          <w:szCs w:val="20"/>
        </w:rPr>
        <w:t xml:space="preserve">disposiciones que </w:t>
      </w:r>
      <w:r w:rsidR="002078CB" w:rsidRPr="00D80603">
        <w:rPr>
          <w:rFonts w:ascii="Verdana" w:eastAsia="Verdana" w:hAnsi="Verdana"/>
          <w:sz w:val="20"/>
          <w:szCs w:val="20"/>
        </w:rPr>
        <w:t>tienen un ámbito específico de protección en relación con el derecho a la consulta previa.</w:t>
      </w:r>
      <w:r w:rsidR="00241E9A" w:rsidRPr="00D80603">
        <w:rPr>
          <w:rFonts w:ascii="Verdana" w:eastAsia="Verdana" w:hAnsi="Verdana"/>
          <w:sz w:val="20"/>
          <w:szCs w:val="20"/>
        </w:rPr>
        <w:t xml:space="preserve"> Y lo anterior</w:t>
      </w:r>
      <w:r w:rsidR="00203AB5" w:rsidRPr="00D80603">
        <w:rPr>
          <w:rFonts w:ascii="Verdana" w:eastAsia="Verdana" w:hAnsi="Verdana"/>
          <w:sz w:val="20"/>
          <w:szCs w:val="20"/>
        </w:rPr>
        <w:t>,</w:t>
      </w:r>
      <w:r w:rsidR="00241E9A" w:rsidRPr="00D80603">
        <w:rPr>
          <w:rFonts w:ascii="Verdana" w:eastAsia="Verdana" w:hAnsi="Verdana"/>
          <w:sz w:val="20"/>
          <w:szCs w:val="20"/>
        </w:rPr>
        <w:t xml:space="preserve"> sin condicionar la</w:t>
      </w:r>
      <w:r w:rsidR="001D7460" w:rsidRPr="00D80603">
        <w:rPr>
          <w:rFonts w:ascii="Verdana" w:eastAsia="Verdana" w:hAnsi="Verdana"/>
          <w:sz w:val="20"/>
          <w:szCs w:val="20"/>
        </w:rPr>
        <w:t xml:space="preserve"> </w:t>
      </w:r>
      <w:r w:rsidR="00241E9A" w:rsidRPr="00D80603">
        <w:rPr>
          <w:rFonts w:ascii="Verdana" w:eastAsia="Verdana" w:hAnsi="Verdana"/>
          <w:sz w:val="20"/>
          <w:szCs w:val="20"/>
        </w:rPr>
        <w:t xml:space="preserve">obligación de </w:t>
      </w:r>
      <w:r w:rsidR="009842AF" w:rsidRPr="00D80603">
        <w:rPr>
          <w:rFonts w:ascii="Verdana" w:eastAsia="Verdana" w:hAnsi="Verdana"/>
          <w:sz w:val="20"/>
          <w:szCs w:val="20"/>
        </w:rPr>
        <w:t xml:space="preserve">consulta a </w:t>
      </w:r>
      <w:r w:rsidR="00241E9A" w:rsidRPr="00D80603">
        <w:rPr>
          <w:rFonts w:ascii="Verdana" w:eastAsia="Verdana" w:hAnsi="Verdana"/>
          <w:sz w:val="20"/>
          <w:szCs w:val="20"/>
        </w:rPr>
        <w:t>otros instrumentos internacionales, como el Convenio 169 de la OIT.</w:t>
      </w:r>
    </w:p>
    <w:p w14:paraId="118966D6" w14:textId="097B4EF5" w:rsidR="00E83793" w:rsidRPr="00D80603" w:rsidRDefault="00F6001E" w:rsidP="003F434E">
      <w:pPr>
        <w:tabs>
          <w:tab w:val="left" w:pos="567"/>
        </w:tabs>
        <w:ind w:right="48"/>
        <w:jc w:val="both"/>
        <w:rPr>
          <w:rFonts w:ascii="Verdana" w:hAnsi="Verdana" w:cstheme="minorHAnsi"/>
          <w:sz w:val="20"/>
          <w:szCs w:val="20"/>
          <w:lang w:val="es-ES_tradnl"/>
        </w:rPr>
      </w:pPr>
      <w:r w:rsidRPr="00D80603">
        <w:rPr>
          <w:rFonts w:ascii="Verdana" w:hAnsi="Verdana" w:cstheme="minorHAnsi"/>
          <w:sz w:val="20"/>
          <w:szCs w:val="20"/>
          <w:lang w:val="es-ES_tradnl"/>
        </w:rPr>
        <w:t>6</w:t>
      </w:r>
      <w:r w:rsidR="00B83A7D" w:rsidRPr="00D80603">
        <w:rPr>
          <w:rFonts w:ascii="Verdana" w:hAnsi="Verdana" w:cstheme="minorHAnsi"/>
          <w:sz w:val="20"/>
          <w:szCs w:val="20"/>
          <w:lang w:val="es-ES_tradnl"/>
        </w:rPr>
        <w:t>6</w:t>
      </w:r>
      <w:r w:rsidRPr="00D80603">
        <w:rPr>
          <w:rFonts w:ascii="Verdana" w:hAnsi="Verdana" w:cstheme="minorHAnsi"/>
          <w:sz w:val="20"/>
          <w:szCs w:val="20"/>
          <w:lang w:val="es-ES_tradnl"/>
        </w:rPr>
        <w:t xml:space="preserve">. </w:t>
      </w:r>
      <w:r w:rsidRPr="00D80603">
        <w:rPr>
          <w:rFonts w:ascii="Verdana" w:hAnsi="Verdana" w:cstheme="minorHAnsi"/>
          <w:sz w:val="20"/>
          <w:szCs w:val="20"/>
          <w:lang w:val="es-ES_tradnl"/>
        </w:rPr>
        <w:tab/>
      </w:r>
      <w:r w:rsidR="00B61E09" w:rsidRPr="00D80603">
        <w:rPr>
          <w:rFonts w:ascii="Verdana" w:hAnsi="Verdana" w:cstheme="minorHAnsi"/>
          <w:sz w:val="20"/>
          <w:szCs w:val="20"/>
          <w:lang w:val="es-ES_tradnl"/>
        </w:rPr>
        <w:t>E</w:t>
      </w:r>
      <w:r w:rsidR="00363769" w:rsidRPr="00D80603">
        <w:rPr>
          <w:rFonts w:ascii="Verdana" w:hAnsi="Verdana" w:cstheme="minorHAnsi"/>
          <w:sz w:val="20"/>
          <w:szCs w:val="20"/>
          <w:lang w:val="es-ES_tradnl"/>
        </w:rPr>
        <w:t>n cuanto a las reparaciones ordenada</w:t>
      </w:r>
      <w:r w:rsidR="00DF7CD1" w:rsidRPr="00D80603">
        <w:rPr>
          <w:rFonts w:ascii="Verdana" w:hAnsi="Verdana" w:cstheme="minorHAnsi"/>
          <w:sz w:val="20"/>
          <w:szCs w:val="20"/>
          <w:lang w:val="es-ES_tradnl"/>
        </w:rPr>
        <w:t>s, debido a las particularidades del presente caso</w:t>
      </w:r>
      <w:r w:rsidR="001D5C27" w:rsidRPr="00D80603">
        <w:rPr>
          <w:rStyle w:val="Refdenotaalpie"/>
          <w:rFonts w:ascii="Verdana" w:hAnsi="Verdana" w:cstheme="minorHAnsi"/>
          <w:sz w:val="20"/>
          <w:szCs w:val="20"/>
          <w:lang w:val="es-ES_tradnl"/>
        </w:rPr>
        <w:footnoteReference w:id="50"/>
      </w:r>
      <w:r w:rsidR="00DF7CD1" w:rsidRPr="00D80603">
        <w:rPr>
          <w:rFonts w:ascii="Verdana" w:hAnsi="Verdana" w:cstheme="minorHAnsi"/>
          <w:sz w:val="20"/>
          <w:szCs w:val="20"/>
          <w:lang w:val="es-ES_tradnl"/>
        </w:rPr>
        <w:t xml:space="preserve">, </w:t>
      </w:r>
      <w:r w:rsidR="001D5C27" w:rsidRPr="00D80603">
        <w:rPr>
          <w:rFonts w:ascii="Verdana" w:hAnsi="Verdana" w:cstheme="minorHAnsi"/>
          <w:sz w:val="20"/>
          <w:szCs w:val="20"/>
          <w:lang w:val="es-ES_tradnl"/>
        </w:rPr>
        <w:t xml:space="preserve">al existir motivos “razonables y fundados”, </w:t>
      </w:r>
      <w:r w:rsidR="00DF7CD1" w:rsidRPr="00D80603">
        <w:rPr>
          <w:rFonts w:ascii="Verdana" w:hAnsi="Verdana" w:cstheme="minorHAnsi"/>
          <w:sz w:val="20"/>
          <w:szCs w:val="20"/>
          <w:lang w:val="es-ES_tradnl"/>
        </w:rPr>
        <w:t>no resultaba factible la restitución de l</w:t>
      </w:r>
      <w:r w:rsidR="001D5C27" w:rsidRPr="00D80603">
        <w:rPr>
          <w:rFonts w:ascii="Verdana" w:hAnsi="Verdana" w:cstheme="minorHAnsi"/>
          <w:sz w:val="20"/>
          <w:szCs w:val="20"/>
          <w:lang w:val="es-ES_tradnl"/>
        </w:rPr>
        <w:t>os territorios ancestrales</w:t>
      </w:r>
      <w:r w:rsidR="00E83793" w:rsidRPr="00D80603">
        <w:rPr>
          <w:rFonts w:ascii="Verdana" w:hAnsi="Verdana" w:cstheme="minorHAnsi"/>
          <w:sz w:val="20"/>
          <w:szCs w:val="20"/>
          <w:lang w:val="es-ES_tradnl"/>
        </w:rPr>
        <w:t xml:space="preserve"> (que implicaba</w:t>
      </w:r>
      <w:r w:rsidR="00203AB5" w:rsidRPr="00D80603">
        <w:rPr>
          <w:rFonts w:ascii="Verdana" w:hAnsi="Verdana" w:cstheme="minorHAnsi"/>
          <w:sz w:val="20"/>
          <w:szCs w:val="20"/>
          <w:lang w:val="es-ES_tradnl"/>
        </w:rPr>
        <w:t xml:space="preserve">, </w:t>
      </w:r>
      <w:r w:rsidR="00203AB5" w:rsidRPr="00D80603">
        <w:rPr>
          <w:rFonts w:ascii="Verdana" w:hAnsi="Verdana" w:cstheme="minorHAnsi"/>
          <w:i/>
          <w:iCs/>
          <w:sz w:val="20"/>
          <w:szCs w:val="20"/>
          <w:lang w:val="es-ES_tradnl"/>
        </w:rPr>
        <w:t>inter alia</w:t>
      </w:r>
      <w:r w:rsidR="00203AB5" w:rsidRPr="00D80603">
        <w:rPr>
          <w:rFonts w:ascii="Verdana" w:hAnsi="Verdana" w:cstheme="minorHAnsi"/>
          <w:sz w:val="20"/>
          <w:szCs w:val="20"/>
          <w:lang w:val="es-ES_tradnl"/>
        </w:rPr>
        <w:t>,</w:t>
      </w:r>
      <w:r w:rsidR="00E83793" w:rsidRPr="00D80603">
        <w:rPr>
          <w:rFonts w:ascii="Verdana" w:hAnsi="Verdana" w:cstheme="minorHAnsi"/>
          <w:sz w:val="20"/>
          <w:szCs w:val="20"/>
          <w:lang w:val="es-ES_tradnl"/>
        </w:rPr>
        <w:t xml:space="preserve"> la expropiación y desalojo de 7,620 personas no garífunas que habitan esa área</w:t>
      </w:r>
      <w:r w:rsidR="00F673B3" w:rsidRPr="00D80603">
        <w:rPr>
          <w:rFonts w:ascii="Verdana" w:hAnsi="Verdana" w:cstheme="minorHAnsi"/>
          <w:sz w:val="20"/>
          <w:szCs w:val="20"/>
          <w:lang w:val="es-ES_tradnl"/>
        </w:rPr>
        <w:t xml:space="preserve"> y que poseen título de propiedad</w:t>
      </w:r>
      <w:r w:rsidR="00E83793" w:rsidRPr="00D80603">
        <w:rPr>
          <w:rFonts w:ascii="Verdana" w:hAnsi="Verdana" w:cstheme="minorHAnsi"/>
          <w:sz w:val="20"/>
          <w:szCs w:val="20"/>
          <w:lang w:val="es-ES_tradnl"/>
        </w:rPr>
        <w:t>)</w:t>
      </w:r>
      <w:r w:rsidR="001D5C27" w:rsidRPr="00D80603">
        <w:rPr>
          <w:rFonts w:ascii="Verdana" w:hAnsi="Verdana" w:cstheme="minorHAnsi"/>
          <w:sz w:val="20"/>
          <w:szCs w:val="20"/>
          <w:lang w:val="es-ES_tradnl"/>
        </w:rPr>
        <w:t>. Ello no puede considerarse un cambio de la jurisprudencia histórica del Tribunal, ya que se trata de una situación excepcional</w:t>
      </w:r>
      <w:r w:rsidR="001D7460" w:rsidRPr="00D80603">
        <w:rPr>
          <w:rFonts w:ascii="Verdana" w:hAnsi="Verdana" w:cstheme="minorHAnsi"/>
          <w:sz w:val="20"/>
          <w:szCs w:val="20"/>
          <w:lang w:val="es-ES_tradnl"/>
        </w:rPr>
        <w:t xml:space="preserve">, considerando </w:t>
      </w:r>
      <w:r w:rsidR="00203AB5" w:rsidRPr="00D80603">
        <w:rPr>
          <w:rFonts w:ascii="Verdana" w:hAnsi="Verdana" w:cstheme="minorHAnsi"/>
          <w:sz w:val="20"/>
          <w:szCs w:val="20"/>
          <w:lang w:val="es-ES_tradnl"/>
        </w:rPr>
        <w:t>las</w:t>
      </w:r>
      <w:r w:rsidR="00E83793" w:rsidRPr="00D80603">
        <w:rPr>
          <w:rFonts w:ascii="Verdana" w:hAnsi="Verdana" w:cstheme="minorHAnsi"/>
          <w:sz w:val="20"/>
          <w:szCs w:val="20"/>
          <w:lang w:val="es-ES_tradnl"/>
        </w:rPr>
        <w:t xml:space="preserve"> circunstancias </w:t>
      </w:r>
      <w:r w:rsidR="009838F1" w:rsidRPr="00D80603">
        <w:rPr>
          <w:rFonts w:ascii="Verdana" w:hAnsi="Verdana" w:cstheme="minorHAnsi"/>
          <w:sz w:val="20"/>
          <w:szCs w:val="20"/>
          <w:lang w:val="es-ES_tradnl"/>
        </w:rPr>
        <w:t>particulares</w:t>
      </w:r>
      <w:r w:rsidR="00203AB5" w:rsidRPr="00D80603">
        <w:rPr>
          <w:rFonts w:ascii="Verdana" w:hAnsi="Verdana" w:cstheme="minorHAnsi"/>
          <w:sz w:val="20"/>
          <w:szCs w:val="20"/>
          <w:lang w:val="es-ES_tradnl"/>
        </w:rPr>
        <w:t xml:space="preserve"> del caso concreto,</w:t>
      </w:r>
      <w:r w:rsidR="00E83793" w:rsidRPr="00D80603">
        <w:rPr>
          <w:rFonts w:ascii="Verdana" w:hAnsi="Verdana" w:cstheme="minorHAnsi"/>
          <w:sz w:val="20"/>
          <w:szCs w:val="20"/>
          <w:lang w:val="es-ES_tradnl"/>
        </w:rPr>
        <w:t xml:space="preserve"> que incluso la Corte IH corroboró mediante una diligencia de inspección ocular</w:t>
      </w:r>
      <w:r w:rsidR="00203AB5" w:rsidRPr="00D80603">
        <w:rPr>
          <w:rFonts w:ascii="Verdana" w:hAnsi="Verdana" w:cstheme="minorHAnsi"/>
          <w:sz w:val="20"/>
          <w:szCs w:val="20"/>
          <w:lang w:val="es-ES_tradnl"/>
        </w:rPr>
        <w:t xml:space="preserve"> previo al dictado del fallo.</w:t>
      </w:r>
      <w:r w:rsidR="00E83793" w:rsidRPr="00D80603">
        <w:rPr>
          <w:rFonts w:ascii="Verdana" w:hAnsi="Verdana" w:cstheme="minorHAnsi"/>
          <w:sz w:val="20"/>
          <w:szCs w:val="20"/>
          <w:lang w:val="es-ES_tradnl"/>
        </w:rPr>
        <w:t xml:space="preserve">  </w:t>
      </w:r>
    </w:p>
    <w:p w14:paraId="6D502DD3" w14:textId="77777777" w:rsidR="00E83793" w:rsidRPr="00D80603" w:rsidRDefault="00E83793" w:rsidP="003F434E">
      <w:pPr>
        <w:tabs>
          <w:tab w:val="left" w:pos="567"/>
        </w:tabs>
        <w:ind w:right="48"/>
        <w:jc w:val="both"/>
        <w:rPr>
          <w:rFonts w:ascii="Verdana" w:hAnsi="Verdana" w:cstheme="minorHAnsi"/>
          <w:sz w:val="20"/>
          <w:szCs w:val="20"/>
          <w:lang w:val="es-ES_tradnl"/>
        </w:rPr>
      </w:pPr>
    </w:p>
    <w:p w14:paraId="0F9C84D6" w14:textId="55BEE503" w:rsidR="00DF7CD1" w:rsidRPr="00D80603" w:rsidRDefault="00F6001E" w:rsidP="003F434E">
      <w:pPr>
        <w:tabs>
          <w:tab w:val="left" w:pos="567"/>
        </w:tabs>
        <w:ind w:right="48"/>
        <w:jc w:val="both"/>
        <w:rPr>
          <w:rFonts w:ascii="Verdana" w:hAnsi="Verdana" w:cstheme="minorHAnsi"/>
          <w:sz w:val="20"/>
          <w:szCs w:val="20"/>
          <w:lang w:val="es-ES_tradnl"/>
        </w:rPr>
      </w:pPr>
      <w:r w:rsidRPr="00D80603">
        <w:rPr>
          <w:rFonts w:ascii="Verdana" w:hAnsi="Verdana" w:cstheme="minorHAnsi"/>
          <w:sz w:val="20"/>
          <w:szCs w:val="20"/>
          <w:lang w:val="es-ES_tradnl"/>
        </w:rPr>
        <w:t>6</w:t>
      </w:r>
      <w:r w:rsidR="00B83A7D" w:rsidRPr="00D80603">
        <w:rPr>
          <w:rFonts w:ascii="Verdana" w:hAnsi="Verdana" w:cstheme="minorHAnsi"/>
          <w:sz w:val="20"/>
          <w:szCs w:val="20"/>
          <w:lang w:val="es-ES_tradnl"/>
        </w:rPr>
        <w:t>7</w:t>
      </w:r>
      <w:r w:rsidRPr="00D80603">
        <w:rPr>
          <w:rFonts w:ascii="Verdana" w:hAnsi="Verdana" w:cstheme="minorHAnsi"/>
          <w:sz w:val="20"/>
          <w:szCs w:val="20"/>
          <w:lang w:val="es-ES_tradnl"/>
        </w:rPr>
        <w:t xml:space="preserve">. </w:t>
      </w:r>
      <w:r w:rsidRPr="00D80603">
        <w:rPr>
          <w:rFonts w:ascii="Verdana" w:hAnsi="Verdana" w:cstheme="minorHAnsi"/>
          <w:sz w:val="20"/>
          <w:szCs w:val="20"/>
          <w:lang w:val="es-ES_tradnl"/>
        </w:rPr>
        <w:tab/>
      </w:r>
      <w:r w:rsidR="001D5C27" w:rsidRPr="00D80603">
        <w:rPr>
          <w:rFonts w:ascii="Verdana" w:hAnsi="Verdana" w:cstheme="minorHAnsi"/>
          <w:sz w:val="20"/>
          <w:szCs w:val="20"/>
          <w:lang w:val="es-ES_tradnl"/>
        </w:rPr>
        <w:t xml:space="preserve">En efecto, </w:t>
      </w:r>
      <w:r w:rsidR="00425001" w:rsidRPr="00D80603">
        <w:rPr>
          <w:rFonts w:ascii="Verdana" w:hAnsi="Verdana" w:cstheme="minorHAnsi"/>
          <w:sz w:val="20"/>
          <w:szCs w:val="20"/>
          <w:lang w:val="es-ES_tradnl"/>
        </w:rPr>
        <w:t xml:space="preserve">como </w:t>
      </w:r>
      <w:r w:rsidR="00DF7CD1" w:rsidRPr="00D80603">
        <w:rPr>
          <w:rFonts w:ascii="Verdana" w:hAnsi="Verdana" w:cstheme="minorHAnsi"/>
          <w:sz w:val="20"/>
          <w:szCs w:val="20"/>
          <w:lang w:val="es-ES_tradnl"/>
        </w:rPr>
        <w:t>lo expresa la sentencia</w:t>
      </w:r>
      <w:r w:rsidR="001D7460" w:rsidRPr="00D80603">
        <w:rPr>
          <w:rFonts w:ascii="Verdana" w:hAnsi="Verdana" w:cstheme="minorHAnsi"/>
          <w:sz w:val="20"/>
          <w:szCs w:val="20"/>
          <w:lang w:val="es-ES_tradnl"/>
        </w:rPr>
        <w:t xml:space="preserve"> —dejando muy clara su jurisprudencia constante sobre la materia—</w:t>
      </w:r>
      <w:r w:rsidR="00DF7CD1" w:rsidRPr="00D80603">
        <w:rPr>
          <w:rFonts w:ascii="Verdana" w:hAnsi="Verdana" w:cstheme="minorHAnsi"/>
          <w:sz w:val="20"/>
          <w:szCs w:val="20"/>
          <w:lang w:val="es-ES_tradnl"/>
        </w:rPr>
        <w:t xml:space="preserve">, </w:t>
      </w:r>
      <w:r w:rsidR="00E83793" w:rsidRPr="00D80603">
        <w:rPr>
          <w:rFonts w:ascii="Verdana" w:hAnsi="Verdana" w:cstheme="minorHAnsi"/>
          <w:sz w:val="20"/>
          <w:szCs w:val="20"/>
          <w:lang w:val="es-ES_tradnl"/>
        </w:rPr>
        <w:t xml:space="preserve">lo que corresponde es la restitución de las tierras ancestrales. Sin embargo, </w:t>
      </w:r>
      <w:r w:rsidR="00DF7CD1" w:rsidRPr="00D80603">
        <w:rPr>
          <w:rFonts w:ascii="Verdana" w:hAnsi="Verdana" w:cstheme="minorHAnsi"/>
          <w:sz w:val="20"/>
          <w:szCs w:val="20"/>
          <w:lang w:val="es-ES_tradnl"/>
        </w:rPr>
        <w:t xml:space="preserve">cuando existen motivos “objetivos y fundamentados” (como en el presente caso), en el que no sea posible </w:t>
      </w:r>
      <w:r w:rsidR="00E83793" w:rsidRPr="00D80603">
        <w:rPr>
          <w:rFonts w:ascii="Verdana" w:hAnsi="Verdana" w:cstheme="minorHAnsi"/>
          <w:sz w:val="20"/>
          <w:szCs w:val="20"/>
          <w:lang w:val="es-ES_tradnl"/>
        </w:rPr>
        <w:t>dicha restitución,</w:t>
      </w:r>
      <w:r w:rsidR="00DF7CD1" w:rsidRPr="00D80603">
        <w:rPr>
          <w:rFonts w:ascii="Verdana" w:hAnsi="Verdana" w:cstheme="minorHAnsi"/>
          <w:sz w:val="20"/>
          <w:szCs w:val="20"/>
          <w:lang w:val="es-ES_tradnl"/>
        </w:rPr>
        <w:t xml:space="preserve"> “se les deberá otorgar tierras alternativas de la misma o mayor calidad física” o si prefieren los pueblos interesados “una indemnización en dinero o en especie”</w:t>
      </w:r>
      <w:r w:rsidR="001D7460" w:rsidRPr="00D80603">
        <w:rPr>
          <w:rFonts w:ascii="Verdana" w:hAnsi="Verdana" w:cstheme="minorHAnsi"/>
          <w:sz w:val="20"/>
          <w:szCs w:val="20"/>
          <w:lang w:val="es-ES_tradnl"/>
        </w:rPr>
        <w:t>;</w:t>
      </w:r>
      <w:r w:rsidR="00DF7CD1" w:rsidRPr="00D80603">
        <w:rPr>
          <w:rFonts w:ascii="Verdana" w:hAnsi="Verdana" w:cstheme="minorHAnsi"/>
          <w:sz w:val="20"/>
          <w:szCs w:val="20"/>
          <w:lang w:val="es-ES_tradnl"/>
        </w:rPr>
        <w:t xml:space="preserve"> lo cual encuentra armonía con lo dispuesto en el artículo 16 del Convenio 169 de la OIT (1989), así como en el artículo 28 de la Declaración de Naciones Unidas sobre los derechos de los pueblos indígenas (2007), y en el artículo XXIX.5 de la Declaración Americana sobre los Derechos de los Pueblos Indígenas (2016)</w:t>
      </w:r>
      <w:r w:rsidR="001D5C27" w:rsidRPr="00D80603">
        <w:rPr>
          <w:rStyle w:val="Refdenotaalpie"/>
          <w:rFonts w:ascii="Verdana" w:hAnsi="Verdana" w:cstheme="minorHAnsi"/>
          <w:sz w:val="20"/>
          <w:szCs w:val="20"/>
          <w:lang w:val="es-ES_tradnl"/>
        </w:rPr>
        <w:footnoteReference w:id="51"/>
      </w:r>
      <w:r w:rsidR="00DF7CD1" w:rsidRPr="00D80603">
        <w:rPr>
          <w:rFonts w:ascii="Verdana" w:hAnsi="Verdana" w:cstheme="minorHAnsi"/>
          <w:sz w:val="20"/>
          <w:szCs w:val="20"/>
          <w:lang w:val="es-ES_tradnl"/>
        </w:rPr>
        <w:t>.</w:t>
      </w:r>
    </w:p>
    <w:p w14:paraId="11E870AA" w14:textId="77777777" w:rsidR="005A6862" w:rsidRPr="00D80603" w:rsidRDefault="005A6862" w:rsidP="001D5C27">
      <w:pPr>
        <w:rPr>
          <w:rFonts w:ascii="Verdana" w:hAnsi="Verdana" w:cstheme="minorHAnsi"/>
          <w:i/>
          <w:iCs/>
          <w:sz w:val="20"/>
          <w:szCs w:val="20"/>
          <w:lang w:val="es-ES_tradnl"/>
        </w:rPr>
      </w:pPr>
    </w:p>
    <w:p w14:paraId="1E6B354C" w14:textId="5CADBCD6" w:rsidR="005A6862" w:rsidRPr="00B02F80" w:rsidRDefault="00F6001E" w:rsidP="00F6001E">
      <w:pPr>
        <w:tabs>
          <w:tab w:val="left" w:pos="567"/>
        </w:tabs>
        <w:ind w:right="48"/>
        <w:contextualSpacing/>
        <w:jc w:val="both"/>
        <w:rPr>
          <w:rFonts w:ascii="Verdana" w:hAnsi="Verdana" w:cstheme="minorHAnsi"/>
          <w:i/>
          <w:iCs/>
          <w:sz w:val="20"/>
          <w:szCs w:val="20"/>
          <w:lang w:val="es-ES_tradnl"/>
        </w:rPr>
      </w:pPr>
      <w:r w:rsidRPr="00D80603">
        <w:rPr>
          <w:rFonts w:ascii="Verdana" w:hAnsi="Verdana" w:cstheme="minorHAnsi"/>
          <w:sz w:val="20"/>
          <w:szCs w:val="20"/>
          <w:lang w:val="es-ES_tradnl"/>
        </w:rPr>
        <w:t>6</w:t>
      </w:r>
      <w:r w:rsidR="00B83A7D" w:rsidRPr="00D80603">
        <w:rPr>
          <w:rFonts w:ascii="Verdana" w:hAnsi="Verdana" w:cstheme="minorHAnsi"/>
          <w:sz w:val="20"/>
          <w:szCs w:val="20"/>
          <w:lang w:val="es-ES_tradnl"/>
        </w:rPr>
        <w:t>8</w:t>
      </w:r>
      <w:r w:rsidRPr="00D80603">
        <w:rPr>
          <w:rFonts w:ascii="Verdana" w:hAnsi="Verdana" w:cstheme="minorHAnsi"/>
          <w:sz w:val="20"/>
          <w:szCs w:val="20"/>
          <w:lang w:val="es-ES_tradnl"/>
        </w:rPr>
        <w:t xml:space="preserve">. </w:t>
      </w:r>
      <w:r w:rsidRPr="00D80603">
        <w:rPr>
          <w:rFonts w:ascii="Verdana" w:hAnsi="Verdana" w:cstheme="minorHAnsi"/>
          <w:sz w:val="20"/>
          <w:szCs w:val="20"/>
          <w:lang w:val="es-ES_tradnl"/>
        </w:rPr>
        <w:tab/>
      </w:r>
      <w:r w:rsidR="005A6862" w:rsidRPr="00D80603">
        <w:rPr>
          <w:rFonts w:ascii="Verdana" w:hAnsi="Verdana" w:cstheme="minorHAnsi"/>
          <w:sz w:val="20"/>
          <w:szCs w:val="20"/>
          <w:lang w:val="es-ES_tradnl"/>
        </w:rPr>
        <w:t xml:space="preserve">En suma, </w:t>
      </w:r>
      <w:r w:rsidR="009F193C" w:rsidRPr="00D80603">
        <w:rPr>
          <w:rFonts w:ascii="Verdana" w:hAnsi="Verdana" w:cstheme="minorHAnsi"/>
          <w:sz w:val="20"/>
          <w:szCs w:val="20"/>
          <w:lang w:val="es-ES_tradnl"/>
        </w:rPr>
        <w:t>como lo ha enfatizado la CEPAL, los derechos sobre territorios, tierras y recursos naturales</w:t>
      </w:r>
      <w:r w:rsidR="00203AB5" w:rsidRPr="00D80603">
        <w:rPr>
          <w:rFonts w:ascii="Verdana" w:hAnsi="Verdana" w:cstheme="minorHAnsi"/>
          <w:sz w:val="20"/>
          <w:szCs w:val="20"/>
          <w:lang w:val="es-ES_tradnl"/>
        </w:rPr>
        <w:t xml:space="preserve"> </w:t>
      </w:r>
      <w:r w:rsidR="009F193C" w:rsidRPr="00D80603">
        <w:rPr>
          <w:rFonts w:ascii="Verdana" w:hAnsi="Verdana" w:cstheme="minorHAnsi"/>
          <w:sz w:val="20"/>
          <w:szCs w:val="20"/>
          <w:lang w:val="es-ES_tradnl"/>
        </w:rPr>
        <w:t>constituye el “núcleo duro” de los derechos de los pueblos indígenas</w:t>
      </w:r>
      <w:r w:rsidR="009F193C" w:rsidRPr="00D80603">
        <w:rPr>
          <w:rStyle w:val="Refdenotaalpie"/>
          <w:rFonts w:ascii="Verdana" w:hAnsi="Verdana" w:cstheme="minorHAnsi"/>
          <w:sz w:val="20"/>
          <w:szCs w:val="20"/>
          <w:lang w:val="es-ES_tradnl"/>
        </w:rPr>
        <w:footnoteReference w:id="52"/>
      </w:r>
      <w:r w:rsidR="009F193C" w:rsidRPr="00D80603">
        <w:rPr>
          <w:rFonts w:ascii="Verdana" w:hAnsi="Verdana" w:cstheme="minorHAnsi"/>
          <w:sz w:val="20"/>
          <w:szCs w:val="20"/>
          <w:lang w:val="es-ES_tradnl"/>
        </w:rPr>
        <w:t xml:space="preserve">. En este sentido, </w:t>
      </w:r>
      <w:r w:rsidR="005A6862" w:rsidRPr="00D80603">
        <w:rPr>
          <w:rFonts w:ascii="Verdana" w:hAnsi="Verdana" w:cstheme="minorHAnsi"/>
          <w:sz w:val="20"/>
          <w:szCs w:val="20"/>
          <w:lang w:val="es-ES_tradnl"/>
        </w:rPr>
        <w:t xml:space="preserve">la jurisprudencia de este </w:t>
      </w:r>
      <w:r w:rsidR="009842AF" w:rsidRPr="00D80603">
        <w:rPr>
          <w:rFonts w:ascii="Verdana" w:hAnsi="Verdana" w:cstheme="minorHAnsi"/>
          <w:sz w:val="20"/>
          <w:szCs w:val="20"/>
          <w:lang w:val="es-ES_tradnl"/>
        </w:rPr>
        <w:t>Tribunal</w:t>
      </w:r>
      <w:r w:rsidR="005A6862" w:rsidRPr="00D80603">
        <w:rPr>
          <w:rFonts w:ascii="Verdana" w:hAnsi="Verdana" w:cstheme="minorHAnsi"/>
          <w:sz w:val="20"/>
          <w:szCs w:val="20"/>
          <w:lang w:val="es-ES_tradnl"/>
        </w:rPr>
        <w:t xml:space="preserve"> </w:t>
      </w:r>
      <w:r w:rsidR="009F193C" w:rsidRPr="00D80603">
        <w:rPr>
          <w:rFonts w:ascii="Verdana" w:hAnsi="Verdana" w:cstheme="minorHAnsi"/>
          <w:sz w:val="20"/>
          <w:szCs w:val="20"/>
          <w:lang w:val="es-ES_tradnl"/>
        </w:rPr>
        <w:t xml:space="preserve">se ha caracterizado por un dinamismo interpretativo para garantizar dichos derechos y por </w:t>
      </w:r>
      <w:r w:rsidR="005A6862" w:rsidRPr="00D80603">
        <w:rPr>
          <w:rFonts w:ascii="Verdana" w:hAnsi="Verdana" w:cstheme="minorHAnsi"/>
          <w:sz w:val="20"/>
          <w:szCs w:val="20"/>
          <w:lang w:val="es-ES_tradnl"/>
        </w:rPr>
        <w:t xml:space="preserve">ello tiene que ir encontrando soluciones prácticas a cada caso concreto, pero al mismo tiempo delineando las obligaciones a cargo de los Estado conforme a las interpretaciones que emanen de la </w:t>
      </w:r>
      <w:r w:rsidR="00363769" w:rsidRPr="00D80603">
        <w:rPr>
          <w:rFonts w:ascii="Verdana" w:hAnsi="Verdana" w:cstheme="minorHAnsi"/>
          <w:sz w:val="20"/>
          <w:szCs w:val="20"/>
          <w:lang w:val="es-ES_tradnl"/>
        </w:rPr>
        <w:t xml:space="preserve">Convención Americana y la propia </w:t>
      </w:r>
      <w:r w:rsidR="005A6862" w:rsidRPr="00D80603">
        <w:rPr>
          <w:rFonts w:ascii="Verdana" w:hAnsi="Verdana" w:cstheme="minorHAnsi"/>
          <w:sz w:val="20"/>
          <w:szCs w:val="20"/>
          <w:lang w:val="es-ES_tradnl"/>
        </w:rPr>
        <w:t xml:space="preserve">jurisprudencia. </w:t>
      </w:r>
      <w:r w:rsidR="00203AB5" w:rsidRPr="00D80603">
        <w:rPr>
          <w:rFonts w:ascii="Verdana" w:hAnsi="Verdana" w:cstheme="minorHAnsi"/>
          <w:sz w:val="20"/>
          <w:szCs w:val="20"/>
          <w:lang w:val="es-ES_tradnl"/>
        </w:rPr>
        <w:t xml:space="preserve">En esta evolución interpretativa consideramos que </w:t>
      </w:r>
      <w:r w:rsidR="001D5C27" w:rsidRPr="00D80603">
        <w:rPr>
          <w:rFonts w:ascii="Verdana" w:hAnsi="Verdana" w:cstheme="minorHAnsi"/>
          <w:sz w:val="20"/>
          <w:szCs w:val="20"/>
          <w:lang w:val="es-ES_tradnl"/>
        </w:rPr>
        <w:t>deb</w:t>
      </w:r>
      <w:r w:rsidR="00203AB5" w:rsidRPr="00D80603">
        <w:rPr>
          <w:rFonts w:ascii="Verdana" w:hAnsi="Verdana" w:cstheme="minorHAnsi"/>
          <w:sz w:val="20"/>
          <w:szCs w:val="20"/>
          <w:lang w:val="es-ES_tradnl"/>
        </w:rPr>
        <w:t xml:space="preserve">e </w:t>
      </w:r>
      <w:r w:rsidR="001D5C27" w:rsidRPr="00D80603">
        <w:rPr>
          <w:rFonts w:ascii="Verdana" w:hAnsi="Verdana" w:cstheme="minorHAnsi"/>
          <w:sz w:val="20"/>
          <w:szCs w:val="20"/>
          <w:lang w:val="es-ES_tradnl"/>
        </w:rPr>
        <w:t xml:space="preserve">prevalecer </w:t>
      </w:r>
      <w:r w:rsidR="0063700A" w:rsidRPr="00D80603">
        <w:rPr>
          <w:rFonts w:ascii="Verdana" w:hAnsi="Verdana" w:cstheme="minorHAnsi"/>
          <w:sz w:val="20"/>
          <w:szCs w:val="20"/>
          <w:lang w:val="es-ES_tradnl"/>
        </w:rPr>
        <w:t xml:space="preserve">siempre </w:t>
      </w:r>
      <w:r w:rsidR="009842AF" w:rsidRPr="00D80603">
        <w:rPr>
          <w:rFonts w:ascii="Verdana" w:hAnsi="Verdana" w:cstheme="minorHAnsi"/>
          <w:sz w:val="20"/>
          <w:szCs w:val="20"/>
          <w:lang w:val="es-ES_tradnl"/>
        </w:rPr>
        <w:t xml:space="preserve">la interpretación más </w:t>
      </w:r>
      <w:r w:rsidR="009838F1" w:rsidRPr="00B02F80">
        <w:rPr>
          <w:rFonts w:ascii="Verdana" w:hAnsi="Verdana" w:cstheme="minorHAnsi"/>
          <w:sz w:val="20"/>
          <w:szCs w:val="20"/>
          <w:lang w:val="es-ES_tradnl"/>
        </w:rPr>
        <w:lastRenderedPageBreak/>
        <w:t>favorable</w:t>
      </w:r>
      <w:r w:rsidR="009F193C" w:rsidRPr="00B02F80">
        <w:rPr>
          <w:rFonts w:ascii="Verdana" w:hAnsi="Verdana" w:cstheme="minorHAnsi"/>
          <w:sz w:val="20"/>
          <w:szCs w:val="20"/>
          <w:lang w:val="es-ES_tradnl"/>
        </w:rPr>
        <w:t xml:space="preserve"> </w:t>
      </w:r>
      <w:r w:rsidR="009842AF" w:rsidRPr="00B02F80">
        <w:rPr>
          <w:rFonts w:ascii="Verdana" w:hAnsi="Verdana" w:cstheme="minorHAnsi"/>
          <w:sz w:val="20"/>
          <w:szCs w:val="20"/>
          <w:lang w:val="es-ES_tradnl"/>
        </w:rPr>
        <w:t xml:space="preserve">para los grupos </w:t>
      </w:r>
      <w:r w:rsidR="009F193C" w:rsidRPr="00B02F80">
        <w:rPr>
          <w:rFonts w:ascii="Verdana" w:hAnsi="Verdana" w:cstheme="minorHAnsi"/>
          <w:sz w:val="20"/>
          <w:szCs w:val="20"/>
          <w:lang w:val="es-ES_tradnl"/>
        </w:rPr>
        <w:t>históricamente menos favorecidos, como es el caso de los pueblos originarios.</w:t>
      </w:r>
    </w:p>
    <w:p w14:paraId="37725B42" w14:textId="1F853788" w:rsidR="00F7306B" w:rsidRPr="00F7306B" w:rsidRDefault="00F7306B" w:rsidP="00B02F80">
      <w:pPr>
        <w:rPr>
          <w:rFonts w:ascii="Verdana" w:eastAsia="Verdana" w:hAnsi="Verdana" w:cstheme="minorHAnsi"/>
          <w:sz w:val="20"/>
          <w:szCs w:val="20"/>
          <w:lang w:val="es-CR"/>
        </w:rPr>
      </w:pPr>
    </w:p>
    <w:p w14:paraId="2D781F78" w14:textId="23DC7CD5" w:rsidR="00F7306B" w:rsidRPr="00F7306B" w:rsidRDefault="00F7306B" w:rsidP="00B02F80">
      <w:pPr>
        <w:rPr>
          <w:rFonts w:ascii="Verdana" w:eastAsia="Verdana" w:hAnsi="Verdana" w:cstheme="minorHAnsi"/>
          <w:sz w:val="20"/>
          <w:szCs w:val="20"/>
          <w:lang w:val="es-CR"/>
        </w:rPr>
      </w:pPr>
    </w:p>
    <w:p w14:paraId="0B72D3E3" w14:textId="13385C85" w:rsidR="00F7306B" w:rsidRPr="00F7306B" w:rsidRDefault="00F7306B" w:rsidP="00B02F80">
      <w:pPr>
        <w:rPr>
          <w:rFonts w:ascii="Verdana" w:eastAsia="Verdana" w:hAnsi="Verdana" w:cstheme="minorHAnsi"/>
          <w:sz w:val="20"/>
          <w:szCs w:val="20"/>
          <w:lang w:val="es-CR"/>
        </w:rPr>
      </w:pPr>
    </w:p>
    <w:p w14:paraId="1D613146" w14:textId="26EA4ED9" w:rsidR="00F7306B" w:rsidRPr="00F7306B" w:rsidRDefault="00F7306B" w:rsidP="00B02F80">
      <w:pPr>
        <w:rPr>
          <w:rFonts w:ascii="Verdana" w:eastAsia="Verdana" w:hAnsi="Verdana" w:cstheme="minorHAnsi"/>
          <w:sz w:val="20"/>
          <w:szCs w:val="20"/>
          <w:lang w:val="es-CR"/>
        </w:rPr>
      </w:pPr>
    </w:p>
    <w:p w14:paraId="45F076AD" w14:textId="4A8E2724" w:rsidR="00F7306B" w:rsidRPr="00F7306B" w:rsidRDefault="00F7306B" w:rsidP="00B02F80">
      <w:pPr>
        <w:rPr>
          <w:rFonts w:ascii="Verdana" w:eastAsia="Verdana" w:hAnsi="Verdana" w:cstheme="minorHAnsi"/>
          <w:sz w:val="20"/>
          <w:szCs w:val="20"/>
          <w:lang w:val="es-CR"/>
        </w:rPr>
      </w:pPr>
    </w:p>
    <w:p w14:paraId="35327E1C" w14:textId="3D1AC316" w:rsidR="00F7306B" w:rsidRPr="00F7306B" w:rsidRDefault="00F7306B" w:rsidP="00B02F80">
      <w:pPr>
        <w:rPr>
          <w:rFonts w:ascii="Verdana" w:eastAsia="Verdana" w:hAnsi="Verdana" w:cstheme="minorHAnsi"/>
          <w:sz w:val="20"/>
          <w:szCs w:val="20"/>
          <w:lang w:val="es-CR"/>
        </w:rPr>
      </w:pPr>
    </w:p>
    <w:p w14:paraId="501F468A" w14:textId="674878BB" w:rsidR="006C7B03" w:rsidRPr="00B02F80" w:rsidRDefault="006C7B03" w:rsidP="00B02F80">
      <w:pPr>
        <w:rPr>
          <w:rFonts w:ascii="Verdana" w:eastAsia="Verdana" w:hAnsi="Verdana" w:cstheme="minorHAnsi"/>
          <w:sz w:val="20"/>
          <w:szCs w:val="20"/>
          <w:lang w:val="pt-BR"/>
        </w:rPr>
      </w:pPr>
      <w:r w:rsidRPr="00B02F80">
        <w:rPr>
          <w:rFonts w:ascii="Verdana" w:eastAsia="Verdana" w:hAnsi="Verdana" w:cstheme="minorHAnsi"/>
          <w:sz w:val="20"/>
          <w:szCs w:val="20"/>
          <w:lang w:val="pt-BR"/>
        </w:rPr>
        <w:t xml:space="preserve">Eduardo Ferrer </w:t>
      </w:r>
      <w:proofErr w:type="spellStart"/>
      <w:r w:rsidRPr="00B02F80">
        <w:rPr>
          <w:rFonts w:ascii="Verdana" w:eastAsia="Verdana" w:hAnsi="Verdana" w:cstheme="minorHAnsi"/>
          <w:sz w:val="20"/>
          <w:szCs w:val="20"/>
          <w:lang w:val="pt-BR"/>
        </w:rPr>
        <w:t>Mac-Gregor</w:t>
      </w:r>
      <w:proofErr w:type="spellEnd"/>
      <w:r w:rsidRPr="00B02F80">
        <w:rPr>
          <w:rFonts w:ascii="Verdana" w:eastAsia="Verdana" w:hAnsi="Verdana" w:cstheme="minorHAnsi"/>
          <w:sz w:val="20"/>
          <w:szCs w:val="20"/>
          <w:lang w:val="pt-BR"/>
        </w:rPr>
        <w:t xml:space="preserve"> </w:t>
      </w:r>
      <w:proofErr w:type="spellStart"/>
      <w:r w:rsidRPr="00B02F80">
        <w:rPr>
          <w:rFonts w:ascii="Verdana" w:eastAsia="Verdana" w:hAnsi="Verdana" w:cstheme="minorHAnsi"/>
          <w:sz w:val="20"/>
          <w:szCs w:val="20"/>
          <w:lang w:val="pt-BR"/>
        </w:rPr>
        <w:t>Poisot</w:t>
      </w:r>
      <w:proofErr w:type="spellEnd"/>
      <w:r w:rsidR="00B02F80">
        <w:rPr>
          <w:rFonts w:ascii="Verdana" w:eastAsia="Verdana" w:hAnsi="Verdana" w:cstheme="minorHAnsi"/>
          <w:sz w:val="20"/>
          <w:szCs w:val="20"/>
          <w:lang w:val="pt-BR"/>
        </w:rPr>
        <w:tab/>
      </w:r>
      <w:r w:rsidR="00B02F80">
        <w:rPr>
          <w:rFonts w:ascii="Verdana" w:eastAsia="Verdana" w:hAnsi="Verdana" w:cstheme="minorHAnsi"/>
          <w:sz w:val="20"/>
          <w:szCs w:val="20"/>
          <w:lang w:val="pt-BR"/>
        </w:rPr>
        <w:tab/>
      </w:r>
      <w:r w:rsidR="00B02F80">
        <w:rPr>
          <w:rFonts w:ascii="Verdana" w:eastAsia="Verdana" w:hAnsi="Verdana" w:cstheme="minorHAnsi"/>
          <w:sz w:val="20"/>
          <w:szCs w:val="20"/>
          <w:lang w:val="pt-BR"/>
        </w:rPr>
        <w:tab/>
      </w:r>
      <w:r w:rsidR="00B02F80">
        <w:rPr>
          <w:rFonts w:ascii="Verdana" w:eastAsia="Verdana" w:hAnsi="Verdana" w:cstheme="minorHAnsi"/>
          <w:sz w:val="20"/>
          <w:szCs w:val="20"/>
          <w:lang w:val="pt-BR"/>
        </w:rPr>
        <w:tab/>
      </w:r>
      <w:r w:rsidR="00B02F80">
        <w:rPr>
          <w:rFonts w:ascii="Verdana" w:eastAsia="Verdana" w:hAnsi="Verdana" w:cstheme="minorHAnsi"/>
          <w:sz w:val="20"/>
          <w:szCs w:val="20"/>
          <w:lang w:val="pt-BR"/>
        </w:rPr>
        <w:tab/>
      </w:r>
      <w:r w:rsidRPr="00B02F80">
        <w:rPr>
          <w:rFonts w:ascii="Verdana" w:eastAsia="Verdana" w:hAnsi="Verdana" w:cstheme="minorHAnsi"/>
          <w:sz w:val="20"/>
          <w:szCs w:val="20"/>
          <w:lang w:val="pt-BR"/>
        </w:rPr>
        <w:t>Rodrigo Mudrovitsch</w:t>
      </w:r>
    </w:p>
    <w:p w14:paraId="5AE1EB2E" w14:textId="1ED0A166" w:rsidR="006C7B03" w:rsidRPr="00B02F80" w:rsidRDefault="006C7B03" w:rsidP="00B02F80">
      <w:pPr>
        <w:ind w:left="708" w:firstLine="708"/>
        <w:rPr>
          <w:rFonts w:ascii="Verdana" w:eastAsia="Verdana" w:hAnsi="Verdana" w:cstheme="minorHAnsi"/>
          <w:sz w:val="20"/>
          <w:szCs w:val="20"/>
          <w:lang w:val="es-ES_tradnl"/>
        </w:rPr>
      </w:pPr>
      <w:r w:rsidRPr="00B02F80">
        <w:rPr>
          <w:rFonts w:ascii="Verdana" w:eastAsia="Verdana" w:hAnsi="Verdana" w:cstheme="minorHAnsi"/>
          <w:sz w:val="20"/>
          <w:szCs w:val="20"/>
          <w:lang w:val="es-ES_tradnl"/>
        </w:rPr>
        <w:t>Juez</w:t>
      </w:r>
      <w:r w:rsidR="00B02F80">
        <w:rPr>
          <w:rFonts w:ascii="Verdana" w:eastAsia="Verdana" w:hAnsi="Verdana" w:cstheme="minorHAnsi"/>
          <w:sz w:val="20"/>
          <w:szCs w:val="20"/>
          <w:lang w:val="es-ES_tradnl"/>
        </w:rPr>
        <w:tab/>
      </w:r>
      <w:r w:rsidR="00B02F80">
        <w:rPr>
          <w:rFonts w:ascii="Verdana" w:eastAsia="Verdana" w:hAnsi="Verdana" w:cstheme="minorHAnsi"/>
          <w:sz w:val="20"/>
          <w:szCs w:val="20"/>
          <w:lang w:val="es-ES_tradnl"/>
        </w:rPr>
        <w:tab/>
      </w:r>
      <w:r w:rsidR="00B02F80">
        <w:rPr>
          <w:rFonts w:ascii="Verdana" w:eastAsia="Verdana" w:hAnsi="Verdana" w:cstheme="minorHAnsi"/>
          <w:sz w:val="20"/>
          <w:szCs w:val="20"/>
          <w:lang w:val="es-ES_tradnl"/>
        </w:rPr>
        <w:tab/>
      </w:r>
      <w:r w:rsidR="00B02F80">
        <w:rPr>
          <w:rFonts w:ascii="Verdana" w:eastAsia="Verdana" w:hAnsi="Verdana" w:cstheme="minorHAnsi"/>
          <w:sz w:val="20"/>
          <w:szCs w:val="20"/>
          <w:lang w:val="es-ES_tradnl"/>
        </w:rPr>
        <w:tab/>
      </w:r>
      <w:r w:rsidR="00B02F80">
        <w:rPr>
          <w:rFonts w:ascii="Verdana" w:eastAsia="Verdana" w:hAnsi="Verdana" w:cstheme="minorHAnsi"/>
          <w:sz w:val="20"/>
          <w:szCs w:val="20"/>
          <w:lang w:val="es-ES_tradnl"/>
        </w:rPr>
        <w:tab/>
      </w:r>
      <w:r w:rsidR="00B02F80">
        <w:rPr>
          <w:rFonts w:ascii="Verdana" w:eastAsia="Verdana" w:hAnsi="Verdana" w:cstheme="minorHAnsi"/>
          <w:sz w:val="20"/>
          <w:szCs w:val="20"/>
          <w:lang w:val="es-ES_tradnl"/>
        </w:rPr>
        <w:tab/>
      </w:r>
      <w:r w:rsidR="00B02F80">
        <w:rPr>
          <w:rFonts w:ascii="Verdana" w:eastAsia="Verdana" w:hAnsi="Verdana" w:cstheme="minorHAnsi"/>
          <w:sz w:val="20"/>
          <w:szCs w:val="20"/>
          <w:lang w:val="es-ES_tradnl"/>
        </w:rPr>
        <w:tab/>
      </w:r>
      <w:r w:rsidR="00B02F80">
        <w:rPr>
          <w:rFonts w:ascii="Verdana" w:eastAsia="Verdana" w:hAnsi="Verdana" w:cstheme="minorHAnsi"/>
          <w:sz w:val="20"/>
          <w:szCs w:val="20"/>
          <w:lang w:val="es-ES_tradnl"/>
        </w:rPr>
        <w:tab/>
      </w:r>
      <w:proofErr w:type="spellStart"/>
      <w:r w:rsidRPr="00B02F80">
        <w:rPr>
          <w:rFonts w:ascii="Verdana" w:eastAsia="Verdana" w:hAnsi="Verdana" w:cstheme="minorHAnsi"/>
          <w:sz w:val="20"/>
          <w:szCs w:val="20"/>
          <w:lang w:val="es-ES_tradnl"/>
        </w:rPr>
        <w:t>Juez</w:t>
      </w:r>
      <w:proofErr w:type="spellEnd"/>
    </w:p>
    <w:p w14:paraId="280835C1" w14:textId="5A5F90DE" w:rsidR="006C7B03" w:rsidRPr="00B02F80" w:rsidRDefault="006C7B03" w:rsidP="006C7B03">
      <w:pPr>
        <w:jc w:val="center"/>
        <w:rPr>
          <w:rFonts w:ascii="Verdana" w:eastAsia="Verdana" w:hAnsi="Verdana" w:cstheme="minorHAnsi"/>
          <w:sz w:val="20"/>
          <w:szCs w:val="20"/>
          <w:lang w:val="es-ES_tradnl"/>
        </w:rPr>
      </w:pPr>
    </w:p>
    <w:p w14:paraId="5E02F21F" w14:textId="6E75A9CA" w:rsidR="006C7B03" w:rsidRDefault="006C7B03" w:rsidP="006C7B03">
      <w:pPr>
        <w:jc w:val="center"/>
        <w:rPr>
          <w:rFonts w:ascii="Verdana" w:eastAsia="Verdana" w:hAnsi="Verdana" w:cstheme="minorHAnsi"/>
          <w:sz w:val="20"/>
          <w:szCs w:val="20"/>
          <w:lang w:val="es-ES_tradnl"/>
        </w:rPr>
      </w:pPr>
    </w:p>
    <w:p w14:paraId="2BCC7E23" w14:textId="255EB39C" w:rsidR="00B02F80" w:rsidRDefault="00B02F80" w:rsidP="006C7B03">
      <w:pPr>
        <w:jc w:val="center"/>
        <w:rPr>
          <w:rFonts w:ascii="Verdana" w:eastAsia="Verdana" w:hAnsi="Verdana" w:cstheme="minorHAnsi"/>
          <w:sz w:val="20"/>
          <w:szCs w:val="20"/>
          <w:lang w:val="es-ES_tradnl"/>
        </w:rPr>
      </w:pPr>
    </w:p>
    <w:p w14:paraId="4623201C" w14:textId="77777777" w:rsidR="00F7306B" w:rsidRDefault="00F7306B" w:rsidP="006C7B03">
      <w:pPr>
        <w:jc w:val="center"/>
        <w:rPr>
          <w:rFonts w:ascii="Verdana" w:eastAsia="Verdana" w:hAnsi="Verdana" w:cstheme="minorHAnsi"/>
          <w:sz w:val="20"/>
          <w:szCs w:val="20"/>
          <w:lang w:val="es-ES_tradnl"/>
        </w:rPr>
      </w:pPr>
    </w:p>
    <w:p w14:paraId="7C9DB8FE" w14:textId="76CB5FB1" w:rsidR="00B02F80" w:rsidRDefault="00B02F80" w:rsidP="006C7B03">
      <w:pPr>
        <w:jc w:val="center"/>
        <w:rPr>
          <w:rFonts w:ascii="Verdana" w:eastAsia="Verdana" w:hAnsi="Verdana" w:cstheme="minorHAnsi"/>
          <w:sz w:val="20"/>
          <w:szCs w:val="20"/>
          <w:lang w:val="es-ES_tradnl"/>
        </w:rPr>
      </w:pPr>
    </w:p>
    <w:p w14:paraId="4418B08D" w14:textId="236D9CDA" w:rsidR="00B02F80" w:rsidRPr="00B02F80" w:rsidRDefault="00B02F80" w:rsidP="006C7B03">
      <w:pPr>
        <w:jc w:val="center"/>
        <w:rPr>
          <w:rFonts w:ascii="Verdana" w:eastAsia="Verdana" w:hAnsi="Verdana" w:cstheme="minorHAnsi"/>
          <w:sz w:val="20"/>
          <w:szCs w:val="20"/>
          <w:lang w:val="es-ES_tradnl"/>
        </w:rPr>
      </w:pPr>
    </w:p>
    <w:p w14:paraId="320F7444" w14:textId="7DB72688" w:rsidR="006C7B03" w:rsidRPr="00B02F80" w:rsidRDefault="006C7B03" w:rsidP="006C7B03">
      <w:pPr>
        <w:jc w:val="center"/>
        <w:rPr>
          <w:rFonts w:ascii="Verdana" w:eastAsia="Verdana" w:hAnsi="Verdana" w:cstheme="minorHAnsi"/>
          <w:sz w:val="20"/>
          <w:szCs w:val="20"/>
          <w:lang w:val="es-ES_tradnl"/>
        </w:rPr>
      </w:pPr>
    </w:p>
    <w:p w14:paraId="15EC28DA" w14:textId="4966DE1D" w:rsidR="006C7B03" w:rsidRPr="00B02F80" w:rsidRDefault="00B02F80" w:rsidP="00B02F80">
      <w:pPr>
        <w:rPr>
          <w:rFonts w:ascii="Verdana" w:eastAsia="Verdana" w:hAnsi="Verdana" w:cstheme="minorHAnsi"/>
          <w:sz w:val="20"/>
          <w:szCs w:val="20"/>
          <w:lang w:val="es-ES_tradnl"/>
        </w:rPr>
      </w:pPr>
      <w:r>
        <w:rPr>
          <w:rFonts w:ascii="Verdana" w:eastAsia="Verdana" w:hAnsi="Verdana" w:cstheme="minorHAnsi"/>
          <w:sz w:val="20"/>
          <w:szCs w:val="20"/>
          <w:lang w:val="es-ES_tradnl"/>
        </w:rPr>
        <w:t>Romina I. Sijniensky</w:t>
      </w:r>
    </w:p>
    <w:p w14:paraId="7FE6382A" w14:textId="31EB14F1" w:rsidR="006C7B03" w:rsidRPr="00B02F80" w:rsidRDefault="00B02F80" w:rsidP="00B02F80">
      <w:pPr>
        <w:rPr>
          <w:rFonts w:ascii="Verdana" w:eastAsia="Verdana" w:hAnsi="Verdana" w:cstheme="minorHAnsi"/>
          <w:sz w:val="20"/>
          <w:szCs w:val="20"/>
          <w:lang w:val="es-ES_tradnl"/>
        </w:rPr>
      </w:pPr>
      <w:r>
        <w:rPr>
          <w:rFonts w:ascii="Verdana" w:eastAsia="Verdana" w:hAnsi="Verdana" w:cstheme="minorHAnsi"/>
          <w:sz w:val="20"/>
          <w:szCs w:val="20"/>
          <w:lang w:val="es-ES_tradnl"/>
        </w:rPr>
        <w:t xml:space="preserve"> </w:t>
      </w:r>
      <w:r w:rsidR="006C7B03" w:rsidRPr="00B02F80">
        <w:rPr>
          <w:rFonts w:ascii="Verdana" w:eastAsia="Verdana" w:hAnsi="Verdana" w:cstheme="minorHAnsi"/>
          <w:sz w:val="20"/>
          <w:szCs w:val="20"/>
          <w:lang w:val="es-ES_tradnl"/>
        </w:rPr>
        <w:t>Secretari</w:t>
      </w:r>
      <w:r>
        <w:rPr>
          <w:rFonts w:ascii="Verdana" w:eastAsia="Verdana" w:hAnsi="Verdana" w:cstheme="minorHAnsi"/>
          <w:sz w:val="20"/>
          <w:szCs w:val="20"/>
          <w:lang w:val="es-ES_tradnl"/>
        </w:rPr>
        <w:t>a Adjunta</w:t>
      </w:r>
      <w:bookmarkEnd w:id="0"/>
    </w:p>
    <w:sectPr w:rsidR="006C7B03" w:rsidRPr="00B02F80" w:rsidSect="002278D1">
      <w:footerReference w:type="even" r:id="rId8"/>
      <w:footerReference w:type="default" r:id="rId9"/>
      <w:pgSz w:w="12240" w:h="15840"/>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0A52F8" w14:textId="77777777" w:rsidR="00E85198" w:rsidRDefault="00E85198" w:rsidP="00626716">
      <w:r>
        <w:separator/>
      </w:r>
    </w:p>
  </w:endnote>
  <w:endnote w:type="continuationSeparator" w:id="0">
    <w:p w14:paraId="3485B810" w14:textId="77777777" w:rsidR="00E85198" w:rsidRDefault="00E85198" w:rsidP="006267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imes">
    <w:altName w:val="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1198926861"/>
      <w:docPartObj>
        <w:docPartGallery w:val="Page Numbers (Bottom of Page)"/>
        <w:docPartUnique/>
      </w:docPartObj>
    </w:sdtPr>
    <w:sdtContent>
      <w:p w14:paraId="0EAC639D" w14:textId="01F12243" w:rsidR="002278D1" w:rsidRDefault="002278D1" w:rsidP="001A4967">
        <w:pPr>
          <w:pStyle w:val="Piedepgina"/>
          <w:framePr w:wrap="none" w:vAnchor="text" w:hAnchor="margin" w:xAlign="center"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2DA0D8DD" w14:textId="77777777" w:rsidR="002278D1" w:rsidRDefault="002278D1" w:rsidP="002278D1">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11927828"/>
      <w:docPartObj>
        <w:docPartGallery w:val="Page Numbers (Bottom of Page)"/>
        <w:docPartUnique/>
      </w:docPartObj>
    </w:sdtPr>
    <w:sdtContent>
      <w:p w14:paraId="3B72A7E6" w14:textId="7EAEAB3E" w:rsidR="002278D1" w:rsidRDefault="002278D1" w:rsidP="001A4967">
        <w:pPr>
          <w:pStyle w:val="Piedepgina"/>
          <w:framePr w:wrap="none" w:vAnchor="text" w:hAnchor="margin" w:xAlign="center" w:y="1"/>
          <w:rPr>
            <w:rStyle w:val="Nmerodepgina"/>
          </w:rPr>
        </w:pPr>
        <w:r>
          <w:rPr>
            <w:rStyle w:val="Nmerodepgina"/>
          </w:rPr>
          <w:fldChar w:fldCharType="begin"/>
        </w:r>
        <w:r>
          <w:rPr>
            <w:rStyle w:val="Nmerodepgina"/>
          </w:rPr>
          <w:instrText xml:space="preserve"> PAGE </w:instrText>
        </w:r>
        <w:r>
          <w:rPr>
            <w:rStyle w:val="Nmerodepgina"/>
          </w:rPr>
          <w:fldChar w:fldCharType="separate"/>
        </w:r>
        <w:r>
          <w:rPr>
            <w:rStyle w:val="Nmerodepgina"/>
            <w:noProof/>
          </w:rPr>
          <w:t>2</w:t>
        </w:r>
        <w:r>
          <w:rPr>
            <w:rStyle w:val="Nmerodepgina"/>
          </w:rPr>
          <w:fldChar w:fldCharType="end"/>
        </w:r>
      </w:p>
    </w:sdtContent>
  </w:sdt>
  <w:p w14:paraId="6D218EDD" w14:textId="77777777" w:rsidR="002278D1" w:rsidRDefault="002278D1" w:rsidP="002278D1">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E79DD5" w14:textId="77777777" w:rsidR="00E85198" w:rsidRDefault="00E85198" w:rsidP="00626716">
      <w:r>
        <w:separator/>
      </w:r>
    </w:p>
  </w:footnote>
  <w:footnote w:type="continuationSeparator" w:id="0">
    <w:p w14:paraId="46E94305" w14:textId="77777777" w:rsidR="00E85198" w:rsidRDefault="00E85198" w:rsidP="00626716">
      <w:r>
        <w:continuationSeparator/>
      </w:r>
    </w:p>
  </w:footnote>
  <w:footnote w:id="1">
    <w:p w14:paraId="4AFF9F03" w14:textId="7A2ABDFB" w:rsidR="00E31315" w:rsidRPr="00D80603" w:rsidRDefault="00E31315" w:rsidP="00D80603">
      <w:pPr>
        <w:pStyle w:val="Textonotapie"/>
        <w:ind w:right="45"/>
        <w:contextualSpacing w:val="0"/>
        <w:rPr>
          <w:i w:val="0"/>
          <w:iCs/>
          <w:lang w:val="es-ES"/>
        </w:rPr>
      </w:pPr>
      <w:r w:rsidRPr="00D80603">
        <w:rPr>
          <w:rStyle w:val="Refdenotaalpie"/>
          <w:i w:val="0"/>
          <w:iCs/>
        </w:rPr>
        <w:footnoteRef/>
      </w:r>
      <w:r w:rsidRPr="00D80603">
        <w:rPr>
          <w:i w:val="0"/>
          <w:iCs/>
        </w:rPr>
        <w:t xml:space="preserve"> </w:t>
      </w:r>
      <w:r w:rsidRPr="00D80603">
        <w:tab/>
      </w:r>
      <w:r w:rsidRPr="00D80603">
        <w:rPr>
          <w:i w:val="0"/>
          <w:iCs/>
          <w:lang w:val="es-ES"/>
        </w:rPr>
        <w:t>Art. 65.2: “Todo Juez que haya participado en el examen de un caso tiene derecho a unir a la sentencia su voto concurrente o disidente que deberá ser razonado. Estos votos deberán ser presentados dentro del plazo fijado por la Presidencia, de modo que puedan ser conocidos por los Jueces antes de la notificación de la sentencia. Dichos votos sólo podrán referirse a lo tratado en las sentencias</w:t>
      </w:r>
      <w:r w:rsidRPr="00D80603">
        <w:rPr>
          <w:lang w:val="es-ES"/>
        </w:rPr>
        <w:t>”.</w:t>
      </w:r>
    </w:p>
  </w:footnote>
  <w:footnote w:id="2">
    <w:p w14:paraId="2749E855" w14:textId="71924E70" w:rsidR="00C25749" w:rsidRPr="00D80603" w:rsidRDefault="00C25749" w:rsidP="00D80603">
      <w:pPr>
        <w:pStyle w:val="Textonotapie"/>
        <w:contextualSpacing w:val="0"/>
      </w:pPr>
    </w:p>
  </w:footnote>
  <w:footnote w:id="3">
    <w:p w14:paraId="2DA3E640" w14:textId="5E436349" w:rsidR="00442914" w:rsidRPr="00D80603" w:rsidRDefault="00442914" w:rsidP="00D80603">
      <w:pPr>
        <w:pStyle w:val="Textonotapie"/>
        <w:contextualSpacing w:val="0"/>
        <w:rPr>
          <w:i w:val="0"/>
          <w:iCs/>
        </w:rPr>
      </w:pPr>
      <w:r w:rsidRPr="00D80603">
        <w:rPr>
          <w:rStyle w:val="Refdenotaalpie"/>
          <w:i w:val="0"/>
          <w:iCs/>
        </w:rPr>
        <w:footnoteRef/>
      </w:r>
      <w:r w:rsidR="006D03AF" w:rsidRPr="00D80603">
        <w:rPr>
          <w:i w:val="0"/>
          <w:iCs/>
        </w:rPr>
        <w:tab/>
        <w:t xml:space="preserve">Véase voto concurrente de los jueces Eduardo Ferrer Mac-Gregor Poisot y Rodrigo Mudrovitsch, </w:t>
      </w:r>
      <w:r w:rsidR="006D03AF" w:rsidRPr="00D80603">
        <w:t xml:space="preserve">Caso Comunidad Maya Q’eqchi Agua Caliente Vs. </w:t>
      </w:r>
      <w:r w:rsidR="0028352C" w:rsidRPr="00D80603">
        <w:t>Guatemala</w:t>
      </w:r>
      <w:r w:rsidR="006D03AF" w:rsidRPr="00D80603">
        <w:t xml:space="preserve">. Fondo, Reparaciones y Costas. </w:t>
      </w:r>
      <w:r w:rsidR="007B0F31" w:rsidRPr="00D80603">
        <w:rPr>
          <w:i w:val="0"/>
          <w:iCs/>
        </w:rPr>
        <w:t xml:space="preserve">Sentencia de </w:t>
      </w:r>
      <w:r w:rsidR="006D03AF" w:rsidRPr="00D80603">
        <w:rPr>
          <w:i w:val="0"/>
          <w:iCs/>
        </w:rPr>
        <w:t>16 de mayo de 2023, párr</w:t>
      </w:r>
      <w:r w:rsidR="007B0F31" w:rsidRPr="00D80603">
        <w:rPr>
          <w:i w:val="0"/>
          <w:iCs/>
        </w:rPr>
        <w:t>s</w:t>
      </w:r>
      <w:r w:rsidR="006D03AF" w:rsidRPr="00D80603">
        <w:rPr>
          <w:i w:val="0"/>
          <w:iCs/>
        </w:rPr>
        <w:t xml:space="preserve">. </w:t>
      </w:r>
      <w:r w:rsidR="007B0F31" w:rsidRPr="00D80603">
        <w:rPr>
          <w:i w:val="0"/>
          <w:iCs/>
        </w:rPr>
        <w:t>24-26.</w:t>
      </w:r>
    </w:p>
  </w:footnote>
  <w:footnote w:id="4">
    <w:p w14:paraId="0DA36F7D" w14:textId="7CA1DF90" w:rsidR="003C7AA6" w:rsidRPr="00D80603" w:rsidRDefault="003C7AA6" w:rsidP="00D80603">
      <w:pPr>
        <w:pStyle w:val="Textonotapie"/>
        <w:contextualSpacing w:val="0"/>
        <w:rPr>
          <w:i w:val="0"/>
          <w:iCs/>
          <w:lang w:val="es-ES"/>
        </w:rPr>
      </w:pPr>
      <w:r w:rsidRPr="00D80603">
        <w:rPr>
          <w:rStyle w:val="Refdenotaalpie"/>
          <w:i w:val="0"/>
          <w:iCs/>
        </w:rPr>
        <w:footnoteRef/>
      </w:r>
      <w:r w:rsidRPr="00D80603">
        <w:t xml:space="preserve"> </w:t>
      </w:r>
      <w:r w:rsidR="00CA19C3" w:rsidRPr="00D80603">
        <w:tab/>
      </w:r>
      <w:r w:rsidRPr="00D80603">
        <w:rPr>
          <w:i w:val="0"/>
          <w:iCs/>
          <w:lang w:val="es-ES"/>
        </w:rPr>
        <w:t xml:space="preserve">Honduras </w:t>
      </w:r>
      <w:r w:rsidR="00CA19C3" w:rsidRPr="00D80603">
        <w:rPr>
          <w:i w:val="0"/>
          <w:iCs/>
          <w:lang w:val="es-ES"/>
        </w:rPr>
        <w:t xml:space="preserve">es parte de </w:t>
      </w:r>
      <w:r w:rsidRPr="00D80603">
        <w:rPr>
          <w:i w:val="0"/>
          <w:iCs/>
          <w:lang w:val="es-ES"/>
        </w:rPr>
        <w:t xml:space="preserve">la Convención Americana </w:t>
      </w:r>
      <w:r w:rsidR="00CA19C3" w:rsidRPr="00D80603">
        <w:rPr>
          <w:i w:val="0"/>
          <w:iCs/>
          <w:lang w:val="es-ES"/>
        </w:rPr>
        <w:t>sobre Derechos Humanos desde el 5 de septiembre de 197</w:t>
      </w:r>
      <w:r w:rsidR="001A4967" w:rsidRPr="00D80603">
        <w:rPr>
          <w:i w:val="0"/>
          <w:iCs/>
          <w:lang w:val="es-ES"/>
        </w:rPr>
        <w:t>7 y la ampliación del casco urbano de la Municipalidad de Tela se realizó meses antes (abril de ese año).</w:t>
      </w:r>
    </w:p>
  </w:footnote>
  <w:footnote w:id="5">
    <w:p w14:paraId="6514D4BB" w14:textId="087FB27A" w:rsidR="007C1BD5" w:rsidRPr="00D80603" w:rsidRDefault="007C1BD5" w:rsidP="00D80603">
      <w:pPr>
        <w:pStyle w:val="Textonotapie"/>
        <w:contextualSpacing w:val="0"/>
        <w:rPr>
          <w:i w:val="0"/>
          <w:iCs/>
          <w:lang w:val="es-ES"/>
        </w:rPr>
      </w:pPr>
      <w:r w:rsidRPr="00D80603">
        <w:rPr>
          <w:rStyle w:val="Refdenotaalpie"/>
          <w:i w:val="0"/>
          <w:iCs/>
        </w:rPr>
        <w:footnoteRef/>
      </w:r>
      <w:r w:rsidRPr="00D80603">
        <w:rPr>
          <w:i w:val="0"/>
          <w:iCs/>
        </w:rPr>
        <w:t xml:space="preserve"> </w:t>
      </w:r>
      <w:r w:rsidRPr="00D80603">
        <w:rPr>
          <w:i w:val="0"/>
          <w:iCs/>
          <w:lang w:val="es-ES"/>
        </w:rPr>
        <w:tab/>
        <w:t>Este caso fue el primero sobre pueblos originarios en el que se incluye la violación del artículo 13 de la Convención Americana (acceso a la información) en el ámbito de procesos de consulta.</w:t>
      </w:r>
    </w:p>
  </w:footnote>
  <w:footnote w:id="6">
    <w:p w14:paraId="5A22F632" w14:textId="06E26F2F" w:rsidR="00FC6710" w:rsidRPr="00D80603" w:rsidRDefault="00FC6710" w:rsidP="00D80603">
      <w:pPr>
        <w:pStyle w:val="Textonotapie"/>
        <w:contextualSpacing w:val="0"/>
      </w:pPr>
      <w:r w:rsidRPr="00D80603">
        <w:rPr>
          <w:rStyle w:val="Refdenotaalpie"/>
          <w:i w:val="0"/>
          <w:iCs/>
        </w:rPr>
        <w:footnoteRef/>
      </w:r>
      <w:r w:rsidRPr="00D80603">
        <w:t xml:space="preserve"> </w:t>
      </w:r>
      <w:r w:rsidR="007C1BD5" w:rsidRPr="00D80603">
        <w:tab/>
      </w:r>
      <w:r w:rsidR="005A6930" w:rsidRPr="00D80603">
        <w:t>Caso Comunidad Garífuna de San Juan y sus Miembros Vs. Honduras. Excepciones Preliminares, Fondo, Reparaciones y Costas.</w:t>
      </w:r>
      <w:r w:rsidR="005A6930" w:rsidRPr="00D80603">
        <w:rPr>
          <w:i w:val="0"/>
          <w:iCs/>
        </w:rPr>
        <w:t xml:space="preserve"> Sentencia de 29 de agosto de 2023, </w:t>
      </w:r>
      <w:r w:rsidR="007C1BD5" w:rsidRPr="00D80603">
        <w:rPr>
          <w:i w:val="0"/>
          <w:iCs/>
        </w:rPr>
        <w:t xml:space="preserve">párr. 129 y </w:t>
      </w:r>
      <w:r w:rsidR="005A6930" w:rsidRPr="00D80603">
        <w:rPr>
          <w:i w:val="0"/>
          <w:iCs/>
        </w:rPr>
        <w:t>punto resolutivo</w:t>
      </w:r>
      <w:r w:rsidR="007C1BD5" w:rsidRPr="00D80603">
        <w:rPr>
          <w:i w:val="0"/>
          <w:iCs/>
        </w:rPr>
        <w:t xml:space="preserve"> 3</w:t>
      </w:r>
      <w:r w:rsidR="005A6930" w:rsidRPr="00D80603">
        <w:rPr>
          <w:i w:val="0"/>
          <w:iCs/>
        </w:rPr>
        <w:t>.</w:t>
      </w:r>
    </w:p>
  </w:footnote>
  <w:footnote w:id="7">
    <w:p w14:paraId="70B8E31B" w14:textId="40B7B3E9" w:rsidR="000E7604" w:rsidRPr="00D80603" w:rsidRDefault="000E7604" w:rsidP="00D80603">
      <w:pPr>
        <w:pStyle w:val="Textonotapie"/>
        <w:contextualSpacing w:val="0"/>
        <w:rPr>
          <w:i w:val="0"/>
          <w:iCs/>
        </w:rPr>
      </w:pPr>
      <w:r w:rsidRPr="00D80603">
        <w:rPr>
          <w:rStyle w:val="Refdenotaalpie"/>
          <w:i w:val="0"/>
          <w:iCs/>
        </w:rPr>
        <w:footnoteRef/>
      </w:r>
      <w:r w:rsidRPr="00D80603">
        <w:rPr>
          <w:i w:val="0"/>
          <w:iCs/>
        </w:rPr>
        <w:t xml:space="preserve"> </w:t>
      </w:r>
      <w:r w:rsidRPr="00D80603">
        <w:rPr>
          <w:i w:val="0"/>
          <w:iCs/>
        </w:rPr>
        <w:tab/>
        <w:t xml:space="preserve">Honduras ratificó el Convenio 169 de la OIT el 28 de marzo de 1995, </w:t>
      </w:r>
      <w:r w:rsidR="00077418" w:rsidRPr="00D80603">
        <w:rPr>
          <w:i w:val="0"/>
          <w:iCs/>
        </w:rPr>
        <w:t xml:space="preserve">el cual </w:t>
      </w:r>
      <w:r w:rsidRPr="00D80603">
        <w:rPr>
          <w:i w:val="0"/>
          <w:iCs/>
        </w:rPr>
        <w:t>entr</w:t>
      </w:r>
      <w:r w:rsidR="00077418" w:rsidRPr="00D80603">
        <w:rPr>
          <w:i w:val="0"/>
          <w:iCs/>
        </w:rPr>
        <w:t>ó</w:t>
      </w:r>
      <w:r w:rsidRPr="00D80603">
        <w:rPr>
          <w:i w:val="0"/>
          <w:iCs/>
        </w:rPr>
        <w:t xml:space="preserve"> en vigor en 1996.</w:t>
      </w:r>
    </w:p>
  </w:footnote>
  <w:footnote w:id="8">
    <w:p w14:paraId="3C59FD14" w14:textId="72971A23" w:rsidR="00FA1AD6" w:rsidRPr="00D80603" w:rsidRDefault="00FA1AD6" w:rsidP="00D80603">
      <w:pPr>
        <w:pStyle w:val="Textonotapie"/>
        <w:contextualSpacing w:val="0"/>
        <w:rPr>
          <w:rFonts w:cstheme="minorHAnsi"/>
        </w:rPr>
      </w:pPr>
      <w:r w:rsidRPr="00D80603">
        <w:rPr>
          <w:rStyle w:val="Refdenotaalpie"/>
          <w:rFonts w:eastAsia="Batang" w:cstheme="minorHAnsi"/>
        </w:rPr>
        <w:footnoteRef/>
      </w:r>
      <w:r w:rsidRPr="00D80603">
        <w:rPr>
          <w:rFonts w:cstheme="minorHAnsi"/>
        </w:rPr>
        <w:t xml:space="preserve"> </w:t>
      </w:r>
      <w:r w:rsidRPr="00D80603">
        <w:rPr>
          <w:rFonts w:cstheme="minorHAnsi"/>
        </w:rPr>
        <w:tab/>
        <w:t>Cfr. Caso Pueblo Saramaka Vs. Surinam</w:t>
      </w:r>
      <w:r w:rsidR="004B0059" w:rsidRPr="00D80603">
        <w:rPr>
          <w:rFonts w:cstheme="minorHAnsi"/>
        </w:rPr>
        <w:t>.</w:t>
      </w:r>
      <w:r w:rsidR="004B0059" w:rsidRPr="00D80603">
        <w:rPr>
          <w:lang w:val="es-ES"/>
        </w:rPr>
        <w:t xml:space="preserve"> Excepciones Preliminares, Fondo, Reparaciones y Costas. </w:t>
      </w:r>
      <w:r w:rsidR="004B0059" w:rsidRPr="00D80603">
        <w:rPr>
          <w:i w:val="0"/>
          <w:iCs/>
          <w:lang w:val="es-ES"/>
        </w:rPr>
        <w:t>Sentencia de 28 de noviembre de 2007</w:t>
      </w:r>
      <w:r w:rsidR="004B0059" w:rsidRPr="00D80603">
        <w:rPr>
          <w:lang w:val="es-ES"/>
        </w:rPr>
        <w:t xml:space="preserve">. </w:t>
      </w:r>
      <w:r w:rsidR="004B0059" w:rsidRPr="00D80603">
        <w:rPr>
          <w:i w:val="0"/>
          <w:iCs/>
          <w:lang w:val="es-ES"/>
        </w:rPr>
        <w:t>Serie C No. 172</w:t>
      </w:r>
      <w:r w:rsidR="00E03999" w:rsidRPr="00D80603">
        <w:rPr>
          <w:rFonts w:cstheme="minorHAnsi"/>
          <w:i w:val="0"/>
          <w:iCs/>
        </w:rPr>
        <w:t>,</w:t>
      </w:r>
      <w:r w:rsidRPr="00D80603">
        <w:rPr>
          <w:rFonts w:cstheme="minorHAnsi"/>
        </w:rPr>
        <w:t xml:space="preserve"> párr. 129, y Caso del Pueblo indígena </w:t>
      </w:r>
      <w:proofErr w:type="spellStart"/>
      <w:r w:rsidRPr="00D80603">
        <w:rPr>
          <w:rFonts w:cstheme="minorHAnsi"/>
        </w:rPr>
        <w:t>Kichwa</w:t>
      </w:r>
      <w:proofErr w:type="spellEnd"/>
      <w:r w:rsidRPr="00D80603">
        <w:rPr>
          <w:rFonts w:cstheme="minorHAnsi"/>
        </w:rPr>
        <w:t xml:space="preserve"> de </w:t>
      </w:r>
      <w:proofErr w:type="spellStart"/>
      <w:r w:rsidRPr="00D80603">
        <w:rPr>
          <w:rFonts w:cstheme="minorHAnsi"/>
        </w:rPr>
        <w:t>Sarayaku</w:t>
      </w:r>
      <w:proofErr w:type="spellEnd"/>
      <w:r w:rsidRPr="00D80603">
        <w:rPr>
          <w:rFonts w:cstheme="minorHAnsi"/>
        </w:rPr>
        <w:t xml:space="preserve"> Vs</w:t>
      </w:r>
      <w:r w:rsidR="00E03999" w:rsidRPr="00D80603">
        <w:rPr>
          <w:rFonts w:cstheme="minorHAnsi"/>
        </w:rPr>
        <w:t>.</w:t>
      </w:r>
      <w:r w:rsidRPr="00D80603">
        <w:rPr>
          <w:rFonts w:cstheme="minorHAnsi"/>
        </w:rPr>
        <w:t xml:space="preserve"> Ecuador</w:t>
      </w:r>
      <w:r w:rsidR="00EA4DE0" w:rsidRPr="00D80603">
        <w:rPr>
          <w:rFonts w:cstheme="minorHAnsi"/>
        </w:rPr>
        <w:t>.</w:t>
      </w:r>
      <w:r w:rsidR="00EA4DE0" w:rsidRPr="00D80603">
        <w:rPr>
          <w:rFonts w:cstheme="minorHAnsi"/>
          <w:bCs/>
          <w:lang w:val="es-ES"/>
        </w:rPr>
        <w:t xml:space="preserve"> Fondo y Reparaciones.</w:t>
      </w:r>
      <w:r w:rsidR="00EA4DE0" w:rsidRPr="00D80603">
        <w:rPr>
          <w:rFonts w:cstheme="minorHAnsi"/>
          <w:bCs/>
          <w:i w:val="0"/>
          <w:lang w:val="es-ES"/>
        </w:rPr>
        <w:t xml:space="preserve"> Sentencia de 27 de junio de 2012. Serie C No. 245</w:t>
      </w:r>
      <w:r w:rsidRPr="00D80603">
        <w:rPr>
          <w:rFonts w:cstheme="minorHAnsi"/>
        </w:rPr>
        <w:t>, párr. 157.</w:t>
      </w:r>
    </w:p>
  </w:footnote>
  <w:footnote w:id="9">
    <w:p w14:paraId="634EA987" w14:textId="4B0314CC" w:rsidR="00FA1AD6" w:rsidRPr="00D80603" w:rsidRDefault="00FA1AD6" w:rsidP="00D80603">
      <w:pPr>
        <w:pStyle w:val="Textonotapie"/>
        <w:contextualSpacing w:val="0"/>
        <w:rPr>
          <w:rFonts w:cstheme="minorHAnsi"/>
          <w:bCs/>
          <w:iCs/>
          <w:lang w:val="es-ES"/>
        </w:rPr>
      </w:pPr>
      <w:r w:rsidRPr="00D80603">
        <w:rPr>
          <w:rStyle w:val="Refdenotaalpie"/>
          <w:rFonts w:cstheme="minorHAnsi"/>
          <w:bCs/>
          <w:i w:val="0"/>
          <w:lang w:val="es-ES"/>
        </w:rPr>
        <w:footnoteRef/>
      </w:r>
      <w:r w:rsidRPr="00D80603">
        <w:rPr>
          <w:rFonts w:cstheme="minorHAnsi"/>
        </w:rPr>
        <w:t xml:space="preserve"> </w:t>
      </w:r>
      <w:r w:rsidRPr="00D80603">
        <w:rPr>
          <w:rFonts w:cstheme="minorHAnsi"/>
        </w:rPr>
        <w:tab/>
        <w:t xml:space="preserve">Cfr. Caso del Pueblo indígena </w:t>
      </w:r>
      <w:proofErr w:type="spellStart"/>
      <w:r w:rsidRPr="00D80603">
        <w:rPr>
          <w:rFonts w:cstheme="minorHAnsi"/>
        </w:rPr>
        <w:t>Kichwa</w:t>
      </w:r>
      <w:proofErr w:type="spellEnd"/>
      <w:r w:rsidRPr="00D80603">
        <w:rPr>
          <w:rFonts w:cstheme="minorHAnsi"/>
        </w:rPr>
        <w:t xml:space="preserve"> de </w:t>
      </w:r>
      <w:proofErr w:type="spellStart"/>
      <w:r w:rsidRPr="00D80603">
        <w:rPr>
          <w:rFonts w:cstheme="minorHAnsi"/>
        </w:rPr>
        <w:t>Sarayaku</w:t>
      </w:r>
      <w:proofErr w:type="spellEnd"/>
      <w:r w:rsidRPr="00D80603">
        <w:rPr>
          <w:rFonts w:cstheme="minorHAnsi"/>
        </w:rPr>
        <w:t xml:space="preserve"> Vs</w:t>
      </w:r>
      <w:r w:rsidR="00E03999" w:rsidRPr="00D80603">
        <w:rPr>
          <w:rFonts w:cstheme="minorHAnsi"/>
        </w:rPr>
        <w:t>.</w:t>
      </w:r>
      <w:r w:rsidRPr="00D80603">
        <w:rPr>
          <w:rFonts w:cstheme="minorHAnsi"/>
        </w:rPr>
        <w:t xml:space="preserve"> Ecuador</w:t>
      </w:r>
      <w:r w:rsidR="00EA4DE0" w:rsidRPr="00D80603">
        <w:rPr>
          <w:rFonts w:cstheme="minorHAnsi"/>
          <w:bCs/>
          <w:i w:val="0"/>
          <w:iCs/>
          <w:lang w:val="es-ES"/>
        </w:rPr>
        <w:t xml:space="preserve">, </w:t>
      </w:r>
      <w:r w:rsidR="00EA4DE0" w:rsidRPr="00D80603">
        <w:rPr>
          <w:rFonts w:cstheme="minorHAnsi"/>
          <w:bCs/>
          <w:lang w:val="es-ES"/>
        </w:rPr>
        <w:t>supra</w:t>
      </w:r>
      <w:r w:rsidR="00EA4DE0" w:rsidRPr="00D80603">
        <w:rPr>
          <w:rFonts w:cstheme="minorHAnsi"/>
          <w:bCs/>
          <w:i w:val="0"/>
          <w:lang w:val="es-ES"/>
        </w:rPr>
        <w:t>,</w:t>
      </w:r>
      <w:r w:rsidRPr="00D80603">
        <w:rPr>
          <w:rFonts w:cstheme="minorHAnsi"/>
          <w:bCs/>
          <w:iCs/>
          <w:lang w:val="es-ES"/>
        </w:rPr>
        <w:t xml:space="preserve"> </w:t>
      </w:r>
      <w:r w:rsidRPr="00D80603">
        <w:rPr>
          <w:rFonts w:cstheme="minorHAnsi"/>
          <w:bCs/>
          <w:i w:val="0"/>
          <w:lang w:val="es-ES"/>
        </w:rPr>
        <w:t>párr. 164.</w:t>
      </w:r>
      <w:r w:rsidRPr="00D80603">
        <w:rPr>
          <w:rFonts w:cstheme="minorHAnsi"/>
          <w:bCs/>
          <w:iCs/>
          <w:lang w:val="es-ES"/>
        </w:rPr>
        <w:t xml:space="preserve"> </w:t>
      </w:r>
      <w:r w:rsidRPr="00D80603">
        <w:rPr>
          <w:rFonts w:cstheme="minorHAnsi"/>
          <w:bCs/>
          <w:iCs/>
          <w:lang w:val="es-ES"/>
        </w:rPr>
        <w:tab/>
      </w:r>
    </w:p>
  </w:footnote>
  <w:footnote w:id="10">
    <w:p w14:paraId="4C609A1B" w14:textId="1C134169" w:rsidR="00393D78" w:rsidRPr="00D80603" w:rsidRDefault="00393D78" w:rsidP="00D80603">
      <w:pPr>
        <w:pStyle w:val="Textonotapie"/>
        <w:contextualSpacing w:val="0"/>
        <w:rPr>
          <w:i w:val="0"/>
          <w:iCs/>
        </w:rPr>
      </w:pPr>
      <w:r w:rsidRPr="00D80603">
        <w:rPr>
          <w:rStyle w:val="Refdenotaalpie"/>
          <w:i w:val="0"/>
          <w:iCs/>
        </w:rPr>
        <w:footnoteRef/>
      </w:r>
      <w:r w:rsidRPr="00D80603">
        <w:t xml:space="preserve"> </w:t>
      </w:r>
      <w:r w:rsidRPr="00D80603">
        <w:tab/>
      </w:r>
      <w:r w:rsidR="00866996" w:rsidRPr="00D80603">
        <w:t xml:space="preserve">Cfr. </w:t>
      </w:r>
      <w:r w:rsidR="000614CC" w:rsidRPr="00D80603">
        <w:t>Caso Comunidad Garífuna de San Juan y sus Miembros Vs. Honduras</w:t>
      </w:r>
      <w:r w:rsidR="000614CC" w:rsidRPr="00D80603">
        <w:rPr>
          <w:i w:val="0"/>
          <w:iCs/>
        </w:rPr>
        <w:t xml:space="preserve">, </w:t>
      </w:r>
      <w:r w:rsidR="000614CC" w:rsidRPr="00D80603">
        <w:t>supra</w:t>
      </w:r>
      <w:r w:rsidR="000614CC" w:rsidRPr="00D80603">
        <w:rPr>
          <w:i w:val="0"/>
          <w:iCs/>
        </w:rPr>
        <w:t xml:space="preserve">, </w:t>
      </w:r>
      <w:r w:rsidRPr="00D80603">
        <w:rPr>
          <w:i w:val="0"/>
          <w:iCs/>
        </w:rPr>
        <w:t>párr. 119</w:t>
      </w:r>
      <w:r w:rsidR="000614CC" w:rsidRPr="00D80603">
        <w:rPr>
          <w:i w:val="0"/>
          <w:iCs/>
        </w:rPr>
        <w:t>.</w:t>
      </w:r>
    </w:p>
  </w:footnote>
  <w:footnote w:id="11">
    <w:p w14:paraId="4612C8F7" w14:textId="77777777" w:rsidR="006B25E9" w:rsidRPr="00D80603" w:rsidRDefault="006B25E9" w:rsidP="00D80603">
      <w:pPr>
        <w:pStyle w:val="Textonotapie"/>
        <w:contextualSpacing w:val="0"/>
        <w:rPr>
          <w:lang w:val="es-ES"/>
        </w:rPr>
      </w:pPr>
      <w:r w:rsidRPr="00D80603">
        <w:rPr>
          <w:rStyle w:val="Refdenotaalpie"/>
          <w:i w:val="0"/>
          <w:iCs/>
        </w:rPr>
        <w:footnoteRef/>
      </w:r>
      <w:r w:rsidRPr="00D80603">
        <w:t xml:space="preserve"> </w:t>
      </w:r>
      <w:r w:rsidRPr="00D80603">
        <w:rPr>
          <w:lang w:val="es-ES"/>
        </w:rPr>
        <w:tab/>
        <w:t>ONU, Comité de Derechos Económicos, Sociales y Culturales, Consideración de Informes presentados</w:t>
      </w:r>
    </w:p>
    <w:p w14:paraId="59B476BC" w14:textId="3F9F2631" w:rsidR="006B25E9" w:rsidRPr="00D80603" w:rsidRDefault="006B25E9" w:rsidP="00D80603">
      <w:pPr>
        <w:pStyle w:val="Textonotapie"/>
        <w:contextualSpacing w:val="0"/>
        <w:rPr>
          <w:lang w:val="es-ES"/>
        </w:rPr>
      </w:pPr>
      <w:r w:rsidRPr="00D80603">
        <w:rPr>
          <w:lang w:val="es-ES"/>
        </w:rPr>
        <w:t xml:space="preserve">por </w:t>
      </w:r>
      <w:r w:rsidR="00587742" w:rsidRPr="00D80603">
        <w:rPr>
          <w:lang w:val="es-ES"/>
        </w:rPr>
        <w:t>Estados Parte</w:t>
      </w:r>
      <w:r w:rsidRPr="00D80603">
        <w:rPr>
          <w:lang w:val="es-ES"/>
        </w:rPr>
        <w:t xml:space="preserve"> bajo los Artículos 16 y 17 del Pacto. Observaciones Finales sobre la Federación Rusa (trigésimo primera sesión). N.U. Doc. E/C.12/1/Add.94, 12 de diciembre de 2003, párr. 11. Artículo 1 del PIDESC: 1. Todos los pueblos tienen el derecho de libre determinación. En virtud de este derecho establecen libremente su condición política y proveen asimismo a su desarrollo económico, social y cultural. 2. Para el logro de sus fines, todos los pueblos pueden disponer libremente de sus riquezas y recursos naturales, sin perjuicio de las obligaciones que derivan de la cooperación económica internacional basada en el principio de beneficio recíproco, así como del derecho internacional. En ningún caso podrá privarse a un pueblo de sus propios medios de subsistencia. 3. Los </w:t>
      </w:r>
      <w:r w:rsidR="00587742" w:rsidRPr="00D80603">
        <w:rPr>
          <w:lang w:val="es-ES"/>
        </w:rPr>
        <w:t>Estados Parte</w:t>
      </w:r>
      <w:r w:rsidRPr="00D80603">
        <w:rPr>
          <w:lang w:val="es-ES"/>
        </w:rPr>
        <w:t xml:space="preserve"> en el presente Pacto, incluso los que tienen la responsabilidad de administrar territorios no autónomos y territorios en fideicomiso, promoverán el ejercicio del derecho de libre determinación, y respetarán este derecho de conformidad con las disposiciones de la Carta de las Naciones Unidas. </w:t>
      </w:r>
      <w:r w:rsidRPr="00D80603">
        <w:rPr>
          <w:iCs/>
          <w:lang w:val="es-ES"/>
        </w:rPr>
        <w:t>Cfr</w:t>
      </w:r>
      <w:r w:rsidRPr="00D80603">
        <w:rPr>
          <w:lang w:val="es-ES"/>
        </w:rPr>
        <w:t xml:space="preserve">. Caso del Pueblo </w:t>
      </w:r>
      <w:proofErr w:type="spellStart"/>
      <w:r w:rsidRPr="00D80603">
        <w:rPr>
          <w:lang w:val="es-ES"/>
        </w:rPr>
        <w:t>Saramaka</w:t>
      </w:r>
      <w:proofErr w:type="spellEnd"/>
      <w:r w:rsidRPr="00D80603">
        <w:rPr>
          <w:lang w:val="es-ES"/>
        </w:rPr>
        <w:t xml:space="preserve"> Vs. Surinam</w:t>
      </w:r>
      <w:r w:rsidR="004B0059" w:rsidRPr="00D80603">
        <w:rPr>
          <w:i w:val="0"/>
          <w:iCs/>
          <w:lang w:val="es-ES"/>
        </w:rPr>
        <w:t>,</w:t>
      </w:r>
      <w:r w:rsidR="004B0059" w:rsidRPr="00D80603">
        <w:rPr>
          <w:lang w:val="es-ES"/>
        </w:rPr>
        <w:t xml:space="preserve"> supra, </w:t>
      </w:r>
      <w:r w:rsidRPr="00D80603">
        <w:rPr>
          <w:lang w:val="es-ES"/>
        </w:rPr>
        <w:t>párr. 93.</w:t>
      </w:r>
    </w:p>
  </w:footnote>
  <w:footnote w:id="12">
    <w:p w14:paraId="14FB44AC" w14:textId="27606FB5" w:rsidR="006B25E9" w:rsidRPr="00D80603" w:rsidRDefault="006B25E9" w:rsidP="00D80603">
      <w:pPr>
        <w:pStyle w:val="Textonotapie"/>
        <w:contextualSpacing w:val="0"/>
        <w:rPr>
          <w:lang w:val="es-ES"/>
        </w:rPr>
      </w:pPr>
      <w:r w:rsidRPr="00D80603">
        <w:rPr>
          <w:rStyle w:val="Refdenotaalpie"/>
          <w:i w:val="0"/>
          <w:iCs/>
        </w:rPr>
        <w:footnoteRef/>
      </w:r>
      <w:r w:rsidRPr="00D80603">
        <w:rPr>
          <w:i w:val="0"/>
          <w:iCs/>
        </w:rPr>
        <w:t xml:space="preserve"> </w:t>
      </w:r>
      <w:r w:rsidRPr="00D80603">
        <w:rPr>
          <w:lang w:val="es-ES"/>
        </w:rPr>
        <w:tab/>
        <w:t xml:space="preserve">Caso del Pueblo </w:t>
      </w:r>
      <w:r w:rsidR="002F6DCE" w:rsidRPr="00D80603">
        <w:rPr>
          <w:lang w:val="es-ES"/>
        </w:rPr>
        <w:t xml:space="preserve">Indígena </w:t>
      </w:r>
      <w:proofErr w:type="spellStart"/>
      <w:r w:rsidR="002F6DCE" w:rsidRPr="00D80603">
        <w:rPr>
          <w:lang w:val="es-ES"/>
        </w:rPr>
        <w:t>Kichwa</w:t>
      </w:r>
      <w:proofErr w:type="spellEnd"/>
      <w:r w:rsidR="002F6DCE" w:rsidRPr="00D80603">
        <w:rPr>
          <w:lang w:val="es-ES"/>
        </w:rPr>
        <w:t xml:space="preserve"> de </w:t>
      </w:r>
      <w:proofErr w:type="spellStart"/>
      <w:r w:rsidR="002F6DCE" w:rsidRPr="00D80603">
        <w:rPr>
          <w:lang w:val="es-ES"/>
        </w:rPr>
        <w:t>Sarayaku</w:t>
      </w:r>
      <w:proofErr w:type="spellEnd"/>
      <w:r w:rsidR="002F6DCE" w:rsidRPr="00D80603">
        <w:rPr>
          <w:lang w:val="es-ES"/>
        </w:rPr>
        <w:t xml:space="preserve"> </w:t>
      </w:r>
      <w:r w:rsidRPr="00D80603">
        <w:rPr>
          <w:lang w:val="es-ES"/>
        </w:rPr>
        <w:t xml:space="preserve">Vs. </w:t>
      </w:r>
      <w:r w:rsidR="001F365D" w:rsidRPr="00D80603">
        <w:rPr>
          <w:lang w:val="es-ES"/>
        </w:rPr>
        <w:t>Ecuador</w:t>
      </w:r>
      <w:r w:rsidR="00587742" w:rsidRPr="00D80603">
        <w:rPr>
          <w:i w:val="0"/>
          <w:iCs/>
          <w:lang w:val="es-ES"/>
        </w:rPr>
        <w:t>,</w:t>
      </w:r>
      <w:r w:rsidR="00587742" w:rsidRPr="00D80603">
        <w:rPr>
          <w:lang w:val="es-ES"/>
        </w:rPr>
        <w:t xml:space="preserve"> </w:t>
      </w:r>
      <w:r w:rsidR="004346EA" w:rsidRPr="00D80603">
        <w:rPr>
          <w:lang w:val="es-ES"/>
        </w:rPr>
        <w:t>supra</w:t>
      </w:r>
      <w:r w:rsidR="004346EA" w:rsidRPr="00D80603">
        <w:rPr>
          <w:i w:val="0"/>
          <w:iCs/>
          <w:lang w:val="es-ES"/>
        </w:rPr>
        <w:t xml:space="preserve">, </w:t>
      </w:r>
      <w:r w:rsidR="00587742" w:rsidRPr="00D80603">
        <w:rPr>
          <w:i w:val="0"/>
          <w:iCs/>
          <w:lang w:val="es-ES"/>
        </w:rPr>
        <w:t>párr</w:t>
      </w:r>
      <w:r w:rsidR="00587742" w:rsidRPr="00D80603">
        <w:rPr>
          <w:lang w:val="es-ES"/>
        </w:rPr>
        <w:t>.</w:t>
      </w:r>
      <w:r w:rsidRPr="00D80603">
        <w:rPr>
          <w:lang w:val="es-ES"/>
        </w:rPr>
        <w:t xml:space="preserve"> 172.</w:t>
      </w:r>
    </w:p>
  </w:footnote>
  <w:footnote w:id="13">
    <w:p w14:paraId="06864052" w14:textId="30E4BCE9" w:rsidR="006B25E9" w:rsidRPr="00D80603" w:rsidRDefault="006B25E9" w:rsidP="00D80603">
      <w:pPr>
        <w:pStyle w:val="Textonotapie"/>
        <w:contextualSpacing w:val="0"/>
        <w:rPr>
          <w:lang w:val="es-ES"/>
        </w:rPr>
      </w:pPr>
      <w:r w:rsidRPr="00D80603">
        <w:rPr>
          <w:rStyle w:val="Refdenotaalpie"/>
          <w:i w:val="0"/>
          <w:iCs/>
        </w:rPr>
        <w:footnoteRef/>
      </w:r>
      <w:r w:rsidRPr="00D80603">
        <w:t xml:space="preserve"> </w:t>
      </w:r>
      <w:r w:rsidRPr="00D80603">
        <w:rPr>
          <w:lang w:val="es-ES"/>
        </w:rPr>
        <w:tab/>
      </w:r>
      <w:r w:rsidR="00587742" w:rsidRPr="00D80603">
        <w:rPr>
          <w:lang w:val="es-ES"/>
        </w:rPr>
        <w:t xml:space="preserve">Caso del Pueblo </w:t>
      </w:r>
      <w:r w:rsidR="001F365D" w:rsidRPr="00D80603">
        <w:rPr>
          <w:lang w:val="es-ES"/>
        </w:rPr>
        <w:t xml:space="preserve">Indígena </w:t>
      </w:r>
      <w:proofErr w:type="spellStart"/>
      <w:r w:rsidR="001F365D" w:rsidRPr="00D80603">
        <w:rPr>
          <w:lang w:val="es-ES"/>
        </w:rPr>
        <w:t>Kichwa</w:t>
      </w:r>
      <w:proofErr w:type="spellEnd"/>
      <w:r w:rsidR="001F365D" w:rsidRPr="00D80603">
        <w:rPr>
          <w:lang w:val="es-ES"/>
        </w:rPr>
        <w:t xml:space="preserve"> de </w:t>
      </w:r>
      <w:proofErr w:type="spellStart"/>
      <w:proofErr w:type="gramStart"/>
      <w:r w:rsidR="001F365D" w:rsidRPr="00D80603">
        <w:rPr>
          <w:lang w:val="es-ES"/>
        </w:rPr>
        <w:t>Sarayaku</w:t>
      </w:r>
      <w:proofErr w:type="spellEnd"/>
      <w:r w:rsidR="001F365D" w:rsidRPr="00D80603">
        <w:rPr>
          <w:lang w:val="es-ES"/>
        </w:rPr>
        <w:t xml:space="preserve"> </w:t>
      </w:r>
      <w:r w:rsidR="00587742" w:rsidRPr="00D80603">
        <w:rPr>
          <w:lang w:val="es-ES"/>
        </w:rPr>
        <w:t xml:space="preserve"> Vs.</w:t>
      </w:r>
      <w:proofErr w:type="gramEnd"/>
      <w:r w:rsidR="00587742" w:rsidRPr="00D80603">
        <w:rPr>
          <w:lang w:val="es-ES"/>
        </w:rPr>
        <w:t xml:space="preserve"> </w:t>
      </w:r>
      <w:r w:rsidR="001F365D" w:rsidRPr="00D80603">
        <w:rPr>
          <w:lang w:val="es-ES"/>
        </w:rPr>
        <w:t>Ecuador</w:t>
      </w:r>
      <w:r w:rsidR="00587742" w:rsidRPr="00D80603">
        <w:rPr>
          <w:i w:val="0"/>
          <w:iCs/>
          <w:lang w:val="es-ES"/>
        </w:rPr>
        <w:t>,</w:t>
      </w:r>
      <w:r w:rsidR="00587742" w:rsidRPr="00D80603">
        <w:rPr>
          <w:lang w:val="es-ES"/>
        </w:rPr>
        <w:t xml:space="preserve"> </w:t>
      </w:r>
      <w:r w:rsidR="004346EA" w:rsidRPr="00D80603">
        <w:rPr>
          <w:lang w:val="es-ES"/>
        </w:rPr>
        <w:t>supra</w:t>
      </w:r>
      <w:r w:rsidR="004346EA" w:rsidRPr="00D80603">
        <w:rPr>
          <w:i w:val="0"/>
          <w:iCs/>
          <w:lang w:val="es-ES"/>
        </w:rPr>
        <w:t xml:space="preserve">, </w:t>
      </w:r>
      <w:r w:rsidR="00587742" w:rsidRPr="00D80603">
        <w:rPr>
          <w:i w:val="0"/>
          <w:iCs/>
          <w:lang w:val="es-ES"/>
        </w:rPr>
        <w:t>párr</w:t>
      </w:r>
      <w:r w:rsidR="00587742" w:rsidRPr="00D80603">
        <w:rPr>
          <w:lang w:val="es-ES"/>
        </w:rPr>
        <w:t>.</w:t>
      </w:r>
      <w:r w:rsidRPr="00D80603">
        <w:rPr>
          <w:lang w:val="es-ES"/>
        </w:rPr>
        <w:t xml:space="preserve"> 176.</w:t>
      </w:r>
    </w:p>
  </w:footnote>
  <w:footnote w:id="14">
    <w:p w14:paraId="6DD24D6B" w14:textId="32278F4A" w:rsidR="006B25E9" w:rsidRPr="00D80603" w:rsidRDefault="006B25E9" w:rsidP="00D80603">
      <w:pPr>
        <w:pStyle w:val="Textonotapie"/>
        <w:contextualSpacing w:val="0"/>
        <w:rPr>
          <w:lang w:val="es-ES"/>
        </w:rPr>
      </w:pPr>
      <w:r w:rsidRPr="00D80603">
        <w:rPr>
          <w:rStyle w:val="Refdenotaalpie"/>
          <w:i w:val="0"/>
          <w:iCs/>
        </w:rPr>
        <w:footnoteRef/>
      </w:r>
      <w:r w:rsidRPr="00D80603">
        <w:t xml:space="preserve"> </w:t>
      </w:r>
      <w:r w:rsidRPr="00D80603">
        <w:rPr>
          <w:lang w:val="es-ES"/>
        </w:rPr>
        <w:tab/>
        <w:t>Caso Comunidad Garífuna Triunfo de la Cruz y sus miembros Vs. Honduras</w:t>
      </w:r>
      <w:r w:rsidR="004346EA" w:rsidRPr="00D80603">
        <w:rPr>
          <w:i w:val="0"/>
          <w:iCs/>
          <w:lang w:val="es-ES"/>
        </w:rPr>
        <w:t xml:space="preserve">, </w:t>
      </w:r>
      <w:r w:rsidR="004346EA" w:rsidRPr="00D80603">
        <w:rPr>
          <w:lang w:val="es-ES"/>
        </w:rPr>
        <w:t>supra</w:t>
      </w:r>
      <w:r w:rsidR="004346EA" w:rsidRPr="00D80603">
        <w:rPr>
          <w:i w:val="0"/>
          <w:iCs/>
          <w:lang w:val="es-ES"/>
        </w:rPr>
        <w:t xml:space="preserve">, </w:t>
      </w:r>
      <w:r w:rsidRPr="00D80603">
        <w:rPr>
          <w:i w:val="0"/>
          <w:iCs/>
          <w:lang w:val="es-ES"/>
        </w:rPr>
        <w:t>párr</w:t>
      </w:r>
      <w:r w:rsidRPr="00D80603">
        <w:rPr>
          <w:lang w:val="es-ES"/>
        </w:rPr>
        <w:t>. 174.</w:t>
      </w:r>
    </w:p>
  </w:footnote>
  <w:footnote w:id="15">
    <w:p w14:paraId="37F0FF27" w14:textId="64BD29A9" w:rsidR="006B25E9" w:rsidRPr="00D80603" w:rsidRDefault="006B25E9" w:rsidP="00D80603">
      <w:pPr>
        <w:pStyle w:val="Textonotapie"/>
        <w:contextualSpacing w:val="0"/>
        <w:rPr>
          <w:lang w:val="es-ES"/>
        </w:rPr>
      </w:pPr>
      <w:r w:rsidRPr="00D80603">
        <w:rPr>
          <w:rStyle w:val="Refdenotaalpie"/>
          <w:i w:val="0"/>
          <w:iCs/>
        </w:rPr>
        <w:footnoteRef/>
      </w:r>
      <w:r w:rsidRPr="00D80603">
        <w:t xml:space="preserve"> </w:t>
      </w:r>
      <w:r w:rsidRPr="00D80603">
        <w:rPr>
          <w:lang w:val="es-ES"/>
        </w:rPr>
        <w:tab/>
      </w:r>
      <w:r w:rsidR="00587742" w:rsidRPr="00D80603">
        <w:rPr>
          <w:lang w:val="es-ES"/>
        </w:rPr>
        <w:t>Caso Comunidad Garífuna Triunfo de la Cruz y sus miembros Vs. Honduras</w:t>
      </w:r>
      <w:r w:rsidR="00587742" w:rsidRPr="00D80603">
        <w:rPr>
          <w:i w:val="0"/>
          <w:iCs/>
          <w:lang w:val="es-ES"/>
        </w:rPr>
        <w:t>,</w:t>
      </w:r>
      <w:r w:rsidR="004346EA" w:rsidRPr="00D80603">
        <w:rPr>
          <w:lang w:val="es-ES"/>
        </w:rPr>
        <w:t xml:space="preserve"> supra</w:t>
      </w:r>
      <w:r w:rsidR="004346EA" w:rsidRPr="00D80603">
        <w:rPr>
          <w:i w:val="0"/>
          <w:iCs/>
          <w:lang w:val="es-ES"/>
        </w:rPr>
        <w:t>,</w:t>
      </w:r>
      <w:r w:rsidR="00587742" w:rsidRPr="00D80603">
        <w:rPr>
          <w:lang w:val="es-ES"/>
        </w:rPr>
        <w:t xml:space="preserve"> </w:t>
      </w:r>
      <w:r w:rsidRPr="00D80603">
        <w:rPr>
          <w:i w:val="0"/>
          <w:iCs/>
          <w:lang w:val="es-ES"/>
        </w:rPr>
        <w:t>párr</w:t>
      </w:r>
      <w:r w:rsidRPr="00D80603">
        <w:rPr>
          <w:lang w:val="es-ES"/>
        </w:rPr>
        <w:t>. 175.</w:t>
      </w:r>
    </w:p>
  </w:footnote>
  <w:footnote w:id="16">
    <w:p w14:paraId="145E16A8" w14:textId="3BABDA14" w:rsidR="003C6187" w:rsidRPr="00D80603" w:rsidRDefault="003C6187" w:rsidP="00D80603">
      <w:pPr>
        <w:pStyle w:val="Textonotapie"/>
        <w:contextualSpacing w:val="0"/>
        <w:rPr>
          <w:i w:val="0"/>
          <w:iCs/>
        </w:rPr>
      </w:pPr>
      <w:r w:rsidRPr="00D80603">
        <w:rPr>
          <w:rStyle w:val="Refdenotaalpie"/>
          <w:i w:val="0"/>
          <w:iCs/>
        </w:rPr>
        <w:footnoteRef/>
      </w:r>
      <w:r w:rsidRPr="00D80603">
        <w:t xml:space="preserve"> </w:t>
      </w:r>
      <w:r w:rsidRPr="00D80603">
        <w:tab/>
      </w:r>
      <w:r w:rsidRPr="00D80603">
        <w:rPr>
          <w:i w:val="0"/>
          <w:iCs/>
        </w:rPr>
        <w:t>Véase el voto concurrente conjunto de los jueces Humberto Antonio Sierra Porto y Eduardo Ferrer Mac-Gregor Poisot, párrs. 3, 12, 16 y 21</w:t>
      </w:r>
      <w:r w:rsidR="002B7992" w:rsidRPr="00D80603">
        <w:rPr>
          <w:i w:val="0"/>
          <w:iCs/>
        </w:rPr>
        <w:t>.</w:t>
      </w:r>
      <w:r w:rsidRPr="00D80603">
        <w:rPr>
          <w:i w:val="0"/>
          <w:iCs/>
        </w:rPr>
        <w:t xml:space="preserve"> </w:t>
      </w:r>
      <w:r w:rsidRPr="00D80603">
        <w:t>Caso Pueblos Kaliña y Lokono Vs. Surinam. Fondo, Reparaciones y Costas</w:t>
      </w:r>
      <w:r w:rsidRPr="00D80603">
        <w:rPr>
          <w:i w:val="0"/>
          <w:iCs/>
        </w:rPr>
        <w:t>. Sentencia de 25 de noviembre de 2015.</w:t>
      </w:r>
    </w:p>
  </w:footnote>
  <w:footnote w:id="17">
    <w:p w14:paraId="257D742E" w14:textId="37EC3ADF" w:rsidR="006B25E9" w:rsidRPr="00D80603" w:rsidRDefault="006B25E9" w:rsidP="00D80603">
      <w:pPr>
        <w:pStyle w:val="Textonotapie"/>
        <w:contextualSpacing w:val="0"/>
        <w:rPr>
          <w:lang w:val="es-ES"/>
        </w:rPr>
      </w:pPr>
      <w:r w:rsidRPr="00D80603">
        <w:rPr>
          <w:rStyle w:val="Refdenotaalpie"/>
          <w:i w:val="0"/>
          <w:iCs/>
        </w:rPr>
        <w:footnoteRef/>
      </w:r>
      <w:r w:rsidRPr="00D80603">
        <w:t xml:space="preserve"> </w:t>
      </w:r>
      <w:r w:rsidRPr="00D80603">
        <w:rPr>
          <w:lang w:val="es-ES"/>
        </w:rPr>
        <w:tab/>
        <w:t>Caso Comunidades Indígenas Miembros de la Asociación Lhaka Honhat (Nuestra Tierra) Vs. Argentina</w:t>
      </w:r>
      <w:r w:rsidR="004346EA" w:rsidRPr="00D80603">
        <w:rPr>
          <w:lang w:val="es-ES"/>
        </w:rPr>
        <w:t>. Fondo, Reparaciones y Costas</w:t>
      </w:r>
      <w:r w:rsidR="004346EA" w:rsidRPr="00D80603">
        <w:rPr>
          <w:i w:val="0"/>
          <w:iCs/>
          <w:lang w:val="es-ES"/>
        </w:rPr>
        <w:t xml:space="preserve">. Sentencia de 6 de febrero de 2020. Serie C No. 400, </w:t>
      </w:r>
      <w:r w:rsidRPr="00D80603">
        <w:rPr>
          <w:i w:val="0"/>
          <w:iCs/>
          <w:lang w:val="es-ES"/>
        </w:rPr>
        <w:t>párr. 183.</w:t>
      </w:r>
    </w:p>
  </w:footnote>
  <w:footnote w:id="18">
    <w:p w14:paraId="58DECE8B" w14:textId="2C086C57" w:rsidR="006B25E9" w:rsidRPr="00D80603" w:rsidRDefault="006B25E9" w:rsidP="00D80603">
      <w:pPr>
        <w:pStyle w:val="Textonotapie"/>
        <w:contextualSpacing w:val="0"/>
        <w:rPr>
          <w:lang w:val="es-ES"/>
        </w:rPr>
      </w:pPr>
      <w:r w:rsidRPr="00D80603">
        <w:rPr>
          <w:rStyle w:val="Refdenotaalpie"/>
          <w:i w:val="0"/>
          <w:iCs/>
        </w:rPr>
        <w:footnoteRef/>
      </w:r>
      <w:r w:rsidRPr="00D80603">
        <w:t xml:space="preserve"> </w:t>
      </w:r>
      <w:r w:rsidR="002723E0" w:rsidRPr="00D80603">
        <w:tab/>
      </w:r>
      <w:r w:rsidRPr="00D80603">
        <w:rPr>
          <w:lang w:val="es-ES"/>
        </w:rPr>
        <w:t>Caso Comunidades Indígenas Miembros de la Asociación Lhaka Honhat (Nuestra Tierra) Vs. Argentin</w:t>
      </w:r>
      <w:r w:rsidR="00AB1D8C" w:rsidRPr="00D80603">
        <w:rPr>
          <w:lang w:val="es-ES"/>
        </w:rPr>
        <w:t>a</w:t>
      </w:r>
      <w:r w:rsidRPr="00D80603">
        <w:rPr>
          <w:lang w:val="es-ES"/>
        </w:rPr>
        <w:t xml:space="preserve">, </w:t>
      </w:r>
      <w:r w:rsidR="004346EA" w:rsidRPr="00D80603">
        <w:rPr>
          <w:lang w:val="es-ES"/>
        </w:rPr>
        <w:t>supra</w:t>
      </w:r>
      <w:r w:rsidR="004346EA" w:rsidRPr="00D80603">
        <w:rPr>
          <w:i w:val="0"/>
          <w:iCs/>
          <w:lang w:val="es-ES"/>
        </w:rPr>
        <w:t xml:space="preserve">, </w:t>
      </w:r>
      <w:r w:rsidRPr="00D80603">
        <w:rPr>
          <w:i w:val="0"/>
          <w:iCs/>
          <w:lang w:val="es-ES"/>
        </w:rPr>
        <w:t>párr. 184.</w:t>
      </w:r>
    </w:p>
  </w:footnote>
  <w:footnote w:id="19">
    <w:p w14:paraId="1F9ECFC8" w14:textId="7F490105" w:rsidR="00856033" w:rsidRPr="00D80603" w:rsidRDefault="00856033" w:rsidP="00D80603">
      <w:pPr>
        <w:pStyle w:val="Textonotapie"/>
        <w:contextualSpacing w:val="0"/>
        <w:rPr>
          <w:i w:val="0"/>
          <w:iCs/>
          <w:lang w:val="es-ES"/>
        </w:rPr>
      </w:pPr>
      <w:r w:rsidRPr="00D80603">
        <w:rPr>
          <w:rStyle w:val="Refdenotaalpie"/>
          <w:i w:val="0"/>
          <w:iCs/>
        </w:rPr>
        <w:footnoteRef/>
      </w:r>
      <w:r w:rsidRPr="00D80603">
        <w:rPr>
          <w:i w:val="0"/>
          <w:iCs/>
        </w:rPr>
        <w:t xml:space="preserve"> </w:t>
      </w:r>
      <w:r w:rsidR="002723E0" w:rsidRPr="00D80603">
        <w:rPr>
          <w:i w:val="0"/>
          <w:iCs/>
        </w:rPr>
        <w:tab/>
      </w:r>
      <w:r w:rsidRPr="00D80603">
        <w:rPr>
          <w:rFonts w:cstheme="minorHAnsi"/>
          <w:i w:val="0"/>
          <w:iCs/>
          <w:lang w:val="es-ES"/>
        </w:rPr>
        <w:t>E</w:t>
      </w:r>
      <w:r w:rsidRPr="00D80603">
        <w:rPr>
          <w:rFonts w:cstheme="minorHAnsi"/>
          <w:i w:val="0"/>
          <w:iCs/>
        </w:rPr>
        <w:t xml:space="preserve">l Convenio 169 fue ratificado por Argentina el 3 de julio de 2000 y la construcción del puente tuvo lugar </w:t>
      </w:r>
      <w:r w:rsidR="002723E0" w:rsidRPr="00D80603">
        <w:rPr>
          <w:rFonts w:cstheme="minorHAnsi"/>
          <w:i w:val="0"/>
          <w:iCs/>
        </w:rPr>
        <w:t>en</w:t>
      </w:r>
      <w:r w:rsidRPr="00D80603">
        <w:rPr>
          <w:rFonts w:cstheme="minorHAnsi"/>
          <w:i w:val="0"/>
          <w:iCs/>
        </w:rPr>
        <w:t xml:space="preserve"> la mitad de los años 1990. </w:t>
      </w:r>
    </w:p>
  </w:footnote>
  <w:footnote w:id="20">
    <w:p w14:paraId="13CC3022" w14:textId="496A6961" w:rsidR="0080386E" w:rsidRPr="00D80603" w:rsidRDefault="0080386E" w:rsidP="00D80603">
      <w:pPr>
        <w:tabs>
          <w:tab w:val="left" w:pos="567"/>
        </w:tabs>
        <w:spacing w:before="120" w:after="120"/>
        <w:jc w:val="both"/>
        <w:rPr>
          <w:rFonts w:ascii="Verdana" w:eastAsia="Verdana" w:hAnsi="Verdana"/>
          <w:sz w:val="16"/>
          <w:szCs w:val="16"/>
          <w:lang w:val="es-419"/>
        </w:rPr>
      </w:pPr>
      <w:r w:rsidRPr="00D80603">
        <w:rPr>
          <w:rStyle w:val="Refdenotaalpie"/>
          <w:rFonts w:ascii="Verdana" w:hAnsi="Verdana"/>
          <w:sz w:val="16"/>
          <w:szCs w:val="16"/>
        </w:rPr>
        <w:footnoteRef/>
      </w:r>
      <w:r w:rsidRPr="00D80603">
        <w:rPr>
          <w:rFonts w:ascii="Verdana" w:hAnsi="Verdana"/>
          <w:sz w:val="16"/>
          <w:szCs w:val="16"/>
        </w:rPr>
        <w:t xml:space="preserve"> </w:t>
      </w:r>
      <w:r w:rsidR="002723E0" w:rsidRPr="00D80603">
        <w:rPr>
          <w:rFonts w:ascii="Verdana" w:hAnsi="Verdana"/>
          <w:sz w:val="16"/>
          <w:szCs w:val="16"/>
        </w:rPr>
        <w:tab/>
      </w:r>
      <w:r w:rsidR="007371FE" w:rsidRPr="00D80603">
        <w:rPr>
          <w:rFonts w:ascii="Verdana" w:hAnsi="Verdana"/>
          <w:i/>
          <w:iCs/>
          <w:sz w:val="16"/>
          <w:szCs w:val="16"/>
        </w:rPr>
        <w:t xml:space="preserve">Cfr. </w:t>
      </w:r>
      <w:r w:rsidRPr="00D80603">
        <w:rPr>
          <w:rFonts w:ascii="Verdana" w:hAnsi="Verdana"/>
          <w:i/>
          <w:iCs/>
          <w:sz w:val="16"/>
          <w:szCs w:val="16"/>
        </w:rPr>
        <w:t xml:space="preserve">Caso </w:t>
      </w:r>
      <w:r w:rsidRPr="00D80603">
        <w:rPr>
          <w:rFonts w:ascii="Verdana" w:eastAsia="Verdana" w:hAnsi="Verdana"/>
          <w:i/>
          <w:iCs/>
          <w:sz w:val="16"/>
          <w:szCs w:val="16"/>
          <w:lang w:val="es-CL"/>
        </w:rPr>
        <w:t xml:space="preserve">Comunidad Maya </w:t>
      </w:r>
      <w:proofErr w:type="spellStart"/>
      <w:r w:rsidRPr="00D80603">
        <w:rPr>
          <w:rFonts w:ascii="Verdana" w:eastAsia="Verdana" w:hAnsi="Verdana"/>
          <w:i/>
          <w:iCs/>
          <w:sz w:val="16"/>
          <w:szCs w:val="16"/>
          <w:lang w:val="es-CL"/>
        </w:rPr>
        <w:t>Q’eqchi</w:t>
      </w:r>
      <w:proofErr w:type="spellEnd"/>
      <w:r w:rsidRPr="00D80603">
        <w:rPr>
          <w:rFonts w:ascii="Verdana" w:eastAsia="Verdana" w:hAnsi="Verdana"/>
          <w:i/>
          <w:iCs/>
          <w:sz w:val="16"/>
          <w:szCs w:val="16"/>
          <w:lang w:val="es-CL"/>
        </w:rPr>
        <w:t xml:space="preserve"> Agua Caliente Vs. </w:t>
      </w:r>
      <w:r w:rsidR="00EC7293" w:rsidRPr="00D80603">
        <w:rPr>
          <w:rFonts w:ascii="Verdana" w:eastAsia="Verdana" w:hAnsi="Verdana"/>
          <w:i/>
          <w:iCs/>
          <w:sz w:val="16"/>
          <w:szCs w:val="16"/>
          <w:lang w:val="es-419"/>
        </w:rPr>
        <w:t>Guatemala</w:t>
      </w:r>
      <w:r w:rsidRPr="00D80603">
        <w:rPr>
          <w:rFonts w:ascii="Verdana" w:eastAsia="Verdana" w:hAnsi="Verdana"/>
          <w:sz w:val="16"/>
          <w:szCs w:val="16"/>
          <w:lang w:val="es-419"/>
        </w:rPr>
        <w:t>,</w:t>
      </w:r>
      <w:r w:rsidR="00E03999" w:rsidRPr="00D80603">
        <w:rPr>
          <w:rFonts w:ascii="Verdana" w:eastAsia="Verdana" w:hAnsi="Verdana"/>
          <w:sz w:val="16"/>
          <w:szCs w:val="16"/>
          <w:lang w:val="es-419"/>
        </w:rPr>
        <w:t xml:space="preserve"> </w:t>
      </w:r>
      <w:r w:rsidR="00E03999" w:rsidRPr="00D80603">
        <w:rPr>
          <w:rFonts w:ascii="Verdana" w:eastAsia="Verdana" w:hAnsi="Verdana"/>
          <w:i/>
          <w:iCs/>
          <w:sz w:val="16"/>
          <w:szCs w:val="16"/>
          <w:lang w:val="es-419"/>
        </w:rPr>
        <w:t>supra</w:t>
      </w:r>
      <w:r w:rsidR="00E03999" w:rsidRPr="00D80603">
        <w:rPr>
          <w:rFonts w:ascii="Verdana" w:eastAsia="Verdana" w:hAnsi="Verdana"/>
          <w:sz w:val="16"/>
          <w:szCs w:val="16"/>
          <w:lang w:val="es-419"/>
        </w:rPr>
        <w:t>,</w:t>
      </w:r>
      <w:r w:rsidRPr="00D80603">
        <w:rPr>
          <w:rFonts w:ascii="Verdana" w:eastAsia="Verdana" w:hAnsi="Verdana"/>
          <w:sz w:val="16"/>
          <w:szCs w:val="16"/>
          <w:lang w:val="es-419"/>
        </w:rPr>
        <w:t xml:space="preserve"> párr. </w:t>
      </w:r>
      <w:r w:rsidRPr="00D80603">
        <w:rPr>
          <w:rFonts w:ascii="Verdana" w:hAnsi="Verdana"/>
          <w:iCs/>
          <w:sz w:val="16"/>
          <w:szCs w:val="16"/>
        </w:rPr>
        <w:t>2</w:t>
      </w:r>
      <w:r w:rsidR="007461EC" w:rsidRPr="00D80603">
        <w:rPr>
          <w:rFonts w:ascii="Verdana" w:hAnsi="Verdana"/>
          <w:iCs/>
          <w:sz w:val="16"/>
          <w:szCs w:val="16"/>
        </w:rPr>
        <w:t>84</w:t>
      </w:r>
      <w:r w:rsidRPr="00D80603">
        <w:rPr>
          <w:rFonts w:ascii="Verdana" w:hAnsi="Verdana"/>
          <w:iCs/>
          <w:sz w:val="16"/>
          <w:szCs w:val="16"/>
        </w:rPr>
        <w:t>.</w:t>
      </w:r>
    </w:p>
  </w:footnote>
  <w:footnote w:id="21">
    <w:p w14:paraId="4D83E092" w14:textId="607FF1C3" w:rsidR="00A90E1F" w:rsidRPr="00D80603" w:rsidRDefault="00A90E1F" w:rsidP="00D80603">
      <w:pPr>
        <w:pStyle w:val="Textonotapie"/>
        <w:contextualSpacing w:val="0"/>
        <w:rPr>
          <w:i w:val="0"/>
          <w:iCs/>
          <w:lang w:val="es-ES"/>
        </w:rPr>
      </w:pPr>
      <w:r w:rsidRPr="00D80603">
        <w:rPr>
          <w:rStyle w:val="Refdenotaalpie"/>
          <w:i w:val="0"/>
          <w:iCs/>
        </w:rPr>
        <w:footnoteRef/>
      </w:r>
      <w:r w:rsidRPr="00D80603">
        <w:rPr>
          <w:i w:val="0"/>
          <w:iCs/>
        </w:rPr>
        <w:t xml:space="preserve"> </w:t>
      </w:r>
      <w:r w:rsidRPr="00D80603">
        <w:rPr>
          <w:lang w:val="es-ES"/>
        </w:rPr>
        <w:tab/>
      </w:r>
      <w:r w:rsidR="007371FE" w:rsidRPr="00D80603">
        <w:rPr>
          <w:lang w:val="es-ES"/>
        </w:rPr>
        <w:t xml:space="preserve">Cfr. </w:t>
      </w:r>
      <w:r w:rsidRPr="00D80603">
        <w:rPr>
          <w:lang w:val="es-ES"/>
        </w:rPr>
        <w:t xml:space="preserve">Caso del Pueblo </w:t>
      </w:r>
      <w:proofErr w:type="spellStart"/>
      <w:r w:rsidRPr="00D80603">
        <w:rPr>
          <w:lang w:val="es-ES"/>
        </w:rPr>
        <w:t>Saramaka</w:t>
      </w:r>
      <w:proofErr w:type="spellEnd"/>
      <w:r w:rsidRPr="00D80603">
        <w:rPr>
          <w:lang w:val="es-ES"/>
        </w:rPr>
        <w:t xml:space="preserve"> Vs. Surinam</w:t>
      </w:r>
      <w:r w:rsidR="002D4FFE" w:rsidRPr="00D80603">
        <w:rPr>
          <w:i w:val="0"/>
          <w:iCs/>
          <w:lang w:val="es-ES"/>
        </w:rPr>
        <w:t xml:space="preserve">, </w:t>
      </w:r>
      <w:r w:rsidR="002D4FFE" w:rsidRPr="00D80603">
        <w:rPr>
          <w:lang w:val="es-ES"/>
        </w:rPr>
        <w:t>supra</w:t>
      </w:r>
      <w:r w:rsidR="002D4FFE" w:rsidRPr="00D80603">
        <w:rPr>
          <w:i w:val="0"/>
          <w:iCs/>
          <w:lang w:val="es-ES"/>
        </w:rPr>
        <w:t>, párr. 93</w:t>
      </w:r>
      <w:r w:rsidRPr="00D80603">
        <w:rPr>
          <w:i w:val="0"/>
          <w:iCs/>
          <w:lang w:val="es-ES"/>
        </w:rPr>
        <w:t xml:space="preserve">; </w:t>
      </w:r>
      <w:r w:rsidRPr="00D80603">
        <w:t xml:space="preserve">Caso Pueblos </w:t>
      </w:r>
      <w:proofErr w:type="spellStart"/>
      <w:r w:rsidRPr="00D80603">
        <w:t>Kaliña</w:t>
      </w:r>
      <w:proofErr w:type="spellEnd"/>
      <w:r w:rsidRPr="00D80603">
        <w:t xml:space="preserve"> y </w:t>
      </w:r>
      <w:proofErr w:type="spellStart"/>
      <w:r w:rsidRPr="00D80603">
        <w:t>Lokono</w:t>
      </w:r>
      <w:proofErr w:type="spellEnd"/>
      <w:r w:rsidRPr="00D80603">
        <w:t xml:space="preserve"> Vs. Surinam</w:t>
      </w:r>
      <w:r w:rsidR="00056A83" w:rsidRPr="00D80603">
        <w:rPr>
          <w:i w:val="0"/>
          <w:iCs/>
          <w:lang w:val="es-ES"/>
        </w:rPr>
        <w:t xml:space="preserve">, </w:t>
      </w:r>
      <w:r w:rsidR="00056A83" w:rsidRPr="00D80603">
        <w:rPr>
          <w:lang w:val="es-ES"/>
        </w:rPr>
        <w:t>supra</w:t>
      </w:r>
      <w:r w:rsidR="00056A83" w:rsidRPr="00D80603">
        <w:rPr>
          <w:i w:val="0"/>
          <w:iCs/>
          <w:lang w:val="es-ES"/>
        </w:rPr>
        <w:t>, 122</w:t>
      </w:r>
      <w:r w:rsidRPr="00D80603">
        <w:rPr>
          <w:i w:val="0"/>
          <w:iCs/>
          <w:lang w:val="es-ES"/>
        </w:rPr>
        <w:t xml:space="preserve">; y </w:t>
      </w:r>
      <w:r w:rsidRPr="00D80603">
        <w:rPr>
          <w:lang w:val="es-ES"/>
        </w:rPr>
        <w:t xml:space="preserve">Caso Comunidades Indígenas Miembros de la Asociación </w:t>
      </w:r>
      <w:proofErr w:type="spellStart"/>
      <w:r w:rsidRPr="00D80603">
        <w:rPr>
          <w:lang w:val="es-ES"/>
        </w:rPr>
        <w:t>Lhaka</w:t>
      </w:r>
      <w:proofErr w:type="spellEnd"/>
      <w:r w:rsidRPr="00D80603">
        <w:rPr>
          <w:lang w:val="es-ES"/>
        </w:rPr>
        <w:t xml:space="preserve"> </w:t>
      </w:r>
      <w:proofErr w:type="spellStart"/>
      <w:r w:rsidRPr="00D80603">
        <w:rPr>
          <w:lang w:val="es-ES"/>
        </w:rPr>
        <w:t>Honhat</w:t>
      </w:r>
      <w:proofErr w:type="spellEnd"/>
      <w:r w:rsidRPr="00D80603">
        <w:rPr>
          <w:lang w:val="es-ES"/>
        </w:rPr>
        <w:t xml:space="preserve"> (Nuestra Tierra) Vs. Argentina</w:t>
      </w:r>
      <w:r w:rsidR="00F53FCB" w:rsidRPr="00D80603">
        <w:rPr>
          <w:lang w:val="es-ES"/>
        </w:rPr>
        <w:t>, supra</w:t>
      </w:r>
      <w:r w:rsidR="00F53FCB" w:rsidRPr="00D80603">
        <w:rPr>
          <w:i w:val="0"/>
          <w:iCs/>
          <w:lang w:val="es-ES"/>
        </w:rPr>
        <w:t>,</w:t>
      </w:r>
      <w:r w:rsidR="00D24E22" w:rsidRPr="00D80603">
        <w:rPr>
          <w:i w:val="0"/>
          <w:iCs/>
          <w:lang w:val="es-ES"/>
        </w:rPr>
        <w:t xml:space="preserve"> </w:t>
      </w:r>
      <w:proofErr w:type="spellStart"/>
      <w:r w:rsidR="00D24E22" w:rsidRPr="00D80603">
        <w:rPr>
          <w:i w:val="0"/>
          <w:iCs/>
          <w:lang w:val="es-ES"/>
        </w:rPr>
        <w:t>párrs</w:t>
      </w:r>
      <w:proofErr w:type="spellEnd"/>
      <w:r w:rsidR="00D24E22" w:rsidRPr="00D80603">
        <w:rPr>
          <w:i w:val="0"/>
          <w:iCs/>
          <w:lang w:val="es-ES"/>
        </w:rPr>
        <w:t xml:space="preserve">. 173 a </w:t>
      </w:r>
      <w:r w:rsidR="00CC521B" w:rsidRPr="00D80603">
        <w:rPr>
          <w:i w:val="0"/>
          <w:iCs/>
          <w:lang w:val="es-ES"/>
        </w:rPr>
        <w:t>175</w:t>
      </w:r>
      <w:r w:rsidRPr="00D80603">
        <w:rPr>
          <w:i w:val="0"/>
          <w:iCs/>
          <w:lang w:val="es-ES"/>
        </w:rPr>
        <w:t>.</w:t>
      </w:r>
    </w:p>
  </w:footnote>
  <w:footnote w:id="22">
    <w:p w14:paraId="6E96BE7D" w14:textId="6AA2D124" w:rsidR="00A71A68" w:rsidRPr="00D80603" w:rsidRDefault="00A71A68" w:rsidP="00D80603">
      <w:pPr>
        <w:pStyle w:val="Textonotapie"/>
        <w:contextualSpacing w:val="0"/>
        <w:rPr>
          <w:i w:val="0"/>
          <w:iCs/>
          <w:lang w:val="es-ES"/>
        </w:rPr>
      </w:pPr>
      <w:r w:rsidRPr="00D80603">
        <w:rPr>
          <w:rStyle w:val="Refdenotaalpie"/>
          <w:i w:val="0"/>
          <w:iCs/>
        </w:rPr>
        <w:footnoteRef/>
      </w:r>
      <w:r w:rsidRPr="00D80603">
        <w:rPr>
          <w:i w:val="0"/>
          <w:iCs/>
        </w:rPr>
        <w:t xml:space="preserve"> </w:t>
      </w:r>
      <w:r w:rsidRPr="00D80603">
        <w:rPr>
          <w:i w:val="0"/>
          <w:iCs/>
        </w:rPr>
        <w:tab/>
        <w:t>Se debe precisar que hasta el momento la Corte IDH ha analizado casos sobre consulta previa sobre proyectos de desarrollo o sobre proyectos que afectan el territorio de dichas comunidades, por ello se ha incluido la vulneración del artículo 21 de la C</w:t>
      </w:r>
      <w:r w:rsidR="00425001" w:rsidRPr="00D80603">
        <w:rPr>
          <w:i w:val="0"/>
          <w:iCs/>
        </w:rPr>
        <w:t>onvención Americana</w:t>
      </w:r>
      <w:r w:rsidRPr="00D80603">
        <w:rPr>
          <w:i w:val="0"/>
          <w:iCs/>
        </w:rPr>
        <w:t xml:space="preserve">. </w:t>
      </w:r>
    </w:p>
  </w:footnote>
  <w:footnote w:id="23">
    <w:p w14:paraId="1568B2D6" w14:textId="0D4A5FF2" w:rsidR="00144CE0" w:rsidRPr="00D80603" w:rsidRDefault="00144CE0" w:rsidP="00D80603">
      <w:pPr>
        <w:pStyle w:val="Textonotapie"/>
        <w:contextualSpacing w:val="0"/>
        <w:rPr>
          <w:i w:val="0"/>
          <w:iCs/>
          <w:lang w:val="es-ES"/>
        </w:rPr>
      </w:pPr>
      <w:r w:rsidRPr="00D80603">
        <w:rPr>
          <w:rStyle w:val="Refdenotaalpie"/>
          <w:i w:val="0"/>
          <w:iCs/>
        </w:rPr>
        <w:footnoteRef/>
      </w:r>
      <w:r w:rsidRPr="00D80603">
        <w:rPr>
          <w:i w:val="0"/>
          <w:iCs/>
        </w:rPr>
        <w:t xml:space="preserve"> </w:t>
      </w:r>
      <w:r w:rsidRPr="00D80603">
        <w:rPr>
          <w:lang w:val="es-ES"/>
        </w:rPr>
        <w:tab/>
      </w:r>
      <w:r w:rsidR="005A6930" w:rsidRPr="00D80603">
        <w:t>Caso Comunidad Garífuna de San Juan y sus Miembros Vs. Honduras</w:t>
      </w:r>
      <w:r w:rsidR="005A6930" w:rsidRPr="00D80603">
        <w:rPr>
          <w:i w:val="0"/>
          <w:iCs/>
        </w:rPr>
        <w:t>,</w:t>
      </w:r>
      <w:r w:rsidR="005A6930" w:rsidRPr="00D80603">
        <w:t xml:space="preserve"> supra</w:t>
      </w:r>
      <w:r w:rsidR="005A6930" w:rsidRPr="00D80603">
        <w:rPr>
          <w:i w:val="0"/>
          <w:iCs/>
        </w:rPr>
        <w:t xml:space="preserve">, </w:t>
      </w:r>
      <w:r w:rsidR="005A6930" w:rsidRPr="00D80603">
        <w:rPr>
          <w:i w:val="0"/>
          <w:iCs/>
          <w:lang w:val="es-ES"/>
        </w:rPr>
        <w:t>p</w:t>
      </w:r>
      <w:r w:rsidRPr="00D80603">
        <w:rPr>
          <w:i w:val="0"/>
          <w:iCs/>
          <w:lang w:val="es-ES"/>
        </w:rPr>
        <w:t>árr. 8</w:t>
      </w:r>
      <w:r w:rsidR="005A6930" w:rsidRPr="00D80603">
        <w:rPr>
          <w:i w:val="0"/>
          <w:iCs/>
          <w:lang w:val="es-ES"/>
        </w:rPr>
        <w:t>5</w:t>
      </w:r>
      <w:r w:rsidRPr="00D80603">
        <w:rPr>
          <w:i w:val="0"/>
          <w:iCs/>
          <w:lang w:val="es-ES"/>
        </w:rPr>
        <w:t>.</w:t>
      </w:r>
    </w:p>
  </w:footnote>
  <w:footnote w:id="24">
    <w:p w14:paraId="0A61F29E" w14:textId="14E0911E" w:rsidR="001F41AE" w:rsidRPr="00D80603" w:rsidRDefault="001F41AE" w:rsidP="00D80603">
      <w:pPr>
        <w:pStyle w:val="Textonotapie"/>
        <w:contextualSpacing w:val="0"/>
      </w:pPr>
      <w:r w:rsidRPr="00D80603">
        <w:rPr>
          <w:rStyle w:val="Refdenotaalpie"/>
          <w:i w:val="0"/>
          <w:iCs/>
        </w:rPr>
        <w:footnoteRef/>
      </w:r>
      <w:r w:rsidRPr="00D80603">
        <w:rPr>
          <w:i w:val="0"/>
          <w:iCs/>
        </w:rPr>
        <w:t xml:space="preserve"> </w:t>
      </w:r>
      <w:r w:rsidRPr="00D80603">
        <w:tab/>
        <w:t xml:space="preserve">Caso del Pueblo indígena </w:t>
      </w:r>
      <w:proofErr w:type="spellStart"/>
      <w:r w:rsidRPr="00D80603">
        <w:t>Kichwa</w:t>
      </w:r>
      <w:proofErr w:type="spellEnd"/>
      <w:r w:rsidRPr="00D80603">
        <w:t xml:space="preserve"> de </w:t>
      </w:r>
      <w:proofErr w:type="spellStart"/>
      <w:r w:rsidRPr="00D80603">
        <w:t>Sarayaku</w:t>
      </w:r>
      <w:proofErr w:type="spellEnd"/>
      <w:r w:rsidRPr="00D80603">
        <w:t xml:space="preserve"> Vs</w:t>
      </w:r>
      <w:r w:rsidR="00E03999" w:rsidRPr="00D80603">
        <w:t>.</w:t>
      </w:r>
      <w:r w:rsidRPr="00D80603">
        <w:t xml:space="preserve"> Ecuador</w:t>
      </w:r>
      <w:r w:rsidRPr="00D80603">
        <w:rPr>
          <w:i w:val="0"/>
          <w:iCs/>
        </w:rPr>
        <w:t>,</w:t>
      </w:r>
      <w:r w:rsidR="00E03999" w:rsidRPr="00D80603">
        <w:t xml:space="preserve"> supra</w:t>
      </w:r>
      <w:r w:rsidR="00E03999" w:rsidRPr="00D80603">
        <w:rPr>
          <w:i w:val="0"/>
          <w:iCs/>
        </w:rPr>
        <w:t>,</w:t>
      </w:r>
      <w:r w:rsidRPr="00D80603">
        <w:t xml:space="preserve"> </w:t>
      </w:r>
      <w:r w:rsidRPr="00D80603">
        <w:rPr>
          <w:i w:val="0"/>
          <w:iCs/>
        </w:rPr>
        <w:t>párr. 178,</w:t>
      </w:r>
      <w:r w:rsidRPr="00D80603">
        <w:t xml:space="preserve"> y </w:t>
      </w:r>
      <w:r w:rsidRPr="00D80603">
        <w:rPr>
          <w:iCs/>
        </w:rPr>
        <w:t>caso Pueblos Indígenas Maya Kaqchikel de Sumpango y otros Vs. Guatemala</w:t>
      </w:r>
      <w:r w:rsidRPr="00D80603">
        <w:t>,</w:t>
      </w:r>
      <w:r w:rsidR="00E03999" w:rsidRPr="00D80603">
        <w:rPr>
          <w:i w:val="0"/>
          <w:iCs/>
        </w:rPr>
        <w:t xml:space="preserve"> </w:t>
      </w:r>
      <w:r w:rsidR="00E03999" w:rsidRPr="00D80603">
        <w:t>supra</w:t>
      </w:r>
      <w:r w:rsidR="00E03999" w:rsidRPr="00D80603">
        <w:rPr>
          <w:i w:val="0"/>
          <w:iCs/>
        </w:rPr>
        <w:t>,</w:t>
      </w:r>
      <w:r w:rsidRPr="00D80603">
        <w:t xml:space="preserve"> </w:t>
      </w:r>
      <w:r w:rsidRPr="00D80603">
        <w:rPr>
          <w:i w:val="0"/>
          <w:iCs/>
        </w:rPr>
        <w:t>párr. 199.</w:t>
      </w:r>
    </w:p>
  </w:footnote>
  <w:footnote w:id="25">
    <w:p w14:paraId="47D51039" w14:textId="0E80F64A" w:rsidR="001F41AE" w:rsidRPr="00D80603" w:rsidRDefault="001F41AE" w:rsidP="00D80603">
      <w:pPr>
        <w:pStyle w:val="Textonotapie"/>
        <w:contextualSpacing w:val="0"/>
        <w:rPr>
          <w:rFonts w:cstheme="minorHAnsi"/>
          <w:b/>
        </w:rPr>
      </w:pPr>
      <w:r w:rsidRPr="00D80603">
        <w:rPr>
          <w:rStyle w:val="Refdenotaalpie"/>
          <w:rFonts w:eastAsia="Batang" w:cstheme="minorHAnsi"/>
          <w:i w:val="0"/>
          <w:iCs/>
        </w:rPr>
        <w:footnoteRef/>
      </w:r>
      <w:r w:rsidRPr="00D80603">
        <w:rPr>
          <w:rFonts w:cstheme="minorHAnsi"/>
          <w:i w:val="0"/>
          <w:iCs/>
        </w:rPr>
        <w:t xml:space="preserve"> </w:t>
      </w:r>
      <w:r w:rsidRPr="00D80603">
        <w:rPr>
          <w:rFonts w:cstheme="minorHAnsi"/>
        </w:rPr>
        <w:tab/>
      </w:r>
      <w:r w:rsidRPr="00D80603">
        <w:rPr>
          <w:rFonts w:cstheme="minorHAnsi"/>
          <w:iCs/>
        </w:rPr>
        <w:t>Cfr</w:t>
      </w:r>
      <w:r w:rsidRPr="00D80603">
        <w:rPr>
          <w:rFonts w:cstheme="minorHAnsi"/>
        </w:rPr>
        <w:t xml:space="preserve">. </w:t>
      </w:r>
      <w:r w:rsidRPr="00D80603">
        <w:rPr>
          <w:iCs/>
          <w:lang w:val="es-CR"/>
        </w:rPr>
        <w:t>Caso de la Comunidad Garífuna Triunfo de la Cruz y sus miembros</w:t>
      </w:r>
      <w:r w:rsidRPr="00D80603">
        <w:rPr>
          <w:lang w:val="es-CR"/>
        </w:rPr>
        <w:t>,</w:t>
      </w:r>
      <w:r w:rsidR="004346EA" w:rsidRPr="00D80603">
        <w:rPr>
          <w:lang w:val="es-CR"/>
        </w:rPr>
        <w:t xml:space="preserve"> supra</w:t>
      </w:r>
      <w:r w:rsidR="004346EA" w:rsidRPr="00D80603">
        <w:rPr>
          <w:i w:val="0"/>
          <w:iCs/>
          <w:lang w:val="es-CR"/>
        </w:rPr>
        <w:t>,</w:t>
      </w:r>
      <w:r w:rsidRPr="00D80603">
        <w:rPr>
          <w:lang w:val="es-CR"/>
        </w:rPr>
        <w:t xml:space="preserve"> </w:t>
      </w:r>
      <w:r w:rsidRPr="00D80603">
        <w:rPr>
          <w:i w:val="0"/>
          <w:iCs/>
          <w:lang w:val="es-CR"/>
        </w:rPr>
        <w:t xml:space="preserve">párr. </w:t>
      </w:r>
      <w:r w:rsidRPr="00D80603">
        <w:rPr>
          <w:rFonts w:cstheme="minorHAnsi"/>
          <w:i w:val="0"/>
          <w:iCs/>
        </w:rPr>
        <w:t>158</w:t>
      </w:r>
      <w:r w:rsidRPr="00D80603">
        <w:rPr>
          <w:rFonts w:cstheme="minorHAnsi"/>
        </w:rPr>
        <w:t xml:space="preserve">, y </w:t>
      </w:r>
      <w:r w:rsidRPr="00D80603">
        <w:rPr>
          <w:rFonts w:cstheme="minorHAnsi"/>
          <w:iCs/>
        </w:rPr>
        <w:t>Caso Pueblos Kaliña y Lokono Vs. Surinam</w:t>
      </w:r>
      <w:r w:rsidRPr="00D80603">
        <w:rPr>
          <w:rFonts w:cstheme="minorHAnsi"/>
        </w:rPr>
        <w:t>,</w:t>
      </w:r>
      <w:r w:rsidR="004346EA" w:rsidRPr="00D80603">
        <w:rPr>
          <w:rFonts w:cstheme="minorHAnsi"/>
          <w:i w:val="0"/>
          <w:iCs/>
        </w:rPr>
        <w:t xml:space="preserve"> </w:t>
      </w:r>
      <w:r w:rsidR="004346EA" w:rsidRPr="00D80603">
        <w:rPr>
          <w:rFonts w:cstheme="minorHAnsi"/>
        </w:rPr>
        <w:t>supra</w:t>
      </w:r>
      <w:r w:rsidR="004346EA" w:rsidRPr="00D80603">
        <w:rPr>
          <w:rFonts w:cstheme="minorHAnsi"/>
          <w:i w:val="0"/>
          <w:iCs/>
        </w:rPr>
        <w:t>,</w:t>
      </w:r>
      <w:r w:rsidRPr="00D80603">
        <w:rPr>
          <w:rFonts w:cstheme="minorHAnsi"/>
        </w:rPr>
        <w:t xml:space="preserve"> </w:t>
      </w:r>
      <w:r w:rsidRPr="00D80603">
        <w:rPr>
          <w:rFonts w:cstheme="minorHAnsi"/>
          <w:i w:val="0"/>
          <w:iCs/>
        </w:rPr>
        <w:t>párr. 206.</w:t>
      </w:r>
      <w:r w:rsidRPr="00D80603">
        <w:rPr>
          <w:rFonts w:cstheme="minorHAnsi"/>
        </w:rPr>
        <w:t xml:space="preserve"> </w:t>
      </w:r>
      <w:r w:rsidRPr="00D80603">
        <w:rPr>
          <w:rFonts w:cstheme="minorHAnsi"/>
          <w:i w:val="0"/>
          <w:iCs/>
        </w:rPr>
        <w:t xml:space="preserve">Asimismo, véase Convenio No. 169 </w:t>
      </w:r>
      <w:r w:rsidRPr="00D80603">
        <w:rPr>
          <w:rFonts w:cstheme="minorHAnsi"/>
          <w:i w:val="0"/>
          <w:iCs/>
          <w:snapToGrid w:val="0"/>
        </w:rPr>
        <w:t xml:space="preserve">sobre Pueblos Indígenas y Tribales en los Países Independientes, </w:t>
      </w:r>
      <w:r w:rsidRPr="00D80603">
        <w:rPr>
          <w:rFonts w:cstheme="minorHAnsi"/>
          <w:i w:val="0"/>
          <w:iCs/>
        </w:rPr>
        <w:t>Considerando quinto.</w:t>
      </w:r>
      <w:r w:rsidRPr="00D80603">
        <w:rPr>
          <w:rFonts w:cstheme="minorHAnsi"/>
        </w:rPr>
        <w:t xml:space="preserve"> </w:t>
      </w:r>
    </w:p>
  </w:footnote>
  <w:footnote w:id="26">
    <w:p w14:paraId="53DC3D3D" w14:textId="209C7FAC" w:rsidR="001F41AE" w:rsidRPr="00D80603" w:rsidRDefault="001F41AE" w:rsidP="00D80603">
      <w:pPr>
        <w:pStyle w:val="Textonotapie"/>
        <w:contextualSpacing w:val="0"/>
        <w:rPr>
          <w:rFonts w:cstheme="minorHAnsi"/>
        </w:rPr>
      </w:pPr>
      <w:r w:rsidRPr="00D80603">
        <w:rPr>
          <w:rStyle w:val="Refdenotaalpie"/>
          <w:rFonts w:eastAsia="Batang" w:cstheme="minorHAnsi"/>
          <w:i w:val="0"/>
          <w:iCs/>
        </w:rPr>
        <w:footnoteRef/>
      </w:r>
      <w:r w:rsidRPr="00D80603">
        <w:rPr>
          <w:rFonts w:cstheme="minorHAnsi"/>
          <w:i w:val="0"/>
          <w:iCs/>
        </w:rPr>
        <w:t xml:space="preserve"> </w:t>
      </w:r>
      <w:r w:rsidRPr="00D80603">
        <w:rPr>
          <w:rFonts w:cstheme="minorHAnsi"/>
        </w:rPr>
        <w:tab/>
      </w:r>
      <w:r w:rsidRPr="00D80603">
        <w:rPr>
          <w:rFonts w:cstheme="minorHAnsi"/>
          <w:iCs/>
        </w:rPr>
        <w:t>Cfr</w:t>
      </w:r>
      <w:r w:rsidRPr="00D80603">
        <w:rPr>
          <w:rFonts w:cstheme="minorHAnsi"/>
        </w:rPr>
        <w:t xml:space="preserve">. </w:t>
      </w:r>
      <w:r w:rsidRPr="00D80603">
        <w:rPr>
          <w:iCs/>
          <w:lang w:val="es-CR"/>
        </w:rPr>
        <w:t>Caso de la Comunidad Garífuna Triunfo de la Cruz y sus miembros</w:t>
      </w:r>
      <w:r w:rsidRPr="00D80603">
        <w:rPr>
          <w:i w:val="0"/>
          <w:iCs/>
          <w:lang w:val="es-CR"/>
        </w:rPr>
        <w:t>,</w:t>
      </w:r>
      <w:r w:rsidR="004346EA" w:rsidRPr="00D80603">
        <w:rPr>
          <w:lang w:val="es-CR"/>
        </w:rPr>
        <w:t xml:space="preserve"> supra</w:t>
      </w:r>
      <w:r w:rsidR="004346EA" w:rsidRPr="00D80603">
        <w:rPr>
          <w:i w:val="0"/>
          <w:iCs/>
          <w:lang w:val="es-CR"/>
        </w:rPr>
        <w:t>,</w:t>
      </w:r>
      <w:r w:rsidRPr="00D80603">
        <w:rPr>
          <w:i w:val="0"/>
          <w:iCs/>
          <w:lang w:val="es-CR"/>
        </w:rPr>
        <w:t xml:space="preserve"> párr. </w:t>
      </w:r>
      <w:r w:rsidRPr="00D80603">
        <w:rPr>
          <w:rFonts w:cstheme="minorHAnsi"/>
          <w:i w:val="0"/>
          <w:iCs/>
        </w:rPr>
        <w:t>158,</w:t>
      </w:r>
      <w:r w:rsidRPr="00D80603">
        <w:rPr>
          <w:rFonts w:cstheme="minorHAnsi"/>
        </w:rPr>
        <w:t xml:space="preserve"> </w:t>
      </w:r>
      <w:r w:rsidRPr="00D80603">
        <w:rPr>
          <w:rFonts w:cstheme="minorHAnsi"/>
          <w:i w:val="0"/>
          <w:iCs/>
        </w:rPr>
        <w:t>y</w:t>
      </w:r>
      <w:r w:rsidRPr="00D80603">
        <w:rPr>
          <w:rFonts w:cstheme="minorHAnsi"/>
        </w:rPr>
        <w:t xml:space="preserve"> Caso del Pueblo indígena Kichwa de Sarayaku Vs Ecuador</w:t>
      </w:r>
      <w:r w:rsidRPr="00D80603">
        <w:rPr>
          <w:rFonts w:cstheme="minorHAnsi"/>
          <w:bCs/>
          <w:iCs/>
          <w:lang w:val="es-ES"/>
        </w:rPr>
        <w:t>,</w:t>
      </w:r>
      <w:r w:rsidR="00EA4DE0" w:rsidRPr="00D80603">
        <w:rPr>
          <w:rFonts w:cstheme="minorHAnsi"/>
          <w:bCs/>
          <w:iCs/>
          <w:lang w:val="es-ES"/>
        </w:rPr>
        <w:t xml:space="preserve"> supra</w:t>
      </w:r>
      <w:r w:rsidR="00EA4DE0" w:rsidRPr="00D80603">
        <w:rPr>
          <w:rFonts w:cstheme="minorHAnsi"/>
          <w:bCs/>
          <w:i w:val="0"/>
          <w:lang w:val="es-ES"/>
        </w:rPr>
        <w:t>,</w:t>
      </w:r>
      <w:r w:rsidRPr="00D80603">
        <w:rPr>
          <w:rFonts w:cstheme="minorHAnsi"/>
          <w:bCs/>
          <w:iCs/>
          <w:lang w:val="es-ES"/>
        </w:rPr>
        <w:t xml:space="preserve"> </w:t>
      </w:r>
      <w:r w:rsidRPr="00D80603">
        <w:rPr>
          <w:rFonts w:cstheme="minorHAnsi"/>
          <w:bCs/>
          <w:i w:val="0"/>
          <w:lang w:val="es-ES"/>
        </w:rPr>
        <w:t>párr. 217.</w:t>
      </w:r>
      <w:r w:rsidRPr="00D80603">
        <w:rPr>
          <w:rFonts w:cstheme="minorHAnsi"/>
          <w:bCs/>
          <w:iCs/>
          <w:lang w:val="es-ES"/>
        </w:rPr>
        <w:t xml:space="preserve"> </w:t>
      </w:r>
    </w:p>
  </w:footnote>
  <w:footnote w:id="27">
    <w:p w14:paraId="43262188" w14:textId="47B70B61" w:rsidR="001F41AE" w:rsidRPr="00D80603" w:rsidRDefault="001F41AE" w:rsidP="00D80603">
      <w:pPr>
        <w:pStyle w:val="Textonotapie"/>
        <w:contextualSpacing w:val="0"/>
        <w:rPr>
          <w:rFonts w:cstheme="minorHAnsi"/>
        </w:rPr>
      </w:pPr>
      <w:r w:rsidRPr="00D80603">
        <w:rPr>
          <w:rStyle w:val="Refdenotaalpie"/>
          <w:rFonts w:eastAsia="Batang" w:cstheme="minorHAnsi"/>
          <w:i w:val="0"/>
          <w:iCs/>
        </w:rPr>
        <w:footnoteRef/>
      </w:r>
      <w:r w:rsidRPr="00D80603">
        <w:rPr>
          <w:rFonts w:cstheme="minorHAnsi"/>
          <w:i w:val="0"/>
          <w:iCs/>
        </w:rPr>
        <w:t xml:space="preserve"> </w:t>
      </w:r>
      <w:r w:rsidRPr="00D80603">
        <w:rPr>
          <w:rFonts w:cstheme="minorHAnsi"/>
        </w:rPr>
        <w:tab/>
      </w:r>
      <w:r w:rsidRPr="00D80603">
        <w:rPr>
          <w:rFonts w:cstheme="minorHAnsi"/>
          <w:iCs/>
        </w:rPr>
        <w:t>Cfr</w:t>
      </w:r>
      <w:r w:rsidRPr="00D80603">
        <w:rPr>
          <w:rFonts w:cstheme="minorHAnsi"/>
        </w:rPr>
        <w:t xml:space="preserve">. </w:t>
      </w:r>
      <w:r w:rsidRPr="00D80603">
        <w:rPr>
          <w:iCs/>
          <w:lang w:val="es-CR"/>
        </w:rPr>
        <w:t>Caso de la Comunidad Garífuna Triunfo de la Cruz y sus miembros</w:t>
      </w:r>
      <w:r w:rsidRPr="00D80603">
        <w:rPr>
          <w:i w:val="0"/>
          <w:iCs/>
          <w:lang w:val="es-CR"/>
        </w:rPr>
        <w:t>,</w:t>
      </w:r>
      <w:r w:rsidR="004346EA" w:rsidRPr="00D80603">
        <w:rPr>
          <w:lang w:val="es-CR"/>
        </w:rPr>
        <w:t xml:space="preserve"> supra</w:t>
      </w:r>
      <w:r w:rsidR="004346EA" w:rsidRPr="00D80603">
        <w:rPr>
          <w:i w:val="0"/>
          <w:iCs/>
          <w:lang w:val="es-CR"/>
        </w:rPr>
        <w:t>,</w:t>
      </w:r>
      <w:r w:rsidRPr="00D80603">
        <w:rPr>
          <w:lang w:val="es-CR"/>
        </w:rPr>
        <w:t xml:space="preserve"> </w:t>
      </w:r>
      <w:r w:rsidRPr="00D80603">
        <w:rPr>
          <w:i w:val="0"/>
          <w:iCs/>
          <w:lang w:val="es-CR"/>
        </w:rPr>
        <w:t xml:space="preserve">párr. </w:t>
      </w:r>
      <w:r w:rsidRPr="00D80603">
        <w:rPr>
          <w:rFonts w:cstheme="minorHAnsi"/>
          <w:i w:val="0"/>
          <w:iCs/>
        </w:rPr>
        <w:t>159,</w:t>
      </w:r>
      <w:r w:rsidRPr="00D80603">
        <w:rPr>
          <w:rFonts w:cstheme="minorHAnsi"/>
        </w:rPr>
        <w:t xml:space="preserve"> </w:t>
      </w:r>
      <w:r w:rsidRPr="00D80603">
        <w:rPr>
          <w:rFonts w:cstheme="minorHAnsi"/>
          <w:i w:val="0"/>
          <w:iCs/>
        </w:rPr>
        <w:t>y</w:t>
      </w:r>
      <w:r w:rsidRPr="00D80603">
        <w:rPr>
          <w:rFonts w:cstheme="minorHAnsi"/>
        </w:rPr>
        <w:t xml:space="preserve"> Caso del Pueblo indígena Kichwa de Sarayaku Vs. Ecuador,</w:t>
      </w:r>
      <w:r w:rsidR="009F451E" w:rsidRPr="00D80603">
        <w:rPr>
          <w:rFonts w:cstheme="minorHAnsi"/>
        </w:rPr>
        <w:t xml:space="preserve"> supra</w:t>
      </w:r>
      <w:r w:rsidR="009F451E" w:rsidRPr="00D80603">
        <w:rPr>
          <w:rFonts w:cstheme="minorHAnsi"/>
          <w:i w:val="0"/>
          <w:iCs/>
        </w:rPr>
        <w:t>,</w:t>
      </w:r>
      <w:r w:rsidRPr="00D80603">
        <w:rPr>
          <w:rFonts w:cstheme="minorHAnsi"/>
        </w:rPr>
        <w:t xml:space="preserve"> </w:t>
      </w:r>
      <w:r w:rsidRPr="00D80603">
        <w:rPr>
          <w:rFonts w:cstheme="minorHAnsi"/>
          <w:i w:val="0"/>
          <w:iCs/>
        </w:rPr>
        <w:t>párr. 166.</w:t>
      </w:r>
      <w:r w:rsidRPr="00D80603">
        <w:rPr>
          <w:rFonts w:cstheme="minorHAnsi"/>
        </w:rPr>
        <w:t xml:space="preserve"> </w:t>
      </w:r>
    </w:p>
  </w:footnote>
  <w:footnote w:id="28">
    <w:p w14:paraId="16D8F84B" w14:textId="00F1A4A9" w:rsidR="004E4140" w:rsidRPr="00D80603" w:rsidRDefault="004E4140" w:rsidP="00D80603">
      <w:pPr>
        <w:pStyle w:val="Textonotapie"/>
        <w:contextualSpacing w:val="0"/>
        <w:rPr>
          <w:i w:val="0"/>
          <w:iCs/>
          <w:lang w:val="es-ES"/>
        </w:rPr>
      </w:pPr>
      <w:r w:rsidRPr="00D80603">
        <w:rPr>
          <w:rStyle w:val="Refdenotaalpie"/>
          <w:i w:val="0"/>
          <w:iCs/>
        </w:rPr>
        <w:footnoteRef/>
      </w:r>
      <w:r w:rsidRPr="00D80603">
        <w:t xml:space="preserve"> </w:t>
      </w:r>
      <w:r w:rsidR="00A90E1F" w:rsidRPr="00D80603">
        <w:rPr>
          <w:i w:val="0"/>
          <w:iCs/>
        </w:rPr>
        <w:tab/>
      </w:r>
      <w:r w:rsidR="005A6930" w:rsidRPr="00D80603">
        <w:t>Caso Comunidad Garífuna de San Juan y sus Miembros Vs. Honduras</w:t>
      </w:r>
      <w:r w:rsidR="005A6930" w:rsidRPr="00D80603">
        <w:rPr>
          <w:i w:val="0"/>
          <w:iCs/>
        </w:rPr>
        <w:t xml:space="preserve">, </w:t>
      </w:r>
      <w:r w:rsidR="005A6930" w:rsidRPr="00D80603">
        <w:t>supra</w:t>
      </w:r>
      <w:r w:rsidR="005A6930" w:rsidRPr="00D80603">
        <w:rPr>
          <w:i w:val="0"/>
          <w:iCs/>
        </w:rPr>
        <w:t xml:space="preserve">, </w:t>
      </w:r>
      <w:proofErr w:type="spellStart"/>
      <w:r w:rsidR="005A6930" w:rsidRPr="00D80603">
        <w:rPr>
          <w:i w:val="0"/>
          <w:iCs/>
        </w:rPr>
        <w:t>p</w:t>
      </w:r>
      <w:r w:rsidR="0010230B" w:rsidRPr="00D80603">
        <w:rPr>
          <w:i w:val="0"/>
          <w:iCs/>
        </w:rPr>
        <w:t>árrs</w:t>
      </w:r>
      <w:proofErr w:type="spellEnd"/>
      <w:r w:rsidR="0010230B" w:rsidRPr="00D80603">
        <w:rPr>
          <w:i w:val="0"/>
          <w:iCs/>
        </w:rPr>
        <w:t>. 128 a 131</w:t>
      </w:r>
      <w:r w:rsidR="005A6930" w:rsidRPr="00D80603">
        <w:rPr>
          <w:i w:val="0"/>
          <w:iCs/>
        </w:rPr>
        <w:t>.</w:t>
      </w:r>
    </w:p>
  </w:footnote>
  <w:footnote w:id="29">
    <w:p w14:paraId="3AF36AD1" w14:textId="5F36E92E" w:rsidR="008A78FA" w:rsidRPr="00D80603" w:rsidRDefault="00AF32AD" w:rsidP="00D80603">
      <w:pPr>
        <w:pStyle w:val="NormalWeb"/>
        <w:tabs>
          <w:tab w:val="left" w:pos="567"/>
        </w:tabs>
        <w:spacing w:before="120" w:beforeAutospacing="0" w:after="120" w:afterAutospacing="0"/>
        <w:jc w:val="both"/>
        <w:rPr>
          <w:rFonts w:ascii="Verdana" w:hAnsi="Verdana"/>
          <w:color w:val="000000" w:themeColor="text1"/>
          <w:sz w:val="16"/>
          <w:szCs w:val="16"/>
        </w:rPr>
      </w:pPr>
      <w:r w:rsidRPr="00D80603">
        <w:rPr>
          <w:rStyle w:val="Refdenotaalpie"/>
          <w:rFonts w:ascii="Verdana" w:hAnsi="Verdana"/>
          <w:sz w:val="16"/>
          <w:szCs w:val="16"/>
        </w:rPr>
        <w:footnoteRef/>
      </w:r>
      <w:r w:rsidRPr="00D80603">
        <w:rPr>
          <w:rFonts w:ascii="Verdana" w:hAnsi="Verdana"/>
          <w:i/>
          <w:iCs/>
          <w:sz w:val="16"/>
          <w:szCs w:val="16"/>
        </w:rPr>
        <w:t xml:space="preserve"> </w:t>
      </w:r>
      <w:r w:rsidR="00AB1D8C" w:rsidRPr="00D80603">
        <w:rPr>
          <w:rFonts w:ascii="Verdana" w:hAnsi="Verdana"/>
          <w:sz w:val="16"/>
          <w:szCs w:val="16"/>
        </w:rPr>
        <w:t xml:space="preserve"> </w:t>
      </w:r>
      <w:r w:rsidR="006D0738" w:rsidRPr="00D80603">
        <w:rPr>
          <w:rFonts w:ascii="Verdana" w:hAnsi="Verdana"/>
          <w:sz w:val="16"/>
          <w:szCs w:val="16"/>
        </w:rPr>
        <w:tab/>
      </w:r>
      <w:r w:rsidR="00AB1D8C" w:rsidRPr="00D80603">
        <w:rPr>
          <w:rFonts w:ascii="Verdana" w:hAnsi="Verdana"/>
          <w:sz w:val="16"/>
          <w:szCs w:val="16"/>
        </w:rPr>
        <w:t xml:space="preserve">Al respecto, la Corte IDH ha </w:t>
      </w:r>
      <w:r w:rsidR="00087E6D" w:rsidRPr="00D80603">
        <w:rPr>
          <w:rFonts w:ascii="Verdana" w:hAnsi="Verdana"/>
          <w:sz w:val="16"/>
          <w:szCs w:val="16"/>
        </w:rPr>
        <w:t>ind</w:t>
      </w:r>
      <w:r w:rsidR="00AB1D8C" w:rsidRPr="00D80603">
        <w:rPr>
          <w:rFonts w:ascii="Verdana" w:hAnsi="Verdana"/>
          <w:sz w:val="16"/>
          <w:szCs w:val="16"/>
        </w:rPr>
        <w:t>icado que “</w:t>
      </w:r>
      <w:r w:rsidRPr="00D80603">
        <w:rPr>
          <w:rFonts w:ascii="Verdana" w:hAnsi="Verdana"/>
          <w:sz w:val="16"/>
          <w:szCs w:val="16"/>
        </w:rPr>
        <w:t xml:space="preserve">227. El derecho a la participación de los ciudadanos en la dirección de los asuntos públicos se encuentra consagrado en el artículo 23.1.a) de la Convención </w:t>
      </w:r>
      <w:proofErr w:type="gramStart"/>
      <w:r w:rsidRPr="00D80603">
        <w:rPr>
          <w:rFonts w:ascii="Verdana" w:hAnsi="Verdana"/>
          <w:sz w:val="16"/>
          <w:szCs w:val="16"/>
        </w:rPr>
        <w:t>Americana</w:t>
      </w:r>
      <w:proofErr w:type="gramEnd"/>
      <w:r w:rsidR="00AB1D8C" w:rsidRPr="00D80603">
        <w:rPr>
          <w:rFonts w:ascii="Verdana" w:hAnsi="Verdana"/>
          <w:sz w:val="16"/>
          <w:szCs w:val="16"/>
        </w:rPr>
        <w:t>”</w:t>
      </w:r>
      <w:r w:rsidRPr="00D80603">
        <w:rPr>
          <w:rFonts w:ascii="Verdana" w:hAnsi="Verdana"/>
          <w:sz w:val="16"/>
          <w:szCs w:val="16"/>
        </w:rPr>
        <w:t xml:space="preserve">. </w:t>
      </w:r>
      <w:r w:rsidR="00AB1D8C" w:rsidRPr="00D80603">
        <w:rPr>
          <w:rFonts w:ascii="Verdana" w:hAnsi="Verdana"/>
          <w:sz w:val="16"/>
          <w:szCs w:val="16"/>
        </w:rPr>
        <w:t xml:space="preserve">En </w:t>
      </w:r>
      <w:r w:rsidR="00087E6D" w:rsidRPr="00D80603">
        <w:rPr>
          <w:rFonts w:ascii="Verdana" w:hAnsi="Verdana"/>
          <w:sz w:val="16"/>
          <w:szCs w:val="16"/>
        </w:rPr>
        <w:t>el</w:t>
      </w:r>
      <w:r w:rsidR="00AB1D8C" w:rsidRPr="00D80603">
        <w:rPr>
          <w:rFonts w:ascii="Verdana" w:hAnsi="Verdana"/>
          <w:sz w:val="16"/>
          <w:szCs w:val="16"/>
        </w:rPr>
        <w:t xml:space="preserve"> </w:t>
      </w:r>
      <w:r w:rsidR="00AB1D8C" w:rsidRPr="00D80603">
        <w:rPr>
          <w:rFonts w:ascii="Verdana" w:hAnsi="Verdana"/>
          <w:color w:val="000000" w:themeColor="text1"/>
          <w:sz w:val="16"/>
          <w:szCs w:val="16"/>
        </w:rPr>
        <w:t xml:space="preserve">caso de comunidades </w:t>
      </w:r>
      <w:r w:rsidR="002B7992" w:rsidRPr="00D80603">
        <w:rPr>
          <w:rFonts w:ascii="Verdana" w:hAnsi="Verdana"/>
          <w:color w:val="000000" w:themeColor="text1"/>
          <w:sz w:val="16"/>
          <w:szCs w:val="16"/>
        </w:rPr>
        <w:t xml:space="preserve">indígenas </w:t>
      </w:r>
      <w:r w:rsidR="00AB1D8C" w:rsidRPr="00D80603">
        <w:rPr>
          <w:rFonts w:ascii="Verdana" w:hAnsi="Verdana"/>
          <w:color w:val="000000" w:themeColor="text1"/>
          <w:sz w:val="16"/>
          <w:szCs w:val="16"/>
        </w:rPr>
        <w:t xml:space="preserve">ha precisado “228. </w:t>
      </w:r>
      <w:r w:rsidRPr="00D80603">
        <w:rPr>
          <w:rFonts w:ascii="Verdana" w:hAnsi="Verdana"/>
          <w:color w:val="000000" w:themeColor="text1"/>
          <w:sz w:val="16"/>
          <w:szCs w:val="16"/>
        </w:rPr>
        <w:t>En el contexto de las comunidades indígenas, este Tribunal ha determinado que el Estado debe garantizar los derechos de consulta y participación en todas las fases de planeación e implementación de un proyecto o medida que pueda afectar el territorio de una comunidad indígena o tribal, u otros derechos esenciales para su supervivencia como pueblo de conformidad con sus costumbres y tradiciones</w:t>
      </w:r>
      <w:r w:rsidR="00AB1D8C" w:rsidRPr="00D80603">
        <w:rPr>
          <w:rFonts w:ascii="Verdana" w:hAnsi="Verdana"/>
          <w:color w:val="000000" w:themeColor="text1"/>
          <w:sz w:val="16"/>
          <w:szCs w:val="16"/>
        </w:rPr>
        <w:t xml:space="preserve">”. Por otro lado, ha diferenciado, en general, la participación de la </w:t>
      </w:r>
      <w:r w:rsidR="00E03999" w:rsidRPr="00D80603">
        <w:rPr>
          <w:rFonts w:ascii="Verdana" w:hAnsi="Verdana"/>
          <w:color w:val="000000" w:themeColor="text1"/>
          <w:sz w:val="16"/>
          <w:szCs w:val="16"/>
        </w:rPr>
        <w:t>c</w:t>
      </w:r>
      <w:r w:rsidR="004346EA" w:rsidRPr="00D80603">
        <w:rPr>
          <w:rFonts w:ascii="Verdana" w:hAnsi="Verdana"/>
          <w:color w:val="000000" w:themeColor="text1"/>
          <w:sz w:val="16"/>
          <w:szCs w:val="16"/>
        </w:rPr>
        <w:t>iudadanía</w:t>
      </w:r>
      <w:r w:rsidR="00AB1D8C" w:rsidRPr="00D80603">
        <w:rPr>
          <w:rFonts w:ascii="Verdana" w:hAnsi="Verdana"/>
          <w:color w:val="000000" w:themeColor="text1"/>
          <w:sz w:val="16"/>
          <w:szCs w:val="16"/>
        </w:rPr>
        <w:t xml:space="preserve"> en asuntos públicos: “231.</w:t>
      </w:r>
      <w:r w:rsidRPr="00D80603">
        <w:rPr>
          <w:rFonts w:ascii="Verdana" w:hAnsi="Verdana"/>
          <w:color w:val="000000" w:themeColor="text1"/>
          <w:sz w:val="16"/>
          <w:szCs w:val="16"/>
        </w:rPr>
        <w:t xml:space="preserve">Por tanto, esta Corte estima que, del derecho de participación en los asuntos públicos, deriva la obligación de los Estados de garantizar la participación de las personas bajo su jurisdicción en la toma de decisiones y políticas que pueden </w:t>
      </w:r>
      <w:r w:rsidR="00AB1D8C" w:rsidRPr="00D80603">
        <w:rPr>
          <w:rFonts w:ascii="Verdana" w:hAnsi="Verdana"/>
          <w:color w:val="000000" w:themeColor="text1"/>
          <w:sz w:val="16"/>
          <w:szCs w:val="16"/>
        </w:rPr>
        <w:t>[…]</w:t>
      </w:r>
      <w:r w:rsidRPr="00D80603">
        <w:rPr>
          <w:rFonts w:ascii="Verdana" w:hAnsi="Verdana"/>
          <w:color w:val="000000" w:themeColor="text1"/>
          <w:sz w:val="16"/>
          <w:szCs w:val="16"/>
        </w:rPr>
        <w:t>, sin discriminación, de manera equitativa, significativa y transparente, para lo cual previamente deben haber garantizado el acceso a la información relevan</w:t>
      </w:r>
      <w:r w:rsidR="00AB1D8C" w:rsidRPr="00D80603">
        <w:rPr>
          <w:rFonts w:ascii="Verdana" w:hAnsi="Verdana"/>
          <w:color w:val="000000" w:themeColor="text1"/>
          <w:sz w:val="16"/>
          <w:szCs w:val="16"/>
        </w:rPr>
        <w:t>te”</w:t>
      </w:r>
      <w:r w:rsidRPr="00D80603">
        <w:rPr>
          <w:rFonts w:ascii="Verdana" w:hAnsi="Verdana"/>
          <w:color w:val="000000" w:themeColor="text1"/>
          <w:sz w:val="16"/>
          <w:szCs w:val="16"/>
        </w:rPr>
        <w:t xml:space="preserve">. </w:t>
      </w:r>
      <w:r w:rsidR="00AB1D8C" w:rsidRPr="00D80603">
        <w:rPr>
          <w:rFonts w:ascii="Verdana" w:hAnsi="Verdana"/>
          <w:i/>
          <w:iCs/>
          <w:color w:val="000000" w:themeColor="text1"/>
          <w:sz w:val="16"/>
          <w:szCs w:val="16"/>
        </w:rPr>
        <w:t xml:space="preserve">Cfr. </w:t>
      </w:r>
      <w:r w:rsidR="00AB1D8C" w:rsidRPr="00D80603">
        <w:rPr>
          <w:rFonts w:ascii="Verdana" w:hAnsi="Verdana" w:cs="Open Sans"/>
          <w:i/>
          <w:iCs/>
          <w:color w:val="000000" w:themeColor="text1"/>
          <w:sz w:val="16"/>
          <w:szCs w:val="16"/>
          <w:shd w:val="clear" w:color="auto" w:fill="FFFFFF"/>
        </w:rPr>
        <w:t>Medio ambiente y derechos humanos</w:t>
      </w:r>
      <w:r w:rsidR="00EA4DE0" w:rsidRPr="00D80603">
        <w:rPr>
          <w:rFonts w:ascii="Verdana" w:hAnsi="Verdana" w:cs="Open Sans"/>
          <w:color w:val="000000" w:themeColor="text1"/>
          <w:sz w:val="16"/>
          <w:szCs w:val="16"/>
          <w:shd w:val="clear" w:color="auto" w:fill="FFFFFF"/>
        </w:rPr>
        <w:t xml:space="preserve"> </w:t>
      </w:r>
      <w:r w:rsidR="00EA4DE0" w:rsidRPr="00D80603">
        <w:rPr>
          <w:rFonts w:ascii="Verdana" w:hAnsi="Verdana"/>
          <w:i/>
          <w:iCs/>
          <w:sz w:val="16"/>
          <w:szCs w:val="16"/>
        </w:rPr>
        <w:t>(Obligaciones estatales en relación con el medio ambiente en el marco de la protección y garantía de los derechos a la vida y a la integridad personal - interpretación y alcance de los artículos 4.1 y 5.1, en relación con los artículos 1.1 y 2 de la Convención Americana sobre Derechos Humanos)</w:t>
      </w:r>
      <w:r w:rsidR="00EA4DE0" w:rsidRPr="00D80603">
        <w:rPr>
          <w:rFonts w:ascii="Verdana" w:hAnsi="Verdana"/>
          <w:sz w:val="16"/>
          <w:szCs w:val="16"/>
        </w:rPr>
        <w:t>.</w:t>
      </w:r>
      <w:r w:rsidR="00EA4DE0" w:rsidRPr="00D80603">
        <w:rPr>
          <w:rFonts w:ascii="Verdana" w:hAnsi="Verdana" w:cs="Open Sans"/>
          <w:color w:val="000000" w:themeColor="text1"/>
          <w:sz w:val="16"/>
          <w:szCs w:val="16"/>
          <w:shd w:val="clear" w:color="auto" w:fill="FFFFFF"/>
        </w:rPr>
        <w:t xml:space="preserve"> </w:t>
      </w:r>
      <w:r w:rsidR="00AB1D8C" w:rsidRPr="00D80603">
        <w:rPr>
          <w:rFonts w:ascii="Verdana" w:hAnsi="Verdana" w:cs="Open Sans"/>
          <w:i/>
          <w:iCs/>
          <w:color w:val="000000" w:themeColor="text1"/>
          <w:sz w:val="16"/>
          <w:szCs w:val="16"/>
          <w:shd w:val="clear" w:color="auto" w:fill="FFFFFF"/>
        </w:rPr>
        <w:t xml:space="preserve">Opinión Consultiva OC-23/17 </w:t>
      </w:r>
      <w:r w:rsidR="00AB1D8C" w:rsidRPr="00D80603">
        <w:rPr>
          <w:rFonts w:ascii="Verdana" w:hAnsi="Verdana" w:cs="Open Sans"/>
          <w:color w:val="000000" w:themeColor="text1"/>
          <w:sz w:val="16"/>
          <w:szCs w:val="16"/>
          <w:shd w:val="clear" w:color="auto" w:fill="FFFFFF"/>
        </w:rPr>
        <w:t>de 15 de noviembre de 2017</w:t>
      </w:r>
      <w:r w:rsidR="00EA4DE0" w:rsidRPr="00D80603">
        <w:rPr>
          <w:rFonts w:ascii="Verdana" w:hAnsi="Verdana" w:cs="Open Sans"/>
          <w:color w:val="000000" w:themeColor="text1"/>
          <w:sz w:val="16"/>
          <w:szCs w:val="16"/>
          <w:shd w:val="clear" w:color="auto" w:fill="FFFFFF"/>
        </w:rPr>
        <w:t>. Serie A No. 23,</w:t>
      </w:r>
      <w:r w:rsidR="008A78FA" w:rsidRPr="00D80603">
        <w:rPr>
          <w:rFonts w:ascii="Verdana" w:hAnsi="Verdana" w:cs="Open Sans"/>
          <w:color w:val="000000" w:themeColor="text1"/>
          <w:sz w:val="16"/>
          <w:szCs w:val="16"/>
          <w:shd w:val="clear" w:color="auto" w:fill="FFFFFF"/>
        </w:rPr>
        <w:t xml:space="preserve"> </w:t>
      </w:r>
      <w:r w:rsidR="00AB1D8C" w:rsidRPr="00D80603">
        <w:rPr>
          <w:rStyle w:val="apple-converted-space"/>
          <w:rFonts w:ascii="Verdana" w:hAnsi="Verdana" w:cs="Open Sans"/>
          <w:color w:val="000000" w:themeColor="text1"/>
          <w:sz w:val="16"/>
          <w:szCs w:val="16"/>
          <w:shd w:val="clear" w:color="auto" w:fill="FFFFFF"/>
        </w:rPr>
        <w:t xml:space="preserve">párrs. </w:t>
      </w:r>
      <w:r w:rsidR="00AB1D8C" w:rsidRPr="00D80603">
        <w:rPr>
          <w:rFonts w:ascii="Verdana" w:hAnsi="Verdana"/>
          <w:color w:val="000000" w:themeColor="text1"/>
          <w:sz w:val="16"/>
          <w:szCs w:val="16"/>
        </w:rPr>
        <w:t xml:space="preserve">226, 227 y 231. </w:t>
      </w:r>
    </w:p>
  </w:footnote>
  <w:footnote w:id="30">
    <w:p w14:paraId="781D6211" w14:textId="35B2FA9C" w:rsidR="00D46940" w:rsidRPr="00D80603" w:rsidRDefault="00D46940" w:rsidP="00D80603">
      <w:pPr>
        <w:pStyle w:val="Textonotapie"/>
        <w:contextualSpacing w:val="0"/>
        <w:rPr>
          <w:i w:val="0"/>
          <w:iCs/>
          <w:lang w:val="es-ES"/>
        </w:rPr>
      </w:pPr>
      <w:r w:rsidRPr="00D80603">
        <w:rPr>
          <w:rStyle w:val="Refdenotaalpie"/>
          <w:i w:val="0"/>
          <w:iCs/>
        </w:rPr>
        <w:footnoteRef/>
      </w:r>
      <w:r w:rsidRPr="00D80603">
        <w:rPr>
          <w:i w:val="0"/>
          <w:iCs/>
        </w:rPr>
        <w:t xml:space="preserve"> </w:t>
      </w:r>
      <w:r w:rsidRPr="00D80603">
        <w:rPr>
          <w:lang w:val="es-ES"/>
        </w:rPr>
        <w:tab/>
      </w:r>
      <w:r w:rsidR="001F5A88" w:rsidRPr="00D80603">
        <w:rPr>
          <w:lang w:val="es-ES"/>
        </w:rPr>
        <w:t xml:space="preserve">Cfr. </w:t>
      </w:r>
      <w:r w:rsidR="005A6930" w:rsidRPr="00D80603">
        <w:t>Caso Comunidad Garífuna de San Juan y sus Miembros Vs. Honduras</w:t>
      </w:r>
      <w:r w:rsidR="005A6930" w:rsidRPr="00D80603">
        <w:rPr>
          <w:i w:val="0"/>
          <w:iCs/>
        </w:rPr>
        <w:t>,</w:t>
      </w:r>
      <w:r w:rsidR="002B7992" w:rsidRPr="00D80603">
        <w:rPr>
          <w:i w:val="0"/>
          <w:iCs/>
        </w:rPr>
        <w:t xml:space="preserve"> </w:t>
      </w:r>
      <w:r w:rsidR="002B7992" w:rsidRPr="00D80603">
        <w:t>supra,</w:t>
      </w:r>
      <w:r w:rsidRPr="00D80603">
        <w:rPr>
          <w:i w:val="0"/>
          <w:iCs/>
          <w:lang w:val="es-ES"/>
        </w:rPr>
        <w:t xml:space="preserve"> </w:t>
      </w:r>
      <w:proofErr w:type="spellStart"/>
      <w:r w:rsidRPr="00D80603">
        <w:rPr>
          <w:i w:val="0"/>
          <w:iCs/>
          <w:lang w:val="es-ES"/>
        </w:rPr>
        <w:t>párrs</w:t>
      </w:r>
      <w:proofErr w:type="spellEnd"/>
      <w:r w:rsidRPr="00D80603">
        <w:rPr>
          <w:i w:val="0"/>
          <w:iCs/>
          <w:lang w:val="es-ES"/>
        </w:rPr>
        <w:t xml:space="preserve">. </w:t>
      </w:r>
      <w:r w:rsidR="00D51D65" w:rsidRPr="00D80603">
        <w:rPr>
          <w:i w:val="0"/>
          <w:iCs/>
          <w:lang w:val="es-ES"/>
        </w:rPr>
        <w:t>119 a 121</w:t>
      </w:r>
      <w:r w:rsidRPr="00D80603">
        <w:rPr>
          <w:i w:val="0"/>
          <w:iCs/>
          <w:lang w:val="es-ES"/>
        </w:rPr>
        <w:t>.</w:t>
      </w:r>
    </w:p>
  </w:footnote>
  <w:footnote w:id="31">
    <w:p w14:paraId="28F11B2F" w14:textId="46F23C1E" w:rsidR="007959E0" w:rsidRPr="00D80603" w:rsidRDefault="007959E0" w:rsidP="00D80603">
      <w:pPr>
        <w:pStyle w:val="Textonotapie"/>
        <w:contextualSpacing w:val="0"/>
        <w:rPr>
          <w:color w:val="000000" w:themeColor="text1"/>
          <w:lang w:val="es-ES"/>
        </w:rPr>
      </w:pPr>
      <w:r w:rsidRPr="00D80603">
        <w:rPr>
          <w:rStyle w:val="Refdenotaalpie"/>
          <w:color w:val="000000" w:themeColor="text1"/>
        </w:rPr>
        <w:footnoteRef/>
      </w:r>
      <w:r w:rsidRPr="00D80603">
        <w:rPr>
          <w:color w:val="000000" w:themeColor="text1"/>
        </w:rPr>
        <w:t xml:space="preserve"> </w:t>
      </w:r>
      <w:r w:rsidR="00C91B81" w:rsidRPr="00D80603">
        <w:rPr>
          <w:color w:val="000000" w:themeColor="text1"/>
        </w:rPr>
        <w:tab/>
      </w:r>
      <w:r w:rsidR="00E03999" w:rsidRPr="00D80603">
        <w:rPr>
          <w:color w:val="000000" w:themeColor="text1"/>
        </w:rPr>
        <w:t>Cfr</w:t>
      </w:r>
      <w:r w:rsidR="00E03999" w:rsidRPr="00D80603">
        <w:rPr>
          <w:i w:val="0"/>
          <w:iCs/>
          <w:color w:val="000000" w:themeColor="text1"/>
        </w:rPr>
        <w:t xml:space="preserve">. </w:t>
      </w:r>
      <w:r w:rsidR="00AB1D8C" w:rsidRPr="00D80603">
        <w:rPr>
          <w:rFonts w:cs="Open Sans"/>
          <w:color w:val="000000" w:themeColor="text1"/>
          <w:shd w:val="clear" w:color="auto" w:fill="FFFFFF"/>
        </w:rPr>
        <w:t>Caso I.V. Vs. Bolivia</w:t>
      </w:r>
      <w:r w:rsidR="00E03999" w:rsidRPr="00D80603">
        <w:rPr>
          <w:rFonts w:cs="Open Sans"/>
          <w:color w:val="000000" w:themeColor="text1"/>
          <w:shd w:val="clear" w:color="auto" w:fill="FFFFFF"/>
        </w:rPr>
        <w:t>. Excepciones Preliminares, Fondo, Reparaciones y Costas</w:t>
      </w:r>
      <w:r w:rsidR="00E03999" w:rsidRPr="00D80603">
        <w:rPr>
          <w:rFonts w:cs="Open Sans"/>
          <w:i w:val="0"/>
          <w:iCs/>
          <w:color w:val="000000" w:themeColor="text1"/>
          <w:shd w:val="clear" w:color="auto" w:fill="FFFFFF"/>
        </w:rPr>
        <w:t>. Sentencia de 20 de noviembre de 2016. Serie C No. 329</w:t>
      </w:r>
      <w:r w:rsidR="00AB1D8C" w:rsidRPr="00D80603">
        <w:rPr>
          <w:rFonts w:cs="Open Sans"/>
          <w:color w:val="000000" w:themeColor="text1"/>
          <w:shd w:val="clear" w:color="auto" w:fill="FFFFFF"/>
        </w:rPr>
        <w:t xml:space="preserve">, </w:t>
      </w:r>
      <w:r w:rsidR="00AB1D8C" w:rsidRPr="00D80603">
        <w:rPr>
          <w:rFonts w:cs="Open Sans"/>
          <w:i w:val="0"/>
          <w:iCs/>
          <w:color w:val="000000" w:themeColor="text1"/>
          <w:shd w:val="clear" w:color="auto" w:fill="FFFFFF"/>
        </w:rPr>
        <w:t xml:space="preserve">párr. </w:t>
      </w:r>
      <w:r w:rsidR="00AB1D8C" w:rsidRPr="00D80603">
        <w:rPr>
          <w:i w:val="0"/>
          <w:iCs/>
          <w:color w:val="000000" w:themeColor="text1"/>
        </w:rPr>
        <w:t>167.</w:t>
      </w:r>
      <w:r w:rsidR="00AB1D8C" w:rsidRPr="00D80603">
        <w:rPr>
          <w:color w:val="000000" w:themeColor="text1"/>
        </w:rPr>
        <w:t xml:space="preserve">  </w:t>
      </w:r>
    </w:p>
  </w:footnote>
  <w:footnote w:id="32">
    <w:p w14:paraId="5E203B13" w14:textId="203AA3A7" w:rsidR="00E02196" w:rsidRPr="00D80603" w:rsidRDefault="00E02196" w:rsidP="00D80603">
      <w:pPr>
        <w:pStyle w:val="Textonotapie"/>
        <w:contextualSpacing w:val="0"/>
        <w:rPr>
          <w:lang w:val="es-ES"/>
        </w:rPr>
      </w:pPr>
      <w:r w:rsidRPr="00D80603">
        <w:rPr>
          <w:rStyle w:val="Refdenotaalpie"/>
          <w:i w:val="0"/>
          <w:iCs/>
          <w:color w:val="000000" w:themeColor="text1"/>
        </w:rPr>
        <w:footnoteRef/>
      </w:r>
      <w:r w:rsidRPr="00D80603">
        <w:rPr>
          <w:color w:val="000000" w:themeColor="text1"/>
        </w:rPr>
        <w:t xml:space="preserve"> </w:t>
      </w:r>
      <w:r w:rsidR="00C91B81" w:rsidRPr="00D80603">
        <w:rPr>
          <w:color w:val="000000" w:themeColor="text1"/>
        </w:rPr>
        <w:tab/>
      </w:r>
      <w:r w:rsidR="00AB1D8C" w:rsidRPr="00D80603">
        <w:rPr>
          <w:color w:val="000000" w:themeColor="text1"/>
        </w:rPr>
        <w:t>C</w:t>
      </w:r>
      <w:r w:rsidR="00AB1D8C" w:rsidRPr="00D80603">
        <w:rPr>
          <w:rFonts w:cs="Open Sans"/>
          <w:color w:val="000000" w:themeColor="text1"/>
          <w:shd w:val="clear" w:color="auto" w:fill="FFFFFF"/>
        </w:rPr>
        <w:t>aso Atala Riffo y niñas Vs. Chile</w:t>
      </w:r>
      <w:r w:rsidR="00E03999" w:rsidRPr="00D80603">
        <w:rPr>
          <w:rFonts w:cs="Open Sans"/>
          <w:color w:val="000000" w:themeColor="text1"/>
          <w:shd w:val="clear" w:color="auto" w:fill="FFFFFF"/>
        </w:rPr>
        <w:t>. Fondo, Reparaciones y Costas.</w:t>
      </w:r>
      <w:r w:rsidR="00E03999" w:rsidRPr="00D80603">
        <w:rPr>
          <w:rFonts w:cs="Open Sans"/>
          <w:i w:val="0"/>
          <w:iCs/>
          <w:color w:val="000000" w:themeColor="text1"/>
          <w:shd w:val="clear" w:color="auto" w:fill="FFFFFF"/>
        </w:rPr>
        <w:t xml:space="preserve"> Sentencia de 24 de febrero de 2012. Serie C No. </w:t>
      </w:r>
      <w:r w:rsidR="00AB1D8C" w:rsidRPr="00D80603">
        <w:rPr>
          <w:rFonts w:cs="Open Sans"/>
          <w:i w:val="0"/>
          <w:iCs/>
          <w:color w:val="000000" w:themeColor="text1"/>
          <w:shd w:val="clear" w:color="auto" w:fill="FFFFFF"/>
        </w:rPr>
        <w:t xml:space="preserve"> </w:t>
      </w:r>
      <w:r w:rsidRPr="00D80603">
        <w:rPr>
          <w:i w:val="0"/>
          <w:iCs/>
          <w:color w:val="000000" w:themeColor="text1"/>
          <w:lang w:val="es-ES"/>
        </w:rPr>
        <w:t>párr. 92</w:t>
      </w:r>
      <w:r w:rsidR="008A78FA" w:rsidRPr="00D80603">
        <w:rPr>
          <w:i w:val="0"/>
          <w:iCs/>
          <w:color w:val="000000" w:themeColor="text1"/>
          <w:lang w:val="es-ES"/>
        </w:rPr>
        <w:t>.</w:t>
      </w:r>
    </w:p>
  </w:footnote>
  <w:footnote w:id="33">
    <w:p w14:paraId="158CDBB2" w14:textId="5DC68671" w:rsidR="00963BEE" w:rsidRPr="00D80603" w:rsidRDefault="00963BEE" w:rsidP="00D80603">
      <w:pPr>
        <w:pStyle w:val="Textonotapie"/>
        <w:contextualSpacing w:val="0"/>
        <w:rPr>
          <w:color w:val="000000" w:themeColor="text1"/>
          <w:lang w:val="es-ES"/>
        </w:rPr>
      </w:pPr>
      <w:r w:rsidRPr="00D80603">
        <w:rPr>
          <w:rStyle w:val="Refdenotaalpie"/>
          <w:i w:val="0"/>
          <w:iCs/>
          <w:color w:val="000000" w:themeColor="text1"/>
        </w:rPr>
        <w:footnoteRef/>
      </w:r>
      <w:r w:rsidRPr="00D80603">
        <w:rPr>
          <w:color w:val="000000" w:themeColor="text1"/>
        </w:rPr>
        <w:t xml:space="preserve"> </w:t>
      </w:r>
      <w:r w:rsidR="00C91B81" w:rsidRPr="00D80603">
        <w:rPr>
          <w:color w:val="000000" w:themeColor="text1"/>
        </w:rPr>
        <w:tab/>
      </w:r>
      <w:r w:rsidR="00AB1D8C" w:rsidRPr="00D80603">
        <w:rPr>
          <w:i w:val="0"/>
          <w:iCs/>
          <w:color w:val="000000" w:themeColor="text1"/>
        </w:rPr>
        <w:t xml:space="preserve">Por ejemplo, en el caso del Tribunal Europeo existe la posibilidad de “aclarar” los criterios que son asumidos por las diferentes secciones. Dicha tarea le corresponde a la Gran Cámara. </w:t>
      </w:r>
      <w:r w:rsidR="00E11431" w:rsidRPr="00D80603">
        <w:rPr>
          <w:color w:val="000000" w:themeColor="text1"/>
        </w:rPr>
        <w:t xml:space="preserve"> </w:t>
      </w:r>
    </w:p>
  </w:footnote>
  <w:footnote w:id="34">
    <w:p w14:paraId="59DFC694" w14:textId="18D776FC" w:rsidR="00963BEE" w:rsidRPr="00D80603" w:rsidRDefault="00963BEE" w:rsidP="00D80603">
      <w:pPr>
        <w:pStyle w:val="Textonotapie"/>
        <w:contextualSpacing w:val="0"/>
        <w:rPr>
          <w:i w:val="0"/>
          <w:iCs/>
          <w:color w:val="000000" w:themeColor="text1"/>
          <w:lang w:val="es-ES"/>
        </w:rPr>
      </w:pPr>
      <w:r w:rsidRPr="00D80603">
        <w:rPr>
          <w:rStyle w:val="Refdenotaalpie"/>
          <w:i w:val="0"/>
          <w:iCs/>
          <w:color w:val="000000" w:themeColor="text1"/>
        </w:rPr>
        <w:footnoteRef/>
      </w:r>
      <w:r w:rsidRPr="00D80603">
        <w:rPr>
          <w:color w:val="000000" w:themeColor="text1"/>
        </w:rPr>
        <w:t xml:space="preserve"> </w:t>
      </w:r>
      <w:r w:rsidR="00C91B81" w:rsidRPr="00D80603">
        <w:rPr>
          <w:color w:val="000000" w:themeColor="text1"/>
        </w:rPr>
        <w:tab/>
      </w:r>
      <w:r w:rsidR="00EA4DE0" w:rsidRPr="00D80603">
        <w:rPr>
          <w:color w:val="000000" w:themeColor="text1"/>
          <w:lang w:val="es-MX"/>
        </w:rPr>
        <w:t xml:space="preserve">Titularidad de derechos de las personas jurídicas en el Sistema Interamericano de Derechos Humanos (interpretación y alcance del artículo 1.2, en relación con los artículos 1.1, 8, 11.2, 13, 16, 21, 24, 25, 29, 30, 44, 46 y 62.3 de la Convención Americana sobre Derechos Humanos, así como del artículo 8.1.a y b del protocolo de san salvador). </w:t>
      </w:r>
      <w:r w:rsidR="008A78FA" w:rsidRPr="00D80603">
        <w:rPr>
          <w:rFonts w:cs="Open Sans"/>
          <w:color w:val="000000" w:themeColor="text1"/>
          <w:shd w:val="clear" w:color="auto" w:fill="FFFFFF"/>
        </w:rPr>
        <w:t>Opinión Consultiva OC-22/16</w:t>
      </w:r>
      <w:r w:rsidR="002B7992" w:rsidRPr="00D80603">
        <w:rPr>
          <w:rFonts w:cs="Open Sans"/>
          <w:i w:val="0"/>
          <w:iCs/>
          <w:color w:val="000000" w:themeColor="text1"/>
          <w:shd w:val="clear" w:color="auto" w:fill="FFFFFF"/>
        </w:rPr>
        <w:t xml:space="preserve"> de 26 de febrero de 2016</w:t>
      </w:r>
      <w:r w:rsidR="008A78FA" w:rsidRPr="00D80603">
        <w:rPr>
          <w:rFonts w:cs="Open Sans"/>
          <w:color w:val="000000" w:themeColor="text1"/>
          <w:shd w:val="clear" w:color="auto" w:fill="FFFFFF"/>
        </w:rPr>
        <w:t>.</w:t>
      </w:r>
      <w:r w:rsidR="00EA4DE0" w:rsidRPr="00D80603">
        <w:rPr>
          <w:rFonts w:cs="Open Sans"/>
          <w:i w:val="0"/>
          <w:iCs/>
          <w:color w:val="000000" w:themeColor="text1"/>
          <w:shd w:val="clear" w:color="auto" w:fill="FFFFFF"/>
        </w:rPr>
        <w:t xml:space="preserve"> </w:t>
      </w:r>
      <w:r w:rsidR="002B7992" w:rsidRPr="00D80603">
        <w:rPr>
          <w:rFonts w:cs="Open Sans"/>
          <w:i w:val="0"/>
          <w:iCs/>
          <w:color w:val="000000" w:themeColor="text1"/>
          <w:shd w:val="clear" w:color="auto" w:fill="FFFFFF"/>
        </w:rPr>
        <w:t>Serie</w:t>
      </w:r>
      <w:r w:rsidR="00EA4DE0" w:rsidRPr="00D80603">
        <w:rPr>
          <w:rFonts w:cs="Open Sans"/>
          <w:i w:val="0"/>
          <w:iCs/>
          <w:color w:val="000000" w:themeColor="text1"/>
          <w:shd w:val="clear" w:color="auto" w:fill="FFFFFF"/>
        </w:rPr>
        <w:t xml:space="preserve"> A No. 22</w:t>
      </w:r>
      <w:r w:rsidR="008A78FA" w:rsidRPr="00D80603">
        <w:rPr>
          <w:rFonts w:cs="Open Sans"/>
          <w:i w:val="0"/>
          <w:iCs/>
          <w:color w:val="000000" w:themeColor="text1"/>
          <w:shd w:val="clear" w:color="auto" w:fill="FFFFFF"/>
        </w:rPr>
        <w:t xml:space="preserve">, </w:t>
      </w:r>
      <w:proofErr w:type="spellStart"/>
      <w:r w:rsidR="008A78FA" w:rsidRPr="00D80603">
        <w:rPr>
          <w:rFonts w:cs="Open Sans"/>
          <w:i w:val="0"/>
          <w:iCs/>
          <w:color w:val="000000" w:themeColor="text1"/>
          <w:shd w:val="clear" w:color="auto" w:fill="FFFFFF"/>
        </w:rPr>
        <w:t>párrs</w:t>
      </w:r>
      <w:proofErr w:type="spellEnd"/>
      <w:r w:rsidR="008A78FA" w:rsidRPr="00D80603">
        <w:rPr>
          <w:rFonts w:cs="Open Sans"/>
          <w:i w:val="0"/>
          <w:iCs/>
          <w:color w:val="000000" w:themeColor="text1"/>
          <w:shd w:val="clear" w:color="auto" w:fill="FFFFFF"/>
        </w:rPr>
        <w:t xml:space="preserve">. </w:t>
      </w:r>
      <w:r w:rsidR="008A78FA" w:rsidRPr="00D80603">
        <w:rPr>
          <w:i w:val="0"/>
          <w:iCs/>
          <w:color w:val="000000" w:themeColor="text1"/>
          <w:lang w:val="es-ES"/>
        </w:rPr>
        <w:t xml:space="preserve">73 a 84.  </w:t>
      </w:r>
    </w:p>
  </w:footnote>
  <w:footnote w:id="35">
    <w:p w14:paraId="4C000D7D" w14:textId="19BC4A0C" w:rsidR="00982FE5" w:rsidRPr="00D80603" w:rsidRDefault="00982FE5" w:rsidP="00D80603">
      <w:pPr>
        <w:pStyle w:val="Textonotapie"/>
        <w:contextualSpacing w:val="0"/>
        <w:rPr>
          <w:i w:val="0"/>
          <w:iCs/>
        </w:rPr>
      </w:pPr>
      <w:r w:rsidRPr="00D80603">
        <w:rPr>
          <w:rStyle w:val="Refdenotaalpie"/>
        </w:rPr>
        <w:footnoteRef/>
      </w:r>
      <w:r w:rsidRPr="00D80603">
        <w:rPr>
          <w:i w:val="0"/>
          <w:iCs/>
        </w:rPr>
        <w:tab/>
      </w:r>
      <w:r w:rsidR="00F9274C" w:rsidRPr="00D80603">
        <w:rPr>
          <w:i w:val="0"/>
          <w:iCs/>
        </w:rPr>
        <w:t>Véase voto concurrente de los jueces Eduardo Ferrer Mac-Gregor Poisot y Rodrigo Mudrovitsch</w:t>
      </w:r>
      <w:r w:rsidR="002B7992" w:rsidRPr="00D80603">
        <w:rPr>
          <w:i w:val="0"/>
          <w:iCs/>
        </w:rPr>
        <w:t xml:space="preserve">. Ver: </w:t>
      </w:r>
      <w:r w:rsidR="00F9274C" w:rsidRPr="00D80603">
        <w:t xml:space="preserve">Caso Comunidad Maya Q’eqchi Agua Caliente Vs. </w:t>
      </w:r>
      <w:r w:rsidR="00EC7293" w:rsidRPr="00D80603">
        <w:t>Guatemala</w:t>
      </w:r>
      <w:r w:rsidR="00F9274C" w:rsidRPr="00D80603">
        <w:rPr>
          <w:i w:val="0"/>
          <w:iCs/>
        </w:rPr>
        <w:t xml:space="preserve">, </w:t>
      </w:r>
      <w:r w:rsidR="002B7992" w:rsidRPr="00D80603">
        <w:t>supra</w:t>
      </w:r>
      <w:r w:rsidR="002B7992" w:rsidRPr="00D80603">
        <w:rPr>
          <w:i w:val="0"/>
          <w:iCs/>
        </w:rPr>
        <w:t>,</w:t>
      </w:r>
      <w:r w:rsidR="002B7992" w:rsidRPr="00D80603">
        <w:t xml:space="preserve"> </w:t>
      </w:r>
      <w:r w:rsidR="00F9274C" w:rsidRPr="00D80603">
        <w:rPr>
          <w:i w:val="0"/>
          <w:iCs/>
        </w:rPr>
        <w:t>párr. 49.</w:t>
      </w:r>
    </w:p>
  </w:footnote>
  <w:footnote w:id="36">
    <w:p w14:paraId="45FC8422" w14:textId="4765D550" w:rsidR="00FA77A2" w:rsidRPr="00D80603" w:rsidRDefault="00FA77A2" w:rsidP="00D80603">
      <w:pPr>
        <w:pStyle w:val="Textonotapie"/>
        <w:contextualSpacing w:val="0"/>
        <w:rPr>
          <w:i w:val="0"/>
          <w:iCs/>
          <w:color w:val="000000" w:themeColor="text1"/>
          <w:lang w:val="es-ES"/>
        </w:rPr>
      </w:pPr>
      <w:r w:rsidRPr="00D80603">
        <w:rPr>
          <w:rStyle w:val="Refdenotaalpie"/>
          <w:i w:val="0"/>
          <w:iCs/>
          <w:color w:val="000000" w:themeColor="text1"/>
        </w:rPr>
        <w:footnoteRef/>
      </w:r>
      <w:r w:rsidRPr="00D80603">
        <w:rPr>
          <w:i w:val="0"/>
          <w:iCs/>
          <w:color w:val="000000" w:themeColor="text1"/>
        </w:rPr>
        <w:t xml:space="preserve"> </w:t>
      </w:r>
      <w:r w:rsidR="00C91B81" w:rsidRPr="00D80603">
        <w:rPr>
          <w:color w:val="000000" w:themeColor="text1"/>
        </w:rPr>
        <w:tab/>
      </w:r>
      <w:r w:rsidR="00742020" w:rsidRPr="00D80603">
        <w:rPr>
          <w:i w:val="0"/>
          <w:iCs/>
          <w:color w:val="000000" w:themeColor="text1"/>
        </w:rPr>
        <w:t>Al respecto, en el aparado de garantías de no repetición no hizo extensible la consulta a otras comunidades, únicamente dictó la medida para el caso concreto. Est</w:t>
      </w:r>
      <w:r w:rsidR="00C91B81" w:rsidRPr="00D80603">
        <w:rPr>
          <w:i w:val="0"/>
          <w:iCs/>
          <w:color w:val="000000" w:themeColor="text1"/>
        </w:rPr>
        <w:t>a</w:t>
      </w:r>
      <w:r w:rsidR="00742020" w:rsidRPr="00D80603">
        <w:rPr>
          <w:i w:val="0"/>
          <w:iCs/>
          <w:color w:val="000000" w:themeColor="text1"/>
        </w:rPr>
        <w:t xml:space="preserve"> determinación contrasta considerablemente cuando la Corte IDH ha ordenado que se consult</w:t>
      </w:r>
      <w:r w:rsidR="00C91B81" w:rsidRPr="00D80603">
        <w:rPr>
          <w:i w:val="0"/>
          <w:iCs/>
          <w:color w:val="000000" w:themeColor="text1"/>
        </w:rPr>
        <w:t>e</w:t>
      </w:r>
      <w:r w:rsidR="00742020" w:rsidRPr="00D80603">
        <w:rPr>
          <w:i w:val="0"/>
          <w:iCs/>
          <w:color w:val="000000" w:themeColor="text1"/>
        </w:rPr>
        <w:t xml:space="preserve"> a todas las comunidades, por ejemplo, para la emisión de una ley de consulta</w:t>
      </w:r>
      <w:r w:rsidR="00C91B81" w:rsidRPr="00D80603">
        <w:rPr>
          <w:i w:val="0"/>
          <w:iCs/>
          <w:color w:val="000000" w:themeColor="text1"/>
        </w:rPr>
        <w:t>,</w:t>
      </w:r>
      <w:r w:rsidR="00742020" w:rsidRPr="00D80603">
        <w:rPr>
          <w:i w:val="0"/>
          <w:iCs/>
          <w:color w:val="000000" w:themeColor="text1"/>
        </w:rPr>
        <w:t xml:space="preserve"> como ocurrió en el </w:t>
      </w:r>
      <w:r w:rsidR="00CB7FE3" w:rsidRPr="00D80603">
        <w:rPr>
          <w:i w:val="0"/>
          <w:iCs/>
          <w:color w:val="000000" w:themeColor="text1"/>
        </w:rPr>
        <w:t>c</w:t>
      </w:r>
      <w:r w:rsidR="002B7992" w:rsidRPr="00D80603">
        <w:rPr>
          <w:i w:val="0"/>
          <w:iCs/>
          <w:color w:val="000000" w:themeColor="text1"/>
        </w:rPr>
        <w:t>aso</w:t>
      </w:r>
      <w:r w:rsidR="00742020" w:rsidRPr="00D80603">
        <w:rPr>
          <w:i w:val="0"/>
          <w:iCs/>
          <w:color w:val="000000" w:themeColor="text1"/>
        </w:rPr>
        <w:t xml:space="preserve"> </w:t>
      </w:r>
      <w:proofErr w:type="spellStart"/>
      <w:r w:rsidR="00742020" w:rsidRPr="00D80603">
        <w:rPr>
          <w:color w:val="000000" w:themeColor="text1"/>
        </w:rPr>
        <w:t>Lakha</w:t>
      </w:r>
      <w:proofErr w:type="spellEnd"/>
      <w:r w:rsidR="00742020" w:rsidRPr="00D80603">
        <w:rPr>
          <w:color w:val="000000" w:themeColor="text1"/>
        </w:rPr>
        <w:t xml:space="preserve"> </w:t>
      </w:r>
      <w:proofErr w:type="spellStart"/>
      <w:r w:rsidR="00742020" w:rsidRPr="00D80603">
        <w:rPr>
          <w:color w:val="000000" w:themeColor="text1"/>
        </w:rPr>
        <w:t>Hon</w:t>
      </w:r>
      <w:r w:rsidR="002B7992" w:rsidRPr="00D80603">
        <w:rPr>
          <w:color w:val="000000" w:themeColor="text1"/>
        </w:rPr>
        <w:t>h</w:t>
      </w:r>
      <w:r w:rsidR="00742020" w:rsidRPr="00D80603">
        <w:rPr>
          <w:color w:val="000000" w:themeColor="text1"/>
        </w:rPr>
        <w:t>at</w:t>
      </w:r>
      <w:proofErr w:type="spellEnd"/>
      <w:r w:rsidR="00F41365" w:rsidRPr="00D80603">
        <w:rPr>
          <w:color w:val="000000" w:themeColor="text1"/>
        </w:rPr>
        <w:t xml:space="preserve"> (Nuestra Tierra)</w:t>
      </w:r>
      <w:r w:rsidR="00742020" w:rsidRPr="00D80603">
        <w:rPr>
          <w:color w:val="000000" w:themeColor="text1"/>
        </w:rPr>
        <w:t xml:space="preserve"> Vs. Argentina</w:t>
      </w:r>
      <w:r w:rsidR="00742020" w:rsidRPr="00D80603">
        <w:rPr>
          <w:i w:val="0"/>
          <w:iCs/>
          <w:color w:val="000000" w:themeColor="text1"/>
        </w:rPr>
        <w:t xml:space="preserve">. </w:t>
      </w:r>
    </w:p>
  </w:footnote>
  <w:footnote w:id="37">
    <w:p w14:paraId="6D556A9C" w14:textId="248AA8A4" w:rsidR="00FA77A2" w:rsidRPr="00D80603" w:rsidRDefault="00FA77A2" w:rsidP="00D80603">
      <w:pPr>
        <w:pStyle w:val="Textonotapie"/>
        <w:contextualSpacing w:val="0"/>
        <w:rPr>
          <w:i w:val="0"/>
          <w:iCs/>
          <w:lang w:val="es-ES"/>
        </w:rPr>
      </w:pPr>
      <w:r w:rsidRPr="00D80603">
        <w:rPr>
          <w:rStyle w:val="Refdenotaalpie"/>
          <w:i w:val="0"/>
          <w:iCs/>
        </w:rPr>
        <w:footnoteRef/>
      </w:r>
      <w:r w:rsidRPr="00D80603">
        <w:t xml:space="preserve"> </w:t>
      </w:r>
      <w:r w:rsidR="00203AB5" w:rsidRPr="00D80603">
        <w:tab/>
      </w:r>
      <w:r w:rsidR="00D25030" w:rsidRPr="00D80603">
        <w:t xml:space="preserve">Cfr. </w:t>
      </w:r>
      <w:r w:rsidR="005A6930" w:rsidRPr="00D80603">
        <w:t>Caso Comunidad Garífuna de San Juan y sus Miembros Vs. Honduras</w:t>
      </w:r>
      <w:r w:rsidR="005A6930" w:rsidRPr="00D80603">
        <w:rPr>
          <w:i w:val="0"/>
          <w:iCs/>
        </w:rPr>
        <w:t xml:space="preserve">, </w:t>
      </w:r>
      <w:r w:rsidR="005A6930" w:rsidRPr="00D80603">
        <w:t>supra</w:t>
      </w:r>
      <w:r w:rsidR="005A6930" w:rsidRPr="00D80603">
        <w:rPr>
          <w:i w:val="0"/>
          <w:iCs/>
        </w:rPr>
        <w:t>, p</w:t>
      </w:r>
      <w:r w:rsidR="00074BC1" w:rsidRPr="00D80603">
        <w:rPr>
          <w:i w:val="0"/>
          <w:iCs/>
        </w:rPr>
        <w:t>árr</w:t>
      </w:r>
      <w:r w:rsidR="005A6930" w:rsidRPr="00D80603">
        <w:rPr>
          <w:i w:val="0"/>
          <w:iCs/>
        </w:rPr>
        <w:t>.</w:t>
      </w:r>
      <w:r w:rsidR="00074BC1" w:rsidRPr="00D80603">
        <w:rPr>
          <w:i w:val="0"/>
          <w:iCs/>
        </w:rPr>
        <w:t xml:space="preserve"> 119 </w:t>
      </w:r>
      <w:r w:rsidR="008A78FA" w:rsidRPr="00D80603">
        <w:rPr>
          <w:i w:val="0"/>
          <w:iCs/>
        </w:rPr>
        <w:t>y s</w:t>
      </w:r>
      <w:r w:rsidR="005A6930" w:rsidRPr="00D80603">
        <w:rPr>
          <w:i w:val="0"/>
          <w:iCs/>
        </w:rPr>
        <w:t>s</w:t>
      </w:r>
      <w:r w:rsidR="00074BC1" w:rsidRPr="00D80603">
        <w:rPr>
          <w:i w:val="0"/>
          <w:iCs/>
        </w:rPr>
        <w:t xml:space="preserve">. </w:t>
      </w:r>
    </w:p>
  </w:footnote>
  <w:footnote w:id="38">
    <w:p w14:paraId="7789F447" w14:textId="5BE936B3" w:rsidR="00223E95" w:rsidRPr="00D80603" w:rsidRDefault="00223E95" w:rsidP="00D80603">
      <w:pPr>
        <w:pStyle w:val="Textonotapie"/>
        <w:contextualSpacing w:val="0"/>
        <w:rPr>
          <w:i w:val="0"/>
          <w:iCs/>
          <w:lang w:val="es-ES"/>
        </w:rPr>
      </w:pPr>
      <w:r w:rsidRPr="00D80603">
        <w:rPr>
          <w:rStyle w:val="Refdenotaalpie"/>
          <w:i w:val="0"/>
          <w:iCs/>
        </w:rPr>
        <w:footnoteRef/>
      </w:r>
      <w:r w:rsidRPr="00D80603">
        <w:t xml:space="preserve"> </w:t>
      </w:r>
      <w:r w:rsidR="00203AB5" w:rsidRPr="00D80603">
        <w:tab/>
      </w:r>
      <w:r w:rsidRPr="00D80603">
        <w:t>Cfr. Caso Comunidades indígenas miembros de la Asociación Lhaka Honhat (Nuestra Tierra) Vs. Argentina</w:t>
      </w:r>
      <w:r w:rsidRPr="00D80603">
        <w:rPr>
          <w:rFonts w:cs="Arial"/>
        </w:rPr>
        <w:t xml:space="preserve">, </w:t>
      </w:r>
      <w:r w:rsidR="004346EA" w:rsidRPr="00D80603">
        <w:rPr>
          <w:rFonts w:cs="Arial"/>
        </w:rPr>
        <w:t>supra</w:t>
      </w:r>
      <w:r w:rsidR="004346EA" w:rsidRPr="00D80603">
        <w:rPr>
          <w:rFonts w:cs="Arial"/>
          <w:i w:val="0"/>
          <w:iCs/>
        </w:rPr>
        <w:t xml:space="preserve">, </w:t>
      </w:r>
      <w:r w:rsidRPr="00D80603">
        <w:rPr>
          <w:i w:val="0"/>
          <w:iCs/>
        </w:rPr>
        <w:t>nota. 102;</w:t>
      </w:r>
      <w:r w:rsidRPr="00D80603">
        <w:t xml:space="preserve"> </w:t>
      </w:r>
      <w:r w:rsidRPr="00D80603">
        <w:rPr>
          <w:iCs/>
        </w:rPr>
        <w:t>Caso Pueblo Indígena Xucuru y sus miembros Vs. Brasil</w:t>
      </w:r>
      <w:r w:rsidR="002B7992" w:rsidRPr="00D80603">
        <w:t xml:space="preserve">. Excepciones Preliminares, Fondo, Reparaciones y Costas. </w:t>
      </w:r>
      <w:r w:rsidR="002B7992" w:rsidRPr="00D80603">
        <w:rPr>
          <w:i w:val="0"/>
          <w:iCs/>
        </w:rPr>
        <w:t xml:space="preserve">Sentencia de 5 de febrero de 2018. Serie C No. 346, </w:t>
      </w:r>
      <w:r w:rsidR="002B7992" w:rsidRPr="00D80603">
        <w:t>supra</w:t>
      </w:r>
      <w:r w:rsidR="002B7992" w:rsidRPr="00D80603">
        <w:rPr>
          <w:i w:val="0"/>
          <w:iCs/>
        </w:rPr>
        <w:t>,</w:t>
      </w:r>
      <w:r w:rsidRPr="00D80603">
        <w:rPr>
          <w:i w:val="0"/>
          <w:iCs/>
        </w:rPr>
        <w:t xml:space="preserve"> párr. 196</w:t>
      </w:r>
      <w:r w:rsidRPr="00D80603">
        <w:t xml:space="preserve">; </w:t>
      </w:r>
      <w:r w:rsidRPr="00D80603">
        <w:rPr>
          <w:iCs/>
        </w:rPr>
        <w:t>Caso Pueblos Kaliña y Lokono Vs. Surinam</w:t>
      </w:r>
      <w:r w:rsidR="00377AC5" w:rsidRPr="00D80603">
        <w:rPr>
          <w:i w:val="0"/>
          <w:iCs/>
        </w:rPr>
        <w:t xml:space="preserve">, </w:t>
      </w:r>
      <w:r w:rsidR="00377AC5" w:rsidRPr="00D80603">
        <w:t>supra</w:t>
      </w:r>
      <w:r w:rsidR="00377AC5" w:rsidRPr="00D80603">
        <w:rPr>
          <w:i w:val="0"/>
          <w:iCs/>
        </w:rPr>
        <w:t>,</w:t>
      </w:r>
      <w:r w:rsidRPr="00D80603">
        <w:t xml:space="preserve"> </w:t>
      </w:r>
      <w:r w:rsidRPr="00D80603">
        <w:rPr>
          <w:i w:val="0"/>
          <w:iCs/>
        </w:rPr>
        <w:t>párr. 158</w:t>
      </w:r>
      <w:r w:rsidRPr="00D80603">
        <w:t xml:space="preserve">; </w:t>
      </w:r>
      <w:r w:rsidRPr="00D80603">
        <w:rPr>
          <w:iCs/>
        </w:rPr>
        <w:t>Caso Pueblos Kaliña y Lokono Vs. Surinam</w:t>
      </w:r>
      <w:r w:rsidRPr="00D80603">
        <w:rPr>
          <w:i w:val="0"/>
          <w:iCs/>
        </w:rPr>
        <w:t>,</w:t>
      </w:r>
      <w:r w:rsidR="004346EA" w:rsidRPr="00D80603">
        <w:t xml:space="preserve"> supra</w:t>
      </w:r>
      <w:r w:rsidR="004346EA" w:rsidRPr="00D80603">
        <w:rPr>
          <w:i w:val="0"/>
          <w:iCs/>
        </w:rPr>
        <w:t>,</w:t>
      </w:r>
      <w:r w:rsidRPr="00D80603">
        <w:t xml:space="preserve"> </w:t>
      </w:r>
      <w:r w:rsidRPr="00D80603">
        <w:rPr>
          <w:i w:val="0"/>
          <w:iCs/>
        </w:rPr>
        <w:t>párr. 158</w:t>
      </w:r>
      <w:r w:rsidRPr="00D80603">
        <w:t xml:space="preserve">; </w:t>
      </w:r>
      <w:r w:rsidRPr="00D80603">
        <w:rPr>
          <w:iCs/>
        </w:rPr>
        <w:t>Caso Comunidad Garífuna Triunfo de la Cruz y sus miembros Vs. Honduras</w:t>
      </w:r>
      <w:r w:rsidRPr="00D80603">
        <w:rPr>
          <w:i w:val="0"/>
          <w:iCs/>
        </w:rPr>
        <w:t>,</w:t>
      </w:r>
      <w:r w:rsidR="004346EA" w:rsidRPr="00D80603">
        <w:t xml:space="preserve"> supra</w:t>
      </w:r>
      <w:r w:rsidR="004346EA" w:rsidRPr="00D80603">
        <w:rPr>
          <w:i w:val="0"/>
          <w:iCs/>
        </w:rPr>
        <w:t>,</w:t>
      </w:r>
      <w:r w:rsidRPr="00D80603">
        <w:t xml:space="preserve"> </w:t>
      </w:r>
      <w:r w:rsidRPr="00D80603">
        <w:rPr>
          <w:i w:val="0"/>
          <w:iCs/>
        </w:rPr>
        <w:t>párr. 126</w:t>
      </w:r>
      <w:r w:rsidRPr="00D80603">
        <w:t xml:space="preserve">, y </w:t>
      </w:r>
      <w:r w:rsidRPr="00D80603">
        <w:rPr>
          <w:iCs/>
        </w:rPr>
        <w:t>Caso Comunidad Garífuna de Punta Piedra y sus miembros Vs. Honduras</w:t>
      </w:r>
      <w:r w:rsidR="00BE4CFE" w:rsidRPr="00D80603">
        <w:t>.</w:t>
      </w:r>
      <w:r w:rsidR="00BE4CFE" w:rsidRPr="00D80603">
        <w:rPr>
          <w:i w:val="0"/>
          <w:iCs/>
        </w:rPr>
        <w:t xml:space="preserve"> </w:t>
      </w:r>
      <w:r w:rsidR="00AA1A12" w:rsidRPr="00D80603">
        <w:t xml:space="preserve"> </w:t>
      </w:r>
      <w:r w:rsidR="00D25030" w:rsidRPr="00D80603">
        <w:t xml:space="preserve">Excepciones Preliminares, Fondo, Reparaciones y Costas. </w:t>
      </w:r>
      <w:r w:rsidR="00D25030" w:rsidRPr="00D80603">
        <w:rPr>
          <w:i w:val="0"/>
          <w:iCs/>
        </w:rPr>
        <w:t xml:space="preserve">Sentencia de 8 de octubre de 2015. </w:t>
      </w:r>
      <w:r w:rsidR="00BE4CFE" w:rsidRPr="00D80603">
        <w:rPr>
          <w:i w:val="0"/>
          <w:iCs/>
        </w:rPr>
        <w:t>Serie C No. 304</w:t>
      </w:r>
      <w:r w:rsidR="00AA1A12" w:rsidRPr="00D80603">
        <w:rPr>
          <w:i w:val="0"/>
          <w:iCs/>
        </w:rPr>
        <w:t>,</w:t>
      </w:r>
      <w:r w:rsidRPr="00D80603">
        <w:t xml:space="preserve"> </w:t>
      </w:r>
      <w:r w:rsidRPr="00D80603">
        <w:rPr>
          <w:i w:val="0"/>
          <w:iCs/>
        </w:rPr>
        <w:t>párr. 325.</w:t>
      </w:r>
    </w:p>
  </w:footnote>
  <w:footnote w:id="39">
    <w:p w14:paraId="026D3B69" w14:textId="6272E998" w:rsidR="00223E95" w:rsidRPr="00D80603" w:rsidRDefault="00223E95" w:rsidP="00D80603">
      <w:pPr>
        <w:pStyle w:val="Textonotapie"/>
        <w:contextualSpacing w:val="0"/>
        <w:rPr>
          <w:i w:val="0"/>
          <w:iCs/>
          <w:lang w:val="es-ES"/>
        </w:rPr>
      </w:pPr>
      <w:r w:rsidRPr="00D80603">
        <w:rPr>
          <w:rStyle w:val="Refdenotaalpie"/>
          <w:i w:val="0"/>
          <w:iCs/>
        </w:rPr>
        <w:footnoteRef/>
      </w:r>
      <w:r w:rsidRPr="00D80603">
        <w:rPr>
          <w:i w:val="0"/>
          <w:iCs/>
        </w:rPr>
        <w:t xml:space="preserve"> </w:t>
      </w:r>
      <w:r w:rsidR="00203AB5" w:rsidRPr="00D80603">
        <w:tab/>
      </w:r>
      <w:r w:rsidRPr="00D80603">
        <w:rPr>
          <w:i w:val="0"/>
          <w:iCs/>
        </w:rPr>
        <w:t>El artículo 16 establece: “[…] 3. Siempre que sea posible, estos pueblos deberán tener el derecho de regresar a sus tierras tradicionales en cuanto dejen de existir las causas que motivaron su traslado y reubicación. 4. Cuando el retorno no sea posible, tal como se determine por acuerdo o en ausencia de tales acuerdos, por medio de procedimientos adecuados, dichos pueblos deberán recibir en todos los casos posibles, tierras cuya calidad y cuyo estatuto jurídico sean por lo menos iguales a los de las tierras que ocupaban anteriormente, y que les permitan subvenir a sus necesidades y garantizar su desarrollo futuro. Cuando los pueblos interesados prefieran recibir una indemnización en dinero o en especie, deberá concedérseles dicha indemnización con las garantías apropiadas”.</w:t>
      </w:r>
    </w:p>
  </w:footnote>
  <w:footnote w:id="40">
    <w:p w14:paraId="338CE91C" w14:textId="34209EA5" w:rsidR="00223E95" w:rsidRPr="00D80603" w:rsidRDefault="00223E95" w:rsidP="00D80603">
      <w:pPr>
        <w:pStyle w:val="Textonotapie"/>
        <w:contextualSpacing w:val="0"/>
        <w:rPr>
          <w:lang w:val="es-ES"/>
        </w:rPr>
      </w:pPr>
      <w:r w:rsidRPr="00D80603">
        <w:rPr>
          <w:rStyle w:val="Refdenotaalpie"/>
          <w:i w:val="0"/>
          <w:iCs/>
        </w:rPr>
        <w:footnoteRef/>
      </w:r>
      <w:r w:rsidRPr="00D80603">
        <w:t xml:space="preserve"> </w:t>
      </w:r>
      <w:r w:rsidR="00203AB5" w:rsidRPr="00D80603">
        <w:tab/>
      </w:r>
      <w:r w:rsidRPr="00D80603">
        <w:rPr>
          <w:i w:val="0"/>
          <w:iCs/>
        </w:rPr>
        <w:t>El artículo 28 establece: “1. Los pueblos indígenas tienen derecho a la reparación, por medios que pueden incluir la restitución o, cuando ello no sea posible, una indemnización justa y equitativa por las tierras, los territorios y los recursos que tradicionalmente hayan poseído u ocupado o utilizado y que hayan sido confiscados, tomados, ocupados, utilizados o dañados sin su consentimiento libre, previo e informado. 2. Salvo que los pueblos interesados hayan convenido libremente en otra cosa, la indemnización consistirá en tierras, territorios y recursos de igual calidad, extensión y condición jurídica o en una indemnización monetaria u otra reparación adecuada”. Resolución aprobada por la Asamblea General [sin remisión previa a una Comisión Principal (A/61/L.67 y Add.1) 61/295. Declaración de las Naciones Unidas sobre los derechos de los pueblos indígenas</w:t>
      </w:r>
      <w:r w:rsidRPr="00D80603">
        <w:t>.</w:t>
      </w:r>
    </w:p>
  </w:footnote>
  <w:footnote w:id="41">
    <w:p w14:paraId="3FD7B955" w14:textId="7E2D8A53" w:rsidR="00223E95" w:rsidRPr="00D80603" w:rsidRDefault="00223E95" w:rsidP="00D80603">
      <w:pPr>
        <w:pStyle w:val="Textonotapie"/>
        <w:contextualSpacing w:val="0"/>
        <w:rPr>
          <w:i w:val="0"/>
          <w:iCs/>
          <w:lang w:val="es-ES"/>
        </w:rPr>
      </w:pPr>
      <w:r w:rsidRPr="00D80603">
        <w:rPr>
          <w:rStyle w:val="Refdenotaalpie"/>
          <w:i w:val="0"/>
          <w:iCs/>
        </w:rPr>
        <w:footnoteRef/>
      </w:r>
      <w:r w:rsidRPr="00D80603">
        <w:t xml:space="preserve"> </w:t>
      </w:r>
      <w:r w:rsidR="00203AB5" w:rsidRPr="00D80603">
        <w:tab/>
      </w:r>
      <w:r w:rsidRPr="00D80603">
        <w:rPr>
          <w:i w:val="0"/>
          <w:iCs/>
        </w:rPr>
        <w:t>El artículo XXIX.5 establece: “5. […]Los pueblos indígenas que han sido desposeídos de sus propios medios de subsistencia y desarrollo tienen derecho a la restitución y, cuando no sea posible, a la indemnización justa y equitativa. Esto incluye el derecho a la compensación por cualquier perjuicio que se les haya causado por la ejecución de planes, programas o proyectos del Estado, de organismos financieros internacionales o de empresas privadas”. AG/RES. 2888 (XLVI-O/16) Declaración Americana sobre los Derechos de los Pueblos Indígenas (Aprobada en la segunda sesión plenaria, celebrada el 14 de junio de 2016).</w:t>
      </w:r>
    </w:p>
  </w:footnote>
  <w:footnote w:id="42">
    <w:p w14:paraId="058FD212" w14:textId="09B8A1A5" w:rsidR="0087768E" w:rsidRPr="00D80603" w:rsidRDefault="0087768E" w:rsidP="00D80603">
      <w:pPr>
        <w:pStyle w:val="Textonotapie"/>
        <w:contextualSpacing w:val="0"/>
        <w:rPr>
          <w:i w:val="0"/>
          <w:iCs/>
          <w:lang w:val="es-ES"/>
        </w:rPr>
      </w:pPr>
      <w:r w:rsidRPr="00D80603">
        <w:rPr>
          <w:rStyle w:val="Refdenotaalpie"/>
          <w:i w:val="0"/>
          <w:iCs/>
        </w:rPr>
        <w:footnoteRef/>
      </w:r>
      <w:r w:rsidR="005A6930" w:rsidRPr="00D80603">
        <w:rPr>
          <w:i w:val="0"/>
          <w:iCs/>
        </w:rPr>
        <w:t xml:space="preserve"> </w:t>
      </w:r>
      <w:r w:rsidR="005A6930" w:rsidRPr="00D80603">
        <w:rPr>
          <w:i w:val="0"/>
          <w:iCs/>
        </w:rPr>
        <w:tab/>
      </w:r>
      <w:r w:rsidR="005A6930" w:rsidRPr="00D80603">
        <w:t>Caso Comunidad Garífuna de San Juan y sus Miembros Vs. Hondura</w:t>
      </w:r>
      <w:r w:rsidR="005A6930" w:rsidRPr="00D80603">
        <w:rPr>
          <w:i w:val="0"/>
          <w:iCs/>
        </w:rPr>
        <w:t xml:space="preserve">s, </w:t>
      </w:r>
      <w:r w:rsidR="005A6930" w:rsidRPr="00D80603">
        <w:t>supra</w:t>
      </w:r>
      <w:r w:rsidR="005A6930" w:rsidRPr="00D80603">
        <w:rPr>
          <w:i w:val="0"/>
          <w:iCs/>
        </w:rPr>
        <w:t xml:space="preserve">, </w:t>
      </w:r>
      <w:r w:rsidR="00074BC1" w:rsidRPr="00D80603">
        <w:rPr>
          <w:i w:val="0"/>
          <w:iCs/>
        </w:rPr>
        <w:t xml:space="preserve">párr. 206. </w:t>
      </w:r>
    </w:p>
  </w:footnote>
  <w:footnote w:id="43">
    <w:p w14:paraId="6A56341E" w14:textId="56AE9AD0" w:rsidR="00BC4A78" w:rsidRPr="00D80603" w:rsidRDefault="00BC4A78" w:rsidP="00D80603">
      <w:pPr>
        <w:pStyle w:val="Textonotapie"/>
        <w:contextualSpacing w:val="0"/>
      </w:pPr>
      <w:r w:rsidRPr="00D80603">
        <w:rPr>
          <w:rStyle w:val="Refdenotaalpie"/>
          <w:i w:val="0"/>
          <w:iCs/>
        </w:rPr>
        <w:footnoteRef/>
      </w:r>
      <w:r w:rsidRPr="00D80603">
        <w:t xml:space="preserve"> </w:t>
      </w:r>
      <w:r w:rsidRPr="00D80603">
        <w:tab/>
      </w:r>
      <w:r w:rsidR="000D71D1" w:rsidRPr="00D80603">
        <w:t xml:space="preserve">Cfr. </w:t>
      </w:r>
      <w:r w:rsidRPr="00D80603">
        <w:rPr>
          <w:lang w:val="es-419"/>
        </w:rPr>
        <w:t>Caso Comunidad Garífuna Triunfo de la Cruz y sus miembros Vs. Honduras</w:t>
      </w:r>
      <w:r w:rsidRPr="00D80603">
        <w:rPr>
          <w:i w:val="0"/>
          <w:iCs/>
          <w:lang w:val="es-419"/>
        </w:rPr>
        <w:t xml:space="preserve">, </w:t>
      </w:r>
      <w:r w:rsidR="004346EA" w:rsidRPr="00D80603">
        <w:rPr>
          <w:lang w:val="es-419"/>
        </w:rPr>
        <w:t>supra</w:t>
      </w:r>
      <w:r w:rsidR="004346EA" w:rsidRPr="00D80603">
        <w:rPr>
          <w:i w:val="0"/>
          <w:iCs/>
          <w:lang w:val="es-419"/>
        </w:rPr>
        <w:t xml:space="preserve">, </w:t>
      </w:r>
      <w:r w:rsidRPr="00D80603">
        <w:rPr>
          <w:i w:val="0"/>
          <w:iCs/>
          <w:lang w:val="es-419"/>
        </w:rPr>
        <w:t>p</w:t>
      </w:r>
      <w:r w:rsidR="004346EA" w:rsidRPr="00D80603">
        <w:rPr>
          <w:i w:val="0"/>
          <w:iCs/>
          <w:lang w:val="es-419"/>
        </w:rPr>
        <w:t>á</w:t>
      </w:r>
      <w:r w:rsidRPr="00D80603">
        <w:rPr>
          <w:i w:val="0"/>
          <w:iCs/>
          <w:lang w:val="es-419"/>
        </w:rPr>
        <w:t>r</w:t>
      </w:r>
      <w:r w:rsidR="004346EA" w:rsidRPr="00D80603">
        <w:rPr>
          <w:i w:val="0"/>
          <w:iCs/>
          <w:lang w:val="es-419"/>
        </w:rPr>
        <w:t>r</w:t>
      </w:r>
      <w:r w:rsidRPr="00D80603">
        <w:rPr>
          <w:i w:val="0"/>
          <w:iCs/>
          <w:lang w:val="es-419"/>
        </w:rPr>
        <w:t>. 1</w:t>
      </w:r>
      <w:r w:rsidR="00011D9A" w:rsidRPr="00D80603">
        <w:rPr>
          <w:i w:val="0"/>
          <w:iCs/>
          <w:lang w:val="es-419"/>
        </w:rPr>
        <w:t>28</w:t>
      </w:r>
      <w:r w:rsidRPr="00D80603">
        <w:rPr>
          <w:i w:val="0"/>
          <w:iCs/>
          <w:lang w:val="es-419"/>
        </w:rPr>
        <w:t>.</w:t>
      </w:r>
    </w:p>
  </w:footnote>
  <w:footnote w:id="44">
    <w:p w14:paraId="569393C9" w14:textId="198F2A99" w:rsidR="00536D66" w:rsidRPr="00D80603" w:rsidRDefault="00536D66" w:rsidP="00D80603">
      <w:pPr>
        <w:pStyle w:val="Textonotapie"/>
        <w:contextualSpacing w:val="0"/>
        <w:rPr>
          <w:i w:val="0"/>
          <w:iCs/>
        </w:rPr>
      </w:pPr>
      <w:r w:rsidRPr="00D80603">
        <w:rPr>
          <w:rStyle w:val="Refdenotaalpie"/>
          <w:i w:val="0"/>
          <w:iCs/>
        </w:rPr>
        <w:footnoteRef/>
      </w:r>
      <w:r w:rsidRPr="00D80603">
        <w:rPr>
          <w:i w:val="0"/>
          <w:iCs/>
        </w:rPr>
        <w:t xml:space="preserve"> </w:t>
      </w:r>
      <w:r w:rsidRPr="00D80603">
        <w:rPr>
          <w:i w:val="0"/>
          <w:iCs/>
        </w:rPr>
        <w:tab/>
      </w:r>
      <w:r w:rsidR="005E7766" w:rsidRPr="00D80603">
        <w:t>Cfr</w:t>
      </w:r>
      <w:r w:rsidR="005E7766" w:rsidRPr="00D80603">
        <w:rPr>
          <w:i w:val="0"/>
          <w:iCs/>
        </w:rPr>
        <w:t xml:space="preserve">. </w:t>
      </w:r>
      <w:r w:rsidRPr="00D80603">
        <w:t xml:space="preserve">Caso Pueblos </w:t>
      </w:r>
      <w:proofErr w:type="spellStart"/>
      <w:r w:rsidRPr="00D80603">
        <w:t>Kaliña</w:t>
      </w:r>
      <w:proofErr w:type="spellEnd"/>
      <w:r w:rsidRPr="00D80603">
        <w:t xml:space="preserve"> y </w:t>
      </w:r>
      <w:proofErr w:type="spellStart"/>
      <w:r w:rsidRPr="00D80603">
        <w:t>Lokono</w:t>
      </w:r>
      <w:proofErr w:type="spellEnd"/>
      <w:r w:rsidRPr="00D80603">
        <w:t xml:space="preserve"> Vs. Surinam</w:t>
      </w:r>
      <w:r w:rsidR="00DD3AAF" w:rsidRPr="00D80603">
        <w:t>, supra</w:t>
      </w:r>
      <w:r w:rsidR="00DD3AAF" w:rsidRPr="00D80603">
        <w:rPr>
          <w:i w:val="0"/>
          <w:iCs/>
        </w:rPr>
        <w:t xml:space="preserve">, Capítulo VI. </w:t>
      </w:r>
      <w:r w:rsidR="00527620" w:rsidRPr="00D80603">
        <w:rPr>
          <w:i w:val="0"/>
          <w:iCs/>
        </w:rPr>
        <w:t>1</w:t>
      </w:r>
      <w:r w:rsidR="00241E9A" w:rsidRPr="00D80603">
        <w:rPr>
          <w:i w:val="0"/>
          <w:iCs/>
        </w:rPr>
        <w:t xml:space="preserve">; </w:t>
      </w:r>
      <w:r w:rsidR="00241E9A" w:rsidRPr="00D80603">
        <w:rPr>
          <w:lang w:val="es-ES"/>
        </w:rPr>
        <w:t>Caso Comunidades Indígenas Miembros de la Asociación Lhaka Honhat (Nuestra Tierra) Vs. Argentina</w:t>
      </w:r>
      <w:r w:rsidR="00F3644E" w:rsidRPr="00D80603">
        <w:rPr>
          <w:lang w:val="es-ES"/>
        </w:rPr>
        <w:t>, supra,</w:t>
      </w:r>
      <w:r w:rsidR="00F3644E" w:rsidRPr="00D80603">
        <w:rPr>
          <w:i w:val="0"/>
          <w:iCs/>
          <w:lang w:val="es-ES"/>
        </w:rPr>
        <w:t xml:space="preserve"> Capítulo VII.</w:t>
      </w:r>
      <w:r w:rsidR="00527620" w:rsidRPr="00D80603">
        <w:rPr>
          <w:i w:val="0"/>
          <w:iCs/>
          <w:lang w:val="es-ES"/>
        </w:rPr>
        <w:t>1</w:t>
      </w:r>
      <w:r w:rsidR="00241E9A" w:rsidRPr="00D80603">
        <w:rPr>
          <w:lang w:val="es-ES"/>
        </w:rPr>
        <w:t>;</w:t>
      </w:r>
      <w:r w:rsidR="00241E9A" w:rsidRPr="00D80603">
        <w:rPr>
          <w:i w:val="0"/>
          <w:iCs/>
        </w:rPr>
        <w:t xml:space="preserve"> </w:t>
      </w:r>
      <w:r w:rsidRPr="00D80603">
        <w:t xml:space="preserve">Caso Comunidad Maya Q’eqchi Agua Caliente Vs. </w:t>
      </w:r>
      <w:r w:rsidR="00EC7293" w:rsidRPr="00D80603">
        <w:t>Guatemala</w:t>
      </w:r>
      <w:r w:rsidR="007B4CE7" w:rsidRPr="00D80603">
        <w:t xml:space="preserve">, supra, </w:t>
      </w:r>
      <w:r w:rsidR="007B4CE7" w:rsidRPr="00D80603">
        <w:rPr>
          <w:i w:val="0"/>
          <w:iCs/>
        </w:rPr>
        <w:t>Capítulo VII</w:t>
      </w:r>
      <w:r w:rsidR="00527620" w:rsidRPr="00D80603">
        <w:rPr>
          <w:i w:val="0"/>
          <w:iCs/>
        </w:rPr>
        <w:t>. 2</w:t>
      </w:r>
      <w:r w:rsidR="00AF1529" w:rsidRPr="00D80603">
        <w:rPr>
          <w:i w:val="0"/>
          <w:iCs/>
        </w:rPr>
        <w:t>,</w:t>
      </w:r>
      <w:r w:rsidRPr="00D80603">
        <w:rPr>
          <w:i w:val="0"/>
          <w:iCs/>
        </w:rPr>
        <w:t xml:space="preserve"> y </w:t>
      </w:r>
      <w:r w:rsidRPr="00D80603">
        <w:t>Caso Comunidad Garífuna de San Juan y sus Miembros Vs. Honduras</w:t>
      </w:r>
      <w:r w:rsidRPr="00D80603">
        <w:rPr>
          <w:i w:val="0"/>
          <w:iCs/>
        </w:rPr>
        <w:t>.</w:t>
      </w:r>
      <w:r w:rsidR="005A6930" w:rsidRPr="00D80603">
        <w:t xml:space="preserve"> Excepciones Preliminares, Fondo, Reparaciones y Costas.</w:t>
      </w:r>
      <w:r w:rsidR="005A6930" w:rsidRPr="00D80603">
        <w:rPr>
          <w:i w:val="0"/>
          <w:iCs/>
        </w:rPr>
        <w:t xml:space="preserve"> Sentencia de 29 de agosto de 2023</w:t>
      </w:r>
      <w:r w:rsidR="006B37BF" w:rsidRPr="00D80603">
        <w:rPr>
          <w:i w:val="0"/>
          <w:iCs/>
        </w:rPr>
        <w:t xml:space="preserve">, </w:t>
      </w:r>
      <w:r w:rsidR="006B37BF" w:rsidRPr="00D80603">
        <w:t>supra</w:t>
      </w:r>
      <w:r w:rsidR="006B37BF" w:rsidRPr="00D80603">
        <w:rPr>
          <w:i w:val="0"/>
          <w:iCs/>
        </w:rPr>
        <w:t>, Capítulo VIII. 1</w:t>
      </w:r>
      <w:r w:rsidR="005A6930" w:rsidRPr="00D80603">
        <w:rPr>
          <w:i w:val="0"/>
          <w:iCs/>
        </w:rPr>
        <w:t>.</w:t>
      </w:r>
    </w:p>
  </w:footnote>
  <w:footnote w:id="45">
    <w:p w14:paraId="603C99B0" w14:textId="2EE87412" w:rsidR="00536D66" w:rsidRPr="00D80603" w:rsidRDefault="00CC27D6" w:rsidP="00D80603">
      <w:pPr>
        <w:pStyle w:val="Textonotapie"/>
        <w:contextualSpacing w:val="0"/>
        <w:rPr>
          <w:i w:val="0"/>
          <w:iCs/>
        </w:rPr>
      </w:pPr>
      <w:r w:rsidRPr="00D80603">
        <w:rPr>
          <w:rStyle w:val="Refdenotaalpie"/>
          <w:i w:val="0"/>
          <w:iCs/>
        </w:rPr>
        <w:footnoteRef/>
      </w:r>
      <w:r w:rsidRPr="00D80603">
        <w:rPr>
          <w:i w:val="0"/>
          <w:iCs/>
        </w:rPr>
        <w:t xml:space="preserve"> </w:t>
      </w:r>
      <w:r w:rsidR="00536D66" w:rsidRPr="00D80603">
        <w:rPr>
          <w:i w:val="0"/>
          <w:iCs/>
        </w:rPr>
        <w:tab/>
      </w:r>
      <w:r w:rsidR="005E7766" w:rsidRPr="00D80603">
        <w:t>Cfr</w:t>
      </w:r>
      <w:r w:rsidR="005E7766" w:rsidRPr="00D80603">
        <w:rPr>
          <w:i w:val="0"/>
          <w:iCs/>
        </w:rPr>
        <w:t xml:space="preserve">. </w:t>
      </w:r>
      <w:r w:rsidR="00536D66" w:rsidRPr="00D80603">
        <w:t xml:space="preserve">Caso Comunidad Maya Q’eqchi Agua Caliente Vs. </w:t>
      </w:r>
      <w:r w:rsidR="00EC7293" w:rsidRPr="00D80603">
        <w:t>Guatemala</w:t>
      </w:r>
      <w:r w:rsidR="00572D71" w:rsidRPr="00D80603">
        <w:t xml:space="preserve">, supra, </w:t>
      </w:r>
      <w:r w:rsidR="00572D71" w:rsidRPr="00D80603">
        <w:rPr>
          <w:i w:val="0"/>
          <w:iCs/>
        </w:rPr>
        <w:t xml:space="preserve">Capítulo </w:t>
      </w:r>
      <w:r w:rsidR="005E7766" w:rsidRPr="00D80603">
        <w:rPr>
          <w:i w:val="0"/>
          <w:iCs/>
        </w:rPr>
        <w:t>VIII. 2</w:t>
      </w:r>
      <w:r w:rsidR="007537A7" w:rsidRPr="00D80603">
        <w:rPr>
          <w:i w:val="0"/>
          <w:iCs/>
        </w:rPr>
        <w:t>,</w:t>
      </w:r>
      <w:r w:rsidR="00536D66" w:rsidRPr="00D80603">
        <w:rPr>
          <w:i w:val="0"/>
          <w:iCs/>
        </w:rPr>
        <w:t xml:space="preserve"> y </w:t>
      </w:r>
      <w:r w:rsidR="00536D66" w:rsidRPr="00D80603">
        <w:t>Caso Comunidad Garífuna de San Juan y sus Miembros Vs. Honduras</w:t>
      </w:r>
      <w:r w:rsidR="007537A7" w:rsidRPr="00D80603">
        <w:t>, supra</w:t>
      </w:r>
      <w:r w:rsidR="007537A7" w:rsidRPr="00D80603">
        <w:rPr>
          <w:i w:val="0"/>
          <w:iCs/>
        </w:rPr>
        <w:t>, Capítulo VIII. 1</w:t>
      </w:r>
      <w:r w:rsidR="00536D66" w:rsidRPr="00D80603">
        <w:rPr>
          <w:i w:val="0"/>
          <w:iCs/>
        </w:rPr>
        <w:t>.</w:t>
      </w:r>
      <w:r w:rsidR="005A6930" w:rsidRPr="00D80603">
        <w:t xml:space="preserve"> </w:t>
      </w:r>
    </w:p>
  </w:footnote>
  <w:footnote w:id="46">
    <w:p w14:paraId="0B940C22" w14:textId="4FDC9751" w:rsidR="00215033" w:rsidRPr="00D80603" w:rsidRDefault="00215033" w:rsidP="00D80603">
      <w:pPr>
        <w:pStyle w:val="Textonotapie"/>
        <w:contextualSpacing w:val="0"/>
        <w:rPr>
          <w:i w:val="0"/>
          <w:iCs/>
        </w:rPr>
      </w:pPr>
      <w:r w:rsidRPr="00D80603">
        <w:rPr>
          <w:rStyle w:val="Refdenotaalpie"/>
          <w:i w:val="0"/>
          <w:iCs/>
        </w:rPr>
        <w:footnoteRef/>
      </w:r>
      <w:r w:rsidRPr="00D80603">
        <w:rPr>
          <w:i w:val="0"/>
          <w:iCs/>
        </w:rPr>
        <w:t xml:space="preserve"> </w:t>
      </w:r>
      <w:r w:rsidRPr="00D80603">
        <w:rPr>
          <w:i w:val="0"/>
          <w:iCs/>
        </w:rPr>
        <w:tab/>
      </w:r>
      <w:r w:rsidR="004932A7" w:rsidRPr="00D80603">
        <w:t xml:space="preserve">Cfr. </w:t>
      </w:r>
      <w:r w:rsidR="005A6930" w:rsidRPr="00D80603">
        <w:t>Caso Comunidad Garífuna de San Juan y sus Miembros Vs. Honduras</w:t>
      </w:r>
      <w:r w:rsidR="005A6930" w:rsidRPr="00D80603">
        <w:rPr>
          <w:i w:val="0"/>
          <w:iCs/>
        </w:rPr>
        <w:t>,</w:t>
      </w:r>
      <w:r w:rsidR="005A6930" w:rsidRPr="00D80603">
        <w:t xml:space="preserve"> supra</w:t>
      </w:r>
      <w:r w:rsidR="005A6930" w:rsidRPr="00D80603">
        <w:rPr>
          <w:i w:val="0"/>
          <w:iCs/>
        </w:rPr>
        <w:t>,</w:t>
      </w:r>
      <w:r w:rsidRPr="00D80603">
        <w:rPr>
          <w:i w:val="0"/>
          <w:iCs/>
        </w:rPr>
        <w:t xml:space="preserve"> </w:t>
      </w:r>
      <w:proofErr w:type="spellStart"/>
      <w:r w:rsidRPr="00D80603">
        <w:rPr>
          <w:i w:val="0"/>
          <w:iCs/>
        </w:rPr>
        <w:t>párr</w:t>
      </w:r>
      <w:r w:rsidR="005A6930" w:rsidRPr="00D80603">
        <w:rPr>
          <w:i w:val="0"/>
          <w:iCs/>
        </w:rPr>
        <w:t>s</w:t>
      </w:r>
      <w:proofErr w:type="spellEnd"/>
      <w:r w:rsidR="005A6930" w:rsidRPr="00D80603">
        <w:rPr>
          <w:i w:val="0"/>
          <w:iCs/>
        </w:rPr>
        <w:t xml:space="preserve">. </w:t>
      </w:r>
      <w:r w:rsidRPr="00D80603">
        <w:rPr>
          <w:i w:val="0"/>
          <w:iCs/>
        </w:rPr>
        <w:t>121 y 124.</w:t>
      </w:r>
    </w:p>
  </w:footnote>
  <w:footnote w:id="47">
    <w:p w14:paraId="429561DA" w14:textId="3404F26C" w:rsidR="009549E7" w:rsidRPr="00D80603" w:rsidRDefault="009549E7" w:rsidP="00D80603">
      <w:pPr>
        <w:pStyle w:val="Textonotapie"/>
        <w:contextualSpacing w:val="0"/>
        <w:rPr>
          <w:i w:val="0"/>
          <w:iCs/>
          <w:lang w:val="es-ES"/>
        </w:rPr>
      </w:pPr>
      <w:r w:rsidRPr="00D80603">
        <w:rPr>
          <w:rStyle w:val="Refdenotaalpie"/>
          <w:i w:val="0"/>
          <w:iCs/>
        </w:rPr>
        <w:footnoteRef/>
      </w:r>
      <w:r w:rsidRPr="00D80603">
        <w:t xml:space="preserve"> </w:t>
      </w:r>
      <w:r w:rsidRPr="00D80603">
        <w:rPr>
          <w:lang w:val="es-ES"/>
        </w:rPr>
        <w:tab/>
      </w:r>
      <w:r w:rsidR="005A6930" w:rsidRPr="00D80603">
        <w:t>Caso Comunidad Garífuna de San Juan y sus Miembros Vs. Honduras, supra</w:t>
      </w:r>
      <w:r w:rsidR="005A6930" w:rsidRPr="00D80603">
        <w:rPr>
          <w:i w:val="0"/>
          <w:iCs/>
        </w:rPr>
        <w:t>, p</w:t>
      </w:r>
      <w:proofErr w:type="spellStart"/>
      <w:r w:rsidRPr="00D80603">
        <w:rPr>
          <w:i w:val="0"/>
          <w:iCs/>
          <w:lang w:val="es-ES"/>
        </w:rPr>
        <w:t>árr</w:t>
      </w:r>
      <w:proofErr w:type="spellEnd"/>
      <w:r w:rsidRPr="00D80603">
        <w:rPr>
          <w:i w:val="0"/>
          <w:iCs/>
          <w:lang w:val="es-ES"/>
        </w:rPr>
        <w:t>. 136.</w:t>
      </w:r>
    </w:p>
  </w:footnote>
  <w:footnote w:id="48">
    <w:p w14:paraId="4B52F06A" w14:textId="5916294E" w:rsidR="00082095" w:rsidRPr="00D80603" w:rsidRDefault="00082095" w:rsidP="00D80603">
      <w:pPr>
        <w:pStyle w:val="Textonotapie"/>
        <w:contextualSpacing w:val="0"/>
        <w:rPr>
          <w:i w:val="0"/>
          <w:iCs/>
          <w:lang w:val="es-ES"/>
        </w:rPr>
      </w:pPr>
      <w:r w:rsidRPr="00D80603">
        <w:rPr>
          <w:rStyle w:val="Refdenotaalpie"/>
          <w:i w:val="0"/>
          <w:iCs/>
        </w:rPr>
        <w:footnoteRef/>
      </w:r>
      <w:r w:rsidRPr="00D80603">
        <w:rPr>
          <w:i w:val="0"/>
          <w:iCs/>
        </w:rPr>
        <w:t xml:space="preserve"> </w:t>
      </w:r>
      <w:r w:rsidRPr="00D80603">
        <w:tab/>
      </w:r>
      <w:r w:rsidR="005A6930" w:rsidRPr="00D80603">
        <w:t>Caso Comunidad Garífuna de San Juan y sus Miembros Vs. Honduras</w:t>
      </w:r>
      <w:r w:rsidR="005A6930" w:rsidRPr="00D80603">
        <w:rPr>
          <w:i w:val="0"/>
          <w:iCs/>
        </w:rPr>
        <w:t xml:space="preserve">, </w:t>
      </w:r>
      <w:r w:rsidR="005A6930" w:rsidRPr="00D80603">
        <w:t>supra</w:t>
      </w:r>
      <w:r w:rsidR="005A6930" w:rsidRPr="00D80603">
        <w:rPr>
          <w:i w:val="0"/>
          <w:iCs/>
        </w:rPr>
        <w:t>,</w:t>
      </w:r>
      <w:r w:rsidR="005A6930" w:rsidRPr="00D80603">
        <w:t xml:space="preserve"> </w:t>
      </w:r>
      <w:proofErr w:type="spellStart"/>
      <w:r w:rsidR="005A6930" w:rsidRPr="00D80603">
        <w:rPr>
          <w:i w:val="0"/>
          <w:iCs/>
        </w:rPr>
        <w:t>p</w:t>
      </w:r>
      <w:r w:rsidRPr="00D80603">
        <w:rPr>
          <w:i w:val="0"/>
          <w:iCs/>
        </w:rPr>
        <w:t>árr</w:t>
      </w:r>
      <w:r w:rsidR="003F434E" w:rsidRPr="00D80603">
        <w:rPr>
          <w:i w:val="0"/>
          <w:iCs/>
        </w:rPr>
        <w:t>s</w:t>
      </w:r>
      <w:proofErr w:type="spellEnd"/>
      <w:r w:rsidRPr="00D80603">
        <w:rPr>
          <w:i w:val="0"/>
          <w:iCs/>
        </w:rPr>
        <w:t xml:space="preserve">. 119 </w:t>
      </w:r>
      <w:r w:rsidR="003F434E" w:rsidRPr="00D80603">
        <w:rPr>
          <w:i w:val="0"/>
          <w:iCs/>
        </w:rPr>
        <w:t>y 1</w:t>
      </w:r>
      <w:r w:rsidR="00AF36F0" w:rsidRPr="00D80603">
        <w:rPr>
          <w:i w:val="0"/>
          <w:iCs/>
        </w:rPr>
        <w:t>28</w:t>
      </w:r>
      <w:r w:rsidRPr="00D80603">
        <w:rPr>
          <w:i w:val="0"/>
          <w:iCs/>
        </w:rPr>
        <w:t>.</w:t>
      </w:r>
    </w:p>
  </w:footnote>
  <w:footnote w:id="49">
    <w:p w14:paraId="06D99EC6" w14:textId="1D341CED" w:rsidR="001D7460" w:rsidRPr="00D80603" w:rsidRDefault="001D7460" w:rsidP="00D80603">
      <w:pPr>
        <w:pStyle w:val="Textonotapie"/>
        <w:contextualSpacing w:val="0"/>
        <w:rPr>
          <w:i w:val="0"/>
          <w:iCs/>
          <w:lang w:val="es-ES"/>
        </w:rPr>
      </w:pPr>
      <w:r w:rsidRPr="00D80603">
        <w:rPr>
          <w:rStyle w:val="Refdenotaalpie"/>
          <w:i w:val="0"/>
          <w:iCs/>
        </w:rPr>
        <w:footnoteRef/>
      </w:r>
      <w:r w:rsidRPr="00D80603">
        <w:rPr>
          <w:i w:val="0"/>
          <w:iCs/>
        </w:rPr>
        <w:t xml:space="preserve"> </w:t>
      </w:r>
      <w:r w:rsidRPr="00D80603">
        <w:rPr>
          <w:i w:val="0"/>
          <w:iCs/>
        </w:rPr>
        <w:tab/>
        <w:t xml:space="preserve">Véase voto concurrente de los jueces Eduardo Ferrer Mac-Gregor Poisot y Rodrigo Mudrovitsch, </w:t>
      </w:r>
      <w:r w:rsidRPr="00D80603">
        <w:t xml:space="preserve">Caso Comunidad Maya Q’eqchi Agua Caliente Vs. </w:t>
      </w:r>
      <w:r w:rsidR="00EC7293" w:rsidRPr="00D80603">
        <w:t>Guatemala</w:t>
      </w:r>
      <w:r w:rsidR="00592EF1" w:rsidRPr="00D80603">
        <w:t>, supra</w:t>
      </w:r>
      <w:r w:rsidRPr="00D80603">
        <w:rPr>
          <w:i w:val="0"/>
          <w:iCs/>
        </w:rPr>
        <w:t xml:space="preserve">, </w:t>
      </w:r>
      <w:proofErr w:type="spellStart"/>
      <w:r w:rsidRPr="00D80603">
        <w:rPr>
          <w:i w:val="0"/>
          <w:iCs/>
        </w:rPr>
        <w:t>párrs</w:t>
      </w:r>
      <w:proofErr w:type="spellEnd"/>
      <w:r w:rsidRPr="00D80603">
        <w:rPr>
          <w:i w:val="0"/>
          <w:iCs/>
        </w:rPr>
        <w:t>. 29 y 54.</w:t>
      </w:r>
    </w:p>
  </w:footnote>
  <w:footnote w:id="50">
    <w:p w14:paraId="3C3C2389" w14:textId="72E9612F" w:rsidR="001D5C27" w:rsidRPr="00D80603" w:rsidRDefault="001D5C27" w:rsidP="00D80603">
      <w:pPr>
        <w:pStyle w:val="Textonotapie"/>
        <w:contextualSpacing w:val="0"/>
        <w:rPr>
          <w:i w:val="0"/>
          <w:iCs/>
          <w:lang w:val="es-ES"/>
        </w:rPr>
      </w:pPr>
      <w:r w:rsidRPr="00D80603">
        <w:rPr>
          <w:rStyle w:val="Refdenotaalpie"/>
          <w:i w:val="0"/>
          <w:iCs/>
        </w:rPr>
        <w:footnoteRef/>
      </w:r>
      <w:r w:rsidRPr="00D80603">
        <w:rPr>
          <w:i w:val="0"/>
          <w:iCs/>
        </w:rPr>
        <w:t xml:space="preserve"> </w:t>
      </w:r>
      <w:r w:rsidRPr="00D80603">
        <w:tab/>
      </w:r>
      <w:r w:rsidRPr="00D80603">
        <w:rPr>
          <w:i w:val="0"/>
          <w:iCs/>
        </w:rPr>
        <w:t>Véase, particularmente, el párr. 206 de la sentencia</w:t>
      </w:r>
      <w:r w:rsidR="005A6930" w:rsidRPr="00D80603">
        <w:rPr>
          <w:i w:val="0"/>
          <w:iCs/>
        </w:rPr>
        <w:t xml:space="preserve"> en el </w:t>
      </w:r>
      <w:r w:rsidR="005A6930" w:rsidRPr="00D80603">
        <w:t>Caso Comunidad Garífuna de San Juan y sus Miembros Vs. Honduras</w:t>
      </w:r>
      <w:r w:rsidR="005A6930" w:rsidRPr="00D80603">
        <w:rPr>
          <w:i w:val="0"/>
          <w:iCs/>
        </w:rPr>
        <w:t>.</w:t>
      </w:r>
    </w:p>
  </w:footnote>
  <w:footnote w:id="51">
    <w:p w14:paraId="0306633E" w14:textId="1C548E40" w:rsidR="001D5C27" w:rsidRPr="00D80603" w:rsidRDefault="001D5C27" w:rsidP="00D80603">
      <w:pPr>
        <w:pStyle w:val="Textonotapie"/>
        <w:contextualSpacing w:val="0"/>
        <w:rPr>
          <w:i w:val="0"/>
          <w:iCs/>
          <w:lang w:val="es-ES"/>
        </w:rPr>
      </w:pPr>
      <w:r w:rsidRPr="00D80603">
        <w:rPr>
          <w:rStyle w:val="Refdenotaalpie"/>
          <w:i w:val="0"/>
          <w:iCs/>
        </w:rPr>
        <w:footnoteRef/>
      </w:r>
      <w:r w:rsidRPr="00D80603">
        <w:rPr>
          <w:i w:val="0"/>
          <w:iCs/>
        </w:rPr>
        <w:t xml:space="preserve"> </w:t>
      </w:r>
      <w:r w:rsidRPr="00D80603">
        <w:tab/>
      </w:r>
      <w:r w:rsidR="005A6930" w:rsidRPr="00D80603">
        <w:t>Caso Comunidad Garífuna de San Juan y sus Miembros Vs. Honduras</w:t>
      </w:r>
      <w:r w:rsidR="005A6930" w:rsidRPr="00D80603">
        <w:rPr>
          <w:i w:val="0"/>
          <w:iCs/>
        </w:rPr>
        <w:t xml:space="preserve">, </w:t>
      </w:r>
      <w:proofErr w:type="spellStart"/>
      <w:r w:rsidR="005A6930" w:rsidRPr="00D80603">
        <w:t>supra</w:t>
      </w:r>
      <w:r w:rsidR="005A6930" w:rsidRPr="00D80603">
        <w:rPr>
          <w:i w:val="0"/>
          <w:iCs/>
        </w:rPr>
        <w:t>¸p</w:t>
      </w:r>
      <w:r w:rsidRPr="00D80603">
        <w:rPr>
          <w:i w:val="0"/>
          <w:iCs/>
        </w:rPr>
        <w:t>árrs</w:t>
      </w:r>
      <w:proofErr w:type="spellEnd"/>
      <w:r w:rsidRPr="00D80603">
        <w:rPr>
          <w:i w:val="0"/>
          <w:iCs/>
        </w:rPr>
        <w:t>. 204 y 20</w:t>
      </w:r>
      <w:r w:rsidR="005A6930" w:rsidRPr="00D80603">
        <w:rPr>
          <w:i w:val="0"/>
          <w:iCs/>
        </w:rPr>
        <w:t>7</w:t>
      </w:r>
      <w:r w:rsidRPr="00D80603">
        <w:rPr>
          <w:i w:val="0"/>
          <w:iCs/>
        </w:rPr>
        <w:t>.</w:t>
      </w:r>
    </w:p>
  </w:footnote>
  <w:footnote w:id="52">
    <w:p w14:paraId="5CF53E7C" w14:textId="7A0DCA52" w:rsidR="009F193C" w:rsidRPr="001D5C27" w:rsidRDefault="009F193C" w:rsidP="00D80603">
      <w:pPr>
        <w:pStyle w:val="Textonotapie"/>
        <w:contextualSpacing w:val="0"/>
        <w:rPr>
          <w:i w:val="0"/>
          <w:iCs/>
          <w:lang w:val="es-ES"/>
        </w:rPr>
      </w:pPr>
      <w:r w:rsidRPr="00D80603">
        <w:rPr>
          <w:rStyle w:val="Refdenotaalpie"/>
          <w:i w:val="0"/>
          <w:iCs/>
        </w:rPr>
        <w:footnoteRef/>
      </w:r>
      <w:r w:rsidRPr="00D80603">
        <w:rPr>
          <w:i w:val="0"/>
          <w:iCs/>
        </w:rPr>
        <w:t xml:space="preserve"> </w:t>
      </w:r>
      <w:r w:rsidRPr="00D80603">
        <w:rPr>
          <w:i w:val="0"/>
          <w:iCs/>
        </w:rPr>
        <w:tab/>
        <w:t>Comisión Económica para América Latina y el Caribe (CEPAL)/Fondo para el Desarrollo de los Pueblos Indígenas de América Latina y el Caribe (FILAC), “Los pueblos indígenas de América Latina -Abya Yala y la Agenda 2030 para el Desarrollo Sostenible: tensiones y desafíos desde una perspectiva territorial”, Santiago, 2020, p. 29. Véase, asimismo, el capítulo II: Reconocimiento y protección jurídica de</w:t>
      </w:r>
      <w:r w:rsidR="00BF10F0" w:rsidRPr="00D80603">
        <w:rPr>
          <w:i w:val="0"/>
          <w:iCs/>
        </w:rPr>
        <w:t xml:space="preserve"> </w:t>
      </w:r>
      <w:r w:rsidRPr="00D80603">
        <w:rPr>
          <w:i w:val="0"/>
          <w:iCs/>
        </w:rPr>
        <w:t>los derechos territoriales de los pueblos indígenas en América Latina.</w:t>
      </w:r>
      <w:r>
        <w:rPr>
          <w:i w:val="0"/>
          <w:iCs/>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CA6305"/>
    <w:multiLevelType w:val="hybridMultilevel"/>
    <w:tmpl w:val="FD08D3E2"/>
    <w:lvl w:ilvl="0" w:tplc="04160013">
      <w:start w:val="1"/>
      <w:numFmt w:val="upperRoman"/>
      <w:lvlText w:val="%1."/>
      <w:lvlJc w:val="right"/>
      <w:pPr>
        <w:ind w:left="1080" w:hanging="360"/>
      </w:pPr>
    </w:lvl>
    <w:lvl w:ilvl="1" w:tplc="04160019">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 w15:restartNumberingAfterBreak="0">
    <w:nsid w:val="31070D2B"/>
    <w:multiLevelType w:val="hybridMultilevel"/>
    <w:tmpl w:val="7CD6AB62"/>
    <w:lvl w:ilvl="0" w:tplc="3BC8CACC">
      <w:start w:val="1"/>
      <w:numFmt w:val="upperRoman"/>
      <w:lvlText w:val="%1."/>
      <w:lvlJc w:val="left"/>
      <w:pPr>
        <w:ind w:left="1080" w:hanging="72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 w15:restartNumberingAfterBreak="0">
    <w:nsid w:val="3D9131FF"/>
    <w:multiLevelType w:val="hybridMultilevel"/>
    <w:tmpl w:val="84646B14"/>
    <w:lvl w:ilvl="0" w:tplc="040A000F">
      <w:start w:val="60"/>
      <w:numFmt w:val="decimal"/>
      <w:lvlText w:val="%1."/>
      <w:lvlJc w:val="left"/>
      <w:pPr>
        <w:ind w:left="927" w:hanging="360"/>
      </w:pPr>
      <w:rPr>
        <w:rFonts w:hint="default"/>
        <w:i w:val="0"/>
      </w:rPr>
    </w:lvl>
    <w:lvl w:ilvl="1" w:tplc="040A0019" w:tentative="1">
      <w:start w:val="1"/>
      <w:numFmt w:val="lowerLetter"/>
      <w:lvlText w:val="%2."/>
      <w:lvlJc w:val="left"/>
      <w:pPr>
        <w:ind w:left="1647" w:hanging="360"/>
      </w:pPr>
    </w:lvl>
    <w:lvl w:ilvl="2" w:tplc="040A001B" w:tentative="1">
      <w:start w:val="1"/>
      <w:numFmt w:val="lowerRoman"/>
      <w:lvlText w:val="%3."/>
      <w:lvlJc w:val="right"/>
      <w:pPr>
        <w:ind w:left="2367" w:hanging="180"/>
      </w:pPr>
    </w:lvl>
    <w:lvl w:ilvl="3" w:tplc="040A000F" w:tentative="1">
      <w:start w:val="1"/>
      <w:numFmt w:val="decimal"/>
      <w:lvlText w:val="%4."/>
      <w:lvlJc w:val="left"/>
      <w:pPr>
        <w:ind w:left="3087" w:hanging="360"/>
      </w:pPr>
    </w:lvl>
    <w:lvl w:ilvl="4" w:tplc="040A0019" w:tentative="1">
      <w:start w:val="1"/>
      <w:numFmt w:val="lowerLetter"/>
      <w:lvlText w:val="%5."/>
      <w:lvlJc w:val="left"/>
      <w:pPr>
        <w:ind w:left="3807" w:hanging="360"/>
      </w:pPr>
    </w:lvl>
    <w:lvl w:ilvl="5" w:tplc="040A001B" w:tentative="1">
      <w:start w:val="1"/>
      <w:numFmt w:val="lowerRoman"/>
      <w:lvlText w:val="%6."/>
      <w:lvlJc w:val="right"/>
      <w:pPr>
        <w:ind w:left="4527" w:hanging="180"/>
      </w:pPr>
    </w:lvl>
    <w:lvl w:ilvl="6" w:tplc="040A000F" w:tentative="1">
      <w:start w:val="1"/>
      <w:numFmt w:val="decimal"/>
      <w:lvlText w:val="%7."/>
      <w:lvlJc w:val="left"/>
      <w:pPr>
        <w:ind w:left="5247" w:hanging="360"/>
      </w:pPr>
    </w:lvl>
    <w:lvl w:ilvl="7" w:tplc="040A0019" w:tentative="1">
      <w:start w:val="1"/>
      <w:numFmt w:val="lowerLetter"/>
      <w:lvlText w:val="%8."/>
      <w:lvlJc w:val="left"/>
      <w:pPr>
        <w:ind w:left="5967" w:hanging="360"/>
      </w:pPr>
    </w:lvl>
    <w:lvl w:ilvl="8" w:tplc="040A001B" w:tentative="1">
      <w:start w:val="1"/>
      <w:numFmt w:val="lowerRoman"/>
      <w:lvlText w:val="%9."/>
      <w:lvlJc w:val="right"/>
      <w:pPr>
        <w:ind w:left="6687" w:hanging="180"/>
      </w:pPr>
    </w:lvl>
  </w:abstractNum>
  <w:abstractNum w:abstractNumId="3" w15:restartNumberingAfterBreak="0">
    <w:nsid w:val="4680677E"/>
    <w:multiLevelType w:val="hybridMultilevel"/>
    <w:tmpl w:val="CDEC6B88"/>
    <w:lvl w:ilvl="0" w:tplc="9F8C4C36">
      <w:start w:val="1"/>
      <w:numFmt w:val="decimal"/>
      <w:lvlText w:val="%1."/>
      <w:lvlJc w:val="left"/>
      <w:pPr>
        <w:ind w:left="360" w:hanging="360"/>
      </w:pPr>
      <w:rPr>
        <w:b w:val="0"/>
        <w:bCs w:val="0"/>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 w15:restartNumberingAfterBreak="0">
    <w:nsid w:val="4CCD1B5F"/>
    <w:multiLevelType w:val="hybridMultilevel"/>
    <w:tmpl w:val="14D696B0"/>
    <w:lvl w:ilvl="0" w:tplc="47282242">
      <w:start w:val="1"/>
      <w:numFmt w:val="decimal"/>
      <w:lvlText w:val="%1."/>
      <w:lvlJc w:val="left"/>
      <w:pPr>
        <w:ind w:left="2062" w:hanging="360"/>
      </w:pPr>
      <w:rPr>
        <w:rFonts w:ascii="Verdana" w:eastAsia="Batang" w:hAnsi="Verdana" w:cs="Times"/>
        <w:b w:val="0"/>
        <w:i w:val="0"/>
        <w:strike w:val="0"/>
        <w:color w:val="auto"/>
        <w:sz w:val="20"/>
        <w:szCs w:val="20"/>
        <w:lang w:val="es-ES_tradnl"/>
      </w:rPr>
    </w:lvl>
    <w:lvl w:ilvl="1" w:tplc="60BEF894">
      <w:start w:val="1"/>
      <w:numFmt w:val="decimal"/>
      <w:lvlText w:val="%2)"/>
      <w:lvlJc w:val="left"/>
      <w:pPr>
        <w:ind w:left="2204" w:hanging="360"/>
      </w:pPr>
      <w:rPr>
        <w:rFonts w:hint="default"/>
      </w:rPr>
    </w:lvl>
    <w:lvl w:ilvl="2" w:tplc="140A001B">
      <w:start w:val="1"/>
      <w:numFmt w:val="lowerRoman"/>
      <w:lvlText w:val="%3."/>
      <w:lvlJc w:val="right"/>
      <w:pPr>
        <w:ind w:left="3114" w:hanging="360"/>
      </w:pPr>
      <w:rPr>
        <w:rFonts w:hint="default"/>
      </w:rPr>
    </w:lvl>
    <w:lvl w:ilvl="3" w:tplc="F50C6474">
      <w:start w:val="1"/>
      <w:numFmt w:val="lowerLetter"/>
      <w:lvlText w:val="%4)"/>
      <w:lvlJc w:val="left"/>
      <w:pPr>
        <w:ind w:left="3654" w:hanging="360"/>
      </w:pPr>
      <w:rPr>
        <w:rFonts w:hint="default"/>
      </w:rPr>
    </w:lvl>
    <w:lvl w:ilvl="4" w:tplc="86144CC8">
      <w:start w:val="7"/>
      <w:numFmt w:val="decimal"/>
      <w:lvlText w:val="%5"/>
      <w:lvlJc w:val="left"/>
      <w:pPr>
        <w:ind w:left="4374" w:hanging="360"/>
      </w:pPr>
      <w:rPr>
        <w:rFonts w:hint="default"/>
        <w:i/>
      </w:rPr>
    </w:lvl>
    <w:lvl w:ilvl="5" w:tplc="0C0A001B" w:tentative="1">
      <w:start w:val="1"/>
      <w:numFmt w:val="lowerRoman"/>
      <w:lvlText w:val="%6."/>
      <w:lvlJc w:val="right"/>
      <w:pPr>
        <w:ind w:left="5094" w:hanging="180"/>
      </w:pPr>
    </w:lvl>
    <w:lvl w:ilvl="6" w:tplc="0C0A000F" w:tentative="1">
      <w:start w:val="1"/>
      <w:numFmt w:val="decimal"/>
      <w:lvlText w:val="%7."/>
      <w:lvlJc w:val="left"/>
      <w:pPr>
        <w:ind w:left="5814" w:hanging="360"/>
      </w:pPr>
    </w:lvl>
    <w:lvl w:ilvl="7" w:tplc="0C0A0019" w:tentative="1">
      <w:start w:val="1"/>
      <w:numFmt w:val="lowerLetter"/>
      <w:lvlText w:val="%8."/>
      <w:lvlJc w:val="left"/>
      <w:pPr>
        <w:ind w:left="6534" w:hanging="360"/>
      </w:pPr>
    </w:lvl>
    <w:lvl w:ilvl="8" w:tplc="0C0A001B" w:tentative="1">
      <w:start w:val="1"/>
      <w:numFmt w:val="lowerRoman"/>
      <w:lvlText w:val="%9."/>
      <w:lvlJc w:val="right"/>
      <w:pPr>
        <w:ind w:left="7254" w:hanging="180"/>
      </w:pPr>
    </w:lvl>
  </w:abstractNum>
  <w:abstractNum w:abstractNumId="5" w15:restartNumberingAfterBreak="0">
    <w:nsid w:val="79FE52DC"/>
    <w:multiLevelType w:val="hybridMultilevel"/>
    <w:tmpl w:val="87DEC22E"/>
    <w:lvl w:ilvl="0" w:tplc="F3E8ACC4">
      <w:start w:val="1"/>
      <w:numFmt w:val="decimal"/>
      <w:lvlText w:val="%1."/>
      <w:lvlJc w:val="left"/>
      <w:pPr>
        <w:ind w:left="720" w:hanging="720"/>
      </w:pPr>
      <w:rPr>
        <w:rFonts w:hint="default"/>
        <w:b w:val="0"/>
        <w:bCs w:val="0"/>
        <w:i w:val="0"/>
        <w:iCs w:val="0"/>
        <w:strike w:val="0"/>
      </w:rPr>
    </w:lvl>
    <w:lvl w:ilvl="1" w:tplc="04160019">
      <w:start w:val="1"/>
      <w:numFmt w:val="lowerLetter"/>
      <w:lvlText w:val="%2."/>
      <w:lvlJc w:val="left"/>
      <w:pPr>
        <w:ind w:left="1440" w:hanging="360"/>
      </w:pPr>
    </w:lvl>
    <w:lvl w:ilvl="2" w:tplc="D5883DAE">
      <w:numFmt w:val="bullet"/>
      <w:lvlText w:val=""/>
      <w:lvlJc w:val="left"/>
      <w:pPr>
        <w:ind w:left="2340" w:hanging="360"/>
      </w:pPr>
      <w:rPr>
        <w:rFonts w:ascii="Symbol" w:eastAsia="Verdana" w:hAnsi="Symbol" w:cs="Times New Roman" w:hint="default"/>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165127975">
    <w:abstractNumId w:val="3"/>
  </w:num>
  <w:num w:numId="2" w16cid:durableId="2089231082">
    <w:abstractNumId w:val="5"/>
  </w:num>
  <w:num w:numId="3" w16cid:durableId="773549614">
    <w:abstractNumId w:val="4"/>
  </w:num>
  <w:num w:numId="4" w16cid:durableId="1067143126">
    <w:abstractNumId w:val="1"/>
  </w:num>
  <w:num w:numId="5" w16cid:durableId="43137752">
    <w:abstractNumId w:val="0"/>
  </w:num>
  <w:num w:numId="6" w16cid:durableId="9397979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716"/>
    <w:rsid w:val="00000C8F"/>
    <w:rsid w:val="00010B7E"/>
    <w:rsid w:val="00011D9A"/>
    <w:rsid w:val="00016EF9"/>
    <w:rsid w:val="00017FEA"/>
    <w:rsid w:val="00040128"/>
    <w:rsid w:val="00040CC7"/>
    <w:rsid w:val="00056A83"/>
    <w:rsid w:val="000614CC"/>
    <w:rsid w:val="00067D26"/>
    <w:rsid w:val="00072D0B"/>
    <w:rsid w:val="00074BC1"/>
    <w:rsid w:val="000762EA"/>
    <w:rsid w:val="00077418"/>
    <w:rsid w:val="00082095"/>
    <w:rsid w:val="00087C3B"/>
    <w:rsid w:val="00087DD1"/>
    <w:rsid w:val="00087E6D"/>
    <w:rsid w:val="0009131C"/>
    <w:rsid w:val="000B445A"/>
    <w:rsid w:val="000B6C55"/>
    <w:rsid w:val="000C7188"/>
    <w:rsid w:val="000D1042"/>
    <w:rsid w:val="000D71D1"/>
    <w:rsid w:val="000E1565"/>
    <w:rsid w:val="000E39D5"/>
    <w:rsid w:val="000E7604"/>
    <w:rsid w:val="000F2A11"/>
    <w:rsid w:val="0010230B"/>
    <w:rsid w:val="001066B3"/>
    <w:rsid w:val="00112F4D"/>
    <w:rsid w:val="00113DAA"/>
    <w:rsid w:val="00115E95"/>
    <w:rsid w:val="00117999"/>
    <w:rsid w:val="00122145"/>
    <w:rsid w:val="0014325C"/>
    <w:rsid w:val="00144CE0"/>
    <w:rsid w:val="00162644"/>
    <w:rsid w:val="0016412A"/>
    <w:rsid w:val="0016707D"/>
    <w:rsid w:val="001A074A"/>
    <w:rsid w:val="001A4967"/>
    <w:rsid w:val="001B3E58"/>
    <w:rsid w:val="001D5C27"/>
    <w:rsid w:val="001D7460"/>
    <w:rsid w:val="001E1AEC"/>
    <w:rsid w:val="001E6557"/>
    <w:rsid w:val="001F365D"/>
    <w:rsid w:val="001F41AE"/>
    <w:rsid w:val="001F5A88"/>
    <w:rsid w:val="00202DBC"/>
    <w:rsid w:val="00203AB5"/>
    <w:rsid w:val="0020540A"/>
    <w:rsid w:val="002078CB"/>
    <w:rsid w:val="00215033"/>
    <w:rsid w:val="00223E95"/>
    <w:rsid w:val="002278D1"/>
    <w:rsid w:val="00241E9A"/>
    <w:rsid w:val="00251C10"/>
    <w:rsid w:val="0027192A"/>
    <w:rsid w:val="002723E0"/>
    <w:rsid w:val="0028352C"/>
    <w:rsid w:val="00287DA2"/>
    <w:rsid w:val="002A04A9"/>
    <w:rsid w:val="002B7992"/>
    <w:rsid w:val="002D4FFE"/>
    <w:rsid w:val="002D72B4"/>
    <w:rsid w:val="002E117A"/>
    <w:rsid w:val="002E55F5"/>
    <w:rsid w:val="002F6DCE"/>
    <w:rsid w:val="002F7D14"/>
    <w:rsid w:val="00305816"/>
    <w:rsid w:val="00337E9D"/>
    <w:rsid w:val="00346332"/>
    <w:rsid w:val="00347166"/>
    <w:rsid w:val="00363769"/>
    <w:rsid w:val="00365E82"/>
    <w:rsid w:val="0037264A"/>
    <w:rsid w:val="003779FB"/>
    <w:rsid w:val="00377AC5"/>
    <w:rsid w:val="003903F5"/>
    <w:rsid w:val="00391467"/>
    <w:rsid w:val="00393D78"/>
    <w:rsid w:val="0039487D"/>
    <w:rsid w:val="003A184C"/>
    <w:rsid w:val="003C6187"/>
    <w:rsid w:val="003C7AA6"/>
    <w:rsid w:val="003F434E"/>
    <w:rsid w:val="003F46D3"/>
    <w:rsid w:val="003F5109"/>
    <w:rsid w:val="00402497"/>
    <w:rsid w:val="00406877"/>
    <w:rsid w:val="00414FDA"/>
    <w:rsid w:val="004239A2"/>
    <w:rsid w:val="00425001"/>
    <w:rsid w:val="004346EA"/>
    <w:rsid w:val="0043677B"/>
    <w:rsid w:val="00442914"/>
    <w:rsid w:val="00452884"/>
    <w:rsid w:val="00472545"/>
    <w:rsid w:val="004764CB"/>
    <w:rsid w:val="004932A7"/>
    <w:rsid w:val="004B0059"/>
    <w:rsid w:val="004B2F96"/>
    <w:rsid w:val="004C5439"/>
    <w:rsid w:val="004D2E85"/>
    <w:rsid w:val="004D3CB7"/>
    <w:rsid w:val="004D60DE"/>
    <w:rsid w:val="004E4140"/>
    <w:rsid w:val="004F095E"/>
    <w:rsid w:val="00527620"/>
    <w:rsid w:val="00536D66"/>
    <w:rsid w:val="005479F7"/>
    <w:rsid w:val="005604FB"/>
    <w:rsid w:val="00561887"/>
    <w:rsid w:val="00570B79"/>
    <w:rsid w:val="005728EF"/>
    <w:rsid w:val="00572D71"/>
    <w:rsid w:val="00587742"/>
    <w:rsid w:val="00592EF1"/>
    <w:rsid w:val="005A6862"/>
    <w:rsid w:val="005A6930"/>
    <w:rsid w:val="005C2C8B"/>
    <w:rsid w:val="005C5263"/>
    <w:rsid w:val="005C527D"/>
    <w:rsid w:val="005E7766"/>
    <w:rsid w:val="00615455"/>
    <w:rsid w:val="00620E65"/>
    <w:rsid w:val="00621B23"/>
    <w:rsid w:val="00626716"/>
    <w:rsid w:val="00636531"/>
    <w:rsid w:val="0063700A"/>
    <w:rsid w:val="00637937"/>
    <w:rsid w:val="0064055A"/>
    <w:rsid w:val="006446A2"/>
    <w:rsid w:val="006452D3"/>
    <w:rsid w:val="00652451"/>
    <w:rsid w:val="00655C28"/>
    <w:rsid w:val="00656341"/>
    <w:rsid w:val="00683FB2"/>
    <w:rsid w:val="00686781"/>
    <w:rsid w:val="00691304"/>
    <w:rsid w:val="00691B6F"/>
    <w:rsid w:val="00694B57"/>
    <w:rsid w:val="006B148F"/>
    <w:rsid w:val="006B25E9"/>
    <w:rsid w:val="006B37BF"/>
    <w:rsid w:val="006C7B03"/>
    <w:rsid w:val="006D03AF"/>
    <w:rsid w:val="006D0738"/>
    <w:rsid w:val="0070001D"/>
    <w:rsid w:val="00710023"/>
    <w:rsid w:val="007107AA"/>
    <w:rsid w:val="007257B5"/>
    <w:rsid w:val="007353BA"/>
    <w:rsid w:val="00735682"/>
    <w:rsid w:val="007371FE"/>
    <w:rsid w:val="00742020"/>
    <w:rsid w:val="007461EC"/>
    <w:rsid w:val="007537A7"/>
    <w:rsid w:val="00756320"/>
    <w:rsid w:val="00764E07"/>
    <w:rsid w:val="00767647"/>
    <w:rsid w:val="007807CC"/>
    <w:rsid w:val="007816D8"/>
    <w:rsid w:val="00782A46"/>
    <w:rsid w:val="00783164"/>
    <w:rsid w:val="00792504"/>
    <w:rsid w:val="007959E0"/>
    <w:rsid w:val="007B0F31"/>
    <w:rsid w:val="007B4CE7"/>
    <w:rsid w:val="007B5FBA"/>
    <w:rsid w:val="007C1BD5"/>
    <w:rsid w:val="007E449D"/>
    <w:rsid w:val="00802483"/>
    <w:rsid w:val="0080386E"/>
    <w:rsid w:val="00810648"/>
    <w:rsid w:val="00821CE7"/>
    <w:rsid w:val="008227A7"/>
    <w:rsid w:val="00831DE1"/>
    <w:rsid w:val="008330C2"/>
    <w:rsid w:val="00833A77"/>
    <w:rsid w:val="00850460"/>
    <w:rsid w:val="008516D1"/>
    <w:rsid w:val="00856033"/>
    <w:rsid w:val="008609DC"/>
    <w:rsid w:val="00866996"/>
    <w:rsid w:val="0087768E"/>
    <w:rsid w:val="008A78FA"/>
    <w:rsid w:val="008B3427"/>
    <w:rsid w:val="008B421C"/>
    <w:rsid w:val="008C4D9D"/>
    <w:rsid w:val="008E4781"/>
    <w:rsid w:val="008F7F78"/>
    <w:rsid w:val="009375FA"/>
    <w:rsid w:val="00942ACB"/>
    <w:rsid w:val="009549E7"/>
    <w:rsid w:val="00956A10"/>
    <w:rsid w:val="00961450"/>
    <w:rsid w:val="00963BEE"/>
    <w:rsid w:val="00970737"/>
    <w:rsid w:val="00980D43"/>
    <w:rsid w:val="00982FE5"/>
    <w:rsid w:val="009838F1"/>
    <w:rsid w:val="009842AF"/>
    <w:rsid w:val="009A048F"/>
    <w:rsid w:val="009C343D"/>
    <w:rsid w:val="009F193C"/>
    <w:rsid w:val="009F451E"/>
    <w:rsid w:val="00A005A1"/>
    <w:rsid w:val="00A66F09"/>
    <w:rsid w:val="00A71A68"/>
    <w:rsid w:val="00A90E1F"/>
    <w:rsid w:val="00AA1A12"/>
    <w:rsid w:val="00AB13C3"/>
    <w:rsid w:val="00AB1D8C"/>
    <w:rsid w:val="00AC224E"/>
    <w:rsid w:val="00AC656F"/>
    <w:rsid w:val="00AD13BE"/>
    <w:rsid w:val="00AD7CFE"/>
    <w:rsid w:val="00AE12D7"/>
    <w:rsid w:val="00AF1529"/>
    <w:rsid w:val="00AF32AD"/>
    <w:rsid w:val="00AF36F0"/>
    <w:rsid w:val="00B02F80"/>
    <w:rsid w:val="00B042A9"/>
    <w:rsid w:val="00B3445F"/>
    <w:rsid w:val="00B46235"/>
    <w:rsid w:val="00B47F79"/>
    <w:rsid w:val="00B61E09"/>
    <w:rsid w:val="00B72A11"/>
    <w:rsid w:val="00B83A7D"/>
    <w:rsid w:val="00B93E0E"/>
    <w:rsid w:val="00BA20E4"/>
    <w:rsid w:val="00BA3360"/>
    <w:rsid w:val="00BA5736"/>
    <w:rsid w:val="00BA7E2A"/>
    <w:rsid w:val="00BB7F24"/>
    <w:rsid w:val="00BC13C6"/>
    <w:rsid w:val="00BC4A78"/>
    <w:rsid w:val="00BC5E30"/>
    <w:rsid w:val="00BD52B5"/>
    <w:rsid w:val="00BE4CFE"/>
    <w:rsid w:val="00BF10F0"/>
    <w:rsid w:val="00C047E9"/>
    <w:rsid w:val="00C057B0"/>
    <w:rsid w:val="00C0723F"/>
    <w:rsid w:val="00C24F57"/>
    <w:rsid w:val="00C25749"/>
    <w:rsid w:val="00C25BE4"/>
    <w:rsid w:val="00C26EDB"/>
    <w:rsid w:val="00C304AC"/>
    <w:rsid w:val="00C379F3"/>
    <w:rsid w:val="00C57322"/>
    <w:rsid w:val="00C65181"/>
    <w:rsid w:val="00C755B4"/>
    <w:rsid w:val="00C87B7D"/>
    <w:rsid w:val="00C901AB"/>
    <w:rsid w:val="00C91B81"/>
    <w:rsid w:val="00CA19C3"/>
    <w:rsid w:val="00CA2B70"/>
    <w:rsid w:val="00CB1303"/>
    <w:rsid w:val="00CB7B49"/>
    <w:rsid w:val="00CB7FE3"/>
    <w:rsid w:val="00CC27D6"/>
    <w:rsid w:val="00CC521B"/>
    <w:rsid w:val="00CC689B"/>
    <w:rsid w:val="00CF1D69"/>
    <w:rsid w:val="00D24E22"/>
    <w:rsid w:val="00D25030"/>
    <w:rsid w:val="00D46940"/>
    <w:rsid w:val="00D51D65"/>
    <w:rsid w:val="00D54A9C"/>
    <w:rsid w:val="00D6716F"/>
    <w:rsid w:val="00D70966"/>
    <w:rsid w:val="00D75A35"/>
    <w:rsid w:val="00D80603"/>
    <w:rsid w:val="00DC39A8"/>
    <w:rsid w:val="00DD3AAF"/>
    <w:rsid w:val="00DF6379"/>
    <w:rsid w:val="00DF7CD1"/>
    <w:rsid w:val="00E02196"/>
    <w:rsid w:val="00E03999"/>
    <w:rsid w:val="00E11431"/>
    <w:rsid w:val="00E17425"/>
    <w:rsid w:val="00E31315"/>
    <w:rsid w:val="00E410DE"/>
    <w:rsid w:val="00E46441"/>
    <w:rsid w:val="00E47FE6"/>
    <w:rsid w:val="00E542CB"/>
    <w:rsid w:val="00E75E0F"/>
    <w:rsid w:val="00E83793"/>
    <w:rsid w:val="00E85198"/>
    <w:rsid w:val="00E964D2"/>
    <w:rsid w:val="00EA4DE0"/>
    <w:rsid w:val="00EA6798"/>
    <w:rsid w:val="00EB5C1F"/>
    <w:rsid w:val="00EC7293"/>
    <w:rsid w:val="00ED6989"/>
    <w:rsid w:val="00EE0679"/>
    <w:rsid w:val="00EE6FFF"/>
    <w:rsid w:val="00EF24A7"/>
    <w:rsid w:val="00F160FB"/>
    <w:rsid w:val="00F3644E"/>
    <w:rsid w:val="00F41365"/>
    <w:rsid w:val="00F41E24"/>
    <w:rsid w:val="00F465E6"/>
    <w:rsid w:val="00F51826"/>
    <w:rsid w:val="00F53FCB"/>
    <w:rsid w:val="00F6001E"/>
    <w:rsid w:val="00F673B3"/>
    <w:rsid w:val="00F70CC7"/>
    <w:rsid w:val="00F7306B"/>
    <w:rsid w:val="00F73E48"/>
    <w:rsid w:val="00F84C77"/>
    <w:rsid w:val="00F9274C"/>
    <w:rsid w:val="00FA1AD6"/>
    <w:rsid w:val="00FA77A2"/>
    <w:rsid w:val="00FB068A"/>
    <w:rsid w:val="00FB2B2E"/>
    <w:rsid w:val="00FC2EFC"/>
    <w:rsid w:val="00FC6710"/>
    <w:rsid w:val="00FE0FA3"/>
    <w:rsid w:val="00FE4EC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DED0A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s-MX"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Prrafodelista"/>
    <w:next w:val="Normal"/>
    <w:link w:val="Ttulo1Car"/>
    <w:uiPriority w:val="9"/>
    <w:qFormat/>
    <w:rsid w:val="00414FDA"/>
    <w:pPr>
      <w:ind w:left="360" w:right="48"/>
      <w:jc w:val="center"/>
      <w:outlineLvl w:val="0"/>
    </w:pPr>
    <w:rPr>
      <w:rFonts w:ascii="Verdana" w:eastAsia="Times New Roman" w:hAnsi="Verdana" w:cs="Times New Roman"/>
      <w:b/>
      <w:kern w:val="0"/>
      <w:sz w:val="20"/>
      <w:szCs w:val="20"/>
      <w:lang w:val="es-ES_tradnl"/>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List Paragraph1,Colorful List - Accent 11,Párrafo de lista1,List Paragraph2,Lista vistosa - Énfasis 11,Subtle Emphasis1,Footnote1,List Paragraph11,Parrafos,Medium Grid 1 - Accent 21,Colorful List - Accent 12,List Paragraph"/>
    <w:basedOn w:val="Normal"/>
    <w:link w:val="PrrafodelistaCar"/>
    <w:uiPriority w:val="34"/>
    <w:qFormat/>
    <w:rsid w:val="00626716"/>
    <w:pPr>
      <w:ind w:left="720"/>
      <w:contextualSpacing/>
    </w:pPr>
  </w:style>
  <w:style w:type="paragraph" w:styleId="Textonotapie">
    <w:name w:val="footnote text"/>
    <w:aliases w:val="Footnote Text Char Char Char Char Char,Footnote Text Char Char Char Char,Footnote reference,FA Fu,Footnote Text Char Char Char,footnote text,Footnote Text Cha,FA Fußnotentext,FA Fuﬂnotentext,Footnote Text Char Char,Car,Ca,C,ft,5"/>
    <w:basedOn w:val="Normal"/>
    <w:link w:val="TextonotapieCar"/>
    <w:unhideWhenUsed/>
    <w:qFormat/>
    <w:rsid w:val="00626716"/>
    <w:pPr>
      <w:pBdr>
        <w:top w:val="nil"/>
        <w:left w:val="nil"/>
        <w:bottom w:val="nil"/>
        <w:right w:val="nil"/>
        <w:between w:val="nil"/>
      </w:pBdr>
      <w:tabs>
        <w:tab w:val="left" w:pos="567"/>
      </w:tabs>
      <w:spacing w:before="120" w:after="120"/>
      <w:ind w:right="48"/>
      <w:contextualSpacing/>
      <w:jc w:val="both"/>
    </w:pPr>
    <w:rPr>
      <w:rFonts w:ascii="Verdana" w:eastAsia="Verdana" w:hAnsi="Verdana" w:cs="Verdana"/>
      <w:i/>
      <w:color w:val="000000"/>
      <w:kern w:val="0"/>
      <w:sz w:val="16"/>
      <w:szCs w:val="16"/>
      <w:lang w:val="es-ES_tradnl"/>
      <w14:ligatures w14:val="none"/>
    </w:rPr>
  </w:style>
  <w:style w:type="character" w:customStyle="1" w:styleId="TextonotapieCar">
    <w:name w:val="Texto nota pie Car"/>
    <w:aliases w:val="Footnote Text Char Char Char Char Char Car,Footnote Text Char Char Char Char Car,Footnote reference Car,FA Fu Car,Footnote Text Char Char Char Car,footnote text Car,Footnote Text Cha Car,FA Fußnotentext Car,FA Fuﬂnotentext Car,Car Car"/>
    <w:basedOn w:val="Fuentedeprrafopredeter"/>
    <w:link w:val="Textonotapie"/>
    <w:qFormat/>
    <w:rsid w:val="00626716"/>
    <w:rPr>
      <w:rFonts w:ascii="Verdana" w:eastAsia="Verdana" w:hAnsi="Verdana" w:cs="Verdana"/>
      <w:i/>
      <w:color w:val="000000"/>
      <w:kern w:val="0"/>
      <w:sz w:val="16"/>
      <w:szCs w:val="16"/>
      <w:lang w:val="es-ES_tradnl"/>
      <w14:ligatures w14:val="none"/>
    </w:rPr>
  </w:style>
  <w:style w:type="character" w:styleId="Refdenotaalpie">
    <w:name w:val="footnote reference"/>
    <w:aliases w:val="Footnotes refss,Texto de nota al pie,Appel note de bas de page,Footnote number,referencia nota al pie,BVI fnr,f,Ref. de nota al pie.,4_G,16 Point,Superscript 6 Point,Footnote symbol,Footnote,Texto nota al pie"/>
    <w:basedOn w:val="Fuentedeprrafopredeter"/>
    <w:link w:val="FootnotesrefssChar1Char"/>
    <w:uiPriority w:val="99"/>
    <w:unhideWhenUsed/>
    <w:qFormat/>
    <w:rsid w:val="00626716"/>
    <w:rPr>
      <w:vertAlign w:val="superscript"/>
    </w:rPr>
  </w:style>
  <w:style w:type="paragraph" w:customStyle="1" w:styleId="FootnotesrefssChar1Char">
    <w:name w:val="Footnotes refss Char1 Char"/>
    <w:aliases w:val="Texto de nota al pie Char1 Char,Appel note de bas de page Char1 Char,Footnote number Char1 Char,referencia nota al pie Char1 Char,BVI fnr Char1 Char,f Char1 Char,4_G Char1 Char,16 Point Char1 Char"/>
    <w:basedOn w:val="Textonotapie"/>
    <w:link w:val="Refdenotaalpie"/>
    <w:autoRedefine/>
    <w:uiPriority w:val="99"/>
    <w:qFormat/>
    <w:rsid w:val="00626716"/>
    <w:rPr>
      <w:rFonts w:asciiTheme="minorHAnsi" w:eastAsiaTheme="minorHAnsi" w:hAnsiTheme="minorHAnsi" w:cstheme="minorBidi"/>
      <w:i w:val="0"/>
      <w:color w:val="auto"/>
      <w:kern w:val="2"/>
      <w:sz w:val="24"/>
      <w:szCs w:val="24"/>
      <w:vertAlign w:val="superscript"/>
      <w:lang w:val="es-MX"/>
      <w14:ligatures w14:val="standardContextual"/>
    </w:rPr>
  </w:style>
  <w:style w:type="character" w:customStyle="1" w:styleId="PrrafodelistaCar">
    <w:name w:val="Párrafo de lista Car"/>
    <w:aliases w:val="List Paragraph1 Car,Colorful List - Accent 11 Car,Párrafo de lista1 Car,List Paragraph2 Car,Lista vistosa - Énfasis 11 Car,Subtle Emphasis1 Car,Footnote1 Car,List Paragraph11 Car,Parrafos Car,Medium Grid 1 - Accent 21 Car"/>
    <w:basedOn w:val="Fuentedeprrafopredeter"/>
    <w:link w:val="Prrafodelista"/>
    <w:uiPriority w:val="34"/>
    <w:locked/>
    <w:rsid w:val="00626716"/>
  </w:style>
  <w:style w:type="paragraph" w:styleId="Ttulo">
    <w:name w:val="Title"/>
    <w:basedOn w:val="Normal"/>
    <w:link w:val="TtuloCar"/>
    <w:qFormat/>
    <w:rsid w:val="00626716"/>
    <w:pPr>
      <w:jc w:val="center"/>
    </w:pPr>
    <w:rPr>
      <w:rFonts w:ascii="Times New Roman" w:eastAsia="Times New Roman" w:hAnsi="Times New Roman" w:cs="Times New Roman"/>
      <w:b/>
      <w:kern w:val="0"/>
      <w:szCs w:val="20"/>
      <w:lang w:val="es-CO" w:eastAsia="es-MX"/>
      <w14:ligatures w14:val="none"/>
    </w:rPr>
  </w:style>
  <w:style w:type="character" w:customStyle="1" w:styleId="TtuloCar">
    <w:name w:val="Título Car"/>
    <w:basedOn w:val="Fuentedeprrafopredeter"/>
    <w:link w:val="Ttulo"/>
    <w:rsid w:val="00626716"/>
    <w:rPr>
      <w:rFonts w:ascii="Times New Roman" w:eastAsia="Times New Roman" w:hAnsi="Times New Roman" w:cs="Times New Roman"/>
      <w:b/>
      <w:kern w:val="0"/>
      <w:szCs w:val="20"/>
      <w:lang w:val="es-CO" w:eastAsia="es-MX"/>
      <w14:ligatures w14:val="none"/>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uiPriority w:val="99"/>
    <w:qFormat/>
    <w:rsid w:val="00FA1AD6"/>
    <w:rPr>
      <w:kern w:val="0"/>
      <w:vertAlign w:val="superscript"/>
      <w:lang w:val="es-CR"/>
      <w14:ligatures w14:val="none"/>
    </w:rPr>
  </w:style>
  <w:style w:type="character" w:styleId="Refdecomentario">
    <w:name w:val="annotation reference"/>
    <w:basedOn w:val="Fuentedeprrafopredeter"/>
    <w:uiPriority w:val="99"/>
    <w:semiHidden/>
    <w:unhideWhenUsed/>
    <w:rsid w:val="006B25E9"/>
    <w:rPr>
      <w:sz w:val="16"/>
      <w:szCs w:val="16"/>
    </w:rPr>
  </w:style>
  <w:style w:type="paragraph" w:styleId="Textocomentario">
    <w:name w:val="annotation text"/>
    <w:basedOn w:val="Normal"/>
    <w:link w:val="TextocomentarioCar"/>
    <w:uiPriority w:val="99"/>
    <w:unhideWhenUsed/>
    <w:rsid w:val="006B25E9"/>
    <w:rPr>
      <w:sz w:val="20"/>
      <w:szCs w:val="20"/>
    </w:rPr>
  </w:style>
  <w:style w:type="character" w:customStyle="1" w:styleId="TextocomentarioCar">
    <w:name w:val="Texto comentario Car"/>
    <w:basedOn w:val="Fuentedeprrafopredeter"/>
    <w:link w:val="Textocomentario"/>
    <w:uiPriority w:val="99"/>
    <w:rsid w:val="006B25E9"/>
    <w:rPr>
      <w:sz w:val="20"/>
      <w:szCs w:val="20"/>
    </w:rPr>
  </w:style>
  <w:style w:type="paragraph" w:styleId="Asuntodelcomentario">
    <w:name w:val="annotation subject"/>
    <w:basedOn w:val="Textocomentario"/>
    <w:next w:val="Textocomentario"/>
    <w:link w:val="AsuntodelcomentarioCar"/>
    <w:uiPriority w:val="99"/>
    <w:semiHidden/>
    <w:unhideWhenUsed/>
    <w:rsid w:val="006B25E9"/>
    <w:rPr>
      <w:b/>
      <w:bCs/>
    </w:rPr>
  </w:style>
  <w:style w:type="character" w:customStyle="1" w:styleId="AsuntodelcomentarioCar">
    <w:name w:val="Asunto del comentario Car"/>
    <w:basedOn w:val="TextocomentarioCar"/>
    <w:link w:val="Asuntodelcomentario"/>
    <w:uiPriority w:val="99"/>
    <w:semiHidden/>
    <w:rsid w:val="006B25E9"/>
    <w:rPr>
      <w:b/>
      <w:bCs/>
      <w:sz w:val="20"/>
      <w:szCs w:val="20"/>
    </w:rPr>
  </w:style>
  <w:style w:type="paragraph" w:styleId="NormalWeb">
    <w:name w:val="Normal (Web)"/>
    <w:basedOn w:val="Normal"/>
    <w:uiPriority w:val="99"/>
    <w:unhideWhenUsed/>
    <w:rsid w:val="00AF32AD"/>
    <w:pPr>
      <w:spacing w:before="100" w:beforeAutospacing="1" w:after="100" w:afterAutospacing="1"/>
    </w:pPr>
    <w:rPr>
      <w:rFonts w:ascii="Times New Roman" w:eastAsia="Times New Roman" w:hAnsi="Times New Roman" w:cs="Times New Roman"/>
      <w:kern w:val="0"/>
      <w:lang w:eastAsia="es-MX"/>
      <w14:ligatures w14:val="none"/>
    </w:rPr>
  </w:style>
  <w:style w:type="character" w:customStyle="1" w:styleId="TextonotapieCar1">
    <w:name w:val="Texto nota pie Car1"/>
    <w:aliases w:val="2. Footnote Text Car,Footnote Tesina Car,FA Fu Car1,Footnote Text Char Char Char Char Char Car1,Footnote Text Char Char Char Char Car1,Footnote reference Car1,Footnote Text Char Char Char Car1,Footnote Text Cha Car1,Ca Car1,C Car"/>
    <w:basedOn w:val="Fuentedeprrafopredeter"/>
    <w:qFormat/>
    <w:rsid w:val="00223E95"/>
    <w:rPr>
      <w:rFonts w:ascii="Verdana" w:eastAsia="Batang" w:hAnsi="Verdana" w:cs="Times"/>
      <w:noProof/>
      <w:sz w:val="16"/>
      <w:szCs w:val="20"/>
      <w:lang w:val="es-ES_tradnl"/>
    </w:rPr>
  </w:style>
  <w:style w:type="character" w:customStyle="1" w:styleId="apple-converted-space">
    <w:name w:val="apple-converted-space"/>
    <w:basedOn w:val="Fuentedeprrafopredeter"/>
    <w:rsid w:val="00AB1D8C"/>
  </w:style>
  <w:style w:type="character" w:customStyle="1" w:styleId="Ttulo1Car">
    <w:name w:val="Título 1 Car"/>
    <w:basedOn w:val="Fuentedeprrafopredeter"/>
    <w:link w:val="Ttulo1"/>
    <w:uiPriority w:val="9"/>
    <w:rsid w:val="00414FDA"/>
    <w:rPr>
      <w:rFonts w:ascii="Verdana" w:eastAsia="Times New Roman" w:hAnsi="Verdana" w:cs="Times New Roman"/>
      <w:b/>
      <w:kern w:val="0"/>
      <w:sz w:val="20"/>
      <w:szCs w:val="20"/>
      <w:lang w:val="es-ES_tradnl"/>
      <w14:ligatures w14:val="none"/>
    </w:rPr>
  </w:style>
  <w:style w:type="paragraph" w:styleId="Piedepgina">
    <w:name w:val="footer"/>
    <w:basedOn w:val="Normal"/>
    <w:link w:val="PiedepginaCar"/>
    <w:uiPriority w:val="99"/>
    <w:unhideWhenUsed/>
    <w:rsid w:val="002278D1"/>
    <w:pPr>
      <w:tabs>
        <w:tab w:val="center" w:pos="4252"/>
        <w:tab w:val="right" w:pos="8504"/>
      </w:tabs>
    </w:pPr>
  </w:style>
  <w:style w:type="character" w:customStyle="1" w:styleId="PiedepginaCar">
    <w:name w:val="Pie de página Car"/>
    <w:basedOn w:val="Fuentedeprrafopredeter"/>
    <w:link w:val="Piedepgina"/>
    <w:uiPriority w:val="99"/>
    <w:rsid w:val="002278D1"/>
  </w:style>
  <w:style w:type="character" w:styleId="Nmerodepgina">
    <w:name w:val="page number"/>
    <w:basedOn w:val="Fuentedeprrafopredeter"/>
    <w:uiPriority w:val="99"/>
    <w:semiHidden/>
    <w:unhideWhenUsed/>
    <w:rsid w:val="002278D1"/>
  </w:style>
  <w:style w:type="paragraph" w:styleId="Revisin">
    <w:name w:val="Revision"/>
    <w:hidden/>
    <w:uiPriority w:val="99"/>
    <w:semiHidden/>
    <w:rsid w:val="00AB13C3"/>
  </w:style>
  <w:style w:type="paragraph" w:styleId="Encabezado">
    <w:name w:val="header"/>
    <w:basedOn w:val="Normal"/>
    <w:link w:val="EncabezadoCar"/>
    <w:uiPriority w:val="99"/>
    <w:unhideWhenUsed/>
    <w:rsid w:val="00202DBC"/>
    <w:pPr>
      <w:tabs>
        <w:tab w:val="center" w:pos="4252"/>
        <w:tab w:val="right" w:pos="8504"/>
      </w:tabs>
    </w:pPr>
  </w:style>
  <w:style w:type="character" w:customStyle="1" w:styleId="EncabezadoCar">
    <w:name w:val="Encabezado Car"/>
    <w:basedOn w:val="Fuentedeprrafopredeter"/>
    <w:link w:val="Encabezado"/>
    <w:uiPriority w:val="99"/>
    <w:rsid w:val="00202D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801537">
      <w:bodyDiv w:val="1"/>
      <w:marLeft w:val="0"/>
      <w:marRight w:val="0"/>
      <w:marTop w:val="0"/>
      <w:marBottom w:val="0"/>
      <w:divBdr>
        <w:top w:val="none" w:sz="0" w:space="0" w:color="auto"/>
        <w:left w:val="none" w:sz="0" w:space="0" w:color="auto"/>
        <w:bottom w:val="none" w:sz="0" w:space="0" w:color="auto"/>
        <w:right w:val="none" w:sz="0" w:space="0" w:color="auto"/>
      </w:divBdr>
      <w:divsChild>
        <w:div w:id="1785151930">
          <w:marLeft w:val="0"/>
          <w:marRight w:val="0"/>
          <w:marTop w:val="0"/>
          <w:marBottom w:val="0"/>
          <w:divBdr>
            <w:top w:val="none" w:sz="0" w:space="0" w:color="auto"/>
            <w:left w:val="none" w:sz="0" w:space="0" w:color="auto"/>
            <w:bottom w:val="none" w:sz="0" w:space="0" w:color="auto"/>
            <w:right w:val="none" w:sz="0" w:space="0" w:color="auto"/>
          </w:divBdr>
          <w:divsChild>
            <w:div w:id="360515998">
              <w:marLeft w:val="0"/>
              <w:marRight w:val="0"/>
              <w:marTop w:val="0"/>
              <w:marBottom w:val="0"/>
              <w:divBdr>
                <w:top w:val="none" w:sz="0" w:space="0" w:color="auto"/>
                <w:left w:val="none" w:sz="0" w:space="0" w:color="auto"/>
                <w:bottom w:val="none" w:sz="0" w:space="0" w:color="auto"/>
                <w:right w:val="none" w:sz="0" w:space="0" w:color="auto"/>
              </w:divBdr>
              <w:divsChild>
                <w:div w:id="494031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1590425">
      <w:bodyDiv w:val="1"/>
      <w:marLeft w:val="0"/>
      <w:marRight w:val="0"/>
      <w:marTop w:val="0"/>
      <w:marBottom w:val="0"/>
      <w:divBdr>
        <w:top w:val="none" w:sz="0" w:space="0" w:color="auto"/>
        <w:left w:val="none" w:sz="0" w:space="0" w:color="auto"/>
        <w:bottom w:val="none" w:sz="0" w:space="0" w:color="auto"/>
        <w:right w:val="none" w:sz="0" w:space="0" w:color="auto"/>
      </w:divBdr>
      <w:divsChild>
        <w:div w:id="1927107116">
          <w:marLeft w:val="0"/>
          <w:marRight w:val="0"/>
          <w:marTop w:val="0"/>
          <w:marBottom w:val="0"/>
          <w:divBdr>
            <w:top w:val="none" w:sz="0" w:space="0" w:color="auto"/>
            <w:left w:val="none" w:sz="0" w:space="0" w:color="auto"/>
            <w:bottom w:val="none" w:sz="0" w:space="0" w:color="auto"/>
            <w:right w:val="none" w:sz="0" w:space="0" w:color="auto"/>
          </w:divBdr>
          <w:divsChild>
            <w:div w:id="1986276371">
              <w:marLeft w:val="0"/>
              <w:marRight w:val="0"/>
              <w:marTop w:val="0"/>
              <w:marBottom w:val="0"/>
              <w:divBdr>
                <w:top w:val="none" w:sz="0" w:space="0" w:color="auto"/>
                <w:left w:val="none" w:sz="0" w:space="0" w:color="auto"/>
                <w:bottom w:val="none" w:sz="0" w:space="0" w:color="auto"/>
                <w:right w:val="none" w:sz="0" w:space="0" w:color="auto"/>
              </w:divBdr>
              <w:divsChild>
                <w:div w:id="1885872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5802423">
      <w:bodyDiv w:val="1"/>
      <w:marLeft w:val="0"/>
      <w:marRight w:val="0"/>
      <w:marTop w:val="0"/>
      <w:marBottom w:val="0"/>
      <w:divBdr>
        <w:top w:val="none" w:sz="0" w:space="0" w:color="auto"/>
        <w:left w:val="none" w:sz="0" w:space="0" w:color="auto"/>
        <w:bottom w:val="none" w:sz="0" w:space="0" w:color="auto"/>
        <w:right w:val="none" w:sz="0" w:space="0" w:color="auto"/>
      </w:divBdr>
      <w:divsChild>
        <w:div w:id="1840390832">
          <w:marLeft w:val="0"/>
          <w:marRight w:val="0"/>
          <w:marTop w:val="0"/>
          <w:marBottom w:val="0"/>
          <w:divBdr>
            <w:top w:val="none" w:sz="0" w:space="0" w:color="auto"/>
            <w:left w:val="none" w:sz="0" w:space="0" w:color="auto"/>
            <w:bottom w:val="none" w:sz="0" w:space="0" w:color="auto"/>
            <w:right w:val="none" w:sz="0" w:space="0" w:color="auto"/>
          </w:divBdr>
          <w:divsChild>
            <w:div w:id="1333679923">
              <w:marLeft w:val="0"/>
              <w:marRight w:val="0"/>
              <w:marTop w:val="0"/>
              <w:marBottom w:val="0"/>
              <w:divBdr>
                <w:top w:val="none" w:sz="0" w:space="0" w:color="auto"/>
                <w:left w:val="none" w:sz="0" w:space="0" w:color="auto"/>
                <w:bottom w:val="none" w:sz="0" w:space="0" w:color="auto"/>
                <w:right w:val="none" w:sz="0" w:space="0" w:color="auto"/>
              </w:divBdr>
              <w:divsChild>
                <w:div w:id="4406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139701">
      <w:bodyDiv w:val="1"/>
      <w:marLeft w:val="0"/>
      <w:marRight w:val="0"/>
      <w:marTop w:val="0"/>
      <w:marBottom w:val="0"/>
      <w:divBdr>
        <w:top w:val="none" w:sz="0" w:space="0" w:color="auto"/>
        <w:left w:val="none" w:sz="0" w:space="0" w:color="auto"/>
        <w:bottom w:val="none" w:sz="0" w:space="0" w:color="auto"/>
        <w:right w:val="none" w:sz="0" w:space="0" w:color="auto"/>
      </w:divBdr>
      <w:divsChild>
        <w:div w:id="730273893">
          <w:marLeft w:val="0"/>
          <w:marRight w:val="0"/>
          <w:marTop w:val="0"/>
          <w:marBottom w:val="0"/>
          <w:divBdr>
            <w:top w:val="none" w:sz="0" w:space="0" w:color="auto"/>
            <w:left w:val="none" w:sz="0" w:space="0" w:color="auto"/>
            <w:bottom w:val="none" w:sz="0" w:space="0" w:color="auto"/>
            <w:right w:val="none" w:sz="0" w:space="0" w:color="auto"/>
          </w:divBdr>
          <w:divsChild>
            <w:div w:id="1022324124">
              <w:marLeft w:val="0"/>
              <w:marRight w:val="0"/>
              <w:marTop w:val="0"/>
              <w:marBottom w:val="0"/>
              <w:divBdr>
                <w:top w:val="none" w:sz="0" w:space="0" w:color="auto"/>
                <w:left w:val="none" w:sz="0" w:space="0" w:color="auto"/>
                <w:bottom w:val="none" w:sz="0" w:space="0" w:color="auto"/>
                <w:right w:val="none" w:sz="0" w:space="0" w:color="auto"/>
              </w:divBdr>
              <w:divsChild>
                <w:div w:id="2095397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F012E0-81B7-4EAF-8796-92AE43A13B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7229</Words>
  <Characters>39761</Characters>
  <Application>Microsoft Office Word</Application>
  <DocSecurity>0</DocSecurity>
  <Lines>331</Lines>
  <Paragraphs>93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2023-12-14T21:18:00Z</dcterms:created>
  <dcterms:modified xsi:type="dcterms:W3CDTF">2023-12-14T21:18:00Z</dcterms:modified>
</cp:coreProperties>
</file>