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ED15" w14:textId="2FB0EA75" w:rsidR="008F258C" w:rsidRPr="00756B84" w:rsidRDefault="008F258C" w:rsidP="00756B84">
      <w:pPr>
        <w:jc w:val="both"/>
        <w:rPr>
          <w:rFonts w:ascii="Verdana" w:hAnsi="Verdana" w:cs="Times New Roman"/>
          <w:b/>
          <w:bCs/>
          <w:sz w:val="20"/>
          <w:szCs w:val="20"/>
        </w:rPr>
      </w:pPr>
    </w:p>
    <w:p w14:paraId="502F92D4" w14:textId="77777777" w:rsidR="008F258C" w:rsidRPr="00756B84" w:rsidRDefault="008F258C" w:rsidP="00756B84">
      <w:pPr>
        <w:jc w:val="center"/>
        <w:rPr>
          <w:rFonts w:ascii="Verdana" w:hAnsi="Verdana" w:cs="Times New Roman"/>
          <w:b/>
          <w:bCs/>
          <w:sz w:val="20"/>
          <w:szCs w:val="20"/>
        </w:rPr>
      </w:pPr>
    </w:p>
    <w:p w14:paraId="0443A168" w14:textId="020335B2" w:rsidR="002C55F7" w:rsidRPr="00756B84" w:rsidRDefault="002C55F7" w:rsidP="00756B84">
      <w:pPr>
        <w:jc w:val="center"/>
        <w:rPr>
          <w:rFonts w:ascii="Verdana" w:hAnsi="Verdana" w:cs="Times New Roman"/>
          <w:b/>
          <w:bCs/>
          <w:sz w:val="20"/>
          <w:szCs w:val="20"/>
        </w:rPr>
      </w:pPr>
      <w:r w:rsidRPr="00756B84">
        <w:rPr>
          <w:rFonts w:ascii="Verdana" w:hAnsi="Verdana" w:cs="Times New Roman"/>
          <w:b/>
          <w:bCs/>
          <w:sz w:val="20"/>
          <w:szCs w:val="20"/>
        </w:rPr>
        <w:t xml:space="preserve">VOTO </w:t>
      </w:r>
      <w:r w:rsidR="00A512D4" w:rsidRPr="00756B84">
        <w:rPr>
          <w:rFonts w:ascii="Verdana" w:hAnsi="Verdana" w:cs="Times New Roman"/>
          <w:b/>
          <w:bCs/>
          <w:sz w:val="20"/>
          <w:szCs w:val="20"/>
        </w:rPr>
        <w:t>P</w:t>
      </w:r>
      <w:r w:rsidR="00AC6B0E" w:rsidRPr="00756B84">
        <w:rPr>
          <w:rFonts w:ascii="Verdana" w:hAnsi="Verdana" w:cs="Times New Roman"/>
          <w:b/>
          <w:bCs/>
          <w:sz w:val="20"/>
          <w:szCs w:val="20"/>
        </w:rPr>
        <w:t xml:space="preserve">ARCIALMENTE DISIDENTE </w:t>
      </w:r>
      <w:r w:rsidRPr="00756B84">
        <w:rPr>
          <w:rFonts w:ascii="Verdana" w:hAnsi="Verdana" w:cs="Times New Roman"/>
          <w:b/>
          <w:bCs/>
          <w:sz w:val="20"/>
          <w:szCs w:val="20"/>
        </w:rPr>
        <w:t>DE LA</w:t>
      </w:r>
    </w:p>
    <w:p w14:paraId="40A93CB7" w14:textId="77777777" w:rsidR="002776E7" w:rsidRPr="00756B84" w:rsidRDefault="002776E7" w:rsidP="00756B84">
      <w:pPr>
        <w:jc w:val="center"/>
        <w:rPr>
          <w:rFonts w:ascii="Verdana" w:hAnsi="Verdana" w:cs="Times New Roman"/>
          <w:b/>
          <w:bCs/>
          <w:sz w:val="20"/>
          <w:szCs w:val="20"/>
        </w:rPr>
      </w:pPr>
    </w:p>
    <w:p w14:paraId="3193B9D2" w14:textId="7C2F6024" w:rsidR="002C55F7" w:rsidRPr="00756B84" w:rsidRDefault="002C55F7" w:rsidP="00756B84">
      <w:pPr>
        <w:jc w:val="center"/>
        <w:rPr>
          <w:rFonts w:ascii="Verdana" w:hAnsi="Verdana" w:cs="Times New Roman"/>
          <w:b/>
          <w:bCs/>
          <w:sz w:val="20"/>
          <w:szCs w:val="20"/>
        </w:rPr>
      </w:pPr>
      <w:r w:rsidRPr="00756B84">
        <w:rPr>
          <w:rFonts w:ascii="Verdana" w:hAnsi="Verdana" w:cs="Times New Roman"/>
          <w:b/>
          <w:bCs/>
          <w:sz w:val="20"/>
          <w:szCs w:val="20"/>
        </w:rPr>
        <w:t>JUEZA PATRICIA P</w:t>
      </w:r>
      <w:r w:rsidR="00756B84" w:rsidRPr="00756B84">
        <w:rPr>
          <w:rFonts w:ascii="Verdana" w:hAnsi="Verdana" w:cs="Times New Roman"/>
          <w:b/>
          <w:bCs/>
          <w:sz w:val="20"/>
          <w:szCs w:val="20"/>
        </w:rPr>
        <w:t>É</w:t>
      </w:r>
      <w:r w:rsidRPr="00756B84">
        <w:rPr>
          <w:rFonts w:ascii="Verdana" w:hAnsi="Verdana" w:cs="Times New Roman"/>
          <w:b/>
          <w:bCs/>
          <w:sz w:val="20"/>
          <w:szCs w:val="20"/>
        </w:rPr>
        <w:t>REZ GOLDBERG</w:t>
      </w:r>
    </w:p>
    <w:p w14:paraId="0B4C791F" w14:textId="77777777" w:rsidR="002C55F7" w:rsidRPr="00756B84" w:rsidRDefault="002C55F7" w:rsidP="00756B84">
      <w:pPr>
        <w:jc w:val="center"/>
        <w:rPr>
          <w:rFonts w:ascii="Verdana" w:hAnsi="Verdana" w:cs="Times New Roman"/>
          <w:b/>
          <w:bCs/>
          <w:sz w:val="20"/>
          <w:szCs w:val="20"/>
        </w:rPr>
      </w:pPr>
    </w:p>
    <w:p w14:paraId="0FCF46D9" w14:textId="77777777" w:rsidR="002C55F7" w:rsidRPr="00756B84" w:rsidRDefault="002C55F7" w:rsidP="00756B84">
      <w:pPr>
        <w:jc w:val="center"/>
        <w:rPr>
          <w:rFonts w:ascii="Verdana" w:hAnsi="Verdana" w:cs="Times New Roman"/>
          <w:b/>
          <w:bCs/>
          <w:sz w:val="20"/>
          <w:szCs w:val="20"/>
        </w:rPr>
      </w:pPr>
      <w:r w:rsidRPr="00756B84">
        <w:rPr>
          <w:rFonts w:ascii="Verdana" w:hAnsi="Verdana" w:cs="Times New Roman"/>
          <w:b/>
          <w:bCs/>
          <w:sz w:val="20"/>
          <w:szCs w:val="20"/>
        </w:rPr>
        <w:t>CORTE INTERAMERICANA DE DERECHOS HUMANOS</w:t>
      </w:r>
    </w:p>
    <w:p w14:paraId="1DDDA93B" w14:textId="77777777" w:rsidR="002C55F7" w:rsidRPr="00756B84" w:rsidRDefault="002C55F7" w:rsidP="00756B84">
      <w:pPr>
        <w:jc w:val="center"/>
        <w:rPr>
          <w:rFonts w:ascii="Verdana" w:hAnsi="Verdana" w:cs="Times New Roman"/>
          <w:b/>
          <w:bCs/>
          <w:sz w:val="20"/>
          <w:szCs w:val="20"/>
        </w:rPr>
      </w:pPr>
    </w:p>
    <w:p w14:paraId="5BB21153" w14:textId="677243A4" w:rsidR="002C55F7" w:rsidRPr="00756B84" w:rsidRDefault="002C55F7" w:rsidP="00756B84">
      <w:pPr>
        <w:jc w:val="center"/>
        <w:rPr>
          <w:rFonts w:ascii="Verdana" w:hAnsi="Verdana" w:cs="Times New Roman"/>
          <w:b/>
          <w:bCs/>
          <w:sz w:val="20"/>
          <w:szCs w:val="20"/>
        </w:rPr>
      </w:pPr>
      <w:r w:rsidRPr="00756B84">
        <w:rPr>
          <w:rFonts w:ascii="Verdana" w:hAnsi="Verdana" w:cs="Times New Roman"/>
          <w:b/>
          <w:bCs/>
          <w:sz w:val="20"/>
          <w:szCs w:val="20"/>
        </w:rPr>
        <w:t xml:space="preserve">CASO </w:t>
      </w:r>
      <w:r w:rsidR="00B654B8" w:rsidRPr="00756B84">
        <w:rPr>
          <w:rFonts w:ascii="Verdana" w:hAnsi="Verdana" w:cs="Times New Roman"/>
          <w:b/>
          <w:bCs/>
          <w:sz w:val="20"/>
          <w:szCs w:val="20"/>
        </w:rPr>
        <w:t>RODR</w:t>
      </w:r>
      <w:r w:rsidR="00756B84" w:rsidRPr="00756B84">
        <w:rPr>
          <w:rFonts w:ascii="Verdana" w:hAnsi="Verdana" w:cs="Times New Roman"/>
          <w:b/>
          <w:bCs/>
          <w:sz w:val="20"/>
          <w:szCs w:val="20"/>
        </w:rPr>
        <w:t>Í</w:t>
      </w:r>
      <w:r w:rsidR="00B654B8" w:rsidRPr="00756B84">
        <w:rPr>
          <w:rFonts w:ascii="Verdana" w:hAnsi="Verdana" w:cs="Times New Roman"/>
          <w:b/>
          <w:bCs/>
          <w:sz w:val="20"/>
          <w:szCs w:val="20"/>
        </w:rPr>
        <w:t>GUEZ PACHECO</w:t>
      </w:r>
      <w:r w:rsidR="00756B84" w:rsidRPr="00756B84">
        <w:rPr>
          <w:rFonts w:ascii="Verdana" w:hAnsi="Verdana" w:cs="Times New Roman"/>
          <w:b/>
          <w:bCs/>
          <w:sz w:val="20"/>
          <w:szCs w:val="20"/>
        </w:rPr>
        <w:t xml:space="preserve"> Y OTRA</w:t>
      </w:r>
      <w:r w:rsidR="005E4BED" w:rsidRPr="00756B84">
        <w:rPr>
          <w:rFonts w:ascii="Verdana" w:hAnsi="Verdana" w:cs="Times New Roman"/>
          <w:b/>
          <w:bCs/>
          <w:sz w:val="20"/>
          <w:szCs w:val="20"/>
        </w:rPr>
        <w:t xml:space="preserve"> </w:t>
      </w:r>
      <w:r w:rsidR="005F3DC9" w:rsidRPr="00756B84">
        <w:rPr>
          <w:rFonts w:ascii="Verdana" w:hAnsi="Verdana" w:cs="Times New Roman"/>
          <w:b/>
          <w:bCs/>
          <w:i/>
          <w:sz w:val="20"/>
          <w:szCs w:val="20"/>
          <w:lang w:val="es-GT"/>
        </w:rPr>
        <w:t>VS.</w:t>
      </w:r>
      <w:r w:rsidR="005F3DC9" w:rsidRPr="00756B84">
        <w:rPr>
          <w:rFonts w:ascii="Verdana" w:hAnsi="Verdana" w:cs="Times New Roman"/>
          <w:b/>
          <w:bCs/>
          <w:sz w:val="20"/>
          <w:szCs w:val="20"/>
          <w:lang w:val="es-GT"/>
        </w:rPr>
        <w:t xml:space="preserve"> </w:t>
      </w:r>
      <w:r w:rsidR="00B654B8" w:rsidRPr="00756B84">
        <w:rPr>
          <w:rFonts w:ascii="Verdana" w:hAnsi="Verdana" w:cs="Times New Roman"/>
          <w:b/>
          <w:bCs/>
          <w:sz w:val="20"/>
          <w:szCs w:val="20"/>
          <w:lang w:val="es-GT"/>
        </w:rPr>
        <w:t>VENEZUELA</w:t>
      </w:r>
    </w:p>
    <w:p w14:paraId="594F95A3" w14:textId="77777777" w:rsidR="002C55F7" w:rsidRPr="00756B84" w:rsidRDefault="002C55F7" w:rsidP="00756B84">
      <w:pPr>
        <w:jc w:val="center"/>
        <w:rPr>
          <w:rFonts w:ascii="Verdana" w:hAnsi="Verdana" w:cs="Times New Roman"/>
          <w:b/>
          <w:bCs/>
          <w:sz w:val="20"/>
          <w:szCs w:val="20"/>
        </w:rPr>
      </w:pPr>
    </w:p>
    <w:p w14:paraId="5D2C6B0D" w14:textId="709C25BA" w:rsidR="002C55F7" w:rsidRPr="00756B84" w:rsidRDefault="002C55F7" w:rsidP="00756B84">
      <w:pPr>
        <w:jc w:val="center"/>
        <w:rPr>
          <w:rFonts w:ascii="Verdana" w:hAnsi="Verdana" w:cs="Times New Roman"/>
          <w:b/>
          <w:bCs/>
          <w:sz w:val="20"/>
          <w:szCs w:val="20"/>
        </w:rPr>
      </w:pPr>
      <w:r w:rsidRPr="00756B84">
        <w:rPr>
          <w:rFonts w:ascii="Verdana" w:hAnsi="Verdana" w:cs="Times New Roman"/>
          <w:b/>
          <w:bCs/>
          <w:sz w:val="20"/>
          <w:szCs w:val="20"/>
        </w:rPr>
        <w:t xml:space="preserve">SENTENCIA DE </w:t>
      </w:r>
      <w:r w:rsidR="00756B84" w:rsidRPr="00756B84">
        <w:rPr>
          <w:rFonts w:ascii="Verdana" w:hAnsi="Verdana" w:cs="Times New Roman"/>
          <w:b/>
          <w:bCs/>
          <w:sz w:val="20"/>
          <w:szCs w:val="20"/>
        </w:rPr>
        <w:t xml:space="preserve">1 </w:t>
      </w:r>
      <w:r w:rsidR="00505FC8" w:rsidRPr="00756B84">
        <w:rPr>
          <w:rFonts w:ascii="Verdana" w:hAnsi="Verdana" w:cs="Times New Roman"/>
          <w:b/>
          <w:bCs/>
          <w:sz w:val="20"/>
          <w:szCs w:val="20"/>
        </w:rPr>
        <w:t xml:space="preserve">DE </w:t>
      </w:r>
      <w:r w:rsidR="00756B84" w:rsidRPr="00756B84">
        <w:rPr>
          <w:rFonts w:ascii="Verdana" w:hAnsi="Verdana" w:cs="Times New Roman"/>
          <w:b/>
          <w:bCs/>
          <w:sz w:val="20"/>
          <w:szCs w:val="20"/>
        </w:rPr>
        <w:t xml:space="preserve">SEPTIEMBRE </w:t>
      </w:r>
      <w:r w:rsidRPr="00756B84">
        <w:rPr>
          <w:rFonts w:ascii="Verdana" w:hAnsi="Verdana" w:cs="Times New Roman"/>
          <w:b/>
          <w:bCs/>
          <w:sz w:val="20"/>
          <w:szCs w:val="20"/>
        </w:rPr>
        <w:t>DE 202</w:t>
      </w:r>
      <w:r w:rsidR="00B654B8" w:rsidRPr="00756B84">
        <w:rPr>
          <w:rFonts w:ascii="Verdana" w:hAnsi="Verdana" w:cs="Times New Roman"/>
          <w:b/>
          <w:bCs/>
          <w:sz w:val="20"/>
          <w:szCs w:val="20"/>
        </w:rPr>
        <w:t>3</w:t>
      </w:r>
    </w:p>
    <w:p w14:paraId="0C13AD97" w14:textId="77777777" w:rsidR="002C55F7" w:rsidRPr="00756B84" w:rsidRDefault="002C55F7" w:rsidP="00756B84">
      <w:pPr>
        <w:jc w:val="both"/>
        <w:rPr>
          <w:rFonts w:ascii="Verdana" w:hAnsi="Verdana" w:cs="Times New Roman"/>
          <w:sz w:val="20"/>
          <w:szCs w:val="20"/>
        </w:rPr>
      </w:pPr>
    </w:p>
    <w:p w14:paraId="69F7217E" w14:textId="246C48F3" w:rsidR="002C55F7" w:rsidRPr="00756B84" w:rsidRDefault="002C55F7" w:rsidP="00F844CC">
      <w:pPr>
        <w:jc w:val="center"/>
        <w:rPr>
          <w:rFonts w:ascii="Verdana" w:hAnsi="Verdana" w:cs="Times New Roman"/>
          <w:b/>
          <w:bCs/>
          <w:i/>
          <w:iCs/>
          <w:sz w:val="20"/>
          <w:szCs w:val="20"/>
        </w:rPr>
      </w:pPr>
      <w:r w:rsidRPr="00756B84">
        <w:rPr>
          <w:rFonts w:ascii="Verdana" w:hAnsi="Verdana" w:cs="Times New Roman"/>
          <w:b/>
          <w:bCs/>
          <w:i/>
          <w:iCs/>
          <w:sz w:val="20"/>
          <w:szCs w:val="20"/>
        </w:rPr>
        <w:t>(</w:t>
      </w:r>
      <w:r w:rsidR="00756B84" w:rsidRPr="00756B84">
        <w:rPr>
          <w:rFonts w:ascii="Verdana" w:hAnsi="Verdana" w:cs="Times New Roman"/>
          <w:b/>
          <w:bCs/>
          <w:i/>
          <w:iCs/>
          <w:sz w:val="20"/>
          <w:szCs w:val="20"/>
        </w:rPr>
        <w:t xml:space="preserve">Excepciones Preliminares, </w:t>
      </w:r>
      <w:r w:rsidRPr="00756B84">
        <w:rPr>
          <w:rFonts w:ascii="Verdana" w:hAnsi="Verdana" w:cs="Times New Roman"/>
          <w:b/>
          <w:bCs/>
          <w:i/>
          <w:iCs/>
          <w:sz w:val="20"/>
          <w:szCs w:val="20"/>
        </w:rPr>
        <w:t>Fondo, Reparaciones y Costas)</w:t>
      </w:r>
    </w:p>
    <w:p w14:paraId="75A6B3E2" w14:textId="77777777" w:rsidR="005E5BCD" w:rsidRPr="00756B84" w:rsidRDefault="005E5BCD" w:rsidP="00756B84">
      <w:pPr>
        <w:contextualSpacing/>
        <w:jc w:val="both"/>
        <w:rPr>
          <w:rFonts w:ascii="Verdana" w:eastAsiaTheme="minorHAnsi" w:hAnsi="Verdana" w:cs="Times New Roman"/>
          <w:sz w:val="20"/>
          <w:szCs w:val="20"/>
          <w:lang w:eastAsia="en-US"/>
        </w:rPr>
      </w:pPr>
    </w:p>
    <w:p w14:paraId="23463335" w14:textId="77777777" w:rsidR="00481470" w:rsidRDefault="00C15784" w:rsidP="00756B84">
      <w:pPr>
        <w:contextualSpacing/>
        <w:jc w:val="both"/>
        <w:rPr>
          <w:rFonts w:ascii="Verdana" w:eastAsiaTheme="minorHAnsi" w:hAnsi="Verdana"/>
          <w:sz w:val="20"/>
          <w:szCs w:val="20"/>
        </w:rPr>
      </w:pPr>
      <w:r w:rsidRPr="00756B84">
        <w:rPr>
          <w:rFonts w:ascii="Verdana" w:eastAsiaTheme="minorHAnsi" w:hAnsi="Verdana" w:cs="Times New Roman"/>
          <w:sz w:val="20"/>
          <w:szCs w:val="20"/>
          <w:lang w:eastAsia="en-US"/>
        </w:rPr>
        <w:t xml:space="preserve">Con </w:t>
      </w:r>
      <w:r w:rsidR="00DE6D02" w:rsidRPr="00756B84">
        <w:rPr>
          <w:rFonts w:ascii="Verdana" w:eastAsiaTheme="minorHAnsi" w:hAnsi="Verdana" w:cs="Times New Roman"/>
          <w:sz w:val="20"/>
          <w:szCs w:val="20"/>
          <w:lang w:eastAsia="en-US"/>
        </w:rPr>
        <w:t>pleno respeto a la decisión mayor</w:t>
      </w:r>
      <w:r w:rsidR="005520F7" w:rsidRPr="00756B84">
        <w:rPr>
          <w:rFonts w:ascii="Verdana" w:eastAsiaTheme="minorHAnsi" w:hAnsi="Verdana" w:cs="Times New Roman"/>
          <w:sz w:val="20"/>
          <w:szCs w:val="20"/>
          <w:lang w:eastAsia="en-US"/>
        </w:rPr>
        <w:t xml:space="preserve">itaria de la Corte Interamericana de Derechos </w:t>
      </w:r>
      <w:r w:rsidR="005520F7" w:rsidRPr="00756B84">
        <w:rPr>
          <w:rFonts w:ascii="Verdana" w:hAnsi="Verdana"/>
          <w:i/>
          <w:sz w:val="20"/>
          <w:szCs w:val="20"/>
          <w:lang w:val="es-ES"/>
        </w:rPr>
        <w:t>Humanos</w:t>
      </w:r>
      <w:r w:rsidR="00122085" w:rsidRPr="00756B84">
        <w:rPr>
          <w:rFonts w:ascii="Verdana" w:eastAsiaTheme="minorHAnsi" w:hAnsi="Verdana" w:cs="Times New Roman"/>
          <w:sz w:val="20"/>
          <w:szCs w:val="20"/>
          <w:lang w:eastAsia="en-US"/>
        </w:rPr>
        <w:t xml:space="preserve"> (</w:t>
      </w:r>
      <w:r w:rsidR="005520F7" w:rsidRPr="00756B84">
        <w:rPr>
          <w:rFonts w:ascii="Verdana" w:eastAsiaTheme="minorHAnsi" w:hAnsi="Verdana" w:cs="Times New Roman"/>
          <w:sz w:val="20"/>
          <w:szCs w:val="20"/>
          <w:lang w:eastAsia="en-US"/>
        </w:rPr>
        <w:t>en adelante</w:t>
      </w:r>
      <w:r w:rsidR="005275D3" w:rsidRPr="00756B84">
        <w:rPr>
          <w:rFonts w:ascii="Verdana" w:eastAsiaTheme="minorHAnsi" w:hAnsi="Verdana" w:cs="Times New Roman"/>
          <w:sz w:val="20"/>
          <w:szCs w:val="20"/>
          <w:lang w:eastAsia="en-US"/>
        </w:rPr>
        <w:t>,</w:t>
      </w:r>
      <w:r w:rsidR="005520F7" w:rsidRPr="00756B84">
        <w:rPr>
          <w:rFonts w:ascii="Verdana" w:eastAsiaTheme="minorHAnsi" w:hAnsi="Verdana" w:cs="Times New Roman"/>
          <w:sz w:val="20"/>
          <w:szCs w:val="20"/>
          <w:lang w:eastAsia="en-US"/>
        </w:rPr>
        <w:t xml:space="preserve"> “la Corte” o el “Tribunal”</w:t>
      </w:r>
      <w:r w:rsidR="00122085" w:rsidRPr="00756B84">
        <w:rPr>
          <w:rFonts w:ascii="Verdana" w:eastAsiaTheme="minorHAnsi" w:hAnsi="Verdana" w:cs="Times New Roman"/>
          <w:sz w:val="20"/>
          <w:szCs w:val="20"/>
          <w:lang w:eastAsia="en-US"/>
        </w:rPr>
        <w:t>)</w:t>
      </w:r>
      <w:r w:rsidR="00BE0554" w:rsidRPr="00756B84">
        <w:rPr>
          <w:rFonts w:ascii="Verdana" w:eastAsiaTheme="minorHAnsi" w:hAnsi="Verdana" w:cs="Times New Roman"/>
          <w:sz w:val="20"/>
          <w:szCs w:val="20"/>
          <w:lang w:eastAsia="en-US"/>
        </w:rPr>
        <w:t>,</w:t>
      </w:r>
      <w:r w:rsidRPr="00756B84">
        <w:rPr>
          <w:rFonts w:ascii="Verdana" w:eastAsiaTheme="minorHAnsi" w:hAnsi="Verdana" w:cs="Times New Roman"/>
          <w:sz w:val="20"/>
          <w:szCs w:val="20"/>
          <w:lang w:eastAsia="en-US"/>
        </w:rPr>
        <w:t xml:space="preserve"> </w:t>
      </w:r>
      <w:r w:rsidR="00631AAC" w:rsidRPr="00756B84">
        <w:rPr>
          <w:rFonts w:ascii="Verdana" w:eastAsiaTheme="minorHAnsi" w:hAnsi="Verdana" w:cs="Times New Roman"/>
          <w:sz w:val="20"/>
          <w:szCs w:val="20"/>
          <w:lang w:eastAsia="en-US"/>
        </w:rPr>
        <w:t>emito este voto</w:t>
      </w:r>
      <w:r w:rsidR="001A4451" w:rsidRPr="00756B84">
        <w:rPr>
          <w:rFonts w:ascii="Verdana" w:eastAsiaTheme="minorHAnsi" w:hAnsi="Verdana" w:cs="Times New Roman"/>
          <w:sz w:val="20"/>
          <w:szCs w:val="20"/>
          <w:vertAlign w:val="superscript"/>
          <w:lang w:eastAsia="en-US"/>
        </w:rPr>
        <w:footnoteReference w:id="2"/>
      </w:r>
      <w:r w:rsidR="0066443E" w:rsidRPr="00756B84">
        <w:rPr>
          <w:rFonts w:ascii="Verdana" w:eastAsiaTheme="minorHAnsi" w:hAnsi="Verdana" w:cs="Times New Roman"/>
          <w:sz w:val="20"/>
          <w:szCs w:val="20"/>
          <w:lang w:eastAsia="en-US"/>
        </w:rPr>
        <w:t xml:space="preserve"> </w:t>
      </w:r>
      <w:r w:rsidR="00AE0332" w:rsidRPr="00756B84">
        <w:rPr>
          <w:rFonts w:ascii="Verdana" w:eastAsiaTheme="minorHAnsi" w:hAnsi="Verdana" w:cs="Times New Roman"/>
          <w:sz w:val="20"/>
          <w:szCs w:val="20"/>
          <w:lang w:eastAsia="en-US"/>
        </w:rPr>
        <w:t xml:space="preserve">con </w:t>
      </w:r>
      <w:r w:rsidR="0066443E" w:rsidRPr="00756B84">
        <w:rPr>
          <w:rFonts w:ascii="Verdana" w:eastAsiaTheme="minorHAnsi" w:hAnsi="Verdana" w:cs="Times New Roman"/>
          <w:sz w:val="20"/>
          <w:szCs w:val="20"/>
          <w:lang w:eastAsia="en-US"/>
        </w:rPr>
        <w:t xml:space="preserve">el objeto de explicar </w:t>
      </w:r>
      <w:r w:rsidR="0081281F" w:rsidRPr="00756B84">
        <w:rPr>
          <w:rFonts w:ascii="Verdana" w:eastAsiaTheme="minorHAnsi" w:hAnsi="Verdana" w:cs="Times New Roman"/>
          <w:sz w:val="20"/>
          <w:szCs w:val="20"/>
          <w:lang w:eastAsia="en-US"/>
        </w:rPr>
        <w:t>por qué</w:t>
      </w:r>
      <w:r w:rsidR="00A41A41" w:rsidRPr="00756B84">
        <w:rPr>
          <w:rFonts w:ascii="Verdana" w:eastAsiaTheme="minorHAnsi" w:hAnsi="Verdana" w:cs="Times New Roman"/>
          <w:sz w:val="20"/>
          <w:szCs w:val="20"/>
          <w:lang w:eastAsia="en-US"/>
        </w:rPr>
        <w:t xml:space="preserve"> </w:t>
      </w:r>
      <w:r w:rsidR="006073B2" w:rsidRPr="00756B84">
        <w:rPr>
          <w:rFonts w:ascii="Verdana" w:eastAsiaTheme="minorHAnsi" w:hAnsi="Verdana" w:cs="Times New Roman"/>
          <w:sz w:val="20"/>
          <w:szCs w:val="20"/>
          <w:lang w:eastAsia="en-US"/>
        </w:rPr>
        <w:t>resulta improcedente</w:t>
      </w:r>
      <w:r w:rsidR="00A97D46" w:rsidRPr="00756B84">
        <w:rPr>
          <w:rFonts w:ascii="Verdana" w:eastAsiaTheme="minorHAnsi" w:hAnsi="Verdana" w:cs="Times New Roman"/>
          <w:sz w:val="20"/>
          <w:szCs w:val="20"/>
          <w:lang w:eastAsia="en-US"/>
        </w:rPr>
        <w:t xml:space="preserve"> establecer la responsabilidad internacional del Estado </w:t>
      </w:r>
      <w:r w:rsidR="00B95C70" w:rsidRPr="00756B84">
        <w:rPr>
          <w:rFonts w:ascii="Verdana" w:eastAsiaTheme="minorHAnsi" w:hAnsi="Verdana" w:cs="Times New Roman"/>
          <w:sz w:val="20"/>
          <w:szCs w:val="20"/>
          <w:lang w:eastAsia="en-US"/>
        </w:rPr>
        <w:t>por la pretendida vulneración</w:t>
      </w:r>
      <w:r w:rsidR="001C6BEC" w:rsidRPr="00756B84">
        <w:rPr>
          <w:rFonts w:ascii="Verdana" w:eastAsiaTheme="minorHAnsi" w:hAnsi="Verdana" w:cs="Times New Roman"/>
          <w:sz w:val="20"/>
          <w:szCs w:val="20"/>
          <w:lang w:eastAsia="en-US"/>
        </w:rPr>
        <w:t xml:space="preserve"> del </w:t>
      </w:r>
      <w:r w:rsidR="00B95C70" w:rsidRPr="00756B84">
        <w:rPr>
          <w:rFonts w:ascii="Verdana" w:eastAsiaTheme="minorHAnsi" w:hAnsi="Verdana" w:cs="Times New Roman"/>
          <w:sz w:val="20"/>
          <w:szCs w:val="20"/>
          <w:lang w:eastAsia="en-US"/>
        </w:rPr>
        <w:t xml:space="preserve">derecho individual a la salud </w:t>
      </w:r>
      <w:r w:rsidR="005D17FD" w:rsidRPr="00756B84">
        <w:rPr>
          <w:rFonts w:ascii="Verdana" w:eastAsiaTheme="minorHAnsi" w:hAnsi="Verdana" w:cs="Times New Roman"/>
          <w:sz w:val="20"/>
          <w:szCs w:val="20"/>
          <w:lang w:eastAsia="en-US"/>
        </w:rPr>
        <w:t>con base en el artículo 26 de</w:t>
      </w:r>
      <w:r w:rsidR="00972A45" w:rsidRPr="00756B84">
        <w:rPr>
          <w:rFonts w:ascii="Verdana" w:eastAsiaTheme="minorHAnsi" w:hAnsi="Verdana" w:cs="Times New Roman"/>
          <w:sz w:val="20"/>
          <w:szCs w:val="20"/>
          <w:lang w:eastAsia="en-US"/>
        </w:rPr>
        <w:t xml:space="preserve"> la </w:t>
      </w:r>
      <w:r w:rsidR="00411663" w:rsidRPr="00756B84">
        <w:rPr>
          <w:rFonts w:ascii="Verdana" w:eastAsiaTheme="minorHAnsi" w:hAnsi="Verdana" w:cs="Times New Roman"/>
          <w:sz w:val="20"/>
          <w:szCs w:val="20"/>
          <w:lang w:eastAsia="en-US"/>
        </w:rPr>
        <w:t xml:space="preserve">Convención Americana </w:t>
      </w:r>
      <w:r w:rsidR="00411663" w:rsidRPr="00756B84">
        <w:rPr>
          <w:rFonts w:ascii="Verdana" w:eastAsiaTheme="minorHAnsi" w:hAnsi="Verdana"/>
          <w:sz w:val="20"/>
          <w:szCs w:val="20"/>
        </w:rPr>
        <w:t>de Derechos Humanos (en adelante, “</w:t>
      </w:r>
      <w:r w:rsidR="000463CF" w:rsidRPr="00756B84">
        <w:rPr>
          <w:rFonts w:ascii="Verdana" w:eastAsiaTheme="minorHAnsi" w:hAnsi="Verdana"/>
          <w:sz w:val="20"/>
          <w:szCs w:val="20"/>
        </w:rPr>
        <w:t xml:space="preserve">la </w:t>
      </w:r>
      <w:r w:rsidR="00411663" w:rsidRPr="00756B84">
        <w:rPr>
          <w:rFonts w:ascii="Verdana" w:eastAsiaTheme="minorHAnsi" w:hAnsi="Verdana"/>
          <w:sz w:val="20"/>
          <w:szCs w:val="20"/>
        </w:rPr>
        <w:t>Convención” o “la CADH”).</w:t>
      </w:r>
    </w:p>
    <w:p w14:paraId="3269C9B5" w14:textId="77777777" w:rsidR="00481470" w:rsidRDefault="00481470" w:rsidP="00756B84">
      <w:pPr>
        <w:contextualSpacing/>
        <w:jc w:val="both"/>
        <w:rPr>
          <w:rFonts w:ascii="Verdana" w:eastAsiaTheme="minorHAnsi" w:hAnsi="Verdana"/>
          <w:sz w:val="20"/>
          <w:szCs w:val="20"/>
        </w:rPr>
      </w:pPr>
    </w:p>
    <w:p w14:paraId="14994C7D" w14:textId="674A8F56" w:rsidR="006342C0" w:rsidRPr="00756B84" w:rsidRDefault="00074714" w:rsidP="00756B84">
      <w:pPr>
        <w:contextualSpacing/>
        <w:jc w:val="both"/>
        <w:rPr>
          <w:rFonts w:ascii="Verdana" w:eastAsiaTheme="minorHAnsi" w:hAnsi="Verdana" w:cs="Times New Roman"/>
          <w:sz w:val="20"/>
          <w:szCs w:val="20"/>
          <w:lang w:eastAsia="en-US"/>
        </w:rPr>
      </w:pPr>
      <w:r w:rsidRPr="00756B84">
        <w:rPr>
          <w:rFonts w:ascii="Verdana" w:eastAsiaTheme="minorHAnsi" w:hAnsi="Verdana" w:cs="Times New Roman"/>
          <w:sz w:val="20"/>
          <w:szCs w:val="20"/>
          <w:lang w:eastAsia="en-US"/>
        </w:rPr>
        <w:t>En lo que sigue</w:t>
      </w:r>
      <w:r w:rsidR="00494DB6" w:rsidRPr="00756B84">
        <w:rPr>
          <w:rFonts w:ascii="Verdana" w:eastAsiaTheme="minorHAnsi" w:hAnsi="Verdana" w:cs="Times New Roman"/>
          <w:sz w:val="20"/>
          <w:szCs w:val="20"/>
          <w:lang w:eastAsia="en-US"/>
        </w:rPr>
        <w:t>,</w:t>
      </w:r>
      <w:r w:rsidRPr="00756B84">
        <w:rPr>
          <w:rFonts w:ascii="Verdana" w:eastAsiaTheme="minorHAnsi" w:hAnsi="Verdana" w:cs="Times New Roman"/>
          <w:sz w:val="20"/>
          <w:szCs w:val="20"/>
          <w:lang w:eastAsia="en-US"/>
        </w:rPr>
        <w:t xml:space="preserve"> </w:t>
      </w:r>
      <w:r w:rsidR="000E61B2" w:rsidRPr="00756B84">
        <w:rPr>
          <w:rFonts w:ascii="Verdana" w:eastAsiaTheme="minorHAnsi" w:hAnsi="Verdana" w:cs="Times New Roman"/>
          <w:sz w:val="20"/>
          <w:szCs w:val="20"/>
          <w:lang w:eastAsia="en-US"/>
        </w:rPr>
        <w:t>indicaré las razones</w:t>
      </w:r>
      <w:r w:rsidR="00AF0043" w:rsidRPr="00756B84">
        <w:rPr>
          <w:rFonts w:ascii="Verdana" w:eastAsiaTheme="minorHAnsi" w:hAnsi="Verdana" w:cs="Times New Roman"/>
          <w:sz w:val="20"/>
          <w:szCs w:val="20"/>
          <w:lang w:eastAsia="en-US"/>
        </w:rPr>
        <w:t xml:space="preserve"> en las que se funda mi opinión.</w:t>
      </w:r>
      <w:r w:rsidR="000E61B2" w:rsidRPr="00756B84">
        <w:rPr>
          <w:rFonts w:ascii="Verdana" w:eastAsiaTheme="minorHAnsi" w:hAnsi="Verdana" w:cs="Times New Roman"/>
          <w:sz w:val="20"/>
          <w:szCs w:val="20"/>
          <w:lang w:eastAsia="en-US"/>
        </w:rPr>
        <w:t xml:space="preserve"> </w:t>
      </w:r>
    </w:p>
    <w:p w14:paraId="10E74083" w14:textId="77777777" w:rsidR="000B0470" w:rsidRPr="00756B84" w:rsidRDefault="000B0470" w:rsidP="00756B84">
      <w:pPr>
        <w:contextualSpacing/>
        <w:jc w:val="both"/>
        <w:rPr>
          <w:rFonts w:ascii="Verdana" w:eastAsiaTheme="minorHAnsi" w:hAnsi="Verdana" w:cs="Times New Roman"/>
          <w:sz w:val="20"/>
          <w:szCs w:val="20"/>
          <w:lang w:eastAsia="en-US"/>
        </w:rPr>
      </w:pPr>
    </w:p>
    <w:p w14:paraId="06035366" w14:textId="5057A44B" w:rsidR="000B0470" w:rsidRPr="00756B84" w:rsidRDefault="000B0470" w:rsidP="00756B84">
      <w:pPr>
        <w:pStyle w:val="Prrafodelista"/>
        <w:numPr>
          <w:ilvl w:val="0"/>
          <w:numId w:val="23"/>
        </w:numPr>
        <w:jc w:val="both"/>
        <w:rPr>
          <w:rFonts w:ascii="Verdana" w:eastAsiaTheme="minorHAnsi" w:hAnsi="Verdana"/>
          <w:b/>
          <w:bCs/>
          <w:sz w:val="20"/>
          <w:szCs w:val="20"/>
        </w:rPr>
      </w:pPr>
      <w:r w:rsidRPr="00756B84">
        <w:rPr>
          <w:rFonts w:ascii="Verdana" w:eastAsiaTheme="minorHAnsi" w:hAnsi="Verdana" w:cs="Times New Roman"/>
          <w:b/>
          <w:bCs/>
          <w:sz w:val="20"/>
          <w:szCs w:val="20"/>
          <w:lang w:eastAsia="en-US"/>
        </w:rPr>
        <w:t xml:space="preserve">Introducción </w:t>
      </w:r>
    </w:p>
    <w:p w14:paraId="75F9E243" w14:textId="77777777" w:rsidR="005E5BCD" w:rsidRDefault="005E5BCD" w:rsidP="00756B84">
      <w:pPr>
        <w:contextualSpacing/>
        <w:jc w:val="both"/>
        <w:rPr>
          <w:rFonts w:ascii="Verdana" w:eastAsiaTheme="minorHAnsi" w:hAnsi="Verdana" w:cs="Times New Roman"/>
          <w:sz w:val="20"/>
          <w:szCs w:val="20"/>
          <w:lang w:eastAsia="en-US"/>
        </w:rPr>
      </w:pPr>
    </w:p>
    <w:p w14:paraId="2DEEA786" w14:textId="495AF4DC" w:rsidR="00BD2A18"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eastAsiaTheme="minorHAnsi" w:hAnsi="Verdana"/>
          <w:sz w:val="20"/>
          <w:szCs w:val="20"/>
        </w:rPr>
        <w:t xml:space="preserve"> </w:t>
      </w:r>
      <w:r w:rsidR="00B07D87" w:rsidRPr="00756B84">
        <w:rPr>
          <w:rFonts w:ascii="Verdana" w:eastAsiaTheme="minorHAnsi" w:hAnsi="Verdana"/>
          <w:sz w:val="20"/>
          <w:szCs w:val="20"/>
        </w:rPr>
        <w:t xml:space="preserve">En primer lugar, </w:t>
      </w:r>
      <w:r w:rsidR="001928D8" w:rsidRPr="00756B84">
        <w:rPr>
          <w:rFonts w:ascii="Verdana" w:eastAsiaTheme="minorHAnsi" w:hAnsi="Verdana"/>
          <w:sz w:val="20"/>
          <w:szCs w:val="20"/>
        </w:rPr>
        <w:t xml:space="preserve">es necesario </w:t>
      </w:r>
      <w:r w:rsidR="00B07D87" w:rsidRPr="00756B84">
        <w:rPr>
          <w:rFonts w:ascii="Verdana" w:eastAsiaTheme="minorHAnsi" w:hAnsi="Verdana"/>
          <w:sz w:val="20"/>
          <w:szCs w:val="20"/>
        </w:rPr>
        <w:t xml:space="preserve">señalar </w:t>
      </w:r>
      <w:r w:rsidR="001E4726" w:rsidRPr="00756B84">
        <w:rPr>
          <w:rFonts w:ascii="Verdana" w:eastAsiaTheme="minorHAnsi" w:hAnsi="Verdana"/>
          <w:sz w:val="20"/>
          <w:szCs w:val="20"/>
        </w:rPr>
        <w:t xml:space="preserve">que </w:t>
      </w:r>
      <w:r w:rsidR="00B07D87" w:rsidRPr="00756B84">
        <w:rPr>
          <w:rFonts w:ascii="Verdana" w:eastAsiaTheme="minorHAnsi" w:hAnsi="Verdana"/>
          <w:sz w:val="20"/>
          <w:szCs w:val="20"/>
        </w:rPr>
        <w:t xml:space="preserve">la Comisión sostuvo que los hechos del presente caso comprometían la responsabilidad internacional del Estado por la violación del derecho a </w:t>
      </w:r>
      <w:r w:rsidR="004D51D9" w:rsidRPr="00756B84">
        <w:rPr>
          <w:rFonts w:ascii="Verdana" w:eastAsiaTheme="minorHAnsi" w:hAnsi="Verdana"/>
          <w:sz w:val="20"/>
          <w:szCs w:val="20"/>
        </w:rPr>
        <w:t xml:space="preserve">la integridad </w:t>
      </w:r>
      <w:r w:rsidR="00FB0848" w:rsidRPr="00756B84">
        <w:rPr>
          <w:rFonts w:ascii="Verdana" w:eastAsiaTheme="minorHAnsi" w:hAnsi="Verdana"/>
          <w:sz w:val="20"/>
          <w:szCs w:val="20"/>
        </w:rPr>
        <w:t>personal</w:t>
      </w:r>
      <w:r w:rsidR="00DF6760" w:rsidRPr="00756B84">
        <w:rPr>
          <w:rFonts w:ascii="Verdana" w:eastAsiaTheme="minorHAnsi" w:hAnsi="Verdana"/>
          <w:sz w:val="20"/>
          <w:szCs w:val="20"/>
        </w:rPr>
        <w:t xml:space="preserve">, </w:t>
      </w:r>
      <w:r w:rsidR="00FB0848" w:rsidRPr="00756B84">
        <w:rPr>
          <w:rFonts w:ascii="Verdana" w:eastAsiaTheme="minorHAnsi" w:hAnsi="Verdana"/>
          <w:sz w:val="20"/>
          <w:szCs w:val="20"/>
        </w:rPr>
        <w:t xml:space="preserve">a la </w:t>
      </w:r>
      <w:r w:rsidR="00C34681" w:rsidRPr="00756B84">
        <w:rPr>
          <w:rFonts w:ascii="Verdana" w:eastAsiaTheme="minorHAnsi" w:hAnsi="Verdana"/>
          <w:sz w:val="20"/>
          <w:szCs w:val="20"/>
        </w:rPr>
        <w:t>salud, a las garantías judiciales y</w:t>
      </w:r>
      <w:r w:rsidR="001E56CA" w:rsidRPr="00756B84">
        <w:rPr>
          <w:rFonts w:ascii="Verdana" w:eastAsiaTheme="minorHAnsi" w:hAnsi="Verdana"/>
          <w:sz w:val="20"/>
          <w:szCs w:val="20"/>
        </w:rPr>
        <w:t xml:space="preserve"> a la protección</w:t>
      </w:r>
      <w:r w:rsidR="00C34681" w:rsidRPr="00756B84">
        <w:rPr>
          <w:rFonts w:ascii="Verdana" w:eastAsiaTheme="minorHAnsi" w:hAnsi="Verdana"/>
          <w:sz w:val="20"/>
          <w:szCs w:val="20"/>
        </w:rPr>
        <w:t xml:space="preserve"> judicial</w:t>
      </w:r>
      <w:r w:rsidR="00412BD0" w:rsidRPr="00756B84">
        <w:rPr>
          <w:rFonts w:ascii="Verdana" w:eastAsiaTheme="minorHAnsi" w:hAnsi="Verdana"/>
          <w:sz w:val="20"/>
          <w:szCs w:val="20"/>
        </w:rPr>
        <w:t xml:space="preserve"> en</w:t>
      </w:r>
      <w:r w:rsidR="00C34681" w:rsidRPr="00756B84">
        <w:rPr>
          <w:rFonts w:ascii="Verdana" w:eastAsiaTheme="minorHAnsi" w:hAnsi="Verdana"/>
          <w:sz w:val="20"/>
          <w:szCs w:val="20"/>
        </w:rPr>
        <w:t xml:space="preserve"> </w:t>
      </w:r>
      <w:r w:rsidR="00B07D87" w:rsidRPr="00756B84">
        <w:rPr>
          <w:rFonts w:ascii="Verdana" w:eastAsiaTheme="minorHAnsi" w:hAnsi="Verdana"/>
          <w:sz w:val="20"/>
          <w:szCs w:val="20"/>
        </w:rPr>
        <w:t xml:space="preserve">perjuicio de la señora </w:t>
      </w:r>
      <w:r w:rsidR="009A25A6" w:rsidRPr="00756B84">
        <w:rPr>
          <w:rFonts w:ascii="Verdana" w:eastAsiaTheme="minorHAnsi" w:hAnsi="Verdana"/>
          <w:sz w:val="20"/>
          <w:szCs w:val="20"/>
        </w:rPr>
        <w:t>Rodríguez Pacheco</w:t>
      </w:r>
      <w:r w:rsidR="00A46E8F" w:rsidRPr="00756B84">
        <w:rPr>
          <w:rFonts w:ascii="Verdana" w:eastAsiaTheme="minorHAnsi" w:hAnsi="Verdana"/>
          <w:sz w:val="20"/>
          <w:szCs w:val="20"/>
        </w:rPr>
        <w:t xml:space="preserve">, </w:t>
      </w:r>
      <w:r w:rsidR="000727BA" w:rsidRPr="00756B84">
        <w:rPr>
          <w:rFonts w:ascii="Verdana" w:eastAsiaTheme="minorHAnsi" w:hAnsi="Verdana"/>
          <w:sz w:val="20"/>
          <w:szCs w:val="20"/>
        </w:rPr>
        <w:t xml:space="preserve">como también </w:t>
      </w:r>
      <w:r w:rsidR="008372E8" w:rsidRPr="00756B84">
        <w:rPr>
          <w:rFonts w:ascii="Verdana" w:eastAsiaTheme="minorHAnsi" w:hAnsi="Verdana"/>
          <w:sz w:val="20"/>
          <w:szCs w:val="20"/>
        </w:rPr>
        <w:t>por la vulneración d</w:t>
      </w:r>
      <w:r w:rsidR="000727BA" w:rsidRPr="00756B84">
        <w:rPr>
          <w:rFonts w:ascii="Verdana" w:eastAsiaTheme="minorHAnsi" w:hAnsi="Verdana"/>
          <w:sz w:val="20"/>
          <w:szCs w:val="20"/>
        </w:rPr>
        <w:t xml:space="preserve">el derecho a la integridad personal </w:t>
      </w:r>
      <w:r w:rsidR="006A64C2" w:rsidRPr="00756B84">
        <w:rPr>
          <w:rFonts w:ascii="Verdana" w:eastAsiaTheme="minorHAnsi" w:hAnsi="Verdana"/>
          <w:sz w:val="20"/>
          <w:szCs w:val="20"/>
        </w:rPr>
        <w:t>de sus familiares</w:t>
      </w:r>
      <w:r w:rsidR="000727BA" w:rsidRPr="00756B84">
        <w:rPr>
          <w:rFonts w:ascii="Verdana" w:eastAsiaTheme="minorHAnsi" w:hAnsi="Verdana"/>
          <w:sz w:val="20"/>
          <w:szCs w:val="20"/>
        </w:rPr>
        <w:t xml:space="preserve">. </w:t>
      </w:r>
      <w:r w:rsidR="00F844CC" w:rsidRPr="00F844CC">
        <w:rPr>
          <w:rFonts w:ascii="Verdana" w:hAnsi="Verdana"/>
          <w:sz w:val="20"/>
          <w:szCs w:val="20"/>
        </w:rPr>
        <w:t>También solicitó que se declar</w:t>
      </w:r>
      <w:r w:rsidR="00430122">
        <w:rPr>
          <w:rFonts w:ascii="Verdana" w:hAnsi="Verdana"/>
          <w:sz w:val="20"/>
          <w:szCs w:val="20"/>
        </w:rPr>
        <w:t>ase</w:t>
      </w:r>
      <w:r w:rsidR="00F844CC" w:rsidRPr="00F844CC">
        <w:rPr>
          <w:rFonts w:ascii="Verdana" w:hAnsi="Verdana"/>
          <w:sz w:val="20"/>
          <w:szCs w:val="20"/>
        </w:rPr>
        <w:t xml:space="preserve"> al Estado responsable por la violación del artículo 7 de la Convención Interamericana para prevenir, sancionar y erradicar la violencia contra la mujer “Convención de Belém do Pará” en perjuicio de la señora Rodríguez Pacheco. </w:t>
      </w:r>
      <w:r w:rsidR="00B07D87" w:rsidRPr="00756B84">
        <w:rPr>
          <w:rFonts w:ascii="Verdana" w:eastAsiaTheme="minorHAnsi" w:hAnsi="Verdana"/>
          <w:sz w:val="20"/>
          <w:szCs w:val="20"/>
        </w:rPr>
        <w:t xml:space="preserve">El representante consideró </w:t>
      </w:r>
      <w:r w:rsidR="003901E5" w:rsidRPr="00756B84">
        <w:rPr>
          <w:rFonts w:ascii="Verdana" w:eastAsiaTheme="minorHAnsi" w:hAnsi="Verdana"/>
          <w:sz w:val="20"/>
          <w:szCs w:val="20"/>
        </w:rPr>
        <w:t xml:space="preserve">lesionados </w:t>
      </w:r>
      <w:r w:rsidR="00B07D87" w:rsidRPr="00756B84">
        <w:rPr>
          <w:rFonts w:ascii="Verdana" w:eastAsiaTheme="minorHAnsi" w:hAnsi="Verdana"/>
          <w:sz w:val="20"/>
          <w:szCs w:val="20"/>
        </w:rPr>
        <w:t>los mismos derechos y</w:t>
      </w:r>
      <w:r w:rsidR="00F844CC">
        <w:rPr>
          <w:rFonts w:ascii="Verdana" w:eastAsiaTheme="minorHAnsi" w:hAnsi="Verdana"/>
          <w:sz w:val="20"/>
          <w:szCs w:val="20"/>
        </w:rPr>
        <w:t>,</w:t>
      </w:r>
      <w:r w:rsidR="00B07D87" w:rsidRPr="00756B84">
        <w:rPr>
          <w:rFonts w:ascii="Verdana" w:eastAsiaTheme="minorHAnsi" w:hAnsi="Verdana"/>
          <w:sz w:val="20"/>
          <w:szCs w:val="20"/>
        </w:rPr>
        <w:t xml:space="preserve"> en su escrito de contestación, el Estado</w:t>
      </w:r>
      <w:r w:rsidR="00CB75C2" w:rsidRPr="00756B84">
        <w:rPr>
          <w:rFonts w:ascii="Verdana" w:eastAsiaTheme="minorHAnsi" w:hAnsi="Verdana"/>
          <w:sz w:val="20"/>
          <w:szCs w:val="20"/>
        </w:rPr>
        <w:t xml:space="preserve"> expresó </w:t>
      </w:r>
      <w:r w:rsidR="00CB75C2" w:rsidRPr="00756B84">
        <w:rPr>
          <w:rFonts w:ascii="Verdana" w:eastAsiaTheme="minorHAnsi" w:hAnsi="Verdana"/>
          <w:sz w:val="20"/>
          <w:szCs w:val="20"/>
          <w:lang w:val="es-419"/>
        </w:rPr>
        <w:t xml:space="preserve">que </w:t>
      </w:r>
      <w:r w:rsidR="00394CD5" w:rsidRPr="00756B84">
        <w:rPr>
          <w:rFonts w:ascii="Verdana" w:eastAsiaTheme="minorHAnsi" w:hAnsi="Verdana"/>
          <w:sz w:val="20"/>
          <w:szCs w:val="20"/>
          <w:lang w:val="es-419"/>
        </w:rPr>
        <w:t xml:space="preserve">el derecho a la salud “no es justiciable ante el sistema interamericano” dado que ni la Convención ni la </w:t>
      </w:r>
      <w:r w:rsidR="00541DEF" w:rsidRPr="00756B84">
        <w:rPr>
          <w:rFonts w:ascii="Verdana" w:eastAsiaTheme="minorHAnsi" w:hAnsi="Verdana"/>
          <w:sz w:val="20"/>
          <w:szCs w:val="20"/>
          <w:lang w:val="es-419"/>
        </w:rPr>
        <w:t>Carta</w:t>
      </w:r>
      <w:r w:rsidR="00394CD5" w:rsidRPr="00756B84">
        <w:rPr>
          <w:rFonts w:ascii="Verdana" w:eastAsiaTheme="minorHAnsi" w:hAnsi="Verdana"/>
          <w:sz w:val="20"/>
          <w:szCs w:val="20"/>
          <w:lang w:val="es-419"/>
        </w:rPr>
        <w:t xml:space="preserve"> de la Organización de Estados Americanos </w:t>
      </w:r>
      <w:r w:rsidR="007E1F32" w:rsidRPr="00756B84">
        <w:rPr>
          <w:rFonts w:ascii="Verdana" w:eastAsiaTheme="minorHAnsi" w:hAnsi="Verdana"/>
          <w:sz w:val="20"/>
          <w:szCs w:val="20"/>
          <w:lang w:val="es-419"/>
        </w:rPr>
        <w:t xml:space="preserve">“prevén expresamente” </w:t>
      </w:r>
      <w:r w:rsidR="005E3B7F" w:rsidRPr="00756B84">
        <w:rPr>
          <w:rFonts w:ascii="Verdana" w:eastAsiaTheme="minorHAnsi" w:hAnsi="Verdana"/>
          <w:sz w:val="20"/>
          <w:szCs w:val="20"/>
          <w:lang w:val="es-419"/>
        </w:rPr>
        <w:t xml:space="preserve">obligaciones estatales </w:t>
      </w:r>
      <w:r w:rsidR="007E1F32" w:rsidRPr="00756B84">
        <w:rPr>
          <w:rFonts w:ascii="Verdana" w:eastAsiaTheme="minorHAnsi" w:hAnsi="Verdana"/>
          <w:sz w:val="20"/>
          <w:szCs w:val="20"/>
          <w:lang w:val="es-419"/>
        </w:rPr>
        <w:t>en materia de protección a este derecho</w:t>
      </w:r>
      <w:r w:rsidR="005E3B7F" w:rsidRPr="00756B84">
        <w:rPr>
          <w:rStyle w:val="Refdenotaalpie"/>
          <w:rFonts w:ascii="Verdana" w:eastAsiaTheme="minorHAnsi" w:hAnsi="Verdana"/>
          <w:sz w:val="20"/>
          <w:szCs w:val="20"/>
          <w:lang w:val="es-419"/>
        </w:rPr>
        <w:footnoteReference w:id="3"/>
      </w:r>
      <w:r w:rsidR="00667D72" w:rsidRPr="00756B84">
        <w:rPr>
          <w:rFonts w:ascii="Verdana" w:eastAsiaTheme="minorHAnsi" w:hAnsi="Verdana"/>
          <w:sz w:val="20"/>
          <w:szCs w:val="20"/>
          <w:lang w:val="es-419"/>
        </w:rPr>
        <w:t>.</w:t>
      </w:r>
    </w:p>
    <w:p w14:paraId="065B7A68"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lang w:val="es-419"/>
        </w:rPr>
      </w:pPr>
    </w:p>
    <w:p w14:paraId="35FC2960" w14:textId="417068CC" w:rsidR="00285F49"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eastAsiaTheme="minorHAnsi" w:hAnsi="Verdana"/>
          <w:sz w:val="20"/>
          <w:szCs w:val="20"/>
          <w:lang w:val="es-419"/>
        </w:rPr>
        <w:t xml:space="preserve"> </w:t>
      </w:r>
      <w:r w:rsidR="00693B2D" w:rsidRPr="00756B84">
        <w:rPr>
          <w:rFonts w:ascii="Verdana" w:eastAsiaTheme="minorHAnsi" w:hAnsi="Verdana"/>
          <w:sz w:val="20"/>
          <w:szCs w:val="20"/>
          <w:lang w:val="es-419"/>
        </w:rPr>
        <w:t>En</w:t>
      </w:r>
      <w:r w:rsidR="00B06656" w:rsidRPr="00756B84">
        <w:rPr>
          <w:rFonts w:ascii="Verdana" w:eastAsiaTheme="minorHAnsi" w:hAnsi="Verdana"/>
          <w:sz w:val="20"/>
          <w:szCs w:val="20"/>
        </w:rPr>
        <w:t xml:space="preserve"> lo pertinente, la </w:t>
      </w:r>
      <w:r w:rsidR="004C78E0" w:rsidRPr="00756B84">
        <w:rPr>
          <w:rFonts w:ascii="Verdana" w:eastAsiaTheme="minorHAnsi" w:hAnsi="Verdana"/>
          <w:sz w:val="20"/>
          <w:szCs w:val="20"/>
        </w:rPr>
        <w:t>sentencia expresa que</w:t>
      </w:r>
      <w:r w:rsidR="006459D1" w:rsidRPr="00756B84">
        <w:rPr>
          <w:rFonts w:ascii="Verdana" w:eastAsiaTheme="minorHAnsi" w:hAnsi="Verdana"/>
          <w:sz w:val="20"/>
          <w:szCs w:val="20"/>
        </w:rPr>
        <w:t xml:space="preserve"> “en lo que respecta al deber de garantía </w:t>
      </w:r>
      <w:r w:rsidR="00653164" w:rsidRPr="00756B84">
        <w:rPr>
          <w:rFonts w:ascii="Verdana" w:eastAsiaTheme="minorHAnsi" w:hAnsi="Verdana"/>
          <w:sz w:val="20"/>
          <w:szCs w:val="20"/>
        </w:rPr>
        <w:t xml:space="preserve">(artículo 1.1) con el artículo 5.1 de la </w:t>
      </w:r>
      <w:r w:rsidR="00541DEF" w:rsidRPr="00756B84">
        <w:rPr>
          <w:rFonts w:ascii="Verdana" w:eastAsiaTheme="minorHAnsi" w:hAnsi="Verdana"/>
          <w:sz w:val="20"/>
          <w:szCs w:val="20"/>
        </w:rPr>
        <w:t>Convención</w:t>
      </w:r>
      <w:r w:rsidR="00653164" w:rsidRPr="00756B84">
        <w:rPr>
          <w:rFonts w:ascii="Verdana" w:eastAsiaTheme="minorHAnsi" w:hAnsi="Verdana"/>
          <w:sz w:val="20"/>
          <w:szCs w:val="20"/>
        </w:rPr>
        <w:t xml:space="preserve">, la Corte </w:t>
      </w:r>
      <w:r w:rsidR="00B537ED" w:rsidRPr="00756B84">
        <w:rPr>
          <w:rFonts w:ascii="Verdana" w:eastAsiaTheme="minorHAnsi" w:hAnsi="Verdana"/>
          <w:sz w:val="20"/>
          <w:szCs w:val="20"/>
        </w:rPr>
        <w:t xml:space="preserve">ha </w:t>
      </w:r>
      <w:r w:rsidR="004B106F" w:rsidRPr="00756B84">
        <w:rPr>
          <w:rFonts w:ascii="Verdana" w:eastAsiaTheme="minorHAnsi" w:hAnsi="Verdana"/>
          <w:sz w:val="20"/>
          <w:szCs w:val="20"/>
        </w:rPr>
        <w:t>establecido que</w:t>
      </w:r>
      <w:r w:rsidR="00653164" w:rsidRPr="00756B84">
        <w:rPr>
          <w:rFonts w:ascii="Verdana" w:eastAsiaTheme="minorHAnsi" w:hAnsi="Verdana"/>
          <w:sz w:val="20"/>
          <w:szCs w:val="20"/>
        </w:rPr>
        <w:t xml:space="preserve"> el derecho a la integridad personal se ha</w:t>
      </w:r>
      <w:r w:rsidR="00931768" w:rsidRPr="00756B84">
        <w:rPr>
          <w:rFonts w:ascii="Verdana" w:eastAsiaTheme="minorHAnsi" w:hAnsi="Verdana"/>
          <w:sz w:val="20"/>
          <w:szCs w:val="20"/>
        </w:rPr>
        <w:t>lla</w:t>
      </w:r>
      <w:r w:rsidR="00653164" w:rsidRPr="00756B84">
        <w:rPr>
          <w:rFonts w:ascii="Verdana" w:eastAsiaTheme="minorHAnsi" w:hAnsi="Verdana"/>
          <w:sz w:val="20"/>
          <w:szCs w:val="20"/>
        </w:rPr>
        <w:t xml:space="preserve"> directa </w:t>
      </w:r>
      <w:r w:rsidR="00B537ED" w:rsidRPr="00756B84">
        <w:rPr>
          <w:rFonts w:ascii="Verdana" w:eastAsiaTheme="minorHAnsi" w:hAnsi="Verdana"/>
          <w:sz w:val="20"/>
          <w:szCs w:val="20"/>
        </w:rPr>
        <w:t xml:space="preserve">e </w:t>
      </w:r>
      <w:r w:rsidR="00653164" w:rsidRPr="00756B84">
        <w:rPr>
          <w:rFonts w:ascii="Verdana" w:eastAsiaTheme="minorHAnsi" w:hAnsi="Verdana" w:cs="Times New Roman"/>
          <w:sz w:val="20"/>
          <w:szCs w:val="20"/>
          <w:lang w:eastAsia="en-US"/>
        </w:rPr>
        <w:t>inmediatamente</w:t>
      </w:r>
      <w:r w:rsidR="00653164" w:rsidRPr="00756B84">
        <w:rPr>
          <w:rFonts w:ascii="Verdana" w:eastAsiaTheme="minorHAnsi" w:hAnsi="Verdana"/>
          <w:sz w:val="20"/>
          <w:szCs w:val="20"/>
        </w:rPr>
        <w:t xml:space="preserve"> vinculado con la atención a la salud humana</w:t>
      </w:r>
      <w:r w:rsidR="004C78E0" w:rsidRPr="00756B84">
        <w:rPr>
          <w:rFonts w:ascii="Verdana" w:eastAsiaTheme="minorHAnsi" w:hAnsi="Verdana"/>
          <w:sz w:val="20"/>
          <w:szCs w:val="20"/>
        </w:rPr>
        <w:t xml:space="preserve"> </w:t>
      </w:r>
      <w:r w:rsidR="00285F49" w:rsidRPr="00756B84">
        <w:rPr>
          <w:rFonts w:ascii="Verdana" w:hAnsi="Verdana"/>
          <w:sz w:val="20"/>
          <w:szCs w:val="20"/>
          <w:lang w:val="es-419"/>
        </w:rPr>
        <w:t xml:space="preserve">y que la falta de atención médica adecuada puede conllevar la </w:t>
      </w:r>
      <w:r w:rsidR="00B27040" w:rsidRPr="00756B84">
        <w:rPr>
          <w:rFonts w:ascii="Verdana" w:hAnsi="Verdana"/>
          <w:sz w:val="20"/>
          <w:szCs w:val="20"/>
          <w:lang w:val="es-419"/>
        </w:rPr>
        <w:t>violación</w:t>
      </w:r>
      <w:r w:rsidR="00285F49" w:rsidRPr="00756B84">
        <w:rPr>
          <w:rFonts w:ascii="Verdana" w:hAnsi="Verdana"/>
          <w:sz w:val="20"/>
          <w:szCs w:val="20"/>
          <w:lang w:val="es-419"/>
        </w:rPr>
        <w:t xml:space="preserve"> </w:t>
      </w:r>
      <w:r w:rsidR="004E0895" w:rsidRPr="00756B84">
        <w:rPr>
          <w:rFonts w:ascii="Verdana" w:hAnsi="Verdana"/>
          <w:sz w:val="20"/>
          <w:szCs w:val="20"/>
          <w:lang w:val="es-419"/>
        </w:rPr>
        <w:t>del artículo</w:t>
      </w:r>
      <w:r w:rsidR="00285F49" w:rsidRPr="00756B84">
        <w:rPr>
          <w:rFonts w:ascii="Verdana" w:hAnsi="Verdana"/>
          <w:sz w:val="20"/>
          <w:szCs w:val="20"/>
          <w:lang w:val="es-419"/>
        </w:rPr>
        <w:t xml:space="preserve"> </w:t>
      </w:r>
      <w:r w:rsidR="00E6276D" w:rsidRPr="00756B84">
        <w:rPr>
          <w:rFonts w:ascii="Verdana" w:hAnsi="Verdana"/>
          <w:sz w:val="20"/>
          <w:szCs w:val="20"/>
          <w:lang w:val="es-419"/>
        </w:rPr>
        <w:t>5.1</w:t>
      </w:r>
      <w:r w:rsidR="00285F49" w:rsidRPr="00756B84">
        <w:rPr>
          <w:rFonts w:ascii="Verdana" w:hAnsi="Verdana"/>
          <w:sz w:val="20"/>
          <w:szCs w:val="20"/>
          <w:lang w:val="es-419"/>
        </w:rPr>
        <w:t xml:space="preserve"> de la Convención”</w:t>
      </w:r>
      <w:r w:rsidR="000830A6" w:rsidRPr="00756B84">
        <w:rPr>
          <w:rFonts w:ascii="Verdana" w:hAnsi="Verdana"/>
          <w:sz w:val="20"/>
          <w:szCs w:val="20"/>
          <w:lang w:val="es-419"/>
        </w:rPr>
        <w:t>.</w:t>
      </w:r>
      <w:r w:rsidR="0037169B" w:rsidRPr="00756B84">
        <w:rPr>
          <w:rFonts w:ascii="Verdana" w:hAnsi="Verdana"/>
          <w:sz w:val="20"/>
          <w:szCs w:val="20"/>
          <w:lang w:val="es-419"/>
        </w:rPr>
        <w:t xml:space="preserve"> </w:t>
      </w:r>
      <w:r w:rsidR="000830A6" w:rsidRPr="00756B84">
        <w:rPr>
          <w:rFonts w:ascii="Verdana" w:hAnsi="Verdana"/>
          <w:sz w:val="20"/>
          <w:szCs w:val="20"/>
          <w:lang w:val="es-419"/>
        </w:rPr>
        <w:t>Agrega además que “</w:t>
      </w:r>
      <w:r w:rsidR="00372ACB" w:rsidRPr="00756B84">
        <w:rPr>
          <w:rFonts w:ascii="Verdana" w:hAnsi="Verdana"/>
          <w:sz w:val="20"/>
          <w:szCs w:val="20"/>
          <w:lang w:val="es-419"/>
        </w:rPr>
        <w:t xml:space="preserve">la </w:t>
      </w:r>
      <w:r w:rsidR="007F7292" w:rsidRPr="00756B84">
        <w:rPr>
          <w:rFonts w:ascii="Verdana" w:hAnsi="Verdana"/>
          <w:sz w:val="20"/>
          <w:szCs w:val="20"/>
          <w:lang w:val="es-419"/>
        </w:rPr>
        <w:t>Corte</w:t>
      </w:r>
      <w:r w:rsidR="00372ACB" w:rsidRPr="00756B84">
        <w:rPr>
          <w:rFonts w:ascii="Verdana" w:hAnsi="Verdana"/>
          <w:sz w:val="20"/>
          <w:szCs w:val="20"/>
          <w:lang w:val="es-419"/>
        </w:rPr>
        <w:t xml:space="preserve"> ha sostenido que la protección del derecho a la integridad personal supone la regulación de los servicios de salud en el ámbito interno, así como la implementación de una serie de mecanismos tendientes a tutelar la efectividad de dicha regulación”</w:t>
      </w:r>
      <w:r w:rsidR="00285F49" w:rsidRPr="00756B84">
        <w:rPr>
          <w:rStyle w:val="Refdenotaalpie"/>
          <w:rFonts w:ascii="Verdana" w:hAnsi="Verdana"/>
          <w:sz w:val="20"/>
          <w:szCs w:val="20"/>
          <w:lang w:val="es-419"/>
        </w:rPr>
        <w:footnoteReference w:id="4"/>
      </w:r>
      <w:r w:rsidR="00667D72" w:rsidRPr="00756B84">
        <w:rPr>
          <w:rFonts w:ascii="Verdana" w:hAnsi="Verdana"/>
          <w:sz w:val="20"/>
          <w:szCs w:val="20"/>
          <w:lang w:val="es-419"/>
        </w:rPr>
        <w:t>.</w:t>
      </w:r>
      <w:r w:rsidR="00A47D10" w:rsidRPr="00756B84">
        <w:rPr>
          <w:rFonts w:ascii="Verdana" w:hAnsi="Verdana"/>
          <w:sz w:val="20"/>
          <w:szCs w:val="20"/>
          <w:lang w:val="es-419"/>
        </w:rPr>
        <w:t xml:space="preserve"> </w:t>
      </w:r>
    </w:p>
    <w:p w14:paraId="7B16050F" w14:textId="77777777" w:rsidR="00756B84" w:rsidRDefault="00756B84" w:rsidP="00756B84">
      <w:pPr>
        <w:pStyle w:val="Prrafodelista"/>
        <w:rPr>
          <w:rFonts w:ascii="Verdana" w:eastAsiaTheme="minorHAnsi" w:hAnsi="Verdana"/>
          <w:sz w:val="20"/>
          <w:szCs w:val="20"/>
          <w:lang w:val="es-419"/>
        </w:rPr>
      </w:pPr>
    </w:p>
    <w:p w14:paraId="3ED9B34C" w14:textId="107141E3" w:rsidR="001D4026"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hAnsi="Verdana"/>
          <w:sz w:val="20"/>
          <w:szCs w:val="20"/>
          <w:lang w:val="es-419"/>
        </w:rPr>
        <w:t xml:space="preserve"> </w:t>
      </w:r>
      <w:r w:rsidR="003D37AD" w:rsidRPr="00756B84">
        <w:rPr>
          <w:rFonts w:ascii="Verdana" w:hAnsi="Verdana"/>
          <w:sz w:val="20"/>
          <w:szCs w:val="20"/>
          <w:lang w:val="es-419"/>
        </w:rPr>
        <w:t xml:space="preserve">Pues bien, </w:t>
      </w:r>
      <w:r w:rsidR="002A791C" w:rsidRPr="00756B84">
        <w:rPr>
          <w:rFonts w:ascii="Verdana" w:hAnsi="Verdana"/>
          <w:sz w:val="20"/>
          <w:szCs w:val="20"/>
          <w:lang w:val="es-419"/>
        </w:rPr>
        <w:t>a partir de</w:t>
      </w:r>
      <w:r w:rsidR="006137C7" w:rsidRPr="00756B84">
        <w:rPr>
          <w:rFonts w:ascii="Verdana" w:hAnsi="Verdana"/>
          <w:sz w:val="20"/>
          <w:szCs w:val="20"/>
          <w:lang w:val="es-419"/>
        </w:rPr>
        <w:t xml:space="preserve">l análisis del </w:t>
      </w:r>
      <w:r w:rsidR="002A791C" w:rsidRPr="00756B84">
        <w:rPr>
          <w:rFonts w:ascii="Verdana" w:hAnsi="Verdana"/>
          <w:sz w:val="20"/>
          <w:szCs w:val="20"/>
          <w:lang w:val="es-419"/>
        </w:rPr>
        <w:t xml:space="preserve">acervo probatorio </w:t>
      </w:r>
      <w:r w:rsidR="0008021C" w:rsidRPr="00756B84">
        <w:rPr>
          <w:rFonts w:ascii="Verdana" w:hAnsi="Verdana"/>
          <w:sz w:val="20"/>
          <w:szCs w:val="20"/>
          <w:lang w:val="es-419"/>
        </w:rPr>
        <w:t xml:space="preserve">es posible concluir </w:t>
      </w:r>
      <w:r w:rsidR="003D37AD" w:rsidRPr="00756B84">
        <w:rPr>
          <w:rFonts w:ascii="Verdana" w:hAnsi="Verdana"/>
          <w:sz w:val="20"/>
          <w:szCs w:val="20"/>
          <w:lang w:val="es-419"/>
        </w:rPr>
        <w:t>que en este caso</w:t>
      </w:r>
      <w:r w:rsidR="00CB224D" w:rsidRPr="00756B84">
        <w:rPr>
          <w:rFonts w:ascii="Verdana" w:hAnsi="Verdana"/>
          <w:sz w:val="20"/>
          <w:szCs w:val="20"/>
          <w:lang w:val="es-419"/>
        </w:rPr>
        <w:t xml:space="preserve"> la víctima denunció ante las autoridades competentes </w:t>
      </w:r>
      <w:r w:rsidR="00AD0779" w:rsidRPr="00756B84">
        <w:rPr>
          <w:rFonts w:ascii="Verdana" w:hAnsi="Verdana"/>
          <w:sz w:val="20"/>
          <w:szCs w:val="20"/>
          <w:lang w:val="es-419"/>
        </w:rPr>
        <w:t xml:space="preserve">alegados actos de </w:t>
      </w:r>
      <w:r w:rsidR="00EB342E" w:rsidRPr="00756B84">
        <w:rPr>
          <w:rFonts w:ascii="Verdana" w:hAnsi="Verdana"/>
          <w:sz w:val="20"/>
          <w:szCs w:val="20"/>
          <w:lang w:val="es-419"/>
        </w:rPr>
        <w:lastRenderedPageBreak/>
        <w:t xml:space="preserve">mala praxis médica </w:t>
      </w:r>
      <w:r w:rsidR="00AD0779" w:rsidRPr="00756B84">
        <w:rPr>
          <w:rFonts w:ascii="Verdana" w:hAnsi="Verdana"/>
          <w:sz w:val="20"/>
          <w:szCs w:val="20"/>
          <w:lang w:val="es-419"/>
        </w:rPr>
        <w:t xml:space="preserve">y </w:t>
      </w:r>
      <w:r w:rsidR="009604A4" w:rsidRPr="00756B84">
        <w:rPr>
          <w:rFonts w:ascii="Verdana" w:hAnsi="Verdana"/>
          <w:sz w:val="20"/>
          <w:szCs w:val="20"/>
          <w:lang w:val="es-419"/>
        </w:rPr>
        <w:t xml:space="preserve">de eventual </w:t>
      </w:r>
      <w:r w:rsidR="00EC417B" w:rsidRPr="00756B84">
        <w:rPr>
          <w:rFonts w:ascii="Verdana" w:hAnsi="Verdana"/>
          <w:sz w:val="20"/>
          <w:szCs w:val="20"/>
          <w:lang w:val="es-419"/>
        </w:rPr>
        <w:t>violencia obstétrica</w:t>
      </w:r>
      <w:r w:rsidR="00DC446F" w:rsidRPr="00756B84">
        <w:rPr>
          <w:rFonts w:ascii="Verdana" w:hAnsi="Verdana"/>
          <w:sz w:val="20"/>
          <w:szCs w:val="20"/>
          <w:lang w:val="es-419"/>
        </w:rPr>
        <w:t>,</w:t>
      </w:r>
      <w:r w:rsidR="00EB3504" w:rsidRPr="00756B84">
        <w:rPr>
          <w:rFonts w:ascii="Verdana" w:hAnsi="Verdana"/>
          <w:sz w:val="20"/>
          <w:szCs w:val="20"/>
          <w:lang w:val="es-419"/>
        </w:rPr>
        <w:t xml:space="preserve"> sin </w:t>
      </w:r>
      <w:r w:rsidR="0050636E" w:rsidRPr="00756B84">
        <w:rPr>
          <w:rFonts w:ascii="Verdana" w:hAnsi="Verdana"/>
          <w:sz w:val="20"/>
          <w:szCs w:val="20"/>
          <w:lang w:val="es-419"/>
        </w:rPr>
        <w:t>embargo,</w:t>
      </w:r>
      <w:r w:rsidR="00EB3504" w:rsidRPr="00756B84">
        <w:rPr>
          <w:rFonts w:ascii="Verdana" w:hAnsi="Verdana"/>
          <w:sz w:val="20"/>
          <w:szCs w:val="20"/>
          <w:lang w:val="es-419"/>
        </w:rPr>
        <w:t xml:space="preserve"> </w:t>
      </w:r>
      <w:r w:rsidR="002A791C" w:rsidRPr="00756B84">
        <w:rPr>
          <w:rFonts w:ascii="Verdana" w:hAnsi="Verdana"/>
          <w:sz w:val="20"/>
          <w:szCs w:val="20"/>
          <w:lang w:val="es-419"/>
        </w:rPr>
        <w:t>el</w:t>
      </w:r>
      <w:r w:rsidR="00DC446F" w:rsidRPr="00756B84">
        <w:rPr>
          <w:rFonts w:ascii="Verdana" w:hAnsi="Verdana"/>
          <w:sz w:val="20"/>
          <w:szCs w:val="20"/>
          <w:lang w:val="es-419"/>
        </w:rPr>
        <w:t xml:space="preserve"> Estad</w:t>
      </w:r>
      <w:r w:rsidR="00584016" w:rsidRPr="00756B84">
        <w:rPr>
          <w:rFonts w:ascii="Verdana" w:hAnsi="Verdana"/>
          <w:sz w:val="20"/>
          <w:szCs w:val="20"/>
          <w:lang w:val="es-419"/>
        </w:rPr>
        <w:t xml:space="preserve">o no observó la diligencia debida </w:t>
      </w:r>
      <w:r w:rsidR="007F6D83" w:rsidRPr="00756B84">
        <w:rPr>
          <w:rFonts w:ascii="Verdana" w:hAnsi="Verdana"/>
          <w:sz w:val="20"/>
          <w:szCs w:val="20"/>
          <w:lang w:val="es-419"/>
        </w:rPr>
        <w:t xml:space="preserve">en la tramitación del proceso penal </w:t>
      </w:r>
      <w:r w:rsidR="004377D0" w:rsidRPr="00756B84">
        <w:rPr>
          <w:rFonts w:ascii="Verdana" w:hAnsi="Verdana"/>
          <w:sz w:val="20"/>
          <w:szCs w:val="20"/>
          <w:lang w:val="es-419"/>
        </w:rPr>
        <w:t>incumpliendo,</w:t>
      </w:r>
      <w:r w:rsidR="00881244" w:rsidRPr="00756B84">
        <w:rPr>
          <w:rFonts w:ascii="Verdana" w:hAnsi="Verdana"/>
          <w:sz w:val="20"/>
          <w:szCs w:val="20"/>
          <w:lang w:val="es-419"/>
        </w:rPr>
        <w:t xml:space="preserve"> asimismo</w:t>
      </w:r>
      <w:r w:rsidR="00534DB8" w:rsidRPr="00756B84">
        <w:rPr>
          <w:rFonts w:ascii="Verdana" w:hAnsi="Verdana"/>
          <w:sz w:val="20"/>
          <w:szCs w:val="20"/>
          <w:lang w:val="es-419"/>
        </w:rPr>
        <w:t>,</w:t>
      </w:r>
      <w:r w:rsidR="00ED118E" w:rsidRPr="00756B84">
        <w:rPr>
          <w:rFonts w:ascii="Verdana" w:hAnsi="Verdana"/>
          <w:sz w:val="20"/>
          <w:szCs w:val="20"/>
          <w:lang w:val="es-419"/>
        </w:rPr>
        <w:t xml:space="preserve"> los estándares de plazo razonable</w:t>
      </w:r>
      <w:r w:rsidR="00881244" w:rsidRPr="00756B84">
        <w:rPr>
          <w:rFonts w:ascii="Verdana" w:hAnsi="Verdana"/>
          <w:sz w:val="20"/>
          <w:szCs w:val="20"/>
          <w:lang w:val="es-419"/>
        </w:rPr>
        <w:t xml:space="preserve">. </w:t>
      </w:r>
      <w:r w:rsidR="0029759F" w:rsidRPr="00756B84">
        <w:rPr>
          <w:rFonts w:ascii="Verdana" w:hAnsi="Verdana"/>
          <w:sz w:val="20"/>
          <w:szCs w:val="20"/>
          <w:lang w:val="es-419"/>
        </w:rPr>
        <w:t>Todo lo anterior</w:t>
      </w:r>
      <w:r w:rsidR="00776261" w:rsidRPr="00756B84">
        <w:rPr>
          <w:rFonts w:ascii="Verdana" w:hAnsi="Verdana"/>
          <w:sz w:val="20"/>
          <w:szCs w:val="20"/>
          <w:lang w:val="es-419"/>
        </w:rPr>
        <w:t xml:space="preserve"> se tradujo en que la </w:t>
      </w:r>
      <w:r w:rsidR="0029759F" w:rsidRPr="00756B84">
        <w:rPr>
          <w:rFonts w:ascii="Verdana" w:hAnsi="Verdana"/>
          <w:sz w:val="20"/>
          <w:szCs w:val="20"/>
          <w:lang w:val="es-419"/>
        </w:rPr>
        <w:t xml:space="preserve">acción penal </w:t>
      </w:r>
      <w:r w:rsidR="000A211F" w:rsidRPr="00756B84">
        <w:rPr>
          <w:rFonts w:ascii="Verdana" w:hAnsi="Verdana"/>
          <w:sz w:val="20"/>
          <w:szCs w:val="20"/>
          <w:lang w:val="es-419"/>
        </w:rPr>
        <w:t>de que la v</w:t>
      </w:r>
      <w:r w:rsidR="00E57555" w:rsidRPr="00756B84">
        <w:rPr>
          <w:rFonts w:ascii="Verdana" w:hAnsi="Verdana"/>
          <w:sz w:val="20"/>
          <w:szCs w:val="20"/>
          <w:lang w:val="es-419"/>
        </w:rPr>
        <w:t xml:space="preserve">íctima era titular </w:t>
      </w:r>
      <w:r w:rsidR="006B01D2" w:rsidRPr="00756B84">
        <w:rPr>
          <w:rFonts w:ascii="Verdana" w:hAnsi="Verdana"/>
          <w:sz w:val="20"/>
          <w:szCs w:val="20"/>
          <w:lang w:val="es-419"/>
        </w:rPr>
        <w:t>termin</w:t>
      </w:r>
      <w:r w:rsidR="00EB3504" w:rsidRPr="00756B84">
        <w:rPr>
          <w:rFonts w:ascii="Verdana" w:hAnsi="Verdana"/>
          <w:sz w:val="20"/>
          <w:szCs w:val="20"/>
          <w:lang w:val="es-419"/>
        </w:rPr>
        <w:t>ara</w:t>
      </w:r>
      <w:r w:rsidR="006B01D2" w:rsidRPr="00756B84">
        <w:rPr>
          <w:rFonts w:ascii="Verdana" w:hAnsi="Verdana"/>
          <w:sz w:val="20"/>
          <w:szCs w:val="20"/>
          <w:lang w:val="es-419"/>
        </w:rPr>
        <w:t xml:space="preserve"> prescribiendo, haciendo nugatorio </w:t>
      </w:r>
      <w:r w:rsidR="00050ADD" w:rsidRPr="00756B84">
        <w:rPr>
          <w:rFonts w:ascii="Verdana" w:hAnsi="Verdana"/>
          <w:sz w:val="20"/>
          <w:szCs w:val="20"/>
          <w:lang w:val="es-419"/>
        </w:rPr>
        <w:t>el acceso a la justicia de la señora Rodríguez Pacheco</w:t>
      </w:r>
      <w:r w:rsidR="00F60A53" w:rsidRPr="00756B84">
        <w:rPr>
          <w:rStyle w:val="Refdenotaalpie"/>
          <w:rFonts w:ascii="Verdana" w:hAnsi="Verdana"/>
          <w:sz w:val="20"/>
          <w:szCs w:val="20"/>
          <w:lang w:val="es-419"/>
        </w:rPr>
        <w:footnoteReference w:id="5"/>
      </w:r>
      <w:r w:rsidR="00667D72" w:rsidRPr="00756B84">
        <w:rPr>
          <w:rFonts w:ascii="Verdana" w:hAnsi="Verdana"/>
          <w:sz w:val="20"/>
          <w:szCs w:val="20"/>
          <w:lang w:val="es-419"/>
        </w:rPr>
        <w:t>.</w:t>
      </w:r>
      <w:r w:rsidR="00BD756B" w:rsidRPr="00756B84">
        <w:rPr>
          <w:rFonts w:ascii="Verdana" w:hAnsi="Verdana"/>
          <w:sz w:val="20"/>
          <w:szCs w:val="20"/>
          <w:lang w:val="es-419"/>
        </w:rPr>
        <w:t xml:space="preserve"> </w:t>
      </w:r>
    </w:p>
    <w:p w14:paraId="169B4244" w14:textId="77777777" w:rsidR="00756B84" w:rsidRDefault="00756B84" w:rsidP="00756B84">
      <w:pPr>
        <w:pStyle w:val="Prrafodelista"/>
        <w:rPr>
          <w:rFonts w:ascii="Verdana" w:eastAsiaTheme="minorHAnsi" w:hAnsi="Verdana"/>
          <w:sz w:val="20"/>
          <w:szCs w:val="20"/>
          <w:lang w:val="es-419"/>
        </w:rPr>
      </w:pPr>
    </w:p>
    <w:p w14:paraId="0A87964B" w14:textId="54C61D91" w:rsidR="003D37AD"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hAnsi="Verdana"/>
          <w:sz w:val="20"/>
          <w:szCs w:val="20"/>
          <w:lang w:val="es-419"/>
        </w:rPr>
        <w:t xml:space="preserve"> </w:t>
      </w:r>
      <w:r w:rsidR="00E06CAA" w:rsidRPr="00756B84">
        <w:rPr>
          <w:rFonts w:ascii="Verdana" w:hAnsi="Verdana"/>
          <w:sz w:val="20"/>
          <w:szCs w:val="20"/>
          <w:lang w:val="es-419"/>
        </w:rPr>
        <w:t>La decisión mayoritaria de la Corte fue declarar la violación</w:t>
      </w:r>
      <w:r w:rsidR="009E2540" w:rsidRPr="00756B84">
        <w:rPr>
          <w:rFonts w:ascii="Verdana" w:hAnsi="Verdana"/>
          <w:sz w:val="20"/>
          <w:szCs w:val="20"/>
          <w:lang w:val="es-419"/>
        </w:rPr>
        <w:t xml:space="preserve"> de los derechos reconocidos en los artículos </w:t>
      </w:r>
      <w:r w:rsidR="002B76B8" w:rsidRPr="00756B84">
        <w:rPr>
          <w:rFonts w:ascii="Verdana" w:hAnsi="Verdana"/>
          <w:sz w:val="20"/>
          <w:szCs w:val="20"/>
          <w:lang w:val="es-419"/>
        </w:rPr>
        <w:t xml:space="preserve">5.1, </w:t>
      </w:r>
      <w:r w:rsidR="001C43BF" w:rsidRPr="00756B84">
        <w:rPr>
          <w:rFonts w:ascii="Verdana" w:hAnsi="Verdana"/>
          <w:sz w:val="20"/>
          <w:szCs w:val="20"/>
          <w:lang w:val="es-419"/>
        </w:rPr>
        <w:t>8.1</w:t>
      </w:r>
      <w:r w:rsidR="002B76B8" w:rsidRPr="00756B84">
        <w:rPr>
          <w:rFonts w:ascii="Verdana" w:hAnsi="Verdana"/>
          <w:sz w:val="20"/>
          <w:szCs w:val="20"/>
          <w:lang w:val="es-419"/>
        </w:rPr>
        <w:t xml:space="preserve">, </w:t>
      </w:r>
      <w:r w:rsidR="001C43BF" w:rsidRPr="00756B84">
        <w:rPr>
          <w:rFonts w:ascii="Verdana" w:hAnsi="Verdana"/>
          <w:sz w:val="20"/>
          <w:szCs w:val="20"/>
          <w:lang w:val="es-419"/>
        </w:rPr>
        <w:t>25.1</w:t>
      </w:r>
      <w:r w:rsidR="00FA681D" w:rsidRPr="00756B84">
        <w:rPr>
          <w:rFonts w:ascii="Verdana" w:hAnsi="Verdana"/>
          <w:sz w:val="20"/>
          <w:szCs w:val="20"/>
          <w:lang w:val="es-419"/>
        </w:rPr>
        <w:t xml:space="preserve"> y 26 </w:t>
      </w:r>
      <w:r w:rsidR="009E2540" w:rsidRPr="00756B84">
        <w:rPr>
          <w:rFonts w:ascii="Verdana" w:hAnsi="Verdana"/>
          <w:sz w:val="20"/>
          <w:szCs w:val="20"/>
          <w:lang w:val="es-419"/>
        </w:rPr>
        <w:t>de la CADH</w:t>
      </w:r>
      <w:r w:rsidR="00FA681D" w:rsidRPr="00756B84">
        <w:rPr>
          <w:rFonts w:ascii="Verdana" w:hAnsi="Verdana"/>
          <w:sz w:val="20"/>
          <w:szCs w:val="20"/>
          <w:lang w:val="es-419"/>
        </w:rPr>
        <w:t xml:space="preserve">, </w:t>
      </w:r>
      <w:r w:rsidR="00FE767F" w:rsidRPr="00756B84">
        <w:rPr>
          <w:rFonts w:ascii="Verdana" w:hAnsi="Verdana"/>
          <w:sz w:val="20"/>
          <w:szCs w:val="20"/>
          <w:lang w:val="es-419"/>
        </w:rPr>
        <w:t>como también</w:t>
      </w:r>
      <w:r w:rsidR="00387E7F" w:rsidRPr="00756B84">
        <w:rPr>
          <w:rFonts w:ascii="Verdana" w:hAnsi="Verdana"/>
          <w:sz w:val="20"/>
          <w:szCs w:val="20"/>
          <w:lang w:val="es-419"/>
        </w:rPr>
        <w:t xml:space="preserve"> en el</w:t>
      </w:r>
      <w:r w:rsidR="00FE767F" w:rsidRPr="00756B84">
        <w:rPr>
          <w:rFonts w:ascii="Verdana" w:hAnsi="Verdana"/>
          <w:sz w:val="20"/>
          <w:szCs w:val="20"/>
          <w:lang w:val="es-419"/>
        </w:rPr>
        <w:t xml:space="preserve"> artículo 7</w:t>
      </w:r>
      <w:r w:rsidR="00AC50DA" w:rsidRPr="00756B84">
        <w:rPr>
          <w:rFonts w:ascii="Verdana" w:hAnsi="Verdana"/>
          <w:sz w:val="20"/>
          <w:szCs w:val="20"/>
          <w:lang w:val="es-419"/>
        </w:rPr>
        <w:t xml:space="preserve"> literales </w:t>
      </w:r>
      <w:r w:rsidR="00FE767F" w:rsidRPr="00756B84">
        <w:rPr>
          <w:rFonts w:ascii="Verdana" w:hAnsi="Verdana"/>
          <w:sz w:val="20"/>
          <w:szCs w:val="20"/>
          <w:lang w:val="es-419"/>
        </w:rPr>
        <w:t xml:space="preserve">b), f) y g) de la Convención </w:t>
      </w:r>
      <w:r w:rsidR="001E4E65" w:rsidRPr="00756B84">
        <w:rPr>
          <w:rFonts w:ascii="Verdana" w:hAnsi="Verdana"/>
          <w:sz w:val="20"/>
          <w:szCs w:val="20"/>
          <w:lang w:val="es-419"/>
        </w:rPr>
        <w:t>Interamericana para prevenir, erradicar y sancionar la violencia contra la mujer</w:t>
      </w:r>
      <w:r w:rsidR="00FB5034" w:rsidRPr="00756B84">
        <w:rPr>
          <w:rFonts w:ascii="Verdana" w:hAnsi="Verdana"/>
          <w:sz w:val="20"/>
          <w:szCs w:val="20"/>
          <w:lang w:val="es-419"/>
        </w:rPr>
        <w:t xml:space="preserve">, en perjuicio de la señora </w:t>
      </w:r>
      <w:r w:rsidR="008B717A" w:rsidRPr="00756B84">
        <w:rPr>
          <w:rFonts w:ascii="Verdana" w:hAnsi="Verdana"/>
          <w:sz w:val="20"/>
          <w:szCs w:val="20"/>
          <w:lang w:val="es-419"/>
        </w:rPr>
        <w:t>Balbina Rodríguez Pacheco.</w:t>
      </w:r>
      <w:r>
        <w:rPr>
          <w:rFonts w:ascii="Verdana" w:hAnsi="Verdana"/>
          <w:sz w:val="20"/>
          <w:szCs w:val="20"/>
          <w:lang w:val="es-419"/>
        </w:rPr>
        <w:t xml:space="preserve"> </w:t>
      </w:r>
      <w:r w:rsidR="0081301F" w:rsidRPr="00756B84">
        <w:rPr>
          <w:rFonts w:ascii="Verdana" w:hAnsi="Verdana"/>
          <w:sz w:val="20"/>
          <w:szCs w:val="20"/>
          <w:lang w:val="es-419"/>
        </w:rPr>
        <w:t xml:space="preserve">Asimismo, </w:t>
      </w:r>
      <w:r w:rsidR="0062022D" w:rsidRPr="00756B84">
        <w:rPr>
          <w:rFonts w:ascii="Verdana" w:hAnsi="Verdana"/>
          <w:sz w:val="20"/>
          <w:szCs w:val="20"/>
          <w:lang w:val="es-419"/>
        </w:rPr>
        <w:t>se declaró la vio</w:t>
      </w:r>
      <w:r w:rsidR="003311ED" w:rsidRPr="00756B84">
        <w:rPr>
          <w:rFonts w:ascii="Verdana" w:hAnsi="Verdana"/>
          <w:sz w:val="20"/>
          <w:szCs w:val="20"/>
          <w:lang w:val="es-419"/>
        </w:rPr>
        <w:t xml:space="preserve">lación del derecho a </w:t>
      </w:r>
      <w:r w:rsidR="00F844CC">
        <w:rPr>
          <w:rFonts w:ascii="Verdana" w:hAnsi="Verdana"/>
          <w:sz w:val="20"/>
          <w:szCs w:val="20"/>
          <w:lang w:val="es-419"/>
        </w:rPr>
        <w:t>l</w:t>
      </w:r>
      <w:r w:rsidR="003311ED" w:rsidRPr="00756B84">
        <w:rPr>
          <w:rFonts w:ascii="Verdana" w:hAnsi="Verdana"/>
          <w:sz w:val="20"/>
          <w:szCs w:val="20"/>
          <w:lang w:val="es-419"/>
        </w:rPr>
        <w:t>a integridad personal de la señora Aura de las Mercedes Pacheco Briceño</w:t>
      </w:r>
      <w:r w:rsidR="00400565" w:rsidRPr="00756B84">
        <w:rPr>
          <w:rFonts w:ascii="Verdana" w:hAnsi="Verdana"/>
          <w:sz w:val="20"/>
          <w:szCs w:val="20"/>
          <w:lang w:val="es-419"/>
        </w:rPr>
        <w:t xml:space="preserve">. Concuerdo </w:t>
      </w:r>
      <w:r w:rsidR="00AE7822" w:rsidRPr="00756B84">
        <w:rPr>
          <w:rFonts w:ascii="Verdana" w:hAnsi="Verdana"/>
          <w:sz w:val="20"/>
          <w:szCs w:val="20"/>
          <w:lang w:val="es-419"/>
        </w:rPr>
        <w:t xml:space="preserve">con </w:t>
      </w:r>
      <w:r w:rsidR="007932BA" w:rsidRPr="00756B84">
        <w:rPr>
          <w:rFonts w:ascii="Verdana" w:hAnsi="Verdana"/>
          <w:sz w:val="20"/>
          <w:szCs w:val="20"/>
          <w:lang w:val="es-419"/>
        </w:rPr>
        <w:t>tal decisión</w:t>
      </w:r>
      <w:r w:rsidR="00F844CC">
        <w:rPr>
          <w:rFonts w:ascii="Verdana" w:hAnsi="Verdana"/>
          <w:sz w:val="20"/>
          <w:szCs w:val="20"/>
          <w:lang w:val="es-419"/>
        </w:rPr>
        <w:t>,</w:t>
      </w:r>
      <w:r w:rsidR="007932BA" w:rsidRPr="00756B84">
        <w:rPr>
          <w:rFonts w:ascii="Verdana" w:hAnsi="Verdana"/>
          <w:sz w:val="20"/>
          <w:szCs w:val="20"/>
          <w:lang w:val="es-419"/>
        </w:rPr>
        <w:t xml:space="preserve"> salvo en lo relativo a la violación autónoma</w:t>
      </w:r>
      <w:r w:rsidR="00727B75" w:rsidRPr="00756B84">
        <w:rPr>
          <w:rFonts w:ascii="Verdana" w:hAnsi="Verdana"/>
          <w:sz w:val="20"/>
          <w:szCs w:val="20"/>
          <w:lang w:val="es-419"/>
        </w:rPr>
        <w:t xml:space="preserve"> del artículo 26</w:t>
      </w:r>
      <w:r w:rsidR="008069E2" w:rsidRPr="00756B84">
        <w:rPr>
          <w:rFonts w:ascii="Verdana" w:hAnsi="Verdana"/>
          <w:sz w:val="20"/>
          <w:szCs w:val="20"/>
          <w:lang w:val="es-419"/>
        </w:rPr>
        <w:t xml:space="preserve"> y a las razones</w:t>
      </w:r>
      <w:r w:rsidR="00271865" w:rsidRPr="00756B84">
        <w:rPr>
          <w:rFonts w:ascii="Verdana" w:hAnsi="Verdana"/>
          <w:sz w:val="20"/>
          <w:szCs w:val="20"/>
          <w:lang w:val="es-419"/>
        </w:rPr>
        <w:t xml:space="preserve"> que se esgrimen para declarar</w:t>
      </w:r>
      <w:r w:rsidR="008069E2" w:rsidRPr="00756B84">
        <w:rPr>
          <w:rFonts w:ascii="Verdana" w:hAnsi="Verdana"/>
          <w:sz w:val="20"/>
          <w:szCs w:val="20"/>
          <w:lang w:val="es-419"/>
        </w:rPr>
        <w:t xml:space="preserve"> la violación de la integridad </w:t>
      </w:r>
      <w:r w:rsidR="002260C6" w:rsidRPr="00756B84">
        <w:rPr>
          <w:rFonts w:ascii="Verdana" w:hAnsi="Verdana"/>
          <w:sz w:val="20"/>
          <w:szCs w:val="20"/>
          <w:lang w:val="es-419"/>
        </w:rPr>
        <w:t>personal respecto</w:t>
      </w:r>
      <w:r w:rsidR="00311405" w:rsidRPr="00756B84">
        <w:rPr>
          <w:rFonts w:ascii="Verdana" w:hAnsi="Verdana"/>
          <w:sz w:val="20"/>
          <w:szCs w:val="20"/>
          <w:lang w:val="es-419"/>
        </w:rPr>
        <w:t xml:space="preserve"> de la señora Rodríguez Pacheco</w:t>
      </w:r>
      <w:r w:rsidR="002260C6" w:rsidRPr="00756B84">
        <w:rPr>
          <w:rFonts w:ascii="Verdana" w:hAnsi="Verdana"/>
          <w:sz w:val="20"/>
          <w:szCs w:val="20"/>
          <w:lang w:val="es-419"/>
        </w:rPr>
        <w:t xml:space="preserve">, </w:t>
      </w:r>
      <w:r w:rsidR="00727B75" w:rsidRPr="00756B84">
        <w:rPr>
          <w:rFonts w:ascii="Verdana" w:hAnsi="Verdana"/>
          <w:sz w:val="20"/>
          <w:szCs w:val="20"/>
          <w:lang w:val="es-419"/>
        </w:rPr>
        <w:t xml:space="preserve">según se </w:t>
      </w:r>
      <w:r w:rsidR="00651C89" w:rsidRPr="00756B84">
        <w:rPr>
          <w:rFonts w:ascii="Verdana" w:hAnsi="Verdana"/>
          <w:sz w:val="20"/>
          <w:szCs w:val="20"/>
          <w:lang w:val="es-419"/>
        </w:rPr>
        <w:t>explicará.</w:t>
      </w:r>
      <w:r>
        <w:rPr>
          <w:rFonts w:ascii="Verdana" w:hAnsi="Verdana"/>
          <w:sz w:val="20"/>
          <w:szCs w:val="20"/>
          <w:lang w:val="es-419"/>
        </w:rPr>
        <w:t xml:space="preserve"> </w:t>
      </w:r>
    </w:p>
    <w:p w14:paraId="69C4F8D3" w14:textId="77777777" w:rsidR="00D96F88" w:rsidRPr="00756B84" w:rsidRDefault="00D96F88" w:rsidP="00756B84">
      <w:pPr>
        <w:pStyle w:val="Numberedparagraphs"/>
        <w:widowControl w:val="0"/>
        <w:numPr>
          <w:ilvl w:val="0"/>
          <w:numId w:val="0"/>
        </w:numPr>
        <w:tabs>
          <w:tab w:val="left" w:pos="567"/>
        </w:tabs>
        <w:autoSpaceDE w:val="0"/>
        <w:autoSpaceDN w:val="0"/>
        <w:adjustRightInd w:val="0"/>
        <w:ind w:left="720"/>
        <w:contextualSpacing/>
        <w:rPr>
          <w:rFonts w:eastAsiaTheme="minorHAnsi"/>
          <w:lang w:val="es-419"/>
        </w:rPr>
      </w:pPr>
    </w:p>
    <w:p w14:paraId="2F108512" w14:textId="77777777" w:rsidR="006262BA" w:rsidRPr="00756B84" w:rsidRDefault="007E3B41" w:rsidP="00756B84">
      <w:pPr>
        <w:pStyle w:val="Numberedparagraphs"/>
        <w:widowControl w:val="0"/>
        <w:numPr>
          <w:ilvl w:val="0"/>
          <w:numId w:val="23"/>
        </w:numPr>
        <w:tabs>
          <w:tab w:val="left" w:pos="567"/>
        </w:tabs>
        <w:autoSpaceDE w:val="0"/>
        <w:autoSpaceDN w:val="0"/>
        <w:adjustRightInd w:val="0"/>
        <w:contextualSpacing/>
        <w:rPr>
          <w:rFonts w:eastAsiaTheme="minorHAnsi"/>
          <w:b/>
          <w:bCs/>
          <w:lang w:val="es-419"/>
        </w:rPr>
      </w:pPr>
      <w:r w:rsidRPr="00756B84">
        <w:rPr>
          <w:b/>
          <w:bCs/>
          <w:lang w:val="es-419"/>
        </w:rPr>
        <w:t xml:space="preserve">Acerca del artículo 26 de la CADH </w:t>
      </w:r>
    </w:p>
    <w:p w14:paraId="1B3A9762" w14:textId="77777777" w:rsidR="006262BA" w:rsidRPr="00756B84" w:rsidRDefault="006262BA"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7169052C" w14:textId="5F82482D" w:rsidR="00F844CC" w:rsidRDefault="008706E5" w:rsidP="00F844CC">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sidRPr="00756B84">
        <w:rPr>
          <w:b/>
          <w:bCs/>
          <w:lang w:val="es-419"/>
        </w:rPr>
        <w:t>Considera</w:t>
      </w:r>
      <w:r w:rsidR="00843971" w:rsidRPr="00756B84">
        <w:rPr>
          <w:b/>
          <w:bCs/>
          <w:lang w:val="es-419"/>
        </w:rPr>
        <w:t xml:space="preserve">ciones generales </w:t>
      </w:r>
    </w:p>
    <w:p w14:paraId="40A766EB" w14:textId="77777777" w:rsidR="00F844CC" w:rsidRPr="00F844CC" w:rsidRDefault="00F844CC" w:rsidP="00F844CC">
      <w:pPr>
        <w:pStyle w:val="Numberedparagraphs"/>
        <w:widowControl w:val="0"/>
        <w:numPr>
          <w:ilvl w:val="0"/>
          <w:numId w:val="0"/>
        </w:numPr>
        <w:tabs>
          <w:tab w:val="left" w:pos="567"/>
        </w:tabs>
        <w:autoSpaceDE w:val="0"/>
        <w:autoSpaceDN w:val="0"/>
        <w:adjustRightInd w:val="0"/>
        <w:ind w:left="360"/>
        <w:contextualSpacing/>
        <w:rPr>
          <w:rFonts w:eastAsiaTheme="minorHAnsi"/>
          <w:b/>
          <w:bCs/>
          <w:lang w:val="es-419"/>
        </w:rPr>
      </w:pPr>
    </w:p>
    <w:p w14:paraId="64E95EB6" w14:textId="4F6927B4" w:rsidR="00693B2D"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hAnsi="Verdana"/>
          <w:sz w:val="20"/>
          <w:szCs w:val="20"/>
          <w:lang w:val="es-419"/>
        </w:rPr>
        <w:t xml:space="preserve"> </w:t>
      </w:r>
      <w:r w:rsidR="00D013C6" w:rsidRPr="00756B84">
        <w:rPr>
          <w:rFonts w:ascii="Verdana" w:hAnsi="Verdana"/>
          <w:sz w:val="20"/>
          <w:szCs w:val="20"/>
          <w:lang w:val="es-419"/>
        </w:rPr>
        <w:t>En efecto, nuevamente</w:t>
      </w:r>
      <w:r w:rsidR="00E57555" w:rsidRPr="00756B84">
        <w:rPr>
          <w:rFonts w:ascii="Verdana" w:hAnsi="Verdana"/>
          <w:sz w:val="20"/>
          <w:szCs w:val="20"/>
          <w:lang w:val="es-419"/>
        </w:rPr>
        <w:t>,</w:t>
      </w:r>
      <w:r w:rsidR="00D013C6" w:rsidRPr="00756B84">
        <w:rPr>
          <w:rFonts w:ascii="Verdana" w:hAnsi="Verdana"/>
          <w:sz w:val="20"/>
          <w:szCs w:val="20"/>
          <w:lang w:val="es-419"/>
        </w:rPr>
        <w:t xml:space="preserve"> </w:t>
      </w:r>
      <w:r w:rsidR="00D013C6" w:rsidRPr="00756B84">
        <w:rPr>
          <w:rFonts w:ascii="Verdana" w:eastAsiaTheme="minorHAnsi" w:hAnsi="Verdana"/>
          <w:sz w:val="20"/>
          <w:szCs w:val="20"/>
        </w:rPr>
        <w:t xml:space="preserve">y </w:t>
      </w:r>
      <w:r w:rsidR="006342C0" w:rsidRPr="00756B84">
        <w:rPr>
          <w:rFonts w:ascii="Verdana" w:eastAsiaTheme="minorHAnsi" w:hAnsi="Verdana"/>
          <w:sz w:val="20"/>
          <w:szCs w:val="20"/>
        </w:rPr>
        <w:t>tal como lo expres</w:t>
      </w:r>
      <w:r w:rsidR="00A37468" w:rsidRPr="00756B84">
        <w:rPr>
          <w:rFonts w:ascii="Verdana" w:eastAsiaTheme="minorHAnsi" w:hAnsi="Verdana"/>
          <w:sz w:val="20"/>
          <w:szCs w:val="20"/>
        </w:rPr>
        <w:t>ara</w:t>
      </w:r>
      <w:r w:rsidR="006342C0" w:rsidRPr="00756B84">
        <w:rPr>
          <w:rFonts w:ascii="Verdana" w:eastAsiaTheme="minorHAnsi" w:hAnsi="Verdana"/>
          <w:sz w:val="20"/>
          <w:szCs w:val="20"/>
        </w:rPr>
        <w:t xml:space="preserve"> en</w:t>
      </w:r>
      <w:r w:rsidR="00822041" w:rsidRPr="00756B84">
        <w:rPr>
          <w:rFonts w:ascii="Verdana" w:eastAsiaTheme="minorHAnsi" w:hAnsi="Verdana"/>
          <w:sz w:val="20"/>
          <w:szCs w:val="20"/>
        </w:rPr>
        <w:t xml:space="preserve"> los</w:t>
      </w:r>
      <w:r w:rsidR="006342C0" w:rsidRPr="00756B84">
        <w:rPr>
          <w:rFonts w:ascii="Verdana" w:eastAsiaTheme="minorHAnsi" w:hAnsi="Verdana"/>
          <w:sz w:val="20"/>
          <w:szCs w:val="20"/>
        </w:rPr>
        <w:t xml:space="preserve"> votos</w:t>
      </w:r>
      <w:r w:rsidR="00A37468" w:rsidRPr="00756B84">
        <w:rPr>
          <w:rFonts w:ascii="Verdana" w:eastAsiaTheme="minorHAnsi" w:hAnsi="Verdana"/>
          <w:sz w:val="20"/>
          <w:szCs w:val="20"/>
        </w:rPr>
        <w:t xml:space="preserve"> emitidos en los casos </w:t>
      </w:r>
      <w:r w:rsidR="006342C0" w:rsidRPr="00756B84">
        <w:rPr>
          <w:rFonts w:ascii="Verdana" w:eastAsiaTheme="minorHAnsi" w:hAnsi="Verdana"/>
          <w:i/>
          <w:iCs/>
          <w:sz w:val="20"/>
          <w:szCs w:val="20"/>
        </w:rPr>
        <w:t>Guevara Díaz Vs. Costa Rica</w:t>
      </w:r>
      <w:r w:rsidR="002A0B0B" w:rsidRPr="00756B84">
        <w:rPr>
          <w:rFonts w:ascii="Verdana" w:eastAsiaTheme="minorHAnsi" w:hAnsi="Verdana"/>
          <w:sz w:val="20"/>
          <w:szCs w:val="20"/>
        </w:rPr>
        <w:t xml:space="preserve">, </w:t>
      </w:r>
      <w:r w:rsidR="006342C0" w:rsidRPr="00756B84">
        <w:rPr>
          <w:rFonts w:ascii="Verdana" w:eastAsiaTheme="minorHAnsi" w:hAnsi="Verdana"/>
          <w:i/>
          <w:iCs/>
          <w:sz w:val="20"/>
          <w:szCs w:val="20"/>
        </w:rPr>
        <w:t>Mina Cuero Vs. Ecuador</w:t>
      </w:r>
      <w:r w:rsidR="002A0B0B" w:rsidRPr="00756B84">
        <w:rPr>
          <w:rFonts w:ascii="Verdana" w:eastAsiaTheme="minorHAnsi" w:hAnsi="Verdana"/>
          <w:i/>
          <w:iCs/>
          <w:sz w:val="20"/>
          <w:szCs w:val="20"/>
        </w:rPr>
        <w:t xml:space="preserve">, </w:t>
      </w:r>
      <w:r w:rsidR="003764ED" w:rsidRPr="00756B84">
        <w:rPr>
          <w:rFonts w:ascii="Verdana" w:eastAsiaTheme="minorHAnsi" w:hAnsi="Verdana"/>
          <w:i/>
          <w:iCs/>
          <w:sz w:val="20"/>
          <w:szCs w:val="20"/>
        </w:rPr>
        <w:t>Benites Cabrera</w:t>
      </w:r>
      <w:r w:rsidR="0041501B" w:rsidRPr="00756B84">
        <w:rPr>
          <w:rFonts w:ascii="Verdana" w:eastAsiaTheme="minorHAnsi" w:hAnsi="Verdana"/>
          <w:i/>
          <w:iCs/>
          <w:sz w:val="20"/>
          <w:szCs w:val="20"/>
        </w:rPr>
        <w:t xml:space="preserve"> y otros Vs. Perú</w:t>
      </w:r>
      <w:r w:rsidR="00FE218E" w:rsidRPr="00756B84">
        <w:rPr>
          <w:rFonts w:ascii="Verdana" w:eastAsiaTheme="minorHAnsi" w:hAnsi="Verdana"/>
          <w:i/>
          <w:iCs/>
          <w:sz w:val="20"/>
          <w:szCs w:val="20"/>
        </w:rPr>
        <w:t xml:space="preserve">, Valencia Campos y otros Vs. Bolivia, Britez Arce y otros Vs. </w:t>
      </w:r>
      <w:r w:rsidR="003764ED" w:rsidRPr="00756B84">
        <w:rPr>
          <w:rFonts w:ascii="Verdana" w:eastAsiaTheme="minorHAnsi" w:hAnsi="Verdana"/>
          <w:i/>
          <w:iCs/>
          <w:sz w:val="20"/>
          <w:szCs w:val="20"/>
        </w:rPr>
        <w:t>Argentina,</w:t>
      </w:r>
      <w:r w:rsidR="002E1548" w:rsidRPr="00756B84">
        <w:rPr>
          <w:rFonts w:ascii="Verdana" w:eastAsiaTheme="minorHAnsi" w:hAnsi="Verdana"/>
          <w:i/>
          <w:iCs/>
          <w:sz w:val="20"/>
          <w:szCs w:val="20"/>
        </w:rPr>
        <w:t xml:space="preserve"> Nissen </w:t>
      </w:r>
      <w:r w:rsidR="002E1548" w:rsidRPr="00756B84">
        <w:rPr>
          <w:rFonts w:ascii="Verdana" w:eastAsiaTheme="minorHAnsi" w:hAnsi="Verdana" w:cs="Times New Roman"/>
          <w:sz w:val="20"/>
          <w:szCs w:val="20"/>
          <w:lang w:eastAsia="en-US"/>
        </w:rPr>
        <w:t>Pessolani</w:t>
      </w:r>
      <w:r w:rsidR="002E1548" w:rsidRPr="00756B84">
        <w:rPr>
          <w:rFonts w:ascii="Verdana" w:eastAsiaTheme="minorHAnsi" w:hAnsi="Verdana"/>
          <w:i/>
          <w:iCs/>
          <w:sz w:val="20"/>
          <w:szCs w:val="20"/>
        </w:rPr>
        <w:t xml:space="preserve"> Vs. Paraguay y Aguinaga Aillón Vs. Ecuador</w:t>
      </w:r>
      <w:r w:rsidR="00F844CC">
        <w:rPr>
          <w:rFonts w:ascii="Verdana" w:eastAsiaTheme="minorHAnsi" w:hAnsi="Verdana"/>
          <w:i/>
          <w:iCs/>
          <w:sz w:val="20"/>
          <w:szCs w:val="20"/>
        </w:rPr>
        <w:t>,</w:t>
      </w:r>
      <w:r w:rsidR="00055119" w:rsidRPr="00756B84">
        <w:rPr>
          <w:rFonts w:ascii="Verdana" w:eastAsiaTheme="minorHAnsi" w:hAnsi="Verdana"/>
          <w:i/>
          <w:iCs/>
          <w:sz w:val="20"/>
          <w:szCs w:val="20"/>
        </w:rPr>
        <w:t xml:space="preserve"> </w:t>
      </w:r>
      <w:r w:rsidR="006342C0" w:rsidRPr="00756B84">
        <w:rPr>
          <w:rFonts w:ascii="Verdana" w:eastAsiaTheme="minorHAnsi" w:hAnsi="Verdana"/>
          <w:sz w:val="20"/>
          <w:szCs w:val="20"/>
        </w:rPr>
        <w:t xml:space="preserve">ratifico mi posición en torno a la falta de competencia de este Tribunal </w:t>
      </w:r>
      <w:r w:rsidR="006471E1" w:rsidRPr="00756B84">
        <w:rPr>
          <w:rFonts w:ascii="Verdana" w:eastAsiaTheme="minorHAnsi" w:hAnsi="Verdana"/>
          <w:sz w:val="20"/>
          <w:szCs w:val="20"/>
        </w:rPr>
        <w:t>para declarar la violación autónoma de los d</w:t>
      </w:r>
      <w:r w:rsidR="006342C0" w:rsidRPr="00756B84">
        <w:rPr>
          <w:rFonts w:ascii="Verdana" w:eastAsiaTheme="minorHAnsi" w:hAnsi="Verdana"/>
          <w:sz w:val="20"/>
          <w:szCs w:val="20"/>
        </w:rPr>
        <w:t>erechos sociales, económicos, culturales y ambientales (en adelante, DESCA).</w:t>
      </w:r>
    </w:p>
    <w:p w14:paraId="75872042"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lang w:val="es-419"/>
        </w:rPr>
      </w:pPr>
    </w:p>
    <w:p w14:paraId="3CE5A591" w14:textId="1025110A" w:rsidR="006342C0"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eastAsiaTheme="minorHAnsi" w:hAnsi="Verdana"/>
          <w:sz w:val="20"/>
          <w:szCs w:val="20"/>
          <w:lang w:val="es-419"/>
        </w:rPr>
        <w:t xml:space="preserve"> </w:t>
      </w:r>
      <w:r w:rsidR="00693B2D" w:rsidRPr="00756B84">
        <w:rPr>
          <w:rFonts w:ascii="Verdana" w:eastAsiaTheme="minorHAnsi" w:hAnsi="Verdana"/>
          <w:sz w:val="20"/>
          <w:szCs w:val="20"/>
          <w:lang w:val="es-419"/>
        </w:rPr>
        <w:t xml:space="preserve">No </w:t>
      </w:r>
      <w:r w:rsidR="006342C0" w:rsidRPr="00756B84">
        <w:rPr>
          <w:rFonts w:ascii="Verdana" w:eastAsiaTheme="minorHAnsi" w:hAnsi="Verdana"/>
          <w:sz w:val="20"/>
          <w:szCs w:val="20"/>
        </w:rPr>
        <w:t xml:space="preserve">reiteraré acá los múltiples reparos lógicos, jurídicos y prácticos que suscita la teoría de la justiciabilidad </w:t>
      </w:r>
      <w:r w:rsidR="006342C0" w:rsidRPr="00756B84">
        <w:rPr>
          <w:rFonts w:ascii="Verdana" w:hAnsi="Verdana"/>
          <w:sz w:val="20"/>
          <w:szCs w:val="20"/>
          <w:lang w:val="es-419"/>
        </w:rPr>
        <w:t>directa</w:t>
      </w:r>
      <w:r w:rsidR="006342C0" w:rsidRPr="00756B84">
        <w:rPr>
          <w:rFonts w:ascii="Verdana" w:eastAsiaTheme="minorHAnsi" w:hAnsi="Verdana"/>
          <w:sz w:val="20"/>
          <w:szCs w:val="20"/>
        </w:rPr>
        <w:t xml:space="preserve"> de los DESCA, que con su admisión por la mayoría de la Corte a </w:t>
      </w:r>
      <w:r w:rsidR="006342C0" w:rsidRPr="00756B84">
        <w:rPr>
          <w:rFonts w:ascii="Verdana" w:eastAsiaTheme="minorHAnsi" w:hAnsi="Verdana" w:cs="Times New Roman"/>
          <w:sz w:val="20"/>
          <w:szCs w:val="20"/>
          <w:lang w:eastAsia="en-US"/>
        </w:rPr>
        <w:t>partir</w:t>
      </w:r>
      <w:r w:rsidR="006342C0" w:rsidRPr="00756B84">
        <w:rPr>
          <w:rFonts w:ascii="Verdana" w:eastAsiaTheme="minorHAnsi" w:hAnsi="Verdana"/>
          <w:sz w:val="20"/>
          <w:szCs w:val="20"/>
        </w:rPr>
        <w:t xml:space="preserve"> del caso</w:t>
      </w:r>
      <w:r w:rsidR="006342C0" w:rsidRPr="00756B84">
        <w:rPr>
          <w:rFonts w:ascii="Verdana" w:eastAsiaTheme="minorHAnsi" w:hAnsi="Verdana"/>
          <w:i/>
          <w:iCs/>
          <w:sz w:val="20"/>
          <w:szCs w:val="20"/>
        </w:rPr>
        <w:t xml:space="preserve"> Lagos del Campo Vs. Perú</w:t>
      </w:r>
      <w:r w:rsidR="00F32E76" w:rsidRPr="00756B84">
        <w:rPr>
          <w:rFonts w:ascii="Verdana" w:eastAsiaTheme="minorHAnsi" w:hAnsi="Verdana"/>
          <w:sz w:val="20"/>
          <w:szCs w:val="20"/>
        </w:rPr>
        <w:t xml:space="preserve">, </w:t>
      </w:r>
      <w:r w:rsidR="006342C0" w:rsidRPr="00756B84">
        <w:rPr>
          <w:rFonts w:ascii="Verdana" w:eastAsiaTheme="minorHAnsi" w:hAnsi="Verdana"/>
          <w:sz w:val="20"/>
          <w:szCs w:val="20"/>
        </w:rPr>
        <w:t xml:space="preserve">ha generado un conjunto de nuevas problemáticas que no hacen sino afectar la razonable predictibilidad y seguridad jurídica que debe garantizar el Tribunal. </w:t>
      </w:r>
    </w:p>
    <w:p w14:paraId="67F0D70D" w14:textId="77777777" w:rsidR="00756B84" w:rsidRDefault="00756B84" w:rsidP="00756B84">
      <w:pPr>
        <w:pStyle w:val="Prrafodelista"/>
        <w:rPr>
          <w:rFonts w:ascii="Verdana" w:eastAsiaTheme="minorHAnsi" w:hAnsi="Verdana"/>
          <w:sz w:val="20"/>
          <w:szCs w:val="20"/>
          <w:lang w:val="es-419"/>
        </w:rPr>
      </w:pPr>
    </w:p>
    <w:p w14:paraId="571B70BA" w14:textId="26F55EA9" w:rsidR="006342C0" w:rsidRPr="00756B84" w:rsidRDefault="00693B2D"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 </w:t>
      </w:r>
      <w:r w:rsidRPr="00756B84">
        <w:rPr>
          <w:rFonts w:ascii="Verdana" w:eastAsiaTheme="minorHAnsi" w:hAnsi="Verdana"/>
          <w:sz w:val="20"/>
          <w:szCs w:val="20"/>
          <w:lang w:val="es-419"/>
        </w:rPr>
        <w:t xml:space="preserve">En </w:t>
      </w:r>
      <w:r w:rsidR="00076704" w:rsidRPr="00756B84">
        <w:rPr>
          <w:rFonts w:ascii="Verdana" w:eastAsiaTheme="minorHAnsi" w:hAnsi="Verdana"/>
          <w:sz w:val="20"/>
          <w:szCs w:val="20"/>
        </w:rPr>
        <w:t>efecto</w:t>
      </w:r>
      <w:r w:rsidR="00E23960" w:rsidRPr="00756B84">
        <w:rPr>
          <w:rFonts w:ascii="Verdana" w:eastAsiaTheme="minorHAnsi" w:hAnsi="Verdana"/>
          <w:sz w:val="20"/>
          <w:szCs w:val="20"/>
        </w:rPr>
        <w:t xml:space="preserve">, tal modo de proceder soslaya la exigencia de que las obligaciones </w:t>
      </w:r>
      <w:r w:rsidR="006342C0" w:rsidRPr="00756B84">
        <w:rPr>
          <w:rFonts w:ascii="Verdana" w:eastAsiaTheme="minorHAnsi" w:hAnsi="Verdana"/>
          <w:sz w:val="20"/>
          <w:szCs w:val="20"/>
        </w:rPr>
        <w:t>internacionales deb</w:t>
      </w:r>
      <w:r w:rsidR="00584568" w:rsidRPr="00756B84">
        <w:rPr>
          <w:rFonts w:ascii="Verdana" w:eastAsiaTheme="minorHAnsi" w:hAnsi="Verdana"/>
          <w:sz w:val="20"/>
          <w:szCs w:val="20"/>
        </w:rPr>
        <w:t>an</w:t>
      </w:r>
      <w:r w:rsidR="006342C0" w:rsidRPr="00756B84">
        <w:rPr>
          <w:rFonts w:ascii="Verdana" w:eastAsiaTheme="minorHAnsi" w:hAnsi="Verdana"/>
          <w:sz w:val="20"/>
          <w:szCs w:val="20"/>
        </w:rPr>
        <w:t xml:space="preserve"> emanar del consentimiento previo y expreso de los Estados</w:t>
      </w:r>
      <w:r w:rsidR="00584568" w:rsidRPr="00756B84">
        <w:rPr>
          <w:rFonts w:ascii="Verdana" w:eastAsiaTheme="minorHAnsi" w:hAnsi="Verdana"/>
          <w:sz w:val="20"/>
          <w:szCs w:val="20"/>
        </w:rPr>
        <w:t xml:space="preserve">; omite </w:t>
      </w:r>
      <w:r w:rsidR="00862C96" w:rsidRPr="00756B84">
        <w:rPr>
          <w:rFonts w:ascii="Verdana" w:eastAsiaTheme="minorHAnsi" w:hAnsi="Verdana"/>
          <w:sz w:val="20"/>
          <w:szCs w:val="20"/>
        </w:rPr>
        <w:t>explicitar que</w:t>
      </w:r>
      <w:r w:rsidR="0012041A" w:rsidRPr="00756B84">
        <w:rPr>
          <w:rFonts w:ascii="Verdana" w:eastAsiaTheme="minorHAnsi" w:hAnsi="Verdana"/>
          <w:sz w:val="20"/>
          <w:szCs w:val="20"/>
        </w:rPr>
        <w:t xml:space="preserve"> éstos</w:t>
      </w:r>
      <w:r w:rsidR="00862C96" w:rsidRPr="00756B84">
        <w:rPr>
          <w:rFonts w:ascii="Verdana" w:eastAsiaTheme="minorHAnsi" w:hAnsi="Verdana"/>
          <w:sz w:val="20"/>
          <w:szCs w:val="20"/>
        </w:rPr>
        <w:t xml:space="preserve"> </w:t>
      </w:r>
      <w:r w:rsidR="006342C0" w:rsidRPr="00756B84">
        <w:rPr>
          <w:rFonts w:ascii="Verdana" w:eastAsiaTheme="minorHAnsi" w:hAnsi="Verdana"/>
          <w:sz w:val="20"/>
          <w:szCs w:val="20"/>
        </w:rPr>
        <w:t xml:space="preserve">no han otorgado competencia a este Tribunal para pronunciarse </w:t>
      </w:r>
      <w:r w:rsidR="006342C0" w:rsidRPr="00F844CC">
        <w:rPr>
          <w:rFonts w:ascii="Verdana" w:eastAsiaTheme="minorHAnsi" w:hAnsi="Verdana"/>
          <w:sz w:val="20"/>
          <w:szCs w:val="20"/>
          <w:lang w:val="es-419"/>
        </w:rPr>
        <w:t>respecto</w:t>
      </w:r>
      <w:r w:rsidR="006342C0" w:rsidRPr="00756B84">
        <w:rPr>
          <w:rFonts w:ascii="Verdana" w:eastAsiaTheme="minorHAnsi" w:hAnsi="Verdana"/>
          <w:sz w:val="20"/>
          <w:szCs w:val="20"/>
        </w:rPr>
        <w:t xml:space="preserve"> de los DESCA</w:t>
      </w:r>
      <w:r w:rsidR="00210566" w:rsidRPr="00756B84">
        <w:rPr>
          <w:rFonts w:ascii="Verdana" w:eastAsiaTheme="minorHAnsi" w:hAnsi="Verdana"/>
          <w:sz w:val="20"/>
          <w:szCs w:val="20"/>
        </w:rPr>
        <w:t xml:space="preserve">, como </w:t>
      </w:r>
      <w:r w:rsidR="004221CB" w:rsidRPr="00756B84">
        <w:rPr>
          <w:rFonts w:ascii="Verdana" w:hAnsi="Verdana"/>
          <w:sz w:val="20"/>
          <w:szCs w:val="20"/>
          <w:lang w:val="es-419"/>
        </w:rPr>
        <w:t>consta</w:t>
      </w:r>
      <w:r w:rsidR="004221CB" w:rsidRPr="00756B84">
        <w:rPr>
          <w:rFonts w:ascii="Verdana" w:eastAsiaTheme="minorHAnsi" w:hAnsi="Verdana"/>
          <w:sz w:val="20"/>
          <w:szCs w:val="20"/>
        </w:rPr>
        <w:t xml:space="preserve"> tanto del Tratad</w:t>
      </w:r>
      <w:r w:rsidR="00474614" w:rsidRPr="00756B84">
        <w:rPr>
          <w:rFonts w:ascii="Verdana" w:eastAsiaTheme="minorHAnsi" w:hAnsi="Verdana"/>
          <w:sz w:val="20"/>
          <w:szCs w:val="20"/>
        </w:rPr>
        <w:t xml:space="preserve">o como de su </w:t>
      </w:r>
      <w:r w:rsidR="00474614" w:rsidRPr="00756B84">
        <w:rPr>
          <w:rFonts w:ascii="Verdana" w:eastAsiaTheme="minorHAnsi" w:hAnsi="Verdana" w:cs="Times New Roman"/>
          <w:sz w:val="20"/>
          <w:szCs w:val="20"/>
          <w:lang w:eastAsia="en-US"/>
        </w:rPr>
        <w:t>Protocolo</w:t>
      </w:r>
      <w:r w:rsidR="00474614" w:rsidRPr="00756B84">
        <w:rPr>
          <w:rFonts w:ascii="Verdana" w:eastAsiaTheme="minorHAnsi" w:hAnsi="Verdana"/>
          <w:sz w:val="20"/>
          <w:szCs w:val="20"/>
        </w:rPr>
        <w:t xml:space="preserve"> Adicional</w:t>
      </w:r>
      <w:r w:rsidR="00B71EAE" w:rsidRPr="00756B84">
        <w:rPr>
          <w:rStyle w:val="Refdenotaalpie"/>
          <w:rFonts w:ascii="Verdana" w:eastAsiaTheme="minorHAnsi" w:hAnsi="Verdana"/>
          <w:sz w:val="20"/>
          <w:szCs w:val="20"/>
        </w:rPr>
        <w:footnoteReference w:id="6"/>
      </w:r>
      <w:r w:rsidR="00D309D0" w:rsidRPr="00756B84">
        <w:rPr>
          <w:rFonts w:ascii="Verdana" w:eastAsiaTheme="minorHAnsi" w:hAnsi="Verdana"/>
          <w:sz w:val="20"/>
          <w:szCs w:val="20"/>
        </w:rPr>
        <w:t>; pretende</w:t>
      </w:r>
      <w:r w:rsidR="006342C0" w:rsidRPr="00756B84">
        <w:rPr>
          <w:rFonts w:ascii="Verdana" w:eastAsiaTheme="minorHAnsi" w:hAnsi="Verdana"/>
          <w:sz w:val="20"/>
          <w:szCs w:val="20"/>
        </w:rPr>
        <w:t xml:space="preserve"> ampliar artificialmente la competencia del Tribunal</w:t>
      </w:r>
      <w:r w:rsidR="00335AC3" w:rsidRPr="00756B84">
        <w:rPr>
          <w:rFonts w:ascii="Verdana" w:eastAsiaTheme="minorHAnsi" w:hAnsi="Verdana"/>
          <w:sz w:val="20"/>
          <w:szCs w:val="20"/>
        </w:rPr>
        <w:t xml:space="preserve"> y</w:t>
      </w:r>
      <w:r w:rsidR="006342C0" w:rsidRPr="00756B84">
        <w:rPr>
          <w:rFonts w:ascii="Verdana" w:eastAsiaTheme="minorHAnsi" w:hAnsi="Verdana"/>
          <w:sz w:val="20"/>
          <w:szCs w:val="20"/>
        </w:rPr>
        <w:t xml:space="preserve"> </w:t>
      </w:r>
      <w:r w:rsidR="00573E98" w:rsidRPr="00756B84">
        <w:rPr>
          <w:rFonts w:ascii="Verdana" w:eastAsiaTheme="minorHAnsi" w:hAnsi="Verdana"/>
          <w:sz w:val="20"/>
          <w:szCs w:val="20"/>
        </w:rPr>
        <w:t xml:space="preserve">se aparta de </w:t>
      </w:r>
      <w:r w:rsidR="006342C0" w:rsidRPr="00756B84">
        <w:rPr>
          <w:rFonts w:ascii="Verdana" w:eastAsiaTheme="minorHAnsi" w:hAnsi="Verdana"/>
          <w:sz w:val="20"/>
          <w:szCs w:val="20"/>
        </w:rPr>
        <w:t>las reglas de interpretación del Tratado</w:t>
      </w:r>
      <w:r w:rsidR="00870BAC" w:rsidRPr="00756B84">
        <w:rPr>
          <w:rFonts w:ascii="Verdana" w:eastAsiaTheme="minorHAnsi" w:hAnsi="Verdana"/>
          <w:sz w:val="20"/>
          <w:szCs w:val="20"/>
        </w:rPr>
        <w:t xml:space="preserve">. </w:t>
      </w:r>
      <w:r w:rsidR="00597080" w:rsidRPr="00756B84">
        <w:rPr>
          <w:rFonts w:ascii="Verdana" w:eastAsiaTheme="minorHAnsi" w:hAnsi="Verdana"/>
          <w:sz w:val="20"/>
          <w:szCs w:val="20"/>
        </w:rPr>
        <w:t>Por</w:t>
      </w:r>
      <w:r w:rsidR="006342C0" w:rsidRPr="00756B84">
        <w:rPr>
          <w:rFonts w:ascii="Verdana" w:eastAsiaTheme="minorHAnsi" w:hAnsi="Verdana"/>
          <w:sz w:val="20"/>
          <w:szCs w:val="20"/>
        </w:rPr>
        <w:t xml:space="preserve"> ende, en la práctica se está </w:t>
      </w:r>
      <w:r w:rsidR="0012041A" w:rsidRPr="00756B84">
        <w:rPr>
          <w:rFonts w:ascii="Verdana" w:eastAsiaTheme="minorHAnsi" w:hAnsi="Verdana"/>
          <w:sz w:val="20"/>
          <w:szCs w:val="20"/>
        </w:rPr>
        <w:t>alterando</w:t>
      </w:r>
      <w:r w:rsidR="006342C0" w:rsidRPr="00756B84">
        <w:rPr>
          <w:rFonts w:ascii="Verdana" w:eastAsiaTheme="minorHAnsi" w:hAnsi="Verdana"/>
          <w:sz w:val="20"/>
          <w:szCs w:val="20"/>
        </w:rPr>
        <w:t xml:space="preserve"> </w:t>
      </w:r>
      <w:r w:rsidR="00DA6526" w:rsidRPr="00756B84">
        <w:rPr>
          <w:rFonts w:ascii="Verdana" w:eastAsiaTheme="minorHAnsi" w:hAnsi="Verdana"/>
          <w:sz w:val="20"/>
          <w:szCs w:val="20"/>
        </w:rPr>
        <w:t xml:space="preserve">su </w:t>
      </w:r>
      <w:r w:rsidR="006342C0" w:rsidRPr="00756B84">
        <w:rPr>
          <w:rFonts w:ascii="Verdana" w:eastAsiaTheme="minorHAnsi" w:hAnsi="Verdana"/>
          <w:sz w:val="20"/>
          <w:szCs w:val="20"/>
        </w:rPr>
        <w:t>contenido al margen de las reglas previstas para su modificación o enmienda</w:t>
      </w:r>
      <w:r w:rsidR="00F844CC" w:rsidRPr="00756B84">
        <w:rPr>
          <w:rStyle w:val="Refdenotaalpie"/>
          <w:rFonts w:ascii="Verdana" w:eastAsiaTheme="minorHAnsi" w:hAnsi="Verdana"/>
          <w:sz w:val="20"/>
          <w:szCs w:val="20"/>
        </w:rPr>
        <w:footnoteReference w:id="7"/>
      </w:r>
      <w:r w:rsidR="006342C0" w:rsidRPr="00756B84">
        <w:rPr>
          <w:rFonts w:ascii="Verdana" w:eastAsiaTheme="minorHAnsi" w:hAnsi="Verdana"/>
          <w:sz w:val="20"/>
          <w:szCs w:val="20"/>
        </w:rPr>
        <w:t>, es decir está operando una mutación jurisprudencial del texto</w:t>
      </w:r>
      <w:r w:rsidR="006342C0" w:rsidRPr="00756B84">
        <w:rPr>
          <w:rStyle w:val="Refdenotaalpie"/>
          <w:rFonts w:ascii="Verdana" w:eastAsiaTheme="minorHAnsi" w:hAnsi="Verdana"/>
          <w:sz w:val="20"/>
          <w:szCs w:val="20"/>
        </w:rPr>
        <w:footnoteReference w:id="8"/>
      </w:r>
      <w:r w:rsidR="00667D72" w:rsidRPr="00756B84">
        <w:rPr>
          <w:rFonts w:ascii="Verdana" w:eastAsiaTheme="minorHAnsi" w:hAnsi="Verdana"/>
          <w:sz w:val="20"/>
          <w:szCs w:val="20"/>
        </w:rPr>
        <w:t>.</w:t>
      </w:r>
      <w:r w:rsidR="006342C0" w:rsidRPr="00756B84">
        <w:rPr>
          <w:rFonts w:ascii="Verdana" w:eastAsiaTheme="minorHAnsi" w:hAnsi="Verdana"/>
          <w:sz w:val="20"/>
          <w:szCs w:val="20"/>
        </w:rPr>
        <w:t xml:space="preserve"> </w:t>
      </w:r>
    </w:p>
    <w:p w14:paraId="7C5A2CDA" w14:textId="77777777" w:rsidR="00756B84" w:rsidRDefault="00756B84" w:rsidP="00756B84">
      <w:pPr>
        <w:pStyle w:val="Prrafodelista"/>
        <w:rPr>
          <w:rFonts w:ascii="Verdana" w:eastAsiaTheme="minorHAnsi" w:hAnsi="Verdana"/>
          <w:sz w:val="20"/>
          <w:szCs w:val="20"/>
          <w:lang w:val="es-419"/>
        </w:rPr>
      </w:pPr>
    </w:p>
    <w:p w14:paraId="59E56EEE" w14:textId="790B6EA4" w:rsidR="00591680"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eastAsiaTheme="minorHAnsi" w:hAnsi="Verdana"/>
          <w:sz w:val="20"/>
          <w:szCs w:val="20"/>
        </w:rPr>
        <w:t xml:space="preserve"> </w:t>
      </w:r>
      <w:r w:rsidR="00591680" w:rsidRPr="00756B84">
        <w:rPr>
          <w:rFonts w:ascii="Verdana" w:eastAsiaTheme="minorHAnsi" w:hAnsi="Verdana"/>
          <w:sz w:val="20"/>
          <w:szCs w:val="20"/>
        </w:rPr>
        <w:t>Como he señalado en otras oportunidades,</w:t>
      </w:r>
      <w:r w:rsidR="00591680" w:rsidRPr="00756B84">
        <w:rPr>
          <w:rFonts w:ascii="Verdana" w:eastAsiaTheme="minorHAnsi" w:hAnsi="Verdana"/>
          <w:sz w:val="20"/>
          <w:szCs w:val="20"/>
          <w:lang w:val="es-419"/>
        </w:rPr>
        <w:t xml:space="preserve"> afirmar la ausencia de justiciabilidad directa de los DESCA ante la Corte no implica desconocer la existencia, la enorme importancia de tales derechos, el carácter interdependiente e indivisible que estos tienen respecto de los derechos civiles y políticos ni tampoco que carezcan de protección o que no deban ser protegidos. Es deber de los Estados permitir que la autonomía de las personas se actualice, lo cual implica que estas puedan contar con acceso a bienes primarios (más amplios que los definidos en el ámbito de la filosofía </w:t>
      </w:r>
      <w:r w:rsidR="00591680" w:rsidRPr="00756B84">
        <w:rPr>
          <w:rFonts w:ascii="Verdana" w:eastAsiaTheme="minorHAnsi" w:hAnsi="Verdana"/>
          <w:sz w:val="20"/>
          <w:szCs w:val="20"/>
          <w:lang w:val="es-419"/>
        </w:rPr>
        <w:lastRenderedPageBreak/>
        <w:t>política por John Rawls</w:t>
      </w:r>
      <w:r w:rsidR="00F844CC" w:rsidRPr="00756B84">
        <w:rPr>
          <w:rStyle w:val="Refdenotaalpie"/>
          <w:rFonts w:ascii="Verdana" w:eastAsiaTheme="minorHAnsi" w:hAnsi="Verdana"/>
          <w:sz w:val="20"/>
          <w:szCs w:val="20"/>
          <w:lang w:val="es-419"/>
        </w:rPr>
        <w:footnoteReference w:id="9"/>
      </w:r>
      <w:r w:rsidR="00591680" w:rsidRPr="00756B84">
        <w:rPr>
          <w:rFonts w:ascii="Verdana" w:eastAsiaTheme="minorHAnsi" w:hAnsi="Verdana"/>
          <w:sz w:val="20"/>
          <w:szCs w:val="20"/>
          <w:lang w:val="es-419"/>
        </w:rPr>
        <w:t>), que hagan posible el desarrollo de sus capacidades, esto es, acceder a derechos económicos, sociales y culturales y ambientales</w:t>
      </w:r>
      <w:r w:rsidR="00591680" w:rsidRPr="00756B84">
        <w:rPr>
          <w:rStyle w:val="Refdenotaalpie"/>
          <w:rFonts w:ascii="Verdana" w:eastAsiaTheme="minorHAnsi" w:hAnsi="Verdana"/>
          <w:sz w:val="20"/>
          <w:szCs w:val="20"/>
          <w:lang w:val="es-419"/>
        </w:rPr>
        <w:footnoteReference w:id="10"/>
      </w:r>
      <w:r w:rsidR="00667D72" w:rsidRPr="00756B84">
        <w:rPr>
          <w:rFonts w:ascii="Verdana" w:eastAsiaTheme="minorHAnsi" w:hAnsi="Verdana"/>
          <w:sz w:val="20"/>
          <w:szCs w:val="20"/>
          <w:lang w:val="es-419"/>
        </w:rPr>
        <w:t>.</w:t>
      </w:r>
      <w:r w:rsidR="00591680" w:rsidRPr="00756B84">
        <w:rPr>
          <w:rFonts w:ascii="Verdana" w:eastAsiaTheme="minorHAnsi" w:hAnsi="Verdana"/>
          <w:sz w:val="20"/>
          <w:szCs w:val="20"/>
          <w:lang w:val="es-419"/>
        </w:rPr>
        <w:t xml:space="preserve"> </w:t>
      </w:r>
    </w:p>
    <w:p w14:paraId="5E0ED0E3" w14:textId="77777777" w:rsidR="00F62C8C" w:rsidRPr="00756B84" w:rsidRDefault="00F62C8C" w:rsidP="00756B84">
      <w:pPr>
        <w:pStyle w:val="Numberedparagraphs"/>
        <w:widowControl w:val="0"/>
        <w:numPr>
          <w:ilvl w:val="0"/>
          <w:numId w:val="0"/>
        </w:numPr>
        <w:tabs>
          <w:tab w:val="left" w:pos="567"/>
        </w:tabs>
        <w:autoSpaceDE w:val="0"/>
        <w:autoSpaceDN w:val="0"/>
        <w:adjustRightInd w:val="0"/>
        <w:ind w:left="720"/>
        <w:contextualSpacing/>
        <w:rPr>
          <w:rFonts w:eastAsiaTheme="minorHAnsi"/>
          <w:lang w:val="es-419"/>
        </w:rPr>
      </w:pPr>
    </w:p>
    <w:p w14:paraId="21EED46B" w14:textId="1CD13034" w:rsidR="00F62C8C" w:rsidRDefault="00F62C8C" w:rsidP="00756B84">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sidRPr="00756B84">
        <w:rPr>
          <w:rFonts w:eastAsiaTheme="minorHAnsi"/>
          <w:b/>
          <w:bCs/>
          <w:lang w:val="es-419"/>
        </w:rPr>
        <w:t>Carta de la OEA</w:t>
      </w:r>
    </w:p>
    <w:p w14:paraId="4AEACAF9" w14:textId="77777777" w:rsidR="00756B84" w:rsidRP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3E9174AB" w14:textId="46A08AC1" w:rsidR="00EC26F2" w:rsidRPr="00756B84" w:rsidRDefault="007335D2"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Pr>
          <w:rFonts w:ascii="Verdana" w:eastAsiaTheme="minorHAnsi" w:hAnsi="Verdana"/>
          <w:sz w:val="20"/>
          <w:szCs w:val="20"/>
        </w:rPr>
        <w:t xml:space="preserve"> </w:t>
      </w:r>
      <w:r w:rsidR="008F7DA3" w:rsidRPr="00756B84">
        <w:rPr>
          <w:rFonts w:ascii="Verdana" w:eastAsiaTheme="minorHAnsi" w:hAnsi="Verdana"/>
          <w:sz w:val="20"/>
          <w:szCs w:val="20"/>
        </w:rPr>
        <w:t>El</w:t>
      </w:r>
      <w:r w:rsidR="00DE1C4A" w:rsidRPr="00756B84">
        <w:rPr>
          <w:rFonts w:ascii="Verdana" w:eastAsiaTheme="minorHAnsi" w:hAnsi="Verdana"/>
          <w:sz w:val="20"/>
          <w:szCs w:val="20"/>
        </w:rPr>
        <w:t xml:space="preserve"> fundamento</w:t>
      </w:r>
      <w:r w:rsidR="008F7DA3" w:rsidRPr="00756B84">
        <w:rPr>
          <w:rFonts w:ascii="Verdana" w:eastAsiaTheme="minorHAnsi" w:hAnsi="Verdana"/>
          <w:sz w:val="20"/>
          <w:szCs w:val="20"/>
        </w:rPr>
        <w:t xml:space="preserve"> en que se hace reposar la </w:t>
      </w:r>
      <w:r w:rsidR="00667D72" w:rsidRPr="00756B84">
        <w:rPr>
          <w:rFonts w:ascii="Verdana" w:eastAsiaTheme="minorHAnsi" w:hAnsi="Verdana"/>
          <w:sz w:val="20"/>
          <w:szCs w:val="20"/>
        </w:rPr>
        <w:t>pretendida justiciabilidad</w:t>
      </w:r>
      <w:r w:rsidR="00751E72" w:rsidRPr="00756B84">
        <w:rPr>
          <w:rFonts w:ascii="Verdana" w:eastAsiaTheme="minorHAnsi" w:hAnsi="Verdana"/>
          <w:sz w:val="20"/>
          <w:szCs w:val="20"/>
        </w:rPr>
        <w:t xml:space="preserve"> </w:t>
      </w:r>
      <w:r w:rsidR="00DE1C4A" w:rsidRPr="00756B84">
        <w:rPr>
          <w:rFonts w:ascii="Verdana" w:eastAsiaTheme="minorHAnsi" w:hAnsi="Verdana"/>
          <w:sz w:val="20"/>
          <w:szCs w:val="20"/>
        </w:rPr>
        <w:t>directa del derecho a la salud</w:t>
      </w:r>
      <w:r w:rsidR="00307A6B" w:rsidRPr="00756B84">
        <w:rPr>
          <w:rFonts w:ascii="Verdana" w:eastAsiaTheme="minorHAnsi" w:hAnsi="Verdana"/>
          <w:sz w:val="20"/>
          <w:szCs w:val="20"/>
        </w:rPr>
        <w:t xml:space="preserve"> </w:t>
      </w:r>
      <w:r w:rsidR="007C635D" w:rsidRPr="00756B84">
        <w:rPr>
          <w:rFonts w:ascii="Verdana" w:eastAsiaTheme="minorHAnsi" w:hAnsi="Verdana"/>
          <w:sz w:val="20"/>
          <w:szCs w:val="20"/>
        </w:rPr>
        <w:t>radicaría en</w:t>
      </w:r>
      <w:r w:rsidR="00307A6B" w:rsidRPr="00756B84">
        <w:rPr>
          <w:rFonts w:ascii="Verdana" w:eastAsiaTheme="minorHAnsi" w:hAnsi="Verdana"/>
          <w:sz w:val="20"/>
          <w:szCs w:val="20"/>
        </w:rPr>
        <w:t xml:space="preserve"> que el artículo 26 de la CADH </w:t>
      </w:r>
      <w:r w:rsidR="008F00A7" w:rsidRPr="00756B84">
        <w:rPr>
          <w:rFonts w:ascii="Verdana" w:eastAsiaTheme="minorHAnsi" w:hAnsi="Verdana"/>
          <w:sz w:val="20"/>
          <w:szCs w:val="20"/>
        </w:rPr>
        <w:t xml:space="preserve">constituiría “un artículo </w:t>
      </w:r>
      <w:r w:rsidR="00751E72" w:rsidRPr="00756B84">
        <w:rPr>
          <w:rFonts w:ascii="Verdana" w:eastAsiaTheme="minorHAnsi" w:hAnsi="Verdana"/>
          <w:sz w:val="20"/>
          <w:szCs w:val="20"/>
        </w:rPr>
        <w:t>marco</w:t>
      </w:r>
      <w:r w:rsidR="008F00A7" w:rsidRPr="00756B84">
        <w:rPr>
          <w:rFonts w:ascii="Verdana" w:eastAsiaTheme="minorHAnsi" w:hAnsi="Verdana"/>
          <w:sz w:val="20"/>
          <w:szCs w:val="20"/>
        </w:rPr>
        <w:t xml:space="preserve"> que integra distintos derechos y remite </w:t>
      </w:r>
      <w:r w:rsidR="00EB51DB" w:rsidRPr="00756B84">
        <w:rPr>
          <w:rFonts w:ascii="Verdana" w:eastAsiaTheme="minorHAnsi" w:hAnsi="Verdana"/>
          <w:sz w:val="20"/>
          <w:szCs w:val="20"/>
        </w:rPr>
        <w:t xml:space="preserve">a </w:t>
      </w:r>
      <w:r w:rsidR="008F00A7" w:rsidRPr="00756B84">
        <w:rPr>
          <w:rFonts w:ascii="Verdana" w:eastAsiaTheme="minorHAnsi" w:hAnsi="Verdana"/>
          <w:sz w:val="20"/>
          <w:szCs w:val="20"/>
        </w:rPr>
        <w:t xml:space="preserve">la </w:t>
      </w:r>
      <w:r w:rsidR="00EB51DB" w:rsidRPr="00756B84">
        <w:rPr>
          <w:rFonts w:ascii="Verdana" w:eastAsiaTheme="minorHAnsi" w:hAnsi="Verdana"/>
          <w:sz w:val="20"/>
          <w:szCs w:val="20"/>
        </w:rPr>
        <w:t>Carta</w:t>
      </w:r>
      <w:r w:rsidR="008F00A7" w:rsidRPr="00756B84">
        <w:rPr>
          <w:rFonts w:ascii="Verdana" w:eastAsiaTheme="minorHAnsi" w:hAnsi="Verdana"/>
          <w:sz w:val="20"/>
          <w:szCs w:val="20"/>
        </w:rPr>
        <w:t xml:space="preserve"> de la OEA</w:t>
      </w:r>
      <w:r w:rsidR="00FF4721" w:rsidRPr="00756B84">
        <w:rPr>
          <w:rFonts w:ascii="Verdana" w:eastAsiaTheme="minorHAnsi" w:hAnsi="Verdana"/>
          <w:sz w:val="20"/>
          <w:szCs w:val="20"/>
        </w:rPr>
        <w:t>”</w:t>
      </w:r>
      <w:r w:rsidR="008F00A7" w:rsidRPr="00756B84">
        <w:rPr>
          <w:rFonts w:ascii="Verdana" w:eastAsiaTheme="minorHAnsi" w:hAnsi="Verdana"/>
          <w:sz w:val="20"/>
          <w:szCs w:val="20"/>
        </w:rPr>
        <w:t xml:space="preserve">. </w:t>
      </w:r>
      <w:r w:rsidR="00556DE5" w:rsidRPr="00756B84">
        <w:rPr>
          <w:rFonts w:ascii="Verdana" w:eastAsiaTheme="minorHAnsi" w:hAnsi="Verdana"/>
          <w:sz w:val="20"/>
          <w:szCs w:val="20"/>
        </w:rPr>
        <w:t>Se indica que “de l</w:t>
      </w:r>
      <w:r w:rsidR="008F00A7" w:rsidRPr="00756B84">
        <w:rPr>
          <w:rFonts w:ascii="Verdana" w:eastAsiaTheme="minorHAnsi" w:hAnsi="Verdana"/>
          <w:sz w:val="20"/>
          <w:szCs w:val="20"/>
        </w:rPr>
        <w:t>os artículos 34.</w:t>
      </w:r>
      <w:r w:rsidR="00EB51DB" w:rsidRPr="00756B84">
        <w:rPr>
          <w:rFonts w:ascii="Verdana" w:eastAsiaTheme="minorHAnsi" w:hAnsi="Verdana"/>
          <w:sz w:val="20"/>
          <w:szCs w:val="20"/>
        </w:rPr>
        <w:t>i</w:t>
      </w:r>
      <w:r w:rsidR="008F00A7" w:rsidRPr="00756B84">
        <w:rPr>
          <w:rFonts w:ascii="Verdana" w:eastAsiaTheme="minorHAnsi" w:hAnsi="Verdana"/>
          <w:sz w:val="20"/>
          <w:szCs w:val="20"/>
        </w:rPr>
        <w:t>, 34.</w:t>
      </w:r>
      <w:r w:rsidR="00EB51DB" w:rsidRPr="00756B84">
        <w:rPr>
          <w:rFonts w:ascii="Verdana" w:eastAsiaTheme="minorHAnsi" w:hAnsi="Verdana"/>
          <w:sz w:val="20"/>
          <w:szCs w:val="20"/>
        </w:rPr>
        <w:t>l</w:t>
      </w:r>
      <w:r w:rsidR="008F00A7" w:rsidRPr="00756B84">
        <w:rPr>
          <w:rFonts w:ascii="Verdana" w:eastAsiaTheme="minorHAnsi" w:hAnsi="Verdana"/>
          <w:sz w:val="20"/>
          <w:szCs w:val="20"/>
        </w:rPr>
        <w:t xml:space="preserve"> y 45.</w:t>
      </w:r>
      <w:r w:rsidR="00EB51DB" w:rsidRPr="00756B84">
        <w:rPr>
          <w:rFonts w:ascii="Verdana" w:eastAsiaTheme="minorHAnsi" w:hAnsi="Verdana"/>
          <w:sz w:val="20"/>
          <w:szCs w:val="20"/>
        </w:rPr>
        <w:t xml:space="preserve">h </w:t>
      </w:r>
      <w:r w:rsidR="008F00A7" w:rsidRPr="00756B84">
        <w:rPr>
          <w:rFonts w:ascii="Verdana" w:eastAsiaTheme="minorHAnsi" w:hAnsi="Verdana"/>
          <w:sz w:val="20"/>
          <w:szCs w:val="20"/>
        </w:rPr>
        <w:t xml:space="preserve">de la referida </w:t>
      </w:r>
      <w:r w:rsidR="00EB51DB" w:rsidRPr="00756B84">
        <w:rPr>
          <w:rFonts w:ascii="Verdana" w:eastAsiaTheme="minorHAnsi" w:hAnsi="Verdana"/>
          <w:sz w:val="20"/>
          <w:szCs w:val="20"/>
        </w:rPr>
        <w:t xml:space="preserve">Carta </w:t>
      </w:r>
      <w:r w:rsidR="006C6D6B" w:rsidRPr="00756B84">
        <w:rPr>
          <w:rFonts w:ascii="Verdana" w:eastAsiaTheme="minorHAnsi" w:hAnsi="Verdana"/>
          <w:sz w:val="20"/>
          <w:szCs w:val="20"/>
        </w:rPr>
        <w:t>de</w:t>
      </w:r>
      <w:r w:rsidR="00EB51DB" w:rsidRPr="00756B84">
        <w:rPr>
          <w:rFonts w:ascii="Verdana" w:eastAsiaTheme="minorHAnsi" w:hAnsi="Verdana"/>
          <w:sz w:val="20"/>
          <w:szCs w:val="20"/>
        </w:rPr>
        <w:t xml:space="preserve"> la OEA se </w:t>
      </w:r>
      <w:r w:rsidR="008F00A7" w:rsidRPr="00756B84">
        <w:rPr>
          <w:rFonts w:ascii="Verdana" w:eastAsiaTheme="minorHAnsi" w:hAnsi="Verdana"/>
          <w:sz w:val="20"/>
          <w:szCs w:val="20"/>
        </w:rPr>
        <w:t>deriva la inclusión en dicho instrumento del derecho a la salud,</w:t>
      </w:r>
      <w:r w:rsidR="00EC26F2" w:rsidRPr="00756B84">
        <w:rPr>
          <w:rFonts w:ascii="Verdana" w:eastAsiaTheme="minorHAnsi" w:hAnsi="Verdana"/>
          <w:sz w:val="20"/>
          <w:szCs w:val="20"/>
        </w:rPr>
        <w:t xml:space="preserve"> por lo que este </w:t>
      </w:r>
      <w:r w:rsidR="00EB0060" w:rsidRPr="00756B84">
        <w:rPr>
          <w:rFonts w:ascii="Verdana" w:eastAsiaTheme="minorHAnsi" w:hAnsi="Verdana"/>
          <w:sz w:val="20"/>
          <w:szCs w:val="20"/>
        </w:rPr>
        <w:t>Tribunal</w:t>
      </w:r>
      <w:r w:rsidR="00EC26F2" w:rsidRPr="00756B84">
        <w:rPr>
          <w:rFonts w:ascii="Verdana" w:eastAsiaTheme="minorHAnsi" w:hAnsi="Verdana"/>
          <w:sz w:val="20"/>
          <w:szCs w:val="20"/>
        </w:rPr>
        <w:t>, en diferentes pre</w:t>
      </w:r>
      <w:r w:rsidR="00EB0060" w:rsidRPr="00756B84">
        <w:rPr>
          <w:rFonts w:ascii="Verdana" w:eastAsiaTheme="minorHAnsi" w:hAnsi="Verdana"/>
          <w:sz w:val="20"/>
          <w:szCs w:val="20"/>
        </w:rPr>
        <w:t>cedentes</w:t>
      </w:r>
      <w:r w:rsidR="008907AE" w:rsidRPr="00756B84">
        <w:rPr>
          <w:rFonts w:ascii="Verdana" w:eastAsiaTheme="minorHAnsi" w:hAnsi="Verdana"/>
          <w:sz w:val="20"/>
          <w:szCs w:val="20"/>
        </w:rPr>
        <w:t>,</w:t>
      </w:r>
      <w:r w:rsidR="00EC26F2" w:rsidRPr="00756B84">
        <w:rPr>
          <w:rFonts w:ascii="Verdana" w:eastAsiaTheme="minorHAnsi" w:hAnsi="Verdana"/>
          <w:sz w:val="20"/>
          <w:szCs w:val="20"/>
        </w:rPr>
        <w:t xml:space="preserve"> ha reconocido que </w:t>
      </w:r>
      <w:r w:rsidR="008907AE" w:rsidRPr="00756B84">
        <w:rPr>
          <w:rFonts w:ascii="Verdana" w:eastAsiaTheme="minorHAnsi" w:hAnsi="Verdana"/>
          <w:sz w:val="20"/>
          <w:szCs w:val="20"/>
        </w:rPr>
        <w:t>ese</w:t>
      </w:r>
      <w:r w:rsidR="00EC26F2" w:rsidRPr="00756B84">
        <w:rPr>
          <w:rFonts w:ascii="Verdana" w:eastAsiaTheme="minorHAnsi" w:hAnsi="Verdana"/>
          <w:sz w:val="20"/>
          <w:szCs w:val="20"/>
        </w:rPr>
        <w:t xml:space="preserve"> derecho</w:t>
      </w:r>
      <w:r w:rsidR="008907AE" w:rsidRPr="00756B84">
        <w:rPr>
          <w:rFonts w:ascii="Verdana" w:eastAsiaTheme="minorHAnsi" w:hAnsi="Verdana"/>
          <w:sz w:val="20"/>
          <w:szCs w:val="20"/>
        </w:rPr>
        <w:t xml:space="preserve"> </w:t>
      </w:r>
      <w:r w:rsidR="006C6D6B" w:rsidRPr="00756B84">
        <w:rPr>
          <w:rFonts w:ascii="Verdana" w:eastAsiaTheme="minorHAnsi" w:hAnsi="Verdana"/>
          <w:sz w:val="20"/>
          <w:szCs w:val="20"/>
        </w:rPr>
        <w:t>es protegido</w:t>
      </w:r>
      <w:r w:rsidR="008907AE" w:rsidRPr="00756B84">
        <w:rPr>
          <w:rFonts w:ascii="Verdana" w:eastAsiaTheme="minorHAnsi" w:hAnsi="Verdana"/>
          <w:sz w:val="20"/>
          <w:szCs w:val="20"/>
        </w:rPr>
        <w:t xml:space="preserve"> a través del mencionado </w:t>
      </w:r>
      <w:r w:rsidR="00EC26F2" w:rsidRPr="00756B84">
        <w:rPr>
          <w:rFonts w:ascii="Verdana" w:eastAsiaTheme="minorHAnsi" w:hAnsi="Verdana"/>
          <w:sz w:val="20"/>
          <w:szCs w:val="20"/>
        </w:rPr>
        <w:t xml:space="preserve">artículo 26 de la </w:t>
      </w:r>
      <w:r w:rsidR="008907AE" w:rsidRPr="00756B84">
        <w:rPr>
          <w:rFonts w:ascii="Verdana" w:eastAsiaTheme="minorHAnsi" w:hAnsi="Verdana"/>
          <w:sz w:val="20"/>
          <w:szCs w:val="20"/>
        </w:rPr>
        <w:t>Convención</w:t>
      </w:r>
      <w:r w:rsidR="00EC26F2" w:rsidRPr="00756B84">
        <w:rPr>
          <w:rFonts w:ascii="Verdana" w:eastAsiaTheme="minorHAnsi" w:hAnsi="Verdana"/>
          <w:sz w:val="20"/>
          <w:szCs w:val="20"/>
        </w:rPr>
        <w:t>. Respecto a la consolidación de dicho derecho existe, además, un amplio consenso regional, ya que se encuentra reconocido explícitamente</w:t>
      </w:r>
      <w:r w:rsidR="00545123" w:rsidRPr="00756B84">
        <w:rPr>
          <w:rFonts w:ascii="Verdana" w:eastAsiaTheme="minorHAnsi" w:hAnsi="Verdana"/>
          <w:sz w:val="20"/>
          <w:szCs w:val="20"/>
        </w:rPr>
        <w:t xml:space="preserve"> en diversas Constituciones y leyes</w:t>
      </w:r>
      <w:r w:rsidR="00EC26F2" w:rsidRPr="00756B84">
        <w:rPr>
          <w:rFonts w:ascii="Verdana" w:eastAsiaTheme="minorHAnsi" w:hAnsi="Verdana"/>
          <w:sz w:val="20"/>
          <w:szCs w:val="20"/>
        </w:rPr>
        <w:t xml:space="preserve"> internas de los </w:t>
      </w:r>
      <w:r w:rsidR="00545123" w:rsidRPr="00756B84">
        <w:rPr>
          <w:rFonts w:ascii="Verdana" w:eastAsiaTheme="minorHAnsi" w:hAnsi="Verdana"/>
          <w:sz w:val="20"/>
          <w:szCs w:val="20"/>
        </w:rPr>
        <w:t>Estados</w:t>
      </w:r>
      <w:r w:rsidR="00EC26F2" w:rsidRPr="00756B84">
        <w:rPr>
          <w:rFonts w:ascii="Verdana" w:eastAsiaTheme="minorHAnsi" w:hAnsi="Verdana"/>
          <w:sz w:val="20"/>
          <w:szCs w:val="20"/>
        </w:rPr>
        <w:t xml:space="preserve"> de la región”</w:t>
      </w:r>
      <w:r w:rsidR="00EC26F2" w:rsidRPr="00756B84">
        <w:rPr>
          <w:rStyle w:val="Refdenotaalpie"/>
          <w:rFonts w:ascii="Verdana" w:eastAsiaTheme="minorHAnsi" w:hAnsi="Verdana"/>
          <w:sz w:val="20"/>
          <w:szCs w:val="20"/>
        </w:rPr>
        <w:footnoteReference w:id="11"/>
      </w:r>
      <w:r w:rsidR="00667D72" w:rsidRPr="00756B84">
        <w:rPr>
          <w:rFonts w:ascii="Verdana" w:eastAsiaTheme="minorHAnsi" w:hAnsi="Verdana"/>
          <w:sz w:val="20"/>
          <w:szCs w:val="20"/>
        </w:rPr>
        <w:t>.</w:t>
      </w:r>
    </w:p>
    <w:p w14:paraId="50B7125F"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lang w:val="es-419"/>
        </w:rPr>
      </w:pPr>
    </w:p>
    <w:p w14:paraId="3B002E29" w14:textId="2A077DE1" w:rsidR="006342C0" w:rsidRPr="00756B84" w:rsidRDefault="00FB7DE8"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Pues bien, </w:t>
      </w:r>
      <w:r w:rsidRPr="00756B84">
        <w:rPr>
          <w:rFonts w:ascii="Verdana" w:eastAsiaTheme="minorHAnsi" w:hAnsi="Verdana"/>
          <w:sz w:val="20"/>
          <w:szCs w:val="20"/>
          <w:lang w:val="es-419"/>
        </w:rPr>
        <w:t xml:space="preserve">en </w:t>
      </w:r>
      <w:r w:rsidR="006342C0" w:rsidRPr="00756B84">
        <w:rPr>
          <w:rFonts w:ascii="Verdana" w:eastAsiaTheme="minorHAnsi" w:hAnsi="Verdana"/>
          <w:sz w:val="20"/>
          <w:szCs w:val="20"/>
        </w:rPr>
        <w:t xml:space="preserve">primer lugar, tal instrumento no confiere competencias a este Tribunal. En segundo término, a partir de la lectura de las normas de las cuales se desprendería este supuesto derecho, se advierte que se trata de disposiciones </w:t>
      </w:r>
      <w:r w:rsidR="006342C0" w:rsidRPr="00756B84">
        <w:rPr>
          <w:rFonts w:ascii="Verdana" w:hAnsi="Verdana"/>
          <w:sz w:val="20"/>
          <w:szCs w:val="20"/>
          <w:lang w:val="es-419"/>
        </w:rPr>
        <w:t>programáticas</w:t>
      </w:r>
      <w:r w:rsidR="006342C0" w:rsidRPr="00756B84">
        <w:rPr>
          <w:rFonts w:ascii="Verdana" w:eastAsiaTheme="minorHAnsi" w:hAnsi="Verdana"/>
          <w:sz w:val="20"/>
          <w:szCs w:val="20"/>
        </w:rPr>
        <w:t xml:space="preserve"> que no están definiendo derechos ni sus correlativos deberes.</w:t>
      </w:r>
    </w:p>
    <w:p w14:paraId="56AB7DEF" w14:textId="77777777" w:rsidR="00756B84" w:rsidRDefault="00756B84" w:rsidP="00756B84">
      <w:pPr>
        <w:pStyle w:val="Prrafodelista"/>
        <w:rPr>
          <w:rFonts w:ascii="Verdana" w:eastAsiaTheme="minorHAnsi" w:hAnsi="Verdana"/>
          <w:sz w:val="20"/>
          <w:szCs w:val="20"/>
          <w:lang w:val="es-419"/>
        </w:rPr>
      </w:pPr>
    </w:p>
    <w:p w14:paraId="10F7B962" w14:textId="6B9F26FF" w:rsidR="006342C0" w:rsidRPr="00756B84" w:rsidRDefault="00EF036A"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En efecto, </w:t>
      </w:r>
      <w:r w:rsidRPr="00756B84">
        <w:rPr>
          <w:rFonts w:ascii="Verdana" w:eastAsiaTheme="minorHAnsi" w:hAnsi="Verdana"/>
          <w:sz w:val="20"/>
          <w:szCs w:val="20"/>
          <w:lang w:val="es-419"/>
        </w:rPr>
        <w:t xml:space="preserve">no </w:t>
      </w:r>
      <w:r w:rsidR="006342C0" w:rsidRPr="00756B84">
        <w:rPr>
          <w:rFonts w:ascii="Verdana" w:eastAsiaTheme="minorHAnsi" w:hAnsi="Verdana"/>
          <w:sz w:val="20"/>
          <w:szCs w:val="20"/>
        </w:rPr>
        <w:t>es posible interpretar los artículos 34.i, 34.l y 45.h citados en la sentencia</w:t>
      </w:r>
      <w:r w:rsidR="007B440A" w:rsidRPr="00756B84">
        <w:rPr>
          <w:rFonts w:ascii="Verdana" w:eastAsiaTheme="minorHAnsi" w:hAnsi="Verdana"/>
          <w:sz w:val="20"/>
          <w:szCs w:val="20"/>
        </w:rPr>
        <w:t xml:space="preserve"> al</w:t>
      </w:r>
      <w:r w:rsidR="006342C0" w:rsidRPr="00756B84">
        <w:rPr>
          <w:rFonts w:ascii="Verdana" w:eastAsiaTheme="minorHAnsi" w:hAnsi="Verdana"/>
          <w:sz w:val="20"/>
          <w:szCs w:val="20"/>
        </w:rPr>
        <w:t xml:space="preserve"> margen de </w:t>
      </w:r>
      <w:r w:rsidR="00505FC8" w:rsidRPr="00756B84">
        <w:rPr>
          <w:rFonts w:ascii="Verdana" w:eastAsiaTheme="minorHAnsi" w:hAnsi="Verdana"/>
          <w:sz w:val="20"/>
          <w:szCs w:val="20"/>
        </w:rPr>
        <w:t xml:space="preserve">la </w:t>
      </w:r>
      <w:r w:rsidR="006342C0" w:rsidRPr="00756B84">
        <w:rPr>
          <w:rFonts w:ascii="Verdana" w:eastAsiaTheme="minorHAnsi" w:hAnsi="Verdana"/>
          <w:sz w:val="20"/>
          <w:szCs w:val="20"/>
        </w:rPr>
        <w:t xml:space="preserve">norma que encabeza el capítulo de “Desarrollo Progresivo”, </w:t>
      </w:r>
      <w:r w:rsidR="001328C6" w:rsidRPr="00756B84">
        <w:rPr>
          <w:rFonts w:ascii="Verdana" w:eastAsiaTheme="minorHAnsi" w:hAnsi="Verdana"/>
          <w:sz w:val="20"/>
          <w:szCs w:val="20"/>
        </w:rPr>
        <w:t xml:space="preserve">esto es, </w:t>
      </w:r>
      <w:r w:rsidR="006342C0" w:rsidRPr="00756B84">
        <w:rPr>
          <w:rFonts w:ascii="Verdana" w:eastAsiaTheme="minorHAnsi" w:hAnsi="Verdana"/>
          <w:sz w:val="20"/>
          <w:szCs w:val="20"/>
        </w:rPr>
        <w:t>el artículo 30</w:t>
      </w:r>
      <w:r w:rsidR="001328C6" w:rsidRPr="00756B84">
        <w:rPr>
          <w:rFonts w:ascii="Verdana" w:eastAsiaTheme="minorHAnsi" w:hAnsi="Verdana"/>
          <w:sz w:val="20"/>
          <w:szCs w:val="20"/>
        </w:rPr>
        <w:t xml:space="preserve"> de la Carta de la OEA</w:t>
      </w:r>
      <w:r w:rsidR="006342C0" w:rsidRPr="00756B84">
        <w:rPr>
          <w:rFonts w:ascii="Verdana" w:eastAsiaTheme="minorHAnsi" w:hAnsi="Verdana"/>
          <w:sz w:val="20"/>
          <w:szCs w:val="20"/>
        </w:rPr>
        <w:t xml:space="preserve">. En efecto, dicho </w:t>
      </w:r>
      <w:r w:rsidR="001328C6" w:rsidRPr="00756B84">
        <w:rPr>
          <w:rFonts w:ascii="Verdana" w:eastAsiaTheme="minorHAnsi" w:hAnsi="Verdana"/>
          <w:sz w:val="20"/>
          <w:szCs w:val="20"/>
        </w:rPr>
        <w:t xml:space="preserve">precepto </w:t>
      </w:r>
      <w:r w:rsidR="006342C0" w:rsidRPr="00756B84">
        <w:rPr>
          <w:rFonts w:ascii="Verdana" w:eastAsiaTheme="minorHAnsi" w:hAnsi="Verdana"/>
          <w:sz w:val="20"/>
          <w:szCs w:val="20"/>
        </w:rPr>
        <w:t xml:space="preserve">señala que “los Estados miembros, inspirados en los principios de solidaridad y </w:t>
      </w:r>
      <w:r w:rsidR="006342C0" w:rsidRPr="00756B84">
        <w:rPr>
          <w:rFonts w:ascii="Verdana" w:hAnsi="Verdana"/>
          <w:sz w:val="20"/>
          <w:szCs w:val="20"/>
          <w:lang w:val="es-419"/>
        </w:rPr>
        <w:t>cooperación</w:t>
      </w:r>
      <w:r w:rsidR="006342C0" w:rsidRPr="00756B84">
        <w:rPr>
          <w:rFonts w:ascii="Verdana" w:eastAsiaTheme="minorHAnsi" w:hAnsi="Verdana"/>
          <w:sz w:val="20"/>
          <w:szCs w:val="20"/>
        </w:rPr>
        <w:t xml:space="preserve"> interamericanas, </w:t>
      </w:r>
      <w:r w:rsidR="006342C0" w:rsidRPr="00756B84">
        <w:rPr>
          <w:rFonts w:ascii="Verdana" w:eastAsiaTheme="minorHAnsi" w:hAnsi="Verdana"/>
          <w:sz w:val="20"/>
          <w:szCs w:val="20"/>
          <w:u w:val="single"/>
        </w:rPr>
        <w:t>se comprometen a aunar esfuerzos para lograr</w:t>
      </w:r>
      <w:r w:rsidR="006342C0" w:rsidRPr="00756B84">
        <w:rPr>
          <w:rStyle w:val="Refdenotaalpie"/>
          <w:rFonts w:ascii="Verdana" w:eastAsiaTheme="minorHAnsi" w:hAnsi="Verdana"/>
          <w:sz w:val="20"/>
          <w:szCs w:val="20"/>
        </w:rPr>
        <w:footnoteReference w:id="12"/>
      </w:r>
      <w:r w:rsidR="006342C0" w:rsidRPr="00756B84">
        <w:rPr>
          <w:rFonts w:ascii="Verdana" w:eastAsiaTheme="minorHAnsi" w:hAnsi="Verdana"/>
          <w:b/>
          <w:bCs/>
          <w:sz w:val="20"/>
          <w:szCs w:val="20"/>
        </w:rPr>
        <w:t xml:space="preserve"> </w:t>
      </w:r>
      <w:r w:rsidR="006342C0" w:rsidRPr="00756B84">
        <w:rPr>
          <w:rFonts w:ascii="Verdana" w:eastAsiaTheme="minorHAnsi" w:hAnsi="Verdana"/>
          <w:sz w:val="20"/>
          <w:szCs w:val="20"/>
        </w:rPr>
        <w:t>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14:paraId="4463680B" w14:textId="77777777" w:rsidR="00756B84" w:rsidRDefault="00756B84" w:rsidP="00756B84">
      <w:pPr>
        <w:pStyle w:val="Prrafodelista"/>
        <w:rPr>
          <w:rFonts w:ascii="Verdana" w:eastAsiaTheme="minorHAnsi" w:hAnsi="Verdana"/>
          <w:sz w:val="20"/>
          <w:szCs w:val="20"/>
          <w:lang w:val="es-419"/>
        </w:rPr>
      </w:pPr>
    </w:p>
    <w:p w14:paraId="0A8F99F4" w14:textId="405A4A57" w:rsidR="006342C0" w:rsidRPr="00756B84" w:rsidRDefault="007B440A"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El </w:t>
      </w:r>
      <w:r w:rsidR="006342C0" w:rsidRPr="00756B84">
        <w:rPr>
          <w:rFonts w:ascii="Verdana" w:eastAsiaTheme="minorHAnsi" w:hAnsi="Verdana"/>
          <w:sz w:val="20"/>
          <w:szCs w:val="20"/>
        </w:rPr>
        <w:t xml:space="preserve">artículo 34 indica que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w:t>
      </w:r>
      <w:r w:rsidR="006342C0" w:rsidRPr="00756B84">
        <w:rPr>
          <w:rFonts w:ascii="Verdana" w:eastAsiaTheme="minorHAnsi" w:hAnsi="Verdana"/>
          <w:sz w:val="20"/>
          <w:szCs w:val="20"/>
          <w:u w:val="single"/>
        </w:rPr>
        <w:t>objetivos</w:t>
      </w:r>
      <w:r w:rsidR="006342C0" w:rsidRPr="00756B84">
        <w:rPr>
          <w:rFonts w:ascii="Verdana" w:eastAsiaTheme="minorHAnsi" w:hAnsi="Verdana"/>
          <w:b/>
          <w:bCs/>
          <w:sz w:val="20"/>
          <w:szCs w:val="20"/>
        </w:rPr>
        <w:t xml:space="preserve"> </w:t>
      </w:r>
      <w:r w:rsidR="006342C0" w:rsidRPr="00756B84">
        <w:rPr>
          <w:rFonts w:ascii="Verdana" w:eastAsiaTheme="minorHAnsi" w:hAnsi="Verdana"/>
          <w:sz w:val="20"/>
          <w:szCs w:val="20"/>
        </w:rPr>
        <w:t xml:space="preserve">básicos del </w:t>
      </w:r>
      <w:r w:rsidR="006342C0" w:rsidRPr="00756B84">
        <w:rPr>
          <w:rFonts w:ascii="Verdana" w:hAnsi="Verdana"/>
          <w:sz w:val="20"/>
          <w:szCs w:val="20"/>
          <w:lang w:val="es-419"/>
        </w:rPr>
        <w:t>desarrollo</w:t>
      </w:r>
      <w:r w:rsidR="006342C0" w:rsidRPr="00756B84">
        <w:rPr>
          <w:rFonts w:ascii="Verdana" w:eastAsiaTheme="minorHAnsi" w:hAnsi="Verdana"/>
          <w:sz w:val="20"/>
          <w:szCs w:val="20"/>
        </w:rPr>
        <w:t xml:space="preserve"> integral. Para lograrlos, </w:t>
      </w:r>
      <w:r w:rsidR="006342C0" w:rsidRPr="00756B84">
        <w:rPr>
          <w:rFonts w:ascii="Verdana" w:eastAsiaTheme="minorHAnsi" w:hAnsi="Verdana"/>
          <w:sz w:val="20"/>
          <w:szCs w:val="20"/>
          <w:u w:val="single"/>
        </w:rPr>
        <w:t xml:space="preserve">convienen asimismo en dedicar sus máximos esfuerzos </w:t>
      </w:r>
      <w:r w:rsidR="006342C0" w:rsidRPr="00756B84">
        <w:rPr>
          <w:rFonts w:ascii="Verdana" w:eastAsiaTheme="minorHAnsi" w:hAnsi="Verdana"/>
          <w:sz w:val="20"/>
          <w:szCs w:val="20"/>
        </w:rPr>
        <w:t xml:space="preserve">a la consecución de las siguientes metas básicas: </w:t>
      </w:r>
      <w:r w:rsidR="001F72B0" w:rsidRPr="00756B84">
        <w:rPr>
          <w:rFonts w:ascii="Verdana" w:eastAsiaTheme="minorHAnsi" w:hAnsi="Verdana"/>
          <w:sz w:val="20"/>
          <w:szCs w:val="20"/>
        </w:rPr>
        <w:sym w:font="Symbol" w:char="F05B"/>
      </w:r>
      <w:r w:rsidR="001F72B0" w:rsidRPr="00756B84">
        <w:rPr>
          <w:rFonts w:ascii="Verdana" w:eastAsiaTheme="minorHAnsi" w:hAnsi="Verdana"/>
          <w:sz w:val="20"/>
          <w:szCs w:val="20"/>
        </w:rPr>
        <w:t>…</w:t>
      </w:r>
      <w:r w:rsidR="001F72B0" w:rsidRPr="00756B84">
        <w:rPr>
          <w:rFonts w:ascii="Verdana" w:eastAsiaTheme="minorHAnsi" w:hAnsi="Verdana"/>
          <w:sz w:val="20"/>
          <w:szCs w:val="20"/>
        </w:rPr>
        <w:sym w:font="Symbol" w:char="F05D"/>
      </w:r>
      <w:r w:rsidR="006342C0" w:rsidRPr="00756B84">
        <w:rPr>
          <w:rFonts w:ascii="Verdana" w:eastAsiaTheme="minorHAnsi" w:hAnsi="Verdana"/>
          <w:sz w:val="20"/>
          <w:szCs w:val="20"/>
        </w:rPr>
        <w:t xml:space="preserve"> i) Defensa del </w:t>
      </w:r>
      <w:r w:rsidR="006342C0" w:rsidRPr="00756B84">
        <w:rPr>
          <w:rFonts w:ascii="Verdana" w:eastAsiaTheme="minorHAnsi" w:hAnsi="Verdana"/>
          <w:sz w:val="20"/>
          <w:szCs w:val="20"/>
          <w:u w:val="single"/>
        </w:rPr>
        <w:t xml:space="preserve">potencial humano </w:t>
      </w:r>
      <w:r w:rsidR="006342C0" w:rsidRPr="00756B84">
        <w:rPr>
          <w:rFonts w:ascii="Verdana" w:eastAsiaTheme="minorHAnsi" w:hAnsi="Verdana"/>
          <w:sz w:val="20"/>
          <w:szCs w:val="20"/>
        </w:rPr>
        <w:t>mediante la extensión y aplicación de los modernos conocimientos de la ciencia médica</w:t>
      </w:r>
      <w:r w:rsidR="001F72B0" w:rsidRPr="00756B84">
        <w:rPr>
          <w:rFonts w:ascii="Verdana" w:eastAsiaTheme="minorHAnsi" w:hAnsi="Verdana"/>
          <w:sz w:val="20"/>
          <w:szCs w:val="20"/>
        </w:rPr>
        <w:t>;</w:t>
      </w:r>
      <w:r w:rsidR="006342C0" w:rsidRPr="00756B84">
        <w:rPr>
          <w:rFonts w:ascii="Verdana" w:eastAsiaTheme="minorHAnsi" w:hAnsi="Verdana"/>
          <w:sz w:val="20"/>
          <w:szCs w:val="20"/>
        </w:rPr>
        <w:t xml:space="preserve"> </w:t>
      </w:r>
      <w:r w:rsidR="001F72B0" w:rsidRPr="00756B84">
        <w:rPr>
          <w:rFonts w:ascii="Verdana" w:eastAsiaTheme="minorHAnsi" w:hAnsi="Verdana"/>
          <w:sz w:val="20"/>
          <w:szCs w:val="20"/>
        </w:rPr>
        <w:sym w:font="Symbol" w:char="F05B"/>
      </w:r>
      <w:r w:rsidR="001F72B0" w:rsidRPr="00756B84">
        <w:rPr>
          <w:rFonts w:ascii="Verdana" w:eastAsiaTheme="minorHAnsi" w:hAnsi="Verdana"/>
          <w:sz w:val="20"/>
          <w:szCs w:val="20"/>
        </w:rPr>
        <w:t>…</w:t>
      </w:r>
      <w:r w:rsidR="001F72B0" w:rsidRPr="00756B84">
        <w:rPr>
          <w:rFonts w:ascii="Verdana" w:eastAsiaTheme="minorHAnsi" w:hAnsi="Verdana"/>
          <w:sz w:val="20"/>
          <w:szCs w:val="20"/>
        </w:rPr>
        <w:sym w:font="Symbol" w:char="F05D"/>
      </w:r>
      <w:r w:rsidR="001F72B0" w:rsidRPr="00756B84">
        <w:rPr>
          <w:rFonts w:ascii="Verdana" w:eastAsiaTheme="minorHAnsi" w:hAnsi="Verdana"/>
          <w:sz w:val="20"/>
          <w:szCs w:val="20"/>
        </w:rPr>
        <w:t xml:space="preserve"> </w:t>
      </w:r>
      <w:r w:rsidR="006342C0" w:rsidRPr="00756B84">
        <w:rPr>
          <w:rFonts w:ascii="Verdana" w:eastAsiaTheme="minorHAnsi" w:hAnsi="Verdana"/>
          <w:sz w:val="20"/>
          <w:szCs w:val="20"/>
        </w:rPr>
        <w:t xml:space="preserve">l) Condiciones urbanas que hagan posible una vida </w:t>
      </w:r>
      <w:r w:rsidR="006342C0" w:rsidRPr="00756B84">
        <w:rPr>
          <w:rFonts w:ascii="Verdana" w:eastAsiaTheme="minorHAnsi" w:hAnsi="Verdana"/>
          <w:sz w:val="20"/>
          <w:szCs w:val="20"/>
          <w:u w:val="single"/>
        </w:rPr>
        <w:t>sana</w:t>
      </w:r>
      <w:r w:rsidR="006342C0" w:rsidRPr="00756B84">
        <w:rPr>
          <w:rFonts w:ascii="Verdana" w:eastAsiaTheme="minorHAnsi" w:hAnsi="Verdana"/>
          <w:sz w:val="20"/>
          <w:szCs w:val="20"/>
        </w:rPr>
        <w:t>, productiva y digna</w:t>
      </w:r>
      <w:r w:rsidR="001F72B0" w:rsidRPr="00756B84">
        <w:rPr>
          <w:rFonts w:ascii="Verdana" w:eastAsiaTheme="minorHAnsi" w:hAnsi="Verdana"/>
          <w:sz w:val="20"/>
          <w:szCs w:val="20"/>
        </w:rPr>
        <w:t>”</w:t>
      </w:r>
      <w:r w:rsidR="006342C0" w:rsidRPr="00756B84">
        <w:rPr>
          <w:rFonts w:ascii="Verdana" w:eastAsiaTheme="minorHAnsi" w:hAnsi="Verdana"/>
          <w:sz w:val="20"/>
          <w:szCs w:val="20"/>
        </w:rPr>
        <w:t>.</w:t>
      </w:r>
    </w:p>
    <w:p w14:paraId="4586984A" w14:textId="77777777" w:rsidR="00756B84" w:rsidRDefault="00756B84" w:rsidP="00756B84">
      <w:pPr>
        <w:pStyle w:val="Prrafodelista"/>
        <w:rPr>
          <w:rFonts w:ascii="Verdana" w:eastAsiaTheme="minorHAnsi" w:hAnsi="Verdana"/>
          <w:sz w:val="20"/>
          <w:szCs w:val="20"/>
          <w:lang w:val="es-419"/>
        </w:rPr>
      </w:pPr>
    </w:p>
    <w:p w14:paraId="4211E5B4" w14:textId="4DBBC23C" w:rsidR="006342C0" w:rsidRDefault="00F20266"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Por su </w:t>
      </w:r>
      <w:r w:rsidR="006342C0" w:rsidRPr="00756B84">
        <w:rPr>
          <w:rFonts w:ascii="Verdana" w:eastAsiaTheme="minorHAnsi" w:hAnsi="Verdana"/>
          <w:sz w:val="20"/>
          <w:szCs w:val="20"/>
        </w:rPr>
        <w:t xml:space="preserve">parte el artículo 45 señala que “los Estados miembros, convencidos de que el hombre sólo </w:t>
      </w:r>
      <w:r w:rsidR="006342C0" w:rsidRPr="00756B84">
        <w:rPr>
          <w:rFonts w:ascii="Verdana" w:hAnsi="Verdana"/>
          <w:sz w:val="20"/>
          <w:szCs w:val="20"/>
          <w:lang w:val="es-419"/>
        </w:rPr>
        <w:t>puede</w:t>
      </w:r>
      <w:r w:rsidR="006342C0" w:rsidRPr="00756B84">
        <w:rPr>
          <w:rFonts w:ascii="Verdana" w:eastAsiaTheme="minorHAnsi" w:hAnsi="Verdana"/>
          <w:sz w:val="20"/>
          <w:szCs w:val="20"/>
        </w:rPr>
        <w:t xml:space="preserve"> alcanzar la plena realización de sus aspiraciones dentro de un orden social justo, acompañado de desarrollo económico y verdadera paz, </w:t>
      </w:r>
      <w:r w:rsidR="006342C0" w:rsidRPr="00756B84">
        <w:rPr>
          <w:rFonts w:ascii="Verdana" w:eastAsiaTheme="minorHAnsi" w:hAnsi="Verdana"/>
          <w:sz w:val="20"/>
          <w:szCs w:val="20"/>
          <w:u w:val="single"/>
        </w:rPr>
        <w:t>convienen en dedicar sus máximos esfuerzos</w:t>
      </w:r>
      <w:r w:rsidR="006342C0" w:rsidRPr="00756B84">
        <w:rPr>
          <w:rFonts w:ascii="Verdana" w:eastAsiaTheme="minorHAnsi" w:hAnsi="Verdana"/>
          <w:sz w:val="20"/>
          <w:szCs w:val="20"/>
        </w:rPr>
        <w:t xml:space="preserve"> a la aplicación de los siguientes </w:t>
      </w:r>
      <w:r w:rsidR="006342C0" w:rsidRPr="00756B84">
        <w:rPr>
          <w:rFonts w:ascii="Verdana" w:eastAsiaTheme="minorHAnsi" w:hAnsi="Verdana"/>
          <w:sz w:val="20"/>
          <w:szCs w:val="20"/>
          <w:u w:val="single"/>
        </w:rPr>
        <w:t>principios y mecanismos</w:t>
      </w:r>
      <w:r w:rsidR="006342C0" w:rsidRPr="00756B84">
        <w:rPr>
          <w:rFonts w:ascii="Verdana" w:eastAsiaTheme="minorHAnsi" w:hAnsi="Verdana"/>
          <w:sz w:val="20"/>
          <w:szCs w:val="20"/>
        </w:rPr>
        <w:t xml:space="preserve">: </w:t>
      </w:r>
      <w:r w:rsidR="001F72B0" w:rsidRPr="00756B84">
        <w:rPr>
          <w:rFonts w:ascii="Verdana" w:eastAsiaTheme="minorHAnsi" w:hAnsi="Verdana"/>
          <w:sz w:val="20"/>
          <w:szCs w:val="20"/>
        </w:rPr>
        <w:sym w:font="Symbol" w:char="F05B"/>
      </w:r>
      <w:r w:rsidR="001F72B0" w:rsidRPr="00756B84">
        <w:rPr>
          <w:rFonts w:ascii="Verdana" w:eastAsiaTheme="minorHAnsi" w:hAnsi="Verdana"/>
          <w:sz w:val="20"/>
          <w:szCs w:val="20"/>
        </w:rPr>
        <w:t>…</w:t>
      </w:r>
      <w:r w:rsidR="001F72B0" w:rsidRPr="00756B84">
        <w:rPr>
          <w:rFonts w:ascii="Verdana" w:eastAsiaTheme="minorHAnsi" w:hAnsi="Verdana"/>
          <w:sz w:val="20"/>
          <w:szCs w:val="20"/>
        </w:rPr>
        <w:sym w:font="Symbol" w:char="F05D"/>
      </w:r>
      <w:r w:rsidR="001F72B0" w:rsidRPr="00756B84">
        <w:rPr>
          <w:rFonts w:ascii="Verdana" w:eastAsiaTheme="minorHAnsi" w:hAnsi="Verdana"/>
          <w:sz w:val="20"/>
          <w:szCs w:val="20"/>
        </w:rPr>
        <w:t xml:space="preserve"> </w:t>
      </w:r>
      <w:r w:rsidR="006342C0" w:rsidRPr="00756B84">
        <w:rPr>
          <w:rFonts w:ascii="Verdana" w:eastAsiaTheme="minorHAnsi" w:hAnsi="Verdana"/>
          <w:sz w:val="20"/>
          <w:szCs w:val="20"/>
        </w:rPr>
        <w:t xml:space="preserve">h) </w:t>
      </w:r>
      <w:r w:rsidR="006342C0" w:rsidRPr="00756B84">
        <w:rPr>
          <w:rFonts w:ascii="Verdana" w:eastAsiaTheme="minorHAnsi" w:hAnsi="Verdana"/>
          <w:sz w:val="20"/>
          <w:szCs w:val="20"/>
          <w:lang w:val="x-none"/>
        </w:rPr>
        <w:t xml:space="preserve">El </w:t>
      </w:r>
      <w:r w:rsidR="006342C0" w:rsidRPr="00756B84">
        <w:rPr>
          <w:rFonts w:ascii="Verdana" w:eastAsiaTheme="minorHAnsi" w:hAnsi="Verdana"/>
          <w:sz w:val="20"/>
          <w:szCs w:val="20"/>
          <w:u w:val="single"/>
          <w:lang w:val="x-none"/>
        </w:rPr>
        <w:t>desarrollo</w:t>
      </w:r>
      <w:r w:rsidR="006342C0" w:rsidRPr="00756B84">
        <w:rPr>
          <w:rFonts w:ascii="Verdana" w:eastAsiaTheme="minorHAnsi" w:hAnsi="Verdana"/>
          <w:sz w:val="20"/>
          <w:szCs w:val="20"/>
          <w:lang w:val="x-none"/>
        </w:rPr>
        <w:t xml:space="preserve"> de una política </w:t>
      </w:r>
      <w:r w:rsidR="006342C0" w:rsidRPr="00756B84">
        <w:rPr>
          <w:rFonts w:ascii="Verdana" w:eastAsiaTheme="minorHAnsi" w:hAnsi="Verdana"/>
          <w:sz w:val="20"/>
          <w:szCs w:val="20"/>
          <w:lang w:val="es-419"/>
        </w:rPr>
        <w:t xml:space="preserve">eficiente </w:t>
      </w:r>
      <w:r w:rsidR="006342C0" w:rsidRPr="00756B84">
        <w:rPr>
          <w:rFonts w:ascii="Verdana" w:eastAsiaTheme="minorHAnsi" w:hAnsi="Verdana"/>
          <w:sz w:val="20"/>
          <w:szCs w:val="20"/>
          <w:lang w:val="x-none"/>
        </w:rPr>
        <w:t xml:space="preserve">de </w:t>
      </w:r>
      <w:r w:rsidR="006342C0" w:rsidRPr="00756B84">
        <w:rPr>
          <w:rFonts w:ascii="Verdana" w:eastAsiaTheme="minorHAnsi" w:hAnsi="Verdana"/>
          <w:sz w:val="20"/>
          <w:szCs w:val="20"/>
          <w:u w:val="single"/>
          <w:lang w:val="es-419"/>
        </w:rPr>
        <w:t>seguridad social</w:t>
      </w:r>
      <w:r w:rsidR="001F72B0" w:rsidRPr="00756B84">
        <w:rPr>
          <w:rFonts w:ascii="Verdana" w:eastAsiaTheme="minorHAnsi" w:hAnsi="Verdana"/>
          <w:sz w:val="20"/>
          <w:szCs w:val="20"/>
          <w:lang w:val="es-419"/>
        </w:rPr>
        <w:t>”</w:t>
      </w:r>
      <w:r w:rsidR="006342C0" w:rsidRPr="00756B84">
        <w:rPr>
          <w:rStyle w:val="Refdenotaalpie"/>
          <w:rFonts w:ascii="Verdana" w:eastAsiaTheme="minorHAnsi" w:hAnsi="Verdana"/>
          <w:sz w:val="20"/>
          <w:szCs w:val="20"/>
        </w:rPr>
        <w:footnoteReference w:id="13"/>
      </w:r>
      <w:r w:rsidR="00667D72" w:rsidRPr="00756B84">
        <w:rPr>
          <w:rFonts w:ascii="Verdana" w:eastAsiaTheme="minorHAnsi" w:hAnsi="Verdana"/>
          <w:sz w:val="20"/>
          <w:szCs w:val="20"/>
          <w:lang w:val="es-419"/>
        </w:rPr>
        <w:t>.</w:t>
      </w:r>
    </w:p>
    <w:p w14:paraId="18813E09" w14:textId="77777777" w:rsidR="00756B84" w:rsidRDefault="00756B84" w:rsidP="00756B84">
      <w:pPr>
        <w:pStyle w:val="Prrafodelista"/>
        <w:rPr>
          <w:rFonts w:ascii="Verdana" w:eastAsiaTheme="minorHAnsi" w:hAnsi="Verdana"/>
          <w:sz w:val="20"/>
          <w:szCs w:val="20"/>
          <w:lang w:val="es-419"/>
        </w:rPr>
      </w:pPr>
    </w:p>
    <w:p w14:paraId="533843BC" w14:textId="21C10464" w:rsidR="004673C4" w:rsidRPr="00756B84" w:rsidRDefault="00F20266"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 xml:space="preserve">En </w:t>
      </w:r>
      <w:r w:rsidR="006342C0" w:rsidRPr="00756B84">
        <w:rPr>
          <w:rFonts w:ascii="Verdana" w:eastAsiaTheme="minorHAnsi" w:hAnsi="Verdana"/>
          <w:sz w:val="20"/>
          <w:szCs w:val="20"/>
        </w:rPr>
        <w:t>síntesis, la Carta de la OEA no reconoce el derecho a</w:t>
      </w:r>
      <w:r w:rsidR="00B91491" w:rsidRPr="00756B84">
        <w:rPr>
          <w:rFonts w:ascii="Verdana" w:eastAsiaTheme="minorHAnsi" w:hAnsi="Verdana"/>
          <w:sz w:val="20"/>
          <w:szCs w:val="20"/>
        </w:rPr>
        <w:t xml:space="preserve"> la salud</w:t>
      </w:r>
      <w:r w:rsidR="006342C0" w:rsidRPr="00756B84">
        <w:rPr>
          <w:rFonts w:ascii="Verdana" w:eastAsiaTheme="minorHAnsi" w:hAnsi="Verdana"/>
          <w:sz w:val="20"/>
          <w:szCs w:val="20"/>
        </w:rPr>
        <w:t xml:space="preserve">, ni menos aún define su contenido. En consecuencia y como he </w:t>
      </w:r>
      <w:r w:rsidR="001C2591" w:rsidRPr="00756B84">
        <w:rPr>
          <w:rFonts w:ascii="Verdana" w:eastAsiaTheme="minorHAnsi" w:hAnsi="Verdana"/>
          <w:sz w:val="20"/>
          <w:szCs w:val="20"/>
        </w:rPr>
        <w:t xml:space="preserve">referido </w:t>
      </w:r>
      <w:r w:rsidR="006342C0" w:rsidRPr="00756B84">
        <w:rPr>
          <w:rFonts w:ascii="Verdana" w:eastAsiaTheme="minorHAnsi" w:hAnsi="Verdana"/>
          <w:sz w:val="20"/>
          <w:szCs w:val="20"/>
        </w:rPr>
        <w:t>en otras o</w:t>
      </w:r>
      <w:r w:rsidR="001C2591" w:rsidRPr="00756B84">
        <w:rPr>
          <w:rFonts w:ascii="Verdana" w:eastAsiaTheme="minorHAnsi" w:hAnsi="Verdana"/>
          <w:sz w:val="20"/>
          <w:szCs w:val="20"/>
        </w:rPr>
        <w:t>casiones</w:t>
      </w:r>
      <w:r w:rsidR="006342C0" w:rsidRPr="00756B84">
        <w:rPr>
          <w:rFonts w:ascii="Verdana" w:eastAsiaTheme="minorHAnsi" w:hAnsi="Verdana"/>
          <w:sz w:val="20"/>
          <w:szCs w:val="20"/>
        </w:rPr>
        <w:t xml:space="preserve">, concebir </w:t>
      </w:r>
      <w:r w:rsidR="006342C0" w:rsidRPr="00756B84">
        <w:rPr>
          <w:rFonts w:ascii="Verdana" w:eastAsiaTheme="minorHAnsi" w:hAnsi="Verdana"/>
          <w:sz w:val="20"/>
          <w:szCs w:val="20"/>
        </w:rPr>
        <w:lastRenderedPageBreak/>
        <w:t xml:space="preserve">el </w:t>
      </w:r>
      <w:r w:rsidR="006342C0" w:rsidRPr="00756B84">
        <w:rPr>
          <w:rFonts w:ascii="Verdana" w:hAnsi="Verdana"/>
          <w:sz w:val="20"/>
          <w:szCs w:val="20"/>
          <w:lang w:val="es-419"/>
        </w:rPr>
        <w:t>artículo</w:t>
      </w:r>
      <w:r w:rsidR="006342C0" w:rsidRPr="00756B84">
        <w:rPr>
          <w:rFonts w:ascii="Verdana" w:eastAsiaTheme="minorHAnsi" w:hAnsi="Verdana"/>
          <w:sz w:val="20"/>
          <w:szCs w:val="20"/>
        </w:rPr>
        <w:t xml:space="preserve"> 26 de la Convención como una norma de remisión a todos los DESCA que estarían comprendidos en la Carta de la OEA desatiende el compromiso adoptado por los Estados Parte y abre un camino de incertidumbre respecto del catálogo de derechos justiciables ante el Tribunal, afectando la legitimidad de su actuación.</w:t>
      </w:r>
    </w:p>
    <w:p w14:paraId="23CDEE5E" w14:textId="77777777" w:rsidR="00B32635" w:rsidRPr="00756B84" w:rsidRDefault="00B32635" w:rsidP="00756B84">
      <w:pPr>
        <w:pStyle w:val="Numberedparagraphs"/>
        <w:widowControl w:val="0"/>
        <w:numPr>
          <w:ilvl w:val="0"/>
          <w:numId w:val="0"/>
        </w:numPr>
        <w:tabs>
          <w:tab w:val="left" w:pos="567"/>
        </w:tabs>
        <w:autoSpaceDE w:val="0"/>
        <w:autoSpaceDN w:val="0"/>
        <w:adjustRightInd w:val="0"/>
        <w:ind w:left="720"/>
        <w:contextualSpacing/>
        <w:rPr>
          <w:rFonts w:eastAsiaTheme="minorHAnsi"/>
          <w:lang w:val="es-419"/>
        </w:rPr>
      </w:pPr>
    </w:p>
    <w:p w14:paraId="28EFE2B3" w14:textId="57575A0F" w:rsidR="00B32635" w:rsidRDefault="00B32635" w:rsidP="00756B84">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sidRPr="00756B84">
        <w:rPr>
          <w:rFonts w:eastAsiaTheme="minorHAnsi"/>
          <w:b/>
          <w:bCs/>
          <w:lang w:val="es-419"/>
        </w:rPr>
        <w:t xml:space="preserve">El Protocolo de San Salvador </w:t>
      </w:r>
    </w:p>
    <w:p w14:paraId="73DD666C" w14:textId="77777777" w:rsidR="00756B84" w:rsidRP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5D3FADEB" w14:textId="20CB07E0" w:rsidR="00670662" w:rsidRPr="00756B84" w:rsidRDefault="00670662" w:rsidP="00756B84">
      <w:pPr>
        <w:widowControl w:val="0"/>
        <w:numPr>
          <w:ilvl w:val="0"/>
          <w:numId w:val="27"/>
        </w:numPr>
        <w:tabs>
          <w:tab w:val="left" w:pos="567"/>
          <w:tab w:val="num" w:pos="1569"/>
          <w:tab w:val="num" w:pos="12305"/>
        </w:tabs>
        <w:adjustRightInd w:val="0"/>
        <w:ind w:left="0" w:firstLine="0"/>
        <w:jc w:val="both"/>
        <w:rPr>
          <w:rStyle w:val="s7"/>
          <w:rFonts w:ascii="Verdana" w:eastAsiaTheme="minorHAnsi" w:hAnsi="Verdana"/>
          <w:sz w:val="20"/>
          <w:szCs w:val="20"/>
          <w:lang w:val="es-419"/>
        </w:rPr>
      </w:pPr>
      <w:r w:rsidRPr="00756B84">
        <w:rPr>
          <w:rStyle w:val="s7"/>
          <w:rFonts w:ascii="Verdana" w:eastAsia="Times New Roman" w:hAnsi="Verdana"/>
          <w:sz w:val="20"/>
          <w:szCs w:val="20"/>
        </w:rPr>
        <w:t>Lo propio de la fundamentación de una sentencia judicial</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es que los argumentos</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 xml:space="preserve">contenidos en ella permitan al lector reproducir y comprender el razonamiento que ha empleado el Tribunal para arribar a una decisión en concreto. La determinación de sostener la justiciabilidad de un DESCA no puede construirse </w:t>
      </w:r>
      <w:r w:rsidRPr="00756B84">
        <w:rPr>
          <w:rFonts w:ascii="Verdana" w:hAnsi="Verdana"/>
          <w:sz w:val="20"/>
          <w:szCs w:val="20"/>
          <w:lang w:val="es-419"/>
        </w:rPr>
        <w:t>sobre</w:t>
      </w:r>
      <w:r w:rsidRPr="00756B84">
        <w:rPr>
          <w:rStyle w:val="s7"/>
          <w:rFonts w:ascii="Verdana" w:eastAsia="Times New Roman" w:hAnsi="Verdana"/>
          <w:sz w:val="20"/>
          <w:szCs w:val="20"/>
        </w:rPr>
        <w:t xml:space="preserve"> la base de ignorar las normas de competencia que se establecen en el Tratado y en su Protocolo adicional. </w:t>
      </w:r>
    </w:p>
    <w:p w14:paraId="1B1F72C1" w14:textId="77777777" w:rsidR="00756B84" w:rsidRPr="00756B84" w:rsidRDefault="00756B84" w:rsidP="00756B84">
      <w:pPr>
        <w:widowControl w:val="0"/>
        <w:tabs>
          <w:tab w:val="left" w:pos="567"/>
        </w:tabs>
        <w:adjustRightInd w:val="0"/>
        <w:jc w:val="both"/>
        <w:rPr>
          <w:rStyle w:val="s7"/>
          <w:rFonts w:ascii="Verdana" w:eastAsiaTheme="minorHAnsi" w:hAnsi="Verdana"/>
          <w:sz w:val="20"/>
          <w:szCs w:val="20"/>
          <w:lang w:val="es-419"/>
        </w:rPr>
      </w:pPr>
    </w:p>
    <w:p w14:paraId="11EB9BA4" w14:textId="380A13C7" w:rsidR="00250415" w:rsidRPr="00756B84" w:rsidRDefault="002346CA" w:rsidP="00756B84">
      <w:pPr>
        <w:widowControl w:val="0"/>
        <w:numPr>
          <w:ilvl w:val="0"/>
          <w:numId w:val="27"/>
        </w:numPr>
        <w:tabs>
          <w:tab w:val="left" w:pos="567"/>
          <w:tab w:val="num" w:pos="1569"/>
          <w:tab w:val="num" w:pos="12305"/>
        </w:tabs>
        <w:adjustRightInd w:val="0"/>
        <w:ind w:left="0" w:firstLine="0"/>
        <w:jc w:val="both"/>
        <w:rPr>
          <w:rStyle w:val="s7"/>
          <w:rFonts w:ascii="Verdana" w:eastAsiaTheme="minorHAnsi" w:hAnsi="Verdana"/>
          <w:sz w:val="20"/>
          <w:szCs w:val="20"/>
          <w:lang w:val="es-419"/>
        </w:rPr>
      </w:pPr>
      <w:r w:rsidRPr="00756B84">
        <w:rPr>
          <w:rStyle w:val="s7"/>
          <w:rFonts w:ascii="Verdana" w:eastAsia="Times New Roman" w:hAnsi="Verdana"/>
          <w:sz w:val="20"/>
          <w:szCs w:val="20"/>
        </w:rPr>
        <w:t>Cabe recordar que lo que hace el artículo 19</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del Protocolo de San Salvador</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es definir dos tipos de mecanismos de protección. Uno general -aplicable a todos los derechos reconocidos en</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 xml:space="preserve">dicho instrumento- que consiste en el examen, observaciones y </w:t>
      </w:r>
      <w:r w:rsidRPr="00756B84">
        <w:rPr>
          <w:rFonts w:ascii="Verdana" w:hAnsi="Verdana"/>
          <w:sz w:val="20"/>
          <w:szCs w:val="20"/>
          <w:lang w:val="es-419"/>
        </w:rPr>
        <w:t>recomendaciones</w:t>
      </w:r>
      <w:r w:rsidRPr="00756B84">
        <w:rPr>
          <w:rStyle w:val="s7"/>
          <w:rFonts w:ascii="Verdana" w:eastAsia="Times New Roman" w:hAnsi="Verdana"/>
          <w:sz w:val="20"/>
          <w:szCs w:val="20"/>
        </w:rPr>
        <w:t xml:space="preserve"> que distintos organismos del Sistema Interamericano pueden formular respecto de los informes que deben presentar los Estados acerca del desarrollo progresivo de los DESCA. Y otro, –previsto únicamente respecto de los derechos de organización y afiliación sindical y del derecho a la educación– que hace factible que una eventual violación a los mismos pueda ser conocida por la Corte</w:t>
      </w:r>
      <w:r w:rsidR="00756B84">
        <w:rPr>
          <w:rStyle w:val="s7"/>
          <w:rFonts w:ascii="Verdana" w:eastAsia="Times New Roman" w:hAnsi="Verdana"/>
          <w:sz w:val="20"/>
          <w:szCs w:val="20"/>
        </w:rPr>
        <w:t>.</w:t>
      </w:r>
    </w:p>
    <w:p w14:paraId="62F249C0" w14:textId="77777777" w:rsidR="00756B84" w:rsidRDefault="00756B84" w:rsidP="00756B84">
      <w:pPr>
        <w:pStyle w:val="Prrafodelista"/>
        <w:rPr>
          <w:rStyle w:val="s7"/>
          <w:rFonts w:ascii="Verdana" w:eastAsiaTheme="minorHAnsi" w:hAnsi="Verdana"/>
          <w:sz w:val="20"/>
          <w:szCs w:val="20"/>
          <w:lang w:val="es-419"/>
        </w:rPr>
      </w:pPr>
    </w:p>
    <w:p w14:paraId="14A920EF" w14:textId="65719302" w:rsidR="002346CA" w:rsidRPr="00756B84" w:rsidRDefault="006936BE" w:rsidP="00756B84">
      <w:pPr>
        <w:widowControl w:val="0"/>
        <w:numPr>
          <w:ilvl w:val="0"/>
          <w:numId w:val="27"/>
        </w:numPr>
        <w:tabs>
          <w:tab w:val="left" w:pos="567"/>
          <w:tab w:val="num" w:pos="1569"/>
          <w:tab w:val="num" w:pos="12305"/>
        </w:tabs>
        <w:adjustRightInd w:val="0"/>
        <w:ind w:left="0" w:firstLine="0"/>
        <w:jc w:val="both"/>
        <w:rPr>
          <w:rStyle w:val="s7"/>
          <w:rFonts w:ascii="Verdana" w:eastAsiaTheme="minorHAnsi" w:hAnsi="Verdana"/>
          <w:sz w:val="20"/>
          <w:szCs w:val="20"/>
          <w:lang w:val="es-419"/>
        </w:rPr>
      </w:pPr>
      <w:r w:rsidRPr="00756B84">
        <w:rPr>
          <w:rStyle w:val="s7"/>
          <w:rFonts w:ascii="Verdana" w:eastAsia="Times New Roman" w:hAnsi="Verdana"/>
          <w:sz w:val="20"/>
          <w:szCs w:val="20"/>
        </w:rPr>
        <w:t>En este sentido y como</w:t>
      </w:r>
      <w:r w:rsidR="00A2551A" w:rsidRPr="00756B84">
        <w:rPr>
          <w:rStyle w:val="s7"/>
          <w:rFonts w:ascii="Verdana" w:eastAsia="Times New Roman" w:hAnsi="Verdana"/>
          <w:sz w:val="20"/>
          <w:szCs w:val="20"/>
        </w:rPr>
        <w:t xml:space="preserve"> lo</w:t>
      </w:r>
      <w:r w:rsidR="00253B94" w:rsidRPr="00756B84">
        <w:rPr>
          <w:rStyle w:val="s7"/>
          <w:rFonts w:ascii="Verdana" w:eastAsia="Times New Roman" w:hAnsi="Verdana"/>
          <w:sz w:val="20"/>
          <w:szCs w:val="20"/>
        </w:rPr>
        <w:t xml:space="preserve"> han expresado Medina y David, “la posición de la mayoría socava la efectividad no solo del Protocolo de San Salvador sino del propio artículo 26”</w:t>
      </w:r>
      <w:r w:rsidR="00481470">
        <w:rPr>
          <w:rStyle w:val="Refdenotaalpie"/>
          <w:rFonts w:ascii="Verdana" w:eastAsia="Times New Roman" w:hAnsi="Verdana"/>
          <w:sz w:val="20"/>
          <w:szCs w:val="20"/>
        </w:rPr>
        <w:footnoteReference w:id="14"/>
      </w:r>
      <w:r w:rsidR="00253B94" w:rsidRPr="00756B84">
        <w:rPr>
          <w:rStyle w:val="s7"/>
          <w:rFonts w:ascii="Verdana" w:eastAsia="Times New Roman" w:hAnsi="Verdana"/>
          <w:sz w:val="20"/>
          <w:szCs w:val="20"/>
        </w:rPr>
        <w:t xml:space="preserve">, </w:t>
      </w:r>
      <w:r w:rsidR="00253B94" w:rsidRPr="00756B84">
        <w:rPr>
          <w:rFonts w:ascii="Verdana" w:hAnsi="Verdana"/>
          <w:sz w:val="20"/>
          <w:szCs w:val="20"/>
          <w:lang w:val="es-419"/>
        </w:rPr>
        <w:t>disposición</w:t>
      </w:r>
      <w:r w:rsidR="00253B94" w:rsidRPr="00756B84">
        <w:rPr>
          <w:rStyle w:val="s7"/>
          <w:rFonts w:ascii="Verdana" w:eastAsia="Times New Roman" w:hAnsi="Verdana"/>
          <w:sz w:val="20"/>
          <w:szCs w:val="20"/>
        </w:rPr>
        <w:t xml:space="preserve"> convencional que tiene un contenido específico que la Corte puede y debe desarrollar en los casos que le corresponda conocer.</w:t>
      </w:r>
    </w:p>
    <w:p w14:paraId="1269E0A9" w14:textId="77777777" w:rsidR="00756B84" w:rsidRDefault="00756B84" w:rsidP="00756B84">
      <w:pPr>
        <w:pStyle w:val="Prrafodelista"/>
        <w:rPr>
          <w:rStyle w:val="s7"/>
          <w:rFonts w:ascii="Verdana" w:eastAsiaTheme="minorHAnsi" w:hAnsi="Verdana"/>
          <w:sz w:val="20"/>
          <w:szCs w:val="20"/>
          <w:lang w:val="es-419"/>
        </w:rPr>
      </w:pPr>
    </w:p>
    <w:p w14:paraId="4F43D2C2" w14:textId="4A65189F" w:rsidR="00253B94" w:rsidRPr="00756B84" w:rsidRDefault="001F4B1B"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Style w:val="s7"/>
          <w:rFonts w:ascii="Verdana" w:eastAsia="Times New Roman" w:hAnsi="Verdana"/>
          <w:sz w:val="20"/>
          <w:szCs w:val="20"/>
        </w:rPr>
        <w:t>De</w:t>
      </w:r>
      <w:r w:rsidRPr="00756B84">
        <w:rPr>
          <w:rStyle w:val="apple-converted-space"/>
          <w:rFonts w:ascii="Verdana" w:eastAsia="Times New Roman" w:hAnsi="Verdana"/>
          <w:sz w:val="20"/>
          <w:szCs w:val="20"/>
        </w:rPr>
        <w:t> </w:t>
      </w:r>
      <w:r w:rsidRPr="00756B84">
        <w:rPr>
          <w:rStyle w:val="s7"/>
          <w:rFonts w:ascii="Verdana" w:eastAsia="Times New Roman" w:hAnsi="Verdana"/>
          <w:sz w:val="20"/>
          <w:szCs w:val="20"/>
        </w:rPr>
        <w:t xml:space="preserve">la lectura del artículo 26 se advierte que, a diferencia de lo que acontece a propósito de los </w:t>
      </w:r>
      <w:r w:rsidRPr="00756B84">
        <w:rPr>
          <w:rFonts w:ascii="Verdana" w:hAnsi="Verdana"/>
          <w:sz w:val="20"/>
          <w:szCs w:val="20"/>
          <w:lang w:val="es-419"/>
        </w:rPr>
        <w:t>derechos</w:t>
      </w:r>
      <w:r w:rsidRPr="00756B84">
        <w:rPr>
          <w:rStyle w:val="s7"/>
          <w:rFonts w:ascii="Verdana" w:eastAsia="Times New Roman" w:hAnsi="Verdana"/>
          <w:sz w:val="20"/>
          <w:szCs w:val="20"/>
        </w:rPr>
        <w:t xml:space="preserve"> civiles y políticos especificados y desarrollados en el Capítulo II de la Convención, en él se establece una obligación para los Estados </w:t>
      </w:r>
      <w:r w:rsidR="003748F3" w:rsidRPr="00756B84">
        <w:rPr>
          <w:rStyle w:val="s7"/>
          <w:rFonts w:ascii="Verdana" w:eastAsia="Times New Roman" w:hAnsi="Verdana"/>
          <w:sz w:val="20"/>
          <w:szCs w:val="20"/>
        </w:rPr>
        <w:t>Parte</w:t>
      </w:r>
      <w:r w:rsidRPr="00756B84">
        <w:rPr>
          <w:rStyle w:val="s7"/>
          <w:rFonts w:ascii="Verdana" w:eastAsia="Times New Roman" w:hAnsi="Verdana"/>
          <w:sz w:val="20"/>
          <w:szCs w:val="20"/>
        </w:rPr>
        <w:t xml:space="preserve"> en el sentido de adoptar las “providencias” es decir las acciones, medidas o políticas públicas necesarias para lograr “progresivamente” la plena efectividad de los derechos derivados de normas de la Carta de la OEA, en la “medida de los recursos disponibles” (lo que es congruente con el carácter progresivo de la obligación) y por “vía legislativa u otros medios apropiados”. En otros términos, cada Estado </w:t>
      </w:r>
      <w:r w:rsidR="009D4C00" w:rsidRPr="00756B84">
        <w:rPr>
          <w:rStyle w:val="s7"/>
          <w:rFonts w:ascii="Verdana" w:eastAsia="Times New Roman" w:hAnsi="Verdana"/>
          <w:sz w:val="20"/>
          <w:szCs w:val="20"/>
        </w:rPr>
        <w:t>Parte</w:t>
      </w:r>
      <w:r w:rsidRPr="00756B84">
        <w:rPr>
          <w:rStyle w:val="s7"/>
          <w:rFonts w:ascii="Verdana" w:eastAsia="Times New Roman" w:hAnsi="Verdana"/>
          <w:sz w:val="20"/>
          <w:szCs w:val="20"/>
        </w:rPr>
        <w:t xml:space="preserve"> tiene la obligación de ir formulando definiciones y avanzando decididamente en estas materias, de acuerdo con sus procedimientos deliberativos internos.</w:t>
      </w:r>
    </w:p>
    <w:p w14:paraId="677CF352" w14:textId="77777777" w:rsidR="005427D6" w:rsidRPr="00756B84" w:rsidRDefault="005427D6" w:rsidP="00756B84">
      <w:pPr>
        <w:pStyle w:val="Numberedparagraphs"/>
        <w:widowControl w:val="0"/>
        <w:numPr>
          <w:ilvl w:val="0"/>
          <w:numId w:val="0"/>
        </w:numPr>
        <w:tabs>
          <w:tab w:val="left" w:pos="567"/>
        </w:tabs>
        <w:autoSpaceDE w:val="0"/>
        <w:autoSpaceDN w:val="0"/>
        <w:adjustRightInd w:val="0"/>
        <w:contextualSpacing/>
        <w:rPr>
          <w:rFonts w:eastAsiaTheme="minorHAnsi"/>
          <w:b/>
          <w:bCs/>
          <w:lang w:val="es-419"/>
        </w:rPr>
      </w:pPr>
    </w:p>
    <w:p w14:paraId="418BAEA3" w14:textId="7447A6DC" w:rsidR="00383FA6" w:rsidRDefault="007A153B" w:rsidP="00756B84">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sidRPr="00756B84">
        <w:rPr>
          <w:rFonts w:eastAsiaTheme="minorHAnsi"/>
          <w:b/>
          <w:bCs/>
          <w:lang w:val="es-419"/>
        </w:rPr>
        <w:t>La CADH y las Constituciones</w:t>
      </w:r>
    </w:p>
    <w:p w14:paraId="5BF8EF78" w14:textId="77777777" w:rsidR="00756B84" w:rsidRP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54BAA90F" w14:textId="6167E2AC" w:rsidR="006342C0" w:rsidRPr="00756B84" w:rsidRDefault="00E50423"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lang w:val="es-419"/>
        </w:rPr>
        <w:t xml:space="preserve">Como se ha señalado más arriba, la </w:t>
      </w:r>
      <w:r w:rsidR="006342C0" w:rsidRPr="00756B84">
        <w:rPr>
          <w:rFonts w:ascii="Verdana" w:eastAsiaTheme="minorHAnsi" w:hAnsi="Verdana"/>
          <w:sz w:val="20"/>
          <w:szCs w:val="20"/>
        </w:rPr>
        <w:t xml:space="preserve">mayoría plantea que este Tribunal ha reconocido en diferentes precedentes el derecho a la salud como un derecho protegido a través del artículo 26 -lo </w:t>
      </w:r>
      <w:r w:rsidR="00DC54C6" w:rsidRPr="00756B84">
        <w:rPr>
          <w:rFonts w:ascii="Verdana" w:eastAsiaTheme="minorHAnsi" w:hAnsi="Verdana"/>
          <w:sz w:val="20"/>
          <w:szCs w:val="20"/>
        </w:rPr>
        <w:t>que,</w:t>
      </w:r>
      <w:r w:rsidR="006342C0" w:rsidRPr="00756B84">
        <w:rPr>
          <w:rFonts w:ascii="Verdana" w:eastAsiaTheme="minorHAnsi" w:hAnsi="Verdana"/>
          <w:sz w:val="20"/>
          <w:szCs w:val="20"/>
        </w:rPr>
        <w:t xml:space="preserve"> por cierto, no constituye una razón en favor de su aplicación- y que respecto de la consolidación de este derecho existe “un amplio consenso regional</w:t>
      </w:r>
      <w:r w:rsidR="00E6276D" w:rsidRPr="00756B84">
        <w:rPr>
          <w:rFonts w:ascii="Verdana" w:eastAsiaTheme="minorHAnsi" w:hAnsi="Verdana"/>
          <w:sz w:val="20"/>
          <w:szCs w:val="20"/>
        </w:rPr>
        <w:t>,</w:t>
      </w:r>
      <w:r w:rsidR="006342C0" w:rsidRPr="00756B84">
        <w:rPr>
          <w:rFonts w:ascii="Verdana" w:eastAsiaTheme="minorHAnsi" w:hAnsi="Verdana"/>
          <w:sz w:val="20"/>
          <w:szCs w:val="20"/>
        </w:rPr>
        <w:t xml:space="preserve"> ya que se encuentra reconocido explícitamente en diversas </w:t>
      </w:r>
      <w:r w:rsidR="00E6276D" w:rsidRPr="00756B84">
        <w:rPr>
          <w:rFonts w:ascii="Verdana" w:eastAsiaTheme="minorHAnsi" w:hAnsi="Verdana"/>
          <w:sz w:val="20"/>
          <w:szCs w:val="20"/>
        </w:rPr>
        <w:t>C</w:t>
      </w:r>
      <w:r w:rsidR="006342C0" w:rsidRPr="00756B84">
        <w:rPr>
          <w:rFonts w:ascii="Verdana" w:eastAsiaTheme="minorHAnsi" w:hAnsi="Verdana"/>
          <w:sz w:val="20"/>
          <w:szCs w:val="20"/>
        </w:rPr>
        <w:t>onstituciones y leyes internas de los Estados de la región”</w:t>
      </w:r>
      <w:r w:rsidR="006342C0" w:rsidRPr="00756B84">
        <w:rPr>
          <w:rStyle w:val="Refdenotaalpie"/>
          <w:rFonts w:ascii="Verdana" w:eastAsiaTheme="minorHAnsi" w:hAnsi="Verdana"/>
          <w:sz w:val="20"/>
          <w:szCs w:val="20"/>
        </w:rPr>
        <w:footnoteReference w:id="15"/>
      </w:r>
      <w:r w:rsidR="00667D72" w:rsidRPr="00756B84">
        <w:rPr>
          <w:rFonts w:ascii="Verdana" w:eastAsiaTheme="minorHAnsi" w:hAnsi="Verdana"/>
          <w:sz w:val="20"/>
          <w:szCs w:val="20"/>
        </w:rPr>
        <w:t>.</w:t>
      </w:r>
    </w:p>
    <w:p w14:paraId="589EF574"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lang w:val="es-419"/>
        </w:rPr>
      </w:pPr>
    </w:p>
    <w:p w14:paraId="398758D6" w14:textId="6B1B0C36" w:rsidR="00E851E3" w:rsidRDefault="00EA2F8E"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rPr>
        <w:t>Co</w:t>
      </w:r>
      <w:r w:rsidR="006044BF" w:rsidRPr="00756B84">
        <w:rPr>
          <w:rFonts w:ascii="Verdana" w:eastAsiaTheme="minorHAnsi" w:hAnsi="Verdana"/>
          <w:sz w:val="20"/>
          <w:szCs w:val="20"/>
        </w:rPr>
        <w:t xml:space="preserve">nforme se ha </w:t>
      </w:r>
      <w:r w:rsidRPr="00756B84">
        <w:rPr>
          <w:rFonts w:ascii="Verdana" w:eastAsiaTheme="minorHAnsi" w:hAnsi="Verdana"/>
          <w:sz w:val="20"/>
          <w:szCs w:val="20"/>
        </w:rPr>
        <w:t xml:space="preserve">expresado en otras oportunidades, </w:t>
      </w:r>
      <w:r w:rsidR="000E3335" w:rsidRPr="00756B84">
        <w:rPr>
          <w:rFonts w:ascii="Verdana" w:eastAsiaTheme="minorHAnsi" w:hAnsi="Verdana"/>
          <w:sz w:val="20"/>
          <w:szCs w:val="20"/>
        </w:rPr>
        <w:t xml:space="preserve">merece </w:t>
      </w:r>
      <w:r w:rsidR="006342C0" w:rsidRPr="00756B84">
        <w:rPr>
          <w:rFonts w:ascii="Verdana" w:eastAsiaTheme="minorHAnsi" w:hAnsi="Verdana"/>
          <w:sz w:val="20"/>
          <w:szCs w:val="20"/>
        </w:rPr>
        <w:t xml:space="preserve">la pena detenerse en este argumento, </w:t>
      </w:r>
      <w:r w:rsidR="006342C0" w:rsidRPr="00756B84">
        <w:rPr>
          <w:rFonts w:ascii="Verdana" w:eastAsiaTheme="minorHAnsi" w:hAnsi="Verdana"/>
          <w:sz w:val="20"/>
          <w:szCs w:val="20"/>
          <w:lang w:val="es-419"/>
        </w:rPr>
        <w:t>porque</w:t>
      </w:r>
      <w:r w:rsidR="006342C0" w:rsidRPr="00756B84">
        <w:rPr>
          <w:rFonts w:ascii="Verdana" w:eastAsiaTheme="minorHAnsi" w:hAnsi="Verdana"/>
          <w:sz w:val="20"/>
          <w:szCs w:val="20"/>
          <w:lang w:val="x-none"/>
        </w:rPr>
        <w:t xml:space="preserve"> pareciera ser que se pretende</w:t>
      </w:r>
      <w:r w:rsidR="006342C0" w:rsidRPr="00756B84">
        <w:rPr>
          <w:rFonts w:ascii="Verdana" w:eastAsiaTheme="minorHAnsi" w:hAnsi="Verdana"/>
          <w:sz w:val="20"/>
          <w:szCs w:val="20"/>
          <w:lang w:val="es-419"/>
        </w:rPr>
        <w:t xml:space="preserve"> homologar </w:t>
      </w:r>
      <w:r w:rsidR="006342C0" w:rsidRPr="00756B84">
        <w:rPr>
          <w:rFonts w:ascii="Verdana" w:eastAsiaTheme="minorHAnsi" w:hAnsi="Verdana"/>
          <w:sz w:val="20"/>
          <w:szCs w:val="20"/>
          <w:lang w:val="x-none"/>
        </w:rPr>
        <w:t xml:space="preserve">la </w:t>
      </w:r>
      <w:r w:rsidR="006342C0" w:rsidRPr="00756B84">
        <w:rPr>
          <w:rFonts w:ascii="Verdana" w:eastAsiaTheme="minorHAnsi" w:hAnsi="Verdana"/>
          <w:sz w:val="20"/>
          <w:szCs w:val="20"/>
          <w:lang w:val="es-419"/>
        </w:rPr>
        <w:t xml:space="preserve">Convención </w:t>
      </w:r>
      <w:r w:rsidR="006342C0" w:rsidRPr="00756B84">
        <w:rPr>
          <w:rFonts w:ascii="Verdana" w:eastAsiaTheme="minorHAnsi" w:hAnsi="Verdana"/>
          <w:sz w:val="20"/>
          <w:szCs w:val="20"/>
          <w:lang w:val="x-none"/>
        </w:rPr>
        <w:t xml:space="preserve">a las </w:t>
      </w:r>
      <w:r w:rsidR="006342C0" w:rsidRPr="00756B84">
        <w:rPr>
          <w:rFonts w:ascii="Verdana" w:eastAsiaTheme="minorHAnsi" w:hAnsi="Verdana"/>
          <w:sz w:val="20"/>
          <w:szCs w:val="20"/>
          <w:lang w:val="es-419"/>
        </w:rPr>
        <w:t xml:space="preserve">Constituciones </w:t>
      </w:r>
      <w:r w:rsidR="006342C0" w:rsidRPr="00756B84">
        <w:rPr>
          <w:rFonts w:ascii="Verdana" w:eastAsiaTheme="minorHAnsi" w:hAnsi="Verdana"/>
          <w:sz w:val="20"/>
          <w:szCs w:val="20"/>
          <w:lang w:val="x-none"/>
        </w:rPr>
        <w:t xml:space="preserve">de los </w:t>
      </w:r>
      <w:r w:rsidR="006342C0" w:rsidRPr="00756B84">
        <w:rPr>
          <w:rFonts w:ascii="Verdana" w:eastAsiaTheme="minorHAnsi" w:hAnsi="Verdana"/>
          <w:sz w:val="20"/>
          <w:szCs w:val="20"/>
          <w:lang w:val="es-419"/>
        </w:rPr>
        <w:t xml:space="preserve">Estados </w:t>
      </w:r>
      <w:r w:rsidR="000E3335" w:rsidRPr="00756B84">
        <w:rPr>
          <w:rFonts w:ascii="Verdana" w:eastAsiaTheme="minorHAnsi" w:hAnsi="Verdana"/>
          <w:sz w:val="20"/>
          <w:szCs w:val="20"/>
          <w:lang w:val="es-419"/>
        </w:rPr>
        <w:t>Parte</w:t>
      </w:r>
      <w:r w:rsidR="006342C0" w:rsidRPr="00756B84">
        <w:rPr>
          <w:rFonts w:ascii="Verdana" w:eastAsiaTheme="minorHAnsi" w:hAnsi="Verdana"/>
          <w:sz w:val="20"/>
          <w:szCs w:val="20"/>
          <w:lang w:val="es-419"/>
        </w:rPr>
        <w:t xml:space="preserve">, como si una y otras fuesen piezas </w:t>
      </w:r>
      <w:r w:rsidR="006342C0" w:rsidRPr="00756B84">
        <w:rPr>
          <w:rFonts w:ascii="Verdana" w:hAnsi="Verdana"/>
          <w:sz w:val="20"/>
          <w:szCs w:val="20"/>
          <w:lang w:val="es-419"/>
        </w:rPr>
        <w:t>equivalentes</w:t>
      </w:r>
      <w:r w:rsidR="006342C0" w:rsidRPr="00756B84">
        <w:rPr>
          <w:rFonts w:ascii="Verdana" w:eastAsiaTheme="minorHAnsi" w:hAnsi="Verdana"/>
          <w:sz w:val="20"/>
          <w:szCs w:val="20"/>
          <w:lang w:val="es-419"/>
        </w:rPr>
        <w:t xml:space="preserve"> de ese denominado “consenso regional”. Ello constituye un error tanto respecto de la naturaleza de </w:t>
      </w:r>
      <w:r w:rsidR="000E71F1" w:rsidRPr="00756B84">
        <w:rPr>
          <w:rFonts w:ascii="Verdana" w:eastAsiaTheme="minorHAnsi" w:hAnsi="Verdana"/>
          <w:sz w:val="20"/>
          <w:szCs w:val="20"/>
          <w:lang w:val="es-419"/>
        </w:rPr>
        <w:t xml:space="preserve">dichos </w:t>
      </w:r>
      <w:r w:rsidR="006342C0" w:rsidRPr="00756B84">
        <w:rPr>
          <w:rFonts w:ascii="Verdana" w:eastAsiaTheme="minorHAnsi" w:hAnsi="Verdana"/>
          <w:sz w:val="20"/>
          <w:szCs w:val="20"/>
          <w:lang w:val="es-419"/>
        </w:rPr>
        <w:t>instrumento</w:t>
      </w:r>
      <w:r w:rsidR="000E71F1" w:rsidRPr="00756B84">
        <w:rPr>
          <w:rFonts w:ascii="Verdana" w:eastAsiaTheme="minorHAnsi" w:hAnsi="Verdana"/>
          <w:sz w:val="20"/>
          <w:szCs w:val="20"/>
          <w:lang w:val="es-419"/>
        </w:rPr>
        <w:t>s</w:t>
      </w:r>
      <w:r w:rsidR="006342C0" w:rsidRPr="00756B84">
        <w:rPr>
          <w:rFonts w:ascii="Verdana" w:eastAsiaTheme="minorHAnsi" w:hAnsi="Verdana"/>
          <w:sz w:val="20"/>
          <w:szCs w:val="20"/>
          <w:lang w:val="es-419"/>
        </w:rPr>
        <w:t>, como respecto de su</w:t>
      </w:r>
      <w:r w:rsidR="00D631BF" w:rsidRPr="00756B84">
        <w:rPr>
          <w:rFonts w:ascii="Verdana" w:eastAsiaTheme="minorHAnsi" w:hAnsi="Verdana"/>
          <w:sz w:val="20"/>
          <w:szCs w:val="20"/>
          <w:lang w:val="es-419"/>
        </w:rPr>
        <w:t>s respectivos</w:t>
      </w:r>
      <w:r w:rsidR="006342C0" w:rsidRPr="00756B84">
        <w:rPr>
          <w:rFonts w:ascii="Verdana" w:eastAsiaTheme="minorHAnsi" w:hAnsi="Verdana"/>
          <w:sz w:val="20"/>
          <w:szCs w:val="20"/>
          <w:lang w:val="es-419"/>
        </w:rPr>
        <w:t xml:space="preserve"> </w:t>
      </w:r>
      <w:r w:rsidR="006342C0" w:rsidRPr="00756B84">
        <w:rPr>
          <w:rFonts w:ascii="Verdana" w:eastAsiaTheme="minorHAnsi" w:hAnsi="Verdana"/>
          <w:sz w:val="20"/>
          <w:szCs w:val="20"/>
          <w:lang w:val="es-419"/>
        </w:rPr>
        <w:lastRenderedPageBreak/>
        <w:t>alcance</w:t>
      </w:r>
      <w:r w:rsidR="00D631BF" w:rsidRPr="00756B84">
        <w:rPr>
          <w:rFonts w:ascii="Verdana" w:eastAsiaTheme="minorHAnsi" w:hAnsi="Verdana"/>
          <w:sz w:val="20"/>
          <w:szCs w:val="20"/>
          <w:lang w:val="es-419"/>
        </w:rPr>
        <w:t>s</w:t>
      </w:r>
      <w:r w:rsidR="006342C0" w:rsidRPr="00756B84">
        <w:rPr>
          <w:rFonts w:ascii="Verdana" w:eastAsiaTheme="minorHAnsi" w:hAnsi="Verdana"/>
          <w:sz w:val="20"/>
          <w:szCs w:val="20"/>
          <w:lang w:val="es-CR"/>
        </w:rPr>
        <w:t xml:space="preserve">, </w:t>
      </w:r>
      <w:r w:rsidR="006342C0" w:rsidRPr="00756B84">
        <w:rPr>
          <w:rFonts w:ascii="Verdana" w:eastAsiaTheme="minorHAnsi" w:hAnsi="Verdana"/>
          <w:sz w:val="20"/>
          <w:szCs w:val="20"/>
          <w:lang w:val="es-419"/>
        </w:rPr>
        <w:t>porque la Convención es un tratado internacional, suscrito entre Estados, en cambio</w:t>
      </w:r>
      <w:r w:rsidR="007335D2">
        <w:rPr>
          <w:rFonts w:ascii="Verdana" w:eastAsiaTheme="minorHAnsi" w:hAnsi="Verdana"/>
          <w:sz w:val="20"/>
          <w:szCs w:val="20"/>
          <w:lang w:val="es-419"/>
        </w:rPr>
        <w:t>,</w:t>
      </w:r>
      <w:r w:rsidR="006342C0" w:rsidRPr="00756B84">
        <w:rPr>
          <w:rFonts w:ascii="Verdana" w:eastAsiaTheme="minorHAnsi" w:hAnsi="Verdana"/>
          <w:sz w:val="20"/>
          <w:szCs w:val="20"/>
          <w:lang w:val="es-419"/>
        </w:rPr>
        <w:t xml:space="preserve"> la Constitución de cada país es un </w:t>
      </w:r>
      <w:r w:rsidR="006342C0" w:rsidRPr="00756B84">
        <w:rPr>
          <w:rFonts w:ascii="Verdana" w:eastAsiaTheme="minorHAnsi" w:hAnsi="Verdana"/>
          <w:sz w:val="20"/>
          <w:szCs w:val="20"/>
          <w:lang w:val="x-none"/>
        </w:rPr>
        <w:t>acuerdo al cual</w:t>
      </w:r>
      <w:r w:rsidR="006342C0" w:rsidRPr="00756B84">
        <w:rPr>
          <w:rFonts w:ascii="Verdana" w:eastAsiaTheme="minorHAnsi" w:hAnsi="Verdana"/>
          <w:sz w:val="20"/>
          <w:szCs w:val="20"/>
          <w:lang w:val="es-419"/>
        </w:rPr>
        <w:t xml:space="preserve"> ha </w:t>
      </w:r>
      <w:r w:rsidR="006342C0" w:rsidRPr="00756B84">
        <w:rPr>
          <w:rFonts w:ascii="Verdana" w:eastAsiaTheme="minorHAnsi" w:hAnsi="Verdana"/>
          <w:sz w:val="20"/>
          <w:szCs w:val="20"/>
          <w:lang w:val="x-none"/>
        </w:rPr>
        <w:t>arribado la ciudadanía en virtud de sus procesos deliberativos democráticos internos</w:t>
      </w:r>
      <w:r w:rsidR="006342C0" w:rsidRPr="00756B84">
        <w:rPr>
          <w:rFonts w:ascii="Verdana" w:eastAsiaTheme="minorHAnsi" w:hAnsi="Verdana"/>
          <w:sz w:val="20"/>
          <w:szCs w:val="20"/>
          <w:lang w:val="es-CR"/>
        </w:rPr>
        <w:t xml:space="preserve">. </w:t>
      </w:r>
      <w:r w:rsidR="006342C0" w:rsidRPr="00756B84">
        <w:rPr>
          <w:rFonts w:ascii="Verdana" w:eastAsiaTheme="minorHAnsi" w:hAnsi="Verdana"/>
          <w:sz w:val="20"/>
          <w:szCs w:val="20"/>
          <w:lang w:val="es-419"/>
        </w:rPr>
        <w:t>Su alcance es diferente también. Mientras la CADH está llamada a regir en el plano de la adjudicación internacional, las Constituciones respectivas tienen un alcance doméstico, circunscrito a</w:t>
      </w:r>
      <w:r w:rsidR="00964B65" w:rsidRPr="00756B84">
        <w:rPr>
          <w:rFonts w:ascii="Verdana" w:eastAsiaTheme="minorHAnsi" w:hAnsi="Verdana"/>
          <w:sz w:val="20"/>
          <w:szCs w:val="20"/>
          <w:lang w:val="es-419"/>
        </w:rPr>
        <w:t xml:space="preserve"> cada</w:t>
      </w:r>
      <w:r w:rsidR="006342C0" w:rsidRPr="00756B84">
        <w:rPr>
          <w:rFonts w:ascii="Verdana" w:eastAsiaTheme="minorHAnsi" w:hAnsi="Verdana"/>
          <w:sz w:val="20"/>
          <w:szCs w:val="20"/>
          <w:lang w:val="es-419"/>
        </w:rPr>
        <w:t xml:space="preserve"> Estado.</w:t>
      </w:r>
    </w:p>
    <w:p w14:paraId="607A573B" w14:textId="77777777" w:rsidR="00756B84" w:rsidRDefault="00756B84" w:rsidP="00756B84">
      <w:pPr>
        <w:pStyle w:val="Prrafodelista"/>
        <w:rPr>
          <w:rFonts w:ascii="Verdana" w:eastAsiaTheme="minorHAnsi" w:hAnsi="Verdana"/>
          <w:sz w:val="20"/>
          <w:szCs w:val="20"/>
          <w:lang w:val="es-419"/>
        </w:rPr>
      </w:pPr>
    </w:p>
    <w:p w14:paraId="17F48B41" w14:textId="59FC7802" w:rsidR="006342C0" w:rsidRDefault="001C6E9F"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lang w:val="es-419"/>
        </w:rPr>
        <w:t>Adicionalmente</w:t>
      </w:r>
      <w:r w:rsidR="005344A8" w:rsidRPr="00756B84">
        <w:rPr>
          <w:rFonts w:ascii="Verdana" w:eastAsiaTheme="minorHAnsi" w:hAnsi="Verdana"/>
          <w:sz w:val="20"/>
          <w:szCs w:val="20"/>
          <w:lang w:val="es-419"/>
        </w:rPr>
        <w:t>,</w:t>
      </w:r>
      <w:r w:rsidRPr="00756B84">
        <w:rPr>
          <w:rFonts w:ascii="Verdana" w:eastAsiaTheme="minorHAnsi" w:hAnsi="Verdana"/>
          <w:sz w:val="20"/>
          <w:szCs w:val="20"/>
          <w:lang w:val="es-419"/>
        </w:rPr>
        <w:t xml:space="preserve"> este </w:t>
      </w:r>
      <w:r w:rsidR="000F3417" w:rsidRPr="00756B84">
        <w:rPr>
          <w:rFonts w:ascii="Verdana" w:eastAsiaTheme="minorHAnsi" w:hAnsi="Verdana"/>
          <w:sz w:val="20"/>
          <w:szCs w:val="20"/>
          <w:lang w:val="es-419"/>
        </w:rPr>
        <w:t>razonamiento</w:t>
      </w:r>
      <w:r w:rsidR="00D10D88" w:rsidRPr="00756B84">
        <w:rPr>
          <w:rFonts w:ascii="Verdana" w:eastAsiaTheme="minorHAnsi" w:hAnsi="Verdana"/>
          <w:sz w:val="20"/>
          <w:szCs w:val="20"/>
          <w:lang w:val="es-419"/>
        </w:rPr>
        <w:t xml:space="preserve"> </w:t>
      </w:r>
      <w:r w:rsidR="001D0310" w:rsidRPr="00756B84">
        <w:rPr>
          <w:rFonts w:ascii="Verdana" w:eastAsiaTheme="minorHAnsi" w:hAnsi="Verdana"/>
          <w:sz w:val="20"/>
          <w:szCs w:val="20"/>
          <w:lang w:val="es-419"/>
        </w:rPr>
        <w:t xml:space="preserve">implícitamente </w:t>
      </w:r>
      <w:r w:rsidR="000C12F2" w:rsidRPr="00756B84">
        <w:rPr>
          <w:rFonts w:ascii="Verdana" w:eastAsiaTheme="minorHAnsi" w:hAnsi="Verdana"/>
          <w:sz w:val="20"/>
          <w:szCs w:val="20"/>
          <w:lang w:val="es-419"/>
        </w:rPr>
        <w:t>convierte</w:t>
      </w:r>
      <w:r w:rsidR="00AB5040" w:rsidRPr="00756B84">
        <w:rPr>
          <w:rFonts w:ascii="Verdana" w:eastAsiaTheme="minorHAnsi" w:hAnsi="Verdana"/>
          <w:sz w:val="20"/>
          <w:szCs w:val="20"/>
          <w:lang w:val="es-419"/>
        </w:rPr>
        <w:t xml:space="preserve"> </w:t>
      </w:r>
      <w:r w:rsidR="004610A6" w:rsidRPr="00756B84">
        <w:rPr>
          <w:rFonts w:ascii="Verdana" w:eastAsiaTheme="minorHAnsi" w:hAnsi="Verdana"/>
          <w:sz w:val="20"/>
          <w:szCs w:val="20"/>
          <w:lang w:val="es-419"/>
        </w:rPr>
        <w:t xml:space="preserve">a </w:t>
      </w:r>
      <w:r w:rsidR="00AB5040" w:rsidRPr="00756B84">
        <w:rPr>
          <w:rFonts w:ascii="Verdana" w:eastAsiaTheme="minorHAnsi" w:hAnsi="Verdana"/>
          <w:sz w:val="20"/>
          <w:szCs w:val="20"/>
          <w:lang w:val="es-419"/>
        </w:rPr>
        <w:t xml:space="preserve">las Constituciones de los Estados Parte en una fuente de derecho convencional. </w:t>
      </w:r>
      <w:r w:rsidR="00AC664D" w:rsidRPr="00756B84">
        <w:rPr>
          <w:rFonts w:ascii="Verdana" w:eastAsiaTheme="minorHAnsi" w:hAnsi="Verdana"/>
          <w:sz w:val="20"/>
          <w:szCs w:val="20"/>
          <w:lang w:val="es-419"/>
        </w:rPr>
        <w:t xml:space="preserve">Ello constituye </w:t>
      </w:r>
      <w:r w:rsidR="00AB5040" w:rsidRPr="00756B84">
        <w:rPr>
          <w:rFonts w:ascii="Verdana" w:eastAsiaTheme="minorHAnsi" w:hAnsi="Verdana"/>
          <w:sz w:val="20"/>
          <w:szCs w:val="20"/>
          <w:lang w:val="es-419"/>
        </w:rPr>
        <w:t>una errada interpretación del artículo 29 literal b de la Convención.</w:t>
      </w:r>
      <w:r w:rsidR="008B2229" w:rsidRPr="00756B84">
        <w:rPr>
          <w:rFonts w:ascii="Verdana" w:eastAsiaTheme="minorHAnsi" w:hAnsi="Verdana"/>
          <w:sz w:val="20"/>
          <w:szCs w:val="20"/>
          <w:lang w:val="es-419"/>
        </w:rPr>
        <w:t xml:space="preserve"> Tal </w:t>
      </w:r>
      <w:r w:rsidR="00AB5040" w:rsidRPr="00756B84">
        <w:rPr>
          <w:rFonts w:ascii="Verdana" w:eastAsiaTheme="minorHAnsi" w:hAnsi="Verdana"/>
          <w:sz w:val="20"/>
          <w:szCs w:val="20"/>
          <w:lang w:val="es-419"/>
        </w:rPr>
        <w:t>precepto está previsto para casos en los cuales un derecho</w:t>
      </w:r>
      <w:r w:rsidR="00B754FA" w:rsidRPr="00756B84">
        <w:rPr>
          <w:rFonts w:ascii="Verdana" w:eastAsiaTheme="minorHAnsi" w:hAnsi="Verdana"/>
          <w:sz w:val="20"/>
          <w:szCs w:val="20"/>
          <w:lang w:val="es-419"/>
        </w:rPr>
        <w:t xml:space="preserve">, </w:t>
      </w:r>
      <w:r w:rsidR="00AB5040" w:rsidRPr="00756B84">
        <w:rPr>
          <w:rFonts w:ascii="Verdana" w:eastAsiaTheme="minorHAnsi" w:hAnsi="Verdana"/>
          <w:sz w:val="20"/>
          <w:szCs w:val="20"/>
          <w:lang w:val="es-419"/>
        </w:rPr>
        <w:t xml:space="preserve">reconocido en la </w:t>
      </w:r>
      <w:r w:rsidR="00AB5040" w:rsidRPr="00756B84">
        <w:rPr>
          <w:rFonts w:ascii="Verdana" w:hAnsi="Verdana"/>
          <w:sz w:val="20"/>
          <w:szCs w:val="20"/>
          <w:lang w:val="es-419"/>
        </w:rPr>
        <w:t>Convención</w:t>
      </w:r>
      <w:r w:rsidR="00B754FA" w:rsidRPr="00756B84">
        <w:rPr>
          <w:rFonts w:ascii="Verdana" w:eastAsiaTheme="minorHAnsi" w:hAnsi="Verdana"/>
          <w:sz w:val="20"/>
          <w:szCs w:val="20"/>
          <w:lang w:val="es-419"/>
        </w:rPr>
        <w:t xml:space="preserve">, </w:t>
      </w:r>
      <w:r w:rsidR="00AB5040" w:rsidRPr="00756B84">
        <w:rPr>
          <w:rFonts w:ascii="Verdana" w:eastAsiaTheme="minorHAnsi" w:hAnsi="Verdana"/>
          <w:sz w:val="20"/>
          <w:szCs w:val="20"/>
          <w:lang w:val="es-419"/>
        </w:rPr>
        <w:t xml:space="preserve">es regulado de forma más amplia por la legislación de un Estado Parte. </w:t>
      </w:r>
      <w:r w:rsidR="00F42F60" w:rsidRPr="00756B84">
        <w:rPr>
          <w:rFonts w:ascii="Verdana" w:eastAsiaTheme="minorHAnsi" w:hAnsi="Verdana"/>
          <w:sz w:val="20"/>
          <w:szCs w:val="20"/>
          <w:lang w:val="es-419"/>
        </w:rPr>
        <w:t>En tal supuesto</w:t>
      </w:r>
      <w:r w:rsidR="00AB5040" w:rsidRPr="00756B84">
        <w:rPr>
          <w:rFonts w:ascii="Verdana" w:eastAsiaTheme="minorHAnsi" w:hAnsi="Verdana"/>
          <w:sz w:val="20"/>
          <w:szCs w:val="20"/>
          <w:lang w:val="es-419"/>
        </w:rPr>
        <w:t xml:space="preserve"> se debe aplicar</w:t>
      </w:r>
      <w:r w:rsidR="00F42F60" w:rsidRPr="00756B84">
        <w:rPr>
          <w:rFonts w:ascii="Verdana" w:eastAsiaTheme="minorHAnsi" w:hAnsi="Verdana"/>
          <w:sz w:val="20"/>
          <w:szCs w:val="20"/>
          <w:lang w:val="es-419"/>
        </w:rPr>
        <w:t xml:space="preserve"> -</w:t>
      </w:r>
      <w:r w:rsidR="00AB5040" w:rsidRPr="00756B84">
        <w:rPr>
          <w:rFonts w:ascii="Verdana" w:eastAsiaTheme="minorHAnsi" w:hAnsi="Verdana"/>
          <w:sz w:val="20"/>
          <w:szCs w:val="20"/>
          <w:lang w:val="es-419"/>
        </w:rPr>
        <w:t xml:space="preserve">en virtud del principio </w:t>
      </w:r>
      <w:proofErr w:type="gramStart"/>
      <w:r w:rsidR="00AB5040" w:rsidRPr="00756B84">
        <w:rPr>
          <w:rFonts w:ascii="Verdana" w:eastAsiaTheme="minorHAnsi" w:hAnsi="Verdana"/>
          <w:i/>
          <w:iCs/>
          <w:sz w:val="20"/>
          <w:szCs w:val="20"/>
          <w:lang w:val="es-419"/>
        </w:rPr>
        <w:t>pro persona</w:t>
      </w:r>
      <w:proofErr w:type="gramEnd"/>
      <w:r w:rsidR="00F42F60" w:rsidRPr="00756B84">
        <w:rPr>
          <w:rFonts w:ascii="Verdana" w:eastAsiaTheme="minorHAnsi" w:hAnsi="Verdana"/>
          <w:sz w:val="20"/>
          <w:szCs w:val="20"/>
          <w:lang w:val="es-419"/>
        </w:rPr>
        <w:t>-</w:t>
      </w:r>
      <w:r w:rsidR="00AB5040" w:rsidRPr="00756B84">
        <w:rPr>
          <w:rFonts w:ascii="Verdana" w:eastAsiaTheme="minorHAnsi" w:hAnsi="Verdana"/>
          <w:sz w:val="20"/>
          <w:szCs w:val="20"/>
          <w:lang w:val="es-419"/>
        </w:rPr>
        <w:t xml:space="preserve"> la normativa más favorable </w:t>
      </w:r>
      <w:r w:rsidR="00A96A96" w:rsidRPr="00756B84">
        <w:rPr>
          <w:rFonts w:ascii="Verdana" w:eastAsiaTheme="minorHAnsi" w:hAnsi="Verdana"/>
          <w:sz w:val="20"/>
          <w:szCs w:val="20"/>
          <w:lang w:val="es-419"/>
        </w:rPr>
        <w:t xml:space="preserve">para el </w:t>
      </w:r>
      <w:r w:rsidR="00AB5040" w:rsidRPr="00756B84">
        <w:rPr>
          <w:rFonts w:ascii="Verdana" w:eastAsiaTheme="minorHAnsi" w:hAnsi="Verdana"/>
          <w:sz w:val="20"/>
          <w:szCs w:val="20"/>
          <w:lang w:val="es-419"/>
        </w:rPr>
        <w:t>caso concreto.</w:t>
      </w:r>
      <w:r w:rsidR="00A96A96" w:rsidRPr="00756B84">
        <w:rPr>
          <w:rFonts w:ascii="Verdana" w:eastAsiaTheme="minorHAnsi" w:hAnsi="Verdana"/>
          <w:sz w:val="20"/>
          <w:szCs w:val="20"/>
          <w:lang w:val="es-419"/>
        </w:rPr>
        <w:t xml:space="preserve"> Desde luego</w:t>
      </w:r>
      <w:r w:rsidR="00D53D03" w:rsidRPr="00756B84">
        <w:rPr>
          <w:rFonts w:ascii="Verdana" w:eastAsiaTheme="minorHAnsi" w:hAnsi="Verdana"/>
          <w:sz w:val="20"/>
          <w:szCs w:val="20"/>
          <w:lang w:val="es-419"/>
        </w:rPr>
        <w:t>,</w:t>
      </w:r>
      <w:r w:rsidR="00A96A96" w:rsidRPr="00756B84">
        <w:rPr>
          <w:rFonts w:ascii="Verdana" w:eastAsiaTheme="minorHAnsi" w:hAnsi="Verdana"/>
          <w:sz w:val="20"/>
          <w:szCs w:val="20"/>
          <w:lang w:val="es-419"/>
        </w:rPr>
        <w:t xml:space="preserve"> la </w:t>
      </w:r>
      <w:r w:rsidR="00AB5040" w:rsidRPr="00756B84">
        <w:rPr>
          <w:rFonts w:ascii="Verdana" w:eastAsiaTheme="minorHAnsi" w:hAnsi="Verdana"/>
          <w:sz w:val="20"/>
          <w:szCs w:val="20"/>
          <w:lang w:val="es-419"/>
        </w:rPr>
        <w:t xml:space="preserve">finalidad </w:t>
      </w:r>
      <w:r w:rsidR="00A96A96" w:rsidRPr="00756B84">
        <w:rPr>
          <w:rFonts w:ascii="Verdana" w:eastAsiaTheme="minorHAnsi" w:hAnsi="Verdana"/>
          <w:sz w:val="20"/>
          <w:szCs w:val="20"/>
          <w:lang w:val="es-419"/>
        </w:rPr>
        <w:t xml:space="preserve">de esta disposición </w:t>
      </w:r>
      <w:r w:rsidR="00AB5040" w:rsidRPr="00756B84">
        <w:rPr>
          <w:rFonts w:ascii="Verdana" w:eastAsiaTheme="minorHAnsi" w:hAnsi="Verdana"/>
          <w:sz w:val="20"/>
          <w:szCs w:val="20"/>
          <w:lang w:val="es-419"/>
        </w:rPr>
        <w:t>no es ampliar el catálogo de derechos convencionales</w:t>
      </w:r>
      <w:r w:rsidR="00A96A96" w:rsidRPr="00756B84">
        <w:rPr>
          <w:rFonts w:ascii="Verdana" w:eastAsiaTheme="minorHAnsi" w:hAnsi="Verdana"/>
          <w:sz w:val="20"/>
          <w:szCs w:val="20"/>
          <w:lang w:val="es-419"/>
        </w:rPr>
        <w:t xml:space="preserve">, como </w:t>
      </w:r>
      <w:r w:rsidR="0033180B" w:rsidRPr="00756B84">
        <w:rPr>
          <w:rFonts w:ascii="Verdana" w:eastAsiaTheme="minorHAnsi" w:hAnsi="Verdana"/>
          <w:sz w:val="20"/>
          <w:szCs w:val="20"/>
          <w:lang w:val="es-419"/>
        </w:rPr>
        <w:t>se desprende de esta</w:t>
      </w:r>
      <w:r w:rsidR="00B21F57" w:rsidRPr="00756B84">
        <w:rPr>
          <w:rFonts w:ascii="Verdana" w:eastAsiaTheme="minorHAnsi" w:hAnsi="Verdana"/>
          <w:sz w:val="20"/>
          <w:szCs w:val="20"/>
          <w:lang w:val="es-419"/>
        </w:rPr>
        <w:t xml:space="preserve"> pretendida </w:t>
      </w:r>
      <w:r w:rsidR="0033180B" w:rsidRPr="00756B84">
        <w:rPr>
          <w:rFonts w:ascii="Verdana" w:eastAsiaTheme="minorHAnsi" w:hAnsi="Verdana"/>
          <w:sz w:val="20"/>
          <w:szCs w:val="20"/>
          <w:lang w:val="es-419"/>
        </w:rPr>
        <w:t xml:space="preserve">homologación </w:t>
      </w:r>
      <w:r w:rsidR="00B21F57" w:rsidRPr="00756B84">
        <w:rPr>
          <w:rFonts w:ascii="Verdana" w:eastAsiaTheme="minorHAnsi" w:hAnsi="Verdana"/>
          <w:sz w:val="20"/>
          <w:szCs w:val="20"/>
          <w:lang w:val="es-419"/>
        </w:rPr>
        <w:t>entre la CADH y las Constituciones nacionales</w:t>
      </w:r>
      <w:r w:rsidR="00E44F05" w:rsidRPr="00756B84">
        <w:rPr>
          <w:rFonts w:ascii="Verdana" w:eastAsiaTheme="minorHAnsi" w:hAnsi="Verdana"/>
          <w:sz w:val="20"/>
          <w:szCs w:val="20"/>
          <w:lang w:val="es-419"/>
        </w:rPr>
        <w:t xml:space="preserve"> enmarcada en la noción de “consenso regional”</w:t>
      </w:r>
      <w:r w:rsidR="00B21F57" w:rsidRPr="00756B84">
        <w:rPr>
          <w:rFonts w:ascii="Verdana" w:eastAsiaTheme="minorHAnsi" w:hAnsi="Verdana"/>
          <w:sz w:val="20"/>
          <w:szCs w:val="20"/>
          <w:lang w:val="es-419"/>
        </w:rPr>
        <w:t>.</w:t>
      </w:r>
    </w:p>
    <w:p w14:paraId="0BA12BC7" w14:textId="77777777" w:rsidR="00756B84" w:rsidRDefault="00756B84" w:rsidP="00756B84">
      <w:pPr>
        <w:pStyle w:val="Prrafodelista"/>
        <w:rPr>
          <w:rFonts w:ascii="Verdana" w:eastAsiaTheme="minorHAnsi" w:hAnsi="Verdana"/>
          <w:sz w:val="20"/>
          <w:szCs w:val="20"/>
          <w:lang w:val="es-419"/>
        </w:rPr>
      </w:pPr>
    </w:p>
    <w:p w14:paraId="1B8EF82F" w14:textId="3EAF6D19" w:rsidR="006342C0" w:rsidRPr="00756B84" w:rsidRDefault="005E6AA7"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lang w:val="es-419"/>
        </w:rPr>
        <w:t>Es</w:t>
      </w:r>
      <w:r w:rsidR="006342C0" w:rsidRPr="00756B84">
        <w:rPr>
          <w:rFonts w:ascii="Verdana" w:eastAsiaTheme="minorHAnsi" w:hAnsi="Verdana"/>
          <w:sz w:val="20"/>
          <w:szCs w:val="20"/>
          <w:lang w:val="es-419"/>
        </w:rPr>
        <w:t xml:space="preserve"> </w:t>
      </w:r>
      <w:r w:rsidR="006342C0" w:rsidRPr="00756B84">
        <w:rPr>
          <w:rFonts w:ascii="Verdana" w:eastAsia="Times New Roman" w:hAnsi="Verdana"/>
          <w:sz w:val="20"/>
          <w:szCs w:val="20"/>
        </w:rPr>
        <w:t xml:space="preserve">preciso entonces, distinguir ambos planos -relacionados- pero diferentes. Uno es el ámbito nacional, </w:t>
      </w:r>
      <w:r w:rsidR="006342C0" w:rsidRPr="00756B84">
        <w:rPr>
          <w:rFonts w:ascii="Verdana" w:hAnsi="Verdana"/>
          <w:sz w:val="20"/>
          <w:szCs w:val="20"/>
          <w:lang w:val="es-419"/>
        </w:rPr>
        <w:t>en</w:t>
      </w:r>
      <w:r w:rsidR="006342C0" w:rsidRPr="00756B84">
        <w:rPr>
          <w:rFonts w:ascii="Verdana" w:eastAsia="Times New Roman" w:hAnsi="Verdana"/>
          <w:sz w:val="20"/>
          <w:szCs w:val="20"/>
        </w:rPr>
        <w:t xml:space="preserve"> donde mediante procedimientos democráticos, la ciudadanía decide plasmar los DESCA en su respectivo ordenamiento jurídico, incorporando también el derecho internacional sobre esta materia, como ocurre en la vasta mayoría de los Estados miembros del Sistema Interamericano de Derechos Humanos. En ese contexto, son los tribunales nacionales quienes -en el ámbito de sus competencias- ejercen sus facultades respecto a la interpretación y la justiciabilidad de los mismos, de conformidad a sus Constituciones y leyes.</w:t>
      </w:r>
    </w:p>
    <w:p w14:paraId="2C970534" w14:textId="77777777" w:rsidR="00756B84" w:rsidRDefault="00756B84" w:rsidP="00756B84">
      <w:pPr>
        <w:pStyle w:val="Prrafodelista"/>
        <w:rPr>
          <w:rFonts w:ascii="Verdana" w:eastAsiaTheme="minorHAnsi" w:hAnsi="Verdana"/>
          <w:sz w:val="20"/>
          <w:szCs w:val="20"/>
          <w:lang w:val="es-419"/>
        </w:rPr>
      </w:pPr>
    </w:p>
    <w:p w14:paraId="1A2DB620" w14:textId="089AACE5" w:rsidR="006342C0" w:rsidRPr="00756B84" w:rsidRDefault="00F95DC3"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imes New Roman" w:hAnsi="Verdana"/>
          <w:sz w:val="20"/>
          <w:szCs w:val="20"/>
        </w:rPr>
        <w:t>Otro</w:t>
      </w:r>
      <w:r w:rsidRPr="00756B84">
        <w:rPr>
          <w:rFonts w:ascii="Verdana" w:eastAsiaTheme="minorHAnsi" w:hAnsi="Verdana"/>
          <w:sz w:val="20"/>
          <w:szCs w:val="20"/>
          <w:lang w:val="es-419"/>
        </w:rPr>
        <w:t xml:space="preserve">, </w:t>
      </w:r>
      <w:r w:rsidR="006342C0" w:rsidRPr="00756B84">
        <w:rPr>
          <w:rFonts w:ascii="Verdana" w:eastAsia="Times New Roman" w:hAnsi="Verdana"/>
          <w:sz w:val="20"/>
          <w:szCs w:val="20"/>
        </w:rPr>
        <w:t xml:space="preserve">distinto – aunque complementario- es el internacional. En tanto tribunal internacional, el rol de la Corte en este ámbito es decidir si el Estado cuya responsabilidad se reclama, ha violado o no uno o más de los derechos establecidos en el Tratado. A la luz del diseño normativo de éste y conforme al artículo 26, </w:t>
      </w:r>
      <w:r w:rsidR="006342C0" w:rsidRPr="00756B84">
        <w:rPr>
          <w:rFonts w:ascii="Verdana" w:hAnsi="Verdana"/>
          <w:sz w:val="20"/>
          <w:szCs w:val="20"/>
        </w:rPr>
        <w:t>el Tribunal está facultado para establecer la responsabilidad internacional del Estado si ha incumplido las obligaciones de desarrollo progresivo y no regresividad, no de los DESCA considerados individualmente.</w:t>
      </w:r>
    </w:p>
    <w:p w14:paraId="0474059C" w14:textId="31BE2DB2" w:rsidR="00427095" w:rsidRPr="00756B84" w:rsidRDefault="00427095" w:rsidP="00756B84">
      <w:pPr>
        <w:pStyle w:val="Numberedparagraphs"/>
        <w:widowControl w:val="0"/>
        <w:numPr>
          <w:ilvl w:val="0"/>
          <w:numId w:val="0"/>
        </w:numPr>
        <w:tabs>
          <w:tab w:val="left" w:pos="567"/>
        </w:tabs>
        <w:autoSpaceDE w:val="0"/>
        <w:autoSpaceDN w:val="0"/>
        <w:adjustRightInd w:val="0"/>
        <w:ind w:left="720"/>
        <w:contextualSpacing/>
        <w:rPr>
          <w:rFonts w:eastAsiaTheme="minorHAnsi"/>
          <w:lang w:val="es-419"/>
        </w:rPr>
      </w:pPr>
    </w:p>
    <w:p w14:paraId="7E4F7704" w14:textId="5E8E2DAC" w:rsidR="00C3156D" w:rsidRDefault="00427095" w:rsidP="00756B84">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sidRPr="00756B84">
        <w:rPr>
          <w:rFonts w:eastAsiaTheme="minorHAnsi"/>
          <w:b/>
          <w:bCs/>
          <w:lang w:val="es-419"/>
        </w:rPr>
        <w:t>Conexidad</w:t>
      </w:r>
    </w:p>
    <w:p w14:paraId="1548E6B2" w14:textId="77777777" w:rsid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66B0B9F2" w14:textId="6BD3A334" w:rsidR="006342C0" w:rsidRPr="007335D2" w:rsidRDefault="00C12CB0"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hAnsi="Verdana"/>
          <w:sz w:val="20"/>
          <w:szCs w:val="20"/>
        </w:rPr>
        <w:t xml:space="preserve">La </w:t>
      </w:r>
      <w:r w:rsidR="006342C0" w:rsidRPr="00756B84">
        <w:rPr>
          <w:rFonts w:ascii="Verdana" w:eastAsia="Times New Roman" w:hAnsi="Verdana"/>
          <w:sz w:val="20"/>
          <w:szCs w:val="20"/>
        </w:rPr>
        <w:t>aseveración</w:t>
      </w:r>
      <w:r w:rsidRPr="00756B84">
        <w:rPr>
          <w:rFonts w:ascii="Verdana" w:eastAsia="Times New Roman" w:hAnsi="Verdana"/>
          <w:sz w:val="20"/>
          <w:szCs w:val="20"/>
        </w:rPr>
        <w:t xml:space="preserve"> precedente</w:t>
      </w:r>
      <w:r w:rsidR="006342C0" w:rsidRPr="00756B84">
        <w:rPr>
          <w:rFonts w:ascii="Verdana" w:eastAsia="Times New Roman" w:hAnsi="Verdana"/>
          <w:sz w:val="20"/>
          <w:szCs w:val="20"/>
        </w:rPr>
        <w:t xml:space="preserve"> está en la línea de</w:t>
      </w:r>
      <w:r w:rsidR="009B223C" w:rsidRPr="00756B84">
        <w:rPr>
          <w:rFonts w:ascii="Verdana" w:eastAsia="Times New Roman" w:hAnsi="Verdana"/>
          <w:sz w:val="20"/>
          <w:szCs w:val="20"/>
        </w:rPr>
        <w:t xml:space="preserve"> </w:t>
      </w:r>
      <w:r w:rsidR="004D1A29" w:rsidRPr="00756B84">
        <w:rPr>
          <w:rFonts w:ascii="Verdana" w:eastAsia="Times New Roman" w:hAnsi="Verdana"/>
          <w:sz w:val="20"/>
          <w:szCs w:val="20"/>
        </w:rPr>
        <w:t xml:space="preserve">lo </w:t>
      </w:r>
      <w:r w:rsidR="006342C0" w:rsidRPr="00756B84">
        <w:rPr>
          <w:rFonts w:ascii="Verdana" w:eastAsia="Times New Roman" w:hAnsi="Verdana"/>
          <w:sz w:val="20"/>
          <w:szCs w:val="20"/>
        </w:rPr>
        <w:t xml:space="preserve">ya expresado en </w:t>
      </w:r>
      <w:r w:rsidR="009B223C" w:rsidRPr="00756B84">
        <w:rPr>
          <w:rFonts w:ascii="Verdana" w:eastAsia="Times New Roman" w:hAnsi="Verdana"/>
          <w:sz w:val="20"/>
          <w:szCs w:val="20"/>
        </w:rPr>
        <w:t>votos previos</w:t>
      </w:r>
      <w:r w:rsidR="00BE764A" w:rsidRPr="00756B84">
        <w:rPr>
          <w:rFonts w:ascii="Verdana" w:eastAsia="Times New Roman" w:hAnsi="Verdana"/>
          <w:sz w:val="20"/>
          <w:szCs w:val="20"/>
        </w:rPr>
        <w:t xml:space="preserve">, en </w:t>
      </w:r>
      <w:r w:rsidR="006342C0" w:rsidRPr="00756B84">
        <w:rPr>
          <w:rFonts w:ascii="Verdana" w:eastAsia="Times New Roman" w:hAnsi="Verdana"/>
          <w:sz w:val="20"/>
          <w:szCs w:val="20"/>
        </w:rPr>
        <w:t>cuanto a que la correcta doctrina que debiera seguir la Corte es precisamente</w:t>
      </w:r>
      <w:r w:rsidR="00F93CEB" w:rsidRPr="00756B84">
        <w:rPr>
          <w:rFonts w:ascii="Verdana" w:eastAsia="Times New Roman" w:hAnsi="Verdana"/>
          <w:sz w:val="20"/>
          <w:szCs w:val="20"/>
        </w:rPr>
        <w:t xml:space="preserve">, </w:t>
      </w:r>
      <w:r w:rsidR="006342C0" w:rsidRPr="00756B84">
        <w:rPr>
          <w:rFonts w:ascii="Verdana" w:eastAsia="Times New Roman" w:hAnsi="Verdana"/>
          <w:sz w:val="20"/>
          <w:szCs w:val="20"/>
        </w:rPr>
        <w:t>considerar las dimensiones económicas, sociales</w:t>
      </w:r>
      <w:r w:rsidR="003C756E" w:rsidRPr="00756B84">
        <w:rPr>
          <w:rFonts w:ascii="Verdana" w:eastAsia="Times New Roman" w:hAnsi="Verdana"/>
          <w:sz w:val="20"/>
          <w:szCs w:val="20"/>
        </w:rPr>
        <w:t xml:space="preserve">, </w:t>
      </w:r>
      <w:r w:rsidR="006342C0" w:rsidRPr="00756B84">
        <w:rPr>
          <w:rFonts w:ascii="Verdana" w:eastAsia="Times New Roman" w:hAnsi="Verdana"/>
          <w:sz w:val="20"/>
          <w:szCs w:val="20"/>
        </w:rPr>
        <w:t xml:space="preserve">culturales </w:t>
      </w:r>
      <w:r w:rsidR="003C756E" w:rsidRPr="00756B84">
        <w:rPr>
          <w:rFonts w:ascii="Verdana" w:eastAsia="Times New Roman" w:hAnsi="Verdana"/>
          <w:sz w:val="20"/>
          <w:szCs w:val="20"/>
        </w:rPr>
        <w:t xml:space="preserve">y ambientales </w:t>
      </w:r>
      <w:r w:rsidR="006342C0" w:rsidRPr="00756B84">
        <w:rPr>
          <w:rFonts w:ascii="Verdana" w:eastAsia="Times New Roman" w:hAnsi="Verdana"/>
          <w:sz w:val="20"/>
          <w:szCs w:val="20"/>
        </w:rPr>
        <w:t xml:space="preserve">de los derechos reconocidos en las normas convencionales y ejercer su competencia adjudicativa por vía de conexidad. </w:t>
      </w:r>
      <w:r w:rsidR="00130952" w:rsidRPr="00756B84">
        <w:rPr>
          <w:rFonts w:ascii="Verdana" w:eastAsia="Times New Roman" w:hAnsi="Verdana"/>
          <w:sz w:val="20"/>
          <w:szCs w:val="20"/>
        </w:rPr>
        <w:t>En materia de derecho a la salud</w:t>
      </w:r>
      <w:r w:rsidR="000F039E" w:rsidRPr="00756B84">
        <w:rPr>
          <w:rFonts w:ascii="Verdana" w:eastAsia="Times New Roman" w:hAnsi="Verdana"/>
          <w:sz w:val="20"/>
          <w:szCs w:val="20"/>
        </w:rPr>
        <w:t xml:space="preserve">, tal </w:t>
      </w:r>
      <w:r w:rsidR="006342C0" w:rsidRPr="00756B84">
        <w:rPr>
          <w:rFonts w:ascii="Verdana" w:hAnsi="Verdana"/>
          <w:sz w:val="20"/>
          <w:szCs w:val="20"/>
          <w:lang w:val="es-419"/>
        </w:rPr>
        <w:t>forma</w:t>
      </w:r>
      <w:r w:rsidR="006342C0" w:rsidRPr="00756B84">
        <w:rPr>
          <w:rFonts w:ascii="Verdana" w:eastAsia="Times New Roman" w:hAnsi="Verdana"/>
          <w:sz w:val="20"/>
          <w:szCs w:val="20"/>
        </w:rPr>
        <w:t xml:space="preserve"> de proceder fue la que empleó el Tribunal en </w:t>
      </w:r>
      <w:r w:rsidR="00BD73A6" w:rsidRPr="00756B84">
        <w:rPr>
          <w:rFonts w:ascii="Verdana" w:eastAsia="Times New Roman" w:hAnsi="Verdana"/>
          <w:sz w:val="20"/>
          <w:szCs w:val="20"/>
        </w:rPr>
        <w:t xml:space="preserve">catorce </w:t>
      </w:r>
      <w:r w:rsidR="006342C0" w:rsidRPr="00756B84">
        <w:rPr>
          <w:rFonts w:ascii="Verdana" w:eastAsia="Times New Roman" w:hAnsi="Verdana"/>
          <w:sz w:val="20"/>
          <w:szCs w:val="20"/>
        </w:rPr>
        <w:t xml:space="preserve">casos anteriores a la sentencia dictada en el caso </w:t>
      </w:r>
      <w:r w:rsidR="000F039E" w:rsidRPr="00756B84">
        <w:rPr>
          <w:rFonts w:ascii="Verdana" w:eastAsia="Times New Roman" w:hAnsi="Verdana"/>
          <w:i/>
          <w:iCs/>
          <w:sz w:val="20"/>
          <w:szCs w:val="20"/>
        </w:rPr>
        <w:t>Poblete Vilches Vs. Chile</w:t>
      </w:r>
      <w:r w:rsidR="006342C0" w:rsidRPr="00756B84">
        <w:rPr>
          <w:rFonts w:ascii="Verdana" w:eastAsia="Times New Roman" w:hAnsi="Verdana"/>
          <w:sz w:val="20"/>
          <w:szCs w:val="20"/>
        </w:rPr>
        <w:t xml:space="preserve"> (201</w:t>
      </w:r>
      <w:r w:rsidR="00512210" w:rsidRPr="00756B84">
        <w:rPr>
          <w:rFonts w:ascii="Verdana" w:eastAsia="Times New Roman" w:hAnsi="Verdana"/>
          <w:sz w:val="20"/>
          <w:szCs w:val="20"/>
        </w:rPr>
        <w:t>8</w:t>
      </w:r>
      <w:r w:rsidR="006342C0" w:rsidRPr="00756B84">
        <w:rPr>
          <w:rFonts w:ascii="Verdana" w:eastAsia="Times New Roman" w:hAnsi="Verdana"/>
          <w:sz w:val="20"/>
          <w:szCs w:val="20"/>
        </w:rPr>
        <w:t>)</w:t>
      </w:r>
      <w:r w:rsidR="0022423D" w:rsidRPr="00756B84">
        <w:rPr>
          <w:rFonts w:ascii="Verdana" w:eastAsia="Times New Roman" w:hAnsi="Verdana"/>
          <w:sz w:val="20"/>
          <w:szCs w:val="20"/>
        </w:rPr>
        <w:t>, primer caso en que la Corte declaró la violación autónoma del derecho a la salud con base al artículo 26 de la CADH. En efecto</w:t>
      </w:r>
      <w:r w:rsidR="00D1381C" w:rsidRPr="00756B84">
        <w:rPr>
          <w:rFonts w:ascii="Verdana" w:eastAsia="Times New Roman" w:hAnsi="Verdana"/>
          <w:sz w:val="20"/>
          <w:szCs w:val="20"/>
        </w:rPr>
        <w:t>, la adjudicación de responsabilidad por la vía de la conexidad</w:t>
      </w:r>
      <w:r w:rsidR="00B86F01" w:rsidRPr="00756B84">
        <w:rPr>
          <w:rFonts w:ascii="Verdana" w:eastAsia="Times New Roman" w:hAnsi="Verdana"/>
          <w:sz w:val="20"/>
          <w:szCs w:val="20"/>
        </w:rPr>
        <w:t xml:space="preserve"> fue el camino seguido en casos como</w:t>
      </w:r>
      <w:r w:rsidR="000048BF" w:rsidRPr="00756B84">
        <w:rPr>
          <w:rFonts w:ascii="Verdana" w:eastAsia="Times New Roman" w:hAnsi="Verdana"/>
          <w:sz w:val="20"/>
          <w:szCs w:val="20"/>
        </w:rPr>
        <w:t xml:space="preserve"> </w:t>
      </w:r>
      <w:r w:rsidR="000048BF" w:rsidRPr="00756B84">
        <w:rPr>
          <w:rFonts w:ascii="Verdana" w:eastAsia="Times New Roman" w:hAnsi="Verdana"/>
          <w:i/>
          <w:iCs/>
          <w:sz w:val="20"/>
          <w:szCs w:val="20"/>
        </w:rPr>
        <w:t>Villagrán Morales y otros (niños de la calle) Vs.</w:t>
      </w:r>
      <w:r w:rsidR="004A59AC" w:rsidRPr="00756B84">
        <w:rPr>
          <w:rFonts w:ascii="Verdana" w:eastAsia="Times New Roman" w:hAnsi="Verdana"/>
          <w:i/>
          <w:iCs/>
          <w:sz w:val="20"/>
          <w:szCs w:val="20"/>
        </w:rPr>
        <w:t xml:space="preserve"> </w:t>
      </w:r>
      <w:r w:rsidR="000048BF" w:rsidRPr="00756B84">
        <w:rPr>
          <w:rFonts w:ascii="Verdana" w:eastAsia="Times New Roman" w:hAnsi="Verdana"/>
          <w:i/>
          <w:iCs/>
          <w:sz w:val="20"/>
          <w:szCs w:val="20"/>
        </w:rPr>
        <w:t>Guatemala</w:t>
      </w:r>
      <w:r w:rsidR="000048BF" w:rsidRPr="00756B84">
        <w:rPr>
          <w:rFonts w:ascii="Verdana" w:eastAsia="Times New Roman" w:hAnsi="Verdana"/>
          <w:sz w:val="20"/>
          <w:szCs w:val="20"/>
        </w:rPr>
        <w:t xml:space="preserve"> (2004)</w:t>
      </w:r>
      <w:r w:rsidR="00F92129" w:rsidRPr="00756B84">
        <w:rPr>
          <w:rFonts w:ascii="Verdana" w:eastAsia="Times New Roman" w:hAnsi="Verdana"/>
          <w:sz w:val="20"/>
          <w:szCs w:val="20"/>
        </w:rPr>
        <w:t xml:space="preserve">, </w:t>
      </w:r>
      <w:r w:rsidR="00F92129" w:rsidRPr="00756B84">
        <w:rPr>
          <w:rFonts w:ascii="Verdana" w:eastAsia="Times New Roman" w:hAnsi="Verdana"/>
          <w:i/>
          <w:iCs/>
          <w:sz w:val="20"/>
          <w:szCs w:val="20"/>
        </w:rPr>
        <w:t xml:space="preserve">Instituto de Reeducación del Menor Vs. Paraguay </w:t>
      </w:r>
      <w:r w:rsidR="00F92129" w:rsidRPr="00756B84">
        <w:rPr>
          <w:rFonts w:ascii="Verdana" w:eastAsia="Times New Roman" w:hAnsi="Verdana"/>
          <w:sz w:val="20"/>
          <w:szCs w:val="20"/>
        </w:rPr>
        <w:t>(2004)</w:t>
      </w:r>
      <w:r w:rsidR="000D33FE" w:rsidRPr="00756B84">
        <w:rPr>
          <w:rFonts w:ascii="Verdana" w:eastAsia="Times New Roman" w:hAnsi="Verdana"/>
          <w:sz w:val="20"/>
          <w:szCs w:val="20"/>
        </w:rPr>
        <w:t xml:space="preserve">, </w:t>
      </w:r>
      <w:r w:rsidR="000D33FE" w:rsidRPr="00756B84">
        <w:rPr>
          <w:rFonts w:ascii="Verdana" w:eastAsia="Times New Roman" w:hAnsi="Verdana"/>
          <w:i/>
          <w:iCs/>
          <w:sz w:val="20"/>
          <w:szCs w:val="20"/>
        </w:rPr>
        <w:t>Comunidad Yakye Axa Vs. Paraguay</w:t>
      </w:r>
      <w:r w:rsidR="000D33FE" w:rsidRPr="00756B84">
        <w:rPr>
          <w:rFonts w:ascii="Verdana" w:eastAsia="Times New Roman" w:hAnsi="Verdana"/>
          <w:sz w:val="20"/>
          <w:szCs w:val="20"/>
        </w:rPr>
        <w:t xml:space="preserve"> (</w:t>
      </w:r>
      <w:r w:rsidR="008F13C3" w:rsidRPr="00756B84">
        <w:rPr>
          <w:rFonts w:ascii="Verdana" w:eastAsia="Times New Roman" w:hAnsi="Verdana"/>
          <w:sz w:val="20"/>
          <w:szCs w:val="20"/>
        </w:rPr>
        <w:t>2005</w:t>
      </w:r>
      <w:r w:rsidR="000D33FE" w:rsidRPr="00756B84">
        <w:rPr>
          <w:rFonts w:ascii="Verdana" w:eastAsia="Times New Roman" w:hAnsi="Verdana"/>
          <w:sz w:val="20"/>
          <w:szCs w:val="20"/>
        </w:rPr>
        <w:t>)</w:t>
      </w:r>
      <w:r w:rsidR="004458C0" w:rsidRPr="00756B84">
        <w:rPr>
          <w:rFonts w:ascii="Verdana" w:eastAsia="Times New Roman" w:hAnsi="Verdana"/>
          <w:sz w:val="20"/>
          <w:szCs w:val="20"/>
        </w:rPr>
        <w:t xml:space="preserve">, </w:t>
      </w:r>
      <w:r w:rsidR="006342C0" w:rsidRPr="00756B84">
        <w:rPr>
          <w:rFonts w:ascii="Verdana" w:eastAsia="Times New Roman" w:hAnsi="Verdana"/>
          <w:i/>
          <w:iCs/>
          <w:sz w:val="20"/>
          <w:szCs w:val="20"/>
        </w:rPr>
        <w:t xml:space="preserve">Ximenes Lopes </w:t>
      </w:r>
      <w:proofErr w:type="gramStart"/>
      <w:r w:rsidR="006342C0" w:rsidRPr="00756B84">
        <w:rPr>
          <w:rFonts w:ascii="Verdana" w:eastAsia="Times New Roman" w:hAnsi="Verdana"/>
          <w:i/>
          <w:iCs/>
          <w:sz w:val="20"/>
          <w:szCs w:val="20"/>
        </w:rPr>
        <w:t>Vs.Brasil</w:t>
      </w:r>
      <w:proofErr w:type="gramEnd"/>
      <w:r w:rsidR="006342C0" w:rsidRPr="00756B84">
        <w:rPr>
          <w:rFonts w:ascii="Verdana" w:eastAsia="Times New Roman" w:hAnsi="Verdana"/>
          <w:i/>
          <w:iCs/>
          <w:sz w:val="20"/>
          <w:szCs w:val="20"/>
        </w:rPr>
        <w:t xml:space="preserve"> </w:t>
      </w:r>
      <w:r w:rsidR="006342C0" w:rsidRPr="00756B84">
        <w:rPr>
          <w:rFonts w:ascii="Verdana" w:eastAsia="Times New Roman" w:hAnsi="Verdana"/>
          <w:sz w:val="20"/>
          <w:szCs w:val="20"/>
        </w:rPr>
        <w:t>(2006)</w:t>
      </w:r>
      <w:r w:rsidR="00350289" w:rsidRPr="00756B84">
        <w:rPr>
          <w:rFonts w:ascii="Verdana" w:eastAsia="Times New Roman" w:hAnsi="Verdana"/>
          <w:sz w:val="20"/>
          <w:szCs w:val="20"/>
        </w:rPr>
        <w:t>,</w:t>
      </w:r>
      <w:r w:rsidR="00D035DE" w:rsidRPr="00756B84">
        <w:rPr>
          <w:rFonts w:ascii="Verdana" w:eastAsia="Times New Roman" w:hAnsi="Verdana"/>
          <w:sz w:val="20"/>
          <w:szCs w:val="20"/>
        </w:rPr>
        <w:t xml:space="preserve"> </w:t>
      </w:r>
      <w:r w:rsidR="00D035DE" w:rsidRPr="00756B84">
        <w:rPr>
          <w:rFonts w:ascii="Verdana" w:eastAsia="Times New Roman" w:hAnsi="Verdana"/>
          <w:i/>
          <w:iCs/>
          <w:sz w:val="20"/>
          <w:szCs w:val="20"/>
        </w:rPr>
        <w:t>Artavia Murillo y otros Vs.</w:t>
      </w:r>
      <w:r w:rsidR="005232F4" w:rsidRPr="00756B84">
        <w:rPr>
          <w:rFonts w:ascii="Verdana" w:eastAsia="Times New Roman" w:hAnsi="Verdana"/>
          <w:i/>
          <w:iCs/>
          <w:sz w:val="20"/>
          <w:szCs w:val="20"/>
        </w:rPr>
        <w:t xml:space="preserve"> </w:t>
      </w:r>
      <w:r w:rsidR="00D035DE" w:rsidRPr="00756B84">
        <w:rPr>
          <w:rFonts w:ascii="Verdana" w:eastAsia="Times New Roman" w:hAnsi="Verdana"/>
          <w:i/>
          <w:iCs/>
          <w:sz w:val="20"/>
          <w:szCs w:val="20"/>
        </w:rPr>
        <w:t>Costa Rica</w:t>
      </w:r>
      <w:r w:rsidR="00D035DE" w:rsidRPr="00756B84">
        <w:rPr>
          <w:rFonts w:ascii="Verdana" w:eastAsia="Times New Roman" w:hAnsi="Verdana"/>
          <w:sz w:val="20"/>
          <w:szCs w:val="20"/>
        </w:rPr>
        <w:t xml:space="preserve"> (2012)</w:t>
      </w:r>
      <w:r w:rsidR="00E002DB" w:rsidRPr="00756B84">
        <w:rPr>
          <w:rFonts w:ascii="Verdana" w:eastAsia="Times New Roman" w:hAnsi="Verdana"/>
          <w:sz w:val="20"/>
          <w:szCs w:val="20"/>
        </w:rPr>
        <w:t xml:space="preserve"> e</w:t>
      </w:r>
      <w:r w:rsidR="00D035DE" w:rsidRPr="00756B84">
        <w:rPr>
          <w:rFonts w:ascii="Verdana" w:eastAsia="Times New Roman" w:hAnsi="Verdana"/>
          <w:sz w:val="20"/>
          <w:szCs w:val="20"/>
        </w:rPr>
        <w:t xml:space="preserve"> </w:t>
      </w:r>
      <w:r w:rsidR="00657B33" w:rsidRPr="00756B84">
        <w:rPr>
          <w:rFonts w:ascii="Verdana" w:eastAsia="Times New Roman" w:hAnsi="Verdana"/>
          <w:i/>
          <w:iCs/>
          <w:sz w:val="20"/>
          <w:szCs w:val="20"/>
        </w:rPr>
        <w:t>I.V</w:t>
      </w:r>
      <w:r w:rsidR="005232F4" w:rsidRPr="00756B84">
        <w:rPr>
          <w:rFonts w:ascii="Verdana" w:eastAsia="Times New Roman" w:hAnsi="Verdana"/>
          <w:i/>
          <w:iCs/>
          <w:sz w:val="20"/>
          <w:szCs w:val="20"/>
        </w:rPr>
        <w:t>.</w:t>
      </w:r>
      <w:r w:rsidR="00657B33" w:rsidRPr="00756B84">
        <w:rPr>
          <w:rFonts w:ascii="Verdana" w:eastAsia="Times New Roman" w:hAnsi="Verdana"/>
          <w:i/>
          <w:iCs/>
          <w:sz w:val="20"/>
          <w:szCs w:val="20"/>
        </w:rPr>
        <w:t xml:space="preserve"> Vs. Bolivia</w:t>
      </w:r>
      <w:r w:rsidR="00657B33" w:rsidRPr="00756B84">
        <w:rPr>
          <w:rFonts w:ascii="Verdana" w:eastAsia="Times New Roman" w:hAnsi="Verdana"/>
          <w:sz w:val="20"/>
          <w:szCs w:val="20"/>
        </w:rPr>
        <w:t xml:space="preserve"> </w:t>
      </w:r>
      <w:r w:rsidR="004708C6" w:rsidRPr="00756B84">
        <w:rPr>
          <w:rFonts w:ascii="Verdana" w:eastAsia="Times New Roman" w:hAnsi="Verdana"/>
          <w:sz w:val="20"/>
          <w:szCs w:val="20"/>
        </w:rPr>
        <w:t>(2016)</w:t>
      </w:r>
      <w:r w:rsidR="00B46CB3" w:rsidRPr="00756B84">
        <w:rPr>
          <w:rFonts w:ascii="Verdana" w:eastAsia="Times New Roman" w:hAnsi="Verdana"/>
          <w:sz w:val="20"/>
          <w:szCs w:val="20"/>
        </w:rPr>
        <w:t>, entre otros.</w:t>
      </w:r>
      <w:r w:rsidR="004872F7" w:rsidRPr="00756B84">
        <w:rPr>
          <w:rFonts w:ascii="Verdana" w:eastAsia="Times New Roman" w:hAnsi="Verdana"/>
          <w:sz w:val="20"/>
          <w:szCs w:val="20"/>
        </w:rPr>
        <w:t xml:space="preserve"> </w:t>
      </w:r>
      <w:r w:rsidR="008E5EE6" w:rsidRPr="00756B84">
        <w:rPr>
          <w:rFonts w:ascii="Verdana" w:eastAsia="Times New Roman" w:hAnsi="Verdana"/>
          <w:sz w:val="20"/>
          <w:szCs w:val="20"/>
        </w:rPr>
        <w:t xml:space="preserve">Huelga decir que </w:t>
      </w:r>
      <w:r w:rsidR="00B42997" w:rsidRPr="00756B84">
        <w:rPr>
          <w:rFonts w:ascii="Verdana" w:eastAsia="Times New Roman" w:hAnsi="Verdana"/>
          <w:sz w:val="20"/>
          <w:szCs w:val="20"/>
        </w:rPr>
        <w:t>la declaración de responsabilidad</w:t>
      </w:r>
      <w:r w:rsidR="0073529F" w:rsidRPr="00756B84">
        <w:rPr>
          <w:rFonts w:ascii="Verdana" w:eastAsia="Times New Roman" w:hAnsi="Verdana"/>
          <w:sz w:val="20"/>
          <w:szCs w:val="20"/>
        </w:rPr>
        <w:t xml:space="preserve"> </w:t>
      </w:r>
      <w:r w:rsidR="005474AC" w:rsidRPr="00756B84">
        <w:rPr>
          <w:rFonts w:ascii="Verdana" w:eastAsia="Times New Roman" w:hAnsi="Verdana"/>
          <w:sz w:val="20"/>
          <w:szCs w:val="20"/>
        </w:rPr>
        <w:t xml:space="preserve">con </w:t>
      </w:r>
      <w:r w:rsidR="007C3007" w:rsidRPr="00756B84">
        <w:rPr>
          <w:rFonts w:ascii="Verdana" w:eastAsia="Times New Roman" w:hAnsi="Verdana"/>
          <w:sz w:val="20"/>
          <w:szCs w:val="20"/>
        </w:rPr>
        <w:t>base en la</w:t>
      </w:r>
      <w:r w:rsidR="008E5EE6" w:rsidRPr="00756B84">
        <w:rPr>
          <w:rFonts w:ascii="Verdana" w:eastAsia="Times New Roman" w:hAnsi="Verdana"/>
          <w:sz w:val="20"/>
          <w:szCs w:val="20"/>
        </w:rPr>
        <w:t xml:space="preserve"> conexidad,</w:t>
      </w:r>
      <w:r w:rsidR="007C3007" w:rsidRPr="00756B84">
        <w:rPr>
          <w:rFonts w:ascii="Verdana" w:eastAsia="Times New Roman" w:hAnsi="Verdana"/>
          <w:sz w:val="20"/>
          <w:szCs w:val="20"/>
        </w:rPr>
        <w:t xml:space="preserve"> en todo caso,</w:t>
      </w:r>
      <w:r w:rsidR="008E5EE6" w:rsidRPr="00756B84">
        <w:rPr>
          <w:rFonts w:ascii="Verdana" w:eastAsia="Times New Roman" w:hAnsi="Verdana"/>
          <w:sz w:val="20"/>
          <w:szCs w:val="20"/>
        </w:rPr>
        <w:t xml:space="preserve"> no faculta a la Corte para declarar la violación de derechos no reconocidos en el texto de la Convención. </w:t>
      </w:r>
      <w:r w:rsidR="00422D94" w:rsidRPr="00756B84">
        <w:rPr>
          <w:rFonts w:ascii="Verdana" w:eastAsia="Times New Roman" w:hAnsi="Verdana"/>
          <w:sz w:val="20"/>
          <w:szCs w:val="20"/>
        </w:rPr>
        <w:t xml:space="preserve">Este </w:t>
      </w:r>
      <w:r w:rsidR="00F27F5F" w:rsidRPr="00756B84">
        <w:rPr>
          <w:rFonts w:ascii="Verdana" w:eastAsia="Times New Roman" w:hAnsi="Verdana"/>
          <w:sz w:val="20"/>
          <w:szCs w:val="20"/>
        </w:rPr>
        <w:t xml:space="preserve">procedimiento </w:t>
      </w:r>
      <w:r w:rsidR="008E5EE6" w:rsidRPr="00756B84">
        <w:rPr>
          <w:rFonts w:ascii="Verdana" w:eastAsia="Times New Roman" w:hAnsi="Verdana"/>
          <w:sz w:val="20"/>
          <w:szCs w:val="20"/>
        </w:rPr>
        <w:t xml:space="preserve">simplemente </w:t>
      </w:r>
      <w:r w:rsidR="00F27F5F" w:rsidRPr="00756B84">
        <w:rPr>
          <w:rFonts w:ascii="Verdana" w:eastAsia="Times New Roman" w:hAnsi="Verdana"/>
          <w:sz w:val="20"/>
          <w:szCs w:val="20"/>
        </w:rPr>
        <w:t xml:space="preserve">permite </w:t>
      </w:r>
      <w:r w:rsidR="008E5EE6" w:rsidRPr="00756B84">
        <w:rPr>
          <w:rFonts w:ascii="Verdana" w:eastAsia="Times New Roman" w:hAnsi="Verdana"/>
          <w:sz w:val="20"/>
          <w:szCs w:val="20"/>
        </w:rPr>
        <w:t xml:space="preserve">establecer las relaciones </w:t>
      </w:r>
      <w:r w:rsidR="00F27F5F" w:rsidRPr="00756B84">
        <w:rPr>
          <w:rFonts w:ascii="Verdana" w:eastAsia="Times New Roman" w:hAnsi="Verdana"/>
          <w:sz w:val="20"/>
          <w:szCs w:val="20"/>
        </w:rPr>
        <w:t xml:space="preserve">que correspondan </w:t>
      </w:r>
      <w:r w:rsidR="008E5EE6" w:rsidRPr="00756B84">
        <w:rPr>
          <w:rFonts w:ascii="Verdana" w:eastAsia="Times New Roman" w:hAnsi="Verdana"/>
          <w:sz w:val="20"/>
          <w:szCs w:val="20"/>
        </w:rPr>
        <w:t xml:space="preserve">entre los DESCA y los derechos civiles y políticos reconocidos en el </w:t>
      </w:r>
      <w:r w:rsidR="00F01511" w:rsidRPr="00756B84">
        <w:rPr>
          <w:rFonts w:ascii="Verdana" w:eastAsia="Times New Roman" w:hAnsi="Verdana"/>
          <w:sz w:val="20"/>
          <w:szCs w:val="20"/>
        </w:rPr>
        <w:t>Tratado.</w:t>
      </w:r>
    </w:p>
    <w:p w14:paraId="4DDB5C5D" w14:textId="77777777" w:rsidR="007335D2" w:rsidRPr="00756B84" w:rsidRDefault="007335D2" w:rsidP="007335D2">
      <w:pPr>
        <w:widowControl w:val="0"/>
        <w:tabs>
          <w:tab w:val="left" w:pos="567"/>
        </w:tabs>
        <w:adjustRightInd w:val="0"/>
        <w:jc w:val="both"/>
        <w:rPr>
          <w:rFonts w:ascii="Verdana" w:eastAsiaTheme="minorHAnsi" w:hAnsi="Verdana"/>
          <w:sz w:val="20"/>
          <w:szCs w:val="20"/>
          <w:lang w:val="es-419"/>
        </w:rPr>
      </w:pPr>
    </w:p>
    <w:p w14:paraId="1D680026" w14:textId="77777777" w:rsidR="00F9794A" w:rsidRPr="00756B84" w:rsidRDefault="00F9794A" w:rsidP="00756B84">
      <w:pPr>
        <w:pStyle w:val="Numberedparagraphs"/>
        <w:widowControl w:val="0"/>
        <w:numPr>
          <w:ilvl w:val="0"/>
          <w:numId w:val="0"/>
        </w:numPr>
        <w:tabs>
          <w:tab w:val="left" w:pos="567"/>
        </w:tabs>
        <w:autoSpaceDE w:val="0"/>
        <w:autoSpaceDN w:val="0"/>
        <w:adjustRightInd w:val="0"/>
        <w:ind w:left="720"/>
        <w:contextualSpacing/>
        <w:rPr>
          <w:rFonts w:eastAsiaTheme="minorHAnsi"/>
          <w:lang w:val="es-419"/>
        </w:rPr>
      </w:pPr>
    </w:p>
    <w:p w14:paraId="588C78A6" w14:textId="17F7EDA6" w:rsidR="00840B7F" w:rsidRDefault="007335D2" w:rsidP="00756B84">
      <w:pPr>
        <w:pStyle w:val="Numberedparagraphs"/>
        <w:widowControl w:val="0"/>
        <w:numPr>
          <w:ilvl w:val="0"/>
          <w:numId w:val="24"/>
        </w:numPr>
        <w:tabs>
          <w:tab w:val="left" w:pos="567"/>
        </w:tabs>
        <w:autoSpaceDE w:val="0"/>
        <w:autoSpaceDN w:val="0"/>
        <w:adjustRightInd w:val="0"/>
        <w:contextualSpacing/>
        <w:rPr>
          <w:rFonts w:eastAsiaTheme="minorHAnsi"/>
          <w:b/>
          <w:bCs/>
          <w:lang w:val="es-419"/>
        </w:rPr>
      </w:pPr>
      <w:r>
        <w:rPr>
          <w:rFonts w:eastAsiaTheme="minorHAnsi"/>
          <w:lang w:val="es-419"/>
        </w:rPr>
        <w:lastRenderedPageBreak/>
        <w:t xml:space="preserve"> </w:t>
      </w:r>
      <w:r w:rsidR="00F9794A" w:rsidRPr="00756B84">
        <w:rPr>
          <w:rFonts w:eastAsiaTheme="minorHAnsi"/>
          <w:b/>
          <w:bCs/>
          <w:lang w:val="es-419"/>
        </w:rPr>
        <w:t xml:space="preserve">Deber de regular, fiscalizar y supervisar </w:t>
      </w:r>
      <w:r w:rsidR="000208A0" w:rsidRPr="00756B84">
        <w:rPr>
          <w:rFonts w:eastAsiaTheme="minorHAnsi"/>
          <w:b/>
          <w:bCs/>
          <w:lang w:val="es-419"/>
        </w:rPr>
        <w:t>la prestación de servicios de salud privados</w:t>
      </w:r>
    </w:p>
    <w:p w14:paraId="766501D0" w14:textId="77777777" w:rsidR="00756B84" w:rsidRP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lang w:val="es-419"/>
        </w:rPr>
      </w:pPr>
    </w:p>
    <w:p w14:paraId="6B6488D4" w14:textId="5235104C" w:rsidR="00094B2E" w:rsidRPr="00756B84" w:rsidRDefault="00094B2E" w:rsidP="005A5251">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imes New Roman" w:hAnsi="Verdana"/>
          <w:sz w:val="20"/>
          <w:szCs w:val="20"/>
        </w:rPr>
        <w:t xml:space="preserve">Por su parte, </w:t>
      </w:r>
      <w:r w:rsidR="00597E9B" w:rsidRPr="00756B84">
        <w:rPr>
          <w:rFonts w:ascii="Verdana" w:eastAsia="Times New Roman" w:hAnsi="Verdana"/>
          <w:sz w:val="20"/>
          <w:szCs w:val="20"/>
        </w:rPr>
        <w:t xml:space="preserve">en este caso </w:t>
      </w:r>
      <w:r w:rsidRPr="00756B84">
        <w:rPr>
          <w:rFonts w:ascii="Verdana" w:eastAsia="Times New Roman" w:hAnsi="Verdana"/>
          <w:sz w:val="20"/>
          <w:szCs w:val="20"/>
        </w:rPr>
        <w:t xml:space="preserve">correspondía analizar </w:t>
      </w:r>
      <w:r w:rsidR="00914341" w:rsidRPr="00756B84">
        <w:rPr>
          <w:rFonts w:ascii="Verdana" w:eastAsia="Times New Roman" w:hAnsi="Verdana"/>
          <w:sz w:val="20"/>
          <w:szCs w:val="20"/>
        </w:rPr>
        <w:t>el modo en que el Estado había desarrollado</w:t>
      </w:r>
      <w:r w:rsidR="00933FF3" w:rsidRPr="00756B84">
        <w:rPr>
          <w:rFonts w:ascii="Verdana" w:eastAsia="Times New Roman" w:hAnsi="Verdana"/>
          <w:sz w:val="20"/>
          <w:szCs w:val="20"/>
        </w:rPr>
        <w:t xml:space="preserve"> sus obligaciones de regular, fiscalizar </w:t>
      </w:r>
      <w:r w:rsidR="00BC7A0F" w:rsidRPr="00756B84">
        <w:rPr>
          <w:rFonts w:ascii="Verdana" w:eastAsia="Times New Roman" w:hAnsi="Verdana"/>
          <w:sz w:val="20"/>
          <w:szCs w:val="20"/>
        </w:rPr>
        <w:t xml:space="preserve">y supervisar la prestación de servicios de salud privados, </w:t>
      </w:r>
      <w:r w:rsidRPr="00756B84">
        <w:rPr>
          <w:rFonts w:ascii="Verdana" w:eastAsia="Times New Roman" w:hAnsi="Verdana"/>
          <w:sz w:val="20"/>
          <w:szCs w:val="20"/>
        </w:rPr>
        <w:t xml:space="preserve">en el marco del artículo 26 de la CADH, evaluando si acaso </w:t>
      </w:r>
      <w:r w:rsidR="006D37F9" w:rsidRPr="00756B84">
        <w:rPr>
          <w:rFonts w:ascii="Verdana" w:eastAsia="Times New Roman" w:hAnsi="Verdana"/>
          <w:sz w:val="20"/>
          <w:szCs w:val="20"/>
        </w:rPr>
        <w:t>Venezuela</w:t>
      </w:r>
      <w:r w:rsidRPr="00756B84">
        <w:rPr>
          <w:rFonts w:ascii="Verdana" w:eastAsia="Times New Roman" w:hAnsi="Verdana"/>
          <w:sz w:val="20"/>
          <w:szCs w:val="20"/>
        </w:rPr>
        <w:t xml:space="preserve"> había o no dado cumplimiento a sus obligaciones de </w:t>
      </w:r>
      <w:r w:rsidRPr="00756B84">
        <w:rPr>
          <w:rFonts w:ascii="Verdana" w:hAnsi="Verdana"/>
          <w:sz w:val="20"/>
          <w:szCs w:val="20"/>
          <w:lang w:val="es-419"/>
        </w:rPr>
        <w:t>progresividad</w:t>
      </w:r>
      <w:r w:rsidRPr="00756B84">
        <w:rPr>
          <w:rFonts w:ascii="Verdana" w:eastAsia="Times New Roman" w:hAnsi="Verdana"/>
          <w:sz w:val="20"/>
          <w:szCs w:val="20"/>
        </w:rPr>
        <w:t xml:space="preserve"> y no regresividad al tenor de dicha norma. </w:t>
      </w:r>
    </w:p>
    <w:p w14:paraId="4AC005B2"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lang w:val="es-419"/>
        </w:rPr>
      </w:pPr>
    </w:p>
    <w:p w14:paraId="6AC75831" w14:textId="43A76477" w:rsidR="006342C0" w:rsidRDefault="00C30FFE"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lang w:val="es-419"/>
        </w:rPr>
        <w:t>En este sentido, cabe</w:t>
      </w:r>
      <w:r w:rsidR="00F32FB4" w:rsidRPr="00756B84">
        <w:rPr>
          <w:rFonts w:ascii="Verdana" w:eastAsiaTheme="minorHAnsi" w:hAnsi="Verdana"/>
          <w:sz w:val="20"/>
          <w:szCs w:val="20"/>
          <w:lang w:val="es-419"/>
        </w:rPr>
        <w:t xml:space="preserve"> destacar que es habitual </w:t>
      </w:r>
      <w:r w:rsidR="004C2104" w:rsidRPr="00756B84">
        <w:rPr>
          <w:rFonts w:ascii="Verdana" w:eastAsiaTheme="minorHAnsi" w:hAnsi="Verdana"/>
          <w:sz w:val="20"/>
          <w:szCs w:val="20"/>
          <w:lang w:val="es-419"/>
        </w:rPr>
        <w:t>que,</w:t>
      </w:r>
      <w:r w:rsidR="00F32FB4" w:rsidRPr="00756B84">
        <w:rPr>
          <w:rFonts w:ascii="Verdana" w:eastAsiaTheme="minorHAnsi" w:hAnsi="Verdana"/>
          <w:sz w:val="20"/>
          <w:szCs w:val="20"/>
          <w:lang w:val="es-419"/>
        </w:rPr>
        <w:t xml:space="preserve"> </w:t>
      </w:r>
      <w:r w:rsidR="00EA072A" w:rsidRPr="00756B84">
        <w:rPr>
          <w:rFonts w:ascii="Verdana" w:eastAsiaTheme="minorHAnsi" w:hAnsi="Verdana"/>
          <w:sz w:val="20"/>
          <w:szCs w:val="20"/>
          <w:lang w:val="es-419"/>
        </w:rPr>
        <w:t>tratándose de casos de esta naturaleza</w:t>
      </w:r>
      <w:r w:rsidR="00667D72" w:rsidRPr="00756B84">
        <w:rPr>
          <w:rFonts w:ascii="Verdana" w:eastAsiaTheme="minorHAnsi" w:hAnsi="Verdana"/>
          <w:sz w:val="20"/>
          <w:szCs w:val="20"/>
          <w:lang w:val="es-419"/>
        </w:rPr>
        <w:t>,</w:t>
      </w:r>
      <w:r w:rsidR="00EA072A" w:rsidRPr="00756B84">
        <w:rPr>
          <w:rFonts w:ascii="Verdana" w:eastAsiaTheme="minorHAnsi" w:hAnsi="Verdana"/>
          <w:sz w:val="20"/>
          <w:szCs w:val="20"/>
          <w:lang w:val="es-419"/>
        </w:rPr>
        <w:t xml:space="preserve"> la Corte</w:t>
      </w:r>
      <w:r w:rsidR="006B355A" w:rsidRPr="00756B84">
        <w:rPr>
          <w:rFonts w:ascii="Verdana" w:eastAsiaTheme="minorHAnsi" w:hAnsi="Verdana"/>
          <w:sz w:val="20"/>
          <w:szCs w:val="20"/>
          <w:lang w:val="es-419"/>
        </w:rPr>
        <w:t xml:space="preserve"> </w:t>
      </w:r>
      <w:r w:rsidR="00580510" w:rsidRPr="00756B84">
        <w:rPr>
          <w:rFonts w:ascii="Verdana" w:eastAsiaTheme="minorHAnsi" w:hAnsi="Verdana"/>
          <w:sz w:val="20"/>
          <w:szCs w:val="20"/>
          <w:lang w:val="es-419"/>
        </w:rPr>
        <w:t>aluda</w:t>
      </w:r>
      <w:r w:rsidR="006B355A" w:rsidRPr="00756B84">
        <w:rPr>
          <w:rFonts w:ascii="Verdana" w:eastAsiaTheme="minorHAnsi" w:hAnsi="Verdana"/>
          <w:sz w:val="20"/>
          <w:szCs w:val="20"/>
          <w:lang w:val="es-419"/>
        </w:rPr>
        <w:t xml:space="preserve"> a las </w:t>
      </w:r>
      <w:r w:rsidR="006342C0" w:rsidRPr="00756B84">
        <w:rPr>
          <w:rFonts w:ascii="Verdana" w:eastAsiaTheme="minorHAnsi" w:hAnsi="Verdana"/>
          <w:sz w:val="20"/>
          <w:szCs w:val="20"/>
          <w:lang w:val="es-419"/>
        </w:rPr>
        <w:t>dos dimensiones del derecho a la salud</w:t>
      </w:r>
      <w:r w:rsidR="009D0EEA" w:rsidRPr="00756B84">
        <w:rPr>
          <w:rStyle w:val="Refdenotaalpie"/>
          <w:rFonts w:ascii="Verdana" w:eastAsiaTheme="minorHAnsi" w:hAnsi="Verdana"/>
          <w:sz w:val="20"/>
          <w:szCs w:val="20"/>
          <w:lang w:val="es-419"/>
        </w:rPr>
        <w:footnoteReference w:id="16"/>
      </w:r>
      <w:r w:rsidR="006342C0" w:rsidRPr="00756B84">
        <w:rPr>
          <w:rFonts w:ascii="Verdana" w:eastAsiaTheme="minorHAnsi" w:hAnsi="Verdana"/>
          <w:sz w:val="20"/>
          <w:szCs w:val="20"/>
          <w:lang w:val="es-419"/>
        </w:rPr>
        <w:t>. Por una</w:t>
      </w:r>
      <w:r w:rsidR="006342C0" w:rsidRPr="00756B84">
        <w:rPr>
          <w:rFonts w:ascii="Verdana" w:eastAsiaTheme="minorHAnsi" w:hAnsi="Verdana"/>
          <w:sz w:val="20"/>
          <w:szCs w:val="20"/>
          <w:lang w:val="x-none"/>
        </w:rPr>
        <w:t xml:space="preserve"> parte</w:t>
      </w:r>
      <w:r w:rsidR="006342C0" w:rsidRPr="00756B84">
        <w:rPr>
          <w:rFonts w:ascii="Verdana" w:eastAsiaTheme="minorHAnsi" w:hAnsi="Verdana"/>
          <w:sz w:val="20"/>
          <w:szCs w:val="20"/>
          <w:lang w:val="es-419"/>
        </w:rPr>
        <w:t>,</w:t>
      </w:r>
      <w:r w:rsidR="006342C0" w:rsidRPr="00756B84">
        <w:rPr>
          <w:rFonts w:ascii="Verdana" w:eastAsiaTheme="minorHAnsi" w:hAnsi="Verdana"/>
          <w:sz w:val="20"/>
          <w:szCs w:val="20"/>
          <w:lang w:val="x-none"/>
        </w:rPr>
        <w:t xml:space="preserve"> </w:t>
      </w:r>
      <w:r w:rsidR="00FA1ACD" w:rsidRPr="00756B84">
        <w:rPr>
          <w:rFonts w:ascii="Verdana" w:eastAsiaTheme="minorHAnsi" w:hAnsi="Verdana"/>
          <w:sz w:val="20"/>
          <w:szCs w:val="20"/>
        </w:rPr>
        <w:t xml:space="preserve">a la </w:t>
      </w:r>
      <w:r w:rsidR="006342C0" w:rsidRPr="00756B84">
        <w:rPr>
          <w:rFonts w:ascii="Verdana" w:eastAsiaTheme="minorHAnsi" w:hAnsi="Verdana"/>
          <w:sz w:val="20"/>
          <w:szCs w:val="20"/>
          <w:lang w:val="es-419"/>
        </w:rPr>
        <w:t xml:space="preserve">obligación </w:t>
      </w:r>
      <w:r w:rsidR="006342C0" w:rsidRPr="00756B84">
        <w:rPr>
          <w:rFonts w:ascii="Verdana" w:eastAsiaTheme="minorHAnsi" w:hAnsi="Verdana"/>
          <w:sz w:val="20"/>
          <w:szCs w:val="20"/>
          <w:lang w:val="x-none"/>
        </w:rPr>
        <w:t>general de protección a la sal</w:t>
      </w:r>
      <w:r w:rsidR="006342C0" w:rsidRPr="00756B84">
        <w:rPr>
          <w:rFonts w:ascii="Verdana" w:eastAsiaTheme="minorHAnsi" w:hAnsi="Verdana"/>
          <w:sz w:val="20"/>
          <w:szCs w:val="20"/>
          <w:lang w:val="es-419"/>
        </w:rPr>
        <w:t>ud referida</w:t>
      </w:r>
      <w:r w:rsidR="006342C0" w:rsidRPr="00756B84">
        <w:rPr>
          <w:rFonts w:ascii="Verdana" w:eastAsiaTheme="minorHAnsi" w:hAnsi="Verdana"/>
          <w:sz w:val="20"/>
          <w:szCs w:val="20"/>
          <w:lang w:val="x-none"/>
        </w:rPr>
        <w:t xml:space="preserve"> a</w:t>
      </w:r>
      <w:r w:rsidR="00AA5DB0" w:rsidRPr="00756B84">
        <w:rPr>
          <w:rFonts w:ascii="Verdana" w:eastAsiaTheme="minorHAnsi" w:hAnsi="Verdana"/>
          <w:sz w:val="20"/>
          <w:szCs w:val="20"/>
          <w:lang w:val="es-419"/>
        </w:rPr>
        <w:t xml:space="preserve">l deber de garantizar </w:t>
      </w:r>
      <w:r w:rsidR="006342C0" w:rsidRPr="00756B84">
        <w:rPr>
          <w:rFonts w:ascii="Verdana" w:eastAsiaTheme="minorHAnsi" w:hAnsi="Verdana"/>
          <w:sz w:val="20"/>
          <w:szCs w:val="20"/>
          <w:lang w:val="x-none"/>
        </w:rPr>
        <w:t>una prestación médica de calidad</w:t>
      </w:r>
      <w:r w:rsidR="00FA1ACD" w:rsidRPr="00756B84">
        <w:rPr>
          <w:rFonts w:ascii="Verdana" w:eastAsiaTheme="minorHAnsi" w:hAnsi="Verdana"/>
          <w:sz w:val="20"/>
          <w:szCs w:val="20"/>
        </w:rPr>
        <w:t xml:space="preserve"> y</w:t>
      </w:r>
      <w:r w:rsidR="006342C0" w:rsidRPr="00756B84">
        <w:rPr>
          <w:rFonts w:ascii="Verdana" w:eastAsiaTheme="minorHAnsi" w:hAnsi="Verdana"/>
          <w:sz w:val="20"/>
          <w:szCs w:val="20"/>
          <w:lang w:val="x-none"/>
        </w:rPr>
        <w:t xml:space="preserve"> por otra</w:t>
      </w:r>
      <w:r w:rsidR="006342C0" w:rsidRPr="00756B84">
        <w:rPr>
          <w:rFonts w:ascii="Verdana" w:eastAsiaTheme="minorHAnsi" w:hAnsi="Verdana"/>
          <w:sz w:val="20"/>
          <w:szCs w:val="20"/>
          <w:lang w:val="es-419"/>
        </w:rPr>
        <w:t xml:space="preserve">, </w:t>
      </w:r>
      <w:r w:rsidR="00ED5997" w:rsidRPr="00756B84">
        <w:rPr>
          <w:rFonts w:ascii="Verdana" w:eastAsiaTheme="minorHAnsi" w:hAnsi="Verdana"/>
          <w:sz w:val="20"/>
          <w:szCs w:val="20"/>
          <w:lang w:val="es-419"/>
        </w:rPr>
        <w:t>a la</w:t>
      </w:r>
      <w:r w:rsidR="006342C0" w:rsidRPr="00756B84">
        <w:rPr>
          <w:rFonts w:ascii="Verdana" w:eastAsiaTheme="minorHAnsi" w:hAnsi="Verdana"/>
          <w:sz w:val="20"/>
          <w:szCs w:val="20"/>
          <w:lang w:val="es-419"/>
        </w:rPr>
        <w:t xml:space="preserve"> obligación relacionada con el derecho individual a la salud</w:t>
      </w:r>
      <w:r w:rsidR="00ED5997" w:rsidRPr="00756B84">
        <w:rPr>
          <w:rFonts w:ascii="Verdana" w:eastAsiaTheme="minorHAnsi" w:hAnsi="Verdana"/>
          <w:sz w:val="20"/>
          <w:szCs w:val="20"/>
          <w:lang w:val="es-419"/>
        </w:rPr>
        <w:t>.</w:t>
      </w:r>
      <w:r w:rsidR="006342C0" w:rsidRPr="00756B84">
        <w:rPr>
          <w:rFonts w:ascii="Verdana" w:eastAsiaTheme="minorHAnsi" w:hAnsi="Verdana"/>
          <w:sz w:val="20"/>
          <w:szCs w:val="20"/>
          <w:lang w:val="es-419"/>
        </w:rPr>
        <w:t xml:space="preserve"> En línea con lo señalado en el numeral anterior, </w:t>
      </w:r>
      <w:r w:rsidR="00ED5997" w:rsidRPr="00756B84">
        <w:rPr>
          <w:rFonts w:ascii="Verdana" w:eastAsiaTheme="minorHAnsi" w:hAnsi="Verdana"/>
          <w:sz w:val="20"/>
          <w:szCs w:val="20"/>
          <w:lang w:val="es-419"/>
        </w:rPr>
        <w:t>y</w:t>
      </w:r>
      <w:r w:rsidR="00221504" w:rsidRPr="00756B84">
        <w:rPr>
          <w:rFonts w:ascii="Verdana" w:eastAsiaTheme="minorHAnsi" w:hAnsi="Verdana"/>
          <w:sz w:val="20"/>
          <w:szCs w:val="20"/>
          <w:lang w:val="es-419"/>
        </w:rPr>
        <w:t xml:space="preserve"> en términos generales</w:t>
      </w:r>
      <w:r w:rsidR="00ED5997" w:rsidRPr="00756B84">
        <w:rPr>
          <w:rFonts w:ascii="Verdana" w:eastAsiaTheme="minorHAnsi" w:hAnsi="Verdana"/>
          <w:sz w:val="20"/>
          <w:szCs w:val="20"/>
          <w:lang w:val="es-419"/>
        </w:rPr>
        <w:t xml:space="preserve">, </w:t>
      </w:r>
      <w:r w:rsidR="006342C0" w:rsidRPr="00756B84">
        <w:rPr>
          <w:rFonts w:ascii="Verdana" w:eastAsiaTheme="minorHAnsi" w:hAnsi="Verdana"/>
          <w:sz w:val="20"/>
          <w:szCs w:val="20"/>
          <w:lang w:val="es-419"/>
        </w:rPr>
        <w:t>es posible y deseable que el derecho a la salud en su aspecto individual sea analizado en conexión con el derecho a la vida o a la integridad personal (enlazando los artículos 4 o 5 con el artículo</w:t>
      </w:r>
      <w:r w:rsidR="006342C0" w:rsidRPr="00756B84">
        <w:rPr>
          <w:rFonts w:ascii="Verdana" w:eastAsiaTheme="minorHAnsi" w:hAnsi="Verdana"/>
          <w:sz w:val="20"/>
          <w:szCs w:val="20"/>
        </w:rPr>
        <w:t xml:space="preserve"> 26 de la CADH) </w:t>
      </w:r>
      <w:r w:rsidR="006342C0" w:rsidRPr="00756B84">
        <w:rPr>
          <w:rFonts w:ascii="Verdana" w:eastAsiaTheme="minorHAnsi" w:hAnsi="Verdana"/>
          <w:sz w:val="20"/>
          <w:szCs w:val="20"/>
          <w:lang w:val="es-419"/>
        </w:rPr>
        <w:t>y en su vis general y progresiva a la luz del artículo 26 en concordancia con el artículo 1.1 de la Convención. Esto permitiría a la Corte determinar cuándo una deficiente atención sanitaria ha producido una afectación a la vida o integridad de la persona</w:t>
      </w:r>
      <w:r w:rsidR="006C6164" w:rsidRPr="00756B84">
        <w:rPr>
          <w:rFonts w:ascii="Verdana" w:eastAsiaTheme="minorHAnsi" w:hAnsi="Verdana"/>
          <w:sz w:val="20"/>
          <w:szCs w:val="20"/>
          <w:lang w:val="es-419"/>
        </w:rPr>
        <w:t xml:space="preserve"> </w:t>
      </w:r>
      <w:r w:rsidR="006342C0" w:rsidRPr="00756B84">
        <w:rPr>
          <w:rFonts w:ascii="Verdana" w:eastAsiaTheme="minorHAnsi" w:hAnsi="Verdana"/>
          <w:sz w:val="20"/>
          <w:szCs w:val="20"/>
          <w:lang w:val="es-419"/>
        </w:rPr>
        <w:t xml:space="preserve">y cuándo </w:t>
      </w:r>
      <w:r w:rsidR="00FF2991" w:rsidRPr="00756B84">
        <w:rPr>
          <w:rFonts w:ascii="Verdana" w:eastAsiaTheme="minorHAnsi" w:hAnsi="Verdana"/>
          <w:sz w:val="20"/>
          <w:szCs w:val="20"/>
          <w:lang w:val="es-419"/>
        </w:rPr>
        <w:t>el servicio</w:t>
      </w:r>
      <w:r w:rsidR="006342C0" w:rsidRPr="00756B84">
        <w:rPr>
          <w:rFonts w:ascii="Verdana" w:eastAsiaTheme="minorHAnsi" w:hAnsi="Verdana"/>
          <w:sz w:val="20"/>
          <w:szCs w:val="20"/>
          <w:lang w:val="es-419"/>
        </w:rPr>
        <w:t xml:space="preserve"> ofrecid</w:t>
      </w:r>
      <w:r w:rsidR="00FF2991" w:rsidRPr="00756B84">
        <w:rPr>
          <w:rFonts w:ascii="Verdana" w:eastAsiaTheme="minorHAnsi" w:hAnsi="Verdana"/>
          <w:sz w:val="20"/>
          <w:szCs w:val="20"/>
          <w:lang w:val="es-419"/>
        </w:rPr>
        <w:t>o</w:t>
      </w:r>
      <w:r w:rsidR="006342C0" w:rsidRPr="00756B84">
        <w:rPr>
          <w:rFonts w:ascii="Verdana" w:eastAsiaTheme="minorHAnsi" w:hAnsi="Verdana"/>
          <w:sz w:val="20"/>
          <w:szCs w:val="20"/>
          <w:lang w:val="es-419"/>
        </w:rPr>
        <w:t xml:space="preserve"> por el Estado</w:t>
      </w:r>
      <w:r w:rsidR="00FF2991" w:rsidRPr="00756B84">
        <w:rPr>
          <w:rFonts w:ascii="Verdana" w:eastAsiaTheme="minorHAnsi" w:hAnsi="Verdana"/>
          <w:sz w:val="20"/>
          <w:szCs w:val="20"/>
          <w:lang w:val="es-419"/>
        </w:rPr>
        <w:t xml:space="preserve"> (</w:t>
      </w:r>
      <w:r w:rsidR="00F1562D" w:rsidRPr="00756B84">
        <w:rPr>
          <w:rFonts w:ascii="Verdana" w:eastAsiaTheme="minorHAnsi" w:hAnsi="Verdana"/>
          <w:sz w:val="20"/>
          <w:szCs w:val="20"/>
          <w:lang w:val="es-419"/>
        </w:rPr>
        <w:t xml:space="preserve">sea mediante prestadores públicos o </w:t>
      </w:r>
      <w:r w:rsidR="00AA5DB0" w:rsidRPr="00756B84">
        <w:rPr>
          <w:rFonts w:ascii="Verdana" w:eastAsiaTheme="minorHAnsi" w:hAnsi="Verdana"/>
          <w:sz w:val="20"/>
          <w:szCs w:val="20"/>
          <w:lang w:val="es-419"/>
        </w:rPr>
        <w:t>privados) no</w:t>
      </w:r>
      <w:r w:rsidR="006342C0" w:rsidRPr="00756B84">
        <w:rPr>
          <w:rFonts w:ascii="Verdana" w:eastAsiaTheme="minorHAnsi" w:hAnsi="Verdana"/>
          <w:sz w:val="20"/>
          <w:szCs w:val="20"/>
          <w:lang w:val="es-419"/>
        </w:rPr>
        <w:t xml:space="preserve"> está a la altura de su compromiso de progresividad y no regresividad en los términos del artículo 26.</w:t>
      </w:r>
    </w:p>
    <w:p w14:paraId="737930D9" w14:textId="77777777" w:rsidR="00756B84" w:rsidRDefault="00756B84" w:rsidP="00756B84">
      <w:pPr>
        <w:widowControl w:val="0"/>
        <w:tabs>
          <w:tab w:val="left" w:pos="567"/>
        </w:tabs>
        <w:adjustRightInd w:val="0"/>
        <w:jc w:val="both"/>
        <w:rPr>
          <w:rFonts w:ascii="Verdana" w:eastAsiaTheme="minorHAnsi" w:hAnsi="Verdana"/>
          <w:sz w:val="20"/>
          <w:szCs w:val="20"/>
          <w:lang w:val="es-419"/>
        </w:rPr>
      </w:pPr>
    </w:p>
    <w:p w14:paraId="5C7902DE" w14:textId="5FE5910D" w:rsidR="006056B8" w:rsidRPr="00756B84" w:rsidRDefault="000A602B"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heme="minorHAnsi" w:hAnsi="Verdana"/>
          <w:sz w:val="20"/>
          <w:szCs w:val="20"/>
          <w:lang w:val="es-419"/>
        </w:rPr>
        <w:t>De</w:t>
      </w:r>
      <w:r w:rsidR="00D737BB" w:rsidRPr="00756B84">
        <w:rPr>
          <w:rFonts w:ascii="Verdana" w:eastAsiaTheme="minorHAnsi" w:hAnsi="Verdana"/>
          <w:sz w:val="20"/>
          <w:szCs w:val="20"/>
          <w:lang w:val="es-419"/>
        </w:rPr>
        <w:t xml:space="preserve"> </w:t>
      </w:r>
      <w:r w:rsidR="00B526A8" w:rsidRPr="00756B84">
        <w:rPr>
          <w:rFonts w:ascii="Verdana" w:eastAsia="Times New Roman" w:hAnsi="Verdana"/>
          <w:sz w:val="20"/>
          <w:szCs w:val="20"/>
        </w:rPr>
        <w:t>hecho, en esta sentencia se</w:t>
      </w:r>
      <w:r w:rsidR="00850812" w:rsidRPr="00756B84">
        <w:rPr>
          <w:rFonts w:ascii="Verdana" w:eastAsia="Times New Roman" w:hAnsi="Verdana"/>
          <w:sz w:val="20"/>
          <w:szCs w:val="20"/>
        </w:rPr>
        <w:t xml:space="preserve"> </w:t>
      </w:r>
      <w:r w:rsidR="00F14743" w:rsidRPr="00756B84">
        <w:rPr>
          <w:rFonts w:ascii="Verdana" w:eastAsia="Times New Roman" w:hAnsi="Verdana"/>
          <w:sz w:val="20"/>
          <w:szCs w:val="20"/>
        </w:rPr>
        <w:t xml:space="preserve">formula </w:t>
      </w:r>
      <w:r w:rsidR="00850812" w:rsidRPr="00756B84">
        <w:rPr>
          <w:rFonts w:ascii="Verdana" w:eastAsia="Times New Roman" w:hAnsi="Verdana"/>
          <w:sz w:val="20"/>
          <w:szCs w:val="20"/>
        </w:rPr>
        <w:t>una consideración en relación a</w:t>
      </w:r>
      <w:r w:rsidR="00EA3795" w:rsidRPr="00756B84">
        <w:rPr>
          <w:rFonts w:ascii="Verdana" w:eastAsia="Times New Roman" w:hAnsi="Verdana"/>
          <w:sz w:val="20"/>
          <w:szCs w:val="20"/>
        </w:rPr>
        <w:t>l “</w:t>
      </w:r>
      <w:r w:rsidR="001D5864" w:rsidRPr="00756B84">
        <w:rPr>
          <w:rFonts w:ascii="Verdana" w:eastAsia="Times New Roman" w:hAnsi="Verdana"/>
          <w:sz w:val="20"/>
          <w:szCs w:val="20"/>
          <w:lang w:val="es-419"/>
        </w:rPr>
        <w:t xml:space="preserve">derecho a la salud y obligación del </w:t>
      </w:r>
      <w:r w:rsidR="00343DA7" w:rsidRPr="00756B84">
        <w:rPr>
          <w:rFonts w:ascii="Verdana" w:eastAsia="Times New Roman" w:hAnsi="Verdana"/>
          <w:sz w:val="20"/>
          <w:szCs w:val="20"/>
          <w:lang w:val="es-419"/>
        </w:rPr>
        <w:t>Estado</w:t>
      </w:r>
      <w:r w:rsidR="001D5864" w:rsidRPr="00756B84">
        <w:rPr>
          <w:rFonts w:ascii="Verdana" w:eastAsia="Times New Roman" w:hAnsi="Verdana"/>
          <w:sz w:val="20"/>
          <w:szCs w:val="20"/>
          <w:lang w:val="es-419"/>
        </w:rPr>
        <w:t xml:space="preserve"> de regular, fiscalizar y supervisar la prestación de servicios de salud privados”</w:t>
      </w:r>
      <w:r w:rsidR="00111DE5" w:rsidRPr="00756B84">
        <w:rPr>
          <w:rFonts w:ascii="Verdana" w:eastAsia="Times New Roman" w:hAnsi="Verdana"/>
          <w:sz w:val="20"/>
          <w:szCs w:val="20"/>
          <w:lang w:val="es-419"/>
        </w:rPr>
        <w:t xml:space="preserve">, </w:t>
      </w:r>
      <w:r w:rsidR="008D5913" w:rsidRPr="00756B84">
        <w:rPr>
          <w:rFonts w:ascii="Verdana" w:eastAsia="Times New Roman" w:hAnsi="Verdana"/>
          <w:sz w:val="20"/>
          <w:szCs w:val="20"/>
          <w:lang w:val="es-419"/>
        </w:rPr>
        <w:t>indicándose que “</w:t>
      </w:r>
      <w:r w:rsidR="00AE2502" w:rsidRPr="00756B84">
        <w:rPr>
          <w:rFonts w:ascii="Verdana" w:eastAsia="Times New Roman" w:hAnsi="Verdana"/>
          <w:sz w:val="20"/>
          <w:szCs w:val="20"/>
          <w:lang w:val="es-419"/>
        </w:rPr>
        <w:t xml:space="preserve">los </w:t>
      </w:r>
      <w:r w:rsidR="008348DE" w:rsidRPr="00756B84">
        <w:rPr>
          <w:rFonts w:ascii="Verdana" w:eastAsia="Times New Roman" w:hAnsi="Verdana"/>
          <w:sz w:val="20"/>
          <w:szCs w:val="20"/>
          <w:lang w:val="es-419"/>
        </w:rPr>
        <w:t>Estados</w:t>
      </w:r>
      <w:r w:rsidR="00AE2502" w:rsidRPr="00756B84">
        <w:rPr>
          <w:rFonts w:ascii="Verdana" w:eastAsia="Times New Roman" w:hAnsi="Verdana"/>
          <w:sz w:val="20"/>
          <w:szCs w:val="20"/>
          <w:lang w:val="es-419"/>
        </w:rPr>
        <w:t xml:space="preserve"> deben establecer un </w:t>
      </w:r>
      <w:r w:rsidR="008348DE" w:rsidRPr="00756B84">
        <w:rPr>
          <w:rFonts w:ascii="Verdana" w:eastAsia="Times New Roman" w:hAnsi="Verdana"/>
          <w:sz w:val="20"/>
          <w:szCs w:val="20"/>
          <w:lang w:val="es-419"/>
        </w:rPr>
        <w:t>marco</w:t>
      </w:r>
      <w:r w:rsidR="00AE2502" w:rsidRPr="00756B84">
        <w:rPr>
          <w:rFonts w:ascii="Verdana" w:eastAsia="Times New Roman" w:hAnsi="Verdana"/>
          <w:sz w:val="20"/>
          <w:szCs w:val="20"/>
          <w:lang w:val="es-419"/>
        </w:rPr>
        <w:t xml:space="preserve"> normativo</w:t>
      </w:r>
      <w:r w:rsidR="007335D2">
        <w:rPr>
          <w:rFonts w:ascii="Verdana" w:eastAsia="Times New Roman" w:hAnsi="Verdana"/>
          <w:sz w:val="20"/>
          <w:szCs w:val="20"/>
          <w:lang w:val="es-419"/>
        </w:rPr>
        <w:t xml:space="preserve"> </w:t>
      </w:r>
      <w:r w:rsidR="008348DE" w:rsidRPr="00756B84">
        <w:rPr>
          <w:rFonts w:ascii="Verdana" w:eastAsia="Times New Roman" w:hAnsi="Verdana"/>
          <w:sz w:val="20"/>
          <w:szCs w:val="20"/>
          <w:lang w:val="es-419"/>
        </w:rPr>
        <w:t>ade</w:t>
      </w:r>
      <w:r w:rsidR="00AE2502" w:rsidRPr="00756B84">
        <w:rPr>
          <w:rFonts w:ascii="Verdana" w:eastAsia="Times New Roman" w:hAnsi="Verdana"/>
          <w:sz w:val="20"/>
          <w:szCs w:val="20"/>
          <w:lang w:val="es-419"/>
        </w:rPr>
        <w:t>cuado que regul</w:t>
      </w:r>
      <w:r w:rsidR="008348DE" w:rsidRPr="00756B84">
        <w:rPr>
          <w:rFonts w:ascii="Verdana" w:eastAsia="Times New Roman" w:hAnsi="Verdana"/>
          <w:sz w:val="20"/>
          <w:szCs w:val="20"/>
          <w:lang w:val="es-419"/>
        </w:rPr>
        <w:t>e</w:t>
      </w:r>
      <w:r w:rsidR="00AE2502" w:rsidRPr="00756B84">
        <w:rPr>
          <w:rFonts w:ascii="Verdana" w:eastAsia="Times New Roman" w:hAnsi="Verdana"/>
          <w:sz w:val="20"/>
          <w:szCs w:val="20"/>
          <w:lang w:val="es-419"/>
        </w:rPr>
        <w:t xml:space="preserve"> la prestación de servicios de salud, estableciendo estándares de calidad para las instituciones públicas y privadas que permita prevenir cualquier amenaza de vulneración a la integridad personal </w:t>
      </w:r>
      <w:r w:rsidR="0037623B" w:rsidRPr="00756B84">
        <w:rPr>
          <w:rFonts w:ascii="Verdana" w:eastAsia="Times New Roman" w:hAnsi="Verdana"/>
          <w:sz w:val="20"/>
          <w:szCs w:val="20"/>
          <w:lang w:val="es-419"/>
        </w:rPr>
        <w:t xml:space="preserve">en dichas </w:t>
      </w:r>
      <w:r w:rsidR="00AE2502" w:rsidRPr="00756B84">
        <w:rPr>
          <w:rFonts w:ascii="Verdana" w:eastAsia="Times New Roman" w:hAnsi="Verdana"/>
          <w:sz w:val="20"/>
          <w:szCs w:val="20"/>
          <w:lang w:val="es-419"/>
        </w:rPr>
        <w:t>prestaciones</w:t>
      </w:r>
      <w:r w:rsidR="00B526A8" w:rsidRPr="00756B84">
        <w:rPr>
          <w:rFonts w:ascii="Verdana" w:eastAsia="Times New Roman" w:hAnsi="Verdana"/>
          <w:sz w:val="20"/>
          <w:szCs w:val="20"/>
        </w:rPr>
        <w:t>”</w:t>
      </w:r>
      <w:r w:rsidR="00B526A8" w:rsidRPr="00756B84">
        <w:rPr>
          <w:rStyle w:val="Refdenotaalpie"/>
          <w:rFonts w:ascii="Verdana" w:eastAsia="Times New Roman" w:hAnsi="Verdana"/>
          <w:sz w:val="20"/>
          <w:szCs w:val="20"/>
        </w:rPr>
        <w:footnoteReference w:id="17"/>
      </w:r>
      <w:r w:rsidR="009E40EF" w:rsidRPr="00756B84">
        <w:rPr>
          <w:rFonts w:ascii="Verdana" w:eastAsia="Times New Roman" w:hAnsi="Verdana"/>
          <w:sz w:val="20"/>
          <w:szCs w:val="20"/>
        </w:rPr>
        <w:t>.</w:t>
      </w:r>
      <w:r w:rsidR="00B526A8" w:rsidRPr="00756B84">
        <w:rPr>
          <w:rFonts w:ascii="Verdana" w:eastAsia="Times New Roman" w:hAnsi="Verdana"/>
          <w:sz w:val="20"/>
          <w:szCs w:val="20"/>
        </w:rPr>
        <w:t xml:space="preserve"> </w:t>
      </w:r>
      <w:r w:rsidR="00CE1AAD" w:rsidRPr="00756B84">
        <w:rPr>
          <w:rFonts w:ascii="Verdana" w:eastAsia="Times New Roman" w:hAnsi="Verdana"/>
          <w:sz w:val="20"/>
          <w:szCs w:val="20"/>
        </w:rPr>
        <w:t xml:space="preserve">En la nota </w:t>
      </w:r>
      <w:r w:rsidR="00B12A7F" w:rsidRPr="00756B84">
        <w:rPr>
          <w:rFonts w:ascii="Verdana" w:eastAsia="Times New Roman" w:hAnsi="Verdana"/>
          <w:sz w:val="20"/>
          <w:szCs w:val="20"/>
        </w:rPr>
        <w:t xml:space="preserve">número 190 </w:t>
      </w:r>
      <w:r w:rsidR="00D86C7A" w:rsidRPr="00756B84">
        <w:rPr>
          <w:rFonts w:ascii="Verdana" w:eastAsia="Times New Roman" w:hAnsi="Verdana"/>
          <w:sz w:val="20"/>
          <w:szCs w:val="20"/>
        </w:rPr>
        <w:t xml:space="preserve">se hace una referencia </w:t>
      </w:r>
      <w:r w:rsidR="00A41018" w:rsidRPr="00756B84">
        <w:rPr>
          <w:rFonts w:ascii="Verdana" w:eastAsia="Times New Roman" w:hAnsi="Verdana"/>
          <w:sz w:val="20"/>
          <w:szCs w:val="20"/>
        </w:rPr>
        <w:t>a los casos</w:t>
      </w:r>
      <w:r w:rsidR="00D86C7A" w:rsidRPr="00756B84">
        <w:rPr>
          <w:rFonts w:ascii="Verdana" w:eastAsia="Times New Roman" w:hAnsi="Verdana"/>
          <w:sz w:val="20"/>
          <w:szCs w:val="20"/>
        </w:rPr>
        <w:t xml:space="preserve"> </w:t>
      </w:r>
      <w:r w:rsidR="00D86C7A" w:rsidRPr="00756B84">
        <w:rPr>
          <w:rFonts w:ascii="Verdana" w:eastAsia="Times New Roman" w:hAnsi="Verdana"/>
          <w:i/>
          <w:iCs/>
          <w:sz w:val="20"/>
          <w:szCs w:val="20"/>
        </w:rPr>
        <w:t xml:space="preserve">Ximenes Lopes Vs. Brasil </w:t>
      </w:r>
      <w:r w:rsidR="00A41018" w:rsidRPr="00756B84">
        <w:rPr>
          <w:rFonts w:ascii="Verdana" w:eastAsia="Times New Roman" w:hAnsi="Verdana"/>
          <w:sz w:val="20"/>
          <w:szCs w:val="20"/>
        </w:rPr>
        <w:t>e</w:t>
      </w:r>
      <w:r w:rsidR="00D86C7A" w:rsidRPr="00756B84">
        <w:rPr>
          <w:rFonts w:ascii="Verdana" w:eastAsia="Times New Roman" w:hAnsi="Verdana"/>
          <w:sz w:val="20"/>
          <w:szCs w:val="20"/>
        </w:rPr>
        <w:t xml:space="preserve"> </w:t>
      </w:r>
      <w:r w:rsidR="00DD6D89" w:rsidRPr="00756B84">
        <w:rPr>
          <w:rFonts w:ascii="Verdana" w:eastAsia="Times New Roman" w:hAnsi="Verdana"/>
          <w:i/>
          <w:iCs/>
          <w:sz w:val="20"/>
          <w:szCs w:val="20"/>
        </w:rPr>
        <w:t>I.V Vs.</w:t>
      </w:r>
      <w:r w:rsidR="009E40EF" w:rsidRPr="00756B84">
        <w:rPr>
          <w:rFonts w:ascii="Verdana" w:eastAsia="Times New Roman" w:hAnsi="Verdana"/>
          <w:i/>
          <w:iCs/>
          <w:sz w:val="20"/>
          <w:szCs w:val="20"/>
        </w:rPr>
        <w:t xml:space="preserve"> </w:t>
      </w:r>
      <w:r w:rsidR="00DD6D89" w:rsidRPr="00756B84">
        <w:rPr>
          <w:rFonts w:ascii="Verdana" w:eastAsia="Times New Roman" w:hAnsi="Verdana"/>
          <w:i/>
          <w:iCs/>
          <w:sz w:val="20"/>
          <w:szCs w:val="20"/>
        </w:rPr>
        <w:t>Bolivia.</w:t>
      </w:r>
      <w:r w:rsidR="00DD6D89" w:rsidRPr="00756B84">
        <w:rPr>
          <w:rFonts w:ascii="Verdana" w:eastAsia="Times New Roman" w:hAnsi="Verdana"/>
          <w:sz w:val="20"/>
          <w:szCs w:val="20"/>
        </w:rPr>
        <w:t xml:space="preserve"> </w:t>
      </w:r>
      <w:r w:rsidR="004E167E" w:rsidRPr="00756B84">
        <w:rPr>
          <w:rFonts w:ascii="Verdana" w:eastAsia="Times New Roman" w:hAnsi="Verdana"/>
          <w:sz w:val="20"/>
          <w:szCs w:val="20"/>
        </w:rPr>
        <w:t>Me referi</w:t>
      </w:r>
      <w:r w:rsidR="00342B4A" w:rsidRPr="00756B84">
        <w:rPr>
          <w:rFonts w:ascii="Verdana" w:eastAsia="Times New Roman" w:hAnsi="Verdana"/>
          <w:sz w:val="20"/>
          <w:szCs w:val="20"/>
        </w:rPr>
        <w:t>ré al primero</w:t>
      </w:r>
      <w:r w:rsidR="0099024C" w:rsidRPr="00756B84">
        <w:rPr>
          <w:rFonts w:ascii="Verdana" w:eastAsia="Times New Roman" w:hAnsi="Verdana"/>
          <w:sz w:val="20"/>
          <w:szCs w:val="20"/>
        </w:rPr>
        <w:t>,</w:t>
      </w:r>
      <w:r w:rsidR="00342B4A" w:rsidRPr="00756B84">
        <w:rPr>
          <w:rFonts w:ascii="Verdana" w:eastAsia="Times New Roman" w:hAnsi="Verdana"/>
          <w:sz w:val="20"/>
          <w:szCs w:val="20"/>
        </w:rPr>
        <w:t xml:space="preserve"> pues </w:t>
      </w:r>
      <w:r w:rsidR="00A41018" w:rsidRPr="00756B84">
        <w:rPr>
          <w:rFonts w:ascii="Verdana" w:eastAsia="Times New Roman" w:hAnsi="Verdana"/>
          <w:sz w:val="20"/>
          <w:szCs w:val="20"/>
        </w:rPr>
        <w:t xml:space="preserve">tal caso </w:t>
      </w:r>
      <w:r w:rsidR="00342B4A" w:rsidRPr="00756B84">
        <w:rPr>
          <w:rFonts w:ascii="Verdana" w:eastAsia="Times New Roman" w:hAnsi="Verdana"/>
          <w:sz w:val="20"/>
          <w:szCs w:val="20"/>
        </w:rPr>
        <w:t xml:space="preserve">dice relación con hechos ocurridos </w:t>
      </w:r>
      <w:r w:rsidR="00E81523" w:rsidRPr="00756B84">
        <w:rPr>
          <w:rFonts w:ascii="Verdana" w:eastAsia="Times New Roman" w:hAnsi="Verdana"/>
          <w:sz w:val="20"/>
          <w:szCs w:val="20"/>
        </w:rPr>
        <w:t xml:space="preserve">en </w:t>
      </w:r>
      <w:r w:rsidR="00342B4A" w:rsidRPr="00756B84">
        <w:rPr>
          <w:rFonts w:ascii="Verdana" w:eastAsia="Times New Roman" w:hAnsi="Verdana"/>
          <w:sz w:val="20"/>
          <w:szCs w:val="20"/>
        </w:rPr>
        <w:t>un establecimiento de salud privado</w:t>
      </w:r>
      <w:r w:rsidR="00FD1F9A" w:rsidRPr="00756B84">
        <w:rPr>
          <w:rFonts w:ascii="Verdana" w:eastAsia="Times New Roman" w:hAnsi="Verdana"/>
          <w:sz w:val="20"/>
          <w:szCs w:val="20"/>
        </w:rPr>
        <w:t xml:space="preserve">, guardando en tal sentido, similitud con los hechos </w:t>
      </w:r>
      <w:r w:rsidR="003B4DF8" w:rsidRPr="00756B84">
        <w:rPr>
          <w:rFonts w:ascii="Verdana" w:eastAsia="Times New Roman" w:hAnsi="Verdana"/>
          <w:sz w:val="20"/>
          <w:szCs w:val="20"/>
        </w:rPr>
        <w:t>materia de la presente sentencia</w:t>
      </w:r>
      <w:r w:rsidR="007F267E" w:rsidRPr="00756B84">
        <w:rPr>
          <w:rFonts w:ascii="Verdana" w:eastAsia="Times New Roman" w:hAnsi="Verdana"/>
          <w:sz w:val="20"/>
          <w:szCs w:val="20"/>
        </w:rPr>
        <w:t>.</w:t>
      </w:r>
    </w:p>
    <w:p w14:paraId="2DC5E58F" w14:textId="77777777" w:rsidR="00756B84" w:rsidRDefault="00756B84" w:rsidP="00756B84">
      <w:pPr>
        <w:pStyle w:val="Prrafodelista"/>
        <w:rPr>
          <w:rFonts w:ascii="Verdana" w:eastAsiaTheme="minorHAnsi" w:hAnsi="Verdana"/>
          <w:sz w:val="20"/>
          <w:szCs w:val="20"/>
          <w:lang w:val="es-419"/>
        </w:rPr>
      </w:pPr>
    </w:p>
    <w:p w14:paraId="0D9E440B" w14:textId="5D7E5A07" w:rsidR="007F267E" w:rsidRPr="00756B84" w:rsidRDefault="007F267E"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lang w:val="es-419"/>
        </w:rPr>
      </w:pPr>
      <w:r w:rsidRPr="00756B84">
        <w:rPr>
          <w:rFonts w:ascii="Verdana" w:eastAsia="Times New Roman" w:hAnsi="Verdana"/>
          <w:sz w:val="20"/>
          <w:szCs w:val="20"/>
        </w:rPr>
        <w:t xml:space="preserve">En el caso </w:t>
      </w:r>
      <w:r w:rsidRPr="00756B84">
        <w:rPr>
          <w:rFonts w:ascii="Verdana" w:eastAsia="Times New Roman" w:hAnsi="Verdana"/>
          <w:i/>
          <w:iCs/>
          <w:sz w:val="20"/>
          <w:szCs w:val="20"/>
        </w:rPr>
        <w:t>Ximenes Lopes Vs. Brasil</w:t>
      </w:r>
      <w:r w:rsidR="00EC2514" w:rsidRPr="00756B84">
        <w:rPr>
          <w:rFonts w:ascii="Verdana" w:eastAsia="Times New Roman" w:hAnsi="Verdana"/>
          <w:i/>
          <w:iCs/>
          <w:sz w:val="20"/>
          <w:szCs w:val="20"/>
        </w:rPr>
        <w:t>,</w:t>
      </w:r>
      <w:r w:rsidRPr="00756B84">
        <w:rPr>
          <w:rFonts w:ascii="Verdana" w:eastAsia="Times New Roman" w:hAnsi="Verdana"/>
          <w:sz w:val="20"/>
          <w:szCs w:val="20"/>
        </w:rPr>
        <w:t xml:space="preserve"> a diferencia del presente, la Corte </w:t>
      </w:r>
      <w:r w:rsidR="00A71AFB" w:rsidRPr="00756B84">
        <w:rPr>
          <w:rFonts w:ascii="Verdana" w:eastAsia="Times New Roman" w:hAnsi="Verdana"/>
          <w:sz w:val="20"/>
          <w:szCs w:val="20"/>
        </w:rPr>
        <w:t xml:space="preserve">no se limitó a hacer una aseveración general acerca del </w:t>
      </w:r>
      <w:r w:rsidR="00D72712" w:rsidRPr="00756B84">
        <w:rPr>
          <w:rFonts w:ascii="Verdana" w:eastAsia="Times New Roman" w:hAnsi="Verdana"/>
          <w:sz w:val="20"/>
          <w:szCs w:val="20"/>
        </w:rPr>
        <w:t xml:space="preserve">deber de supervisión </w:t>
      </w:r>
      <w:r w:rsidR="00E777E3" w:rsidRPr="00756B84">
        <w:rPr>
          <w:rFonts w:ascii="Verdana" w:eastAsia="Times New Roman" w:hAnsi="Verdana"/>
          <w:sz w:val="20"/>
          <w:szCs w:val="20"/>
        </w:rPr>
        <w:t xml:space="preserve">del Estado respecto </w:t>
      </w:r>
      <w:r w:rsidR="005854EE" w:rsidRPr="00756B84">
        <w:rPr>
          <w:rFonts w:ascii="Verdana" w:eastAsia="Times New Roman" w:hAnsi="Verdana"/>
          <w:sz w:val="20"/>
          <w:szCs w:val="20"/>
        </w:rPr>
        <w:t>de los prestadores privados de asistencia sanitaria</w:t>
      </w:r>
      <w:r w:rsidR="00E777E3" w:rsidRPr="00756B84">
        <w:rPr>
          <w:rFonts w:ascii="Verdana" w:eastAsia="Times New Roman" w:hAnsi="Verdana"/>
          <w:sz w:val="20"/>
          <w:szCs w:val="20"/>
        </w:rPr>
        <w:t xml:space="preserve">. </w:t>
      </w:r>
      <w:r w:rsidR="002B075E" w:rsidRPr="00756B84">
        <w:rPr>
          <w:rFonts w:ascii="Verdana" w:eastAsia="Times New Roman" w:hAnsi="Verdana"/>
          <w:sz w:val="20"/>
          <w:szCs w:val="20"/>
        </w:rPr>
        <w:t>En efecto, en dicha sentencia la Corte</w:t>
      </w:r>
      <w:r w:rsidR="00333DA0" w:rsidRPr="00756B84">
        <w:rPr>
          <w:rFonts w:ascii="Verdana" w:eastAsia="Times New Roman" w:hAnsi="Verdana"/>
          <w:sz w:val="20"/>
          <w:szCs w:val="20"/>
        </w:rPr>
        <w:t xml:space="preserve"> expli</w:t>
      </w:r>
      <w:r w:rsidR="00325449" w:rsidRPr="00756B84">
        <w:rPr>
          <w:rFonts w:ascii="Verdana" w:eastAsia="Times New Roman" w:hAnsi="Verdana"/>
          <w:sz w:val="20"/>
          <w:szCs w:val="20"/>
        </w:rPr>
        <w:t>có</w:t>
      </w:r>
      <w:r w:rsidR="00535F57" w:rsidRPr="00756B84">
        <w:rPr>
          <w:rStyle w:val="Refdenotaalpie"/>
          <w:rFonts w:ascii="Verdana" w:eastAsia="Times New Roman" w:hAnsi="Verdana"/>
          <w:sz w:val="20"/>
          <w:szCs w:val="20"/>
          <w:lang w:val="en-US"/>
        </w:rPr>
        <w:footnoteReference w:id="18"/>
      </w:r>
      <w:r w:rsidR="009E40EF" w:rsidRPr="00756B84">
        <w:rPr>
          <w:rFonts w:ascii="Verdana" w:eastAsia="Times New Roman" w:hAnsi="Verdana"/>
          <w:sz w:val="20"/>
          <w:szCs w:val="20"/>
        </w:rPr>
        <w:t xml:space="preserve"> </w:t>
      </w:r>
      <w:r w:rsidR="00333DA0" w:rsidRPr="00756B84">
        <w:rPr>
          <w:rFonts w:ascii="Verdana" w:eastAsia="Times New Roman" w:hAnsi="Verdana"/>
          <w:sz w:val="20"/>
          <w:szCs w:val="20"/>
        </w:rPr>
        <w:t xml:space="preserve">de qué modo Brasil falló </w:t>
      </w:r>
      <w:r w:rsidR="00D73472" w:rsidRPr="00756B84">
        <w:rPr>
          <w:rFonts w:ascii="Verdana" w:eastAsia="Times New Roman" w:hAnsi="Verdana"/>
          <w:sz w:val="20"/>
          <w:szCs w:val="20"/>
        </w:rPr>
        <w:t xml:space="preserve">en el cumplimiento de este deber </w:t>
      </w:r>
      <w:proofErr w:type="gramStart"/>
      <w:r w:rsidR="00D73472" w:rsidRPr="00756B84">
        <w:rPr>
          <w:rFonts w:ascii="Verdana" w:eastAsia="Times New Roman" w:hAnsi="Verdana"/>
          <w:sz w:val="20"/>
          <w:szCs w:val="20"/>
        </w:rPr>
        <w:t>en relación a</w:t>
      </w:r>
      <w:proofErr w:type="gramEnd"/>
      <w:r w:rsidR="00D73472" w:rsidRPr="00756B84">
        <w:rPr>
          <w:rFonts w:ascii="Verdana" w:eastAsia="Times New Roman" w:hAnsi="Verdana"/>
          <w:sz w:val="20"/>
          <w:szCs w:val="20"/>
        </w:rPr>
        <w:t xml:space="preserve"> los servicios </w:t>
      </w:r>
      <w:r w:rsidR="005D4160" w:rsidRPr="00756B84">
        <w:rPr>
          <w:rFonts w:ascii="Verdana" w:eastAsia="Times New Roman" w:hAnsi="Verdana"/>
          <w:sz w:val="20"/>
          <w:szCs w:val="20"/>
        </w:rPr>
        <w:t>que brindaba la Casa de Reposo Guararapes</w:t>
      </w:r>
      <w:r w:rsidR="0052727C" w:rsidRPr="00756B84">
        <w:rPr>
          <w:rFonts w:ascii="Verdana" w:eastAsia="Times New Roman" w:hAnsi="Verdana"/>
          <w:sz w:val="20"/>
          <w:szCs w:val="20"/>
        </w:rPr>
        <w:t>, hospital privado</w:t>
      </w:r>
      <w:r w:rsidR="00EA7351" w:rsidRPr="00756B84">
        <w:rPr>
          <w:rFonts w:ascii="Verdana" w:eastAsia="Times New Roman" w:hAnsi="Verdana"/>
          <w:sz w:val="20"/>
          <w:szCs w:val="20"/>
        </w:rPr>
        <w:t xml:space="preserve"> </w:t>
      </w:r>
      <w:r w:rsidR="003C305E" w:rsidRPr="00756B84">
        <w:rPr>
          <w:rFonts w:ascii="Verdana" w:eastAsia="Times New Roman" w:hAnsi="Verdana"/>
          <w:sz w:val="20"/>
          <w:szCs w:val="20"/>
        </w:rPr>
        <w:t xml:space="preserve">en que </w:t>
      </w:r>
      <w:r w:rsidR="008B6D7D" w:rsidRPr="00756B84">
        <w:rPr>
          <w:rFonts w:ascii="Verdana" w:eastAsia="Times New Roman" w:hAnsi="Verdana"/>
          <w:sz w:val="20"/>
          <w:szCs w:val="20"/>
        </w:rPr>
        <w:t>falleció Dami</w:t>
      </w:r>
      <w:r w:rsidR="00865351" w:rsidRPr="00756B84">
        <w:rPr>
          <w:rFonts w:ascii="Verdana" w:eastAsia="Times New Roman" w:hAnsi="Verdana"/>
          <w:sz w:val="20"/>
          <w:szCs w:val="20"/>
        </w:rPr>
        <w:t>ão</w:t>
      </w:r>
      <w:r w:rsidR="008B6D7D" w:rsidRPr="00756B84">
        <w:rPr>
          <w:rFonts w:ascii="Verdana" w:eastAsia="Times New Roman" w:hAnsi="Verdana"/>
          <w:sz w:val="20"/>
          <w:szCs w:val="20"/>
        </w:rPr>
        <w:t xml:space="preserve"> Ximenes Lopes.</w:t>
      </w:r>
      <w:r w:rsidR="003D7C9F" w:rsidRPr="00756B84">
        <w:rPr>
          <w:rFonts w:ascii="Verdana" w:eastAsia="Times New Roman" w:hAnsi="Verdana"/>
          <w:sz w:val="20"/>
          <w:szCs w:val="20"/>
        </w:rPr>
        <w:t xml:space="preserve"> Con tal objeto</w:t>
      </w:r>
      <w:r w:rsidR="00014CA6" w:rsidRPr="00756B84">
        <w:rPr>
          <w:rFonts w:ascii="Verdana" w:eastAsia="Times New Roman" w:hAnsi="Verdana"/>
          <w:sz w:val="20"/>
          <w:szCs w:val="20"/>
        </w:rPr>
        <w:t>,</w:t>
      </w:r>
      <w:r w:rsidR="003D7C9F" w:rsidRPr="00756B84">
        <w:rPr>
          <w:rFonts w:ascii="Verdana" w:eastAsia="Times New Roman" w:hAnsi="Verdana"/>
          <w:sz w:val="20"/>
          <w:szCs w:val="20"/>
        </w:rPr>
        <w:t xml:space="preserve"> </w:t>
      </w:r>
      <w:r w:rsidR="001F6A6B" w:rsidRPr="00756B84">
        <w:rPr>
          <w:rFonts w:ascii="Verdana" w:eastAsia="Times New Roman" w:hAnsi="Verdana"/>
          <w:sz w:val="20"/>
          <w:szCs w:val="20"/>
        </w:rPr>
        <w:t xml:space="preserve">junto con describir el contexto en que funcionaba tal institución, </w:t>
      </w:r>
      <w:r w:rsidR="00CE4B00" w:rsidRPr="00756B84">
        <w:rPr>
          <w:rFonts w:ascii="Verdana" w:eastAsia="Times New Roman" w:hAnsi="Verdana"/>
          <w:sz w:val="20"/>
          <w:szCs w:val="20"/>
        </w:rPr>
        <w:t>detalló las</w:t>
      </w:r>
      <w:r w:rsidR="00E106E7" w:rsidRPr="00756B84">
        <w:rPr>
          <w:rFonts w:ascii="Verdana" w:eastAsia="Times New Roman" w:hAnsi="Verdana"/>
          <w:sz w:val="20"/>
          <w:szCs w:val="20"/>
        </w:rPr>
        <w:t xml:space="preserve"> </w:t>
      </w:r>
      <w:r w:rsidR="00CE4B00" w:rsidRPr="00756B84">
        <w:rPr>
          <w:rFonts w:ascii="Verdana" w:eastAsia="Times New Roman" w:hAnsi="Verdana"/>
          <w:sz w:val="20"/>
          <w:szCs w:val="20"/>
        </w:rPr>
        <w:t>diversas inspecciones</w:t>
      </w:r>
      <w:r w:rsidR="00D56A0F" w:rsidRPr="00756B84">
        <w:rPr>
          <w:rFonts w:ascii="Verdana" w:eastAsia="Times New Roman" w:hAnsi="Verdana"/>
          <w:sz w:val="20"/>
          <w:szCs w:val="20"/>
        </w:rPr>
        <w:t xml:space="preserve"> y </w:t>
      </w:r>
      <w:r w:rsidR="00CE4B00" w:rsidRPr="00756B84">
        <w:rPr>
          <w:rFonts w:ascii="Verdana" w:eastAsia="Times New Roman" w:hAnsi="Verdana"/>
          <w:sz w:val="20"/>
          <w:szCs w:val="20"/>
        </w:rPr>
        <w:t>visitas de</w:t>
      </w:r>
      <w:r w:rsidR="00500B09" w:rsidRPr="00756B84">
        <w:rPr>
          <w:rFonts w:ascii="Verdana" w:eastAsia="Times New Roman" w:hAnsi="Verdana"/>
          <w:sz w:val="20"/>
          <w:szCs w:val="20"/>
        </w:rPr>
        <w:t xml:space="preserve"> que había sido objeto</w:t>
      </w:r>
      <w:r w:rsidR="00D56A0F" w:rsidRPr="00756B84">
        <w:rPr>
          <w:rFonts w:ascii="Verdana" w:eastAsia="Times New Roman" w:hAnsi="Verdana"/>
          <w:sz w:val="20"/>
          <w:szCs w:val="20"/>
        </w:rPr>
        <w:t xml:space="preserve"> tal recinto</w:t>
      </w:r>
      <w:r w:rsidR="00500B09" w:rsidRPr="00756B84">
        <w:rPr>
          <w:rFonts w:ascii="Verdana" w:eastAsia="Times New Roman" w:hAnsi="Verdana"/>
          <w:sz w:val="20"/>
          <w:szCs w:val="20"/>
        </w:rPr>
        <w:t xml:space="preserve"> tanto </w:t>
      </w:r>
      <w:r w:rsidR="00D37211" w:rsidRPr="00756B84">
        <w:rPr>
          <w:rFonts w:ascii="Verdana" w:eastAsia="Times New Roman" w:hAnsi="Verdana"/>
          <w:sz w:val="20"/>
          <w:szCs w:val="20"/>
        </w:rPr>
        <w:t xml:space="preserve">en 1996 </w:t>
      </w:r>
      <w:r w:rsidR="00314764" w:rsidRPr="00756B84">
        <w:rPr>
          <w:rFonts w:ascii="Verdana" w:eastAsia="Times New Roman" w:hAnsi="Verdana"/>
          <w:sz w:val="20"/>
          <w:szCs w:val="20"/>
        </w:rPr>
        <w:t>(</w:t>
      </w:r>
      <w:r w:rsidR="00D37211" w:rsidRPr="00756B84">
        <w:rPr>
          <w:rFonts w:ascii="Verdana" w:eastAsia="Times New Roman" w:hAnsi="Verdana"/>
          <w:sz w:val="20"/>
          <w:szCs w:val="20"/>
        </w:rPr>
        <w:t xml:space="preserve">tres años </w:t>
      </w:r>
      <w:r w:rsidR="00500B09" w:rsidRPr="00756B84">
        <w:rPr>
          <w:rFonts w:ascii="Verdana" w:eastAsia="Times New Roman" w:hAnsi="Verdana"/>
          <w:sz w:val="20"/>
          <w:szCs w:val="20"/>
        </w:rPr>
        <w:t xml:space="preserve">antes de la </w:t>
      </w:r>
      <w:r w:rsidR="00A816E3" w:rsidRPr="00756B84">
        <w:rPr>
          <w:rFonts w:ascii="Verdana" w:eastAsia="Times New Roman" w:hAnsi="Verdana"/>
          <w:sz w:val="20"/>
          <w:szCs w:val="20"/>
        </w:rPr>
        <w:t>muerte de la víctima</w:t>
      </w:r>
      <w:r w:rsidR="00314764" w:rsidRPr="00756B84">
        <w:rPr>
          <w:rFonts w:ascii="Verdana" w:eastAsia="Times New Roman" w:hAnsi="Verdana"/>
          <w:sz w:val="20"/>
          <w:szCs w:val="20"/>
        </w:rPr>
        <w:t>)</w:t>
      </w:r>
      <w:r w:rsidR="00D37211" w:rsidRPr="00756B84">
        <w:rPr>
          <w:rFonts w:ascii="Verdana" w:eastAsia="Times New Roman" w:hAnsi="Verdana"/>
          <w:sz w:val="20"/>
          <w:szCs w:val="20"/>
        </w:rPr>
        <w:t>,</w:t>
      </w:r>
      <w:r w:rsidR="00A816E3" w:rsidRPr="00756B84">
        <w:rPr>
          <w:rFonts w:ascii="Verdana" w:eastAsia="Times New Roman" w:hAnsi="Verdana"/>
          <w:sz w:val="20"/>
          <w:szCs w:val="20"/>
        </w:rPr>
        <w:t xml:space="preserve"> como en forma posterior a su deceso </w:t>
      </w:r>
      <w:r w:rsidR="00E106E7" w:rsidRPr="00756B84">
        <w:rPr>
          <w:rFonts w:ascii="Verdana" w:eastAsia="Times New Roman" w:hAnsi="Verdana"/>
          <w:sz w:val="20"/>
          <w:szCs w:val="20"/>
        </w:rPr>
        <w:t>(acaecido el 1 de octubre de 1999</w:t>
      </w:r>
      <w:r w:rsidR="00E64E9C" w:rsidRPr="00756B84">
        <w:rPr>
          <w:rFonts w:ascii="Verdana" w:eastAsia="Times New Roman" w:hAnsi="Verdana"/>
          <w:sz w:val="20"/>
          <w:szCs w:val="20"/>
        </w:rPr>
        <w:t>)</w:t>
      </w:r>
      <w:r w:rsidR="000D0584" w:rsidRPr="00756B84">
        <w:rPr>
          <w:rFonts w:ascii="Verdana" w:eastAsia="Times New Roman" w:hAnsi="Verdana"/>
          <w:sz w:val="20"/>
          <w:szCs w:val="20"/>
        </w:rPr>
        <w:t xml:space="preserve">. Señaló que todas esas </w:t>
      </w:r>
      <w:r w:rsidR="00857F54" w:rsidRPr="00756B84">
        <w:rPr>
          <w:rFonts w:ascii="Verdana" w:eastAsia="Times New Roman" w:hAnsi="Verdana"/>
          <w:sz w:val="20"/>
          <w:szCs w:val="20"/>
        </w:rPr>
        <w:t>intervenciones concluyeron con la cancelación de la acreditación</w:t>
      </w:r>
      <w:r w:rsidR="006B28A4" w:rsidRPr="00756B84">
        <w:rPr>
          <w:rFonts w:ascii="Verdana" w:eastAsia="Times New Roman" w:hAnsi="Verdana"/>
          <w:sz w:val="20"/>
          <w:szCs w:val="20"/>
        </w:rPr>
        <w:t xml:space="preserve"> de dicha casa de reposo para la prestación de servicios de </w:t>
      </w:r>
      <w:r w:rsidR="00C56BEC" w:rsidRPr="00756B84">
        <w:rPr>
          <w:rFonts w:ascii="Verdana" w:eastAsia="Times New Roman" w:hAnsi="Verdana"/>
          <w:sz w:val="20"/>
          <w:szCs w:val="20"/>
        </w:rPr>
        <w:t>salud psiquiátrica.</w:t>
      </w:r>
    </w:p>
    <w:p w14:paraId="24419F2E" w14:textId="77777777" w:rsidR="00756B84" w:rsidRDefault="00756B84" w:rsidP="00756B84">
      <w:pPr>
        <w:pStyle w:val="Prrafodelista"/>
        <w:rPr>
          <w:rFonts w:ascii="Verdana" w:eastAsiaTheme="minorHAnsi" w:hAnsi="Verdana"/>
          <w:sz w:val="20"/>
          <w:szCs w:val="20"/>
          <w:lang w:val="es-419"/>
        </w:rPr>
      </w:pPr>
    </w:p>
    <w:p w14:paraId="486E66A6" w14:textId="274F39C3" w:rsidR="00F64DF0" w:rsidRPr="00756B84" w:rsidRDefault="00D3071D"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rPr>
      </w:pPr>
      <w:r w:rsidRPr="00756B84">
        <w:rPr>
          <w:rFonts w:ascii="Verdana" w:eastAsia="Times New Roman" w:hAnsi="Verdana"/>
          <w:sz w:val="20"/>
          <w:szCs w:val="20"/>
        </w:rPr>
        <w:t>En el referido caso la Corte</w:t>
      </w:r>
      <w:r w:rsidR="00585188" w:rsidRPr="00756B84">
        <w:rPr>
          <w:rFonts w:ascii="Verdana" w:eastAsia="Times New Roman" w:hAnsi="Verdana"/>
          <w:sz w:val="20"/>
          <w:szCs w:val="20"/>
        </w:rPr>
        <w:t xml:space="preserve"> estableció que el </w:t>
      </w:r>
      <w:r w:rsidR="00AE0118" w:rsidRPr="00756B84">
        <w:rPr>
          <w:rFonts w:ascii="Verdana" w:eastAsia="Times New Roman" w:hAnsi="Verdana"/>
          <w:sz w:val="20"/>
          <w:szCs w:val="20"/>
        </w:rPr>
        <w:t xml:space="preserve">hospital en cuestión </w:t>
      </w:r>
      <w:r w:rsidR="0064502D" w:rsidRPr="00756B84">
        <w:rPr>
          <w:rFonts w:ascii="Verdana" w:eastAsia="Times New Roman" w:hAnsi="Verdana"/>
          <w:sz w:val="20"/>
          <w:szCs w:val="20"/>
        </w:rPr>
        <w:t xml:space="preserve">no cumplía </w:t>
      </w:r>
      <w:r w:rsidR="0064502D" w:rsidRPr="00756B84">
        <w:rPr>
          <w:rFonts w:ascii="Verdana" w:eastAsia="Times New Roman" w:hAnsi="Verdana"/>
          <w:sz w:val="20"/>
          <w:szCs w:val="20"/>
        </w:rPr>
        <w:lastRenderedPageBreak/>
        <w:t>con la normativa vigente</w:t>
      </w:r>
      <w:r w:rsidR="0029140E" w:rsidRPr="00756B84">
        <w:rPr>
          <w:rStyle w:val="Refdenotaalpie"/>
          <w:rFonts w:ascii="Verdana" w:eastAsia="Times New Roman" w:hAnsi="Verdana"/>
          <w:sz w:val="20"/>
          <w:szCs w:val="20"/>
          <w:lang w:val="en-US"/>
        </w:rPr>
        <w:footnoteReference w:id="19"/>
      </w:r>
      <w:r w:rsidR="0064502D" w:rsidRPr="00756B84">
        <w:rPr>
          <w:rFonts w:ascii="Verdana" w:eastAsia="Times New Roman" w:hAnsi="Verdana"/>
          <w:sz w:val="20"/>
          <w:szCs w:val="20"/>
        </w:rPr>
        <w:t xml:space="preserve"> y</w:t>
      </w:r>
      <w:r w:rsidR="00E36809" w:rsidRPr="00756B84">
        <w:rPr>
          <w:rFonts w:ascii="Verdana" w:eastAsia="Times New Roman" w:hAnsi="Verdana"/>
          <w:sz w:val="20"/>
          <w:szCs w:val="20"/>
        </w:rPr>
        <w:t xml:space="preserve"> no</w:t>
      </w:r>
      <w:r w:rsidR="0064502D" w:rsidRPr="00756B84">
        <w:rPr>
          <w:rFonts w:ascii="Verdana" w:eastAsia="Times New Roman" w:hAnsi="Verdana"/>
          <w:sz w:val="20"/>
          <w:szCs w:val="20"/>
        </w:rPr>
        <w:t xml:space="preserve"> contaba con condiciones de internación </w:t>
      </w:r>
      <w:r w:rsidR="00E36809" w:rsidRPr="00756B84">
        <w:rPr>
          <w:rFonts w:ascii="Verdana" w:eastAsia="Times New Roman" w:hAnsi="Verdana"/>
          <w:sz w:val="20"/>
          <w:szCs w:val="20"/>
        </w:rPr>
        <w:t xml:space="preserve">adecuadas para </w:t>
      </w:r>
      <w:r w:rsidR="00261544" w:rsidRPr="00756B84">
        <w:rPr>
          <w:rFonts w:ascii="Verdana" w:eastAsia="Times New Roman" w:hAnsi="Verdana"/>
          <w:sz w:val="20"/>
          <w:szCs w:val="20"/>
        </w:rPr>
        <w:t>los pacientes</w:t>
      </w:r>
      <w:r w:rsidR="0081798E" w:rsidRPr="00756B84">
        <w:rPr>
          <w:rFonts w:ascii="Verdana" w:eastAsia="Times New Roman" w:hAnsi="Verdana"/>
          <w:sz w:val="20"/>
          <w:szCs w:val="20"/>
        </w:rPr>
        <w:t>,</w:t>
      </w:r>
      <w:r w:rsidR="0064502D" w:rsidRPr="00756B84">
        <w:rPr>
          <w:rFonts w:ascii="Verdana" w:eastAsia="Times New Roman" w:hAnsi="Verdana"/>
          <w:sz w:val="20"/>
          <w:szCs w:val="20"/>
        </w:rPr>
        <w:t xml:space="preserve"> </w:t>
      </w:r>
      <w:r w:rsidR="00261544" w:rsidRPr="00756B84">
        <w:rPr>
          <w:rFonts w:ascii="Verdana" w:eastAsia="Times New Roman" w:hAnsi="Verdana"/>
          <w:sz w:val="20"/>
          <w:szCs w:val="20"/>
        </w:rPr>
        <w:t>incluso</w:t>
      </w:r>
      <w:r w:rsidR="0064502D" w:rsidRPr="00756B84">
        <w:rPr>
          <w:rFonts w:ascii="Verdana" w:eastAsia="Times New Roman" w:hAnsi="Verdana"/>
          <w:sz w:val="20"/>
          <w:szCs w:val="20"/>
        </w:rPr>
        <w:t xml:space="preserve"> antes de</w:t>
      </w:r>
      <w:r w:rsidR="005341C4" w:rsidRPr="00756B84">
        <w:rPr>
          <w:rFonts w:ascii="Verdana" w:eastAsia="Times New Roman" w:hAnsi="Verdana"/>
          <w:sz w:val="20"/>
          <w:szCs w:val="20"/>
        </w:rPr>
        <w:t>l fallecimiento de la víctima</w:t>
      </w:r>
      <w:r w:rsidR="002D21B9" w:rsidRPr="00756B84">
        <w:rPr>
          <w:rFonts w:ascii="Verdana" w:eastAsia="Times New Roman" w:hAnsi="Verdana"/>
          <w:sz w:val="20"/>
          <w:szCs w:val="20"/>
        </w:rPr>
        <w:t xml:space="preserve">. Dicha </w:t>
      </w:r>
      <w:r w:rsidR="00B33D1D" w:rsidRPr="00756B84">
        <w:rPr>
          <w:rFonts w:ascii="Verdana" w:eastAsia="Times New Roman" w:hAnsi="Verdana"/>
          <w:sz w:val="20"/>
          <w:szCs w:val="20"/>
        </w:rPr>
        <w:t>situación irregular era conocida por el Estado</w:t>
      </w:r>
      <w:r w:rsidR="00E0719A" w:rsidRPr="00756B84">
        <w:rPr>
          <w:rFonts w:ascii="Verdana" w:eastAsia="Times New Roman" w:hAnsi="Verdana"/>
          <w:sz w:val="20"/>
          <w:szCs w:val="20"/>
        </w:rPr>
        <w:t xml:space="preserve"> pese a lo cual </w:t>
      </w:r>
      <w:r w:rsidR="0034605C" w:rsidRPr="00756B84">
        <w:rPr>
          <w:rFonts w:ascii="Verdana" w:eastAsia="Times New Roman" w:hAnsi="Verdana"/>
          <w:sz w:val="20"/>
          <w:szCs w:val="20"/>
        </w:rPr>
        <w:t xml:space="preserve">éste </w:t>
      </w:r>
      <w:r w:rsidR="00E0719A" w:rsidRPr="00756B84">
        <w:rPr>
          <w:rFonts w:ascii="Verdana" w:eastAsia="Times New Roman" w:hAnsi="Verdana"/>
          <w:sz w:val="20"/>
          <w:szCs w:val="20"/>
        </w:rPr>
        <w:t xml:space="preserve">no adoptó medidas que permitieran corregir </w:t>
      </w:r>
      <w:r w:rsidR="00B917A8" w:rsidRPr="00756B84">
        <w:rPr>
          <w:rFonts w:ascii="Verdana" w:eastAsia="Times New Roman" w:hAnsi="Verdana"/>
          <w:sz w:val="20"/>
          <w:szCs w:val="20"/>
        </w:rPr>
        <w:t>estas</w:t>
      </w:r>
      <w:r w:rsidR="0029140E" w:rsidRPr="00756B84">
        <w:rPr>
          <w:rFonts w:ascii="Verdana" w:eastAsia="Times New Roman" w:hAnsi="Verdana"/>
          <w:sz w:val="20"/>
          <w:szCs w:val="20"/>
        </w:rPr>
        <w:t xml:space="preserve"> deficiencias</w:t>
      </w:r>
      <w:r w:rsidR="00B917A8" w:rsidRPr="00756B84">
        <w:rPr>
          <w:rFonts w:ascii="Verdana" w:eastAsia="Times New Roman" w:hAnsi="Verdana"/>
          <w:sz w:val="20"/>
          <w:szCs w:val="20"/>
        </w:rPr>
        <w:t xml:space="preserve">, </w:t>
      </w:r>
      <w:r w:rsidR="001B1D4F" w:rsidRPr="00756B84">
        <w:rPr>
          <w:rFonts w:ascii="Verdana" w:eastAsia="Times New Roman" w:hAnsi="Verdana"/>
          <w:sz w:val="20"/>
          <w:szCs w:val="20"/>
        </w:rPr>
        <w:t>por lo</w:t>
      </w:r>
      <w:r w:rsidR="002E3D23" w:rsidRPr="00756B84">
        <w:rPr>
          <w:rFonts w:ascii="Verdana" w:eastAsia="Times New Roman" w:hAnsi="Verdana"/>
          <w:sz w:val="20"/>
          <w:szCs w:val="20"/>
        </w:rPr>
        <w:t xml:space="preserve"> que incumplió su deber de </w:t>
      </w:r>
      <w:r w:rsidR="00D76CEC" w:rsidRPr="00756B84">
        <w:rPr>
          <w:rFonts w:ascii="Verdana" w:eastAsia="Times New Roman" w:hAnsi="Verdana"/>
          <w:sz w:val="20"/>
          <w:szCs w:val="20"/>
        </w:rPr>
        <w:t>“</w:t>
      </w:r>
      <w:r w:rsidR="00AD363F" w:rsidRPr="00756B84">
        <w:rPr>
          <w:rFonts w:ascii="Verdana" w:eastAsia="Times New Roman" w:hAnsi="Verdana"/>
          <w:sz w:val="20"/>
          <w:szCs w:val="20"/>
          <w:lang w:val="es-419"/>
        </w:rPr>
        <w:t xml:space="preserve">cuidar y de prevenir la vulneración de la vida personal, así como su deber de </w:t>
      </w:r>
      <w:r w:rsidR="00AD363F" w:rsidRPr="00756B84">
        <w:rPr>
          <w:rFonts w:ascii="Verdana" w:hAnsi="Verdana"/>
          <w:sz w:val="20"/>
          <w:szCs w:val="20"/>
          <w:lang w:val="es-419"/>
        </w:rPr>
        <w:t>regular</w:t>
      </w:r>
      <w:r w:rsidR="00AD363F" w:rsidRPr="00756B84">
        <w:rPr>
          <w:rFonts w:ascii="Verdana" w:eastAsia="Times New Roman" w:hAnsi="Verdana"/>
          <w:sz w:val="20"/>
          <w:szCs w:val="20"/>
          <w:lang w:val="es-419"/>
        </w:rPr>
        <w:t xml:space="preserve"> y fiscalizar la atención médica de salud, los que constituyen deberes especiales derivados de la obligación de garantizar los derechos consagrados en los artículos 4 y 5 de la Convención Americana”</w:t>
      </w:r>
      <w:r w:rsidR="00AE6BFE" w:rsidRPr="00756B84">
        <w:rPr>
          <w:rStyle w:val="Refdenotaalpie"/>
          <w:rFonts w:ascii="Verdana" w:eastAsia="Times New Roman" w:hAnsi="Verdana"/>
          <w:sz w:val="20"/>
          <w:szCs w:val="20"/>
          <w:lang w:val="es-419"/>
        </w:rPr>
        <w:footnoteReference w:id="20"/>
      </w:r>
      <w:r w:rsidR="009E40EF" w:rsidRPr="00756B84">
        <w:rPr>
          <w:rFonts w:ascii="Verdana" w:eastAsia="Times New Roman" w:hAnsi="Verdana"/>
          <w:sz w:val="20"/>
          <w:szCs w:val="20"/>
          <w:lang w:val="es-419"/>
        </w:rPr>
        <w:t>.</w:t>
      </w:r>
      <w:r w:rsidR="007D6EA6" w:rsidRPr="00756B84">
        <w:rPr>
          <w:rFonts w:ascii="Verdana" w:eastAsia="Times New Roman" w:hAnsi="Verdana"/>
          <w:sz w:val="20"/>
          <w:szCs w:val="20"/>
          <w:lang w:val="es-419"/>
        </w:rPr>
        <w:t xml:space="preserve"> </w:t>
      </w:r>
    </w:p>
    <w:p w14:paraId="30CD4B03" w14:textId="77777777" w:rsidR="00756B84" w:rsidRDefault="00756B84" w:rsidP="00756B84">
      <w:pPr>
        <w:pStyle w:val="Prrafodelista"/>
        <w:rPr>
          <w:rFonts w:ascii="Verdana" w:eastAsiaTheme="minorHAnsi" w:hAnsi="Verdana"/>
          <w:sz w:val="20"/>
          <w:szCs w:val="20"/>
        </w:rPr>
      </w:pPr>
    </w:p>
    <w:p w14:paraId="47B636E1" w14:textId="3C998ACF" w:rsidR="00756B84" w:rsidRPr="009C6672" w:rsidRDefault="00F64DF0" w:rsidP="00190C48">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rPr>
      </w:pPr>
      <w:r w:rsidRPr="009C6672">
        <w:rPr>
          <w:rFonts w:ascii="Verdana" w:eastAsia="Times New Roman" w:hAnsi="Verdana"/>
          <w:sz w:val="20"/>
          <w:szCs w:val="20"/>
          <w:lang w:val="es-419"/>
        </w:rPr>
        <w:t xml:space="preserve">En contraste </w:t>
      </w:r>
      <w:r w:rsidR="001471C7" w:rsidRPr="009C6672">
        <w:rPr>
          <w:rFonts w:ascii="Verdana" w:eastAsia="Times New Roman" w:hAnsi="Verdana"/>
          <w:sz w:val="20"/>
          <w:szCs w:val="20"/>
          <w:lang w:val="es-419"/>
        </w:rPr>
        <w:t>con el</w:t>
      </w:r>
      <w:r w:rsidR="00FA2836" w:rsidRPr="009C6672">
        <w:rPr>
          <w:rFonts w:ascii="Verdana" w:eastAsia="Times New Roman" w:hAnsi="Verdana"/>
          <w:sz w:val="20"/>
          <w:szCs w:val="20"/>
          <w:lang w:val="es-419"/>
        </w:rPr>
        <w:t xml:space="preserve"> caso </w:t>
      </w:r>
      <w:r w:rsidR="001471C7" w:rsidRPr="009C6672">
        <w:rPr>
          <w:rFonts w:ascii="Verdana" w:eastAsia="Times New Roman" w:hAnsi="Verdana"/>
          <w:i/>
          <w:iCs/>
          <w:sz w:val="20"/>
          <w:szCs w:val="20"/>
          <w:lang w:val="es-419"/>
        </w:rPr>
        <w:t>Ximenes Lopes</w:t>
      </w:r>
      <w:r w:rsidR="00EF0C87" w:rsidRPr="009C6672">
        <w:rPr>
          <w:rFonts w:ascii="Verdana" w:eastAsia="Times New Roman" w:hAnsi="Verdana"/>
          <w:sz w:val="20"/>
          <w:szCs w:val="20"/>
          <w:lang w:val="es-419"/>
        </w:rPr>
        <w:t xml:space="preserve"> </w:t>
      </w:r>
      <w:r w:rsidR="00EF0C87" w:rsidRPr="009C6672">
        <w:rPr>
          <w:rFonts w:ascii="Verdana" w:eastAsia="Times New Roman" w:hAnsi="Verdana"/>
          <w:i/>
          <w:iCs/>
          <w:sz w:val="20"/>
          <w:szCs w:val="20"/>
          <w:lang w:val="es-419"/>
        </w:rPr>
        <w:t>Vs. Brasil</w:t>
      </w:r>
      <w:r w:rsidR="004644FC" w:rsidRPr="009C6672">
        <w:rPr>
          <w:rFonts w:ascii="Verdana" w:eastAsia="Times New Roman" w:hAnsi="Verdana"/>
          <w:sz w:val="20"/>
          <w:szCs w:val="20"/>
          <w:lang w:val="es-419"/>
        </w:rPr>
        <w:t xml:space="preserve">, </w:t>
      </w:r>
      <w:r w:rsidR="001471C7" w:rsidRPr="009C6672">
        <w:rPr>
          <w:rFonts w:ascii="Verdana" w:eastAsia="Times New Roman" w:hAnsi="Verdana"/>
          <w:sz w:val="20"/>
          <w:szCs w:val="20"/>
          <w:lang w:val="es-419"/>
        </w:rPr>
        <w:t xml:space="preserve">en este caso no </w:t>
      </w:r>
      <w:r w:rsidR="00633063" w:rsidRPr="009C6672">
        <w:rPr>
          <w:rFonts w:ascii="Verdana" w:eastAsia="Times New Roman" w:hAnsi="Verdana"/>
          <w:sz w:val="20"/>
          <w:szCs w:val="20"/>
          <w:lang w:val="es-419"/>
        </w:rPr>
        <w:t xml:space="preserve">se formularon alegatos ni se allegaron pruebas </w:t>
      </w:r>
      <w:r w:rsidR="006973B5" w:rsidRPr="009C6672">
        <w:rPr>
          <w:rFonts w:ascii="Verdana" w:eastAsia="Times New Roman" w:hAnsi="Verdana"/>
          <w:sz w:val="20"/>
          <w:szCs w:val="20"/>
          <w:lang w:val="es-419"/>
        </w:rPr>
        <w:t>referentes a esta omisión estatal</w:t>
      </w:r>
      <w:r w:rsidR="00681637" w:rsidRPr="009C6672">
        <w:rPr>
          <w:rFonts w:ascii="Verdana" w:eastAsia="Times New Roman" w:hAnsi="Verdana"/>
          <w:sz w:val="20"/>
          <w:szCs w:val="20"/>
          <w:lang w:val="es-419"/>
        </w:rPr>
        <w:t xml:space="preserve">. </w:t>
      </w:r>
      <w:r w:rsidR="0079335D" w:rsidRPr="009C6672">
        <w:rPr>
          <w:rFonts w:ascii="Verdana" w:eastAsia="Times New Roman" w:hAnsi="Verdana"/>
          <w:sz w:val="20"/>
          <w:szCs w:val="20"/>
          <w:lang w:val="es-419"/>
        </w:rPr>
        <w:t>La propia</w:t>
      </w:r>
      <w:r w:rsidR="00CC5E24" w:rsidRPr="009C6672">
        <w:rPr>
          <w:rFonts w:ascii="Verdana" w:eastAsia="Times New Roman" w:hAnsi="Verdana"/>
          <w:sz w:val="20"/>
          <w:szCs w:val="20"/>
          <w:lang w:val="es-419"/>
        </w:rPr>
        <w:t xml:space="preserve"> sentencia no </w:t>
      </w:r>
      <w:r w:rsidR="00442616" w:rsidRPr="009C6672">
        <w:rPr>
          <w:rFonts w:ascii="Verdana" w:eastAsia="Times New Roman" w:hAnsi="Verdana"/>
          <w:sz w:val="20"/>
          <w:szCs w:val="20"/>
          <w:lang w:val="es-419"/>
        </w:rPr>
        <w:t xml:space="preserve">reprocha al Estado </w:t>
      </w:r>
      <w:r w:rsidR="00AE48FB" w:rsidRPr="009C6672">
        <w:rPr>
          <w:rFonts w:ascii="Verdana" w:eastAsia="Times New Roman" w:hAnsi="Verdana"/>
          <w:sz w:val="20"/>
          <w:szCs w:val="20"/>
          <w:lang w:val="es-419"/>
        </w:rPr>
        <w:t xml:space="preserve">el no haber </w:t>
      </w:r>
      <w:r w:rsidR="006B740D" w:rsidRPr="009C6672">
        <w:rPr>
          <w:rFonts w:ascii="Verdana" w:eastAsia="Times New Roman" w:hAnsi="Verdana"/>
          <w:sz w:val="20"/>
          <w:szCs w:val="20"/>
          <w:lang w:val="es-419"/>
        </w:rPr>
        <w:t>instaurado</w:t>
      </w:r>
      <w:r w:rsidR="00AE48FB" w:rsidRPr="009C6672">
        <w:rPr>
          <w:rFonts w:ascii="Verdana" w:eastAsia="Times New Roman" w:hAnsi="Verdana"/>
          <w:sz w:val="20"/>
          <w:szCs w:val="20"/>
          <w:lang w:val="es-419"/>
        </w:rPr>
        <w:t xml:space="preserve"> un </w:t>
      </w:r>
      <w:r w:rsidR="00442616" w:rsidRPr="009C6672">
        <w:rPr>
          <w:rFonts w:ascii="Verdana" w:eastAsia="Times New Roman" w:hAnsi="Verdana"/>
          <w:sz w:val="20"/>
          <w:szCs w:val="20"/>
          <w:lang w:val="es-419"/>
        </w:rPr>
        <w:t xml:space="preserve">marco </w:t>
      </w:r>
      <w:r w:rsidR="00221D17" w:rsidRPr="009C6672">
        <w:rPr>
          <w:rFonts w:ascii="Verdana" w:eastAsia="Times New Roman" w:hAnsi="Verdana"/>
          <w:sz w:val="20"/>
          <w:szCs w:val="20"/>
          <w:lang w:val="es-419"/>
        </w:rPr>
        <w:t>normativo adecuado</w:t>
      </w:r>
      <w:r w:rsidR="00442616" w:rsidRPr="009C6672">
        <w:rPr>
          <w:rFonts w:ascii="Verdana" w:eastAsia="Times New Roman" w:hAnsi="Verdana"/>
          <w:sz w:val="20"/>
          <w:szCs w:val="20"/>
          <w:lang w:val="es-419"/>
        </w:rPr>
        <w:t xml:space="preserve"> </w:t>
      </w:r>
      <w:r w:rsidR="00442616" w:rsidRPr="009C6672">
        <w:rPr>
          <w:rFonts w:ascii="Verdana" w:hAnsi="Verdana"/>
          <w:sz w:val="20"/>
          <w:szCs w:val="20"/>
          <w:lang w:val="es-419"/>
        </w:rPr>
        <w:t>que</w:t>
      </w:r>
      <w:r w:rsidR="00442616" w:rsidRPr="009C6672">
        <w:rPr>
          <w:rFonts w:ascii="Verdana" w:eastAsia="Times New Roman" w:hAnsi="Verdana"/>
          <w:sz w:val="20"/>
          <w:szCs w:val="20"/>
          <w:lang w:val="es-419"/>
        </w:rPr>
        <w:t xml:space="preserve"> regul</w:t>
      </w:r>
      <w:r w:rsidR="00D633B8" w:rsidRPr="009C6672">
        <w:rPr>
          <w:rFonts w:ascii="Verdana" w:eastAsia="Times New Roman" w:hAnsi="Verdana"/>
          <w:sz w:val="20"/>
          <w:szCs w:val="20"/>
          <w:lang w:val="es-419"/>
        </w:rPr>
        <w:t>ase</w:t>
      </w:r>
      <w:r w:rsidR="00442616" w:rsidRPr="009C6672">
        <w:rPr>
          <w:rFonts w:ascii="Verdana" w:eastAsia="Times New Roman" w:hAnsi="Verdana"/>
          <w:sz w:val="20"/>
          <w:szCs w:val="20"/>
          <w:lang w:val="es-419"/>
        </w:rPr>
        <w:t xml:space="preserve"> la prestación de servicios de salud</w:t>
      </w:r>
      <w:r w:rsidR="00561202" w:rsidRPr="009C6672">
        <w:rPr>
          <w:rFonts w:ascii="Verdana" w:eastAsia="Times New Roman" w:hAnsi="Verdana"/>
          <w:sz w:val="20"/>
          <w:szCs w:val="20"/>
          <w:lang w:val="es-419"/>
        </w:rPr>
        <w:t xml:space="preserve"> </w:t>
      </w:r>
      <w:r w:rsidR="001E36F1" w:rsidRPr="009C6672">
        <w:rPr>
          <w:rFonts w:ascii="Verdana" w:eastAsia="Times New Roman" w:hAnsi="Verdana"/>
          <w:sz w:val="20"/>
          <w:szCs w:val="20"/>
          <w:lang w:val="es-419"/>
        </w:rPr>
        <w:t xml:space="preserve">u </w:t>
      </w:r>
      <w:r w:rsidR="006975AC" w:rsidRPr="009C6672">
        <w:rPr>
          <w:rFonts w:ascii="Verdana" w:eastAsia="Times New Roman" w:hAnsi="Verdana"/>
          <w:sz w:val="20"/>
          <w:szCs w:val="20"/>
          <w:lang w:val="es-419"/>
        </w:rPr>
        <w:t xml:space="preserve">omitido establecer </w:t>
      </w:r>
      <w:r w:rsidR="00442616" w:rsidRPr="009C6672">
        <w:rPr>
          <w:rFonts w:ascii="Verdana" w:eastAsia="Times New Roman" w:hAnsi="Verdana"/>
          <w:sz w:val="20"/>
          <w:szCs w:val="20"/>
          <w:lang w:val="es-419"/>
        </w:rPr>
        <w:t>estándares de calidad para instituciones privadas</w:t>
      </w:r>
      <w:r w:rsidR="00751873" w:rsidRPr="009C6672">
        <w:rPr>
          <w:rFonts w:ascii="Verdana" w:eastAsia="Times New Roman" w:hAnsi="Verdana"/>
          <w:sz w:val="20"/>
          <w:szCs w:val="20"/>
          <w:lang w:val="es-419"/>
        </w:rPr>
        <w:t xml:space="preserve"> de salud o no haber supervisado el cumplimiento de tales normativas y estándares.</w:t>
      </w:r>
      <w:r w:rsidR="004C5ECB" w:rsidRPr="009C6672">
        <w:rPr>
          <w:rFonts w:ascii="Verdana" w:eastAsia="Times New Roman" w:hAnsi="Verdana"/>
          <w:sz w:val="20"/>
          <w:szCs w:val="20"/>
          <w:lang w:val="es-419"/>
        </w:rPr>
        <w:t xml:space="preserve"> </w:t>
      </w:r>
    </w:p>
    <w:p w14:paraId="68E8B1C8" w14:textId="77777777" w:rsidR="009C6672" w:rsidRDefault="009C6672" w:rsidP="009C6672">
      <w:pPr>
        <w:widowControl w:val="0"/>
        <w:tabs>
          <w:tab w:val="left" w:pos="567"/>
          <w:tab w:val="num" w:pos="12305"/>
        </w:tabs>
        <w:adjustRightInd w:val="0"/>
        <w:jc w:val="both"/>
        <w:rPr>
          <w:rFonts w:ascii="Verdana" w:eastAsiaTheme="minorHAnsi" w:hAnsi="Verdana"/>
          <w:sz w:val="20"/>
          <w:szCs w:val="20"/>
        </w:rPr>
      </w:pPr>
    </w:p>
    <w:p w14:paraId="56E6F209" w14:textId="5FCFEF4F" w:rsidR="00957968" w:rsidRDefault="00B20366" w:rsidP="00756B84">
      <w:pPr>
        <w:widowControl w:val="0"/>
        <w:numPr>
          <w:ilvl w:val="0"/>
          <w:numId w:val="27"/>
        </w:numPr>
        <w:tabs>
          <w:tab w:val="left" w:pos="567"/>
          <w:tab w:val="num" w:pos="1569"/>
          <w:tab w:val="num" w:pos="12305"/>
        </w:tabs>
        <w:adjustRightInd w:val="0"/>
        <w:ind w:left="0" w:firstLine="0"/>
        <w:jc w:val="both"/>
        <w:rPr>
          <w:rStyle w:val="apple-converted-space"/>
          <w:rFonts w:ascii="Verdana" w:hAnsi="Verdana"/>
          <w:sz w:val="20"/>
          <w:szCs w:val="20"/>
        </w:rPr>
      </w:pPr>
      <w:r w:rsidRPr="00756B84">
        <w:rPr>
          <w:rStyle w:val="s1"/>
          <w:rFonts w:ascii="Verdana" w:hAnsi="Verdana"/>
          <w:sz w:val="20"/>
          <w:szCs w:val="20"/>
        </w:rPr>
        <w:t xml:space="preserve">Como se </w:t>
      </w:r>
      <w:r w:rsidR="005C5B7E" w:rsidRPr="00756B84">
        <w:rPr>
          <w:rStyle w:val="s1"/>
          <w:rFonts w:ascii="Verdana" w:hAnsi="Verdana"/>
          <w:sz w:val="20"/>
          <w:szCs w:val="20"/>
        </w:rPr>
        <w:t xml:space="preserve">indicó </w:t>
      </w:r>
      <w:r w:rsidRPr="00756B84">
        <w:rPr>
          <w:rStyle w:val="s1"/>
          <w:rFonts w:ascii="Verdana" w:hAnsi="Verdana"/>
          <w:sz w:val="20"/>
          <w:szCs w:val="20"/>
        </w:rPr>
        <w:t>más arriba</w:t>
      </w:r>
      <w:r w:rsidR="00942731" w:rsidRPr="00756B84">
        <w:rPr>
          <w:rStyle w:val="s1"/>
          <w:rFonts w:ascii="Verdana" w:hAnsi="Verdana"/>
          <w:sz w:val="20"/>
          <w:szCs w:val="20"/>
        </w:rPr>
        <w:t>,</w:t>
      </w:r>
      <w:r w:rsidR="00957968" w:rsidRPr="00756B84">
        <w:rPr>
          <w:rStyle w:val="s1"/>
          <w:rFonts w:ascii="Verdana" w:hAnsi="Verdana"/>
          <w:sz w:val="20"/>
          <w:szCs w:val="20"/>
        </w:rPr>
        <w:t xml:space="preserve"> antes</w:t>
      </w:r>
      <w:r w:rsidR="00942731" w:rsidRPr="00756B84">
        <w:rPr>
          <w:rStyle w:val="s1"/>
          <w:rFonts w:ascii="Verdana" w:hAnsi="Verdana"/>
          <w:sz w:val="20"/>
          <w:szCs w:val="20"/>
        </w:rPr>
        <w:t xml:space="preserve"> de</w:t>
      </w:r>
      <w:r w:rsidR="00957968" w:rsidRPr="00756B84">
        <w:rPr>
          <w:rStyle w:val="s1"/>
          <w:rFonts w:ascii="Verdana" w:hAnsi="Verdana"/>
          <w:sz w:val="20"/>
          <w:szCs w:val="20"/>
        </w:rPr>
        <w:t xml:space="preserve"> que la </w:t>
      </w:r>
      <w:r w:rsidR="00942731" w:rsidRPr="00756B84">
        <w:rPr>
          <w:rStyle w:val="s1"/>
          <w:rFonts w:ascii="Verdana" w:hAnsi="Verdana"/>
          <w:sz w:val="20"/>
          <w:szCs w:val="20"/>
        </w:rPr>
        <w:t>Corte</w:t>
      </w:r>
      <w:r w:rsidR="00942731" w:rsidRPr="00756B84">
        <w:rPr>
          <w:rStyle w:val="apple-converted-space"/>
          <w:rFonts w:ascii="Verdana" w:hAnsi="Verdana"/>
          <w:sz w:val="20"/>
          <w:szCs w:val="20"/>
        </w:rPr>
        <w:t xml:space="preserve"> comenzara</w:t>
      </w:r>
      <w:r w:rsidR="00957968" w:rsidRPr="00756B84">
        <w:rPr>
          <w:rStyle w:val="s1"/>
          <w:rFonts w:ascii="Verdana" w:hAnsi="Verdana"/>
          <w:sz w:val="20"/>
          <w:szCs w:val="20"/>
        </w:rPr>
        <w:t xml:space="preserve"> a declarar la violación autónoma de los DESCA con base en el </w:t>
      </w:r>
      <w:r w:rsidR="00942731" w:rsidRPr="00756B84">
        <w:rPr>
          <w:rStyle w:val="s1"/>
          <w:rFonts w:ascii="Verdana" w:hAnsi="Verdana"/>
          <w:sz w:val="20"/>
          <w:szCs w:val="20"/>
        </w:rPr>
        <w:t>artículo</w:t>
      </w:r>
      <w:r w:rsidR="00942731" w:rsidRPr="00756B84">
        <w:rPr>
          <w:rStyle w:val="apple-converted-space"/>
          <w:rFonts w:ascii="Verdana" w:hAnsi="Verdana"/>
          <w:sz w:val="20"/>
          <w:szCs w:val="20"/>
        </w:rPr>
        <w:t xml:space="preserve"> 26</w:t>
      </w:r>
      <w:r w:rsidR="00957968" w:rsidRPr="00756B84">
        <w:rPr>
          <w:rStyle w:val="s1"/>
          <w:rFonts w:ascii="Verdana" w:hAnsi="Verdana"/>
          <w:sz w:val="20"/>
          <w:szCs w:val="20"/>
        </w:rPr>
        <w:t>, la evaluación de las posibles afectaciones del derecho a la salud se realizaba en conexidad con los derechos a la vida y/o a la integridad personal.</w:t>
      </w:r>
      <w:r w:rsidR="00957968" w:rsidRPr="00756B84">
        <w:rPr>
          <w:rStyle w:val="apple-converted-space"/>
          <w:rFonts w:ascii="Verdana" w:hAnsi="Verdana"/>
          <w:sz w:val="20"/>
          <w:szCs w:val="20"/>
        </w:rPr>
        <w:t> </w:t>
      </w:r>
    </w:p>
    <w:p w14:paraId="089445BB" w14:textId="77777777" w:rsidR="00756B84" w:rsidRDefault="00756B84" w:rsidP="00756B84">
      <w:pPr>
        <w:pStyle w:val="Prrafodelista"/>
        <w:rPr>
          <w:rFonts w:ascii="Verdana" w:hAnsi="Verdana"/>
          <w:sz w:val="20"/>
          <w:szCs w:val="20"/>
        </w:rPr>
      </w:pPr>
    </w:p>
    <w:p w14:paraId="74E039F4" w14:textId="1D64C37C" w:rsidR="00957968" w:rsidRDefault="00957968"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r w:rsidRPr="00756B84">
        <w:rPr>
          <w:rStyle w:val="s1"/>
          <w:rFonts w:ascii="Verdana" w:hAnsi="Verdana"/>
          <w:sz w:val="20"/>
          <w:szCs w:val="20"/>
        </w:rPr>
        <w:t xml:space="preserve">Así </w:t>
      </w:r>
      <w:r w:rsidR="00DA1A9E" w:rsidRPr="00756B84">
        <w:rPr>
          <w:rStyle w:val="s1"/>
          <w:rFonts w:ascii="Verdana" w:hAnsi="Verdana"/>
          <w:sz w:val="20"/>
          <w:szCs w:val="20"/>
        </w:rPr>
        <w:t xml:space="preserve">precisamente </w:t>
      </w:r>
      <w:r w:rsidRPr="00756B84">
        <w:rPr>
          <w:rStyle w:val="s1"/>
          <w:rFonts w:ascii="Verdana" w:hAnsi="Verdana"/>
          <w:sz w:val="20"/>
          <w:szCs w:val="20"/>
        </w:rPr>
        <w:t xml:space="preserve">ocurrió en el caso </w:t>
      </w:r>
      <w:r w:rsidRPr="00756B84">
        <w:rPr>
          <w:rStyle w:val="s1"/>
          <w:rFonts w:ascii="Verdana" w:hAnsi="Verdana"/>
          <w:i/>
          <w:iCs/>
          <w:sz w:val="20"/>
          <w:szCs w:val="20"/>
        </w:rPr>
        <w:t>Ximenes Lópe</w:t>
      </w:r>
      <w:r w:rsidR="00DA1A9E" w:rsidRPr="00756B84">
        <w:rPr>
          <w:rStyle w:val="s1"/>
          <w:rFonts w:ascii="Verdana" w:hAnsi="Verdana"/>
          <w:i/>
          <w:iCs/>
          <w:sz w:val="20"/>
          <w:szCs w:val="20"/>
        </w:rPr>
        <w:t>s</w:t>
      </w:r>
      <w:r w:rsidR="006C1B65" w:rsidRPr="00756B84">
        <w:rPr>
          <w:rStyle w:val="s1"/>
          <w:rFonts w:ascii="Verdana" w:hAnsi="Verdana"/>
          <w:i/>
          <w:iCs/>
          <w:sz w:val="20"/>
          <w:szCs w:val="20"/>
        </w:rPr>
        <w:t xml:space="preserve"> </w:t>
      </w:r>
      <w:proofErr w:type="gramStart"/>
      <w:r w:rsidR="006C1B65" w:rsidRPr="00756B84">
        <w:rPr>
          <w:rStyle w:val="s1"/>
          <w:rFonts w:ascii="Verdana" w:hAnsi="Verdana"/>
          <w:i/>
          <w:iCs/>
          <w:sz w:val="20"/>
          <w:szCs w:val="20"/>
        </w:rPr>
        <w:t>Vs.Brasil</w:t>
      </w:r>
      <w:proofErr w:type="gramEnd"/>
      <w:r w:rsidRPr="00756B84">
        <w:rPr>
          <w:rStyle w:val="s1"/>
          <w:rFonts w:ascii="Verdana" w:hAnsi="Verdana"/>
          <w:sz w:val="20"/>
          <w:szCs w:val="20"/>
        </w:rPr>
        <w:t>, en donde la falta de supervisi</w:t>
      </w:r>
      <w:r w:rsidR="007335D2">
        <w:rPr>
          <w:rStyle w:val="s1"/>
          <w:rFonts w:ascii="Verdana" w:hAnsi="Verdana"/>
          <w:sz w:val="20"/>
          <w:szCs w:val="20"/>
        </w:rPr>
        <w:t>ó</w:t>
      </w:r>
      <w:r w:rsidRPr="00756B84">
        <w:rPr>
          <w:rStyle w:val="s1"/>
          <w:rFonts w:ascii="Verdana" w:hAnsi="Verdana"/>
          <w:sz w:val="20"/>
          <w:szCs w:val="20"/>
        </w:rPr>
        <w:t xml:space="preserve">n y fiscalización por parte del Estado </w:t>
      </w:r>
      <w:r w:rsidR="009C5D21" w:rsidRPr="00756B84">
        <w:rPr>
          <w:rStyle w:val="s1"/>
          <w:rFonts w:ascii="Verdana" w:hAnsi="Verdana"/>
          <w:sz w:val="20"/>
          <w:szCs w:val="20"/>
        </w:rPr>
        <w:t xml:space="preserve">respecto </w:t>
      </w:r>
      <w:r w:rsidRPr="00756B84">
        <w:rPr>
          <w:rStyle w:val="s1"/>
          <w:rFonts w:ascii="Verdana" w:hAnsi="Verdana"/>
          <w:sz w:val="20"/>
          <w:szCs w:val="20"/>
        </w:rPr>
        <w:t>de la prestación de servicios asistenciales en un hospital privado determinó que se declarara</w:t>
      </w:r>
      <w:r w:rsidR="00940B86" w:rsidRPr="00756B84">
        <w:rPr>
          <w:rStyle w:val="s1"/>
          <w:rFonts w:ascii="Verdana" w:hAnsi="Verdana"/>
          <w:sz w:val="20"/>
          <w:szCs w:val="20"/>
        </w:rPr>
        <w:t xml:space="preserve"> la violación del</w:t>
      </w:r>
      <w:r w:rsidR="009C5D21" w:rsidRPr="00756B84">
        <w:rPr>
          <w:rStyle w:val="s1"/>
          <w:rFonts w:ascii="Verdana" w:hAnsi="Verdana"/>
          <w:sz w:val="20"/>
          <w:szCs w:val="20"/>
        </w:rPr>
        <w:t xml:space="preserve"> derecho a la vida y </w:t>
      </w:r>
      <w:r w:rsidR="00940B86" w:rsidRPr="00756B84">
        <w:rPr>
          <w:rStyle w:val="s1"/>
          <w:rFonts w:ascii="Verdana" w:hAnsi="Verdana"/>
          <w:sz w:val="20"/>
          <w:szCs w:val="20"/>
        </w:rPr>
        <w:t xml:space="preserve">el derecho </w:t>
      </w:r>
      <w:r w:rsidR="009C5D21" w:rsidRPr="00756B84">
        <w:rPr>
          <w:rStyle w:val="s1"/>
          <w:rFonts w:ascii="Verdana" w:hAnsi="Verdana"/>
          <w:sz w:val="20"/>
          <w:szCs w:val="20"/>
        </w:rPr>
        <w:t>a la integridad personal de la víctima</w:t>
      </w:r>
      <w:r w:rsidR="00940B86" w:rsidRPr="00756B84">
        <w:rPr>
          <w:rStyle w:val="s1"/>
          <w:rFonts w:ascii="Verdana" w:hAnsi="Verdana"/>
          <w:sz w:val="20"/>
          <w:szCs w:val="20"/>
        </w:rPr>
        <w:t>.</w:t>
      </w:r>
    </w:p>
    <w:p w14:paraId="5EB47CB3" w14:textId="77777777" w:rsidR="00756B84" w:rsidRDefault="00756B84" w:rsidP="00756B84">
      <w:pPr>
        <w:pStyle w:val="Prrafodelista"/>
        <w:rPr>
          <w:rFonts w:ascii="Verdana" w:hAnsi="Verdana"/>
          <w:sz w:val="20"/>
          <w:szCs w:val="20"/>
        </w:rPr>
      </w:pPr>
    </w:p>
    <w:p w14:paraId="2BB93434" w14:textId="77777777" w:rsidR="00F92106" w:rsidRDefault="008D2FD9"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r w:rsidRPr="00756B84">
        <w:rPr>
          <w:rStyle w:val="s1"/>
          <w:rFonts w:ascii="Verdana" w:hAnsi="Verdana"/>
          <w:sz w:val="20"/>
          <w:szCs w:val="20"/>
        </w:rPr>
        <w:t xml:space="preserve">Por el contrario, </w:t>
      </w:r>
      <w:r w:rsidRPr="00F92106">
        <w:rPr>
          <w:rStyle w:val="s1"/>
          <w:rFonts w:ascii="Verdana" w:hAnsi="Verdana"/>
          <w:sz w:val="20"/>
          <w:szCs w:val="20"/>
        </w:rPr>
        <w:t>la</w:t>
      </w:r>
      <w:r w:rsidR="00372094" w:rsidRPr="00F92106">
        <w:rPr>
          <w:rStyle w:val="s1"/>
          <w:rFonts w:ascii="Verdana" w:hAnsi="Verdana"/>
          <w:sz w:val="20"/>
          <w:szCs w:val="20"/>
        </w:rPr>
        <w:t xml:space="preserve"> </w:t>
      </w:r>
      <w:r w:rsidR="00472DD3" w:rsidRPr="00F92106">
        <w:rPr>
          <w:rStyle w:val="s1"/>
          <w:rFonts w:ascii="Verdana" w:hAnsi="Verdana"/>
          <w:sz w:val="20"/>
          <w:szCs w:val="20"/>
        </w:rPr>
        <w:t xml:space="preserve">presente </w:t>
      </w:r>
      <w:r w:rsidR="00372094" w:rsidRPr="00F92106">
        <w:rPr>
          <w:rStyle w:val="s1"/>
          <w:rFonts w:ascii="Verdana" w:hAnsi="Verdana"/>
          <w:sz w:val="20"/>
          <w:szCs w:val="20"/>
        </w:rPr>
        <w:t xml:space="preserve">sentencia no </w:t>
      </w:r>
      <w:r w:rsidR="006C67CA" w:rsidRPr="00F92106">
        <w:rPr>
          <w:rStyle w:val="s1"/>
          <w:rFonts w:ascii="Verdana" w:hAnsi="Verdana"/>
          <w:sz w:val="20"/>
          <w:szCs w:val="20"/>
        </w:rPr>
        <w:t>explica en</w:t>
      </w:r>
      <w:r w:rsidR="0035162A" w:rsidRPr="00F92106">
        <w:rPr>
          <w:rStyle w:val="s1"/>
          <w:rFonts w:ascii="Verdana" w:hAnsi="Verdana"/>
          <w:sz w:val="20"/>
          <w:szCs w:val="20"/>
        </w:rPr>
        <w:t xml:space="preserve"> modo alguno</w:t>
      </w:r>
      <w:r w:rsidR="00277126" w:rsidRPr="00F92106">
        <w:rPr>
          <w:rStyle w:val="s1"/>
          <w:rFonts w:ascii="Verdana" w:hAnsi="Verdana"/>
          <w:sz w:val="20"/>
          <w:szCs w:val="20"/>
        </w:rPr>
        <w:t xml:space="preserve"> de qué m</w:t>
      </w:r>
      <w:r w:rsidR="00877E96" w:rsidRPr="00F92106">
        <w:rPr>
          <w:rStyle w:val="s1"/>
          <w:rFonts w:ascii="Verdana" w:hAnsi="Verdana"/>
          <w:sz w:val="20"/>
          <w:szCs w:val="20"/>
        </w:rPr>
        <w:t>anera</w:t>
      </w:r>
      <w:r w:rsidR="00957968" w:rsidRPr="00F92106">
        <w:rPr>
          <w:rStyle w:val="s1"/>
          <w:rFonts w:ascii="Verdana" w:hAnsi="Verdana"/>
          <w:sz w:val="20"/>
          <w:szCs w:val="20"/>
        </w:rPr>
        <w:t xml:space="preserve"> el Estado habría </w:t>
      </w:r>
      <w:r w:rsidR="00973CDA" w:rsidRPr="00F92106">
        <w:rPr>
          <w:rStyle w:val="s1"/>
          <w:rFonts w:ascii="Verdana" w:hAnsi="Verdana"/>
          <w:sz w:val="20"/>
          <w:szCs w:val="20"/>
        </w:rPr>
        <w:t xml:space="preserve">incumplido su obligación de regular, </w:t>
      </w:r>
      <w:r w:rsidR="00957968" w:rsidRPr="00F92106">
        <w:rPr>
          <w:rStyle w:val="s1"/>
          <w:rFonts w:ascii="Verdana" w:hAnsi="Verdana"/>
          <w:sz w:val="20"/>
          <w:szCs w:val="20"/>
        </w:rPr>
        <w:t>supervis</w:t>
      </w:r>
      <w:r w:rsidR="00973CDA" w:rsidRPr="00F92106">
        <w:rPr>
          <w:rStyle w:val="s1"/>
          <w:rFonts w:ascii="Verdana" w:hAnsi="Verdana"/>
          <w:sz w:val="20"/>
          <w:szCs w:val="20"/>
        </w:rPr>
        <w:t>ar</w:t>
      </w:r>
      <w:r w:rsidR="00957968" w:rsidRPr="00F92106">
        <w:rPr>
          <w:rStyle w:val="s1"/>
          <w:rFonts w:ascii="Verdana" w:hAnsi="Verdana"/>
          <w:sz w:val="20"/>
          <w:szCs w:val="20"/>
        </w:rPr>
        <w:t xml:space="preserve"> y fiscaliza</w:t>
      </w:r>
      <w:r w:rsidR="00973CDA" w:rsidRPr="00F92106">
        <w:rPr>
          <w:rStyle w:val="s1"/>
          <w:rFonts w:ascii="Verdana" w:hAnsi="Verdana"/>
          <w:sz w:val="20"/>
          <w:szCs w:val="20"/>
        </w:rPr>
        <w:t xml:space="preserve">r las prestaciones brindadas en la </w:t>
      </w:r>
      <w:r w:rsidR="00957968" w:rsidRPr="00F92106">
        <w:rPr>
          <w:rStyle w:val="s1"/>
          <w:rFonts w:ascii="Verdana" w:hAnsi="Verdana"/>
          <w:sz w:val="20"/>
          <w:szCs w:val="20"/>
        </w:rPr>
        <w:t xml:space="preserve">clínica privada en que fue atendida la </w:t>
      </w:r>
      <w:r w:rsidR="009463E4" w:rsidRPr="00F92106">
        <w:rPr>
          <w:rStyle w:val="s1"/>
          <w:rFonts w:ascii="Verdana" w:hAnsi="Verdana"/>
          <w:sz w:val="20"/>
          <w:szCs w:val="20"/>
        </w:rPr>
        <w:t>víctima</w:t>
      </w:r>
      <w:r w:rsidR="00F92106">
        <w:rPr>
          <w:rStyle w:val="s1"/>
          <w:rFonts w:ascii="Verdana" w:hAnsi="Verdana"/>
          <w:sz w:val="20"/>
          <w:szCs w:val="20"/>
        </w:rPr>
        <w:t>.</w:t>
      </w:r>
    </w:p>
    <w:p w14:paraId="32029AF1" w14:textId="77777777" w:rsidR="00F82B72" w:rsidRDefault="00F82B72" w:rsidP="00F82B72">
      <w:pPr>
        <w:pStyle w:val="Prrafodelista"/>
        <w:rPr>
          <w:rStyle w:val="s1"/>
          <w:rFonts w:ascii="Verdana" w:hAnsi="Verdana"/>
          <w:sz w:val="20"/>
          <w:szCs w:val="20"/>
        </w:rPr>
      </w:pPr>
    </w:p>
    <w:p w14:paraId="058F7189" w14:textId="18DCBE03" w:rsidR="0010530A" w:rsidRPr="00F82B72" w:rsidRDefault="00F82B72" w:rsidP="00F82B72">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proofErr w:type="gramStart"/>
      <w:r>
        <w:rPr>
          <w:rStyle w:val="s1"/>
          <w:rFonts w:ascii="Verdana" w:hAnsi="Verdana"/>
          <w:sz w:val="20"/>
          <w:szCs w:val="20"/>
        </w:rPr>
        <w:t xml:space="preserve">En </w:t>
      </w:r>
      <w:r w:rsidR="00877E96" w:rsidRPr="00F82B72">
        <w:rPr>
          <w:rStyle w:val="s1"/>
          <w:rFonts w:ascii="Verdana" w:hAnsi="Verdana"/>
          <w:sz w:val="20"/>
          <w:szCs w:val="20"/>
        </w:rPr>
        <w:t>razón de</w:t>
      </w:r>
      <w:proofErr w:type="gramEnd"/>
      <w:r w:rsidR="00877E96" w:rsidRPr="00F82B72">
        <w:rPr>
          <w:rStyle w:val="s1"/>
          <w:rFonts w:ascii="Verdana" w:hAnsi="Verdana"/>
          <w:sz w:val="20"/>
          <w:szCs w:val="20"/>
        </w:rPr>
        <w:t xml:space="preserve"> lo anterior</w:t>
      </w:r>
      <w:r w:rsidR="00957968" w:rsidRPr="00F82B72">
        <w:rPr>
          <w:rStyle w:val="s1"/>
          <w:rFonts w:ascii="Verdana" w:hAnsi="Verdana"/>
          <w:sz w:val="20"/>
          <w:szCs w:val="20"/>
        </w:rPr>
        <w:t xml:space="preserve"> no resulta </w:t>
      </w:r>
      <w:r w:rsidR="009463E4" w:rsidRPr="00F82B72">
        <w:rPr>
          <w:rStyle w:val="s1"/>
          <w:rFonts w:ascii="Verdana" w:hAnsi="Verdana"/>
          <w:sz w:val="20"/>
          <w:szCs w:val="20"/>
        </w:rPr>
        <w:t>posible</w:t>
      </w:r>
      <w:r w:rsidR="009463E4" w:rsidRPr="00F82B72">
        <w:rPr>
          <w:rStyle w:val="apple-converted-space"/>
          <w:rFonts w:ascii="Verdana" w:hAnsi="Verdana"/>
          <w:sz w:val="20"/>
          <w:szCs w:val="20"/>
        </w:rPr>
        <w:t xml:space="preserve"> </w:t>
      </w:r>
      <w:r w:rsidR="00277126" w:rsidRPr="00F82B72">
        <w:rPr>
          <w:rStyle w:val="apple-converted-space"/>
          <w:rFonts w:ascii="Verdana" w:hAnsi="Verdana"/>
          <w:sz w:val="20"/>
          <w:szCs w:val="20"/>
        </w:rPr>
        <w:t>atribuir responsabilidad</w:t>
      </w:r>
      <w:r w:rsidR="00957968" w:rsidRPr="00F82B72">
        <w:rPr>
          <w:rStyle w:val="s1"/>
          <w:rFonts w:ascii="Verdana" w:hAnsi="Verdana"/>
          <w:sz w:val="20"/>
          <w:szCs w:val="20"/>
        </w:rPr>
        <w:t xml:space="preserve"> al Estado por la vulneración de la integridad personal de la </w:t>
      </w:r>
      <w:r w:rsidR="00A25E4C" w:rsidRPr="00F82B72">
        <w:rPr>
          <w:rStyle w:val="s1"/>
          <w:rFonts w:ascii="Verdana" w:hAnsi="Verdana"/>
          <w:sz w:val="20"/>
          <w:szCs w:val="20"/>
        </w:rPr>
        <w:t xml:space="preserve">señora </w:t>
      </w:r>
      <w:r w:rsidR="00957968" w:rsidRPr="00F82B72">
        <w:rPr>
          <w:rStyle w:val="s1"/>
          <w:rFonts w:ascii="Verdana" w:hAnsi="Verdana"/>
          <w:sz w:val="20"/>
          <w:szCs w:val="20"/>
        </w:rPr>
        <w:t xml:space="preserve">Rodríguez Pacheco por ese motivo. Sin embargo, </w:t>
      </w:r>
      <w:r w:rsidR="00957968" w:rsidRPr="00F82B72">
        <w:rPr>
          <w:rFonts w:ascii="Verdana" w:eastAsia="Times New Roman" w:hAnsi="Verdana"/>
          <w:sz w:val="20"/>
          <w:szCs w:val="20"/>
          <w:lang w:val="es-419"/>
        </w:rPr>
        <w:t>dicho</w:t>
      </w:r>
      <w:r w:rsidR="00957968" w:rsidRPr="00F82B72">
        <w:rPr>
          <w:rStyle w:val="s1"/>
          <w:rFonts w:ascii="Verdana" w:hAnsi="Verdana"/>
          <w:sz w:val="20"/>
          <w:szCs w:val="20"/>
        </w:rPr>
        <w:t xml:space="preserve"> derecho sí resultó afectado</w:t>
      </w:r>
      <w:r w:rsidR="00F753F1" w:rsidRPr="00F82B72">
        <w:rPr>
          <w:rStyle w:val="s1"/>
          <w:rFonts w:ascii="Verdana" w:hAnsi="Verdana"/>
          <w:sz w:val="20"/>
          <w:szCs w:val="20"/>
        </w:rPr>
        <w:t xml:space="preserve"> como consecuencia de la angustia y sufrimiento que </w:t>
      </w:r>
      <w:r w:rsidR="00257C0D" w:rsidRPr="00F82B72">
        <w:rPr>
          <w:rStyle w:val="s1"/>
          <w:rFonts w:ascii="Verdana" w:hAnsi="Verdana"/>
          <w:sz w:val="20"/>
          <w:szCs w:val="20"/>
        </w:rPr>
        <w:t xml:space="preserve">causaron </w:t>
      </w:r>
      <w:r w:rsidR="00F753F1" w:rsidRPr="00F82B72">
        <w:rPr>
          <w:rStyle w:val="s1"/>
          <w:rFonts w:ascii="Verdana" w:hAnsi="Verdana"/>
          <w:sz w:val="20"/>
          <w:szCs w:val="20"/>
        </w:rPr>
        <w:t>a la víctima</w:t>
      </w:r>
      <w:r w:rsidR="00957968" w:rsidRPr="00F82B72">
        <w:rPr>
          <w:rStyle w:val="s1"/>
          <w:rFonts w:ascii="Verdana" w:hAnsi="Verdana"/>
          <w:sz w:val="20"/>
          <w:szCs w:val="20"/>
        </w:rPr>
        <w:t xml:space="preserve"> </w:t>
      </w:r>
      <w:r w:rsidR="0040078E" w:rsidRPr="00F82B72">
        <w:rPr>
          <w:rStyle w:val="s1"/>
          <w:rFonts w:ascii="Verdana" w:hAnsi="Verdana"/>
          <w:sz w:val="20"/>
          <w:szCs w:val="20"/>
        </w:rPr>
        <w:t xml:space="preserve">las </w:t>
      </w:r>
      <w:r w:rsidR="00257C0D" w:rsidRPr="00F82B72">
        <w:rPr>
          <w:rStyle w:val="s1"/>
          <w:rFonts w:ascii="Verdana" w:hAnsi="Verdana"/>
          <w:sz w:val="20"/>
          <w:szCs w:val="20"/>
        </w:rPr>
        <w:t xml:space="preserve">numerosas </w:t>
      </w:r>
      <w:r w:rsidR="0040078E" w:rsidRPr="00F82B72">
        <w:rPr>
          <w:rStyle w:val="s1"/>
          <w:rFonts w:ascii="Verdana" w:hAnsi="Verdana"/>
          <w:sz w:val="20"/>
          <w:szCs w:val="20"/>
        </w:rPr>
        <w:t>deficiencias que tuvo el proceso penal incoado para investigar</w:t>
      </w:r>
      <w:r w:rsidR="00957968" w:rsidRPr="00F82B72">
        <w:rPr>
          <w:rStyle w:val="s1"/>
          <w:rFonts w:ascii="Verdana" w:hAnsi="Verdana"/>
          <w:sz w:val="20"/>
          <w:szCs w:val="20"/>
        </w:rPr>
        <w:t xml:space="preserve"> los alegados hechos de mala praxis médica y de violencia obstétrica que </w:t>
      </w:r>
      <w:r w:rsidR="004517EC" w:rsidRPr="00F82B72">
        <w:rPr>
          <w:rStyle w:val="s1"/>
          <w:rFonts w:ascii="Verdana" w:hAnsi="Verdana"/>
          <w:sz w:val="20"/>
          <w:szCs w:val="20"/>
        </w:rPr>
        <w:t xml:space="preserve">ella </w:t>
      </w:r>
      <w:r w:rsidR="0010530A" w:rsidRPr="00F82B72">
        <w:rPr>
          <w:rStyle w:val="s1"/>
          <w:rFonts w:ascii="Verdana" w:hAnsi="Verdana"/>
          <w:sz w:val="20"/>
          <w:szCs w:val="20"/>
        </w:rPr>
        <w:t xml:space="preserve">oportunamente denunció. </w:t>
      </w:r>
    </w:p>
    <w:p w14:paraId="2E5CA262" w14:textId="77777777" w:rsidR="00756B84" w:rsidRDefault="00756B84" w:rsidP="00756B84">
      <w:pPr>
        <w:pStyle w:val="Prrafodelista"/>
        <w:rPr>
          <w:rFonts w:ascii="Verdana" w:hAnsi="Verdana"/>
          <w:sz w:val="20"/>
          <w:szCs w:val="20"/>
        </w:rPr>
      </w:pPr>
    </w:p>
    <w:p w14:paraId="0F96D9E1" w14:textId="3DAC3F25" w:rsidR="00BA3AA5" w:rsidRDefault="00957968" w:rsidP="00756B84">
      <w:pPr>
        <w:widowControl w:val="0"/>
        <w:numPr>
          <w:ilvl w:val="0"/>
          <w:numId w:val="27"/>
        </w:numPr>
        <w:tabs>
          <w:tab w:val="left" w:pos="567"/>
          <w:tab w:val="num" w:pos="1569"/>
          <w:tab w:val="num" w:pos="12305"/>
        </w:tabs>
        <w:adjustRightInd w:val="0"/>
        <w:ind w:left="0" w:firstLine="0"/>
        <w:jc w:val="both"/>
        <w:rPr>
          <w:rStyle w:val="apple-converted-space"/>
          <w:rFonts w:ascii="Verdana" w:hAnsi="Verdana"/>
          <w:sz w:val="20"/>
          <w:szCs w:val="20"/>
        </w:rPr>
      </w:pPr>
      <w:r w:rsidRPr="00756B84">
        <w:rPr>
          <w:rStyle w:val="s2"/>
          <w:rFonts w:ascii="Verdana" w:hAnsi="Verdana"/>
          <w:b w:val="0"/>
          <w:bCs w:val="0"/>
          <w:sz w:val="20"/>
          <w:szCs w:val="20"/>
        </w:rPr>
        <w:t>En efecto,</w:t>
      </w:r>
      <w:r w:rsidRPr="00756B84">
        <w:rPr>
          <w:rStyle w:val="s2"/>
          <w:rFonts w:ascii="Verdana" w:hAnsi="Verdana"/>
          <w:sz w:val="20"/>
          <w:szCs w:val="20"/>
        </w:rPr>
        <w:t xml:space="preserve"> </w:t>
      </w:r>
      <w:r w:rsidRPr="00756B84">
        <w:rPr>
          <w:rStyle w:val="s1"/>
          <w:rFonts w:ascii="Verdana" w:hAnsi="Verdana"/>
          <w:sz w:val="20"/>
          <w:szCs w:val="20"/>
        </w:rPr>
        <w:t xml:space="preserve">como declaró la </w:t>
      </w:r>
      <w:r w:rsidR="00B16E51" w:rsidRPr="00756B84">
        <w:rPr>
          <w:rStyle w:val="s1"/>
          <w:rFonts w:ascii="Verdana" w:hAnsi="Verdana"/>
          <w:sz w:val="20"/>
          <w:szCs w:val="20"/>
        </w:rPr>
        <w:t xml:space="preserve">señora </w:t>
      </w:r>
      <w:r w:rsidRPr="00756B84">
        <w:rPr>
          <w:rStyle w:val="s1"/>
          <w:rFonts w:ascii="Verdana" w:hAnsi="Verdana"/>
          <w:sz w:val="20"/>
          <w:szCs w:val="20"/>
        </w:rPr>
        <w:t xml:space="preserve">Rodríguez Pacheco en </w:t>
      </w:r>
      <w:r w:rsidR="007D6360" w:rsidRPr="00756B84">
        <w:rPr>
          <w:rStyle w:val="s1"/>
          <w:rFonts w:ascii="Verdana" w:hAnsi="Verdana"/>
          <w:sz w:val="20"/>
          <w:szCs w:val="20"/>
        </w:rPr>
        <w:t>audiencia,</w:t>
      </w:r>
      <w:r w:rsidRPr="00756B84">
        <w:rPr>
          <w:rStyle w:val="s1"/>
          <w:rFonts w:ascii="Verdana" w:hAnsi="Verdana"/>
          <w:sz w:val="20"/>
          <w:szCs w:val="20"/>
        </w:rPr>
        <w:t xml:space="preserve"> </w:t>
      </w:r>
      <w:r w:rsidR="007D6360" w:rsidRPr="00756B84">
        <w:rPr>
          <w:rStyle w:val="s1"/>
          <w:rFonts w:ascii="Verdana" w:hAnsi="Verdana"/>
          <w:sz w:val="20"/>
          <w:szCs w:val="20"/>
        </w:rPr>
        <w:t>ella</w:t>
      </w:r>
      <w:r w:rsidR="007D6360" w:rsidRPr="00756B84">
        <w:rPr>
          <w:rStyle w:val="apple-converted-space"/>
          <w:rFonts w:ascii="Verdana" w:hAnsi="Verdana"/>
          <w:sz w:val="20"/>
          <w:szCs w:val="20"/>
        </w:rPr>
        <w:t xml:space="preserve"> </w:t>
      </w:r>
      <w:r w:rsidR="001361DF" w:rsidRPr="00756B84">
        <w:rPr>
          <w:rStyle w:val="apple-converted-space"/>
          <w:rFonts w:ascii="Verdana" w:hAnsi="Verdana"/>
          <w:sz w:val="20"/>
          <w:szCs w:val="20"/>
        </w:rPr>
        <w:t xml:space="preserve">presentó </w:t>
      </w:r>
      <w:r w:rsidRPr="00756B84">
        <w:rPr>
          <w:rStyle w:val="s1"/>
          <w:rFonts w:ascii="Verdana" w:hAnsi="Verdana"/>
          <w:sz w:val="20"/>
          <w:szCs w:val="20"/>
        </w:rPr>
        <w:t xml:space="preserve">una denuncia ante el Cuerpo de Investigaciones Científicas, Penales y </w:t>
      </w:r>
      <w:r w:rsidR="009B1C1F" w:rsidRPr="00756B84">
        <w:rPr>
          <w:rStyle w:val="s1"/>
          <w:rFonts w:ascii="Verdana" w:hAnsi="Verdana"/>
          <w:sz w:val="20"/>
          <w:szCs w:val="20"/>
        </w:rPr>
        <w:t>Criminalísticas</w:t>
      </w:r>
      <w:r w:rsidR="009B1C1F" w:rsidRPr="00756B84">
        <w:rPr>
          <w:rStyle w:val="apple-converted-space"/>
          <w:rFonts w:ascii="Verdana" w:hAnsi="Verdana"/>
          <w:sz w:val="20"/>
          <w:szCs w:val="20"/>
        </w:rPr>
        <w:t xml:space="preserve"> en</w:t>
      </w:r>
      <w:r w:rsidRPr="00756B84">
        <w:rPr>
          <w:rStyle w:val="s1"/>
          <w:rFonts w:ascii="Verdana" w:hAnsi="Verdana"/>
          <w:sz w:val="20"/>
          <w:szCs w:val="20"/>
        </w:rPr>
        <w:t xml:space="preserve"> </w:t>
      </w:r>
      <w:r w:rsidRPr="00756B84">
        <w:rPr>
          <w:rFonts w:ascii="Verdana" w:eastAsia="Times New Roman" w:hAnsi="Verdana"/>
          <w:sz w:val="20"/>
          <w:szCs w:val="20"/>
          <w:lang w:val="es-419"/>
        </w:rPr>
        <w:t>enero</w:t>
      </w:r>
      <w:r w:rsidRPr="00756B84">
        <w:rPr>
          <w:rStyle w:val="s1"/>
          <w:rFonts w:ascii="Verdana" w:hAnsi="Verdana"/>
          <w:sz w:val="20"/>
          <w:szCs w:val="20"/>
        </w:rPr>
        <w:t xml:space="preserve"> de 1999</w:t>
      </w:r>
      <w:r w:rsidR="00E011CF" w:rsidRPr="00756B84">
        <w:rPr>
          <w:rStyle w:val="s1"/>
          <w:rFonts w:ascii="Verdana" w:hAnsi="Verdana"/>
          <w:sz w:val="20"/>
          <w:szCs w:val="20"/>
        </w:rPr>
        <w:t xml:space="preserve">. </w:t>
      </w:r>
      <w:r w:rsidRPr="00756B84">
        <w:rPr>
          <w:rStyle w:val="s1"/>
          <w:rFonts w:ascii="Verdana" w:hAnsi="Verdana"/>
          <w:sz w:val="20"/>
          <w:szCs w:val="20"/>
        </w:rPr>
        <w:t xml:space="preserve">En el contexto de la tramitación </w:t>
      </w:r>
      <w:r w:rsidR="00D13926" w:rsidRPr="00756B84">
        <w:rPr>
          <w:rStyle w:val="s1"/>
          <w:rFonts w:ascii="Verdana" w:hAnsi="Verdana"/>
          <w:sz w:val="20"/>
          <w:szCs w:val="20"/>
        </w:rPr>
        <w:t>del</w:t>
      </w:r>
      <w:r w:rsidR="00D13926" w:rsidRPr="00756B84">
        <w:rPr>
          <w:rStyle w:val="apple-converted-space"/>
          <w:rFonts w:ascii="Verdana" w:hAnsi="Verdana"/>
          <w:sz w:val="20"/>
          <w:szCs w:val="20"/>
        </w:rPr>
        <w:t xml:space="preserve"> proceso</w:t>
      </w:r>
      <w:r w:rsidRPr="00756B84">
        <w:rPr>
          <w:rStyle w:val="s1"/>
          <w:rFonts w:ascii="Verdana" w:hAnsi="Verdana"/>
          <w:sz w:val="20"/>
          <w:szCs w:val="20"/>
        </w:rPr>
        <w:t xml:space="preserve"> penal la víctima refirió </w:t>
      </w:r>
      <w:r w:rsidR="00582B34" w:rsidRPr="00756B84">
        <w:rPr>
          <w:rStyle w:val="s1"/>
          <w:rFonts w:ascii="Verdana" w:hAnsi="Verdana"/>
          <w:sz w:val="20"/>
          <w:szCs w:val="20"/>
        </w:rPr>
        <w:t>que,</w:t>
      </w:r>
      <w:r w:rsidR="00D13926" w:rsidRPr="00756B84">
        <w:rPr>
          <w:rStyle w:val="apple-converted-space"/>
          <w:rFonts w:ascii="Verdana" w:hAnsi="Verdana"/>
          <w:sz w:val="20"/>
          <w:szCs w:val="20"/>
        </w:rPr>
        <w:t xml:space="preserve"> si</w:t>
      </w:r>
      <w:r w:rsidRPr="00756B84">
        <w:rPr>
          <w:rStyle w:val="s1"/>
          <w:rFonts w:ascii="Verdana" w:hAnsi="Verdana"/>
          <w:sz w:val="20"/>
          <w:szCs w:val="20"/>
        </w:rPr>
        <w:t xml:space="preserve"> bien se practicaron un conjunto de evaluaciones por parte de expertos, la fiscal a cargo del caso “se reservó las actas procesales por más de dos años”, tras lo cual la llamaron a una audiencia oral en la cual expuso sus </w:t>
      </w:r>
      <w:r w:rsidR="00BA3AA5" w:rsidRPr="00756B84">
        <w:rPr>
          <w:rStyle w:val="s1"/>
          <w:rFonts w:ascii="Verdana" w:hAnsi="Verdana"/>
          <w:sz w:val="20"/>
          <w:szCs w:val="20"/>
        </w:rPr>
        <w:t>vivencias,</w:t>
      </w:r>
      <w:r w:rsidR="00BA3AA5" w:rsidRPr="00756B84">
        <w:rPr>
          <w:rStyle w:val="apple-converted-space"/>
          <w:rFonts w:ascii="Verdana" w:hAnsi="Verdana"/>
          <w:sz w:val="20"/>
          <w:szCs w:val="20"/>
        </w:rPr>
        <w:t xml:space="preserve"> pero</w:t>
      </w:r>
      <w:r w:rsidRPr="00756B84">
        <w:rPr>
          <w:rStyle w:val="s1"/>
          <w:rFonts w:ascii="Verdana" w:hAnsi="Verdana"/>
          <w:sz w:val="20"/>
          <w:szCs w:val="20"/>
        </w:rPr>
        <w:t xml:space="preserve"> </w:t>
      </w:r>
      <w:r w:rsidR="00BA3AA5" w:rsidRPr="00756B84">
        <w:rPr>
          <w:rStyle w:val="s1"/>
          <w:rFonts w:ascii="Verdana" w:hAnsi="Verdana"/>
          <w:sz w:val="20"/>
          <w:szCs w:val="20"/>
        </w:rPr>
        <w:t>“nosotros</w:t>
      </w:r>
      <w:r w:rsidRPr="00756B84">
        <w:rPr>
          <w:rStyle w:val="s1"/>
          <w:rFonts w:ascii="Verdana" w:hAnsi="Verdana"/>
          <w:sz w:val="20"/>
          <w:szCs w:val="20"/>
        </w:rPr>
        <w:t>, mi mamá y yo que éramos las que estábamos luchando con eso y mi hermana, no habíamos tenido acceso a las actas procesales en todo ese momento”. Añadió que “ellos pretendían hacer la audiencia sin haber tampoco investigado el caso porque a fin de cuentas todas las evidencias, las valoraciones que se me hicieron fue porque yo las había tramitado ante la Defensoría del Pueblo”.</w:t>
      </w:r>
      <w:r w:rsidR="007335D2">
        <w:rPr>
          <w:rStyle w:val="apple-converted-space"/>
          <w:rFonts w:ascii="Verdana" w:hAnsi="Verdana"/>
          <w:sz w:val="20"/>
          <w:szCs w:val="20"/>
        </w:rPr>
        <w:t xml:space="preserve"> </w:t>
      </w:r>
    </w:p>
    <w:p w14:paraId="5E6DE5A7" w14:textId="77777777" w:rsidR="00756B84" w:rsidRDefault="00756B84" w:rsidP="00756B84">
      <w:pPr>
        <w:pStyle w:val="Prrafodelista"/>
        <w:rPr>
          <w:rStyle w:val="apple-converted-space"/>
          <w:rFonts w:ascii="Verdana" w:hAnsi="Verdana"/>
          <w:sz w:val="20"/>
          <w:szCs w:val="20"/>
        </w:rPr>
      </w:pPr>
    </w:p>
    <w:p w14:paraId="4FE7F35D" w14:textId="252BE9F1" w:rsidR="00F77A8F" w:rsidRDefault="00957968"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r w:rsidRPr="00756B84">
        <w:rPr>
          <w:rStyle w:val="s1"/>
          <w:rFonts w:ascii="Verdana" w:hAnsi="Verdana"/>
          <w:sz w:val="20"/>
          <w:szCs w:val="20"/>
        </w:rPr>
        <w:t xml:space="preserve">Posteriormente explicó que había formulado un </w:t>
      </w:r>
      <w:r w:rsidR="00582B34" w:rsidRPr="00756B84">
        <w:rPr>
          <w:rStyle w:val="s1"/>
          <w:rFonts w:ascii="Verdana" w:hAnsi="Verdana"/>
          <w:sz w:val="20"/>
          <w:szCs w:val="20"/>
        </w:rPr>
        <w:t>reclamo</w:t>
      </w:r>
      <w:r w:rsidR="00582B34" w:rsidRPr="00756B84">
        <w:rPr>
          <w:rStyle w:val="apple-converted-space"/>
          <w:rFonts w:ascii="Verdana" w:hAnsi="Verdana"/>
          <w:sz w:val="20"/>
          <w:szCs w:val="20"/>
        </w:rPr>
        <w:t xml:space="preserve"> ante</w:t>
      </w:r>
      <w:r w:rsidRPr="00756B84">
        <w:rPr>
          <w:rStyle w:val="s1"/>
          <w:rFonts w:ascii="Verdana" w:hAnsi="Verdana"/>
          <w:sz w:val="20"/>
          <w:szCs w:val="20"/>
        </w:rPr>
        <w:t xml:space="preserve"> el </w:t>
      </w:r>
      <w:proofErr w:type="gramStart"/>
      <w:r w:rsidR="00924997" w:rsidRPr="00756B84">
        <w:rPr>
          <w:rStyle w:val="s1"/>
          <w:rFonts w:ascii="Verdana" w:hAnsi="Verdana"/>
          <w:sz w:val="20"/>
          <w:szCs w:val="20"/>
        </w:rPr>
        <w:t>Fiscal General</w:t>
      </w:r>
      <w:proofErr w:type="gramEnd"/>
      <w:r w:rsidR="00924997" w:rsidRPr="00756B84">
        <w:rPr>
          <w:rStyle w:val="s1"/>
          <w:rFonts w:ascii="Verdana" w:hAnsi="Verdana"/>
          <w:sz w:val="20"/>
          <w:szCs w:val="20"/>
        </w:rPr>
        <w:t xml:space="preserve"> </w:t>
      </w:r>
      <w:r w:rsidRPr="00756B84">
        <w:rPr>
          <w:rStyle w:val="s1"/>
          <w:rFonts w:ascii="Verdana" w:hAnsi="Verdana"/>
          <w:sz w:val="20"/>
          <w:szCs w:val="20"/>
        </w:rPr>
        <w:t xml:space="preserve">de la República, siéndole impuesta una multa </w:t>
      </w:r>
      <w:r w:rsidR="00924997" w:rsidRPr="00756B84">
        <w:rPr>
          <w:rStyle w:val="s1"/>
          <w:rFonts w:ascii="Verdana" w:hAnsi="Verdana"/>
          <w:sz w:val="20"/>
          <w:szCs w:val="20"/>
        </w:rPr>
        <w:t>o</w:t>
      </w:r>
      <w:r w:rsidR="00924997" w:rsidRPr="00756B84">
        <w:rPr>
          <w:rStyle w:val="apple-converted-space"/>
          <w:rFonts w:ascii="Verdana" w:hAnsi="Verdana"/>
          <w:sz w:val="20"/>
          <w:szCs w:val="20"/>
        </w:rPr>
        <w:t xml:space="preserve"> 5</w:t>
      </w:r>
      <w:r w:rsidRPr="00756B84">
        <w:rPr>
          <w:rStyle w:val="s1"/>
          <w:rFonts w:ascii="Verdana" w:hAnsi="Verdana"/>
          <w:sz w:val="20"/>
          <w:szCs w:val="20"/>
        </w:rPr>
        <w:t xml:space="preserve"> días de arresto, lo cual le causó un profundo impacto. Expresó que “no estaba diciendo mentiras y allí estaban las pruebas de que tenía dos años sin ver el expediente</w:t>
      </w:r>
      <w:r w:rsidR="00800AC7" w:rsidRPr="00756B84">
        <w:rPr>
          <w:rStyle w:val="s1"/>
          <w:rFonts w:ascii="Verdana" w:hAnsi="Verdana"/>
          <w:sz w:val="20"/>
          <w:szCs w:val="20"/>
        </w:rPr>
        <w:t xml:space="preserve"> […]</w:t>
      </w:r>
      <w:r w:rsidR="0029387A" w:rsidRPr="00756B84">
        <w:rPr>
          <w:rStyle w:val="s1"/>
          <w:rFonts w:ascii="Verdana" w:hAnsi="Verdana"/>
          <w:sz w:val="20"/>
          <w:szCs w:val="20"/>
        </w:rPr>
        <w:t xml:space="preserve"> </w:t>
      </w:r>
      <w:r w:rsidRPr="00756B84">
        <w:rPr>
          <w:rStyle w:val="s1"/>
          <w:rFonts w:ascii="Verdana" w:hAnsi="Verdana"/>
          <w:sz w:val="20"/>
          <w:szCs w:val="20"/>
        </w:rPr>
        <w:t>tuve que hacer el esfuerzo de pagar una multa que sinceramente yo considero confiscatoria</w:t>
      </w:r>
      <w:r w:rsidR="00896A31" w:rsidRPr="00756B84">
        <w:rPr>
          <w:rStyle w:val="s1"/>
          <w:rFonts w:ascii="Verdana" w:hAnsi="Verdana"/>
          <w:sz w:val="20"/>
          <w:szCs w:val="20"/>
        </w:rPr>
        <w:t xml:space="preserve"> […] </w:t>
      </w:r>
      <w:r w:rsidRPr="00756B84">
        <w:rPr>
          <w:rStyle w:val="s1"/>
          <w:rFonts w:ascii="Verdana" w:hAnsi="Verdana"/>
          <w:sz w:val="20"/>
          <w:szCs w:val="20"/>
        </w:rPr>
        <w:t xml:space="preserve">para un médico </w:t>
      </w:r>
      <w:r w:rsidRPr="00756B84">
        <w:rPr>
          <w:rStyle w:val="s1"/>
          <w:rFonts w:ascii="Verdana" w:hAnsi="Verdana"/>
          <w:sz w:val="20"/>
          <w:szCs w:val="20"/>
        </w:rPr>
        <w:lastRenderedPageBreak/>
        <w:t xml:space="preserve">venezolano, hoy y en ese momento era demasiado dinero. Yo era un especialista tipo 1 </w:t>
      </w:r>
      <w:proofErr w:type="gramStart"/>
      <w:r w:rsidRPr="00756B84">
        <w:rPr>
          <w:rStyle w:val="s1"/>
          <w:rFonts w:ascii="Verdana" w:hAnsi="Verdana"/>
          <w:sz w:val="20"/>
          <w:szCs w:val="20"/>
        </w:rPr>
        <w:t>y</w:t>
      </w:r>
      <w:proofErr w:type="gramEnd"/>
      <w:r w:rsidRPr="00756B84">
        <w:rPr>
          <w:rStyle w:val="s1"/>
          <w:rFonts w:ascii="Verdana" w:hAnsi="Verdana"/>
          <w:sz w:val="20"/>
          <w:szCs w:val="20"/>
        </w:rPr>
        <w:t xml:space="preserve"> sin embargo, eso correspondía a 10 meses de mi sueldo. En ningún momento se me pidió disculpas, ni nada, ni se pronunciaron con respecto a eso. Simplemente tuve que hacer el esfuerzo, así como lo había hecho antes de hacer rifas, donaciones, vender mi carro, hipotecar el apartamento, lo que fuera para pagar esa multa y poder seguir</w:t>
      </w:r>
      <w:r w:rsidR="00CF5118" w:rsidRPr="00756B84">
        <w:rPr>
          <w:rStyle w:val="s1"/>
          <w:rFonts w:ascii="Verdana" w:hAnsi="Verdana"/>
          <w:sz w:val="20"/>
          <w:szCs w:val="20"/>
        </w:rPr>
        <w:t>”.</w:t>
      </w:r>
    </w:p>
    <w:p w14:paraId="66BA105B" w14:textId="77777777" w:rsidR="00756B84" w:rsidRDefault="00756B84" w:rsidP="00756B84">
      <w:pPr>
        <w:pStyle w:val="Prrafodelista"/>
        <w:rPr>
          <w:rStyle w:val="s1"/>
          <w:rFonts w:ascii="Verdana" w:hAnsi="Verdana"/>
          <w:sz w:val="20"/>
          <w:szCs w:val="20"/>
        </w:rPr>
      </w:pPr>
    </w:p>
    <w:p w14:paraId="515C6B9B" w14:textId="70E65F47" w:rsidR="00937CA2" w:rsidRDefault="00304B8D"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r w:rsidRPr="00756B84">
        <w:rPr>
          <w:rStyle w:val="s1"/>
          <w:rFonts w:ascii="Verdana" w:hAnsi="Verdana"/>
          <w:sz w:val="20"/>
          <w:szCs w:val="20"/>
        </w:rPr>
        <w:t>Respecto de las apelaciones inte</w:t>
      </w:r>
      <w:r w:rsidR="00820F79" w:rsidRPr="00756B84">
        <w:rPr>
          <w:rStyle w:val="s1"/>
          <w:rFonts w:ascii="Verdana" w:hAnsi="Verdana"/>
          <w:sz w:val="20"/>
          <w:szCs w:val="20"/>
        </w:rPr>
        <w:t xml:space="preserve">rpuestas explicó que </w:t>
      </w:r>
      <w:r w:rsidR="00AF13E7" w:rsidRPr="00756B84">
        <w:rPr>
          <w:rStyle w:val="s1"/>
          <w:rFonts w:ascii="Verdana" w:hAnsi="Verdana"/>
          <w:sz w:val="20"/>
          <w:szCs w:val="20"/>
        </w:rPr>
        <w:t>“</w:t>
      </w:r>
      <w:r w:rsidR="00957968" w:rsidRPr="00756B84">
        <w:rPr>
          <w:rStyle w:val="s1"/>
          <w:rFonts w:ascii="Verdana" w:hAnsi="Verdana"/>
          <w:sz w:val="20"/>
          <w:szCs w:val="20"/>
        </w:rPr>
        <w:t>normalmente en la justicia venezolana se deben resolver, escuchar en 10 días y decidir en 10 días, pasaban 2 años sin respuesta. Si había alguna audiencia los fiscales del Ministerio Público simplemente no iban y había varios designados, incluso después uno con competencia nacional. Todo eso con el transcurrir de los años te va doliendo, te va quebrantando, te va quebrantando la voluntad, pero nosotros seguimos a pesar de todo</w:t>
      </w:r>
      <w:r w:rsidR="00937CA2" w:rsidRPr="00756B84">
        <w:rPr>
          <w:rStyle w:val="s1"/>
          <w:rFonts w:ascii="Verdana" w:hAnsi="Verdana"/>
          <w:sz w:val="20"/>
          <w:szCs w:val="20"/>
        </w:rPr>
        <w:t xml:space="preserve"> […]</w:t>
      </w:r>
      <w:r w:rsidR="00113EB3" w:rsidRPr="00756B84">
        <w:rPr>
          <w:rStyle w:val="s1"/>
          <w:rFonts w:ascii="Verdana" w:hAnsi="Verdana"/>
          <w:sz w:val="20"/>
          <w:szCs w:val="20"/>
        </w:rPr>
        <w:t>”.</w:t>
      </w:r>
    </w:p>
    <w:p w14:paraId="13ECCA77" w14:textId="77777777" w:rsidR="00756B84" w:rsidRDefault="00756B84" w:rsidP="00756B84">
      <w:pPr>
        <w:pStyle w:val="Prrafodelista"/>
        <w:rPr>
          <w:rStyle w:val="s1"/>
          <w:rFonts w:ascii="Verdana" w:hAnsi="Verdana"/>
          <w:sz w:val="20"/>
          <w:szCs w:val="20"/>
        </w:rPr>
      </w:pPr>
    </w:p>
    <w:p w14:paraId="2B1253D7" w14:textId="2F74D67F" w:rsidR="00957968" w:rsidRDefault="00937CA2"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proofErr w:type="gramStart"/>
      <w:r w:rsidRPr="00756B84">
        <w:rPr>
          <w:rStyle w:val="s1"/>
          <w:rFonts w:ascii="Verdana" w:hAnsi="Verdana"/>
          <w:sz w:val="20"/>
          <w:szCs w:val="20"/>
        </w:rPr>
        <w:t>En relación a</w:t>
      </w:r>
      <w:proofErr w:type="gramEnd"/>
      <w:r w:rsidRPr="00756B84">
        <w:rPr>
          <w:rStyle w:val="s1"/>
          <w:rFonts w:ascii="Verdana" w:hAnsi="Verdana"/>
          <w:sz w:val="20"/>
          <w:szCs w:val="20"/>
        </w:rPr>
        <w:t xml:space="preserve"> las </w:t>
      </w:r>
      <w:r w:rsidR="00F74A70" w:rsidRPr="00756B84">
        <w:rPr>
          <w:rStyle w:val="s1"/>
          <w:rFonts w:ascii="Verdana" w:hAnsi="Verdana"/>
          <w:sz w:val="20"/>
          <w:szCs w:val="20"/>
        </w:rPr>
        <w:t xml:space="preserve">tres </w:t>
      </w:r>
      <w:r w:rsidRPr="00756B84">
        <w:rPr>
          <w:rStyle w:val="s1"/>
          <w:rFonts w:ascii="Verdana" w:hAnsi="Verdana"/>
          <w:sz w:val="20"/>
          <w:szCs w:val="20"/>
        </w:rPr>
        <w:t>querellas que</w:t>
      </w:r>
      <w:r w:rsidR="00F74A70" w:rsidRPr="00756B84">
        <w:rPr>
          <w:rStyle w:val="s1"/>
          <w:rFonts w:ascii="Verdana" w:hAnsi="Verdana"/>
          <w:sz w:val="20"/>
          <w:szCs w:val="20"/>
        </w:rPr>
        <w:t xml:space="preserve"> presentó explicó que las mismas no fueron tramitadas durante años</w:t>
      </w:r>
      <w:r w:rsidR="0014443B" w:rsidRPr="00756B84">
        <w:rPr>
          <w:rStyle w:val="s1"/>
          <w:rFonts w:ascii="Verdana" w:hAnsi="Verdana"/>
          <w:sz w:val="20"/>
          <w:szCs w:val="20"/>
        </w:rPr>
        <w:t>. Señaló que “p</w:t>
      </w:r>
      <w:r w:rsidR="00957968" w:rsidRPr="00756B84">
        <w:rPr>
          <w:rStyle w:val="s1"/>
          <w:rFonts w:ascii="Verdana" w:hAnsi="Verdana"/>
          <w:sz w:val="20"/>
          <w:szCs w:val="20"/>
        </w:rPr>
        <w:t>ensé que había una luz cuando radicaron el juicio. Sabe que, hasta le dije al doctor que tenía miedo porque uno como ciudadano común entrar a la sala, yo entré a la sala, yo asistí a todos mis actos que fui convocada. Ellos no, ellos si no querían ir, los fiscales, los imputados, el juez, ellos no iban</w:t>
      </w:r>
      <w:r w:rsidR="007722CF" w:rsidRPr="00756B84">
        <w:rPr>
          <w:rStyle w:val="s1"/>
          <w:rFonts w:ascii="Verdana" w:hAnsi="Verdana"/>
          <w:sz w:val="20"/>
          <w:szCs w:val="20"/>
        </w:rPr>
        <w:t xml:space="preserve"> […]</w:t>
      </w:r>
      <w:r w:rsidR="00113EB3" w:rsidRPr="00756B84">
        <w:rPr>
          <w:rStyle w:val="s1"/>
          <w:rFonts w:ascii="Verdana" w:hAnsi="Verdana"/>
          <w:sz w:val="20"/>
          <w:szCs w:val="20"/>
        </w:rPr>
        <w:t xml:space="preserve">. </w:t>
      </w:r>
      <w:r w:rsidR="00957968" w:rsidRPr="00756B84">
        <w:rPr>
          <w:rStyle w:val="s1"/>
          <w:rFonts w:ascii="Verdana" w:hAnsi="Verdana"/>
          <w:sz w:val="20"/>
          <w:szCs w:val="20"/>
        </w:rPr>
        <w:t xml:space="preserve">Pensé que cuando se cambiaran los operadores, que los funcionarios en Caracas, se supone que deberían ser más especializados, más instruidos, la situación iba a cambiar, pero permaneció igual. </w:t>
      </w:r>
      <w:r w:rsidR="001D7913" w:rsidRPr="00756B84">
        <w:rPr>
          <w:rStyle w:val="s1"/>
          <w:rFonts w:ascii="Verdana" w:hAnsi="Verdana"/>
          <w:sz w:val="20"/>
          <w:szCs w:val="20"/>
        </w:rPr>
        <w:t xml:space="preserve">Hubo </w:t>
      </w:r>
      <w:r w:rsidR="00957968" w:rsidRPr="00756B84">
        <w:rPr>
          <w:rStyle w:val="s1"/>
          <w:rFonts w:ascii="Verdana" w:hAnsi="Verdana"/>
          <w:sz w:val="20"/>
          <w:szCs w:val="20"/>
        </w:rPr>
        <w:t>de fiscales y de recurrencia de fiscales, et</w:t>
      </w:r>
      <w:r w:rsidR="00CF4A97" w:rsidRPr="00756B84">
        <w:rPr>
          <w:rStyle w:val="s1"/>
          <w:rFonts w:ascii="Verdana" w:hAnsi="Verdana"/>
          <w:sz w:val="20"/>
          <w:szCs w:val="20"/>
        </w:rPr>
        <w:t>c.</w:t>
      </w:r>
      <w:r w:rsidR="00957968" w:rsidRPr="00756B84">
        <w:rPr>
          <w:rStyle w:val="s1"/>
          <w:rFonts w:ascii="Verdana" w:hAnsi="Verdana"/>
          <w:sz w:val="20"/>
          <w:szCs w:val="20"/>
        </w:rPr>
        <w:t xml:space="preserve"> Hasta que por fin en el 2012 dieron una sentencia donde me decían que ya no se podía hacer nada, que la acción penal estaba prescrita y que esa prescripción era por culpa del órgano jurisdiccional […]”</w:t>
      </w:r>
      <w:r w:rsidR="00113EB3" w:rsidRPr="00756B84">
        <w:rPr>
          <w:rStyle w:val="s1"/>
          <w:rFonts w:ascii="Verdana" w:hAnsi="Verdana"/>
          <w:sz w:val="20"/>
          <w:szCs w:val="20"/>
        </w:rPr>
        <w:t>.</w:t>
      </w:r>
    </w:p>
    <w:p w14:paraId="79078405" w14:textId="77777777" w:rsidR="00756B84" w:rsidRDefault="00756B84" w:rsidP="00756B84">
      <w:pPr>
        <w:pStyle w:val="Prrafodelista"/>
        <w:rPr>
          <w:rStyle w:val="s1"/>
          <w:rFonts w:ascii="Verdana" w:hAnsi="Verdana"/>
          <w:sz w:val="20"/>
          <w:szCs w:val="20"/>
        </w:rPr>
      </w:pPr>
    </w:p>
    <w:p w14:paraId="7DFAE1C4" w14:textId="45D17A8D" w:rsidR="00813969" w:rsidRDefault="00C14D0C" w:rsidP="00756B84">
      <w:pPr>
        <w:widowControl w:val="0"/>
        <w:numPr>
          <w:ilvl w:val="0"/>
          <w:numId w:val="27"/>
        </w:numPr>
        <w:tabs>
          <w:tab w:val="left" w:pos="567"/>
          <w:tab w:val="num" w:pos="1569"/>
          <w:tab w:val="num" w:pos="12305"/>
        </w:tabs>
        <w:adjustRightInd w:val="0"/>
        <w:ind w:left="0" w:firstLine="0"/>
        <w:jc w:val="both"/>
        <w:rPr>
          <w:rStyle w:val="s1"/>
          <w:rFonts w:ascii="Verdana" w:hAnsi="Verdana"/>
          <w:sz w:val="20"/>
          <w:szCs w:val="20"/>
        </w:rPr>
      </w:pPr>
      <w:r w:rsidRPr="00756B84">
        <w:rPr>
          <w:rStyle w:val="s1"/>
          <w:rFonts w:ascii="Verdana" w:hAnsi="Verdana"/>
          <w:sz w:val="20"/>
          <w:szCs w:val="20"/>
        </w:rPr>
        <w:t>E</w:t>
      </w:r>
      <w:r w:rsidR="00813969" w:rsidRPr="00756B84">
        <w:rPr>
          <w:rStyle w:val="s1"/>
          <w:rFonts w:ascii="Verdana" w:hAnsi="Verdana"/>
          <w:sz w:val="20"/>
          <w:szCs w:val="20"/>
        </w:rPr>
        <w:t>n el mismo sentido se pronunció el hijo de la víctima, Juan Manuel Sánchez Rodríguez</w:t>
      </w:r>
      <w:r w:rsidR="00A2071E" w:rsidRPr="00756B84">
        <w:rPr>
          <w:rStyle w:val="s1"/>
          <w:rFonts w:ascii="Verdana" w:hAnsi="Verdana"/>
          <w:sz w:val="20"/>
          <w:szCs w:val="20"/>
        </w:rPr>
        <w:t>, quien señaló que</w:t>
      </w:r>
      <w:r w:rsidR="00F82E5D" w:rsidRPr="00756B84">
        <w:rPr>
          <w:rStyle w:val="s1"/>
          <w:rFonts w:ascii="Verdana" w:hAnsi="Verdana"/>
          <w:sz w:val="20"/>
          <w:szCs w:val="20"/>
        </w:rPr>
        <w:t xml:space="preserve"> “</w:t>
      </w:r>
      <w:r w:rsidR="00F039A3" w:rsidRPr="00756B84">
        <w:rPr>
          <w:rStyle w:val="s1"/>
          <w:rFonts w:ascii="Verdana" w:hAnsi="Verdana"/>
          <w:sz w:val="20"/>
          <w:szCs w:val="20"/>
        </w:rPr>
        <w:t>cuándo llegaban a casa</w:t>
      </w:r>
      <w:r w:rsidR="00F6540B" w:rsidRPr="00756B84">
        <w:rPr>
          <w:rStyle w:val="s1"/>
          <w:rFonts w:ascii="Verdana" w:hAnsi="Verdana"/>
          <w:sz w:val="20"/>
          <w:szCs w:val="20"/>
        </w:rPr>
        <w:t xml:space="preserve"> [la señora Rodríguez Pacheco y su madre]</w:t>
      </w:r>
      <w:r w:rsidR="00F039A3" w:rsidRPr="00756B84">
        <w:rPr>
          <w:rStyle w:val="s1"/>
          <w:rFonts w:ascii="Verdana" w:hAnsi="Verdana"/>
          <w:sz w:val="20"/>
          <w:szCs w:val="20"/>
        </w:rPr>
        <w:t>, luego de asistir</w:t>
      </w:r>
      <w:r w:rsidR="00F82E5D" w:rsidRPr="00756B84">
        <w:rPr>
          <w:rStyle w:val="s1"/>
          <w:rFonts w:ascii="Verdana" w:hAnsi="Verdana"/>
          <w:sz w:val="20"/>
          <w:szCs w:val="20"/>
        </w:rPr>
        <w:t xml:space="preserve"> a esas diligencias” </w:t>
      </w:r>
      <w:r w:rsidR="00F039A3" w:rsidRPr="00756B84">
        <w:rPr>
          <w:rStyle w:val="s1"/>
          <w:rFonts w:ascii="Verdana" w:hAnsi="Verdana"/>
          <w:sz w:val="20"/>
          <w:szCs w:val="20"/>
        </w:rPr>
        <w:t>lo hacían “desconcertadas, con sentimientos de impotencia por los maltratos que ellas contaban haber sufrido”</w:t>
      </w:r>
      <w:r w:rsidR="00CD2723" w:rsidRPr="00756B84">
        <w:rPr>
          <w:rStyle w:val="Refdenotaalpie"/>
          <w:rFonts w:ascii="Verdana" w:hAnsi="Verdana"/>
          <w:sz w:val="20"/>
          <w:szCs w:val="20"/>
        </w:rPr>
        <w:footnoteReference w:id="21"/>
      </w:r>
      <w:r w:rsidR="00E969D2" w:rsidRPr="00756B84">
        <w:rPr>
          <w:rStyle w:val="s1"/>
          <w:rFonts w:ascii="Verdana" w:hAnsi="Verdana"/>
          <w:sz w:val="20"/>
          <w:szCs w:val="20"/>
        </w:rPr>
        <w:t>. A</w:t>
      </w:r>
      <w:r w:rsidR="006C4A83" w:rsidRPr="00756B84">
        <w:rPr>
          <w:rStyle w:val="s1"/>
          <w:rFonts w:ascii="Verdana" w:hAnsi="Verdana"/>
          <w:sz w:val="20"/>
          <w:szCs w:val="20"/>
        </w:rPr>
        <w:t xml:space="preserve">gregando que cuando </w:t>
      </w:r>
      <w:r w:rsidR="00174FEB" w:rsidRPr="00756B84">
        <w:rPr>
          <w:rStyle w:val="s1"/>
          <w:rFonts w:ascii="Verdana" w:hAnsi="Verdana"/>
          <w:sz w:val="20"/>
          <w:szCs w:val="20"/>
        </w:rPr>
        <w:t xml:space="preserve">decretaron el </w:t>
      </w:r>
      <w:r w:rsidR="006C4A83" w:rsidRPr="00756B84">
        <w:rPr>
          <w:rStyle w:val="s1"/>
          <w:rFonts w:ascii="Verdana" w:hAnsi="Verdana"/>
          <w:sz w:val="20"/>
          <w:szCs w:val="20"/>
        </w:rPr>
        <w:t xml:space="preserve">sobreseimiento definitivo de la causa penal, tanto la víctima como su madre “se deprimieron notablemente </w:t>
      </w:r>
      <w:r w:rsidR="002D0998" w:rsidRPr="00756B84">
        <w:rPr>
          <w:rStyle w:val="s1"/>
          <w:rFonts w:ascii="Verdana" w:hAnsi="Verdana"/>
          <w:sz w:val="20"/>
          <w:szCs w:val="20"/>
        </w:rPr>
        <w:t xml:space="preserve">requiriendo </w:t>
      </w:r>
      <w:r w:rsidR="006C4A83" w:rsidRPr="00756B84">
        <w:rPr>
          <w:rStyle w:val="s1"/>
          <w:rFonts w:ascii="Verdana" w:hAnsi="Verdana"/>
          <w:sz w:val="20"/>
          <w:szCs w:val="20"/>
        </w:rPr>
        <w:t>control médico […]”</w:t>
      </w:r>
      <w:r w:rsidR="00DA0DAF" w:rsidRPr="00756B84">
        <w:rPr>
          <w:rStyle w:val="Refdenotaalpie"/>
          <w:rFonts w:ascii="Verdana" w:hAnsi="Verdana"/>
          <w:sz w:val="20"/>
          <w:szCs w:val="20"/>
        </w:rPr>
        <w:footnoteReference w:id="22"/>
      </w:r>
      <w:r w:rsidR="000E1098" w:rsidRPr="00756B84">
        <w:rPr>
          <w:rStyle w:val="s1"/>
          <w:rFonts w:ascii="Verdana" w:hAnsi="Verdana"/>
          <w:sz w:val="20"/>
          <w:szCs w:val="20"/>
        </w:rPr>
        <w:t>.</w:t>
      </w:r>
    </w:p>
    <w:p w14:paraId="508B1587" w14:textId="77777777" w:rsidR="00756B84" w:rsidRDefault="00756B84" w:rsidP="00756B84">
      <w:pPr>
        <w:pStyle w:val="Prrafodelista"/>
        <w:rPr>
          <w:rFonts w:ascii="Verdana" w:hAnsi="Verdana"/>
          <w:sz w:val="20"/>
          <w:szCs w:val="20"/>
        </w:rPr>
      </w:pPr>
    </w:p>
    <w:p w14:paraId="79272B14" w14:textId="53EFB6F3" w:rsidR="00957968" w:rsidRPr="00756B84" w:rsidRDefault="00957968" w:rsidP="00756B84">
      <w:pPr>
        <w:widowControl w:val="0"/>
        <w:numPr>
          <w:ilvl w:val="0"/>
          <w:numId w:val="27"/>
        </w:numPr>
        <w:tabs>
          <w:tab w:val="left" w:pos="567"/>
          <w:tab w:val="num" w:pos="1569"/>
          <w:tab w:val="num" w:pos="12305"/>
        </w:tabs>
        <w:adjustRightInd w:val="0"/>
        <w:ind w:left="0" w:firstLine="0"/>
        <w:jc w:val="both"/>
        <w:rPr>
          <w:rFonts w:ascii="Verdana" w:hAnsi="Verdana"/>
          <w:sz w:val="20"/>
          <w:szCs w:val="20"/>
        </w:rPr>
      </w:pPr>
      <w:r w:rsidRPr="00756B84">
        <w:rPr>
          <w:rStyle w:val="s1"/>
          <w:rFonts w:ascii="Verdana" w:hAnsi="Verdana"/>
          <w:sz w:val="20"/>
          <w:szCs w:val="20"/>
        </w:rPr>
        <w:t xml:space="preserve">Todos esos antecedentes llevan a concluir que el modo en que se desarrolló </w:t>
      </w:r>
      <w:r w:rsidR="005E1C76" w:rsidRPr="00756B84">
        <w:rPr>
          <w:rStyle w:val="s1"/>
          <w:rFonts w:ascii="Verdana" w:hAnsi="Verdana"/>
          <w:sz w:val="20"/>
          <w:szCs w:val="20"/>
        </w:rPr>
        <w:t>el</w:t>
      </w:r>
      <w:r w:rsidR="0035713B" w:rsidRPr="00756B84">
        <w:rPr>
          <w:rStyle w:val="s1"/>
          <w:rFonts w:ascii="Verdana" w:hAnsi="Verdana"/>
          <w:sz w:val="20"/>
          <w:szCs w:val="20"/>
        </w:rPr>
        <w:t xml:space="preserve"> </w:t>
      </w:r>
      <w:r w:rsidR="005E1C76" w:rsidRPr="00756B84">
        <w:rPr>
          <w:rStyle w:val="s1"/>
          <w:rFonts w:ascii="Verdana" w:hAnsi="Verdana"/>
          <w:sz w:val="20"/>
          <w:szCs w:val="20"/>
        </w:rPr>
        <w:t>proceso</w:t>
      </w:r>
      <w:r w:rsidRPr="00756B84">
        <w:rPr>
          <w:rStyle w:val="s1"/>
          <w:rFonts w:ascii="Verdana" w:hAnsi="Verdana"/>
          <w:sz w:val="20"/>
          <w:szCs w:val="20"/>
        </w:rPr>
        <w:t xml:space="preserve"> penal destinado a investigar los hechos</w:t>
      </w:r>
      <w:r w:rsidRPr="00756B84">
        <w:rPr>
          <w:rStyle w:val="apple-converted-space"/>
          <w:rFonts w:ascii="Verdana" w:hAnsi="Verdana"/>
          <w:sz w:val="20"/>
          <w:szCs w:val="20"/>
        </w:rPr>
        <w:t xml:space="preserve"> </w:t>
      </w:r>
      <w:r w:rsidR="00242668" w:rsidRPr="00756B84">
        <w:rPr>
          <w:rStyle w:val="apple-converted-space"/>
          <w:rFonts w:ascii="Verdana" w:hAnsi="Verdana"/>
          <w:sz w:val="20"/>
          <w:szCs w:val="20"/>
        </w:rPr>
        <w:t>denunciados por</w:t>
      </w:r>
      <w:r w:rsidRPr="00756B84">
        <w:rPr>
          <w:rStyle w:val="s1"/>
          <w:rFonts w:ascii="Verdana" w:hAnsi="Verdana"/>
          <w:sz w:val="20"/>
          <w:szCs w:val="20"/>
        </w:rPr>
        <w:t xml:space="preserve"> la </w:t>
      </w:r>
      <w:r w:rsidR="008F17DC" w:rsidRPr="00756B84">
        <w:rPr>
          <w:rStyle w:val="s1"/>
          <w:rFonts w:ascii="Verdana" w:hAnsi="Verdana"/>
          <w:sz w:val="20"/>
          <w:szCs w:val="20"/>
        </w:rPr>
        <w:t xml:space="preserve">señora </w:t>
      </w:r>
      <w:r w:rsidRPr="00756B84">
        <w:rPr>
          <w:rStyle w:val="s1"/>
          <w:rFonts w:ascii="Verdana" w:hAnsi="Verdana"/>
          <w:sz w:val="20"/>
          <w:szCs w:val="20"/>
        </w:rPr>
        <w:t xml:space="preserve">Rodríguez </w:t>
      </w:r>
      <w:r w:rsidR="008F17DC" w:rsidRPr="00756B84">
        <w:rPr>
          <w:rStyle w:val="s1"/>
          <w:rFonts w:ascii="Verdana" w:hAnsi="Verdana"/>
          <w:sz w:val="20"/>
          <w:szCs w:val="20"/>
        </w:rPr>
        <w:t>Pacheco</w:t>
      </w:r>
      <w:r w:rsidR="00B90F3E" w:rsidRPr="00756B84">
        <w:rPr>
          <w:rStyle w:val="s1"/>
          <w:rFonts w:ascii="Verdana" w:hAnsi="Verdana"/>
          <w:sz w:val="20"/>
          <w:szCs w:val="20"/>
        </w:rPr>
        <w:t xml:space="preserve"> y que concluyó con</w:t>
      </w:r>
      <w:r w:rsidR="00A2032D" w:rsidRPr="00756B84">
        <w:rPr>
          <w:rStyle w:val="s1"/>
          <w:rFonts w:ascii="Verdana" w:hAnsi="Verdana"/>
          <w:sz w:val="20"/>
          <w:szCs w:val="20"/>
        </w:rPr>
        <w:t xml:space="preserve"> la prescripción de la acción penal de que era titular, le </w:t>
      </w:r>
      <w:r w:rsidRPr="00756B84">
        <w:rPr>
          <w:rStyle w:val="s1"/>
          <w:rFonts w:ascii="Verdana" w:hAnsi="Verdana"/>
          <w:sz w:val="20"/>
          <w:szCs w:val="20"/>
        </w:rPr>
        <w:t>produj</w:t>
      </w:r>
      <w:r w:rsidR="00A2032D" w:rsidRPr="00756B84">
        <w:rPr>
          <w:rStyle w:val="s1"/>
          <w:rFonts w:ascii="Verdana" w:hAnsi="Verdana"/>
          <w:sz w:val="20"/>
          <w:szCs w:val="20"/>
        </w:rPr>
        <w:t xml:space="preserve">eron </w:t>
      </w:r>
      <w:r w:rsidRPr="00756B84">
        <w:rPr>
          <w:rStyle w:val="s1"/>
          <w:rFonts w:ascii="Verdana" w:hAnsi="Verdana"/>
          <w:sz w:val="20"/>
          <w:szCs w:val="20"/>
        </w:rPr>
        <w:t xml:space="preserve">una innegable </w:t>
      </w:r>
      <w:r w:rsidR="005E1C76" w:rsidRPr="00756B84">
        <w:rPr>
          <w:rStyle w:val="s1"/>
          <w:rFonts w:ascii="Verdana" w:hAnsi="Verdana"/>
          <w:sz w:val="20"/>
          <w:szCs w:val="20"/>
        </w:rPr>
        <w:t xml:space="preserve">angustia y sufrimiento que afectaron </w:t>
      </w:r>
      <w:r w:rsidRPr="00756B84">
        <w:rPr>
          <w:rStyle w:val="s1"/>
          <w:rFonts w:ascii="Verdana" w:hAnsi="Verdana"/>
          <w:sz w:val="20"/>
          <w:szCs w:val="20"/>
        </w:rPr>
        <w:t xml:space="preserve">su integridad </w:t>
      </w:r>
      <w:r w:rsidR="005E1C76" w:rsidRPr="00756B84">
        <w:rPr>
          <w:rStyle w:val="s1"/>
          <w:rFonts w:ascii="Verdana" w:hAnsi="Verdana"/>
          <w:sz w:val="20"/>
          <w:szCs w:val="20"/>
        </w:rPr>
        <w:t>psíquic</w:t>
      </w:r>
      <w:r w:rsidR="00C14D0C" w:rsidRPr="00756B84">
        <w:rPr>
          <w:rStyle w:val="s1"/>
          <w:rFonts w:ascii="Verdana" w:hAnsi="Verdana"/>
          <w:sz w:val="20"/>
          <w:szCs w:val="20"/>
        </w:rPr>
        <w:t>a</w:t>
      </w:r>
      <w:r w:rsidRPr="00756B84">
        <w:rPr>
          <w:rStyle w:val="s1"/>
          <w:rFonts w:ascii="Verdana" w:hAnsi="Verdana"/>
          <w:sz w:val="20"/>
          <w:szCs w:val="20"/>
        </w:rPr>
        <w:t>, en los términos ya referidos.</w:t>
      </w:r>
    </w:p>
    <w:p w14:paraId="06ADE64D" w14:textId="77777777" w:rsidR="00636E2B" w:rsidRPr="00756B84" w:rsidRDefault="00636E2B" w:rsidP="00756B84">
      <w:pPr>
        <w:pStyle w:val="Numberedparagraphs"/>
        <w:widowControl w:val="0"/>
        <w:numPr>
          <w:ilvl w:val="0"/>
          <w:numId w:val="0"/>
        </w:numPr>
        <w:tabs>
          <w:tab w:val="left" w:pos="567"/>
        </w:tabs>
        <w:autoSpaceDE w:val="0"/>
        <w:autoSpaceDN w:val="0"/>
        <w:adjustRightInd w:val="0"/>
        <w:ind w:left="720"/>
        <w:contextualSpacing/>
        <w:rPr>
          <w:rFonts w:eastAsiaTheme="minorHAnsi"/>
        </w:rPr>
      </w:pPr>
    </w:p>
    <w:p w14:paraId="3259FC28" w14:textId="09BF7D55" w:rsidR="00327D13" w:rsidRDefault="00636E2B" w:rsidP="00756B84">
      <w:pPr>
        <w:pStyle w:val="Numberedparagraphs"/>
        <w:widowControl w:val="0"/>
        <w:numPr>
          <w:ilvl w:val="0"/>
          <w:numId w:val="23"/>
        </w:numPr>
        <w:tabs>
          <w:tab w:val="left" w:pos="567"/>
        </w:tabs>
        <w:autoSpaceDE w:val="0"/>
        <w:autoSpaceDN w:val="0"/>
        <w:adjustRightInd w:val="0"/>
        <w:contextualSpacing/>
        <w:rPr>
          <w:rFonts w:eastAsiaTheme="minorHAnsi"/>
          <w:b/>
          <w:bCs/>
        </w:rPr>
      </w:pPr>
      <w:r w:rsidRPr="00756B84">
        <w:rPr>
          <w:rFonts w:eastAsiaTheme="minorHAnsi"/>
          <w:b/>
          <w:bCs/>
        </w:rPr>
        <w:t>Conclusión</w:t>
      </w:r>
    </w:p>
    <w:p w14:paraId="75FC2F7A" w14:textId="77777777" w:rsidR="00756B84" w:rsidRPr="00756B84" w:rsidRDefault="00756B84" w:rsidP="00756B84">
      <w:pPr>
        <w:pStyle w:val="Numberedparagraphs"/>
        <w:widowControl w:val="0"/>
        <w:numPr>
          <w:ilvl w:val="0"/>
          <w:numId w:val="0"/>
        </w:numPr>
        <w:tabs>
          <w:tab w:val="left" w:pos="567"/>
        </w:tabs>
        <w:autoSpaceDE w:val="0"/>
        <w:autoSpaceDN w:val="0"/>
        <w:adjustRightInd w:val="0"/>
        <w:ind w:left="720"/>
        <w:contextualSpacing/>
        <w:rPr>
          <w:rFonts w:eastAsiaTheme="minorHAnsi"/>
          <w:b/>
          <w:bCs/>
        </w:rPr>
      </w:pPr>
    </w:p>
    <w:p w14:paraId="49D617AE" w14:textId="0F50ACB8" w:rsidR="006342C0" w:rsidRPr="007335D2" w:rsidRDefault="00B77FF5"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rPr>
      </w:pPr>
      <w:r w:rsidRPr="00756B84">
        <w:rPr>
          <w:rFonts w:ascii="Verdana" w:eastAsia="Times New Roman" w:hAnsi="Verdana"/>
          <w:sz w:val="20"/>
          <w:szCs w:val="20"/>
        </w:rPr>
        <w:t xml:space="preserve">Resulta fundamental no </w:t>
      </w:r>
      <w:r w:rsidR="006342C0" w:rsidRPr="00756B84">
        <w:rPr>
          <w:rFonts w:ascii="Verdana" w:eastAsiaTheme="minorHAnsi" w:hAnsi="Verdana"/>
          <w:sz w:val="20"/>
          <w:szCs w:val="20"/>
          <w:lang w:val="es-419"/>
        </w:rPr>
        <w:t xml:space="preserve">confundir los repertorios normativos de que </w:t>
      </w:r>
      <w:r w:rsidR="004760EB" w:rsidRPr="00756B84">
        <w:rPr>
          <w:rFonts w:ascii="Verdana" w:eastAsiaTheme="minorHAnsi" w:hAnsi="Verdana"/>
          <w:sz w:val="20"/>
          <w:szCs w:val="20"/>
          <w:lang w:val="es-419"/>
        </w:rPr>
        <w:t>disponen,</w:t>
      </w:r>
      <w:r w:rsidR="006342C0" w:rsidRPr="00756B84">
        <w:rPr>
          <w:rFonts w:ascii="Verdana" w:eastAsiaTheme="minorHAnsi" w:hAnsi="Verdana"/>
          <w:sz w:val="20"/>
          <w:szCs w:val="20"/>
          <w:lang w:val="es-419"/>
        </w:rPr>
        <w:t xml:space="preserve"> </w:t>
      </w:r>
      <w:r w:rsidR="004D355E" w:rsidRPr="00756B84">
        <w:rPr>
          <w:rFonts w:ascii="Verdana" w:eastAsiaTheme="minorHAnsi" w:hAnsi="Verdana"/>
          <w:sz w:val="20"/>
          <w:szCs w:val="20"/>
          <w:lang w:val="es-419"/>
        </w:rPr>
        <w:t xml:space="preserve">por una parte, </w:t>
      </w:r>
      <w:r w:rsidR="006342C0" w:rsidRPr="00756B84">
        <w:rPr>
          <w:rFonts w:ascii="Verdana" w:eastAsiaTheme="minorHAnsi" w:hAnsi="Verdana"/>
          <w:sz w:val="20"/>
          <w:szCs w:val="20"/>
          <w:lang w:val="es-419"/>
        </w:rPr>
        <w:t xml:space="preserve">los tribunales nacionales y </w:t>
      </w:r>
      <w:r w:rsidR="004D355E" w:rsidRPr="00756B84">
        <w:rPr>
          <w:rFonts w:ascii="Verdana" w:eastAsiaTheme="minorHAnsi" w:hAnsi="Verdana"/>
          <w:sz w:val="20"/>
          <w:szCs w:val="20"/>
          <w:lang w:val="es-419"/>
        </w:rPr>
        <w:t xml:space="preserve">por otra, </w:t>
      </w:r>
      <w:r w:rsidR="006342C0" w:rsidRPr="00756B84">
        <w:rPr>
          <w:rFonts w:ascii="Verdana" w:eastAsiaTheme="minorHAnsi" w:hAnsi="Verdana"/>
          <w:sz w:val="20"/>
          <w:szCs w:val="20"/>
          <w:lang w:val="es-419"/>
        </w:rPr>
        <w:t>un tribunal internacional</w:t>
      </w:r>
      <w:r w:rsidR="00EA1C3C" w:rsidRPr="00756B84">
        <w:rPr>
          <w:rFonts w:ascii="Verdana" w:eastAsiaTheme="minorHAnsi" w:hAnsi="Verdana"/>
          <w:sz w:val="20"/>
          <w:szCs w:val="20"/>
          <w:lang w:val="es-419"/>
        </w:rPr>
        <w:t xml:space="preserve"> </w:t>
      </w:r>
      <w:r w:rsidR="006342C0" w:rsidRPr="00756B84">
        <w:rPr>
          <w:rFonts w:ascii="Verdana" w:eastAsiaTheme="minorHAnsi" w:hAnsi="Verdana"/>
          <w:sz w:val="20"/>
          <w:szCs w:val="20"/>
          <w:lang w:val="es-419"/>
        </w:rPr>
        <w:t xml:space="preserve">como la Corte </w:t>
      </w:r>
      <w:r w:rsidR="006342C0" w:rsidRPr="00756B84">
        <w:rPr>
          <w:rStyle w:val="s1"/>
          <w:rFonts w:ascii="Verdana" w:hAnsi="Verdana"/>
          <w:sz w:val="20"/>
          <w:szCs w:val="20"/>
        </w:rPr>
        <w:t>Interamericana</w:t>
      </w:r>
      <w:r w:rsidR="006342C0" w:rsidRPr="00756B84">
        <w:rPr>
          <w:rFonts w:ascii="Verdana" w:eastAsiaTheme="minorHAnsi" w:hAnsi="Verdana"/>
          <w:sz w:val="20"/>
          <w:szCs w:val="20"/>
          <w:lang w:val="es-419"/>
        </w:rPr>
        <w:t xml:space="preserve"> de Derechos Humanos. No hay ninguna norma del Tratado (integrado por la Convención y su Protocolo) que la faculten para declarar vulnerado el derecho a la salud en su dimensión individual en forma autónoma.</w:t>
      </w:r>
    </w:p>
    <w:p w14:paraId="6A3B529E" w14:textId="77777777" w:rsidR="007335D2" w:rsidRPr="00756B84" w:rsidRDefault="007335D2" w:rsidP="007335D2">
      <w:pPr>
        <w:widowControl w:val="0"/>
        <w:tabs>
          <w:tab w:val="left" w:pos="567"/>
        </w:tabs>
        <w:adjustRightInd w:val="0"/>
        <w:jc w:val="both"/>
        <w:rPr>
          <w:rFonts w:ascii="Verdana" w:eastAsiaTheme="minorHAnsi" w:hAnsi="Verdana"/>
          <w:sz w:val="20"/>
          <w:szCs w:val="20"/>
        </w:rPr>
      </w:pPr>
    </w:p>
    <w:p w14:paraId="35574700" w14:textId="2C25F0CF" w:rsidR="006342C0" w:rsidRDefault="0077059E"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rPr>
      </w:pPr>
      <w:r w:rsidRPr="00756B84">
        <w:rPr>
          <w:rFonts w:ascii="Verdana" w:eastAsiaTheme="minorHAnsi" w:hAnsi="Verdana"/>
          <w:sz w:val="20"/>
          <w:szCs w:val="20"/>
          <w:lang w:val="es-419"/>
        </w:rPr>
        <w:t>Los</w:t>
      </w:r>
      <w:r w:rsidR="006342C0" w:rsidRPr="00756B84">
        <w:rPr>
          <w:rFonts w:ascii="Verdana" w:eastAsiaTheme="minorHAnsi" w:hAnsi="Verdana"/>
          <w:sz w:val="20"/>
          <w:szCs w:val="20"/>
        </w:rPr>
        <w:t xml:space="preserve"> tribunales internacionales deben ejercer su competencia en el marco fijado por los tratados pertinentes. Tales instrumentos jurídicos constituyen su fundamento y también el límite de su actuación. Desde una perspectiva democrática, lo expresado </w:t>
      </w:r>
      <w:r w:rsidR="006342C0" w:rsidRPr="00756B84">
        <w:rPr>
          <w:rFonts w:ascii="Verdana" w:eastAsiaTheme="minorHAnsi" w:hAnsi="Verdana"/>
          <w:sz w:val="20"/>
          <w:szCs w:val="20"/>
        </w:rPr>
        <w:lastRenderedPageBreak/>
        <w:t xml:space="preserve">es coherente con el debido respeto a los procesos deliberativos internos que se desarrollan a propósito de la ratificación de un tratado y con el tipo de interpretación que </w:t>
      </w:r>
      <w:r w:rsidR="00F76EE8" w:rsidRPr="00756B84">
        <w:rPr>
          <w:rFonts w:ascii="Verdana" w:eastAsiaTheme="minorHAnsi" w:hAnsi="Verdana"/>
          <w:sz w:val="20"/>
          <w:szCs w:val="20"/>
        </w:rPr>
        <w:t>llevan a cabo</w:t>
      </w:r>
      <w:r w:rsidR="006342C0" w:rsidRPr="00756B84">
        <w:rPr>
          <w:rFonts w:ascii="Verdana" w:eastAsiaTheme="minorHAnsi" w:hAnsi="Verdana"/>
          <w:sz w:val="20"/>
          <w:szCs w:val="20"/>
        </w:rPr>
        <w:t xml:space="preserve"> los tribunales internacionales. Dicha labor hermenéutica se ejerce respecto de normas de derecho internacional, no es de naturaleza constitucional.</w:t>
      </w:r>
    </w:p>
    <w:p w14:paraId="7C63920B" w14:textId="77777777" w:rsidR="00756B84" w:rsidRPr="00756B84" w:rsidRDefault="00756B84" w:rsidP="00756B84">
      <w:pPr>
        <w:widowControl w:val="0"/>
        <w:tabs>
          <w:tab w:val="left" w:pos="567"/>
          <w:tab w:val="num" w:pos="12305"/>
        </w:tabs>
        <w:adjustRightInd w:val="0"/>
        <w:jc w:val="both"/>
        <w:rPr>
          <w:rFonts w:ascii="Verdana" w:eastAsiaTheme="minorHAnsi" w:hAnsi="Verdana"/>
          <w:sz w:val="20"/>
          <w:szCs w:val="20"/>
        </w:rPr>
      </w:pPr>
    </w:p>
    <w:p w14:paraId="5D8DFE8B" w14:textId="74A6A75F" w:rsidR="00CB3AF7" w:rsidRDefault="00CB1937" w:rsidP="00756B84">
      <w:pPr>
        <w:widowControl w:val="0"/>
        <w:numPr>
          <w:ilvl w:val="0"/>
          <w:numId w:val="27"/>
        </w:numPr>
        <w:tabs>
          <w:tab w:val="left" w:pos="567"/>
          <w:tab w:val="num" w:pos="1569"/>
          <w:tab w:val="num" w:pos="12305"/>
        </w:tabs>
        <w:adjustRightInd w:val="0"/>
        <w:ind w:left="0" w:firstLine="0"/>
        <w:jc w:val="both"/>
        <w:rPr>
          <w:rFonts w:ascii="Verdana" w:eastAsiaTheme="minorHAnsi" w:hAnsi="Verdana"/>
          <w:sz w:val="20"/>
          <w:szCs w:val="20"/>
        </w:rPr>
      </w:pPr>
      <w:r w:rsidRPr="00756B84">
        <w:rPr>
          <w:rFonts w:ascii="Verdana" w:eastAsiaTheme="minorHAnsi" w:hAnsi="Verdana"/>
          <w:sz w:val="20"/>
          <w:szCs w:val="20"/>
        </w:rPr>
        <w:t xml:space="preserve">Por otra parte, además de </w:t>
      </w:r>
      <w:r w:rsidR="00E6697E" w:rsidRPr="00756B84">
        <w:rPr>
          <w:rFonts w:ascii="Verdana" w:eastAsiaTheme="minorHAnsi" w:hAnsi="Verdana"/>
          <w:sz w:val="20"/>
          <w:szCs w:val="20"/>
        </w:rPr>
        <w:t>la falta de competencia de</w:t>
      </w:r>
      <w:r w:rsidRPr="00756B84">
        <w:rPr>
          <w:rFonts w:ascii="Verdana" w:eastAsiaTheme="minorHAnsi" w:hAnsi="Verdana"/>
          <w:sz w:val="20"/>
          <w:szCs w:val="20"/>
        </w:rPr>
        <w:t xml:space="preserve"> este Tribunal para </w:t>
      </w:r>
      <w:r w:rsidR="00165AC9" w:rsidRPr="00756B84">
        <w:rPr>
          <w:rFonts w:ascii="Verdana" w:eastAsiaTheme="minorHAnsi" w:hAnsi="Verdana"/>
          <w:sz w:val="20"/>
          <w:szCs w:val="20"/>
        </w:rPr>
        <w:t xml:space="preserve">declarar la violación </w:t>
      </w:r>
      <w:r w:rsidR="00165AC9" w:rsidRPr="00756B84">
        <w:rPr>
          <w:rStyle w:val="s1"/>
          <w:rFonts w:ascii="Verdana" w:hAnsi="Verdana"/>
          <w:sz w:val="20"/>
          <w:szCs w:val="20"/>
        </w:rPr>
        <w:t>autónoma</w:t>
      </w:r>
      <w:r w:rsidR="00165AC9" w:rsidRPr="00756B84">
        <w:rPr>
          <w:rFonts w:ascii="Verdana" w:eastAsiaTheme="minorHAnsi" w:hAnsi="Verdana"/>
          <w:sz w:val="20"/>
          <w:szCs w:val="20"/>
        </w:rPr>
        <w:t xml:space="preserve"> del derecho a la salud, en este caso</w:t>
      </w:r>
      <w:r w:rsidR="004E2FD4" w:rsidRPr="00756B84">
        <w:rPr>
          <w:rFonts w:ascii="Verdana" w:eastAsiaTheme="minorHAnsi" w:hAnsi="Verdana"/>
          <w:sz w:val="20"/>
          <w:szCs w:val="20"/>
        </w:rPr>
        <w:t xml:space="preserve"> </w:t>
      </w:r>
      <w:r w:rsidR="00515ADA" w:rsidRPr="00756B84">
        <w:rPr>
          <w:rFonts w:ascii="Verdana" w:eastAsiaTheme="minorHAnsi" w:hAnsi="Verdana"/>
          <w:sz w:val="20"/>
          <w:szCs w:val="20"/>
        </w:rPr>
        <w:t xml:space="preserve">no </w:t>
      </w:r>
      <w:r w:rsidR="00B214A6" w:rsidRPr="00756B84">
        <w:rPr>
          <w:rFonts w:ascii="Verdana" w:eastAsiaTheme="minorHAnsi" w:hAnsi="Verdana"/>
          <w:sz w:val="20"/>
          <w:szCs w:val="20"/>
        </w:rPr>
        <w:t>resultó probado que el Estado hubiese incumplido su obligación de regular, fiscalizar</w:t>
      </w:r>
      <w:r w:rsidR="002C4D1F" w:rsidRPr="00756B84">
        <w:rPr>
          <w:rFonts w:ascii="Verdana" w:eastAsiaTheme="minorHAnsi" w:hAnsi="Verdana"/>
          <w:sz w:val="20"/>
          <w:szCs w:val="20"/>
        </w:rPr>
        <w:t xml:space="preserve"> y supervisar la</w:t>
      </w:r>
      <w:r w:rsidR="004E2FD4" w:rsidRPr="00756B84">
        <w:rPr>
          <w:rFonts w:ascii="Verdana" w:eastAsiaTheme="minorHAnsi" w:hAnsi="Verdana"/>
          <w:sz w:val="20"/>
          <w:szCs w:val="20"/>
        </w:rPr>
        <w:t xml:space="preserve">s prestaciones brindadas en la clínica en que fue atendida la víctima. </w:t>
      </w:r>
      <w:r w:rsidR="0092640B" w:rsidRPr="00756B84">
        <w:rPr>
          <w:rFonts w:ascii="Verdana" w:eastAsiaTheme="minorHAnsi" w:hAnsi="Verdana"/>
          <w:sz w:val="20"/>
          <w:szCs w:val="20"/>
        </w:rPr>
        <w:t xml:space="preserve">En efecto, </w:t>
      </w:r>
      <w:r w:rsidR="00DD6D4A" w:rsidRPr="00756B84">
        <w:rPr>
          <w:rFonts w:ascii="Verdana" w:eastAsiaTheme="minorHAnsi" w:hAnsi="Verdana"/>
          <w:sz w:val="20"/>
          <w:szCs w:val="20"/>
        </w:rPr>
        <w:t xml:space="preserve">como se dijo antes, ningún alegato </w:t>
      </w:r>
      <w:r w:rsidR="00AF5E25">
        <w:rPr>
          <w:rFonts w:ascii="Verdana" w:eastAsiaTheme="minorHAnsi" w:hAnsi="Verdana"/>
          <w:sz w:val="20"/>
          <w:szCs w:val="20"/>
        </w:rPr>
        <w:t>se</w:t>
      </w:r>
      <w:r w:rsidR="00DD6D4A" w:rsidRPr="00756B84">
        <w:rPr>
          <w:rFonts w:ascii="Verdana" w:eastAsiaTheme="minorHAnsi" w:hAnsi="Verdana"/>
          <w:sz w:val="20"/>
          <w:szCs w:val="20"/>
        </w:rPr>
        <w:t xml:space="preserve"> formuló en </w:t>
      </w:r>
      <w:r w:rsidR="00AF5E25">
        <w:rPr>
          <w:rFonts w:ascii="Verdana" w:eastAsiaTheme="minorHAnsi" w:hAnsi="Verdana"/>
          <w:sz w:val="20"/>
          <w:szCs w:val="20"/>
        </w:rPr>
        <w:t xml:space="preserve">tal </w:t>
      </w:r>
      <w:r w:rsidR="00DD6D4A" w:rsidRPr="00756B84">
        <w:rPr>
          <w:rFonts w:ascii="Verdana" w:eastAsiaTheme="minorHAnsi" w:hAnsi="Verdana"/>
          <w:sz w:val="20"/>
          <w:szCs w:val="20"/>
        </w:rPr>
        <w:t xml:space="preserve">sentido y </w:t>
      </w:r>
      <w:r w:rsidR="0092640B" w:rsidRPr="00756B84">
        <w:rPr>
          <w:rFonts w:ascii="Verdana" w:eastAsiaTheme="minorHAnsi" w:hAnsi="Verdana"/>
          <w:sz w:val="20"/>
          <w:szCs w:val="20"/>
        </w:rPr>
        <w:t>ninguna prueba se rindió al respecto</w:t>
      </w:r>
      <w:r w:rsidR="00F50ABF" w:rsidRPr="00756B84">
        <w:rPr>
          <w:rFonts w:ascii="Verdana" w:eastAsiaTheme="minorHAnsi" w:hAnsi="Verdana"/>
          <w:sz w:val="20"/>
          <w:szCs w:val="20"/>
        </w:rPr>
        <w:t xml:space="preserve">. Por ello es </w:t>
      </w:r>
      <w:proofErr w:type="gramStart"/>
      <w:r w:rsidR="00757BDE" w:rsidRPr="00756B84">
        <w:rPr>
          <w:rFonts w:ascii="Verdana" w:eastAsiaTheme="minorHAnsi" w:hAnsi="Verdana"/>
          <w:sz w:val="20"/>
          <w:szCs w:val="20"/>
        </w:rPr>
        <w:t>que</w:t>
      </w:r>
      <w:proofErr w:type="gramEnd"/>
      <w:r w:rsidR="00757BDE" w:rsidRPr="00756B84">
        <w:rPr>
          <w:rFonts w:ascii="Verdana" w:eastAsiaTheme="minorHAnsi" w:hAnsi="Verdana"/>
          <w:sz w:val="20"/>
          <w:szCs w:val="20"/>
        </w:rPr>
        <w:t xml:space="preserve"> </w:t>
      </w:r>
      <w:r w:rsidR="00EF6E5F" w:rsidRPr="00756B84">
        <w:rPr>
          <w:rFonts w:ascii="Verdana" w:eastAsiaTheme="minorHAnsi" w:hAnsi="Verdana"/>
          <w:sz w:val="20"/>
          <w:szCs w:val="20"/>
        </w:rPr>
        <w:t xml:space="preserve">la sentencia no explica de qué modo se habría </w:t>
      </w:r>
      <w:r w:rsidR="001F2832" w:rsidRPr="00756B84">
        <w:rPr>
          <w:rFonts w:ascii="Verdana" w:eastAsiaTheme="minorHAnsi" w:hAnsi="Verdana"/>
          <w:sz w:val="20"/>
          <w:szCs w:val="20"/>
        </w:rPr>
        <w:t xml:space="preserve">infringido tal deber y cómo es </w:t>
      </w:r>
      <w:r w:rsidR="000C78CA" w:rsidRPr="00756B84">
        <w:rPr>
          <w:rFonts w:ascii="Verdana" w:eastAsiaTheme="minorHAnsi" w:hAnsi="Verdana"/>
          <w:sz w:val="20"/>
          <w:szCs w:val="20"/>
        </w:rPr>
        <w:t xml:space="preserve">qué tal </w:t>
      </w:r>
      <w:r w:rsidR="00BF2ADC" w:rsidRPr="00756B84">
        <w:rPr>
          <w:rFonts w:ascii="Verdana" w:eastAsiaTheme="minorHAnsi" w:hAnsi="Verdana"/>
          <w:sz w:val="20"/>
          <w:szCs w:val="20"/>
        </w:rPr>
        <w:t xml:space="preserve">omisión </w:t>
      </w:r>
      <w:r w:rsidR="005257DC" w:rsidRPr="00756B84">
        <w:rPr>
          <w:rFonts w:ascii="Verdana" w:eastAsiaTheme="minorHAnsi" w:hAnsi="Verdana"/>
          <w:sz w:val="20"/>
          <w:szCs w:val="20"/>
        </w:rPr>
        <w:t>y/</w:t>
      </w:r>
      <w:r w:rsidR="00BF2ADC" w:rsidRPr="00756B84">
        <w:rPr>
          <w:rFonts w:ascii="Verdana" w:eastAsiaTheme="minorHAnsi" w:hAnsi="Verdana"/>
          <w:sz w:val="20"/>
          <w:szCs w:val="20"/>
        </w:rPr>
        <w:t xml:space="preserve">o </w:t>
      </w:r>
      <w:r w:rsidR="000C78CA" w:rsidRPr="00756B84">
        <w:rPr>
          <w:rFonts w:ascii="Verdana" w:eastAsiaTheme="minorHAnsi" w:hAnsi="Verdana"/>
          <w:sz w:val="20"/>
          <w:szCs w:val="20"/>
        </w:rPr>
        <w:t>lenidad</w:t>
      </w:r>
      <w:r w:rsidR="008D0013" w:rsidRPr="00756B84">
        <w:rPr>
          <w:rFonts w:ascii="Verdana" w:eastAsiaTheme="minorHAnsi" w:hAnsi="Verdana"/>
          <w:sz w:val="20"/>
          <w:szCs w:val="20"/>
        </w:rPr>
        <w:t xml:space="preserve"> </w:t>
      </w:r>
      <w:r w:rsidR="000C78CA" w:rsidRPr="00756B84">
        <w:rPr>
          <w:rFonts w:ascii="Verdana" w:eastAsiaTheme="minorHAnsi" w:hAnsi="Verdana"/>
          <w:sz w:val="20"/>
          <w:szCs w:val="20"/>
        </w:rPr>
        <w:t xml:space="preserve">repercutió en que se concretaran los </w:t>
      </w:r>
      <w:r w:rsidR="009A2F7A" w:rsidRPr="00756B84">
        <w:rPr>
          <w:rFonts w:ascii="Verdana" w:eastAsiaTheme="minorHAnsi" w:hAnsi="Verdana"/>
          <w:sz w:val="20"/>
          <w:szCs w:val="20"/>
        </w:rPr>
        <w:t xml:space="preserve">alegados </w:t>
      </w:r>
      <w:r w:rsidR="000C78CA" w:rsidRPr="00756B84">
        <w:rPr>
          <w:rFonts w:ascii="Verdana" w:eastAsiaTheme="minorHAnsi" w:hAnsi="Verdana"/>
          <w:sz w:val="20"/>
          <w:szCs w:val="20"/>
        </w:rPr>
        <w:t xml:space="preserve">actos indiciarios de </w:t>
      </w:r>
      <w:r w:rsidR="009A2F7A" w:rsidRPr="00756B84">
        <w:rPr>
          <w:rFonts w:ascii="Verdana" w:eastAsiaTheme="minorHAnsi" w:hAnsi="Verdana"/>
          <w:sz w:val="20"/>
          <w:szCs w:val="20"/>
        </w:rPr>
        <w:t>mala praxis médica y de</w:t>
      </w:r>
      <w:r w:rsidR="00176D47" w:rsidRPr="00756B84">
        <w:rPr>
          <w:rFonts w:ascii="Verdana" w:eastAsiaTheme="minorHAnsi" w:hAnsi="Verdana"/>
          <w:sz w:val="20"/>
          <w:szCs w:val="20"/>
        </w:rPr>
        <w:t xml:space="preserve"> eventual violencia obstétrica </w:t>
      </w:r>
      <w:r w:rsidR="00D332AB" w:rsidRPr="00756B84">
        <w:rPr>
          <w:rFonts w:ascii="Verdana" w:eastAsiaTheme="minorHAnsi" w:hAnsi="Verdana"/>
          <w:sz w:val="20"/>
          <w:szCs w:val="20"/>
        </w:rPr>
        <w:t xml:space="preserve">respecto de la señora Rodríguez Pacheco. </w:t>
      </w:r>
    </w:p>
    <w:p w14:paraId="6EA71B1B" w14:textId="77777777" w:rsidR="00756B84" w:rsidRDefault="00756B84" w:rsidP="00756B84">
      <w:pPr>
        <w:pStyle w:val="Prrafodelista"/>
        <w:rPr>
          <w:rFonts w:ascii="Verdana" w:eastAsiaTheme="minorHAnsi" w:hAnsi="Verdana"/>
          <w:sz w:val="20"/>
          <w:szCs w:val="20"/>
        </w:rPr>
      </w:pPr>
    </w:p>
    <w:p w14:paraId="55CAE60E" w14:textId="2235A9BB" w:rsidR="009E32C1" w:rsidRPr="00756B84" w:rsidRDefault="00FC7623" w:rsidP="00756B84">
      <w:pPr>
        <w:widowControl w:val="0"/>
        <w:numPr>
          <w:ilvl w:val="0"/>
          <w:numId w:val="27"/>
        </w:numPr>
        <w:tabs>
          <w:tab w:val="left" w:pos="567"/>
          <w:tab w:val="num" w:pos="1569"/>
          <w:tab w:val="num" w:pos="12305"/>
        </w:tabs>
        <w:adjustRightInd w:val="0"/>
        <w:ind w:left="0" w:firstLine="0"/>
        <w:jc w:val="both"/>
        <w:rPr>
          <w:rFonts w:ascii="Verdana" w:hAnsi="Verdana"/>
          <w:sz w:val="20"/>
          <w:szCs w:val="20"/>
        </w:rPr>
      </w:pPr>
      <w:proofErr w:type="gramStart"/>
      <w:r w:rsidRPr="00756B84">
        <w:rPr>
          <w:rFonts w:ascii="Verdana" w:eastAsiaTheme="minorHAnsi" w:hAnsi="Verdana"/>
          <w:sz w:val="20"/>
          <w:szCs w:val="20"/>
        </w:rPr>
        <w:t>En razón de</w:t>
      </w:r>
      <w:proofErr w:type="gramEnd"/>
      <w:r w:rsidRPr="00756B84">
        <w:rPr>
          <w:rFonts w:ascii="Verdana" w:eastAsiaTheme="minorHAnsi" w:hAnsi="Verdana"/>
          <w:sz w:val="20"/>
          <w:szCs w:val="20"/>
        </w:rPr>
        <w:t xml:space="preserve"> l</w:t>
      </w:r>
      <w:r w:rsidR="00104CEC" w:rsidRPr="00756B84">
        <w:rPr>
          <w:rFonts w:ascii="Verdana" w:eastAsiaTheme="minorHAnsi" w:hAnsi="Verdana"/>
          <w:sz w:val="20"/>
          <w:szCs w:val="20"/>
        </w:rPr>
        <w:t xml:space="preserve">os argumentos </w:t>
      </w:r>
      <w:r w:rsidR="00B043AE" w:rsidRPr="00756B84">
        <w:rPr>
          <w:rFonts w:ascii="Verdana" w:eastAsiaTheme="minorHAnsi" w:hAnsi="Verdana"/>
          <w:sz w:val="20"/>
          <w:szCs w:val="20"/>
        </w:rPr>
        <w:t xml:space="preserve">expuestos en este voto, </w:t>
      </w:r>
      <w:r w:rsidR="00CB3AF7" w:rsidRPr="00756B84">
        <w:rPr>
          <w:rFonts w:ascii="Verdana" w:eastAsiaTheme="minorHAnsi" w:hAnsi="Verdana"/>
          <w:sz w:val="20"/>
          <w:szCs w:val="20"/>
        </w:rPr>
        <w:t xml:space="preserve">coincido con la decisión de la mayoría del </w:t>
      </w:r>
      <w:r w:rsidR="00E61FB4" w:rsidRPr="00756B84">
        <w:rPr>
          <w:rFonts w:ascii="Verdana" w:eastAsiaTheme="minorHAnsi" w:hAnsi="Verdana"/>
          <w:sz w:val="20"/>
          <w:szCs w:val="20"/>
        </w:rPr>
        <w:t xml:space="preserve">Tribunal de declarar vulnerado el derecho a la integridad personal de la </w:t>
      </w:r>
      <w:r w:rsidR="00D24D7B" w:rsidRPr="00756B84">
        <w:rPr>
          <w:rStyle w:val="s1"/>
          <w:rFonts w:ascii="Verdana" w:hAnsi="Verdana"/>
          <w:sz w:val="20"/>
          <w:szCs w:val="20"/>
        </w:rPr>
        <w:t>víctima</w:t>
      </w:r>
      <w:r w:rsidR="00D24D7B" w:rsidRPr="00756B84">
        <w:rPr>
          <w:rFonts w:ascii="Verdana" w:eastAsiaTheme="minorHAnsi" w:hAnsi="Verdana"/>
          <w:sz w:val="20"/>
          <w:szCs w:val="20"/>
        </w:rPr>
        <w:t>,</w:t>
      </w:r>
      <w:r w:rsidR="00E61FB4" w:rsidRPr="00756B84">
        <w:rPr>
          <w:rFonts w:ascii="Verdana" w:eastAsiaTheme="minorHAnsi" w:hAnsi="Verdana"/>
          <w:sz w:val="20"/>
          <w:szCs w:val="20"/>
        </w:rPr>
        <w:t xml:space="preserve"> pero por razones distintas </w:t>
      </w:r>
      <w:r w:rsidR="00D24D7B" w:rsidRPr="00756B84">
        <w:rPr>
          <w:rFonts w:ascii="Verdana" w:eastAsiaTheme="minorHAnsi" w:hAnsi="Verdana"/>
          <w:sz w:val="20"/>
          <w:szCs w:val="20"/>
        </w:rPr>
        <w:t>a las indicadas en la sentencia, según se ha explicado.</w:t>
      </w:r>
      <w:r w:rsidR="007335D2">
        <w:rPr>
          <w:rFonts w:ascii="Verdana" w:eastAsiaTheme="minorHAnsi" w:hAnsi="Verdana"/>
          <w:sz w:val="20"/>
          <w:szCs w:val="20"/>
        </w:rPr>
        <w:t xml:space="preserve"> </w:t>
      </w:r>
    </w:p>
    <w:p w14:paraId="71E42E00" w14:textId="77777777" w:rsidR="00D24D7B" w:rsidRPr="00756B84" w:rsidRDefault="00D24D7B" w:rsidP="00756B84">
      <w:pPr>
        <w:pStyle w:val="Numberedparagraphs"/>
        <w:widowControl w:val="0"/>
        <w:numPr>
          <w:ilvl w:val="0"/>
          <w:numId w:val="0"/>
        </w:numPr>
        <w:tabs>
          <w:tab w:val="left" w:pos="567"/>
        </w:tabs>
        <w:autoSpaceDE w:val="0"/>
        <w:autoSpaceDN w:val="0"/>
        <w:adjustRightInd w:val="0"/>
        <w:contextualSpacing/>
        <w:rPr>
          <w:rFonts w:eastAsiaTheme="minorHAnsi"/>
        </w:rPr>
      </w:pPr>
    </w:p>
    <w:p w14:paraId="0FE06698" w14:textId="77777777" w:rsidR="00D24D7B" w:rsidRPr="00756B84" w:rsidRDefault="00D24D7B" w:rsidP="00756B84">
      <w:pPr>
        <w:pStyle w:val="Numberedparagraphs"/>
        <w:widowControl w:val="0"/>
        <w:numPr>
          <w:ilvl w:val="0"/>
          <w:numId w:val="0"/>
        </w:numPr>
        <w:tabs>
          <w:tab w:val="left" w:pos="567"/>
        </w:tabs>
        <w:autoSpaceDE w:val="0"/>
        <w:autoSpaceDN w:val="0"/>
        <w:adjustRightInd w:val="0"/>
        <w:contextualSpacing/>
        <w:rPr>
          <w:rFonts w:eastAsiaTheme="minorHAnsi"/>
        </w:rPr>
      </w:pPr>
    </w:p>
    <w:p w14:paraId="778547C1" w14:textId="77777777" w:rsidR="00D24D7B" w:rsidRPr="00756B84" w:rsidRDefault="00D24D7B" w:rsidP="00756B84">
      <w:pPr>
        <w:pStyle w:val="Numberedparagraphs"/>
        <w:widowControl w:val="0"/>
        <w:numPr>
          <w:ilvl w:val="0"/>
          <w:numId w:val="0"/>
        </w:numPr>
        <w:tabs>
          <w:tab w:val="left" w:pos="567"/>
        </w:tabs>
        <w:autoSpaceDE w:val="0"/>
        <w:autoSpaceDN w:val="0"/>
        <w:adjustRightInd w:val="0"/>
        <w:contextualSpacing/>
      </w:pPr>
    </w:p>
    <w:p w14:paraId="6D24CD8C" w14:textId="1D05F1E9" w:rsidR="009E32C1" w:rsidRPr="00756B84" w:rsidRDefault="009E32C1" w:rsidP="00756B84">
      <w:pPr>
        <w:jc w:val="both"/>
        <w:rPr>
          <w:rFonts w:ascii="Verdana" w:hAnsi="Verdana" w:cs="Times New Roman"/>
          <w:sz w:val="20"/>
          <w:szCs w:val="20"/>
        </w:rPr>
      </w:pPr>
    </w:p>
    <w:p w14:paraId="309A7BEB" w14:textId="1D6C4F96" w:rsidR="006342C0" w:rsidRPr="00756B84" w:rsidRDefault="006342C0" w:rsidP="0025756B">
      <w:pPr>
        <w:ind w:left="4956" w:firstLine="708"/>
        <w:jc w:val="both"/>
        <w:rPr>
          <w:rFonts w:ascii="Verdana" w:hAnsi="Verdana" w:cs="Times New Roman"/>
          <w:sz w:val="20"/>
          <w:szCs w:val="20"/>
        </w:rPr>
      </w:pPr>
      <w:r w:rsidRPr="00756B84">
        <w:rPr>
          <w:rFonts w:ascii="Verdana" w:hAnsi="Verdana" w:cs="Times New Roman"/>
          <w:sz w:val="20"/>
          <w:szCs w:val="20"/>
        </w:rPr>
        <w:t>Patricia Pérez Goldberg</w:t>
      </w:r>
    </w:p>
    <w:p w14:paraId="674040DE" w14:textId="1DEF082A" w:rsidR="006342C0" w:rsidRPr="00756B84" w:rsidRDefault="006342C0" w:rsidP="00756B84">
      <w:pPr>
        <w:jc w:val="both"/>
        <w:rPr>
          <w:rFonts w:ascii="Verdana" w:hAnsi="Verdana" w:cs="Times New Roman"/>
          <w:sz w:val="20"/>
          <w:szCs w:val="20"/>
        </w:rPr>
      </w:pPr>
      <w:r w:rsidRPr="00756B84">
        <w:rPr>
          <w:rFonts w:ascii="Verdana" w:hAnsi="Verdana" w:cs="Times New Roman"/>
          <w:sz w:val="20"/>
          <w:szCs w:val="20"/>
        </w:rPr>
        <w:tab/>
      </w:r>
      <w:r w:rsidRPr="00756B84">
        <w:rPr>
          <w:rFonts w:ascii="Verdana" w:hAnsi="Verdana" w:cs="Times New Roman"/>
          <w:sz w:val="20"/>
          <w:szCs w:val="20"/>
        </w:rPr>
        <w:tab/>
      </w:r>
      <w:r w:rsidRPr="00756B84">
        <w:rPr>
          <w:rFonts w:ascii="Verdana" w:hAnsi="Verdana" w:cs="Times New Roman"/>
          <w:sz w:val="20"/>
          <w:szCs w:val="20"/>
        </w:rPr>
        <w:tab/>
      </w:r>
      <w:r w:rsidRPr="00756B84">
        <w:rPr>
          <w:rFonts w:ascii="Verdana" w:hAnsi="Verdana" w:cs="Times New Roman"/>
          <w:sz w:val="20"/>
          <w:szCs w:val="20"/>
        </w:rPr>
        <w:tab/>
      </w:r>
      <w:r w:rsidRPr="00756B84">
        <w:rPr>
          <w:rFonts w:ascii="Verdana" w:hAnsi="Verdana" w:cs="Times New Roman"/>
          <w:sz w:val="20"/>
          <w:szCs w:val="20"/>
        </w:rPr>
        <w:tab/>
      </w:r>
      <w:r w:rsidR="0025756B">
        <w:rPr>
          <w:rFonts w:ascii="Verdana" w:hAnsi="Verdana" w:cs="Times New Roman"/>
          <w:sz w:val="20"/>
          <w:szCs w:val="20"/>
        </w:rPr>
        <w:tab/>
      </w:r>
      <w:r w:rsidR="0025756B">
        <w:rPr>
          <w:rFonts w:ascii="Verdana" w:hAnsi="Verdana" w:cs="Times New Roman"/>
          <w:sz w:val="20"/>
          <w:szCs w:val="20"/>
        </w:rPr>
        <w:tab/>
      </w:r>
      <w:r w:rsidR="0025756B">
        <w:rPr>
          <w:rFonts w:ascii="Verdana" w:hAnsi="Verdana" w:cs="Times New Roman"/>
          <w:sz w:val="20"/>
          <w:szCs w:val="20"/>
        </w:rPr>
        <w:tab/>
      </w:r>
      <w:r w:rsidR="005A5251">
        <w:rPr>
          <w:rFonts w:ascii="Verdana" w:hAnsi="Verdana" w:cs="Times New Roman"/>
          <w:sz w:val="20"/>
          <w:szCs w:val="20"/>
        </w:rPr>
        <w:t xml:space="preserve"> </w:t>
      </w:r>
      <w:r w:rsidR="0025756B">
        <w:rPr>
          <w:rFonts w:ascii="Verdana" w:hAnsi="Verdana" w:cs="Times New Roman"/>
          <w:sz w:val="20"/>
          <w:szCs w:val="20"/>
        </w:rPr>
        <w:tab/>
      </w:r>
      <w:r w:rsidRPr="00756B84">
        <w:rPr>
          <w:rFonts w:ascii="Verdana" w:hAnsi="Verdana" w:cs="Times New Roman"/>
          <w:sz w:val="20"/>
          <w:szCs w:val="20"/>
        </w:rPr>
        <w:t>Jueza</w:t>
      </w:r>
    </w:p>
    <w:p w14:paraId="4FCC8489" w14:textId="3334D24C" w:rsidR="002060B6" w:rsidRPr="00756B84" w:rsidRDefault="002060B6" w:rsidP="00756B84">
      <w:pPr>
        <w:pStyle w:val="Numberedparagraphs"/>
        <w:widowControl w:val="0"/>
        <w:numPr>
          <w:ilvl w:val="0"/>
          <w:numId w:val="0"/>
        </w:numPr>
        <w:tabs>
          <w:tab w:val="left" w:pos="567"/>
        </w:tabs>
        <w:autoSpaceDE w:val="0"/>
        <w:autoSpaceDN w:val="0"/>
        <w:adjustRightInd w:val="0"/>
      </w:pPr>
    </w:p>
    <w:p w14:paraId="0C748A60" w14:textId="6DED3367" w:rsidR="009E32C1" w:rsidRPr="00756B84" w:rsidRDefault="009E32C1" w:rsidP="00756B84">
      <w:pPr>
        <w:pStyle w:val="Numberedparagraphs"/>
        <w:widowControl w:val="0"/>
        <w:numPr>
          <w:ilvl w:val="0"/>
          <w:numId w:val="0"/>
        </w:numPr>
        <w:tabs>
          <w:tab w:val="left" w:pos="567"/>
        </w:tabs>
        <w:autoSpaceDE w:val="0"/>
        <w:autoSpaceDN w:val="0"/>
        <w:adjustRightInd w:val="0"/>
      </w:pPr>
    </w:p>
    <w:p w14:paraId="3FD9EEE7" w14:textId="37EE63F4" w:rsidR="009E32C1" w:rsidRPr="00756B84" w:rsidRDefault="009E32C1" w:rsidP="00756B84">
      <w:pPr>
        <w:pStyle w:val="Numberedparagraphs"/>
        <w:widowControl w:val="0"/>
        <w:numPr>
          <w:ilvl w:val="0"/>
          <w:numId w:val="0"/>
        </w:numPr>
        <w:tabs>
          <w:tab w:val="left" w:pos="567"/>
        </w:tabs>
        <w:autoSpaceDE w:val="0"/>
        <w:autoSpaceDN w:val="0"/>
        <w:adjustRightInd w:val="0"/>
      </w:pPr>
    </w:p>
    <w:p w14:paraId="4F7D574A" w14:textId="77777777" w:rsidR="009E32C1" w:rsidRPr="00756B84" w:rsidRDefault="009E32C1" w:rsidP="00756B84">
      <w:pPr>
        <w:pStyle w:val="Numberedparagraphs"/>
        <w:widowControl w:val="0"/>
        <w:numPr>
          <w:ilvl w:val="0"/>
          <w:numId w:val="0"/>
        </w:numPr>
        <w:tabs>
          <w:tab w:val="left" w:pos="567"/>
        </w:tabs>
        <w:autoSpaceDE w:val="0"/>
        <w:autoSpaceDN w:val="0"/>
        <w:adjustRightInd w:val="0"/>
      </w:pPr>
    </w:p>
    <w:p w14:paraId="554E1243" w14:textId="77777777" w:rsidR="00260CAE" w:rsidRPr="00756B84" w:rsidRDefault="00260CAE" w:rsidP="00756B84">
      <w:pPr>
        <w:pStyle w:val="Numberedparagraphs"/>
        <w:widowControl w:val="0"/>
        <w:numPr>
          <w:ilvl w:val="0"/>
          <w:numId w:val="0"/>
        </w:numPr>
        <w:tabs>
          <w:tab w:val="left" w:pos="567"/>
        </w:tabs>
        <w:autoSpaceDE w:val="0"/>
        <w:autoSpaceDN w:val="0"/>
        <w:adjustRightInd w:val="0"/>
        <w:ind w:left="567"/>
        <w:contextualSpacing/>
        <w:rPr>
          <w:rFonts w:eastAsiaTheme="minorHAnsi"/>
        </w:rPr>
      </w:pPr>
    </w:p>
    <w:p w14:paraId="6DC714D0" w14:textId="77777777" w:rsidR="005E5BCD" w:rsidRPr="00756B84" w:rsidRDefault="005E5BCD" w:rsidP="0025756B">
      <w:pPr>
        <w:jc w:val="both"/>
        <w:rPr>
          <w:rFonts w:ascii="Verdana" w:eastAsia="Times" w:hAnsi="Verdana" w:cs="Times"/>
          <w:sz w:val="20"/>
          <w:szCs w:val="20"/>
          <w:lang w:val="pt-BR"/>
        </w:rPr>
      </w:pPr>
      <w:r w:rsidRPr="00756B84">
        <w:rPr>
          <w:rFonts w:ascii="Verdana" w:eastAsia="Times" w:hAnsi="Verdana" w:cs="Times"/>
          <w:sz w:val="20"/>
          <w:szCs w:val="20"/>
          <w:lang w:val="pt-BR"/>
        </w:rPr>
        <w:t>Pablo Saavedra Alessandri</w:t>
      </w:r>
    </w:p>
    <w:p w14:paraId="097663EE" w14:textId="3DE7F4D8" w:rsidR="005E5BCD" w:rsidRPr="00756B84" w:rsidRDefault="0025756B" w:rsidP="0025756B">
      <w:pPr>
        <w:jc w:val="both"/>
        <w:rPr>
          <w:rFonts w:ascii="Verdana" w:eastAsia="Times" w:hAnsi="Verdana" w:cs="Times"/>
          <w:sz w:val="20"/>
          <w:szCs w:val="20"/>
          <w:lang w:val="pt-BR"/>
        </w:rPr>
      </w:pPr>
      <w:r>
        <w:rPr>
          <w:rFonts w:ascii="Verdana" w:eastAsia="Times" w:hAnsi="Verdana" w:cs="Times"/>
          <w:sz w:val="20"/>
          <w:szCs w:val="20"/>
          <w:lang w:val="pt-BR"/>
        </w:rPr>
        <w:t xml:space="preserve">        </w:t>
      </w:r>
      <w:r w:rsidR="005E5BCD" w:rsidRPr="00756B84">
        <w:rPr>
          <w:rFonts w:ascii="Verdana" w:eastAsia="Times" w:hAnsi="Verdana" w:cs="Times"/>
          <w:sz w:val="20"/>
          <w:szCs w:val="20"/>
          <w:lang w:val="pt-BR"/>
        </w:rPr>
        <w:t xml:space="preserve"> Secretario</w:t>
      </w:r>
    </w:p>
    <w:p w14:paraId="1163DFDD" w14:textId="77777777" w:rsidR="00546FF1" w:rsidRPr="00756B84" w:rsidRDefault="00546FF1" w:rsidP="00756B84">
      <w:pPr>
        <w:pStyle w:val="p1"/>
        <w:jc w:val="both"/>
        <w:divId w:val="335614645"/>
        <w:rPr>
          <w:rStyle w:val="s1"/>
          <w:rFonts w:ascii="Verdana" w:hAnsi="Verdana"/>
          <w:sz w:val="20"/>
          <w:szCs w:val="20"/>
        </w:rPr>
      </w:pPr>
    </w:p>
    <w:p w14:paraId="040D5CC9" w14:textId="77777777" w:rsidR="00DF1675" w:rsidRPr="00756B84" w:rsidRDefault="00DF1675" w:rsidP="00756B84">
      <w:pPr>
        <w:pStyle w:val="Numberedparagraphs"/>
        <w:widowControl w:val="0"/>
        <w:numPr>
          <w:ilvl w:val="0"/>
          <w:numId w:val="0"/>
        </w:numPr>
        <w:tabs>
          <w:tab w:val="left" w:pos="567"/>
        </w:tabs>
        <w:autoSpaceDE w:val="0"/>
        <w:autoSpaceDN w:val="0"/>
        <w:adjustRightInd w:val="0"/>
      </w:pPr>
    </w:p>
    <w:sectPr w:rsidR="00DF1675" w:rsidRPr="00756B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32DD" w14:textId="77777777" w:rsidR="00A87A44" w:rsidRDefault="00A87A44" w:rsidP="00CF7880">
      <w:r>
        <w:separator/>
      </w:r>
    </w:p>
  </w:endnote>
  <w:endnote w:type="continuationSeparator" w:id="0">
    <w:p w14:paraId="734C6A5D" w14:textId="77777777" w:rsidR="00A87A44" w:rsidRDefault="00A87A44" w:rsidP="00CF7880">
      <w:r>
        <w:continuationSeparator/>
      </w:r>
    </w:p>
  </w:endnote>
  <w:endnote w:type="continuationNotice" w:id="1">
    <w:p w14:paraId="76613A93" w14:textId="77777777" w:rsidR="00A87A44" w:rsidRDefault="00A8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Body">
    <w:altName w:val="Cambria"/>
    <w:charset w:val="00"/>
    <w:family w:val="roman"/>
    <w:pitch w:val="default"/>
  </w:font>
  <w:font w:name=".AppleSystemUIFont">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ICTFontTextStyleEmphasizedBody">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935796"/>
      <w:docPartObj>
        <w:docPartGallery w:val="Page Numbers (Bottom of Page)"/>
        <w:docPartUnique/>
      </w:docPartObj>
    </w:sdtPr>
    <w:sdtContent>
      <w:p w14:paraId="67FEADF8" w14:textId="2E562B1E" w:rsidR="004A3758" w:rsidRDefault="004A3758" w:rsidP="00FE4F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FB813D" w14:textId="77777777" w:rsidR="004A3758" w:rsidRDefault="004A3758" w:rsidP="004A37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5944973"/>
      <w:docPartObj>
        <w:docPartGallery w:val="Page Numbers (Bottom of Page)"/>
        <w:docPartUnique/>
      </w:docPartObj>
    </w:sdtPr>
    <w:sdtContent>
      <w:p w14:paraId="33F8B3EC" w14:textId="213659FA" w:rsidR="004A3758" w:rsidRDefault="004A3758" w:rsidP="00FE4F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71E5AD75" w14:textId="77777777" w:rsidR="004A3758" w:rsidRDefault="004A3758" w:rsidP="004A375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9CD9" w14:textId="77777777" w:rsidR="004A3758" w:rsidRDefault="004A3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7357" w14:textId="77777777" w:rsidR="00A87A44" w:rsidRDefault="00A87A44" w:rsidP="00CF7880">
      <w:r>
        <w:separator/>
      </w:r>
    </w:p>
  </w:footnote>
  <w:footnote w:type="continuationSeparator" w:id="0">
    <w:p w14:paraId="2CD6AC31" w14:textId="77777777" w:rsidR="00A87A44" w:rsidRDefault="00A87A44" w:rsidP="00CF7880">
      <w:r>
        <w:continuationSeparator/>
      </w:r>
    </w:p>
  </w:footnote>
  <w:footnote w:type="continuationNotice" w:id="1">
    <w:p w14:paraId="73CC1AF5" w14:textId="77777777" w:rsidR="00A87A44" w:rsidRDefault="00A87A44"/>
  </w:footnote>
  <w:footnote w:id="2">
    <w:p w14:paraId="1764C46B" w14:textId="3A34A2E3" w:rsidR="001A4451" w:rsidRPr="00F844CC" w:rsidRDefault="001A4451" w:rsidP="00F844CC">
      <w:pPr>
        <w:pStyle w:val="Textonotapie"/>
        <w:jc w:val="both"/>
        <w:rPr>
          <w:rFonts w:ascii="Verdana" w:hAnsi="Verdana"/>
          <w:sz w:val="16"/>
          <w:szCs w:val="16"/>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ES"/>
        </w:rPr>
        <w:t>Artículo 65.2 del Reglamento de la Corte IDH: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r w:rsidR="00053A76" w:rsidRPr="00F844CC">
        <w:rPr>
          <w:rFonts w:ascii="Verdana" w:hAnsi="Verdana"/>
          <w:sz w:val="16"/>
          <w:szCs w:val="16"/>
          <w:lang w:val="es-ES"/>
        </w:rPr>
        <w:t xml:space="preserve"> Agradezco a</w:t>
      </w:r>
      <w:r w:rsidR="00797D3A">
        <w:rPr>
          <w:rFonts w:ascii="Verdana" w:hAnsi="Verdana"/>
          <w:sz w:val="16"/>
          <w:szCs w:val="16"/>
          <w:lang w:val="es-ES"/>
        </w:rPr>
        <w:t xml:space="preserve"> </w:t>
      </w:r>
      <w:r w:rsidR="00053A76" w:rsidRPr="00F844CC">
        <w:rPr>
          <w:rFonts w:ascii="Verdana" w:hAnsi="Verdana"/>
          <w:sz w:val="16"/>
          <w:szCs w:val="16"/>
          <w:lang w:val="es-ES"/>
        </w:rPr>
        <w:t xml:space="preserve">Esteban </w:t>
      </w:r>
      <w:proofErr w:type="spellStart"/>
      <w:r w:rsidR="00053A76" w:rsidRPr="00F844CC">
        <w:rPr>
          <w:rFonts w:ascii="Verdana" w:hAnsi="Verdana"/>
          <w:sz w:val="16"/>
          <w:szCs w:val="16"/>
          <w:lang w:val="es-ES"/>
        </w:rPr>
        <w:t>Oyarzún</w:t>
      </w:r>
      <w:proofErr w:type="spellEnd"/>
      <w:r w:rsidR="00053A76" w:rsidRPr="00F844CC">
        <w:rPr>
          <w:rFonts w:ascii="Verdana" w:hAnsi="Verdana"/>
          <w:sz w:val="16"/>
          <w:szCs w:val="16"/>
          <w:lang w:val="es-ES"/>
        </w:rPr>
        <w:t xml:space="preserve"> por su colaboración en la edición</w:t>
      </w:r>
      <w:r w:rsidR="00294D03">
        <w:rPr>
          <w:rFonts w:ascii="Verdana" w:hAnsi="Verdana"/>
          <w:sz w:val="16"/>
          <w:szCs w:val="16"/>
          <w:lang w:val="es-ES"/>
        </w:rPr>
        <w:t>,</w:t>
      </w:r>
      <w:r w:rsidR="00115C26">
        <w:rPr>
          <w:rFonts w:ascii="Verdana" w:hAnsi="Verdana"/>
          <w:sz w:val="16"/>
          <w:szCs w:val="16"/>
          <w:lang w:val="es-ES"/>
        </w:rPr>
        <w:t xml:space="preserve"> </w:t>
      </w:r>
      <w:r w:rsidR="00ED39B0">
        <w:rPr>
          <w:rFonts w:ascii="Verdana" w:hAnsi="Verdana"/>
          <w:sz w:val="16"/>
          <w:szCs w:val="16"/>
          <w:lang w:val="es-ES"/>
        </w:rPr>
        <w:t xml:space="preserve">a la </w:t>
      </w:r>
      <w:r w:rsidR="0005177F">
        <w:rPr>
          <w:rFonts w:ascii="Verdana" w:hAnsi="Verdana"/>
          <w:sz w:val="16"/>
          <w:szCs w:val="16"/>
          <w:lang w:val="es-ES"/>
        </w:rPr>
        <w:t>Dra.</w:t>
      </w:r>
      <w:r w:rsidR="00ED39B0">
        <w:rPr>
          <w:rFonts w:ascii="Verdana" w:hAnsi="Verdana"/>
          <w:sz w:val="16"/>
          <w:szCs w:val="16"/>
          <w:lang w:val="es-ES"/>
        </w:rPr>
        <w:t xml:space="preserve"> Marta Cabrera por sus </w:t>
      </w:r>
      <w:r w:rsidR="00FB1512">
        <w:rPr>
          <w:rFonts w:ascii="Verdana" w:hAnsi="Verdana"/>
          <w:sz w:val="16"/>
          <w:szCs w:val="16"/>
          <w:lang w:val="es-ES"/>
        </w:rPr>
        <w:t>observaciones</w:t>
      </w:r>
      <w:r w:rsidR="00ED39B0">
        <w:rPr>
          <w:rFonts w:ascii="Verdana" w:hAnsi="Verdana"/>
          <w:sz w:val="16"/>
          <w:szCs w:val="16"/>
          <w:lang w:val="es-ES"/>
        </w:rPr>
        <w:t xml:space="preserve"> y a los </w:t>
      </w:r>
      <w:r w:rsidR="00AA7AA2">
        <w:rPr>
          <w:rFonts w:ascii="Verdana" w:hAnsi="Verdana"/>
          <w:sz w:val="16"/>
          <w:szCs w:val="16"/>
          <w:lang w:val="es-ES"/>
        </w:rPr>
        <w:t>Dres.</w:t>
      </w:r>
      <w:r w:rsidR="00031D58" w:rsidRPr="00F844CC">
        <w:rPr>
          <w:rFonts w:ascii="Verdana" w:hAnsi="Verdana"/>
          <w:sz w:val="16"/>
          <w:szCs w:val="16"/>
          <w:lang w:val="es-ES"/>
        </w:rPr>
        <w:t xml:space="preserve"> Alexei Julio </w:t>
      </w:r>
      <w:r w:rsidR="00AA7AA2">
        <w:rPr>
          <w:rFonts w:ascii="Verdana" w:hAnsi="Verdana"/>
          <w:sz w:val="16"/>
          <w:szCs w:val="16"/>
          <w:lang w:val="es-ES"/>
        </w:rPr>
        <w:t xml:space="preserve">y Jorge Errandonea </w:t>
      </w:r>
      <w:r w:rsidR="00031D58" w:rsidRPr="00F844CC">
        <w:rPr>
          <w:rFonts w:ascii="Verdana" w:hAnsi="Verdana"/>
          <w:sz w:val="16"/>
          <w:szCs w:val="16"/>
          <w:lang w:val="es-ES"/>
        </w:rPr>
        <w:t xml:space="preserve">por sus </w:t>
      </w:r>
      <w:r w:rsidR="00AA7AA2">
        <w:rPr>
          <w:rFonts w:ascii="Verdana" w:hAnsi="Verdana"/>
          <w:sz w:val="16"/>
          <w:szCs w:val="16"/>
          <w:lang w:val="es-ES"/>
        </w:rPr>
        <w:t xml:space="preserve">ideas y </w:t>
      </w:r>
      <w:r w:rsidR="00031D58" w:rsidRPr="00F844CC">
        <w:rPr>
          <w:rFonts w:ascii="Verdana" w:hAnsi="Verdana"/>
          <w:sz w:val="16"/>
          <w:szCs w:val="16"/>
          <w:lang w:val="es-ES"/>
        </w:rPr>
        <w:t>sugerencias.</w:t>
      </w:r>
    </w:p>
  </w:footnote>
  <w:footnote w:id="3">
    <w:p w14:paraId="352EA8CA" w14:textId="15B227E0" w:rsidR="005E3B7F" w:rsidRPr="00F844CC" w:rsidRDefault="005E3B7F" w:rsidP="00F844CC">
      <w:pPr>
        <w:pStyle w:val="Textonotapie"/>
        <w:jc w:val="both"/>
        <w:rPr>
          <w:rFonts w:ascii="Verdana" w:hAnsi="Verdana"/>
          <w:sz w:val="16"/>
          <w:szCs w:val="16"/>
          <w:lang w:val="pt-BR"/>
        </w:rPr>
      </w:pPr>
      <w:r w:rsidRPr="00F844CC">
        <w:rPr>
          <w:rStyle w:val="Refdenotaalpie"/>
          <w:rFonts w:ascii="Verdana" w:hAnsi="Verdana"/>
          <w:sz w:val="16"/>
          <w:szCs w:val="16"/>
        </w:rPr>
        <w:footnoteRef/>
      </w:r>
      <w:r w:rsidRPr="00F844CC">
        <w:rPr>
          <w:rFonts w:ascii="Verdana" w:hAnsi="Verdana"/>
          <w:sz w:val="16"/>
          <w:szCs w:val="16"/>
          <w:lang w:val="pt-BR"/>
        </w:rPr>
        <w:t xml:space="preserve"> </w:t>
      </w:r>
      <w:r w:rsidRPr="00F844CC">
        <w:rPr>
          <w:rFonts w:ascii="Verdana" w:hAnsi="Verdana"/>
          <w:i/>
          <w:iCs/>
          <w:sz w:val="16"/>
          <w:szCs w:val="16"/>
          <w:lang w:val="pt-BR"/>
        </w:rPr>
        <w:t>Cfr</w:t>
      </w:r>
      <w:r w:rsidRPr="00F844CC">
        <w:rPr>
          <w:rFonts w:ascii="Verdana" w:hAnsi="Verdana"/>
          <w:sz w:val="16"/>
          <w:szCs w:val="16"/>
          <w:lang w:val="pt-BR"/>
        </w:rPr>
        <w:t xml:space="preserve">. Párrafo </w:t>
      </w:r>
      <w:r w:rsidR="0059419D" w:rsidRPr="00F844CC">
        <w:rPr>
          <w:rFonts w:ascii="Verdana" w:hAnsi="Verdana"/>
          <w:sz w:val="16"/>
          <w:szCs w:val="16"/>
          <w:lang w:val="pt-BR"/>
        </w:rPr>
        <w:t>91.</w:t>
      </w:r>
    </w:p>
  </w:footnote>
  <w:footnote w:id="4">
    <w:p w14:paraId="24896BE5" w14:textId="71AB12DF" w:rsidR="00285F49" w:rsidRPr="00F844CC" w:rsidRDefault="00285F49" w:rsidP="00F844CC">
      <w:pPr>
        <w:pStyle w:val="Textonotapie"/>
        <w:jc w:val="both"/>
        <w:rPr>
          <w:rFonts w:ascii="Verdana" w:hAnsi="Verdana"/>
          <w:sz w:val="16"/>
          <w:szCs w:val="16"/>
          <w:lang w:val="pt-BR"/>
        </w:rPr>
      </w:pPr>
      <w:r w:rsidRPr="00F844CC">
        <w:rPr>
          <w:rStyle w:val="Refdenotaalpie"/>
          <w:rFonts w:ascii="Verdana" w:hAnsi="Verdana"/>
          <w:sz w:val="16"/>
          <w:szCs w:val="16"/>
        </w:rPr>
        <w:footnoteRef/>
      </w:r>
      <w:r w:rsidRPr="00F844CC">
        <w:rPr>
          <w:rFonts w:ascii="Verdana" w:hAnsi="Verdana"/>
          <w:sz w:val="16"/>
          <w:szCs w:val="16"/>
          <w:lang w:val="pt-BR"/>
        </w:rPr>
        <w:t xml:space="preserve"> </w:t>
      </w:r>
      <w:r w:rsidRPr="00F844CC">
        <w:rPr>
          <w:rFonts w:ascii="Verdana" w:hAnsi="Verdana"/>
          <w:i/>
          <w:iCs/>
          <w:sz w:val="16"/>
          <w:szCs w:val="16"/>
          <w:lang w:val="pt-BR"/>
        </w:rPr>
        <w:t>Cfr</w:t>
      </w:r>
      <w:r w:rsidRPr="00F844CC">
        <w:rPr>
          <w:rFonts w:ascii="Verdana" w:hAnsi="Verdana"/>
          <w:sz w:val="16"/>
          <w:szCs w:val="16"/>
          <w:lang w:val="pt-BR"/>
        </w:rPr>
        <w:t>.</w:t>
      </w:r>
      <w:r w:rsidR="00525F1E" w:rsidRPr="00F844CC">
        <w:rPr>
          <w:rFonts w:ascii="Verdana" w:hAnsi="Verdana"/>
          <w:sz w:val="16"/>
          <w:szCs w:val="16"/>
          <w:lang w:val="pt-BR"/>
        </w:rPr>
        <w:t xml:space="preserve"> </w:t>
      </w:r>
      <w:r w:rsidRPr="00F844CC">
        <w:rPr>
          <w:rFonts w:ascii="Verdana" w:hAnsi="Verdana"/>
          <w:sz w:val="16"/>
          <w:szCs w:val="16"/>
          <w:lang w:val="pt-BR"/>
        </w:rPr>
        <w:t xml:space="preserve">Párrafo </w:t>
      </w:r>
      <w:r w:rsidR="00915BA8" w:rsidRPr="00F844CC">
        <w:rPr>
          <w:rFonts w:ascii="Verdana" w:hAnsi="Verdana"/>
          <w:sz w:val="16"/>
          <w:szCs w:val="16"/>
          <w:lang w:val="pt-BR"/>
        </w:rPr>
        <w:t>114.</w:t>
      </w:r>
    </w:p>
  </w:footnote>
  <w:footnote w:id="5">
    <w:p w14:paraId="7A2BF20A" w14:textId="0280565A" w:rsidR="00F60A53" w:rsidRPr="00F844CC" w:rsidRDefault="00F60A53" w:rsidP="00F844CC">
      <w:pPr>
        <w:pStyle w:val="Textonotapie"/>
        <w:jc w:val="both"/>
        <w:rPr>
          <w:rFonts w:ascii="Verdana" w:hAnsi="Verdana"/>
          <w:sz w:val="16"/>
          <w:szCs w:val="16"/>
          <w:lang w:val="pt-BR"/>
        </w:rPr>
      </w:pPr>
      <w:r w:rsidRPr="00F844CC">
        <w:rPr>
          <w:rStyle w:val="Refdenotaalpie"/>
          <w:rFonts w:ascii="Verdana" w:hAnsi="Verdana"/>
          <w:sz w:val="16"/>
          <w:szCs w:val="16"/>
        </w:rPr>
        <w:footnoteRef/>
      </w:r>
      <w:r w:rsidRPr="00F844CC">
        <w:rPr>
          <w:rFonts w:ascii="Verdana" w:hAnsi="Verdana"/>
          <w:sz w:val="16"/>
          <w:szCs w:val="16"/>
          <w:lang w:val="pt-BR"/>
        </w:rPr>
        <w:t xml:space="preserve"> </w:t>
      </w:r>
      <w:r w:rsidRPr="00F844CC">
        <w:rPr>
          <w:rFonts w:ascii="Verdana" w:hAnsi="Verdana"/>
          <w:i/>
          <w:iCs/>
          <w:sz w:val="16"/>
          <w:szCs w:val="16"/>
          <w:lang w:val="pt-BR"/>
        </w:rPr>
        <w:t>Cfr</w:t>
      </w:r>
      <w:r w:rsidRPr="00F844CC">
        <w:rPr>
          <w:rFonts w:ascii="Verdana" w:hAnsi="Verdana"/>
          <w:sz w:val="16"/>
          <w:szCs w:val="16"/>
          <w:lang w:val="pt-BR"/>
        </w:rPr>
        <w:t>. Párrafo 140.</w:t>
      </w:r>
    </w:p>
  </w:footnote>
  <w:footnote w:id="6">
    <w:p w14:paraId="51502F60" w14:textId="50B58745" w:rsidR="00B71EAE" w:rsidRPr="00F844CC" w:rsidRDefault="00B71EAE"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419"/>
        </w:rPr>
        <w:t xml:space="preserve">Protocolo </w:t>
      </w:r>
      <w:r w:rsidR="0013265E" w:rsidRPr="00F844CC">
        <w:rPr>
          <w:rFonts w:ascii="Verdana" w:hAnsi="Verdana"/>
          <w:sz w:val="16"/>
          <w:szCs w:val="16"/>
          <w:lang w:val="es-419"/>
        </w:rPr>
        <w:t>adicional</w:t>
      </w:r>
      <w:r w:rsidR="00F74312" w:rsidRPr="00F844CC">
        <w:rPr>
          <w:rFonts w:ascii="Verdana" w:hAnsi="Verdana"/>
          <w:sz w:val="16"/>
          <w:szCs w:val="16"/>
          <w:lang w:val="es-419"/>
        </w:rPr>
        <w:t xml:space="preserve"> a </w:t>
      </w:r>
      <w:r w:rsidR="0013265E" w:rsidRPr="00F844CC">
        <w:rPr>
          <w:rFonts w:ascii="Verdana" w:hAnsi="Verdana"/>
          <w:sz w:val="16"/>
          <w:szCs w:val="16"/>
          <w:lang w:val="es-419"/>
        </w:rPr>
        <w:t>la Conv</w:t>
      </w:r>
      <w:r w:rsidR="00751109" w:rsidRPr="00F844CC">
        <w:rPr>
          <w:rFonts w:ascii="Verdana" w:hAnsi="Verdana"/>
          <w:sz w:val="16"/>
          <w:szCs w:val="16"/>
          <w:lang w:val="es-419"/>
        </w:rPr>
        <w:t>ención Americana sobre Derechos Humanos</w:t>
      </w:r>
      <w:r w:rsidR="00AB521B" w:rsidRPr="00F844CC">
        <w:rPr>
          <w:rFonts w:ascii="Verdana" w:hAnsi="Verdana"/>
          <w:sz w:val="16"/>
          <w:szCs w:val="16"/>
          <w:lang w:val="es-419"/>
        </w:rPr>
        <w:t xml:space="preserve"> en materia de derechos económicos, sociales y culturales (Protocolo de San Salvador).</w:t>
      </w:r>
    </w:p>
  </w:footnote>
  <w:footnote w:id="7">
    <w:p w14:paraId="2E3D52C9" w14:textId="77777777" w:rsidR="00F844CC" w:rsidRPr="00F844CC" w:rsidRDefault="00F844CC"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419"/>
        </w:rPr>
        <w:t xml:space="preserve">Véanse artículos </w:t>
      </w:r>
      <w:r w:rsidRPr="00F844CC">
        <w:rPr>
          <w:rFonts w:ascii="Verdana" w:hAnsi="Verdana"/>
          <w:sz w:val="16"/>
          <w:szCs w:val="16"/>
        </w:rPr>
        <w:t>76.1 y 77.1 de la Convención.</w:t>
      </w:r>
    </w:p>
  </w:footnote>
  <w:footnote w:id="8">
    <w:p w14:paraId="4FCCFE01" w14:textId="3F8C337C" w:rsidR="006342C0" w:rsidRPr="00F844CC" w:rsidRDefault="006342C0"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419"/>
        </w:rPr>
        <w:t>Desde luego</w:t>
      </w:r>
      <w:r w:rsidR="00667D72" w:rsidRPr="00F844CC">
        <w:rPr>
          <w:rFonts w:ascii="Verdana" w:hAnsi="Verdana"/>
          <w:sz w:val="16"/>
          <w:szCs w:val="16"/>
          <w:lang w:val="es-419"/>
        </w:rPr>
        <w:t>,</w:t>
      </w:r>
      <w:r w:rsidRPr="00F844CC">
        <w:rPr>
          <w:rFonts w:ascii="Verdana" w:hAnsi="Verdana"/>
          <w:sz w:val="16"/>
          <w:szCs w:val="16"/>
          <w:lang w:val="es-419"/>
        </w:rPr>
        <w:t xml:space="preserve"> eso no significa que la Corte no deba interpretar las normas del Tratado </w:t>
      </w:r>
      <w:r w:rsidR="00667D72" w:rsidRPr="00F844CC">
        <w:rPr>
          <w:rFonts w:ascii="Verdana" w:hAnsi="Verdana"/>
          <w:sz w:val="16"/>
          <w:szCs w:val="16"/>
          <w:lang w:val="es-419"/>
        </w:rPr>
        <w:t xml:space="preserve">de </w:t>
      </w:r>
      <w:r w:rsidRPr="00F844CC">
        <w:rPr>
          <w:rFonts w:ascii="Verdana" w:hAnsi="Verdana"/>
          <w:sz w:val="16"/>
          <w:szCs w:val="16"/>
          <w:lang w:val="es-419"/>
        </w:rPr>
        <w:t>modo evolutivo, precisando el alcance de los términos empleados en el mismo</w:t>
      </w:r>
      <w:r w:rsidR="00667D72" w:rsidRPr="00F844CC">
        <w:rPr>
          <w:rFonts w:ascii="Verdana" w:hAnsi="Verdana"/>
          <w:sz w:val="16"/>
          <w:szCs w:val="16"/>
          <w:lang w:val="es-419"/>
        </w:rPr>
        <w:t>,</w:t>
      </w:r>
      <w:r w:rsidRPr="00F844CC">
        <w:rPr>
          <w:rFonts w:ascii="Verdana" w:hAnsi="Verdana"/>
          <w:sz w:val="16"/>
          <w:szCs w:val="16"/>
          <w:lang w:val="es-419"/>
        </w:rPr>
        <w:t xml:space="preserve"> </w:t>
      </w:r>
      <w:proofErr w:type="gramStart"/>
      <w:r w:rsidRPr="00F844CC">
        <w:rPr>
          <w:rFonts w:ascii="Verdana" w:hAnsi="Verdana"/>
          <w:sz w:val="16"/>
          <w:szCs w:val="16"/>
          <w:lang w:val="es-419"/>
        </w:rPr>
        <w:t>de acuerdo al</w:t>
      </w:r>
      <w:proofErr w:type="gramEnd"/>
      <w:r w:rsidRPr="00F844CC">
        <w:rPr>
          <w:rFonts w:ascii="Verdana" w:hAnsi="Verdana"/>
          <w:sz w:val="16"/>
          <w:szCs w:val="16"/>
          <w:lang w:val="es-419"/>
        </w:rPr>
        <w:t xml:space="preserve"> contexto en que se sitúan los hechos que serán subsumidos en la norma, como ha ocurrido</w:t>
      </w:r>
      <w:r w:rsidR="00667D72" w:rsidRPr="00F844CC">
        <w:rPr>
          <w:rFonts w:ascii="Verdana" w:hAnsi="Verdana"/>
          <w:sz w:val="16"/>
          <w:szCs w:val="16"/>
          <w:lang w:val="es-419"/>
        </w:rPr>
        <w:t>,</w:t>
      </w:r>
      <w:r w:rsidRPr="00F844CC">
        <w:rPr>
          <w:rFonts w:ascii="Verdana" w:hAnsi="Verdana"/>
          <w:sz w:val="16"/>
          <w:szCs w:val="16"/>
          <w:lang w:val="es-419"/>
        </w:rPr>
        <w:t xml:space="preserve"> por ejemplo, en el caso de la orientación sexual como categoría protegida</w:t>
      </w:r>
      <w:r w:rsidR="00A979DA" w:rsidRPr="00F844CC">
        <w:rPr>
          <w:rFonts w:ascii="Verdana" w:hAnsi="Verdana"/>
          <w:sz w:val="16"/>
          <w:szCs w:val="16"/>
          <w:lang w:val="es-419"/>
        </w:rPr>
        <w:t xml:space="preserve">, </w:t>
      </w:r>
      <w:r w:rsidRPr="00F844CC">
        <w:rPr>
          <w:rFonts w:ascii="Verdana" w:hAnsi="Verdana"/>
          <w:sz w:val="16"/>
          <w:szCs w:val="16"/>
          <w:lang w:val="es-419"/>
        </w:rPr>
        <w:t>de la propiedad comunal indígena</w:t>
      </w:r>
      <w:r w:rsidR="00A979DA" w:rsidRPr="00F844CC">
        <w:rPr>
          <w:rFonts w:ascii="Verdana" w:hAnsi="Verdana"/>
          <w:sz w:val="16"/>
          <w:szCs w:val="16"/>
          <w:lang w:val="es-419"/>
        </w:rPr>
        <w:t xml:space="preserve"> y del concepto de víctima en el Sistema Interamericano de Derechos Humanos.</w:t>
      </w:r>
    </w:p>
  </w:footnote>
  <w:footnote w:id="9">
    <w:p w14:paraId="798936FA" w14:textId="77777777" w:rsidR="00F844CC" w:rsidRPr="00F844CC" w:rsidRDefault="00F844CC" w:rsidP="00F844CC">
      <w:pPr>
        <w:pStyle w:val="p1"/>
        <w:jc w:val="both"/>
        <w:rPr>
          <w:rFonts w:ascii="Verdana" w:hAnsi="Verdana"/>
          <w:sz w:val="16"/>
          <w:szCs w:val="16"/>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CR"/>
        </w:rPr>
        <w:t xml:space="preserve">Para </w:t>
      </w:r>
      <w:r w:rsidRPr="00F844CC">
        <w:rPr>
          <w:rFonts w:ascii="Verdana" w:hAnsi="Verdana"/>
          <w:smallCaps/>
          <w:sz w:val="16"/>
          <w:szCs w:val="16"/>
          <w:lang w:eastAsia="fr-FR"/>
        </w:rPr>
        <w:t xml:space="preserve">Rawls </w:t>
      </w:r>
      <w:r w:rsidRPr="00F844CC">
        <w:rPr>
          <w:rFonts w:ascii="Verdana" w:hAnsi="Verdana"/>
          <w:sz w:val="16"/>
          <w:szCs w:val="16"/>
        </w:rPr>
        <w:t xml:space="preserve">los bienes primarios son un conjunto de bienes </w:t>
      </w:r>
      <w:r w:rsidRPr="00F844CC">
        <w:rPr>
          <w:rStyle w:val="s1"/>
          <w:rFonts w:ascii="Verdana" w:hAnsi="Verdana"/>
          <w:sz w:val="16"/>
          <w:szCs w:val="16"/>
        </w:rPr>
        <w:t>necesarios “para la elaboración y para la ejecución de un proyecto racional de vida”, como la libertad, las oportunidades, los ingresos, la riqueza y el respeto propio, “Teoría de la Justicia”</w:t>
      </w:r>
      <w:r w:rsidRPr="00F844CC">
        <w:rPr>
          <w:rStyle w:val="apple-converted-space"/>
          <w:rFonts w:ascii="Verdana" w:hAnsi="Verdana"/>
          <w:sz w:val="16"/>
          <w:szCs w:val="16"/>
        </w:rPr>
        <w:t> (1995:393).</w:t>
      </w:r>
    </w:p>
  </w:footnote>
  <w:footnote w:id="10">
    <w:p w14:paraId="72F888F0" w14:textId="77777777" w:rsidR="00591680" w:rsidRPr="00F844CC" w:rsidRDefault="00591680"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cs="Times New Roman"/>
          <w:smallCaps/>
          <w:sz w:val="16"/>
          <w:szCs w:val="16"/>
          <w:lang w:eastAsia="fr-FR"/>
        </w:rPr>
        <w:t>Pérez Goldberg</w:t>
      </w:r>
      <w:r w:rsidRPr="00F844CC">
        <w:rPr>
          <w:rFonts w:ascii="Verdana" w:hAnsi="Verdana" w:cs="Times New Roman"/>
          <w:sz w:val="16"/>
          <w:szCs w:val="16"/>
          <w:lang w:eastAsia="fr-FR"/>
        </w:rPr>
        <w:t>, “Las mujeres privadas de libertad y el enfoque de capacidades” (2021:94-109).</w:t>
      </w:r>
      <w:r w:rsidRPr="00F844CC">
        <w:rPr>
          <w:rFonts w:ascii="Verdana" w:hAnsi="Verdana"/>
          <w:sz w:val="16"/>
          <w:szCs w:val="16"/>
          <w:lang w:val="es-419"/>
        </w:rPr>
        <w:t xml:space="preserve"> </w:t>
      </w:r>
    </w:p>
  </w:footnote>
  <w:footnote w:id="11">
    <w:p w14:paraId="3E5B4822" w14:textId="4188E336" w:rsidR="00EC26F2" w:rsidRPr="00F844CC" w:rsidRDefault="00EC26F2"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008B0053" w:rsidRPr="00F844CC">
        <w:rPr>
          <w:rFonts w:ascii="Verdana" w:hAnsi="Verdana"/>
          <w:i/>
          <w:iCs/>
          <w:sz w:val="16"/>
          <w:szCs w:val="16"/>
          <w:lang w:val="es-419"/>
        </w:rPr>
        <w:t>Cfr</w:t>
      </w:r>
      <w:r w:rsidR="008B0053" w:rsidRPr="00F844CC">
        <w:rPr>
          <w:rFonts w:ascii="Verdana" w:hAnsi="Verdana"/>
          <w:sz w:val="16"/>
          <w:szCs w:val="16"/>
          <w:lang w:val="es-419"/>
        </w:rPr>
        <w:t xml:space="preserve">. </w:t>
      </w:r>
      <w:r w:rsidR="009A7071" w:rsidRPr="00F844CC">
        <w:rPr>
          <w:rFonts w:ascii="Verdana" w:hAnsi="Verdana"/>
          <w:sz w:val="16"/>
          <w:szCs w:val="16"/>
          <w:lang w:val="es-419"/>
        </w:rPr>
        <w:t>Párrafo</w:t>
      </w:r>
      <w:r w:rsidR="008B0053" w:rsidRPr="00F844CC">
        <w:rPr>
          <w:rFonts w:ascii="Verdana" w:hAnsi="Verdana"/>
          <w:sz w:val="16"/>
          <w:szCs w:val="16"/>
          <w:lang w:val="es-419"/>
        </w:rPr>
        <w:t xml:space="preserve"> 114.</w:t>
      </w:r>
    </w:p>
  </w:footnote>
  <w:footnote w:id="12">
    <w:p w14:paraId="06395797" w14:textId="16CFC917" w:rsidR="006342C0" w:rsidRPr="00F844CC" w:rsidRDefault="006342C0"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419"/>
        </w:rPr>
        <w:t>El</w:t>
      </w:r>
      <w:r w:rsidR="00027DA6" w:rsidRPr="00F844CC">
        <w:rPr>
          <w:rFonts w:ascii="Verdana" w:hAnsi="Verdana"/>
          <w:sz w:val="16"/>
          <w:szCs w:val="16"/>
          <w:lang w:val="es-419"/>
        </w:rPr>
        <w:t xml:space="preserve"> </w:t>
      </w:r>
      <w:r w:rsidRPr="00F844CC">
        <w:rPr>
          <w:rFonts w:ascii="Verdana" w:hAnsi="Verdana"/>
          <w:sz w:val="16"/>
          <w:szCs w:val="16"/>
          <w:lang w:val="es-419"/>
        </w:rPr>
        <w:t>destacado es propio.</w:t>
      </w:r>
    </w:p>
  </w:footnote>
  <w:footnote w:id="13">
    <w:p w14:paraId="60E1EC8F" w14:textId="77777777" w:rsidR="006342C0" w:rsidRPr="00F844CC" w:rsidRDefault="006342C0"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sz w:val="16"/>
          <w:szCs w:val="16"/>
          <w:lang w:val="es-419"/>
        </w:rPr>
        <w:t>Los destacados son propios.</w:t>
      </w:r>
    </w:p>
  </w:footnote>
  <w:footnote w:id="14">
    <w:p w14:paraId="51218DDD" w14:textId="603047C1" w:rsidR="00481470" w:rsidRPr="007335D2" w:rsidRDefault="00481470">
      <w:pPr>
        <w:pStyle w:val="Textonotapie"/>
        <w:rPr>
          <w:lang w:val="es-ES"/>
        </w:rPr>
      </w:pPr>
      <w:r>
        <w:rPr>
          <w:rStyle w:val="Refdenotaalpie"/>
        </w:rPr>
        <w:footnoteRef/>
      </w:r>
      <w:r w:rsidRPr="0025756B">
        <w:rPr>
          <w:lang w:val="es-CR"/>
        </w:rPr>
        <w:t xml:space="preserve"> </w:t>
      </w:r>
      <w:r w:rsidRPr="0025756B">
        <w:rPr>
          <w:rFonts w:ascii="Verdana" w:hAnsi="Verdana"/>
          <w:i/>
          <w:iCs/>
          <w:sz w:val="16"/>
          <w:szCs w:val="16"/>
          <w:lang w:val="es-CR"/>
        </w:rPr>
        <w:t xml:space="preserve">Cfr. </w:t>
      </w:r>
      <w:r w:rsidRPr="0025756B">
        <w:rPr>
          <w:rFonts w:ascii="Verdana" w:hAnsi="Verdana" w:cs="Times New Roman"/>
          <w:smallCaps/>
          <w:sz w:val="16"/>
          <w:szCs w:val="16"/>
          <w:lang w:val="es-CR" w:eastAsia="fr-FR"/>
        </w:rPr>
        <w:t>Medina</w:t>
      </w:r>
      <w:r w:rsidRPr="0025756B">
        <w:rPr>
          <w:rFonts w:ascii="Verdana" w:hAnsi="Verdana"/>
          <w:sz w:val="16"/>
          <w:szCs w:val="16"/>
          <w:lang w:val="es-CR"/>
        </w:rPr>
        <w:t xml:space="preserve"> y </w:t>
      </w:r>
      <w:r w:rsidRPr="0025756B">
        <w:rPr>
          <w:rFonts w:ascii="Verdana" w:hAnsi="Verdana" w:cs="Times New Roman"/>
          <w:smallCaps/>
          <w:sz w:val="16"/>
          <w:szCs w:val="16"/>
          <w:lang w:val="es-CR" w:eastAsia="fr-FR"/>
        </w:rPr>
        <w:t>David</w:t>
      </w:r>
      <w:proofErr w:type="gramStart"/>
      <w:r w:rsidRPr="0025756B">
        <w:rPr>
          <w:rFonts w:ascii="Verdana" w:hAnsi="Verdana"/>
          <w:sz w:val="16"/>
          <w:szCs w:val="16"/>
          <w:lang w:val="es-CR"/>
        </w:rPr>
        <w:t>, ”The</w:t>
      </w:r>
      <w:proofErr w:type="gramEnd"/>
      <w:r w:rsidRPr="0025756B">
        <w:rPr>
          <w:rFonts w:ascii="Verdana" w:hAnsi="Verdana"/>
          <w:sz w:val="16"/>
          <w:szCs w:val="16"/>
          <w:lang w:val="es-CR"/>
        </w:rPr>
        <w:t xml:space="preserve"> American Convention on Human Rights” (2022:28). </w:t>
      </w:r>
      <w:r w:rsidRPr="00711685">
        <w:rPr>
          <w:rFonts w:ascii="Verdana" w:hAnsi="Verdana"/>
          <w:sz w:val="16"/>
          <w:szCs w:val="16"/>
          <w:lang w:val="es-419"/>
        </w:rPr>
        <w:t>La traducción es propia.</w:t>
      </w:r>
    </w:p>
  </w:footnote>
  <w:footnote w:id="15">
    <w:p w14:paraId="563D0656" w14:textId="18A9FE57" w:rsidR="006342C0" w:rsidRPr="00F844CC" w:rsidRDefault="006342C0"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lang w:val="es-419"/>
        </w:rPr>
        <w:t>Cfr</w:t>
      </w:r>
      <w:r w:rsidRPr="00F844CC">
        <w:rPr>
          <w:rFonts w:ascii="Verdana" w:hAnsi="Verdana"/>
          <w:sz w:val="16"/>
          <w:szCs w:val="16"/>
          <w:lang w:val="es-419"/>
        </w:rPr>
        <w:t xml:space="preserve">. Párrafo </w:t>
      </w:r>
      <w:r w:rsidR="003B20D1" w:rsidRPr="00F844CC">
        <w:rPr>
          <w:rFonts w:ascii="Verdana" w:hAnsi="Verdana"/>
          <w:sz w:val="16"/>
          <w:szCs w:val="16"/>
          <w:lang w:val="es-419"/>
        </w:rPr>
        <w:t>114</w:t>
      </w:r>
      <w:r w:rsidRPr="00F844CC">
        <w:rPr>
          <w:rFonts w:ascii="Verdana" w:hAnsi="Verdana"/>
          <w:sz w:val="16"/>
          <w:szCs w:val="16"/>
          <w:lang w:val="es-419"/>
        </w:rPr>
        <w:t>.</w:t>
      </w:r>
    </w:p>
  </w:footnote>
  <w:footnote w:id="16">
    <w:p w14:paraId="4C22F9AC" w14:textId="19BBCE0D" w:rsidR="009D0EEA" w:rsidRPr="00F844CC" w:rsidRDefault="009D0EEA" w:rsidP="00F844CC">
      <w:pPr>
        <w:pStyle w:val="Textonotapie"/>
        <w:jc w:val="both"/>
        <w:rPr>
          <w:rFonts w:ascii="Verdana" w:hAnsi="Verdana"/>
          <w:sz w:val="16"/>
          <w:szCs w:val="16"/>
        </w:rPr>
      </w:pPr>
      <w:r w:rsidRPr="00F844CC">
        <w:rPr>
          <w:rStyle w:val="Refdenotaalpie"/>
          <w:rFonts w:ascii="Verdana" w:hAnsi="Verdana"/>
          <w:sz w:val="16"/>
          <w:szCs w:val="16"/>
        </w:rPr>
        <w:footnoteRef/>
      </w:r>
      <w:r w:rsidRPr="00F844CC">
        <w:rPr>
          <w:rFonts w:ascii="Verdana" w:hAnsi="Verdana"/>
          <w:sz w:val="16"/>
          <w:szCs w:val="16"/>
        </w:rPr>
        <w:t xml:space="preserve"> </w:t>
      </w:r>
      <w:r w:rsidR="00F73907" w:rsidRPr="00F844CC">
        <w:rPr>
          <w:rFonts w:ascii="Verdana" w:hAnsi="Verdana"/>
          <w:sz w:val="16"/>
          <w:szCs w:val="16"/>
        </w:rPr>
        <w:t xml:space="preserve">En tal sentido, véase: </w:t>
      </w:r>
      <w:r w:rsidR="00F73907" w:rsidRPr="00F844CC">
        <w:rPr>
          <w:rFonts w:ascii="Verdana" w:hAnsi="Verdana"/>
          <w:i/>
          <w:iCs/>
          <w:sz w:val="16"/>
          <w:szCs w:val="16"/>
        </w:rPr>
        <w:t>Caso Poblete Vilches y otros Vs. Chile. Fondo, Reparaciones y Costas</w:t>
      </w:r>
      <w:r w:rsidR="00F73907" w:rsidRPr="00F844CC">
        <w:rPr>
          <w:rFonts w:ascii="Verdana" w:hAnsi="Verdana"/>
          <w:sz w:val="16"/>
          <w:szCs w:val="16"/>
        </w:rPr>
        <w:t xml:space="preserve">. Sentencia de 8 de marzo de 2018. Serie C No. 349, párr. 118; </w:t>
      </w:r>
      <w:r w:rsidR="00401656" w:rsidRPr="00F844CC">
        <w:rPr>
          <w:rFonts w:ascii="Verdana" w:hAnsi="Verdana"/>
          <w:i/>
          <w:iCs/>
          <w:sz w:val="16"/>
          <w:szCs w:val="16"/>
        </w:rPr>
        <w:t>Caso Manuela y otros Vs. El Salvador. Excepciones preliminares, Fondo, Reparaciones y Costas</w:t>
      </w:r>
      <w:r w:rsidR="00401656" w:rsidRPr="00F844CC">
        <w:rPr>
          <w:rFonts w:ascii="Verdana" w:hAnsi="Verdana"/>
          <w:sz w:val="16"/>
          <w:szCs w:val="16"/>
        </w:rPr>
        <w:t xml:space="preserve">. Sentencia de 2 de noviembre de 2021. Serie C No. 441, párrs. 184-185; </w:t>
      </w:r>
      <w:r w:rsidR="00401656" w:rsidRPr="00F844CC">
        <w:rPr>
          <w:rFonts w:ascii="Verdana" w:hAnsi="Verdana"/>
          <w:i/>
          <w:iCs/>
          <w:sz w:val="16"/>
          <w:szCs w:val="16"/>
        </w:rPr>
        <w:t>Caso Brítez Arce y otros Vs. Argentina. Fondo, Reparaciones y Costas</w:t>
      </w:r>
      <w:r w:rsidR="00401656" w:rsidRPr="00F844CC">
        <w:rPr>
          <w:rFonts w:ascii="Verdana" w:hAnsi="Verdana"/>
          <w:sz w:val="16"/>
          <w:szCs w:val="16"/>
        </w:rPr>
        <w:t>. Sentencia de 16 de noviembre de 2022. Serie C No. 474, párrs. 60-61.</w:t>
      </w:r>
    </w:p>
  </w:footnote>
  <w:footnote w:id="17">
    <w:p w14:paraId="0226A8B3" w14:textId="0D1F8265" w:rsidR="00B526A8" w:rsidRPr="00F844CC" w:rsidRDefault="00B526A8" w:rsidP="00F844CC">
      <w:pPr>
        <w:pStyle w:val="Textonotapie"/>
        <w:jc w:val="both"/>
        <w:rPr>
          <w:rFonts w:ascii="Verdana" w:hAnsi="Verdana"/>
          <w:sz w:val="16"/>
          <w:szCs w:val="16"/>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rPr>
        <w:t>Cfr</w:t>
      </w:r>
      <w:r w:rsidRPr="00F844CC">
        <w:rPr>
          <w:rFonts w:ascii="Verdana" w:hAnsi="Verdana"/>
          <w:sz w:val="16"/>
          <w:szCs w:val="16"/>
        </w:rPr>
        <w:t xml:space="preserve">. Párrafo </w:t>
      </w:r>
      <w:r w:rsidR="008C3373" w:rsidRPr="00F844CC">
        <w:rPr>
          <w:rFonts w:ascii="Verdana" w:hAnsi="Verdana"/>
          <w:sz w:val="16"/>
          <w:szCs w:val="16"/>
        </w:rPr>
        <w:t>116</w:t>
      </w:r>
      <w:r w:rsidR="00792B7C" w:rsidRPr="00F844CC">
        <w:rPr>
          <w:rFonts w:ascii="Verdana" w:hAnsi="Verdana"/>
          <w:sz w:val="16"/>
          <w:szCs w:val="16"/>
        </w:rPr>
        <w:t>.</w:t>
      </w:r>
    </w:p>
  </w:footnote>
  <w:footnote w:id="18">
    <w:p w14:paraId="4D740DC8" w14:textId="7A389ADD" w:rsidR="00535F57" w:rsidRPr="00F844CC" w:rsidRDefault="00535F57" w:rsidP="00F844CC">
      <w:pPr>
        <w:pStyle w:val="Textonotapie"/>
        <w:jc w:val="both"/>
        <w:rPr>
          <w:rFonts w:ascii="Verdana" w:hAnsi="Verdana"/>
          <w:sz w:val="16"/>
          <w:szCs w:val="16"/>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rPr>
        <w:t>Cfr</w:t>
      </w:r>
      <w:r w:rsidRPr="00F844CC">
        <w:rPr>
          <w:rFonts w:ascii="Verdana" w:hAnsi="Verdana"/>
          <w:sz w:val="16"/>
          <w:szCs w:val="16"/>
        </w:rPr>
        <w:t xml:space="preserve">. </w:t>
      </w:r>
      <w:r w:rsidR="009E40EF" w:rsidRPr="00F844CC">
        <w:rPr>
          <w:rFonts w:ascii="Verdana" w:hAnsi="Verdana"/>
          <w:i/>
          <w:iCs/>
          <w:sz w:val="16"/>
          <w:szCs w:val="16"/>
        </w:rPr>
        <w:t>Caso Ximenes Lopes Vs. Brasil</w:t>
      </w:r>
      <w:r w:rsidR="009E40EF" w:rsidRPr="00F844CC">
        <w:rPr>
          <w:rFonts w:ascii="Verdana" w:hAnsi="Verdana"/>
          <w:sz w:val="16"/>
          <w:szCs w:val="16"/>
        </w:rPr>
        <w:t xml:space="preserve">. Sentencia de 4 de julio de 2006. Serie C No. 149, párrs. </w:t>
      </w:r>
      <w:r w:rsidR="00E454E6" w:rsidRPr="00F844CC">
        <w:rPr>
          <w:rFonts w:ascii="Verdana" w:hAnsi="Verdana"/>
          <w:sz w:val="16"/>
          <w:szCs w:val="16"/>
        </w:rPr>
        <w:t>112.55</w:t>
      </w:r>
      <w:r w:rsidR="007A60BD" w:rsidRPr="00F844CC">
        <w:rPr>
          <w:rFonts w:ascii="Verdana" w:hAnsi="Verdana"/>
          <w:sz w:val="16"/>
          <w:szCs w:val="16"/>
        </w:rPr>
        <w:t>-</w:t>
      </w:r>
      <w:r w:rsidR="00E454E6" w:rsidRPr="00F844CC">
        <w:rPr>
          <w:rFonts w:ascii="Verdana" w:hAnsi="Verdana"/>
          <w:sz w:val="16"/>
          <w:szCs w:val="16"/>
        </w:rPr>
        <w:t>112.67</w:t>
      </w:r>
      <w:r w:rsidR="00792B7C" w:rsidRPr="00F844CC">
        <w:rPr>
          <w:rFonts w:ascii="Verdana" w:hAnsi="Verdana"/>
          <w:sz w:val="16"/>
          <w:szCs w:val="16"/>
        </w:rPr>
        <w:t>.</w:t>
      </w:r>
    </w:p>
  </w:footnote>
  <w:footnote w:id="19">
    <w:p w14:paraId="4DF511AA" w14:textId="365A7BC2" w:rsidR="0029140E" w:rsidRPr="00F844CC" w:rsidRDefault="0029140E"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lang w:val="es-419"/>
        </w:rPr>
        <w:t>Cfr</w:t>
      </w:r>
      <w:r w:rsidRPr="00F844CC">
        <w:rPr>
          <w:rFonts w:ascii="Verdana" w:hAnsi="Verdana"/>
          <w:sz w:val="16"/>
          <w:szCs w:val="16"/>
          <w:lang w:val="es-419"/>
        </w:rPr>
        <w:t xml:space="preserve">. </w:t>
      </w:r>
      <w:r w:rsidR="009E40EF" w:rsidRPr="00F844CC">
        <w:rPr>
          <w:rFonts w:ascii="Verdana" w:hAnsi="Verdana"/>
          <w:i/>
          <w:iCs/>
          <w:sz w:val="16"/>
          <w:szCs w:val="16"/>
        </w:rPr>
        <w:t>Caso Ximenes Lopes Vs. Brasil</w:t>
      </w:r>
      <w:r w:rsidR="009E40EF" w:rsidRPr="00F844CC">
        <w:rPr>
          <w:rFonts w:ascii="Verdana" w:hAnsi="Verdana"/>
          <w:sz w:val="16"/>
          <w:szCs w:val="16"/>
        </w:rPr>
        <w:t xml:space="preserve">. Sentencia de 4 de julio de 2006. Serie C No. 149, </w:t>
      </w:r>
      <w:r w:rsidR="009E40EF" w:rsidRPr="00F844CC">
        <w:rPr>
          <w:rFonts w:ascii="Verdana" w:hAnsi="Verdana"/>
          <w:sz w:val="16"/>
          <w:szCs w:val="16"/>
          <w:lang w:val="es-419"/>
        </w:rPr>
        <w:t>p</w:t>
      </w:r>
      <w:r w:rsidRPr="00F844CC">
        <w:rPr>
          <w:rFonts w:ascii="Verdana" w:hAnsi="Verdana"/>
          <w:sz w:val="16"/>
          <w:szCs w:val="16"/>
          <w:lang w:val="es-419"/>
        </w:rPr>
        <w:t>árrs</w:t>
      </w:r>
      <w:r w:rsidR="009E40EF" w:rsidRPr="00F844CC">
        <w:rPr>
          <w:rFonts w:ascii="Verdana" w:hAnsi="Verdana"/>
          <w:sz w:val="16"/>
          <w:szCs w:val="16"/>
          <w:lang w:val="es-419"/>
        </w:rPr>
        <w:t>.</w:t>
      </w:r>
      <w:r w:rsidRPr="00F844CC">
        <w:rPr>
          <w:rFonts w:ascii="Verdana" w:hAnsi="Verdana"/>
          <w:sz w:val="16"/>
          <w:szCs w:val="16"/>
          <w:lang w:val="es-419"/>
        </w:rPr>
        <w:t xml:space="preserve"> 141</w:t>
      </w:r>
      <w:r w:rsidR="009E40EF" w:rsidRPr="00F844CC">
        <w:rPr>
          <w:rFonts w:ascii="Verdana" w:hAnsi="Verdana"/>
          <w:sz w:val="16"/>
          <w:szCs w:val="16"/>
          <w:lang w:val="es-419"/>
        </w:rPr>
        <w:t>-</w:t>
      </w:r>
      <w:r w:rsidR="00640072" w:rsidRPr="00F844CC">
        <w:rPr>
          <w:rFonts w:ascii="Verdana" w:hAnsi="Verdana"/>
          <w:sz w:val="16"/>
          <w:szCs w:val="16"/>
          <w:lang w:val="es-419"/>
        </w:rPr>
        <w:t>146.</w:t>
      </w:r>
    </w:p>
  </w:footnote>
  <w:footnote w:id="20">
    <w:p w14:paraId="0222AB30" w14:textId="06C66F19" w:rsidR="00AE6BFE" w:rsidRPr="00F844CC" w:rsidRDefault="00AE6BFE"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lang w:val="es-419"/>
        </w:rPr>
        <w:t>Cfr</w:t>
      </w:r>
      <w:r w:rsidRPr="00F844CC">
        <w:rPr>
          <w:rFonts w:ascii="Verdana" w:hAnsi="Verdana"/>
          <w:sz w:val="16"/>
          <w:szCs w:val="16"/>
          <w:lang w:val="es-419"/>
        </w:rPr>
        <w:t>.</w:t>
      </w:r>
      <w:r w:rsidRPr="00F844CC">
        <w:rPr>
          <w:rFonts w:ascii="Verdana" w:hAnsi="Verdana"/>
          <w:sz w:val="16"/>
          <w:szCs w:val="16"/>
        </w:rPr>
        <w:t xml:space="preserve"> </w:t>
      </w:r>
      <w:r w:rsidR="009E40EF" w:rsidRPr="00F844CC">
        <w:rPr>
          <w:rFonts w:ascii="Verdana" w:hAnsi="Verdana"/>
          <w:i/>
          <w:iCs/>
          <w:sz w:val="16"/>
          <w:szCs w:val="16"/>
        </w:rPr>
        <w:t>Caso Ximenes Lopes Vs. Brasil</w:t>
      </w:r>
      <w:r w:rsidR="009E40EF" w:rsidRPr="00F844CC">
        <w:rPr>
          <w:rFonts w:ascii="Verdana" w:hAnsi="Verdana"/>
          <w:sz w:val="16"/>
          <w:szCs w:val="16"/>
        </w:rPr>
        <w:t>. Sentencia de 4 de julio de 2006. Serie C No. 149</w:t>
      </w:r>
      <w:r w:rsidR="0043553E" w:rsidRPr="00F844CC">
        <w:rPr>
          <w:rFonts w:ascii="Verdana" w:hAnsi="Verdana"/>
          <w:sz w:val="16"/>
          <w:szCs w:val="16"/>
        </w:rPr>
        <w:t>,</w:t>
      </w:r>
      <w:r w:rsidRPr="00F844CC">
        <w:rPr>
          <w:rFonts w:ascii="Verdana" w:hAnsi="Verdana"/>
          <w:sz w:val="16"/>
          <w:szCs w:val="16"/>
        </w:rPr>
        <w:t xml:space="preserve"> </w:t>
      </w:r>
      <w:r w:rsidR="009E40EF" w:rsidRPr="00F844CC">
        <w:rPr>
          <w:rFonts w:ascii="Verdana" w:hAnsi="Verdana"/>
          <w:sz w:val="16"/>
          <w:szCs w:val="16"/>
        </w:rPr>
        <w:t>p</w:t>
      </w:r>
      <w:r w:rsidR="0043553E" w:rsidRPr="00F844CC">
        <w:rPr>
          <w:rFonts w:ascii="Verdana" w:hAnsi="Verdana"/>
          <w:sz w:val="16"/>
          <w:szCs w:val="16"/>
        </w:rPr>
        <w:t>árr</w:t>
      </w:r>
      <w:r w:rsidR="009E40EF" w:rsidRPr="00F844CC">
        <w:rPr>
          <w:rFonts w:ascii="Verdana" w:hAnsi="Verdana"/>
          <w:sz w:val="16"/>
          <w:szCs w:val="16"/>
        </w:rPr>
        <w:t>.</w:t>
      </w:r>
      <w:r w:rsidRPr="00F844CC">
        <w:rPr>
          <w:rFonts w:ascii="Verdana" w:hAnsi="Verdana"/>
          <w:sz w:val="16"/>
          <w:szCs w:val="16"/>
        </w:rPr>
        <w:t xml:space="preserve"> 146</w:t>
      </w:r>
      <w:r w:rsidR="0043553E" w:rsidRPr="00F844CC">
        <w:rPr>
          <w:rFonts w:ascii="Verdana" w:hAnsi="Verdana"/>
          <w:sz w:val="16"/>
          <w:szCs w:val="16"/>
        </w:rPr>
        <w:t>.</w:t>
      </w:r>
    </w:p>
  </w:footnote>
  <w:footnote w:id="21">
    <w:p w14:paraId="2B46411F" w14:textId="57E126DD" w:rsidR="00CD2723" w:rsidRPr="00F844CC" w:rsidRDefault="00CD2723"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00E969D2" w:rsidRPr="00F844CC">
        <w:rPr>
          <w:rFonts w:ascii="Verdana" w:hAnsi="Verdana"/>
          <w:i/>
          <w:iCs/>
          <w:sz w:val="16"/>
          <w:szCs w:val="16"/>
          <w:lang w:val="es-419"/>
        </w:rPr>
        <w:t>Cfr</w:t>
      </w:r>
      <w:r w:rsidR="00E969D2" w:rsidRPr="00F844CC">
        <w:rPr>
          <w:rFonts w:ascii="Verdana" w:hAnsi="Verdana"/>
          <w:sz w:val="16"/>
          <w:szCs w:val="16"/>
          <w:lang w:val="es-419"/>
        </w:rPr>
        <w:t>. Declaración del señor Juan Manuel Sánchez Rodríguez rendida ante fedatario público, de 13 de marzo de 2022 (expediente de prueba, folio 3633).</w:t>
      </w:r>
    </w:p>
  </w:footnote>
  <w:footnote w:id="22">
    <w:p w14:paraId="598E8FEF" w14:textId="514ED228" w:rsidR="00DA0DAF" w:rsidRPr="00F844CC" w:rsidRDefault="00DA0DAF" w:rsidP="00F844CC">
      <w:pPr>
        <w:pStyle w:val="Textonotapie"/>
        <w:jc w:val="both"/>
        <w:rPr>
          <w:rFonts w:ascii="Verdana" w:hAnsi="Verdana"/>
          <w:sz w:val="16"/>
          <w:szCs w:val="16"/>
          <w:lang w:val="es-419"/>
        </w:rPr>
      </w:pPr>
      <w:r w:rsidRPr="00F844CC">
        <w:rPr>
          <w:rStyle w:val="Refdenotaalpie"/>
          <w:rFonts w:ascii="Verdana" w:hAnsi="Verdana"/>
          <w:sz w:val="16"/>
          <w:szCs w:val="16"/>
        </w:rPr>
        <w:footnoteRef/>
      </w:r>
      <w:r w:rsidRPr="00F844CC">
        <w:rPr>
          <w:rFonts w:ascii="Verdana" w:hAnsi="Verdana"/>
          <w:sz w:val="16"/>
          <w:szCs w:val="16"/>
        </w:rPr>
        <w:t xml:space="preserve"> </w:t>
      </w:r>
      <w:r w:rsidRPr="00F844CC">
        <w:rPr>
          <w:rFonts w:ascii="Verdana" w:hAnsi="Verdana"/>
          <w:i/>
          <w:iCs/>
          <w:sz w:val="16"/>
          <w:szCs w:val="16"/>
          <w:lang w:val="es-419"/>
        </w:rPr>
        <w:t>Cfr</w:t>
      </w:r>
      <w:r w:rsidRPr="00F844CC">
        <w:rPr>
          <w:rFonts w:ascii="Verdana" w:hAnsi="Verdana"/>
          <w:sz w:val="16"/>
          <w:szCs w:val="16"/>
          <w:lang w:val="es-419"/>
        </w:rPr>
        <w:t>. Declaración del señor Juan Manuel Sánchez Rodríguez rendida ante fedatario público, de 13 de marzo de 2022 (expediente de prueba, folio 3634).</w:t>
      </w:r>
    </w:p>
    <w:p w14:paraId="551A0696" w14:textId="4D34A0BC" w:rsidR="00DA0DAF" w:rsidRPr="00F844CC" w:rsidRDefault="00DA0DAF" w:rsidP="00F844CC">
      <w:pPr>
        <w:pStyle w:val="Textonotapie"/>
        <w:jc w:val="both"/>
        <w:rPr>
          <w:rFonts w:ascii="Verdana" w:hAnsi="Verdana"/>
          <w:sz w:val="16"/>
          <w:szCs w:val="16"/>
          <w:lang w:val="es-4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9A0D" w14:textId="77777777" w:rsidR="004A3758" w:rsidRDefault="004A37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B571" w14:textId="77777777" w:rsidR="004A3758" w:rsidRDefault="004A37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92F9" w14:textId="77777777" w:rsidR="004A3758" w:rsidRDefault="004A37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49722F1A"/>
    <w:lvl w:ilvl="0" w:tplc="7402D104">
      <w:start w:val="1"/>
      <w:numFmt w:val="decimal"/>
      <w:pStyle w:val="PrrafodeSentencia"/>
      <w:lvlText w:val="%1."/>
      <w:lvlJc w:val="left"/>
      <w:pPr>
        <w:ind w:left="360" w:hanging="360"/>
      </w:pPr>
      <w:rPr>
        <w:rFonts w:ascii="Verdana" w:hAnsi="Verdana" w:hint="default"/>
        <w:b w:val="0"/>
        <w:i w:val="0"/>
        <w:strike w:val="0"/>
        <w:dstrike w:val="0"/>
        <w:color w:val="auto"/>
        <w:sz w:val="20"/>
        <w:szCs w:val="20"/>
        <w:u w:val="none"/>
        <w:effect w:val="none"/>
        <w:vertAlign w:val="baseline"/>
        <w:lang w:val="pt-BR"/>
      </w:rPr>
    </w:lvl>
    <w:lvl w:ilvl="1" w:tplc="CEA4ED48">
      <w:start w:val="1"/>
      <w:numFmt w:val="upperLetter"/>
      <w:lvlText w:val="%2."/>
      <w:lvlJc w:val="left"/>
      <w:pPr>
        <w:ind w:left="2202"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4136F17"/>
    <w:multiLevelType w:val="hybridMultilevel"/>
    <w:tmpl w:val="475290F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53A36"/>
    <w:multiLevelType w:val="hybridMultilevel"/>
    <w:tmpl w:val="DFE60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9D2D3D"/>
    <w:multiLevelType w:val="hybridMultilevel"/>
    <w:tmpl w:val="89121A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B268B7"/>
    <w:multiLevelType w:val="hybridMultilevel"/>
    <w:tmpl w:val="A6384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C0535"/>
    <w:multiLevelType w:val="hybridMultilevel"/>
    <w:tmpl w:val="6F0EDB58"/>
    <w:lvl w:ilvl="0" w:tplc="0C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F955067"/>
    <w:multiLevelType w:val="hybridMultilevel"/>
    <w:tmpl w:val="A6384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D5D41"/>
    <w:multiLevelType w:val="hybridMultilevel"/>
    <w:tmpl w:val="81A63F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FD4B26"/>
    <w:multiLevelType w:val="hybridMultilevel"/>
    <w:tmpl w:val="09BE12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322D17"/>
    <w:multiLevelType w:val="hybridMultilevel"/>
    <w:tmpl w:val="A4665C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D39AC"/>
    <w:multiLevelType w:val="hybridMultilevel"/>
    <w:tmpl w:val="9ADA0C9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307232C7"/>
    <w:multiLevelType w:val="hybridMultilevel"/>
    <w:tmpl w:val="578E6FF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68171E"/>
    <w:multiLevelType w:val="hybridMultilevel"/>
    <w:tmpl w:val="2926E5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C5C34"/>
    <w:multiLevelType w:val="hybridMultilevel"/>
    <w:tmpl w:val="91F87C02"/>
    <w:lvl w:ilvl="0" w:tplc="BBDA3684">
      <w:start w:val="1"/>
      <w:numFmt w:val="decimal"/>
      <w:lvlText w:val="%1."/>
      <w:lvlJc w:val="left"/>
      <w:pPr>
        <w:ind w:left="1865" w:hanging="360"/>
      </w:pPr>
      <w:rPr>
        <w:rFonts w:ascii="Verdana" w:hAnsi="Verdana" w:hint="default"/>
        <w:b w:val="0"/>
        <w:i w:val="0"/>
        <w:color w:val="auto"/>
        <w:sz w:val="20"/>
        <w:szCs w:val="20"/>
      </w:rPr>
    </w:lvl>
    <w:lvl w:ilvl="1" w:tplc="C23AC0AA">
      <w:start w:val="1"/>
      <w:numFmt w:val="lowerLetter"/>
      <w:lvlText w:val="%2)"/>
      <w:lvlJc w:val="left"/>
      <w:pPr>
        <w:ind w:left="-3368" w:hanging="360"/>
      </w:pPr>
      <w:rPr>
        <w:rFonts w:hint="default"/>
        <w:i/>
      </w:rPr>
    </w:lvl>
    <w:lvl w:ilvl="2" w:tplc="0409001B" w:tentative="1">
      <w:start w:val="1"/>
      <w:numFmt w:val="lowerRoman"/>
      <w:lvlText w:val="%3."/>
      <w:lvlJc w:val="right"/>
      <w:pPr>
        <w:ind w:left="-2648" w:hanging="180"/>
      </w:pPr>
    </w:lvl>
    <w:lvl w:ilvl="3" w:tplc="140A000F">
      <w:start w:val="1"/>
      <w:numFmt w:val="decimal"/>
      <w:lvlText w:val="%4."/>
      <w:lvlJc w:val="left"/>
      <w:pPr>
        <w:ind w:left="-1928" w:hanging="360"/>
      </w:pPr>
    </w:lvl>
    <w:lvl w:ilvl="4" w:tplc="04090019" w:tentative="1">
      <w:start w:val="1"/>
      <w:numFmt w:val="lowerLetter"/>
      <w:lvlText w:val="%5."/>
      <w:lvlJc w:val="left"/>
      <w:pPr>
        <w:ind w:left="-1208" w:hanging="360"/>
      </w:pPr>
    </w:lvl>
    <w:lvl w:ilvl="5" w:tplc="0409001B" w:tentative="1">
      <w:start w:val="1"/>
      <w:numFmt w:val="lowerRoman"/>
      <w:lvlText w:val="%6."/>
      <w:lvlJc w:val="right"/>
      <w:pPr>
        <w:ind w:left="-488" w:hanging="180"/>
      </w:pPr>
    </w:lvl>
    <w:lvl w:ilvl="6" w:tplc="0409000F" w:tentative="1">
      <w:start w:val="1"/>
      <w:numFmt w:val="decimal"/>
      <w:lvlText w:val="%7."/>
      <w:lvlJc w:val="left"/>
      <w:pPr>
        <w:ind w:left="232" w:hanging="360"/>
      </w:pPr>
    </w:lvl>
    <w:lvl w:ilvl="7" w:tplc="04090019" w:tentative="1">
      <w:start w:val="1"/>
      <w:numFmt w:val="lowerLetter"/>
      <w:lvlText w:val="%8."/>
      <w:lvlJc w:val="left"/>
      <w:pPr>
        <w:ind w:left="952" w:hanging="360"/>
      </w:pPr>
    </w:lvl>
    <w:lvl w:ilvl="8" w:tplc="0409001B" w:tentative="1">
      <w:start w:val="1"/>
      <w:numFmt w:val="lowerRoman"/>
      <w:lvlText w:val="%9."/>
      <w:lvlJc w:val="right"/>
      <w:pPr>
        <w:ind w:left="1672" w:hanging="180"/>
      </w:pPr>
    </w:lvl>
  </w:abstractNum>
  <w:abstractNum w:abstractNumId="14" w15:restartNumberingAfterBreak="0">
    <w:nsid w:val="394A7DA4"/>
    <w:multiLevelType w:val="hybridMultilevel"/>
    <w:tmpl w:val="A12C8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2303F1"/>
    <w:multiLevelType w:val="hybridMultilevel"/>
    <w:tmpl w:val="AD1ED284"/>
    <w:lvl w:ilvl="0" w:tplc="C8B2CD20">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FE243C"/>
    <w:multiLevelType w:val="hybridMultilevel"/>
    <w:tmpl w:val="7B804E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5F2D53"/>
    <w:multiLevelType w:val="hybridMultilevel"/>
    <w:tmpl w:val="FD6CC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CA5632"/>
    <w:multiLevelType w:val="hybridMultilevel"/>
    <w:tmpl w:val="094E7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57CB"/>
    <w:multiLevelType w:val="hybridMultilevel"/>
    <w:tmpl w:val="B0040C2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65D90A18"/>
    <w:multiLevelType w:val="hybridMultilevel"/>
    <w:tmpl w:val="B68823D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E200BA1"/>
    <w:multiLevelType w:val="hybridMultilevel"/>
    <w:tmpl w:val="A4665C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354707"/>
    <w:multiLevelType w:val="hybridMultilevel"/>
    <w:tmpl w:val="D224414A"/>
    <w:lvl w:ilvl="0" w:tplc="383CE794">
      <w:start w:val="1"/>
      <w:numFmt w:val="decimal"/>
      <w:lvlText w:val="%1."/>
      <w:lvlJc w:val="left"/>
      <w:pPr>
        <w:ind w:left="967" w:hanging="825"/>
      </w:pPr>
      <w:rPr>
        <w:rFonts w:ascii="Verdana" w:eastAsia="Verdana" w:hAnsi="Verdana" w:cs="Verdana" w:hint="default"/>
        <w:b w:val="0"/>
        <w:bCs/>
        <w:i w:val="0"/>
        <w:color w:val="auto"/>
        <w:sz w:val="20"/>
        <w:szCs w:val="20"/>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7E2761E8"/>
    <w:multiLevelType w:val="hybridMultilevel"/>
    <w:tmpl w:val="A6384798"/>
    <w:lvl w:ilvl="0" w:tplc="DA0A4F2C">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E804A41"/>
    <w:multiLevelType w:val="hybridMultilevel"/>
    <w:tmpl w:val="E6502F8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15:restartNumberingAfterBreak="0">
    <w:nsid w:val="7EBC3A64"/>
    <w:multiLevelType w:val="hybridMultilevel"/>
    <w:tmpl w:val="22104BEE"/>
    <w:lvl w:ilvl="0" w:tplc="563CB8D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847856">
    <w:abstractNumId w:val="24"/>
  </w:num>
  <w:num w:numId="2" w16cid:durableId="796727955">
    <w:abstractNumId w:val="19"/>
  </w:num>
  <w:num w:numId="3" w16cid:durableId="1590963042">
    <w:abstractNumId w:val="2"/>
  </w:num>
  <w:num w:numId="4" w16cid:durableId="1019086492">
    <w:abstractNumId w:val="7"/>
  </w:num>
  <w:num w:numId="5" w16cid:durableId="1520436728">
    <w:abstractNumId w:val="14"/>
  </w:num>
  <w:num w:numId="6" w16cid:durableId="1485466264">
    <w:abstractNumId w:val="1"/>
  </w:num>
  <w:num w:numId="7" w16cid:durableId="339359883">
    <w:abstractNumId w:val="17"/>
  </w:num>
  <w:num w:numId="8" w16cid:durableId="1826163720">
    <w:abstractNumId w:val="13"/>
  </w:num>
  <w:num w:numId="9" w16cid:durableId="1980766217">
    <w:abstractNumId w:val="12"/>
  </w:num>
  <w:num w:numId="10" w16cid:durableId="1259293658">
    <w:abstractNumId w:val="18"/>
  </w:num>
  <w:num w:numId="11" w16cid:durableId="953101038">
    <w:abstractNumId w:val="22"/>
  </w:num>
  <w:num w:numId="12" w16cid:durableId="1462848547">
    <w:abstractNumId w:val="11"/>
  </w:num>
  <w:num w:numId="13" w16cid:durableId="2000687601">
    <w:abstractNumId w:val="3"/>
  </w:num>
  <w:num w:numId="14" w16cid:durableId="1861577480">
    <w:abstractNumId w:val="20"/>
  </w:num>
  <w:num w:numId="15" w16cid:durableId="1572807760">
    <w:abstractNumId w:val="15"/>
  </w:num>
  <w:num w:numId="16" w16cid:durableId="876891701">
    <w:abstractNumId w:val="26"/>
  </w:num>
  <w:num w:numId="17" w16cid:durableId="1738935427">
    <w:abstractNumId w:val="5"/>
  </w:num>
  <w:num w:numId="18" w16cid:durableId="1455562817">
    <w:abstractNumId w:val="6"/>
  </w:num>
  <w:num w:numId="19" w16cid:durableId="2091001912">
    <w:abstractNumId w:val="4"/>
  </w:num>
  <w:num w:numId="20" w16cid:durableId="1844542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65868">
    <w:abstractNumId w:val="25"/>
  </w:num>
  <w:num w:numId="22" w16cid:durableId="1761216578">
    <w:abstractNumId w:val="21"/>
  </w:num>
  <w:num w:numId="23" w16cid:durableId="2043701066">
    <w:abstractNumId w:val="16"/>
  </w:num>
  <w:num w:numId="24" w16cid:durableId="780760816">
    <w:abstractNumId w:val="8"/>
  </w:num>
  <w:num w:numId="25" w16cid:durableId="1830487093">
    <w:abstractNumId w:val="10"/>
  </w:num>
  <w:num w:numId="26" w16cid:durableId="177356045">
    <w:abstractNumId w:val="9"/>
  </w:num>
  <w:num w:numId="27" w16cid:durableId="79715134">
    <w:abstractNumId w:val="23"/>
  </w:num>
  <w:num w:numId="28" w16cid:durableId="47503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9B"/>
    <w:rsid w:val="00000673"/>
    <w:rsid w:val="00001390"/>
    <w:rsid w:val="0000295A"/>
    <w:rsid w:val="00002E0B"/>
    <w:rsid w:val="00003893"/>
    <w:rsid w:val="00003D22"/>
    <w:rsid w:val="00004012"/>
    <w:rsid w:val="0000439D"/>
    <w:rsid w:val="000048BF"/>
    <w:rsid w:val="00004A44"/>
    <w:rsid w:val="00005183"/>
    <w:rsid w:val="00005A34"/>
    <w:rsid w:val="00005A44"/>
    <w:rsid w:val="0000608D"/>
    <w:rsid w:val="0000716C"/>
    <w:rsid w:val="00011F22"/>
    <w:rsid w:val="0001322C"/>
    <w:rsid w:val="00013648"/>
    <w:rsid w:val="0001369D"/>
    <w:rsid w:val="00013F6D"/>
    <w:rsid w:val="0001462C"/>
    <w:rsid w:val="00014CA6"/>
    <w:rsid w:val="0001779F"/>
    <w:rsid w:val="000177BE"/>
    <w:rsid w:val="0002025D"/>
    <w:rsid w:val="000206A5"/>
    <w:rsid w:val="000208A0"/>
    <w:rsid w:val="00020C13"/>
    <w:rsid w:val="0002110D"/>
    <w:rsid w:val="000217DC"/>
    <w:rsid w:val="00021B74"/>
    <w:rsid w:val="00021F1F"/>
    <w:rsid w:val="00022EAF"/>
    <w:rsid w:val="0002308D"/>
    <w:rsid w:val="00023753"/>
    <w:rsid w:val="000237F8"/>
    <w:rsid w:val="000247D3"/>
    <w:rsid w:val="00027AAB"/>
    <w:rsid w:val="00027DA6"/>
    <w:rsid w:val="0003021B"/>
    <w:rsid w:val="00030AE2"/>
    <w:rsid w:val="00030C95"/>
    <w:rsid w:val="00031D58"/>
    <w:rsid w:val="0003238F"/>
    <w:rsid w:val="0003323D"/>
    <w:rsid w:val="000341CE"/>
    <w:rsid w:val="00035B84"/>
    <w:rsid w:val="00035F2C"/>
    <w:rsid w:val="000362C3"/>
    <w:rsid w:val="00036666"/>
    <w:rsid w:val="00036B62"/>
    <w:rsid w:val="00037E10"/>
    <w:rsid w:val="000408E1"/>
    <w:rsid w:val="00040AB9"/>
    <w:rsid w:val="00041113"/>
    <w:rsid w:val="000412A3"/>
    <w:rsid w:val="000417FB"/>
    <w:rsid w:val="000434B3"/>
    <w:rsid w:val="000445AA"/>
    <w:rsid w:val="000447DB"/>
    <w:rsid w:val="00044B8B"/>
    <w:rsid w:val="00045356"/>
    <w:rsid w:val="000455DF"/>
    <w:rsid w:val="000458B0"/>
    <w:rsid w:val="000463CF"/>
    <w:rsid w:val="000465E6"/>
    <w:rsid w:val="000471E3"/>
    <w:rsid w:val="000471FC"/>
    <w:rsid w:val="00047CA9"/>
    <w:rsid w:val="0005054F"/>
    <w:rsid w:val="00050ADD"/>
    <w:rsid w:val="00050D0E"/>
    <w:rsid w:val="00050DB7"/>
    <w:rsid w:val="0005177F"/>
    <w:rsid w:val="00051DAF"/>
    <w:rsid w:val="0005230A"/>
    <w:rsid w:val="00052820"/>
    <w:rsid w:val="00052BB6"/>
    <w:rsid w:val="00053A76"/>
    <w:rsid w:val="00053FBA"/>
    <w:rsid w:val="00055119"/>
    <w:rsid w:val="000565B7"/>
    <w:rsid w:val="000566F9"/>
    <w:rsid w:val="00056B2B"/>
    <w:rsid w:val="00056C5B"/>
    <w:rsid w:val="00056D68"/>
    <w:rsid w:val="0005788C"/>
    <w:rsid w:val="000579A2"/>
    <w:rsid w:val="000611D8"/>
    <w:rsid w:val="00061714"/>
    <w:rsid w:val="00062789"/>
    <w:rsid w:val="000631BB"/>
    <w:rsid w:val="0006592B"/>
    <w:rsid w:val="00066851"/>
    <w:rsid w:val="00067132"/>
    <w:rsid w:val="00071221"/>
    <w:rsid w:val="00071DEC"/>
    <w:rsid w:val="000726CA"/>
    <w:rsid w:val="000727BA"/>
    <w:rsid w:val="00073550"/>
    <w:rsid w:val="00073622"/>
    <w:rsid w:val="000738C2"/>
    <w:rsid w:val="00073E49"/>
    <w:rsid w:val="0007467E"/>
    <w:rsid w:val="00074714"/>
    <w:rsid w:val="00074A95"/>
    <w:rsid w:val="00074E9C"/>
    <w:rsid w:val="00075D6D"/>
    <w:rsid w:val="00076704"/>
    <w:rsid w:val="000769FA"/>
    <w:rsid w:val="000770D1"/>
    <w:rsid w:val="0007711E"/>
    <w:rsid w:val="0007716A"/>
    <w:rsid w:val="000775FE"/>
    <w:rsid w:val="0007764D"/>
    <w:rsid w:val="000801B6"/>
    <w:rsid w:val="0008021C"/>
    <w:rsid w:val="0008058B"/>
    <w:rsid w:val="000805ED"/>
    <w:rsid w:val="00080A3E"/>
    <w:rsid w:val="00080BB6"/>
    <w:rsid w:val="00081839"/>
    <w:rsid w:val="00082EDB"/>
    <w:rsid w:val="00082F4D"/>
    <w:rsid w:val="000830A6"/>
    <w:rsid w:val="00084085"/>
    <w:rsid w:val="000842EC"/>
    <w:rsid w:val="00084428"/>
    <w:rsid w:val="000845CC"/>
    <w:rsid w:val="00084765"/>
    <w:rsid w:val="00087FF3"/>
    <w:rsid w:val="0009113F"/>
    <w:rsid w:val="00091699"/>
    <w:rsid w:val="00091BB2"/>
    <w:rsid w:val="000922EB"/>
    <w:rsid w:val="00092702"/>
    <w:rsid w:val="00092D90"/>
    <w:rsid w:val="00094B2E"/>
    <w:rsid w:val="00094B44"/>
    <w:rsid w:val="00095242"/>
    <w:rsid w:val="000957FE"/>
    <w:rsid w:val="0009616C"/>
    <w:rsid w:val="000962B3"/>
    <w:rsid w:val="00096C22"/>
    <w:rsid w:val="00097112"/>
    <w:rsid w:val="000973C0"/>
    <w:rsid w:val="00097814"/>
    <w:rsid w:val="00097C7E"/>
    <w:rsid w:val="00097D64"/>
    <w:rsid w:val="000A0545"/>
    <w:rsid w:val="000A072C"/>
    <w:rsid w:val="000A07E1"/>
    <w:rsid w:val="000A19E5"/>
    <w:rsid w:val="000A211F"/>
    <w:rsid w:val="000A294C"/>
    <w:rsid w:val="000A3709"/>
    <w:rsid w:val="000A380B"/>
    <w:rsid w:val="000A4B13"/>
    <w:rsid w:val="000A4E26"/>
    <w:rsid w:val="000A5125"/>
    <w:rsid w:val="000A53D5"/>
    <w:rsid w:val="000A580D"/>
    <w:rsid w:val="000A602B"/>
    <w:rsid w:val="000A64F1"/>
    <w:rsid w:val="000A750D"/>
    <w:rsid w:val="000A7953"/>
    <w:rsid w:val="000B014B"/>
    <w:rsid w:val="000B0470"/>
    <w:rsid w:val="000B0B4B"/>
    <w:rsid w:val="000B0D7F"/>
    <w:rsid w:val="000B1690"/>
    <w:rsid w:val="000B22A0"/>
    <w:rsid w:val="000B31B7"/>
    <w:rsid w:val="000B36FB"/>
    <w:rsid w:val="000B370D"/>
    <w:rsid w:val="000B42FB"/>
    <w:rsid w:val="000B48DA"/>
    <w:rsid w:val="000B4BAA"/>
    <w:rsid w:val="000B528D"/>
    <w:rsid w:val="000B5B93"/>
    <w:rsid w:val="000B6387"/>
    <w:rsid w:val="000B6A6D"/>
    <w:rsid w:val="000B6B62"/>
    <w:rsid w:val="000B6C1A"/>
    <w:rsid w:val="000B7266"/>
    <w:rsid w:val="000B77D1"/>
    <w:rsid w:val="000B7935"/>
    <w:rsid w:val="000B7D9B"/>
    <w:rsid w:val="000C12F2"/>
    <w:rsid w:val="000C1A26"/>
    <w:rsid w:val="000C1A2A"/>
    <w:rsid w:val="000C30E2"/>
    <w:rsid w:val="000C3B30"/>
    <w:rsid w:val="000C3BE8"/>
    <w:rsid w:val="000C4082"/>
    <w:rsid w:val="000C4AFB"/>
    <w:rsid w:val="000C4CF5"/>
    <w:rsid w:val="000C51B2"/>
    <w:rsid w:val="000C54E3"/>
    <w:rsid w:val="000C55A5"/>
    <w:rsid w:val="000C581D"/>
    <w:rsid w:val="000C5EA0"/>
    <w:rsid w:val="000C6221"/>
    <w:rsid w:val="000C74E5"/>
    <w:rsid w:val="000C78CA"/>
    <w:rsid w:val="000C7B81"/>
    <w:rsid w:val="000D0584"/>
    <w:rsid w:val="000D0E14"/>
    <w:rsid w:val="000D16E7"/>
    <w:rsid w:val="000D1840"/>
    <w:rsid w:val="000D1D55"/>
    <w:rsid w:val="000D2142"/>
    <w:rsid w:val="000D2C0B"/>
    <w:rsid w:val="000D33FE"/>
    <w:rsid w:val="000D342B"/>
    <w:rsid w:val="000D58FC"/>
    <w:rsid w:val="000D656B"/>
    <w:rsid w:val="000D6E95"/>
    <w:rsid w:val="000E049A"/>
    <w:rsid w:val="000E1098"/>
    <w:rsid w:val="000E1809"/>
    <w:rsid w:val="000E18AE"/>
    <w:rsid w:val="000E1C21"/>
    <w:rsid w:val="000E2AE3"/>
    <w:rsid w:val="000E2CE0"/>
    <w:rsid w:val="000E30F9"/>
    <w:rsid w:val="000E3335"/>
    <w:rsid w:val="000E33E0"/>
    <w:rsid w:val="000E392E"/>
    <w:rsid w:val="000E3DBF"/>
    <w:rsid w:val="000E4F50"/>
    <w:rsid w:val="000E61B2"/>
    <w:rsid w:val="000E71F1"/>
    <w:rsid w:val="000E77F5"/>
    <w:rsid w:val="000E7CB1"/>
    <w:rsid w:val="000F039E"/>
    <w:rsid w:val="000F219B"/>
    <w:rsid w:val="000F23FA"/>
    <w:rsid w:val="000F2826"/>
    <w:rsid w:val="000F2A81"/>
    <w:rsid w:val="000F3417"/>
    <w:rsid w:val="000F4C94"/>
    <w:rsid w:val="000F4CDA"/>
    <w:rsid w:val="000F4E39"/>
    <w:rsid w:val="000F62EF"/>
    <w:rsid w:val="000F72F5"/>
    <w:rsid w:val="000F745C"/>
    <w:rsid w:val="00100154"/>
    <w:rsid w:val="00100451"/>
    <w:rsid w:val="00100588"/>
    <w:rsid w:val="001009E0"/>
    <w:rsid w:val="00101D28"/>
    <w:rsid w:val="00102000"/>
    <w:rsid w:val="00102426"/>
    <w:rsid w:val="00102E7C"/>
    <w:rsid w:val="00103817"/>
    <w:rsid w:val="00103B63"/>
    <w:rsid w:val="00104CEC"/>
    <w:rsid w:val="0010530A"/>
    <w:rsid w:val="00106FDD"/>
    <w:rsid w:val="00107917"/>
    <w:rsid w:val="001100C8"/>
    <w:rsid w:val="00110149"/>
    <w:rsid w:val="001111CF"/>
    <w:rsid w:val="0011192A"/>
    <w:rsid w:val="00111DE5"/>
    <w:rsid w:val="00112388"/>
    <w:rsid w:val="001133A9"/>
    <w:rsid w:val="001136D0"/>
    <w:rsid w:val="001138C1"/>
    <w:rsid w:val="00113D8B"/>
    <w:rsid w:val="00113EB3"/>
    <w:rsid w:val="0011417B"/>
    <w:rsid w:val="00114391"/>
    <w:rsid w:val="0011559F"/>
    <w:rsid w:val="00115C26"/>
    <w:rsid w:val="001172AE"/>
    <w:rsid w:val="00117401"/>
    <w:rsid w:val="0011768D"/>
    <w:rsid w:val="00117BC0"/>
    <w:rsid w:val="00117E3C"/>
    <w:rsid w:val="0012041A"/>
    <w:rsid w:val="00120880"/>
    <w:rsid w:val="00122085"/>
    <w:rsid w:val="00123614"/>
    <w:rsid w:val="001243A4"/>
    <w:rsid w:val="00124CEB"/>
    <w:rsid w:val="00125B67"/>
    <w:rsid w:val="00126228"/>
    <w:rsid w:val="00126634"/>
    <w:rsid w:val="001268B6"/>
    <w:rsid w:val="0012694A"/>
    <w:rsid w:val="00126E2C"/>
    <w:rsid w:val="001272C0"/>
    <w:rsid w:val="00127D86"/>
    <w:rsid w:val="00127DE9"/>
    <w:rsid w:val="00130806"/>
    <w:rsid w:val="00130952"/>
    <w:rsid w:val="00131C18"/>
    <w:rsid w:val="00131E15"/>
    <w:rsid w:val="0013265E"/>
    <w:rsid w:val="001328C6"/>
    <w:rsid w:val="001346A4"/>
    <w:rsid w:val="0013470D"/>
    <w:rsid w:val="001361DF"/>
    <w:rsid w:val="00136287"/>
    <w:rsid w:val="0013705C"/>
    <w:rsid w:val="00137F77"/>
    <w:rsid w:val="00141011"/>
    <w:rsid w:val="00141395"/>
    <w:rsid w:val="00141820"/>
    <w:rsid w:val="00142BC9"/>
    <w:rsid w:val="0014443B"/>
    <w:rsid w:val="00144931"/>
    <w:rsid w:val="00145633"/>
    <w:rsid w:val="001471C7"/>
    <w:rsid w:val="0015038D"/>
    <w:rsid w:val="001507EC"/>
    <w:rsid w:val="00151130"/>
    <w:rsid w:val="00151A21"/>
    <w:rsid w:val="00152316"/>
    <w:rsid w:val="0015258D"/>
    <w:rsid w:val="00153674"/>
    <w:rsid w:val="0015520F"/>
    <w:rsid w:val="00156A91"/>
    <w:rsid w:val="00157071"/>
    <w:rsid w:val="00157298"/>
    <w:rsid w:val="00157DB6"/>
    <w:rsid w:val="00161BFD"/>
    <w:rsid w:val="00164052"/>
    <w:rsid w:val="00164D50"/>
    <w:rsid w:val="00165467"/>
    <w:rsid w:val="00165AB5"/>
    <w:rsid w:val="00165AC9"/>
    <w:rsid w:val="00165D96"/>
    <w:rsid w:val="001661E9"/>
    <w:rsid w:val="001669A6"/>
    <w:rsid w:val="001700F9"/>
    <w:rsid w:val="00170C67"/>
    <w:rsid w:val="00171261"/>
    <w:rsid w:val="00172B37"/>
    <w:rsid w:val="00173087"/>
    <w:rsid w:val="0017366A"/>
    <w:rsid w:val="00173CC7"/>
    <w:rsid w:val="0017484C"/>
    <w:rsid w:val="00174A55"/>
    <w:rsid w:val="00174FEB"/>
    <w:rsid w:val="001758A5"/>
    <w:rsid w:val="0017623D"/>
    <w:rsid w:val="001765BD"/>
    <w:rsid w:val="00176D47"/>
    <w:rsid w:val="00180557"/>
    <w:rsid w:val="001821C5"/>
    <w:rsid w:val="00182C89"/>
    <w:rsid w:val="00182F98"/>
    <w:rsid w:val="0018323D"/>
    <w:rsid w:val="00183F11"/>
    <w:rsid w:val="0018455A"/>
    <w:rsid w:val="001848F5"/>
    <w:rsid w:val="00185745"/>
    <w:rsid w:val="001859D5"/>
    <w:rsid w:val="0018682D"/>
    <w:rsid w:val="001879E9"/>
    <w:rsid w:val="00187C51"/>
    <w:rsid w:val="00187FD4"/>
    <w:rsid w:val="001904CA"/>
    <w:rsid w:val="0019133B"/>
    <w:rsid w:val="00191369"/>
    <w:rsid w:val="001928D8"/>
    <w:rsid w:val="00192C9C"/>
    <w:rsid w:val="0019338D"/>
    <w:rsid w:val="00193619"/>
    <w:rsid w:val="00193ADF"/>
    <w:rsid w:val="0019435D"/>
    <w:rsid w:val="00194EE6"/>
    <w:rsid w:val="00195F03"/>
    <w:rsid w:val="0019625B"/>
    <w:rsid w:val="00197467"/>
    <w:rsid w:val="001A00B6"/>
    <w:rsid w:val="001A1C48"/>
    <w:rsid w:val="001A4451"/>
    <w:rsid w:val="001A485F"/>
    <w:rsid w:val="001A4E7D"/>
    <w:rsid w:val="001A5714"/>
    <w:rsid w:val="001A6102"/>
    <w:rsid w:val="001B0512"/>
    <w:rsid w:val="001B09DF"/>
    <w:rsid w:val="001B1094"/>
    <w:rsid w:val="001B1D4F"/>
    <w:rsid w:val="001B1DD4"/>
    <w:rsid w:val="001B283B"/>
    <w:rsid w:val="001B28F2"/>
    <w:rsid w:val="001B2D70"/>
    <w:rsid w:val="001B4325"/>
    <w:rsid w:val="001B442B"/>
    <w:rsid w:val="001B5632"/>
    <w:rsid w:val="001B5A6B"/>
    <w:rsid w:val="001B67DA"/>
    <w:rsid w:val="001B6BA6"/>
    <w:rsid w:val="001B7A30"/>
    <w:rsid w:val="001B7F9D"/>
    <w:rsid w:val="001C08E6"/>
    <w:rsid w:val="001C20D4"/>
    <w:rsid w:val="001C22F2"/>
    <w:rsid w:val="001C2591"/>
    <w:rsid w:val="001C25CA"/>
    <w:rsid w:val="001C2634"/>
    <w:rsid w:val="001C2723"/>
    <w:rsid w:val="001C2AFB"/>
    <w:rsid w:val="001C305E"/>
    <w:rsid w:val="001C43BF"/>
    <w:rsid w:val="001C511C"/>
    <w:rsid w:val="001C6148"/>
    <w:rsid w:val="001C6BEC"/>
    <w:rsid w:val="001C6E9F"/>
    <w:rsid w:val="001C77CF"/>
    <w:rsid w:val="001D0310"/>
    <w:rsid w:val="001D1041"/>
    <w:rsid w:val="001D2CE9"/>
    <w:rsid w:val="001D305F"/>
    <w:rsid w:val="001D4026"/>
    <w:rsid w:val="001D46AB"/>
    <w:rsid w:val="001D49F7"/>
    <w:rsid w:val="001D4B1C"/>
    <w:rsid w:val="001D4BBA"/>
    <w:rsid w:val="001D51B6"/>
    <w:rsid w:val="001D5864"/>
    <w:rsid w:val="001D5E62"/>
    <w:rsid w:val="001D7174"/>
    <w:rsid w:val="001D7913"/>
    <w:rsid w:val="001D7C9A"/>
    <w:rsid w:val="001D7DDF"/>
    <w:rsid w:val="001E0278"/>
    <w:rsid w:val="001E07D9"/>
    <w:rsid w:val="001E1072"/>
    <w:rsid w:val="001E1BE9"/>
    <w:rsid w:val="001E2852"/>
    <w:rsid w:val="001E3128"/>
    <w:rsid w:val="001E36F1"/>
    <w:rsid w:val="001E3F55"/>
    <w:rsid w:val="001E3F90"/>
    <w:rsid w:val="001E4726"/>
    <w:rsid w:val="001E48BD"/>
    <w:rsid w:val="001E4E65"/>
    <w:rsid w:val="001E519F"/>
    <w:rsid w:val="001E536B"/>
    <w:rsid w:val="001E56CA"/>
    <w:rsid w:val="001E5808"/>
    <w:rsid w:val="001F0298"/>
    <w:rsid w:val="001F2832"/>
    <w:rsid w:val="001F2A3B"/>
    <w:rsid w:val="001F30E2"/>
    <w:rsid w:val="001F3A96"/>
    <w:rsid w:val="001F3F74"/>
    <w:rsid w:val="001F4B1B"/>
    <w:rsid w:val="001F544D"/>
    <w:rsid w:val="001F5706"/>
    <w:rsid w:val="001F5CCD"/>
    <w:rsid w:val="001F65E1"/>
    <w:rsid w:val="001F691D"/>
    <w:rsid w:val="001F6A6B"/>
    <w:rsid w:val="001F72B0"/>
    <w:rsid w:val="001F7D86"/>
    <w:rsid w:val="001F7E85"/>
    <w:rsid w:val="002005CE"/>
    <w:rsid w:val="0020061C"/>
    <w:rsid w:val="00201730"/>
    <w:rsid w:val="00201EAD"/>
    <w:rsid w:val="00201F52"/>
    <w:rsid w:val="00202409"/>
    <w:rsid w:val="002027B0"/>
    <w:rsid w:val="002027CF"/>
    <w:rsid w:val="002030CE"/>
    <w:rsid w:val="00206095"/>
    <w:rsid w:val="002060B6"/>
    <w:rsid w:val="002070EC"/>
    <w:rsid w:val="002075A8"/>
    <w:rsid w:val="002079C9"/>
    <w:rsid w:val="00210566"/>
    <w:rsid w:val="002113B8"/>
    <w:rsid w:val="00211732"/>
    <w:rsid w:val="0021220F"/>
    <w:rsid w:val="00212DFD"/>
    <w:rsid w:val="00213253"/>
    <w:rsid w:val="00213279"/>
    <w:rsid w:val="002136F4"/>
    <w:rsid w:val="002139AB"/>
    <w:rsid w:val="00214B59"/>
    <w:rsid w:val="002154EA"/>
    <w:rsid w:val="00215A0B"/>
    <w:rsid w:val="00215FD0"/>
    <w:rsid w:val="0021666B"/>
    <w:rsid w:val="0022085B"/>
    <w:rsid w:val="00220B09"/>
    <w:rsid w:val="00221504"/>
    <w:rsid w:val="00221D17"/>
    <w:rsid w:val="002227BB"/>
    <w:rsid w:val="002235E4"/>
    <w:rsid w:val="0022423D"/>
    <w:rsid w:val="00224505"/>
    <w:rsid w:val="0022593E"/>
    <w:rsid w:val="00225BEE"/>
    <w:rsid w:val="00225FB2"/>
    <w:rsid w:val="002260C6"/>
    <w:rsid w:val="002271E0"/>
    <w:rsid w:val="00227459"/>
    <w:rsid w:val="00227895"/>
    <w:rsid w:val="00230E15"/>
    <w:rsid w:val="002310EB"/>
    <w:rsid w:val="002326E5"/>
    <w:rsid w:val="00232B6F"/>
    <w:rsid w:val="002333AA"/>
    <w:rsid w:val="00233C34"/>
    <w:rsid w:val="00233FBF"/>
    <w:rsid w:val="00234627"/>
    <w:rsid w:val="002346CA"/>
    <w:rsid w:val="00234969"/>
    <w:rsid w:val="00234AA4"/>
    <w:rsid w:val="00236C9B"/>
    <w:rsid w:val="00236F64"/>
    <w:rsid w:val="002374F2"/>
    <w:rsid w:val="00240ED6"/>
    <w:rsid w:val="00242668"/>
    <w:rsid w:val="00243312"/>
    <w:rsid w:val="00243B25"/>
    <w:rsid w:val="002443F2"/>
    <w:rsid w:val="00245221"/>
    <w:rsid w:val="00245851"/>
    <w:rsid w:val="00246370"/>
    <w:rsid w:val="002468A8"/>
    <w:rsid w:val="00247080"/>
    <w:rsid w:val="002503BC"/>
    <w:rsid w:val="00250415"/>
    <w:rsid w:val="00250A5F"/>
    <w:rsid w:val="0025160A"/>
    <w:rsid w:val="002526AA"/>
    <w:rsid w:val="00252DDC"/>
    <w:rsid w:val="0025304E"/>
    <w:rsid w:val="0025313D"/>
    <w:rsid w:val="00253212"/>
    <w:rsid w:val="0025396F"/>
    <w:rsid w:val="00253B94"/>
    <w:rsid w:val="00255023"/>
    <w:rsid w:val="00256A7F"/>
    <w:rsid w:val="00256DF2"/>
    <w:rsid w:val="0025756B"/>
    <w:rsid w:val="0025779D"/>
    <w:rsid w:val="00257C0D"/>
    <w:rsid w:val="002602DB"/>
    <w:rsid w:val="00260CAE"/>
    <w:rsid w:val="00260F14"/>
    <w:rsid w:val="00261359"/>
    <w:rsid w:val="00261544"/>
    <w:rsid w:val="00261F1B"/>
    <w:rsid w:val="002625D7"/>
    <w:rsid w:val="002628D6"/>
    <w:rsid w:val="00263F55"/>
    <w:rsid w:val="00264291"/>
    <w:rsid w:val="002642A9"/>
    <w:rsid w:val="00264698"/>
    <w:rsid w:val="00264BB5"/>
    <w:rsid w:val="00265613"/>
    <w:rsid w:val="00266273"/>
    <w:rsid w:val="002664E6"/>
    <w:rsid w:val="002669EF"/>
    <w:rsid w:val="00266DA0"/>
    <w:rsid w:val="00267100"/>
    <w:rsid w:val="0026711C"/>
    <w:rsid w:val="00267553"/>
    <w:rsid w:val="00267A00"/>
    <w:rsid w:val="00267BD1"/>
    <w:rsid w:val="002701F4"/>
    <w:rsid w:val="00270287"/>
    <w:rsid w:val="00271865"/>
    <w:rsid w:val="0027253F"/>
    <w:rsid w:val="00273294"/>
    <w:rsid w:val="002740D2"/>
    <w:rsid w:val="00274984"/>
    <w:rsid w:val="0027515C"/>
    <w:rsid w:val="002762E4"/>
    <w:rsid w:val="00277126"/>
    <w:rsid w:val="00277238"/>
    <w:rsid w:val="0027756D"/>
    <w:rsid w:val="002775A0"/>
    <w:rsid w:val="002776E7"/>
    <w:rsid w:val="002777CB"/>
    <w:rsid w:val="00281329"/>
    <w:rsid w:val="00281CCD"/>
    <w:rsid w:val="00282203"/>
    <w:rsid w:val="00282A94"/>
    <w:rsid w:val="002849C3"/>
    <w:rsid w:val="00284A9A"/>
    <w:rsid w:val="0028534D"/>
    <w:rsid w:val="00285CE3"/>
    <w:rsid w:val="00285F49"/>
    <w:rsid w:val="002861B3"/>
    <w:rsid w:val="00287BC1"/>
    <w:rsid w:val="002904F4"/>
    <w:rsid w:val="00290518"/>
    <w:rsid w:val="00290F6E"/>
    <w:rsid w:val="00290FD8"/>
    <w:rsid w:val="0029140E"/>
    <w:rsid w:val="0029387A"/>
    <w:rsid w:val="00293975"/>
    <w:rsid w:val="00294490"/>
    <w:rsid w:val="00294D03"/>
    <w:rsid w:val="00295131"/>
    <w:rsid w:val="00295A35"/>
    <w:rsid w:val="0029759F"/>
    <w:rsid w:val="002A022B"/>
    <w:rsid w:val="002A0B0B"/>
    <w:rsid w:val="002A0CB3"/>
    <w:rsid w:val="002A1340"/>
    <w:rsid w:val="002A2C55"/>
    <w:rsid w:val="002A3160"/>
    <w:rsid w:val="002A345B"/>
    <w:rsid w:val="002A3C3A"/>
    <w:rsid w:val="002A3C79"/>
    <w:rsid w:val="002A3E86"/>
    <w:rsid w:val="002A4E4E"/>
    <w:rsid w:val="002A5223"/>
    <w:rsid w:val="002A56B2"/>
    <w:rsid w:val="002A5D87"/>
    <w:rsid w:val="002A5EF2"/>
    <w:rsid w:val="002A6487"/>
    <w:rsid w:val="002A6B90"/>
    <w:rsid w:val="002A791C"/>
    <w:rsid w:val="002B075E"/>
    <w:rsid w:val="002B0AA5"/>
    <w:rsid w:val="002B0AE3"/>
    <w:rsid w:val="002B1572"/>
    <w:rsid w:val="002B185A"/>
    <w:rsid w:val="002B2574"/>
    <w:rsid w:val="002B2852"/>
    <w:rsid w:val="002B2A86"/>
    <w:rsid w:val="002B496F"/>
    <w:rsid w:val="002B5314"/>
    <w:rsid w:val="002B5693"/>
    <w:rsid w:val="002B6205"/>
    <w:rsid w:val="002B69E4"/>
    <w:rsid w:val="002B6FEE"/>
    <w:rsid w:val="002B76B8"/>
    <w:rsid w:val="002B7E85"/>
    <w:rsid w:val="002C17C1"/>
    <w:rsid w:val="002C17D9"/>
    <w:rsid w:val="002C19E1"/>
    <w:rsid w:val="002C1BC0"/>
    <w:rsid w:val="002C3939"/>
    <w:rsid w:val="002C466D"/>
    <w:rsid w:val="002C4D1F"/>
    <w:rsid w:val="002C50F2"/>
    <w:rsid w:val="002C548A"/>
    <w:rsid w:val="002C55F7"/>
    <w:rsid w:val="002C6C4E"/>
    <w:rsid w:val="002C738D"/>
    <w:rsid w:val="002C7656"/>
    <w:rsid w:val="002C7D79"/>
    <w:rsid w:val="002D0998"/>
    <w:rsid w:val="002D0DB8"/>
    <w:rsid w:val="002D1132"/>
    <w:rsid w:val="002D1335"/>
    <w:rsid w:val="002D1F12"/>
    <w:rsid w:val="002D21B9"/>
    <w:rsid w:val="002D29E6"/>
    <w:rsid w:val="002D2B2C"/>
    <w:rsid w:val="002D2EF2"/>
    <w:rsid w:val="002D2F5C"/>
    <w:rsid w:val="002D30F9"/>
    <w:rsid w:val="002D3A3F"/>
    <w:rsid w:val="002D49F8"/>
    <w:rsid w:val="002D4A1B"/>
    <w:rsid w:val="002D4E09"/>
    <w:rsid w:val="002D4F5B"/>
    <w:rsid w:val="002D5093"/>
    <w:rsid w:val="002D680C"/>
    <w:rsid w:val="002D77DD"/>
    <w:rsid w:val="002D7CD2"/>
    <w:rsid w:val="002D7F6E"/>
    <w:rsid w:val="002D7FE9"/>
    <w:rsid w:val="002E0116"/>
    <w:rsid w:val="002E0B6C"/>
    <w:rsid w:val="002E1548"/>
    <w:rsid w:val="002E1DDF"/>
    <w:rsid w:val="002E204A"/>
    <w:rsid w:val="002E2ADE"/>
    <w:rsid w:val="002E3800"/>
    <w:rsid w:val="002E3D23"/>
    <w:rsid w:val="002E3D3E"/>
    <w:rsid w:val="002E443D"/>
    <w:rsid w:val="002E4632"/>
    <w:rsid w:val="002E5564"/>
    <w:rsid w:val="002E5AAF"/>
    <w:rsid w:val="002E5BED"/>
    <w:rsid w:val="002E66E2"/>
    <w:rsid w:val="002E6D29"/>
    <w:rsid w:val="002E71AE"/>
    <w:rsid w:val="002E74BD"/>
    <w:rsid w:val="002E7D11"/>
    <w:rsid w:val="002F1266"/>
    <w:rsid w:val="002F2EE8"/>
    <w:rsid w:val="002F3660"/>
    <w:rsid w:val="002F3838"/>
    <w:rsid w:val="002F4B8D"/>
    <w:rsid w:val="002F4CA5"/>
    <w:rsid w:val="002F4CC3"/>
    <w:rsid w:val="002F612C"/>
    <w:rsid w:val="002F617E"/>
    <w:rsid w:val="002F6775"/>
    <w:rsid w:val="00300C0F"/>
    <w:rsid w:val="0030148F"/>
    <w:rsid w:val="003019CF"/>
    <w:rsid w:val="00301A59"/>
    <w:rsid w:val="00302873"/>
    <w:rsid w:val="0030352D"/>
    <w:rsid w:val="00304B8D"/>
    <w:rsid w:val="0030561A"/>
    <w:rsid w:val="00306624"/>
    <w:rsid w:val="00306FB3"/>
    <w:rsid w:val="00307867"/>
    <w:rsid w:val="00307A6B"/>
    <w:rsid w:val="003102C4"/>
    <w:rsid w:val="00311405"/>
    <w:rsid w:val="0031159A"/>
    <w:rsid w:val="00312151"/>
    <w:rsid w:val="00312A6B"/>
    <w:rsid w:val="00312E9D"/>
    <w:rsid w:val="003134EB"/>
    <w:rsid w:val="003146C7"/>
    <w:rsid w:val="00314764"/>
    <w:rsid w:val="00314F6B"/>
    <w:rsid w:val="00315EBF"/>
    <w:rsid w:val="00316360"/>
    <w:rsid w:val="00317968"/>
    <w:rsid w:val="00320B7E"/>
    <w:rsid w:val="003219EA"/>
    <w:rsid w:val="00322D57"/>
    <w:rsid w:val="003237D9"/>
    <w:rsid w:val="00323FC0"/>
    <w:rsid w:val="00324AF0"/>
    <w:rsid w:val="00325449"/>
    <w:rsid w:val="003259A1"/>
    <w:rsid w:val="00325DDB"/>
    <w:rsid w:val="00326E82"/>
    <w:rsid w:val="00327019"/>
    <w:rsid w:val="00327D13"/>
    <w:rsid w:val="00327D8C"/>
    <w:rsid w:val="00330B36"/>
    <w:rsid w:val="00330F2B"/>
    <w:rsid w:val="003311ED"/>
    <w:rsid w:val="003315DC"/>
    <w:rsid w:val="0033180B"/>
    <w:rsid w:val="003338C8"/>
    <w:rsid w:val="00333DA0"/>
    <w:rsid w:val="00334EAB"/>
    <w:rsid w:val="00334F50"/>
    <w:rsid w:val="00335AC3"/>
    <w:rsid w:val="00335BC9"/>
    <w:rsid w:val="00336361"/>
    <w:rsid w:val="00337475"/>
    <w:rsid w:val="00337CEF"/>
    <w:rsid w:val="00340635"/>
    <w:rsid w:val="00342B4A"/>
    <w:rsid w:val="003431EF"/>
    <w:rsid w:val="00343DA7"/>
    <w:rsid w:val="00343E7C"/>
    <w:rsid w:val="00344BFB"/>
    <w:rsid w:val="0034505B"/>
    <w:rsid w:val="00345B32"/>
    <w:rsid w:val="0034605C"/>
    <w:rsid w:val="00346A23"/>
    <w:rsid w:val="00347690"/>
    <w:rsid w:val="00347B17"/>
    <w:rsid w:val="00350289"/>
    <w:rsid w:val="00351092"/>
    <w:rsid w:val="0035162A"/>
    <w:rsid w:val="00351988"/>
    <w:rsid w:val="00351A70"/>
    <w:rsid w:val="003522F2"/>
    <w:rsid w:val="00352A93"/>
    <w:rsid w:val="00352BB9"/>
    <w:rsid w:val="00353000"/>
    <w:rsid w:val="003534E0"/>
    <w:rsid w:val="00354146"/>
    <w:rsid w:val="003545DA"/>
    <w:rsid w:val="003548C7"/>
    <w:rsid w:val="00355451"/>
    <w:rsid w:val="0035713B"/>
    <w:rsid w:val="00357E8F"/>
    <w:rsid w:val="003605D7"/>
    <w:rsid w:val="00360EDD"/>
    <w:rsid w:val="00363168"/>
    <w:rsid w:val="0036494B"/>
    <w:rsid w:val="00364A8A"/>
    <w:rsid w:val="00366941"/>
    <w:rsid w:val="003672B2"/>
    <w:rsid w:val="00367471"/>
    <w:rsid w:val="0037092F"/>
    <w:rsid w:val="0037121F"/>
    <w:rsid w:val="0037161B"/>
    <w:rsid w:val="0037169B"/>
    <w:rsid w:val="0037179F"/>
    <w:rsid w:val="00371F34"/>
    <w:rsid w:val="00371FB7"/>
    <w:rsid w:val="00372094"/>
    <w:rsid w:val="00372ACB"/>
    <w:rsid w:val="00372D1D"/>
    <w:rsid w:val="003730C5"/>
    <w:rsid w:val="00373837"/>
    <w:rsid w:val="00373C5D"/>
    <w:rsid w:val="00373D7B"/>
    <w:rsid w:val="0037480A"/>
    <w:rsid w:val="00374823"/>
    <w:rsid w:val="003748F3"/>
    <w:rsid w:val="00375348"/>
    <w:rsid w:val="0037590D"/>
    <w:rsid w:val="00376026"/>
    <w:rsid w:val="0037623B"/>
    <w:rsid w:val="003764ED"/>
    <w:rsid w:val="00376785"/>
    <w:rsid w:val="003767F7"/>
    <w:rsid w:val="0037689F"/>
    <w:rsid w:val="00376C27"/>
    <w:rsid w:val="00380859"/>
    <w:rsid w:val="00382AE0"/>
    <w:rsid w:val="00382DB8"/>
    <w:rsid w:val="00383FA6"/>
    <w:rsid w:val="00384403"/>
    <w:rsid w:val="00384978"/>
    <w:rsid w:val="00385B4A"/>
    <w:rsid w:val="003862C3"/>
    <w:rsid w:val="00386FDE"/>
    <w:rsid w:val="00387511"/>
    <w:rsid w:val="00387911"/>
    <w:rsid w:val="00387E7F"/>
    <w:rsid w:val="00387F6F"/>
    <w:rsid w:val="003901E5"/>
    <w:rsid w:val="00390684"/>
    <w:rsid w:val="00390711"/>
    <w:rsid w:val="00390F03"/>
    <w:rsid w:val="003921E6"/>
    <w:rsid w:val="003926AC"/>
    <w:rsid w:val="00392953"/>
    <w:rsid w:val="00392CA4"/>
    <w:rsid w:val="00392E96"/>
    <w:rsid w:val="00393D04"/>
    <w:rsid w:val="0039446A"/>
    <w:rsid w:val="00394839"/>
    <w:rsid w:val="00394CD5"/>
    <w:rsid w:val="00394D0D"/>
    <w:rsid w:val="00395156"/>
    <w:rsid w:val="003A06A6"/>
    <w:rsid w:val="003A0DEE"/>
    <w:rsid w:val="003A30A1"/>
    <w:rsid w:val="003A3C1F"/>
    <w:rsid w:val="003A3D15"/>
    <w:rsid w:val="003A4B8D"/>
    <w:rsid w:val="003A4C46"/>
    <w:rsid w:val="003A5B0D"/>
    <w:rsid w:val="003A60AF"/>
    <w:rsid w:val="003A7168"/>
    <w:rsid w:val="003A73E0"/>
    <w:rsid w:val="003B0ED8"/>
    <w:rsid w:val="003B20D1"/>
    <w:rsid w:val="003B278A"/>
    <w:rsid w:val="003B27D8"/>
    <w:rsid w:val="003B30D1"/>
    <w:rsid w:val="003B3FAC"/>
    <w:rsid w:val="003B446F"/>
    <w:rsid w:val="003B480E"/>
    <w:rsid w:val="003B4DF8"/>
    <w:rsid w:val="003B4F2D"/>
    <w:rsid w:val="003B6D54"/>
    <w:rsid w:val="003B74D4"/>
    <w:rsid w:val="003B7F72"/>
    <w:rsid w:val="003C0F02"/>
    <w:rsid w:val="003C1052"/>
    <w:rsid w:val="003C1138"/>
    <w:rsid w:val="003C11F5"/>
    <w:rsid w:val="003C1947"/>
    <w:rsid w:val="003C1A6A"/>
    <w:rsid w:val="003C1DA0"/>
    <w:rsid w:val="003C2CCA"/>
    <w:rsid w:val="003C305E"/>
    <w:rsid w:val="003C36AB"/>
    <w:rsid w:val="003C5242"/>
    <w:rsid w:val="003C53A0"/>
    <w:rsid w:val="003C5AEF"/>
    <w:rsid w:val="003C62EA"/>
    <w:rsid w:val="003C64C8"/>
    <w:rsid w:val="003C6A8A"/>
    <w:rsid w:val="003C6E28"/>
    <w:rsid w:val="003C74E4"/>
    <w:rsid w:val="003C756E"/>
    <w:rsid w:val="003C7D83"/>
    <w:rsid w:val="003D01C3"/>
    <w:rsid w:val="003D01D5"/>
    <w:rsid w:val="003D28B1"/>
    <w:rsid w:val="003D29F7"/>
    <w:rsid w:val="003D37AD"/>
    <w:rsid w:val="003D7829"/>
    <w:rsid w:val="003D7C9F"/>
    <w:rsid w:val="003D7FF2"/>
    <w:rsid w:val="003E0F54"/>
    <w:rsid w:val="003E0FB3"/>
    <w:rsid w:val="003E16F6"/>
    <w:rsid w:val="003E1BAF"/>
    <w:rsid w:val="003E1BC2"/>
    <w:rsid w:val="003E2235"/>
    <w:rsid w:val="003E2BFB"/>
    <w:rsid w:val="003E327E"/>
    <w:rsid w:val="003E3ED0"/>
    <w:rsid w:val="003E7419"/>
    <w:rsid w:val="003E79C3"/>
    <w:rsid w:val="003E7EAF"/>
    <w:rsid w:val="003F0189"/>
    <w:rsid w:val="003F093B"/>
    <w:rsid w:val="003F0A66"/>
    <w:rsid w:val="003F2891"/>
    <w:rsid w:val="003F29E7"/>
    <w:rsid w:val="003F3611"/>
    <w:rsid w:val="003F3961"/>
    <w:rsid w:val="003F407B"/>
    <w:rsid w:val="003F4103"/>
    <w:rsid w:val="003F44A5"/>
    <w:rsid w:val="003F48F0"/>
    <w:rsid w:val="003F4F11"/>
    <w:rsid w:val="003F56A2"/>
    <w:rsid w:val="003F5734"/>
    <w:rsid w:val="003F700F"/>
    <w:rsid w:val="003F7BC5"/>
    <w:rsid w:val="00400281"/>
    <w:rsid w:val="00400565"/>
    <w:rsid w:val="0040078E"/>
    <w:rsid w:val="00401076"/>
    <w:rsid w:val="00401548"/>
    <w:rsid w:val="00401656"/>
    <w:rsid w:val="004027DE"/>
    <w:rsid w:val="00402AC8"/>
    <w:rsid w:val="004047CB"/>
    <w:rsid w:val="00404AB0"/>
    <w:rsid w:val="00405E3B"/>
    <w:rsid w:val="00406A03"/>
    <w:rsid w:val="00406B54"/>
    <w:rsid w:val="00407148"/>
    <w:rsid w:val="00411240"/>
    <w:rsid w:val="00411663"/>
    <w:rsid w:val="00411746"/>
    <w:rsid w:val="00411F15"/>
    <w:rsid w:val="00411F3A"/>
    <w:rsid w:val="004123ED"/>
    <w:rsid w:val="00412497"/>
    <w:rsid w:val="004128A3"/>
    <w:rsid w:val="00412BD0"/>
    <w:rsid w:val="00412C09"/>
    <w:rsid w:val="00413C41"/>
    <w:rsid w:val="004143A6"/>
    <w:rsid w:val="0041501B"/>
    <w:rsid w:val="004168CD"/>
    <w:rsid w:val="00416AAD"/>
    <w:rsid w:val="004172B1"/>
    <w:rsid w:val="0041739D"/>
    <w:rsid w:val="004175B6"/>
    <w:rsid w:val="00417B96"/>
    <w:rsid w:val="00417F03"/>
    <w:rsid w:val="004207DA"/>
    <w:rsid w:val="00420E67"/>
    <w:rsid w:val="00421353"/>
    <w:rsid w:val="00421BB5"/>
    <w:rsid w:val="004221CB"/>
    <w:rsid w:val="004222E5"/>
    <w:rsid w:val="00422492"/>
    <w:rsid w:val="00422CC1"/>
    <w:rsid w:val="00422D94"/>
    <w:rsid w:val="00423274"/>
    <w:rsid w:val="00425020"/>
    <w:rsid w:val="00425A00"/>
    <w:rsid w:val="00426566"/>
    <w:rsid w:val="00427095"/>
    <w:rsid w:val="00427AA1"/>
    <w:rsid w:val="00427DF8"/>
    <w:rsid w:val="00427F68"/>
    <w:rsid w:val="00430122"/>
    <w:rsid w:val="00430E1B"/>
    <w:rsid w:val="00430F3D"/>
    <w:rsid w:val="004314C1"/>
    <w:rsid w:val="004315BD"/>
    <w:rsid w:val="0043177B"/>
    <w:rsid w:val="00431D13"/>
    <w:rsid w:val="00433F62"/>
    <w:rsid w:val="00434E81"/>
    <w:rsid w:val="00434FD1"/>
    <w:rsid w:val="004351FB"/>
    <w:rsid w:val="00435257"/>
    <w:rsid w:val="0043553E"/>
    <w:rsid w:val="004365C7"/>
    <w:rsid w:val="00436CDF"/>
    <w:rsid w:val="00437341"/>
    <w:rsid w:val="004377D0"/>
    <w:rsid w:val="00440631"/>
    <w:rsid w:val="00440999"/>
    <w:rsid w:val="00440ACA"/>
    <w:rsid w:val="00440F3C"/>
    <w:rsid w:val="004411A6"/>
    <w:rsid w:val="0044136F"/>
    <w:rsid w:val="00441467"/>
    <w:rsid w:val="00441839"/>
    <w:rsid w:val="00442616"/>
    <w:rsid w:val="004435EC"/>
    <w:rsid w:val="00443C1F"/>
    <w:rsid w:val="00443F20"/>
    <w:rsid w:val="00444E10"/>
    <w:rsid w:val="0044556D"/>
    <w:rsid w:val="004458C0"/>
    <w:rsid w:val="00446E5D"/>
    <w:rsid w:val="00446EC8"/>
    <w:rsid w:val="004472B8"/>
    <w:rsid w:val="004479B3"/>
    <w:rsid w:val="00447C83"/>
    <w:rsid w:val="00450DFD"/>
    <w:rsid w:val="004517EC"/>
    <w:rsid w:val="00451E18"/>
    <w:rsid w:val="00451FC1"/>
    <w:rsid w:val="00453EDB"/>
    <w:rsid w:val="0045428C"/>
    <w:rsid w:val="004553E3"/>
    <w:rsid w:val="00456465"/>
    <w:rsid w:val="00456F35"/>
    <w:rsid w:val="0045775A"/>
    <w:rsid w:val="004577B6"/>
    <w:rsid w:val="004579B1"/>
    <w:rsid w:val="00457B55"/>
    <w:rsid w:val="004604B0"/>
    <w:rsid w:val="00460EA4"/>
    <w:rsid w:val="004610A6"/>
    <w:rsid w:val="004623C9"/>
    <w:rsid w:val="004628CA"/>
    <w:rsid w:val="0046336D"/>
    <w:rsid w:val="00463820"/>
    <w:rsid w:val="004644FC"/>
    <w:rsid w:val="00464896"/>
    <w:rsid w:val="00465388"/>
    <w:rsid w:val="00465491"/>
    <w:rsid w:val="00465A81"/>
    <w:rsid w:val="00465B89"/>
    <w:rsid w:val="004663FD"/>
    <w:rsid w:val="004673C4"/>
    <w:rsid w:val="00470187"/>
    <w:rsid w:val="00470753"/>
    <w:rsid w:val="004708C6"/>
    <w:rsid w:val="00471B0D"/>
    <w:rsid w:val="00471FA2"/>
    <w:rsid w:val="004723A0"/>
    <w:rsid w:val="00472D5E"/>
    <w:rsid w:val="00472DD3"/>
    <w:rsid w:val="00472E2D"/>
    <w:rsid w:val="00473752"/>
    <w:rsid w:val="00474614"/>
    <w:rsid w:val="004747D7"/>
    <w:rsid w:val="00474DF1"/>
    <w:rsid w:val="00474E94"/>
    <w:rsid w:val="004760EB"/>
    <w:rsid w:val="00476DFA"/>
    <w:rsid w:val="00477511"/>
    <w:rsid w:val="004803CF"/>
    <w:rsid w:val="00481470"/>
    <w:rsid w:val="004816EC"/>
    <w:rsid w:val="00481BA8"/>
    <w:rsid w:val="00481D4C"/>
    <w:rsid w:val="00482B2F"/>
    <w:rsid w:val="0048316F"/>
    <w:rsid w:val="004872F7"/>
    <w:rsid w:val="0049225C"/>
    <w:rsid w:val="00492A40"/>
    <w:rsid w:val="00492CCF"/>
    <w:rsid w:val="00492E1F"/>
    <w:rsid w:val="00492EAC"/>
    <w:rsid w:val="004931B0"/>
    <w:rsid w:val="00494DB6"/>
    <w:rsid w:val="00494EC8"/>
    <w:rsid w:val="00494EF1"/>
    <w:rsid w:val="0049543E"/>
    <w:rsid w:val="00495E3F"/>
    <w:rsid w:val="0049674C"/>
    <w:rsid w:val="00496E11"/>
    <w:rsid w:val="004A091D"/>
    <w:rsid w:val="004A0F18"/>
    <w:rsid w:val="004A1B7B"/>
    <w:rsid w:val="004A2326"/>
    <w:rsid w:val="004A2411"/>
    <w:rsid w:val="004A29A3"/>
    <w:rsid w:val="004A2D92"/>
    <w:rsid w:val="004A3281"/>
    <w:rsid w:val="004A32AC"/>
    <w:rsid w:val="004A3758"/>
    <w:rsid w:val="004A38EB"/>
    <w:rsid w:val="004A3B1B"/>
    <w:rsid w:val="004A3B27"/>
    <w:rsid w:val="004A59AC"/>
    <w:rsid w:val="004A6598"/>
    <w:rsid w:val="004A6E82"/>
    <w:rsid w:val="004A6FF4"/>
    <w:rsid w:val="004A7B22"/>
    <w:rsid w:val="004A7BC9"/>
    <w:rsid w:val="004B0830"/>
    <w:rsid w:val="004B0CC2"/>
    <w:rsid w:val="004B106F"/>
    <w:rsid w:val="004B1D0E"/>
    <w:rsid w:val="004B3526"/>
    <w:rsid w:val="004B3A53"/>
    <w:rsid w:val="004B3C4E"/>
    <w:rsid w:val="004B3E43"/>
    <w:rsid w:val="004B4705"/>
    <w:rsid w:val="004B5FAF"/>
    <w:rsid w:val="004B613A"/>
    <w:rsid w:val="004B69D5"/>
    <w:rsid w:val="004B7096"/>
    <w:rsid w:val="004B73DD"/>
    <w:rsid w:val="004C02AD"/>
    <w:rsid w:val="004C0BB2"/>
    <w:rsid w:val="004C0C84"/>
    <w:rsid w:val="004C1599"/>
    <w:rsid w:val="004C16FD"/>
    <w:rsid w:val="004C1F0C"/>
    <w:rsid w:val="004C2104"/>
    <w:rsid w:val="004C24B7"/>
    <w:rsid w:val="004C2CD1"/>
    <w:rsid w:val="004C3FA0"/>
    <w:rsid w:val="004C44E7"/>
    <w:rsid w:val="004C4562"/>
    <w:rsid w:val="004C47A7"/>
    <w:rsid w:val="004C4B5F"/>
    <w:rsid w:val="004C5ECB"/>
    <w:rsid w:val="004C5F6A"/>
    <w:rsid w:val="004C70FB"/>
    <w:rsid w:val="004C78E0"/>
    <w:rsid w:val="004D016E"/>
    <w:rsid w:val="004D11A7"/>
    <w:rsid w:val="004D1860"/>
    <w:rsid w:val="004D1A29"/>
    <w:rsid w:val="004D2186"/>
    <w:rsid w:val="004D2615"/>
    <w:rsid w:val="004D2EDF"/>
    <w:rsid w:val="004D355E"/>
    <w:rsid w:val="004D385C"/>
    <w:rsid w:val="004D51D9"/>
    <w:rsid w:val="004D548D"/>
    <w:rsid w:val="004D790B"/>
    <w:rsid w:val="004E0743"/>
    <w:rsid w:val="004E0895"/>
    <w:rsid w:val="004E0A66"/>
    <w:rsid w:val="004E0EB5"/>
    <w:rsid w:val="004E167E"/>
    <w:rsid w:val="004E16B6"/>
    <w:rsid w:val="004E2BEE"/>
    <w:rsid w:val="004E2CBE"/>
    <w:rsid w:val="004E2FD4"/>
    <w:rsid w:val="004E319C"/>
    <w:rsid w:val="004E3E8B"/>
    <w:rsid w:val="004E5E96"/>
    <w:rsid w:val="004F01F9"/>
    <w:rsid w:val="004F07D7"/>
    <w:rsid w:val="004F0A60"/>
    <w:rsid w:val="004F0AA0"/>
    <w:rsid w:val="004F1DB9"/>
    <w:rsid w:val="004F4001"/>
    <w:rsid w:val="004F4F41"/>
    <w:rsid w:val="004F56F6"/>
    <w:rsid w:val="004F6054"/>
    <w:rsid w:val="004F6565"/>
    <w:rsid w:val="004F7B00"/>
    <w:rsid w:val="00500ADE"/>
    <w:rsid w:val="00500B09"/>
    <w:rsid w:val="005021A5"/>
    <w:rsid w:val="00502ACD"/>
    <w:rsid w:val="005033EC"/>
    <w:rsid w:val="005040C6"/>
    <w:rsid w:val="00504A9A"/>
    <w:rsid w:val="00505239"/>
    <w:rsid w:val="00505FC8"/>
    <w:rsid w:val="0050623B"/>
    <w:rsid w:val="0050636E"/>
    <w:rsid w:val="00506524"/>
    <w:rsid w:val="005100FB"/>
    <w:rsid w:val="00510F7D"/>
    <w:rsid w:val="00512210"/>
    <w:rsid w:val="00512765"/>
    <w:rsid w:val="0051402A"/>
    <w:rsid w:val="00515775"/>
    <w:rsid w:val="00515ADA"/>
    <w:rsid w:val="00515CCF"/>
    <w:rsid w:val="00516D23"/>
    <w:rsid w:val="0051757C"/>
    <w:rsid w:val="005208CD"/>
    <w:rsid w:val="00521806"/>
    <w:rsid w:val="005230CB"/>
    <w:rsid w:val="0052320D"/>
    <w:rsid w:val="005232F4"/>
    <w:rsid w:val="00523783"/>
    <w:rsid w:val="00523A3B"/>
    <w:rsid w:val="005240D9"/>
    <w:rsid w:val="0052530E"/>
    <w:rsid w:val="00525448"/>
    <w:rsid w:val="005257DC"/>
    <w:rsid w:val="00525F1E"/>
    <w:rsid w:val="0052727C"/>
    <w:rsid w:val="005275D3"/>
    <w:rsid w:val="0053060A"/>
    <w:rsid w:val="005308AB"/>
    <w:rsid w:val="00530BEC"/>
    <w:rsid w:val="00532058"/>
    <w:rsid w:val="00532222"/>
    <w:rsid w:val="0053234D"/>
    <w:rsid w:val="00533954"/>
    <w:rsid w:val="005341C4"/>
    <w:rsid w:val="005344A8"/>
    <w:rsid w:val="00534DB8"/>
    <w:rsid w:val="0053515C"/>
    <w:rsid w:val="00535209"/>
    <w:rsid w:val="00535F57"/>
    <w:rsid w:val="005371DC"/>
    <w:rsid w:val="00537BCB"/>
    <w:rsid w:val="00540D4B"/>
    <w:rsid w:val="00540EC5"/>
    <w:rsid w:val="00540FA9"/>
    <w:rsid w:val="0054166A"/>
    <w:rsid w:val="00541D96"/>
    <w:rsid w:val="00541DEF"/>
    <w:rsid w:val="005427D6"/>
    <w:rsid w:val="00542815"/>
    <w:rsid w:val="00543D1A"/>
    <w:rsid w:val="00543FF2"/>
    <w:rsid w:val="00544A54"/>
    <w:rsid w:val="00545123"/>
    <w:rsid w:val="005469BF"/>
    <w:rsid w:val="00546FF1"/>
    <w:rsid w:val="005474AC"/>
    <w:rsid w:val="005476C4"/>
    <w:rsid w:val="005479C7"/>
    <w:rsid w:val="00547CDB"/>
    <w:rsid w:val="00547DA2"/>
    <w:rsid w:val="00547F5C"/>
    <w:rsid w:val="005500D8"/>
    <w:rsid w:val="0055052C"/>
    <w:rsid w:val="0055076F"/>
    <w:rsid w:val="00550F30"/>
    <w:rsid w:val="005520F7"/>
    <w:rsid w:val="00552AB8"/>
    <w:rsid w:val="00553E84"/>
    <w:rsid w:val="0055402F"/>
    <w:rsid w:val="00554607"/>
    <w:rsid w:val="00554A7C"/>
    <w:rsid w:val="00554B2E"/>
    <w:rsid w:val="00556209"/>
    <w:rsid w:val="00556DE5"/>
    <w:rsid w:val="005572C2"/>
    <w:rsid w:val="00557C70"/>
    <w:rsid w:val="00557FBD"/>
    <w:rsid w:val="00560969"/>
    <w:rsid w:val="00561202"/>
    <w:rsid w:val="00562EB9"/>
    <w:rsid w:val="005632B3"/>
    <w:rsid w:val="00566873"/>
    <w:rsid w:val="00566F93"/>
    <w:rsid w:val="00567B11"/>
    <w:rsid w:val="00571CDD"/>
    <w:rsid w:val="00571D25"/>
    <w:rsid w:val="00572147"/>
    <w:rsid w:val="00572AE8"/>
    <w:rsid w:val="00572DEE"/>
    <w:rsid w:val="0057356B"/>
    <w:rsid w:val="00573950"/>
    <w:rsid w:val="00573B3A"/>
    <w:rsid w:val="00573D00"/>
    <w:rsid w:val="00573E98"/>
    <w:rsid w:val="005741B1"/>
    <w:rsid w:val="00574374"/>
    <w:rsid w:val="005752F4"/>
    <w:rsid w:val="00575635"/>
    <w:rsid w:val="00575718"/>
    <w:rsid w:val="00576B0D"/>
    <w:rsid w:val="00576BFB"/>
    <w:rsid w:val="00576C76"/>
    <w:rsid w:val="00576F27"/>
    <w:rsid w:val="005774CC"/>
    <w:rsid w:val="00580510"/>
    <w:rsid w:val="005805DF"/>
    <w:rsid w:val="00580C19"/>
    <w:rsid w:val="00581395"/>
    <w:rsid w:val="00582029"/>
    <w:rsid w:val="00582168"/>
    <w:rsid w:val="00582B34"/>
    <w:rsid w:val="00582C73"/>
    <w:rsid w:val="00582E78"/>
    <w:rsid w:val="005831FC"/>
    <w:rsid w:val="0058373A"/>
    <w:rsid w:val="00583907"/>
    <w:rsid w:val="00584016"/>
    <w:rsid w:val="00584568"/>
    <w:rsid w:val="00584ADB"/>
    <w:rsid w:val="00585188"/>
    <w:rsid w:val="00585490"/>
    <w:rsid w:val="005854EE"/>
    <w:rsid w:val="00585B39"/>
    <w:rsid w:val="00585D52"/>
    <w:rsid w:val="005860A3"/>
    <w:rsid w:val="00586419"/>
    <w:rsid w:val="00586645"/>
    <w:rsid w:val="00590708"/>
    <w:rsid w:val="00591645"/>
    <w:rsid w:val="00591680"/>
    <w:rsid w:val="00592252"/>
    <w:rsid w:val="005926BE"/>
    <w:rsid w:val="0059320B"/>
    <w:rsid w:val="00593757"/>
    <w:rsid w:val="00593C67"/>
    <w:rsid w:val="0059419D"/>
    <w:rsid w:val="005955EA"/>
    <w:rsid w:val="005959EB"/>
    <w:rsid w:val="00595D61"/>
    <w:rsid w:val="005960EA"/>
    <w:rsid w:val="00596B91"/>
    <w:rsid w:val="00597080"/>
    <w:rsid w:val="005975F2"/>
    <w:rsid w:val="0059793E"/>
    <w:rsid w:val="00597BBA"/>
    <w:rsid w:val="00597E9B"/>
    <w:rsid w:val="005A04A7"/>
    <w:rsid w:val="005A0B0F"/>
    <w:rsid w:val="005A1CD9"/>
    <w:rsid w:val="005A3458"/>
    <w:rsid w:val="005A3CAD"/>
    <w:rsid w:val="005A3FBD"/>
    <w:rsid w:val="005A48B6"/>
    <w:rsid w:val="005A5018"/>
    <w:rsid w:val="005A521B"/>
    <w:rsid w:val="005A5251"/>
    <w:rsid w:val="005A59A1"/>
    <w:rsid w:val="005A642F"/>
    <w:rsid w:val="005A67C5"/>
    <w:rsid w:val="005A7868"/>
    <w:rsid w:val="005B033E"/>
    <w:rsid w:val="005B1248"/>
    <w:rsid w:val="005B137A"/>
    <w:rsid w:val="005B14A7"/>
    <w:rsid w:val="005B242A"/>
    <w:rsid w:val="005B3B46"/>
    <w:rsid w:val="005B3EAD"/>
    <w:rsid w:val="005B44C5"/>
    <w:rsid w:val="005B4CB8"/>
    <w:rsid w:val="005B64AD"/>
    <w:rsid w:val="005B6B49"/>
    <w:rsid w:val="005B6F5B"/>
    <w:rsid w:val="005B7D6C"/>
    <w:rsid w:val="005C0046"/>
    <w:rsid w:val="005C0BB9"/>
    <w:rsid w:val="005C0BBE"/>
    <w:rsid w:val="005C1310"/>
    <w:rsid w:val="005C1AA7"/>
    <w:rsid w:val="005C32E5"/>
    <w:rsid w:val="005C3ABA"/>
    <w:rsid w:val="005C42F9"/>
    <w:rsid w:val="005C47E5"/>
    <w:rsid w:val="005C4A45"/>
    <w:rsid w:val="005C51E2"/>
    <w:rsid w:val="005C5B7E"/>
    <w:rsid w:val="005C5CD9"/>
    <w:rsid w:val="005C6CB3"/>
    <w:rsid w:val="005C6E3B"/>
    <w:rsid w:val="005D0A01"/>
    <w:rsid w:val="005D0DEE"/>
    <w:rsid w:val="005D1064"/>
    <w:rsid w:val="005D17FD"/>
    <w:rsid w:val="005D19DC"/>
    <w:rsid w:val="005D1FB4"/>
    <w:rsid w:val="005D21D9"/>
    <w:rsid w:val="005D4160"/>
    <w:rsid w:val="005D4692"/>
    <w:rsid w:val="005D564D"/>
    <w:rsid w:val="005D6323"/>
    <w:rsid w:val="005D69B4"/>
    <w:rsid w:val="005D7AB0"/>
    <w:rsid w:val="005D7C85"/>
    <w:rsid w:val="005E0FE7"/>
    <w:rsid w:val="005E123C"/>
    <w:rsid w:val="005E1806"/>
    <w:rsid w:val="005E19FB"/>
    <w:rsid w:val="005E1C76"/>
    <w:rsid w:val="005E1DEE"/>
    <w:rsid w:val="005E2284"/>
    <w:rsid w:val="005E250C"/>
    <w:rsid w:val="005E2791"/>
    <w:rsid w:val="005E290D"/>
    <w:rsid w:val="005E2F9F"/>
    <w:rsid w:val="005E3636"/>
    <w:rsid w:val="005E38B4"/>
    <w:rsid w:val="005E3B7F"/>
    <w:rsid w:val="005E3D8A"/>
    <w:rsid w:val="005E4624"/>
    <w:rsid w:val="005E4BED"/>
    <w:rsid w:val="005E5BCD"/>
    <w:rsid w:val="005E607A"/>
    <w:rsid w:val="005E6261"/>
    <w:rsid w:val="005E6AA7"/>
    <w:rsid w:val="005E71F8"/>
    <w:rsid w:val="005E7318"/>
    <w:rsid w:val="005E768A"/>
    <w:rsid w:val="005E7C2D"/>
    <w:rsid w:val="005F087E"/>
    <w:rsid w:val="005F1E5B"/>
    <w:rsid w:val="005F2AC9"/>
    <w:rsid w:val="005F2BD2"/>
    <w:rsid w:val="005F3351"/>
    <w:rsid w:val="005F3DC9"/>
    <w:rsid w:val="005F46B2"/>
    <w:rsid w:val="005F5261"/>
    <w:rsid w:val="005F607D"/>
    <w:rsid w:val="005F60C6"/>
    <w:rsid w:val="005F648E"/>
    <w:rsid w:val="005F662C"/>
    <w:rsid w:val="005F67C4"/>
    <w:rsid w:val="005F6ECB"/>
    <w:rsid w:val="005F73CA"/>
    <w:rsid w:val="005F7841"/>
    <w:rsid w:val="005F7CDF"/>
    <w:rsid w:val="005F7E72"/>
    <w:rsid w:val="00600CB9"/>
    <w:rsid w:val="00601AD6"/>
    <w:rsid w:val="00601FE1"/>
    <w:rsid w:val="006029D1"/>
    <w:rsid w:val="00602CA0"/>
    <w:rsid w:val="00603621"/>
    <w:rsid w:val="00603624"/>
    <w:rsid w:val="00604327"/>
    <w:rsid w:val="006044BF"/>
    <w:rsid w:val="00604B96"/>
    <w:rsid w:val="006056B8"/>
    <w:rsid w:val="00607163"/>
    <w:rsid w:val="006073B2"/>
    <w:rsid w:val="0060791F"/>
    <w:rsid w:val="00610048"/>
    <w:rsid w:val="006105A2"/>
    <w:rsid w:val="0061096D"/>
    <w:rsid w:val="00610C9B"/>
    <w:rsid w:val="006117B8"/>
    <w:rsid w:val="00611F88"/>
    <w:rsid w:val="006137C7"/>
    <w:rsid w:val="006139F9"/>
    <w:rsid w:val="00613BFE"/>
    <w:rsid w:val="00613E78"/>
    <w:rsid w:val="00614745"/>
    <w:rsid w:val="00615086"/>
    <w:rsid w:val="00615DD1"/>
    <w:rsid w:val="00616965"/>
    <w:rsid w:val="00616B29"/>
    <w:rsid w:val="00617E0E"/>
    <w:rsid w:val="0062022D"/>
    <w:rsid w:val="00620901"/>
    <w:rsid w:val="00620EAC"/>
    <w:rsid w:val="00621A34"/>
    <w:rsid w:val="00622C94"/>
    <w:rsid w:val="00622F70"/>
    <w:rsid w:val="006253D5"/>
    <w:rsid w:val="0062587F"/>
    <w:rsid w:val="006262BA"/>
    <w:rsid w:val="00626575"/>
    <w:rsid w:val="006267CE"/>
    <w:rsid w:val="006269B2"/>
    <w:rsid w:val="00627C44"/>
    <w:rsid w:val="00627EC3"/>
    <w:rsid w:val="00630229"/>
    <w:rsid w:val="006304EF"/>
    <w:rsid w:val="006305B4"/>
    <w:rsid w:val="006306CA"/>
    <w:rsid w:val="00631AAC"/>
    <w:rsid w:val="00633063"/>
    <w:rsid w:val="00633181"/>
    <w:rsid w:val="006338DB"/>
    <w:rsid w:val="006342C0"/>
    <w:rsid w:val="006348BE"/>
    <w:rsid w:val="00634B33"/>
    <w:rsid w:val="00636178"/>
    <w:rsid w:val="00636E2B"/>
    <w:rsid w:val="006370DF"/>
    <w:rsid w:val="00637CF7"/>
    <w:rsid w:val="00637F2F"/>
    <w:rsid w:val="00640072"/>
    <w:rsid w:val="00640387"/>
    <w:rsid w:val="00640817"/>
    <w:rsid w:val="00640CAD"/>
    <w:rsid w:val="00641A13"/>
    <w:rsid w:val="00641F56"/>
    <w:rsid w:val="00642EC3"/>
    <w:rsid w:val="0064340B"/>
    <w:rsid w:val="00643884"/>
    <w:rsid w:val="0064452D"/>
    <w:rsid w:val="006445CC"/>
    <w:rsid w:val="006447C0"/>
    <w:rsid w:val="0064502D"/>
    <w:rsid w:val="006458F6"/>
    <w:rsid w:val="006459D1"/>
    <w:rsid w:val="00646DC4"/>
    <w:rsid w:val="00646DF8"/>
    <w:rsid w:val="006471E1"/>
    <w:rsid w:val="00651C89"/>
    <w:rsid w:val="00651EC7"/>
    <w:rsid w:val="00652858"/>
    <w:rsid w:val="00653066"/>
    <w:rsid w:val="00653164"/>
    <w:rsid w:val="00653613"/>
    <w:rsid w:val="00654953"/>
    <w:rsid w:val="00655375"/>
    <w:rsid w:val="00655382"/>
    <w:rsid w:val="00656F8C"/>
    <w:rsid w:val="00657B33"/>
    <w:rsid w:val="00660C1D"/>
    <w:rsid w:val="00660D76"/>
    <w:rsid w:val="006629CD"/>
    <w:rsid w:val="00663A46"/>
    <w:rsid w:val="00663B25"/>
    <w:rsid w:val="0066443E"/>
    <w:rsid w:val="00664563"/>
    <w:rsid w:val="00664F95"/>
    <w:rsid w:val="0066789B"/>
    <w:rsid w:val="00667D72"/>
    <w:rsid w:val="00670662"/>
    <w:rsid w:val="006706DD"/>
    <w:rsid w:val="00672294"/>
    <w:rsid w:val="00672AA2"/>
    <w:rsid w:val="006732F3"/>
    <w:rsid w:val="0067345F"/>
    <w:rsid w:val="00673C4F"/>
    <w:rsid w:val="0067452E"/>
    <w:rsid w:val="006751E5"/>
    <w:rsid w:val="00675458"/>
    <w:rsid w:val="006759C5"/>
    <w:rsid w:val="00675FFC"/>
    <w:rsid w:val="00676011"/>
    <w:rsid w:val="00676276"/>
    <w:rsid w:val="006762F8"/>
    <w:rsid w:val="00676C22"/>
    <w:rsid w:val="006770E5"/>
    <w:rsid w:val="0067725D"/>
    <w:rsid w:val="006800AD"/>
    <w:rsid w:val="0068079A"/>
    <w:rsid w:val="00680B58"/>
    <w:rsid w:val="006812DA"/>
    <w:rsid w:val="00681637"/>
    <w:rsid w:val="00681D09"/>
    <w:rsid w:val="006830CF"/>
    <w:rsid w:val="006833A2"/>
    <w:rsid w:val="006833AD"/>
    <w:rsid w:val="006839BA"/>
    <w:rsid w:val="00683D80"/>
    <w:rsid w:val="00684AA9"/>
    <w:rsid w:val="00685FD9"/>
    <w:rsid w:val="00686596"/>
    <w:rsid w:val="0069020B"/>
    <w:rsid w:val="0069034A"/>
    <w:rsid w:val="0069096E"/>
    <w:rsid w:val="00690CEA"/>
    <w:rsid w:val="00691ABB"/>
    <w:rsid w:val="00691F2C"/>
    <w:rsid w:val="00692840"/>
    <w:rsid w:val="00693457"/>
    <w:rsid w:val="006936BE"/>
    <w:rsid w:val="00693B2D"/>
    <w:rsid w:val="0069629B"/>
    <w:rsid w:val="00696BD8"/>
    <w:rsid w:val="006971A1"/>
    <w:rsid w:val="006973B5"/>
    <w:rsid w:val="0069740B"/>
    <w:rsid w:val="006975AC"/>
    <w:rsid w:val="006A12E9"/>
    <w:rsid w:val="006A2AA6"/>
    <w:rsid w:val="006A439B"/>
    <w:rsid w:val="006A55A1"/>
    <w:rsid w:val="006A64C2"/>
    <w:rsid w:val="006A64D2"/>
    <w:rsid w:val="006A6514"/>
    <w:rsid w:val="006A69B3"/>
    <w:rsid w:val="006A6DC1"/>
    <w:rsid w:val="006A74AB"/>
    <w:rsid w:val="006A7F01"/>
    <w:rsid w:val="006B01D2"/>
    <w:rsid w:val="006B0929"/>
    <w:rsid w:val="006B0C4F"/>
    <w:rsid w:val="006B1D3A"/>
    <w:rsid w:val="006B28A4"/>
    <w:rsid w:val="006B2E59"/>
    <w:rsid w:val="006B355A"/>
    <w:rsid w:val="006B44EA"/>
    <w:rsid w:val="006B4E0F"/>
    <w:rsid w:val="006B55DE"/>
    <w:rsid w:val="006B5604"/>
    <w:rsid w:val="006B64E1"/>
    <w:rsid w:val="006B67C4"/>
    <w:rsid w:val="006B686D"/>
    <w:rsid w:val="006B6D72"/>
    <w:rsid w:val="006B740D"/>
    <w:rsid w:val="006C072B"/>
    <w:rsid w:val="006C0AEC"/>
    <w:rsid w:val="006C158D"/>
    <w:rsid w:val="006C1698"/>
    <w:rsid w:val="006C1B65"/>
    <w:rsid w:val="006C1D57"/>
    <w:rsid w:val="006C201D"/>
    <w:rsid w:val="006C211A"/>
    <w:rsid w:val="006C3552"/>
    <w:rsid w:val="006C36E8"/>
    <w:rsid w:val="006C41F6"/>
    <w:rsid w:val="006C4A83"/>
    <w:rsid w:val="006C4EB9"/>
    <w:rsid w:val="006C547C"/>
    <w:rsid w:val="006C5A0D"/>
    <w:rsid w:val="006C5FBA"/>
    <w:rsid w:val="006C6164"/>
    <w:rsid w:val="006C63C6"/>
    <w:rsid w:val="006C67CA"/>
    <w:rsid w:val="006C68FF"/>
    <w:rsid w:val="006C6D6B"/>
    <w:rsid w:val="006C7440"/>
    <w:rsid w:val="006C7AFB"/>
    <w:rsid w:val="006D0730"/>
    <w:rsid w:val="006D0E5B"/>
    <w:rsid w:val="006D177C"/>
    <w:rsid w:val="006D2BB8"/>
    <w:rsid w:val="006D2E06"/>
    <w:rsid w:val="006D37F9"/>
    <w:rsid w:val="006D3AFA"/>
    <w:rsid w:val="006D4668"/>
    <w:rsid w:val="006D4930"/>
    <w:rsid w:val="006D4D9F"/>
    <w:rsid w:val="006D52C2"/>
    <w:rsid w:val="006D5CD1"/>
    <w:rsid w:val="006D6A4C"/>
    <w:rsid w:val="006D76C5"/>
    <w:rsid w:val="006D7706"/>
    <w:rsid w:val="006E124B"/>
    <w:rsid w:val="006E1B52"/>
    <w:rsid w:val="006E22F6"/>
    <w:rsid w:val="006E2983"/>
    <w:rsid w:val="006E3640"/>
    <w:rsid w:val="006E5CF4"/>
    <w:rsid w:val="006E5E06"/>
    <w:rsid w:val="006E617E"/>
    <w:rsid w:val="006E71EB"/>
    <w:rsid w:val="006E7535"/>
    <w:rsid w:val="006E79BB"/>
    <w:rsid w:val="006F04CE"/>
    <w:rsid w:val="006F0EC1"/>
    <w:rsid w:val="006F2E82"/>
    <w:rsid w:val="006F487E"/>
    <w:rsid w:val="006F4C9C"/>
    <w:rsid w:val="006F4E29"/>
    <w:rsid w:val="006F4E72"/>
    <w:rsid w:val="006F4F7D"/>
    <w:rsid w:val="006F5AA7"/>
    <w:rsid w:val="006F5FFE"/>
    <w:rsid w:val="006F6BCC"/>
    <w:rsid w:val="006F6E07"/>
    <w:rsid w:val="006F6E10"/>
    <w:rsid w:val="006F7BC8"/>
    <w:rsid w:val="006F7D60"/>
    <w:rsid w:val="00700101"/>
    <w:rsid w:val="00700963"/>
    <w:rsid w:val="00700D06"/>
    <w:rsid w:val="00700E2A"/>
    <w:rsid w:val="00701795"/>
    <w:rsid w:val="00701ACE"/>
    <w:rsid w:val="00702093"/>
    <w:rsid w:val="007023BE"/>
    <w:rsid w:val="00702B77"/>
    <w:rsid w:val="00703461"/>
    <w:rsid w:val="00703514"/>
    <w:rsid w:val="0070360E"/>
    <w:rsid w:val="00703BAB"/>
    <w:rsid w:val="00703E66"/>
    <w:rsid w:val="00704500"/>
    <w:rsid w:val="0070465B"/>
    <w:rsid w:val="0070530C"/>
    <w:rsid w:val="00705555"/>
    <w:rsid w:val="00705606"/>
    <w:rsid w:val="0070563D"/>
    <w:rsid w:val="00706E45"/>
    <w:rsid w:val="00707862"/>
    <w:rsid w:val="00710880"/>
    <w:rsid w:val="00711597"/>
    <w:rsid w:val="00712675"/>
    <w:rsid w:val="007128D7"/>
    <w:rsid w:val="00713D54"/>
    <w:rsid w:val="0071466B"/>
    <w:rsid w:val="007147E5"/>
    <w:rsid w:val="00715A20"/>
    <w:rsid w:val="00715B2C"/>
    <w:rsid w:val="0071677D"/>
    <w:rsid w:val="007167C2"/>
    <w:rsid w:val="00716C53"/>
    <w:rsid w:val="00716C92"/>
    <w:rsid w:val="00717371"/>
    <w:rsid w:val="00717C92"/>
    <w:rsid w:val="00717E47"/>
    <w:rsid w:val="00720107"/>
    <w:rsid w:val="00720768"/>
    <w:rsid w:val="00722091"/>
    <w:rsid w:val="00722171"/>
    <w:rsid w:val="0072354B"/>
    <w:rsid w:val="007247A5"/>
    <w:rsid w:val="00726011"/>
    <w:rsid w:val="0072670D"/>
    <w:rsid w:val="007270A9"/>
    <w:rsid w:val="0072757E"/>
    <w:rsid w:val="00727985"/>
    <w:rsid w:val="00727B75"/>
    <w:rsid w:val="0073008D"/>
    <w:rsid w:val="00730316"/>
    <w:rsid w:val="007307DA"/>
    <w:rsid w:val="00730E8D"/>
    <w:rsid w:val="00731436"/>
    <w:rsid w:val="007316D0"/>
    <w:rsid w:val="007326CE"/>
    <w:rsid w:val="00732EC8"/>
    <w:rsid w:val="007335D2"/>
    <w:rsid w:val="00733926"/>
    <w:rsid w:val="007350BD"/>
    <w:rsid w:val="0073529F"/>
    <w:rsid w:val="007356D0"/>
    <w:rsid w:val="00735D7E"/>
    <w:rsid w:val="0073635B"/>
    <w:rsid w:val="00736B26"/>
    <w:rsid w:val="00736D60"/>
    <w:rsid w:val="00737D2B"/>
    <w:rsid w:val="00737D57"/>
    <w:rsid w:val="0074020F"/>
    <w:rsid w:val="0074025C"/>
    <w:rsid w:val="007402B8"/>
    <w:rsid w:val="007405B8"/>
    <w:rsid w:val="00741272"/>
    <w:rsid w:val="00741C1B"/>
    <w:rsid w:val="007422DE"/>
    <w:rsid w:val="007424FE"/>
    <w:rsid w:val="00742AEB"/>
    <w:rsid w:val="00743001"/>
    <w:rsid w:val="007449E5"/>
    <w:rsid w:val="00744BA8"/>
    <w:rsid w:val="00745E88"/>
    <w:rsid w:val="00746D4E"/>
    <w:rsid w:val="00747ABD"/>
    <w:rsid w:val="00747DD9"/>
    <w:rsid w:val="00747FAA"/>
    <w:rsid w:val="0075055C"/>
    <w:rsid w:val="00750757"/>
    <w:rsid w:val="00751050"/>
    <w:rsid w:val="00751109"/>
    <w:rsid w:val="00751873"/>
    <w:rsid w:val="00751E72"/>
    <w:rsid w:val="00752B64"/>
    <w:rsid w:val="00753E85"/>
    <w:rsid w:val="0075402F"/>
    <w:rsid w:val="00754041"/>
    <w:rsid w:val="007540E9"/>
    <w:rsid w:val="0075462C"/>
    <w:rsid w:val="00754D24"/>
    <w:rsid w:val="007555A9"/>
    <w:rsid w:val="0075648C"/>
    <w:rsid w:val="00756B84"/>
    <w:rsid w:val="00757933"/>
    <w:rsid w:val="00757BDE"/>
    <w:rsid w:val="0076025E"/>
    <w:rsid w:val="00760312"/>
    <w:rsid w:val="00760718"/>
    <w:rsid w:val="00761262"/>
    <w:rsid w:val="0076255D"/>
    <w:rsid w:val="00763215"/>
    <w:rsid w:val="007635F4"/>
    <w:rsid w:val="007637AF"/>
    <w:rsid w:val="00764338"/>
    <w:rsid w:val="00765113"/>
    <w:rsid w:val="00765B27"/>
    <w:rsid w:val="00766F41"/>
    <w:rsid w:val="00767C8B"/>
    <w:rsid w:val="00767D6B"/>
    <w:rsid w:val="0077059E"/>
    <w:rsid w:val="007706A8"/>
    <w:rsid w:val="00771A3F"/>
    <w:rsid w:val="007722CF"/>
    <w:rsid w:val="00772BEB"/>
    <w:rsid w:val="00773097"/>
    <w:rsid w:val="00773601"/>
    <w:rsid w:val="007738F8"/>
    <w:rsid w:val="00773C44"/>
    <w:rsid w:val="00773DA1"/>
    <w:rsid w:val="007747BB"/>
    <w:rsid w:val="00774BCC"/>
    <w:rsid w:val="00774E51"/>
    <w:rsid w:val="00775002"/>
    <w:rsid w:val="00776261"/>
    <w:rsid w:val="00777253"/>
    <w:rsid w:val="00777C8E"/>
    <w:rsid w:val="00780137"/>
    <w:rsid w:val="00780311"/>
    <w:rsid w:val="00780F33"/>
    <w:rsid w:val="007816BC"/>
    <w:rsid w:val="00781B5E"/>
    <w:rsid w:val="00781C32"/>
    <w:rsid w:val="00781F75"/>
    <w:rsid w:val="00782187"/>
    <w:rsid w:val="00783E1C"/>
    <w:rsid w:val="007848D6"/>
    <w:rsid w:val="00786850"/>
    <w:rsid w:val="00786FD6"/>
    <w:rsid w:val="0079028A"/>
    <w:rsid w:val="00790672"/>
    <w:rsid w:val="00790930"/>
    <w:rsid w:val="0079178F"/>
    <w:rsid w:val="0079261B"/>
    <w:rsid w:val="0079265B"/>
    <w:rsid w:val="00792B7C"/>
    <w:rsid w:val="007932BA"/>
    <w:rsid w:val="0079335D"/>
    <w:rsid w:val="00793665"/>
    <w:rsid w:val="007938D2"/>
    <w:rsid w:val="00794252"/>
    <w:rsid w:val="00794625"/>
    <w:rsid w:val="00794634"/>
    <w:rsid w:val="00794B0E"/>
    <w:rsid w:val="00794E05"/>
    <w:rsid w:val="00794E25"/>
    <w:rsid w:val="00795138"/>
    <w:rsid w:val="0079527B"/>
    <w:rsid w:val="007962EC"/>
    <w:rsid w:val="00796D47"/>
    <w:rsid w:val="00796DB8"/>
    <w:rsid w:val="00797D3A"/>
    <w:rsid w:val="007A0156"/>
    <w:rsid w:val="007A082B"/>
    <w:rsid w:val="007A153B"/>
    <w:rsid w:val="007A199C"/>
    <w:rsid w:val="007A36C7"/>
    <w:rsid w:val="007A3CF6"/>
    <w:rsid w:val="007A5F54"/>
    <w:rsid w:val="007A60BD"/>
    <w:rsid w:val="007A66D3"/>
    <w:rsid w:val="007A7B60"/>
    <w:rsid w:val="007B0DA1"/>
    <w:rsid w:val="007B1CDE"/>
    <w:rsid w:val="007B1E56"/>
    <w:rsid w:val="007B20AB"/>
    <w:rsid w:val="007B261E"/>
    <w:rsid w:val="007B2DCE"/>
    <w:rsid w:val="007B36F2"/>
    <w:rsid w:val="007B3ADD"/>
    <w:rsid w:val="007B440A"/>
    <w:rsid w:val="007B665B"/>
    <w:rsid w:val="007B7415"/>
    <w:rsid w:val="007B798C"/>
    <w:rsid w:val="007C0F75"/>
    <w:rsid w:val="007C2415"/>
    <w:rsid w:val="007C3007"/>
    <w:rsid w:val="007C4066"/>
    <w:rsid w:val="007C416B"/>
    <w:rsid w:val="007C4363"/>
    <w:rsid w:val="007C4C83"/>
    <w:rsid w:val="007C635D"/>
    <w:rsid w:val="007C6705"/>
    <w:rsid w:val="007C6BEB"/>
    <w:rsid w:val="007C7D6E"/>
    <w:rsid w:val="007D0158"/>
    <w:rsid w:val="007D0758"/>
    <w:rsid w:val="007D1831"/>
    <w:rsid w:val="007D21B4"/>
    <w:rsid w:val="007D227D"/>
    <w:rsid w:val="007D2827"/>
    <w:rsid w:val="007D2CB3"/>
    <w:rsid w:val="007D378A"/>
    <w:rsid w:val="007D4560"/>
    <w:rsid w:val="007D4675"/>
    <w:rsid w:val="007D4AB2"/>
    <w:rsid w:val="007D4BA9"/>
    <w:rsid w:val="007D4D97"/>
    <w:rsid w:val="007D515D"/>
    <w:rsid w:val="007D516B"/>
    <w:rsid w:val="007D5343"/>
    <w:rsid w:val="007D6130"/>
    <w:rsid w:val="007D6360"/>
    <w:rsid w:val="007D659A"/>
    <w:rsid w:val="007D67F9"/>
    <w:rsid w:val="007D6EA6"/>
    <w:rsid w:val="007D7F09"/>
    <w:rsid w:val="007E0DDC"/>
    <w:rsid w:val="007E1BA6"/>
    <w:rsid w:val="007E1F32"/>
    <w:rsid w:val="007E384B"/>
    <w:rsid w:val="007E3B41"/>
    <w:rsid w:val="007E3CB1"/>
    <w:rsid w:val="007E4ED8"/>
    <w:rsid w:val="007E58F5"/>
    <w:rsid w:val="007E5AA9"/>
    <w:rsid w:val="007E5F37"/>
    <w:rsid w:val="007F02ED"/>
    <w:rsid w:val="007F0E88"/>
    <w:rsid w:val="007F267E"/>
    <w:rsid w:val="007F282C"/>
    <w:rsid w:val="007F53E4"/>
    <w:rsid w:val="007F6D83"/>
    <w:rsid w:val="007F6DB9"/>
    <w:rsid w:val="007F7292"/>
    <w:rsid w:val="007F7521"/>
    <w:rsid w:val="00800AC7"/>
    <w:rsid w:val="008020B1"/>
    <w:rsid w:val="00802CB9"/>
    <w:rsid w:val="00802D6B"/>
    <w:rsid w:val="00802E3D"/>
    <w:rsid w:val="00802E5C"/>
    <w:rsid w:val="0080393E"/>
    <w:rsid w:val="00806179"/>
    <w:rsid w:val="0080634E"/>
    <w:rsid w:val="0080646A"/>
    <w:rsid w:val="008069BA"/>
    <w:rsid w:val="008069E2"/>
    <w:rsid w:val="00807213"/>
    <w:rsid w:val="00810297"/>
    <w:rsid w:val="008103F0"/>
    <w:rsid w:val="0081112D"/>
    <w:rsid w:val="0081281F"/>
    <w:rsid w:val="0081301F"/>
    <w:rsid w:val="00813164"/>
    <w:rsid w:val="00813969"/>
    <w:rsid w:val="00814394"/>
    <w:rsid w:val="0081456D"/>
    <w:rsid w:val="00815276"/>
    <w:rsid w:val="0081665A"/>
    <w:rsid w:val="0081669D"/>
    <w:rsid w:val="0081798E"/>
    <w:rsid w:val="00817B4E"/>
    <w:rsid w:val="00817CA9"/>
    <w:rsid w:val="00820808"/>
    <w:rsid w:val="008209CA"/>
    <w:rsid w:val="00820F79"/>
    <w:rsid w:val="00821B6A"/>
    <w:rsid w:val="00822041"/>
    <w:rsid w:val="008225C0"/>
    <w:rsid w:val="00822EDA"/>
    <w:rsid w:val="00823E11"/>
    <w:rsid w:val="00823E8F"/>
    <w:rsid w:val="0082463B"/>
    <w:rsid w:val="0082465D"/>
    <w:rsid w:val="008249C9"/>
    <w:rsid w:val="00824FF9"/>
    <w:rsid w:val="00825107"/>
    <w:rsid w:val="0082533E"/>
    <w:rsid w:val="00827740"/>
    <w:rsid w:val="00827B20"/>
    <w:rsid w:val="00833512"/>
    <w:rsid w:val="00833633"/>
    <w:rsid w:val="00833D92"/>
    <w:rsid w:val="00833DB5"/>
    <w:rsid w:val="0083444D"/>
    <w:rsid w:val="00834867"/>
    <w:rsid w:val="008348DE"/>
    <w:rsid w:val="00835991"/>
    <w:rsid w:val="00835BA5"/>
    <w:rsid w:val="00836555"/>
    <w:rsid w:val="00836678"/>
    <w:rsid w:val="008372E8"/>
    <w:rsid w:val="00837C56"/>
    <w:rsid w:val="00837E89"/>
    <w:rsid w:val="008405D7"/>
    <w:rsid w:val="00840B7F"/>
    <w:rsid w:val="00840EF4"/>
    <w:rsid w:val="008413A0"/>
    <w:rsid w:val="00842044"/>
    <w:rsid w:val="00842C46"/>
    <w:rsid w:val="0084321E"/>
    <w:rsid w:val="008433CD"/>
    <w:rsid w:val="00843971"/>
    <w:rsid w:val="008443F3"/>
    <w:rsid w:val="00844DC7"/>
    <w:rsid w:val="008464E1"/>
    <w:rsid w:val="008464F8"/>
    <w:rsid w:val="0084778E"/>
    <w:rsid w:val="00847E18"/>
    <w:rsid w:val="00847EB9"/>
    <w:rsid w:val="0085042E"/>
    <w:rsid w:val="00850812"/>
    <w:rsid w:val="00850B9C"/>
    <w:rsid w:val="008511A7"/>
    <w:rsid w:val="008521BF"/>
    <w:rsid w:val="00853661"/>
    <w:rsid w:val="008537CC"/>
    <w:rsid w:val="00853DA9"/>
    <w:rsid w:val="00854EAE"/>
    <w:rsid w:val="00855036"/>
    <w:rsid w:val="0085576A"/>
    <w:rsid w:val="008559B9"/>
    <w:rsid w:val="0085778D"/>
    <w:rsid w:val="00857A09"/>
    <w:rsid w:val="00857F54"/>
    <w:rsid w:val="00860DAA"/>
    <w:rsid w:val="00861609"/>
    <w:rsid w:val="008625F9"/>
    <w:rsid w:val="00862C96"/>
    <w:rsid w:val="00863939"/>
    <w:rsid w:val="0086444B"/>
    <w:rsid w:val="0086491B"/>
    <w:rsid w:val="00865351"/>
    <w:rsid w:val="008653C6"/>
    <w:rsid w:val="00866F38"/>
    <w:rsid w:val="00866FAD"/>
    <w:rsid w:val="008705FD"/>
    <w:rsid w:val="008706E5"/>
    <w:rsid w:val="00870BAC"/>
    <w:rsid w:val="00870C34"/>
    <w:rsid w:val="00871988"/>
    <w:rsid w:val="008723A7"/>
    <w:rsid w:val="008723D9"/>
    <w:rsid w:val="00875315"/>
    <w:rsid w:val="00877E96"/>
    <w:rsid w:val="00877FE1"/>
    <w:rsid w:val="008805BB"/>
    <w:rsid w:val="00881244"/>
    <w:rsid w:val="0088130D"/>
    <w:rsid w:val="00881C00"/>
    <w:rsid w:val="00881E10"/>
    <w:rsid w:val="00882C93"/>
    <w:rsid w:val="00884053"/>
    <w:rsid w:val="00884DF8"/>
    <w:rsid w:val="00885402"/>
    <w:rsid w:val="00885468"/>
    <w:rsid w:val="008859B0"/>
    <w:rsid w:val="00886008"/>
    <w:rsid w:val="00886677"/>
    <w:rsid w:val="008867F1"/>
    <w:rsid w:val="00886B92"/>
    <w:rsid w:val="00887295"/>
    <w:rsid w:val="00887D1B"/>
    <w:rsid w:val="00887F1F"/>
    <w:rsid w:val="0089049E"/>
    <w:rsid w:val="00890643"/>
    <w:rsid w:val="008907AE"/>
    <w:rsid w:val="00890F33"/>
    <w:rsid w:val="00893C85"/>
    <w:rsid w:val="00893EF5"/>
    <w:rsid w:val="00894C91"/>
    <w:rsid w:val="00895D75"/>
    <w:rsid w:val="00896835"/>
    <w:rsid w:val="00896A31"/>
    <w:rsid w:val="00897842"/>
    <w:rsid w:val="008A1507"/>
    <w:rsid w:val="008A2173"/>
    <w:rsid w:val="008A24B7"/>
    <w:rsid w:val="008A286A"/>
    <w:rsid w:val="008A2D03"/>
    <w:rsid w:val="008A3308"/>
    <w:rsid w:val="008A3881"/>
    <w:rsid w:val="008A4F0B"/>
    <w:rsid w:val="008A6893"/>
    <w:rsid w:val="008B0053"/>
    <w:rsid w:val="008B04EF"/>
    <w:rsid w:val="008B07D7"/>
    <w:rsid w:val="008B09E8"/>
    <w:rsid w:val="008B16C1"/>
    <w:rsid w:val="008B1746"/>
    <w:rsid w:val="008B2229"/>
    <w:rsid w:val="008B4DDE"/>
    <w:rsid w:val="008B4DDF"/>
    <w:rsid w:val="008B6D7D"/>
    <w:rsid w:val="008B6D87"/>
    <w:rsid w:val="008B6F1D"/>
    <w:rsid w:val="008B7155"/>
    <w:rsid w:val="008B717A"/>
    <w:rsid w:val="008B719A"/>
    <w:rsid w:val="008B7519"/>
    <w:rsid w:val="008B7913"/>
    <w:rsid w:val="008B7CE5"/>
    <w:rsid w:val="008C0056"/>
    <w:rsid w:val="008C1E23"/>
    <w:rsid w:val="008C2351"/>
    <w:rsid w:val="008C293C"/>
    <w:rsid w:val="008C3373"/>
    <w:rsid w:val="008C374C"/>
    <w:rsid w:val="008C4372"/>
    <w:rsid w:val="008C6BE5"/>
    <w:rsid w:val="008C6C69"/>
    <w:rsid w:val="008C7584"/>
    <w:rsid w:val="008D0013"/>
    <w:rsid w:val="008D0187"/>
    <w:rsid w:val="008D1023"/>
    <w:rsid w:val="008D1B0D"/>
    <w:rsid w:val="008D23DD"/>
    <w:rsid w:val="008D2FD9"/>
    <w:rsid w:val="008D3436"/>
    <w:rsid w:val="008D4837"/>
    <w:rsid w:val="008D492F"/>
    <w:rsid w:val="008D4B0E"/>
    <w:rsid w:val="008D4F21"/>
    <w:rsid w:val="008D4FD1"/>
    <w:rsid w:val="008D5913"/>
    <w:rsid w:val="008D5F36"/>
    <w:rsid w:val="008D6D3E"/>
    <w:rsid w:val="008D72C4"/>
    <w:rsid w:val="008D7EA1"/>
    <w:rsid w:val="008D7F3D"/>
    <w:rsid w:val="008E0098"/>
    <w:rsid w:val="008E0828"/>
    <w:rsid w:val="008E1013"/>
    <w:rsid w:val="008E15C4"/>
    <w:rsid w:val="008E2576"/>
    <w:rsid w:val="008E302B"/>
    <w:rsid w:val="008E32BE"/>
    <w:rsid w:val="008E458A"/>
    <w:rsid w:val="008E4A90"/>
    <w:rsid w:val="008E4B4A"/>
    <w:rsid w:val="008E569E"/>
    <w:rsid w:val="008E5A00"/>
    <w:rsid w:val="008E5EE6"/>
    <w:rsid w:val="008E6396"/>
    <w:rsid w:val="008E6B59"/>
    <w:rsid w:val="008F00A7"/>
    <w:rsid w:val="008F0265"/>
    <w:rsid w:val="008F059A"/>
    <w:rsid w:val="008F062B"/>
    <w:rsid w:val="008F07E4"/>
    <w:rsid w:val="008F0859"/>
    <w:rsid w:val="008F13C3"/>
    <w:rsid w:val="008F17DC"/>
    <w:rsid w:val="008F1F31"/>
    <w:rsid w:val="008F21D7"/>
    <w:rsid w:val="008F258C"/>
    <w:rsid w:val="008F29CE"/>
    <w:rsid w:val="008F4AF0"/>
    <w:rsid w:val="008F5BB5"/>
    <w:rsid w:val="008F62FD"/>
    <w:rsid w:val="008F7B1E"/>
    <w:rsid w:val="008F7DA3"/>
    <w:rsid w:val="00900111"/>
    <w:rsid w:val="009008F3"/>
    <w:rsid w:val="009009F9"/>
    <w:rsid w:val="00901769"/>
    <w:rsid w:val="0090201C"/>
    <w:rsid w:val="00902DCD"/>
    <w:rsid w:val="009052E1"/>
    <w:rsid w:val="00905685"/>
    <w:rsid w:val="009057EE"/>
    <w:rsid w:val="009059D9"/>
    <w:rsid w:val="0090654B"/>
    <w:rsid w:val="00913BEA"/>
    <w:rsid w:val="00913E26"/>
    <w:rsid w:val="00914341"/>
    <w:rsid w:val="0091456D"/>
    <w:rsid w:val="00914DA6"/>
    <w:rsid w:val="009154CB"/>
    <w:rsid w:val="00915BA8"/>
    <w:rsid w:val="00916174"/>
    <w:rsid w:val="00916A9F"/>
    <w:rsid w:val="00920111"/>
    <w:rsid w:val="0092011D"/>
    <w:rsid w:val="0092079F"/>
    <w:rsid w:val="00920C5E"/>
    <w:rsid w:val="00920D06"/>
    <w:rsid w:val="009210FB"/>
    <w:rsid w:val="00921555"/>
    <w:rsid w:val="009234F9"/>
    <w:rsid w:val="00923A3C"/>
    <w:rsid w:val="00923CA0"/>
    <w:rsid w:val="0092403F"/>
    <w:rsid w:val="00924358"/>
    <w:rsid w:val="00924997"/>
    <w:rsid w:val="00924CB2"/>
    <w:rsid w:val="00924E64"/>
    <w:rsid w:val="009253B2"/>
    <w:rsid w:val="00925A78"/>
    <w:rsid w:val="0092617A"/>
    <w:rsid w:val="0092627C"/>
    <w:rsid w:val="0092640B"/>
    <w:rsid w:val="00927EDF"/>
    <w:rsid w:val="00930B9B"/>
    <w:rsid w:val="00930ED2"/>
    <w:rsid w:val="00931113"/>
    <w:rsid w:val="00931185"/>
    <w:rsid w:val="0093145C"/>
    <w:rsid w:val="009316DE"/>
    <w:rsid w:val="00931768"/>
    <w:rsid w:val="00931D9C"/>
    <w:rsid w:val="009322D4"/>
    <w:rsid w:val="009325B5"/>
    <w:rsid w:val="00933253"/>
    <w:rsid w:val="00933FF3"/>
    <w:rsid w:val="0093447A"/>
    <w:rsid w:val="00934803"/>
    <w:rsid w:val="00934C74"/>
    <w:rsid w:val="009355CA"/>
    <w:rsid w:val="00936068"/>
    <w:rsid w:val="00937052"/>
    <w:rsid w:val="00937CA2"/>
    <w:rsid w:val="00940611"/>
    <w:rsid w:val="00940B86"/>
    <w:rsid w:val="00940BAB"/>
    <w:rsid w:val="00940DCB"/>
    <w:rsid w:val="00940E23"/>
    <w:rsid w:val="009412E3"/>
    <w:rsid w:val="00941605"/>
    <w:rsid w:val="00941BD5"/>
    <w:rsid w:val="00942684"/>
    <w:rsid w:val="00942731"/>
    <w:rsid w:val="00942878"/>
    <w:rsid w:val="00942BB3"/>
    <w:rsid w:val="009430C3"/>
    <w:rsid w:val="00943E49"/>
    <w:rsid w:val="009442FA"/>
    <w:rsid w:val="00944458"/>
    <w:rsid w:val="00944BE8"/>
    <w:rsid w:val="00945E1E"/>
    <w:rsid w:val="009463E4"/>
    <w:rsid w:val="00947068"/>
    <w:rsid w:val="009477AB"/>
    <w:rsid w:val="0095113D"/>
    <w:rsid w:val="00951C7E"/>
    <w:rsid w:val="00952064"/>
    <w:rsid w:val="00952A9D"/>
    <w:rsid w:val="0095488B"/>
    <w:rsid w:val="00954A84"/>
    <w:rsid w:val="009552F3"/>
    <w:rsid w:val="0095645E"/>
    <w:rsid w:val="0095670C"/>
    <w:rsid w:val="00956AD5"/>
    <w:rsid w:val="00956F31"/>
    <w:rsid w:val="0095768A"/>
    <w:rsid w:val="00957968"/>
    <w:rsid w:val="00960441"/>
    <w:rsid w:val="009604A4"/>
    <w:rsid w:val="009615AC"/>
    <w:rsid w:val="00961633"/>
    <w:rsid w:val="009646A0"/>
    <w:rsid w:val="00964B65"/>
    <w:rsid w:val="00964EE3"/>
    <w:rsid w:val="0096575E"/>
    <w:rsid w:val="00965A79"/>
    <w:rsid w:val="009665D6"/>
    <w:rsid w:val="00966B23"/>
    <w:rsid w:val="00966C85"/>
    <w:rsid w:val="00967495"/>
    <w:rsid w:val="00967B3D"/>
    <w:rsid w:val="009707FB"/>
    <w:rsid w:val="00971063"/>
    <w:rsid w:val="00971165"/>
    <w:rsid w:val="009712B0"/>
    <w:rsid w:val="00971C78"/>
    <w:rsid w:val="00972087"/>
    <w:rsid w:val="0097237E"/>
    <w:rsid w:val="0097267F"/>
    <w:rsid w:val="00972A45"/>
    <w:rsid w:val="00972CD3"/>
    <w:rsid w:val="00973448"/>
    <w:rsid w:val="00973CDA"/>
    <w:rsid w:val="00974264"/>
    <w:rsid w:val="009743B4"/>
    <w:rsid w:val="00974DFC"/>
    <w:rsid w:val="009752D0"/>
    <w:rsid w:val="0097553C"/>
    <w:rsid w:val="00975620"/>
    <w:rsid w:val="00975B7A"/>
    <w:rsid w:val="00975E77"/>
    <w:rsid w:val="00976191"/>
    <w:rsid w:val="00976608"/>
    <w:rsid w:val="00977692"/>
    <w:rsid w:val="009776AE"/>
    <w:rsid w:val="00977863"/>
    <w:rsid w:val="0098045E"/>
    <w:rsid w:val="0098053C"/>
    <w:rsid w:val="0098058D"/>
    <w:rsid w:val="009814F4"/>
    <w:rsid w:val="00981832"/>
    <w:rsid w:val="00981D19"/>
    <w:rsid w:val="0098269F"/>
    <w:rsid w:val="00983C8A"/>
    <w:rsid w:val="00984128"/>
    <w:rsid w:val="0098531F"/>
    <w:rsid w:val="00986070"/>
    <w:rsid w:val="00986086"/>
    <w:rsid w:val="0098617D"/>
    <w:rsid w:val="009868A6"/>
    <w:rsid w:val="00986A23"/>
    <w:rsid w:val="00986BBF"/>
    <w:rsid w:val="00987193"/>
    <w:rsid w:val="0099024C"/>
    <w:rsid w:val="00991FA1"/>
    <w:rsid w:val="00992679"/>
    <w:rsid w:val="0099280C"/>
    <w:rsid w:val="00992F10"/>
    <w:rsid w:val="009943B6"/>
    <w:rsid w:val="00994753"/>
    <w:rsid w:val="00994893"/>
    <w:rsid w:val="00995157"/>
    <w:rsid w:val="009963B3"/>
    <w:rsid w:val="009966D4"/>
    <w:rsid w:val="00996E39"/>
    <w:rsid w:val="009A22AA"/>
    <w:rsid w:val="009A25A6"/>
    <w:rsid w:val="009A26ED"/>
    <w:rsid w:val="009A2F7A"/>
    <w:rsid w:val="009A350C"/>
    <w:rsid w:val="009A36F8"/>
    <w:rsid w:val="009A4346"/>
    <w:rsid w:val="009A43A7"/>
    <w:rsid w:val="009A484C"/>
    <w:rsid w:val="009A6728"/>
    <w:rsid w:val="009A69C4"/>
    <w:rsid w:val="009A7071"/>
    <w:rsid w:val="009A7B78"/>
    <w:rsid w:val="009B1A27"/>
    <w:rsid w:val="009B1C1F"/>
    <w:rsid w:val="009B223C"/>
    <w:rsid w:val="009B2805"/>
    <w:rsid w:val="009B3CF3"/>
    <w:rsid w:val="009B6578"/>
    <w:rsid w:val="009B6DA3"/>
    <w:rsid w:val="009B7638"/>
    <w:rsid w:val="009C0127"/>
    <w:rsid w:val="009C019D"/>
    <w:rsid w:val="009C0468"/>
    <w:rsid w:val="009C06A8"/>
    <w:rsid w:val="009C0AC0"/>
    <w:rsid w:val="009C1360"/>
    <w:rsid w:val="009C156A"/>
    <w:rsid w:val="009C3BEE"/>
    <w:rsid w:val="009C49FB"/>
    <w:rsid w:val="009C4C20"/>
    <w:rsid w:val="009C53DA"/>
    <w:rsid w:val="009C5D21"/>
    <w:rsid w:val="009C5FE0"/>
    <w:rsid w:val="009C6074"/>
    <w:rsid w:val="009C6672"/>
    <w:rsid w:val="009C796E"/>
    <w:rsid w:val="009C7F01"/>
    <w:rsid w:val="009C7F64"/>
    <w:rsid w:val="009D04ED"/>
    <w:rsid w:val="009D0EEA"/>
    <w:rsid w:val="009D1BCE"/>
    <w:rsid w:val="009D1D83"/>
    <w:rsid w:val="009D21B7"/>
    <w:rsid w:val="009D25D1"/>
    <w:rsid w:val="009D38C9"/>
    <w:rsid w:val="009D491B"/>
    <w:rsid w:val="009D4C00"/>
    <w:rsid w:val="009D4E10"/>
    <w:rsid w:val="009D59ED"/>
    <w:rsid w:val="009D5F19"/>
    <w:rsid w:val="009D7697"/>
    <w:rsid w:val="009D76FB"/>
    <w:rsid w:val="009D7B98"/>
    <w:rsid w:val="009E022F"/>
    <w:rsid w:val="009E0521"/>
    <w:rsid w:val="009E0F09"/>
    <w:rsid w:val="009E1296"/>
    <w:rsid w:val="009E1704"/>
    <w:rsid w:val="009E1E77"/>
    <w:rsid w:val="009E2064"/>
    <w:rsid w:val="009E2101"/>
    <w:rsid w:val="009E22E1"/>
    <w:rsid w:val="009E2331"/>
    <w:rsid w:val="009E2540"/>
    <w:rsid w:val="009E32C1"/>
    <w:rsid w:val="009E40EF"/>
    <w:rsid w:val="009E7931"/>
    <w:rsid w:val="009E7CA2"/>
    <w:rsid w:val="009E7D55"/>
    <w:rsid w:val="009E7F3A"/>
    <w:rsid w:val="009F0434"/>
    <w:rsid w:val="009F0461"/>
    <w:rsid w:val="009F1172"/>
    <w:rsid w:val="009F160A"/>
    <w:rsid w:val="009F23E2"/>
    <w:rsid w:val="009F2B31"/>
    <w:rsid w:val="009F3CC8"/>
    <w:rsid w:val="009F4E12"/>
    <w:rsid w:val="009F5138"/>
    <w:rsid w:val="00A00CE1"/>
    <w:rsid w:val="00A01571"/>
    <w:rsid w:val="00A02433"/>
    <w:rsid w:val="00A029AC"/>
    <w:rsid w:val="00A02B36"/>
    <w:rsid w:val="00A04CF7"/>
    <w:rsid w:val="00A05F47"/>
    <w:rsid w:val="00A0634A"/>
    <w:rsid w:val="00A069D5"/>
    <w:rsid w:val="00A07DDC"/>
    <w:rsid w:val="00A1035E"/>
    <w:rsid w:val="00A11062"/>
    <w:rsid w:val="00A12219"/>
    <w:rsid w:val="00A12CFA"/>
    <w:rsid w:val="00A16C61"/>
    <w:rsid w:val="00A179E4"/>
    <w:rsid w:val="00A20312"/>
    <w:rsid w:val="00A2032D"/>
    <w:rsid w:val="00A2071E"/>
    <w:rsid w:val="00A20F2E"/>
    <w:rsid w:val="00A21079"/>
    <w:rsid w:val="00A21668"/>
    <w:rsid w:val="00A21CA1"/>
    <w:rsid w:val="00A23045"/>
    <w:rsid w:val="00A2551A"/>
    <w:rsid w:val="00A25736"/>
    <w:rsid w:val="00A25A57"/>
    <w:rsid w:val="00A25B4F"/>
    <w:rsid w:val="00A25CCC"/>
    <w:rsid w:val="00A25E4C"/>
    <w:rsid w:val="00A25F20"/>
    <w:rsid w:val="00A26D3C"/>
    <w:rsid w:val="00A27385"/>
    <w:rsid w:val="00A30921"/>
    <w:rsid w:val="00A30B4F"/>
    <w:rsid w:val="00A31337"/>
    <w:rsid w:val="00A32117"/>
    <w:rsid w:val="00A32C20"/>
    <w:rsid w:val="00A32CBD"/>
    <w:rsid w:val="00A330C8"/>
    <w:rsid w:val="00A3348B"/>
    <w:rsid w:val="00A349A7"/>
    <w:rsid w:val="00A34B84"/>
    <w:rsid w:val="00A3512F"/>
    <w:rsid w:val="00A35293"/>
    <w:rsid w:val="00A35733"/>
    <w:rsid w:val="00A35B95"/>
    <w:rsid w:val="00A35FDF"/>
    <w:rsid w:val="00A37468"/>
    <w:rsid w:val="00A40195"/>
    <w:rsid w:val="00A41018"/>
    <w:rsid w:val="00A41A41"/>
    <w:rsid w:val="00A42955"/>
    <w:rsid w:val="00A43E8B"/>
    <w:rsid w:val="00A455BB"/>
    <w:rsid w:val="00A45B8C"/>
    <w:rsid w:val="00A46E8F"/>
    <w:rsid w:val="00A47369"/>
    <w:rsid w:val="00A47503"/>
    <w:rsid w:val="00A476EA"/>
    <w:rsid w:val="00A47D10"/>
    <w:rsid w:val="00A47F16"/>
    <w:rsid w:val="00A50202"/>
    <w:rsid w:val="00A50560"/>
    <w:rsid w:val="00A50F09"/>
    <w:rsid w:val="00A512D4"/>
    <w:rsid w:val="00A537C4"/>
    <w:rsid w:val="00A5400D"/>
    <w:rsid w:val="00A549B1"/>
    <w:rsid w:val="00A561C8"/>
    <w:rsid w:val="00A562CF"/>
    <w:rsid w:val="00A5650F"/>
    <w:rsid w:val="00A56522"/>
    <w:rsid w:val="00A619EF"/>
    <w:rsid w:val="00A63A6D"/>
    <w:rsid w:val="00A6515D"/>
    <w:rsid w:val="00A65530"/>
    <w:rsid w:val="00A7034B"/>
    <w:rsid w:val="00A710AB"/>
    <w:rsid w:val="00A71AFB"/>
    <w:rsid w:val="00A72282"/>
    <w:rsid w:val="00A731F8"/>
    <w:rsid w:val="00A73836"/>
    <w:rsid w:val="00A7438F"/>
    <w:rsid w:val="00A7478D"/>
    <w:rsid w:val="00A74855"/>
    <w:rsid w:val="00A74C0A"/>
    <w:rsid w:val="00A751AF"/>
    <w:rsid w:val="00A75393"/>
    <w:rsid w:val="00A757DD"/>
    <w:rsid w:val="00A7597F"/>
    <w:rsid w:val="00A77E21"/>
    <w:rsid w:val="00A77FB5"/>
    <w:rsid w:val="00A80774"/>
    <w:rsid w:val="00A80C0F"/>
    <w:rsid w:val="00A80CB0"/>
    <w:rsid w:val="00A811F5"/>
    <w:rsid w:val="00A816E3"/>
    <w:rsid w:val="00A82167"/>
    <w:rsid w:val="00A822B1"/>
    <w:rsid w:val="00A82D8F"/>
    <w:rsid w:val="00A8314C"/>
    <w:rsid w:val="00A83714"/>
    <w:rsid w:val="00A83AC1"/>
    <w:rsid w:val="00A83F36"/>
    <w:rsid w:val="00A8558F"/>
    <w:rsid w:val="00A858E1"/>
    <w:rsid w:val="00A86526"/>
    <w:rsid w:val="00A86B16"/>
    <w:rsid w:val="00A87445"/>
    <w:rsid w:val="00A87A44"/>
    <w:rsid w:val="00A87B99"/>
    <w:rsid w:val="00A91629"/>
    <w:rsid w:val="00A919FD"/>
    <w:rsid w:val="00A91A1F"/>
    <w:rsid w:val="00A91F81"/>
    <w:rsid w:val="00A933A2"/>
    <w:rsid w:val="00A936A0"/>
    <w:rsid w:val="00A96A96"/>
    <w:rsid w:val="00A96E2E"/>
    <w:rsid w:val="00A979DA"/>
    <w:rsid w:val="00A97D46"/>
    <w:rsid w:val="00AA1E0E"/>
    <w:rsid w:val="00AA213A"/>
    <w:rsid w:val="00AA2324"/>
    <w:rsid w:val="00AA247B"/>
    <w:rsid w:val="00AA2ADF"/>
    <w:rsid w:val="00AA3108"/>
    <w:rsid w:val="00AA3156"/>
    <w:rsid w:val="00AA4944"/>
    <w:rsid w:val="00AA5120"/>
    <w:rsid w:val="00AA5A47"/>
    <w:rsid w:val="00AA5A80"/>
    <w:rsid w:val="00AA5DB0"/>
    <w:rsid w:val="00AA5DD8"/>
    <w:rsid w:val="00AA71E1"/>
    <w:rsid w:val="00AA72A6"/>
    <w:rsid w:val="00AA771E"/>
    <w:rsid w:val="00AA7AA2"/>
    <w:rsid w:val="00AB17B0"/>
    <w:rsid w:val="00AB1CFD"/>
    <w:rsid w:val="00AB1DA1"/>
    <w:rsid w:val="00AB211C"/>
    <w:rsid w:val="00AB25FC"/>
    <w:rsid w:val="00AB2A71"/>
    <w:rsid w:val="00AB2B1C"/>
    <w:rsid w:val="00AB2FD0"/>
    <w:rsid w:val="00AB33D8"/>
    <w:rsid w:val="00AB3AF6"/>
    <w:rsid w:val="00AB5040"/>
    <w:rsid w:val="00AB521B"/>
    <w:rsid w:val="00AB5EE7"/>
    <w:rsid w:val="00AB5F28"/>
    <w:rsid w:val="00AC1A84"/>
    <w:rsid w:val="00AC1C8C"/>
    <w:rsid w:val="00AC2E53"/>
    <w:rsid w:val="00AC3B0C"/>
    <w:rsid w:val="00AC50DA"/>
    <w:rsid w:val="00AC5A64"/>
    <w:rsid w:val="00AC5EBF"/>
    <w:rsid w:val="00AC664D"/>
    <w:rsid w:val="00AC680C"/>
    <w:rsid w:val="00AC6905"/>
    <w:rsid w:val="00AC6B0E"/>
    <w:rsid w:val="00AC71D3"/>
    <w:rsid w:val="00AC7285"/>
    <w:rsid w:val="00AC7633"/>
    <w:rsid w:val="00AC7917"/>
    <w:rsid w:val="00AD0779"/>
    <w:rsid w:val="00AD0FE3"/>
    <w:rsid w:val="00AD113F"/>
    <w:rsid w:val="00AD210B"/>
    <w:rsid w:val="00AD2E21"/>
    <w:rsid w:val="00AD333C"/>
    <w:rsid w:val="00AD363F"/>
    <w:rsid w:val="00AD5FAC"/>
    <w:rsid w:val="00AD6356"/>
    <w:rsid w:val="00AD6531"/>
    <w:rsid w:val="00AD790A"/>
    <w:rsid w:val="00AD7E91"/>
    <w:rsid w:val="00AE0118"/>
    <w:rsid w:val="00AE0332"/>
    <w:rsid w:val="00AE0B3B"/>
    <w:rsid w:val="00AE1CA3"/>
    <w:rsid w:val="00AE1F7D"/>
    <w:rsid w:val="00AE1F93"/>
    <w:rsid w:val="00AE2502"/>
    <w:rsid w:val="00AE28B8"/>
    <w:rsid w:val="00AE2F9E"/>
    <w:rsid w:val="00AE3B77"/>
    <w:rsid w:val="00AE3C14"/>
    <w:rsid w:val="00AE4155"/>
    <w:rsid w:val="00AE4490"/>
    <w:rsid w:val="00AE45FB"/>
    <w:rsid w:val="00AE48FB"/>
    <w:rsid w:val="00AE49B0"/>
    <w:rsid w:val="00AE6253"/>
    <w:rsid w:val="00AE63BE"/>
    <w:rsid w:val="00AE6A38"/>
    <w:rsid w:val="00AE6BFE"/>
    <w:rsid w:val="00AE7822"/>
    <w:rsid w:val="00AE7864"/>
    <w:rsid w:val="00AE7865"/>
    <w:rsid w:val="00AF0043"/>
    <w:rsid w:val="00AF0593"/>
    <w:rsid w:val="00AF0D67"/>
    <w:rsid w:val="00AF104F"/>
    <w:rsid w:val="00AF13E7"/>
    <w:rsid w:val="00AF18CA"/>
    <w:rsid w:val="00AF2033"/>
    <w:rsid w:val="00AF29E5"/>
    <w:rsid w:val="00AF584A"/>
    <w:rsid w:val="00AF5C64"/>
    <w:rsid w:val="00AF5E25"/>
    <w:rsid w:val="00AF6557"/>
    <w:rsid w:val="00AF6692"/>
    <w:rsid w:val="00AF7F33"/>
    <w:rsid w:val="00B0188F"/>
    <w:rsid w:val="00B01AC1"/>
    <w:rsid w:val="00B03B1F"/>
    <w:rsid w:val="00B043AE"/>
    <w:rsid w:val="00B0447E"/>
    <w:rsid w:val="00B056A7"/>
    <w:rsid w:val="00B06563"/>
    <w:rsid w:val="00B06656"/>
    <w:rsid w:val="00B06A0B"/>
    <w:rsid w:val="00B07D87"/>
    <w:rsid w:val="00B122CD"/>
    <w:rsid w:val="00B1233D"/>
    <w:rsid w:val="00B12A7F"/>
    <w:rsid w:val="00B132B9"/>
    <w:rsid w:val="00B13571"/>
    <w:rsid w:val="00B13626"/>
    <w:rsid w:val="00B15886"/>
    <w:rsid w:val="00B15DDF"/>
    <w:rsid w:val="00B16E51"/>
    <w:rsid w:val="00B20077"/>
    <w:rsid w:val="00B20366"/>
    <w:rsid w:val="00B20F3A"/>
    <w:rsid w:val="00B210E6"/>
    <w:rsid w:val="00B214A6"/>
    <w:rsid w:val="00B21B1D"/>
    <w:rsid w:val="00B21F57"/>
    <w:rsid w:val="00B22499"/>
    <w:rsid w:val="00B23283"/>
    <w:rsid w:val="00B23939"/>
    <w:rsid w:val="00B24134"/>
    <w:rsid w:val="00B245C7"/>
    <w:rsid w:val="00B25749"/>
    <w:rsid w:val="00B25772"/>
    <w:rsid w:val="00B25C44"/>
    <w:rsid w:val="00B26846"/>
    <w:rsid w:val="00B2685C"/>
    <w:rsid w:val="00B269F6"/>
    <w:rsid w:val="00B27040"/>
    <w:rsid w:val="00B30B5C"/>
    <w:rsid w:val="00B310A2"/>
    <w:rsid w:val="00B3149E"/>
    <w:rsid w:val="00B315E9"/>
    <w:rsid w:val="00B31923"/>
    <w:rsid w:val="00B32635"/>
    <w:rsid w:val="00B3273D"/>
    <w:rsid w:val="00B32974"/>
    <w:rsid w:val="00B32BAB"/>
    <w:rsid w:val="00B33D1D"/>
    <w:rsid w:val="00B33D2E"/>
    <w:rsid w:val="00B34645"/>
    <w:rsid w:val="00B34785"/>
    <w:rsid w:val="00B34946"/>
    <w:rsid w:val="00B34958"/>
    <w:rsid w:val="00B34A1D"/>
    <w:rsid w:val="00B34CB5"/>
    <w:rsid w:val="00B35E96"/>
    <w:rsid w:val="00B3634C"/>
    <w:rsid w:val="00B367C4"/>
    <w:rsid w:val="00B367F9"/>
    <w:rsid w:val="00B37F1E"/>
    <w:rsid w:val="00B407AD"/>
    <w:rsid w:val="00B413E7"/>
    <w:rsid w:val="00B419EE"/>
    <w:rsid w:val="00B42329"/>
    <w:rsid w:val="00B42997"/>
    <w:rsid w:val="00B4348E"/>
    <w:rsid w:val="00B43C4A"/>
    <w:rsid w:val="00B452F4"/>
    <w:rsid w:val="00B4532B"/>
    <w:rsid w:val="00B45BFB"/>
    <w:rsid w:val="00B45DA8"/>
    <w:rsid w:val="00B46989"/>
    <w:rsid w:val="00B46CB3"/>
    <w:rsid w:val="00B50665"/>
    <w:rsid w:val="00B507BB"/>
    <w:rsid w:val="00B50F3E"/>
    <w:rsid w:val="00B51FB4"/>
    <w:rsid w:val="00B526A8"/>
    <w:rsid w:val="00B52864"/>
    <w:rsid w:val="00B52BA3"/>
    <w:rsid w:val="00B52BF3"/>
    <w:rsid w:val="00B537ED"/>
    <w:rsid w:val="00B539DA"/>
    <w:rsid w:val="00B53C0F"/>
    <w:rsid w:val="00B557C8"/>
    <w:rsid w:val="00B56136"/>
    <w:rsid w:val="00B567D8"/>
    <w:rsid w:val="00B5773F"/>
    <w:rsid w:val="00B60D35"/>
    <w:rsid w:val="00B60D54"/>
    <w:rsid w:val="00B6161D"/>
    <w:rsid w:val="00B61A7B"/>
    <w:rsid w:val="00B61BC9"/>
    <w:rsid w:val="00B628C4"/>
    <w:rsid w:val="00B62F14"/>
    <w:rsid w:val="00B63C50"/>
    <w:rsid w:val="00B64841"/>
    <w:rsid w:val="00B64C33"/>
    <w:rsid w:val="00B64DE9"/>
    <w:rsid w:val="00B654B8"/>
    <w:rsid w:val="00B655ED"/>
    <w:rsid w:val="00B65854"/>
    <w:rsid w:val="00B66550"/>
    <w:rsid w:val="00B66D10"/>
    <w:rsid w:val="00B677C8"/>
    <w:rsid w:val="00B70B62"/>
    <w:rsid w:val="00B71204"/>
    <w:rsid w:val="00B7164B"/>
    <w:rsid w:val="00B71EAE"/>
    <w:rsid w:val="00B72047"/>
    <w:rsid w:val="00B7285E"/>
    <w:rsid w:val="00B729C5"/>
    <w:rsid w:val="00B72BDD"/>
    <w:rsid w:val="00B72D5E"/>
    <w:rsid w:val="00B72D6B"/>
    <w:rsid w:val="00B73375"/>
    <w:rsid w:val="00B73C0E"/>
    <w:rsid w:val="00B73ECD"/>
    <w:rsid w:val="00B7410C"/>
    <w:rsid w:val="00B74316"/>
    <w:rsid w:val="00B74BE4"/>
    <w:rsid w:val="00B754FA"/>
    <w:rsid w:val="00B761F9"/>
    <w:rsid w:val="00B778DB"/>
    <w:rsid w:val="00B77FF5"/>
    <w:rsid w:val="00B81455"/>
    <w:rsid w:val="00B8165C"/>
    <w:rsid w:val="00B82265"/>
    <w:rsid w:val="00B82350"/>
    <w:rsid w:val="00B82949"/>
    <w:rsid w:val="00B82C38"/>
    <w:rsid w:val="00B83463"/>
    <w:rsid w:val="00B848D9"/>
    <w:rsid w:val="00B84B18"/>
    <w:rsid w:val="00B859B4"/>
    <w:rsid w:val="00B86B76"/>
    <w:rsid w:val="00B86F01"/>
    <w:rsid w:val="00B87391"/>
    <w:rsid w:val="00B87BF0"/>
    <w:rsid w:val="00B901A3"/>
    <w:rsid w:val="00B90F3E"/>
    <w:rsid w:val="00B91491"/>
    <w:rsid w:val="00B917A8"/>
    <w:rsid w:val="00B93E25"/>
    <w:rsid w:val="00B945AE"/>
    <w:rsid w:val="00B95AA6"/>
    <w:rsid w:val="00B95C70"/>
    <w:rsid w:val="00B968D8"/>
    <w:rsid w:val="00B97606"/>
    <w:rsid w:val="00B97993"/>
    <w:rsid w:val="00BA0F25"/>
    <w:rsid w:val="00BA1863"/>
    <w:rsid w:val="00BA1AF9"/>
    <w:rsid w:val="00BA1B3D"/>
    <w:rsid w:val="00BA2243"/>
    <w:rsid w:val="00BA29B6"/>
    <w:rsid w:val="00BA2DC8"/>
    <w:rsid w:val="00BA3AA5"/>
    <w:rsid w:val="00BA44E7"/>
    <w:rsid w:val="00BA4BCD"/>
    <w:rsid w:val="00BA4EA3"/>
    <w:rsid w:val="00BA59C1"/>
    <w:rsid w:val="00BA5B7C"/>
    <w:rsid w:val="00BA6FB7"/>
    <w:rsid w:val="00BA7A6C"/>
    <w:rsid w:val="00BA7B64"/>
    <w:rsid w:val="00BB056A"/>
    <w:rsid w:val="00BB0DE7"/>
    <w:rsid w:val="00BB1586"/>
    <w:rsid w:val="00BB1675"/>
    <w:rsid w:val="00BB17DC"/>
    <w:rsid w:val="00BB253C"/>
    <w:rsid w:val="00BB3AC1"/>
    <w:rsid w:val="00BB3F5C"/>
    <w:rsid w:val="00BB56DA"/>
    <w:rsid w:val="00BB75FD"/>
    <w:rsid w:val="00BB7766"/>
    <w:rsid w:val="00BB7A10"/>
    <w:rsid w:val="00BC0351"/>
    <w:rsid w:val="00BC0B39"/>
    <w:rsid w:val="00BC0D32"/>
    <w:rsid w:val="00BC16A4"/>
    <w:rsid w:val="00BC1988"/>
    <w:rsid w:val="00BC314F"/>
    <w:rsid w:val="00BC384B"/>
    <w:rsid w:val="00BC42EE"/>
    <w:rsid w:val="00BC4322"/>
    <w:rsid w:val="00BC7A0F"/>
    <w:rsid w:val="00BD0335"/>
    <w:rsid w:val="00BD0508"/>
    <w:rsid w:val="00BD1787"/>
    <w:rsid w:val="00BD236A"/>
    <w:rsid w:val="00BD2A18"/>
    <w:rsid w:val="00BD342A"/>
    <w:rsid w:val="00BD3762"/>
    <w:rsid w:val="00BD3875"/>
    <w:rsid w:val="00BD41A3"/>
    <w:rsid w:val="00BD4923"/>
    <w:rsid w:val="00BD5425"/>
    <w:rsid w:val="00BD73A6"/>
    <w:rsid w:val="00BD756B"/>
    <w:rsid w:val="00BE0554"/>
    <w:rsid w:val="00BE0B86"/>
    <w:rsid w:val="00BE12C1"/>
    <w:rsid w:val="00BE1FD1"/>
    <w:rsid w:val="00BE298D"/>
    <w:rsid w:val="00BE3B03"/>
    <w:rsid w:val="00BE3CD7"/>
    <w:rsid w:val="00BE4603"/>
    <w:rsid w:val="00BE510F"/>
    <w:rsid w:val="00BE621E"/>
    <w:rsid w:val="00BE656E"/>
    <w:rsid w:val="00BE746F"/>
    <w:rsid w:val="00BE764A"/>
    <w:rsid w:val="00BF11F4"/>
    <w:rsid w:val="00BF2ADC"/>
    <w:rsid w:val="00BF448F"/>
    <w:rsid w:val="00BF55B0"/>
    <w:rsid w:val="00BF67A7"/>
    <w:rsid w:val="00BF6BC1"/>
    <w:rsid w:val="00BF6C28"/>
    <w:rsid w:val="00BF7447"/>
    <w:rsid w:val="00C00A73"/>
    <w:rsid w:val="00C00E2C"/>
    <w:rsid w:val="00C00E53"/>
    <w:rsid w:val="00C00E8A"/>
    <w:rsid w:val="00C00F60"/>
    <w:rsid w:val="00C023D7"/>
    <w:rsid w:val="00C02805"/>
    <w:rsid w:val="00C02E28"/>
    <w:rsid w:val="00C02EC7"/>
    <w:rsid w:val="00C030A2"/>
    <w:rsid w:val="00C03303"/>
    <w:rsid w:val="00C03585"/>
    <w:rsid w:val="00C03A4D"/>
    <w:rsid w:val="00C03BE5"/>
    <w:rsid w:val="00C03E1A"/>
    <w:rsid w:val="00C03F88"/>
    <w:rsid w:val="00C03FD2"/>
    <w:rsid w:val="00C04047"/>
    <w:rsid w:val="00C0429B"/>
    <w:rsid w:val="00C0581E"/>
    <w:rsid w:val="00C05CAB"/>
    <w:rsid w:val="00C062EF"/>
    <w:rsid w:val="00C068FD"/>
    <w:rsid w:val="00C06B25"/>
    <w:rsid w:val="00C0775F"/>
    <w:rsid w:val="00C07DD0"/>
    <w:rsid w:val="00C102B7"/>
    <w:rsid w:val="00C120E9"/>
    <w:rsid w:val="00C12473"/>
    <w:rsid w:val="00C12996"/>
    <w:rsid w:val="00C12CB0"/>
    <w:rsid w:val="00C13696"/>
    <w:rsid w:val="00C1466D"/>
    <w:rsid w:val="00C14A0A"/>
    <w:rsid w:val="00C14D0C"/>
    <w:rsid w:val="00C14DE6"/>
    <w:rsid w:val="00C15583"/>
    <w:rsid w:val="00C155D5"/>
    <w:rsid w:val="00C15784"/>
    <w:rsid w:val="00C160D4"/>
    <w:rsid w:val="00C17C95"/>
    <w:rsid w:val="00C21A21"/>
    <w:rsid w:val="00C21F1F"/>
    <w:rsid w:val="00C2380B"/>
    <w:rsid w:val="00C250DF"/>
    <w:rsid w:val="00C25B03"/>
    <w:rsid w:val="00C25B2D"/>
    <w:rsid w:val="00C25BAC"/>
    <w:rsid w:val="00C25CDC"/>
    <w:rsid w:val="00C26C4E"/>
    <w:rsid w:val="00C27716"/>
    <w:rsid w:val="00C30194"/>
    <w:rsid w:val="00C301B8"/>
    <w:rsid w:val="00C3023D"/>
    <w:rsid w:val="00C30435"/>
    <w:rsid w:val="00C306ED"/>
    <w:rsid w:val="00C30B63"/>
    <w:rsid w:val="00C30FFE"/>
    <w:rsid w:val="00C3156D"/>
    <w:rsid w:val="00C315D4"/>
    <w:rsid w:val="00C31F96"/>
    <w:rsid w:val="00C32D85"/>
    <w:rsid w:val="00C3368C"/>
    <w:rsid w:val="00C33746"/>
    <w:rsid w:val="00C33E96"/>
    <w:rsid w:val="00C34681"/>
    <w:rsid w:val="00C35C30"/>
    <w:rsid w:val="00C35CB5"/>
    <w:rsid w:val="00C35CDA"/>
    <w:rsid w:val="00C35F03"/>
    <w:rsid w:val="00C36270"/>
    <w:rsid w:val="00C36310"/>
    <w:rsid w:val="00C369EC"/>
    <w:rsid w:val="00C36B09"/>
    <w:rsid w:val="00C36EBB"/>
    <w:rsid w:val="00C37AA7"/>
    <w:rsid w:val="00C4001B"/>
    <w:rsid w:val="00C41A6E"/>
    <w:rsid w:val="00C42688"/>
    <w:rsid w:val="00C42C7D"/>
    <w:rsid w:val="00C44ED7"/>
    <w:rsid w:val="00C46079"/>
    <w:rsid w:val="00C47222"/>
    <w:rsid w:val="00C476EA"/>
    <w:rsid w:val="00C500E1"/>
    <w:rsid w:val="00C50860"/>
    <w:rsid w:val="00C51066"/>
    <w:rsid w:val="00C51440"/>
    <w:rsid w:val="00C519C7"/>
    <w:rsid w:val="00C52054"/>
    <w:rsid w:val="00C523D0"/>
    <w:rsid w:val="00C52657"/>
    <w:rsid w:val="00C526CC"/>
    <w:rsid w:val="00C5327F"/>
    <w:rsid w:val="00C53694"/>
    <w:rsid w:val="00C53B4E"/>
    <w:rsid w:val="00C54B67"/>
    <w:rsid w:val="00C54EA2"/>
    <w:rsid w:val="00C55013"/>
    <w:rsid w:val="00C564A6"/>
    <w:rsid w:val="00C56BEC"/>
    <w:rsid w:val="00C57100"/>
    <w:rsid w:val="00C60686"/>
    <w:rsid w:val="00C60C1B"/>
    <w:rsid w:val="00C61C3D"/>
    <w:rsid w:val="00C629FE"/>
    <w:rsid w:val="00C62DD9"/>
    <w:rsid w:val="00C634AA"/>
    <w:rsid w:val="00C634B0"/>
    <w:rsid w:val="00C64090"/>
    <w:rsid w:val="00C64D06"/>
    <w:rsid w:val="00C6632F"/>
    <w:rsid w:val="00C67582"/>
    <w:rsid w:val="00C67781"/>
    <w:rsid w:val="00C679F3"/>
    <w:rsid w:val="00C67F4D"/>
    <w:rsid w:val="00C701AA"/>
    <w:rsid w:val="00C7090E"/>
    <w:rsid w:val="00C71174"/>
    <w:rsid w:val="00C7193D"/>
    <w:rsid w:val="00C7322C"/>
    <w:rsid w:val="00C74D7B"/>
    <w:rsid w:val="00C74F54"/>
    <w:rsid w:val="00C75233"/>
    <w:rsid w:val="00C758D5"/>
    <w:rsid w:val="00C767F4"/>
    <w:rsid w:val="00C76BA5"/>
    <w:rsid w:val="00C773B3"/>
    <w:rsid w:val="00C815FF"/>
    <w:rsid w:val="00C819EE"/>
    <w:rsid w:val="00C823F8"/>
    <w:rsid w:val="00C825DB"/>
    <w:rsid w:val="00C835E6"/>
    <w:rsid w:val="00C846FE"/>
    <w:rsid w:val="00C86A63"/>
    <w:rsid w:val="00C87519"/>
    <w:rsid w:val="00C879CD"/>
    <w:rsid w:val="00C9112C"/>
    <w:rsid w:val="00C91C97"/>
    <w:rsid w:val="00C91CD5"/>
    <w:rsid w:val="00C92C29"/>
    <w:rsid w:val="00C9461E"/>
    <w:rsid w:val="00C94EE5"/>
    <w:rsid w:val="00C9576B"/>
    <w:rsid w:val="00C95A5D"/>
    <w:rsid w:val="00C96313"/>
    <w:rsid w:val="00C968F8"/>
    <w:rsid w:val="00C96970"/>
    <w:rsid w:val="00C96DCC"/>
    <w:rsid w:val="00C96E9B"/>
    <w:rsid w:val="00CA091A"/>
    <w:rsid w:val="00CA09A1"/>
    <w:rsid w:val="00CA0D67"/>
    <w:rsid w:val="00CA1DA5"/>
    <w:rsid w:val="00CA2465"/>
    <w:rsid w:val="00CA2686"/>
    <w:rsid w:val="00CA39AA"/>
    <w:rsid w:val="00CA4D65"/>
    <w:rsid w:val="00CA5192"/>
    <w:rsid w:val="00CA5A8C"/>
    <w:rsid w:val="00CA65FE"/>
    <w:rsid w:val="00CA71F9"/>
    <w:rsid w:val="00CA74B5"/>
    <w:rsid w:val="00CB025B"/>
    <w:rsid w:val="00CB0502"/>
    <w:rsid w:val="00CB0548"/>
    <w:rsid w:val="00CB0DC0"/>
    <w:rsid w:val="00CB1015"/>
    <w:rsid w:val="00CB1517"/>
    <w:rsid w:val="00CB16F0"/>
    <w:rsid w:val="00CB18F0"/>
    <w:rsid w:val="00CB1937"/>
    <w:rsid w:val="00CB2191"/>
    <w:rsid w:val="00CB2200"/>
    <w:rsid w:val="00CB224D"/>
    <w:rsid w:val="00CB2B8C"/>
    <w:rsid w:val="00CB35F2"/>
    <w:rsid w:val="00CB3AF7"/>
    <w:rsid w:val="00CB3FB6"/>
    <w:rsid w:val="00CB4485"/>
    <w:rsid w:val="00CB5780"/>
    <w:rsid w:val="00CB5B0E"/>
    <w:rsid w:val="00CB7476"/>
    <w:rsid w:val="00CB74C7"/>
    <w:rsid w:val="00CB75C2"/>
    <w:rsid w:val="00CB76D9"/>
    <w:rsid w:val="00CB7D20"/>
    <w:rsid w:val="00CB7FA9"/>
    <w:rsid w:val="00CC0091"/>
    <w:rsid w:val="00CC0F23"/>
    <w:rsid w:val="00CC118B"/>
    <w:rsid w:val="00CC216A"/>
    <w:rsid w:val="00CC24A7"/>
    <w:rsid w:val="00CC2D6E"/>
    <w:rsid w:val="00CC3273"/>
    <w:rsid w:val="00CC33AD"/>
    <w:rsid w:val="00CC37A0"/>
    <w:rsid w:val="00CC3834"/>
    <w:rsid w:val="00CC45C8"/>
    <w:rsid w:val="00CC46EE"/>
    <w:rsid w:val="00CC4898"/>
    <w:rsid w:val="00CC5E24"/>
    <w:rsid w:val="00CC67B6"/>
    <w:rsid w:val="00CC6BED"/>
    <w:rsid w:val="00CC6EC0"/>
    <w:rsid w:val="00CC7462"/>
    <w:rsid w:val="00CC7792"/>
    <w:rsid w:val="00CD0064"/>
    <w:rsid w:val="00CD092B"/>
    <w:rsid w:val="00CD0C2C"/>
    <w:rsid w:val="00CD226D"/>
    <w:rsid w:val="00CD2723"/>
    <w:rsid w:val="00CD31DC"/>
    <w:rsid w:val="00CD327D"/>
    <w:rsid w:val="00CD42E5"/>
    <w:rsid w:val="00CD563A"/>
    <w:rsid w:val="00CD661F"/>
    <w:rsid w:val="00CD66D2"/>
    <w:rsid w:val="00CD6A29"/>
    <w:rsid w:val="00CD75E3"/>
    <w:rsid w:val="00CE0C0F"/>
    <w:rsid w:val="00CE0CD1"/>
    <w:rsid w:val="00CE19A2"/>
    <w:rsid w:val="00CE1AAD"/>
    <w:rsid w:val="00CE1BE8"/>
    <w:rsid w:val="00CE1DBB"/>
    <w:rsid w:val="00CE35C1"/>
    <w:rsid w:val="00CE4887"/>
    <w:rsid w:val="00CE4B00"/>
    <w:rsid w:val="00CE4C88"/>
    <w:rsid w:val="00CE5A2E"/>
    <w:rsid w:val="00CE6E47"/>
    <w:rsid w:val="00CE7900"/>
    <w:rsid w:val="00CE79D5"/>
    <w:rsid w:val="00CE7A12"/>
    <w:rsid w:val="00CF0ADC"/>
    <w:rsid w:val="00CF123B"/>
    <w:rsid w:val="00CF4A97"/>
    <w:rsid w:val="00CF4D99"/>
    <w:rsid w:val="00CF4F40"/>
    <w:rsid w:val="00CF5118"/>
    <w:rsid w:val="00CF5422"/>
    <w:rsid w:val="00CF590E"/>
    <w:rsid w:val="00CF6118"/>
    <w:rsid w:val="00CF6711"/>
    <w:rsid w:val="00CF7385"/>
    <w:rsid w:val="00CF7880"/>
    <w:rsid w:val="00CF79C5"/>
    <w:rsid w:val="00CF7B6F"/>
    <w:rsid w:val="00D013C6"/>
    <w:rsid w:val="00D0194A"/>
    <w:rsid w:val="00D01E4F"/>
    <w:rsid w:val="00D03161"/>
    <w:rsid w:val="00D035DE"/>
    <w:rsid w:val="00D04F8C"/>
    <w:rsid w:val="00D05DDC"/>
    <w:rsid w:val="00D062C1"/>
    <w:rsid w:val="00D1090E"/>
    <w:rsid w:val="00D10D88"/>
    <w:rsid w:val="00D10EF9"/>
    <w:rsid w:val="00D11A96"/>
    <w:rsid w:val="00D127FC"/>
    <w:rsid w:val="00D12CC0"/>
    <w:rsid w:val="00D1381C"/>
    <w:rsid w:val="00D13926"/>
    <w:rsid w:val="00D13C11"/>
    <w:rsid w:val="00D150B2"/>
    <w:rsid w:val="00D1640D"/>
    <w:rsid w:val="00D16CC6"/>
    <w:rsid w:val="00D21161"/>
    <w:rsid w:val="00D21D8A"/>
    <w:rsid w:val="00D22045"/>
    <w:rsid w:val="00D22514"/>
    <w:rsid w:val="00D24D7B"/>
    <w:rsid w:val="00D24F1A"/>
    <w:rsid w:val="00D2573F"/>
    <w:rsid w:val="00D2656F"/>
    <w:rsid w:val="00D26A47"/>
    <w:rsid w:val="00D26C71"/>
    <w:rsid w:val="00D270B8"/>
    <w:rsid w:val="00D276FD"/>
    <w:rsid w:val="00D30089"/>
    <w:rsid w:val="00D3071D"/>
    <w:rsid w:val="00D309D0"/>
    <w:rsid w:val="00D3116C"/>
    <w:rsid w:val="00D32883"/>
    <w:rsid w:val="00D3302C"/>
    <w:rsid w:val="00D332AB"/>
    <w:rsid w:val="00D33A75"/>
    <w:rsid w:val="00D33DE5"/>
    <w:rsid w:val="00D34073"/>
    <w:rsid w:val="00D34BCC"/>
    <w:rsid w:val="00D34F69"/>
    <w:rsid w:val="00D3576F"/>
    <w:rsid w:val="00D35D47"/>
    <w:rsid w:val="00D35D84"/>
    <w:rsid w:val="00D36979"/>
    <w:rsid w:val="00D37211"/>
    <w:rsid w:val="00D37735"/>
    <w:rsid w:val="00D4074B"/>
    <w:rsid w:val="00D40901"/>
    <w:rsid w:val="00D40DD3"/>
    <w:rsid w:val="00D4125A"/>
    <w:rsid w:val="00D41BFB"/>
    <w:rsid w:val="00D426C6"/>
    <w:rsid w:val="00D42936"/>
    <w:rsid w:val="00D43833"/>
    <w:rsid w:val="00D446CB"/>
    <w:rsid w:val="00D4494C"/>
    <w:rsid w:val="00D45BF9"/>
    <w:rsid w:val="00D46944"/>
    <w:rsid w:val="00D46AC2"/>
    <w:rsid w:val="00D50B69"/>
    <w:rsid w:val="00D53103"/>
    <w:rsid w:val="00D53109"/>
    <w:rsid w:val="00D53D03"/>
    <w:rsid w:val="00D53FEE"/>
    <w:rsid w:val="00D5421A"/>
    <w:rsid w:val="00D5450F"/>
    <w:rsid w:val="00D546CF"/>
    <w:rsid w:val="00D54A0F"/>
    <w:rsid w:val="00D54B1D"/>
    <w:rsid w:val="00D55592"/>
    <w:rsid w:val="00D55609"/>
    <w:rsid w:val="00D56259"/>
    <w:rsid w:val="00D5645C"/>
    <w:rsid w:val="00D56A0F"/>
    <w:rsid w:val="00D56AD6"/>
    <w:rsid w:val="00D60249"/>
    <w:rsid w:val="00D60563"/>
    <w:rsid w:val="00D6122D"/>
    <w:rsid w:val="00D622E2"/>
    <w:rsid w:val="00D62B92"/>
    <w:rsid w:val="00D631BF"/>
    <w:rsid w:val="00D633B8"/>
    <w:rsid w:val="00D63836"/>
    <w:rsid w:val="00D65C8B"/>
    <w:rsid w:val="00D66A91"/>
    <w:rsid w:val="00D66B10"/>
    <w:rsid w:val="00D66C09"/>
    <w:rsid w:val="00D6729F"/>
    <w:rsid w:val="00D67469"/>
    <w:rsid w:val="00D70339"/>
    <w:rsid w:val="00D70D38"/>
    <w:rsid w:val="00D70DD9"/>
    <w:rsid w:val="00D70F4D"/>
    <w:rsid w:val="00D714FD"/>
    <w:rsid w:val="00D71961"/>
    <w:rsid w:val="00D71E1D"/>
    <w:rsid w:val="00D72221"/>
    <w:rsid w:val="00D726EE"/>
    <w:rsid w:val="00D72712"/>
    <w:rsid w:val="00D72E69"/>
    <w:rsid w:val="00D72EA1"/>
    <w:rsid w:val="00D73472"/>
    <w:rsid w:val="00D737BB"/>
    <w:rsid w:val="00D73964"/>
    <w:rsid w:val="00D76CEC"/>
    <w:rsid w:val="00D77139"/>
    <w:rsid w:val="00D7733A"/>
    <w:rsid w:val="00D80250"/>
    <w:rsid w:val="00D804F4"/>
    <w:rsid w:val="00D806FC"/>
    <w:rsid w:val="00D80853"/>
    <w:rsid w:val="00D8130A"/>
    <w:rsid w:val="00D81959"/>
    <w:rsid w:val="00D81AAC"/>
    <w:rsid w:val="00D81F71"/>
    <w:rsid w:val="00D82182"/>
    <w:rsid w:val="00D82667"/>
    <w:rsid w:val="00D83148"/>
    <w:rsid w:val="00D83649"/>
    <w:rsid w:val="00D844EC"/>
    <w:rsid w:val="00D84A4F"/>
    <w:rsid w:val="00D84E2C"/>
    <w:rsid w:val="00D85C0D"/>
    <w:rsid w:val="00D86C7A"/>
    <w:rsid w:val="00D8768A"/>
    <w:rsid w:val="00D87891"/>
    <w:rsid w:val="00D9065D"/>
    <w:rsid w:val="00D90EB7"/>
    <w:rsid w:val="00D9135C"/>
    <w:rsid w:val="00D91A5E"/>
    <w:rsid w:val="00D92545"/>
    <w:rsid w:val="00D9443B"/>
    <w:rsid w:val="00D94477"/>
    <w:rsid w:val="00D94CEE"/>
    <w:rsid w:val="00D95123"/>
    <w:rsid w:val="00D951EC"/>
    <w:rsid w:val="00D95B9A"/>
    <w:rsid w:val="00D95CBD"/>
    <w:rsid w:val="00D9619E"/>
    <w:rsid w:val="00D96F88"/>
    <w:rsid w:val="00D975BE"/>
    <w:rsid w:val="00D97F0B"/>
    <w:rsid w:val="00D97F86"/>
    <w:rsid w:val="00DA0DAF"/>
    <w:rsid w:val="00DA17CC"/>
    <w:rsid w:val="00DA1A9E"/>
    <w:rsid w:val="00DA1B91"/>
    <w:rsid w:val="00DA271C"/>
    <w:rsid w:val="00DA33CC"/>
    <w:rsid w:val="00DA4D39"/>
    <w:rsid w:val="00DA4FB2"/>
    <w:rsid w:val="00DA5206"/>
    <w:rsid w:val="00DA5411"/>
    <w:rsid w:val="00DA5499"/>
    <w:rsid w:val="00DA566C"/>
    <w:rsid w:val="00DA6526"/>
    <w:rsid w:val="00DA6584"/>
    <w:rsid w:val="00DA69CA"/>
    <w:rsid w:val="00DA6EC7"/>
    <w:rsid w:val="00DB06AD"/>
    <w:rsid w:val="00DB0F36"/>
    <w:rsid w:val="00DB16B3"/>
    <w:rsid w:val="00DB1732"/>
    <w:rsid w:val="00DB1A79"/>
    <w:rsid w:val="00DB2A3B"/>
    <w:rsid w:val="00DB3EEA"/>
    <w:rsid w:val="00DB410C"/>
    <w:rsid w:val="00DB6A3D"/>
    <w:rsid w:val="00DB7499"/>
    <w:rsid w:val="00DC141B"/>
    <w:rsid w:val="00DC1E4B"/>
    <w:rsid w:val="00DC1FF4"/>
    <w:rsid w:val="00DC20D0"/>
    <w:rsid w:val="00DC227F"/>
    <w:rsid w:val="00DC253D"/>
    <w:rsid w:val="00DC2A07"/>
    <w:rsid w:val="00DC3967"/>
    <w:rsid w:val="00DC3DB3"/>
    <w:rsid w:val="00DC446F"/>
    <w:rsid w:val="00DC54C6"/>
    <w:rsid w:val="00DC5913"/>
    <w:rsid w:val="00DC679F"/>
    <w:rsid w:val="00DC6DFE"/>
    <w:rsid w:val="00DC6E0B"/>
    <w:rsid w:val="00DC731C"/>
    <w:rsid w:val="00DC73DE"/>
    <w:rsid w:val="00DC7989"/>
    <w:rsid w:val="00DC7A50"/>
    <w:rsid w:val="00DD0832"/>
    <w:rsid w:val="00DD0F5D"/>
    <w:rsid w:val="00DD1275"/>
    <w:rsid w:val="00DD21AC"/>
    <w:rsid w:val="00DD2520"/>
    <w:rsid w:val="00DD27ED"/>
    <w:rsid w:val="00DD45E3"/>
    <w:rsid w:val="00DD69CC"/>
    <w:rsid w:val="00DD6D4A"/>
    <w:rsid w:val="00DD6D89"/>
    <w:rsid w:val="00DD7A23"/>
    <w:rsid w:val="00DE1C4A"/>
    <w:rsid w:val="00DE1EED"/>
    <w:rsid w:val="00DE2285"/>
    <w:rsid w:val="00DE2717"/>
    <w:rsid w:val="00DE2BF3"/>
    <w:rsid w:val="00DE4772"/>
    <w:rsid w:val="00DE49B6"/>
    <w:rsid w:val="00DE51FF"/>
    <w:rsid w:val="00DE53AD"/>
    <w:rsid w:val="00DE6D02"/>
    <w:rsid w:val="00DF0B57"/>
    <w:rsid w:val="00DF0C1A"/>
    <w:rsid w:val="00DF102F"/>
    <w:rsid w:val="00DF1675"/>
    <w:rsid w:val="00DF2AF5"/>
    <w:rsid w:val="00DF2C22"/>
    <w:rsid w:val="00DF6155"/>
    <w:rsid w:val="00DF6760"/>
    <w:rsid w:val="00DF6AB2"/>
    <w:rsid w:val="00DF781A"/>
    <w:rsid w:val="00DF7C47"/>
    <w:rsid w:val="00E002DB"/>
    <w:rsid w:val="00E004A7"/>
    <w:rsid w:val="00E00DAB"/>
    <w:rsid w:val="00E011CF"/>
    <w:rsid w:val="00E01902"/>
    <w:rsid w:val="00E02025"/>
    <w:rsid w:val="00E0472D"/>
    <w:rsid w:val="00E04920"/>
    <w:rsid w:val="00E05D54"/>
    <w:rsid w:val="00E0625C"/>
    <w:rsid w:val="00E06450"/>
    <w:rsid w:val="00E06806"/>
    <w:rsid w:val="00E068CA"/>
    <w:rsid w:val="00E06B03"/>
    <w:rsid w:val="00E06B86"/>
    <w:rsid w:val="00E06CAA"/>
    <w:rsid w:val="00E06E15"/>
    <w:rsid w:val="00E0712F"/>
    <w:rsid w:val="00E0719A"/>
    <w:rsid w:val="00E106E7"/>
    <w:rsid w:val="00E10D02"/>
    <w:rsid w:val="00E10EE8"/>
    <w:rsid w:val="00E1106B"/>
    <w:rsid w:val="00E11400"/>
    <w:rsid w:val="00E122E6"/>
    <w:rsid w:val="00E12993"/>
    <w:rsid w:val="00E13845"/>
    <w:rsid w:val="00E13D4B"/>
    <w:rsid w:val="00E144BE"/>
    <w:rsid w:val="00E14A1E"/>
    <w:rsid w:val="00E15915"/>
    <w:rsid w:val="00E15BFD"/>
    <w:rsid w:val="00E1683A"/>
    <w:rsid w:val="00E170A6"/>
    <w:rsid w:val="00E1725F"/>
    <w:rsid w:val="00E1774D"/>
    <w:rsid w:val="00E17CF5"/>
    <w:rsid w:val="00E209B1"/>
    <w:rsid w:val="00E209BB"/>
    <w:rsid w:val="00E21F32"/>
    <w:rsid w:val="00E23960"/>
    <w:rsid w:val="00E23AC2"/>
    <w:rsid w:val="00E23DB3"/>
    <w:rsid w:val="00E252BE"/>
    <w:rsid w:val="00E25661"/>
    <w:rsid w:val="00E30E31"/>
    <w:rsid w:val="00E31075"/>
    <w:rsid w:val="00E31656"/>
    <w:rsid w:val="00E31CFA"/>
    <w:rsid w:val="00E32CF0"/>
    <w:rsid w:val="00E338EB"/>
    <w:rsid w:val="00E358BA"/>
    <w:rsid w:val="00E3628B"/>
    <w:rsid w:val="00E36809"/>
    <w:rsid w:val="00E36F4E"/>
    <w:rsid w:val="00E3793D"/>
    <w:rsid w:val="00E37CC3"/>
    <w:rsid w:val="00E37DBE"/>
    <w:rsid w:val="00E37EAC"/>
    <w:rsid w:val="00E406B9"/>
    <w:rsid w:val="00E40ECB"/>
    <w:rsid w:val="00E41CA9"/>
    <w:rsid w:val="00E41D78"/>
    <w:rsid w:val="00E43AFB"/>
    <w:rsid w:val="00E43DEA"/>
    <w:rsid w:val="00E43FDB"/>
    <w:rsid w:val="00E44D8E"/>
    <w:rsid w:val="00E44F05"/>
    <w:rsid w:val="00E45296"/>
    <w:rsid w:val="00E454E6"/>
    <w:rsid w:val="00E47A02"/>
    <w:rsid w:val="00E47CC6"/>
    <w:rsid w:val="00E50086"/>
    <w:rsid w:val="00E50423"/>
    <w:rsid w:val="00E50EEB"/>
    <w:rsid w:val="00E51ADD"/>
    <w:rsid w:val="00E52046"/>
    <w:rsid w:val="00E55D46"/>
    <w:rsid w:val="00E569AF"/>
    <w:rsid w:val="00E57555"/>
    <w:rsid w:val="00E60582"/>
    <w:rsid w:val="00E60B4C"/>
    <w:rsid w:val="00E61CFA"/>
    <w:rsid w:val="00E61FB4"/>
    <w:rsid w:val="00E625F9"/>
    <w:rsid w:val="00E6276D"/>
    <w:rsid w:val="00E6348C"/>
    <w:rsid w:val="00E63DE9"/>
    <w:rsid w:val="00E64E9C"/>
    <w:rsid w:val="00E654C1"/>
    <w:rsid w:val="00E6697E"/>
    <w:rsid w:val="00E7084D"/>
    <w:rsid w:val="00E72741"/>
    <w:rsid w:val="00E73C78"/>
    <w:rsid w:val="00E7504C"/>
    <w:rsid w:val="00E75719"/>
    <w:rsid w:val="00E759D5"/>
    <w:rsid w:val="00E76F1B"/>
    <w:rsid w:val="00E76FB8"/>
    <w:rsid w:val="00E77709"/>
    <w:rsid w:val="00E777E3"/>
    <w:rsid w:val="00E779AF"/>
    <w:rsid w:val="00E80534"/>
    <w:rsid w:val="00E8070C"/>
    <w:rsid w:val="00E81523"/>
    <w:rsid w:val="00E81F25"/>
    <w:rsid w:val="00E82907"/>
    <w:rsid w:val="00E83505"/>
    <w:rsid w:val="00E842AE"/>
    <w:rsid w:val="00E84986"/>
    <w:rsid w:val="00E84CD0"/>
    <w:rsid w:val="00E851E3"/>
    <w:rsid w:val="00E867C2"/>
    <w:rsid w:val="00E86C5C"/>
    <w:rsid w:val="00E87AB7"/>
    <w:rsid w:val="00E9059E"/>
    <w:rsid w:val="00E91CAC"/>
    <w:rsid w:val="00E92415"/>
    <w:rsid w:val="00E92725"/>
    <w:rsid w:val="00E92B7F"/>
    <w:rsid w:val="00E93AA8"/>
    <w:rsid w:val="00E9632C"/>
    <w:rsid w:val="00E965E9"/>
    <w:rsid w:val="00E969D2"/>
    <w:rsid w:val="00E97496"/>
    <w:rsid w:val="00E97890"/>
    <w:rsid w:val="00EA01D7"/>
    <w:rsid w:val="00EA072A"/>
    <w:rsid w:val="00EA0AA1"/>
    <w:rsid w:val="00EA1C3C"/>
    <w:rsid w:val="00EA2311"/>
    <w:rsid w:val="00EA2F8E"/>
    <w:rsid w:val="00EA3795"/>
    <w:rsid w:val="00EA3A60"/>
    <w:rsid w:val="00EA5C9F"/>
    <w:rsid w:val="00EA6A5C"/>
    <w:rsid w:val="00EA7351"/>
    <w:rsid w:val="00EA78C1"/>
    <w:rsid w:val="00EA7A5E"/>
    <w:rsid w:val="00EA7D15"/>
    <w:rsid w:val="00EB0060"/>
    <w:rsid w:val="00EB11F3"/>
    <w:rsid w:val="00EB19F6"/>
    <w:rsid w:val="00EB1A0B"/>
    <w:rsid w:val="00EB229B"/>
    <w:rsid w:val="00EB26FD"/>
    <w:rsid w:val="00EB27AD"/>
    <w:rsid w:val="00EB31A5"/>
    <w:rsid w:val="00EB342E"/>
    <w:rsid w:val="00EB3504"/>
    <w:rsid w:val="00EB3E15"/>
    <w:rsid w:val="00EB4131"/>
    <w:rsid w:val="00EB51DB"/>
    <w:rsid w:val="00EB5A00"/>
    <w:rsid w:val="00EB5B76"/>
    <w:rsid w:val="00EB6CF9"/>
    <w:rsid w:val="00EB71DB"/>
    <w:rsid w:val="00EC0B32"/>
    <w:rsid w:val="00EC0BEF"/>
    <w:rsid w:val="00EC1A3F"/>
    <w:rsid w:val="00EC2514"/>
    <w:rsid w:val="00EC2618"/>
    <w:rsid w:val="00EC26F2"/>
    <w:rsid w:val="00EC3A1E"/>
    <w:rsid w:val="00EC417B"/>
    <w:rsid w:val="00EC4A1E"/>
    <w:rsid w:val="00EC4BB9"/>
    <w:rsid w:val="00EC585E"/>
    <w:rsid w:val="00EC769F"/>
    <w:rsid w:val="00EC7878"/>
    <w:rsid w:val="00ED0DC7"/>
    <w:rsid w:val="00ED0EDE"/>
    <w:rsid w:val="00ED118E"/>
    <w:rsid w:val="00ED2673"/>
    <w:rsid w:val="00ED33AD"/>
    <w:rsid w:val="00ED389B"/>
    <w:rsid w:val="00ED39B0"/>
    <w:rsid w:val="00ED3D04"/>
    <w:rsid w:val="00ED40ED"/>
    <w:rsid w:val="00ED4C69"/>
    <w:rsid w:val="00ED4C72"/>
    <w:rsid w:val="00ED537D"/>
    <w:rsid w:val="00ED5997"/>
    <w:rsid w:val="00ED5B1F"/>
    <w:rsid w:val="00ED6831"/>
    <w:rsid w:val="00ED6BFA"/>
    <w:rsid w:val="00ED6F79"/>
    <w:rsid w:val="00ED78C1"/>
    <w:rsid w:val="00ED7DB5"/>
    <w:rsid w:val="00EE0055"/>
    <w:rsid w:val="00EE0E82"/>
    <w:rsid w:val="00EE1881"/>
    <w:rsid w:val="00EE1AEA"/>
    <w:rsid w:val="00EE30B3"/>
    <w:rsid w:val="00EE5B69"/>
    <w:rsid w:val="00EE6E5D"/>
    <w:rsid w:val="00EE6EED"/>
    <w:rsid w:val="00EF034B"/>
    <w:rsid w:val="00EF036A"/>
    <w:rsid w:val="00EF0764"/>
    <w:rsid w:val="00EF0801"/>
    <w:rsid w:val="00EF0B6F"/>
    <w:rsid w:val="00EF0C87"/>
    <w:rsid w:val="00EF0EC1"/>
    <w:rsid w:val="00EF1B02"/>
    <w:rsid w:val="00EF4DF5"/>
    <w:rsid w:val="00EF4E9A"/>
    <w:rsid w:val="00EF5807"/>
    <w:rsid w:val="00EF5916"/>
    <w:rsid w:val="00EF6E5F"/>
    <w:rsid w:val="00EF72E7"/>
    <w:rsid w:val="00EF7AC0"/>
    <w:rsid w:val="00F00F84"/>
    <w:rsid w:val="00F0131D"/>
    <w:rsid w:val="00F01511"/>
    <w:rsid w:val="00F01990"/>
    <w:rsid w:val="00F01F5A"/>
    <w:rsid w:val="00F021B2"/>
    <w:rsid w:val="00F02973"/>
    <w:rsid w:val="00F039A3"/>
    <w:rsid w:val="00F03B27"/>
    <w:rsid w:val="00F04A4D"/>
    <w:rsid w:val="00F04FEB"/>
    <w:rsid w:val="00F050BE"/>
    <w:rsid w:val="00F053E1"/>
    <w:rsid w:val="00F071D6"/>
    <w:rsid w:val="00F074B3"/>
    <w:rsid w:val="00F07D8D"/>
    <w:rsid w:val="00F101C6"/>
    <w:rsid w:val="00F10E08"/>
    <w:rsid w:val="00F10ECB"/>
    <w:rsid w:val="00F117F2"/>
    <w:rsid w:val="00F11B51"/>
    <w:rsid w:val="00F12145"/>
    <w:rsid w:val="00F124B5"/>
    <w:rsid w:val="00F138A0"/>
    <w:rsid w:val="00F14743"/>
    <w:rsid w:val="00F1562D"/>
    <w:rsid w:val="00F15CD7"/>
    <w:rsid w:val="00F17976"/>
    <w:rsid w:val="00F17AF5"/>
    <w:rsid w:val="00F17B93"/>
    <w:rsid w:val="00F17FF1"/>
    <w:rsid w:val="00F20266"/>
    <w:rsid w:val="00F20500"/>
    <w:rsid w:val="00F20D4D"/>
    <w:rsid w:val="00F2233A"/>
    <w:rsid w:val="00F22965"/>
    <w:rsid w:val="00F22DDC"/>
    <w:rsid w:val="00F230CC"/>
    <w:rsid w:val="00F2346C"/>
    <w:rsid w:val="00F2367D"/>
    <w:rsid w:val="00F24920"/>
    <w:rsid w:val="00F24DC7"/>
    <w:rsid w:val="00F2530A"/>
    <w:rsid w:val="00F274FE"/>
    <w:rsid w:val="00F27569"/>
    <w:rsid w:val="00F27F5F"/>
    <w:rsid w:val="00F3066C"/>
    <w:rsid w:val="00F30CDC"/>
    <w:rsid w:val="00F3163A"/>
    <w:rsid w:val="00F31C98"/>
    <w:rsid w:val="00F3233D"/>
    <w:rsid w:val="00F32CF1"/>
    <w:rsid w:val="00F32E76"/>
    <w:rsid w:val="00F32FB4"/>
    <w:rsid w:val="00F34D65"/>
    <w:rsid w:val="00F3714E"/>
    <w:rsid w:val="00F371B4"/>
    <w:rsid w:val="00F37B6E"/>
    <w:rsid w:val="00F400C3"/>
    <w:rsid w:val="00F410EF"/>
    <w:rsid w:val="00F41880"/>
    <w:rsid w:val="00F41997"/>
    <w:rsid w:val="00F42501"/>
    <w:rsid w:val="00F42F60"/>
    <w:rsid w:val="00F434F8"/>
    <w:rsid w:val="00F450EF"/>
    <w:rsid w:val="00F4561C"/>
    <w:rsid w:val="00F46785"/>
    <w:rsid w:val="00F46EE4"/>
    <w:rsid w:val="00F470CD"/>
    <w:rsid w:val="00F47DA6"/>
    <w:rsid w:val="00F5060D"/>
    <w:rsid w:val="00F50ABF"/>
    <w:rsid w:val="00F50C97"/>
    <w:rsid w:val="00F51684"/>
    <w:rsid w:val="00F5174D"/>
    <w:rsid w:val="00F53FFC"/>
    <w:rsid w:val="00F55090"/>
    <w:rsid w:val="00F55265"/>
    <w:rsid w:val="00F5536F"/>
    <w:rsid w:val="00F57075"/>
    <w:rsid w:val="00F60A53"/>
    <w:rsid w:val="00F60CE2"/>
    <w:rsid w:val="00F6154E"/>
    <w:rsid w:val="00F61EAB"/>
    <w:rsid w:val="00F620DA"/>
    <w:rsid w:val="00F627F7"/>
    <w:rsid w:val="00F62C8C"/>
    <w:rsid w:val="00F641FE"/>
    <w:rsid w:val="00F644F6"/>
    <w:rsid w:val="00F64DF0"/>
    <w:rsid w:val="00F6540B"/>
    <w:rsid w:val="00F654B9"/>
    <w:rsid w:val="00F65BB9"/>
    <w:rsid w:val="00F665BA"/>
    <w:rsid w:val="00F6689E"/>
    <w:rsid w:val="00F6693F"/>
    <w:rsid w:val="00F66FC2"/>
    <w:rsid w:val="00F673B9"/>
    <w:rsid w:val="00F67854"/>
    <w:rsid w:val="00F70115"/>
    <w:rsid w:val="00F723D2"/>
    <w:rsid w:val="00F728C1"/>
    <w:rsid w:val="00F73907"/>
    <w:rsid w:val="00F74312"/>
    <w:rsid w:val="00F74A70"/>
    <w:rsid w:val="00F753F1"/>
    <w:rsid w:val="00F75673"/>
    <w:rsid w:val="00F76EE8"/>
    <w:rsid w:val="00F76FCE"/>
    <w:rsid w:val="00F773AC"/>
    <w:rsid w:val="00F77A8F"/>
    <w:rsid w:val="00F80052"/>
    <w:rsid w:val="00F8284C"/>
    <w:rsid w:val="00F82B72"/>
    <w:rsid w:val="00F82E5D"/>
    <w:rsid w:val="00F83446"/>
    <w:rsid w:val="00F83EE0"/>
    <w:rsid w:val="00F844CC"/>
    <w:rsid w:val="00F85788"/>
    <w:rsid w:val="00F85B48"/>
    <w:rsid w:val="00F85CE0"/>
    <w:rsid w:val="00F85E00"/>
    <w:rsid w:val="00F860F8"/>
    <w:rsid w:val="00F86A1A"/>
    <w:rsid w:val="00F87844"/>
    <w:rsid w:val="00F90262"/>
    <w:rsid w:val="00F908C3"/>
    <w:rsid w:val="00F90DD9"/>
    <w:rsid w:val="00F91056"/>
    <w:rsid w:val="00F91D57"/>
    <w:rsid w:val="00F92106"/>
    <w:rsid w:val="00F92129"/>
    <w:rsid w:val="00F9344B"/>
    <w:rsid w:val="00F93633"/>
    <w:rsid w:val="00F93CEB"/>
    <w:rsid w:val="00F953EB"/>
    <w:rsid w:val="00F95D5B"/>
    <w:rsid w:val="00F95DC3"/>
    <w:rsid w:val="00F966DC"/>
    <w:rsid w:val="00F96E37"/>
    <w:rsid w:val="00F9794A"/>
    <w:rsid w:val="00FA0499"/>
    <w:rsid w:val="00FA0975"/>
    <w:rsid w:val="00FA1ACD"/>
    <w:rsid w:val="00FA2031"/>
    <w:rsid w:val="00FA25B9"/>
    <w:rsid w:val="00FA2836"/>
    <w:rsid w:val="00FA2974"/>
    <w:rsid w:val="00FA2B70"/>
    <w:rsid w:val="00FA2D5F"/>
    <w:rsid w:val="00FA3192"/>
    <w:rsid w:val="00FA3AE6"/>
    <w:rsid w:val="00FA4854"/>
    <w:rsid w:val="00FA4FE7"/>
    <w:rsid w:val="00FA5210"/>
    <w:rsid w:val="00FA52FD"/>
    <w:rsid w:val="00FA5A0C"/>
    <w:rsid w:val="00FA681D"/>
    <w:rsid w:val="00FA6C03"/>
    <w:rsid w:val="00FA6C42"/>
    <w:rsid w:val="00FA7CFF"/>
    <w:rsid w:val="00FB0848"/>
    <w:rsid w:val="00FB0D20"/>
    <w:rsid w:val="00FB0EDE"/>
    <w:rsid w:val="00FB1512"/>
    <w:rsid w:val="00FB166B"/>
    <w:rsid w:val="00FB1CBF"/>
    <w:rsid w:val="00FB32AE"/>
    <w:rsid w:val="00FB5034"/>
    <w:rsid w:val="00FB50C5"/>
    <w:rsid w:val="00FB5A82"/>
    <w:rsid w:val="00FB5B25"/>
    <w:rsid w:val="00FB69A8"/>
    <w:rsid w:val="00FB7DE8"/>
    <w:rsid w:val="00FC0D01"/>
    <w:rsid w:val="00FC21DD"/>
    <w:rsid w:val="00FC268A"/>
    <w:rsid w:val="00FC276A"/>
    <w:rsid w:val="00FC2BAD"/>
    <w:rsid w:val="00FC3D42"/>
    <w:rsid w:val="00FC3EA3"/>
    <w:rsid w:val="00FC3EAA"/>
    <w:rsid w:val="00FC437A"/>
    <w:rsid w:val="00FC4A54"/>
    <w:rsid w:val="00FC4C95"/>
    <w:rsid w:val="00FC551C"/>
    <w:rsid w:val="00FC5DC6"/>
    <w:rsid w:val="00FC6C9C"/>
    <w:rsid w:val="00FC7623"/>
    <w:rsid w:val="00FC7F54"/>
    <w:rsid w:val="00FD0668"/>
    <w:rsid w:val="00FD09F9"/>
    <w:rsid w:val="00FD0C39"/>
    <w:rsid w:val="00FD1D56"/>
    <w:rsid w:val="00FD1F9A"/>
    <w:rsid w:val="00FD20A5"/>
    <w:rsid w:val="00FD22B9"/>
    <w:rsid w:val="00FD2776"/>
    <w:rsid w:val="00FD2A22"/>
    <w:rsid w:val="00FD3566"/>
    <w:rsid w:val="00FD3661"/>
    <w:rsid w:val="00FD3BFC"/>
    <w:rsid w:val="00FD4AA8"/>
    <w:rsid w:val="00FD50FD"/>
    <w:rsid w:val="00FD5C6E"/>
    <w:rsid w:val="00FD5E09"/>
    <w:rsid w:val="00FD70E6"/>
    <w:rsid w:val="00FE030E"/>
    <w:rsid w:val="00FE0570"/>
    <w:rsid w:val="00FE1515"/>
    <w:rsid w:val="00FE18B9"/>
    <w:rsid w:val="00FE195E"/>
    <w:rsid w:val="00FE218E"/>
    <w:rsid w:val="00FE2A06"/>
    <w:rsid w:val="00FE2B8E"/>
    <w:rsid w:val="00FE2CD1"/>
    <w:rsid w:val="00FE3269"/>
    <w:rsid w:val="00FE3650"/>
    <w:rsid w:val="00FE3959"/>
    <w:rsid w:val="00FE438B"/>
    <w:rsid w:val="00FE58D1"/>
    <w:rsid w:val="00FE5A71"/>
    <w:rsid w:val="00FE6489"/>
    <w:rsid w:val="00FE70C4"/>
    <w:rsid w:val="00FE7291"/>
    <w:rsid w:val="00FE767F"/>
    <w:rsid w:val="00FE7687"/>
    <w:rsid w:val="00FF00B0"/>
    <w:rsid w:val="00FF0B9A"/>
    <w:rsid w:val="00FF0EEA"/>
    <w:rsid w:val="00FF1B44"/>
    <w:rsid w:val="00FF2313"/>
    <w:rsid w:val="00FF2495"/>
    <w:rsid w:val="00FF2991"/>
    <w:rsid w:val="00FF29BC"/>
    <w:rsid w:val="00FF2C7D"/>
    <w:rsid w:val="00FF2E09"/>
    <w:rsid w:val="00FF31F7"/>
    <w:rsid w:val="00FF4721"/>
    <w:rsid w:val="00FF518A"/>
    <w:rsid w:val="00FF5690"/>
    <w:rsid w:val="00FF65C4"/>
    <w:rsid w:val="00FF6B9F"/>
    <w:rsid w:val="00FF7C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195"/>
  <w15:chartTrackingRefBased/>
  <w15:docId w15:val="{E71C6E85-C0CD-F648-BD8B-08B8515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490"/>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C,ft,FA Fu?notentext"/>
    <w:basedOn w:val="Normal"/>
    <w:link w:val="TextonotapieCar"/>
    <w:uiPriority w:val="99"/>
    <w:unhideWhenUsed/>
    <w:qFormat/>
    <w:rsid w:val="00CF7880"/>
    <w:rPr>
      <w:rFonts w:eastAsiaTheme="minorHAns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qFormat/>
    <w:rsid w:val="00CF7880"/>
    <w:rPr>
      <w:rFonts w:eastAsiaTheme="minorHAnsi"/>
      <w:sz w:val="20"/>
      <w:szCs w:val="20"/>
      <w:lang w:eastAsia="en-US"/>
    </w:rPr>
  </w:style>
  <w:style w:type="character" w:styleId="Refdenotaalpie">
    <w:name w:val="footnote reference"/>
    <w:aliases w:val="Footnotes refss,Texto de nota al pie,Appel note de bas de page,Footnote number,referencia nota al pie,BVI fnr,f,Ref. de nota al pie.,Footnote symbol,Footnote,4_G,16 Point,Superscript 6 Point,Texto nota al pie,Ref,de nota al pie,norma"/>
    <w:basedOn w:val="Fuentedeprrafopredeter"/>
    <w:link w:val="FootnotesrefssChar1Char"/>
    <w:uiPriority w:val="99"/>
    <w:unhideWhenUsed/>
    <w:qFormat/>
    <w:rsid w:val="00CF7880"/>
    <w:rPr>
      <w:vertAlign w:val="superscript"/>
    </w:rPr>
  </w:style>
  <w:style w:type="character" w:customStyle="1" w:styleId="s1">
    <w:name w:val="s1"/>
    <w:basedOn w:val="Fuentedeprrafopredeter"/>
    <w:rsid w:val="00AD7E91"/>
    <w:rPr>
      <w:rFonts w:ascii="UICTFontTextStyleBody" w:hAnsi="UICTFontTextStyleBody" w:hint="default"/>
      <w:b w:val="0"/>
      <w:bCs w:val="0"/>
      <w:i w:val="0"/>
      <w:iCs w:val="0"/>
      <w:sz w:val="29"/>
      <w:szCs w:val="29"/>
    </w:rPr>
  </w:style>
  <w:style w:type="paragraph" w:styleId="Textodeglobo">
    <w:name w:val="Balloon Text"/>
    <w:basedOn w:val="Normal"/>
    <w:link w:val="TextodegloboCar"/>
    <w:uiPriority w:val="99"/>
    <w:semiHidden/>
    <w:unhideWhenUsed/>
    <w:rsid w:val="005275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75D3"/>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25779D"/>
    <w:rPr>
      <w:sz w:val="16"/>
      <w:szCs w:val="16"/>
    </w:rPr>
  </w:style>
  <w:style w:type="paragraph" w:styleId="Textocomentario">
    <w:name w:val="annotation text"/>
    <w:basedOn w:val="Normal"/>
    <w:link w:val="TextocomentarioCar"/>
    <w:uiPriority w:val="99"/>
    <w:semiHidden/>
    <w:unhideWhenUsed/>
    <w:rsid w:val="0025779D"/>
    <w:rPr>
      <w:sz w:val="20"/>
      <w:szCs w:val="20"/>
    </w:rPr>
  </w:style>
  <w:style w:type="character" w:customStyle="1" w:styleId="TextocomentarioCar">
    <w:name w:val="Texto comentario Car"/>
    <w:basedOn w:val="Fuentedeprrafopredeter"/>
    <w:link w:val="Textocomentario"/>
    <w:uiPriority w:val="99"/>
    <w:semiHidden/>
    <w:rsid w:val="0025779D"/>
    <w:rPr>
      <w:sz w:val="20"/>
      <w:szCs w:val="20"/>
    </w:rPr>
  </w:style>
  <w:style w:type="paragraph" w:styleId="Asuntodelcomentario">
    <w:name w:val="annotation subject"/>
    <w:basedOn w:val="Textocomentario"/>
    <w:next w:val="Textocomentario"/>
    <w:link w:val="AsuntodelcomentarioCar"/>
    <w:uiPriority w:val="99"/>
    <w:semiHidden/>
    <w:unhideWhenUsed/>
    <w:rsid w:val="0025779D"/>
    <w:rPr>
      <w:b/>
      <w:bCs/>
    </w:rPr>
  </w:style>
  <w:style w:type="character" w:customStyle="1" w:styleId="AsuntodelcomentarioCar">
    <w:name w:val="Asunto del comentario Car"/>
    <w:basedOn w:val="TextocomentarioCar"/>
    <w:link w:val="Asuntodelcomentario"/>
    <w:uiPriority w:val="99"/>
    <w:semiHidden/>
    <w:rsid w:val="0025779D"/>
    <w:rPr>
      <w:b/>
      <w:bCs/>
      <w:sz w:val="20"/>
      <w:szCs w:val="20"/>
    </w:rPr>
  </w:style>
  <w:style w:type="paragraph" w:customStyle="1" w:styleId="p1">
    <w:name w:val="p1"/>
    <w:basedOn w:val="Normal"/>
    <w:rsid w:val="00641A13"/>
    <w:rPr>
      <w:rFonts w:ascii=".AppleSystemUIFont" w:hAnsi=".AppleSystemUIFont" w:cs="Times New Roman"/>
      <w:sz w:val="29"/>
      <w:szCs w:val="29"/>
    </w:rPr>
  </w:style>
  <w:style w:type="character" w:customStyle="1" w:styleId="apple-converted-space">
    <w:name w:val="apple-converted-space"/>
    <w:basedOn w:val="Fuentedeprrafopredeter"/>
    <w:rsid w:val="00347690"/>
  </w:style>
  <w:style w:type="character" w:styleId="Hipervnculo">
    <w:name w:val="Hyperlink"/>
    <w:basedOn w:val="Fuentedeprrafopredeter"/>
    <w:uiPriority w:val="99"/>
    <w:unhideWhenUsed/>
    <w:rsid w:val="00CA5192"/>
    <w:rPr>
      <w:color w:val="0563C1" w:themeColor="hyperlink"/>
      <w:u w:val="single"/>
    </w:rPr>
  </w:style>
  <w:style w:type="paragraph" w:styleId="Encabezado">
    <w:name w:val="header"/>
    <w:basedOn w:val="Normal"/>
    <w:link w:val="EncabezadoCar"/>
    <w:uiPriority w:val="99"/>
    <w:unhideWhenUsed/>
    <w:rsid w:val="00996E39"/>
    <w:pPr>
      <w:tabs>
        <w:tab w:val="center" w:pos="4252"/>
        <w:tab w:val="right" w:pos="8504"/>
      </w:tabs>
    </w:pPr>
  </w:style>
  <w:style w:type="character" w:customStyle="1" w:styleId="EncabezadoCar">
    <w:name w:val="Encabezado Car"/>
    <w:basedOn w:val="Fuentedeprrafopredeter"/>
    <w:link w:val="Encabezado"/>
    <w:uiPriority w:val="99"/>
    <w:rsid w:val="00996E39"/>
  </w:style>
  <w:style w:type="paragraph" w:styleId="Piedepgina">
    <w:name w:val="footer"/>
    <w:basedOn w:val="Normal"/>
    <w:link w:val="PiedepginaCar"/>
    <w:uiPriority w:val="99"/>
    <w:unhideWhenUsed/>
    <w:rsid w:val="00996E39"/>
    <w:pPr>
      <w:tabs>
        <w:tab w:val="center" w:pos="4252"/>
        <w:tab w:val="right" w:pos="8504"/>
      </w:tabs>
    </w:pPr>
  </w:style>
  <w:style w:type="character" w:customStyle="1" w:styleId="PiedepginaCar">
    <w:name w:val="Pie de página Car"/>
    <w:basedOn w:val="Fuentedeprrafopredeter"/>
    <w:link w:val="Piedepgina"/>
    <w:uiPriority w:val="99"/>
    <w:rsid w:val="00996E39"/>
  </w:style>
  <w:style w:type="paragraph" w:customStyle="1" w:styleId="Numberedparagraphs">
    <w:name w:val="Numbered paragraphs"/>
    <w:basedOn w:val="Normal"/>
    <w:link w:val="NumberedparagraphsCar"/>
    <w:qFormat/>
    <w:rsid w:val="000738C2"/>
    <w:pPr>
      <w:numPr>
        <w:numId w:val="11"/>
      </w:numPr>
      <w:jc w:val="both"/>
    </w:pPr>
    <w:rPr>
      <w:rFonts w:ascii="Verdana" w:eastAsia="MS Mincho" w:hAnsi="Verdana" w:cs="Times New Roman"/>
      <w:color w:val="000000"/>
      <w:sz w:val="20"/>
      <w:szCs w:val="20"/>
      <w:lang w:val="es-ES_tradnl" w:eastAsia="en-US"/>
    </w:rPr>
  </w:style>
  <w:style w:type="character" w:customStyle="1" w:styleId="NumberedparagraphsCar">
    <w:name w:val="Numbered paragraphs Car"/>
    <w:basedOn w:val="Fuentedeprrafopredeter"/>
    <w:link w:val="Numberedparagraphs"/>
    <w:rsid w:val="000738C2"/>
    <w:rPr>
      <w:rFonts w:ascii="Verdana" w:eastAsia="MS Mincho" w:hAnsi="Verdana" w:cs="Times New Roman"/>
      <w:color w:val="000000"/>
      <w:sz w:val="20"/>
      <w:szCs w:val="20"/>
      <w:lang w:val="es-ES_tradnl" w:eastAsia="en-US"/>
    </w:rPr>
  </w:style>
  <w:style w:type="character" w:styleId="Nmerodepgina">
    <w:name w:val="page number"/>
    <w:basedOn w:val="Fuentedeprrafopredeter"/>
    <w:uiPriority w:val="99"/>
    <w:semiHidden/>
    <w:unhideWhenUsed/>
    <w:rsid w:val="004A3758"/>
  </w:style>
  <w:style w:type="paragraph" w:styleId="Revisin">
    <w:name w:val="Revision"/>
    <w:hidden/>
    <w:uiPriority w:val="99"/>
    <w:semiHidden/>
    <w:rsid w:val="001F65E1"/>
  </w:style>
  <w:style w:type="paragraph" w:customStyle="1" w:styleId="PrrafodeSentencia">
    <w:name w:val="*. Párrafo de Sentencia"/>
    <w:basedOn w:val="Normal"/>
    <w:next w:val="Normal"/>
    <w:link w:val="PrrafodeSentenciaChar"/>
    <w:qFormat/>
    <w:rsid w:val="002070EC"/>
    <w:pPr>
      <w:numPr>
        <w:numId w:val="20"/>
      </w:numPr>
      <w:tabs>
        <w:tab w:val="left" w:pos="567"/>
      </w:tabs>
      <w:spacing w:before="240" w:after="240"/>
      <w:ind w:left="0" w:firstLine="0"/>
      <w:jc w:val="both"/>
    </w:pPr>
    <w:rPr>
      <w:rFonts w:ascii="Verdana" w:eastAsia="Batang" w:hAnsi="Verdana"/>
      <w:spacing w:val="-4"/>
      <w:sz w:val="20"/>
      <w:lang w:val="es-CR" w:eastAsia="es-MX"/>
    </w:rPr>
  </w:style>
  <w:style w:type="character" w:customStyle="1" w:styleId="PrrafodeSentenciaChar">
    <w:name w:val="*. Párrafo de Sentencia Char"/>
    <w:link w:val="PrrafodeSentencia"/>
    <w:locked/>
    <w:rsid w:val="002070EC"/>
    <w:rPr>
      <w:rFonts w:ascii="Verdana" w:eastAsia="Batang" w:hAnsi="Verdana"/>
      <w:spacing w:val="-4"/>
      <w:sz w:val="20"/>
      <w:lang w:val="es-CR"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2070EC"/>
    <w:pPr>
      <w:spacing w:after="160" w:line="240" w:lineRule="exact"/>
      <w:jc w:val="both"/>
    </w:pPr>
    <w:rPr>
      <w:vertAlign w:val="superscript"/>
    </w:rPr>
  </w:style>
  <w:style w:type="character" w:customStyle="1" w:styleId="s7">
    <w:name w:val="s7"/>
    <w:basedOn w:val="Fuentedeprrafopredeter"/>
    <w:rsid w:val="00670662"/>
  </w:style>
  <w:style w:type="character" w:customStyle="1" w:styleId="s2">
    <w:name w:val="s2"/>
    <w:basedOn w:val="Fuentedeprrafopredeter"/>
    <w:rsid w:val="00976191"/>
    <w:rPr>
      <w:rFonts w:ascii="UICTFontTextStyleEmphasizedBody" w:hAnsi="UICTFontTextStyleEmphasizedBody" w:hint="default"/>
      <w:b/>
      <w:bCs/>
      <w:i w:val="0"/>
      <w:iCs w:val="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4645">
      <w:bodyDiv w:val="1"/>
      <w:marLeft w:val="0"/>
      <w:marRight w:val="0"/>
      <w:marTop w:val="0"/>
      <w:marBottom w:val="0"/>
      <w:divBdr>
        <w:top w:val="none" w:sz="0" w:space="0" w:color="auto"/>
        <w:left w:val="none" w:sz="0" w:space="0" w:color="auto"/>
        <w:bottom w:val="none" w:sz="0" w:space="0" w:color="auto"/>
        <w:right w:val="none" w:sz="0" w:space="0" w:color="auto"/>
      </w:divBdr>
    </w:div>
    <w:div w:id="1335038495">
      <w:bodyDiv w:val="1"/>
      <w:marLeft w:val="0"/>
      <w:marRight w:val="0"/>
      <w:marTop w:val="0"/>
      <w:marBottom w:val="0"/>
      <w:divBdr>
        <w:top w:val="none" w:sz="0" w:space="0" w:color="auto"/>
        <w:left w:val="none" w:sz="0" w:space="0" w:color="auto"/>
        <w:bottom w:val="none" w:sz="0" w:space="0" w:color="auto"/>
        <w:right w:val="none" w:sz="0" w:space="0" w:color="auto"/>
      </w:divBdr>
    </w:div>
    <w:div w:id="1896700491">
      <w:bodyDiv w:val="1"/>
      <w:marLeft w:val="0"/>
      <w:marRight w:val="0"/>
      <w:marTop w:val="0"/>
      <w:marBottom w:val="0"/>
      <w:divBdr>
        <w:top w:val="none" w:sz="0" w:space="0" w:color="auto"/>
        <w:left w:val="none" w:sz="0" w:space="0" w:color="auto"/>
        <w:bottom w:val="none" w:sz="0" w:space="0" w:color="auto"/>
        <w:right w:val="none" w:sz="0" w:space="0" w:color="auto"/>
      </w:divBdr>
    </w:div>
    <w:div w:id="1994210356">
      <w:bodyDiv w:val="1"/>
      <w:marLeft w:val="0"/>
      <w:marRight w:val="0"/>
      <w:marTop w:val="0"/>
      <w:marBottom w:val="0"/>
      <w:divBdr>
        <w:top w:val="none" w:sz="0" w:space="0" w:color="auto"/>
        <w:left w:val="none" w:sz="0" w:space="0" w:color="auto"/>
        <w:bottom w:val="none" w:sz="0" w:space="0" w:color="auto"/>
        <w:right w:val="none" w:sz="0" w:space="0" w:color="auto"/>
      </w:divBdr>
      <w:divsChild>
        <w:div w:id="1130981233">
          <w:marLeft w:val="0"/>
          <w:marRight w:val="0"/>
          <w:marTop w:val="0"/>
          <w:marBottom w:val="0"/>
          <w:divBdr>
            <w:top w:val="none" w:sz="0" w:space="0" w:color="auto"/>
            <w:left w:val="none" w:sz="0" w:space="0" w:color="auto"/>
            <w:bottom w:val="none" w:sz="0" w:space="0" w:color="auto"/>
            <w:right w:val="none" w:sz="0" w:space="0" w:color="auto"/>
          </w:divBdr>
        </w:div>
        <w:div w:id="48193039">
          <w:marLeft w:val="0"/>
          <w:marRight w:val="0"/>
          <w:marTop w:val="0"/>
          <w:marBottom w:val="0"/>
          <w:divBdr>
            <w:top w:val="none" w:sz="0" w:space="0" w:color="auto"/>
            <w:left w:val="none" w:sz="0" w:space="0" w:color="auto"/>
            <w:bottom w:val="none" w:sz="0" w:space="0" w:color="auto"/>
            <w:right w:val="none" w:sz="0" w:space="0" w:color="auto"/>
          </w:divBdr>
        </w:div>
        <w:div w:id="11497206">
          <w:marLeft w:val="0"/>
          <w:marRight w:val="0"/>
          <w:marTop w:val="0"/>
          <w:marBottom w:val="0"/>
          <w:divBdr>
            <w:top w:val="none" w:sz="0" w:space="0" w:color="auto"/>
            <w:left w:val="none" w:sz="0" w:space="0" w:color="auto"/>
            <w:bottom w:val="none" w:sz="0" w:space="0" w:color="auto"/>
            <w:right w:val="none" w:sz="0" w:space="0" w:color="auto"/>
          </w:divBdr>
        </w:div>
        <w:div w:id="1866017354">
          <w:marLeft w:val="0"/>
          <w:marRight w:val="0"/>
          <w:marTop w:val="0"/>
          <w:marBottom w:val="0"/>
          <w:divBdr>
            <w:top w:val="none" w:sz="0" w:space="0" w:color="auto"/>
            <w:left w:val="none" w:sz="0" w:space="0" w:color="auto"/>
            <w:bottom w:val="none" w:sz="0" w:space="0" w:color="auto"/>
            <w:right w:val="none" w:sz="0" w:space="0" w:color="auto"/>
          </w:divBdr>
        </w:div>
        <w:div w:id="1542665176">
          <w:marLeft w:val="0"/>
          <w:marRight w:val="0"/>
          <w:marTop w:val="0"/>
          <w:marBottom w:val="0"/>
          <w:divBdr>
            <w:top w:val="none" w:sz="0" w:space="0" w:color="auto"/>
            <w:left w:val="none" w:sz="0" w:space="0" w:color="auto"/>
            <w:bottom w:val="none" w:sz="0" w:space="0" w:color="auto"/>
            <w:right w:val="none" w:sz="0" w:space="0" w:color="auto"/>
          </w:divBdr>
        </w:div>
        <w:div w:id="44909626">
          <w:marLeft w:val="0"/>
          <w:marRight w:val="0"/>
          <w:marTop w:val="0"/>
          <w:marBottom w:val="0"/>
          <w:divBdr>
            <w:top w:val="none" w:sz="0" w:space="0" w:color="auto"/>
            <w:left w:val="none" w:sz="0" w:space="0" w:color="auto"/>
            <w:bottom w:val="none" w:sz="0" w:space="0" w:color="auto"/>
            <w:right w:val="none" w:sz="0" w:space="0" w:color="auto"/>
          </w:divBdr>
        </w:div>
      </w:divsChild>
    </w:div>
    <w:div w:id="2045447790">
      <w:bodyDiv w:val="1"/>
      <w:marLeft w:val="0"/>
      <w:marRight w:val="0"/>
      <w:marTop w:val="0"/>
      <w:marBottom w:val="0"/>
      <w:divBdr>
        <w:top w:val="none" w:sz="0" w:space="0" w:color="auto"/>
        <w:left w:val="none" w:sz="0" w:space="0" w:color="auto"/>
        <w:bottom w:val="none" w:sz="0" w:space="0" w:color="auto"/>
        <w:right w:val="none" w:sz="0" w:space="0" w:color="auto"/>
      </w:divBdr>
      <w:divsChild>
        <w:div w:id="199559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EAD4-D3FF-4338-BB5C-464ED025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4320</Words>
  <Characters>23766</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2023-01-18T00:00:00Z</cp:lastPrinted>
  <dcterms:created xsi:type="dcterms:W3CDTF">2023-11-27T22:34:00Z</dcterms:created>
  <dcterms:modified xsi:type="dcterms:W3CDTF">2023-11-27T22:34:00Z</dcterms:modified>
</cp:coreProperties>
</file>