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08476" w14:textId="77777777" w:rsidR="00753DBE" w:rsidRDefault="00753DBE" w:rsidP="00753DBE">
      <w:pPr>
        <w:tabs>
          <w:tab w:val="left" w:pos="720"/>
        </w:tabs>
        <w:spacing w:line="240" w:lineRule="auto"/>
        <w:ind w:right="-90"/>
        <w:rPr>
          <w:rFonts w:eastAsia="MS Mincho"/>
          <w:lang w:val="pt-BR" w:bidi="en-US"/>
        </w:rPr>
      </w:pPr>
    </w:p>
    <w:p w14:paraId="6BC5441C" w14:textId="77777777" w:rsidR="0053228D" w:rsidRPr="00113360" w:rsidRDefault="0053228D" w:rsidP="00753DBE">
      <w:pPr>
        <w:tabs>
          <w:tab w:val="left" w:pos="720"/>
        </w:tabs>
        <w:spacing w:line="240" w:lineRule="auto"/>
        <w:ind w:right="-90"/>
        <w:rPr>
          <w:rFonts w:eastAsia="MS Mincho"/>
          <w:lang w:val="pt-BR" w:bidi="en-US"/>
        </w:rPr>
      </w:pPr>
    </w:p>
    <w:p w14:paraId="1478C656" w14:textId="77777777" w:rsidR="002B1C30" w:rsidRPr="00113360" w:rsidRDefault="002B1C30" w:rsidP="00753DBE">
      <w:pPr>
        <w:tabs>
          <w:tab w:val="left" w:pos="720"/>
        </w:tabs>
        <w:spacing w:line="240" w:lineRule="auto"/>
        <w:ind w:right="-90"/>
        <w:rPr>
          <w:rFonts w:eastAsia="MS Mincho"/>
          <w:lang w:val="pt-BR" w:bidi="en-US"/>
        </w:rPr>
      </w:pPr>
    </w:p>
    <w:p w14:paraId="4F324B30" w14:textId="6B35F32D" w:rsidR="002B1C30" w:rsidRPr="00113360" w:rsidRDefault="00113360" w:rsidP="002B1C30">
      <w:pPr>
        <w:jc w:val="center"/>
        <w:rPr>
          <w:b/>
          <w:bCs/>
          <w:lang w:val="pt-BR"/>
        </w:rPr>
      </w:pPr>
      <w:r>
        <w:rPr>
          <w:b/>
          <w:bCs/>
          <w:lang w:val="pt-BR"/>
        </w:rPr>
        <w:t>VOTO</w:t>
      </w:r>
      <w:r w:rsidR="002B1C30" w:rsidRPr="00113360">
        <w:rPr>
          <w:b/>
          <w:bCs/>
          <w:lang w:val="pt-BR"/>
        </w:rPr>
        <w:t xml:space="preserve"> </w:t>
      </w:r>
      <w:r w:rsidR="00D27F8C" w:rsidRPr="00113360">
        <w:rPr>
          <w:b/>
          <w:bCs/>
          <w:lang w:val="pt-BR"/>
        </w:rPr>
        <w:t>PARCIALMENTE DI</w:t>
      </w:r>
      <w:r w:rsidR="0065381F" w:rsidRPr="00113360">
        <w:rPr>
          <w:b/>
          <w:bCs/>
          <w:lang w:val="pt-BR"/>
        </w:rPr>
        <w:t>S</w:t>
      </w:r>
      <w:r w:rsidR="00D27F8C" w:rsidRPr="00113360">
        <w:rPr>
          <w:b/>
          <w:bCs/>
          <w:lang w:val="pt-BR"/>
        </w:rPr>
        <w:t>SIDENTE</w:t>
      </w:r>
      <w:r w:rsidR="002B1C30" w:rsidRPr="00113360">
        <w:rPr>
          <w:b/>
          <w:bCs/>
          <w:lang w:val="pt-BR"/>
        </w:rPr>
        <w:t xml:space="preserve"> DA JU</w:t>
      </w:r>
      <w:r w:rsidR="0065381F" w:rsidRPr="00113360">
        <w:rPr>
          <w:b/>
          <w:bCs/>
          <w:lang w:val="pt-BR"/>
        </w:rPr>
        <w:t>Í</w:t>
      </w:r>
      <w:r w:rsidR="002B1C30" w:rsidRPr="00113360">
        <w:rPr>
          <w:b/>
          <w:bCs/>
          <w:lang w:val="pt-BR"/>
        </w:rPr>
        <w:t>ZA VERÓNICA GÓMEZ</w:t>
      </w:r>
    </w:p>
    <w:p w14:paraId="2F535DAC" w14:textId="1C35533E" w:rsidR="002B1C30" w:rsidRPr="00113360" w:rsidRDefault="002B1C30" w:rsidP="002B1C30">
      <w:pPr>
        <w:jc w:val="center"/>
        <w:rPr>
          <w:b/>
          <w:bCs/>
          <w:lang w:val="pt-BR"/>
        </w:rPr>
      </w:pPr>
      <w:r w:rsidRPr="00113360">
        <w:rPr>
          <w:b/>
          <w:bCs/>
          <w:lang w:val="pt-BR"/>
        </w:rPr>
        <w:t xml:space="preserve">CASO </w:t>
      </w:r>
      <w:r w:rsidR="00821336" w:rsidRPr="00113360">
        <w:rPr>
          <w:b/>
          <w:bCs/>
          <w:lang w:val="pt-BR"/>
        </w:rPr>
        <w:t xml:space="preserve">COMUNIDADES </w:t>
      </w:r>
      <w:r w:rsidRPr="00113360">
        <w:rPr>
          <w:b/>
          <w:bCs/>
          <w:lang w:val="pt-BR"/>
        </w:rPr>
        <w:t>Q</w:t>
      </w:r>
      <w:r w:rsidR="006B6892" w:rsidRPr="00113360">
        <w:rPr>
          <w:b/>
          <w:bCs/>
          <w:lang w:val="pt-BR"/>
        </w:rPr>
        <w:t>U</w:t>
      </w:r>
      <w:r w:rsidRPr="00113360">
        <w:rPr>
          <w:b/>
          <w:bCs/>
          <w:lang w:val="pt-BR"/>
        </w:rPr>
        <w:t xml:space="preserve">ILOMBOLAS DE </w:t>
      </w:r>
      <w:r w:rsidR="006B6892" w:rsidRPr="00113360">
        <w:rPr>
          <w:b/>
          <w:bCs/>
          <w:lang w:val="pt-BR"/>
        </w:rPr>
        <w:t>ALCÂNTARA</w:t>
      </w:r>
      <w:r w:rsidRPr="00113360">
        <w:rPr>
          <w:b/>
          <w:bCs/>
          <w:lang w:val="pt-BR"/>
        </w:rPr>
        <w:t xml:space="preserve"> V</w:t>
      </w:r>
      <w:r w:rsidR="00ED051B">
        <w:rPr>
          <w:b/>
          <w:bCs/>
          <w:lang w:val="pt-BR"/>
        </w:rPr>
        <w:t>S</w:t>
      </w:r>
      <w:r w:rsidRPr="00113360">
        <w:rPr>
          <w:b/>
          <w:bCs/>
          <w:lang w:val="pt-BR"/>
        </w:rPr>
        <w:t>. BRASIL</w:t>
      </w:r>
    </w:p>
    <w:p w14:paraId="39E9B3CA" w14:textId="77777777" w:rsidR="002B1C30" w:rsidRPr="00113360" w:rsidRDefault="002B1C30" w:rsidP="00753DBE">
      <w:pPr>
        <w:tabs>
          <w:tab w:val="left" w:pos="720"/>
        </w:tabs>
        <w:spacing w:line="240" w:lineRule="auto"/>
        <w:ind w:right="-90"/>
        <w:rPr>
          <w:rFonts w:eastAsia="MS Mincho"/>
          <w:lang w:val="pt-BR" w:bidi="en-US"/>
        </w:rPr>
      </w:pPr>
    </w:p>
    <w:p w14:paraId="6C018CC7" w14:textId="77777777" w:rsidR="002B1C30" w:rsidRPr="00113360" w:rsidRDefault="002B1C30" w:rsidP="00753DBE">
      <w:pPr>
        <w:tabs>
          <w:tab w:val="left" w:pos="720"/>
        </w:tabs>
        <w:spacing w:line="240" w:lineRule="auto"/>
        <w:ind w:right="-90"/>
        <w:rPr>
          <w:rFonts w:eastAsia="MS Mincho"/>
          <w:lang w:val="pt-BR" w:bidi="en-US"/>
        </w:rPr>
      </w:pPr>
    </w:p>
    <w:p w14:paraId="0535C3B0" w14:textId="2D506F53" w:rsidR="002B1C30" w:rsidRPr="00113360" w:rsidRDefault="006E291F" w:rsidP="00A402EE">
      <w:pPr>
        <w:numPr>
          <w:ilvl w:val="0"/>
          <w:numId w:val="2"/>
        </w:numPr>
        <w:tabs>
          <w:tab w:val="left" w:pos="567"/>
        </w:tabs>
        <w:spacing w:line="240" w:lineRule="auto"/>
        <w:ind w:left="0" w:firstLine="0"/>
        <w:textAlignment w:val="auto"/>
        <w:rPr>
          <w:lang w:val="pt-BR"/>
        </w:rPr>
      </w:pPr>
      <w:r w:rsidRPr="00113360">
        <w:rPr>
          <w:lang w:val="pt-BR" w:eastAsia="es-ES"/>
        </w:rPr>
        <w:t xml:space="preserve">A decisão tomada pela maioria aborda a reparação das consequências das violações </w:t>
      </w:r>
      <w:r w:rsidR="00BA60F1">
        <w:rPr>
          <w:lang w:val="pt-BR" w:eastAsia="es-ES"/>
        </w:rPr>
        <w:t>da</w:t>
      </w:r>
      <w:r w:rsidRPr="00113360">
        <w:rPr>
          <w:lang w:val="pt-BR" w:eastAsia="es-ES"/>
        </w:rPr>
        <w:t xml:space="preserve"> Convenção Americana parcialmente reconhecidas pelo Estado e de outras violações estabelecidas de forma direta pela Corte em sua Sentença sobre as Comunidades Quilombolas de Alcântara.</w:t>
      </w:r>
      <w:r w:rsidR="002B1C30" w:rsidRPr="00113360">
        <w:rPr>
          <w:lang w:val="pt-BR"/>
        </w:rPr>
        <w:t xml:space="preserve"> </w:t>
      </w:r>
      <w:r w:rsidR="00BA60F1">
        <w:rPr>
          <w:lang w:val="pt-BR"/>
        </w:rPr>
        <w:t>No entanto</w:t>
      </w:r>
      <w:r w:rsidR="00A402EE" w:rsidRPr="00113360">
        <w:rPr>
          <w:lang w:val="pt-BR"/>
        </w:rPr>
        <w:t xml:space="preserve">, o desempate por voto </w:t>
      </w:r>
      <w:r w:rsidR="002852BB">
        <w:rPr>
          <w:lang w:val="pt-BR"/>
        </w:rPr>
        <w:t>de qualidade</w:t>
      </w:r>
      <w:r w:rsidR="00A402EE" w:rsidRPr="00113360">
        <w:rPr>
          <w:lang w:val="pt-BR"/>
        </w:rPr>
        <w:t xml:space="preserve"> na determinação d</w:t>
      </w:r>
      <w:r w:rsidR="002852BB">
        <w:rPr>
          <w:lang w:val="pt-BR"/>
        </w:rPr>
        <w:t>a</w:t>
      </w:r>
      <w:r w:rsidR="00A402EE" w:rsidRPr="00113360">
        <w:rPr>
          <w:lang w:val="pt-BR"/>
        </w:rPr>
        <w:t xml:space="preserve"> violação da Convenção em relação </w:t>
      </w:r>
      <w:r w:rsidR="002852BB">
        <w:rPr>
          <w:lang w:val="pt-BR"/>
        </w:rPr>
        <w:t>a</w:t>
      </w:r>
      <w:r w:rsidR="00A402EE" w:rsidRPr="00113360">
        <w:rPr>
          <w:lang w:val="pt-BR"/>
        </w:rPr>
        <w:t>o efeito contínuo do deslocamento forçado de 31 Comunidades Quilombolas, bem como sobre o reconhecimento de seu direito ao projeto de vida coletiv</w:t>
      </w:r>
      <w:r w:rsidR="002852BB">
        <w:rPr>
          <w:lang w:val="pt-BR"/>
        </w:rPr>
        <w:t>o</w:t>
      </w:r>
      <w:r w:rsidR="00A402EE" w:rsidRPr="00113360">
        <w:rPr>
          <w:lang w:val="pt-BR"/>
        </w:rPr>
        <w:t xml:space="preserve"> frente à discriminação racial estrutural como violação autônoma, </w:t>
      </w:r>
      <w:r w:rsidR="002852BB">
        <w:rPr>
          <w:lang w:val="pt-BR"/>
        </w:rPr>
        <w:t xml:space="preserve">justifica </w:t>
      </w:r>
      <w:r w:rsidR="00A402EE" w:rsidRPr="00113360">
        <w:rPr>
          <w:lang w:val="pt-BR"/>
        </w:rPr>
        <w:t xml:space="preserve">o voto parcialmente dissidente - e, em essência, coincidente com </w:t>
      </w:r>
      <w:r w:rsidR="00213AB1">
        <w:rPr>
          <w:lang w:val="pt-BR"/>
        </w:rPr>
        <w:t xml:space="preserve">os votos separados </w:t>
      </w:r>
      <w:r w:rsidR="00A402EE" w:rsidRPr="00113360">
        <w:rPr>
          <w:lang w:val="pt-BR"/>
        </w:rPr>
        <w:t xml:space="preserve">dos juízes Ferrer </w:t>
      </w:r>
      <w:proofErr w:type="spellStart"/>
      <w:r w:rsidR="00A402EE" w:rsidRPr="00113360">
        <w:rPr>
          <w:lang w:val="pt-BR"/>
        </w:rPr>
        <w:t>Mac-Gregor</w:t>
      </w:r>
      <w:proofErr w:type="spellEnd"/>
      <w:r w:rsidR="00A402EE" w:rsidRPr="00113360">
        <w:rPr>
          <w:lang w:val="pt-BR"/>
        </w:rPr>
        <w:t xml:space="preserve"> e Pérez </w:t>
      </w:r>
      <w:proofErr w:type="spellStart"/>
      <w:r w:rsidR="00A402EE" w:rsidRPr="00113360">
        <w:rPr>
          <w:lang w:val="pt-BR"/>
        </w:rPr>
        <w:t>Manrique</w:t>
      </w:r>
      <w:proofErr w:type="spellEnd"/>
      <w:r w:rsidR="00A402EE" w:rsidRPr="00113360">
        <w:rPr>
          <w:lang w:val="pt-BR"/>
        </w:rPr>
        <w:t xml:space="preserve"> </w:t>
      </w:r>
      <w:r w:rsidR="002852BB">
        <w:rPr>
          <w:lang w:val="pt-BR"/>
        </w:rPr>
        <w:t>–</w:t>
      </w:r>
      <w:r w:rsidR="00A402EE" w:rsidRPr="00113360">
        <w:rPr>
          <w:lang w:val="pt-BR"/>
        </w:rPr>
        <w:t xml:space="preserve"> </w:t>
      </w:r>
      <w:r w:rsidR="002852BB">
        <w:rPr>
          <w:lang w:val="pt-BR"/>
        </w:rPr>
        <w:t>que se oferece</w:t>
      </w:r>
      <w:r w:rsidR="00A402EE" w:rsidRPr="00113360">
        <w:rPr>
          <w:lang w:val="pt-BR"/>
        </w:rPr>
        <w:t xml:space="preserve"> a seguir.</w:t>
      </w:r>
    </w:p>
    <w:p w14:paraId="7AA0EA2F" w14:textId="77777777" w:rsidR="002B1C30" w:rsidRPr="00113360" w:rsidRDefault="002B1C30" w:rsidP="002B1C30">
      <w:pPr>
        <w:tabs>
          <w:tab w:val="left" w:pos="567"/>
        </w:tabs>
        <w:spacing w:line="240" w:lineRule="auto"/>
        <w:textAlignment w:val="auto"/>
        <w:rPr>
          <w:lang w:val="pt-BR" w:eastAsia="es-ES"/>
        </w:rPr>
      </w:pPr>
    </w:p>
    <w:p w14:paraId="0A451692" w14:textId="685AF488" w:rsidR="002B1C30" w:rsidRPr="00113360" w:rsidRDefault="00D27F8C" w:rsidP="002B1C30">
      <w:pPr>
        <w:pStyle w:val="Prrafodelista"/>
        <w:numPr>
          <w:ilvl w:val="0"/>
          <w:numId w:val="3"/>
        </w:numPr>
        <w:tabs>
          <w:tab w:val="left" w:pos="567"/>
        </w:tabs>
        <w:spacing w:line="240" w:lineRule="auto"/>
        <w:textAlignment w:val="auto"/>
        <w:rPr>
          <w:b/>
          <w:bCs/>
          <w:lang w:val="pt-BR"/>
        </w:rPr>
      </w:pPr>
      <w:r w:rsidRPr="00113360">
        <w:rPr>
          <w:b/>
          <w:bCs/>
          <w:lang w:val="pt-BR"/>
        </w:rPr>
        <w:t>SOBRE A VIOLA</w:t>
      </w:r>
      <w:r w:rsidR="00A402EE" w:rsidRPr="00113360">
        <w:rPr>
          <w:b/>
          <w:bCs/>
          <w:lang w:val="pt-BR"/>
        </w:rPr>
        <w:t xml:space="preserve">ÇÃO </w:t>
      </w:r>
      <w:r w:rsidRPr="00113360">
        <w:rPr>
          <w:b/>
          <w:bCs/>
          <w:lang w:val="pt-BR"/>
        </w:rPr>
        <w:t>DA CONVEN</w:t>
      </w:r>
      <w:r w:rsidR="00A402EE" w:rsidRPr="00113360">
        <w:rPr>
          <w:b/>
          <w:bCs/>
          <w:lang w:val="pt-BR"/>
        </w:rPr>
        <w:t xml:space="preserve">ÇÃO </w:t>
      </w:r>
      <w:r w:rsidRPr="00113360">
        <w:rPr>
          <w:b/>
          <w:bCs/>
          <w:lang w:val="pt-BR"/>
        </w:rPr>
        <w:t>E</w:t>
      </w:r>
      <w:r w:rsidR="00A402EE" w:rsidRPr="00113360">
        <w:rPr>
          <w:b/>
          <w:bCs/>
          <w:lang w:val="pt-BR"/>
        </w:rPr>
        <w:t>M</w:t>
      </w:r>
      <w:r w:rsidRPr="00113360">
        <w:rPr>
          <w:b/>
          <w:bCs/>
          <w:lang w:val="pt-BR"/>
        </w:rPr>
        <w:t xml:space="preserve"> RELA</w:t>
      </w:r>
      <w:r w:rsidR="00A402EE" w:rsidRPr="00113360">
        <w:rPr>
          <w:b/>
          <w:bCs/>
          <w:lang w:val="pt-BR"/>
        </w:rPr>
        <w:t xml:space="preserve">ÇÃO </w:t>
      </w:r>
      <w:r w:rsidR="00012AE1">
        <w:rPr>
          <w:b/>
          <w:bCs/>
          <w:lang w:val="pt-BR"/>
        </w:rPr>
        <w:t>A</w:t>
      </w:r>
      <w:r w:rsidR="00EF2090" w:rsidRPr="00113360">
        <w:rPr>
          <w:b/>
          <w:bCs/>
          <w:lang w:val="pt-BR"/>
        </w:rPr>
        <w:t>OS EFE</w:t>
      </w:r>
      <w:r w:rsidR="00A402EE" w:rsidRPr="00113360">
        <w:rPr>
          <w:b/>
          <w:bCs/>
          <w:lang w:val="pt-BR"/>
        </w:rPr>
        <w:t>I</w:t>
      </w:r>
      <w:r w:rsidR="00EF2090" w:rsidRPr="00113360">
        <w:rPr>
          <w:b/>
          <w:bCs/>
          <w:lang w:val="pt-BR"/>
        </w:rPr>
        <w:t>TOS CONTÍNUOS D</w:t>
      </w:r>
      <w:r w:rsidR="00A402EE" w:rsidRPr="00113360">
        <w:rPr>
          <w:b/>
          <w:bCs/>
          <w:lang w:val="pt-BR"/>
        </w:rPr>
        <w:t>O</w:t>
      </w:r>
      <w:r w:rsidR="00EF2090" w:rsidRPr="00113360">
        <w:rPr>
          <w:b/>
          <w:bCs/>
          <w:lang w:val="pt-BR"/>
        </w:rPr>
        <w:t xml:space="preserve"> </w:t>
      </w:r>
      <w:r w:rsidRPr="00113360">
        <w:rPr>
          <w:b/>
          <w:bCs/>
          <w:lang w:val="pt-BR"/>
        </w:rPr>
        <w:t>DESL</w:t>
      </w:r>
      <w:r w:rsidR="00A402EE" w:rsidRPr="00113360">
        <w:rPr>
          <w:b/>
          <w:bCs/>
          <w:lang w:val="pt-BR"/>
        </w:rPr>
        <w:t>OC</w:t>
      </w:r>
      <w:r w:rsidRPr="00113360">
        <w:rPr>
          <w:b/>
          <w:bCs/>
          <w:lang w:val="pt-BR"/>
        </w:rPr>
        <w:t>AMENTO FOR</w:t>
      </w:r>
      <w:r w:rsidR="00A402EE" w:rsidRPr="00113360">
        <w:rPr>
          <w:b/>
          <w:bCs/>
          <w:lang w:val="pt-BR"/>
        </w:rPr>
        <w:t>Ç</w:t>
      </w:r>
      <w:r w:rsidRPr="00113360">
        <w:rPr>
          <w:b/>
          <w:bCs/>
          <w:lang w:val="pt-BR"/>
        </w:rPr>
        <w:t>ADO</w:t>
      </w:r>
      <w:r w:rsidR="001768E9" w:rsidRPr="00113360">
        <w:rPr>
          <w:b/>
          <w:bCs/>
          <w:lang w:val="pt-BR"/>
        </w:rPr>
        <w:t xml:space="preserve"> DE 31 COMUNIDADES Q</w:t>
      </w:r>
      <w:r w:rsidR="006A4FD1">
        <w:rPr>
          <w:b/>
          <w:bCs/>
          <w:lang w:val="pt-BR"/>
        </w:rPr>
        <w:t>U</w:t>
      </w:r>
      <w:r w:rsidR="001768E9" w:rsidRPr="00113360">
        <w:rPr>
          <w:b/>
          <w:bCs/>
          <w:lang w:val="pt-BR"/>
        </w:rPr>
        <w:t>ILOMBOLAS DE ALCÂNTARA</w:t>
      </w:r>
    </w:p>
    <w:p w14:paraId="177F9E82" w14:textId="77777777" w:rsidR="002B1C30" w:rsidRPr="00113360" w:rsidRDefault="002B1C30" w:rsidP="002B1C30">
      <w:pPr>
        <w:tabs>
          <w:tab w:val="left" w:pos="567"/>
        </w:tabs>
        <w:spacing w:line="240" w:lineRule="auto"/>
        <w:textAlignment w:val="auto"/>
        <w:rPr>
          <w:lang w:val="pt-BR"/>
        </w:rPr>
      </w:pPr>
    </w:p>
    <w:p w14:paraId="230B7DC7" w14:textId="7A644772" w:rsidR="00382AE5" w:rsidRPr="00113360" w:rsidRDefault="00301925" w:rsidP="00A402EE">
      <w:pPr>
        <w:numPr>
          <w:ilvl w:val="0"/>
          <w:numId w:val="2"/>
        </w:numPr>
        <w:tabs>
          <w:tab w:val="left" w:pos="567"/>
        </w:tabs>
        <w:spacing w:line="240" w:lineRule="auto"/>
        <w:ind w:left="0" w:firstLine="0"/>
        <w:textAlignment w:val="auto"/>
        <w:rPr>
          <w:rFonts w:eastAsia="MS Mincho"/>
          <w:lang w:val="pt-BR" w:bidi="en-US"/>
        </w:rPr>
      </w:pPr>
      <w:r>
        <w:rPr>
          <w:rFonts w:eastAsia="MS Mincho"/>
          <w:lang w:val="pt-BR" w:bidi="en-US"/>
        </w:rPr>
        <w:t xml:space="preserve">Na </w:t>
      </w:r>
      <w:r w:rsidR="00A402EE" w:rsidRPr="00113360">
        <w:rPr>
          <w:rFonts w:eastAsia="MS Mincho"/>
          <w:lang w:val="pt-BR" w:bidi="en-US"/>
        </w:rPr>
        <w:t>seção sobre jurisdição (parágrafos 39 a 51)</w:t>
      </w:r>
      <w:r w:rsidR="00151197">
        <w:rPr>
          <w:rFonts w:eastAsia="MS Mincho"/>
          <w:lang w:val="pt-BR" w:bidi="en-US"/>
        </w:rPr>
        <w:t>,</w:t>
      </w:r>
      <w:r w:rsidR="00A402EE" w:rsidRPr="00113360">
        <w:rPr>
          <w:rFonts w:eastAsia="MS Mincho"/>
          <w:lang w:val="pt-BR" w:bidi="en-US"/>
        </w:rPr>
        <w:t xml:space="preserve"> e em resposta à exceção preliminar </w:t>
      </w:r>
      <w:r w:rsidR="00A402EE" w:rsidRPr="00113360">
        <w:rPr>
          <w:rFonts w:eastAsia="MS Mincho"/>
          <w:i/>
          <w:lang w:val="pt-BR" w:bidi="en-US"/>
        </w:rPr>
        <w:t xml:space="preserve">ratione </w:t>
      </w:r>
      <w:proofErr w:type="spellStart"/>
      <w:r w:rsidR="00A402EE" w:rsidRPr="00113360">
        <w:rPr>
          <w:rFonts w:eastAsia="MS Mincho"/>
          <w:i/>
          <w:lang w:val="pt-BR" w:bidi="en-US"/>
        </w:rPr>
        <w:t>temporis</w:t>
      </w:r>
      <w:proofErr w:type="spellEnd"/>
      <w:r w:rsidR="00A402EE" w:rsidRPr="00113360">
        <w:rPr>
          <w:rFonts w:eastAsia="MS Mincho"/>
          <w:lang w:val="pt-BR" w:bidi="en-US"/>
        </w:rPr>
        <w:t xml:space="preserve"> interposta pelo Estado, a Sentença estabelece que a Corte exercerá sua competência para </w:t>
      </w:r>
      <w:r>
        <w:rPr>
          <w:rFonts w:eastAsia="MS Mincho"/>
          <w:lang w:val="pt-BR" w:bidi="en-US"/>
        </w:rPr>
        <w:t xml:space="preserve">se </w:t>
      </w:r>
      <w:r w:rsidR="00A402EE" w:rsidRPr="00113360">
        <w:rPr>
          <w:rFonts w:eastAsia="MS Mincho"/>
          <w:lang w:val="pt-BR" w:bidi="en-US"/>
        </w:rPr>
        <w:t xml:space="preserve">pronunciar sobre a responsabilidade estatal por atos ou omissões ocorridos </w:t>
      </w:r>
      <w:r>
        <w:rPr>
          <w:rFonts w:eastAsia="MS Mincho"/>
          <w:lang w:val="pt-BR" w:bidi="en-US"/>
        </w:rPr>
        <w:t xml:space="preserve">posteriormente </w:t>
      </w:r>
      <w:r w:rsidR="00A402EE" w:rsidRPr="00113360">
        <w:rPr>
          <w:rFonts w:eastAsia="MS Mincho"/>
          <w:lang w:val="pt-BR" w:bidi="en-US"/>
        </w:rPr>
        <w:t xml:space="preserve">à aceitação da competência contenciosa por parte do Brasil, </w:t>
      </w:r>
      <w:r>
        <w:rPr>
          <w:rFonts w:eastAsia="MS Mincho"/>
          <w:lang w:val="pt-BR" w:bidi="en-US"/>
        </w:rPr>
        <w:t xml:space="preserve">ainda </w:t>
      </w:r>
      <w:r w:rsidR="00A402EE" w:rsidRPr="00113360">
        <w:rPr>
          <w:rFonts w:eastAsia="MS Mincho"/>
          <w:lang w:val="pt-BR" w:bidi="en-US"/>
        </w:rPr>
        <w:t>que esses atos ou omissões também se vinculem a causas e efeitos de condutas estatais anteriores à mencionada data de aceitação (parágrafo 49).</w:t>
      </w:r>
    </w:p>
    <w:p w14:paraId="2C5DBC3F" w14:textId="77777777" w:rsidR="00382AE5" w:rsidRPr="00113360" w:rsidRDefault="00382AE5" w:rsidP="00382AE5">
      <w:pPr>
        <w:tabs>
          <w:tab w:val="left" w:pos="567"/>
        </w:tabs>
        <w:spacing w:line="240" w:lineRule="auto"/>
        <w:textAlignment w:val="auto"/>
        <w:rPr>
          <w:rFonts w:eastAsia="MS Mincho"/>
          <w:lang w:val="pt-BR" w:bidi="en-US"/>
        </w:rPr>
      </w:pPr>
    </w:p>
    <w:p w14:paraId="701E55D2" w14:textId="04B114BD" w:rsidR="0051032D" w:rsidRPr="00113360" w:rsidRDefault="00A402EE" w:rsidP="002C2D0A">
      <w:pPr>
        <w:numPr>
          <w:ilvl w:val="0"/>
          <w:numId w:val="2"/>
        </w:numPr>
        <w:tabs>
          <w:tab w:val="left" w:pos="567"/>
        </w:tabs>
        <w:spacing w:line="240" w:lineRule="auto"/>
        <w:ind w:left="0" w:firstLine="0"/>
        <w:textAlignment w:val="auto"/>
        <w:rPr>
          <w:rFonts w:eastAsia="MS Mincho"/>
          <w:lang w:val="pt-BR" w:bidi="en-US"/>
        </w:rPr>
      </w:pPr>
      <w:r w:rsidRPr="00113360">
        <w:rPr>
          <w:rFonts w:eastAsia="MS Mincho"/>
          <w:lang w:val="pt-BR" w:bidi="en-US"/>
        </w:rPr>
        <w:t>No entanto, o pronunciamento sobre o mérito (</w:t>
      </w:r>
      <w:r w:rsidR="00301925">
        <w:rPr>
          <w:rFonts w:eastAsia="MS Mincho"/>
          <w:lang w:val="pt-BR" w:bidi="en-US"/>
        </w:rPr>
        <w:t>resolutivo</w:t>
      </w:r>
      <w:r w:rsidRPr="00113360">
        <w:rPr>
          <w:rFonts w:eastAsia="MS Mincho"/>
          <w:lang w:val="pt-BR" w:bidi="en-US"/>
        </w:rPr>
        <w:t xml:space="preserve"> 4) estabelece, por três votos a favor e três votos parcialmente contra, com voto </w:t>
      </w:r>
      <w:r w:rsidR="00301925">
        <w:rPr>
          <w:rFonts w:eastAsia="MS Mincho"/>
          <w:lang w:val="pt-BR" w:bidi="en-US"/>
        </w:rPr>
        <w:t xml:space="preserve">de qualidade </w:t>
      </w:r>
      <w:r w:rsidRPr="00113360">
        <w:rPr>
          <w:rFonts w:eastAsia="MS Mincho"/>
          <w:lang w:val="pt-BR" w:bidi="en-US"/>
        </w:rPr>
        <w:t xml:space="preserve">da Presidência, que o Estado é responsável pela violação dos direitos à propriedade coletiva e </w:t>
      </w:r>
      <w:r w:rsidR="00301925">
        <w:rPr>
          <w:rFonts w:eastAsia="MS Mincho"/>
          <w:lang w:val="pt-BR" w:bidi="en-US"/>
        </w:rPr>
        <w:t xml:space="preserve">de </w:t>
      </w:r>
      <w:r w:rsidRPr="00113360">
        <w:rPr>
          <w:rFonts w:eastAsia="MS Mincho"/>
          <w:lang w:val="pt-BR" w:bidi="en-US"/>
        </w:rPr>
        <w:t>circulação e residência, estabelecidos nos artigos 21 e 22 da Convenção Americana.</w:t>
      </w:r>
      <w:r w:rsidR="0051032D" w:rsidRPr="00113360">
        <w:rPr>
          <w:rStyle w:val="Refdenotaalpie"/>
          <w:lang w:val="pt-BR"/>
        </w:rPr>
        <w:footnoteReference w:id="1"/>
      </w:r>
      <w:r w:rsidR="0051032D" w:rsidRPr="00113360">
        <w:rPr>
          <w:lang w:val="pt-BR"/>
        </w:rPr>
        <w:t xml:space="preserve"> </w:t>
      </w:r>
      <w:r w:rsidR="002C2D0A" w:rsidRPr="00113360">
        <w:rPr>
          <w:lang w:val="pt-BR"/>
        </w:rPr>
        <w:t xml:space="preserve">Os três votos parcialmente contrários </w:t>
      </w:r>
      <w:r w:rsidR="00301925">
        <w:rPr>
          <w:lang w:val="pt-BR"/>
        </w:rPr>
        <w:t xml:space="preserve">a esse </w:t>
      </w:r>
      <w:r w:rsidR="002C2D0A" w:rsidRPr="00113360">
        <w:rPr>
          <w:lang w:val="pt-BR"/>
        </w:rPr>
        <w:t xml:space="preserve">ponto resolutivo da Sentença deixam </w:t>
      </w:r>
      <w:r w:rsidR="00301925">
        <w:rPr>
          <w:lang w:val="pt-BR"/>
        </w:rPr>
        <w:t xml:space="preserve">estabelecida </w:t>
      </w:r>
      <w:r w:rsidR="002C2D0A" w:rsidRPr="00113360">
        <w:rPr>
          <w:lang w:val="pt-BR"/>
        </w:rPr>
        <w:t xml:space="preserve">a dissidência </w:t>
      </w:r>
      <w:r w:rsidR="00301925">
        <w:rPr>
          <w:lang w:val="pt-BR"/>
        </w:rPr>
        <w:t>quanto à</w:t>
      </w:r>
      <w:r w:rsidR="002C2D0A" w:rsidRPr="00113360">
        <w:rPr>
          <w:lang w:val="pt-BR"/>
        </w:rPr>
        <w:t xml:space="preserve"> omissão de um pronunciamento da Corte sobre o efeito contínuo do deslocamento forçado de 31 Comunidades Quilombolas de seus territórios tradicionais</w:t>
      </w:r>
      <w:r w:rsidR="00151197">
        <w:rPr>
          <w:lang w:val="pt-BR"/>
        </w:rPr>
        <w:t>,</w:t>
      </w:r>
      <w:r w:rsidR="002C2D0A" w:rsidRPr="00113360">
        <w:rPr>
          <w:lang w:val="pt-BR"/>
        </w:rPr>
        <w:t xml:space="preserve"> entre 1986 e 1987</w:t>
      </w:r>
      <w:r w:rsidR="00151197">
        <w:rPr>
          <w:lang w:val="pt-BR"/>
        </w:rPr>
        <w:t>,</w:t>
      </w:r>
      <w:r w:rsidR="002C2D0A" w:rsidRPr="00113360">
        <w:rPr>
          <w:lang w:val="pt-BR"/>
        </w:rPr>
        <w:t xml:space="preserve"> e seu reassentamento em agrovilas culturalmente inadequadas a seu estilo de vida e formas de subsistência.</w:t>
      </w:r>
      <w:r w:rsidR="00382AE5" w:rsidRPr="00113360">
        <w:rPr>
          <w:lang w:val="pt-BR"/>
        </w:rPr>
        <w:t xml:space="preserve"> </w:t>
      </w:r>
      <w:r w:rsidR="002C2D0A" w:rsidRPr="00113360">
        <w:rPr>
          <w:lang w:val="pt-BR"/>
        </w:rPr>
        <w:t xml:space="preserve">O presente </w:t>
      </w:r>
      <w:r w:rsidR="00301925">
        <w:rPr>
          <w:lang w:val="pt-BR"/>
        </w:rPr>
        <w:t>voto</w:t>
      </w:r>
      <w:r w:rsidR="002C2D0A" w:rsidRPr="00113360">
        <w:rPr>
          <w:lang w:val="pt-BR"/>
        </w:rPr>
        <w:t xml:space="preserve"> sustenta que a consideração do efeito contínuo do deslocamento forçado des</w:t>
      </w:r>
      <w:r w:rsidR="00301925">
        <w:rPr>
          <w:lang w:val="pt-BR"/>
        </w:rPr>
        <w:t>s</w:t>
      </w:r>
      <w:r w:rsidR="002C2D0A" w:rsidRPr="00113360">
        <w:rPr>
          <w:lang w:val="pt-BR"/>
        </w:rPr>
        <w:t xml:space="preserve">as comunidades até os dias de hoje e a falta de recursos efetivos para impugná-lo são </w:t>
      </w:r>
      <w:r w:rsidR="00301925">
        <w:rPr>
          <w:lang w:val="pt-BR"/>
        </w:rPr>
        <w:t>inseparáveis</w:t>
      </w:r>
      <w:r w:rsidR="002C2D0A" w:rsidRPr="00113360">
        <w:rPr>
          <w:lang w:val="pt-BR"/>
        </w:rPr>
        <w:t xml:space="preserve"> das determinações de fato e de direito no presente caso, </w:t>
      </w:r>
      <w:r w:rsidR="00C509C3">
        <w:rPr>
          <w:lang w:val="pt-BR"/>
        </w:rPr>
        <w:t xml:space="preserve">a respeito </w:t>
      </w:r>
      <w:r w:rsidR="00151197">
        <w:rPr>
          <w:lang w:val="pt-BR"/>
        </w:rPr>
        <w:t xml:space="preserve">tanto </w:t>
      </w:r>
      <w:r w:rsidR="00C509C3">
        <w:rPr>
          <w:lang w:val="pt-BR"/>
        </w:rPr>
        <w:t>d</w:t>
      </w:r>
      <w:r w:rsidR="002C2D0A" w:rsidRPr="00113360">
        <w:rPr>
          <w:lang w:val="pt-BR"/>
        </w:rPr>
        <w:t>o mérito com</w:t>
      </w:r>
      <w:r w:rsidR="00C509C3">
        <w:rPr>
          <w:lang w:val="pt-BR"/>
        </w:rPr>
        <w:t>o</w:t>
      </w:r>
      <w:r w:rsidR="002C2D0A" w:rsidRPr="00113360">
        <w:rPr>
          <w:lang w:val="pt-BR"/>
        </w:rPr>
        <w:t xml:space="preserve"> </w:t>
      </w:r>
      <w:r w:rsidR="00C509C3">
        <w:rPr>
          <w:lang w:val="pt-BR"/>
        </w:rPr>
        <w:t>d</w:t>
      </w:r>
      <w:r w:rsidR="002C2D0A" w:rsidRPr="00113360">
        <w:rPr>
          <w:lang w:val="pt-BR"/>
        </w:rPr>
        <w:t>as reparações</w:t>
      </w:r>
      <w:r w:rsidR="00151197">
        <w:rPr>
          <w:lang w:val="pt-BR"/>
        </w:rPr>
        <w:t>,</w:t>
      </w:r>
      <w:r w:rsidR="002C2D0A" w:rsidRPr="00113360">
        <w:rPr>
          <w:lang w:val="pt-BR"/>
        </w:rPr>
        <w:t xml:space="preserve"> e - como </w:t>
      </w:r>
      <w:r w:rsidR="00C509C3">
        <w:rPr>
          <w:lang w:val="pt-BR"/>
        </w:rPr>
        <w:t xml:space="preserve">se verá </w:t>
      </w:r>
      <w:r w:rsidR="002C2D0A" w:rsidRPr="00113360">
        <w:rPr>
          <w:i/>
          <w:lang w:val="pt-BR"/>
        </w:rPr>
        <w:t>infra</w:t>
      </w:r>
      <w:r w:rsidR="002C2D0A" w:rsidRPr="00113360">
        <w:rPr>
          <w:lang w:val="pt-BR"/>
        </w:rPr>
        <w:t xml:space="preserve"> - </w:t>
      </w:r>
      <w:r w:rsidR="00C509C3">
        <w:rPr>
          <w:lang w:val="pt-BR"/>
        </w:rPr>
        <w:t>d</w:t>
      </w:r>
      <w:r w:rsidR="002C2D0A" w:rsidRPr="00113360">
        <w:rPr>
          <w:lang w:val="pt-BR"/>
        </w:rPr>
        <w:t>o direito a um projeto de vida coletivo, livre de discriminação racial.</w:t>
      </w:r>
    </w:p>
    <w:p w14:paraId="549840E3" w14:textId="77777777" w:rsidR="00404CC6" w:rsidRPr="00113360" w:rsidRDefault="00404CC6" w:rsidP="00404CC6">
      <w:pPr>
        <w:pStyle w:val="Prrafodelista"/>
        <w:rPr>
          <w:rFonts w:eastAsia="MS Mincho"/>
          <w:lang w:val="pt-BR" w:bidi="en-US"/>
        </w:rPr>
      </w:pPr>
    </w:p>
    <w:p w14:paraId="7A42905A" w14:textId="18753696" w:rsidR="00034564" w:rsidRPr="00113360" w:rsidRDefault="00A8473B" w:rsidP="008E1BD6">
      <w:pPr>
        <w:numPr>
          <w:ilvl w:val="0"/>
          <w:numId w:val="2"/>
        </w:numPr>
        <w:tabs>
          <w:tab w:val="left" w:pos="567"/>
        </w:tabs>
        <w:spacing w:line="240" w:lineRule="auto"/>
        <w:ind w:left="0" w:firstLine="0"/>
        <w:textAlignment w:val="auto"/>
        <w:rPr>
          <w:rFonts w:eastAsia="MS Mincho"/>
          <w:lang w:val="pt-BR" w:bidi="en-US"/>
        </w:rPr>
      </w:pPr>
      <w:r w:rsidRPr="00113360">
        <w:rPr>
          <w:lang w:val="pt-BR"/>
        </w:rPr>
        <w:t xml:space="preserve">No presente caso, não existe controvérsia quanto ao fato de que as 31 Comunidades Quilombolas </w:t>
      </w:r>
      <w:r w:rsidR="00C509C3">
        <w:rPr>
          <w:lang w:val="pt-BR"/>
        </w:rPr>
        <w:t>a</w:t>
      </w:r>
      <w:r w:rsidRPr="00113360">
        <w:rPr>
          <w:lang w:val="pt-BR"/>
        </w:rPr>
        <w:t xml:space="preserve"> </w:t>
      </w:r>
      <w:r w:rsidR="00C509C3">
        <w:rPr>
          <w:lang w:val="pt-BR"/>
        </w:rPr>
        <w:t xml:space="preserve">que </w:t>
      </w:r>
      <w:r w:rsidRPr="00113360">
        <w:rPr>
          <w:lang w:val="pt-BR"/>
        </w:rPr>
        <w:t xml:space="preserve">se faz referência no presente caso foram deslocadas do território tradicional que habitavam </w:t>
      </w:r>
      <w:r w:rsidR="00C509C3">
        <w:rPr>
          <w:lang w:val="pt-BR"/>
        </w:rPr>
        <w:t>–</w:t>
      </w:r>
      <w:r w:rsidRPr="00113360">
        <w:rPr>
          <w:lang w:val="pt-BR"/>
        </w:rPr>
        <w:t xml:space="preserve"> </w:t>
      </w:r>
      <w:r w:rsidR="00C509C3">
        <w:rPr>
          <w:lang w:val="pt-BR"/>
        </w:rPr>
        <w:t xml:space="preserve">pelo </w:t>
      </w:r>
      <w:r w:rsidRPr="00113360">
        <w:rPr>
          <w:lang w:val="pt-BR"/>
        </w:rPr>
        <w:t xml:space="preserve">menos desde a segunda metade do século XIX - e que constituía o epicentro de sua cultura, tecido social, sustento de </w:t>
      </w:r>
      <w:r w:rsidR="00C509C3">
        <w:rPr>
          <w:lang w:val="pt-BR"/>
        </w:rPr>
        <w:t>sua alimentação</w:t>
      </w:r>
      <w:r w:rsidRPr="00113360">
        <w:rPr>
          <w:lang w:val="pt-BR"/>
        </w:rPr>
        <w:t xml:space="preserve">, meio ambiente e </w:t>
      </w:r>
      <w:r w:rsidR="00C509C3">
        <w:rPr>
          <w:lang w:val="pt-BR"/>
        </w:rPr>
        <w:t xml:space="preserve">forma </w:t>
      </w:r>
      <w:r w:rsidRPr="00113360">
        <w:rPr>
          <w:lang w:val="pt-BR"/>
        </w:rPr>
        <w:t xml:space="preserve">de vida. Segundo </w:t>
      </w:r>
      <w:r w:rsidR="00C509C3">
        <w:rPr>
          <w:lang w:val="pt-BR"/>
        </w:rPr>
        <w:t xml:space="preserve">se infere </w:t>
      </w:r>
      <w:r w:rsidR="00151197">
        <w:rPr>
          <w:lang w:val="pt-BR"/>
        </w:rPr>
        <w:t>d</w:t>
      </w:r>
      <w:r w:rsidRPr="00113360">
        <w:rPr>
          <w:lang w:val="pt-BR"/>
        </w:rPr>
        <w:t xml:space="preserve">os autos do processo, o reassentamento foi </w:t>
      </w:r>
      <w:r w:rsidR="00C509C3">
        <w:rPr>
          <w:lang w:val="pt-BR"/>
        </w:rPr>
        <w:t xml:space="preserve">efetivado </w:t>
      </w:r>
      <w:r w:rsidRPr="00113360">
        <w:rPr>
          <w:lang w:val="pt-BR"/>
        </w:rPr>
        <w:t xml:space="preserve">pelas FFAA durante a ditadura militar, em cumprimento </w:t>
      </w:r>
      <w:r w:rsidR="00C509C3">
        <w:rPr>
          <w:lang w:val="pt-BR"/>
        </w:rPr>
        <w:t xml:space="preserve">a dois </w:t>
      </w:r>
      <w:r w:rsidRPr="00113360">
        <w:rPr>
          <w:lang w:val="pt-BR"/>
        </w:rPr>
        <w:t xml:space="preserve">decretos </w:t>
      </w:r>
      <w:r w:rsidRPr="00113360">
        <w:rPr>
          <w:lang w:val="pt-BR"/>
        </w:rPr>
        <w:lastRenderedPageBreak/>
        <w:t xml:space="preserve">expedidos pelo Governo Federal, sem margem para uma consulta livre e </w:t>
      </w:r>
      <w:r w:rsidR="00C509C3">
        <w:rPr>
          <w:lang w:val="pt-BR"/>
        </w:rPr>
        <w:t xml:space="preserve">fundamentada </w:t>
      </w:r>
      <w:r w:rsidRPr="00113360">
        <w:rPr>
          <w:lang w:val="pt-BR"/>
        </w:rPr>
        <w:t>e com a resistência “até o último momento” de vários membros das comunidades que se arriscaram a ser objeto de represálias.</w:t>
      </w:r>
      <w:r w:rsidR="00034564" w:rsidRPr="00113360">
        <w:rPr>
          <w:rFonts w:eastAsia="Calibri"/>
          <w:vertAlign w:val="superscript"/>
          <w:lang w:val="pt-BR"/>
        </w:rPr>
        <w:footnoteReference w:id="2"/>
      </w:r>
      <w:r w:rsidR="00034564" w:rsidRPr="00113360">
        <w:rPr>
          <w:lang w:val="pt-BR"/>
        </w:rPr>
        <w:t xml:space="preserve"> </w:t>
      </w:r>
      <w:r w:rsidR="008E1BD6" w:rsidRPr="00113360">
        <w:rPr>
          <w:lang w:val="pt-BR"/>
        </w:rPr>
        <w:t>Tampouco existe controvérsia sobre o fato</w:t>
      </w:r>
      <w:r w:rsidR="00C509C3">
        <w:rPr>
          <w:lang w:val="pt-BR"/>
        </w:rPr>
        <w:t xml:space="preserve"> de</w:t>
      </w:r>
      <w:r w:rsidR="008E1BD6" w:rsidRPr="00113360">
        <w:rPr>
          <w:lang w:val="pt-BR"/>
        </w:rPr>
        <w:t xml:space="preserve"> que es</w:t>
      </w:r>
      <w:r w:rsidR="00C509C3">
        <w:rPr>
          <w:lang w:val="pt-BR"/>
        </w:rPr>
        <w:t>s</w:t>
      </w:r>
      <w:r w:rsidR="008E1BD6" w:rsidRPr="00113360">
        <w:rPr>
          <w:lang w:val="pt-BR"/>
        </w:rPr>
        <w:t xml:space="preserve">as comunidades foram reassentadas em sete agrovilas localizadas longe da costa, sem consideração das estruturas e laços comunitários, e sem consideração da forma de vida, cultura e meios de sustento das comunidades </w:t>
      </w:r>
      <w:r w:rsidR="00C509C3">
        <w:rPr>
          <w:lang w:val="pt-BR"/>
        </w:rPr>
        <w:t>por meio</w:t>
      </w:r>
      <w:r w:rsidR="008E1BD6" w:rsidRPr="00113360">
        <w:rPr>
          <w:lang w:val="pt-BR"/>
        </w:rPr>
        <w:t xml:space="preserve"> da pesca. D</w:t>
      </w:r>
      <w:r w:rsidR="00C509C3">
        <w:rPr>
          <w:lang w:val="pt-BR"/>
        </w:rPr>
        <w:t>o mesmo modo</w:t>
      </w:r>
      <w:r w:rsidR="008E1BD6" w:rsidRPr="00113360">
        <w:rPr>
          <w:lang w:val="pt-BR"/>
        </w:rPr>
        <w:t xml:space="preserve">, a Corte estabeleceu em sua Sentença que o Estado descumpriu sua obrigação de delimitar, demarcar, titular e </w:t>
      </w:r>
      <w:r w:rsidR="00B74A23">
        <w:rPr>
          <w:lang w:val="pt-BR"/>
        </w:rPr>
        <w:t>sanear</w:t>
      </w:r>
      <w:r w:rsidR="00076309">
        <w:rPr>
          <w:lang w:val="pt-BR"/>
        </w:rPr>
        <w:t xml:space="preserve"> </w:t>
      </w:r>
      <w:r w:rsidR="008E1BD6" w:rsidRPr="00113360">
        <w:rPr>
          <w:lang w:val="pt-BR"/>
        </w:rPr>
        <w:t xml:space="preserve">o território das Comunidades Quilombolas de Alcântara, incluindo a situação das 31 comunidades reassentadas de forma obrigatória, sem compensação alguma, e que enfrentaram ou ainda enfrentam obstáculos no reconhecimento da titularidade sobre as agrovilas que por décadas lhes foram atribuídas como moradia, sem o reconhecimento </w:t>
      </w:r>
      <w:r w:rsidR="00B74A23">
        <w:rPr>
          <w:lang w:val="pt-BR"/>
        </w:rPr>
        <w:t>d</w:t>
      </w:r>
      <w:r w:rsidR="008E1BD6" w:rsidRPr="00113360">
        <w:rPr>
          <w:lang w:val="pt-BR"/>
        </w:rPr>
        <w:t>o direito de melhorá-las ou transmiti-las a seus descendentes.</w:t>
      </w:r>
    </w:p>
    <w:p w14:paraId="1494A6B8" w14:textId="77777777" w:rsidR="00206987" w:rsidRPr="00113360" w:rsidRDefault="00206987" w:rsidP="00206987">
      <w:pPr>
        <w:tabs>
          <w:tab w:val="left" w:pos="567"/>
        </w:tabs>
        <w:spacing w:line="240" w:lineRule="auto"/>
        <w:textAlignment w:val="auto"/>
        <w:rPr>
          <w:rFonts w:eastAsia="MS Mincho"/>
          <w:lang w:val="pt-BR" w:bidi="en-US"/>
        </w:rPr>
      </w:pPr>
    </w:p>
    <w:p w14:paraId="5EC90977" w14:textId="3BAC27E2" w:rsidR="00206987" w:rsidRPr="00113360" w:rsidRDefault="00B74A23" w:rsidP="008E1BD6">
      <w:pPr>
        <w:numPr>
          <w:ilvl w:val="0"/>
          <w:numId w:val="2"/>
        </w:numPr>
        <w:tabs>
          <w:tab w:val="left" w:pos="567"/>
        </w:tabs>
        <w:spacing w:line="240" w:lineRule="auto"/>
        <w:ind w:left="0" w:firstLine="0"/>
        <w:textAlignment w:val="auto"/>
        <w:rPr>
          <w:rFonts w:eastAsia="MS Mincho"/>
          <w:lang w:val="pt-BR" w:bidi="en-US"/>
        </w:rPr>
      </w:pPr>
      <w:r w:rsidRPr="002A6659">
        <w:rPr>
          <w:rFonts w:eastAsia="MS Mincho"/>
          <w:lang w:val="pt-BR" w:bidi="en-US"/>
        </w:rPr>
        <w:t>Cumpre</w:t>
      </w:r>
      <w:r>
        <w:rPr>
          <w:rFonts w:eastAsia="MS Mincho"/>
          <w:lang w:val="pt-BR" w:bidi="en-US"/>
        </w:rPr>
        <w:t xml:space="preserve"> salientar</w:t>
      </w:r>
      <w:r w:rsidR="008E1BD6" w:rsidRPr="00113360">
        <w:rPr>
          <w:rFonts w:eastAsia="MS Mincho"/>
          <w:lang w:val="pt-BR" w:bidi="en-US"/>
        </w:rPr>
        <w:t xml:space="preserve">, quanto aos fatos, que foi estabelecido que 31 comunidades quilombolas foram deslocadas </w:t>
      </w:r>
      <w:r>
        <w:rPr>
          <w:rFonts w:eastAsia="MS Mincho"/>
          <w:lang w:val="pt-BR" w:bidi="en-US"/>
        </w:rPr>
        <w:t xml:space="preserve">de maneira forçada, </w:t>
      </w:r>
      <w:r w:rsidR="008E1BD6" w:rsidRPr="00113360">
        <w:rPr>
          <w:rFonts w:eastAsia="MS Mincho"/>
          <w:lang w:val="pt-BR" w:bidi="en-US"/>
        </w:rPr>
        <w:t>por ordem do Executivo</w:t>
      </w:r>
      <w:r>
        <w:rPr>
          <w:rFonts w:eastAsia="MS Mincho"/>
          <w:lang w:val="pt-BR" w:bidi="en-US"/>
        </w:rPr>
        <w:t>,</w:t>
      </w:r>
      <w:r w:rsidR="008E1BD6" w:rsidRPr="00113360">
        <w:rPr>
          <w:rFonts w:eastAsia="MS Mincho"/>
          <w:lang w:val="pt-BR" w:bidi="en-US"/>
        </w:rPr>
        <w:t xml:space="preserve"> durante um governo </w:t>
      </w:r>
      <w:r w:rsidR="008E1BD6" w:rsidRPr="00B74A23">
        <w:rPr>
          <w:rFonts w:eastAsia="MS Mincho"/>
          <w:i/>
          <w:iCs/>
          <w:lang w:val="pt-BR" w:bidi="en-US"/>
        </w:rPr>
        <w:t>de fa</w:t>
      </w:r>
      <w:r w:rsidRPr="00B74A23">
        <w:rPr>
          <w:rFonts w:eastAsia="MS Mincho"/>
          <w:i/>
          <w:iCs/>
          <w:lang w:val="pt-BR" w:bidi="en-US"/>
        </w:rPr>
        <w:t>c</w:t>
      </w:r>
      <w:r w:rsidR="008E1BD6" w:rsidRPr="00B74A23">
        <w:rPr>
          <w:rFonts w:eastAsia="MS Mincho"/>
          <w:i/>
          <w:iCs/>
          <w:lang w:val="pt-BR" w:bidi="en-US"/>
        </w:rPr>
        <w:t>to</w:t>
      </w:r>
      <w:r w:rsidR="008E1BD6" w:rsidRPr="00113360">
        <w:rPr>
          <w:rFonts w:eastAsia="MS Mincho"/>
          <w:lang w:val="pt-BR" w:bidi="en-US"/>
        </w:rPr>
        <w:t xml:space="preserve">, com interrupção do Estado de Direito. </w:t>
      </w:r>
      <w:r>
        <w:rPr>
          <w:rFonts w:eastAsia="MS Mincho"/>
          <w:lang w:val="pt-BR" w:bidi="en-US"/>
        </w:rPr>
        <w:t xml:space="preserve">Foi igualmente </w:t>
      </w:r>
      <w:r w:rsidR="008E1BD6" w:rsidRPr="00113360">
        <w:rPr>
          <w:rFonts w:eastAsia="MS Mincho"/>
          <w:lang w:val="pt-BR" w:bidi="en-US"/>
        </w:rPr>
        <w:t xml:space="preserve">estabelecido que os </w:t>
      </w:r>
      <w:r>
        <w:rPr>
          <w:rFonts w:eastAsia="MS Mincho"/>
          <w:lang w:val="pt-BR" w:bidi="en-US"/>
        </w:rPr>
        <w:t xml:space="preserve">danos </w:t>
      </w:r>
      <w:r w:rsidR="008E1BD6" w:rsidRPr="00113360">
        <w:rPr>
          <w:rFonts w:eastAsia="MS Mincho"/>
          <w:lang w:val="pt-BR" w:bidi="en-US"/>
        </w:rPr>
        <w:t>desse deslocamento</w:t>
      </w:r>
      <w:r w:rsidR="00A719F3">
        <w:rPr>
          <w:rFonts w:eastAsia="MS Mincho"/>
          <w:lang w:val="pt-BR" w:bidi="en-US"/>
        </w:rPr>
        <w:t>,</w:t>
      </w:r>
      <w:r w:rsidR="008E1BD6" w:rsidRPr="00113360">
        <w:rPr>
          <w:rFonts w:eastAsia="MS Mincho"/>
          <w:lang w:val="pt-BR" w:bidi="en-US"/>
        </w:rPr>
        <w:t xml:space="preserve"> em termos das circunstâncias e características do reassentamento para essas comunidades afrodescendentes</w:t>
      </w:r>
      <w:r w:rsidR="00A719F3">
        <w:rPr>
          <w:rFonts w:eastAsia="MS Mincho"/>
          <w:lang w:val="pt-BR" w:bidi="en-US"/>
        </w:rPr>
        <w:t>,</w:t>
      </w:r>
      <w:r w:rsidR="008E1BD6" w:rsidRPr="00113360">
        <w:rPr>
          <w:rFonts w:eastAsia="MS Mincho"/>
          <w:lang w:val="pt-BR" w:bidi="en-US"/>
        </w:rPr>
        <w:t xml:space="preserve"> se estendem até a atualidade.</w:t>
      </w:r>
    </w:p>
    <w:p w14:paraId="7422ACCD" w14:textId="77777777" w:rsidR="00034564" w:rsidRPr="00113360" w:rsidRDefault="00034564" w:rsidP="00034564">
      <w:pPr>
        <w:tabs>
          <w:tab w:val="left" w:pos="567"/>
        </w:tabs>
        <w:spacing w:line="240" w:lineRule="auto"/>
        <w:textAlignment w:val="auto"/>
        <w:rPr>
          <w:rFonts w:eastAsia="MS Mincho"/>
          <w:lang w:val="pt-BR" w:bidi="en-US"/>
        </w:rPr>
      </w:pPr>
    </w:p>
    <w:p w14:paraId="0D5AD7BB" w14:textId="1E42C061" w:rsidR="00AA5F87" w:rsidRPr="00113360" w:rsidRDefault="00034564" w:rsidP="00E36AE7">
      <w:pPr>
        <w:numPr>
          <w:ilvl w:val="0"/>
          <w:numId w:val="2"/>
        </w:numPr>
        <w:tabs>
          <w:tab w:val="left" w:pos="567"/>
        </w:tabs>
        <w:spacing w:line="240" w:lineRule="auto"/>
        <w:ind w:left="0" w:firstLine="0"/>
        <w:textAlignment w:val="auto"/>
        <w:rPr>
          <w:rFonts w:eastAsia="MS Mincho"/>
          <w:lang w:val="pt-BR" w:bidi="en-US"/>
        </w:rPr>
      </w:pPr>
      <w:r w:rsidRPr="00113360">
        <w:rPr>
          <w:lang w:val="pt-BR"/>
        </w:rPr>
        <w:t xml:space="preserve"> </w:t>
      </w:r>
      <w:r w:rsidR="008E1BD6" w:rsidRPr="00113360">
        <w:rPr>
          <w:lang w:val="pt-BR"/>
        </w:rPr>
        <w:t>Quanto ao direito, a Corte ressaltou que as disposições do artigo 22.1 da Convenção estabelecem</w:t>
      </w:r>
      <w:r w:rsidR="00A719F3">
        <w:rPr>
          <w:lang w:val="pt-BR"/>
        </w:rPr>
        <w:t>,</w:t>
      </w:r>
      <w:r w:rsidR="008E1BD6" w:rsidRPr="00113360">
        <w:rPr>
          <w:lang w:val="pt-BR"/>
        </w:rPr>
        <w:t xml:space="preserve"> como condição indispensável para o livre desenvolvimento da pessoa</w:t>
      </w:r>
      <w:r w:rsidR="00A719F3">
        <w:rPr>
          <w:lang w:val="pt-BR"/>
        </w:rPr>
        <w:t>,</w:t>
      </w:r>
      <w:r w:rsidR="008E1BD6" w:rsidRPr="00113360">
        <w:rPr>
          <w:lang w:val="pt-BR"/>
        </w:rPr>
        <w:t xml:space="preserve"> o direito daqueles que se encontr</w:t>
      </w:r>
      <w:r w:rsidR="00B74A23">
        <w:rPr>
          <w:lang w:val="pt-BR"/>
        </w:rPr>
        <w:t>e</w:t>
      </w:r>
      <w:r w:rsidR="008E1BD6" w:rsidRPr="00113360">
        <w:rPr>
          <w:lang w:val="pt-BR"/>
        </w:rPr>
        <w:t xml:space="preserve">m legalmente dentro de um Estado de </w:t>
      </w:r>
      <w:r w:rsidR="00B74A23">
        <w:rPr>
          <w:lang w:val="pt-BR"/>
        </w:rPr>
        <w:t xml:space="preserve">nele </w:t>
      </w:r>
      <w:r w:rsidR="008E1BD6" w:rsidRPr="00113360">
        <w:rPr>
          <w:lang w:val="pt-BR"/>
        </w:rPr>
        <w:t>circular livremente, bem como de escolher seu local de residência.</w:t>
      </w:r>
      <w:r w:rsidR="00C3417E" w:rsidRPr="00113360">
        <w:rPr>
          <w:lang w:val="pt-BR"/>
        </w:rPr>
        <w:t xml:space="preserve"> </w:t>
      </w:r>
      <w:r w:rsidR="00E36AE7" w:rsidRPr="00113360">
        <w:rPr>
          <w:lang w:val="pt-BR"/>
        </w:rPr>
        <w:t>Quando se trata de povos indígenas ou tribais, o direito de circulação e residência adquire conotação especial</w:t>
      </w:r>
      <w:r w:rsidR="00B74A23">
        <w:rPr>
          <w:lang w:val="pt-BR"/>
        </w:rPr>
        <w:t>,</w:t>
      </w:r>
      <w:r w:rsidR="00E36AE7" w:rsidRPr="00113360">
        <w:rPr>
          <w:lang w:val="pt-BR"/>
        </w:rPr>
        <w:t xml:space="preserve"> em virtude da relação particular desses povos com seu território, suas formas de organização e meios de subsistência, entre outros aspectos.</w:t>
      </w:r>
      <w:r w:rsidR="00C3417E" w:rsidRPr="00113360">
        <w:rPr>
          <w:rFonts w:eastAsia="Calibri"/>
          <w:vertAlign w:val="superscript"/>
          <w:lang w:val="pt-BR"/>
        </w:rPr>
        <w:footnoteReference w:id="3"/>
      </w:r>
    </w:p>
    <w:p w14:paraId="7112D5FB" w14:textId="77777777" w:rsidR="00AA5F87" w:rsidRPr="00113360" w:rsidRDefault="00AA5F87" w:rsidP="00AA5F87">
      <w:pPr>
        <w:pStyle w:val="Prrafodelista"/>
        <w:rPr>
          <w:lang w:val="pt-BR"/>
        </w:rPr>
      </w:pPr>
    </w:p>
    <w:p w14:paraId="2C470893" w14:textId="1529114C" w:rsidR="00AA5F87" w:rsidRPr="00113360" w:rsidRDefault="00E36AE7" w:rsidP="00A23372">
      <w:pPr>
        <w:numPr>
          <w:ilvl w:val="0"/>
          <w:numId w:val="2"/>
        </w:numPr>
        <w:tabs>
          <w:tab w:val="left" w:pos="567"/>
        </w:tabs>
        <w:spacing w:line="240" w:lineRule="auto"/>
        <w:ind w:left="0" w:firstLine="0"/>
        <w:textAlignment w:val="auto"/>
        <w:rPr>
          <w:rFonts w:eastAsia="MS Mincho"/>
          <w:lang w:val="pt-BR" w:bidi="en-US"/>
        </w:rPr>
      </w:pPr>
      <w:r w:rsidRPr="00113360">
        <w:rPr>
          <w:lang w:val="pt-BR"/>
        </w:rPr>
        <w:t xml:space="preserve">O direito à liberdade de circulação e residência inclui o direito de não ser deslocado </w:t>
      </w:r>
      <w:r w:rsidR="00B74A23">
        <w:rPr>
          <w:lang w:val="pt-BR"/>
        </w:rPr>
        <w:t xml:space="preserve">forçosamente </w:t>
      </w:r>
      <w:r w:rsidRPr="00113360">
        <w:rPr>
          <w:lang w:val="pt-BR"/>
        </w:rPr>
        <w:t>dentro de um Estado Parte. Segundo já estabelec</w:t>
      </w:r>
      <w:r w:rsidR="00A719F3">
        <w:rPr>
          <w:lang w:val="pt-BR"/>
        </w:rPr>
        <w:t>eu</w:t>
      </w:r>
      <w:r w:rsidRPr="00113360">
        <w:rPr>
          <w:lang w:val="pt-BR"/>
        </w:rPr>
        <w:t xml:space="preserve"> esta Corte, os Princípios </w:t>
      </w:r>
      <w:r w:rsidR="00B74A23">
        <w:rPr>
          <w:lang w:val="pt-BR"/>
        </w:rPr>
        <w:t xml:space="preserve">Reitores </w:t>
      </w:r>
      <w:r w:rsidRPr="00113360">
        <w:rPr>
          <w:lang w:val="pt-BR"/>
        </w:rPr>
        <w:t>sobre Deslocamento</w:t>
      </w:r>
      <w:r w:rsidR="00B74A23">
        <w:rPr>
          <w:lang w:val="pt-BR"/>
        </w:rPr>
        <w:t>s</w:t>
      </w:r>
      <w:r w:rsidRPr="00113360">
        <w:rPr>
          <w:lang w:val="pt-BR"/>
        </w:rPr>
        <w:t xml:space="preserve"> Interno</w:t>
      </w:r>
      <w:r w:rsidR="00B74A23">
        <w:rPr>
          <w:lang w:val="pt-BR"/>
        </w:rPr>
        <w:t>s</w:t>
      </w:r>
      <w:r w:rsidRPr="00113360">
        <w:rPr>
          <w:lang w:val="pt-BR"/>
        </w:rPr>
        <w:t xml:space="preserve"> das Nações Unidas</w:t>
      </w:r>
      <w:r w:rsidR="00AA5F87" w:rsidRPr="00113360">
        <w:rPr>
          <w:rFonts w:eastAsia="Calibri"/>
          <w:vertAlign w:val="superscript"/>
          <w:lang w:val="pt-BR"/>
        </w:rPr>
        <w:footnoteReference w:id="4"/>
      </w:r>
      <w:r w:rsidR="00AA5F87" w:rsidRPr="00113360">
        <w:rPr>
          <w:lang w:val="pt-BR"/>
        </w:rPr>
        <w:t xml:space="preserve"> </w:t>
      </w:r>
      <w:r w:rsidRPr="00113360">
        <w:rPr>
          <w:lang w:val="pt-BR"/>
        </w:rPr>
        <w:t>são relevantes para determinar o conteúdo e o alcance do artigo 22 da Convenção Americana.</w:t>
      </w:r>
      <w:r w:rsidR="00AA5F87" w:rsidRPr="00113360">
        <w:rPr>
          <w:rFonts w:eastAsia="Calibri"/>
          <w:vertAlign w:val="superscript"/>
          <w:lang w:val="pt-BR"/>
        </w:rPr>
        <w:footnoteReference w:id="5"/>
      </w:r>
      <w:r w:rsidR="00AA5F87" w:rsidRPr="00113360">
        <w:rPr>
          <w:lang w:val="pt-BR"/>
        </w:rPr>
        <w:t xml:space="preserve"> </w:t>
      </w:r>
      <w:r w:rsidR="00A51566" w:rsidRPr="00113360">
        <w:rPr>
          <w:lang w:val="pt-BR"/>
        </w:rPr>
        <w:t xml:space="preserve">A característica distintiva do deslocamento interno é o movimento </w:t>
      </w:r>
      <w:r w:rsidR="00B74A23">
        <w:rPr>
          <w:lang w:val="pt-BR"/>
        </w:rPr>
        <w:t>sob coerção</w:t>
      </w:r>
      <w:r w:rsidR="00A51566" w:rsidRPr="00113360">
        <w:rPr>
          <w:lang w:val="pt-BR"/>
        </w:rPr>
        <w:t xml:space="preserve"> ou involuntário que tem lugar dentro das fronteiras nacionais</w:t>
      </w:r>
      <w:r w:rsidR="00B74A23">
        <w:rPr>
          <w:lang w:val="pt-BR"/>
        </w:rPr>
        <w:t>,</w:t>
      </w:r>
      <w:r w:rsidR="00AA5F87" w:rsidRPr="00113360">
        <w:rPr>
          <w:rFonts w:eastAsia="Calibri"/>
          <w:vertAlign w:val="superscript"/>
          <w:lang w:val="pt-BR"/>
        </w:rPr>
        <w:footnoteReference w:id="6"/>
      </w:r>
      <w:r w:rsidR="00AA5F87" w:rsidRPr="00113360">
        <w:rPr>
          <w:lang w:val="pt-BR"/>
        </w:rPr>
        <w:t xml:space="preserve"> </w:t>
      </w:r>
      <w:r w:rsidR="00A51566" w:rsidRPr="00113360">
        <w:rPr>
          <w:lang w:val="pt-BR"/>
        </w:rPr>
        <w:t xml:space="preserve">e a definição empregada nos Princípios </w:t>
      </w:r>
      <w:r w:rsidR="00B74A23">
        <w:rPr>
          <w:lang w:val="pt-BR"/>
        </w:rPr>
        <w:t>Reitores</w:t>
      </w:r>
      <w:r w:rsidR="00A51566" w:rsidRPr="00113360">
        <w:rPr>
          <w:lang w:val="pt-BR"/>
        </w:rPr>
        <w:t xml:space="preserve"> deixa em aberto a consideração de situações nas quais o deslocamento é imposto à </w:t>
      </w:r>
      <w:r w:rsidR="00A51566" w:rsidRPr="00113360">
        <w:rPr>
          <w:lang w:val="pt-BR"/>
        </w:rPr>
        <w:lastRenderedPageBreak/>
        <w:t xml:space="preserve">população, incluindo </w:t>
      </w:r>
      <w:r w:rsidR="00B74A23">
        <w:rPr>
          <w:lang w:val="pt-BR"/>
        </w:rPr>
        <w:t>os deslocamentos que resultam</w:t>
      </w:r>
      <w:r w:rsidR="00A51566" w:rsidRPr="00113360">
        <w:rPr>
          <w:lang w:val="pt-BR"/>
        </w:rPr>
        <w:t xml:space="preserve"> de uma política organizada e sistemática implementada pelo próprio Estado.</w:t>
      </w:r>
      <w:r w:rsidR="00AA5F87" w:rsidRPr="00113360">
        <w:rPr>
          <w:rFonts w:eastAsia="Calibri"/>
          <w:vertAlign w:val="superscript"/>
          <w:lang w:val="pt-BR"/>
        </w:rPr>
        <w:footnoteReference w:id="7"/>
      </w:r>
      <w:r w:rsidR="00AA5F87" w:rsidRPr="00113360">
        <w:rPr>
          <w:lang w:val="pt-BR"/>
        </w:rPr>
        <w:t xml:space="preserve"> </w:t>
      </w:r>
      <w:r w:rsidR="00A23372" w:rsidRPr="00113360">
        <w:rPr>
          <w:lang w:val="pt-BR"/>
        </w:rPr>
        <w:t xml:space="preserve">A Corte, por sua vez, estabeleceu em sua jurisprudência que o deslocamento forçado apresenta uma natureza permanente e contínua </w:t>
      </w:r>
      <w:r w:rsidR="009E2ECA">
        <w:rPr>
          <w:lang w:val="pt-BR"/>
        </w:rPr>
        <w:t xml:space="preserve">enquanto não </w:t>
      </w:r>
      <w:r w:rsidR="00B74A23">
        <w:rPr>
          <w:lang w:val="pt-BR"/>
        </w:rPr>
        <w:t xml:space="preserve">se verifiquem as </w:t>
      </w:r>
      <w:r w:rsidR="00A23372" w:rsidRPr="00113360">
        <w:rPr>
          <w:lang w:val="pt-BR"/>
        </w:rPr>
        <w:t>condições para o retorno</w:t>
      </w:r>
      <w:r w:rsidR="00E204B2" w:rsidRPr="00113360">
        <w:rPr>
          <w:rFonts w:eastAsia="Calibri"/>
          <w:vertAlign w:val="superscript"/>
          <w:lang w:val="pt-BR"/>
        </w:rPr>
        <w:footnoteReference w:id="8"/>
      </w:r>
      <w:r w:rsidR="00E204B2" w:rsidRPr="00113360">
        <w:rPr>
          <w:lang w:val="pt-BR"/>
        </w:rPr>
        <w:t xml:space="preserve"> </w:t>
      </w:r>
      <w:r w:rsidR="00A23372" w:rsidRPr="00113360">
        <w:rPr>
          <w:lang w:val="pt-BR"/>
        </w:rPr>
        <w:t xml:space="preserve">ou </w:t>
      </w:r>
      <w:r w:rsidR="00B74A23">
        <w:rPr>
          <w:lang w:val="pt-BR"/>
        </w:rPr>
        <w:t xml:space="preserve">o </w:t>
      </w:r>
      <w:r w:rsidR="00A23372" w:rsidRPr="00113360">
        <w:rPr>
          <w:lang w:val="pt-BR"/>
        </w:rPr>
        <w:t xml:space="preserve">reassentamento permanente. No caso </w:t>
      </w:r>
      <w:r w:rsidR="00A23372" w:rsidRPr="00113360">
        <w:rPr>
          <w:i/>
          <w:lang w:val="pt-BR"/>
        </w:rPr>
        <w:t>sub judice</w:t>
      </w:r>
      <w:r w:rsidR="00A23372" w:rsidRPr="00113360">
        <w:rPr>
          <w:lang w:val="pt-BR"/>
        </w:rPr>
        <w:t xml:space="preserve">, as condições para o reassentamento permanente não foram </w:t>
      </w:r>
      <w:r w:rsidR="00EC56C7">
        <w:rPr>
          <w:lang w:val="pt-BR"/>
        </w:rPr>
        <w:t>atendidas</w:t>
      </w:r>
      <w:r w:rsidR="00A23372" w:rsidRPr="00113360">
        <w:rPr>
          <w:lang w:val="pt-BR"/>
        </w:rPr>
        <w:t>.</w:t>
      </w:r>
      <w:r w:rsidR="00182649" w:rsidRPr="00113360">
        <w:rPr>
          <w:lang w:val="pt-BR"/>
        </w:rPr>
        <w:t xml:space="preserve"> </w:t>
      </w:r>
      <w:r w:rsidR="00A23372" w:rsidRPr="00113360">
        <w:rPr>
          <w:lang w:val="pt-BR"/>
        </w:rPr>
        <w:t>Portanto, a responsabilidade pelos atos e omissões vinculados ao deslocamento forçado das 31 Comunidades Quilombolas de Alcântara é diretamente atribuível ao Estado e se estende até o presente.</w:t>
      </w:r>
    </w:p>
    <w:p w14:paraId="3C20BA42" w14:textId="77777777" w:rsidR="00AA5F87" w:rsidRPr="00113360" w:rsidRDefault="00AA5F87" w:rsidP="00AA5F87">
      <w:pPr>
        <w:pStyle w:val="Prrafodelista"/>
        <w:rPr>
          <w:lang w:val="pt-BR"/>
        </w:rPr>
      </w:pPr>
    </w:p>
    <w:p w14:paraId="23987FF3" w14:textId="19793D7F" w:rsidR="00E204B2" w:rsidRPr="00113360" w:rsidRDefault="009142E8" w:rsidP="009142E8">
      <w:pPr>
        <w:numPr>
          <w:ilvl w:val="0"/>
          <w:numId w:val="2"/>
        </w:numPr>
        <w:tabs>
          <w:tab w:val="left" w:pos="567"/>
        </w:tabs>
        <w:spacing w:line="240" w:lineRule="auto"/>
        <w:ind w:left="0" w:firstLine="0"/>
        <w:textAlignment w:val="auto"/>
        <w:rPr>
          <w:rFonts w:eastAsia="MS Mincho"/>
          <w:lang w:val="pt-BR" w:bidi="en-US"/>
        </w:rPr>
      </w:pPr>
      <w:r w:rsidRPr="00113360">
        <w:rPr>
          <w:lang w:val="pt-BR"/>
        </w:rPr>
        <w:tab/>
        <w:t xml:space="preserve">A </w:t>
      </w:r>
      <w:r w:rsidRPr="008C3F03">
        <w:rPr>
          <w:lang w:val="pt-BR"/>
        </w:rPr>
        <w:t>jurisprudência</w:t>
      </w:r>
      <w:r w:rsidRPr="00113360">
        <w:rPr>
          <w:lang w:val="pt-BR"/>
        </w:rPr>
        <w:t xml:space="preserve"> da Corte estabelece que - conforme suas obrigações de respeito e garantia - os Estados devem abster-se de atos ou omissões que </w:t>
      </w:r>
      <w:r w:rsidR="000C181C">
        <w:rPr>
          <w:lang w:val="pt-BR"/>
        </w:rPr>
        <w:t>provoquem</w:t>
      </w:r>
      <w:r w:rsidRPr="00113360">
        <w:rPr>
          <w:lang w:val="pt-BR"/>
        </w:rPr>
        <w:t xml:space="preserve"> deslocamento forçado, e têm a obrigação de adotar medidas positivas para responder adequadamente a situações causadas por atos </w:t>
      </w:r>
      <w:r w:rsidR="008C3F03">
        <w:rPr>
          <w:lang w:val="pt-BR"/>
        </w:rPr>
        <w:t xml:space="preserve">tanto </w:t>
      </w:r>
      <w:r w:rsidRPr="00113360">
        <w:rPr>
          <w:lang w:val="pt-BR"/>
        </w:rPr>
        <w:t xml:space="preserve">estatais quanto </w:t>
      </w:r>
      <w:r w:rsidR="008C3F03">
        <w:rPr>
          <w:lang w:val="pt-BR"/>
        </w:rPr>
        <w:t xml:space="preserve">de </w:t>
      </w:r>
      <w:r w:rsidRPr="00113360">
        <w:rPr>
          <w:lang w:val="pt-BR"/>
        </w:rPr>
        <w:t>terceiros.</w:t>
      </w:r>
      <w:r w:rsidR="00C3417E" w:rsidRPr="00113360">
        <w:rPr>
          <w:rFonts w:eastAsia="Calibri"/>
          <w:vertAlign w:val="superscript"/>
          <w:lang w:val="pt-BR"/>
        </w:rPr>
        <w:footnoteReference w:id="9"/>
      </w:r>
      <w:r w:rsidR="00C3417E" w:rsidRPr="00113360">
        <w:rPr>
          <w:lang w:val="pt-BR"/>
        </w:rPr>
        <w:t xml:space="preserve"> </w:t>
      </w:r>
      <w:r w:rsidRPr="00113360">
        <w:rPr>
          <w:lang w:val="pt-BR"/>
        </w:rPr>
        <w:t xml:space="preserve">Devido à complexidade do fenômeno do deslocamento interno e da gama de direitos potencialmente afetados, a situação das pessoas ou comunidades deslocadas pode ser entendida como uma condição </w:t>
      </w:r>
      <w:r w:rsidRPr="000C181C">
        <w:rPr>
          <w:i/>
          <w:iCs/>
          <w:lang w:val="pt-BR"/>
        </w:rPr>
        <w:t>de fa</w:t>
      </w:r>
      <w:r w:rsidR="000C181C" w:rsidRPr="000C181C">
        <w:rPr>
          <w:i/>
          <w:iCs/>
          <w:lang w:val="pt-BR"/>
        </w:rPr>
        <w:t>c</w:t>
      </w:r>
      <w:r w:rsidRPr="000C181C">
        <w:rPr>
          <w:i/>
          <w:iCs/>
          <w:lang w:val="pt-BR"/>
        </w:rPr>
        <w:t>to</w:t>
      </w:r>
      <w:r w:rsidRPr="00113360">
        <w:rPr>
          <w:lang w:val="pt-BR"/>
        </w:rPr>
        <w:t xml:space="preserve"> de </w:t>
      </w:r>
      <w:r w:rsidR="000C181C">
        <w:rPr>
          <w:lang w:val="pt-BR"/>
        </w:rPr>
        <w:t>des</w:t>
      </w:r>
      <w:r w:rsidRPr="00113360">
        <w:rPr>
          <w:lang w:val="pt-BR"/>
        </w:rPr>
        <w:t>proteção.</w:t>
      </w:r>
      <w:r w:rsidR="00C3417E" w:rsidRPr="00113360">
        <w:rPr>
          <w:rFonts w:eastAsia="Calibri"/>
          <w:vertAlign w:val="superscript"/>
          <w:lang w:val="pt-BR"/>
        </w:rPr>
        <w:footnoteReference w:id="10"/>
      </w:r>
      <w:r w:rsidR="00C3417E" w:rsidRPr="00113360">
        <w:rPr>
          <w:lang w:val="pt-BR"/>
        </w:rPr>
        <w:t xml:space="preserve"> </w:t>
      </w:r>
    </w:p>
    <w:p w14:paraId="1F480A1E" w14:textId="77777777" w:rsidR="00E204B2" w:rsidRPr="00113360" w:rsidRDefault="00E204B2" w:rsidP="00E204B2">
      <w:pPr>
        <w:pStyle w:val="Prrafodelista"/>
        <w:rPr>
          <w:rFonts w:eastAsia="MS Mincho"/>
          <w:lang w:val="pt-BR" w:bidi="en-US"/>
        </w:rPr>
      </w:pPr>
    </w:p>
    <w:p w14:paraId="208B1E9C" w14:textId="7FB53DCE" w:rsidR="00C3417E" w:rsidRPr="00113360" w:rsidRDefault="009142E8" w:rsidP="009142E8">
      <w:pPr>
        <w:numPr>
          <w:ilvl w:val="0"/>
          <w:numId w:val="2"/>
        </w:numPr>
        <w:tabs>
          <w:tab w:val="left" w:pos="567"/>
        </w:tabs>
        <w:spacing w:line="240" w:lineRule="auto"/>
        <w:ind w:left="0" w:firstLine="0"/>
        <w:textAlignment w:val="auto"/>
        <w:rPr>
          <w:rFonts w:eastAsia="MS Mincho"/>
          <w:lang w:val="pt-BR" w:bidi="en-US"/>
        </w:rPr>
      </w:pPr>
      <w:r w:rsidRPr="00113360">
        <w:rPr>
          <w:rFonts w:eastAsia="MS Mincho"/>
          <w:lang w:val="pt-BR" w:bidi="en-US"/>
        </w:rPr>
        <w:t xml:space="preserve">Quanto aos povos indígenas e tribais, a Convenção 169 da OIT estabelece a proibição do deslocamento forçado de suas terras ou territórios e </w:t>
      </w:r>
      <w:r w:rsidR="00DE73FA">
        <w:rPr>
          <w:rFonts w:eastAsia="MS Mincho"/>
          <w:lang w:val="pt-BR" w:bidi="en-US"/>
        </w:rPr>
        <w:t>dispõe</w:t>
      </w:r>
      <w:r w:rsidRPr="00113360">
        <w:rPr>
          <w:rFonts w:eastAsia="MS Mincho"/>
          <w:lang w:val="pt-BR" w:bidi="en-US"/>
        </w:rPr>
        <w:t xml:space="preserve"> que “</w:t>
      </w:r>
      <w:r w:rsidR="00DE73FA">
        <w:rPr>
          <w:rFonts w:eastAsia="MS Mincho"/>
          <w:lang w:val="pt-BR" w:bidi="en-US"/>
        </w:rPr>
        <w:t>[</w:t>
      </w:r>
      <w:r w:rsidRPr="00113360">
        <w:rPr>
          <w:rFonts w:eastAsia="MS Mincho"/>
          <w:lang w:val="pt-BR" w:bidi="en-US"/>
        </w:rPr>
        <w:t>n</w:t>
      </w:r>
      <w:r w:rsidR="00DE73FA">
        <w:rPr>
          <w:rFonts w:eastAsia="MS Mincho"/>
          <w:lang w:val="pt-BR" w:bidi="en-US"/>
        </w:rPr>
        <w:t>]</w:t>
      </w:r>
      <w:proofErr w:type="spellStart"/>
      <w:r w:rsidRPr="00113360">
        <w:rPr>
          <w:rFonts w:eastAsia="MS Mincho"/>
          <w:lang w:val="pt-BR" w:bidi="en-US"/>
        </w:rPr>
        <w:t>ão</w:t>
      </w:r>
      <w:proofErr w:type="spellEnd"/>
      <w:r w:rsidRPr="00113360">
        <w:rPr>
          <w:rFonts w:eastAsia="MS Mincho"/>
          <w:lang w:val="pt-BR" w:bidi="en-US"/>
        </w:rPr>
        <w:t xml:space="preserve"> </w:t>
      </w:r>
      <w:r w:rsidR="00DE73FA">
        <w:rPr>
          <w:rFonts w:eastAsia="MS Mincho"/>
          <w:lang w:val="pt-BR" w:bidi="en-US"/>
        </w:rPr>
        <w:t xml:space="preserve">se procederá a nenhum </w:t>
      </w:r>
      <w:r w:rsidRPr="00113360">
        <w:rPr>
          <w:rFonts w:eastAsia="MS Mincho"/>
          <w:lang w:val="pt-BR" w:bidi="en-US"/>
        </w:rPr>
        <w:t xml:space="preserve">traslado sem o consentimento livre, prévio e </w:t>
      </w:r>
      <w:r w:rsidR="00DE73FA">
        <w:rPr>
          <w:rFonts w:eastAsia="MS Mincho"/>
          <w:lang w:val="pt-BR" w:bidi="en-US"/>
        </w:rPr>
        <w:t xml:space="preserve">informado </w:t>
      </w:r>
      <w:r w:rsidRPr="00113360">
        <w:rPr>
          <w:rFonts w:eastAsia="MS Mincho"/>
          <w:lang w:val="pt-BR" w:bidi="en-US"/>
        </w:rPr>
        <w:t>dos povos indígenas interessados, nem sem um acordo prévio sobre uma indenização justa e equitativa e, sempre que seja possível, a opção d</w:t>
      </w:r>
      <w:r w:rsidR="00DE73FA">
        <w:rPr>
          <w:rFonts w:eastAsia="MS Mincho"/>
          <w:lang w:val="pt-BR" w:bidi="en-US"/>
        </w:rPr>
        <w:t>o</w:t>
      </w:r>
      <w:r w:rsidRPr="00113360">
        <w:rPr>
          <w:rFonts w:eastAsia="MS Mincho"/>
          <w:lang w:val="pt-BR" w:bidi="en-US"/>
        </w:rPr>
        <w:t xml:space="preserve"> </w:t>
      </w:r>
      <w:r w:rsidR="00DE73FA">
        <w:rPr>
          <w:rFonts w:eastAsia="MS Mincho"/>
          <w:lang w:val="pt-BR" w:bidi="en-US"/>
        </w:rPr>
        <w:t>regresso</w:t>
      </w:r>
      <w:r w:rsidRPr="00113360">
        <w:rPr>
          <w:rFonts w:eastAsia="MS Mincho"/>
          <w:lang w:val="pt-BR" w:bidi="en-US"/>
        </w:rPr>
        <w:t>”.</w:t>
      </w:r>
      <w:r w:rsidR="00E204B2" w:rsidRPr="00113360">
        <w:rPr>
          <w:rFonts w:eastAsia="Calibri"/>
          <w:vertAlign w:val="superscript"/>
          <w:lang w:val="pt-BR"/>
        </w:rPr>
        <w:footnoteReference w:id="11"/>
      </w:r>
      <w:r w:rsidR="00E204B2" w:rsidRPr="00113360">
        <w:rPr>
          <w:rFonts w:eastAsia="MS Mincho"/>
          <w:lang w:val="pt-BR" w:bidi="en-US"/>
        </w:rPr>
        <w:t xml:space="preserve"> </w:t>
      </w:r>
      <w:r w:rsidRPr="00113360">
        <w:rPr>
          <w:lang w:val="pt-BR"/>
        </w:rPr>
        <w:t xml:space="preserve">A Corte estabeleceu em sua própria jurisprudência que o deslocamento forçado de povos indígenas ou tribais para fora de seus territórios tradicionais os coloca em situação </w:t>
      </w:r>
      <w:r w:rsidR="00DE73FA">
        <w:rPr>
          <w:lang w:val="pt-BR"/>
        </w:rPr>
        <w:t xml:space="preserve">de </w:t>
      </w:r>
      <w:r w:rsidRPr="00113360">
        <w:rPr>
          <w:lang w:val="pt-BR"/>
        </w:rPr>
        <w:t>especial vulnerabilidade com “consequências destrutivas sobre o tecido étnico e cultural [... e] risco de extinção cultural ou física”</w:t>
      </w:r>
      <w:r w:rsidR="00EA3A69">
        <w:rPr>
          <w:lang w:val="pt-BR"/>
        </w:rPr>
        <w:t>,</w:t>
      </w:r>
      <w:r w:rsidR="00E204B2" w:rsidRPr="00113360">
        <w:rPr>
          <w:rFonts w:eastAsia="Calibri"/>
          <w:vertAlign w:val="superscript"/>
          <w:lang w:val="pt-BR"/>
        </w:rPr>
        <w:footnoteReference w:id="12"/>
      </w:r>
      <w:r w:rsidR="00E204B2" w:rsidRPr="00113360">
        <w:rPr>
          <w:lang w:val="pt-BR"/>
        </w:rPr>
        <w:t xml:space="preserve"> </w:t>
      </w:r>
      <w:r w:rsidRPr="00113360">
        <w:rPr>
          <w:lang w:val="pt-BR"/>
        </w:rPr>
        <w:t xml:space="preserve">e que os Estados têm obrigações positivas de proteção que devem </w:t>
      </w:r>
      <w:r w:rsidR="00DE73FA">
        <w:rPr>
          <w:lang w:val="pt-BR"/>
        </w:rPr>
        <w:t xml:space="preserve">levar </w:t>
      </w:r>
      <w:r w:rsidRPr="00113360">
        <w:rPr>
          <w:lang w:val="pt-BR"/>
        </w:rPr>
        <w:t xml:space="preserve">em conta os valores, </w:t>
      </w:r>
      <w:r w:rsidR="00DE73FA">
        <w:rPr>
          <w:lang w:val="pt-BR"/>
        </w:rPr>
        <w:t xml:space="preserve">usos e </w:t>
      </w:r>
      <w:r w:rsidRPr="00113360">
        <w:rPr>
          <w:lang w:val="pt-BR"/>
        </w:rPr>
        <w:t>costumes desses povos.</w:t>
      </w:r>
      <w:r w:rsidR="00E204B2" w:rsidRPr="00113360">
        <w:rPr>
          <w:rFonts w:eastAsia="Calibri"/>
          <w:vertAlign w:val="superscript"/>
          <w:lang w:val="pt-BR"/>
        </w:rPr>
        <w:footnoteReference w:id="13"/>
      </w:r>
      <w:r w:rsidR="00E204B2" w:rsidRPr="00113360">
        <w:rPr>
          <w:rFonts w:eastAsia="MS Mincho"/>
          <w:lang w:val="pt-BR" w:bidi="en-US"/>
        </w:rPr>
        <w:t xml:space="preserve"> </w:t>
      </w:r>
      <w:r w:rsidRPr="00113360">
        <w:rPr>
          <w:rFonts w:eastAsia="MS Mincho"/>
          <w:lang w:val="pt-BR" w:bidi="en-US"/>
        </w:rPr>
        <w:t xml:space="preserve">No caso </w:t>
      </w:r>
      <w:r w:rsidRPr="00EA3A69">
        <w:rPr>
          <w:rFonts w:eastAsia="MS Mincho"/>
          <w:i/>
          <w:iCs/>
          <w:lang w:val="pt-BR" w:bidi="en-US"/>
        </w:rPr>
        <w:t>sub judice</w:t>
      </w:r>
      <w:r w:rsidRPr="00113360">
        <w:rPr>
          <w:rFonts w:eastAsia="MS Mincho"/>
          <w:lang w:val="pt-BR" w:bidi="en-US"/>
        </w:rPr>
        <w:t xml:space="preserve">, as circunstâncias de precariedade legal e falta de proteção judicial e cultural das comunidades foram reconhecidas pelo Estado e pela decisão </w:t>
      </w:r>
      <w:r w:rsidR="00DE73FA">
        <w:rPr>
          <w:rFonts w:eastAsia="MS Mincho"/>
          <w:lang w:val="pt-BR" w:bidi="en-US"/>
        </w:rPr>
        <w:t>da maioria</w:t>
      </w:r>
      <w:r w:rsidRPr="00113360">
        <w:rPr>
          <w:rFonts w:eastAsia="MS Mincho"/>
          <w:lang w:val="pt-BR" w:bidi="en-US"/>
        </w:rPr>
        <w:t xml:space="preserve">, que também </w:t>
      </w:r>
      <w:r w:rsidR="00DE73FA">
        <w:rPr>
          <w:rFonts w:eastAsia="MS Mincho"/>
          <w:lang w:val="pt-BR" w:bidi="en-US"/>
        </w:rPr>
        <w:t xml:space="preserve">fez referência </w:t>
      </w:r>
      <w:r w:rsidRPr="00113360">
        <w:rPr>
          <w:rFonts w:eastAsia="MS Mincho"/>
          <w:lang w:val="pt-BR" w:bidi="en-US"/>
        </w:rPr>
        <w:t>à situação de racismo estrutural e seu impacto nas vítimas.</w:t>
      </w:r>
    </w:p>
    <w:p w14:paraId="41CC04A3" w14:textId="77777777" w:rsidR="00C3417E" w:rsidRPr="00113360" w:rsidRDefault="00C3417E" w:rsidP="00E204B2">
      <w:pPr>
        <w:rPr>
          <w:lang w:val="pt-BR"/>
        </w:rPr>
      </w:pPr>
    </w:p>
    <w:p w14:paraId="1C1178EE" w14:textId="193C9346" w:rsidR="00C3417E" w:rsidRPr="00113360" w:rsidRDefault="009142E8" w:rsidP="00A206D5">
      <w:pPr>
        <w:numPr>
          <w:ilvl w:val="0"/>
          <w:numId w:val="2"/>
        </w:numPr>
        <w:tabs>
          <w:tab w:val="left" w:pos="567"/>
        </w:tabs>
        <w:spacing w:line="240" w:lineRule="auto"/>
        <w:ind w:left="0" w:firstLine="0"/>
        <w:textAlignment w:val="auto"/>
        <w:rPr>
          <w:rFonts w:eastAsia="MS Mincho"/>
          <w:lang w:val="pt-BR" w:bidi="en-US"/>
        </w:rPr>
      </w:pPr>
      <w:r w:rsidRPr="00113360">
        <w:rPr>
          <w:lang w:val="pt-BR"/>
        </w:rPr>
        <w:t xml:space="preserve">A </w:t>
      </w:r>
      <w:r w:rsidRPr="006F2F86">
        <w:rPr>
          <w:lang w:val="pt-BR"/>
        </w:rPr>
        <w:t>jurisprudência</w:t>
      </w:r>
      <w:r w:rsidRPr="00113360">
        <w:rPr>
          <w:lang w:val="pt-BR"/>
        </w:rPr>
        <w:t xml:space="preserve"> da Corte estabelece que a obrigação positiva dos Estados de proteger os direitos das pessoas deslocadas implica o dever de adotar tanto medidas de prevenção como medidas </w:t>
      </w:r>
      <w:r w:rsidR="006F2F86">
        <w:rPr>
          <w:lang w:val="pt-BR"/>
        </w:rPr>
        <w:t>destinadas</w:t>
      </w:r>
      <w:r w:rsidRPr="00113360">
        <w:rPr>
          <w:lang w:val="pt-BR"/>
        </w:rPr>
        <w:t xml:space="preserve"> a assegurar as condições necessárias para o reassentamento voluntário em condições dignas, nos casos </w:t>
      </w:r>
      <w:r w:rsidR="006F2F86">
        <w:rPr>
          <w:lang w:val="pt-BR"/>
        </w:rPr>
        <w:t xml:space="preserve">em que </w:t>
      </w:r>
      <w:r w:rsidRPr="00113360">
        <w:rPr>
          <w:lang w:val="pt-BR"/>
        </w:rPr>
        <w:t>o retorno não seja viável.</w:t>
      </w:r>
      <w:r w:rsidR="00C3417E" w:rsidRPr="00113360">
        <w:rPr>
          <w:lang w:val="pt-BR"/>
        </w:rPr>
        <w:t xml:space="preserve"> </w:t>
      </w:r>
      <w:r w:rsidRPr="00113360">
        <w:rPr>
          <w:lang w:val="pt-BR"/>
        </w:rPr>
        <w:t>Para isso, deve-se garantir a participação plena das comunidades deslocadas no planejamento e na gestão do reassentamento.</w:t>
      </w:r>
      <w:r w:rsidR="00C3417E" w:rsidRPr="00113360">
        <w:rPr>
          <w:rFonts w:eastAsia="Calibri"/>
          <w:vertAlign w:val="superscript"/>
          <w:lang w:val="pt-BR"/>
        </w:rPr>
        <w:footnoteReference w:id="14"/>
      </w:r>
      <w:r w:rsidR="00182649" w:rsidRPr="00113360">
        <w:rPr>
          <w:rFonts w:eastAsia="MS Mincho"/>
          <w:lang w:val="pt-BR" w:bidi="en-US"/>
        </w:rPr>
        <w:t xml:space="preserve"> </w:t>
      </w:r>
      <w:r w:rsidR="00A206D5" w:rsidRPr="00113360">
        <w:rPr>
          <w:lang w:val="pt-BR"/>
        </w:rPr>
        <w:t xml:space="preserve">Os Princípios Reitores sobre </w:t>
      </w:r>
      <w:r w:rsidR="00A206D5" w:rsidRPr="00113360">
        <w:rPr>
          <w:lang w:val="pt-BR"/>
        </w:rPr>
        <w:lastRenderedPageBreak/>
        <w:t>Deslocamento</w:t>
      </w:r>
      <w:r w:rsidR="006F2F86">
        <w:rPr>
          <w:lang w:val="pt-BR"/>
        </w:rPr>
        <w:t>s</w:t>
      </w:r>
      <w:r w:rsidR="00A206D5" w:rsidRPr="00113360">
        <w:rPr>
          <w:lang w:val="pt-BR"/>
        </w:rPr>
        <w:t xml:space="preserve"> estabelecem obrigações específicas em matéria de reassentamento. Em particular, o Princípio 28.1 estabelece que as autoridades competentes devem proporcionar os meios que permitam o reassentamento voluntário;</w:t>
      </w:r>
      <w:r w:rsidR="00C3417E" w:rsidRPr="00113360">
        <w:rPr>
          <w:lang w:val="pt-BR"/>
        </w:rPr>
        <w:t xml:space="preserve"> </w:t>
      </w:r>
      <w:r w:rsidR="00EA3A69">
        <w:rPr>
          <w:lang w:val="pt-BR"/>
        </w:rPr>
        <w:t>o</w:t>
      </w:r>
      <w:r w:rsidR="00A206D5" w:rsidRPr="00113360">
        <w:rPr>
          <w:lang w:val="pt-BR"/>
        </w:rPr>
        <w:t xml:space="preserve"> Princípio 28.2. </w:t>
      </w:r>
      <w:r w:rsidR="00EA3A69">
        <w:rPr>
          <w:lang w:val="pt-BR"/>
        </w:rPr>
        <w:t>dispõe</w:t>
      </w:r>
      <w:r w:rsidR="00A206D5" w:rsidRPr="00113360">
        <w:rPr>
          <w:lang w:val="pt-BR"/>
        </w:rPr>
        <w:t xml:space="preserve"> que devem ser </w:t>
      </w:r>
      <w:r w:rsidR="006F2F86">
        <w:rPr>
          <w:lang w:val="pt-BR"/>
        </w:rPr>
        <w:t>envidados</w:t>
      </w:r>
      <w:r w:rsidR="00A206D5" w:rsidRPr="00113360">
        <w:rPr>
          <w:lang w:val="pt-BR"/>
        </w:rPr>
        <w:t xml:space="preserve"> esforços especiais </w:t>
      </w:r>
      <w:r w:rsidR="006F2F86">
        <w:rPr>
          <w:lang w:val="pt-BR"/>
        </w:rPr>
        <w:t xml:space="preserve">por </w:t>
      </w:r>
      <w:r w:rsidR="00A206D5" w:rsidRPr="00113360">
        <w:rPr>
          <w:lang w:val="pt-BR"/>
        </w:rPr>
        <w:t>assegurar a plena participação dos deslocados internos no planejamento e gestão de seu reassentamento e reintegração;</w:t>
      </w:r>
      <w:r w:rsidR="00C3417E" w:rsidRPr="00113360">
        <w:rPr>
          <w:lang w:val="pt-BR"/>
        </w:rPr>
        <w:t xml:space="preserve"> </w:t>
      </w:r>
      <w:r w:rsidR="00A206D5" w:rsidRPr="00113360">
        <w:rPr>
          <w:lang w:val="pt-BR"/>
        </w:rPr>
        <w:t xml:space="preserve">e o Princípio 29.2 </w:t>
      </w:r>
      <w:r w:rsidR="00EA3A69">
        <w:rPr>
          <w:lang w:val="pt-BR"/>
        </w:rPr>
        <w:t>determina</w:t>
      </w:r>
      <w:r w:rsidR="00A206D5" w:rsidRPr="00113360">
        <w:rPr>
          <w:lang w:val="pt-BR"/>
        </w:rPr>
        <w:t xml:space="preserve"> que as autoridades competentes têm a obrigação e a responsabilidade de prestar assistência aos deslocados internos que </w:t>
      </w:r>
      <w:r w:rsidR="006F2F86">
        <w:rPr>
          <w:lang w:val="pt-BR"/>
        </w:rPr>
        <w:t>tenham sido</w:t>
      </w:r>
      <w:r w:rsidR="00A206D5" w:rsidRPr="00113360">
        <w:rPr>
          <w:lang w:val="pt-BR"/>
        </w:rPr>
        <w:t xml:space="preserve"> reassentados e de assegurar uma indenização adequada ou outra forma de reparação justa </w:t>
      </w:r>
      <w:r w:rsidR="006F2F86">
        <w:rPr>
          <w:lang w:val="pt-BR"/>
        </w:rPr>
        <w:t xml:space="preserve">quanto </w:t>
      </w:r>
      <w:r w:rsidR="00A206D5" w:rsidRPr="00113360">
        <w:rPr>
          <w:lang w:val="pt-BR"/>
        </w:rPr>
        <w:t xml:space="preserve">à propriedade ou </w:t>
      </w:r>
      <w:r w:rsidR="006F2F86">
        <w:rPr>
          <w:lang w:val="pt-BR"/>
        </w:rPr>
        <w:t>haveres</w:t>
      </w:r>
      <w:r w:rsidR="00A206D5" w:rsidRPr="00113360">
        <w:rPr>
          <w:lang w:val="pt-BR"/>
        </w:rPr>
        <w:t xml:space="preserve"> que </w:t>
      </w:r>
      <w:r w:rsidR="006F2F86">
        <w:rPr>
          <w:lang w:val="pt-BR"/>
        </w:rPr>
        <w:t xml:space="preserve">tenham abandonado </w:t>
      </w:r>
      <w:r w:rsidR="00A206D5" w:rsidRPr="00113360">
        <w:rPr>
          <w:lang w:val="pt-BR"/>
        </w:rPr>
        <w:t xml:space="preserve">ou de que </w:t>
      </w:r>
      <w:r w:rsidR="00EA3A69">
        <w:rPr>
          <w:lang w:val="pt-BR"/>
        </w:rPr>
        <w:t>tenham sido privados</w:t>
      </w:r>
      <w:r w:rsidR="00A206D5" w:rsidRPr="00113360">
        <w:rPr>
          <w:lang w:val="pt-BR"/>
        </w:rPr>
        <w:t xml:space="preserve"> quando </w:t>
      </w:r>
      <w:r w:rsidR="006F2F86">
        <w:rPr>
          <w:lang w:val="pt-BR"/>
        </w:rPr>
        <w:t>se deslocaram</w:t>
      </w:r>
      <w:r w:rsidR="00A206D5" w:rsidRPr="00113360">
        <w:rPr>
          <w:lang w:val="pt-BR"/>
        </w:rPr>
        <w:t>.</w:t>
      </w:r>
      <w:r w:rsidR="00C3417E" w:rsidRPr="00113360">
        <w:rPr>
          <w:lang w:val="pt-BR"/>
        </w:rPr>
        <w:t xml:space="preserve"> </w:t>
      </w:r>
      <w:r w:rsidR="00A206D5" w:rsidRPr="00113360">
        <w:rPr>
          <w:lang w:val="pt-BR"/>
        </w:rPr>
        <w:t xml:space="preserve">No caso </w:t>
      </w:r>
      <w:r w:rsidR="00A206D5" w:rsidRPr="006F2F86">
        <w:rPr>
          <w:i/>
          <w:iCs/>
          <w:lang w:val="pt-BR"/>
        </w:rPr>
        <w:t>sub judice</w:t>
      </w:r>
      <w:r w:rsidR="00A206D5" w:rsidRPr="00113360">
        <w:rPr>
          <w:lang w:val="pt-BR"/>
        </w:rPr>
        <w:t xml:space="preserve">, </w:t>
      </w:r>
      <w:r w:rsidR="006F2F86">
        <w:rPr>
          <w:lang w:val="pt-BR"/>
        </w:rPr>
        <w:t xml:space="preserve">decorre </w:t>
      </w:r>
      <w:r w:rsidR="00A206D5" w:rsidRPr="00113360">
        <w:rPr>
          <w:lang w:val="pt-BR"/>
        </w:rPr>
        <w:t>do reconhecimento parcial da responsabilidade do Estado e das medidas informadas após a audiência pública, bem como das determinações de fato e de direito na Sentença, que - após quatro décadas de precariedade e de</w:t>
      </w:r>
      <w:r w:rsidR="006F2F86">
        <w:rPr>
          <w:lang w:val="pt-BR"/>
        </w:rPr>
        <w:t>s</w:t>
      </w:r>
      <w:r w:rsidR="00A206D5" w:rsidRPr="00113360">
        <w:rPr>
          <w:lang w:val="pt-BR"/>
        </w:rPr>
        <w:t>proteção - as 31 comunidades deslocadas ainda se encontram à espera de medidas que reparem as consequências do deslocamento forçado em condições dignas, com base no diálogo e no acordo, e no respeito ao direito à igualdade e à não discriminação.</w:t>
      </w:r>
    </w:p>
    <w:p w14:paraId="230C7439" w14:textId="77777777" w:rsidR="00DD38BF" w:rsidRPr="00113360" w:rsidRDefault="00DD38BF" w:rsidP="00DD38BF">
      <w:pPr>
        <w:tabs>
          <w:tab w:val="left" w:pos="567"/>
          <w:tab w:val="num" w:pos="12305"/>
        </w:tabs>
        <w:spacing w:line="240" w:lineRule="auto"/>
        <w:textAlignment w:val="auto"/>
        <w:rPr>
          <w:rFonts w:eastAsia="MS Mincho"/>
          <w:lang w:val="pt-BR" w:bidi="en-US"/>
        </w:rPr>
      </w:pPr>
    </w:p>
    <w:p w14:paraId="77DE22A7" w14:textId="3AF5F9D7" w:rsidR="00034564" w:rsidRPr="00113360" w:rsidRDefault="00034564" w:rsidP="00A206D5">
      <w:pPr>
        <w:numPr>
          <w:ilvl w:val="0"/>
          <w:numId w:val="2"/>
        </w:numPr>
        <w:tabs>
          <w:tab w:val="left" w:pos="567"/>
        </w:tabs>
        <w:spacing w:line="240" w:lineRule="auto"/>
        <w:ind w:left="0" w:firstLine="0"/>
        <w:textAlignment w:val="auto"/>
        <w:rPr>
          <w:rFonts w:eastAsia="MS Mincho"/>
          <w:lang w:val="pt-BR" w:bidi="en-US"/>
        </w:rPr>
      </w:pPr>
      <w:r w:rsidRPr="00113360">
        <w:rPr>
          <w:lang w:val="pt-BR"/>
        </w:rPr>
        <w:t xml:space="preserve"> </w:t>
      </w:r>
      <w:r w:rsidR="00A206D5" w:rsidRPr="00113360">
        <w:rPr>
          <w:lang w:val="pt-BR" w:eastAsia="es-ES"/>
        </w:rPr>
        <w:t xml:space="preserve">Em </w:t>
      </w:r>
      <w:r w:rsidR="00A206D5" w:rsidRPr="0039130E">
        <w:rPr>
          <w:lang w:val="pt-BR" w:eastAsia="es-ES"/>
        </w:rPr>
        <w:t>virtude</w:t>
      </w:r>
      <w:r w:rsidR="00A206D5" w:rsidRPr="00113360">
        <w:rPr>
          <w:lang w:val="pt-BR" w:eastAsia="es-ES"/>
        </w:rPr>
        <w:t xml:space="preserve"> do exposto, </w:t>
      </w:r>
      <w:r w:rsidR="0039130E">
        <w:rPr>
          <w:lang w:val="pt-BR" w:eastAsia="es-ES"/>
        </w:rPr>
        <w:t>cumpre</w:t>
      </w:r>
      <w:r w:rsidR="006F2F86">
        <w:rPr>
          <w:lang w:val="pt-BR" w:eastAsia="es-ES"/>
        </w:rPr>
        <w:t xml:space="preserve"> </w:t>
      </w:r>
      <w:r w:rsidR="00A206D5" w:rsidRPr="00113360">
        <w:rPr>
          <w:lang w:val="pt-BR" w:eastAsia="es-ES"/>
        </w:rPr>
        <w:t xml:space="preserve">concluir que o Estado é responsável pelos efeitos contínuos do deslocamento forçado de 31 Comunidades Quilombolas de Alcântara, identificadas no Anexo II da Sentença, em violação </w:t>
      </w:r>
      <w:r w:rsidR="006F2F86">
        <w:rPr>
          <w:lang w:val="pt-BR" w:eastAsia="es-ES"/>
        </w:rPr>
        <w:t xml:space="preserve">do </w:t>
      </w:r>
      <w:r w:rsidR="00A206D5" w:rsidRPr="00113360">
        <w:rPr>
          <w:lang w:val="pt-BR" w:eastAsia="es-ES"/>
        </w:rPr>
        <w:t>artigo 22.1 da Convenção Americana, em relação ao seu artigo 1.1.</w:t>
      </w:r>
    </w:p>
    <w:p w14:paraId="6C3CA9D4" w14:textId="77777777" w:rsidR="00591853" w:rsidRPr="00113360" w:rsidRDefault="00591853" w:rsidP="00753DBE">
      <w:pPr>
        <w:tabs>
          <w:tab w:val="left" w:pos="720"/>
        </w:tabs>
        <w:spacing w:line="240" w:lineRule="auto"/>
        <w:ind w:right="-90"/>
        <w:rPr>
          <w:lang w:val="pt-BR"/>
        </w:rPr>
      </w:pPr>
    </w:p>
    <w:p w14:paraId="65D81BCD" w14:textId="77777777" w:rsidR="00591853" w:rsidRPr="00113360" w:rsidRDefault="00591853" w:rsidP="00591853">
      <w:pPr>
        <w:tabs>
          <w:tab w:val="left" w:pos="567"/>
        </w:tabs>
        <w:spacing w:line="240" w:lineRule="auto"/>
        <w:textAlignment w:val="auto"/>
        <w:rPr>
          <w:lang w:val="pt-BR"/>
        </w:rPr>
      </w:pPr>
    </w:p>
    <w:p w14:paraId="2EAF6EF3" w14:textId="4A37051B" w:rsidR="00591853" w:rsidRPr="00113360" w:rsidRDefault="00591853" w:rsidP="00591853">
      <w:pPr>
        <w:pStyle w:val="Prrafodelista"/>
        <w:numPr>
          <w:ilvl w:val="0"/>
          <w:numId w:val="3"/>
        </w:numPr>
        <w:tabs>
          <w:tab w:val="left" w:pos="567"/>
        </w:tabs>
        <w:spacing w:line="240" w:lineRule="auto"/>
        <w:textAlignment w:val="auto"/>
        <w:rPr>
          <w:b/>
          <w:bCs/>
          <w:lang w:val="pt-BR"/>
        </w:rPr>
      </w:pPr>
      <w:r w:rsidRPr="00113360">
        <w:rPr>
          <w:b/>
          <w:bCs/>
          <w:lang w:val="pt-BR"/>
        </w:rPr>
        <w:t xml:space="preserve">SOBRE </w:t>
      </w:r>
      <w:r w:rsidR="00ED648F" w:rsidRPr="00113360">
        <w:rPr>
          <w:b/>
          <w:bCs/>
          <w:lang w:val="pt-BR"/>
        </w:rPr>
        <w:t>O</w:t>
      </w:r>
      <w:r w:rsidR="00D27F8C" w:rsidRPr="00113360">
        <w:rPr>
          <w:b/>
          <w:bCs/>
          <w:lang w:val="pt-BR"/>
        </w:rPr>
        <w:t xml:space="preserve"> </w:t>
      </w:r>
      <w:r w:rsidRPr="00113360">
        <w:rPr>
          <w:b/>
          <w:bCs/>
          <w:lang w:val="pt-BR"/>
        </w:rPr>
        <w:t>PRO</w:t>
      </w:r>
      <w:r w:rsidR="00ED648F" w:rsidRPr="00113360">
        <w:rPr>
          <w:b/>
          <w:bCs/>
          <w:lang w:val="pt-BR"/>
        </w:rPr>
        <w:t>J</w:t>
      </w:r>
      <w:r w:rsidRPr="00113360">
        <w:rPr>
          <w:b/>
          <w:bCs/>
          <w:lang w:val="pt-BR"/>
        </w:rPr>
        <w:t xml:space="preserve">ETO DE VIDA COLETIVO FRENTE </w:t>
      </w:r>
      <w:r w:rsidR="00ED648F" w:rsidRPr="00113360">
        <w:rPr>
          <w:b/>
          <w:bCs/>
          <w:lang w:val="pt-BR"/>
        </w:rPr>
        <w:t>À</w:t>
      </w:r>
      <w:r w:rsidRPr="00113360">
        <w:rPr>
          <w:b/>
          <w:bCs/>
          <w:lang w:val="pt-BR"/>
        </w:rPr>
        <w:t xml:space="preserve"> DISCRIMINA</w:t>
      </w:r>
      <w:r w:rsidR="00ED648F" w:rsidRPr="00113360">
        <w:rPr>
          <w:b/>
          <w:bCs/>
          <w:lang w:val="pt-BR"/>
        </w:rPr>
        <w:t xml:space="preserve">ÇÃO </w:t>
      </w:r>
      <w:r w:rsidRPr="00113360">
        <w:rPr>
          <w:b/>
          <w:bCs/>
          <w:lang w:val="pt-BR"/>
        </w:rPr>
        <w:t>RACIAL ESTRUTURAL</w:t>
      </w:r>
      <w:r w:rsidR="00D27F8C" w:rsidRPr="00113360">
        <w:rPr>
          <w:b/>
          <w:bCs/>
          <w:lang w:val="pt-BR"/>
        </w:rPr>
        <w:t xml:space="preserve"> COMO D</w:t>
      </w:r>
      <w:r w:rsidR="00ED648F" w:rsidRPr="00113360">
        <w:rPr>
          <w:b/>
          <w:bCs/>
          <w:lang w:val="pt-BR"/>
        </w:rPr>
        <w:t>I</w:t>
      </w:r>
      <w:r w:rsidR="00D27F8C" w:rsidRPr="00113360">
        <w:rPr>
          <w:b/>
          <w:bCs/>
          <w:lang w:val="pt-BR"/>
        </w:rPr>
        <w:t>RE</w:t>
      </w:r>
      <w:r w:rsidR="00ED648F" w:rsidRPr="00113360">
        <w:rPr>
          <w:b/>
          <w:bCs/>
          <w:lang w:val="pt-BR"/>
        </w:rPr>
        <w:t>IT</w:t>
      </w:r>
      <w:r w:rsidR="00D27F8C" w:rsidRPr="00113360">
        <w:rPr>
          <w:b/>
          <w:bCs/>
          <w:lang w:val="pt-BR"/>
        </w:rPr>
        <w:t>O AUT</w:t>
      </w:r>
      <w:r w:rsidR="00ED648F" w:rsidRPr="00113360">
        <w:rPr>
          <w:b/>
          <w:bCs/>
          <w:lang w:val="pt-BR"/>
        </w:rPr>
        <w:t>Ô</w:t>
      </w:r>
      <w:r w:rsidR="00D27F8C" w:rsidRPr="00113360">
        <w:rPr>
          <w:b/>
          <w:bCs/>
          <w:lang w:val="pt-BR"/>
        </w:rPr>
        <w:t>NOMO</w:t>
      </w:r>
    </w:p>
    <w:p w14:paraId="1B403433" w14:textId="77777777" w:rsidR="00591853" w:rsidRPr="00113360" w:rsidRDefault="00591853" w:rsidP="00591853">
      <w:pPr>
        <w:tabs>
          <w:tab w:val="left" w:pos="567"/>
        </w:tabs>
        <w:spacing w:line="240" w:lineRule="auto"/>
        <w:textAlignment w:val="auto"/>
        <w:rPr>
          <w:lang w:val="pt-BR"/>
        </w:rPr>
      </w:pPr>
    </w:p>
    <w:p w14:paraId="56030E2B" w14:textId="451501F0" w:rsidR="00591853" w:rsidRPr="00113360" w:rsidRDefault="00ED648F" w:rsidP="00ED648F">
      <w:pPr>
        <w:numPr>
          <w:ilvl w:val="0"/>
          <w:numId w:val="2"/>
        </w:numPr>
        <w:tabs>
          <w:tab w:val="left" w:pos="567"/>
        </w:tabs>
        <w:spacing w:line="240" w:lineRule="auto"/>
        <w:ind w:left="0" w:firstLine="0"/>
        <w:textAlignment w:val="auto"/>
        <w:rPr>
          <w:lang w:val="pt-BR"/>
        </w:rPr>
      </w:pPr>
      <w:r w:rsidRPr="00113360">
        <w:rPr>
          <w:lang w:val="pt-BR" w:eastAsia="es-ES"/>
        </w:rPr>
        <w:t xml:space="preserve">Segundo se estabelece </w:t>
      </w:r>
      <w:r w:rsidRPr="007807B4">
        <w:rPr>
          <w:i/>
          <w:iCs/>
          <w:lang w:val="pt-BR" w:eastAsia="es-ES"/>
        </w:rPr>
        <w:t>supra</w:t>
      </w:r>
      <w:r w:rsidRPr="00113360">
        <w:rPr>
          <w:lang w:val="pt-BR" w:eastAsia="es-ES"/>
        </w:rPr>
        <w:t xml:space="preserve">, o Estado deslocou as vítimas de seus territórios tradicionais por causas de utilidade pública estabelecidas por decreto de um governo </w:t>
      </w:r>
      <w:r w:rsidRPr="007807B4">
        <w:rPr>
          <w:i/>
          <w:iCs/>
          <w:lang w:val="pt-BR" w:eastAsia="es-ES"/>
        </w:rPr>
        <w:t>de fa</w:t>
      </w:r>
      <w:r w:rsidR="007807B4" w:rsidRPr="007807B4">
        <w:rPr>
          <w:i/>
          <w:iCs/>
          <w:lang w:val="pt-BR" w:eastAsia="es-ES"/>
        </w:rPr>
        <w:t>c</w:t>
      </w:r>
      <w:r w:rsidRPr="007807B4">
        <w:rPr>
          <w:i/>
          <w:iCs/>
          <w:lang w:val="pt-BR" w:eastAsia="es-ES"/>
        </w:rPr>
        <w:t>to</w:t>
      </w:r>
      <w:r w:rsidRPr="00113360">
        <w:rPr>
          <w:lang w:val="pt-BR" w:eastAsia="es-ES"/>
        </w:rPr>
        <w:t xml:space="preserve"> e não cumpriu suas obrigações contínuas em matéria de consulta e reassentamento em condições dignas. Isso </w:t>
      </w:r>
      <w:r w:rsidR="007807B4">
        <w:rPr>
          <w:lang w:val="pt-BR" w:eastAsia="es-ES"/>
        </w:rPr>
        <w:t>mergulhou</w:t>
      </w:r>
      <w:r w:rsidRPr="00113360">
        <w:rPr>
          <w:lang w:val="pt-BR" w:eastAsia="es-ES"/>
        </w:rPr>
        <w:t xml:space="preserve"> as comunidades afetadas </w:t>
      </w:r>
      <w:r w:rsidR="007807B4">
        <w:rPr>
          <w:lang w:val="pt-BR" w:eastAsia="es-ES"/>
        </w:rPr>
        <w:t xml:space="preserve">na </w:t>
      </w:r>
      <w:r w:rsidRPr="00113360">
        <w:rPr>
          <w:lang w:val="pt-BR" w:eastAsia="es-ES"/>
        </w:rPr>
        <w:t xml:space="preserve">precariedade </w:t>
      </w:r>
      <w:r w:rsidR="007807B4">
        <w:rPr>
          <w:lang w:val="pt-BR" w:eastAsia="es-ES"/>
        </w:rPr>
        <w:t xml:space="preserve">jurídica </w:t>
      </w:r>
      <w:r w:rsidRPr="00113360">
        <w:rPr>
          <w:lang w:val="pt-BR" w:eastAsia="es-ES"/>
        </w:rPr>
        <w:t xml:space="preserve">e </w:t>
      </w:r>
      <w:r w:rsidR="007807B4">
        <w:rPr>
          <w:lang w:val="pt-BR" w:eastAsia="es-ES"/>
        </w:rPr>
        <w:t>na des</w:t>
      </w:r>
      <w:r w:rsidRPr="00113360">
        <w:rPr>
          <w:lang w:val="pt-BR" w:eastAsia="es-ES"/>
        </w:rPr>
        <w:t xml:space="preserve">proteção material e cultural de sua </w:t>
      </w:r>
      <w:r w:rsidR="007807B4">
        <w:rPr>
          <w:lang w:val="pt-BR" w:eastAsia="es-ES"/>
        </w:rPr>
        <w:t xml:space="preserve">cosmovisão </w:t>
      </w:r>
      <w:r w:rsidRPr="00113360">
        <w:rPr>
          <w:lang w:val="pt-BR" w:eastAsia="es-ES"/>
        </w:rPr>
        <w:t>e costumes ancestrais.</w:t>
      </w:r>
      <w:r w:rsidR="00591853" w:rsidRPr="00113360">
        <w:rPr>
          <w:lang w:val="pt-BR" w:eastAsia="es-ES"/>
        </w:rPr>
        <w:t xml:space="preserve"> </w:t>
      </w:r>
      <w:r w:rsidRPr="00113360">
        <w:rPr>
          <w:lang w:val="pt-BR" w:eastAsia="es-ES"/>
        </w:rPr>
        <w:t xml:space="preserve">Segundo estabelece a decisão da maioria, a ausência de medidas estatais </w:t>
      </w:r>
      <w:r w:rsidR="007807B4">
        <w:rPr>
          <w:lang w:val="pt-BR" w:eastAsia="es-ES"/>
        </w:rPr>
        <w:t xml:space="preserve">destinadas </w:t>
      </w:r>
      <w:r w:rsidRPr="00113360">
        <w:rPr>
          <w:lang w:val="pt-BR" w:eastAsia="es-ES"/>
        </w:rPr>
        <w:t xml:space="preserve">a </w:t>
      </w:r>
      <w:r w:rsidR="007807B4">
        <w:rPr>
          <w:lang w:val="pt-BR" w:eastAsia="es-ES"/>
        </w:rPr>
        <w:t xml:space="preserve">reduzir </w:t>
      </w:r>
      <w:r w:rsidRPr="00113360">
        <w:rPr>
          <w:lang w:val="pt-BR" w:eastAsia="es-ES"/>
        </w:rPr>
        <w:t>e corrigir a precariedade no gozo d</w:t>
      </w:r>
      <w:r w:rsidR="007807B4">
        <w:rPr>
          <w:lang w:val="pt-BR" w:eastAsia="es-ES"/>
        </w:rPr>
        <w:t>e</w:t>
      </w:r>
      <w:r w:rsidRPr="00113360">
        <w:rPr>
          <w:lang w:val="pt-BR" w:eastAsia="es-ES"/>
        </w:rPr>
        <w:t xml:space="preserve"> serviços básicos </w:t>
      </w:r>
      <w:r w:rsidR="007807B4">
        <w:rPr>
          <w:lang w:val="pt-BR" w:eastAsia="es-ES"/>
        </w:rPr>
        <w:t xml:space="preserve">reveste </w:t>
      </w:r>
      <w:r w:rsidRPr="00113360">
        <w:rPr>
          <w:lang w:val="pt-BR" w:eastAsia="es-ES"/>
        </w:rPr>
        <w:t xml:space="preserve">especial gravidade, considerando que foram as </w:t>
      </w:r>
      <w:r w:rsidR="007807B4">
        <w:rPr>
          <w:lang w:val="pt-BR" w:eastAsia="es-ES"/>
        </w:rPr>
        <w:t xml:space="preserve">ações do próprio </w:t>
      </w:r>
      <w:r w:rsidRPr="00113360">
        <w:rPr>
          <w:lang w:val="pt-BR" w:eastAsia="es-ES"/>
        </w:rPr>
        <w:t xml:space="preserve">Estado que impactaram negativamente as formas tradicionais de </w:t>
      </w:r>
      <w:r w:rsidR="007807B4">
        <w:rPr>
          <w:lang w:val="pt-BR" w:eastAsia="es-ES"/>
        </w:rPr>
        <w:t>autoabastecimento</w:t>
      </w:r>
      <w:r w:rsidRPr="00113360">
        <w:rPr>
          <w:lang w:val="pt-BR" w:eastAsia="es-ES"/>
        </w:rPr>
        <w:t xml:space="preserve"> e relacionamento dessas comunidades (parágrafo 300).</w:t>
      </w:r>
      <w:r w:rsidR="00212D87" w:rsidRPr="00113360">
        <w:rPr>
          <w:lang w:val="pt-BR"/>
        </w:rPr>
        <w:t xml:space="preserve"> </w:t>
      </w:r>
      <w:r w:rsidRPr="00113360">
        <w:rPr>
          <w:lang w:val="pt-BR" w:eastAsia="es-ES"/>
        </w:rPr>
        <w:t>Co</w:t>
      </w:r>
      <w:r w:rsidR="007807B4">
        <w:rPr>
          <w:lang w:val="pt-BR" w:eastAsia="es-ES"/>
        </w:rPr>
        <w:t xml:space="preserve">nforme ressalta </w:t>
      </w:r>
      <w:r w:rsidRPr="00113360">
        <w:rPr>
          <w:lang w:val="pt-BR" w:eastAsia="es-ES"/>
        </w:rPr>
        <w:t>a Sentença, frente a es</w:t>
      </w:r>
      <w:r w:rsidR="007807B4">
        <w:rPr>
          <w:lang w:val="pt-BR" w:eastAsia="es-ES"/>
        </w:rPr>
        <w:t>s</w:t>
      </w:r>
      <w:r w:rsidRPr="00113360">
        <w:rPr>
          <w:lang w:val="pt-BR" w:eastAsia="es-ES"/>
        </w:rPr>
        <w:t xml:space="preserve">e panorama de quatro décadas, a falta de proteção e acesso à justiça não só gerou sentimentos de incerteza, </w:t>
      </w:r>
      <w:r w:rsidR="007807B4">
        <w:rPr>
          <w:lang w:val="pt-BR" w:eastAsia="es-ES"/>
        </w:rPr>
        <w:t>temor</w:t>
      </w:r>
      <w:r w:rsidRPr="00113360">
        <w:rPr>
          <w:lang w:val="pt-BR" w:eastAsia="es-ES"/>
        </w:rPr>
        <w:t>, angústia e desproteção, mas também se consolidou como uma mensagem de discriminação institucional.</w:t>
      </w:r>
    </w:p>
    <w:p w14:paraId="4E435D0A" w14:textId="77777777" w:rsidR="00591853" w:rsidRPr="00113360" w:rsidRDefault="00591853" w:rsidP="00591853">
      <w:pPr>
        <w:tabs>
          <w:tab w:val="left" w:pos="567"/>
          <w:tab w:val="num" w:pos="12305"/>
        </w:tabs>
        <w:spacing w:line="240" w:lineRule="auto"/>
        <w:textAlignment w:val="auto"/>
        <w:rPr>
          <w:lang w:val="pt-BR"/>
        </w:rPr>
      </w:pPr>
    </w:p>
    <w:p w14:paraId="0955252C" w14:textId="54AFC309" w:rsidR="00591853" w:rsidRPr="00113360" w:rsidRDefault="00FA6094" w:rsidP="00FA6094">
      <w:pPr>
        <w:numPr>
          <w:ilvl w:val="0"/>
          <w:numId w:val="2"/>
        </w:numPr>
        <w:tabs>
          <w:tab w:val="left" w:pos="567"/>
        </w:tabs>
        <w:spacing w:line="240" w:lineRule="auto"/>
        <w:ind w:left="0" w:firstLine="0"/>
        <w:textAlignment w:val="auto"/>
        <w:rPr>
          <w:lang w:val="pt-BR"/>
        </w:rPr>
      </w:pPr>
      <w:r w:rsidRPr="00113360">
        <w:rPr>
          <w:lang w:val="pt-BR" w:eastAsia="es-ES"/>
        </w:rPr>
        <w:t xml:space="preserve">Esse panorama levou a Corte a </w:t>
      </w:r>
      <w:r w:rsidR="007807B4">
        <w:rPr>
          <w:lang w:val="pt-BR" w:eastAsia="es-ES"/>
        </w:rPr>
        <w:t>tecer</w:t>
      </w:r>
      <w:r w:rsidRPr="00113360">
        <w:rPr>
          <w:lang w:val="pt-BR" w:eastAsia="es-ES"/>
        </w:rPr>
        <w:t xml:space="preserve"> uma série de considerações em sua Sentença sobre o projeto de vida</w:t>
      </w:r>
      <w:r w:rsidR="00591853" w:rsidRPr="00113360">
        <w:rPr>
          <w:rStyle w:val="Refdenotaalpie"/>
          <w:lang w:val="pt-BR"/>
        </w:rPr>
        <w:footnoteReference w:id="15"/>
      </w:r>
      <w:r w:rsidR="00591853" w:rsidRPr="00113360">
        <w:rPr>
          <w:lang w:val="pt-BR" w:eastAsia="es-ES"/>
        </w:rPr>
        <w:t xml:space="preserve"> d</w:t>
      </w:r>
      <w:r w:rsidR="002C5776" w:rsidRPr="00113360">
        <w:rPr>
          <w:lang w:val="pt-BR" w:eastAsia="es-ES"/>
        </w:rPr>
        <w:t>as C</w:t>
      </w:r>
      <w:r w:rsidR="00591853" w:rsidRPr="00113360">
        <w:rPr>
          <w:lang w:val="pt-BR" w:eastAsia="es-ES"/>
        </w:rPr>
        <w:t>omunidad</w:t>
      </w:r>
      <w:r w:rsidR="002C5776" w:rsidRPr="00113360">
        <w:rPr>
          <w:lang w:val="pt-BR" w:eastAsia="es-ES"/>
        </w:rPr>
        <w:t>es</w:t>
      </w:r>
      <w:r w:rsidR="00591853" w:rsidRPr="00113360">
        <w:rPr>
          <w:lang w:val="pt-BR" w:eastAsia="es-ES"/>
        </w:rPr>
        <w:t xml:space="preserve"> Quilombolas de </w:t>
      </w:r>
      <w:r w:rsidR="002C5776" w:rsidRPr="00113360">
        <w:rPr>
          <w:lang w:val="pt-BR"/>
        </w:rPr>
        <w:t>Alcântara</w:t>
      </w:r>
      <w:r w:rsidR="00591853" w:rsidRPr="00113360">
        <w:rPr>
          <w:lang w:val="pt-BR" w:eastAsia="es-ES"/>
        </w:rPr>
        <w:t xml:space="preserve"> (p</w:t>
      </w:r>
      <w:r w:rsidRPr="00113360">
        <w:rPr>
          <w:lang w:val="pt-BR" w:eastAsia="es-ES"/>
        </w:rPr>
        <w:t>ar</w:t>
      </w:r>
      <w:r w:rsidR="00591853" w:rsidRPr="00113360">
        <w:rPr>
          <w:lang w:val="pt-BR" w:eastAsia="es-ES"/>
        </w:rPr>
        <w:t>á</w:t>
      </w:r>
      <w:r w:rsidRPr="00113360">
        <w:rPr>
          <w:lang w:val="pt-BR" w:eastAsia="es-ES"/>
        </w:rPr>
        <w:t>g</w:t>
      </w:r>
      <w:r w:rsidR="00591853" w:rsidRPr="00113360">
        <w:rPr>
          <w:lang w:val="pt-BR" w:eastAsia="es-ES"/>
        </w:rPr>
        <w:t>rafos</w:t>
      </w:r>
      <w:r w:rsidR="000E2A36" w:rsidRPr="00113360">
        <w:rPr>
          <w:lang w:val="pt-BR" w:eastAsia="es-ES"/>
        </w:rPr>
        <w:t xml:space="preserve"> 188 a 196</w:t>
      </w:r>
      <w:r w:rsidR="00591853" w:rsidRPr="00113360">
        <w:rPr>
          <w:lang w:val="pt-BR" w:eastAsia="es-ES"/>
        </w:rPr>
        <w:t xml:space="preserve">). </w:t>
      </w:r>
      <w:r w:rsidRPr="00113360">
        <w:rPr>
          <w:lang w:val="pt-BR" w:eastAsia="es-ES"/>
        </w:rPr>
        <w:t xml:space="preserve">Embora não haja dissidência </w:t>
      </w:r>
      <w:r w:rsidR="0039130E">
        <w:rPr>
          <w:lang w:val="pt-BR" w:eastAsia="es-ES"/>
        </w:rPr>
        <w:t xml:space="preserve">a </w:t>
      </w:r>
      <w:r w:rsidR="007807B4">
        <w:rPr>
          <w:lang w:val="pt-BR" w:eastAsia="es-ES"/>
        </w:rPr>
        <w:t xml:space="preserve">relatar </w:t>
      </w:r>
      <w:r w:rsidRPr="00113360">
        <w:rPr>
          <w:lang w:val="pt-BR" w:eastAsia="es-ES"/>
        </w:rPr>
        <w:t>com relação aos fundamentos express</w:t>
      </w:r>
      <w:r w:rsidR="007807B4">
        <w:rPr>
          <w:lang w:val="pt-BR" w:eastAsia="es-ES"/>
        </w:rPr>
        <w:t>o</w:t>
      </w:r>
      <w:r w:rsidRPr="00113360">
        <w:rPr>
          <w:lang w:val="pt-BR" w:eastAsia="es-ES"/>
        </w:rPr>
        <w:t xml:space="preserve">s pela maioria ao elaborar sobre </w:t>
      </w:r>
      <w:r w:rsidR="0039130E">
        <w:rPr>
          <w:lang w:val="pt-BR" w:eastAsia="es-ES"/>
        </w:rPr>
        <w:t xml:space="preserve">o motivo pelo qual, no </w:t>
      </w:r>
      <w:r w:rsidRPr="00113360">
        <w:rPr>
          <w:lang w:val="pt-BR" w:eastAsia="es-ES"/>
        </w:rPr>
        <w:t>presente caso</w:t>
      </w:r>
      <w:r w:rsidR="0039130E">
        <w:rPr>
          <w:lang w:val="pt-BR" w:eastAsia="es-ES"/>
        </w:rPr>
        <w:t>,</w:t>
      </w:r>
      <w:r w:rsidRPr="00113360">
        <w:rPr>
          <w:lang w:val="pt-BR" w:eastAsia="es-ES"/>
        </w:rPr>
        <w:t xml:space="preserve"> o projeto de vida coletiv</w:t>
      </w:r>
      <w:r w:rsidR="0039130E">
        <w:rPr>
          <w:lang w:val="pt-BR" w:eastAsia="es-ES"/>
        </w:rPr>
        <w:t>o</w:t>
      </w:r>
      <w:r w:rsidRPr="00113360">
        <w:rPr>
          <w:lang w:val="pt-BR" w:eastAsia="es-ES"/>
        </w:rPr>
        <w:t xml:space="preserve"> desta comunidade afrodescendente</w:t>
      </w:r>
      <w:r w:rsidR="007807B4">
        <w:rPr>
          <w:lang w:val="pt-BR" w:eastAsia="es-ES"/>
        </w:rPr>
        <w:t xml:space="preserve"> se viu afetado</w:t>
      </w:r>
      <w:r w:rsidRPr="00113360">
        <w:rPr>
          <w:lang w:val="pt-BR" w:eastAsia="es-ES"/>
        </w:rPr>
        <w:t xml:space="preserve">, </w:t>
      </w:r>
      <w:r w:rsidR="007807B4">
        <w:rPr>
          <w:lang w:val="pt-BR" w:eastAsia="es-ES"/>
        </w:rPr>
        <w:t xml:space="preserve">cumpre estabelecer </w:t>
      </w:r>
      <w:r w:rsidRPr="00113360">
        <w:rPr>
          <w:lang w:val="pt-BR" w:eastAsia="es-ES"/>
        </w:rPr>
        <w:t xml:space="preserve">a diferença de critérios quanto ao sentido autônomo do projeto de vida como um conjunto de direitos violados </w:t>
      </w:r>
      <w:r w:rsidR="007807B4">
        <w:rPr>
          <w:lang w:val="pt-BR" w:eastAsia="es-ES"/>
        </w:rPr>
        <w:t xml:space="preserve">em </w:t>
      </w:r>
      <w:r w:rsidRPr="00113360">
        <w:rPr>
          <w:lang w:val="pt-BR" w:eastAsia="es-ES"/>
        </w:rPr>
        <w:t xml:space="preserve">consequência da discriminação racial e não como </w:t>
      </w:r>
      <w:r w:rsidR="007807B4">
        <w:rPr>
          <w:lang w:val="pt-BR" w:eastAsia="es-ES"/>
        </w:rPr>
        <w:t xml:space="preserve">mero prejuízo </w:t>
      </w:r>
      <w:r w:rsidRPr="00113360">
        <w:rPr>
          <w:lang w:val="pt-BR" w:eastAsia="es-ES"/>
        </w:rPr>
        <w:t>em termos de dano imaterial.</w:t>
      </w:r>
    </w:p>
    <w:p w14:paraId="227FC8FA" w14:textId="77777777" w:rsidR="00591853" w:rsidRPr="00113360" w:rsidRDefault="00591853" w:rsidP="00591853">
      <w:pPr>
        <w:tabs>
          <w:tab w:val="left" w:pos="567"/>
          <w:tab w:val="num" w:pos="1569"/>
          <w:tab w:val="num" w:pos="12305"/>
        </w:tabs>
        <w:spacing w:line="240" w:lineRule="auto"/>
        <w:textAlignment w:val="auto"/>
        <w:rPr>
          <w:lang w:val="pt-BR"/>
        </w:rPr>
      </w:pPr>
    </w:p>
    <w:p w14:paraId="4DA365D4" w14:textId="40BC516C" w:rsidR="00350AFD" w:rsidRPr="00113360" w:rsidRDefault="00682E86" w:rsidP="00F16BB8">
      <w:pPr>
        <w:pStyle w:val="Numberedparagraphs"/>
        <w:widowControl w:val="0"/>
        <w:numPr>
          <w:ilvl w:val="0"/>
          <w:numId w:val="2"/>
        </w:numPr>
        <w:tabs>
          <w:tab w:val="left" w:pos="567"/>
        </w:tabs>
        <w:autoSpaceDE w:val="0"/>
        <w:autoSpaceDN w:val="0"/>
        <w:adjustRightInd w:val="0"/>
        <w:spacing w:after="0"/>
        <w:ind w:left="0" w:firstLine="0"/>
        <w:rPr>
          <w:color w:val="auto"/>
          <w:lang w:val="pt-BR"/>
        </w:rPr>
      </w:pPr>
      <w:r w:rsidRPr="00113360">
        <w:rPr>
          <w:color w:val="auto"/>
          <w:lang w:val="pt-BR"/>
        </w:rPr>
        <w:t xml:space="preserve">O </w:t>
      </w:r>
      <w:r w:rsidRPr="00875492">
        <w:rPr>
          <w:color w:val="auto"/>
          <w:lang w:val="pt-BR"/>
        </w:rPr>
        <w:t>exercício</w:t>
      </w:r>
      <w:r w:rsidRPr="00113360">
        <w:rPr>
          <w:color w:val="auto"/>
          <w:lang w:val="pt-BR"/>
        </w:rPr>
        <w:t xml:space="preserve"> do direito ao território comunitário como </w:t>
      </w:r>
      <w:r w:rsidR="0039130E">
        <w:rPr>
          <w:color w:val="auto"/>
          <w:lang w:val="pt-BR"/>
        </w:rPr>
        <w:t>via</w:t>
      </w:r>
      <w:r w:rsidRPr="00113360">
        <w:rPr>
          <w:color w:val="auto"/>
          <w:lang w:val="pt-BR"/>
        </w:rPr>
        <w:t xml:space="preserve"> de existência e continuidade </w:t>
      </w:r>
      <w:r w:rsidRPr="00113360">
        <w:rPr>
          <w:color w:val="auto"/>
          <w:lang w:val="pt-BR"/>
        </w:rPr>
        <w:lastRenderedPageBreak/>
        <w:t xml:space="preserve">da </w:t>
      </w:r>
      <w:r w:rsidR="00875492">
        <w:rPr>
          <w:color w:val="auto"/>
          <w:lang w:val="pt-BR"/>
        </w:rPr>
        <w:t>cosmo</w:t>
      </w:r>
      <w:r w:rsidRPr="00113360">
        <w:rPr>
          <w:color w:val="auto"/>
          <w:lang w:val="pt-BR"/>
        </w:rPr>
        <w:t xml:space="preserve">visão e das tradições é essencial para a autodeterminação dos coletivos afrodescendentes que - tendo se </w:t>
      </w:r>
      <w:proofErr w:type="spellStart"/>
      <w:r w:rsidRPr="00113360">
        <w:rPr>
          <w:color w:val="auto"/>
          <w:lang w:val="pt-BR"/>
        </w:rPr>
        <w:t>autoconstituído</w:t>
      </w:r>
      <w:proofErr w:type="spellEnd"/>
      <w:r w:rsidRPr="00113360">
        <w:rPr>
          <w:color w:val="auto"/>
          <w:lang w:val="pt-BR"/>
        </w:rPr>
        <w:t xml:space="preserve"> como espaço de refúgio do regime </w:t>
      </w:r>
      <w:r w:rsidR="00875492">
        <w:rPr>
          <w:color w:val="auto"/>
          <w:lang w:val="pt-BR"/>
        </w:rPr>
        <w:t xml:space="preserve">de escravidão </w:t>
      </w:r>
      <w:r w:rsidRPr="00113360">
        <w:rPr>
          <w:color w:val="auto"/>
          <w:lang w:val="pt-BR"/>
        </w:rPr>
        <w:t xml:space="preserve">vigente até o final do século XIX no Brasil </w:t>
      </w:r>
      <w:r w:rsidR="00875492">
        <w:rPr>
          <w:color w:val="auto"/>
          <w:lang w:val="pt-BR"/>
        </w:rPr>
        <w:t>–</w:t>
      </w:r>
      <w:r w:rsidRPr="00113360">
        <w:rPr>
          <w:color w:val="auto"/>
          <w:lang w:val="pt-BR"/>
        </w:rPr>
        <w:t xml:space="preserve"> </w:t>
      </w:r>
      <w:r w:rsidR="00875492">
        <w:rPr>
          <w:color w:val="auto"/>
          <w:lang w:val="pt-BR"/>
        </w:rPr>
        <w:t xml:space="preserve">enfrentaram </w:t>
      </w:r>
      <w:r w:rsidRPr="00113360">
        <w:rPr>
          <w:color w:val="auto"/>
          <w:lang w:val="pt-BR"/>
        </w:rPr>
        <w:t>o monumental desafio de serem reconhecidos e integrados à sociedade em condições de igualdade durante o século XX.</w:t>
      </w:r>
      <w:r w:rsidR="00DD38BF" w:rsidRPr="00113360">
        <w:rPr>
          <w:color w:val="auto"/>
          <w:lang w:val="pt-BR"/>
        </w:rPr>
        <w:t xml:space="preserve"> </w:t>
      </w:r>
      <w:r w:rsidR="00F16BB8" w:rsidRPr="00113360">
        <w:rPr>
          <w:lang w:val="pt-BR"/>
        </w:rPr>
        <w:t>No presente caso, a discriminação racial estrutural teve impacto direto no projeto de vida coletiv</w:t>
      </w:r>
      <w:r w:rsidR="009B250F">
        <w:rPr>
          <w:lang w:val="pt-BR"/>
        </w:rPr>
        <w:t>o</w:t>
      </w:r>
      <w:r w:rsidR="00F16BB8" w:rsidRPr="00113360">
        <w:rPr>
          <w:lang w:val="pt-BR"/>
        </w:rPr>
        <w:t xml:space="preserve"> das Comunidades Quilombolas de Alcântara. </w:t>
      </w:r>
      <w:r w:rsidR="00875492">
        <w:rPr>
          <w:lang w:val="pt-BR"/>
        </w:rPr>
        <w:t>A</w:t>
      </w:r>
      <w:r w:rsidR="00F16BB8" w:rsidRPr="00113360">
        <w:rPr>
          <w:lang w:val="pt-BR"/>
        </w:rPr>
        <w:t>lém da consagração formal do direito à igualdade e à não discriminação racial</w:t>
      </w:r>
      <w:r w:rsidR="00875492">
        <w:rPr>
          <w:lang w:val="pt-BR"/>
        </w:rPr>
        <w:t>,</w:t>
      </w:r>
      <w:r w:rsidR="00F16BB8" w:rsidRPr="00113360">
        <w:rPr>
          <w:lang w:val="pt-BR"/>
        </w:rPr>
        <w:t xml:space="preserve"> no direito interno e </w:t>
      </w:r>
      <w:r w:rsidR="00875492">
        <w:rPr>
          <w:lang w:val="pt-BR"/>
        </w:rPr>
        <w:t>no Direito I</w:t>
      </w:r>
      <w:r w:rsidR="00F16BB8" w:rsidRPr="00113360">
        <w:rPr>
          <w:lang w:val="pt-BR"/>
        </w:rPr>
        <w:t>nternacional, o caso oferece exemplos claros da dimensão material dos obstáculos enfrentados pelas comunidades afrodescendentes com um projeto de vida coletiv</w:t>
      </w:r>
      <w:r w:rsidR="009B250F">
        <w:rPr>
          <w:lang w:val="pt-BR"/>
        </w:rPr>
        <w:t>o</w:t>
      </w:r>
      <w:r w:rsidR="00F16BB8" w:rsidRPr="00113360">
        <w:rPr>
          <w:lang w:val="pt-BR"/>
        </w:rPr>
        <w:t xml:space="preserve"> vinculado a seu território tradicional.</w:t>
      </w:r>
    </w:p>
    <w:p w14:paraId="38E9AE52" w14:textId="77777777" w:rsidR="00DD38BF" w:rsidRPr="00113360" w:rsidRDefault="00DD38BF" w:rsidP="00DD38BF">
      <w:pPr>
        <w:tabs>
          <w:tab w:val="left" w:pos="567"/>
          <w:tab w:val="num" w:pos="12305"/>
        </w:tabs>
        <w:spacing w:line="240" w:lineRule="auto"/>
        <w:textAlignment w:val="auto"/>
        <w:rPr>
          <w:lang w:val="pt-BR"/>
        </w:rPr>
      </w:pPr>
    </w:p>
    <w:p w14:paraId="627A1F1A" w14:textId="38B6B1D4" w:rsidR="00821336" w:rsidRPr="00113360" w:rsidRDefault="00F16BB8" w:rsidP="00F16BB8">
      <w:pPr>
        <w:numPr>
          <w:ilvl w:val="0"/>
          <w:numId w:val="2"/>
        </w:numPr>
        <w:tabs>
          <w:tab w:val="left" w:pos="567"/>
        </w:tabs>
        <w:spacing w:line="240" w:lineRule="auto"/>
        <w:ind w:left="0" w:firstLine="0"/>
        <w:textAlignment w:val="auto"/>
        <w:rPr>
          <w:lang w:val="pt-BR"/>
        </w:rPr>
      </w:pPr>
      <w:r w:rsidRPr="007A099A">
        <w:rPr>
          <w:lang w:val="pt-BR"/>
        </w:rPr>
        <w:t>Segundo</w:t>
      </w:r>
      <w:r w:rsidRPr="00113360">
        <w:rPr>
          <w:lang w:val="pt-BR"/>
        </w:rPr>
        <w:t xml:space="preserve"> estabelece a </w:t>
      </w:r>
      <w:r w:rsidR="00875492">
        <w:rPr>
          <w:lang w:val="pt-BR"/>
        </w:rPr>
        <w:t>S</w:t>
      </w:r>
      <w:r w:rsidRPr="00113360">
        <w:rPr>
          <w:lang w:val="pt-BR"/>
        </w:rPr>
        <w:t xml:space="preserve">entença, as 31 comunidades quilombolas reassentadas </w:t>
      </w:r>
      <w:r w:rsidR="00875492">
        <w:rPr>
          <w:lang w:val="pt-BR"/>
        </w:rPr>
        <w:t xml:space="preserve">de maneira obrigatória </w:t>
      </w:r>
      <w:r w:rsidRPr="00113360">
        <w:rPr>
          <w:lang w:val="pt-BR"/>
        </w:rPr>
        <w:t>pelas FFAA se viram forçadas a habitar espaços físicos incompatíveis com sua cosmovisão ancestral, sem títulos de propriedade comunitário ou individua</w:t>
      </w:r>
      <w:r w:rsidR="00875492">
        <w:rPr>
          <w:lang w:val="pt-BR"/>
        </w:rPr>
        <w:t>l</w:t>
      </w:r>
      <w:r w:rsidRPr="00113360">
        <w:rPr>
          <w:lang w:val="pt-BR"/>
        </w:rPr>
        <w:t>, sem permissão para melhorar suas casas</w:t>
      </w:r>
      <w:r w:rsidR="00875492">
        <w:rPr>
          <w:lang w:val="pt-BR"/>
        </w:rPr>
        <w:t>,</w:t>
      </w:r>
      <w:r w:rsidRPr="00113360">
        <w:rPr>
          <w:lang w:val="pt-BR"/>
        </w:rPr>
        <w:t xml:space="preserve"> </w:t>
      </w:r>
      <w:r w:rsidR="00875492">
        <w:rPr>
          <w:lang w:val="pt-BR"/>
        </w:rPr>
        <w:t xml:space="preserve">de modo a permitir-lhes </w:t>
      </w:r>
      <w:r w:rsidRPr="00113360">
        <w:rPr>
          <w:lang w:val="pt-BR"/>
        </w:rPr>
        <w:t xml:space="preserve">acomodar sucessivas gerações de suas famílias e </w:t>
      </w:r>
      <w:r w:rsidR="00875492">
        <w:rPr>
          <w:lang w:val="pt-BR"/>
        </w:rPr>
        <w:t>–</w:t>
      </w:r>
      <w:r w:rsidRPr="00113360">
        <w:rPr>
          <w:lang w:val="pt-BR"/>
        </w:rPr>
        <w:t xml:space="preserve"> </w:t>
      </w:r>
      <w:r w:rsidR="00875492">
        <w:rPr>
          <w:lang w:val="pt-BR"/>
        </w:rPr>
        <w:t xml:space="preserve">chegado </w:t>
      </w:r>
      <w:r w:rsidRPr="00113360">
        <w:rPr>
          <w:lang w:val="pt-BR"/>
        </w:rPr>
        <w:t>o momento - transmitir sua titularidade.</w:t>
      </w:r>
      <w:r w:rsidR="00F31476" w:rsidRPr="00113360">
        <w:rPr>
          <w:lang w:val="pt-BR"/>
        </w:rPr>
        <w:t xml:space="preserve"> </w:t>
      </w:r>
      <w:r w:rsidR="00875492">
        <w:rPr>
          <w:lang w:val="pt-BR"/>
        </w:rPr>
        <w:t xml:space="preserve">Cumpre </w:t>
      </w:r>
      <w:r w:rsidRPr="00113360">
        <w:rPr>
          <w:lang w:val="pt-BR"/>
        </w:rPr>
        <w:t xml:space="preserve">ressaltar que a precariedade </w:t>
      </w:r>
      <w:r w:rsidR="00875492">
        <w:rPr>
          <w:lang w:val="pt-BR"/>
        </w:rPr>
        <w:t xml:space="preserve">jurídica </w:t>
      </w:r>
      <w:r w:rsidRPr="00113360">
        <w:rPr>
          <w:lang w:val="pt-BR"/>
        </w:rPr>
        <w:t xml:space="preserve">do reassentamento durante décadas constituiu, </w:t>
      </w:r>
      <w:r w:rsidR="00875492">
        <w:rPr>
          <w:lang w:val="pt-BR"/>
        </w:rPr>
        <w:t>em si mesma</w:t>
      </w:r>
      <w:r w:rsidRPr="00113360">
        <w:rPr>
          <w:lang w:val="pt-BR"/>
        </w:rPr>
        <w:t>, uma metáfora d</w:t>
      </w:r>
      <w:r w:rsidR="006A2B22">
        <w:rPr>
          <w:lang w:val="pt-BR"/>
        </w:rPr>
        <w:t>e</w:t>
      </w:r>
      <w:r w:rsidRPr="00113360">
        <w:rPr>
          <w:lang w:val="pt-BR"/>
        </w:rPr>
        <w:t xml:space="preserve"> incerteza e falta de futuro</w:t>
      </w:r>
      <w:r w:rsidR="006A2B22">
        <w:rPr>
          <w:lang w:val="pt-BR"/>
        </w:rPr>
        <w:t xml:space="preserve">, o que provocou o </w:t>
      </w:r>
      <w:r w:rsidRPr="00113360">
        <w:rPr>
          <w:lang w:val="pt-BR"/>
        </w:rPr>
        <w:t xml:space="preserve">êxodo dos jovens das agrovilas e do território </w:t>
      </w:r>
      <w:r w:rsidR="006A2B22">
        <w:rPr>
          <w:lang w:val="pt-BR"/>
        </w:rPr>
        <w:t>Q</w:t>
      </w:r>
      <w:r w:rsidRPr="00113360">
        <w:rPr>
          <w:lang w:val="pt-BR"/>
        </w:rPr>
        <w:t xml:space="preserve">uilombola, </w:t>
      </w:r>
      <w:r w:rsidR="007A099A">
        <w:rPr>
          <w:lang w:val="pt-BR"/>
        </w:rPr>
        <w:t>além d</w:t>
      </w:r>
      <w:r w:rsidR="006A2B22">
        <w:rPr>
          <w:lang w:val="pt-BR"/>
        </w:rPr>
        <w:t>a</w:t>
      </w:r>
      <w:r w:rsidRPr="00113360">
        <w:rPr>
          <w:lang w:val="pt-BR"/>
        </w:rPr>
        <w:t xml:space="preserve"> ruptura da convivência familiar e do tecido comunitário.</w:t>
      </w:r>
      <w:r w:rsidR="00F31476" w:rsidRPr="00113360">
        <w:rPr>
          <w:lang w:val="pt-BR"/>
        </w:rPr>
        <w:t xml:space="preserve"> </w:t>
      </w:r>
      <w:r w:rsidRPr="00113360">
        <w:rPr>
          <w:lang w:val="pt-BR"/>
        </w:rPr>
        <w:t xml:space="preserve">Além disso, </w:t>
      </w:r>
      <w:r w:rsidR="006A2B22">
        <w:rPr>
          <w:lang w:val="pt-BR"/>
        </w:rPr>
        <w:t xml:space="preserve">segundo se infere do </w:t>
      </w:r>
      <w:r w:rsidRPr="00113360">
        <w:rPr>
          <w:lang w:val="pt-BR"/>
        </w:rPr>
        <w:t xml:space="preserve">caso </w:t>
      </w:r>
      <w:r w:rsidRPr="006A2B22">
        <w:rPr>
          <w:i/>
          <w:iCs/>
          <w:lang w:val="pt-BR"/>
        </w:rPr>
        <w:t>sub judice</w:t>
      </w:r>
      <w:r w:rsidRPr="00113360">
        <w:rPr>
          <w:lang w:val="pt-BR"/>
        </w:rPr>
        <w:t>, as ações e omissões do Estado não só afetaram o projeto de vida comunitári</w:t>
      </w:r>
      <w:r w:rsidR="006A2B22">
        <w:rPr>
          <w:lang w:val="pt-BR"/>
        </w:rPr>
        <w:t>o</w:t>
      </w:r>
      <w:r w:rsidRPr="00113360">
        <w:rPr>
          <w:lang w:val="pt-BR"/>
        </w:rPr>
        <w:t xml:space="preserve"> no território tradicional e o direito à família e à moradia, mas também tiveram um efeito cascata sobre o acesso a outros direitos, em particular à circulação, </w:t>
      </w:r>
      <w:r w:rsidR="006A2B22">
        <w:rPr>
          <w:lang w:val="pt-BR"/>
        </w:rPr>
        <w:t xml:space="preserve">à </w:t>
      </w:r>
      <w:r w:rsidRPr="00113360">
        <w:rPr>
          <w:lang w:val="pt-BR"/>
        </w:rPr>
        <w:t xml:space="preserve">alimentação, </w:t>
      </w:r>
      <w:r w:rsidR="006A2B22">
        <w:rPr>
          <w:lang w:val="pt-BR"/>
        </w:rPr>
        <w:t xml:space="preserve">à </w:t>
      </w:r>
      <w:r w:rsidRPr="00113360">
        <w:rPr>
          <w:lang w:val="pt-BR"/>
        </w:rPr>
        <w:t xml:space="preserve">água, </w:t>
      </w:r>
      <w:r w:rsidR="006A2B22">
        <w:rPr>
          <w:lang w:val="pt-BR"/>
        </w:rPr>
        <w:t>à</w:t>
      </w:r>
      <w:r w:rsidRPr="00113360">
        <w:rPr>
          <w:lang w:val="pt-BR"/>
        </w:rPr>
        <w:t xml:space="preserve"> educação e </w:t>
      </w:r>
      <w:r w:rsidR="006A2B22">
        <w:rPr>
          <w:lang w:val="pt-BR"/>
        </w:rPr>
        <w:t>à</w:t>
      </w:r>
      <w:r w:rsidRPr="00113360">
        <w:rPr>
          <w:lang w:val="pt-BR"/>
        </w:rPr>
        <w:t xml:space="preserve"> participação na vida cultural.</w:t>
      </w:r>
      <w:r w:rsidR="00591853" w:rsidRPr="00113360">
        <w:rPr>
          <w:lang w:val="pt-BR"/>
        </w:rPr>
        <w:t xml:space="preserve"> </w:t>
      </w:r>
    </w:p>
    <w:p w14:paraId="0F43A991" w14:textId="77777777" w:rsidR="00591853" w:rsidRPr="00113360" w:rsidRDefault="00591853" w:rsidP="00821336">
      <w:pPr>
        <w:spacing w:line="240" w:lineRule="auto"/>
        <w:ind w:right="544"/>
        <w:textAlignment w:val="auto"/>
        <w:rPr>
          <w:rFonts w:cs="Verdana"/>
          <w:lang w:val="pt-BR"/>
        </w:rPr>
      </w:pPr>
    </w:p>
    <w:p w14:paraId="31CCDB3F" w14:textId="39D1AD20" w:rsidR="00591853" w:rsidRPr="00113360" w:rsidRDefault="00AA451E" w:rsidP="00AA451E">
      <w:pPr>
        <w:pStyle w:val="Numberedparagraphs"/>
        <w:widowControl w:val="0"/>
        <w:numPr>
          <w:ilvl w:val="0"/>
          <w:numId w:val="2"/>
        </w:numPr>
        <w:tabs>
          <w:tab w:val="left" w:pos="567"/>
        </w:tabs>
        <w:autoSpaceDE w:val="0"/>
        <w:autoSpaceDN w:val="0"/>
        <w:adjustRightInd w:val="0"/>
        <w:spacing w:after="0"/>
        <w:ind w:left="0" w:firstLine="0"/>
        <w:rPr>
          <w:lang w:val="pt-BR"/>
        </w:rPr>
      </w:pPr>
      <w:r w:rsidRPr="00113360">
        <w:rPr>
          <w:color w:val="auto"/>
          <w:lang w:val="pt-BR"/>
        </w:rPr>
        <w:t>A discriminação institucional que se materializou por ação e omissão do Estado e por não assegurar o acesso à justiça em condições de igualdade, afetou o direito de desenvolver o projeto de vida coletivo das Comunidades Quilombolas de Alcântara, sem discriminação e sem estereótipos raciais.</w:t>
      </w:r>
      <w:r w:rsidR="00591853" w:rsidRPr="00113360">
        <w:rPr>
          <w:color w:val="auto"/>
          <w:lang w:val="pt-BR"/>
        </w:rPr>
        <w:t xml:space="preserve"> </w:t>
      </w:r>
      <w:r w:rsidR="007A099A">
        <w:rPr>
          <w:color w:val="auto"/>
          <w:lang w:val="pt-BR"/>
        </w:rPr>
        <w:t>Em</w:t>
      </w:r>
      <w:r w:rsidRPr="00113360">
        <w:rPr>
          <w:color w:val="auto"/>
          <w:lang w:val="pt-BR"/>
        </w:rPr>
        <w:t xml:space="preserve"> termos da Convenção Americana, isso </w:t>
      </w:r>
      <w:r w:rsidR="006A2B22">
        <w:rPr>
          <w:color w:val="auto"/>
          <w:lang w:val="pt-BR"/>
        </w:rPr>
        <w:t xml:space="preserve">ocorre sempre </w:t>
      </w:r>
      <w:r w:rsidRPr="00113360">
        <w:rPr>
          <w:color w:val="auto"/>
          <w:lang w:val="pt-BR"/>
        </w:rPr>
        <w:t xml:space="preserve">que um conjunto de direitos - igualdade e não discriminação por raça ou cor, igualdade perante a lei e acesso à justiça, integridade pessoal, liberdade e vida </w:t>
      </w:r>
      <w:r w:rsidR="006A2B22">
        <w:rPr>
          <w:color w:val="auto"/>
          <w:lang w:val="pt-BR"/>
        </w:rPr>
        <w:t xml:space="preserve">digna </w:t>
      </w:r>
      <w:r w:rsidRPr="00113360">
        <w:rPr>
          <w:color w:val="auto"/>
          <w:lang w:val="pt-BR"/>
        </w:rPr>
        <w:t>- carece de garantias e proteção efetiva por parte do Estado, especialmente em contextos de discriminação racial estrutural e sistêmica.</w:t>
      </w:r>
      <w:r w:rsidR="00591853" w:rsidRPr="00113360">
        <w:rPr>
          <w:color w:val="auto"/>
          <w:lang w:val="pt-BR"/>
        </w:rPr>
        <w:t xml:space="preserve"> </w:t>
      </w:r>
    </w:p>
    <w:p w14:paraId="1B03C2E0" w14:textId="77777777" w:rsidR="00591853" w:rsidRPr="00113360" w:rsidRDefault="00591853" w:rsidP="00591853">
      <w:pPr>
        <w:pStyle w:val="Numberedparagraphs"/>
        <w:widowControl w:val="0"/>
        <w:numPr>
          <w:ilvl w:val="0"/>
          <w:numId w:val="0"/>
        </w:numPr>
        <w:tabs>
          <w:tab w:val="left" w:pos="567"/>
        </w:tabs>
        <w:autoSpaceDE w:val="0"/>
        <w:autoSpaceDN w:val="0"/>
        <w:adjustRightInd w:val="0"/>
        <w:spacing w:after="0"/>
        <w:rPr>
          <w:highlight w:val="yellow"/>
          <w:lang w:val="pt-BR"/>
        </w:rPr>
      </w:pPr>
    </w:p>
    <w:p w14:paraId="7A57CDAF" w14:textId="70462A99" w:rsidR="00591853" w:rsidRPr="00113360" w:rsidRDefault="00AA451E" w:rsidP="00AA451E">
      <w:pPr>
        <w:pStyle w:val="Numberedparagraphs"/>
        <w:widowControl w:val="0"/>
        <w:numPr>
          <w:ilvl w:val="0"/>
          <w:numId w:val="2"/>
        </w:numPr>
        <w:tabs>
          <w:tab w:val="left" w:pos="567"/>
        </w:tabs>
        <w:autoSpaceDE w:val="0"/>
        <w:autoSpaceDN w:val="0"/>
        <w:adjustRightInd w:val="0"/>
        <w:spacing w:after="0"/>
        <w:ind w:left="0" w:firstLine="0"/>
        <w:rPr>
          <w:lang w:val="pt-BR"/>
        </w:rPr>
      </w:pPr>
      <w:r w:rsidRPr="00113360">
        <w:rPr>
          <w:kern w:val="2"/>
          <w:lang w:val="pt-BR"/>
        </w:rPr>
        <w:t>A resposta estatal à reivindicação das Comunidades Quilombolas de Alcântara reproduziu a discriminação racial estrutural e o racismo institucional</w:t>
      </w:r>
      <w:r w:rsidR="006A2B22">
        <w:rPr>
          <w:kern w:val="2"/>
          <w:lang w:val="pt-BR"/>
        </w:rPr>
        <w:t>,</w:t>
      </w:r>
      <w:r w:rsidRPr="00113360">
        <w:rPr>
          <w:kern w:val="2"/>
          <w:lang w:val="pt-BR"/>
        </w:rPr>
        <w:t xml:space="preserve"> e afetou suas aspirações e expectativas e, portanto, seu direito de desenvolver um projeto de vida </w:t>
      </w:r>
      <w:r w:rsidR="006A2B22">
        <w:rPr>
          <w:kern w:val="2"/>
          <w:lang w:val="pt-BR"/>
        </w:rPr>
        <w:t xml:space="preserve">sem </w:t>
      </w:r>
      <w:r w:rsidRPr="00113360">
        <w:rPr>
          <w:kern w:val="2"/>
          <w:lang w:val="pt-BR"/>
        </w:rPr>
        <w:t>discriminação.</w:t>
      </w:r>
      <w:r w:rsidR="00591853" w:rsidRPr="00113360">
        <w:rPr>
          <w:kern w:val="2"/>
          <w:lang w:val="pt-BR"/>
        </w:rPr>
        <w:t xml:space="preserve"> </w:t>
      </w:r>
      <w:r w:rsidRPr="00113360">
        <w:rPr>
          <w:lang w:val="pt-BR"/>
        </w:rPr>
        <w:t>Isso se traduziu na perpetuação de padrões de discriminação racial estrutural ou sistêmica que afetaram e afetam comunidades afrodescendentes que aspiram a desenvolver um projeto de vida coletivo em condições dignas e culturalmente apropriadas.</w:t>
      </w:r>
    </w:p>
    <w:p w14:paraId="157AA943" w14:textId="77777777" w:rsidR="00591853" w:rsidRPr="00113360" w:rsidRDefault="00591853" w:rsidP="00591853">
      <w:pPr>
        <w:pStyle w:val="Numberedparagraphs"/>
        <w:widowControl w:val="0"/>
        <w:numPr>
          <w:ilvl w:val="0"/>
          <w:numId w:val="0"/>
        </w:numPr>
        <w:tabs>
          <w:tab w:val="left" w:pos="567"/>
        </w:tabs>
        <w:autoSpaceDE w:val="0"/>
        <w:autoSpaceDN w:val="0"/>
        <w:adjustRightInd w:val="0"/>
        <w:spacing w:after="0"/>
        <w:rPr>
          <w:lang w:val="pt-BR"/>
        </w:rPr>
      </w:pPr>
    </w:p>
    <w:p w14:paraId="3CB98A57" w14:textId="4A851432" w:rsidR="00EA72BD" w:rsidRPr="00285816" w:rsidRDefault="006A2B22" w:rsidP="00285816">
      <w:pPr>
        <w:pStyle w:val="Numberedparagraphs"/>
        <w:widowControl w:val="0"/>
        <w:numPr>
          <w:ilvl w:val="0"/>
          <w:numId w:val="2"/>
        </w:numPr>
        <w:tabs>
          <w:tab w:val="left" w:pos="567"/>
        </w:tabs>
        <w:autoSpaceDE w:val="0"/>
        <w:autoSpaceDN w:val="0"/>
        <w:adjustRightInd w:val="0"/>
        <w:spacing w:after="0"/>
        <w:ind w:left="0" w:firstLine="0"/>
        <w:rPr>
          <w:lang w:val="pt-BR"/>
        </w:rPr>
      </w:pPr>
      <w:r>
        <w:rPr>
          <w:color w:val="auto"/>
          <w:lang w:val="pt-BR"/>
        </w:rPr>
        <w:t>Cumpre salientar que</w:t>
      </w:r>
      <w:r w:rsidR="00AA451E" w:rsidRPr="00113360">
        <w:rPr>
          <w:color w:val="auto"/>
          <w:lang w:val="pt-BR"/>
        </w:rPr>
        <w:t xml:space="preserve"> o Estado não cumpriu seu dever de </w:t>
      </w:r>
      <w:r>
        <w:rPr>
          <w:color w:val="auto"/>
          <w:lang w:val="pt-BR"/>
        </w:rPr>
        <w:t xml:space="preserve">garantia a respeito do </w:t>
      </w:r>
      <w:r w:rsidR="00AA451E" w:rsidRPr="00113360">
        <w:rPr>
          <w:color w:val="auto"/>
          <w:lang w:val="pt-BR"/>
        </w:rPr>
        <w:t xml:space="preserve">núcleo de direitos indispensáveis ao desenvolvimento de um projeto de vida coletivo, sem discriminação racial. Em vista do exposto, no presente caso verifica-se uma violação autônoma do direito ao projeto de vida das Comunidades Quilombolas de Alcântara, em violação </w:t>
      </w:r>
      <w:r>
        <w:rPr>
          <w:color w:val="auto"/>
          <w:lang w:val="pt-BR"/>
        </w:rPr>
        <w:t>d</w:t>
      </w:r>
      <w:r w:rsidR="00AA451E" w:rsidRPr="00113360">
        <w:rPr>
          <w:color w:val="auto"/>
          <w:lang w:val="pt-BR"/>
        </w:rPr>
        <w:t>os artigos 4, 5, 7, 8, 11, 24 e 25 da Convenção Americana, em relação a seus artigos 1.1 e 26.</w:t>
      </w:r>
    </w:p>
    <w:p w14:paraId="09C64402" w14:textId="32E2DCCB" w:rsidR="00285816" w:rsidRDefault="00285816" w:rsidP="00EA72BD">
      <w:pPr>
        <w:spacing w:line="240" w:lineRule="auto"/>
        <w:ind w:left="3540" w:firstLine="708"/>
        <w:rPr>
          <w:rFonts w:eastAsiaTheme="minorHAnsi" w:cs="Arial"/>
          <w:lang w:val="pt-BR" w:eastAsia="en-US"/>
        </w:rPr>
      </w:pPr>
    </w:p>
    <w:p w14:paraId="25008853" w14:textId="77777777" w:rsidR="00285816" w:rsidRPr="00113360" w:rsidRDefault="00285816" w:rsidP="00EA72BD">
      <w:pPr>
        <w:spacing w:line="240" w:lineRule="auto"/>
        <w:ind w:left="3540" w:firstLine="708"/>
        <w:rPr>
          <w:rFonts w:eastAsiaTheme="minorHAnsi" w:cs="Arial"/>
          <w:lang w:val="pt-BR" w:eastAsia="en-US"/>
        </w:rPr>
      </w:pPr>
    </w:p>
    <w:p w14:paraId="67F1A46F" w14:textId="3958C3B2" w:rsidR="004433C9" w:rsidRPr="00113360" w:rsidRDefault="004433C9" w:rsidP="004433C9">
      <w:pPr>
        <w:spacing w:line="240" w:lineRule="auto"/>
        <w:ind w:left="3540" w:firstLine="708"/>
        <w:rPr>
          <w:rFonts w:eastAsiaTheme="minorHAnsi" w:cs="Arial"/>
          <w:lang w:val="pt-BR" w:eastAsia="en-US"/>
        </w:rPr>
      </w:pPr>
    </w:p>
    <w:p w14:paraId="3C3E1602" w14:textId="187CAAB3" w:rsidR="004433C9" w:rsidRPr="00113360" w:rsidRDefault="00285816" w:rsidP="004433C9">
      <w:pPr>
        <w:spacing w:line="240" w:lineRule="auto"/>
        <w:ind w:left="3540" w:firstLine="708"/>
        <w:rPr>
          <w:rFonts w:eastAsiaTheme="minorHAnsi" w:cs="Arial"/>
          <w:lang w:val="pt-BR" w:eastAsia="en-US"/>
        </w:rPr>
      </w:pPr>
      <w:r>
        <w:rPr>
          <w:rFonts w:eastAsiaTheme="minorHAnsi" w:cs="Arial"/>
          <w:lang w:val="pt-BR" w:eastAsia="en-US"/>
        </w:rPr>
        <w:t xml:space="preserve">                      </w:t>
      </w:r>
      <w:r w:rsidR="00253149">
        <w:rPr>
          <w:rFonts w:eastAsiaTheme="minorHAnsi" w:cs="Arial"/>
          <w:lang w:val="pt-BR" w:eastAsia="en-US"/>
        </w:rPr>
        <w:t xml:space="preserve"> </w:t>
      </w:r>
      <w:r w:rsidR="004433C9" w:rsidRPr="00113360">
        <w:rPr>
          <w:rFonts w:eastAsiaTheme="minorHAnsi" w:cs="Arial"/>
          <w:lang w:val="pt-BR" w:eastAsia="en-US"/>
        </w:rPr>
        <w:t>Verónica Gómez</w:t>
      </w:r>
    </w:p>
    <w:p w14:paraId="34DF22D8" w14:textId="0CBADAAF" w:rsidR="004433C9" w:rsidRPr="00113360" w:rsidRDefault="00285816" w:rsidP="004433C9">
      <w:pPr>
        <w:spacing w:line="240" w:lineRule="auto"/>
        <w:ind w:left="4248" w:firstLine="708"/>
        <w:rPr>
          <w:rFonts w:eastAsiaTheme="minorHAnsi" w:cs="Arial"/>
          <w:lang w:val="pt-BR" w:eastAsia="en-US"/>
        </w:rPr>
      </w:pPr>
      <w:r>
        <w:rPr>
          <w:rFonts w:eastAsiaTheme="minorHAnsi" w:cs="Arial"/>
          <w:lang w:val="pt-BR" w:eastAsia="en-US"/>
        </w:rPr>
        <w:t xml:space="preserve">               </w:t>
      </w:r>
      <w:r w:rsidR="003A4A0D">
        <w:rPr>
          <w:rFonts w:eastAsiaTheme="minorHAnsi" w:cs="Arial"/>
          <w:lang w:val="pt-BR" w:eastAsia="en-US"/>
        </w:rPr>
        <w:t xml:space="preserve">  </w:t>
      </w:r>
      <w:r>
        <w:rPr>
          <w:rFonts w:eastAsiaTheme="minorHAnsi" w:cs="Arial"/>
          <w:lang w:val="pt-BR" w:eastAsia="en-US"/>
        </w:rPr>
        <w:t xml:space="preserve">    </w:t>
      </w:r>
      <w:r w:rsidR="00253149">
        <w:rPr>
          <w:rFonts w:eastAsiaTheme="minorHAnsi" w:cs="Arial"/>
          <w:lang w:val="pt-BR" w:eastAsia="en-US"/>
        </w:rPr>
        <w:t xml:space="preserve"> </w:t>
      </w:r>
      <w:r w:rsidR="004433C9" w:rsidRPr="00113360">
        <w:rPr>
          <w:rFonts w:eastAsiaTheme="minorHAnsi" w:cs="Arial"/>
          <w:lang w:val="pt-BR" w:eastAsia="en-US"/>
        </w:rPr>
        <w:t>Ju</w:t>
      </w:r>
      <w:r w:rsidR="00BB1128" w:rsidRPr="00113360">
        <w:rPr>
          <w:rFonts w:eastAsiaTheme="minorHAnsi" w:cs="Arial"/>
          <w:lang w:val="pt-BR" w:eastAsia="en-US"/>
        </w:rPr>
        <w:t>í</w:t>
      </w:r>
      <w:r w:rsidR="004433C9" w:rsidRPr="00113360">
        <w:rPr>
          <w:rFonts w:eastAsiaTheme="minorHAnsi" w:cs="Arial"/>
          <w:lang w:val="pt-BR" w:eastAsia="en-US"/>
        </w:rPr>
        <w:t xml:space="preserve">za </w:t>
      </w:r>
    </w:p>
    <w:p w14:paraId="6F488352" w14:textId="77777777" w:rsidR="004433C9" w:rsidRDefault="004433C9" w:rsidP="004433C9">
      <w:pPr>
        <w:spacing w:line="240" w:lineRule="auto"/>
        <w:rPr>
          <w:rFonts w:eastAsiaTheme="minorHAnsi" w:cs="Arial"/>
          <w:lang w:val="pt-BR" w:eastAsia="en-US"/>
        </w:rPr>
      </w:pPr>
    </w:p>
    <w:p w14:paraId="7E757A48" w14:textId="77777777" w:rsidR="00285816" w:rsidRPr="00113360" w:rsidRDefault="00285816" w:rsidP="004433C9">
      <w:pPr>
        <w:spacing w:line="240" w:lineRule="auto"/>
        <w:rPr>
          <w:rFonts w:eastAsiaTheme="minorHAnsi" w:cs="Arial"/>
          <w:lang w:val="pt-BR" w:eastAsia="en-US"/>
        </w:rPr>
      </w:pPr>
    </w:p>
    <w:p w14:paraId="2663C756" w14:textId="77777777" w:rsidR="004433C9" w:rsidRPr="00113360" w:rsidRDefault="004433C9" w:rsidP="004433C9">
      <w:pPr>
        <w:spacing w:line="240" w:lineRule="auto"/>
        <w:ind w:firstLine="708"/>
        <w:rPr>
          <w:rFonts w:eastAsiaTheme="minorHAnsi" w:cs="Arial"/>
          <w:lang w:val="pt-BR" w:eastAsia="en-US"/>
        </w:rPr>
      </w:pPr>
      <w:r w:rsidRPr="00113360">
        <w:rPr>
          <w:rFonts w:eastAsiaTheme="minorHAnsi" w:cs="Arial"/>
          <w:lang w:val="pt-BR" w:eastAsia="en-US"/>
        </w:rPr>
        <w:t>Pablo Saavedra Alessandri</w:t>
      </w:r>
    </w:p>
    <w:p w14:paraId="6E0806F6" w14:textId="5B54A850" w:rsidR="00452A0D" w:rsidRDefault="00253149" w:rsidP="00AA451E">
      <w:pPr>
        <w:spacing w:line="240" w:lineRule="auto"/>
        <w:rPr>
          <w:rFonts w:eastAsiaTheme="minorHAnsi" w:cs="Arial"/>
          <w:lang w:val="pt-BR" w:eastAsia="en-US"/>
        </w:rPr>
      </w:pPr>
      <w:r>
        <w:rPr>
          <w:rFonts w:eastAsiaTheme="minorHAnsi" w:cs="Arial"/>
          <w:lang w:val="pt-BR" w:eastAsia="en-US"/>
        </w:rPr>
        <w:t xml:space="preserve"> </w:t>
      </w:r>
      <w:r w:rsidR="004433C9" w:rsidRPr="00113360">
        <w:rPr>
          <w:rFonts w:eastAsiaTheme="minorHAnsi" w:cs="Arial"/>
          <w:lang w:val="pt-BR" w:eastAsia="en-US"/>
        </w:rPr>
        <w:tab/>
      </w:r>
      <w:r w:rsidR="004433C9" w:rsidRPr="00113360">
        <w:rPr>
          <w:rFonts w:eastAsiaTheme="minorHAnsi" w:cs="Arial"/>
          <w:lang w:val="pt-BR" w:eastAsia="en-US"/>
        </w:rPr>
        <w:tab/>
        <w:t>Secret</w:t>
      </w:r>
      <w:r w:rsidR="00BB1128" w:rsidRPr="00113360">
        <w:rPr>
          <w:rFonts w:eastAsiaTheme="minorHAnsi" w:cs="Arial"/>
          <w:lang w:val="pt-BR" w:eastAsia="en-US"/>
        </w:rPr>
        <w:t>á</w:t>
      </w:r>
      <w:r w:rsidR="004433C9" w:rsidRPr="00113360">
        <w:rPr>
          <w:rFonts w:eastAsiaTheme="minorHAnsi" w:cs="Arial"/>
          <w:lang w:val="pt-BR" w:eastAsia="en-US"/>
        </w:rPr>
        <w:t xml:space="preserve">rio </w:t>
      </w:r>
    </w:p>
    <w:p w14:paraId="31CADE95" w14:textId="14CC09AC" w:rsidR="00452A0D" w:rsidRPr="00452A0D" w:rsidRDefault="00452A0D" w:rsidP="00AA451E">
      <w:pPr>
        <w:spacing w:line="240" w:lineRule="auto"/>
        <w:rPr>
          <w:sz w:val="8"/>
          <w:szCs w:val="8"/>
          <w:lang w:val="pt-BR"/>
        </w:rPr>
      </w:pPr>
    </w:p>
    <w:sectPr w:rsidR="00452A0D" w:rsidRPr="00452A0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1E82" w14:textId="77777777" w:rsidR="006B1FCF" w:rsidRDefault="006B1FCF" w:rsidP="00591853">
      <w:pPr>
        <w:spacing w:line="240" w:lineRule="auto"/>
      </w:pPr>
      <w:r>
        <w:separator/>
      </w:r>
    </w:p>
  </w:endnote>
  <w:endnote w:type="continuationSeparator" w:id="0">
    <w:p w14:paraId="7C1953C7" w14:textId="77777777" w:rsidR="006B1FCF" w:rsidRDefault="006B1FCF" w:rsidP="00591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956258790"/>
      <w:docPartObj>
        <w:docPartGallery w:val="Page Numbers (Bottom of Page)"/>
        <w:docPartUnique/>
      </w:docPartObj>
    </w:sdtPr>
    <w:sdtContent>
      <w:p w14:paraId="11538B17" w14:textId="517A7FAA" w:rsidR="00837EB0" w:rsidRDefault="00837EB0" w:rsidP="0035040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62408F" w14:textId="77777777" w:rsidR="00837EB0" w:rsidRDefault="00837EB0" w:rsidP="00837E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874842"/>
      <w:docPartObj>
        <w:docPartGallery w:val="Page Numbers (Bottom of Page)"/>
        <w:docPartUnique/>
      </w:docPartObj>
    </w:sdtPr>
    <w:sdtContent>
      <w:p w14:paraId="32635F98" w14:textId="5AC8C3FD" w:rsidR="00837EB0" w:rsidRDefault="00837EB0" w:rsidP="0035040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A451E">
          <w:rPr>
            <w:rStyle w:val="Nmerodepgina"/>
            <w:noProof/>
          </w:rPr>
          <w:t>5</w:t>
        </w:r>
        <w:r>
          <w:rPr>
            <w:rStyle w:val="Nmerodepgina"/>
          </w:rPr>
          <w:fldChar w:fldCharType="end"/>
        </w:r>
      </w:p>
    </w:sdtContent>
  </w:sdt>
  <w:p w14:paraId="66D271C4" w14:textId="77777777" w:rsidR="00837EB0" w:rsidRDefault="00837EB0" w:rsidP="00837EB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892D" w14:textId="77777777" w:rsidR="006B1FCF" w:rsidRDefault="006B1FCF" w:rsidP="00591853">
      <w:pPr>
        <w:spacing w:line="240" w:lineRule="auto"/>
      </w:pPr>
      <w:r>
        <w:separator/>
      </w:r>
    </w:p>
  </w:footnote>
  <w:footnote w:type="continuationSeparator" w:id="0">
    <w:p w14:paraId="6D23B35A" w14:textId="77777777" w:rsidR="006B1FCF" w:rsidRDefault="006B1FCF" w:rsidP="00591853">
      <w:pPr>
        <w:spacing w:line="240" w:lineRule="auto"/>
      </w:pPr>
      <w:r>
        <w:continuationSeparator/>
      </w:r>
    </w:p>
  </w:footnote>
  <w:footnote w:id="1">
    <w:p w14:paraId="1BA2B394" w14:textId="6EF5A375" w:rsidR="0051032D" w:rsidRPr="00113360" w:rsidRDefault="0051032D" w:rsidP="0051032D">
      <w:pPr>
        <w:tabs>
          <w:tab w:val="left" w:pos="567"/>
          <w:tab w:val="num" w:pos="12305"/>
        </w:tabs>
        <w:spacing w:line="240" w:lineRule="auto"/>
        <w:textAlignment w:val="auto"/>
        <w:rPr>
          <w:rFonts w:eastAsia="MS Mincho"/>
          <w:sz w:val="16"/>
          <w:szCs w:val="16"/>
          <w:lang w:val="pt-BR" w:bidi="en-US"/>
        </w:rPr>
      </w:pPr>
      <w:r w:rsidRPr="0051032D">
        <w:rPr>
          <w:rStyle w:val="Refdenotaalpie"/>
          <w:sz w:val="16"/>
          <w:szCs w:val="16"/>
        </w:rPr>
        <w:footnoteRef/>
      </w:r>
      <w:r w:rsidRPr="00113360">
        <w:rPr>
          <w:sz w:val="16"/>
          <w:szCs w:val="16"/>
          <w:lang w:val="pt-BR"/>
        </w:rPr>
        <w:t xml:space="preserve"> </w:t>
      </w:r>
      <w:r w:rsidR="00A8473B" w:rsidRPr="00113360">
        <w:rPr>
          <w:sz w:val="16"/>
          <w:szCs w:val="16"/>
          <w:lang w:val="pt-BR"/>
        </w:rPr>
        <w:t xml:space="preserve">Concretamente, a decisão da maioria considera o Estado responsável </w:t>
      </w:r>
      <w:r w:rsidR="00151197">
        <w:rPr>
          <w:sz w:val="16"/>
          <w:szCs w:val="16"/>
          <w:lang w:val="pt-BR"/>
        </w:rPr>
        <w:t xml:space="preserve">estritamente </w:t>
      </w:r>
      <w:r w:rsidR="00A8473B" w:rsidRPr="00113360">
        <w:rPr>
          <w:sz w:val="16"/>
          <w:szCs w:val="16"/>
          <w:lang w:val="pt-BR"/>
        </w:rPr>
        <w:t>por (i) descumprir sua obrigação de delimitar, demarcar, titular e sanear o território das Comunidades Quilombolas de Alcântara; (</w:t>
      </w:r>
      <w:proofErr w:type="spellStart"/>
      <w:r w:rsidR="00A8473B" w:rsidRPr="00113360">
        <w:rPr>
          <w:sz w:val="16"/>
          <w:szCs w:val="16"/>
          <w:lang w:val="pt-BR"/>
        </w:rPr>
        <w:t>ii</w:t>
      </w:r>
      <w:proofErr w:type="spellEnd"/>
      <w:r w:rsidR="00A8473B" w:rsidRPr="00113360">
        <w:rPr>
          <w:sz w:val="16"/>
          <w:szCs w:val="16"/>
          <w:lang w:val="pt-BR"/>
        </w:rPr>
        <w:t xml:space="preserve">) outorgar títulos individuais de propriedade </w:t>
      </w:r>
      <w:r w:rsidR="006A2B22">
        <w:rPr>
          <w:sz w:val="16"/>
          <w:szCs w:val="16"/>
          <w:lang w:val="pt-BR"/>
        </w:rPr>
        <w:t xml:space="preserve">em vez </w:t>
      </w:r>
      <w:r w:rsidR="00A8473B" w:rsidRPr="00113360">
        <w:rPr>
          <w:sz w:val="16"/>
          <w:szCs w:val="16"/>
          <w:lang w:val="pt-BR"/>
        </w:rPr>
        <w:t>de reconhecer a propriedade coletiva em favor da comunidade; (</w:t>
      </w:r>
      <w:proofErr w:type="spellStart"/>
      <w:r w:rsidR="00A8473B" w:rsidRPr="00113360">
        <w:rPr>
          <w:sz w:val="16"/>
          <w:szCs w:val="16"/>
          <w:lang w:val="pt-BR"/>
        </w:rPr>
        <w:t>iii</w:t>
      </w:r>
      <w:proofErr w:type="spellEnd"/>
      <w:r w:rsidR="00A8473B" w:rsidRPr="00113360">
        <w:rPr>
          <w:sz w:val="16"/>
          <w:szCs w:val="16"/>
          <w:lang w:val="pt-BR"/>
        </w:rPr>
        <w:t xml:space="preserve">) descumprir seu dever de garantir o pleno uso e gozo do território coletivo às Comunidades Quilombolas de Alcântara, </w:t>
      </w:r>
      <w:r w:rsidR="006A2B22">
        <w:rPr>
          <w:sz w:val="16"/>
          <w:szCs w:val="16"/>
          <w:lang w:val="pt-BR"/>
        </w:rPr>
        <w:t>inclusive</w:t>
      </w:r>
      <w:r w:rsidR="00A8473B" w:rsidRPr="00113360">
        <w:rPr>
          <w:sz w:val="16"/>
          <w:szCs w:val="16"/>
          <w:lang w:val="pt-BR"/>
        </w:rPr>
        <w:t xml:space="preserve"> medidas compensatórias pelo impacto das restrições sistemáticas durante as “janelas de </w:t>
      </w:r>
      <w:r w:rsidR="00293F71">
        <w:rPr>
          <w:sz w:val="16"/>
          <w:szCs w:val="16"/>
          <w:lang w:val="pt-BR"/>
        </w:rPr>
        <w:t>lançamentos</w:t>
      </w:r>
      <w:r w:rsidR="00A8473B" w:rsidRPr="00113360">
        <w:rPr>
          <w:sz w:val="16"/>
          <w:szCs w:val="16"/>
          <w:lang w:val="pt-BR"/>
        </w:rPr>
        <w:t xml:space="preserve">” </w:t>
      </w:r>
      <w:r w:rsidR="00634695">
        <w:rPr>
          <w:sz w:val="16"/>
          <w:szCs w:val="16"/>
          <w:lang w:val="pt-BR"/>
        </w:rPr>
        <w:t>a</w:t>
      </w:r>
      <w:r w:rsidR="00A8473B" w:rsidRPr="00113360">
        <w:rPr>
          <w:sz w:val="16"/>
          <w:szCs w:val="16"/>
          <w:lang w:val="pt-BR"/>
        </w:rPr>
        <w:t xml:space="preserve">o uso de seu território e </w:t>
      </w:r>
      <w:r w:rsidR="00634695">
        <w:rPr>
          <w:sz w:val="16"/>
          <w:szCs w:val="16"/>
          <w:lang w:val="pt-BR"/>
        </w:rPr>
        <w:t xml:space="preserve">a </w:t>
      </w:r>
      <w:r w:rsidR="00A8473B" w:rsidRPr="00113360">
        <w:rPr>
          <w:sz w:val="16"/>
          <w:szCs w:val="16"/>
          <w:lang w:val="pt-BR"/>
        </w:rPr>
        <w:t xml:space="preserve">seu direito de circulação para o exercício de seus cultos, sua atividade econômica e sua alimentação. </w:t>
      </w:r>
      <w:r w:rsidRPr="00113360">
        <w:rPr>
          <w:sz w:val="16"/>
          <w:szCs w:val="16"/>
          <w:lang w:val="pt-BR"/>
        </w:rPr>
        <w:t>Cf. P</w:t>
      </w:r>
      <w:r w:rsidR="00A8473B" w:rsidRPr="00113360">
        <w:rPr>
          <w:sz w:val="16"/>
          <w:szCs w:val="16"/>
          <w:lang w:val="pt-BR"/>
        </w:rPr>
        <w:t>o</w:t>
      </w:r>
      <w:r w:rsidRPr="00113360">
        <w:rPr>
          <w:sz w:val="16"/>
          <w:szCs w:val="16"/>
          <w:lang w:val="pt-BR"/>
        </w:rPr>
        <w:t>nto resolutivo 4 da Senten</w:t>
      </w:r>
      <w:r w:rsidR="00A8473B" w:rsidRPr="00113360">
        <w:rPr>
          <w:sz w:val="16"/>
          <w:szCs w:val="16"/>
          <w:lang w:val="pt-BR"/>
        </w:rPr>
        <w:t>ç</w:t>
      </w:r>
      <w:r w:rsidRPr="00113360">
        <w:rPr>
          <w:sz w:val="16"/>
          <w:szCs w:val="16"/>
          <w:lang w:val="pt-BR"/>
        </w:rPr>
        <w:t xml:space="preserve">a. </w:t>
      </w:r>
    </w:p>
    <w:p w14:paraId="01B1B520" w14:textId="4BCFF847" w:rsidR="0051032D" w:rsidRPr="00113360" w:rsidRDefault="0051032D">
      <w:pPr>
        <w:pStyle w:val="Textonotapie"/>
        <w:rPr>
          <w:lang w:val="pt-BR"/>
        </w:rPr>
      </w:pPr>
    </w:p>
  </w:footnote>
  <w:footnote w:id="2">
    <w:p w14:paraId="1FE445C0" w14:textId="7D72B416" w:rsidR="00034564" w:rsidRPr="00113360" w:rsidRDefault="00034564" w:rsidP="00034564">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iCs/>
          <w:sz w:val="16"/>
          <w:szCs w:val="16"/>
          <w:lang w:val="pt-BR"/>
        </w:rPr>
        <w:t>Cf</w:t>
      </w:r>
      <w:r w:rsidRPr="00113360">
        <w:rPr>
          <w:i/>
          <w:iCs/>
          <w:sz w:val="16"/>
          <w:szCs w:val="16"/>
          <w:lang w:val="pt-BR"/>
        </w:rPr>
        <w:t xml:space="preserve">. </w:t>
      </w:r>
      <w:r w:rsidR="00514E15">
        <w:rPr>
          <w:i/>
          <w:iCs/>
          <w:sz w:val="16"/>
          <w:szCs w:val="16"/>
          <w:lang w:val="pt-BR"/>
        </w:rPr>
        <w:t>Depoimento de</w:t>
      </w:r>
      <w:r w:rsidR="00A51566" w:rsidRPr="00113360">
        <w:rPr>
          <w:i/>
          <w:iCs/>
          <w:sz w:val="16"/>
          <w:szCs w:val="16"/>
          <w:lang w:val="pt-BR"/>
        </w:rPr>
        <w:t xml:space="preserve"> </w:t>
      </w:r>
      <w:r w:rsidRPr="00113360">
        <w:rPr>
          <w:i/>
          <w:iCs/>
          <w:sz w:val="16"/>
          <w:szCs w:val="16"/>
          <w:lang w:val="pt-BR"/>
        </w:rPr>
        <w:t>Inaldo Diniz n</w:t>
      </w:r>
      <w:r w:rsidR="00A51566" w:rsidRPr="00113360">
        <w:rPr>
          <w:i/>
          <w:iCs/>
          <w:sz w:val="16"/>
          <w:szCs w:val="16"/>
          <w:lang w:val="pt-BR"/>
        </w:rPr>
        <w:t>a</w:t>
      </w:r>
      <w:r w:rsidRPr="00113360">
        <w:rPr>
          <w:i/>
          <w:iCs/>
          <w:sz w:val="16"/>
          <w:szCs w:val="16"/>
          <w:lang w:val="pt-BR"/>
        </w:rPr>
        <w:t xml:space="preserve"> audi</w:t>
      </w:r>
      <w:r w:rsidR="00A51566" w:rsidRPr="00113360">
        <w:rPr>
          <w:i/>
          <w:iCs/>
          <w:sz w:val="16"/>
          <w:szCs w:val="16"/>
          <w:lang w:val="pt-BR"/>
        </w:rPr>
        <w:t>ê</w:t>
      </w:r>
      <w:r w:rsidRPr="00113360">
        <w:rPr>
          <w:i/>
          <w:iCs/>
          <w:sz w:val="16"/>
          <w:szCs w:val="16"/>
          <w:lang w:val="pt-BR"/>
        </w:rPr>
        <w:t>ncia</w:t>
      </w:r>
      <w:r w:rsidRPr="00113360">
        <w:rPr>
          <w:sz w:val="16"/>
          <w:szCs w:val="16"/>
          <w:lang w:val="pt-BR"/>
        </w:rPr>
        <w:t>.</w:t>
      </w:r>
    </w:p>
  </w:footnote>
  <w:footnote w:id="3">
    <w:p w14:paraId="6B27217C" w14:textId="2AD35376" w:rsidR="00C3417E" w:rsidRPr="00514E15" w:rsidRDefault="00C3417E" w:rsidP="00C3417E">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sz w:val="16"/>
          <w:szCs w:val="16"/>
          <w:lang w:val="pt-BR"/>
        </w:rPr>
        <w:t>Cf</w:t>
      </w:r>
      <w:r w:rsidRPr="00113360">
        <w:rPr>
          <w:i/>
          <w:sz w:val="16"/>
          <w:szCs w:val="16"/>
          <w:lang w:val="pt-BR"/>
        </w:rPr>
        <w:t>. Caso da Comunidad</w:t>
      </w:r>
      <w:r w:rsidR="00A51566" w:rsidRPr="00113360">
        <w:rPr>
          <w:i/>
          <w:sz w:val="16"/>
          <w:szCs w:val="16"/>
          <w:lang w:val="pt-BR"/>
        </w:rPr>
        <w:t>e</w:t>
      </w:r>
      <w:r w:rsidRPr="00113360">
        <w:rPr>
          <w:i/>
          <w:sz w:val="16"/>
          <w:szCs w:val="16"/>
          <w:lang w:val="pt-BR"/>
        </w:rPr>
        <w:t xml:space="preserve"> </w:t>
      </w:r>
      <w:proofErr w:type="spellStart"/>
      <w:r w:rsidRPr="00113360">
        <w:rPr>
          <w:i/>
          <w:sz w:val="16"/>
          <w:szCs w:val="16"/>
          <w:lang w:val="pt-BR"/>
        </w:rPr>
        <w:t>Moiwana</w:t>
      </w:r>
      <w:proofErr w:type="spellEnd"/>
      <w:r w:rsidRPr="00113360">
        <w:rPr>
          <w:i/>
          <w:sz w:val="16"/>
          <w:szCs w:val="16"/>
          <w:lang w:val="pt-BR"/>
        </w:rPr>
        <w:t xml:space="preserve"> Vs. Suriname. </w:t>
      </w:r>
      <w:r w:rsidRPr="00113360">
        <w:rPr>
          <w:rStyle w:val="Textoennegrita"/>
          <w:rFonts w:eastAsia="MS Mincho"/>
          <w:b w:val="0"/>
          <w:bCs w:val="0"/>
          <w:i/>
          <w:sz w:val="16"/>
          <w:szCs w:val="16"/>
          <w:lang w:val="pt-BR"/>
        </w:rPr>
        <w:t>Exce</w:t>
      </w:r>
      <w:r w:rsidR="00A51566" w:rsidRPr="00113360">
        <w:rPr>
          <w:rStyle w:val="Textoennegrita"/>
          <w:rFonts w:eastAsia="MS Mincho"/>
          <w:b w:val="0"/>
          <w:bCs w:val="0"/>
          <w:i/>
          <w:sz w:val="16"/>
          <w:szCs w:val="16"/>
          <w:lang w:val="pt-BR"/>
        </w:rPr>
        <w:t xml:space="preserve">ções </w:t>
      </w:r>
      <w:r w:rsidRPr="00113360">
        <w:rPr>
          <w:rStyle w:val="Textoennegrita"/>
          <w:rFonts w:eastAsia="MS Mincho"/>
          <w:b w:val="0"/>
          <w:bCs w:val="0"/>
          <w:i/>
          <w:sz w:val="16"/>
          <w:szCs w:val="16"/>
          <w:lang w:val="pt-BR"/>
        </w:rPr>
        <w:t xml:space="preserve">Preliminares, </w:t>
      </w:r>
      <w:r w:rsidR="00A51566" w:rsidRPr="00113360">
        <w:rPr>
          <w:rStyle w:val="Textoennegrita"/>
          <w:rFonts w:eastAsia="MS Mincho"/>
          <w:b w:val="0"/>
          <w:bCs w:val="0"/>
          <w:i/>
          <w:sz w:val="16"/>
          <w:szCs w:val="16"/>
          <w:lang w:val="pt-BR"/>
        </w:rPr>
        <w:t>Mérito</w:t>
      </w:r>
      <w:r w:rsidRPr="00113360">
        <w:rPr>
          <w:rStyle w:val="Textoennegrita"/>
          <w:rFonts w:eastAsia="MS Mincho"/>
          <w:b w:val="0"/>
          <w:bCs w:val="0"/>
          <w:i/>
          <w:sz w:val="16"/>
          <w:szCs w:val="16"/>
          <w:lang w:val="pt-BR"/>
        </w:rPr>
        <w:t>, Repara</w:t>
      </w:r>
      <w:r w:rsidR="00A51566" w:rsidRPr="00113360">
        <w:rPr>
          <w:rStyle w:val="Textoennegrita"/>
          <w:rFonts w:eastAsia="MS Mincho"/>
          <w:b w:val="0"/>
          <w:bCs w:val="0"/>
          <w:i/>
          <w:sz w:val="16"/>
          <w:szCs w:val="16"/>
          <w:lang w:val="pt-BR"/>
        </w:rPr>
        <w:t>ções e</w:t>
      </w:r>
      <w:r w:rsidRPr="00113360">
        <w:rPr>
          <w:rStyle w:val="Textoennegrita"/>
          <w:rFonts w:eastAsia="MS Mincho"/>
          <w:b w:val="0"/>
          <w:bCs w:val="0"/>
          <w:i/>
          <w:sz w:val="16"/>
          <w:szCs w:val="16"/>
          <w:lang w:val="pt-BR"/>
        </w:rPr>
        <w:t xml:space="preserve"> C</w:t>
      </w:r>
      <w:r w:rsidR="00A51566" w:rsidRPr="00113360">
        <w:rPr>
          <w:rStyle w:val="Textoennegrita"/>
          <w:rFonts w:eastAsia="MS Mincho"/>
          <w:b w:val="0"/>
          <w:bCs w:val="0"/>
          <w:i/>
          <w:sz w:val="16"/>
          <w:szCs w:val="16"/>
          <w:lang w:val="pt-BR"/>
        </w:rPr>
        <w:t>u</w:t>
      </w:r>
      <w:r w:rsidRPr="00113360">
        <w:rPr>
          <w:rStyle w:val="Textoennegrita"/>
          <w:rFonts w:eastAsia="MS Mincho"/>
          <w:b w:val="0"/>
          <w:bCs w:val="0"/>
          <w:i/>
          <w:sz w:val="16"/>
          <w:szCs w:val="16"/>
          <w:lang w:val="pt-BR"/>
        </w:rPr>
        <w:t>stas.</w:t>
      </w:r>
      <w:r w:rsidRPr="00113360">
        <w:rPr>
          <w:rStyle w:val="Textoennegrita"/>
          <w:rFonts w:eastAsia="MS Mincho"/>
          <w:b w:val="0"/>
          <w:bCs w:val="0"/>
          <w:sz w:val="16"/>
          <w:szCs w:val="16"/>
          <w:lang w:val="pt-BR"/>
        </w:rPr>
        <w:t xml:space="preserve"> Senten</w:t>
      </w:r>
      <w:r w:rsidR="00A51566" w:rsidRPr="00113360">
        <w:rPr>
          <w:rStyle w:val="Textoennegrita"/>
          <w:rFonts w:eastAsia="MS Mincho"/>
          <w:b w:val="0"/>
          <w:bCs w:val="0"/>
          <w:sz w:val="16"/>
          <w:szCs w:val="16"/>
          <w:lang w:val="pt-BR"/>
        </w:rPr>
        <w:t>ç</w:t>
      </w:r>
      <w:r w:rsidRPr="00113360">
        <w:rPr>
          <w:rStyle w:val="Textoennegrita"/>
          <w:rFonts w:eastAsia="MS Mincho"/>
          <w:b w:val="0"/>
          <w:bCs w:val="0"/>
          <w:sz w:val="16"/>
          <w:szCs w:val="16"/>
          <w:lang w:val="pt-BR"/>
        </w:rPr>
        <w:t xml:space="preserve">a </w:t>
      </w:r>
      <w:r w:rsidR="000A5B99">
        <w:rPr>
          <w:rStyle w:val="Textoennegrita"/>
          <w:rFonts w:eastAsia="MS Mincho"/>
          <w:b w:val="0"/>
          <w:bCs w:val="0"/>
          <w:sz w:val="16"/>
          <w:szCs w:val="16"/>
          <w:lang w:val="pt-BR"/>
        </w:rPr>
        <w:t xml:space="preserve">de </w:t>
      </w:r>
      <w:r w:rsidRPr="00113360">
        <w:rPr>
          <w:rStyle w:val="Textoennegrita"/>
          <w:rFonts w:eastAsia="MS Mincho"/>
          <w:b w:val="0"/>
          <w:bCs w:val="0"/>
          <w:sz w:val="16"/>
          <w:szCs w:val="16"/>
          <w:lang w:val="pt-BR"/>
        </w:rPr>
        <w:t>15 de jun</w:t>
      </w:r>
      <w:r w:rsidR="00A51566" w:rsidRPr="00113360">
        <w:rPr>
          <w:rStyle w:val="Textoennegrita"/>
          <w:rFonts w:eastAsia="MS Mincho"/>
          <w:b w:val="0"/>
          <w:bCs w:val="0"/>
          <w:sz w:val="16"/>
          <w:szCs w:val="16"/>
          <w:lang w:val="pt-BR"/>
        </w:rPr>
        <w:t>h</w:t>
      </w:r>
      <w:r w:rsidRPr="00113360">
        <w:rPr>
          <w:rStyle w:val="Textoennegrita"/>
          <w:rFonts w:eastAsia="MS Mincho"/>
          <w:b w:val="0"/>
          <w:bCs w:val="0"/>
          <w:sz w:val="16"/>
          <w:szCs w:val="16"/>
          <w:lang w:val="pt-BR"/>
        </w:rPr>
        <w:t xml:space="preserve">o de 2005. </w:t>
      </w:r>
      <w:r w:rsidR="00A51566" w:rsidRPr="00113360">
        <w:rPr>
          <w:rStyle w:val="Textoennegrita"/>
          <w:rFonts w:eastAsia="MS Mincho"/>
          <w:b w:val="0"/>
          <w:bCs w:val="0"/>
          <w:sz w:val="16"/>
          <w:szCs w:val="16"/>
          <w:lang w:val="pt-BR"/>
        </w:rPr>
        <w:t>Série</w:t>
      </w:r>
      <w:r w:rsidRPr="00113360">
        <w:rPr>
          <w:rStyle w:val="Textoennegrita"/>
          <w:rFonts w:eastAsia="MS Mincho"/>
          <w:b w:val="0"/>
          <w:bCs w:val="0"/>
          <w:sz w:val="16"/>
          <w:szCs w:val="16"/>
          <w:lang w:val="pt-BR"/>
        </w:rPr>
        <w:t xml:space="preserve"> C </w:t>
      </w:r>
      <w:r w:rsidR="00A51566" w:rsidRPr="00113360">
        <w:rPr>
          <w:rStyle w:val="Textoennegrita"/>
          <w:rFonts w:eastAsia="MS Mincho"/>
          <w:b w:val="0"/>
          <w:bCs w:val="0"/>
          <w:sz w:val="16"/>
          <w:szCs w:val="16"/>
          <w:lang w:val="pt-BR"/>
        </w:rPr>
        <w:t>Nº.</w:t>
      </w:r>
      <w:r w:rsidRPr="00113360">
        <w:rPr>
          <w:rStyle w:val="Textoennegrita"/>
          <w:rFonts w:eastAsia="MS Mincho"/>
          <w:b w:val="0"/>
          <w:bCs w:val="0"/>
          <w:sz w:val="16"/>
          <w:szCs w:val="16"/>
          <w:lang w:val="pt-BR"/>
        </w:rPr>
        <w:t xml:space="preserve"> 124</w:t>
      </w:r>
      <w:r w:rsidRPr="00113360">
        <w:rPr>
          <w:sz w:val="16"/>
          <w:szCs w:val="16"/>
          <w:lang w:val="pt-BR"/>
        </w:rPr>
        <w:t xml:space="preserve">, </w:t>
      </w:r>
      <w:r w:rsidR="00A51566" w:rsidRPr="00113360">
        <w:rPr>
          <w:sz w:val="16"/>
          <w:szCs w:val="16"/>
          <w:lang w:val="pt-BR"/>
        </w:rPr>
        <w:t>par</w:t>
      </w:r>
      <w:r w:rsidRPr="00113360">
        <w:rPr>
          <w:sz w:val="16"/>
          <w:szCs w:val="16"/>
          <w:lang w:val="pt-BR"/>
        </w:rPr>
        <w:t xml:space="preserve">. 119 </w:t>
      </w:r>
      <w:r w:rsidR="00A51566" w:rsidRPr="00113360">
        <w:rPr>
          <w:sz w:val="16"/>
          <w:szCs w:val="16"/>
          <w:lang w:val="pt-BR"/>
        </w:rPr>
        <w:t>e</w:t>
      </w:r>
      <w:r w:rsidRPr="00113360">
        <w:rPr>
          <w:sz w:val="16"/>
          <w:szCs w:val="16"/>
          <w:lang w:val="pt-BR"/>
        </w:rPr>
        <w:t xml:space="preserve"> 120; </w:t>
      </w:r>
      <w:r w:rsidR="00A51566" w:rsidRPr="00113360">
        <w:rPr>
          <w:sz w:val="16"/>
          <w:szCs w:val="16"/>
          <w:lang w:val="pt-BR"/>
        </w:rPr>
        <w:t>e</w:t>
      </w:r>
      <w:r w:rsidRPr="00113360">
        <w:rPr>
          <w:sz w:val="16"/>
          <w:szCs w:val="16"/>
          <w:lang w:val="pt-BR"/>
        </w:rPr>
        <w:t xml:space="preserve"> </w:t>
      </w:r>
      <w:r w:rsidRPr="00113360">
        <w:rPr>
          <w:i/>
          <w:sz w:val="16"/>
          <w:szCs w:val="16"/>
          <w:lang w:val="pt-BR"/>
        </w:rPr>
        <w:t xml:space="preserve">Caso Alvarado Espinoza </w:t>
      </w:r>
      <w:r w:rsidR="00A51566" w:rsidRPr="00113360">
        <w:rPr>
          <w:i/>
          <w:sz w:val="16"/>
          <w:szCs w:val="16"/>
          <w:lang w:val="pt-BR"/>
        </w:rPr>
        <w:t>e</w:t>
      </w:r>
      <w:r w:rsidRPr="00113360">
        <w:rPr>
          <w:i/>
          <w:sz w:val="16"/>
          <w:szCs w:val="16"/>
          <w:lang w:val="pt-BR"/>
        </w:rPr>
        <w:t xml:space="preserve"> </w:t>
      </w:r>
      <w:r w:rsidR="00A51566" w:rsidRPr="00113360">
        <w:rPr>
          <w:i/>
          <w:sz w:val="16"/>
          <w:szCs w:val="16"/>
          <w:lang w:val="pt-BR"/>
        </w:rPr>
        <w:t>outros</w:t>
      </w:r>
      <w:r w:rsidRPr="00113360">
        <w:rPr>
          <w:i/>
          <w:sz w:val="16"/>
          <w:szCs w:val="16"/>
          <w:lang w:val="pt-BR"/>
        </w:rPr>
        <w:t xml:space="preserve"> Vs. </w:t>
      </w:r>
      <w:r w:rsidRPr="00514E15">
        <w:rPr>
          <w:i/>
          <w:sz w:val="16"/>
          <w:szCs w:val="16"/>
          <w:lang w:val="pt-BR"/>
        </w:rPr>
        <w:t>México, supra</w:t>
      </w:r>
      <w:r w:rsidRPr="00514E15">
        <w:rPr>
          <w:sz w:val="16"/>
          <w:szCs w:val="16"/>
          <w:lang w:val="pt-BR"/>
        </w:rPr>
        <w:t xml:space="preserve">, </w:t>
      </w:r>
      <w:r w:rsidR="00A51566" w:rsidRPr="00514E15">
        <w:rPr>
          <w:sz w:val="16"/>
          <w:szCs w:val="16"/>
          <w:lang w:val="pt-BR"/>
        </w:rPr>
        <w:t>par</w:t>
      </w:r>
      <w:r w:rsidRPr="00514E15">
        <w:rPr>
          <w:sz w:val="16"/>
          <w:szCs w:val="16"/>
          <w:lang w:val="pt-BR"/>
        </w:rPr>
        <w:t>. 274.</w:t>
      </w:r>
    </w:p>
  </w:footnote>
  <w:footnote w:id="4">
    <w:p w14:paraId="105757F1" w14:textId="5219AB08" w:rsidR="00AA5F87" w:rsidRPr="00113360" w:rsidRDefault="00AA5F87" w:rsidP="00AA5F87">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sz w:val="16"/>
          <w:szCs w:val="16"/>
          <w:lang w:val="pt-BR"/>
        </w:rPr>
        <w:t>Cf</w:t>
      </w:r>
      <w:r w:rsidRPr="00113360">
        <w:rPr>
          <w:sz w:val="16"/>
          <w:szCs w:val="16"/>
          <w:lang w:val="pt-BR"/>
        </w:rPr>
        <w:t>. Comis</w:t>
      </w:r>
      <w:r w:rsidR="00A51566" w:rsidRPr="00113360">
        <w:rPr>
          <w:sz w:val="16"/>
          <w:szCs w:val="16"/>
          <w:lang w:val="pt-BR"/>
        </w:rPr>
        <w:t xml:space="preserve">são </w:t>
      </w:r>
      <w:r w:rsidRPr="00113360">
        <w:rPr>
          <w:sz w:val="16"/>
          <w:szCs w:val="16"/>
          <w:lang w:val="pt-BR"/>
        </w:rPr>
        <w:t>de D</w:t>
      </w:r>
      <w:r w:rsidR="00A51566" w:rsidRPr="00113360">
        <w:rPr>
          <w:sz w:val="16"/>
          <w:szCs w:val="16"/>
          <w:lang w:val="pt-BR"/>
        </w:rPr>
        <w:t>i</w:t>
      </w:r>
      <w:r w:rsidRPr="00113360">
        <w:rPr>
          <w:sz w:val="16"/>
          <w:szCs w:val="16"/>
          <w:lang w:val="pt-BR"/>
        </w:rPr>
        <w:t>re</w:t>
      </w:r>
      <w:r w:rsidR="00A51566" w:rsidRPr="00113360">
        <w:rPr>
          <w:sz w:val="16"/>
          <w:szCs w:val="16"/>
          <w:lang w:val="pt-BR"/>
        </w:rPr>
        <w:t>it</w:t>
      </w:r>
      <w:r w:rsidRPr="00113360">
        <w:rPr>
          <w:sz w:val="16"/>
          <w:szCs w:val="16"/>
          <w:lang w:val="pt-BR"/>
        </w:rPr>
        <w:t>os Humanos, Princ</w:t>
      </w:r>
      <w:r w:rsidR="00A51566" w:rsidRPr="00113360">
        <w:rPr>
          <w:sz w:val="16"/>
          <w:szCs w:val="16"/>
          <w:lang w:val="pt-BR"/>
        </w:rPr>
        <w:t>í</w:t>
      </w:r>
      <w:r w:rsidRPr="00113360">
        <w:rPr>
          <w:sz w:val="16"/>
          <w:szCs w:val="16"/>
          <w:lang w:val="pt-BR"/>
        </w:rPr>
        <w:t xml:space="preserve">pios </w:t>
      </w:r>
      <w:r w:rsidR="000A5B99">
        <w:rPr>
          <w:sz w:val="16"/>
          <w:szCs w:val="16"/>
          <w:lang w:val="pt-BR"/>
        </w:rPr>
        <w:t>Reitores</w:t>
      </w:r>
      <w:r w:rsidR="005730D7" w:rsidRPr="00113360">
        <w:rPr>
          <w:sz w:val="16"/>
          <w:szCs w:val="16"/>
          <w:lang w:val="pt-BR"/>
        </w:rPr>
        <w:t xml:space="preserve"> </w:t>
      </w:r>
      <w:r w:rsidR="00C31CB1">
        <w:rPr>
          <w:sz w:val="16"/>
          <w:szCs w:val="16"/>
          <w:lang w:val="pt-BR"/>
        </w:rPr>
        <w:t>sobre</w:t>
      </w:r>
      <w:r w:rsidRPr="00113360">
        <w:rPr>
          <w:sz w:val="16"/>
          <w:szCs w:val="16"/>
          <w:lang w:val="pt-BR"/>
        </w:rPr>
        <w:t xml:space="preserve"> Desl</w:t>
      </w:r>
      <w:r w:rsidR="005730D7" w:rsidRPr="00113360">
        <w:rPr>
          <w:sz w:val="16"/>
          <w:szCs w:val="16"/>
          <w:lang w:val="pt-BR"/>
        </w:rPr>
        <w:t>oc</w:t>
      </w:r>
      <w:r w:rsidRPr="00113360">
        <w:rPr>
          <w:sz w:val="16"/>
          <w:szCs w:val="16"/>
          <w:lang w:val="pt-BR"/>
        </w:rPr>
        <w:t>amentos Internos das Na</w:t>
      </w:r>
      <w:r w:rsidR="005730D7" w:rsidRPr="00113360">
        <w:rPr>
          <w:sz w:val="16"/>
          <w:szCs w:val="16"/>
          <w:lang w:val="pt-BR"/>
        </w:rPr>
        <w:t xml:space="preserve">ções </w:t>
      </w:r>
      <w:r w:rsidRPr="00113360">
        <w:rPr>
          <w:sz w:val="16"/>
          <w:szCs w:val="16"/>
          <w:lang w:val="pt-BR"/>
        </w:rPr>
        <w:t>Unidas, E/CN.4/1998/53/Add.2</w:t>
      </w:r>
      <w:r w:rsidR="00514E15">
        <w:rPr>
          <w:sz w:val="16"/>
          <w:szCs w:val="16"/>
          <w:lang w:val="pt-BR"/>
        </w:rPr>
        <w:t>,</w:t>
      </w:r>
      <w:r w:rsidRPr="00113360">
        <w:rPr>
          <w:sz w:val="16"/>
          <w:szCs w:val="16"/>
          <w:lang w:val="pt-BR"/>
        </w:rPr>
        <w:t xml:space="preserve"> de 11 de fe</w:t>
      </w:r>
      <w:r w:rsidR="005730D7" w:rsidRPr="00113360">
        <w:rPr>
          <w:sz w:val="16"/>
          <w:szCs w:val="16"/>
          <w:lang w:val="pt-BR"/>
        </w:rPr>
        <w:t>ve</w:t>
      </w:r>
      <w:r w:rsidRPr="00113360">
        <w:rPr>
          <w:sz w:val="16"/>
          <w:szCs w:val="16"/>
          <w:lang w:val="pt-BR"/>
        </w:rPr>
        <w:t>re</w:t>
      </w:r>
      <w:r w:rsidR="005730D7" w:rsidRPr="00113360">
        <w:rPr>
          <w:sz w:val="16"/>
          <w:szCs w:val="16"/>
          <w:lang w:val="pt-BR"/>
        </w:rPr>
        <w:t>i</w:t>
      </w:r>
      <w:r w:rsidRPr="00113360">
        <w:rPr>
          <w:sz w:val="16"/>
          <w:szCs w:val="16"/>
          <w:lang w:val="pt-BR"/>
        </w:rPr>
        <w:t>ro de 1998, p. 5. Anexo. Introdu</w:t>
      </w:r>
      <w:r w:rsidR="005730D7" w:rsidRPr="00113360">
        <w:rPr>
          <w:sz w:val="16"/>
          <w:szCs w:val="16"/>
          <w:lang w:val="pt-BR"/>
        </w:rPr>
        <w:t>ção</w:t>
      </w:r>
      <w:r w:rsidRPr="00113360">
        <w:rPr>
          <w:sz w:val="16"/>
          <w:szCs w:val="16"/>
          <w:lang w:val="pt-BR"/>
        </w:rPr>
        <w:t xml:space="preserve">: alcance </w:t>
      </w:r>
      <w:r w:rsidR="005730D7" w:rsidRPr="00113360">
        <w:rPr>
          <w:sz w:val="16"/>
          <w:szCs w:val="16"/>
          <w:lang w:val="pt-BR"/>
        </w:rPr>
        <w:t>e</w:t>
      </w:r>
      <w:r w:rsidRPr="00113360">
        <w:rPr>
          <w:sz w:val="16"/>
          <w:szCs w:val="16"/>
          <w:lang w:val="pt-BR"/>
        </w:rPr>
        <w:t xml:space="preserve"> finalidad</w:t>
      </w:r>
      <w:r w:rsidR="005730D7" w:rsidRPr="00113360">
        <w:rPr>
          <w:sz w:val="16"/>
          <w:szCs w:val="16"/>
          <w:lang w:val="pt-BR"/>
        </w:rPr>
        <w:t>e</w:t>
      </w:r>
      <w:r w:rsidRPr="00113360">
        <w:rPr>
          <w:sz w:val="16"/>
          <w:szCs w:val="16"/>
          <w:lang w:val="pt-BR"/>
        </w:rPr>
        <w:t>. N</w:t>
      </w:r>
      <w:r w:rsidR="00514E15">
        <w:rPr>
          <w:sz w:val="16"/>
          <w:szCs w:val="16"/>
          <w:lang w:val="pt-BR"/>
        </w:rPr>
        <w:t xml:space="preserve">úmero </w:t>
      </w:r>
      <w:r w:rsidRPr="00113360">
        <w:rPr>
          <w:sz w:val="16"/>
          <w:szCs w:val="16"/>
          <w:lang w:val="pt-BR"/>
        </w:rPr>
        <w:t>2.</w:t>
      </w:r>
      <w:r w:rsidR="00253149">
        <w:rPr>
          <w:sz w:val="16"/>
          <w:szCs w:val="16"/>
          <w:lang w:val="pt-BR"/>
        </w:rPr>
        <w:t xml:space="preserve"> </w:t>
      </w:r>
      <w:r w:rsidRPr="00113360">
        <w:rPr>
          <w:sz w:val="16"/>
          <w:szCs w:val="16"/>
          <w:lang w:val="pt-BR"/>
        </w:rPr>
        <w:t>Dispon</w:t>
      </w:r>
      <w:r w:rsidR="00514E15">
        <w:rPr>
          <w:sz w:val="16"/>
          <w:szCs w:val="16"/>
          <w:lang w:val="pt-BR"/>
        </w:rPr>
        <w:t>ível em:</w:t>
      </w:r>
      <w:r w:rsidRPr="00113360">
        <w:rPr>
          <w:sz w:val="16"/>
          <w:szCs w:val="16"/>
          <w:lang w:val="pt-BR"/>
        </w:rPr>
        <w:t xml:space="preserve"> </w:t>
      </w:r>
      <w:hyperlink r:id="rId1" w:history="1">
        <w:r w:rsidR="00514E15" w:rsidRPr="006340AB">
          <w:rPr>
            <w:rStyle w:val="Hipervnculo"/>
            <w:sz w:val="16"/>
            <w:szCs w:val="16"/>
            <w:lang w:val="pt-BR"/>
          </w:rPr>
          <w:t>https://documents.un.org/doc/undoc/gen/g98/143/20/pdf/g9814320.pdf?token=tLMNWJkJmCrP0cRPaO&amp;fe=true</w:t>
        </w:r>
      </w:hyperlink>
      <w:r w:rsidRPr="00113360">
        <w:rPr>
          <w:sz w:val="16"/>
          <w:szCs w:val="16"/>
          <w:lang w:val="pt-BR"/>
        </w:rPr>
        <w:t xml:space="preserve">. </w:t>
      </w:r>
      <w:r w:rsidR="005730D7" w:rsidRPr="00113360">
        <w:rPr>
          <w:sz w:val="16"/>
          <w:szCs w:val="16"/>
          <w:lang w:val="pt-BR"/>
        </w:rPr>
        <w:t>Es</w:t>
      </w:r>
      <w:r w:rsidR="00514E15">
        <w:rPr>
          <w:sz w:val="16"/>
          <w:szCs w:val="16"/>
          <w:lang w:val="pt-BR"/>
        </w:rPr>
        <w:t>s</w:t>
      </w:r>
      <w:r w:rsidR="005730D7" w:rsidRPr="00113360">
        <w:rPr>
          <w:sz w:val="16"/>
          <w:szCs w:val="16"/>
          <w:lang w:val="pt-BR"/>
        </w:rPr>
        <w:t xml:space="preserve">es </w:t>
      </w:r>
      <w:r w:rsidRPr="00113360">
        <w:rPr>
          <w:sz w:val="16"/>
          <w:szCs w:val="16"/>
          <w:lang w:val="pt-BR"/>
        </w:rPr>
        <w:t>princ</w:t>
      </w:r>
      <w:r w:rsidR="005730D7" w:rsidRPr="00113360">
        <w:rPr>
          <w:sz w:val="16"/>
          <w:szCs w:val="16"/>
          <w:lang w:val="pt-BR"/>
        </w:rPr>
        <w:t>í</w:t>
      </w:r>
      <w:r w:rsidRPr="00113360">
        <w:rPr>
          <w:sz w:val="16"/>
          <w:szCs w:val="16"/>
          <w:lang w:val="pt-BR"/>
        </w:rPr>
        <w:t xml:space="preserve">pios </w:t>
      </w:r>
      <w:r w:rsidR="005730D7" w:rsidRPr="00113360">
        <w:rPr>
          <w:sz w:val="16"/>
          <w:szCs w:val="16"/>
          <w:lang w:val="pt-BR"/>
        </w:rPr>
        <w:t xml:space="preserve">foram </w:t>
      </w:r>
      <w:r w:rsidRPr="00113360">
        <w:rPr>
          <w:sz w:val="16"/>
          <w:szCs w:val="16"/>
          <w:lang w:val="pt-BR"/>
        </w:rPr>
        <w:t>recon</w:t>
      </w:r>
      <w:r w:rsidR="005730D7" w:rsidRPr="00113360">
        <w:rPr>
          <w:sz w:val="16"/>
          <w:szCs w:val="16"/>
          <w:lang w:val="pt-BR"/>
        </w:rPr>
        <w:t>he</w:t>
      </w:r>
      <w:r w:rsidRPr="00113360">
        <w:rPr>
          <w:sz w:val="16"/>
          <w:szCs w:val="16"/>
          <w:lang w:val="pt-BR"/>
        </w:rPr>
        <w:t>cidos p</w:t>
      </w:r>
      <w:r w:rsidR="005730D7" w:rsidRPr="00113360">
        <w:rPr>
          <w:sz w:val="16"/>
          <w:szCs w:val="16"/>
          <w:lang w:val="pt-BR"/>
        </w:rPr>
        <w:t>e</w:t>
      </w:r>
      <w:r w:rsidRPr="00113360">
        <w:rPr>
          <w:sz w:val="16"/>
          <w:szCs w:val="16"/>
          <w:lang w:val="pt-BR"/>
        </w:rPr>
        <w:t>la comunidad</w:t>
      </w:r>
      <w:r w:rsidR="005730D7" w:rsidRPr="00113360">
        <w:rPr>
          <w:sz w:val="16"/>
          <w:szCs w:val="16"/>
          <w:lang w:val="pt-BR"/>
        </w:rPr>
        <w:t>e</w:t>
      </w:r>
      <w:r w:rsidRPr="00113360">
        <w:rPr>
          <w:sz w:val="16"/>
          <w:szCs w:val="16"/>
          <w:lang w:val="pt-BR"/>
        </w:rPr>
        <w:t xml:space="preserve"> internacional.</w:t>
      </w:r>
      <w:r w:rsidR="00253149">
        <w:rPr>
          <w:sz w:val="16"/>
          <w:szCs w:val="16"/>
          <w:lang w:val="pt-BR"/>
        </w:rPr>
        <w:t xml:space="preserve"> </w:t>
      </w:r>
      <w:r w:rsidRPr="00113360">
        <w:rPr>
          <w:sz w:val="16"/>
          <w:szCs w:val="16"/>
          <w:lang w:val="pt-BR"/>
        </w:rPr>
        <w:t>V</w:t>
      </w:r>
      <w:r w:rsidR="005730D7" w:rsidRPr="00113360">
        <w:rPr>
          <w:sz w:val="16"/>
          <w:szCs w:val="16"/>
          <w:lang w:val="pt-BR"/>
        </w:rPr>
        <w:t>e</w:t>
      </w:r>
      <w:r w:rsidR="00514E15">
        <w:rPr>
          <w:sz w:val="16"/>
          <w:szCs w:val="16"/>
          <w:lang w:val="pt-BR"/>
        </w:rPr>
        <w:t>r</w:t>
      </w:r>
      <w:r w:rsidRPr="00113360">
        <w:rPr>
          <w:sz w:val="16"/>
          <w:szCs w:val="16"/>
          <w:lang w:val="pt-BR"/>
        </w:rPr>
        <w:t xml:space="preserve"> també</w:t>
      </w:r>
      <w:r w:rsidR="005730D7" w:rsidRPr="00113360">
        <w:rPr>
          <w:sz w:val="16"/>
          <w:szCs w:val="16"/>
          <w:lang w:val="pt-BR"/>
        </w:rPr>
        <w:t>m</w:t>
      </w:r>
      <w:r w:rsidRPr="00113360">
        <w:rPr>
          <w:sz w:val="16"/>
          <w:szCs w:val="16"/>
          <w:lang w:val="pt-BR"/>
        </w:rPr>
        <w:t>: Na</w:t>
      </w:r>
      <w:r w:rsidR="005730D7" w:rsidRPr="00113360">
        <w:rPr>
          <w:sz w:val="16"/>
          <w:szCs w:val="16"/>
          <w:lang w:val="pt-BR"/>
        </w:rPr>
        <w:t xml:space="preserve">ções </w:t>
      </w:r>
      <w:r w:rsidRPr="00113360">
        <w:rPr>
          <w:sz w:val="16"/>
          <w:szCs w:val="16"/>
          <w:lang w:val="pt-BR"/>
        </w:rPr>
        <w:t>Unidas, As</w:t>
      </w:r>
      <w:r w:rsidR="005730D7" w:rsidRPr="00113360">
        <w:rPr>
          <w:sz w:val="16"/>
          <w:szCs w:val="16"/>
          <w:lang w:val="pt-BR"/>
        </w:rPr>
        <w:t>sem</w:t>
      </w:r>
      <w:r w:rsidRPr="00113360">
        <w:rPr>
          <w:sz w:val="16"/>
          <w:szCs w:val="16"/>
          <w:lang w:val="pt-BR"/>
        </w:rPr>
        <w:t>ble</w:t>
      </w:r>
      <w:r w:rsidR="005730D7" w:rsidRPr="00113360">
        <w:rPr>
          <w:sz w:val="16"/>
          <w:szCs w:val="16"/>
          <w:lang w:val="pt-BR"/>
        </w:rPr>
        <w:t>i</w:t>
      </w:r>
      <w:r w:rsidRPr="00113360">
        <w:rPr>
          <w:sz w:val="16"/>
          <w:szCs w:val="16"/>
          <w:lang w:val="pt-BR"/>
        </w:rPr>
        <w:t>a Geral, Prote</w:t>
      </w:r>
      <w:r w:rsidR="005730D7" w:rsidRPr="00113360">
        <w:rPr>
          <w:sz w:val="16"/>
          <w:szCs w:val="16"/>
          <w:lang w:val="pt-BR"/>
        </w:rPr>
        <w:t>ção e</w:t>
      </w:r>
      <w:r w:rsidRPr="00113360">
        <w:rPr>
          <w:sz w:val="16"/>
          <w:szCs w:val="16"/>
          <w:lang w:val="pt-BR"/>
        </w:rPr>
        <w:t xml:space="preserve"> a</w:t>
      </w:r>
      <w:r w:rsidR="005730D7" w:rsidRPr="00113360">
        <w:rPr>
          <w:sz w:val="16"/>
          <w:szCs w:val="16"/>
          <w:lang w:val="pt-BR"/>
        </w:rPr>
        <w:t>s</w:t>
      </w:r>
      <w:r w:rsidRPr="00113360">
        <w:rPr>
          <w:sz w:val="16"/>
          <w:szCs w:val="16"/>
          <w:lang w:val="pt-BR"/>
        </w:rPr>
        <w:t>sist</w:t>
      </w:r>
      <w:r w:rsidR="005730D7" w:rsidRPr="00113360">
        <w:rPr>
          <w:sz w:val="16"/>
          <w:szCs w:val="16"/>
          <w:lang w:val="pt-BR"/>
        </w:rPr>
        <w:t>ê</w:t>
      </w:r>
      <w:r w:rsidRPr="00113360">
        <w:rPr>
          <w:sz w:val="16"/>
          <w:szCs w:val="16"/>
          <w:lang w:val="pt-BR"/>
        </w:rPr>
        <w:t>ncia para os desl</w:t>
      </w:r>
      <w:r w:rsidR="005730D7" w:rsidRPr="00113360">
        <w:rPr>
          <w:sz w:val="16"/>
          <w:szCs w:val="16"/>
          <w:lang w:val="pt-BR"/>
        </w:rPr>
        <w:t>oc</w:t>
      </w:r>
      <w:r w:rsidRPr="00113360">
        <w:rPr>
          <w:sz w:val="16"/>
          <w:szCs w:val="16"/>
          <w:lang w:val="pt-BR"/>
        </w:rPr>
        <w:t>ados internos, A/RES/64/162, de 17 de mar</w:t>
      </w:r>
      <w:r w:rsidR="005730D7" w:rsidRPr="00113360">
        <w:rPr>
          <w:sz w:val="16"/>
          <w:szCs w:val="16"/>
          <w:lang w:val="pt-BR"/>
        </w:rPr>
        <w:t>ç</w:t>
      </w:r>
      <w:r w:rsidRPr="00113360">
        <w:rPr>
          <w:sz w:val="16"/>
          <w:szCs w:val="16"/>
          <w:lang w:val="pt-BR"/>
        </w:rPr>
        <w:t xml:space="preserve">o de 2010, p.1. </w:t>
      </w:r>
      <w:r w:rsidRPr="00514E15">
        <w:rPr>
          <w:sz w:val="16"/>
          <w:szCs w:val="16"/>
          <w:lang w:val="pt-BR"/>
        </w:rPr>
        <w:t>Dispon</w:t>
      </w:r>
      <w:r w:rsidR="005730D7" w:rsidRPr="00514E15">
        <w:rPr>
          <w:sz w:val="16"/>
          <w:szCs w:val="16"/>
          <w:lang w:val="pt-BR"/>
        </w:rPr>
        <w:t xml:space="preserve">ível </w:t>
      </w:r>
      <w:r w:rsidRPr="00514E15">
        <w:rPr>
          <w:sz w:val="16"/>
          <w:szCs w:val="16"/>
          <w:lang w:val="pt-BR"/>
        </w:rPr>
        <w:t>e</w:t>
      </w:r>
      <w:r w:rsidR="005730D7" w:rsidRPr="00514E15">
        <w:rPr>
          <w:sz w:val="16"/>
          <w:szCs w:val="16"/>
          <w:lang w:val="pt-BR"/>
        </w:rPr>
        <w:t>m</w:t>
      </w:r>
      <w:r w:rsidRPr="00514E15">
        <w:rPr>
          <w:sz w:val="16"/>
          <w:szCs w:val="16"/>
          <w:lang w:val="pt-BR"/>
        </w:rPr>
        <w:t xml:space="preserve">: </w:t>
      </w:r>
      <w:hyperlink r:id="rId2" w:history="1">
        <w:r w:rsidR="00514E15" w:rsidRPr="00514E15">
          <w:rPr>
            <w:rStyle w:val="Hipervnculo"/>
            <w:sz w:val="16"/>
            <w:szCs w:val="16"/>
            <w:lang w:val="pt-BR"/>
          </w:rPr>
          <w:t>http://daccess-dds-ny.un.org/doc/UNDOC/GEN/N09/471/58/PDF/N0947158.pdf?OpenElement</w:t>
        </w:r>
      </w:hyperlink>
      <w:r w:rsidRPr="00514E15">
        <w:rPr>
          <w:sz w:val="16"/>
          <w:szCs w:val="16"/>
          <w:lang w:val="pt-BR"/>
        </w:rPr>
        <w:t xml:space="preserve">. </w:t>
      </w:r>
      <w:r w:rsidR="00514E15">
        <w:rPr>
          <w:sz w:val="16"/>
          <w:szCs w:val="16"/>
          <w:lang w:val="en-US"/>
        </w:rPr>
        <w:t xml:space="preserve">Ver </w:t>
      </w:r>
      <w:proofErr w:type="spellStart"/>
      <w:r w:rsidR="00514E15" w:rsidRPr="00C20856">
        <w:rPr>
          <w:sz w:val="16"/>
          <w:szCs w:val="16"/>
          <w:lang w:val="en-US"/>
        </w:rPr>
        <w:t>também</w:t>
      </w:r>
      <w:proofErr w:type="spellEnd"/>
      <w:r w:rsidRPr="00F67C73">
        <w:rPr>
          <w:sz w:val="16"/>
          <w:szCs w:val="16"/>
          <w:lang w:val="en-US"/>
        </w:rPr>
        <w:t xml:space="preserve"> Council of Europe, Committee of Ministers, Recommendation Rec (2006)6 to member states on internally displaced persons, 5 </w:t>
      </w:r>
      <w:proofErr w:type="gramStart"/>
      <w:r w:rsidRPr="00F67C73">
        <w:rPr>
          <w:sz w:val="16"/>
          <w:szCs w:val="16"/>
          <w:lang w:val="en-US"/>
        </w:rPr>
        <w:t>April,</w:t>
      </w:r>
      <w:proofErr w:type="gramEnd"/>
      <w:r w:rsidRPr="00F67C73">
        <w:rPr>
          <w:sz w:val="16"/>
          <w:szCs w:val="16"/>
          <w:lang w:val="en-US"/>
        </w:rPr>
        <w:t xml:space="preserve"> 2006.</w:t>
      </w:r>
      <w:r w:rsidR="00253149">
        <w:rPr>
          <w:sz w:val="16"/>
          <w:szCs w:val="16"/>
          <w:lang w:val="en-US"/>
        </w:rPr>
        <w:t xml:space="preserve"> </w:t>
      </w:r>
      <w:proofErr w:type="spellStart"/>
      <w:r w:rsidRPr="00253149">
        <w:rPr>
          <w:sz w:val="16"/>
          <w:szCs w:val="16"/>
          <w:lang w:val="en-US"/>
        </w:rPr>
        <w:t>Dispon</w:t>
      </w:r>
      <w:r w:rsidR="005730D7" w:rsidRPr="00253149">
        <w:rPr>
          <w:sz w:val="16"/>
          <w:szCs w:val="16"/>
          <w:lang w:val="en-US"/>
        </w:rPr>
        <w:t>ível</w:t>
      </w:r>
      <w:proofErr w:type="spellEnd"/>
      <w:r w:rsidR="005730D7" w:rsidRPr="00253149">
        <w:rPr>
          <w:sz w:val="16"/>
          <w:szCs w:val="16"/>
          <w:lang w:val="en-US"/>
        </w:rPr>
        <w:t xml:space="preserve"> </w:t>
      </w:r>
      <w:proofErr w:type="spellStart"/>
      <w:r w:rsidRPr="00253149">
        <w:rPr>
          <w:sz w:val="16"/>
          <w:szCs w:val="16"/>
          <w:lang w:val="en-US"/>
        </w:rPr>
        <w:t>e</w:t>
      </w:r>
      <w:r w:rsidR="005730D7" w:rsidRPr="00253149">
        <w:rPr>
          <w:sz w:val="16"/>
          <w:szCs w:val="16"/>
          <w:lang w:val="en-US"/>
        </w:rPr>
        <w:t>m</w:t>
      </w:r>
      <w:proofErr w:type="spellEnd"/>
      <w:r w:rsidRPr="00F67C73">
        <w:rPr>
          <w:sz w:val="16"/>
          <w:szCs w:val="16"/>
          <w:lang w:val="en-US"/>
        </w:rPr>
        <w:t xml:space="preserve">: </w:t>
      </w:r>
      <w:hyperlink r:id="rId3" w:history="1">
        <w:r w:rsidR="00514E15" w:rsidRPr="006340AB">
          <w:rPr>
            <w:rStyle w:val="Hipervnculo"/>
            <w:sz w:val="16"/>
            <w:szCs w:val="16"/>
            <w:lang w:val="en-US"/>
          </w:rPr>
          <w:t>https://wcd.coe.int/ViewDoc.jsp?id=987573&amp;BackColorInternet=9999CC&amp;BackColorIntranet=FFBB55&amp;BackCol</w:t>
        </w:r>
      </w:hyperlink>
      <w:r w:rsidR="00514E15">
        <w:rPr>
          <w:sz w:val="16"/>
          <w:szCs w:val="16"/>
          <w:lang w:val="en-US"/>
        </w:rPr>
        <w:t xml:space="preserve"> </w:t>
      </w:r>
      <w:proofErr w:type="spellStart"/>
      <w:r w:rsidRPr="00F67C73">
        <w:rPr>
          <w:sz w:val="16"/>
          <w:szCs w:val="16"/>
          <w:lang w:val="en-US"/>
        </w:rPr>
        <w:t>orLogge</w:t>
      </w:r>
      <w:proofErr w:type="spellEnd"/>
      <w:r w:rsidRPr="00F67C73">
        <w:rPr>
          <w:sz w:val="16"/>
          <w:szCs w:val="16"/>
          <w:lang w:val="en-US"/>
        </w:rPr>
        <w:t xml:space="preserve"> d=FFAC75; African Union, Convention for the Protection and Assistance of Internally Displaced Persons in Africa (Kampala Convention), 23 October 2009, article 1, K). </w:t>
      </w:r>
      <w:r w:rsidRPr="00113360">
        <w:rPr>
          <w:sz w:val="16"/>
          <w:szCs w:val="16"/>
          <w:lang w:val="pt-BR"/>
        </w:rPr>
        <w:t>Dispon</w:t>
      </w:r>
      <w:r w:rsidR="005730D7" w:rsidRPr="00113360">
        <w:rPr>
          <w:sz w:val="16"/>
          <w:szCs w:val="16"/>
          <w:lang w:val="pt-BR"/>
        </w:rPr>
        <w:t>ív</w:t>
      </w:r>
      <w:r w:rsidRPr="00113360">
        <w:rPr>
          <w:sz w:val="16"/>
          <w:szCs w:val="16"/>
          <w:lang w:val="pt-BR"/>
        </w:rPr>
        <w:t>e</w:t>
      </w:r>
      <w:r w:rsidR="005730D7" w:rsidRPr="00113360">
        <w:rPr>
          <w:sz w:val="16"/>
          <w:szCs w:val="16"/>
          <w:lang w:val="pt-BR"/>
        </w:rPr>
        <w:t>l</w:t>
      </w:r>
      <w:r w:rsidRPr="00113360">
        <w:rPr>
          <w:sz w:val="16"/>
          <w:szCs w:val="16"/>
          <w:lang w:val="pt-BR"/>
        </w:rPr>
        <w:t xml:space="preserve"> e</w:t>
      </w:r>
      <w:r w:rsidR="005730D7" w:rsidRPr="00113360">
        <w:rPr>
          <w:sz w:val="16"/>
          <w:szCs w:val="16"/>
          <w:lang w:val="pt-BR"/>
        </w:rPr>
        <w:t>m</w:t>
      </w:r>
      <w:r w:rsidR="00514E15">
        <w:rPr>
          <w:sz w:val="16"/>
          <w:szCs w:val="16"/>
          <w:lang w:val="pt-BR"/>
        </w:rPr>
        <w:t>:</w:t>
      </w:r>
      <w:r w:rsidRPr="00113360">
        <w:rPr>
          <w:sz w:val="16"/>
          <w:szCs w:val="16"/>
          <w:lang w:val="pt-BR"/>
        </w:rPr>
        <w:t xml:space="preserve"> </w:t>
      </w:r>
      <w:hyperlink r:id="rId4" w:history="1">
        <w:r w:rsidR="00514E15" w:rsidRPr="006340AB">
          <w:rPr>
            <w:rStyle w:val="Hipervnculo"/>
            <w:sz w:val="16"/>
            <w:szCs w:val="16"/>
            <w:lang w:val="pt-BR"/>
          </w:rPr>
          <w:t>http://www.unhcr.org/4ae9bede9.html</w:t>
        </w:r>
      </w:hyperlink>
      <w:r w:rsidRPr="00113360">
        <w:rPr>
          <w:sz w:val="16"/>
          <w:szCs w:val="16"/>
          <w:lang w:val="pt-BR"/>
        </w:rPr>
        <w:t>; Conse</w:t>
      </w:r>
      <w:r w:rsidR="005730D7" w:rsidRPr="00113360">
        <w:rPr>
          <w:sz w:val="16"/>
          <w:szCs w:val="16"/>
          <w:lang w:val="pt-BR"/>
        </w:rPr>
        <w:t>lh</w:t>
      </w:r>
      <w:r w:rsidRPr="00113360">
        <w:rPr>
          <w:sz w:val="16"/>
          <w:szCs w:val="16"/>
          <w:lang w:val="pt-BR"/>
        </w:rPr>
        <w:t>o de D</w:t>
      </w:r>
      <w:r w:rsidR="005730D7" w:rsidRPr="00113360">
        <w:rPr>
          <w:sz w:val="16"/>
          <w:szCs w:val="16"/>
          <w:lang w:val="pt-BR"/>
        </w:rPr>
        <w:t>i</w:t>
      </w:r>
      <w:r w:rsidRPr="00113360">
        <w:rPr>
          <w:sz w:val="16"/>
          <w:szCs w:val="16"/>
          <w:lang w:val="pt-BR"/>
        </w:rPr>
        <w:t>re</w:t>
      </w:r>
      <w:r w:rsidR="005730D7" w:rsidRPr="00113360">
        <w:rPr>
          <w:sz w:val="16"/>
          <w:szCs w:val="16"/>
          <w:lang w:val="pt-BR"/>
        </w:rPr>
        <w:t>it</w:t>
      </w:r>
      <w:r w:rsidRPr="00113360">
        <w:rPr>
          <w:sz w:val="16"/>
          <w:szCs w:val="16"/>
          <w:lang w:val="pt-BR"/>
        </w:rPr>
        <w:t xml:space="preserve">os Humanos, </w:t>
      </w:r>
      <w:r w:rsidR="005730D7" w:rsidRPr="00113360">
        <w:rPr>
          <w:sz w:val="16"/>
          <w:szCs w:val="16"/>
          <w:lang w:val="pt-BR"/>
        </w:rPr>
        <w:t>Relatório a</w:t>
      </w:r>
      <w:r w:rsidRPr="00113360">
        <w:rPr>
          <w:sz w:val="16"/>
          <w:szCs w:val="16"/>
          <w:lang w:val="pt-BR"/>
        </w:rPr>
        <w:t>presentado pel</w:t>
      </w:r>
      <w:r w:rsidR="005730D7" w:rsidRPr="00113360">
        <w:rPr>
          <w:sz w:val="16"/>
          <w:szCs w:val="16"/>
          <w:lang w:val="pt-BR"/>
        </w:rPr>
        <w:t>o</w:t>
      </w:r>
      <w:r w:rsidRPr="00113360">
        <w:rPr>
          <w:sz w:val="16"/>
          <w:szCs w:val="16"/>
          <w:lang w:val="pt-BR"/>
        </w:rPr>
        <w:t xml:space="preserve"> representante d</w:t>
      </w:r>
      <w:r w:rsidR="005730D7" w:rsidRPr="00113360">
        <w:rPr>
          <w:sz w:val="16"/>
          <w:szCs w:val="16"/>
          <w:lang w:val="pt-BR"/>
        </w:rPr>
        <w:t>o</w:t>
      </w:r>
      <w:r w:rsidRPr="00113360">
        <w:rPr>
          <w:sz w:val="16"/>
          <w:szCs w:val="16"/>
          <w:lang w:val="pt-BR"/>
        </w:rPr>
        <w:t xml:space="preserve"> Secret</w:t>
      </w:r>
      <w:r w:rsidR="005730D7" w:rsidRPr="00113360">
        <w:rPr>
          <w:sz w:val="16"/>
          <w:szCs w:val="16"/>
          <w:lang w:val="pt-BR"/>
        </w:rPr>
        <w:t>á</w:t>
      </w:r>
      <w:r w:rsidRPr="00113360">
        <w:rPr>
          <w:sz w:val="16"/>
          <w:szCs w:val="16"/>
          <w:lang w:val="pt-BR"/>
        </w:rPr>
        <w:t>rio</w:t>
      </w:r>
      <w:r w:rsidR="00514E15">
        <w:rPr>
          <w:sz w:val="16"/>
          <w:szCs w:val="16"/>
          <w:lang w:val="pt-BR"/>
        </w:rPr>
        <w:t>-</w:t>
      </w:r>
      <w:r w:rsidRPr="00113360">
        <w:rPr>
          <w:sz w:val="16"/>
          <w:szCs w:val="16"/>
          <w:lang w:val="pt-BR"/>
        </w:rPr>
        <w:t>Geral sobre os d</w:t>
      </w:r>
      <w:r w:rsidR="005730D7" w:rsidRPr="00113360">
        <w:rPr>
          <w:sz w:val="16"/>
          <w:szCs w:val="16"/>
          <w:lang w:val="pt-BR"/>
        </w:rPr>
        <w:t>i</w:t>
      </w:r>
      <w:r w:rsidRPr="00113360">
        <w:rPr>
          <w:sz w:val="16"/>
          <w:szCs w:val="16"/>
          <w:lang w:val="pt-BR"/>
        </w:rPr>
        <w:t>re</w:t>
      </w:r>
      <w:r w:rsidR="005730D7" w:rsidRPr="00113360">
        <w:rPr>
          <w:sz w:val="16"/>
          <w:szCs w:val="16"/>
          <w:lang w:val="pt-BR"/>
        </w:rPr>
        <w:t>it</w:t>
      </w:r>
      <w:r w:rsidRPr="00113360">
        <w:rPr>
          <w:sz w:val="16"/>
          <w:szCs w:val="16"/>
          <w:lang w:val="pt-BR"/>
        </w:rPr>
        <w:t>os humanos dos desl</w:t>
      </w:r>
      <w:r w:rsidR="00514E15">
        <w:rPr>
          <w:sz w:val="16"/>
          <w:szCs w:val="16"/>
          <w:lang w:val="pt-BR"/>
        </w:rPr>
        <w:t>o</w:t>
      </w:r>
      <w:r w:rsidR="005730D7" w:rsidRPr="00113360">
        <w:rPr>
          <w:sz w:val="16"/>
          <w:szCs w:val="16"/>
          <w:lang w:val="pt-BR"/>
        </w:rPr>
        <w:t>c</w:t>
      </w:r>
      <w:r w:rsidRPr="00113360">
        <w:rPr>
          <w:sz w:val="16"/>
          <w:szCs w:val="16"/>
          <w:lang w:val="pt-BR"/>
        </w:rPr>
        <w:t xml:space="preserve">ados internos, Walter </w:t>
      </w:r>
      <w:proofErr w:type="spellStart"/>
      <w:r w:rsidRPr="00113360">
        <w:rPr>
          <w:sz w:val="16"/>
          <w:szCs w:val="16"/>
          <w:lang w:val="pt-BR"/>
        </w:rPr>
        <w:t>Kalin</w:t>
      </w:r>
      <w:proofErr w:type="spellEnd"/>
      <w:r w:rsidRPr="00113360">
        <w:rPr>
          <w:sz w:val="16"/>
          <w:szCs w:val="16"/>
          <w:lang w:val="pt-BR"/>
        </w:rPr>
        <w:t>. A/HRC/13/21/Add.3, p. 4. II.4. Dispon</w:t>
      </w:r>
      <w:r w:rsidR="005730D7" w:rsidRPr="00113360">
        <w:rPr>
          <w:sz w:val="16"/>
          <w:szCs w:val="16"/>
          <w:lang w:val="pt-BR"/>
        </w:rPr>
        <w:t>ível</w:t>
      </w:r>
      <w:r w:rsidRPr="00113360">
        <w:rPr>
          <w:sz w:val="16"/>
          <w:szCs w:val="16"/>
          <w:lang w:val="pt-BR"/>
        </w:rPr>
        <w:t xml:space="preserve"> e</w:t>
      </w:r>
      <w:r w:rsidR="005730D7" w:rsidRPr="00113360">
        <w:rPr>
          <w:sz w:val="16"/>
          <w:szCs w:val="16"/>
          <w:lang w:val="pt-BR"/>
        </w:rPr>
        <w:t>m</w:t>
      </w:r>
      <w:r w:rsidR="00514E15">
        <w:rPr>
          <w:sz w:val="16"/>
          <w:szCs w:val="16"/>
          <w:lang w:val="pt-BR"/>
        </w:rPr>
        <w:t>:</w:t>
      </w:r>
      <w:r w:rsidRPr="00113360">
        <w:rPr>
          <w:sz w:val="16"/>
          <w:szCs w:val="16"/>
          <w:lang w:val="pt-BR"/>
        </w:rPr>
        <w:t xml:space="preserve"> </w:t>
      </w:r>
      <w:hyperlink r:id="rId5" w:history="1">
        <w:r w:rsidR="00514E15" w:rsidRPr="006340AB">
          <w:rPr>
            <w:rStyle w:val="Hipervnculo"/>
            <w:sz w:val="16"/>
            <w:szCs w:val="16"/>
            <w:lang w:val="pt-BR"/>
          </w:rPr>
          <w:t>http://www2.ohchr.org/english/bodies/hrcouncil/docs/13session/A-HRC-13-21-Add.3.pdf</w:t>
        </w:r>
      </w:hyperlink>
      <w:r w:rsidRPr="00113360">
        <w:rPr>
          <w:sz w:val="16"/>
          <w:szCs w:val="16"/>
          <w:lang w:val="pt-BR"/>
        </w:rPr>
        <w:t>.</w:t>
      </w:r>
    </w:p>
  </w:footnote>
  <w:footnote w:id="5">
    <w:p w14:paraId="01D572B3" w14:textId="0756BEE8" w:rsidR="00AA5F87" w:rsidRPr="00113360" w:rsidRDefault="00AA5F87" w:rsidP="00AA5F87">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sz w:val="16"/>
          <w:szCs w:val="16"/>
          <w:lang w:val="pt-BR"/>
        </w:rPr>
        <w:t>Cf</w:t>
      </w:r>
      <w:r w:rsidRPr="00113360">
        <w:rPr>
          <w:sz w:val="16"/>
          <w:szCs w:val="16"/>
          <w:lang w:val="pt-BR"/>
        </w:rPr>
        <w:t xml:space="preserve">. </w:t>
      </w:r>
      <w:r w:rsidRPr="00113360">
        <w:rPr>
          <w:i/>
          <w:iCs/>
          <w:sz w:val="16"/>
          <w:szCs w:val="16"/>
          <w:lang w:val="pt-BR"/>
        </w:rPr>
        <w:t>Caso da Comunidad</w:t>
      </w:r>
      <w:r w:rsidR="005730D7" w:rsidRPr="00113360">
        <w:rPr>
          <w:i/>
          <w:iCs/>
          <w:sz w:val="16"/>
          <w:szCs w:val="16"/>
          <w:lang w:val="pt-BR"/>
        </w:rPr>
        <w:t>e</w:t>
      </w:r>
      <w:r w:rsidRPr="00113360">
        <w:rPr>
          <w:i/>
          <w:iCs/>
          <w:sz w:val="16"/>
          <w:szCs w:val="16"/>
          <w:lang w:val="pt-BR"/>
        </w:rPr>
        <w:t xml:space="preserve"> </w:t>
      </w:r>
      <w:proofErr w:type="spellStart"/>
      <w:r w:rsidRPr="00113360">
        <w:rPr>
          <w:i/>
          <w:iCs/>
          <w:sz w:val="16"/>
          <w:szCs w:val="16"/>
          <w:lang w:val="pt-BR"/>
        </w:rPr>
        <w:t>Moiwana</w:t>
      </w:r>
      <w:proofErr w:type="spellEnd"/>
      <w:r w:rsidRPr="00113360">
        <w:rPr>
          <w:i/>
          <w:iCs/>
          <w:sz w:val="16"/>
          <w:szCs w:val="16"/>
          <w:lang w:val="pt-BR"/>
        </w:rPr>
        <w:t xml:space="preserve"> Vs. Surinam</w:t>
      </w:r>
      <w:r w:rsidR="005730D7" w:rsidRPr="00113360">
        <w:rPr>
          <w:i/>
          <w:iCs/>
          <w:sz w:val="16"/>
          <w:szCs w:val="16"/>
          <w:lang w:val="pt-BR"/>
        </w:rPr>
        <w:t>e</w:t>
      </w:r>
      <w:r w:rsidRPr="00113360">
        <w:rPr>
          <w:i/>
          <w:iCs/>
          <w:sz w:val="16"/>
          <w:szCs w:val="16"/>
          <w:lang w:val="pt-BR"/>
        </w:rPr>
        <w:t>. Exce</w:t>
      </w:r>
      <w:r w:rsidR="005730D7" w:rsidRPr="00113360">
        <w:rPr>
          <w:i/>
          <w:iCs/>
          <w:sz w:val="16"/>
          <w:szCs w:val="16"/>
          <w:lang w:val="pt-BR"/>
        </w:rPr>
        <w:t xml:space="preserve">ções </w:t>
      </w:r>
      <w:r w:rsidRPr="00113360">
        <w:rPr>
          <w:i/>
          <w:iCs/>
          <w:sz w:val="16"/>
          <w:szCs w:val="16"/>
          <w:lang w:val="pt-BR"/>
        </w:rPr>
        <w:t xml:space="preserve">Preliminares, </w:t>
      </w:r>
      <w:r w:rsidR="005730D7" w:rsidRPr="00113360">
        <w:rPr>
          <w:i/>
          <w:iCs/>
          <w:sz w:val="16"/>
          <w:szCs w:val="16"/>
          <w:lang w:val="pt-BR"/>
        </w:rPr>
        <w:t>Mérito</w:t>
      </w:r>
      <w:r w:rsidRPr="00113360">
        <w:rPr>
          <w:i/>
          <w:iCs/>
          <w:sz w:val="16"/>
          <w:szCs w:val="16"/>
          <w:lang w:val="pt-BR"/>
        </w:rPr>
        <w:t>, Repara</w:t>
      </w:r>
      <w:r w:rsidR="005730D7" w:rsidRPr="00113360">
        <w:rPr>
          <w:i/>
          <w:iCs/>
          <w:sz w:val="16"/>
          <w:szCs w:val="16"/>
          <w:lang w:val="pt-BR"/>
        </w:rPr>
        <w:t>ções e</w:t>
      </w:r>
      <w:r w:rsidRPr="00113360">
        <w:rPr>
          <w:i/>
          <w:iCs/>
          <w:sz w:val="16"/>
          <w:szCs w:val="16"/>
          <w:lang w:val="pt-BR"/>
        </w:rPr>
        <w:t xml:space="preserve"> C</w:t>
      </w:r>
      <w:r w:rsidR="005730D7" w:rsidRPr="00113360">
        <w:rPr>
          <w:i/>
          <w:iCs/>
          <w:sz w:val="16"/>
          <w:szCs w:val="16"/>
          <w:lang w:val="pt-BR"/>
        </w:rPr>
        <w:t>u</w:t>
      </w:r>
      <w:r w:rsidRPr="00113360">
        <w:rPr>
          <w:i/>
          <w:iCs/>
          <w:sz w:val="16"/>
          <w:szCs w:val="16"/>
          <w:lang w:val="pt-BR"/>
        </w:rPr>
        <w:t>stas.</w:t>
      </w:r>
      <w:r w:rsidRPr="00113360">
        <w:rPr>
          <w:sz w:val="16"/>
          <w:szCs w:val="16"/>
          <w:lang w:val="pt-BR"/>
        </w:rPr>
        <w:t xml:space="preserve"> Senten</w:t>
      </w:r>
      <w:r w:rsidR="005730D7" w:rsidRPr="00113360">
        <w:rPr>
          <w:sz w:val="16"/>
          <w:szCs w:val="16"/>
          <w:lang w:val="pt-BR"/>
        </w:rPr>
        <w:t>ç</w:t>
      </w:r>
      <w:r w:rsidRPr="00113360">
        <w:rPr>
          <w:sz w:val="16"/>
          <w:szCs w:val="16"/>
          <w:lang w:val="pt-BR"/>
        </w:rPr>
        <w:t xml:space="preserve">a </w:t>
      </w:r>
      <w:r w:rsidR="00514E15">
        <w:rPr>
          <w:sz w:val="16"/>
          <w:szCs w:val="16"/>
          <w:lang w:val="pt-BR"/>
        </w:rPr>
        <w:t xml:space="preserve">de </w:t>
      </w:r>
      <w:r w:rsidRPr="00113360">
        <w:rPr>
          <w:sz w:val="16"/>
          <w:szCs w:val="16"/>
          <w:lang w:val="pt-BR"/>
        </w:rPr>
        <w:t>15 de jun</w:t>
      </w:r>
      <w:r w:rsidR="005730D7" w:rsidRPr="00113360">
        <w:rPr>
          <w:sz w:val="16"/>
          <w:szCs w:val="16"/>
          <w:lang w:val="pt-BR"/>
        </w:rPr>
        <w:t>h</w:t>
      </w:r>
      <w:r w:rsidRPr="00113360">
        <w:rPr>
          <w:sz w:val="16"/>
          <w:szCs w:val="16"/>
          <w:lang w:val="pt-BR"/>
        </w:rPr>
        <w:t xml:space="preserve">o de 2005. </w:t>
      </w:r>
      <w:r w:rsidR="00A51566" w:rsidRPr="00113360">
        <w:rPr>
          <w:sz w:val="16"/>
          <w:szCs w:val="16"/>
          <w:lang w:val="pt-BR"/>
        </w:rPr>
        <w:t>Série</w:t>
      </w:r>
      <w:r w:rsidRPr="00113360">
        <w:rPr>
          <w:sz w:val="16"/>
          <w:szCs w:val="16"/>
          <w:lang w:val="pt-BR"/>
        </w:rPr>
        <w:t xml:space="preserve"> C </w:t>
      </w:r>
      <w:r w:rsidR="00A51566" w:rsidRPr="00113360">
        <w:rPr>
          <w:sz w:val="16"/>
          <w:szCs w:val="16"/>
          <w:lang w:val="pt-BR"/>
        </w:rPr>
        <w:t>Nº.</w:t>
      </w:r>
      <w:r w:rsidRPr="00113360">
        <w:rPr>
          <w:sz w:val="16"/>
          <w:szCs w:val="16"/>
          <w:lang w:val="pt-BR"/>
        </w:rPr>
        <w:t xml:space="preserve"> 124, </w:t>
      </w:r>
      <w:r w:rsidR="00A51566" w:rsidRPr="00113360">
        <w:rPr>
          <w:sz w:val="16"/>
          <w:szCs w:val="16"/>
          <w:lang w:val="pt-BR"/>
        </w:rPr>
        <w:t>par</w:t>
      </w:r>
      <w:r w:rsidRPr="00113360">
        <w:rPr>
          <w:sz w:val="16"/>
          <w:szCs w:val="16"/>
          <w:lang w:val="pt-BR"/>
        </w:rPr>
        <w:t>. 111</w:t>
      </w:r>
      <w:r w:rsidR="00514E15">
        <w:rPr>
          <w:sz w:val="16"/>
          <w:szCs w:val="16"/>
          <w:lang w:val="pt-BR"/>
        </w:rPr>
        <w:t>;</w:t>
      </w:r>
      <w:r w:rsidRPr="00113360">
        <w:rPr>
          <w:sz w:val="16"/>
          <w:szCs w:val="16"/>
          <w:lang w:val="pt-BR"/>
        </w:rPr>
        <w:t xml:space="preserve"> </w:t>
      </w:r>
      <w:r w:rsidR="005730D7" w:rsidRPr="00113360">
        <w:rPr>
          <w:sz w:val="16"/>
          <w:szCs w:val="16"/>
          <w:lang w:val="pt-BR"/>
        </w:rPr>
        <w:t>e</w:t>
      </w:r>
      <w:r w:rsidRPr="00113360">
        <w:rPr>
          <w:sz w:val="16"/>
          <w:szCs w:val="16"/>
          <w:lang w:val="pt-BR"/>
        </w:rPr>
        <w:t xml:space="preserve"> </w:t>
      </w:r>
      <w:r w:rsidRPr="00113360">
        <w:rPr>
          <w:i/>
          <w:sz w:val="16"/>
          <w:szCs w:val="16"/>
          <w:lang w:val="pt-BR"/>
        </w:rPr>
        <w:t xml:space="preserve">Caso </w:t>
      </w:r>
      <w:r w:rsidR="0091011C">
        <w:rPr>
          <w:i/>
          <w:sz w:val="16"/>
          <w:szCs w:val="16"/>
          <w:lang w:val="pt-BR"/>
        </w:rPr>
        <w:t xml:space="preserve">dos </w:t>
      </w:r>
      <w:r w:rsidRPr="00113360">
        <w:rPr>
          <w:i/>
          <w:sz w:val="16"/>
          <w:szCs w:val="16"/>
          <w:lang w:val="pt-BR"/>
        </w:rPr>
        <w:t>Ma</w:t>
      </w:r>
      <w:r w:rsidR="005730D7" w:rsidRPr="00113360">
        <w:rPr>
          <w:i/>
          <w:sz w:val="16"/>
          <w:szCs w:val="16"/>
          <w:lang w:val="pt-BR"/>
        </w:rPr>
        <w:t>s</w:t>
      </w:r>
      <w:r w:rsidRPr="00113360">
        <w:rPr>
          <w:i/>
          <w:sz w:val="16"/>
          <w:szCs w:val="16"/>
          <w:lang w:val="pt-BR"/>
        </w:rPr>
        <w:t>sacres d</w:t>
      </w:r>
      <w:r w:rsidR="0091011C">
        <w:rPr>
          <w:i/>
          <w:sz w:val="16"/>
          <w:szCs w:val="16"/>
          <w:lang w:val="pt-BR"/>
        </w:rPr>
        <w:t>e</w:t>
      </w:r>
      <w:r w:rsidRPr="00113360">
        <w:rPr>
          <w:i/>
          <w:sz w:val="16"/>
          <w:szCs w:val="16"/>
          <w:lang w:val="pt-BR"/>
        </w:rPr>
        <w:t xml:space="preserve"> R</w:t>
      </w:r>
      <w:r w:rsidR="0091011C">
        <w:rPr>
          <w:i/>
          <w:sz w:val="16"/>
          <w:szCs w:val="16"/>
          <w:lang w:val="pt-BR"/>
        </w:rPr>
        <w:t>í</w:t>
      </w:r>
      <w:r w:rsidRPr="00113360">
        <w:rPr>
          <w:i/>
          <w:sz w:val="16"/>
          <w:szCs w:val="16"/>
          <w:lang w:val="pt-BR"/>
        </w:rPr>
        <w:t>o Negro Vs. Guatemala. Exce</w:t>
      </w:r>
      <w:r w:rsidR="005730D7" w:rsidRPr="00113360">
        <w:rPr>
          <w:i/>
          <w:sz w:val="16"/>
          <w:szCs w:val="16"/>
          <w:lang w:val="pt-BR"/>
        </w:rPr>
        <w:t xml:space="preserve">ção </w:t>
      </w:r>
      <w:r w:rsidRPr="00113360">
        <w:rPr>
          <w:i/>
          <w:sz w:val="16"/>
          <w:szCs w:val="16"/>
          <w:lang w:val="pt-BR"/>
        </w:rPr>
        <w:t xml:space="preserve">Preliminar, </w:t>
      </w:r>
      <w:r w:rsidR="005730D7" w:rsidRPr="00113360">
        <w:rPr>
          <w:i/>
          <w:sz w:val="16"/>
          <w:szCs w:val="16"/>
          <w:lang w:val="pt-BR"/>
        </w:rPr>
        <w:t>Mérito</w:t>
      </w:r>
      <w:r w:rsidRPr="00113360">
        <w:rPr>
          <w:i/>
          <w:sz w:val="16"/>
          <w:szCs w:val="16"/>
          <w:lang w:val="pt-BR"/>
        </w:rPr>
        <w:t>, Repara</w:t>
      </w:r>
      <w:r w:rsidR="005730D7" w:rsidRPr="00113360">
        <w:rPr>
          <w:i/>
          <w:sz w:val="16"/>
          <w:szCs w:val="16"/>
          <w:lang w:val="pt-BR"/>
        </w:rPr>
        <w:t>ções e</w:t>
      </w:r>
      <w:r w:rsidRPr="00113360">
        <w:rPr>
          <w:i/>
          <w:sz w:val="16"/>
          <w:szCs w:val="16"/>
          <w:lang w:val="pt-BR"/>
        </w:rPr>
        <w:t xml:space="preserve"> C</w:t>
      </w:r>
      <w:r w:rsidR="005730D7" w:rsidRPr="00113360">
        <w:rPr>
          <w:i/>
          <w:sz w:val="16"/>
          <w:szCs w:val="16"/>
          <w:lang w:val="pt-BR"/>
        </w:rPr>
        <w:t>u</w:t>
      </w:r>
      <w:r w:rsidRPr="00113360">
        <w:rPr>
          <w:i/>
          <w:sz w:val="16"/>
          <w:szCs w:val="16"/>
          <w:lang w:val="pt-BR"/>
        </w:rPr>
        <w:t xml:space="preserve">stas. </w:t>
      </w:r>
      <w:r w:rsidRPr="00113360">
        <w:rPr>
          <w:iCs/>
          <w:sz w:val="16"/>
          <w:szCs w:val="16"/>
          <w:lang w:val="pt-BR"/>
        </w:rPr>
        <w:t>Senten</w:t>
      </w:r>
      <w:r w:rsidR="005730D7" w:rsidRPr="00113360">
        <w:rPr>
          <w:iCs/>
          <w:sz w:val="16"/>
          <w:szCs w:val="16"/>
          <w:lang w:val="pt-BR"/>
        </w:rPr>
        <w:t>ç</w:t>
      </w:r>
      <w:r w:rsidRPr="00113360">
        <w:rPr>
          <w:iCs/>
          <w:sz w:val="16"/>
          <w:szCs w:val="16"/>
          <w:lang w:val="pt-BR"/>
        </w:rPr>
        <w:t>a de 4 de setembr</w:t>
      </w:r>
      <w:r w:rsidR="005730D7" w:rsidRPr="00113360">
        <w:rPr>
          <w:iCs/>
          <w:sz w:val="16"/>
          <w:szCs w:val="16"/>
          <w:lang w:val="pt-BR"/>
        </w:rPr>
        <w:t>o</w:t>
      </w:r>
      <w:r w:rsidRPr="00113360">
        <w:rPr>
          <w:iCs/>
          <w:sz w:val="16"/>
          <w:szCs w:val="16"/>
          <w:lang w:val="pt-BR"/>
        </w:rPr>
        <w:t xml:space="preserve"> de 2012.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250, </w:t>
      </w:r>
      <w:r w:rsidR="00A51566" w:rsidRPr="00113360">
        <w:rPr>
          <w:sz w:val="16"/>
          <w:szCs w:val="16"/>
          <w:lang w:val="pt-BR"/>
        </w:rPr>
        <w:t>par</w:t>
      </w:r>
      <w:r w:rsidRPr="00113360">
        <w:rPr>
          <w:sz w:val="16"/>
          <w:szCs w:val="16"/>
          <w:lang w:val="pt-BR"/>
        </w:rPr>
        <w:t>. 173.</w:t>
      </w:r>
    </w:p>
  </w:footnote>
  <w:footnote w:id="6">
    <w:p w14:paraId="749DEEB4" w14:textId="54B35E34" w:rsidR="00AA5F87" w:rsidRPr="00113360" w:rsidRDefault="00AA5F87" w:rsidP="00AA5F87">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t>ACNUR. Gu</w:t>
      </w:r>
      <w:r w:rsidR="005730D7" w:rsidRPr="00113360">
        <w:rPr>
          <w:sz w:val="16"/>
          <w:szCs w:val="16"/>
          <w:lang w:val="pt-BR"/>
        </w:rPr>
        <w:t>i</w:t>
      </w:r>
      <w:r w:rsidRPr="00113360">
        <w:rPr>
          <w:sz w:val="16"/>
          <w:szCs w:val="16"/>
          <w:lang w:val="pt-BR"/>
        </w:rPr>
        <w:t>a para a aplica</w:t>
      </w:r>
      <w:r w:rsidR="005730D7" w:rsidRPr="00113360">
        <w:rPr>
          <w:sz w:val="16"/>
          <w:szCs w:val="16"/>
          <w:lang w:val="pt-BR"/>
        </w:rPr>
        <w:t xml:space="preserve">ção </w:t>
      </w:r>
      <w:r w:rsidRPr="00113360">
        <w:rPr>
          <w:sz w:val="16"/>
          <w:szCs w:val="16"/>
          <w:lang w:val="pt-BR"/>
        </w:rPr>
        <w:t>dos Princ</w:t>
      </w:r>
      <w:r w:rsidR="005730D7" w:rsidRPr="00113360">
        <w:rPr>
          <w:sz w:val="16"/>
          <w:szCs w:val="16"/>
          <w:lang w:val="pt-BR"/>
        </w:rPr>
        <w:t>í</w:t>
      </w:r>
      <w:r w:rsidRPr="00113360">
        <w:rPr>
          <w:sz w:val="16"/>
          <w:szCs w:val="16"/>
          <w:lang w:val="pt-BR"/>
        </w:rPr>
        <w:t xml:space="preserve">pios </w:t>
      </w:r>
      <w:r w:rsidR="000A5B99">
        <w:rPr>
          <w:sz w:val="16"/>
          <w:szCs w:val="16"/>
          <w:lang w:val="pt-BR"/>
        </w:rPr>
        <w:t>Reitores</w:t>
      </w:r>
      <w:r w:rsidR="005730D7" w:rsidRPr="00113360">
        <w:rPr>
          <w:sz w:val="16"/>
          <w:szCs w:val="16"/>
          <w:lang w:val="pt-BR"/>
        </w:rPr>
        <w:t xml:space="preserve"> </w:t>
      </w:r>
      <w:r w:rsidR="00C31CB1">
        <w:rPr>
          <w:sz w:val="16"/>
          <w:szCs w:val="16"/>
          <w:lang w:val="pt-BR"/>
        </w:rPr>
        <w:t>sobre</w:t>
      </w:r>
      <w:r w:rsidRPr="00113360">
        <w:rPr>
          <w:sz w:val="16"/>
          <w:szCs w:val="16"/>
          <w:lang w:val="pt-BR"/>
        </w:rPr>
        <w:t xml:space="preserve"> Desl</w:t>
      </w:r>
      <w:r w:rsidR="00A23372" w:rsidRPr="00113360">
        <w:rPr>
          <w:sz w:val="16"/>
          <w:szCs w:val="16"/>
          <w:lang w:val="pt-BR"/>
        </w:rPr>
        <w:t>oc</w:t>
      </w:r>
      <w:r w:rsidRPr="00113360">
        <w:rPr>
          <w:sz w:val="16"/>
          <w:szCs w:val="16"/>
          <w:lang w:val="pt-BR"/>
        </w:rPr>
        <w:t>amentos Internos.</w:t>
      </w:r>
    </w:p>
  </w:footnote>
  <w:footnote w:id="7">
    <w:p w14:paraId="69DB59A4" w14:textId="0A605831" w:rsidR="00AA5F87" w:rsidRPr="00113360" w:rsidRDefault="00AA5F87" w:rsidP="00AA5F87">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t>ACNUR</w:t>
      </w:r>
      <w:r w:rsidR="00A86ED8">
        <w:rPr>
          <w:sz w:val="16"/>
          <w:szCs w:val="16"/>
          <w:lang w:val="pt-BR"/>
        </w:rPr>
        <w:t>.</w:t>
      </w:r>
      <w:r w:rsidRPr="00113360">
        <w:rPr>
          <w:sz w:val="16"/>
          <w:szCs w:val="16"/>
          <w:lang w:val="pt-BR"/>
        </w:rPr>
        <w:t xml:space="preserve"> Manual sobre desl</w:t>
      </w:r>
      <w:r w:rsidR="00134AB9" w:rsidRPr="00113360">
        <w:rPr>
          <w:sz w:val="16"/>
          <w:szCs w:val="16"/>
          <w:lang w:val="pt-BR"/>
        </w:rPr>
        <w:t>oc</w:t>
      </w:r>
      <w:r w:rsidRPr="00113360">
        <w:rPr>
          <w:sz w:val="16"/>
          <w:szCs w:val="16"/>
          <w:lang w:val="pt-BR"/>
        </w:rPr>
        <w:t>amento inter</w:t>
      </w:r>
      <w:r w:rsidR="009142E8" w:rsidRPr="00113360">
        <w:rPr>
          <w:sz w:val="16"/>
          <w:szCs w:val="16"/>
          <w:lang w:val="pt-BR"/>
        </w:rPr>
        <w:t>no</w:t>
      </w:r>
      <w:r w:rsidR="00A51566" w:rsidRPr="00113360">
        <w:rPr>
          <w:sz w:val="16"/>
          <w:szCs w:val="16"/>
          <w:lang w:val="pt-BR"/>
        </w:rPr>
        <w:t>.</w:t>
      </w:r>
      <w:r w:rsidRPr="00113360">
        <w:rPr>
          <w:sz w:val="16"/>
          <w:szCs w:val="16"/>
          <w:lang w:val="pt-BR"/>
        </w:rPr>
        <w:t xml:space="preserve"> Conce</w:t>
      </w:r>
      <w:r w:rsidR="00134AB9" w:rsidRPr="00113360">
        <w:rPr>
          <w:sz w:val="16"/>
          <w:szCs w:val="16"/>
          <w:lang w:val="pt-BR"/>
        </w:rPr>
        <w:t>i</w:t>
      </w:r>
      <w:r w:rsidRPr="00113360">
        <w:rPr>
          <w:sz w:val="16"/>
          <w:szCs w:val="16"/>
          <w:lang w:val="pt-BR"/>
        </w:rPr>
        <w:t xml:space="preserve">tos </w:t>
      </w:r>
      <w:r w:rsidR="00134AB9" w:rsidRPr="00113360">
        <w:rPr>
          <w:sz w:val="16"/>
          <w:szCs w:val="16"/>
          <w:lang w:val="pt-BR"/>
        </w:rPr>
        <w:t>e</w:t>
      </w:r>
      <w:r w:rsidRPr="00113360">
        <w:rPr>
          <w:sz w:val="16"/>
          <w:szCs w:val="16"/>
          <w:lang w:val="pt-BR"/>
        </w:rPr>
        <w:t xml:space="preserve"> </w:t>
      </w:r>
      <w:r w:rsidR="006F2F86">
        <w:rPr>
          <w:sz w:val="16"/>
          <w:szCs w:val="16"/>
          <w:lang w:val="pt-BR"/>
        </w:rPr>
        <w:t>enfoques</w:t>
      </w:r>
      <w:r w:rsidR="00134AB9" w:rsidRPr="00113360">
        <w:rPr>
          <w:sz w:val="16"/>
          <w:szCs w:val="16"/>
          <w:lang w:val="pt-BR"/>
        </w:rPr>
        <w:t xml:space="preserve"> </w:t>
      </w:r>
      <w:r w:rsidRPr="00113360">
        <w:rPr>
          <w:sz w:val="16"/>
          <w:szCs w:val="16"/>
          <w:lang w:val="pt-BR"/>
        </w:rPr>
        <w:t>principa</w:t>
      </w:r>
      <w:r w:rsidR="00134AB9" w:rsidRPr="00113360">
        <w:rPr>
          <w:sz w:val="16"/>
          <w:szCs w:val="16"/>
          <w:lang w:val="pt-BR"/>
        </w:rPr>
        <w:t>i</w:t>
      </w:r>
      <w:r w:rsidRPr="00113360">
        <w:rPr>
          <w:sz w:val="16"/>
          <w:szCs w:val="16"/>
          <w:lang w:val="pt-BR"/>
        </w:rPr>
        <w:t>s d</w:t>
      </w:r>
      <w:r w:rsidR="00134AB9" w:rsidRPr="00113360">
        <w:rPr>
          <w:sz w:val="16"/>
          <w:szCs w:val="16"/>
          <w:lang w:val="pt-BR"/>
        </w:rPr>
        <w:t>o</w:t>
      </w:r>
      <w:r w:rsidRPr="00113360">
        <w:rPr>
          <w:sz w:val="16"/>
          <w:szCs w:val="16"/>
          <w:lang w:val="pt-BR"/>
        </w:rPr>
        <w:t xml:space="preserve"> desl</w:t>
      </w:r>
      <w:r w:rsidR="00134AB9" w:rsidRPr="00113360">
        <w:rPr>
          <w:sz w:val="16"/>
          <w:szCs w:val="16"/>
          <w:lang w:val="pt-BR"/>
        </w:rPr>
        <w:t>oc</w:t>
      </w:r>
      <w:r w:rsidRPr="00113360">
        <w:rPr>
          <w:sz w:val="16"/>
          <w:szCs w:val="16"/>
          <w:lang w:val="pt-BR"/>
        </w:rPr>
        <w:t>amento inter</w:t>
      </w:r>
      <w:r w:rsidR="00134AB9" w:rsidRPr="00113360">
        <w:rPr>
          <w:sz w:val="16"/>
          <w:szCs w:val="16"/>
          <w:lang w:val="pt-BR"/>
        </w:rPr>
        <w:t>no</w:t>
      </w:r>
      <w:r w:rsidR="00A51566" w:rsidRPr="00113360">
        <w:rPr>
          <w:sz w:val="16"/>
          <w:szCs w:val="16"/>
          <w:lang w:val="pt-BR"/>
        </w:rPr>
        <w:t>.</w:t>
      </w:r>
      <w:r w:rsidRPr="00113360">
        <w:rPr>
          <w:sz w:val="16"/>
          <w:szCs w:val="16"/>
          <w:lang w:val="pt-BR"/>
        </w:rPr>
        <w:t xml:space="preserve"> P. 49.</w:t>
      </w:r>
    </w:p>
  </w:footnote>
  <w:footnote w:id="8">
    <w:p w14:paraId="4F1B58C1" w14:textId="1CB9F22C" w:rsidR="00E204B2" w:rsidRPr="00113360" w:rsidRDefault="00E204B2" w:rsidP="00E204B2">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sz w:val="16"/>
          <w:szCs w:val="16"/>
          <w:lang w:val="pt-BR"/>
        </w:rPr>
        <w:t>Cf</w:t>
      </w:r>
      <w:r w:rsidRPr="00113360">
        <w:rPr>
          <w:i/>
          <w:sz w:val="16"/>
          <w:szCs w:val="16"/>
          <w:lang w:val="pt-BR"/>
        </w:rPr>
        <w:t xml:space="preserve">. </w:t>
      </w:r>
      <w:r w:rsidRPr="00113360">
        <w:rPr>
          <w:i/>
          <w:iCs/>
          <w:sz w:val="16"/>
          <w:szCs w:val="16"/>
          <w:lang w:val="pt-BR"/>
        </w:rPr>
        <w:t>Caso da Comunidad</w:t>
      </w:r>
      <w:r w:rsidR="00134AB9" w:rsidRPr="00113360">
        <w:rPr>
          <w:i/>
          <w:iCs/>
          <w:sz w:val="16"/>
          <w:szCs w:val="16"/>
          <w:lang w:val="pt-BR"/>
        </w:rPr>
        <w:t>e</w:t>
      </w:r>
      <w:r w:rsidRPr="00113360">
        <w:rPr>
          <w:i/>
          <w:iCs/>
          <w:sz w:val="16"/>
          <w:szCs w:val="16"/>
          <w:lang w:val="pt-BR"/>
        </w:rPr>
        <w:t xml:space="preserve"> </w:t>
      </w:r>
      <w:proofErr w:type="spellStart"/>
      <w:r w:rsidRPr="00113360">
        <w:rPr>
          <w:i/>
          <w:iCs/>
          <w:sz w:val="16"/>
          <w:szCs w:val="16"/>
          <w:lang w:val="pt-BR"/>
        </w:rPr>
        <w:t>Moiwana</w:t>
      </w:r>
      <w:proofErr w:type="spellEnd"/>
      <w:r w:rsidRPr="00113360">
        <w:rPr>
          <w:i/>
          <w:iCs/>
          <w:sz w:val="16"/>
          <w:szCs w:val="16"/>
          <w:lang w:val="pt-BR"/>
        </w:rPr>
        <w:t xml:space="preserve"> Vs. Suriname. Exce</w:t>
      </w:r>
      <w:r w:rsidR="00134AB9" w:rsidRPr="00113360">
        <w:rPr>
          <w:i/>
          <w:iCs/>
          <w:sz w:val="16"/>
          <w:szCs w:val="16"/>
          <w:lang w:val="pt-BR"/>
        </w:rPr>
        <w:t xml:space="preserve">ções </w:t>
      </w:r>
      <w:r w:rsidRPr="00113360">
        <w:rPr>
          <w:i/>
          <w:iCs/>
          <w:sz w:val="16"/>
          <w:szCs w:val="16"/>
          <w:lang w:val="pt-BR"/>
        </w:rPr>
        <w:t xml:space="preserve">Preliminares, </w:t>
      </w:r>
      <w:r w:rsidR="00134AB9" w:rsidRPr="00113360">
        <w:rPr>
          <w:i/>
          <w:iCs/>
          <w:sz w:val="16"/>
          <w:szCs w:val="16"/>
          <w:lang w:val="pt-BR"/>
        </w:rPr>
        <w:t>Mérito</w:t>
      </w:r>
      <w:r w:rsidRPr="00113360">
        <w:rPr>
          <w:i/>
          <w:iCs/>
          <w:sz w:val="16"/>
          <w:szCs w:val="16"/>
          <w:lang w:val="pt-BR"/>
        </w:rPr>
        <w:t>, Repara</w:t>
      </w:r>
      <w:r w:rsidR="00134AB9" w:rsidRPr="00113360">
        <w:rPr>
          <w:i/>
          <w:iCs/>
          <w:sz w:val="16"/>
          <w:szCs w:val="16"/>
          <w:lang w:val="pt-BR"/>
        </w:rPr>
        <w:t>ções e</w:t>
      </w:r>
      <w:r w:rsidRPr="00113360">
        <w:rPr>
          <w:i/>
          <w:iCs/>
          <w:sz w:val="16"/>
          <w:szCs w:val="16"/>
          <w:lang w:val="pt-BR"/>
        </w:rPr>
        <w:t xml:space="preserve"> C</w:t>
      </w:r>
      <w:r w:rsidR="00134AB9" w:rsidRPr="00113360">
        <w:rPr>
          <w:i/>
          <w:iCs/>
          <w:sz w:val="16"/>
          <w:szCs w:val="16"/>
          <w:lang w:val="pt-BR"/>
        </w:rPr>
        <w:t>u</w:t>
      </w:r>
      <w:r w:rsidRPr="00113360">
        <w:rPr>
          <w:i/>
          <w:iCs/>
          <w:sz w:val="16"/>
          <w:szCs w:val="16"/>
          <w:lang w:val="pt-BR"/>
        </w:rPr>
        <w:t xml:space="preserve">stas. </w:t>
      </w:r>
      <w:r w:rsidRPr="00113360">
        <w:rPr>
          <w:sz w:val="16"/>
          <w:szCs w:val="16"/>
          <w:lang w:val="pt-BR"/>
        </w:rPr>
        <w:t>Senten</w:t>
      </w:r>
      <w:r w:rsidR="00134AB9" w:rsidRPr="00113360">
        <w:rPr>
          <w:sz w:val="16"/>
          <w:szCs w:val="16"/>
          <w:lang w:val="pt-BR"/>
        </w:rPr>
        <w:t>ç</w:t>
      </w:r>
      <w:r w:rsidRPr="00113360">
        <w:rPr>
          <w:sz w:val="16"/>
          <w:szCs w:val="16"/>
          <w:lang w:val="pt-BR"/>
        </w:rPr>
        <w:t xml:space="preserve">a </w:t>
      </w:r>
      <w:r w:rsidR="00A86ED8">
        <w:rPr>
          <w:sz w:val="16"/>
          <w:szCs w:val="16"/>
          <w:lang w:val="pt-BR"/>
        </w:rPr>
        <w:t xml:space="preserve">de </w:t>
      </w:r>
      <w:r w:rsidRPr="00113360">
        <w:rPr>
          <w:sz w:val="16"/>
          <w:szCs w:val="16"/>
          <w:lang w:val="pt-BR"/>
        </w:rPr>
        <w:t>15 de jun</w:t>
      </w:r>
      <w:r w:rsidR="00134AB9" w:rsidRPr="00113360">
        <w:rPr>
          <w:sz w:val="16"/>
          <w:szCs w:val="16"/>
          <w:lang w:val="pt-BR"/>
        </w:rPr>
        <w:t>h</w:t>
      </w:r>
      <w:r w:rsidRPr="00113360">
        <w:rPr>
          <w:sz w:val="16"/>
          <w:szCs w:val="16"/>
          <w:lang w:val="pt-BR"/>
        </w:rPr>
        <w:t xml:space="preserve">o de 2005. </w:t>
      </w:r>
      <w:r w:rsidR="00A51566" w:rsidRPr="00113360">
        <w:rPr>
          <w:sz w:val="16"/>
          <w:szCs w:val="16"/>
          <w:lang w:val="pt-BR"/>
        </w:rPr>
        <w:t>Série</w:t>
      </w:r>
      <w:r w:rsidRPr="00113360">
        <w:rPr>
          <w:sz w:val="16"/>
          <w:szCs w:val="16"/>
          <w:lang w:val="pt-BR"/>
        </w:rPr>
        <w:t xml:space="preserve"> C </w:t>
      </w:r>
      <w:r w:rsidR="00A51566" w:rsidRPr="00113360">
        <w:rPr>
          <w:sz w:val="16"/>
          <w:szCs w:val="16"/>
          <w:lang w:val="pt-BR"/>
        </w:rPr>
        <w:t>Nº.</w:t>
      </w:r>
      <w:r w:rsidRPr="00113360">
        <w:rPr>
          <w:sz w:val="16"/>
          <w:szCs w:val="16"/>
          <w:lang w:val="pt-BR"/>
        </w:rPr>
        <w:t xml:space="preserve"> 124, </w:t>
      </w:r>
      <w:r w:rsidR="00A51566" w:rsidRPr="00113360">
        <w:rPr>
          <w:sz w:val="16"/>
          <w:szCs w:val="16"/>
          <w:lang w:val="pt-BR"/>
        </w:rPr>
        <w:t>par</w:t>
      </w:r>
      <w:r w:rsidRPr="00113360">
        <w:rPr>
          <w:sz w:val="16"/>
          <w:szCs w:val="16"/>
          <w:lang w:val="pt-BR"/>
        </w:rPr>
        <w:t xml:space="preserve">. 43 </w:t>
      </w:r>
      <w:r w:rsidR="00134AB9" w:rsidRPr="00113360">
        <w:rPr>
          <w:sz w:val="16"/>
          <w:szCs w:val="16"/>
          <w:lang w:val="pt-BR"/>
        </w:rPr>
        <w:t>e</w:t>
      </w:r>
      <w:r w:rsidRPr="00113360">
        <w:rPr>
          <w:sz w:val="16"/>
          <w:szCs w:val="16"/>
          <w:lang w:val="pt-BR"/>
        </w:rPr>
        <w:t xml:space="preserve"> 108; </w:t>
      </w:r>
      <w:r w:rsidRPr="00113360">
        <w:rPr>
          <w:i/>
          <w:iCs/>
          <w:sz w:val="16"/>
          <w:szCs w:val="16"/>
          <w:lang w:val="pt-BR"/>
        </w:rPr>
        <w:t xml:space="preserve">Caso </w:t>
      </w:r>
      <w:r w:rsidR="006F2F86">
        <w:rPr>
          <w:i/>
          <w:iCs/>
          <w:sz w:val="16"/>
          <w:szCs w:val="16"/>
          <w:lang w:val="pt-BR"/>
        </w:rPr>
        <w:t xml:space="preserve">dos </w:t>
      </w:r>
      <w:r w:rsidRPr="00113360">
        <w:rPr>
          <w:i/>
          <w:iCs/>
          <w:sz w:val="16"/>
          <w:szCs w:val="16"/>
          <w:lang w:val="pt-BR"/>
        </w:rPr>
        <w:t>Ma</w:t>
      </w:r>
      <w:r w:rsidR="00134AB9" w:rsidRPr="00113360">
        <w:rPr>
          <w:i/>
          <w:iCs/>
          <w:sz w:val="16"/>
          <w:szCs w:val="16"/>
          <w:lang w:val="pt-BR"/>
        </w:rPr>
        <w:t>s</w:t>
      </w:r>
      <w:r w:rsidRPr="00113360">
        <w:rPr>
          <w:i/>
          <w:iCs/>
          <w:sz w:val="16"/>
          <w:szCs w:val="16"/>
          <w:lang w:val="pt-BR"/>
        </w:rPr>
        <w:t>sacres d</w:t>
      </w:r>
      <w:r w:rsidR="006F2F86">
        <w:rPr>
          <w:i/>
          <w:iCs/>
          <w:sz w:val="16"/>
          <w:szCs w:val="16"/>
          <w:lang w:val="pt-BR"/>
        </w:rPr>
        <w:t>e</w:t>
      </w:r>
      <w:r w:rsidRPr="00113360">
        <w:rPr>
          <w:i/>
          <w:iCs/>
          <w:sz w:val="16"/>
          <w:szCs w:val="16"/>
          <w:lang w:val="pt-BR"/>
        </w:rPr>
        <w:t xml:space="preserve"> R</w:t>
      </w:r>
      <w:r w:rsidR="006F2F86">
        <w:rPr>
          <w:i/>
          <w:iCs/>
          <w:sz w:val="16"/>
          <w:szCs w:val="16"/>
          <w:lang w:val="pt-BR"/>
        </w:rPr>
        <w:t>í</w:t>
      </w:r>
      <w:r w:rsidRPr="00113360">
        <w:rPr>
          <w:i/>
          <w:iCs/>
          <w:sz w:val="16"/>
          <w:szCs w:val="16"/>
          <w:lang w:val="pt-BR"/>
        </w:rPr>
        <w:t>o Negro Vs. Guatemala. Exce</w:t>
      </w:r>
      <w:r w:rsidR="00134AB9" w:rsidRPr="00113360">
        <w:rPr>
          <w:i/>
          <w:iCs/>
          <w:sz w:val="16"/>
          <w:szCs w:val="16"/>
          <w:lang w:val="pt-BR"/>
        </w:rPr>
        <w:t xml:space="preserve">ção </w:t>
      </w:r>
      <w:r w:rsidRPr="00113360">
        <w:rPr>
          <w:i/>
          <w:iCs/>
          <w:sz w:val="16"/>
          <w:szCs w:val="16"/>
          <w:lang w:val="pt-BR"/>
        </w:rPr>
        <w:t xml:space="preserve">Preliminar, </w:t>
      </w:r>
      <w:r w:rsidR="00134AB9" w:rsidRPr="00113360">
        <w:rPr>
          <w:i/>
          <w:iCs/>
          <w:sz w:val="16"/>
          <w:szCs w:val="16"/>
          <w:lang w:val="pt-BR"/>
        </w:rPr>
        <w:t>Mérito</w:t>
      </w:r>
      <w:r w:rsidRPr="00113360">
        <w:rPr>
          <w:i/>
          <w:iCs/>
          <w:sz w:val="16"/>
          <w:szCs w:val="16"/>
          <w:lang w:val="pt-BR"/>
        </w:rPr>
        <w:t xml:space="preserve">, </w:t>
      </w:r>
      <w:r w:rsidR="00134AB9" w:rsidRPr="00113360">
        <w:rPr>
          <w:i/>
          <w:iCs/>
          <w:sz w:val="16"/>
          <w:szCs w:val="16"/>
          <w:lang w:val="pt-BR"/>
        </w:rPr>
        <w:t>Reparações</w:t>
      </w:r>
      <w:r w:rsidRPr="00113360">
        <w:rPr>
          <w:i/>
          <w:iCs/>
          <w:sz w:val="16"/>
          <w:szCs w:val="16"/>
          <w:lang w:val="pt-BR"/>
        </w:rPr>
        <w:t xml:space="preserve"> </w:t>
      </w:r>
      <w:r w:rsidR="00134AB9" w:rsidRPr="00113360">
        <w:rPr>
          <w:i/>
          <w:iCs/>
          <w:sz w:val="16"/>
          <w:szCs w:val="16"/>
          <w:lang w:val="pt-BR"/>
        </w:rPr>
        <w:t>e</w:t>
      </w:r>
      <w:r w:rsidRPr="00113360">
        <w:rPr>
          <w:i/>
          <w:iCs/>
          <w:sz w:val="16"/>
          <w:szCs w:val="16"/>
          <w:lang w:val="pt-BR"/>
        </w:rPr>
        <w:t xml:space="preserve"> </w:t>
      </w:r>
      <w:r w:rsidR="00134AB9" w:rsidRPr="00113360">
        <w:rPr>
          <w:i/>
          <w:iCs/>
          <w:sz w:val="16"/>
          <w:szCs w:val="16"/>
          <w:lang w:val="pt-BR"/>
        </w:rPr>
        <w:t>Custas</w:t>
      </w:r>
      <w:r w:rsidRPr="00113360">
        <w:rPr>
          <w:sz w:val="16"/>
          <w:szCs w:val="16"/>
          <w:lang w:val="pt-BR"/>
        </w:rPr>
        <w:t xml:space="preserve">. </w:t>
      </w:r>
      <w:r w:rsidR="00134AB9" w:rsidRPr="00113360">
        <w:rPr>
          <w:sz w:val="16"/>
          <w:szCs w:val="16"/>
          <w:lang w:val="pt-BR"/>
        </w:rPr>
        <w:t>Sentença</w:t>
      </w:r>
      <w:r w:rsidRPr="00113360">
        <w:rPr>
          <w:sz w:val="16"/>
          <w:szCs w:val="16"/>
          <w:lang w:val="pt-BR"/>
        </w:rPr>
        <w:t xml:space="preserve"> de 4 de setembr</w:t>
      </w:r>
      <w:r w:rsidR="00134AB9" w:rsidRPr="00113360">
        <w:rPr>
          <w:sz w:val="16"/>
          <w:szCs w:val="16"/>
          <w:lang w:val="pt-BR"/>
        </w:rPr>
        <w:t>o</w:t>
      </w:r>
      <w:r w:rsidRPr="00113360">
        <w:rPr>
          <w:sz w:val="16"/>
          <w:szCs w:val="16"/>
          <w:lang w:val="pt-BR"/>
        </w:rPr>
        <w:t xml:space="preserve"> de 2012. </w:t>
      </w:r>
      <w:r w:rsidR="00A51566" w:rsidRPr="00113360">
        <w:rPr>
          <w:sz w:val="16"/>
          <w:szCs w:val="16"/>
          <w:lang w:val="pt-BR"/>
        </w:rPr>
        <w:t>Série</w:t>
      </w:r>
      <w:r w:rsidRPr="00113360">
        <w:rPr>
          <w:sz w:val="16"/>
          <w:szCs w:val="16"/>
          <w:lang w:val="pt-BR"/>
        </w:rPr>
        <w:t xml:space="preserve"> C </w:t>
      </w:r>
      <w:r w:rsidR="00A51566" w:rsidRPr="00113360">
        <w:rPr>
          <w:sz w:val="16"/>
          <w:szCs w:val="16"/>
          <w:lang w:val="pt-BR"/>
        </w:rPr>
        <w:t>Nº.</w:t>
      </w:r>
      <w:r w:rsidRPr="00113360">
        <w:rPr>
          <w:sz w:val="16"/>
          <w:szCs w:val="16"/>
          <w:lang w:val="pt-BR"/>
        </w:rPr>
        <w:t xml:space="preserve"> 250, </w:t>
      </w:r>
      <w:r w:rsidR="00A51566" w:rsidRPr="00113360">
        <w:rPr>
          <w:sz w:val="16"/>
          <w:szCs w:val="16"/>
          <w:lang w:val="pt-BR"/>
        </w:rPr>
        <w:t>par</w:t>
      </w:r>
      <w:r w:rsidRPr="00113360">
        <w:rPr>
          <w:sz w:val="16"/>
          <w:szCs w:val="16"/>
          <w:lang w:val="pt-BR"/>
        </w:rPr>
        <w:t xml:space="preserve">. 37, 38 </w:t>
      </w:r>
      <w:r w:rsidR="00134AB9" w:rsidRPr="00113360">
        <w:rPr>
          <w:sz w:val="16"/>
          <w:szCs w:val="16"/>
          <w:lang w:val="pt-BR"/>
        </w:rPr>
        <w:t>e</w:t>
      </w:r>
      <w:r w:rsidRPr="00113360">
        <w:rPr>
          <w:sz w:val="16"/>
          <w:szCs w:val="16"/>
          <w:lang w:val="pt-BR"/>
        </w:rPr>
        <w:t xml:space="preserve"> 178</w:t>
      </w:r>
      <w:r w:rsidR="006F2F86">
        <w:rPr>
          <w:sz w:val="16"/>
          <w:szCs w:val="16"/>
          <w:lang w:val="pt-BR"/>
        </w:rPr>
        <w:t>;</w:t>
      </w:r>
      <w:r w:rsidRPr="00113360">
        <w:rPr>
          <w:sz w:val="16"/>
          <w:szCs w:val="16"/>
          <w:lang w:val="pt-BR"/>
        </w:rPr>
        <w:t xml:space="preserve"> </w:t>
      </w:r>
      <w:r w:rsidR="00134AB9" w:rsidRPr="00113360">
        <w:rPr>
          <w:sz w:val="16"/>
          <w:szCs w:val="16"/>
          <w:lang w:val="pt-BR"/>
        </w:rPr>
        <w:t>e</w:t>
      </w:r>
      <w:r w:rsidRPr="00113360">
        <w:rPr>
          <w:sz w:val="16"/>
          <w:szCs w:val="16"/>
          <w:lang w:val="pt-BR"/>
        </w:rPr>
        <w:t xml:space="preserve"> </w:t>
      </w:r>
      <w:r w:rsidRPr="00113360">
        <w:rPr>
          <w:i/>
          <w:sz w:val="16"/>
          <w:szCs w:val="16"/>
          <w:lang w:val="pt-BR"/>
        </w:rPr>
        <w:t xml:space="preserve">Caso </w:t>
      </w:r>
      <w:r w:rsidR="006F2F86">
        <w:rPr>
          <w:i/>
          <w:sz w:val="16"/>
          <w:szCs w:val="16"/>
          <w:lang w:val="pt-BR"/>
        </w:rPr>
        <w:t xml:space="preserve">do </w:t>
      </w:r>
      <w:r w:rsidRPr="00113360">
        <w:rPr>
          <w:i/>
          <w:sz w:val="16"/>
          <w:szCs w:val="16"/>
          <w:lang w:val="pt-BR"/>
        </w:rPr>
        <w:t>Ma</w:t>
      </w:r>
      <w:r w:rsidR="00134AB9" w:rsidRPr="00113360">
        <w:rPr>
          <w:i/>
          <w:sz w:val="16"/>
          <w:szCs w:val="16"/>
          <w:lang w:val="pt-BR"/>
        </w:rPr>
        <w:t>s</w:t>
      </w:r>
      <w:r w:rsidRPr="00113360">
        <w:rPr>
          <w:i/>
          <w:sz w:val="16"/>
          <w:szCs w:val="16"/>
          <w:lang w:val="pt-BR"/>
        </w:rPr>
        <w:t>sacre da Alde</w:t>
      </w:r>
      <w:r w:rsidR="006F2F86">
        <w:rPr>
          <w:i/>
          <w:sz w:val="16"/>
          <w:szCs w:val="16"/>
          <w:lang w:val="pt-BR"/>
        </w:rPr>
        <w:t>i</w:t>
      </w:r>
      <w:r w:rsidRPr="00113360">
        <w:rPr>
          <w:i/>
          <w:sz w:val="16"/>
          <w:szCs w:val="16"/>
          <w:lang w:val="pt-BR"/>
        </w:rPr>
        <w:t xml:space="preserve">a Los </w:t>
      </w:r>
      <w:proofErr w:type="spellStart"/>
      <w:r w:rsidRPr="00113360">
        <w:rPr>
          <w:i/>
          <w:sz w:val="16"/>
          <w:szCs w:val="16"/>
          <w:lang w:val="pt-BR"/>
        </w:rPr>
        <w:t>Josefinos</w:t>
      </w:r>
      <w:proofErr w:type="spellEnd"/>
      <w:r w:rsidRPr="00113360">
        <w:rPr>
          <w:i/>
          <w:sz w:val="16"/>
          <w:szCs w:val="16"/>
          <w:lang w:val="pt-BR"/>
        </w:rPr>
        <w:t xml:space="preserve"> Vs. Guatemala. </w:t>
      </w:r>
      <w:r w:rsidR="00134AB9" w:rsidRPr="00113360">
        <w:rPr>
          <w:i/>
          <w:sz w:val="16"/>
          <w:szCs w:val="16"/>
          <w:lang w:val="pt-BR"/>
        </w:rPr>
        <w:t>Exceção</w:t>
      </w:r>
      <w:r w:rsidRPr="00113360">
        <w:rPr>
          <w:i/>
          <w:sz w:val="16"/>
          <w:szCs w:val="16"/>
          <w:lang w:val="pt-BR"/>
        </w:rPr>
        <w:t xml:space="preserve"> Preliminar,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3 de novembr</w:t>
      </w:r>
      <w:r w:rsidR="00134AB9" w:rsidRPr="00113360">
        <w:rPr>
          <w:iCs/>
          <w:sz w:val="16"/>
          <w:szCs w:val="16"/>
          <w:lang w:val="pt-BR"/>
        </w:rPr>
        <w:t>o</w:t>
      </w:r>
      <w:r w:rsidRPr="00113360">
        <w:rPr>
          <w:iCs/>
          <w:sz w:val="16"/>
          <w:szCs w:val="16"/>
          <w:lang w:val="pt-BR"/>
        </w:rPr>
        <w:t xml:space="preserve"> de 2021.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442,</w:t>
      </w:r>
      <w:r w:rsidRPr="00113360">
        <w:rPr>
          <w:sz w:val="16"/>
          <w:szCs w:val="16"/>
          <w:lang w:val="pt-BR"/>
        </w:rPr>
        <w:t xml:space="preserve"> </w:t>
      </w:r>
      <w:r w:rsidR="00A51566" w:rsidRPr="00113360">
        <w:rPr>
          <w:sz w:val="16"/>
          <w:szCs w:val="16"/>
          <w:lang w:val="pt-BR"/>
        </w:rPr>
        <w:t>par</w:t>
      </w:r>
      <w:r w:rsidRPr="00113360">
        <w:rPr>
          <w:sz w:val="16"/>
          <w:szCs w:val="16"/>
          <w:lang w:val="pt-BR"/>
        </w:rPr>
        <w:t>. 79.</w:t>
      </w:r>
    </w:p>
  </w:footnote>
  <w:footnote w:id="9">
    <w:p w14:paraId="573C868F" w14:textId="75518EE9" w:rsidR="00C3417E" w:rsidRPr="00113360" w:rsidRDefault="00C3417E" w:rsidP="00C3417E">
      <w:pPr>
        <w:pStyle w:val="Textonotapie"/>
        <w:spacing w:after="40"/>
        <w:rPr>
          <w:sz w:val="16"/>
          <w:szCs w:val="16"/>
          <w:lang w:val="pt-BR"/>
        </w:rPr>
      </w:pPr>
      <w:r w:rsidRPr="009C4831">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sz w:val="16"/>
          <w:szCs w:val="16"/>
          <w:lang w:val="pt-BR"/>
        </w:rPr>
        <w:t>Cf</w:t>
      </w:r>
      <w:r w:rsidRPr="00113360">
        <w:rPr>
          <w:i/>
          <w:sz w:val="16"/>
          <w:szCs w:val="16"/>
          <w:lang w:val="pt-BR"/>
        </w:rPr>
        <w:t>. Caso da Comunidad</w:t>
      </w:r>
      <w:r w:rsidR="00134AB9" w:rsidRPr="00113360">
        <w:rPr>
          <w:i/>
          <w:sz w:val="16"/>
          <w:szCs w:val="16"/>
          <w:lang w:val="pt-BR"/>
        </w:rPr>
        <w:t>e</w:t>
      </w:r>
      <w:r w:rsidRPr="00113360">
        <w:rPr>
          <w:i/>
          <w:sz w:val="16"/>
          <w:szCs w:val="16"/>
          <w:lang w:val="pt-BR"/>
        </w:rPr>
        <w:t xml:space="preserve"> </w:t>
      </w:r>
      <w:proofErr w:type="spellStart"/>
      <w:r w:rsidRPr="00113360">
        <w:rPr>
          <w:i/>
          <w:sz w:val="16"/>
          <w:szCs w:val="16"/>
          <w:lang w:val="pt-BR"/>
        </w:rPr>
        <w:t>Moiwana</w:t>
      </w:r>
      <w:proofErr w:type="spellEnd"/>
      <w:r w:rsidRPr="00113360">
        <w:rPr>
          <w:i/>
          <w:sz w:val="16"/>
          <w:szCs w:val="16"/>
          <w:lang w:val="pt-BR"/>
        </w:rPr>
        <w:t xml:space="preserve"> Vs. Suriname. </w:t>
      </w:r>
      <w:r w:rsidR="00134AB9" w:rsidRPr="00113360">
        <w:rPr>
          <w:rStyle w:val="Textoennegrita"/>
          <w:rFonts w:eastAsia="MS Mincho"/>
          <w:b w:val="0"/>
          <w:bCs w:val="0"/>
          <w:i/>
          <w:sz w:val="16"/>
          <w:szCs w:val="16"/>
          <w:lang w:val="pt-BR"/>
        </w:rPr>
        <w:t>Exceções</w:t>
      </w:r>
      <w:r w:rsidRPr="00113360">
        <w:rPr>
          <w:rStyle w:val="Textoennegrita"/>
          <w:rFonts w:eastAsia="MS Mincho"/>
          <w:b w:val="0"/>
          <w:bCs w:val="0"/>
          <w:i/>
          <w:sz w:val="16"/>
          <w:szCs w:val="16"/>
          <w:lang w:val="pt-BR"/>
        </w:rPr>
        <w:t xml:space="preserve"> Preliminares, </w:t>
      </w:r>
      <w:r w:rsidR="00134AB9" w:rsidRPr="00113360">
        <w:rPr>
          <w:rStyle w:val="Textoennegrita"/>
          <w:rFonts w:eastAsia="MS Mincho"/>
          <w:b w:val="0"/>
          <w:bCs w:val="0"/>
          <w:i/>
          <w:sz w:val="16"/>
          <w:szCs w:val="16"/>
          <w:lang w:val="pt-BR"/>
        </w:rPr>
        <w:t>Mérito</w:t>
      </w:r>
      <w:r w:rsidRPr="00113360">
        <w:rPr>
          <w:rStyle w:val="Textoennegrita"/>
          <w:rFonts w:eastAsia="MS Mincho"/>
          <w:b w:val="0"/>
          <w:bCs w:val="0"/>
          <w:i/>
          <w:sz w:val="16"/>
          <w:szCs w:val="16"/>
          <w:lang w:val="pt-BR"/>
        </w:rPr>
        <w:t xml:space="preserve">, </w:t>
      </w:r>
      <w:r w:rsidR="00134AB9" w:rsidRPr="00113360">
        <w:rPr>
          <w:rStyle w:val="Textoennegrita"/>
          <w:rFonts w:eastAsia="MS Mincho"/>
          <w:b w:val="0"/>
          <w:bCs w:val="0"/>
          <w:i/>
          <w:sz w:val="16"/>
          <w:szCs w:val="16"/>
          <w:lang w:val="pt-BR"/>
        </w:rPr>
        <w:t>Reparações</w:t>
      </w:r>
      <w:r w:rsidRPr="00113360">
        <w:rPr>
          <w:rStyle w:val="Textoennegrita"/>
          <w:rFonts w:eastAsia="MS Mincho"/>
          <w:b w:val="0"/>
          <w:bCs w:val="0"/>
          <w:i/>
          <w:sz w:val="16"/>
          <w:szCs w:val="16"/>
          <w:lang w:val="pt-BR"/>
        </w:rPr>
        <w:t xml:space="preserve"> </w:t>
      </w:r>
      <w:r w:rsidR="00134AB9" w:rsidRPr="00113360">
        <w:rPr>
          <w:rStyle w:val="Textoennegrita"/>
          <w:rFonts w:eastAsia="MS Mincho"/>
          <w:b w:val="0"/>
          <w:bCs w:val="0"/>
          <w:i/>
          <w:sz w:val="16"/>
          <w:szCs w:val="16"/>
          <w:lang w:val="pt-BR"/>
        </w:rPr>
        <w:t>e</w:t>
      </w:r>
      <w:r w:rsidRPr="00113360">
        <w:rPr>
          <w:rStyle w:val="Textoennegrita"/>
          <w:rFonts w:eastAsia="MS Mincho"/>
          <w:b w:val="0"/>
          <w:bCs w:val="0"/>
          <w:i/>
          <w:sz w:val="16"/>
          <w:szCs w:val="16"/>
          <w:lang w:val="pt-BR"/>
        </w:rPr>
        <w:t xml:space="preserve"> </w:t>
      </w:r>
      <w:r w:rsidR="00134AB9" w:rsidRPr="00113360">
        <w:rPr>
          <w:rStyle w:val="Textoennegrita"/>
          <w:rFonts w:eastAsia="MS Mincho"/>
          <w:b w:val="0"/>
          <w:bCs w:val="0"/>
          <w:i/>
          <w:sz w:val="16"/>
          <w:szCs w:val="16"/>
          <w:lang w:val="pt-BR"/>
        </w:rPr>
        <w:t>Custas</w:t>
      </w:r>
      <w:r w:rsidRPr="00113360">
        <w:rPr>
          <w:rStyle w:val="Textoennegrita"/>
          <w:rFonts w:eastAsia="MS Mincho"/>
          <w:b w:val="0"/>
          <w:bCs w:val="0"/>
          <w:i/>
          <w:sz w:val="16"/>
          <w:szCs w:val="16"/>
          <w:lang w:val="pt-BR"/>
        </w:rPr>
        <w:t>.</w:t>
      </w:r>
      <w:r w:rsidRPr="00113360">
        <w:rPr>
          <w:rStyle w:val="Textoennegrita"/>
          <w:rFonts w:eastAsia="MS Mincho"/>
          <w:b w:val="0"/>
          <w:bCs w:val="0"/>
          <w:sz w:val="16"/>
          <w:szCs w:val="16"/>
          <w:lang w:val="pt-BR"/>
        </w:rPr>
        <w:t xml:space="preserve"> </w:t>
      </w:r>
      <w:r w:rsidR="00134AB9" w:rsidRPr="00113360">
        <w:rPr>
          <w:rStyle w:val="Textoennegrita"/>
          <w:rFonts w:eastAsia="MS Mincho"/>
          <w:b w:val="0"/>
          <w:bCs w:val="0"/>
          <w:sz w:val="16"/>
          <w:szCs w:val="16"/>
          <w:lang w:val="pt-BR"/>
        </w:rPr>
        <w:t>Sentença</w:t>
      </w:r>
      <w:r w:rsidRPr="00113360">
        <w:rPr>
          <w:rStyle w:val="Textoennegrita"/>
          <w:rFonts w:eastAsia="MS Mincho"/>
          <w:b w:val="0"/>
          <w:bCs w:val="0"/>
          <w:sz w:val="16"/>
          <w:szCs w:val="16"/>
          <w:lang w:val="pt-BR"/>
        </w:rPr>
        <w:t xml:space="preserve"> </w:t>
      </w:r>
      <w:r w:rsidR="006F2F86">
        <w:rPr>
          <w:rStyle w:val="Textoennegrita"/>
          <w:rFonts w:eastAsia="MS Mincho"/>
          <w:b w:val="0"/>
          <w:bCs w:val="0"/>
          <w:sz w:val="16"/>
          <w:szCs w:val="16"/>
          <w:lang w:val="pt-BR"/>
        </w:rPr>
        <w:t xml:space="preserve">de </w:t>
      </w:r>
      <w:r w:rsidRPr="00113360">
        <w:rPr>
          <w:rStyle w:val="Textoennegrita"/>
          <w:rFonts w:eastAsia="MS Mincho"/>
          <w:b w:val="0"/>
          <w:bCs w:val="0"/>
          <w:sz w:val="16"/>
          <w:szCs w:val="16"/>
          <w:lang w:val="pt-BR"/>
        </w:rPr>
        <w:t>15 de jun</w:t>
      </w:r>
      <w:r w:rsidR="00134AB9" w:rsidRPr="00113360">
        <w:rPr>
          <w:rStyle w:val="Textoennegrita"/>
          <w:rFonts w:eastAsia="MS Mincho"/>
          <w:b w:val="0"/>
          <w:bCs w:val="0"/>
          <w:sz w:val="16"/>
          <w:szCs w:val="16"/>
          <w:lang w:val="pt-BR"/>
        </w:rPr>
        <w:t>h</w:t>
      </w:r>
      <w:r w:rsidRPr="00113360">
        <w:rPr>
          <w:rStyle w:val="Textoennegrita"/>
          <w:rFonts w:eastAsia="MS Mincho"/>
          <w:b w:val="0"/>
          <w:bCs w:val="0"/>
          <w:sz w:val="16"/>
          <w:szCs w:val="16"/>
          <w:lang w:val="pt-BR"/>
        </w:rPr>
        <w:t xml:space="preserve">o de 2005. </w:t>
      </w:r>
      <w:r w:rsidR="00A51566" w:rsidRPr="00113360">
        <w:rPr>
          <w:rStyle w:val="Textoennegrita"/>
          <w:rFonts w:eastAsia="MS Mincho"/>
          <w:b w:val="0"/>
          <w:bCs w:val="0"/>
          <w:sz w:val="16"/>
          <w:szCs w:val="16"/>
          <w:lang w:val="pt-BR"/>
        </w:rPr>
        <w:t>Série</w:t>
      </w:r>
      <w:r w:rsidRPr="00113360">
        <w:rPr>
          <w:rStyle w:val="Textoennegrita"/>
          <w:rFonts w:eastAsia="MS Mincho"/>
          <w:b w:val="0"/>
          <w:bCs w:val="0"/>
          <w:sz w:val="16"/>
          <w:szCs w:val="16"/>
          <w:lang w:val="pt-BR"/>
        </w:rPr>
        <w:t xml:space="preserve"> C </w:t>
      </w:r>
      <w:r w:rsidR="00A51566" w:rsidRPr="00113360">
        <w:rPr>
          <w:rStyle w:val="Textoennegrita"/>
          <w:rFonts w:eastAsia="MS Mincho"/>
          <w:b w:val="0"/>
          <w:bCs w:val="0"/>
          <w:sz w:val="16"/>
          <w:szCs w:val="16"/>
          <w:lang w:val="pt-BR"/>
        </w:rPr>
        <w:t>Nº.</w:t>
      </w:r>
      <w:r w:rsidRPr="00113360">
        <w:rPr>
          <w:rStyle w:val="Textoennegrita"/>
          <w:rFonts w:eastAsia="MS Mincho"/>
          <w:b w:val="0"/>
          <w:bCs w:val="0"/>
          <w:sz w:val="16"/>
          <w:szCs w:val="16"/>
          <w:lang w:val="pt-BR"/>
        </w:rPr>
        <w:t xml:space="preserve"> 124</w:t>
      </w:r>
      <w:r w:rsidRPr="00113360">
        <w:rPr>
          <w:sz w:val="16"/>
          <w:szCs w:val="16"/>
          <w:lang w:val="pt-BR"/>
        </w:rPr>
        <w:t xml:space="preserve">, </w:t>
      </w:r>
      <w:r w:rsidR="00A51566" w:rsidRPr="00113360">
        <w:rPr>
          <w:sz w:val="16"/>
          <w:szCs w:val="16"/>
          <w:lang w:val="pt-BR"/>
        </w:rPr>
        <w:t>par</w:t>
      </w:r>
      <w:r w:rsidRPr="00113360">
        <w:rPr>
          <w:sz w:val="16"/>
          <w:szCs w:val="16"/>
          <w:lang w:val="pt-BR"/>
        </w:rPr>
        <w:t xml:space="preserve">. 119 </w:t>
      </w:r>
      <w:r w:rsidR="00134AB9" w:rsidRPr="00113360">
        <w:rPr>
          <w:sz w:val="16"/>
          <w:szCs w:val="16"/>
          <w:lang w:val="pt-BR"/>
        </w:rPr>
        <w:t>e</w:t>
      </w:r>
      <w:r w:rsidRPr="00113360">
        <w:rPr>
          <w:sz w:val="16"/>
          <w:szCs w:val="16"/>
          <w:lang w:val="pt-BR"/>
        </w:rPr>
        <w:t xml:space="preserve"> 120; </w:t>
      </w:r>
      <w:r w:rsidR="00134AB9" w:rsidRPr="00113360">
        <w:rPr>
          <w:sz w:val="16"/>
          <w:szCs w:val="16"/>
          <w:lang w:val="pt-BR"/>
        </w:rPr>
        <w:t>e</w:t>
      </w:r>
      <w:r w:rsidRPr="00113360">
        <w:rPr>
          <w:sz w:val="16"/>
          <w:szCs w:val="16"/>
          <w:lang w:val="pt-BR"/>
        </w:rPr>
        <w:t xml:space="preserve"> </w:t>
      </w:r>
      <w:r w:rsidRPr="00113360">
        <w:rPr>
          <w:i/>
          <w:sz w:val="16"/>
          <w:szCs w:val="16"/>
          <w:lang w:val="pt-BR"/>
        </w:rPr>
        <w:t xml:space="preserve">Caso Integrantes </w:t>
      </w:r>
      <w:r w:rsidR="00134AB9" w:rsidRPr="00113360">
        <w:rPr>
          <w:i/>
          <w:sz w:val="16"/>
          <w:szCs w:val="16"/>
          <w:lang w:val="pt-BR"/>
        </w:rPr>
        <w:t>e</w:t>
      </w:r>
      <w:r w:rsidRPr="00113360">
        <w:rPr>
          <w:i/>
          <w:sz w:val="16"/>
          <w:szCs w:val="16"/>
          <w:lang w:val="pt-BR"/>
        </w:rPr>
        <w:t xml:space="preserve"> Militantes da Uni</w:t>
      </w:r>
      <w:r w:rsidR="00134AB9" w:rsidRPr="00113360">
        <w:rPr>
          <w:i/>
          <w:sz w:val="16"/>
          <w:szCs w:val="16"/>
          <w:lang w:val="pt-BR"/>
        </w:rPr>
        <w:t xml:space="preserve">ão </w:t>
      </w:r>
      <w:r w:rsidRPr="00113360">
        <w:rPr>
          <w:i/>
          <w:sz w:val="16"/>
          <w:szCs w:val="16"/>
          <w:lang w:val="pt-BR"/>
        </w:rPr>
        <w:t>Patri</w:t>
      </w:r>
      <w:r w:rsidR="006F2F86">
        <w:rPr>
          <w:i/>
          <w:sz w:val="16"/>
          <w:szCs w:val="16"/>
          <w:lang w:val="pt-BR"/>
        </w:rPr>
        <w:t>ó</w:t>
      </w:r>
      <w:r w:rsidRPr="00113360">
        <w:rPr>
          <w:i/>
          <w:sz w:val="16"/>
          <w:szCs w:val="16"/>
          <w:lang w:val="pt-BR"/>
        </w:rPr>
        <w:t>tica Vs. Col</w:t>
      </w:r>
      <w:r w:rsidR="00134AB9" w:rsidRPr="00113360">
        <w:rPr>
          <w:i/>
          <w:sz w:val="16"/>
          <w:szCs w:val="16"/>
          <w:lang w:val="pt-BR"/>
        </w:rPr>
        <w:t>ô</w:t>
      </w:r>
      <w:r w:rsidRPr="00113360">
        <w:rPr>
          <w:i/>
          <w:sz w:val="16"/>
          <w:szCs w:val="16"/>
          <w:lang w:val="pt-BR"/>
        </w:rPr>
        <w:t xml:space="preserve">mbia. </w:t>
      </w:r>
      <w:r w:rsidR="00134AB9" w:rsidRPr="00113360">
        <w:rPr>
          <w:i/>
          <w:sz w:val="16"/>
          <w:szCs w:val="16"/>
          <w:lang w:val="pt-BR"/>
        </w:rPr>
        <w:t>Exceções</w:t>
      </w:r>
      <w:r w:rsidRPr="00113360">
        <w:rPr>
          <w:i/>
          <w:sz w:val="16"/>
          <w:szCs w:val="16"/>
          <w:lang w:val="pt-BR"/>
        </w:rPr>
        <w:t xml:space="preserve"> Preliminares,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27 de jul</w:t>
      </w:r>
      <w:r w:rsidR="00134AB9" w:rsidRPr="00113360">
        <w:rPr>
          <w:iCs/>
          <w:sz w:val="16"/>
          <w:szCs w:val="16"/>
          <w:lang w:val="pt-BR"/>
        </w:rPr>
        <w:t>h</w:t>
      </w:r>
      <w:r w:rsidRPr="00113360">
        <w:rPr>
          <w:iCs/>
          <w:sz w:val="16"/>
          <w:szCs w:val="16"/>
          <w:lang w:val="pt-BR"/>
        </w:rPr>
        <w:t xml:space="preserve">o de 2022.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455,</w:t>
      </w:r>
      <w:r w:rsidRPr="00113360">
        <w:rPr>
          <w:sz w:val="16"/>
          <w:szCs w:val="16"/>
          <w:lang w:val="pt-BR"/>
        </w:rPr>
        <w:t xml:space="preserve"> </w:t>
      </w:r>
      <w:r w:rsidR="00A51566" w:rsidRPr="00113360">
        <w:rPr>
          <w:sz w:val="16"/>
          <w:szCs w:val="16"/>
          <w:lang w:val="pt-BR"/>
        </w:rPr>
        <w:t>par</w:t>
      </w:r>
      <w:r w:rsidRPr="00113360">
        <w:rPr>
          <w:sz w:val="16"/>
          <w:szCs w:val="16"/>
          <w:lang w:val="pt-BR"/>
        </w:rPr>
        <w:t>. 382.</w:t>
      </w:r>
    </w:p>
  </w:footnote>
  <w:footnote w:id="10">
    <w:p w14:paraId="4803072C" w14:textId="0D7FFAEA" w:rsidR="00C3417E" w:rsidRPr="00113360" w:rsidRDefault="00C3417E" w:rsidP="00C3417E">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sz w:val="16"/>
          <w:szCs w:val="16"/>
          <w:lang w:val="pt-BR"/>
        </w:rPr>
        <w:t>Cf</w:t>
      </w:r>
      <w:r w:rsidRPr="00113360">
        <w:rPr>
          <w:i/>
          <w:sz w:val="16"/>
          <w:szCs w:val="16"/>
          <w:lang w:val="pt-BR"/>
        </w:rPr>
        <w:t xml:space="preserve">. Caso Valle Jaramillo </w:t>
      </w:r>
      <w:r w:rsidR="00134AB9" w:rsidRPr="00113360">
        <w:rPr>
          <w:i/>
          <w:sz w:val="16"/>
          <w:szCs w:val="16"/>
          <w:lang w:val="pt-BR"/>
        </w:rPr>
        <w:t>e</w:t>
      </w:r>
      <w:r w:rsidRPr="00113360">
        <w:rPr>
          <w:i/>
          <w:sz w:val="16"/>
          <w:szCs w:val="16"/>
          <w:lang w:val="pt-BR"/>
        </w:rPr>
        <w:t xml:space="preserve"> </w:t>
      </w:r>
      <w:r w:rsidR="00A51566" w:rsidRPr="00113360">
        <w:rPr>
          <w:i/>
          <w:sz w:val="16"/>
          <w:szCs w:val="16"/>
          <w:lang w:val="pt-BR"/>
        </w:rPr>
        <w:t>outros</w:t>
      </w:r>
      <w:r w:rsidRPr="00113360">
        <w:rPr>
          <w:i/>
          <w:sz w:val="16"/>
          <w:szCs w:val="16"/>
          <w:lang w:val="pt-BR"/>
        </w:rPr>
        <w:t xml:space="preserve"> Vs. Col</w:t>
      </w:r>
      <w:r w:rsidR="00134AB9" w:rsidRPr="00113360">
        <w:rPr>
          <w:i/>
          <w:sz w:val="16"/>
          <w:szCs w:val="16"/>
          <w:lang w:val="pt-BR"/>
        </w:rPr>
        <w:t>ô</w:t>
      </w:r>
      <w:r w:rsidRPr="00113360">
        <w:rPr>
          <w:i/>
          <w:sz w:val="16"/>
          <w:szCs w:val="16"/>
          <w:lang w:val="pt-BR"/>
        </w:rPr>
        <w:t xml:space="preserve">mbia.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27 de novembr</w:t>
      </w:r>
      <w:r w:rsidR="00134AB9" w:rsidRPr="00113360">
        <w:rPr>
          <w:iCs/>
          <w:sz w:val="16"/>
          <w:szCs w:val="16"/>
          <w:lang w:val="pt-BR"/>
        </w:rPr>
        <w:t>o</w:t>
      </w:r>
      <w:r w:rsidRPr="00113360">
        <w:rPr>
          <w:iCs/>
          <w:sz w:val="16"/>
          <w:szCs w:val="16"/>
          <w:lang w:val="pt-BR"/>
        </w:rPr>
        <w:t xml:space="preserve"> de 2008.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192, </w:t>
      </w:r>
      <w:r w:rsidR="00A51566" w:rsidRPr="00113360">
        <w:rPr>
          <w:iCs/>
          <w:sz w:val="16"/>
          <w:szCs w:val="16"/>
          <w:lang w:val="pt-BR"/>
        </w:rPr>
        <w:t>par</w:t>
      </w:r>
      <w:r w:rsidRPr="00113360">
        <w:rPr>
          <w:iCs/>
          <w:sz w:val="16"/>
          <w:szCs w:val="16"/>
          <w:lang w:val="pt-BR"/>
        </w:rPr>
        <w:t xml:space="preserve">. 139; </w:t>
      </w:r>
      <w:r w:rsidR="00134AB9" w:rsidRPr="00113360">
        <w:rPr>
          <w:iCs/>
          <w:sz w:val="16"/>
          <w:szCs w:val="16"/>
          <w:lang w:val="pt-BR"/>
        </w:rPr>
        <w:t>e</w:t>
      </w:r>
      <w:r w:rsidRPr="00113360">
        <w:rPr>
          <w:sz w:val="16"/>
          <w:szCs w:val="16"/>
          <w:lang w:val="pt-BR"/>
        </w:rPr>
        <w:t xml:space="preserve"> </w:t>
      </w:r>
      <w:r w:rsidRPr="00113360">
        <w:rPr>
          <w:i/>
          <w:sz w:val="16"/>
          <w:szCs w:val="16"/>
          <w:lang w:val="pt-BR"/>
        </w:rPr>
        <w:t>Caso Ma</w:t>
      </w:r>
      <w:r w:rsidR="00134AB9" w:rsidRPr="00113360">
        <w:rPr>
          <w:i/>
          <w:sz w:val="16"/>
          <w:szCs w:val="16"/>
          <w:lang w:val="pt-BR"/>
        </w:rPr>
        <w:t>s</w:t>
      </w:r>
      <w:r w:rsidRPr="00113360">
        <w:rPr>
          <w:i/>
          <w:sz w:val="16"/>
          <w:szCs w:val="16"/>
          <w:lang w:val="pt-BR"/>
        </w:rPr>
        <w:t>sacre da Alde</w:t>
      </w:r>
      <w:r w:rsidR="006F2F86">
        <w:rPr>
          <w:i/>
          <w:sz w:val="16"/>
          <w:szCs w:val="16"/>
          <w:lang w:val="pt-BR"/>
        </w:rPr>
        <w:t>i</w:t>
      </w:r>
      <w:r w:rsidRPr="00113360">
        <w:rPr>
          <w:i/>
          <w:sz w:val="16"/>
          <w:szCs w:val="16"/>
          <w:lang w:val="pt-BR"/>
        </w:rPr>
        <w:t xml:space="preserve">a Los </w:t>
      </w:r>
      <w:proofErr w:type="spellStart"/>
      <w:r w:rsidRPr="00113360">
        <w:rPr>
          <w:i/>
          <w:sz w:val="16"/>
          <w:szCs w:val="16"/>
          <w:lang w:val="pt-BR"/>
        </w:rPr>
        <w:t>Josefinos</w:t>
      </w:r>
      <w:proofErr w:type="spellEnd"/>
      <w:r w:rsidRPr="00113360">
        <w:rPr>
          <w:i/>
          <w:sz w:val="16"/>
          <w:szCs w:val="16"/>
          <w:lang w:val="pt-BR"/>
        </w:rPr>
        <w:t xml:space="preserve"> Vs. Guatemala. </w:t>
      </w:r>
      <w:r w:rsidR="00134AB9" w:rsidRPr="00113360">
        <w:rPr>
          <w:i/>
          <w:sz w:val="16"/>
          <w:szCs w:val="16"/>
          <w:lang w:val="pt-BR"/>
        </w:rPr>
        <w:t>Exceção</w:t>
      </w:r>
      <w:r w:rsidRPr="00113360">
        <w:rPr>
          <w:i/>
          <w:sz w:val="16"/>
          <w:szCs w:val="16"/>
          <w:lang w:val="pt-BR"/>
        </w:rPr>
        <w:t xml:space="preserve"> Preliminar,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3 de novembr</w:t>
      </w:r>
      <w:r w:rsidR="00134AB9" w:rsidRPr="00113360">
        <w:rPr>
          <w:iCs/>
          <w:sz w:val="16"/>
          <w:szCs w:val="16"/>
          <w:lang w:val="pt-BR"/>
        </w:rPr>
        <w:t>o</w:t>
      </w:r>
      <w:r w:rsidRPr="00113360">
        <w:rPr>
          <w:iCs/>
          <w:sz w:val="16"/>
          <w:szCs w:val="16"/>
          <w:lang w:val="pt-BR"/>
        </w:rPr>
        <w:t xml:space="preserve"> de 2021.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442,</w:t>
      </w:r>
      <w:r w:rsidRPr="00113360">
        <w:rPr>
          <w:sz w:val="16"/>
          <w:szCs w:val="16"/>
          <w:lang w:val="pt-BR"/>
        </w:rPr>
        <w:t xml:space="preserve"> </w:t>
      </w:r>
      <w:r w:rsidR="00A51566" w:rsidRPr="00113360">
        <w:rPr>
          <w:sz w:val="16"/>
          <w:szCs w:val="16"/>
          <w:lang w:val="pt-BR"/>
        </w:rPr>
        <w:t>par</w:t>
      </w:r>
      <w:r w:rsidRPr="00113360">
        <w:rPr>
          <w:sz w:val="16"/>
          <w:szCs w:val="16"/>
          <w:lang w:val="pt-BR"/>
        </w:rPr>
        <w:t>. 77.</w:t>
      </w:r>
    </w:p>
  </w:footnote>
  <w:footnote w:id="11">
    <w:p w14:paraId="614EFC95" w14:textId="4816D33C" w:rsidR="00E204B2" w:rsidRPr="00113360" w:rsidRDefault="00E204B2" w:rsidP="00E204B2">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t>Conv</w:t>
      </w:r>
      <w:r w:rsidR="006F2F86">
        <w:rPr>
          <w:sz w:val="16"/>
          <w:szCs w:val="16"/>
          <w:lang w:val="pt-BR"/>
        </w:rPr>
        <w:t xml:space="preserve">enção </w:t>
      </w:r>
      <w:r w:rsidRPr="00113360">
        <w:rPr>
          <w:sz w:val="16"/>
          <w:szCs w:val="16"/>
          <w:lang w:val="pt-BR"/>
        </w:rPr>
        <w:t xml:space="preserve">169 da OIT, </w:t>
      </w:r>
      <w:r w:rsidR="00134AB9" w:rsidRPr="00113360">
        <w:rPr>
          <w:sz w:val="16"/>
          <w:szCs w:val="16"/>
          <w:lang w:val="pt-BR"/>
        </w:rPr>
        <w:t>artigo</w:t>
      </w:r>
      <w:r w:rsidRPr="00113360">
        <w:rPr>
          <w:sz w:val="16"/>
          <w:szCs w:val="16"/>
          <w:lang w:val="pt-BR"/>
        </w:rPr>
        <w:t xml:space="preserve"> 10.</w:t>
      </w:r>
    </w:p>
  </w:footnote>
  <w:footnote w:id="12">
    <w:p w14:paraId="672F29D5" w14:textId="302E9D85" w:rsidR="00E204B2" w:rsidRPr="00113360" w:rsidRDefault="00E204B2" w:rsidP="00E204B2">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iCs/>
          <w:sz w:val="16"/>
          <w:szCs w:val="16"/>
          <w:lang w:val="pt-BR"/>
        </w:rPr>
        <w:t>Cf</w:t>
      </w:r>
      <w:r w:rsidRPr="00113360">
        <w:rPr>
          <w:i/>
          <w:iCs/>
          <w:sz w:val="16"/>
          <w:szCs w:val="16"/>
          <w:lang w:val="pt-BR"/>
        </w:rPr>
        <w:t>.</w:t>
      </w:r>
      <w:r w:rsidRPr="00113360">
        <w:rPr>
          <w:sz w:val="16"/>
          <w:szCs w:val="16"/>
          <w:lang w:val="pt-BR"/>
        </w:rPr>
        <w:t xml:space="preserve"> </w:t>
      </w:r>
      <w:r w:rsidRPr="00113360">
        <w:rPr>
          <w:i/>
          <w:sz w:val="16"/>
          <w:szCs w:val="16"/>
          <w:lang w:val="pt-BR"/>
        </w:rPr>
        <w:t xml:space="preserve">Caso </w:t>
      </w:r>
      <w:r w:rsidR="006F2F86">
        <w:rPr>
          <w:i/>
          <w:sz w:val="16"/>
          <w:szCs w:val="16"/>
          <w:lang w:val="pt-BR"/>
        </w:rPr>
        <w:t xml:space="preserve">dos </w:t>
      </w:r>
      <w:r w:rsidRPr="00113360">
        <w:rPr>
          <w:i/>
          <w:sz w:val="16"/>
          <w:szCs w:val="16"/>
          <w:lang w:val="pt-BR"/>
        </w:rPr>
        <w:t>Ma</w:t>
      </w:r>
      <w:r w:rsidR="00134AB9" w:rsidRPr="00113360">
        <w:rPr>
          <w:i/>
          <w:sz w:val="16"/>
          <w:szCs w:val="16"/>
          <w:lang w:val="pt-BR"/>
        </w:rPr>
        <w:t>s</w:t>
      </w:r>
      <w:r w:rsidRPr="00113360">
        <w:rPr>
          <w:i/>
          <w:sz w:val="16"/>
          <w:szCs w:val="16"/>
          <w:lang w:val="pt-BR"/>
        </w:rPr>
        <w:t>sacres d</w:t>
      </w:r>
      <w:r w:rsidR="006F2F86">
        <w:rPr>
          <w:i/>
          <w:sz w:val="16"/>
          <w:szCs w:val="16"/>
          <w:lang w:val="pt-BR"/>
        </w:rPr>
        <w:t>e</w:t>
      </w:r>
      <w:r w:rsidRPr="00113360">
        <w:rPr>
          <w:i/>
          <w:sz w:val="16"/>
          <w:szCs w:val="16"/>
          <w:lang w:val="pt-BR"/>
        </w:rPr>
        <w:t xml:space="preserve"> R</w:t>
      </w:r>
      <w:r w:rsidR="006F2F86">
        <w:rPr>
          <w:i/>
          <w:sz w:val="16"/>
          <w:szCs w:val="16"/>
          <w:lang w:val="pt-BR"/>
        </w:rPr>
        <w:t>í</w:t>
      </w:r>
      <w:r w:rsidRPr="00113360">
        <w:rPr>
          <w:i/>
          <w:sz w:val="16"/>
          <w:szCs w:val="16"/>
          <w:lang w:val="pt-BR"/>
        </w:rPr>
        <w:t xml:space="preserve">o Negro Vs. Guatemala. </w:t>
      </w:r>
      <w:r w:rsidR="00134AB9" w:rsidRPr="00113360">
        <w:rPr>
          <w:i/>
          <w:sz w:val="16"/>
          <w:szCs w:val="16"/>
          <w:lang w:val="pt-BR"/>
        </w:rPr>
        <w:t>Exceção</w:t>
      </w:r>
      <w:r w:rsidRPr="00113360">
        <w:rPr>
          <w:i/>
          <w:sz w:val="16"/>
          <w:szCs w:val="16"/>
          <w:lang w:val="pt-BR"/>
        </w:rPr>
        <w:t xml:space="preserve"> Preliminar,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4 de setembr</w:t>
      </w:r>
      <w:r w:rsidR="00134AB9" w:rsidRPr="00113360">
        <w:rPr>
          <w:iCs/>
          <w:sz w:val="16"/>
          <w:szCs w:val="16"/>
          <w:lang w:val="pt-BR"/>
        </w:rPr>
        <w:t>o</w:t>
      </w:r>
      <w:r w:rsidRPr="00113360">
        <w:rPr>
          <w:iCs/>
          <w:sz w:val="16"/>
          <w:szCs w:val="16"/>
          <w:lang w:val="pt-BR"/>
        </w:rPr>
        <w:t xml:space="preserve"> de 2012.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250, </w:t>
      </w:r>
      <w:r w:rsidR="00A51566" w:rsidRPr="00113360">
        <w:rPr>
          <w:sz w:val="16"/>
          <w:szCs w:val="16"/>
          <w:lang w:val="pt-BR"/>
        </w:rPr>
        <w:t>par</w:t>
      </w:r>
      <w:r w:rsidRPr="00113360">
        <w:rPr>
          <w:sz w:val="16"/>
          <w:szCs w:val="16"/>
          <w:lang w:val="pt-BR"/>
        </w:rPr>
        <w:t>. 177.</w:t>
      </w:r>
    </w:p>
  </w:footnote>
  <w:footnote w:id="13">
    <w:p w14:paraId="1764C27F" w14:textId="3EDB3C48" w:rsidR="00E204B2" w:rsidRPr="00113360" w:rsidRDefault="00E204B2" w:rsidP="00E204B2">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iCs/>
          <w:sz w:val="16"/>
          <w:szCs w:val="16"/>
          <w:lang w:val="pt-BR"/>
        </w:rPr>
        <w:t>Cf</w:t>
      </w:r>
      <w:r w:rsidRPr="00113360">
        <w:rPr>
          <w:i/>
          <w:iCs/>
          <w:sz w:val="16"/>
          <w:szCs w:val="16"/>
          <w:lang w:val="pt-BR"/>
        </w:rPr>
        <w:t xml:space="preserve">. Caso </w:t>
      </w:r>
      <w:r w:rsidR="006F2F86">
        <w:rPr>
          <w:i/>
          <w:iCs/>
          <w:sz w:val="16"/>
          <w:szCs w:val="16"/>
          <w:lang w:val="pt-BR"/>
        </w:rPr>
        <w:t xml:space="preserve">da </w:t>
      </w:r>
      <w:r w:rsidRPr="00113360">
        <w:rPr>
          <w:i/>
          <w:iCs/>
          <w:sz w:val="16"/>
          <w:szCs w:val="16"/>
          <w:lang w:val="pt-BR"/>
        </w:rPr>
        <w:t>Comunidad</w:t>
      </w:r>
      <w:r w:rsidR="00134AB9" w:rsidRPr="00113360">
        <w:rPr>
          <w:i/>
          <w:iCs/>
          <w:sz w:val="16"/>
          <w:szCs w:val="16"/>
          <w:lang w:val="pt-BR"/>
        </w:rPr>
        <w:t>e</w:t>
      </w:r>
      <w:r w:rsidRPr="00113360">
        <w:rPr>
          <w:i/>
          <w:iCs/>
          <w:sz w:val="16"/>
          <w:szCs w:val="16"/>
          <w:lang w:val="pt-BR"/>
        </w:rPr>
        <w:t xml:space="preserve"> Indígena </w:t>
      </w:r>
      <w:proofErr w:type="spellStart"/>
      <w:r w:rsidRPr="00113360">
        <w:rPr>
          <w:i/>
          <w:iCs/>
          <w:sz w:val="16"/>
          <w:szCs w:val="16"/>
          <w:lang w:val="pt-BR"/>
        </w:rPr>
        <w:t>Yakye</w:t>
      </w:r>
      <w:proofErr w:type="spellEnd"/>
      <w:r w:rsidRPr="00113360">
        <w:rPr>
          <w:i/>
          <w:iCs/>
          <w:sz w:val="16"/>
          <w:szCs w:val="16"/>
          <w:lang w:val="pt-BR"/>
        </w:rPr>
        <w:t xml:space="preserve"> </w:t>
      </w:r>
      <w:proofErr w:type="spellStart"/>
      <w:r w:rsidRPr="00113360">
        <w:rPr>
          <w:i/>
          <w:iCs/>
          <w:sz w:val="16"/>
          <w:szCs w:val="16"/>
          <w:lang w:val="pt-BR"/>
        </w:rPr>
        <w:t>Axa</w:t>
      </w:r>
      <w:proofErr w:type="spellEnd"/>
      <w:r w:rsidRPr="00113360">
        <w:rPr>
          <w:i/>
          <w:iCs/>
          <w:sz w:val="16"/>
          <w:szCs w:val="16"/>
          <w:lang w:val="pt-BR"/>
        </w:rPr>
        <w:t xml:space="preserve"> Vs. Paragua</w:t>
      </w:r>
      <w:r w:rsidR="00134AB9" w:rsidRPr="00113360">
        <w:rPr>
          <w:i/>
          <w:iCs/>
          <w:sz w:val="16"/>
          <w:szCs w:val="16"/>
          <w:lang w:val="pt-BR"/>
        </w:rPr>
        <w:t>i</w:t>
      </w:r>
      <w:r w:rsidRPr="00113360">
        <w:rPr>
          <w:i/>
          <w:iCs/>
          <w:sz w:val="16"/>
          <w:szCs w:val="16"/>
          <w:lang w:val="pt-BR"/>
        </w:rPr>
        <w:t>, supra</w:t>
      </w:r>
      <w:r w:rsidRPr="00113360">
        <w:rPr>
          <w:sz w:val="16"/>
          <w:szCs w:val="16"/>
          <w:lang w:val="pt-BR"/>
        </w:rPr>
        <w:t xml:space="preserve">, </w:t>
      </w:r>
      <w:r w:rsidR="00A51566" w:rsidRPr="00113360">
        <w:rPr>
          <w:sz w:val="16"/>
          <w:szCs w:val="16"/>
          <w:lang w:val="pt-BR"/>
        </w:rPr>
        <w:t>par</w:t>
      </w:r>
      <w:r w:rsidRPr="00113360">
        <w:rPr>
          <w:sz w:val="16"/>
          <w:szCs w:val="16"/>
          <w:lang w:val="pt-BR"/>
        </w:rPr>
        <w:t>. 63</w:t>
      </w:r>
      <w:r w:rsidR="006F2F86">
        <w:rPr>
          <w:sz w:val="16"/>
          <w:szCs w:val="16"/>
          <w:lang w:val="pt-BR"/>
        </w:rPr>
        <w:t>;</w:t>
      </w:r>
      <w:r w:rsidRPr="00113360">
        <w:rPr>
          <w:sz w:val="16"/>
          <w:szCs w:val="16"/>
          <w:lang w:val="pt-BR"/>
        </w:rPr>
        <w:t xml:space="preserve"> </w:t>
      </w:r>
      <w:r w:rsidR="00134AB9" w:rsidRPr="00113360">
        <w:rPr>
          <w:sz w:val="16"/>
          <w:szCs w:val="16"/>
          <w:lang w:val="pt-BR"/>
        </w:rPr>
        <w:t>e</w:t>
      </w:r>
      <w:r w:rsidRPr="00113360">
        <w:rPr>
          <w:sz w:val="16"/>
          <w:szCs w:val="16"/>
          <w:lang w:val="pt-BR"/>
        </w:rPr>
        <w:t xml:space="preserve"> </w:t>
      </w:r>
      <w:r w:rsidRPr="00113360">
        <w:rPr>
          <w:i/>
          <w:sz w:val="16"/>
          <w:szCs w:val="16"/>
          <w:lang w:val="pt-BR"/>
        </w:rPr>
        <w:t xml:space="preserve">Caso </w:t>
      </w:r>
      <w:r w:rsidR="006F2F86">
        <w:rPr>
          <w:i/>
          <w:sz w:val="16"/>
          <w:szCs w:val="16"/>
          <w:lang w:val="pt-BR"/>
        </w:rPr>
        <w:t xml:space="preserve">dos </w:t>
      </w:r>
      <w:r w:rsidRPr="00113360">
        <w:rPr>
          <w:i/>
          <w:sz w:val="16"/>
          <w:szCs w:val="16"/>
          <w:lang w:val="pt-BR"/>
        </w:rPr>
        <w:t>Ma</w:t>
      </w:r>
      <w:r w:rsidR="00134AB9" w:rsidRPr="00113360">
        <w:rPr>
          <w:i/>
          <w:sz w:val="16"/>
          <w:szCs w:val="16"/>
          <w:lang w:val="pt-BR"/>
        </w:rPr>
        <w:t>s</w:t>
      </w:r>
      <w:r w:rsidRPr="00113360">
        <w:rPr>
          <w:i/>
          <w:sz w:val="16"/>
          <w:szCs w:val="16"/>
          <w:lang w:val="pt-BR"/>
        </w:rPr>
        <w:t>sacres d</w:t>
      </w:r>
      <w:r w:rsidR="006F2F86">
        <w:rPr>
          <w:i/>
          <w:sz w:val="16"/>
          <w:szCs w:val="16"/>
          <w:lang w:val="pt-BR"/>
        </w:rPr>
        <w:t>e</w:t>
      </w:r>
      <w:r w:rsidRPr="00113360">
        <w:rPr>
          <w:i/>
          <w:sz w:val="16"/>
          <w:szCs w:val="16"/>
          <w:lang w:val="pt-BR"/>
        </w:rPr>
        <w:t xml:space="preserve"> R</w:t>
      </w:r>
      <w:r w:rsidR="006F2F86">
        <w:rPr>
          <w:i/>
          <w:sz w:val="16"/>
          <w:szCs w:val="16"/>
          <w:lang w:val="pt-BR"/>
        </w:rPr>
        <w:t>í</w:t>
      </w:r>
      <w:r w:rsidRPr="00113360">
        <w:rPr>
          <w:i/>
          <w:sz w:val="16"/>
          <w:szCs w:val="16"/>
          <w:lang w:val="pt-BR"/>
        </w:rPr>
        <w:t xml:space="preserve">o Negro Vs. Guatemala. </w:t>
      </w:r>
      <w:r w:rsidR="00134AB9" w:rsidRPr="00113360">
        <w:rPr>
          <w:i/>
          <w:sz w:val="16"/>
          <w:szCs w:val="16"/>
          <w:lang w:val="pt-BR"/>
        </w:rPr>
        <w:t>Exceção</w:t>
      </w:r>
      <w:r w:rsidRPr="00113360">
        <w:rPr>
          <w:i/>
          <w:sz w:val="16"/>
          <w:szCs w:val="16"/>
          <w:lang w:val="pt-BR"/>
        </w:rPr>
        <w:t xml:space="preserve"> Preliminar,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4 de setembr</w:t>
      </w:r>
      <w:r w:rsidR="00134AB9" w:rsidRPr="00113360">
        <w:rPr>
          <w:iCs/>
          <w:sz w:val="16"/>
          <w:szCs w:val="16"/>
          <w:lang w:val="pt-BR"/>
        </w:rPr>
        <w:t>o</w:t>
      </w:r>
      <w:r w:rsidRPr="00113360">
        <w:rPr>
          <w:iCs/>
          <w:sz w:val="16"/>
          <w:szCs w:val="16"/>
          <w:lang w:val="pt-BR"/>
        </w:rPr>
        <w:t xml:space="preserve"> de 2012.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250, </w:t>
      </w:r>
      <w:r w:rsidR="00A51566" w:rsidRPr="00113360">
        <w:rPr>
          <w:sz w:val="16"/>
          <w:szCs w:val="16"/>
          <w:lang w:val="pt-BR"/>
        </w:rPr>
        <w:t>par</w:t>
      </w:r>
      <w:r w:rsidRPr="00113360">
        <w:rPr>
          <w:sz w:val="16"/>
          <w:szCs w:val="16"/>
          <w:lang w:val="pt-BR"/>
        </w:rPr>
        <w:t>. 177.</w:t>
      </w:r>
    </w:p>
  </w:footnote>
  <w:footnote w:id="14">
    <w:p w14:paraId="2BA66C38" w14:textId="2A8D54A2" w:rsidR="00C3417E" w:rsidRPr="00113360" w:rsidRDefault="00C3417E" w:rsidP="00C3417E">
      <w:pPr>
        <w:pStyle w:val="Textonotapie"/>
        <w:spacing w:after="40"/>
        <w:rPr>
          <w:sz w:val="16"/>
          <w:szCs w:val="16"/>
          <w:lang w:val="pt-BR"/>
        </w:rPr>
      </w:pPr>
      <w:r w:rsidRPr="00F67C73">
        <w:rPr>
          <w:rStyle w:val="Refdenotaalpie"/>
          <w:sz w:val="16"/>
          <w:szCs w:val="16"/>
          <w:lang w:val="es-CR"/>
        </w:rPr>
        <w:footnoteRef/>
      </w:r>
      <w:r w:rsidRPr="00113360">
        <w:rPr>
          <w:sz w:val="16"/>
          <w:szCs w:val="16"/>
          <w:lang w:val="pt-BR"/>
        </w:rPr>
        <w:t xml:space="preserve"> </w:t>
      </w:r>
      <w:r w:rsidRPr="00113360">
        <w:rPr>
          <w:sz w:val="16"/>
          <w:szCs w:val="16"/>
          <w:lang w:val="pt-BR"/>
        </w:rPr>
        <w:tab/>
      </w:r>
      <w:r w:rsidR="00A51566" w:rsidRPr="00113360">
        <w:rPr>
          <w:i/>
          <w:sz w:val="16"/>
          <w:szCs w:val="16"/>
          <w:lang w:val="pt-BR"/>
        </w:rPr>
        <w:t>Cf</w:t>
      </w:r>
      <w:r w:rsidRPr="00113360">
        <w:rPr>
          <w:i/>
          <w:sz w:val="16"/>
          <w:szCs w:val="16"/>
          <w:lang w:val="pt-BR"/>
        </w:rPr>
        <w:t xml:space="preserve">. Caso </w:t>
      </w:r>
      <w:proofErr w:type="spellStart"/>
      <w:r w:rsidRPr="00113360">
        <w:rPr>
          <w:i/>
          <w:sz w:val="16"/>
          <w:szCs w:val="16"/>
          <w:lang w:val="pt-BR"/>
        </w:rPr>
        <w:t>Chitay</w:t>
      </w:r>
      <w:proofErr w:type="spellEnd"/>
      <w:r w:rsidRPr="00113360">
        <w:rPr>
          <w:i/>
          <w:sz w:val="16"/>
          <w:szCs w:val="16"/>
          <w:lang w:val="pt-BR"/>
        </w:rPr>
        <w:t xml:space="preserve"> </w:t>
      </w:r>
      <w:proofErr w:type="spellStart"/>
      <w:r w:rsidRPr="00113360">
        <w:rPr>
          <w:i/>
          <w:sz w:val="16"/>
          <w:szCs w:val="16"/>
          <w:lang w:val="pt-BR"/>
        </w:rPr>
        <w:t>Nech</w:t>
      </w:r>
      <w:proofErr w:type="spellEnd"/>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A51566" w:rsidRPr="00113360">
        <w:rPr>
          <w:i/>
          <w:sz w:val="16"/>
          <w:szCs w:val="16"/>
          <w:lang w:val="pt-BR"/>
        </w:rPr>
        <w:t>outros</w:t>
      </w:r>
      <w:r w:rsidRPr="00113360">
        <w:rPr>
          <w:i/>
          <w:sz w:val="16"/>
          <w:szCs w:val="16"/>
          <w:lang w:val="pt-BR"/>
        </w:rPr>
        <w:t xml:space="preserve"> Vs. Guatemala. </w:t>
      </w:r>
      <w:r w:rsidR="00134AB9" w:rsidRPr="00113360">
        <w:rPr>
          <w:i/>
          <w:sz w:val="16"/>
          <w:szCs w:val="16"/>
          <w:lang w:val="pt-BR"/>
        </w:rPr>
        <w:t>Exceções</w:t>
      </w:r>
      <w:r w:rsidRPr="00113360">
        <w:rPr>
          <w:i/>
          <w:sz w:val="16"/>
          <w:szCs w:val="16"/>
          <w:lang w:val="pt-BR"/>
        </w:rPr>
        <w:t xml:space="preserve"> Preliminares,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25 de ma</w:t>
      </w:r>
      <w:r w:rsidR="00FA6094" w:rsidRPr="00113360">
        <w:rPr>
          <w:iCs/>
          <w:sz w:val="16"/>
          <w:szCs w:val="16"/>
          <w:lang w:val="pt-BR"/>
        </w:rPr>
        <w:t>i</w:t>
      </w:r>
      <w:r w:rsidRPr="00113360">
        <w:rPr>
          <w:iCs/>
          <w:sz w:val="16"/>
          <w:szCs w:val="16"/>
          <w:lang w:val="pt-BR"/>
        </w:rPr>
        <w:t xml:space="preserve">o de 2010.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212, </w:t>
      </w:r>
      <w:r w:rsidR="00A51566" w:rsidRPr="00113360">
        <w:rPr>
          <w:iCs/>
          <w:sz w:val="16"/>
          <w:szCs w:val="16"/>
          <w:lang w:val="pt-BR"/>
        </w:rPr>
        <w:t>par</w:t>
      </w:r>
      <w:r w:rsidRPr="00113360">
        <w:rPr>
          <w:iCs/>
          <w:sz w:val="16"/>
          <w:szCs w:val="16"/>
          <w:lang w:val="pt-BR"/>
        </w:rPr>
        <w:t>. 149</w:t>
      </w:r>
      <w:r w:rsidR="00DD38BF" w:rsidRPr="00113360">
        <w:rPr>
          <w:iCs/>
          <w:sz w:val="16"/>
          <w:szCs w:val="16"/>
          <w:lang w:val="pt-BR"/>
        </w:rPr>
        <w:t>;</w:t>
      </w:r>
      <w:r w:rsidRPr="00113360">
        <w:rPr>
          <w:iCs/>
          <w:sz w:val="16"/>
          <w:szCs w:val="16"/>
          <w:lang w:val="pt-BR"/>
        </w:rPr>
        <w:t xml:space="preserve"> </w:t>
      </w:r>
      <w:r w:rsidR="00134AB9" w:rsidRPr="00113360">
        <w:rPr>
          <w:iCs/>
          <w:sz w:val="16"/>
          <w:szCs w:val="16"/>
          <w:lang w:val="pt-BR"/>
        </w:rPr>
        <w:t>e</w:t>
      </w:r>
      <w:r w:rsidRPr="00113360">
        <w:rPr>
          <w:sz w:val="16"/>
          <w:szCs w:val="16"/>
          <w:lang w:val="pt-BR"/>
        </w:rPr>
        <w:t xml:space="preserve"> </w:t>
      </w:r>
      <w:r w:rsidRPr="00113360">
        <w:rPr>
          <w:i/>
          <w:sz w:val="16"/>
          <w:szCs w:val="16"/>
          <w:lang w:val="pt-BR"/>
        </w:rPr>
        <w:t xml:space="preserve">Caso </w:t>
      </w:r>
      <w:r w:rsidR="004C3D64">
        <w:rPr>
          <w:i/>
          <w:sz w:val="16"/>
          <w:szCs w:val="16"/>
          <w:lang w:val="pt-BR"/>
        </w:rPr>
        <w:t xml:space="preserve">do </w:t>
      </w:r>
      <w:r w:rsidRPr="00113360">
        <w:rPr>
          <w:i/>
          <w:sz w:val="16"/>
          <w:szCs w:val="16"/>
          <w:lang w:val="pt-BR"/>
        </w:rPr>
        <w:t>Ma</w:t>
      </w:r>
      <w:r w:rsidR="00FA6094" w:rsidRPr="00113360">
        <w:rPr>
          <w:i/>
          <w:sz w:val="16"/>
          <w:szCs w:val="16"/>
          <w:lang w:val="pt-BR"/>
        </w:rPr>
        <w:t>s</w:t>
      </w:r>
      <w:r w:rsidRPr="00113360">
        <w:rPr>
          <w:i/>
          <w:sz w:val="16"/>
          <w:szCs w:val="16"/>
          <w:lang w:val="pt-BR"/>
        </w:rPr>
        <w:t>sacre da Alde</w:t>
      </w:r>
      <w:r w:rsidR="00FA6094" w:rsidRPr="00113360">
        <w:rPr>
          <w:i/>
          <w:sz w:val="16"/>
          <w:szCs w:val="16"/>
          <w:lang w:val="pt-BR"/>
        </w:rPr>
        <w:t>i</w:t>
      </w:r>
      <w:r w:rsidRPr="00113360">
        <w:rPr>
          <w:i/>
          <w:sz w:val="16"/>
          <w:szCs w:val="16"/>
          <w:lang w:val="pt-BR"/>
        </w:rPr>
        <w:t xml:space="preserve">a Los </w:t>
      </w:r>
      <w:proofErr w:type="spellStart"/>
      <w:r w:rsidRPr="00113360">
        <w:rPr>
          <w:i/>
          <w:sz w:val="16"/>
          <w:szCs w:val="16"/>
          <w:lang w:val="pt-BR"/>
        </w:rPr>
        <w:t>Josefinos</w:t>
      </w:r>
      <w:proofErr w:type="spellEnd"/>
      <w:r w:rsidRPr="00113360">
        <w:rPr>
          <w:i/>
          <w:sz w:val="16"/>
          <w:szCs w:val="16"/>
          <w:lang w:val="pt-BR"/>
        </w:rPr>
        <w:t xml:space="preserve"> Vs. Guatemala. </w:t>
      </w:r>
      <w:r w:rsidR="00134AB9" w:rsidRPr="00113360">
        <w:rPr>
          <w:i/>
          <w:sz w:val="16"/>
          <w:szCs w:val="16"/>
          <w:lang w:val="pt-BR"/>
        </w:rPr>
        <w:t>Exceção</w:t>
      </w:r>
      <w:r w:rsidRPr="00113360">
        <w:rPr>
          <w:i/>
          <w:sz w:val="16"/>
          <w:szCs w:val="16"/>
          <w:lang w:val="pt-BR"/>
        </w:rPr>
        <w:t xml:space="preserve"> Preliminar, </w:t>
      </w:r>
      <w:r w:rsidR="00134AB9" w:rsidRPr="00113360">
        <w:rPr>
          <w:i/>
          <w:sz w:val="16"/>
          <w:szCs w:val="16"/>
          <w:lang w:val="pt-BR"/>
        </w:rPr>
        <w:t>Mérito</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i/>
          <w:sz w:val="16"/>
          <w:szCs w:val="16"/>
          <w:lang w:val="pt-BR"/>
        </w:rPr>
        <w:t xml:space="preserve">. </w:t>
      </w:r>
      <w:r w:rsidR="00134AB9" w:rsidRPr="00113360">
        <w:rPr>
          <w:iCs/>
          <w:sz w:val="16"/>
          <w:szCs w:val="16"/>
          <w:lang w:val="pt-BR"/>
        </w:rPr>
        <w:t>Sentença</w:t>
      </w:r>
      <w:r w:rsidRPr="00113360">
        <w:rPr>
          <w:iCs/>
          <w:sz w:val="16"/>
          <w:szCs w:val="16"/>
          <w:lang w:val="pt-BR"/>
        </w:rPr>
        <w:t xml:space="preserve"> de 3 de novembr</w:t>
      </w:r>
      <w:r w:rsidR="00FA6094" w:rsidRPr="00113360">
        <w:rPr>
          <w:iCs/>
          <w:sz w:val="16"/>
          <w:szCs w:val="16"/>
          <w:lang w:val="pt-BR"/>
        </w:rPr>
        <w:t>o</w:t>
      </w:r>
      <w:r w:rsidRPr="00113360">
        <w:rPr>
          <w:iCs/>
          <w:sz w:val="16"/>
          <w:szCs w:val="16"/>
          <w:lang w:val="pt-BR"/>
        </w:rPr>
        <w:t xml:space="preserve"> de 2021. </w:t>
      </w:r>
      <w:r w:rsidR="00A51566" w:rsidRPr="00113360">
        <w:rPr>
          <w:iCs/>
          <w:sz w:val="16"/>
          <w:szCs w:val="16"/>
          <w:lang w:val="pt-BR"/>
        </w:rPr>
        <w:t>Série</w:t>
      </w:r>
      <w:r w:rsidRPr="00113360">
        <w:rPr>
          <w:iCs/>
          <w:sz w:val="16"/>
          <w:szCs w:val="16"/>
          <w:lang w:val="pt-BR"/>
        </w:rPr>
        <w:t xml:space="preserve"> C </w:t>
      </w:r>
      <w:r w:rsidR="00A51566" w:rsidRPr="00113360">
        <w:rPr>
          <w:iCs/>
          <w:sz w:val="16"/>
          <w:szCs w:val="16"/>
          <w:lang w:val="pt-BR"/>
        </w:rPr>
        <w:t>Nº.</w:t>
      </w:r>
      <w:r w:rsidRPr="00113360">
        <w:rPr>
          <w:iCs/>
          <w:sz w:val="16"/>
          <w:szCs w:val="16"/>
          <w:lang w:val="pt-BR"/>
        </w:rPr>
        <w:t xml:space="preserve"> 442,</w:t>
      </w:r>
      <w:r w:rsidRPr="00113360">
        <w:rPr>
          <w:sz w:val="16"/>
          <w:szCs w:val="16"/>
          <w:lang w:val="pt-BR"/>
        </w:rPr>
        <w:t xml:space="preserve"> </w:t>
      </w:r>
      <w:r w:rsidR="00A51566" w:rsidRPr="00113360">
        <w:rPr>
          <w:sz w:val="16"/>
          <w:szCs w:val="16"/>
          <w:lang w:val="pt-BR"/>
        </w:rPr>
        <w:t>par</w:t>
      </w:r>
      <w:r w:rsidRPr="00113360">
        <w:rPr>
          <w:sz w:val="16"/>
          <w:szCs w:val="16"/>
          <w:lang w:val="pt-BR"/>
        </w:rPr>
        <w:t>. 78.</w:t>
      </w:r>
    </w:p>
  </w:footnote>
  <w:footnote w:id="15">
    <w:p w14:paraId="59B24E01" w14:textId="2C795E37" w:rsidR="00591853" w:rsidRPr="00875492" w:rsidRDefault="00591853" w:rsidP="00591853">
      <w:pPr>
        <w:pStyle w:val="Textonotapie"/>
        <w:spacing w:after="40"/>
        <w:rPr>
          <w:sz w:val="16"/>
          <w:szCs w:val="16"/>
          <w:highlight w:val="yellow"/>
          <w:lang w:val="pt-BR"/>
        </w:rPr>
      </w:pPr>
      <w:r w:rsidRPr="009A7853">
        <w:rPr>
          <w:rStyle w:val="Refdenotaalpie"/>
          <w:sz w:val="16"/>
          <w:szCs w:val="16"/>
        </w:rPr>
        <w:footnoteRef/>
      </w:r>
      <w:r w:rsidR="00253149" w:rsidRPr="00C20856">
        <w:rPr>
          <w:sz w:val="16"/>
          <w:szCs w:val="16"/>
          <w:lang w:val="pt-BR"/>
        </w:rPr>
        <w:t xml:space="preserve"> </w:t>
      </w:r>
      <w:r w:rsidR="00A51566" w:rsidRPr="00C20856">
        <w:rPr>
          <w:i/>
          <w:sz w:val="16"/>
          <w:szCs w:val="16"/>
          <w:lang w:val="pt-BR"/>
        </w:rPr>
        <w:t>Cf</w:t>
      </w:r>
      <w:r w:rsidRPr="00C20856">
        <w:rPr>
          <w:sz w:val="16"/>
          <w:szCs w:val="16"/>
          <w:lang w:val="pt-BR"/>
        </w:rPr>
        <w:t xml:space="preserve">. </w:t>
      </w:r>
      <w:r w:rsidRPr="00C20856">
        <w:rPr>
          <w:i/>
          <w:sz w:val="16"/>
          <w:szCs w:val="16"/>
          <w:lang w:val="pt-BR"/>
        </w:rPr>
        <w:t xml:space="preserve">Caso Loayza Tamayo Vs. </w:t>
      </w:r>
      <w:r w:rsidRPr="00113360">
        <w:rPr>
          <w:i/>
          <w:sz w:val="16"/>
          <w:szCs w:val="16"/>
          <w:lang w:val="pt-BR"/>
        </w:rPr>
        <w:t>Per</w:t>
      </w:r>
      <w:r w:rsidR="00FA6094" w:rsidRPr="00113360">
        <w:rPr>
          <w:i/>
          <w:sz w:val="16"/>
          <w:szCs w:val="16"/>
          <w:lang w:val="pt-BR"/>
        </w:rPr>
        <w:t>u</w:t>
      </w:r>
      <w:r w:rsidRPr="00113360">
        <w:rPr>
          <w:i/>
          <w:sz w:val="16"/>
          <w:szCs w:val="16"/>
          <w:lang w:val="pt-BR"/>
        </w:rPr>
        <w:t xml:space="preserve">. </w:t>
      </w:r>
      <w:r w:rsidR="00134AB9" w:rsidRPr="00113360">
        <w:rPr>
          <w:i/>
          <w:sz w:val="16"/>
          <w:szCs w:val="16"/>
          <w:lang w:val="pt-BR"/>
        </w:rPr>
        <w:t>Reparações</w:t>
      </w:r>
      <w:r w:rsidRPr="00113360">
        <w:rPr>
          <w:i/>
          <w:sz w:val="16"/>
          <w:szCs w:val="16"/>
          <w:lang w:val="pt-BR"/>
        </w:rPr>
        <w:t xml:space="preserve"> </w:t>
      </w:r>
      <w:r w:rsidR="00134AB9" w:rsidRPr="00113360">
        <w:rPr>
          <w:i/>
          <w:sz w:val="16"/>
          <w:szCs w:val="16"/>
          <w:lang w:val="pt-BR"/>
        </w:rPr>
        <w:t>e</w:t>
      </w:r>
      <w:r w:rsidRPr="00113360">
        <w:rPr>
          <w:i/>
          <w:sz w:val="16"/>
          <w:szCs w:val="16"/>
          <w:lang w:val="pt-BR"/>
        </w:rPr>
        <w:t xml:space="preserve"> </w:t>
      </w:r>
      <w:r w:rsidR="00134AB9" w:rsidRPr="00113360">
        <w:rPr>
          <w:i/>
          <w:sz w:val="16"/>
          <w:szCs w:val="16"/>
          <w:lang w:val="pt-BR"/>
        </w:rPr>
        <w:t>Custas</w:t>
      </w:r>
      <w:r w:rsidRPr="00113360">
        <w:rPr>
          <w:sz w:val="16"/>
          <w:szCs w:val="16"/>
          <w:lang w:val="pt-BR"/>
        </w:rPr>
        <w:t xml:space="preserve">. </w:t>
      </w:r>
      <w:r w:rsidR="00134AB9" w:rsidRPr="00113360">
        <w:rPr>
          <w:sz w:val="16"/>
          <w:szCs w:val="16"/>
          <w:lang w:val="pt-BR"/>
        </w:rPr>
        <w:t>Sentença</w:t>
      </w:r>
      <w:r w:rsidRPr="00113360">
        <w:rPr>
          <w:sz w:val="16"/>
          <w:szCs w:val="16"/>
          <w:lang w:val="pt-BR"/>
        </w:rPr>
        <w:t xml:space="preserve"> de 27 de novembr</w:t>
      </w:r>
      <w:r w:rsidR="00FA6094" w:rsidRPr="00113360">
        <w:rPr>
          <w:sz w:val="16"/>
          <w:szCs w:val="16"/>
          <w:lang w:val="pt-BR"/>
        </w:rPr>
        <w:t>o</w:t>
      </w:r>
      <w:r w:rsidRPr="00113360">
        <w:rPr>
          <w:sz w:val="16"/>
          <w:szCs w:val="16"/>
          <w:lang w:val="pt-BR"/>
        </w:rPr>
        <w:t xml:space="preserve"> de 1998. </w:t>
      </w:r>
      <w:r w:rsidR="00A51566" w:rsidRPr="00113360">
        <w:rPr>
          <w:sz w:val="16"/>
          <w:szCs w:val="16"/>
          <w:lang w:val="pt-BR"/>
        </w:rPr>
        <w:t>Série</w:t>
      </w:r>
      <w:r w:rsidRPr="00113360">
        <w:rPr>
          <w:sz w:val="16"/>
          <w:szCs w:val="16"/>
          <w:lang w:val="pt-BR"/>
        </w:rPr>
        <w:t xml:space="preserve"> C </w:t>
      </w:r>
      <w:r w:rsidR="00A51566" w:rsidRPr="00113360">
        <w:rPr>
          <w:sz w:val="16"/>
          <w:szCs w:val="16"/>
          <w:lang w:val="pt-BR"/>
        </w:rPr>
        <w:t>Nº.</w:t>
      </w:r>
      <w:r w:rsidRPr="00113360">
        <w:rPr>
          <w:sz w:val="16"/>
          <w:szCs w:val="16"/>
          <w:lang w:val="pt-BR"/>
        </w:rPr>
        <w:t xml:space="preserve"> 42, </w:t>
      </w:r>
      <w:r w:rsidR="00A51566" w:rsidRPr="00113360">
        <w:rPr>
          <w:sz w:val="16"/>
          <w:szCs w:val="16"/>
          <w:lang w:val="pt-BR"/>
        </w:rPr>
        <w:t>par</w:t>
      </w:r>
      <w:r w:rsidRPr="00113360">
        <w:rPr>
          <w:sz w:val="16"/>
          <w:szCs w:val="16"/>
          <w:lang w:val="pt-BR"/>
        </w:rPr>
        <w:t>. 147 a 149</w:t>
      </w:r>
      <w:r w:rsidR="00DD38BF" w:rsidRPr="00113360">
        <w:rPr>
          <w:sz w:val="16"/>
          <w:szCs w:val="16"/>
          <w:lang w:val="pt-BR"/>
        </w:rPr>
        <w:t>;</w:t>
      </w:r>
      <w:r w:rsidRPr="00113360">
        <w:rPr>
          <w:sz w:val="16"/>
          <w:szCs w:val="16"/>
          <w:lang w:val="pt-BR"/>
        </w:rPr>
        <w:t xml:space="preserve"> </w:t>
      </w:r>
      <w:r w:rsidR="00134AB9" w:rsidRPr="00113360">
        <w:rPr>
          <w:sz w:val="16"/>
          <w:szCs w:val="16"/>
          <w:lang w:val="pt-BR"/>
        </w:rPr>
        <w:t>e</w:t>
      </w:r>
      <w:r w:rsidRPr="00113360">
        <w:rPr>
          <w:sz w:val="16"/>
          <w:szCs w:val="16"/>
          <w:lang w:val="pt-BR"/>
        </w:rPr>
        <w:t xml:space="preserve"> </w:t>
      </w:r>
      <w:r w:rsidRPr="00113360">
        <w:rPr>
          <w:i/>
          <w:iCs/>
          <w:sz w:val="16"/>
          <w:szCs w:val="16"/>
          <w:lang w:val="pt-BR"/>
        </w:rPr>
        <w:t xml:space="preserve">Caso González Méndez </w:t>
      </w:r>
      <w:r w:rsidR="00134AB9" w:rsidRPr="00113360">
        <w:rPr>
          <w:i/>
          <w:iCs/>
          <w:sz w:val="16"/>
          <w:szCs w:val="16"/>
          <w:lang w:val="pt-BR"/>
        </w:rPr>
        <w:t>e</w:t>
      </w:r>
      <w:r w:rsidRPr="00113360">
        <w:rPr>
          <w:i/>
          <w:iCs/>
          <w:sz w:val="16"/>
          <w:szCs w:val="16"/>
          <w:lang w:val="pt-BR"/>
        </w:rPr>
        <w:t xml:space="preserve"> </w:t>
      </w:r>
      <w:r w:rsidR="00A51566" w:rsidRPr="00113360">
        <w:rPr>
          <w:i/>
          <w:iCs/>
          <w:sz w:val="16"/>
          <w:szCs w:val="16"/>
          <w:lang w:val="pt-BR"/>
        </w:rPr>
        <w:t>outros</w:t>
      </w:r>
      <w:r w:rsidRPr="00113360">
        <w:rPr>
          <w:i/>
          <w:iCs/>
          <w:sz w:val="16"/>
          <w:szCs w:val="16"/>
          <w:lang w:val="pt-BR"/>
        </w:rPr>
        <w:t xml:space="preserve"> Vs. México. </w:t>
      </w:r>
      <w:r w:rsidR="00134AB9" w:rsidRPr="00113360">
        <w:rPr>
          <w:i/>
          <w:iCs/>
          <w:sz w:val="16"/>
          <w:szCs w:val="16"/>
          <w:lang w:val="pt-BR"/>
        </w:rPr>
        <w:t>Exceção</w:t>
      </w:r>
      <w:r w:rsidRPr="00113360">
        <w:rPr>
          <w:i/>
          <w:iCs/>
          <w:sz w:val="16"/>
          <w:szCs w:val="16"/>
          <w:lang w:val="pt-BR"/>
        </w:rPr>
        <w:t xml:space="preserve"> Preliminar, </w:t>
      </w:r>
      <w:r w:rsidR="00134AB9" w:rsidRPr="00113360">
        <w:rPr>
          <w:i/>
          <w:iCs/>
          <w:sz w:val="16"/>
          <w:szCs w:val="16"/>
          <w:lang w:val="pt-BR"/>
        </w:rPr>
        <w:t>Mérito</w:t>
      </w:r>
      <w:r w:rsidRPr="00113360">
        <w:rPr>
          <w:i/>
          <w:iCs/>
          <w:sz w:val="16"/>
          <w:szCs w:val="16"/>
          <w:lang w:val="pt-BR"/>
        </w:rPr>
        <w:t xml:space="preserve">, </w:t>
      </w:r>
      <w:r w:rsidR="00134AB9" w:rsidRPr="00113360">
        <w:rPr>
          <w:i/>
          <w:iCs/>
          <w:sz w:val="16"/>
          <w:szCs w:val="16"/>
          <w:lang w:val="pt-BR"/>
        </w:rPr>
        <w:t>Reparações</w:t>
      </w:r>
      <w:r w:rsidRPr="00113360">
        <w:rPr>
          <w:i/>
          <w:iCs/>
          <w:sz w:val="16"/>
          <w:szCs w:val="16"/>
          <w:lang w:val="pt-BR"/>
        </w:rPr>
        <w:t xml:space="preserve"> </w:t>
      </w:r>
      <w:r w:rsidR="00134AB9" w:rsidRPr="00113360">
        <w:rPr>
          <w:i/>
          <w:iCs/>
          <w:sz w:val="16"/>
          <w:szCs w:val="16"/>
          <w:lang w:val="pt-BR"/>
        </w:rPr>
        <w:t>e</w:t>
      </w:r>
      <w:r w:rsidRPr="00113360">
        <w:rPr>
          <w:i/>
          <w:iCs/>
          <w:sz w:val="16"/>
          <w:szCs w:val="16"/>
          <w:lang w:val="pt-BR"/>
        </w:rPr>
        <w:t xml:space="preserve"> </w:t>
      </w:r>
      <w:r w:rsidR="00134AB9" w:rsidRPr="00113360">
        <w:rPr>
          <w:i/>
          <w:iCs/>
          <w:sz w:val="16"/>
          <w:szCs w:val="16"/>
          <w:lang w:val="pt-BR"/>
        </w:rPr>
        <w:t>Custas</w:t>
      </w:r>
      <w:r w:rsidRPr="00113360">
        <w:rPr>
          <w:i/>
          <w:iCs/>
          <w:sz w:val="16"/>
          <w:szCs w:val="16"/>
          <w:lang w:val="pt-BR"/>
        </w:rPr>
        <w:t xml:space="preserve">. </w:t>
      </w:r>
      <w:r w:rsidR="00134AB9" w:rsidRPr="00113360">
        <w:rPr>
          <w:sz w:val="16"/>
          <w:szCs w:val="16"/>
          <w:lang w:val="pt-BR"/>
        </w:rPr>
        <w:t>Sentença</w:t>
      </w:r>
      <w:r w:rsidRPr="00113360">
        <w:rPr>
          <w:sz w:val="16"/>
          <w:szCs w:val="16"/>
          <w:lang w:val="pt-BR"/>
        </w:rPr>
        <w:t xml:space="preserve"> de 22 de agosto de 2024. Ver també</w:t>
      </w:r>
      <w:r w:rsidR="00FA6094" w:rsidRPr="00113360">
        <w:rPr>
          <w:sz w:val="16"/>
          <w:szCs w:val="16"/>
          <w:lang w:val="pt-BR"/>
        </w:rPr>
        <w:t>m</w:t>
      </w:r>
      <w:r w:rsidRPr="00113360">
        <w:rPr>
          <w:sz w:val="16"/>
          <w:szCs w:val="16"/>
          <w:lang w:val="pt-BR"/>
        </w:rPr>
        <w:t xml:space="preserve"> os votos d</w:t>
      </w:r>
      <w:r w:rsidR="00FA6094" w:rsidRPr="00113360">
        <w:rPr>
          <w:sz w:val="16"/>
          <w:szCs w:val="16"/>
          <w:lang w:val="pt-BR"/>
        </w:rPr>
        <w:t>o</w:t>
      </w:r>
      <w:r w:rsidRPr="00113360">
        <w:rPr>
          <w:sz w:val="16"/>
          <w:szCs w:val="16"/>
          <w:lang w:val="pt-BR"/>
        </w:rPr>
        <w:t xml:space="preserve"> Ju</w:t>
      </w:r>
      <w:r w:rsidR="00875492">
        <w:rPr>
          <w:sz w:val="16"/>
          <w:szCs w:val="16"/>
          <w:lang w:val="pt-BR"/>
        </w:rPr>
        <w:t>i</w:t>
      </w:r>
      <w:r w:rsidRPr="00113360">
        <w:rPr>
          <w:sz w:val="16"/>
          <w:szCs w:val="16"/>
          <w:lang w:val="pt-BR"/>
        </w:rPr>
        <w:t xml:space="preserve">z Antônio A. Cançado Trindade nas </w:t>
      </w:r>
      <w:r w:rsidR="00875492">
        <w:rPr>
          <w:sz w:val="16"/>
          <w:szCs w:val="16"/>
          <w:lang w:val="pt-BR"/>
        </w:rPr>
        <w:t>s</w:t>
      </w:r>
      <w:r w:rsidR="00134AB9" w:rsidRPr="00113360">
        <w:rPr>
          <w:sz w:val="16"/>
          <w:szCs w:val="16"/>
          <w:lang w:val="pt-BR"/>
        </w:rPr>
        <w:t>entença</w:t>
      </w:r>
      <w:r w:rsidRPr="00113360">
        <w:rPr>
          <w:sz w:val="16"/>
          <w:szCs w:val="16"/>
          <w:lang w:val="pt-BR"/>
        </w:rPr>
        <w:t xml:space="preserve">s dos casos </w:t>
      </w:r>
      <w:r w:rsidRPr="00113360">
        <w:rPr>
          <w:i/>
          <w:sz w:val="16"/>
          <w:szCs w:val="16"/>
          <w:lang w:val="pt-BR"/>
        </w:rPr>
        <w:t>da Comunidad</w:t>
      </w:r>
      <w:r w:rsidR="00FA6094" w:rsidRPr="00113360">
        <w:rPr>
          <w:i/>
          <w:sz w:val="16"/>
          <w:szCs w:val="16"/>
          <w:lang w:val="pt-BR"/>
        </w:rPr>
        <w:t>e</w:t>
      </w:r>
      <w:r w:rsidRPr="00113360">
        <w:rPr>
          <w:i/>
          <w:sz w:val="16"/>
          <w:szCs w:val="16"/>
          <w:lang w:val="pt-BR"/>
        </w:rPr>
        <w:t xml:space="preserve"> </w:t>
      </w:r>
      <w:proofErr w:type="spellStart"/>
      <w:r w:rsidRPr="00113360">
        <w:rPr>
          <w:i/>
          <w:sz w:val="16"/>
          <w:szCs w:val="16"/>
          <w:lang w:val="pt-BR"/>
        </w:rPr>
        <w:t>Moiwana</w:t>
      </w:r>
      <w:proofErr w:type="spellEnd"/>
      <w:r w:rsidRPr="00113360">
        <w:rPr>
          <w:i/>
          <w:sz w:val="16"/>
          <w:szCs w:val="16"/>
          <w:lang w:val="pt-BR"/>
        </w:rPr>
        <w:t xml:space="preserve"> Vs. </w:t>
      </w:r>
      <w:r w:rsidRPr="00875492">
        <w:rPr>
          <w:i/>
          <w:sz w:val="16"/>
          <w:szCs w:val="16"/>
          <w:lang w:val="pt-BR"/>
        </w:rPr>
        <w:t>Surinam</w:t>
      </w:r>
      <w:r w:rsidR="00FA6094" w:rsidRPr="00875492">
        <w:rPr>
          <w:i/>
          <w:sz w:val="16"/>
          <w:szCs w:val="16"/>
          <w:lang w:val="pt-BR"/>
        </w:rPr>
        <w:t>e</w:t>
      </w:r>
      <w:r w:rsidRPr="00875492">
        <w:rPr>
          <w:sz w:val="16"/>
          <w:szCs w:val="16"/>
          <w:lang w:val="pt-BR"/>
        </w:rPr>
        <w:t xml:space="preserve"> </w:t>
      </w:r>
      <w:r w:rsidR="00134AB9" w:rsidRPr="00875492">
        <w:rPr>
          <w:sz w:val="16"/>
          <w:szCs w:val="16"/>
          <w:lang w:val="pt-BR"/>
        </w:rPr>
        <w:t>e</w:t>
      </w:r>
      <w:r w:rsidRPr="00875492">
        <w:rPr>
          <w:sz w:val="16"/>
          <w:szCs w:val="16"/>
          <w:lang w:val="pt-BR"/>
        </w:rPr>
        <w:t xml:space="preserve"> </w:t>
      </w:r>
      <w:r w:rsidRPr="00875492">
        <w:rPr>
          <w:i/>
          <w:sz w:val="16"/>
          <w:szCs w:val="16"/>
          <w:lang w:val="pt-BR"/>
        </w:rPr>
        <w:t>Gutiérrez Soler Vs. Col</w:t>
      </w:r>
      <w:r w:rsidR="00FA6094" w:rsidRPr="00875492">
        <w:rPr>
          <w:i/>
          <w:sz w:val="16"/>
          <w:szCs w:val="16"/>
          <w:lang w:val="pt-BR"/>
        </w:rPr>
        <w:t>ô</w:t>
      </w:r>
      <w:r w:rsidRPr="00875492">
        <w:rPr>
          <w:i/>
          <w:sz w:val="16"/>
          <w:szCs w:val="16"/>
          <w:lang w:val="pt-BR"/>
        </w:rPr>
        <w:t>mbia</w:t>
      </w:r>
      <w:r w:rsidRPr="00875492">
        <w:rPr>
          <w:sz w:val="16"/>
          <w:szCs w:val="16"/>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E1FD9"/>
    <w:multiLevelType w:val="hybridMultilevel"/>
    <w:tmpl w:val="E2C896A6"/>
    <w:lvl w:ilvl="0" w:tplc="E27669A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1AA0A75"/>
    <w:multiLevelType w:val="hybridMultilevel"/>
    <w:tmpl w:val="51442390"/>
    <w:lvl w:ilvl="0" w:tplc="95320BE2">
      <w:start w:val="96"/>
      <w:numFmt w:val="decimal"/>
      <w:pStyle w:val="Estilo4"/>
      <w:lvlText w:val="%1."/>
      <w:lvlJc w:val="left"/>
      <w:pPr>
        <w:ind w:left="0" w:firstLine="0"/>
      </w:pPr>
      <w:rPr>
        <w:rFonts w:hint="default"/>
        <w:b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05086670">
      <w:start w:val="1"/>
      <w:numFmt w:val="decimal"/>
      <w:pStyle w:val="Estilo2"/>
      <w:lvlText w:val="%4."/>
      <w:lvlJc w:val="left"/>
      <w:pPr>
        <w:ind w:left="36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 w15:restartNumberingAfterBreak="0">
    <w:nsid w:val="705A6F5C"/>
    <w:multiLevelType w:val="hybridMultilevel"/>
    <w:tmpl w:val="4F3038A2"/>
    <w:lvl w:ilvl="0" w:tplc="0B9EED4E">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C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B7608196">
      <w:start w:val="1"/>
      <w:numFmt w:val="lowerLetter"/>
      <w:lvlText w:val="%4."/>
      <w:lvlJc w:val="left"/>
      <w:pPr>
        <w:ind w:left="1125" w:hanging="405"/>
      </w:pPr>
      <w:rPr>
        <w:rFonts w:hint="default"/>
      </w:rPr>
    </w:lvl>
    <w:lvl w:ilvl="4" w:tplc="4FCCDE7A">
      <w:start w:val="1"/>
      <w:numFmt w:val="lowerLetter"/>
      <w:lvlText w:val="%5)"/>
      <w:lvlJc w:val="left"/>
      <w:pPr>
        <w:ind w:left="1110" w:hanging="39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354707"/>
    <w:multiLevelType w:val="hybridMultilevel"/>
    <w:tmpl w:val="D7405C36"/>
    <w:lvl w:ilvl="0" w:tplc="EB90918A">
      <w:start w:val="1"/>
      <w:numFmt w:val="decimal"/>
      <w:lvlText w:val="%1."/>
      <w:lvlJc w:val="left"/>
      <w:pPr>
        <w:ind w:left="825" w:hanging="825"/>
      </w:pPr>
      <w:rPr>
        <w:rFonts w:ascii="Verdana" w:hAnsi="Verdana" w:hint="default"/>
        <w:b w:val="0"/>
        <w:bCs/>
        <w:i w:val="0"/>
        <w:color w:val="auto"/>
        <w:sz w:val="20"/>
        <w:szCs w:val="20"/>
        <w:vertAlign w:val="baseli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148207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392729">
    <w:abstractNumId w:val="4"/>
  </w:num>
  <w:num w:numId="3" w16cid:durableId="790320223">
    <w:abstractNumId w:val="0"/>
  </w:num>
  <w:num w:numId="4" w16cid:durableId="202473922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19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BE"/>
    <w:rsid w:val="00012AE1"/>
    <w:rsid w:val="00034564"/>
    <w:rsid w:val="00047B83"/>
    <w:rsid w:val="00076309"/>
    <w:rsid w:val="000A5B99"/>
    <w:rsid w:val="000B7E46"/>
    <w:rsid w:val="000C181C"/>
    <w:rsid w:val="000E2A36"/>
    <w:rsid w:val="00113360"/>
    <w:rsid w:val="00120461"/>
    <w:rsid w:val="00134AB9"/>
    <w:rsid w:val="00140D67"/>
    <w:rsid w:val="00151197"/>
    <w:rsid w:val="001768E9"/>
    <w:rsid w:val="0018204B"/>
    <w:rsid w:val="00182649"/>
    <w:rsid w:val="00193B9B"/>
    <w:rsid w:val="00206987"/>
    <w:rsid w:val="00212D87"/>
    <w:rsid w:val="00213AB1"/>
    <w:rsid w:val="0024099E"/>
    <w:rsid w:val="00253149"/>
    <w:rsid w:val="002852BB"/>
    <w:rsid w:val="00285816"/>
    <w:rsid w:val="00293F71"/>
    <w:rsid w:val="002A6659"/>
    <w:rsid w:val="002B1C30"/>
    <w:rsid w:val="002C2D0A"/>
    <w:rsid w:val="002C5776"/>
    <w:rsid w:val="002E4E69"/>
    <w:rsid w:val="00301925"/>
    <w:rsid w:val="00303739"/>
    <w:rsid w:val="00330A93"/>
    <w:rsid w:val="00350AFD"/>
    <w:rsid w:val="00382AE5"/>
    <w:rsid w:val="0039130E"/>
    <w:rsid w:val="003939AA"/>
    <w:rsid w:val="003A0E0A"/>
    <w:rsid w:val="003A4A0D"/>
    <w:rsid w:val="003A5C8B"/>
    <w:rsid w:val="00404CC6"/>
    <w:rsid w:val="004433C9"/>
    <w:rsid w:val="00452A0D"/>
    <w:rsid w:val="00484595"/>
    <w:rsid w:val="004C3D64"/>
    <w:rsid w:val="004D74CB"/>
    <w:rsid w:val="004F7120"/>
    <w:rsid w:val="0051032D"/>
    <w:rsid w:val="00510FD1"/>
    <w:rsid w:val="00514E15"/>
    <w:rsid w:val="00526C75"/>
    <w:rsid w:val="0053228D"/>
    <w:rsid w:val="005730D7"/>
    <w:rsid w:val="00591853"/>
    <w:rsid w:val="005C50A0"/>
    <w:rsid w:val="00634695"/>
    <w:rsid w:val="0065381F"/>
    <w:rsid w:val="00682E86"/>
    <w:rsid w:val="006A2B22"/>
    <w:rsid w:val="006A4FD1"/>
    <w:rsid w:val="006B1FCF"/>
    <w:rsid w:val="006B6892"/>
    <w:rsid w:val="006E291F"/>
    <w:rsid w:val="006F2F86"/>
    <w:rsid w:val="00753DBE"/>
    <w:rsid w:val="007807B4"/>
    <w:rsid w:val="00787791"/>
    <w:rsid w:val="007A099A"/>
    <w:rsid w:val="007B2049"/>
    <w:rsid w:val="00803583"/>
    <w:rsid w:val="00821336"/>
    <w:rsid w:val="00837EB0"/>
    <w:rsid w:val="008658A7"/>
    <w:rsid w:val="00875492"/>
    <w:rsid w:val="0089231F"/>
    <w:rsid w:val="008C3F03"/>
    <w:rsid w:val="008E1BD6"/>
    <w:rsid w:val="0091011C"/>
    <w:rsid w:val="009142E8"/>
    <w:rsid w:val="0092059C"/>
    <w:rsid w:val="009957F5"/>
    <w:rsid w:val="009B250F"/>
    <w:rsid w:val="009C7857"/>
    <w:rsid w:val="009E2ECA"/>
    <w:rsid w:val="00A206D5"/>
    <w:rsid w:val="00A23372"/>
    <w:rsid w:val="00A402EE"/>
    <w:rsid w:val="00A51566"/>
    <w:rsid w:val="00A63031"/>
    <w:rsid w:val="00A719F3"/>
    <w:rsid w:val="00A8473B"/>
    <w:rsid w:val="00A86ED8"/>
    <w:rsid w:val="00AA451E"/>
    <w:rsid w:val="00AA5F87"/>
    <w:rsid w:val="00AF0BEF"/>
    <w:rsid w:val="00B51366"/>
    <w:rsid w:val="00B71863"/>
    <w:rsid w:val="00B74A23"/>
    <w:rsid w:val="00BA60F1"/>
    <w:rsid w:val="00BB1128"/>
    <w:rsid w:val="00C20856"/>
    <w:rsid w:val="00C31CB1"/>
    <w:rsid w:val="00C3417E"/>
    <w:rsid w:val="00C509C3"/>
    <w:rsid w:val="00C578EF"/>
    <w:rsid w:val="00CB4D73"/>
    <w:rsid w:val="00CB7A7E"/>
    <w:rsid w:val="00D23613"/>
    <w:rsid w:val="00D27F8C"/>
    <w:rsid w:val="00D367A9"/>
    <w:rsid w:val="00DA2519"/>
    <w:rsid w:val="00DC6B6F"/>
    <w:rsid w:val="00DD38BF"/>
    <w:rsid w:val="00DE2EE3"/>
    <w:rsid w:val="00DE73FA"/>
    <w:rsid w:val="00E204B2"/>
    <w:rsid w:val="00E36AE7"/>
    <w:rsid w:val="00E42142"/>
    <w:rsid w:val="00E505D0"/>
    <w:rsid w:val="00E922A3"/>
    <w:rsid w:val="00EA3A69"/>
    <w:rsid w:val="00EA72BD"/>
    <w:rsid w:val="00EC56C7"/>
    <w:rsid w:val="00ED051B"/>
    <w:rsid w:val="00ED648F"/>
    <w:rsid w:val="00EF2090"/>
    <w:rsid w:val="00F16BB8"/>
    <w:rsid w:val="00F2713D"/>
    <w:rsid w:val="00F31476"/>
    <w:rsid w:val="00F35451"/>
    <w:rsid w:val="00F519C2"/>
    <w:rsid w:val="00F96E87"/>
    <w:rsid w:val="00FA6094"/>
    <w:rsid w:val="00FF62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60A6"/>
  <w15:chartTrackingRefBased/>
  <w15:docId w15:val="{BEE57289-3826-4A42-8C20-170F46A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BE"/>
    <w:pPr>
      <w:widowControl w:val="0"/>
      <w:adjustRightInd w:val="0"/>
      <w:spacing w:line="360" w:lineRule="atLeast"/>
      <w:jc w:val="both"/>
      <w:textAlignment w:val="baseline"/>
    </w:pPr>
    <w:rPr>
      <w:rFonts w:ascii="Verdana" w:eastAsia="Times New Roman" w:hAnsi="Verdana" w:cs="Times New Roman"/>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2,Lista vistosa - Énfasis 11,Párrafo de lista1,Footnote,List Paragraph1,Colorful List - Accent 11,Parrafos,Subtle Emphasis1,Footnote1,List Paragraph11,Cuadrícula clara - Énfasis 31,Lista clara - Énfasis 51"/>
    <w:basedOn w:val="Normal"/>
    <w:link w:val="PrrafodelistaCar"/>
    <w:uiPriority w:val="34"/>
    <w:qFormat/>
    <w:rsid w:val="002B1C30"/>
    <w:pPr>
      <w:ind w:left="708"/>
    </w:pPr>
  </w:style>
  <w:style w:type="character" w:customStyle="1" w:styleId="PrrafodelistaCar">
    <w:name w:val="Párrafo de lista Car"/>
    <w:aliases w:val="List Paragraph2 Car,Lista vistosa - Énfasis 11 Car,Párrafo de lista1 Car,Footnote Car,List Paragraph1 Car,Colorful List - Accent 11 Car,Parrafos Car,Subtle Emphasis1 Car,Footnote1 Car,List Paragraph11 Car"/>
    <w:basedOn w:val="Fuentedeprrafopredeter"/>
    <w:link w:val="Prrafodelista"/>
    <w:uiPriority w:val="34"/>
    <w:rsid w:val="002B1C30"/>
    <w:rPr>
      <w:rFonts w:ascii="Verdana" w:eastAsia="Times New Roman" w:hAnsi="Verdana" w:cs="Times New Roman"/>
      <w:sz w:val="20"/>
      <w:szCs w:val="20"/>
      <w:lang w:val="es-CR" w:eastAsia="es-CR"/>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
    <w:link w:val="4GChar"/>
    <w:uiPriority w:val="99"/>
    <w:qFormat/>
    <w:rsid w:val="00591853"/>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TextonotapieCar"/>
    <w:uiPriority w:val="99"/>
    <w:qFormat/>
    <w:rsid w:val="00591853"/>
    <w:pPr>
      <w:spacing w:line="240" w:lineRule="auto"/>
    </w:pPr>
    <w:rPr>
      <w:lang w:val="es-ES_tradnl"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qFormat/>
    <w:rsid w:val="00591853"/>
    <w:rPr>
      <w:rFonts w:ascii="Verdana" w:eastAsia="Times New Roman" w:hAnsi="Verdana" w:cs="Times New Roman"/>
      <w:sz w:val="20"/>
      <w:szCs w:val="20"/>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91853"/>
    <w:pPr>
      <w:widowControl/>
      <w:adjustRightInd/>
      <w:spacing w:line="240" w:lineRule="auto"/>
      <w:textAlignment w:val="auto"/>
    </w:pPr>
    <w:rPr>
      <w:rFonts w:asciiTheme="minorHAnsi" w:eastAsiaTheme="minorHAnsi" w:hAnsiTheme="minorHAnsi" w:cstheme="minorBidi"/>
      <w:sz w:val="24"/>
      <w:szCs w:val="24"/>
      <w:vertAlign w:val="superscript"/>
      <w:lang w:eastAsia="en-US"/>
    </w:rPr>
  </w:style>
  <w:style w:type="paragraph" w:customStyle="1" w:styleId="Numberedparagraphs">
    <w:name w:val="Numbered paragraphs"/>
    <w:basedOn w:val="Normal"/>
    <w:link w:val="NumberedparagraphsCar"/>
    <w:qFormat/>
    <w:rsid w:val="00591853"/>
    <w:pPr>
      <w:widowControl/>
      <w:numPr>
        <w:numId w:val="4"/>
      </w:numPr>
      <w:adjustRightInd/>
      <w:spacing w:after="200" w:line="240" w:lineRule="auto"/>
      <w:textAlignment w:val="auto"/>
    </w:pPr>
    <w:rPr>
      <w:rFonts w:eastAsia="MS Mincho"/>
      <w:color w:val="000000"/>
      <w:lang w:val="es-ES_tradnl" w:eastAsia="en-US"/>
    </w:rPr>
  </w:style>
  <w:style w:type="character" w:customStyle="1" w:styleId="NumberedparagraphsCar">
    <w:name w:val="Numbered paragraphs Car"/>
    <w:basedOn w:val="Fuentedeprrafopredeter"/>
    <w:link w:val="Numberedparagraphs"/>
    <w:rsid w:val="00591853"/>
    <w:rPr>
      <w:rFonts w:ascii="Verdana" w:eastAsia="MS Mincho" w:hAnsi="Verdana" w:cs="Times New Roman"/>
      <w:color w:val="000000"/>
      <w:sz w:val="20"/>
      <w:szCs w:val="20"/>
      <w:lang w:val="es-ES_tradnl"/>
    </w:rPr>
  </w:style>
  <w:style w:type="character" w:styleId="Hipervnculo">
    <w:name w:val="Hyperlink"/>
    <w:basedOn w:val="Fuentedeprrafopredeter"/>
    <w:uiPriority w:val="99"/>
    <w:unhideWhenUsed/>
    <w:rsid w:val="00591853"/>
    <w:rPr>
      <w:color w:val="0563C1" w:themeColor="hyperlink"/>
      <w:u w:val="single"/>
    </w:rPr>
  </w:style>
  <w:style w:type="paragraph" w:customStyle="1" w:styleId="Estilo2">
    <w:name w:val="Estilo2"/>
    <w:basedOn w:val="Prrafodelista"/>
    <w:rsid w:val="00034564"/>
    <w:pPr>
      <w:widowControl/>
      <w:numPr>
        <w:ilvl w:val="3"/>
        <w:numId w:val="5"/>
      </w:numPr>
      <w:tabs>
        <w:tab w:val="num" w:pos="360"/>
      </w:tabs>
      <w:adjustRightInd/>
      <w:spacing w:line="240" w:lineRule="auto"/>
      <w:ind w:left="708" w:firstLine="0"/>
      <w:textAlignment w:val="auto"/>
    </w:pPr>
    <w:rPr>
      <w:iCs/>
    </w:rPr>
  </w:style>
  <w:style w:type="paragraph" w:customStyle="1" w:styleId="Estilo4">
    <w:name w:val="Estilo4"/>
    <w:basedOn w:val="Prrafodelista"/>
    <w:link w:val="Estilo4Car"/>
    <w:qFormat/>
    <w:rsid w:val="00034564"/>
    <w:pPr>
      <w:widowControl/>
      <w:numPr>
        <w:numId w:val="5"/>
      </w:numPr>
      <w:adjustRightInd/>
      <w:spacing w:line="240" w:lineRule="auto"/>
      <w:textAlignment w:val="auto"/>
    </w:pPr>
    <w:rPr>
      <w:iCs/>
    </w:rPr>
  </w:style>
  <w:style w:type="character" w:customStyle="1" w:styleId="Estilo4Car">
    <w:name w:val="Estilo4 Car"/>
    <w:basedOn w:val="PrrafodelistaCar"/>
    <w:link w:val="Estilo4"/>
    <w:rsid w:val="00034564"/>
    <w:rPr>
      <w:rFonts w:ascii="Verdana" w:eastAsia="Times New Roman" w:hAnsi="Verdana" w:cs="Times New Roman"/>
      <w:iCs/>
      <w:sz w:val="20"/>
      <w:szCs w:val="20"/>
      <w:lang w:val="es-CR" w:eastAsia="es-CR"/>
    </w:rPr>
  </w:style>
  <w:style w:type="character" w:styleId="Textoennegrita">
    <w:name w:val="Strong"/>
    <w:aliases w:val="Heading 2.1"/>
    <w:basedOn w:val="Fuentedeprrafopredeter"/>
    <w:uiPriority w:val="22"/>
    <w:qFormat/>
    <w:rsid w:val="00C3417E"/>
    <w:rPr>
      <w:b/>
      <w:bCs/>
    </w:rPr>
  </w:style>
  <w:style w:type="paragraph" w:styleId="Piedepgina">
    <w:name w:val="footer"/>
    <w:basedOn w:val="Normal"/>
    <w:link w:val="PiedepginaCar"/>
    <w:uiPriority w:val="99"/>
    <w:unhideWhenUsed/>
    <w:rsid w:val="00837EB0"/>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837EB0"/>
    <w:rPr>
      <w:rFonts w:ascii="Verdana" w:eastAsia="Times New Roman" w:hAnsi="Verdana" w:cs="Times New Roman"/>
      <w:sz w:val="20"/>
      <w:szCs w:val="20"/>
      <w:lang w:val="es-CR" w:eastAsia="es-CR"/>
    </w:rPr>
  </w:style>
  <w:style w:type="character" w:styleId="Nmerodepgina">
    <w:name w:val="page number"/>
    <w:basedOn w:val="Fuentedeprrafopredeter"/>
    <w:uiPriority w:val="99"/>
    <w:semiHidden/>
    <w:unhideWhenUsed/>
    <w:rsid w:val="00837EB0"/>
  </w:style>
  <w:style w:type="paragraph" w:styleId="Revisin">
    <w:name w:val="Revision"/>
    <w:hidden/>
    <w:uiPriority w:val="99"/>
    <w:semiHidden/>
    <w:rsid w:val="004433C9"/>
    <w:rPr>
      <w:rFonts w:ascii="Verdana" w:eastAsia="Times New Roman" w:hAnsi="Verdana" w:cs="Times New Roman"/>
      <w:sz w:val="20"/>
      <w:szCs w:val="20"/>
      <w:lang w:eastAsia="es-CR"/>
    </w:rPr>
  </w:style>
  <w:style w:type="character" w:styleId="Mencinsinresolver">
    <w:name w:val="Unresolved Mention"/>
    <w:basedOn w:val="Fuentedeprrafopredeter"/>
    <w:uiPriority w:val="99"/>
    <w:semiHidden/>
    <w:unhideWhenUsed/>
    <w:rsid w:val="0051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cd.coe.int/ViewDoc.jsp?id=987573&amp;BackColorInternet=9999CC&amp;BackColorIntranet=FFBB55&amp;BackCol" TargetMode="External"/><Relationship Id="rId2" Type="http://schemas.openxmlformats.org/officeDocument/2006/relationships/hyperlink" Target="http://daccess-dds-ny.un.org/doc/UNDOC/GEN/N09/471/58/PDF/N0947158.pdf?OpenElement" TargetMode="External"/><Relationship Id="rId1" Type="http://schemas.openxmlformats.org/officeDocument/2006/relationships/hyperlink" Target="https://documents.un.org/doc/undoc/gen/g98/143/20/pdf/g9814320.pdf?token=tLMNWJkJmCrP0cRPaO&amp;fe=true" TargetMode="External"/><Relationship Id="rId5" Type="http://schemas.openxmlformats.org/officeDocument/2006/relationships/hyperlink" Target="http://www2.ohchr.org/english/bodies/hrcouncil/docs/13session/A-HRC-13-21-Add.3.pdf" TargetMode="External"/><Relationship Id="rId4" Type="http://schemas.openxmlformats.org/officeDocument/2006/relationships/hyperlink" Target="http://www.unhcr.org/4ae9bede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2363</Words>
  <Characters>13002</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2025-03-13T17:14:00Z</cp:lastPrinted>
  <dcterms:created xsi:type="dcterms:W3CDTF">2025-03-13T17:14:00Z</dcterms:created>
  <dcterms:modified xsi:type="dcterms:W3CDTF">2025-03-13T17:14:00Z</dcterms:modified>
</cp:coreProperties>
</file>