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BF6B7" w14:textId="77777777" w:rsidR="004818F6" w:rsidRDefault="004818F6" w:rsidP="004818F6">
      <w:pPr>
        <w:jc w:val="center"/>
        <w:rPr>
          <w:rFonts w:ascii="Verdana" w:hAnsi="Verdana"/>
          <w:b/>
        </w:rPr>
      </w:pPr>
    </w:p>
    <w:p w14:paraId="41B49F73" w14:textId="77777777" w:rsidR="007A144A" w:rsidRPr="004818F6" w:rsidRDefault="007A144A" w:rsidP="004818F6">
      <w:pPr>
        <w:jc w:val="center"/>
        <w:rPr>
          <w:rFonts w:ascii="Verdana" w:hAnsi="Verdana"/>
          <w:b/>
        </w:rPr>
      </w:pPr>
      <w:r w:rsidRPr="004818F6">
        <w:rPr>
          <w:rFonts w:ascii="Verdana" w:hAnsi="Verdana"/>
          <w:b/>
        </w:rPr>
        <w:t xml:space="preserve">VOTO CONCURRENTE DEL </w:t>
      </w:r>
    </w:p>
    <w:p w14:paraId="4955D7DE" w14:textId="77777777" w:rsidR="007A144A" w:rsidRPr="004818F6" w:rsidRDefault="007A144A" w:rsidP="004818F6">
      <w:pPr>
        <w:jc w:val="center"/>
        <w:rPr>
          <w:rFonts w:ascii="Verdana" w:hAnsi="Verdana"/>
          <w:b/>
        </w:rPr>
      </w:pPr>
      <w:r w:rsidRPr="004818F6">
        <w:rPr>
          <w:rFonts w:ascii="Verdana" w:hAnsi="Verdana"/>
          <w:b/>
        </w:rPr>
        <w:t xml:space="preserve">JUEZ </w:t>
      </w:r>
      <w:r w:rsidR="00E915C7" w:rsidRPr="004818F6">
        <w:rPr>
          <w:rFonts w:ascii="Verdana" w:hAnsi="Verdana"/>
          <w:b/>
        </w:rPr>
        <w:t xml:space="preserve">RICARDO </w:t>
      </w:r>
      <w:r w:rsidR="00EA2299" w:rsidRPr="004818F6">
        <w:rPr>
          <w:rFonts w:ascii="Verdana" w:hAnsi="Verdana"/>
          <w:b/>
        </w:rPr>
        <w:t xml:space="preserve">C. </w:t>
      </w:r>
      <w:r w:rsidR="00E915C7" w:rsidRPr="004818F6">
        <w:rPr>
          <w:rFonts w:ascii="Verdana" w:hAnsi="Verdana"/>
          <w:b/>
        </w:rPr>
        <w:t>PÉREZ MANRIQUE</w:t>
      </w:r>
      <w:r w:rsidRPr="004818F6">
        <w:rPr>
          <w:rFonts w:ascii="Verdana" w:hAnsi="Verdana"/>
          <w:b/>
        </w:rPr>
        <w:t xml:space="preserve"> </w:t>
      </w:r>
    </w:p>
    <w:p w14:paraId="7D47385C" w14:textId="77777777" w:rsidR="007A144A" w:rsidRPr="004818F6" w:rsidRDefault="007A144A" w:rsidP="004818F6">
      <w:pPr>
        <w:jc w:val="center"/>
        <w:rPr>
          <w:rFonts w:ascii="Verdana" w:hAnsi="Verdana"/>
          <w:b/>
        </w:rPr>
      </w:pPr>
    </w:p>
    <w:p w14:paraId="304A2406" w14:textId="77777777" w:rsidR="007A144A" w:rsidRPr="004818F6" w:rsidRDefault="007A144A" w:rsidP="004818F6">
      <w:pPr>
        <w:jc w:val="center"/>
        <w:rPr>
          <w:rFonts w:ascii="Verdana" w:hAnsi="Verdana"/>
          <w:b/>
        </w:rPr>
      </w:pPr>
      <w:r w:rsidRPr="004818F6">
        <w:rPr>
          <w:rFonts w:ascii="Verdana" w:hAnsi="Verdana"/>
          <w:b/>
        </w:rPr>
        <w:t xml:space="preserve">A LA SENTENCIA DE </w:t>
      </w:r>
      <w:r w:rsidR="003009D4" w:rsidRPr="004818F6">
        <w:rPr>
          <w:rFonts w:ascii="Verdana" w:hAnsi="Verdana"/>
          <w:b/>
        </w:rPr>
        <w:t>22</w:t>
      </w:r>
      <w:r w:rsidRPr="004818F6">
        <w:rPr>
          <w:rFonts w:ascii="Verdana" w:hAnsi="Verdana"/>
          <w:b/>
        </w:rPr>
        <w:t xml:space="preserve"> DE </w:t>
      </w:r>
      <w:r w:rsidR="00E915C7" w:rsidRPr="004818F6">
        <w:rPr>
          <w:rFonts w:ascii="Verdana" w:hAnsi="Verdana"/>
          <w:b/>
        </w:rPr>
        <w:t>NOVIEMBRE</w:t>
      </w:r>
      <w:r w:rsidRPr="004818F6">
        <w:rPr>
          <w:rFonts w:ascii="Verdana" w:hAnsi="Verdana"/>
          <w:b/>
        </w:rPr>
        <w:t xml:space="preserve"> DE 2019</w:t>
      </w:r>
    </w:p>
    <w:p w14:paraId="2754C4BC" w14:textId="77777777" w:rsidR="007A144A" w:rsidRPr="004818F6" w:rsidRDefault="007A144A" w:rsidP="004818F6">
      <w:pPr>
        <w:jc w:val="center"/>
        <w:outlineLvl w:val="0"/>
        <w:rPr>
          <w:rFonts w:ascii="Verdana" w:hAnsi="Verdana"/>
          <w:b/>
        </w:rPr>
      </w:pPr>
      <w:r w:rsidRPr="004818F6">
        <w:rPr>
          <w:rFonts w:ascii="Verdana" w:hAnsi="Verdana"/>
          <w:b/>
        </w:rPr>
        <w:t>DE LA CORTE INTERAMERICANA DE DERECHOS HUMANOS</w:t>
      </w:r>
    </w:p>
    <w:p w14:paraId="7A0C2FDE" w14:textId="77777777" w:rsidR="007A144A" w:rsidRPr="004818F6" w:rsidRDefault="007A144A" w:rsidP="004818F6">
      <w:pPr>
        <w:jc w:val="center"/>
        <w:rPr>
          <w:rFonts w:ascii="Verdana" w:hAnsi="Verdana"/>
          <w:b/>
        </w:rPr>
      </w:pPr>
    </w:p>
    <w:p w14:paraId="4095541B" w14:textId="77777777" w:rsidR="007A144A" w:rsidRPr="004818F6" w:rsidRDefault="00E915C7" w:rsidP="004818F6">
      <w:pPr>
        <w:jc w:val="center"/>
        <w:outlineLvl w:val="0"/>
        <w:rPr>
          <w:rFonts w:ascii="Verdana" w:hAnsi="Verdana"/>
          <w:b/>
        </w:rPr>
      </w:pPr>
      <w:r w:rsidRPr="004818F6">
        <w:rPr>
          <w:rFonts w:ascii="Verdana" w:hAnsi="Verdana"/>
          <w:b/>
        </w:rPr>
        <w:t>EN EL CASO</w:t>
      </w:r>
      <w:r w:rsidRPr="004818F6">
        <w:rPr>
          <w:rFonts w:ascii="Verdana" w:hAnsi="Verdana" w:cs="Calibri"/>
          <w:b/>
          <w:lang w:val="es-CR"/>
        </w:rPr>
        <w:t xml:space="preserve"> </w:t>
      </w:r>
      <w:r w:rsidR="003009D4" w:rsidRPr="004818F6">
        <w:rPr>
          <w:rFonts w:ascii="Verdana" w:hAnsi="Verdana" w:cs="Arial"/>
          <w:b/>
          <w:color w:val="1A1A1A"/>
          <w:lang w:val="es-CR"/>
        </w:rPr>
        <w:t>HERNÁNDEZ VS. ARGENTINA</w:t>
      </w:r>
    </w:p>
    <w:p w14:paraId="3BC85E69" w14:textId="77777777" w:rsidR="001404B8" w:rsidRPr="004818F6" w:rsidRDefault="001404B8" w:rsidP="004818F6">
      <w:pPr>
        <w:spacing w:line="252" w:lineRule="auto"/>
        <w:rPr>
          <w:rFonts w:ascii="Verdana" w:hAnsi="Verdana"/>
        </w:rPr>
      </w:pPr>
    </w:p>
    <w:p w14:paraId="10DAAA61" w14:textId="77777777" w:rsidR="009A41FB" w:rsidRPr="004818F6" w:rsidRDefault="005B5FF1" w:rsidP="004818F6">
      <w:pPr>
        <w:spacing w:line="252" w:lineRule="auto"/>
        <w:ind w:firstLine="708"/>
        <w:jc w:val="both"/>
        <w:rPr>
          <w:rFonts w:ascii="Verdana" w:eastAsia="Cambria" w:hAnsi="Verdana" w:cs="Cambria"/>
          <w:b/>
          <w:i/>
          <w:color w:val="000000"/>
          <w:u w:color="000000"/>
          <w:lang w:val="es-CR" w:eastAsia="es-ES"/>
        </w:rPr>
      </w:pPr>
      <w:r w:rsidRPr="004818F6">
        <w:rPr>
          <w:rFonts w:ascii="Verdana" w:eastAsia="Cambria" w:hAnsi="Verdana" w:cs="Cambria"/>
          <w:b/>
          <w:i/>
          <w:color w:val="000000"/>
          <w:u w:color="000000"/>
          <w:lang w:val="es-CR" w:eastAsia="es-ES"/>
        </w:rPr>
        <w:t xml:space="preserve">I. </w:t>
      </w:r>
      <w:r w:rsidR="00170DED" w:rsidRPr="004818F6">
        <w:rPr>
          <w:rFonts w:ascii="Verdana" w:eastAsia="Cambria" w:hAnsi="Verdana" w:cs="Cambria"/>
          <w:b/>
          <w:i/>
          <w:color w:val="000000"/>
          <w:u w:color="000000"/>
          <w:lang w:val="es-CR" w:eastAsia="es-ES"/>
        </w:rPr>
        <w:t>Introducción</w:t>
      </w:r>
    </w:p>
    <w:p w14:paraId="2FC7029D" w14:textId="77777777" w:rsidR="00170DED" w:rsidRPr="004818F6" w:rsidRDefault="00170DED" w:rsidP="004818F6">
      <w:pPr>
        <w:spacing w:line="252" w:lineRule="auto"/>
        <w:jc w:val="both"/>
        <w:rPr>
          <w:rFonts w:ascii="Verdana" w:eastAsia="Cambria" w:hAnsi="Verdana" w:cs="Cambria"/>
          <w:color w:val="000000"/>
          <w:u w:color="000000"/>
          <w:lang w:val="es-CR" w:eastAsia="es-ES"/>
        </w:rPr>
      </w:pPr>
    </w:p>
    <w:p w14:paraId="00BBFD6E" w14:textId="77777777" w:rsidR="00124CA1" w:rsidRPr="004818F6" w:rsidRDefault="0083255E" w:rsidP="004818F6">
      <w:pPr>
        <w:pStyle w:val="Prrafodelista"/>
        <w:numPr>
          <w:ilvl w:val="0"/>
          <w:numId w:val="2"/>
        </w:numPr>
        <w:spacing w:line="252" w:lineRule="auto"/>
        <w:ind w:left="0" w:firstLine="0"/>
        <w:jc w:val="both"/>
        <w:rPr>
          <w:rFonts w:ascii="Verdana" w:hAnsi="Verdana"/>
          <w:i/>
          <w:sz w:val="20"/>
          <w:szCs w:val="20"/>
          <w:lang w:val="es-CR"/>
        </w:rPr>
      </w:pPr>
      <w:r w:rsidRPr="004818F6">
        <w:rPr>
          <w:rFonts w:ascii="Verdana" w:hAnsi="Verdana"/>
          <w:sz w:val="20"/>
          <w:szCs w:val="20"/>
          <w:lang w:val="es-CR"/>
        </w:rPr>
        <w:t xml:space="preserve">En mi voto concurrente en el </w:t>
      </w:r>
      <w:r w:rsidRPr="004818F6">
        <w:rPr>
          <w:rFonts w:ascii="Verdana" w:hAnsi="Verdana"/>
          <w:i/>
          <w:sz w:val="20"/>
          <w:szCs w:val="20"/>
          <w:lang w:val="es-CR"/>
        </w:rPr>
        <w:t>C</w:t>
      </w:r>
      <w:r w:rsidR="003009D4" w:rsidRPr="004818F6">
        <w:rPr>
          <w:rFonts w:ascii="Verdana" w:hAnsi="Verdana"/>
          <w:i/>
          <w:sz w:val="20"/>
          <w:szCs w:val="20"/>
          <w:lang w:val="es-CR"/>
        </w:rPr>
        <w:t xml:space="preserve">aso de la Asociación Nacional de Cesantes y Jubilados de la Superintendencia </w:t>
      </w:r>
      <w:r w:rsidRPr="004818F6">
        <w:rPr>
          <w:rFonts w:ascii="Verdana" w:hAnsi="Verdana"/>
          <w:i/>
          <w:sz w:val="20"/>
          <w:szCs w:val="20"/>
          <w:lang w:val="es-CR"/>
        </w:rPr>
        <w:t xml:space="preserve">Nacional </w:t>
      </w:r>
      <w:r w:rsidR="003009D4" w:rsidRPr="004818F6">
        <w:rPr>
          <w:rFonts w:ascii="Verdana" w:hAnsi="Verdana"/>
          <w:i/>
          <w:sz w:val="20"/>
          <w:szCs w:val="20"/>
          <w:lang w:val="es-CR"/>
        </w:rPr>
        <w:t>de Adm</w:t>
      </w:r>
      <w:r w:rsidR="00A6228C" w:rsidRPr="004818F6">
        <w:rPr>
          <w:rFonts w:ascii="Verdana" w:hAnsi="Verdana"/>
          <w:i/>
          <w:sz w:val="20"/>
          <w:szCs w:val="20"/>
          <w:lang w:val="es-CR"/>
        </w:rPr>
        <w:t>inistración Tributaria (ANCEJUB</w:t>
      </w:r>
      <w:r w:rsidR="002370EC" w:rsidRPr="004818F6">
        <w:rPr>
          <w:rFonts w:ascii="Verdana" w:hAnsi="Verdana"/>
          <w:i/>
          <w:sz w:val="20"/>
          <w:szCs w:val="20"/>
          <w:lang w:val="es-CR"/>
        </w:rPr>
        <w:t>-SUNAT</w:t>
      </w:r>
      <w:r w:rsidR="003009D4" w:rsidRPr="004818F6">
        <w:rPr>
          <w:rFonts w:ascii="Verdana" w:hAnsi="Verdana"/>
          <w:i/>
          <w:sz w:val="20"/>
          <w:szCs w:val="20"/>
          <w:lang w:val="es-CR"/>
        </w:rPr>
        <w:t>) Vs. Perú</w:t>
      </w:r>
      <w:r w:rsidR="003009D4" w:rsidRPr="004818F6">
        <w:rPr>
          <w:rFonts w:ascii="Verdana" w:hAnsi="Verdana"/>
          <w:sz w:val="20"/>
          <w:szCs w:val="20"/>
          <w:lang w:val="es-CR"/>
        </w:rPr>
        <w:t xml:space="preserve"> </w:t>
      </w:r>
      <w:r w:rsidRPr="004818F6">
        <w:rPr>
          <w:rFonts w:ascii="Verdana" w:hAnsi="Verdana"/>
          <w:sz w:val="20"/>
          <w:szCs w:val="20"/>
          <w:lang w:val="es-CR"/>
        </w:rPr>
        <w:t xml:space="preserve">(en adelante, “Caso ANCEJUB-SUNAT”) </w:t>
      </w:r>
      <w:r w:rsidR="003009D4" w:rsidRPr="004818F6">
        <w:rPr>
          <w:rFonts w:ascii="Verdana" w:hAnsi="Verdana"/>
          <w:sz w:val="20"/>
          <w:szCs w:val="20"/>
          <w:lang w:val="es-CR"/>
        </w:rPr>
        <w:t>ex</w:t>
      </w:r>
      <w:r w:rsidR="00287565" w:rsidRPr="004818F6">
        <w:rPr>
          <w:rFonts w:ascii="Verdana" w:hAnsi="Verdana"/>
          <w:sz w:val="20"/>
          <w:szCs w:val="20"/>
          <w:lang w:val="es-CR"/>
        </w:rPr>
        <w:t>presé una primera reflexión respecto a</w:t>
      </w:r>
      <w:r w:rsidR="003009D4" w:rsidRPr="004818F6">
        <w:rPr>
          <w:rFonts w:ascii="Verdana" w:hAnsi="Verdana"/>
          <w:sz w:val="20"/>
          <w:szCs w:val="20"/>
          <w:lang w:val="es-CR"/>
        </w:rPr>
        <w:t xml:space="preserve"> la manera en que considero que la Corte Interamericana de Derechos Humanos (en adelante, “la Corte”</w:t>
      </w:r>
      <w:r w:rsidR="002642CB" w:rsidRPr="004818F6">
        <w:rPr>
          <w:rFonts w:ascii="Verdana" w:hAnsi="Verdana"/>
          <w:sz w:val="20"/>
          <w:szCs w:val="20"/>
          <w:lang w:val="es-CR"/>
        </w:rPr>
        <w:t xml:space="preserve"> o “la Corte IDH”</w:t>
      </w:r>
      <w:r w:rsidR="003009D4" w:rsidRPr="004818F6">
        <w:rPr>
          <w:rFonts w:ascii="Verdana" w:hAnsi="Verdana"/>
          <w:sz w:val="20"/>
          <w:szCs w:val="20"/>
          <w:lang w:val="es-CR"/>
        </w:rPr>
        <w:t xml:space="preserve">) debería abordar los casos que involucren violaciones a los derechos económicos, sociales, culturales y ambientales </w:t>
      </w:r>
      <w:r w:rsidR="00287565" w:rsidRPr="004818F6">
        <w:rPr>
          <w:rFonts w:ascii="Verdana" w:hAnsi="Verdana"/>
          <w:sz w:val="20"/>
          <w:szCs w:val="20"/>
          <w:lang w:val="es-CR"/>
        </w:rPr>
        <w:t>(en adelante, “DESCA”</w:t>
      </w:r>
      <w:r w:rsidR="002642CB" w:rsidRPr="004818F6">
        <w:rPr>
          <w:rFonts w:ascii="Verdana" w:hAnsi="Verdana"/>
          <w:sz w:val="20"/>
          <w:szCs w:val="20"/>
          <w:lang w:val="es-CR"/>
        </w:rPr>
        <w:t xml:space="preserve"> o “derechos sociales”</w:t>
      </w:r>
      <w:r w:rsidR="00287565" w:rsidRPr="004818F6">
        <w:rPr>
          <w:rFonts w:ascii="Verdana" w:hAnsi="Verdana"/>
          <w:sz w:val="20"/>
          <w:szCs w:val="20"/>
          <w:lang w:val="es-CR"/>
        </w:rPr>
        <w:t xml:space="preserve">). Las ideas planteadas </w:t>
      </w:r>
      <w:r w:rsidR="001D52D9" w:rsidRPr="004818F6">
        <w:rPr>
          <w:rFonts w:ascii="Verdana" w:hAnsi="Verdana"/>
          <w:sz w:val="20"/>
          <w:szCs w:val="20"/>
          <w:lang w:val="es-CR"/>
        </w:rPr>
        <w:t>fueron</w:t>
      </w:r>
      <w:r w:rsidR="00287565" w:rsidRPr="004818F6">
        <w:rPr>
          <w:rFonts w:ascii="Verdana" w:hAnsi="Verdana"/>
          <w:sz w:val="20"/>
          <w:szCs w:val="20"/>
          <w:lang w:val="es-CR"/>
        </w:rPr>
        <w:t xml:space="preserve"> resultado de mis reflexiones que sobre el particular he tenido ya como Juez de la Corte, condición que me ha permitido profundizar acerca del debate que se ha dado respecto de </w:t>
      </w:r>
      <w:r w:rsidR="00A6228C" w:rsidRPr="004818F6">
        <w:rPr>
          <w:rFonts w:ascii="Verdana" w:hAnsi="Verdana"/>
          <w:sz w:val="20"/>
          <w:szCs w:val="20"/>
          <w:lang w:val="es-CR"/>
        </w:rPr>
        <w:t>las diversas formas en que se puede abordar la cuestión de las violaciones a los DESCA por parte de la Corte</w:t>
      </w:r>
      <w:r w:rsidR="00287565" w:rsidRPr="004818F6">
        <w:rPr>
          <w:rFonts w:ascii="Verdana" w:hAnsi="Verdana"/>
          <w:sz w:val="20"/>
          <w:szCs w:val="20"/>
          <w:lang w:val="es-CR"/>
        </w:rPr>
        <w:t xml:space="preserve">. La </w:t>
      </w:r>
      <w:r w:rsidR="00E1238C" w:rsidRPr="004818F6">
        <w:rPr>
          <w:rFonts w:ascii="Verdana" w:hAnsi="Verdana"/>
          <w:sz w:val="20"/>
          <w:szCs w:val="20"/>
          <w:lang w:val="es-CR"/>
        </w:rPr>
        <w:t xml:space="preserve">visión </w:t>
      </w:r>
      <w:r w:rsidR="00287565" w:rsidRPr="004818F6">
        <w:rPr>
          <w:rFonts w:ascii="Verdana" w:hAnsi="Verdana"/>
          <w:sz w:val="20"/>
          <w:szCs w:val="20"/>
          <w:lang w:val="es-CR"/>
        </w:rPr>
        <w:t xml:space="preserve">expuesta </w:t>
      </w:r>
      <w:r w:rsidR="00A6228C" w:rsidRPr="004818F6">
        <w:rPr>
          <w:rFonts w:ascii="Verdana" w:hAnsi="Verdana"/>
          <w:sz w:val="20"/>
          <w:szCs w:val="20"/>
          <w:lang w:val="es-CR"/>
        </w:rPr>
        <w:t xml:space="preserve">en dicho voto </w:t>
      </w:r>
      <w:r w:rsidR="001D52D9" w:rsidRPr="004818F6">
        <w:rPr>
          <w:rFonts w:ascii="Verdana" w:hAnsi="Verdana"/>
          <w:sz w:val="20"/>
          <w:szCs w:val="20"/>
          <w:lang w:val="es-CR"/>
        </w:rPr>
        <w:t>es</w:t>
      </w:r>
      <w:r w:rsidR="00287565" w:rsidRPr="004818F6">
        <w:rPr>
          <w:rFonts w:ascii="Verdana" w:hAnsi="Verdana"/>
          <w:sz w:val="20"/>
          <w:szCs w:val="20"/>
          <w:lang w:val="es-CR"/>
        </w:rPr>
        <w:t xml:space="preserve"> una idea en formación que busca aportar a un mejor entendimiento del tema, y </w:t>
      </w:r>
      <w:r w:rsidR="0070361C" w:rsidRPr="004818F6">
        <w:rPr>
          <w:rFonts w:ascii="Verdana" w:hAnsi="Verdana"/>
          <w:sz w:val="20"/>
          <w:szCs w:val="20"/>
          <w:lang w:val="es-CR"/>
        </w:rPr>
        <w:t>a fortalecer</w:t>
      </w:r>
      <w:r w:rsidR="00287565" w:rsidRPr="004818F6">
        <w:rPr>
          <w:rFonts w:ascii="Verdana" w:hAnsi="Verdana"/>
          <w:sz w:val="20"/>
          <w:szCs w:val="20"/>
          <w:lang w:val="es-CR"/>
        </w:rPr>
        <w:t xml:space="preserve"> los análisis que se realicen en el futuro y que involucren derechos sociales.</w:t>
      </w:r>
      <w:r w:rsidR="00A6228C" w:rsidRPr="004818F6">
        <w:rPr>
          <w:rFonts w:ascii="Verdana" w:hAnsi="Verdana"/>
          <w:sz w:val="20"/>
          <w:szCs w:val="20"/>
          <w:lang w:val="es-CR"/>
        </w:rPr>
        <w:t xml:space="preserve"> El presente voto persigue el mismo objetivo</w:t>
      </w:r>
      <w:r w:rsidR="00E91617" w:rsidRPr="004818F6">
        <w:rPr>
          <w:rFonts w:ascii="Verdana" w:hAnsi="Verdana"/>
          <w:sz w:val="20"/>
          <w:szCs w:val="20"/>
          <w:lang w:val="es-CR"/>
        </w:rPr>
        <w:t>, y con motivo de ello se reproducen las consideraciones ya referidas en el vot</w:t>
      </w:r>
      <w:r w:rsidR="00B027DC" w:rsidRPr="004818F6">
        <w:rPr>
          <w:rFonts w:ascii="Verdana" w:hAnsi="Verdana"/>
          <w:sz w:val="20"/>
          <w:szCs w:val="20"/>
          <w:lang w:val="es-CR"/>
        </w:rPr>
        <w:t xml:space="preserve">o del </w:t>
      </w:r>
      <w:r w:rsidR="00B027DC" w:rsidRPr="004818F6">
        <w:rPr>
          <w:rFonts w:ascii="Verdana" w:hAnsi="Verdana"/>
          <w:i/>
          <w:sz w:val="20"/>
          <w:szCs w:val="20"/>
          <w:lang w:val="es-CR"/>
        </w:rPr>
        <w:t>C</w:t>
      </w:r>
      <w:r w:rsidR="00E91617" w:rsidRPr="004818F6">
        <w:rPr>
          <w:rFonts w:ascii="Verdana" w:hAnsi="Verdana"/>
          <w:i/>
          <w:sz w:val="20"/>
          <w:szCs w:val="20"/>
          <w:lang w:val="es-CR"/>
        </w:rPr>
        <w:t xml:space="preserve">aso </w:t>
      </w:r>
      <w:r w:rsidRPr="004818F6">
        <w:rPr>
          <w:rFonts w:ascii="Verdana" w:hAnsi="Verdana"/>
          <w:i/>
          <w:sz w:val="20"/>
          <w:szCs w:val="20"/>
          <w:lang w:val="es-CR"/>
        </w:rPr>
        <w:t>ANCEJUB-SUNAT</w:t>
      </w:r>
      <w:r w:rsidR="00A6228C" w:rsidRPr="004818F6">
        <w:rPr>
          <w:rFonts w:ascii="Verdana" w:hAnsi="Verdana"/>
          <w:i/>
          <w:sz w:val="20"/>
          <w:szCs w:val="20"/>
          <w:lang w:val="es-CR"/>
        </w:rPr>
        <w:t>.</w:t>
      </w:r>
    </w:p>
    <w:p w14:paraId="46F627DF" w14:textId="77777777" w:rsidR="00287565" w:rsidRPr="004818F6" w:rsidRDefault="00287565" w:rsidP="004818F6">
      <w:pPr>
        <w:spacing w:line="252" w:lineRule="auto"/>
        <w:jc w:val="both"/>
        <w:rPr>
          <w:rFonts w:ascii="Verdana" w:hAnsi="Verdana"/>
          <w:i/>
          <w:lang w:val="es-CR"/>
        </w:rPr>
      </w:pPr>
    </w:p>
    <w:p w14:paraId="6C6477B8" w14:textId="77777777" w:rsidR="00E91617" w:rsidRPr="004818F6" w:rsidRDefault="00E91617" w:rsidP="004818F6">
      <w:pPr>
        <w:pStyle w:val="Prrafodelista"/>
        <w:spacing w:line="252" w:lineRule="auto"/>
        <w:ind w:left="0" w:firstLine="708"/>
        <w:jc w:val="both"/>
        <w:rPr>
          <w:rFonts w:ascii="Verdana" w:hAnsi="Verdana"/>
          <w:b/>
          <w:bCs/>
          <w:i/>
          <w:iCs/>
          <w:sz w:val="20"/>
          <w:szCs w:val="20"/>
          <w:lang w:val="es-CR"/>
        </w:rPr>
      </w:pPr>
      <w:r w:rsidRPr="004818F6">
        <w:rPr>
          <w:rFonts w:ascii="Verdana" w:hAnsi="Verdana"/>
          <w:b/>
          <w:bCs/>
          <w:i/>
          <w:iCs/>
          <w:sz w:val="20"/>
          <w:szCs w:val="20"/>
          <w:lang w:val="es-CR"/>
        </w:rPr>
        <w:t>II. El debate en la Corte IDH</w:t>
      </w:r>
    </w:p>
    <w:p w14:paraId="6551ADC0" w14:textId="77777777" w:rsidR="00E91617" w:rsidRPr="004818F6" w:rsidRDefault="00E91617" w:rsidP="004818F6">
      <w:pPr>
        <w:pStyle w:val="Prrafodelista"/>
        <w:spacing w:line="252" w:lineRule="auto"/>
        <w:ind w:left="0"/>
        <w:rPr>
          <w:rFonts w:ascii="Verdana" w:hAnsi="Verdana"/>
          <w:strike/>
          <w:sz w:val="20"/>
          <w:szCs w:val="20"/>
          <w:lang w:val="es-CR"/>
        </w:rPr>
      </w:pPr>
    </w:p>
    <w:p w14:paraId="09838BC6" w14:textId="77777777" w:rsidR="00E91617" w:rsidRPr="004818F6" w:rsidRDefault="00E91617" w:rsidP="004818F6">
      <w:pPr>
        <w:pStyle w:val="Prrafodelista"/>
        <w:numPr>
          <w:ilvl w:val="0"/>
          <w:numId w:val="2"/>
        </w:numPr>
        <w:spacing w:line="252" w:lineRule="auto"/>
        <w:ind w:left="0" w:firstLine="0"/>
        <w:jc w:val="both"/>
        <w:rPr>
          <w:rFonts w:ascii="Verdana" w:hAnsi="Verdana"/>
          <w:sz w:val="20"/>
          <w:szCs w:val="20"/>
          <w:lang w:val="es-CR"/>
        </w:rPr>
      </w:pPr>
      <w:r w:rsidRPr="004818F6">
        <w:rPr>
          <w:rFonts w:ascii="Verdana" w:hAnsi="Verdana"/>
          <w:sz w:val="20"/>
          <w:szCs w:val="20"/>
          <w:lang w:val="es-CR"/>
        </w:rPr>
        <w:t>A mi modo de ver en el seno de la Corte ha habido un debate en torno a lo que podríamos llamar dos visiones: la primera que el análisis de violaciones individuales a estos derechos se debe realizar exclusivamente en su relación con los derechos reconocido</w:t>
      </w:r>
      <w:r w:rsidR="0083255E" w:rsidRPr="004818F6">
        <w:rPr>
          <w:rFonts w:ascii="Verdana" w:hAnsi="Verdana"/>
          <w:sz w:val="20"/>
          <w:szCs w:val="20"/>
          <w:lang w:val="es-CR"/>
        </w:rPr>
        <w:t xml:space="preserve">s expresamente por los </w:t>
      </w:r>
      <w:r w:rsidRPr="004818F6">
        <w:rPr>
          <w:rFonts w:ascii="Verdana" w:hAnsi="Verdana"/>
          <w:sz w:val="20"/>
          <w:szCs w:val="20"/>
          <w:lang w:val="es-CR"/>
        </w:rPr>
        <w:t>artículos 3 al 25 de la Convención</w:t>
      </w:r>
      <w:r w:rsidR="0083255E" w:rsidRPr="004818F6">
        <w:rPr>
          <w:rFonts w:ascii="Verdana" w:hAnsi="Verdana"/>
          <w:sz w:val="20"/>
          <w:szCs w:val="20"/>
          <w:lang w:val="es-CR"/>
        </w:rPr>
        <w:t xml:space="preserve"> Americana sobre Derechos Humanos (en adelante, “la Convención”</w:t>
      </w:r>
      <w:r w:rsidR="002642CB" w:rsidRPr="004818F6">
        <w:rPr>
          <w:rFonts w:ascii="Verdana" w:hAnsi="Verdana"/>
          <w:sz w:val="20"/>
          <w:szCs w:val="20"/>
          <w:lang w:val="es-CR"/>
        </w:rPr>
        <w:t xml:space="preserve"> o “la Convención Americana”</w:t>
      </w:r>
      <w:r w:rsidR="0083255E" w:rsidRPr="004818F6">
        <w:rPr>
          <w:rFonts w:ascii="Verdana" w:hAnsi="Verdana"/>
          <w:sz w:val="20"/>
          <w:szCs w:val="20"/>
          <w:lang w:val="es-CR"/>
        </w:rPr>
        <w:t>)</w:t>
      </w:r>
      <w:r w:rsidRPr="004818F6">
        <w:rPr>
          <w:rFonts w:ascii="Verdana" w:hAnsi="Verdana"/>
          <w:sz w:val="20"/>
          <w:szCs w:val="20"/>
          <w:lang w:val="es-CR"/>
        </w:rPr>
        <w:t xml:space="preserve">, o bien sobre la base de lo expresamente permitido por el </w:t>
      </w:r>
      <w:r w:rsidR="0083255E" w:rsidRPr="004818F6">
        <w:rPr>
          <w:rFonts w:ascii="Verdana" w:hAnsi="Verdana"/>
          <w:sz w:val="20"/>
          <w:szCs w:val="20"/>
          <w:lang w:val="es-CR"/>
        </w:rPr>
        <w:t>Protocolo Adicional a la Convención Americana sobre Derechos Humanos en materia de Derechos Económicos, Sociales y Culturales “Protocolo de San Salvador” (en adelante, “Protocolo de San Salvador”).</w:t>
      </w:r>
      <w:r w:rsidRPr="004818F6">
        <w:rPr>
          <w:rFonts w:ascii="Verdana" w:hAnsi="Verdana"/>
          <w:sz w:val="20"/>
          <w:szCs w:val="20"/>
          <w:lang w:val="es-CR"/>
        </w:rPr>
        <w:t xml:space="preserve"> A mi entender</w:t>
      </w:r>
      <w:r w:rsidR="0083255E" w:rsidRPr="004818F6">
        <w:rPr>
          <w:rFonts w:ascii="Verdana" w:hAnsi="Verdana"/>
          <w:sz w:val="20"/>
          <w:szCs w:val="20"/>
          <w:lang w:val="es-CR"/>
        </w:rPr>
        <w:t>,</w:t>
      </w:r>
      <w:r w:rsidRPr="004818F6">
        <w:rPr>
          <w:rFonts w:ascii="Verdana" w:hAnsi="Verdana"/>
          <w:sz w:val="20"/>
          <w:szCs w:val="20"/>
          <w:lang w:val="es-CR"/>
        </w:rPr>
        <w:t xml:space="preserve"> esta </w:t>
      </w:r>
      <w:r w:rsidR="00CB6D1C" w:rsidRPr="004818F6">
        <w:rPr>
          <w:rFonts w:ascii="Verdana" w:hAnsi="Verdana"/>
          <w:sz w:val="20"/>
          <w:szCs w:val="20"/>
          <w:lang w:val="es-CR"/>
        </w:rPr>
        <w:t>visión</w:t>
      </w:r>
      <w:r w:rsidRPr="004818F6">
        <w:rPr>
          <w:rFonts w:ascii="Verdana" w:hAnsi="Verdana"/>
          <w:sz w:val="20"/>
          <w:szCs w:val="20"/>
          <w:lang w:val="es-CR"/>
        </w:rPr>
        <w:t xml:space="preserve"> se vio reflejada en casos como el </w:t>
      </w:r>
      <w:r w:rsidRPr="004818F6">
        <w:rPr>
          <w:rFonts w:ascii="Verdana" w:hAnsi="Verdana"/>
          <w:i/>
          <w:sz w:val="20"/>
          <w:szCs w:val="20"/>
          <w:lang w:val="es-CR"/>
        </w:rPr>
        <w:t xml:space="preserve">Caso “Instituto de Reeducación del Menor” Vs. Paraguay </w:t>
      </w:r>
      <w:r w:rsidRPr="004818F6">
        <w:rPr>
          <w:rFonts w:ascii="Verdana" w:hAnsi="Verdana"/>
          <w:sz w:val="20"/>
          <w:szCs w:val="20"/>
          <w:lang w:val="es-CR"/>
        </w:rPr>
        <w:t xml:space="preserve">(2004) o el </w:t>
      </w:r>
      <w:r w:rsidRPr="004818F6">
        <w:rPr>
          <w:rFonts w:ascii="Verdana" w:hAnsi="Verdana"/>
          <w:i/>
          <w:sz w:val="20"/>
          <w:szCs w:val="20"/>
          <w:lang w:val="es-CR"/>
        </w:rPr>
        <w:t xml:space="preserve">Caso Comunidad Indígena </w:t>
      </w:r>
      <w:proofErr w:type="spellStart"/>
      <w:r w:rsidRPr="004818F6">
        <w:rPr>
          <w:rFonts w:ascii="Verdana" w:hAnsi="Verdana"/>
          <w:i/>
          <w:sz w:val="20"/>
          <w:szCs w:val="20"/>
          <w:lang w:val="es-CR"/>
        </w:rPr>
        <w:t>Yakye</w:t>
      </w:r>
      <w:proofErr w:type="spellEnd"/>
      <w:r w:rsidRPr="004818F6">
        <w:rPr>
          <w:rFonts w:ascii="Verdana" w:hAnsi="Verdana"/>
          <w:i/>
          <w:sz w:val="20"/>
          <w:szCs w:val="20"/>
          <w:lang w:val="es-CR"/>
        </w:rPr>
        <w:t xml:space="preserve"> Axa Vs. Pa</w:t>
      </w:r>
      <w:r w:rsidR="00ED77C7" w:rsidRPr="004818F6">
        <w:rPr>
          <w:rFonts w:ascii="Verdana" w:hAnsi="Verdana"/>
          <w:i/>
          <w:sz w:val="20"/>
          <w:szCs w:val="20"/>
          <w:lang w:val="es-CR"/>
        </w:rPr>
        <w:t>r</w:t>
      </w:r>
      <w:r w:rsidRPr="004818F6">
        <w:rPr>
          <w:rFonts w:ascii="Verdana" w:hAnsi="Verdana"/>
          <w:i/>
          <w:sz w:val="20"/>
          <w:szCs w:val="20"/>
          <w:lang w:val="es-CR"/>
        </w:rPr>
        <w:t xml:space="preserve">aguay </w:t>
      </w:r>
      <w:r w:rsidRPr="004818F6">
        <w:rPr>
          <w:rFonts w:ascii="Verdana" w:hAnsi="Verdana"/>
          <w:sz w:val="20"/>
          <w:szCs w:val="20"/>
          <w:lang w:val="es-CR"/>
        </w:rPr>
        <w:t xml:space="preserve">(2005), por mencionar dos ejemplos, así como en el </w:t>
      </w:r>
      <w:r w:rsidRPr="004818F6">
        <w:rPr>
          <w:rFonts w:ascii="Verdana" w:hAnsi="Verdana"/>
          <w:i/>
          <w:sz w:val="20"/>
          <w:szCs w:val="20"/>
          <w:lang w:val="es-CR"/>
        </w:rPr>
        <w:t xml:space="preserve">Caso González </w:t>
      </w:r>
      <w:proofErr w:type="spellStart"/>
      <w:r w:rsidRPr="004818F6">
        <w:rPr>
          <w:rFonts w:ascii="Verdana" w:hAnsi="Verdana"/>
          <w:i/>
          <w:sz w:val="20"/>
          <w:szCs w:val="20"/>
          <w:lang w:val="es-CR"/>
        </w:rPr>
        <w:t>Lluy</w:t>
      </w:r>
      <w:proofErr w:type="spellEnd"/>
      <w:r w:rsidRPr="004818F6">
        <w:rPr>
          <w:rFonts w:ascii="Verdana" w:hAnsi="Verdana"/>
          <w:i/>
          <w:sz w:val="20"/>
          <w:szCs w:val="20"/>
          <w:lang w:val="es-CR"/>
        </w:rPr>
        <w:t xml:space="preserve"> Vs. Ecuador</w:t>
      </w:r>
      <w:r w:rsidRPr="004818F6">
        <w:rPr>
          <w:rFonts w:ascii="Verdana" w:hAnsi="Verdana"/>
          <w:sz w:val="20"/>
          <w:szCs w:val="20"/>
          <w:lang w:val="es-CR"/>
        </w:rPr>
        <w:t xml:space="preserve"> (2015).</w:t>
      </w:r>
    </w:p>
    <w:p w14:paraId="1695E96C" w14:textId="77777777" w:rsidR="00E91617" w:rsidRPr="004818F6" w:rsidRDefault="00E91617" w:rsidP="004818F6">
      <w:pPr>
        <w:pStyle w:val="Prrafodelista"/>
        <w:spacing w:line="252" w:lineRule="auto"/>
        <w:ind w:left="0"/>
        <w:jc w:val="both"/>
        <w:rPr>
          <w:rFonts w:ascii="Verdana" w:hAnsi="Verdana"/>
          <w:sz w:val="20"/>
          <w:szCs w:val="20"/>
          <w:lang w:val="es-CR"/>
        </w:rPr>
      </w:pPr>
    </w:p>
    <w:p w14:paraId="10289A72" w14:textId="77777777" w:rsidR="00E91617" w:rsidRPr="004818F6" w:rsidRDefault="00E91617" w:rsidP="004818F6">
      <w:pPr>
        <w:pStyle w:val="Prrafodelista"/>
        <w:numPr>
          <w:ilvl w:val="0"/>
          <w:numId w:val="2"/>
        </w:numPr>
        <w:spacing w:line="252" w:lineRule="auto"/>
        <w:ind w:left="0" w:firstLine="0"/>
        <w:jc w:val="both"/>
        <w:rPr>
          <w:rFonts w:ascii="Verdana" w:hAnsi="Verdana"/>
          <w:sz w:val="20"/>
          <w:szCs w:val="20"/>
          <w:lang w:val="es-CR"/>
        </w:rPr>
      </w:pPr>
      <w:r w:rsidRPr="004818F6">
        <w:rPr>
          <w:rFonts w:ascii="Verdana" w:hAnsi="Verdana"/>
          <w:sz w:val="20"/>
          <w:szCs w:val="20"/>
          <w:lang w:val="es-CR"/>
        </w:rPr>
        <w:t xml:space="preserve">La segunda visión es que la Corte tiene competencia para conocer violaciones autónomas a los DESCA sobre la base del artículo 26 de la Convención. Estos derechos –que serían justiciables de forma individual- se derivan implícita o explícitamente de la Carta de la Organización de Estados Americanos (en adelante, “Carta de la OEA”), así como de una pluralidad de instrumentos internacionales y nacionales que reconocen derechos, como son la Declaración Americana de los Derechos y Deberes del Hombre, el Protocolo de San Salvador, la Declaración Universal de los Derechos Humanos, el Pacto de Derechos Económicos Sociales y Culturales, e incluso las constituciones de los Estados parte de la Convención, entre otros. Esta es la tesis que ha imperado en la </w:t>
      </w:r>
      <w:r w:rsidRPr="004818F6">
        <w:rPr>
          <w:rFonts w:ascii="Verdana" w:hAnsi="Verdana"/>
          <w:sz w:val="20"/>
          <w:szCs w:val="20"/>
          <w:lang w:val="es-CR"/>
        </w:rPr>
        <w:lastRenderedPageBreak/>
        <w:t xml:space="preserve">mayor parte de los casos que se relacionan con los DESCA desde </w:t>
      </w:r>
      <w:r w:rsidRPr="004818F6">
        <w:rPr>
          <w:rFonts w:ascii="Verdana" w:hAnsi="Verdana"/>
          <w:i/>
          <w:sz w:val="20"/>
          <w:szCs w:val="20"/>
          <w:lang w:val="es-CR"/>
        </w:rPr>
        <w:t>Lagos del Campo Vs. Perú</w:t>
      </w:r>
      <w:r w:rsidRPr="004818F6">
        <w:rPr>
          <w:rFonts w:ascii="Verdana" w:hAnsi="Verdana"/>
          <w:sz w:val="20"/>
          <w:szCs w:val="20"/>
          <w:lang w:val="es-CR"/>
        </w:rPr>
        <w:t xml:space="preserve">, en materia de estabilidad laboral, así como en casos de derecho a la salud y a la seguridad social. En los mismos, la Corte ha calificado la responsabilidad internacional del Estado por violaciones de derechos sociales a partir del artículo 26 de la Convención. Este cambio jurisprudencial se dio a partir del </w:t>
      </w:r>
      <w:r w:rsidRPr="004818F6">
        <w:rPr>
          <w:rFonts w:ascii="Verdana" w:hAnsi="Verdana"/>
          <w:sz w:val="20"/>
          <w:szCs w:val="20"/>
          <w:lang w:val="es-ES"/>
        </w:rPr>
        <w:t>año 2017.</w:t>
      </w:r>
    </w:p>
    <w:p w14:paraId="00B9C276" w14:textId="77777777" w:rsidR="00E91617" w:rsidRPr="004818F6" w:rsidRDefault="00E91617" w:rsidP="004818F6">
      <w:pPr>
        <w:spacing w:line="252" w:lineRule="auto"/>
        <w:rPr>
          <w:rFonts w:ascii="Verdana" w:hAnsi="Verdana"/>
          <w:lang w:val="es-CR"/>
        </w:rPr>
      </w:pPr>
    </w:p>
    <w:p w14:paraId="7165E16F" w14:textId="77777777" w:rsidR="00E91617" w:rsidRPr="004818F6" w:rsidRDefault="00E91617" w:rsidP="004818F6">
      <w:pPr>
        <w:spacing w:line="252" w:lineRule="auto"/>
        <w:ind w:firstLine="708"/>
        <w:jc w:val="both"/>
        <w:rPr>
          <w:rFonts w:ascii="Verdana" w:eastAsia="Cambria" w:hAnsi="Verdana" w:cs="Cambria"/>
          <w:b/>
          <w:i/>
          <w:strike/>
          <w:color w:val="000000"/>
          <w:u w:color="000000"/>
          <w:lang w:val="es-CR" w:eastAsia="es-ES"/>
        </w:rPr>
      </w:pPr>
      <w:r w:rsidRPr="004818F6">
        <w:rPr>
          <w:rFonts w:ascii="Verdana" w:eastAsia="Cambria" w:hAnsi="Verdana" w:cs="Cambria"/>
          <w:b/>
          <w:i/>
          <w:color w:val="000000"/>
          <w:u w:color="000000"/>
          <w:lang w:val="es-CR" w:eastAsia="es-ES"/>
        </w:rPr>
        <w:t xml:space="preserve">III. Una tercera </w:t>
      </w:r>
      <w:r w:rsidR="00B027DC" w:rsidRPr="004818F6">
        <w:rPr>
          <w:rFonts w:ascii="Verdana" w:eastAsia="Cambria" w:hAnsi="Verdana" w:cs="Cambria"/>
          <w:b/>
          <w:i/>
          <w:color w:val="000000"/>
          <w:u w:color="000000"/>
          <w:lang w:val="es-CR" w:eastAsia="es-ES"/>
        </w:rPr>
        <w:t>visión</w:t>
      </w:r>
      <w:r w:rsidRPr="004818F6">
        <w:rPr>
          <w:rFonts w:ascii="Verdana" w:eastAsia="Cambria" w:hAnsi="Verdana" w:cs="Cambria"/>
          <w:b/>
          <w:i/>
          <w:color w:val="000000"/>
          <w:u w:color="000000"/>
          <w:lang w:val="es-CR" w:eastAsia="es-ES"/>
        </w:rPr>
        <w:t>: conexidad</w:t>
      </w:r>
      <w:r w:rsidRPr="004818F6">
        <w:rPr>
          <w:rFonts w:ascii="Verdana" w:eastAsia="Cambria" w:hAnsi="Verdana" w:cs="Cambria"/>
          <w:b/>
          <w:i/>
          <w:color w:val="000000"/>
          <w:u w:color="000000"/>
          <w:lang w:val="es-ES" w:eastAsia="es-ES"/>
        </w:rPr>
        <w:t xml:space="preserve">-simultaneidad </w:t>
      </w:r>
    </w:p>
    <w:p w14:paraId="6C8664D8" w14:textId="77777777" w:rsidR="00E91617" w:rsidRPr="004818F6" w:rsidRDefault="00E91617" w:rsidP="004818F6">
      <w:pPr>
        <w:pStyle w:val="Prrafodelista"/>
        <w:spacing w:line="252" w:lineRule="auto"/>
        <w:ind w:left="0"/>
        <w:jc w:val="both"/>
        <w:rPr>
          <w:rFonts w:ascii="Verdana" w:hAnsi="Verdana"/>
          <w:sz w:val="20"/>
          <w:szCs w:val="20"/>
          <w:lang w:val="es-CR"/>
        </w:rPr>
      </w:pPr>
    </w:p>
    <w:p w14:paraId="7AD7B212" w14:textId="77777777" w:rsidR="00E91617" w:rsidRPr="004818F6" w:rsidRDefault="00E91617" w:rsidP="004818F6">
      <w:pPr>
        <w:pStyle w:val="Prrafodelista"/>
        <w:numPr>
          <w:ilvl w:val="0"/>
          <w:numId w:val="2"/>
        </w:numPr>
        <w:spacing w:line="252" w:lineRule="auto"/>
        <w:ind w:left="0" w:firstLine="0"/>
        <w:jc w:val="both"/>
        <w:rPr>
          <w:rFonts w:ascii="Verdana" w:hAnsi="Verdana"/>
          <w:sz w:val="20"/>
          <w:szCs w:val="20"/>
          <w:lang w:val="es-CR"/>
        </w:rPr>
      </w:pPr>
      <w:r w:rsidRPr="004818F6">
        <w:rPr>
          <w:rFonts w:ascii="Verdana" w:hAnsi="Verdana"/>
          <w:sz w:val="20"/>
          <w:szCs w:val="20"/>
          <w:lang w:val="es-CR"/>
        </w:rPr>
        <w:t xml:space="preserve">El artículo 26 de la Convención es lo que podría denominarse un artículo marco que de manera general hace alusión a los DESCA sin especificar cuáles son y en qué consisten. Este artículo hace un redireccionamiento a la Carta de la OEA para su lectura y contenido. Por otro lado, el Protocolo de San Salvador, instrumento posterior a la Convención Americana, individualiza y da contenido a los DESCA. El Protocolo es explícito en señalar qué casos individuales respecto a DESCA pueden ser llevados a conocimiento de la Corte únicamente en lo que respecta a derechos sindicales y educación. Por su parte hay otros instrumentos del </w:t>
      </w:r>
      <w:r w:rsidRPr="004818F6">
        <w:rPr>
          <w:rFonts w:ascii="Verdana" w:hAnsi="Verdana"/>
          <w:i/>
          <w:sz w:val="20"/>
          <w:szCs w:val="20"/>
          <w:lang w:val="es-CR"/>
        </w:rPr>
        <w:t xml:space="preserve">corpus </w:t>
      </w:r>
      <w:proofErr w:type="spellStart"/>
      <w:r w:rsidRPr="004818F6">
        <w:rPr>
          <w:rFonts w:ascii="Verdana" w:hAnsi="Verdana"/>
          <w:i/>
          <w:sz w:val="20"/>
          <w:szCs w:val="20"/>
          <w:lang w:val="es-CR"/>
        </w:rPr>
        <w:t>juris</w:t>
      </w:r>
      <w:proofErr w:type="spellEnd"/>
      <w:r w:rsidRPr="004818F6">
        <w:rPr>
          <w:rFonts w:ascii="Verdana" w:hAnsi="Verdana"/>
          <w:sz w:val="20"/>
          <w:szCs w:val="20"/>
          <w:lang w:val="es-CR"/>
        </w:rPr>
        <w:t xml:space="preserve"> interamericano que hacen mención a los DESCA.</w:t>
      </w:r>
    </w:p>
    <w:p w14:paraId="3FD74344" w14:textId="77777777" w:rsidR="00E91617" w:rsidRPr="004818F6" w:rsidRDefault="00E91617" w:rsidP="004818F6">
      <w:pPr>
        <w:pStyle w:val="Prrafodelista"/>
        <w:spacing w:line="252" w:lineRule="auto"/>
        <w:ind w:left="0"/>
        <w:jc w:val="both"/>
        <w:rPr>
          <w:rFonts w:ascii="Verdana" w:hAnsi="Verdana"/>
          <w:sz w:val="20"/>
          <w:szCs w:val="20"/>
          <w:lang w:val="es-CR"/>
        </w:rPr>
      </w:pPr>
    </w:p>
    <w:p w14:paraId="403C62BE" w14:textId="77777777" w:rsidR="00E91617" w:rsidRPr="004818F6" w:rsidRDefault="00E91617" w:rsidP="004818F6">
      <w:pPr>
        <w:pStyle w:val="Prrafodelista"/>
        <w:numPr>
          <w:ilvl w:val="0"/>
          <w:numId w:val="2"/>
        </w:numPr>
        <w:spacing w:line="252" w:lineRule="auto"/>
        <w:ind w:left="0" w:firstLine="0"/>
        <w:jc w:val="both"/>
        <w:rPr>
          <w:rFonts w:ascii="Verdana" w:hAnsi="Verdana"/>
          <w:sz w:val="20"/>
          <w:szCs w:val="20"/>
          <w:lang w:val="es-CR"/>
        </w:rPr>
      </w:pPr>
      <w:r w:rsidRPr="004818F6">
        <w:rPr>
          <w:rFonts w:ascii="Verdana" w:hAnsi="Verdana"/>
          <w:sz w:val="20"/>
          <w:szCs w:val="20"/>
          <w:lang w:val="es-CR"/>
        </w:rPr>
        <w:t xml:space="preserve">Al inicio de este voto manifesté mi visión sobre la invisibilidad e interdependencia de los DH, esto me lleva a expresar que considero que la Corte IDH sí tiene competencia para conocer y pronunciarse sobre los DESCA. Esto mismo me permite hacer un análisis sistemático de la Convención, el Protocolo de San Salvador, la Carta de la OEA y otros instrumentos del </w:t>
      </w:r>
      <w:r w:rsidRPr="004818F6">
        <w:rPr>
          <w:rFonts w:ascii="Verdana" w:hAnsi="Verdana"/>
          <w:i/>
          <w:sz w:val="20"/>
          <w:szCs w:val="20"/>
          <w:lang w:val="es-CR"/>
        </w:rPr>
        <w:t xml:space="preserve">corpus </w:t>
      </w:r>
      <w:proofErr w:type="spellStart"/>
      <w:r w:rsidRPr="004818F6">
        <w:rPr>
          <w:rFonts w:ascii="Verdana" w:hAnsi="Verdana"/>
          <w:i/>
          <w:sz w:val="20"/>
          <w:szCs w:val="20"/>
          <w:lang w:val="es-CR"/>
        </w:rPr>
        <w:t>juris</w:t>
      </w:r>
      <w:proofErr w:type="spellEnd"/>
      <w:r w:rsidRPr="004818F6">
        <w:rPr>
          <w:rFonts w:ascii="Verdana" w:hAnsi="Verdana"/>
          <w:sz w:val="20"/>
          <w:szCs w:val="20"/>
          <w:lang w:val="es-CR"/>
        </w:rPr>
        <w:t xml:space="preserve"> interamericano. A continuación, trataré de explicar mi visión de los fundamentos en función de los cuales la Corte IDH puede conocer y pronunciarse sobre los DESCA.</w:t>
      </w:r>
    </w:p>
    <w:p w14:paraId="67A4E119" w14:textId="77777777" w:rsidR="00E91617" w:rsidRPr="004818F6" w:rsidRDefault="00E91617" w:rsidP="004818F6">
      <w:pPr>
        <w:pStyle w:val="Prrafodelista"/>
        <w:spacing w:line="252" w:lineRule="auto"/>
        <w:rPr>
          <w:rFonts w:ascii="Verdana" w:hAnsi="Verdana"/>
          <w:sz w:val="20"/>
          <w:szCs w:val="20"/>
          <w:lang w:val="es-CR"/>
        </w:rPr>
      </w:pPr>
    </w:p>
    <w:p w14:paraId="3B5C6043" w14:textId="77777777" w:rsidR="00E91617" w:rsidRPr="004818F6" w:rsidRDefault="00E91617" w:rsidP="004818F6">
      <w:pPr>
        <w:pStyle w:val="Prrafodelista"/>
        <w:numPr>
          <w:ilvl w:val="0"/>
          <w:numId w:val="2"/>
        </w:numPr>
        <w:spacing w:line="252" w:lineRule="auto"/>
        <w:ind w:left="0" w:firstLine="0"/>
        <w:jc w:val="both"/>
        <w:rPr>
          <w:rFonts w:ascii="Verdana" w:hAnsi="Verdana"/>
          <w:sz w:val="20"/>
          <w:szCs w:val="20"/>
          <w:lang w:val="es-CR"/>
        </w:rPr>
      </w:pPr>
      <w:r w:rsidRPr="004818F6">
        <w:rPr>
          <w:rFonts w:ascii="Verdana" w:hAnsi="Verdana"/>
          <w:sz w:val="20"/>
          <w:szCs w:val="20"/>
          <w:lang w:val="es-CR"/>
        </w:rPr>
        <w:t>La parte II de la Convención Americana, que trata de los medios de protección, señala en su artículo 44 que</w:t>
      </w:r>
      <w:r w:rsidRPr="004818F6">
        <w:rPr>
          <w:rFonts w:ascii="Verdana" w:hAnsi="Verdana"/>
          <w:sz w:val="20"/>
          <w:szCs w:val="20"/>
          <w:lang w:val="es-ES"/>
        </w:rPr>
        <w:t>:</w:t>
      </w:r>
      <w:r w:rsidRPr="004818F6">
        <w:rPr>
          <w:rFonts w:ascii="Verdana" w:hAnsi="Verdana"/>
          <w:sz w:val="20"/>
          <w:szCs w:val="20"/>
          <w:lang w:val="es-CR"/>
        </w:rPr>
        <w:t xml:space="preserve"> “Cualquier persona o grupo de perso</w:t>
      </w:r>
      <w:r w:rsidR="00B027DC" w:rsidRPr="004818F6">
        <w:rPr>
          <w:rFonts w:ascii="Verdana" w:hAnsi="Verdana"/>
          <w:sz w:val="20"/>
          <w:szCs w:val="20"/>
          <w:lang w:val="es-CR"/>
        </w:rPr>
        <w:t xml:space="preserve">nas (…) </w:t>
      </w:r>
      <w:r w:rsidRPr="004818F6">
        <w:rPr>
          <w:rFonts w:ascii="Verdana" w:hAnsi="Verdana"/>
          <w:sz w:val="20"/>
          <w:szCs w:val="20"/>
          <w:lang w:val="es-CR"/>
        </w:rPr>
        <w:t xml:space="preserve">puede presentar a la Comisión peticiones </w:t>
      </w:r>
      <w:r w:rsidRPr="004818F6">
        <w:rPr>
          <w:rFonts w:ascii="Verdana" w:hAnsi="Verdana"/>
          <w:sz w:val="20"/>
          <w:szCs w:val="20"/>
          <w:u w:val="single"/>
          <w:lang w:val="es-CR"/>
        </w:rPr>
        <w:t>que contengan denuncias o quejas de violación de esta Convención por un Estado parte”</w:t>
      </w:r>
      <w:r w:rsidRPr="004818F6">
        <w:rPr>
          <w:rFonts w:ascii="Verdana" w:hAnsi="Verdana"/>
          <w:sz w:val="20"/>
          <w:szCs w:val="20"/>
          <w:lang w:val="es-CR"/>
        </w:rPr>
        <w:t xml:space="preserve">. Por su parte, el artículo 48 indica que: “La Comisión, al recibir una petición o comunicación en la que </w:t>
      </w:r>
      <w:r w:rsidRPr="004818F6">
        <w:rPr>
          <w:rFonts w:ascii="Verdana" w:hAnsi="Verdana"/>
          <w:sz w:val="20"/>
          <w:szCs w:val="20"/>
          <w:u w:val="single"/>
          <w:lang w:val="es-CR"/>
        </w:rPr>
        <w:t>se alegue la violación de los derechos que consagra esta Convención</w:t>
      </w:r>
      <w:r w:rsidRPr="004818F6">
        <w:rPr>
          <w:rFonts w:ascii="Verdana" w:hAnsi="Verdana"/>
          <w:sz w:val="20"/>
          <w:szCs w:val="20"/>
          <w:lang w:val="es-CR"/>
        </w:rPr>
        <w:t xml:space="preserve">, procederá en los siguientes términos…”. De igual manera, el artículo 62 No 3 de la Convención indica que: “La Corte tiene competencia </w:t>
      </w:r>
      <w:r w:rsidRPr="004818F6">
        <w:rPr>
          <w:rFonts w:ascii="Verdana" w:hAnsi="Verdana"/>
          <w:sz w:val="20"/>
          <w:szCs w:val="20"/>
          <w:u w:val="single"/>
          <w:lang w:val="es-CR"/>
        </w:rPr>
        <w:t>para conocer cualquier caso relativo a la interpretación y aplicación de las disposiciones de esta Convención</w:t>
      </w:r>
      <w:r w:rsidRPr="004818F6">
        <w:rPr>
          <w:rFonts w:ascii="Verdana" w:hAnsi="Verdana"/>
          <w:sz w:val="20"/>
          <w:szCs w:val="20"/>
          <w:lang w:val="es-CR"/>
        </w:rPr>
        <w:t xml:space="preserve"> que le sea sometido…” (subrayados del autor).</w:t>
      </w:r>
    </w:p>
    <w:p w14:paraId="61E5BE8F" w14:textId="77777777" w:rsidR="00E91617" w:rsidRPr="004818F6" w:rsidRDefault="00E91617" w:rsidP="004818F6">
      <w:pPr>
        <w:pStyle w:val="Prrafodelista"/>
        <w:spacing w:line="252" w:lineRule="auto"/>
        <w:rPr>
          <w:rFonts w:ascii="Verdana" w:hAnsi="Verdana"/>
          <w:sz w:val="20"/>
          <w:szCs w:val="20"/>
          <w:lang w:val="es-CR"/>
        </w:rPr>
      </w:pPr>
    </w:p>
    <w:p w14:paraId="45CC5415" w14:textId="77777777" w:rsidR="00E91617" w:rsidRPr="004818F6" w:rsidRDefault="00E91617" w:rsidP="004818F6">
      <w:pPr>
        <w:pStyle w:val="Prrafodelista"/>
        <w:numPr>
          <w:ilvl w:val="0"/>
          <w:numId w:val="2"/>
        </w:numPr>
        <w:spacing w:line="252" w:lineRule="auto"/>
        <w:ind w:left="0" w:firstLine="0"/>
        <w:jc w:val="both"/>
        <w:rPr>
          <w:rFonts w:ascii="Verdana" w:hAnsi="Verdana"/>
          <w:sz w:val="20"/>
          <w:szCs w:val="20"/>
          <w:lang w:val="es-CR"/>
        </w:rPr>
      </w:pPr>
      <w:r w:rsidRPr="004818F6">
        <w:rPr>
          <w:rFonts w:ascii="Verdana" w:hAnsi="Verdana"/>
          <w:sz w:val="20"/>
          <w:szCs w:val="20"/>
          <w:lang w:val="es-CR"/>
        </w:rPr>
        <w:t xml:space="preserve">Los artículos de la Convención antes indicados son claros en cuanto a que cualquiera de los derechos indicados en la Convención (civiles, políticos, económicos, sociales, culturales y ambientales) pueden ser llevados a conocimiento de ambos órganos de protección y que éstos tienen competencia para conocer de los mismos. Los artículos en comento, no hacen distinciones entre civiles, políticos, sociales, culturales y ambientales en lo que respecta a la protección de los mismos. Por otro lado, pretender que los órganos de protección interamericanos solo puedan conocer los derechos civiles y políticos y no así los DESCA, sería contrario por un lado a la indivisibilidad e interdependencia de los derechos, y por el otro lado llevaría a una fragmentación de la protección internacional de la persona y de su titularidad como sujeto de derecho internacional. </w:t>
      </w:r>
    </w:p>
    <w:p w14:paraId="4AC28531" w14:textId="77777777" w:rsidR="00E91617" w:rsidRPr="004818F6" w:rsidRDefault="00E91617" w:rsidP="004818F6">
      <w:pPr>
        <w:pStyle w:val="Prrafodelista"/>
        <w:spacing w:line="252" w:lineRule="auto"/>
        <w:rPr>
          <w:rFonts w:ascii="Verdana" w:hAnsi="Verdana"/>
          <w:sz w:val="20"/>
          <w:szCs w:val="20"/>
          <w:lang w:val="es-CR"/>
        </w:rPr>
      </w:pPr>
    </w:p>
    <w:p w14:paraId="237C814B" w14:textId="77777777" w:rsidR="00E91617" w:rsidRPr="004818F6" w:rsidRDefault="00E91617" w:rsidP="004818F6">
      <w:pPr>
        <w:pStyle w:val="Prrafodelista"/>
        <w:numPr>
          <w:ilvl w:val="0"/>
          <w:numId w:val="2"/>
        </w:numPr>
        <w:spacing w:line="252" w:lineRule="auto"/>
        <w:ind w:left="0" w:firstLine="0"/>
        <w:jc w:val="both"/>
        <w:rPr>
          <w:rFonts w:ascii="Verdana" w:hAnsi="Verdana"/>
          <w:sz w:val="20"/>
          <w:szCs w:val="20"/>
          <w:lang w:val="es-CR"/>
        </w:rPr>
      </w:pPr>
      <w:r w:rsidRPr="004818F6">
        <w:rPr>
          <w:rFonts w:ascii="Verdana" w:hAnsi="Verdana"/>
          <w:sz w:val="20"/>
          <w:szCs w:val="20"/>
          <w:lang w:val="es-CR"/>
        </w:rPr>
        <w:t>En relación a lo anterior, es interesante destacar lo señalado en el artículo 4 del Protocolo de San Salvador en cuanto a la no admisión de restricciones de los DESCA. Sobre el particular, el artículo indicado señala que</w:t>
      </w:r>
      <w:r w:rsidRPr="004818F6">
        <w:rPr>
          <w:rFonts w:ascii="Verdana" w:hAnsi="Verdana"/>
          <w:sz w:val="20"/>
          <w:szCs w:val="20"/>
          <w:lang w:val="es-ES"/>
        </w:rPr>
        <w:t>:</w:t>
      </w:r>
      <w:r w:rsidRPr="004818F6">
        <w:rPr>
          <w:rFonts w:ascii="Verdana" w:hAnsi="Verdana"/>
          <w:sz w:val="20"/>
          <w:szCs w:val="20"/>
          <w:lang w:val="es-CR"/>
        </w:rPr>
        <w:t xml:space="preserve"> “</w:t>
      </w:r>
      <w:r w:rsidRPr="004818F6">
        <w:rPr>
          <w:rFonts w:ascii="Verdana" w:hAnsi="Verdana"/>
          <w:sz w:val="20"/>
          <w:szCs w:val="20"/>
          <w:u w:val="single"/>
          <w:lang w:val="es-CR"/>
        </w:rPr>
        <w:t xml:space="preserve">no </w:t>
      </w:r>
      <w:proofErr w:type="spellStart"/>
      <w:r w:rsidRPr="004818F6">
        <w:rPr>
          <w:rFonts w:ascii="Verdana" w:hAnsi="Verdana"/>
          <w:sz w:val="20"/>
          <w:szCs w:val="20"/>
          <w:u w:val="single"/>
          <w:lang w:val="es-CR"/>
        </w:rPr>
        <w:t>podr</w:t>
      </w:r>
      <w:proofErr w:type="spellEnd"/>
      <w:r w:rsidRPr="004818F6">
        <w:rPr>
          <w:rFonts w:ascii="Verdana" w:hAnsi="Verdana"/>
          <w:sz w:val="20"/>
          <w:szCs w:val="20"/>
          <w:u w:val="single"/>
          <w:lang w:val="es-ES"/>
        </w:rPr>
        <w:t>á</w:t>
      </w:r>
      <w:r w:rsidRPr="004818F6">
        <w:rPr>
          <w:rFonts w:ascii="Verdana" w:hAnsi="Verdana"/>
          <w:sz w:val="20"/>
          <w:szCs w:val="20"/>
          <w:u w:val="single"/>
          <w:lang w:val="es-CR"/>
        </w:rPr>
        <w:t xml:space="preserve"> restringirse</w:t>
      </w:r>
      <w:r w:rsidRPr="004818F6">
        <w:rPr>
          <w:rFonts w:ascii="Verdana" w:hAnsi="Verdana"/>
          <w:sz w:val="20"/>
          <w:szCs w:val="20"/>
          <w:lang w:val="es-CR"/>
        </w:rPr>
        <w:t xml:space="preserve"> o </w:t>
      </w:r>
      <w:r w:rsidRPr="004818F6">
        <w:rPr>
          <w:rFonts w:ascii="Verdana" w:hAnsi="Verdana"/>
          <w:sz w:val="20"/>
          <w:szCs w:val="20"/>
          <w:lang w:val="es-CR"/>
        </w:rPr>
        <w:lastRenderedPageBreak/>
        <w:t xml:space="preserve">menoscabarse ninguno de los derechos reconocidos o vigentes en un Estado en virtud de su legislación interna o de convenciones internacionales </w:t>
      </w:r>
      <w:r w:rsidRPr="004818F6">
        <w:rPr>
          <w:rFonts w:ascii="Verdana" w:hAnsi="Verdana"/>
          <w:sz w:val="20"/>
          <w:szCs w:val="20"/>
          <w:u w:val="single"/>
          <w:lang w:val="es-CR"/>
        </w:rPr>
        <w:t>a pretexto de que el presente Protocolo no los reconoce o los reconoce en menor grado”</w:t>
      </w:r>
      <w:r w:rsidRPr="004818F6">
        <w:rPr>
          <w:rFonts w:ascii="Verdana" w:hAnsi="Verdana"/>
          <w:sz w:val="20"/>
          <w:szCs w:val="20"/>
          <w:lang w:val="es-CR"/>
        </w:rPr>
        <w:t xml:space="preserve"> (subrayado del autor). A mi modo de ver, este artículo leído conjuntamente con la Convención Americana, permite concluir que no es de recibo restringir el acceso a la justicia interamericana respecto a alegadas violaciones de los DESCA invocando la Convención Americana, de hacerse se estaría en contra del propio Protocolo que no permite restricciones y como señalé anteriormente afectando a la persona como sujeto de derechos. Sería violatorio del principio de interpretación pro persona de los Derechos Humanos (art. 29 de la Convención Americana).</w:t>
      </w:r>
    </w:p>
    <w:p w14:paraId="7A78E193" w14:textId="77777777" w:rsidR="00E91617" w:rsidRPr="004818F6" w:rsidRDefault="00E91617" w:rsidP="004818F6">
      <w:pPr>
        <w:pStyle w:val="Prrafodelista"/>
        <w:spacing w:line="252" w:lineRule="auto"/>
        <w:rPr>
          <w:rFonts w:ascii="Verdana" w:hAnsi="Verdana"/>
          <w:sz w:val="20"/>
          <w:szCs w:val="20"/>
          <w:lang w:val="es-CR"/>
        </w:rPr>
      </w:pPr>
    </w:p>
    <w:p w14:paraId="0A72C19C" w14:textId="77777777" w:rsidR="00E91617" w:rsidRPr="004818F6" w:rsidRDefault="00E91617" w:rsidP="004818F6">
      <w:pPr>
        <w:pStyle w:val="Prrafodelista"/>
        <w:numPr>
          <w:ilvl w:val="0"/>
          <w:numId w:val="2"/>
        </w:numPr>
        <w:spacing w:line="252" w:lineRule="auto"/>
        <w:ind w:left="0" w:firstLine="0"/>
        <w:jc w:val="both"/>
        <w:rPr>
          <w:rFonts w:ascii="Verdana" w:hAnsi="Verdana"/>
          <w:sz w:val="20"/>
          <w:szCs w:val="20"/>
          <w:lang w:val="es-CR"/>
        </w:rPr>
      </w:pPr>
      <w:r w:rsidRPr="004818F6">
        <w:rPr>
          <w:rFonts w:ascii="Verdana" w:hAnsi="Verdana"/>
          <w:sz w:val="20"/>
          <w:szCs w:val="20"/>
          <w:lang w:val="es-CR"/>
        </w:rPr>
        <w:t>Por otro lado, no podemos ignorar que la adopción del Protocolo de San Salvador, al tiempo que avanzó en el contenido de los derechos, también delimitó expresamente la utilización del sistema de peticiones individuales respecto de solamente los derechos al trabajo y la educación. A mi modo de ver solo respecto de estos dos derechos (educación y trabajo) la Corte podrá ingresar considerando una violación autónoma de los DESCA a la luz de lo indicado en el artículo</w:t>
      </w:r>
      <w:r w:rsidRPr="004818F6">
        <w:rPr>
          <w:rFonts w:ascii="Verdana" w:hAnsi="Verdana"/>
          <w:sz w:val="20"/>
          <w:szCs w:val="20"/>
          <w:lang w:val="es-ES"/>
        </w:rPr>
        <w:t xml:space="preserve"> 19</w:t>
      </w:r>
      <w:r w:rsidR="0083255E" w:rsidRPr="004818F6">
        <w:rPr>
          <w:rFonts w:ascii="Verdana" w:hAnsi="Verdana"/>
          <w:sz w:val="20"/>
          <w:szCs w:val="20"/>
          <w:lang w:val="es-ES"/>
        </w:rPr>
        <w:t>,</w:t>
      </w:r>
      <w:r w:rsidRPr="004818F6">
        <w:rPr>
          <w:rFonts w:ascii="Verdana" w:hAnsi="Verdana"/>
          <w:sz w:val="20"/>
          <w:szCs w:val="20"/>
          <w:lang w:val="es-ES"/>
        </w:rPr>
        <w:t xml:space="preserve"> párrafo 6</w:t>
      </w:r>
      <w:r w:rsidR="0083255E" w:rsidRPr="004818F6">
        <w:rPr>
          <w:rFonts w:ascii="Verdana" w:hAnsi="Verdana"/>
          <w:sz w:val="20"/>
          <w:szCs w:val="20"/>
          <w:lang w:val="es-ES"/>
        </w:rPr>
        <w:t>,</w:t>
      </w:r>
      <w:r w:rsidRPr="004818F6">
        <w:rPr>
          <w:rFonts w:ascii="Verdana" w:hAnsi="Verdana"/>
          <w:sz w:val="20"/>
          <w:szCs w:val="20"/>
          <w:lang w:val="es-ES"/>
        </w:rPr>
        <w:t xml:space="preserve"> </w:t>
      </w:r>
      <w:r w:rsidRPr="004818F6">
        <w:rPr>
          <w:rFonts w:ascii="Verdana" w:hAnsi="Verdana"/>
          <w:sz w:val="20"/>
          <w:szCs w:val="20"/>
          <w:lang w:val="es-CR"/>
        </w:rPr>
        <w:t xml:space="preserve">del Protocolo </w:t>
      </w:r>
      <w:r w:rsidR="0083255E" w:rsidRPr="004818F6">
        <w:rPr>
          <w:rFonts w:ascii="Verdana" w:hAnsi="Verdana"/>
          <w:sz w:val="20"/>
          <w:szCs w:val="20"/>
          <w:lang w:val="es-CR"/>
        </w:rPr>
        <w:t>de San Salvador.</w:t>
      </w:r>
    </w:p>
    <w:p w14:paraId="6F7A453A" w14:textId="77777777" w:rsidR="00E91617" w:rsidRPr="004818F6" w:rsidRDefault="00E91617" w:rsidP="004818F6">
      <w:pPr>
        <w:pStyle w:val="Prrafodelista"/>
        <w:spacing w:line="252" w:lineRule="auto"/>
        <w:rPr>
          <w:rFonts w:ascii="Verdana" w:hAnsi="Verdana"/>
          <w:sz w:val="20"/>
          <w:szCs w:val="20"/>
          <w:lang w:val="es-CR"/>
        </w:rPr>
      </w:pPr>
    </w:p>
    <w:p w14:paraId="40BEADD1" w14:textId="77777777" w:rsidR="00080B7F" w:rsidRPr="004818F6" w:rsidRDefault="00E91617" w:rsidP="004818F6">
      <w:pPr>
        <w:pStyle w:val="Prrafodelista"/>
        <w:numPr>
          <w:ilvl w:val="0"/>
          <w:numId w:val="2"/>
        </w:numPr>
        <w:spacing w:line="252" w:lineRule="auto"/>
        <w:ind w:left="0" w:firstLine="0"/>
        <w:jc w:val="both"/>
        <w:rPr>
          <w:rFonts w:ascii="Verdana" w:hAnsi="Verdana"/>
          <w:sz w:val="20"/>
          <w:szCs w:val="20"/>
          <w:lang w:val="es-CR"/>
        </w:rPr>
      </w:pPr>
      <w:r w:rsidRPr="004818F6">
        <w:rPr>
          <w:rFonts w:ascii="Verdana" w:hAnsi="Verdana"/>
          <w:sz w:val="20"/>
          <w:szCs w:val="20"/>
          <w:lang w:val="es-CR"/>
        </w:rPr>
        <w:t>Sin perjuicio de lo anterior, haciendo una interpretación armónica de los instrumentos americanos nada impide al tribunal que a través de la consideración de la interdependencia e indivisibilidad de los derechos civiles y políticos por un lado y los económicos, sociales y culturales por el otro, pueda pronunciarse sobre los DESCA a partir de la conexidad e interrelación entre uno y otros. Toda vez que un mismo hecho por acción u omisión simultáneamente puede significar a la vez la violación de un derecho Civil y Político y de un DESCA, a la que se podrá ingresar en función de su trascendencia. Lo que ha ocurrido en el presente caso como paso a explicar.</w:t>
      </w:r>
    </w:p>
    <w:p w14:paraId="6E1F0C8E" w14:textId="77777777" w:rsidR="0075653D" w:rsidRPr="004818F6" w:rsidRDefault="0075653D" w:rsidP="004818F6">
      <w:pPr>
        <w:pStyle w:val="Prrafodelista"/>
        <w:spacing w:line="252" w:lineRule="auto"/>
        <w:rPr>
          <w:rFonts w:ascii="Verdana" w:hAnsi="Verdana"/>
          <w:sz w:val="20"/>
          <w:szCs w:val="20"/>
          <w:lang w:val="es-CR"/>
        </w:rPr>
      </w:pPr>
    </w:p>
    <w:p w14:paraId="3831976D" w14:textId="77777777" w:rsidR="0075653D" w:rsidRPr="004818F6" w:rsidRDefault="00DA69C0" w:rsidP="004818F6">
      <w:pPr>
        <w:spacing w:line="252" w:lineRule="auto"/>
        <w:ind w:firstLine="708"/>
        <w:jc w:val="both"/>
        <w:rPr>
          <w:rFonts w:ascii="Verdana" w:hAnsi="Verdana"/>
          <w:b/>
          <w:i/>
          <w:lang w:val="es-CR"/>
        </w:rPr>
      </w:pPr>
      <w:r w:rsidRPr="004818F6">
        <w:rPr>
          <w:rFonts w:ascii="Verdana" w:hAnsi="Verdana"/>
          <w:b/>
          <w:i/>
          <w:lang w:val="es-CR"/>
        </w:rPr>
        <w:t>IV</w:t>
      </w:r>
      <w:r w:rsidR="0075653D" w:rsidRPr="004818F6">
        <w:rPr>
          <w:rFonts w:ascii="Verdana" w:hAnsi="Verdana"/>
          <w:b/>
          <w:i/>
          <w:lang w:val="es-CR"/>
        </w:rPr>
        <w:t>. El caso Hernández</w:t>
      </w:r>
    </w:p>
    <w:p w14:paraId="618B038B" w14:textId="77777777" w:rsidR="0075653D" w:rsidRPr="004818F6" w:rsidRDefault="0075653D" w:rsidP="004818F6">
      <w:pPr>
        <w:spacing w:line="252" w:lineRule="auto"/>
        <w:jc w:val="both"/>
        <w:rPr>
          <w:rFonts w:ascii="Verdana" w:hAnsi="Verdana"/>
          <w:lang w:val="es-CR"/>
        </w:rPr>
      </w:pPr>
    </w:p>
    <w:p w14:paraId="2D13C842" w14:textId="77777777" w:rsidR="0075653D" w:rsidRPr="004818F6" w:rsidRDefault="002370EC" w:rsidP="004818F6">
      <w:pPr>
        <w:pStyle w:val="Prrafodelista"/>
        <w:numPr>
          <w:ilvl w:val="0"/>
          <w:numId w:val="2"/>
        </w:numPr>
        <w:spacing w:line="252" w:lineRule="auto"/>
        <w:ind w:left="0" w:firstLine="0"/>
        <w:jc w:val="both"/>
        <w:rPr>
          <w:rFonts w:ascii="Verdana" w:hAnsi="Verdana"/>
          <w:sz w:val="20"/>
          <w:szCs w:val="20"/>
          <w:lang w:val="es-CR"/>
        </w:rPr>
      </w:pPr>
      <w:r w:rsidRPr="004818F6">
        <w:rPr>
          <w:rFonts w:ascii="Verdana" w:hAnsi="Verdana"/>
          <w:sz w:val="20"/>
          <w:szCs w:val="20"/>
          <w:lang w:val="es-CR"/>
        </w:rPr>
        <w:t>En el presente caso también se pudo realizar un anális</w:t>
      </w:r>
      <w:r w:rsidR="00B027DC" w:rsidRPr="004818F6">
        <w:rPr>
          <w:rFonts w:ascii="Verdana" w:hAnsi="Verdana"/>
          <w:sz w:val="20"/>
          <w:szCs w:val="20"/>
          <w:lang w:val="es-CR"/>
        </w:rPr>
        <w:t xml:space="preserve">is como el que propuse para el </w:t>
      </w:r>
      <w:r w:rsidR="00B027DC" w:rsidRPr="004818F6">
        <w:rPr>
          <w:rFonts w:ascii="Verdana" w:hAnsi="Verdana"/>
          <w:i/>
          <w:sz w:val="20"/>
          <w:szCs w:val="20"/>
          <w:lang w:val="es-CR"/>
        </w:rPr>
        <w:t>C</w:t>
      </w:r>
      <w:r w:rsidRPr="004818F6">
        <w:rPr>
          <w:rFonts w:ascii="Verdana" w:hAnsi="Verdana"/>
          <w:i/>
          <w:sz w:val="20"/>
          <w:szCs w:val="20"/>
          <w:lang w:val="es-CR"/>
        </w:rPr>
        <w:t>aso ANCEJUB-SUNAT</w:t>
      </w:r>
      <w:r w:rsidRPr="004818F6">
        <w:rPr>
          <w:rFonts w:ascii="Verdana" w:hAnsi="Verdana"/>
          <w:sz w:val="20"/>
          <w:szCs w:val="20"/>
          <w:lang w:val="es-CR"/>
        </w:rPr>
        <w:t xml:space="preserve">. De la Sentencia </w:t>
      </w:r>
      <w:r w:rsidR="0070361C" w:rsidRPr="004818F6">
        <w:rPr>
          <w:rFonts w:ascii="Verdana" w:hAnsi="Verdana"/>
          <w:sz w:val="20"/>
          <w:szCs w:val="20"/>
          <w:lang w:val="es-CR"/>
        </w:rPr>
        <w:t xml:space="preserve">se desprende que el motivo que da lugar a la violación a los derechos a la integridad personal y a la salud fueron las condiciones carcelarias que enfrentó </w:t>
      </w:r>
      <w:r w:rsidR="00EC257E" w:rsidRPr="004818F6">
        <w:rPr>
          <w:rFonts w:ascii="Verdana" w:hAnsi="Verdana"/>
          <w:sz w:val="20"/>
          <w:szCs w:val="20"/>
          <w:lang w:val="es-CR"/>
        </w:rPr>
        <w:t xml:space="preserve">el señor José Luis Hernández </w:t>
      </w:r>
      <w:r w:rsidR="001D52D9" w:rsidRPr="004818F6">
        <w:rPr>
          <w:rFonts w:ascii="Verdana" w:hAnsi="Verdana"/>
          <w:sz w:val="20"/>
          <w:szCs w:val="20"/>
          <w:lang w:val="es-CR"/>
        </w:rPr>
        <w:t xml:space="preserve">mientras </w:t>
      </w:r>
      <w:r w:rsidR="00EC257E" w:rsidRPr="004818F6">
        <w:rPr>
          <w:rFonts w:ascii="Verdana" w:hAnsi="Verdana"/>
          <w:sz w:val="20"/>
          <w:szCs w:val="20"/>
          <w:lang w:val="es-CR"/>
        </w:rPr>
        <w:t>se</w:t>
      </w:r>
      <w:r w:rsidR="0070361C" w:rsidRPr="004818F6">
        <w:rPr>
          <w:rFonts w:ascii="Verdana" w:hAnsi="Verdana"/>
          <w:sz w:val="20"/>
          <w:szCs w:val="20"/>
          <w:lang w:val="es-CR"/>
        </w:rPr>
        <w:t xml:space="preserve"> encontraba detenido en una cárcel que no tenía espacio suficiente para albergar al número de reclusos, y por la falta de atención médica adecuada a la enfermedad que </w:t>
      </w:r>
      <w:r w:rsidR="00D00702" w:rsidRPr="004818F6">
        <w:rPr>
          <w:rFonts w:ascii="Verdana" w:hAnsi="Verdana"/>
          <w:color w:val="auto"/>
          <w:sz w:val="20"/>
          <w:szCs w:val="20"/>
          <w:lang w:val="es-CR"/>
        </w:rPr>
        <w:t xml:space="preserve">adquirió y </w:t>
      </w:r>
      <w:r w:rsidR="0070361C" w:rsidRPr="004818F6">
        <w:rPr>
          <w:rFonts w:ascii="Verdana" w:hAnsi="Verdana"/>
          <w:color w:val="auto"/>
          <w:sz w:val="20"/>
          <w:szCs w:val="20"/>
          <w:lang w:val="es-CR"/>
        </w:rPr>
        <w:t xml:space="preserve">padeció durante </w:t>
      </w:r>
      <w:r w:rsidR="00D00702" w:rsidRPr="004818F6">
        <w:rPr>
          <w:rFonts w:ascii="Verdana" w:hAnsi="Verdana"/>
          <w:color w:val="auto"/>
          <w:sz w:val="20"/>
          <w:szCs w:val="20"/>
          <w:lang w:val="es-CR"/>
        </w:rPr>
        <w:t>el</w:t>
      </w:r>
      <w:r w:rsidR="0070361C" w:rsidRPr="004818F6">
        <w:rPr>
          <w:rFonts w:ascii="Verdana" w:hAnsi="Verdana"/>
          <w:color w:val="auto"/>
          <w:sz w:val="20"/>
          <w:szCs w:val="20"/>
          <w:lang w:val="es-CR"/>
        </w:rPr>
        <w:t xml:space="preserve"> tiempo</w:t>
      </w:r>
      <w:r w:rsidR="00D00702" w:rsidRPr="004818F6">
        <w:rPr>
          <w:rFonts w:ascii="Verdana" w:hAnsi="Verdana"/>
          <w:color w:val="auto"/>
          <w:sz w:val="20"/>
          <w:szCs w:val="20"/>
          <w:lang w:val="es-CR"/>
        </w:rPr>
        <w:t xml:space="preserve"> de reclusión</w:t>
      </w:r>
      <w:r w:rsidR="0070361C" w:rsidRPr="004818F6">
        <w:rPr>
          <w:rFonts w:ascii="Verdana" w:hAnsi="Verdana"/>
          <w:color w:val="auto"/>
          <w:sz w:val="20"/>
          <w:szCs w:val="20"/>
          <w:lang w:val="es-CR"/>
        </w:rPr>
        <w:t xml:space="preserve">. </w:t>
      </w:r>
      <w:r w:rsidR="001D52D9" w:rsidRPr="004818F6">
        <w:rPr>
          <w:rFonts w:ascii="Verdana" w:hAnsi="Verdana"/>
          <w:sz w:val="20"/>
          <w:szCs w:val="20"/>
          <w:lang w:val="es-CR"/>
        </w:rPr>
        <w:t>Esta situación</w:t>
      </w:r>
      <w:r w:rsidR="0070361C" w:rsidRPr="004818F6">
        <w:rPr>
          <w:rFonts w:ascii="Verdana" w:hAnsi="Verdana"/>
          <w:sz w:val="20"/>
          <w:szCs w:val="20"/>
          <w:lang w:val="es-CR"/>
        </w:rPr>
        <w:t xml:space="preserve"> le habría </w:t>
      </w:r>
      <w:r w:rsidR="00EC257E" w:rsidRPr="004818F6">
        <w:rPr>
          <w:rFonts w:ascii="Verdana" w:hAnsi="Verdana"/>
          <w:sz w:val="20"/>
          <w:szCs w:val="20"/>
          <w:lang w:val="es-CR"/>
        </w:rPr>
        <w:t xml:space="preserve">provocado sufrimiento y </w:t>
      </w:r>
      <w:r w:rsidR="0070361C" w:rsidRPr="004818F6">
        <w:rPr>
          <w:rFonts w:ascii="Verdana" w:hAnsi="Verdana"/>
          <w:sz w:val="20"/>
          <w:szCs w:val="20"/>
          <w:lang w:val="es-CR"/>
        </w:rPr>
        <w:t xml:space="preserve">dejado graves secuelas a su salud y a su calidad de vida. </w:t>
      </w:r>
      <w:r w:rsidR="001D52D9" w:rsidRPr="004818F6">
        <w:rPr>
          <w:rFonts w:ascii="Verdana" w:hAnsi="Verdana"/>
          <w:sz w:val="20"/>
          <w:szCs w:val="20"/>
          <w:lang w:val="es-CR"/>
        </w:rPr>
        <w:t>Es así que</w:t>
      </w:r>
      <w:r w:rsidR="0070361C" w:rsidRPr="004818F6">
        <w:rPr>
          <w:rFonts w:ascii="Verdana" w:hAnsi="Verdana"/>
          <w:sz w:val="20"/>
          <w:szCs w:val="20"/>
          <w:lang w:val="es-CR"/>
        </w:rPr>
        <w:t xml:space="preserve"> se acreditó la existencia de un nexo causal entre las acciones u omisiones del Estado en las condiciones de detención y la falta de atención médica del señor Hernández</w:t>
      </w:r>
      <w:r w:rsidR="000F1478" w:rsidRPr="004818F6">
        <w:rPr>
          <w:rFonts w:ascii="Verdana" w:hAnsi="Verdana"/>
          <w:sz w:val="20"/>
          <w:szCs w:val="20"/>
          <w:lang w:val="es-CR"/>
        </w:rPr>
        <w:t>,</w:t>
      </w:r>
      <w:r w:rsidR="0070361C" w:rsidRPr="004818F6">
        <w:rPr>
          <w:rFonts w:ascii="Verdana" w:hAnsi="Verdana"/>
          <w:sz w:val="20"/>
          <w:szCs w:val="20"/>
          <w:lang w:val="es-CR"/>
        </w:rPr>
        <w:t xml:space="preserve"> y la violación a su derecho a la integridad personal y </w:t>
      </w:r>
      <w:r w:rsidR="000F1478" w:rsidRPr="004818F6">
        <w:rPr>
          <w:rFonts w:ascii="Verdana" w:hAnsi="Verdana"/>
          <w:sz w:val="20"/>
          <w:szCs w:val="20"/>
          <w:lang w:val="es-CR"/>
        </w:rPr>
        <w:t>a la salud. En consecuencia, se declaró la responsabilidad internacional del Estado por la violación a los artículos 5.1, 5.2 y 26 de la Convención.</w:t>
      </w:r>
    </w:p>
    <w:p w14:paraId="6AF660DE" w14:textId="77777777" w:rsidR="000F1478" w:rsidRPr="004818F6" w:rsidRDefault="000F1478" w:rsidP="004818F6">
      <w:pPr>
        <w:pStyle w:val="Prrafodelista"/>
        <w:spacing w:line="252" w:lineRule="auto"/>
        <w:ind w:left="0"/>
        <w:jc w:val="both"/>
        <w:rPr>
          <w:rFonts w:ascii="Verdana" w:hAnsi="Verdana"/>
          <w:sz w:val="20"/>
          <w:szCs w:val="20"/>
          <w:lang w:val="es-CR"/>
        </w:rPr>
      </w:pPr>
    </w:p>
    <w:p w14:paraId="08EF1D23" w14:textId="77777777" w:rsidR="000F1478" w:rsidRPr="004818F6" w:rsidRDefault="009C5528" w:rsidP="004818F6">
      <w:pPr>
        <w:pStyle w:val="Prrafodelista"/>
        <w:numPr>
          <w:ilvl w:val="0"/>
          <w:numId w:val="2"/>
        </w:numPr>
        <w:spacing w:line="252" w:lineRule="auto"/>
        <w:ind w:left="0" w:firstLine="0"/>
        <w:jc w:val="both"/>
        <w:rPr>
          <w:rFonts w:ascii="Verdana" w:hAnsi="Verdana"/>
          <w:sz w:val="20"/>
          <w:szCs w:val="20"/>
          <w:lang w:val="es-CR"/>
        </w:rPr>
      </w:pPr>
      <w:r w:rsidRPr="004818F6">
        <w:rPr>
          <w:rFonts w:ascii="Verdana" w:hAnsi="Verdana"/>
          <w:sz w:val="20"/>
          <w:szCs w:val="20"/>
          <w:lang w:val="es-CR"/>
        </w:rPr>
        <w:t xml:space="preserve">En esencia comparto el contenido del análisis que se realizó respecto del derecho a la integridad personal y la salud, y por esa razón voté a favor de la Sentencia. Sin embargo, al igual que en </w:t>
      </w:r>
      <w:r w:rsidRPr="004818F6">
        <w:rPr>
          <w:rFonts w:ascii="Verdana" w:hAnsi="Verdana"/>
          <w:i/>
          <w:sz w:val="20"/>
          <w:szCs w:val="20"/>
          <w:lang w:val="es-CR"/>
        </w:rPr>
        <w:t>ANCEJUB-SUNAT</w:t>
      </w:r>
      <w:r w:rsidRPr="004818F6">
        <w:rPr>
          <w:rFonts w:ascii="Verdana" w:hAnsi="Verdana"/>
          <w:sz w:val="20"/>
          <w:szCs w:val="20"/>
          <w:lang w:val="es-CR"/>
        </w:rPr>
        <w:t>, considero que la forma más adecuada de analizar el caso habría sido a través de la tesis de la simultaneidad. En ese sentido, no era necesario declarar una violación autónoma y separada del derecho a la salud a partir del artículo 26 de la Convención (</w:t>
      </w:r>
      <w:r w:rsidR="001D6C6A" w:rsidRPr="004818F6">
        <w:rPr>
          <w:rFonts w:ascii="Verdana" w:hAnsi="Verdana"/>
          <w:sz w:val="20"/>
          <w:szCs w:val="20"/>
          <w:lang w:val="es-CR"/>
        </w:rPr>
        <w:t xml:space="preserve">como se hizo en cerca de catorce páginas </w:t>
      </w:r>
      <w:r w:rsidR="00EC257E" w:rsidRPr="004818F6">
        <w:rPr>
          <w:rFonts w:ascii="Verdana" w:hAnsi="Verdana"/>
          <w:sz w:val="20"/>
          <w:szCs w:val="20"/>
          <w:lang w:val="es-CR"/>
        </w:rPr>
        <w:t>en</w:t>
      </w:r>
      <w:r w:rsidR="002642CB" w:rsidRPr="004818F6">
        <w:rPr>
          <w:rFonts w:ascii="Verdana" w:hAnsi="Verdana"/>
          <w:sz w:val="20"/>
          <w:szCs w:val="20"/>
          <w:lang w:val="es-CR"/>
        </w:rPr>
        <w:t xml:space="preserve"> los </w:t>
      </w:r>
      <w:proofErr w:type="spellStart"/>
      <w:r w:rsidR="002642CB" w:rsidRPr="004818F6">
        <w:rPr>
          <w:rFonts w:ascii="Verdana" w:hAnsi="Verdana"/>
          <w:sz w:val="20"/>
          <w:szCs w:val="20"/>
          <w:lang w:val="es-CR"/>
        </w:rPr>
        <w:t>párrs</w:t>
      </w:r>
      <w:proofErr w:type="spellEnd"/>
      <w:r w:rsidR="002642CB" w:rsidRPr="004818F6">
        <w:rPr>
          <w:rFonts w:ascii="Verdana" w:hAnsi="Verdana"/>
          <w:sz w:val="20"/>
          <w:szCs w:val="20"/>
          <w:lang w:val="es-CR"/>
        </w:rPr>
        <w:t>. 54-96</w:t>
      </w:r>
      <w:r w:rsidRPr="004818F6">
        <w:rPr>
          <w:rFonts w:ascii="Verdana" w:hAnsi="Verdana"/>
          <w:sz w:val="20"/>
          <w:szCs w:val="20"/>
          <w:lang w:val="es-CR"/>
        </w:rPr>
        <w:t>)</w:t>
      </w:r>
      <w:r w:rsidR="00E43FC6" w:rsidRPr="004818F6">
        <w:rPr>
          <w:rFonts w:ascii="Verdana" w:hAnsi="Verdana"/>
          <w:sz w:val="20"/>
          <w:szCs w:val="20"/>
          <w:lang w:val="es-CR"/>
        </w:rPr>
        <w:t xml:space="preserve">. Lo pertinente habría sido realizar una calificación </w:t>
      </w:r>
      <w:r w:rsidR="00E43FC6" w:rsidRPr="004818F6">
        <w:rPr>
          <w:rFonts w:ascii="Verdana" w:hAnsi="Verdana"/>
          <w:sz w:val="20"/>
          <w:szCs w:val="20"/>
          <w:lang w:val="es-CR"/>
        </w:rPr>
        <w:lastRenderedPageBreak/>
        <w:t>conjunta de los artículos 5 y 26 de la Convención, con un análisis delimitado –y breve- de la afectación del derecho a la salud por la falta de acceso a un tratamiento médico adecuado en circunstancias de privación de libertad</w:t>
      </w:r>
      <w:r w:rsidR="00AE3CCB" w:rsidRPr="004818F6">
        <w:rPr>
          <w:rFonts w:ascii="Verdana" w:hAnsi="Verdana"/>
          <w:sz w:val="20"/>
          <w:szCs w:val="20"/>
          <w:lang w:val="es-CR"/>
        </w:rPr>
        <w:t>, en su relación con la afectación a la integridad personal</w:t>
      </w:r>
      <w:r w:rsidR="00E43FC6" w:rsidRPr="004818F6">
        <w:rPr>
          <w:rFonts w:ascii="Verdana" w:hAnsi="Verdana"/>
          <w:sz w:val="20"/>
          <w:szCs w:val="20"/>
          <w:lang w:val="es-CR"/>
        </w:rPr>
        <w:t xml:space="preserve">. Este tipo de análisis también </w:t>
      </w:r>
      <w:r w:rsidR="00AE3CCB" w:rsidRPr="004818F6">
        <w:rPr>
          <w:rFonts w:ascii="Verdana" w:hAnsi="Verdana"/>
          <w:color w:val="auto"/>
          <w:sz w:val="20"/>
          <w:szCs w:val="20"/>
          <w:lang w:val="es-CR"/>
        </w:rPr>
        <w:t>podría haber evitado</w:t>
      </w:r>
      <w:r w:rsidR="00E43FC6" w:rsidRPr="004818F6">
        <w:rPr>
          <w:rFonts w:ascii="Verdana" w:hAnsi="Verdana"/>
          <w:sz w:val="20"/>
          <w:szCs w:val="20"/>
          <w:lang w:val="es-CR"/>
        </w:rPr>
        <w:t xml:space="preserve"> acudir a la invocación del principio de </w:t>
      </w:r>
      <w:proofErr w:type="spellStart"/>
      <w:r w:rsidR="00E43FC6" w:rsidRPr="004818F6">
        <w:rPr>
          <w:rFonts w:ascii="Verdana" w:hAnsi="Verdana"/>
          <w:i/>
          <w:sz w:val="20"/>
          <w:szCs w:val="20"/>
          <w:lang w:val="es-CR"/>
        </w:rPr>
        <w:t>iura</w:t>
      </w:r>
      <w:proofErr w:type="spellEnd"/>
      <w:r w:rsidR="00E43FC6" w:rsidRPr="004818F6">
        <w:rPr>
          <w:rFonts w:ascii="Verdana" w:hAnsi="Verdana"/>
          <w:i/>
          <w:sz w:val="20"/>
          <w:szCs w:val="20"/>
          <w:lang w:val="es-CR"/>
        </w:rPr>
        <w:t xml:space="preserve"> </w:t>
      </w:r>
      <w:proofErr w:type="spellStart"/>
      <w:r w:rsidR="00E43FC6" w:rsidRPr="004818F6">
        <w:rPr>
          <w:rFonts w:ascii="Verdana" w:hAnsi="Verdana"/>
          <w:i/>
          <w:sz w:val="20"/>
          <w:szCs w:val="20"/>
          <w:lang w:val="es-CR"/>
        </w:rPr>
        <w:t>novit</w:t>
      </w:r>
      <w:proofErr w:type="spellEnd"/>
      <w:r w:rsidR="00E43FC6" w:rsidRPr="004818F6">
        <w:rPr>
          <w:rFonts w:ascii="Verdana" w:hAnsi="Verdana"/>
          <w:i/>
          <w:sz w:val="20"/>
          <w:szCs w:val="20"/>
          <w:lang w:val="es-CR"/>
        </w:rPr>
        <w:t xml:space="preserve"> curia </w:t>
      </w:r>
      <w:r w:rsidR="001568CA" w:rsidRPr="004818F6">
        <w:rPr>
          <w:rFonts w:ascii="Verdana" w:hAnsi="Verdana"/>
          <w:sz w:val="20"/>
          <w:szCs w:val="20"/>
          <w:lang w:val="es-CR"/>
        </w:rPr>
        <w:t>en el caso (con el subsecuente desgaste que conlleva)</w:t>
      </w:r>
      <w:r w:rsidR="004C07C8" w:rsidRPr="004818F6">
        <w:rPr>
          <w:rFonts w:ascii="Verdana" w:hAnsi="Verdana"/>
          <w:sz w:val="20"/>
          <w:szCs w:val="20"/>
          <w:lang w:val="es-CR"/>
        </w:rPr>
        <w:t xml:space="preserve"> y en cambio subrayaría la interdependencia e indivisibilidad que existe entre el derecho a la integridad personal y a la salud de las personas privadas de libertad.</w:t>
      </w:r>
    </w:p>
    <w:p w14:paraId="583D7E30" w14:textId="77777777" w:rsidR="00E26551" w:rsidRPr="004818F6" w:rsidRDefault="00E26551" w:rsidP="004818F6">
      <w:pPr>
        <w:pStyle w:val="Prrafodelista"/>
        <w:spacing w:line="252" w:lineRule="auto"/>
        <w:rPr>
          <w:rFonts w:ascii="Verdana" w:hAnsi="Verdana"/>
          <w:color w:val="FF0000"/>
          <w:sz w:val="20"/>
          <w:szCs w:val="20"/>
          <w:lang w:val="es-CR"/>
        </w:rPr>
      </w:pPr>
    </w:p>
    <w:p w14:paraId="4A1ED34D" w14:textId="77777777" w:rsidR="00E26551" w:rsidRPr="004818F6" w:rsidRDefault="001568CA" w:rsidP="004818F6">
      <w:pPr>
        <w:pStyle w:val="Prrafodelista"/>
        <w:numPr>
          <w:ilvl w:val="0"/>
          <w:numId w:val="2"/>
        </w:numPr>
        <w:spacing w:line="252" w:lineRule="auto"/>
        <w:ind w:left="0" w:firstLine="0"/>
        <w:jc w:val="both"/>
        <w:rPr>
          <w:rFonts w:ascii="Verdana" w:hAnsi="Verdana"/>
          <w:sz w:val="20"/>
          <w:szCs w:val="20"/>
          <w:lang w:val="es-CR"/>
        </w:rPr>
      </w:pPr>
      <w:r w:rsidRPr="004818F6">
        <w:rPr>
          <w:rFonts w:ascii="Verdana" w:hAnsi="Verdana"/>
          <w:sz w:val="20"/>
          <w:szCs w:val="20"/>
          <w:lang w:val="es-CR"/>
        </w:rPr>
        <w:t xml:space="preserve">El análisis de la simultaneidad en este caso habría conducido a que el punto de partida </w:t>
      </w:r>
      <w:r w:rsidR="001D52D9" w:rsidRPr="004818F6">
        <w:rPr>
          <w:rFonts w:ascii="Verdana" w:hAnsi="Verdana"/>
          <w:sz w:val="20"/>
          <w:szCs w:val="20"/>
          <w:lang w:val="es-CR"/>
        </w:rPr>
        <w:t>fuera</w:t>
      </w:r>
      <w:r w:rsidRPr="004818F6">
        <w:rPr>
          <w:rFonts w:ascii="Verdana" w:hAnsi="Verdana"/>
          <w:sz w:val="20"/>
          <w:szCs w:val="20"/>
          <w:lang w:val="es-CR"/>
        </w:rPr>
        <w:t xml:space="preserve"> el derecho a la integridad </w:t>
      </w:r>
      <w:r w:rsidR="001D52D9" w:rsidRPr="004818F6">
        <w:rPr>
          <w:rFonts w:ascii="Verdana" w:hAnsi="Verdana"/>
          <w:sz w:val="20"/>
          <w:szCs w:val="20"/>
          <w:lang w:val="es-CR"/>
        </w:rPr>
        <w:t>personal</w:t>
      </w:r>
      <w:r w:rsidRPr="004818F6">
        <w:rPr>
          <w:rFonts w:ascii="Verdana" w:hAnsi="Verdana"/>
          <w:sz w:val="20"/>
          <w:szCs w:val="20"/>
          <w:lang w:val="es-CR"/>
        </w:rPr>
        <w:t xml:space="preserve">, específicamente los alegatos relacionados con el hecho de que el señor Hernández estuvo detenido en condiciones de hacinamiento, y por las secuelas que tuvo como resultado de la enfermedad que contrajo mientras estuvo detenido. </w:t>
      </w:r>
      <w:r w:rsidR="002A5644" w:rsidRPr="004818F6">
        <w:rPr>
          <w:rFonts w:ascii="Verdana" w:hAnsi="Verdana"/>
          <w:sz w:val="20"/>
          <w:szCs w:val="20"/>
          <w:lang w:val="es-CR"/>
        </w:rPr>
        <w:t>Es en este punto del análisis que la Sentencia podría abordar el planteo sobre la falta de disponibilidad, accesibilidad, aceptabilidad y calidad de la atención a la salud</w:t>
      </w:r>
      <w:r w:rsidRPr="004818F6">
        <w:rPr>
          <w:rFonts w:ascii="Verdana" w:hAnsi="Verdana"/>
          <w:sz w:val="20"/>
          <w:szCs w:val="20"/>
          <w:lang w:val="es-CR"/>
        </w:rPr>
        <w:t xml:space="preserve">. </w:t>
      </w:r>
      <w:r w:rsidR="002A5644" w:rsidRPr="004818F6">
        <w:rPr>
          <w:rFonts w:ascii="Verdana" w:hAnsi="Verdana"/>
          <w:sz w:val="20"/>
          <w:szCs w:val="20"/>
          <w:lang w:val="es-CR"/>
        </w:rPr>
        <w:t xml:space="preserve">Las obligaciones del Estado como garante de personas privadas de libertad </w:t>
      </w:r>
      <w:r w:rsidR="00D00702" w:rsidRPr="004818F6">
        <w:rPr>
          <w:rFonts w:ascii="Verdana" w:hAnsi="Verdana"/>
          <w:sz w:val="20"/>
          <w:szCs w:val="20"/>
          <w:lang w:val="es-CR"/>
        </w:rPr>
        <w:t>impactarían</w:t>
      </w:r>
      <w:r w:rsidR="002A5644" w:rsidRPr="004818F6">
        <w:rPr>
          <w:rFonts w:ascii="Verdana" w:hAnsi="Verdana"/>
          <w:sz w:val="20"/>
          <w:szCs w:val="20"/>
          <w:lang w:val="es-CR"/>
        </w:rPr>
        <w:t xml:space="preserve"> no solo los aspectos relacionados con la integridad personal, sino también con el derecho a la salud. El análisis simultáneo de los derechos a la integridad personal y el derecho a la salud </w:t>
      </w:r>
      <w:r w:rsidR="001D52D9" w:rsidRPr="004818F6">
        <w:rPr>
          <w:rFonts w:ascii="Verdana" w:hAnsi="Verdana"/>
          <w:sz w:val="20"/>
          <w:szCs w:val="20"/>
          <w:lang w:val="es-CR"/>
        </w:rPr>
        <w:t>habría permitido</w:t>
      </w:r>
      <w:r w:rsidR="002A5644" w:rsidRPr="004818F6">
        <w:rPr>
          <w:rFonts w:ascii="Verdana" w:hAnsi="Verdana"/>
          <w:sz w:val="20"/>
          <w:szCs w:val="20"/>
          <w:lang w:val="es-CR"/>
        </w:rPr>
        <w:t xml:space="preserve"> dar un mayor </w:t>
      </w:r>
      <w:r w:rsidR="00D00702" w:rsidRPr="004818F6">
        <w:rPr>
          <w:rFonts w:ascii="Verdana" w:hAnsi="Verdana"/>
          <w:color w:val="auto"/>
          <w:sz w:val="20"/>
          <w:szCs w:val="20"/>
          <w:lang w:val="es-CR"/>
        </w:rPr>
        <w:t>alcance y</w:t>
      </w:r>
      <w:r w:rsidR="00D00702" w:rsidRPr="004818F6">
        <w:rPr>
          <w:rFonts w:ascii="Verdana" w:hAnsi="Verdana"/>
          <w:sz w:val="20"/>
          <w:szCs w:val="20"/>
          <w:lang w:val="es-CR"/>
        </w:rPr>
        <w:t xml:space="preserve"> </w:t>
      </w:r>
      <w:r w:rsidR="002A5644" w:rsidRPr="004818F6">
        <w:rPr>
          <w:rFonts w:ascii="Verdana" w:hAnsi="Verdana"/>
          <w:sz w:val="20"/>
          <w:szCs w:val="20"/>
          <w:lang w:val="es-CR"/>
        </w:rPr>
        <w:t xml:space="preserve">contenido a las obligaciones en </w:t>
      </w:r>
      <w:r w:rsidR="001D52D9" w:rsidRPr="004818F6">
        <w:rPr>
          <w:rFonts w:ascii="Verdana" w:hAnsi="Verdana"/>
          <w:sz w:val="20"/>
          <w:szCs w:val="20"/>
          <w:lang w:val="es-CR"/>
        </w:rPr>
        <w:t>el caso</w:t>
      </w:r>
      <w:r w:rsidR="00DA69C0" w:rsidRPr="004818F6">
        <w:rPr>
          <w:rFonts w:ascii="Verdana" w:hAnsi="Verdana"/>
          <w:sz w:val="20"/>
          <w:szCs w:val="20"/>
          <w:lang w:val="es-CR"/>
        </w:rPr>
        <w:t>.</w:t>
      </w:r>
    </w:p>
    <w:p w14:paraId="1B9CFEFA" w14:textId="77777777" w:rsidR="00DA69C0" w:rsidRPr="004818F6" w:rsidRDefault="00DA69C0" w:rsidP="004818F6">
      <w:pPr>
        <w:pStyle w:val="Prrafodelista"/>
        <w:spacing w:line="252" w:lineRule="auto"/>
        <w:rPr>
          <w:rFonts w:ascii="Verdana" w:hAnsi="Verdana"/>
          <w:sz w:val="20"/>
          <w:szCs w:val="20"/>
          <w:lang w:val="es-CR"/>
        </w:rPr>
      </w:pPr>
    </w:p>
    <w:p w14:paraId="70EE73AA" w14:textId="77777777" w:rsidR="00DA69C0" w:rsidRPr="004818F6" w:rsidRDefault="00DA69C0" w:rsidP="004818F6">
      <w:pPr>
        <w:pStyle w:val="Prrafodelista"/>
        <w:numPr>
          <w:ilvl w:val="0"/>
          <w:numId w:val="2"/>
        </w:numPr>
        <w:spacing w:line="252" w:lineRule="auto"/>
        <w:ind w:left="0" w:firstLine="0"/>
        <w:jc w:val="both"/>
        <w:rPr>
          <w:rFonts w:ascii="Verdana" w:hAnsi="Verdana"/>
          <w:sz w:val="20"/>
          <w:szCs w:val="20"/>
          <w:lang w:val="es-CR"/>
        </w:rPr>
      </w:pPr>
      <w:r w:rsidRPr="004818F6">
        <w:rPr>
          <w:rFonts w:ascii="Verdana" w:hAnsi="Verdana"/>
          <w:sz w:val="20"/>
          <w:szCs w:val="20"/>
          <w:lang w:val="es-CR"/>
        </w:rPr>
        <w:t xml:space="preserve">En ese sentido, respecto al método de análisis de casos que involucran DESCA, considero pertinente mencionar la forma en que el Tribunal Europeo de Derechos Humanos ha abordado la cuestión, que </w:t>
      </w:r>
      <w:r w:rsidRPr="004818F6">
        <w:rPr>
          <w:rFonts w:ascii="Verdana" w:hAnsi="Verdana"/>
          <w:color w:val="auto"/>
          <w:sz w:val="20"/>
          <w:szCs w:val="20"/>
          <w:lang w:val="es-CR"/>
        </w:rPr>
        <w:t>en algunos casos utiliza los artículos 2 (derecho a la vida), 3 (prohibición de la tortura) y 14 del Convenio Europeo de Derechos Humanos (prohibición de discriminación), los cuales constituyen la llave de acceso al análisis de violaciones relacionadas con vulneraciones al derecho a la salud</w:t>
      </w:r>
      <w:r w:rsidRPr="004818F6">
        <w:rPr>
          <w:rStyle w:val="Refdenotaalpie"/>
          <w:rFonts w:ascii="Verdana" w:hAnsi="Verdana"/>
          <w:color w:val="auto"/>
          <w:sz w:val="20"/>
          <w:szCs w:val="20"/>
          <w:lang w:val="es-CR"/>
        </w:rPr>
        <w:footnoteReference w:id="1"/>
      </w:r>
      <w:r w:rsidRPr="004818F6">
        <w:rPr>
          <w:rFonts w:ascii="Verdana" w:hAnsi="Verdana"/>
          <w:color w:val="auto"/>
          <w:sz w:val="20"/>
          <w:szCs w:val="20"/>
          <w:lang w:val="es-CR"/>
        </w:rPr>
        <w:t xml:space="preserve">. Esto sucedió en el caso sobre admisibilidad de </w:t>
      </w:r>
      <w:proofErr w:type="spellStart"/>
      <w:r w:rsidRPr="004818F6">
        <w:rPr>
          <w:rFonts w:ascii="Verdana" w:hAnsi="Verdana"/>
          <w:i/>
          <w:sz w:val="20"/>
          <w:szCs w:val="20"/>
          <w:lang w:val="es-CR"/>
        </w:rPr>
        <w:t>Zdzislaw</w:t>
      </w:r>
      <w:proofErr w:type="spellEnd"/>
      <w:r w:rsidRPr="004818F6">
        <w:rPr>
          <w:rFonts w:ascii="Verdana" w:hAnsi="Verdana"/>
          <w:i/>
          <w:sz w:val="20"/>
          <w:szCs w:val="20"/>
          <w:lang w:val="es-CR"/>
        </w:rPr>
        <w:t xml:space="preserve"> </w:t>
      </w:r>
      <w:proofErr w:type="spellStart"/>
      <w:r w:rsidRPr="004818F6">
        <w:rPr>
          <w:rFonts w:ascii="Verdana" w:hAnsi="Verdana"/>
          <w:i/>
          <w:sz w:val="20"/>
          <w:szCs w:val="20"/>
          <w:lang w:val="es-CR"/>
        </w:rPr>
        <w:t>Nitecki</w:t>
      </w:r>
      <w:proofErr w:type="spellEnd"/>
      <w:r w:rsidRPr="004818F6">
        <w:rPr>
          <w:rFonts w:ascii="Verdana" w:hAnsi="Verdana"/>
          <w:i/>
          <w:sz w:val="20"/>
          <w:szCs w:val="20"/>
          <w:lang w:val="es-CR"/>
        </w:rPr>
        <w:t xml:space="preserve"> v. Polonia</w:t>
      </w:r>
      <w:r w:rsidRPr="004818F6">
        <w:rPr>
          <w:rFonts w:ascii="Verdana" w:hAnsi="Verdana"/>
          <w:color w:val="auto"/>
          <w:sz w:val="20"/>
          <w:szCs w:val="20"/>
          <w:lang w:val="es-CR"/>
        </w:rPr>
        <w:t xml:space="preserve">, donde analizó si el hecho de que el señor </w:t>
      </w:r>
      <w:proofErr w:type="spellStart"/>
      <w:r w:rsidRPr="004818F6">
        <w:rPr>
          <w:rFonts w:ascii="Verdana" w:hAnsi="Verdana"/>
          <w:color w:val="auto"/>
          <w:sz w:val="20"/>
          <w:szCs w:val="20"/>
          <w:lang w:val="es-CR"/>
        </w:rPr>
        <w:t>Nitecki</w:t>
      </w:r>
      <w:proofErr w:type="spellEnd"/>
      <w:r w:rsidRPr="004818F6">
        <w:rPr>
          <w:rFonts w:ascii="Verdana" w:hAnsi="Verdana"/>
          <w:color w:val="auto"/>
          <w:sz w:val="20"/>
          <w:szCs w:val="20"/>
          <w:lang w:val="es-CR"/>
        </w:rPr>
        <w:t xml:space="preserve"> tuviera que cubrir el 30% del costo de una medicina constituyó una violación al derecho a la vida, concluyendo que dicha carga misma no constituyó una violación a la Convención y por lo tanto que su petición era inadmisible</w:t>
      </w:r>
      <w:r w:rsidRPr="004818F6">
        <w:rPr>
          <w:rStyle w:val="Refdenotaalpie"/>
          <w:rFonts w:ascii="Verdana" w:hAnsi="Verdana"/>
          <w:color w:val="auto"/>
          <w:sz w:val="20"/>
          <w:szCs w:val="20"/>
          <w:lang w:val="es-CR"/>
        </w:rPr>
        <w:footnoteReference w:id="2"/>
      </w:r>
      <w:r w:rsidRPr="004818F6">
        <w:rPr>
          <w:rFonts w:ascii="Verdana" w:hAnsi="Verdana"/>
          <w:color w:val="auto"/>
          <w:sz w:val="20"/>
          <w:szCs w:val="20"/>
          <w:lang w:val="es-CR"/>
        </w:rPr>
        <w:t>.</w:t>
      </w:r>
    </w:p>
    <w:p w14:paraId="06D83F77" w14:textId="77777777" w:rsidR="002A5644" w:rsidRPr="004818F6" w:rsidRDefault="002A5644" w:rsidP="004818F6">
      <w:pPr>
        <w:pStyle w:val="Prrafodelista"/>
        <w:spacing w:line="252" w:lineRule="auto"/>
        <w:rPr>
          <w:rFonts w:ascii="Verdana" w:hAnsi="Verdana"/>
          <w:sz w:val="20"/>
          <w:szCs w:val="20"/>
          <w:lang w:val="es-CR"/>
        </w:rPr>
      </w:pPr>
    </w:p>
    <w:p w14:paraId="310771B4" w14:textId="77777777" w:rsidR="00D00702" w:rsidRPr="004818F6" w:rsidRDefault="00FA2EC0" w:rsidP="004818F6">
      <w:pPr>
        <w:spacing w:line="252" w:lineRule="auto"/>
        <w:ind w:firstLine="708"/>
        <w:jc w:val="both"/>
        <w:rPr>
          <w:rFonts w:ascii="Verdana" w:hAnsi="Verdana"/>
          <w:b/>
          <w:i/>
          <w:lang w:val="es-CR"/>
        </w:rPr>
      </w:pPr>
      <w:r w:rsidRPr="004818F6">
        <w:rPr>
          <w:rFonts w:ascii="Verdana" w:hAnsi="Verdana"/>
          <w:b/>
          <w:i/>
          <w:lang w:val="es-CR"/>
        </w:rPr>
        <w:t>V. Conclusión</w:t>
      </w:r>
      <w:r w:rsidR="00470C39" w:rsidRPr="004818F6">
        <w:rPr>
          <w:rFonts w:ascii="Verdana" w:hAnsi="Verdana"/>
          <w:b/>
          <w:i/>
          <w:lang w:val="es-CR"/>
        </w:rPr>
        <w:t xml:space="preserve"> </w:t>
      </w:r>
    </w:p>
    <w:p w14:paraId="05A1C615" w14:textId="77777777" w:rsidR="00DA69C0" w:rsidRPr="004818F6" w:rsidRDefault="00DA69C0" w:rsidP="004818F6">
      <w:pPr>
        <w:spacing w:line="252" w:lineRule="auto"/>
        <w:jc w:val="both"/>
        <w:rPr>
          <w:rFonts w:ascii="Verdana" w:hAnsi="Verdana"/>
          <w:b/>
          <w:lang w:val="es-CR"/>
        </w:rPr>
      </w:pPr>
    </w:p>
    <w:p w14:paraId="2A38D63E" w14:textId="77777777" w:rsidR="00DA69C0" w:rsidRPr="004818F6" w:rsidRDefault="00DA69C0" w:rsidP="004818F6">
      <w:pPr>
        <w:pStyle w:val="Prrafodelista"/>
        <w:numPr>
          <w:ilvl w:val="0"/>
          <w:numId w:val="2"/>
        </w:numPr>
        <w:spacing w:line="252" w:lineRule="auto"/>
        <w:ind w:left="0" w:firstLine="0"/>
        <w:jc w:val="both"/>
        <w:rPr>
          <w:rFonts w:ascii="Verdana" w:hAnsi="Verdana"/>
          <w:sz w:val="20"/>
          <w:szCs w:val="20"/>
          <w:lang w:val="es-CR"/>
        </w:rPr>
      </w:pPr>
      <w:r w:rsidRPr="004818F6">
        <w:rPr>
          <w:rFonts w:ascii="Verdana" w:hAnsi="Verdana"/>
          <w:sz w:val="20"/>
          <w:szCs w:val="20"/>
          <w:lang w:val="es-CR"/>
        </w:rPr>
        <w:t xml:space="preserve">El Tribunal no debe de perder de vista que su función primaria es conocer sobre casos que requieran la interpretación y aplicación de las disposiciones de la Convención cuando le sean sometidos, con el objetivo de decidir si existió una violación a un derecho o libertad protegido, y disponer que se le garantice al lesionado el goce de su derecho o libertad conculcado. En ese sentido, la Corte tiene una vocación de hacer justicia en casos concretos dentro de los límites previstos por el derecho de los tratados. Pero también tiene una función de contribuir a que se realicen los objetivos de la Convención, y eso implica atender los problemas que aquejan a nuestras sociedades. En ese sentido cabe destacar lo que estableció la Organización de las Naciones Unidas mediante la Agenda 2030 para el Desarrollo Sostenible, donde los Estados acordaron “poner fin al hambre y la pobreza”, “combatir las desigualdades dentro de los países y entre ellos”, “construir sociedades pacíficas, justas e inclusivas”, </w:t>
      </w:r>
      <w:r w:rsidRPr="004818F6">
        <w:rPr>
          <w:rFonts w:ascii="Verdana" w:hAnsi="Verdana"/>
          <w:sz w:val="20"/>
          <w:szCs w:val="20"/>
          <w:lang w:val="es-CR"/>
        </w:rPr>
        <w:lastRenderedPageBreak/>
        <w:t>y “promover la igualdad entre los géneros y el empoderamiento de las mujeres y las niñas” y la afirmación del Estado de Derecho y necesidad de garantizar el más amplio acceso a la justicia a todos los seres humanos . Estos objetivos deben sin duda inspirar también el actuar de la Corte Interamericana.</w:t>
      </w:r>
    </w:p>
    <w:p w14:paraId="617FCE5B" w14:textId="77777777" w:rsidR="00DA69C0" w:rsidRPr="004818F6" w:rsidRDefault="00DA69C0" w:rsidP="004818F6">
      <w:pPr>
        <w:pStyle w:val="Prrafodelista"/>
        <w:spacing w:line="252" w:lineRule="auto"/>
        <w:ind w:left="0"/>
        <w:jc w:val="both"/>
        <w:rPr>
          <w:rFonts w:ascii="Verdana" w:hAnsi="Verdana"/>
          <w:sz w:val="20"/>
          <w:szCs w:val="20"/>
          <w:lang w:val="es-CR"/>
        </w:rPr>
      </w:pPr>
    </w:p>
    <w:p w14:paraId="7F1C5DFC" w14:textId="77777777" w:rsidR="00A37220" w:rsidRPr="004818F6" w:rsidRDefault="00DA69C0" w:rsidP="004818F6">
      <w:pPr>
        <w:pStyle w:val="Prrafodelista"/>
        <w:numPr>
          <w:ilvl w:val="0"/>
          <w:numId w:val="2"/>
        </w:numPr>
        <w:spacing w:line="252" w:lineRule="auto"/>
        <w:ind w:left="0" w:firstLine="0"/>
        <w:jc w:val="both"/>
        <w:rPr>
          <w:rFonts w:ascii="Verdana" w:hAnsi="Verdana"/>
          <w:sz w:val="20"/>
          <w:szCs w:val="20"/>
          <w:lang w:val="es-CR"/>
        </w:rPr>
      </w:pPr>
      <w:r w:rsidRPr="004818F6">
        <w:rPr>
          <w:rFonts w:ascii="Verdana" w:hAnsi="Verdana"/>
          <w:sz w:val="20"/>
          <w:szCs w:val="20"/>
          <w:lang w:val="es-CR"/>
        </w:rPr>
        <w:t>Espero en un futuro voto seguir ahondando sobre la materia.</w:t>
      </w:r>
    </w:p>
    <w:p w14:paraId="7E4E8015" w14:textId="444B7BA3" w:rsidR="005B5FF1" w:rsidRPr="004818F6" w:rsidRDefault="005B5FF1" w:rsidP="004818F6">
      <w:pPr>
        <w:spacing w:line="252" w:lineRule="auto"/>
        <w:jc w:val="both"/>
        <w:rPr>
          <w:rFonts w:ascii="Verdana" w:eastAsia="Cambria" w:hAnsi="Verdana" w:cs="Cambria"/>
          <w:color w:val="000000"/>
          <w:u w:color="000000"/>
          <w:lang w:val="es-CR" w:eastAsia="es-ES"/>
        </w:rPr>
      </w:pPr>
      <w:bookmarkStart w:id="0" w:name="_GoBack"/>
      <w:bookmarkEnd w:id="0"/>
    </w:p>
    <w:p w14:paraId="2494A96E" w14:textId="77777777" w:rsidR="009B55FF" w:rsidRPr="004818F6" w:rsidRDefault="009B55FF" w:rsidP="004818F6">
      <w:pPr>
        <w:spacing w:line="252" w:lineRule="auto"/>
        <w:jc w:val="both"/>
        <w:rPr>
          <w:rFonts w:ascii="Verdana" w:eastAsia="Cambria" w:hAnsi="Verdana" w:cs="Cambria"/>
          <w:color w:val="000000"/>
          <w:u w:color="000000"/>
          <w:lang w:val="es-CR" w:eastAsia="es-ES"/>
        </w:rPr>
      </w:pPr>
    </w:p>
    <w:p w14:paraId="7634A7EA" w14:textId="77777777" w:rsidR="009B55FF" w:rsidRPr="004818F6" w:rsidRDefault="009B55FF" w:rsidP="004818F6">
      <w:pPr>
        <w:spacing w:line="252" w:lineRule="auto"/>
        <w:jc w:val="both"/>
        <w:rPr>
          <w:rFonts w:ascii="Verdana" w:eastAsia="Cambria" w:hAnsi="Verdana" w:cs="Cambria"/>
          <w:color w:val="000000"/>
          <w:u w:color="000000"/>
          <w:lang w:val="es-CR" w:eastAsia="es-ES"/>
        </w:rPr>
      </w:pPr>
    </w:p>
    <w:p w14:paraId="5D1ABCBC" w14:textId="77777777" w:rsidR="009B55FF" w:rsidRPr="004818F6" w:rsidRDefault="009B55FF" w:rsidP="004818F6">
      <w:pPr>
        <w:spacing w:line="252" w:lineRule="auto"/>
        <w:jc w:val="both"/>
        <w:rPr>
          <w:rFonts w:ascii="Verdana" w:eastAsia="Cambria" w:hAnsi="Verdana" w:cs="Cambria"/>
          <w:color w:val="000000"/>
          <w:u w:color="000000"/>
          <w:lang w:val="es-CR" w:eastAsia="es-ES"/>
        </w:rPr>
      </w:pPr>
    </w:p>
    <w:p w14:paraId="65C75488" w14:textId="14455E9D" w:rsidR="00947375" w:rsidRPr="004818F6" w:rsidRDefault="00947375" w:rsidP="004818F6">
      <w:pPr>
        <w:spacing w:line="252" w:lineRule="auto"/>
        <w:jc w:val="both"/>
        <w:rPr>
          <w:rFonts w:ascii="Verdana" w:eastAsia="Cambria" w:hAnsi="Verdana" w:cs="Cambria"/>
          <w:color w:val="000000"/>
          <w:u w:color="000000"/>
          <w:lang w:val="es-CR" w:eastAsia="es-ES"/>
        </w:rPr>
      </w:pPr>
    </w:p>
    <w:p w14:paraId="2B02D640" w14:textId="77777777" w:rsidR="00947375" w:rsidRPr="004818F6" w:rsidRDefault="00170DED" w:rsidP="004818F6">
      <w:pPr>
        <w:spacing w:line="252" w:lineRule="auto"/>
        <w:ind w:left="4248"/>
        <w:jc w:val="center"/>
        <w:rPr>
          <w:rFonts w:ascii="Verdana" w:hAnsi="Verdana"/>
          <w:lang w:val="es-CR"/>
        </w:rPr>
      </w:pPr>
      <w:r w:rsidRPr="004818F6">
        <w:rPr>
          <w:rFonts w:ascii="Verdana" w:hAnsi="Verdana"/>
          <w:lang w:val="pt-BR"/>
        </w:rPr>
        <w:t xml:space="preserve">Ricardo </w:t>
      </w:r>
      <w:r w:rsidR="00EA2299" w:rsidRPr="004818F6">
        <w:rPr>
          <w:rFonts w:ascii="Verdana" w:hAnsi="Verdana"/>
          <w:lang w:val="pt-BR"/>
        </w:rPr>
        <w:t xml:space="preserve">C. </w:t>
      </w:r>
      <w:r w:rsidRPr="004818F6">
        <w:rPr>
          <w:rFonts w:ascii="Verdana" w:hAnsi="Verdana"/>
          <w:lang w:val="pt-BR"/>
        </w:rPr>
        <w:t>Pérez Manrique</w:t>
      </w:r>
    </w:p>
    <w:p w14:paraId="26E21DDB" w14:textId="77777777" w:rsidR="00947375" w:rsidRPr="004818F6" w:rsidRDefault="00947375" w:rsidP="004818F6">
      <w:pPr>
        <w:spacing w:line="252" w:lineRule="auto"/>
        <w:ind w:left="4248"/>
        <w:jc w:val="center"/>
        <w:rPr>
          <w:rFonts w:ascii="Verdana" w:hAnsi="Verdana"/>
          <w:lang w:val="es-CR"/>
        </w:rPr>
      </w:pPr>
      <w:r w:rsidRPr="004818F6">
        <w:rPr>
          <w:rFonts w:ascii="Verdana" w:hAnsi="Verdana"/>
          <w:lang w:val="es-CR"/>
        </w:rPr>
        <w:t>Juez</w:t>
      </w:r>
    </w:p>
    <w:p w14:paraId="4BA034C6" w14:textId="77777777" w:rsidR="00947375" w:rsidRPr="004818F6" w:rsidRDefault="00947375" w:rsidP="004818F6">
      <w:pPr>
        <w:tabs>
          <w:tab w:val="left" w:pos="1440"/>
        </w:tabs>
        <w:spacing w:line="252" w:lineRule="auto"/>
        <w:rPr>
          <w:rFonts w:ascii="Verdana" w:hAnsi="Verdana"/>
          <w:lang w:val="es-CR"/>
        </w:rPr>
      </w:pPr>
    </w:p>
    <w:p w14:paraId="5C155E14" w14:textId="77777777" w:rsidR="00ED77C7" w:rsidRPr="004818F6" w:rsidRDefault="00ED77C7" w:rsidP="004818F6">
      <w:pPr>
        <w:tabs>
          <w:tab w:val="left" w:pos="1440"/>
        </w:tabs>
        <w:spacing w:line="252" w:lineRule="auto"/>
        <w:rPr>
          <w:rFonts w:ascii="Verdana" w:hAnsi="Verdana"/>
          <w:lang w:val="es-CR"/>
        </w:rPr>
      </w:pPr>
    </w:p>
    <w:p w14:paraId="3AC7106A" w14:textId="77777777" w:rsidR="00ED77C7" w:rsidRPr="004818F6" w:rsidRDefault="00ED77C7" w:rsidP="004818F6">
      <w:pPr>
        <w:tabs>
          <w:tab w:val="left" w:pos="1440"/>
        </w:tabs>
        <w:spacing w:line="252" w:lineRule="auto"/>
        <w:rPr>
          <w:rFonts w:ascii="Verdana" w:hAnsi="Verdana"/>
          <w:lang w:val="es-CR"/>
        </w:rPr>
      </w:pPr>
    </w:p>
    <w:p w14:paraId="01CD829C" w14:textId="77777777" w:rsidR="00947375" w:rsidRPr="004818F6" w:rsidRDefault="00947375" w:rsidP="004818F6">
      <w:pPr>
        <w:tabs>
          <w:tab w:val="left" w:pos="1440"/>
        </w:tabs>
        <w:spacing w:line="252" w:lineRule="auto"/>
        <w:rPr>
          <w:rFonts w:ascii="Verdana" w:hAnsi="Verdana"/>
          <w:lang w:val="es-CR"/>
        </w:rPr>
      </w:pPr>
    </w:p>
    <w:p w14:paraId="441854D1" w14:textId="77777777" w:rsidR="00947375" w:rsidRPr="004818F6" w:rsidRDefault="00947375" w:rsidP="004818F6">
      <w:pPr>
        <w:tabs>
          <w:tab w:val="left" w:pos="1440"/>
        </w:tabs>
        <w:spacing w:line="252" w:lineRule="auto"/>
        <w:rPr>
          <w:rFonts w:ascii="Verdana" w:hAnsi="Verdana"/>
          <w:lang w:val="es-CR"/>
        </w:rPr>
      </w:pPr>
    </w:p>
    <w:p w14:paraId="747AADF7" w14:textId="77777777" w:rsidR="00947375" w:rsidRPr="004818F6" w:rsidRDefault="00947375" w:rsidP="004818F6">
      <w:pPr>
        <w:tabs>
          <w:tab w:val="left" w:pos="1440"/>
        </w:tabs>
        <w:spacing w:line="252" w:lineRule="auto"/>
        <w:rPr>
          <w:rFonts w:ascii="Verdana" w:hAnsi="Verdana"/>
          <w:lang w:val="es-CR"/>
        </w:rPr>
      </w:pPr>
    </w:p>
    <w:p w14:paraId="2170DDFC" w14:textId="77777777" w:rsidR="00947375" w:rsidRPr="004818F6" w:rsidRDefault="00947375" w:rsidP="004818F6">
      <w:pPr>
        <w:tabs>
          <w:tab w:val="left" w:pos="1440"/>
        </w:tabs>
        <w:spacing w:line="252" w:lineRule="auto"/>
        <w:rPr>
          <w:rFonts w:ascii="Verdana" w:hAnsi="Verdana"/>
          <w:lang w:val="es-CR"/>
        </w:rPr>
      </w:pPr>
      <w:r w:rsidRPr="004818F6">
        <w:rPr>
          <w:rFonts w:ascii="Verdana" w:hAnsi="Verdana"/>
          <w:lang w:val="es-CR"/>
        </w:rPr>
        <w:t xml:space="preserve">        Pablo Saavedra Alessandri </w:t>
      </w:r>
    </w:p>
    <w:p w14:paraId="0200CCC4" w14:textId="77777777" w:rsidR="00947375" w:rsidRPr="00B027DC" w:rsidRDefault="00947375" w:rsidP="004818F6">
      <w:pPr>
        <w:tabs>
          <w:tab w:val="left" w:pos="1440"/>
        </w:tabs>
        <w:spacing w:line="252" w:lineRule="auto"/>
        <w:rPr>
          <w:rFonts w:ascii="Verdana" w:hAnsi="Verdana"/>
        </w:rPr>
      </w:pPr>
      <w:r w:rsidRPr="004818F6">
        <w:rPr>
          <w:rFonts w:ascii="Verdana" w:hAnsi="Verdana"/>
        </w:rPr>
        <w:t xml:space="preserve">                 Secretario</w:t>
      </w:r>
    </w:p>
    <w:p w14:paraId="73BC21DD" w14:textId="77777777" w:rsidR="00947375" w:rsidRPr="00B027DC" w:rsidRDefault="00947375" w:rsidP="004818F6">
      <w:pPr>
        <w:spacing w:line="252" w:lineRule="auto"/>
        <w:jc w:val="both"/>
        <w:rPr>
          <w:rFonts w:ascii="Verdana" w:eastAsia="Cambria" w:hAnsi="Verdana" w:cs="Cambria"/>
          <w:color w:val="000000"/>
          <w:u w:color="000000"/>
          <w:lang w:val="es-CR" w:eastAsia="es-ES"/>
        </w:rPr>
      </w:pPr>
    </w:p>
    <w:p w14:paraId="136C1101" w14:textId="77777777" w:rsidR="00947375" w:rsidRPr="00B027DC" w:rsidRDefault="00947375" w:rsidP="004818F6">
      <w:pPr>
        <w:spacing w:line="252" w:lineRule="auto"/>
        <w:jc w:val="both"/>
        <w:rPr>
          <w:rFonts w:ascii="Verdana" w:eastAsia="Cambria" w:hAnsi="Verdana" w:cs="Cambria"/>
          <w:color w:val="000000"/>
          <w:u w:color="000000"/>
          <w:lang w:val="es-CR" w:eastAsia="es-ES"/>
        </w:rPr>
      </w:pPr>
    </w:p>
    <w:p w14:paraId="33D50531" w14:textId="77777777" w:rsidR="00947375" w:rsidRPr="00B027DC" w:rsidRDefault="00947375" w:rsidP="004818F6">
      <w:pPr>
        <w:spacing w:line="252" w:lineRule="auto"/>
        <w:jc w:val="both"/>
        <w:rPr>
          <w:rFonts w:ascii="Verdana" w:eastAsia="Cambria" w:hAnsi="Verdana" w:cs="Cambria"/>
          <w:color w:val="000000"/>
          <w:u w:color="000000"/>
          <w:lang w:val="es-CR" w:eastAsia="es-ES"/>
        </w:rPr>
      </w:pPr>
    </w:p>
    <w:sectPr w:rsidR="00947375" w:rsidRPr="00B027DC" w:rsidSect="004818F6">
      <w:footerReference w:type="default" r:id="rId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227D1" w14:textId="77777777" w:rsidR="00001791" w:rsidRDefault="00001791" w:rsidP="007A144A">
      <w:r>
        <w:separator/>
      </w:r>
    </w:p>
  </w:endnote>
  <w:endnote w:type="continuationSeparator" w:id="0">
    <w:p w14:paraId="1E3C54F5" w14:textId="77777777" w:rsidR="00001791" w:rsidRDefault="00001791" w:rsidP="007A1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CD871" w14:textId="77777777" w:rsidR="009B55FF" w:rsidRPr="009B55FF" w:rsidRDefault="009B55FF">
    <w:pPr>
      <w:pStyle w:val="Piedepgina"/>
      <w:jc w:val="center"/>
      <w:rPr>
        <w:rFonts w:ascii="Verdana" w:hAnsi="Verdana"/>
      </w:rPr>
    </w:pPr>
    <w:r w:rsidRPr="009B55FF">
      <w:rPr>
        <w:rFonts w:ascii="Verdana" w:hAnsi="Verdana"/>
      </w:rPr>
      <w:fldChar w:fldCharType="begin"/>
    </w:r>
    <w:r w:rsidRPr="009B55FF">
      <w:rPr>
        <w:rFonts w:ascii="Verdana" w:hAnsi="Verdana"/>
      </w:rPr>
      <w:instrText xml:space="preserve"> PAGE   \* MERGEFORMAT </w:instrText>
    </w:r>
    <w:r w:rsidRPr="009B55FF">
      <w:rPr>
        <w:rFonts w:ascii="Verdana" w:hAnsi="Verdana"/>
      </w:rPr>
      <w:fldChar w:fldCharType="separate"/>
    </w:r>
    <w:r w:rsidR="00AB6ADF">
      <w:rPr>
        <w:rFonts w:ascii="Verdana" w:hAnsi="Verdana"/>
        <w:noProof/>
      </w:rPr>
      <w:t>5</w:t>
    </w:r>
    <w:r w:rsidRPr="009B55FF">
      <w:rPr>
        <w:rFonts w:ascii="Verdana" w:hAnsi="Verdana"/>
        <w:noProof/>
      </w:rPr>
      <w:fldChar w:fldCharType="end"/>
    </w:r>
  </w:p>
  <w:p w14:paraId="0998641C" w14:textId="77777777" w:rsidR="009B55FF" w:rsidRDefault="009B55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8F1A0" w14:textId="77777777" w:rsidR="00001791" w:rsidRDefault="00001791" w:rsidP="007A144A">
      <w:r>
        <w:separator/>
      </w:r>
    </w:p>
  </w:footnote>
  <w:footnote w:type="continuationSeparator" w:id="0">
    <w:p w14:paraId="4D8E15CA" w14:textId="77777777" w:rsidR="00001791" w:rsidRDefault="00001791" w:rsidP="007A144A">
      <w:r>
        <w:continuationSeparator/>
      </w:r>
    </w:p>
  </w:footnote>
  <w:footnote w:id="1">
    <w:p w14:paraId="2126493F" w14:textId="77777777" w:rsidR="00DA69C0" w:rsidRPr="00BA406B" w:rsidRDefault="00DA69C0" w:rsidP="00B027DC">
      <w:pPr>
        <w:pStyle w:val="Textonotapie"/>
        <w:spacing w:after="120"/>
        <w:jc w:val="both"/>
        <w:rPr>
          <w:rFonts w:ascii="Verdana" w:hAnsi="Verdana"/>
          <w:sz w:val="16"/>
          <w:szCs w:val="16"/>
          <w:lang w:val="en-US"/>
        </w:rPr>
      </w:pPr>
      <w:r w:rsidRPr="00BA406B">
        <w:rPr>
          <w:rStyle w:val="Refdenotaalpie"/>
          <w:rFonts w:ascii="Verdana" w:hAnsi="Verdana"/>
          <w:sz w:val="16"/>
          <w:szCs w:val="16"/>
        </w:rPr>
        <w:footnoteRef/>
      </w:r>
      <w:r w:rsidRPr="00BA406B">
        <w:rPr>
          <w:rFonts w:ascii="Verdana" w:hAnsi="Verdana"/>
          <w:sz w:val="16"/>
          <w:szCs w:val="16"/>
          <w:lang w:val="en-US"/>
        </w:rPr>
        <w:t xml:space="preserve"> </w:t>
      </w:r>
      <w:r w:rsidRPr="00BA406B">
        <w:rPr>
          <w:rFonts w:ascii="Verdana" w:hAnsi="Verdana"/>
          <w:sz w:val="16"/>
          <w:szCs w:val="16"/>
          <w:lang w:val="en-US"/>
        </w:rPr>
        <w:tab/>
      </w:r>
      <w:proofErr w:type="spellStart"/>
      <w:r w:rsidRPr="00BA406B">
        <w:rPr>
          <w:rFonts w:ascii="Verdana" w:hAnsi="Verdana"/>
          <w:i/>
          <w:sz w:val="16"/>
          <w:szCs w:val="16"/>
          <w:lang w:val="en-US"/>
        </w:rPr>
        <w:t>Cfr</w:t>
      </w:r>
      <w:proofErr w:type="spellEnd"/>
      <w:r w:rsidRPr="00BA406B">
        <w:rPr>
          <w:rFonts w:ascii="Verdana" w:hAnsi="Verdana"/>
          <w:i/>
          <w:sz w:val="16"/>
          <w:szCs w:val="16"/>
          <w:lang w:val="en-US"/>
        </w:rPr>
        <w:t xml:space="preserve">. </w:t>
      </w:r>
      <w:r w:rsidRPr="00BA406B">
        <w:rPr>
          <w:rFonts w:ascii="Verdana" w:hAnsi="Verdana"/>
          <w:sz w:val="16"/>
          <w:szCs w:val="16"/>
          <w:lang w:val="en-US"/>
        </w:rPr>
        <w:t xml:space="preserve">ECHR, </w:t>
      </w:r>
      <w:proofErr w:type="spellStart"/>
      <w:r>
        <w:rPr>
          <w:rFonts w:ascii="Verdana" w:hAnsi="Verdana"/>
          <w:i/>
          <w:sz w:val="16"/>
          <w:szCs w:val="16"/>
          <w:lang w:val="en-US"/>
        </w:rPr>
        <w:t>Zdzislaw</w:t>
      </w:r>
      <w:proofErr w:type="spellEnd"/>
      <w:r>
        <w:rPr>
          <w:rFonts w:ascii="Verdana" w:hAnsi="Verdana"/>
          <w:i/>
          <w:sz w:val="16"/>
          <w:szCs w:val="16"/>
          <w:lang w:val="en-US"/>
        </w:rPr>
        <w:t xml:space="preserve"> </w:t>
      </w:r>
      <w:proofErr w:type="spellStart"/>
      <w:r>
        <w:rPr>
          <w:rFonts w:ascii="Verdana" w:hAnsi="Verdana"/>
          <w:i/>
          <w:sz w:val="16"/>
          <w:szCs w:val="16"/>
          <w:lang w:val="en-US"/>
        </w:rPr>
        <w:t>Nitecki</w:t>
      </w:r>
      <w:proofErr w:type="spellEnd"/>
      <w:r>
        <w:rPr>
          <w:rFonts w:ascii="Verdana" w:hAnsi="Verdana"/>
          <w:i/>
          <w:sz w:val="16"/>
          <w:szCs w:val="16"/>
          <w:lang w:val="en-US"/>
        </w:rPr>
        <w:t xml:space="preserve"> v. Poland</w:t>
      </w:r>
      <w:r>
        <w:rPr>
          <w:rFonts w:ascii="Verdana" w:hAnsi="Verdana"/>
          <w:sz w:val="16"/>
          <w:szCs w:val="16"/>
          <w:lang w:val="en-US"/>
        </w:rPr>
        <w:t xml:space="preserve">, Judgment of 21 March 2002, Application No. 65653/01, y </w:t>
      </w:r>
      <w:r w:rsidRPr="00BA406B">
        <w:rPr>
          <w:rFonts w:ascii="Verdana" w:hAnsi="Verdana"/>
          <w:sz w:val="16"/>
          <w:szCs w:val="16"/>
          <w:lang w:val="en-US"/>
        </w:rPr>
        <w:t xml:space="preserve">ECHR, </w:t>
      </w:r>
      <w:r w:rsidRPr="00BA406B">
        <w:rPr>
          <w:rFonts w:ascii="Verdana" w:hAnsi="Verdana"/>
          <w:i/>
          <w:sz w:val="16"/>
          <w:szCs w:val="16"/>
          <w:lang w:val="en-US"/>
        </w:rPr>
        <w:t xml:space="preserve">Case of </w:t>
      </w:r>
      <w:proofErr w:type="spellStart"/>
      <w:r>
        <w:rPr>
          <w:rFonts w:ascii="Verdana" w:hAnsi="Verdana"/>
          <w:i/>
          <w:sz w:val="16"/>
          <w:szCs w:val="16"/>
          <w:lang w:val="en-US"/>
        </w:rPr>
        <w:t>Oyal</w:t>
      </w:r>
      <w:proofErr w:type="spellEnd"/>
      <w:r>
        <w:rPr>
          <w:rFonts w:ascii="Verdana" w:hAnsi="Verdana"/>
          <w:i/>
          <w:sz w:val="16"/>
          <w:szCs w:val="16"/>
          <w:lang w:val="en-US"/>
        </w:rPr>
        <w:t xml:space="preserve"> v. Turkey</w:t>
      </w:r>
      <w:r>
        <w:rPr>
          <w:rFonts w:ascii="Verdana" w:hAnsi="Verdana"/>
          <w:sz w:val="16"/>
          <w:szCs w:val="16"/>
          <w:lang w:val="en-US"/>
        </w:rPr>
        <w:t>, Judgment of 23 March 2010, Application No. 4864/05</w:t>
      </w:r>
    </w:p>
  </w:footnote>
  <w:footnote w:id="2">
    <w:p w14:paraId="54D4BC78" w14:textId="77777777" w:rsidR="00DA69C0" w:rsidRPr="007C6571" w:rsidRDefault="00DA69C0" w:rsidP="00B027DC">
      <w:pPr>
        <w:pStyle w:val="Textonotapie"/>
        <w:spacing w:after="120"/>
        <w:jc w:val="both"/>
        <w:rPr>
          <w:rFonts w:ascii="Verdana" w:hAnsi="Verdana"/>
          <w:sz w:val="16"/>
          <w:szCs w:val="16"/>
          <w:lang w:val="en-US"/>
        </w:rPr>
      </w:pPr>
      <w:r w:rsidRPr="007C6571">
        <w:rPr>
          <w:rStyle w:val="Refdenotaalpie"/>
          <w:rFonts w:ascii="Verdana" w:hAnsi="Verdana"/>
          <w:sz w:val="16"/>
          <w:szCs w:val="16"/>
        </w:rPr>
        <w:footnoteRef/>
      </w:r>
      <w:r w:rsidRPr="007C6571">
        <w:rPr>
          <w:rFonts w:ascii="Verdana" w:hAnsi="Verdana"/>
          <w:sz w:val="16"/>
          <w:szCs w:val="16"/>
          <w:lang w:val="en-US"/>
        </w:rPr>
        <w:t xml:space="preserve"> </w:t>
      </w:r>
      <w:r w:rsidRPr="007C6571">
        <w:rPr>
          <w:rFonts w:ascii="Verdana" w:hAnsi="Verdana"/>
          <w:sz w:val="16"/>
          <w:szCs w:val="16"/>
          <w:lang w:val="en-US"/>
        </w:rPr>
        <w:tab/>
      </w:r>
      <w:proofErr w:type="spellStart"/>
      <w:r w:rsidRPr="00BA406B">
        <w:rPr>
          <w:rFonts w:ascii="Verdana" w:hAnsi="Verdana"/>
          <w:i/>
          <w:sz w:val="16"/>
          <w:szCs w:val="16"/>
          <w:lang w:val="en-US"/>
        </w:rPr>
        <w:t>Cfr</w:t>
      </w:r>
      <w:proofErr w:type="spellEnd"/>
      <w:r w:rsidRPr="00BA406B">
        <w:rPr>
          <w:rFonts w:ascii="Verdana" w:hAnsi="Verdana"/>
          <w:i/>
          <w:sz w:val="16"/>
          <w:szCs w:val="16"/>
          <w:lang w:val="en-US"/>
        </w:rPr>
        <w:t xml:space="preserve">. </w:t>
      </w:r>
      <w:r w:rsidRPr="00BA406B">
        <w:rPr>
          <w:rFonts w:ascii="Verdana" w:hAnsi="Verdana"/>
          <w:sz w:val="16"/>
          <w:szCs w:val="16"/>
          <w:lang w:val="en-US"/>
        </w:rPr>
        <w:t xml:space="preserve">ECHR, </w:t>
      </w:r>
      <w:proofErr w:type="spellStart"/>
      <w:r>
        <w:rPr>
          <w:rFonts w:ascii="Verdana" w:hAnsi="Verdana"/>
          <w:i/>
          <w:sz w:val="16"/>
          <w:szCs w:val="16"/>
          <w:lang w:val="en-US"/>
        </w:rPr>
        <w:t>Zdzislaw</w:t>
      </w:r>
      <w:proofErr w:type="spellEnd"/>
      <w:r>
        <w:rPr>
          <w:rFonts w:ascii="Verdana" w:hAnsi="Verdana"/>
          <w:i/>
          <w:sz w:val="16"/>
          <w:szCs w:val="16"/>
          <w:lang w:val="en-US"/>
        </w:rPr>
        <w:t xml:space="preserve"> </w:t>
      </w:r>
      <w:proofErr w:type="spellStart"/>
      <w:r>
        <w:rPr>
          <w:rFonts w:ascii="Verdana" w:hAnsi="Verdana"/>
          <w:i/>
          <w:sz w:val="16"/>
          <w:szCs w:val="16"/>
          <w:lang w:val="en-US"/>
        </w:rPr>
        <w:t>Nitecki</w:t>
      </w:r>
      <w:proofErr w:type="spellEnd"/>
      <w:r>
        <w:rPr>
          <w:rFonts w:ascii="Verdana" w:hAnsi="Verdana"/>
          <w:i/>
          <w:sz w:val="16"/>
          <w:szCs w:val="16"/>
          <w:lang w:val="en-US"/>
        </w:rPr>
        <w:t xml:space="preserve"> v. Poland</w:t>
      </w:r>
      <w:r>
        <w:rPr>
          <w:rFonts w:ascii="Verdana" w:hAnsi="Verdana"/>
          <w:sz w:val="16"/>
          <w:szCs w:val="16"/>
          <w:lang w:val="en-US"/>
        </w:rPr>
        <w:t xml:space="preserve">, Judgment of 21 March 2002, Application No. 65653/01, </w:t>
      </w:r>
      <w:proofErr w:type="spellStart"/>
      <w:r>
        <w:rPr>
          <w:rFonts w:ascii="Verdana" w:hAnsi="Verdana"/>
          <w:sz w:val="16"/>
          <w:szCs w:val="16"/>
          <w:lang w:val="en-US"/>
        </w:rPr>
        <w:t>párr</w:t>
      </w:r>
      <w:proofErr w:type="spellEnd"/>
      <w:r>
        <w:rPr>
          <w:rFonts w:ascii="Verdana" w:hAnsi="Verdana"/>
          <w:sz w:val="16"/>
          <w:szCs w:val="16"/>
          <w:lang w:val="en-US"/>
        </w:rPr>
        <w:t>.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C320B"/>
    <w:multiLevelType w:val="hybridMultilevel"/>
    <w:tmpl w:val="95FC487E"/>
    <w:lvl w:ilvl="0" w:tplc="94809758">
      <w:start w:val="1"/>
      <w:numFmt w:val="decimal"/>
      <w:lvlText w:val="%1."/>
      <w:lvlJc w:val="left"/>
      <w:pPr>
        <w:ind w:left="720" w:hanging="360"/>
      </w:pPr>
      <w:rPr>
        <w:rFonts w:ascii="Verdana" w:hAnsi="Verdana"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E707FA0"/>
    <w:multiLevelType w:val="hybridMultilevel"/>
    <w:tmpl w:val="B532C702"/>
    <w:lvl w:ilvl="0" w:tplc="1214D1A8">
      <w:start w:val="1"/>
      <w:numFmt w:val="decimal"/>
      <w:lvlText w:val="%1."/>
      <w:lvlJc w:val="left"/>
      <w:pPr>
        <w:ind w:left="720" w:hanging="360"/>
      </w:pPr>
      <w:rPr>
        <w:rFonts w:hint="default"/>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CR" w:vendorID="64" w:dllVersion="6" w:nlCheck="1" w:checkStyle="1"/>
  <w:activeWritingStyle w:appName="MSWord" w:lang="es-ES_tradnl" w:vendorID="64" w:dllVersion="6" w:nlCheck="1" w:checkStyle="1"/>
  <w:activeWritingStyle w:appName="MSWord" w:lang="es-ES_tradnl" w:vendorID="64" w:dllVersion="4096" w:nlCheck="1" w:checkStyle="0"/>
  <w:activeWritingStyle w:appName="MSWord" w:lang="es-CR" w:vendorID="64" w:dllVersion="4096" w:nlCheck="1" w:checkStyle="0"/>
  <w:activeWritingStyle w:appName="MSWord" w:lang="pt-BR" w:vendorID="64" w:dllVersion="4096" w:nlCheck="1" w:checkStyle="0"/>
  <w:activeWritingStyle w:appName="MSWord" w:lang="es-ES_tradnl" w:vendorID="64" w:dllVersion="131078" w:nlCheck="1" w:checkStyle="1"/>
  <w:activeWritingStyle w:appName="MSWord" w:lang="es-CR" w:vendorID="64" w:dllVersion="131078" w:nlCheck="1" w:checkStyle="1"/>
  <w:activeWritingStyle w:appName="MSWord" w:lang="pt-BR" w:vendorID="64" w:dllVersion="131078" w:nlCheck="1" w:checkStyle="0"/>
  <w:activeWritingStyle w:appName="MSWord" w:lang="en-US" w:vendorID="64" w:dllVersion="131078" w:nlCheck="1" w:checkStyle="1"/>
  <w:activeWritingStyle w:appName="MSWord" w:lang="en-US"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44A"/>
    <w:rsid w:val="00001791"/>
    <w:rsid w:val="000061F2"/>
    <w:rsid w:val="00006EF5"/>
    <w:rsid w:val="000460F0"/>
    <w:rsid w:val="000756D2"/>
    <w:rsid w:val="00077AE7"/>
    <w:rsid w:val="00080B7F"/>
    <w:rsid w:val="0009028A"/>
    <w:rsid w:val="000B7043"/>
    <w:rsid w:val="000D68E7"/>
    <w:rsid w:val="000F1478"/>
    <w:rsid w:val="00117C36"/>
    <w:rsid w:val="00124CA1"/>
    <w:rsid w:val="00130F8E"/>
    <w:rsid w:val="001404B8"/>
    <w:rsid w:val="00150F91"/>
    <w:rsid w:val="0015503B"/>
    <w:rsid w:val="001568CA"/>
    <w:rsid w:val="00170DED"/>
    <w:rsid w:val="00193F38"/>
    <w:rsid w:val="001A0EDE"/>
    <w:rsid w:val="001A34FD"/>
    <w:rsid w:val="001C49B5"/>
    <w:rsid w:val="001D52D9"/>
    <w:rsid w:val="001D6C6A"/>
    <w:rsid w:val="002040BE"/>
    <w:rsid w:val="002047F9"/>
    <w:rsid w:val="002162CD"/>
    <w:rsid w:val="00236319"/>
    <w:rsid w:val="002370EC"/>
    <w:rsid w:val="002479B0"/>
    <w:rsid w:val="00261CDA"/>
    <w:rsid w:val="002642CB"/>
    <w:rsid w:val="002653F9"/>
    <w:rsid w:val="00287565"/>
    <w:rsid w:val="00294B3E"/>
    <w:rsid w:val="002A5644"/>
    <w:rsid w:val="002B27AB"/>
    <w:rsid w:val="002C2CFF"/>
    <w:rsid w:val="002C551F"/>
    <w:rsid w:val="002D747C"/>
    <w:rsid w:val="003009D4"/>
    <w:rsid w:val="0031705B"/>
    <w:rsid w:val="00321B47"/>
    <w:rsid w:val="00336AD3"/>
    <w:rsid w:val="003550D6"/>
    <w:rsid w:val="00362919"/>
    <w:rsid w:val="003B509D"/>
    <w:rsid w:val="00443817"/>
    <w:rsid w:val="00470C39"/>
    <w:rsid w:val="004818F6"/>
    <w:rsid w:val="00491B1F"/>
    <w:rsid w:val="0049715A"/>
    <w:rsid w:val="004A65D3"/>
    <w:rsid w:val="004C07C8"/>
    <w:rsid w:val="004D0765"/>
    <w:rsid w:val="004E0915"/>
    <w:rsid w:val="005065B3"/>
    <w:rsid w:val="00514087"/>
    <w:rsid w:val="00514F8F"/>
    <w:rsid w:val="005247B7"/>
    <w:rsid w:val="00530252"/>
    <w:rsid w:val="0053205D"/>
    <w:rsid w:val="00533A56"/>
    <w:rsid w:val="00567296"/>
    <w:rsid w:val="005763AC"/>
    <w:rsid w:val="005B205D"/>
    <w:rsid w:val="005B5FF1"/>
    <w:rsid w:val="005D6DA0"/>
    <w:rsid w:val="005E3523"/>
    <w:rsid w:val="00622659"/>
    <w:rsid w:val="00631EE6"/>
    <w:rsid w:val="00636180"/>
    <w:rsid w:val="00637645"/>
    <w:rsid w:val="0066502B"/>
    <w:rsid w:val="00666271"/>
    <w:rsid w:val="0068037D"/>
    <w:rsid w:val="006A1AD3"/>
    <w:rsid w:val="006A728B"/>
    <w:rsid w:val="006B019D"/>
    <w:rsid w:val="006C6642"/>
    <w:rsid w:val="006E5FB7"/>
    <w:rsid w:val="006F3A34"/>
    <w:rsid w:val="00700E4B"/>
    <w:rsid w:val="0070361C"/>
    <w:rsid w:val="00730961"/>
    <w:rsid w:val="00751581"/>
    <w:rsid w:val="0075653D"/>
    <w:rsid w:val="00775890"/>
    <w:rsid w:val="007975A7"/>
    <w:rsid w:val="007A144A"/>
    <w:rsid w:val="007A58AC"/>
    <w:rsid w:val="007B43AB"/>
    <w:rsid w:val="007C0612"/>
    <w:rsid w:val="007C71E3"/>
    <w:rsid w:val="007D2E27"/>
    <w:rsid w:val="00802EA9"/>
    <w:rsid w:val="0080681E"/>
    <w:rsid w:val="00814744"/>
    <w:rsid w:val="0083255E"/>
    <w:rsid w:val="008526D9"/>
    <w:rsid w:val="00870BC1"/>
    <w:rsid w:val="00874E0E"/>
    <w:rsid w:val="00880659"/>
    <w:rsid w:val="00893123"/>
    <w:rsid w:val="008A1608"/>
    <w:rsid w:val="008B6A9F"/>
    <w:rsid w:val="008C140D"/>
    <w:rsid w:val="008E7537"/>
    <w:rsid w:val="008F231C"/>
    <w:rsid w:val="008F45C8"/>
    <w:rsid w:val="00923B74"/>
    <w:rsid w:val="00925025"/>
    <w:rsid w:val="00947375"/>
    <w:rsid w:val="00957888"/>
    <w:rsid w:val="00961352"/>
    <w:rsid w:val="00977A68"/>
    <w:rsid w:val="00980962"/>
    <w:rsid w:val="00983BAA"/>
    <w:rsid w:val="009A2DEC"/>
    <w:rsid w:val="009A41FB"/>
    <w:rsid w:val="009A60E1"/>
    <w:rsid w:val="009B55FF"/>
    <w:rsid w:val="009C5528"/>
    <w:rsid w:val="009D2CB1"/>
    <w:rsid w:val="009D4F08"/>
    <w:rsid w:val="009E4549"/>
    <w:rsid w:val="00A3434F"/>
    <w:rsid w:val="00A37220"/>
    <w:rsid w:val="00A6228C"/>
    <w:rsid w:val="00A6546B"/>
    <w:rsid w:val="00A67F1B"/>
    <w:rsid w:val="00A72E1D"/>
    <w:rsid w:val="00A74C0E"/>
    <w:rsid w:val="00A91D20"/>
    <w:rsid w:val="00A97D15"/>
    <w:rsid w:val="00AB6ADF"/>
    <w:rsid w:val="00AC6138"/>
    <w:rsid w:val="00AD61B7"/>
    <w:rsid w:val="00AD7197"/>
    <w:rsid w:val="00AE3CCB"/>
    <w:rsid w:val="00AE67AF"/>
    <w:rsid w:val="00B027DC"/>
    <w:rsid w:val="00B12A00"/>
    <w:rsid w:val="00B521B8"/>
    <w:rsid w:val="00B554F1"/>
    <w:rsid w:val="00B62A64"/>
    <w:rsid w:val="00B83FB7"/>
    <w:rsid w:val="00B94800"/>
    <w:rsid w:val="00C11333"/>
    <w:rsid w:val="00C1143F"/>
    <w:rsid w:val="00C42B59"/>
    <w:rsid w:val="00C47884"/>
    <w:rsid w:val="00C52B2F"/>
    <w:rsid w:val="00C70707"/>
    <w:rsid w:val="00C70E31"/>
    <w:rsid w:val="00C75617"/>
    <w:rsid w:val="00C80050"/>
    <w:rsid w:val="00C932D2"/>
    <w:rsid w:val="00CB6D1C"/>
    <w:rsid w:val="00CD5A6E"/>
    <w:rsid w:val="00D00702"/>
    <w:rsid w:val="00D038BA"/>
    <w:rsid w:val="00D06473"/>
    <w:rsid w:val="00D11CF0"/>
    <w:rsid w:val="00D35A11"/>
    <w:rsid w:val="00D46A9A"/>
    <w:rsid w:val="00D51585"/>
    <w:rsid w:val="00D5369C"/>
    <w:rsid w:val="00D66C32"/>
    <w:rsid w:val="00D8561D"/>
    <w:rsid w:val="00D9029D"/>
    <w:rsid w:val="00D9334A"/>
    <w:rsid w:val="00DA2F9C"/>
    <w:rsid w:val="00DA69C0"/>
    <w:rsid w:val="00DC2D5B"/>
    <w:rsid w:val="00DF350D"/>
    <w:rsid w:val="00E057A2"/>
    <w:rsid w:val="00E10C5C"/>
    <w:rsid w:val="00E1238C"/>
    <w:rsid w:val="00E22B89"/>
    <w:rsid w:val="00E26551"/>
    <w:rsid w:val="00E27C8B"/>
    <w:rsid w:val="00E43FC6"/>
    <w:rsid w:val="00E65080"/>
    <w:rsid w:val="00E660C5"/>
    <w:rsid w:val="00E915C7"/>
    <w:rsid w:val="00E91617"/>
    <w:rsid w:val="00EA2299"/>
    <w:rsid w:val="00EC257E"/>
    <w:rsid w:val="00ED77C7"/>
    <w:rsid w:val="00EF7767"/>
    <w:rsid w:val="00F051A9"/>
    <w:rsid w:val="00F149F0"/>
    <w:rsid w:val="00F212BD"/>
    <w:rsid w:val="00F40F71"/>
    <w:rsid w:val="00F53E91"/>
    <w:rsid w:val="00F66F1C"/>
    <w:rsid w:val="00F717A9"/>
    <w:rsid w:val="00F90787"/>
    <w:rsid w:val="00F93087"/>
    <w:rsid w:val="00FA2EC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0161F"/>
  <w15:chartTrackingRefBased/>
  <w15:docId w15:val="{5E7BF891-C4A3-4E82-9FBC-20B5D52A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A0EDE"/>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Footnote Text Cha,FA Fußnotentext,FA Fuﬂnotentext,Footnote Text Char Char,Car"/>
    <w:basedOn w:val="Normal"/>
    <w:link w:val="TextonotapieCar1"/>
    <w:qFormat/>
    <w:rsid w:val="007A144A"/>
    <w:rPr>
      <w:rFonts w:ascii="Times New Roman" w:eastAsia="Times New Roman" w:hAnsi="Times New Roman"/>
      <w:lang w:val="es-MX"/>
    </w:rPr>
  </w:style>
  <w:style w:type="character" w:customStyle="1" w:styleId="TextonotapieCar">
    <w:name w:val="Texto nota pie Car"/>
    <w:uiPriority w:val="99"/>
    <w:semiHidden/>
    <w:rsid w:val="007A144A"/>
    <w:rPr>
      <w:rFonts w:ascii="Calibri" w:eastAsia="Calibri" w:hAnsi="Calibri" w:cs="Times New Roman"/>
      <w:sz w:val="20"/>
      <w:szCs w:val="20"/>
      <w:lang w:val="es-ES_tradnl" w:eastAsia="es-CR"/>
    </w:rPr>
  </w:style>
  <w:style w:type="character" w:customStyle="1" w:styleId="TextonotapieCar1">
    <w:name w:val="Texto nota pie Car1"/>
    <w:aliases w:val="Footnote Text Char Char Char Char Char Car,Footnote Text Char Char Char Char Car,Footnote reference Car,FA Fu Car,Footnote Text Char Char Char Car,footnote text Car,Footnote Text Cha Car,FA Fußnotentext Car,FA Fuﬂnotentext Car"/>
    <w:link w:val="Textonotapie"/>
    <w:qFormat/>
    <w:rsid w:val="007A144A"/>
    <w:rPr>
      <w:rFonts w:ascii="Times New Roman" w:eastAsia="Times New Roman" w:hAnsi="Times New Roman" w:cs="Times New Roman"/>
      <w:sz w:val="20"/>
      <w:szCs w:val="20"/>
      <w:lang w:val="es-MX" w:eastAsia="es-CR"/>
    </w:rPr>
  </w:style>
  <w:style w:type="character" w:styleId="Textoennegrita">
    <w:name w:val="Strong"/>
    <w:uiPriority w:val="22"/>
    <w:qFormat/>
    <w:rsid w:val="007A144A"/>
    <w:rPr>
      <w:b/>
      <w:bCs/>
    </w:rPr>
  </w:style>
  <w:style w:type="paragraph" w:styleId="Prrafodelista">
    <w:name w:val="List Paragraph"/>
    <w:aliases w:val="Colorful List - Accent 11,Lista vistosa - Énfasis 11,Footnote,List Paragraph1,Párrafo de lista1"/>
    <w:link w:val="PrrafodelistaCar"/>
    <w:qFormat/>
    <w:rsid w:val="007A144A"/>
    <w:pPr>
      <w:ind w:left="720"/>
    </w:pPr>
    <w:rPr>
      <w:rFonts w:ascii="Cambria" w:eastAsia="Cambria" w:hAnsi="Cambria" w:cs="Cambria"/>
      <w:color w:val="000000"/>
      <w:sz w:val="24"/>
      <w:szCs w:val="24"/>
      <w:u w:color="000000"/>
      <w:lang w:val="en-US" w:eastAsia="es-ES"/>
    </w:rPr>
  </w:style>
  <w:style w:type="character" w:styleId="Refdenotaalpie">
    <w:name w:val="footnote reference"/>
    <w:aliases w:val="Appel note de bas de page,Footnotes refss,Footnote number,referencia nota al pie,BVI fnr,f,4_G,16 Point,Superscript 6 Point,Texto nota al pie,Footnote Reference Char3,Footnote Reference Char1 Char,Ref. de nota al,Ref. de nota al pi"/>
    <w:link w:val="4GChar"/>
    <w:uiPriority w:val="99"/>
    <w:unhideWhenUsed/>
    <w:qFormat/>
    <w:rsid w:val="007A144A"/>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7A144A"/>
    <w:pPr>
      <w:jc w:val="both"/>
    </w:pPr>
    <w:rPr>
      <w:sz w:val="22"/>
      <w:szCs w:val="22"/>
      <w:vertAlign w:val="superscript"/>
      <w:lang w:val="es-CR" w:eastAsia="en-US"/>
    </w:rPr>
  </w:style>
  <w:style w:type="character" w:customStyle="1" w:styleId="PrrafodelistaCar">
    <w:name w:val="Párrafo de lista Car"/>
    <w:aliases w:val="Colorful List - Accent 11 Car,Lista vistosa - Énfasis 11 Car,Footnote Car,List Paragraph1 Car,Párrafo de lista1 Car"/>
    <w:link w:val="Prrafodelista"/>
    <w:locked/>
    <w:rsid w:val="007A144A"/>
    <w:rPr>
      <w:rFonts w:ascii="Cambria" w:eastAsia="Cambria" w:hAnsi="Cambria" w:cs="Cambria"/>
      <w:color w:val="000000"/>
      <w:sz w:val="24"/>
      <w:szCs w:val="24"/>
      <w:u w:color="000000"/>
      <w:lang w:val="en-US" w:eastAsia="es-ES"/>
    </w:rPr>
  </w:style>
  <w:style w:type="character" w:styleId="Refdecomentario">
    <w:name w:val="annotation reference"/>
    <w:uiPriority w:val="99"/>
    <w:semiHidden/>
    <w:unhideWhenUsed/>
    <w:rsid w:val="00261CDA"/>
    <w:rPr>
      <w:sz w:val="16"/>
      <w:szCs w:val="16"/>
    </w:rPr>
  </w:style>
  <w:style w:type="paragraph" w:styleId="Textocomentario">
    <w:name w:val="annotation text"/>
    <w:basedOn w:val="Normal"/>
    <w:link w:val="TextocomentarioCar"/>
    <w:uiPriority w:val="99"/>
    <w:semiHidden/>
    <w:unhideWhenUsed/>
    <w:rsid w:val="00261CDA"/>
  </w:style>
  <w:style w:type="character" w:customStyle="1" w:styleId="TextocomentarioCar">
    <w:name w:val="Texto comentario Car"/>
    <w:link w:val="Textocomentario"/>
    <w:uiPriority w:val="99"/>
    <w:semiHidden/>
    <w:rsid w:val="00261CDA"/>
    <w:rPr>
      <w:rFonts w:ascii="Calibri" w:eastAsia="Calibri" w:hAnsi="Calibri" w:cs="Times New Roman"/>
      <w:sz w:val="20"/>
      <w:szCs w:val="20"/>
      <w:lang w:val="es-ES_tradnl" w:eastAsia="es-CR"/>
    </w:rPr>
  </w:style>
  <w:style w:type="paragraph" w:styleId="Asuntodelcomentario">
    <w:name w:val="annotation subject"/>
    <w:basedOn w:val="Textocomentario"/>
    <w:next w:val="Textocomentario"/>
    <w:link w:val="AsuntodelcomentarioCar"/>
    <w:uiPriority w:val="99"/>
    <w:semiHidden/>
    <w:unhideWhenUsed/>
    <w:rsid w:val="00261CDA"/>
    <w:rPr>
      <w:b/>
      <w:bCs/>
    </w:rPr>
  </w:style>
  <w:style w:type="character" w:customStyle="1" w:styleId="AsuntodelcomentarioCar">
    <w:name w:val="Asunto del comentario Car"/>
    <w:link w:val="Asuntodelcomentario"/>
    <w:uiPriority w:val="99"/>
    <w:semiHidden/>
    <w:rsid w:val="00261CDA"/>
    <w:rPr>
      <w:rFonts w:ascii="Calibri" w:eastAsia="Calibri" w:hAnsi="Calibri" w:cs="Times New Roman"/>
      <w:b/>
      <w:bCs/>
      <w:sz w:val="20"/>
      <w:szCs w:val="20"/>
      <w:lang w:val="es-ES_tradnl" w:eastAsia="es-CR"/>
    </w:rPr>
  </w:style>
  <w:style w:type="paragraph" w:styleId="Textodeglobo">
    <w:name w:val="Balloon Text"/>
    <w:basedOn w:val="Normal"/>
    <w:link w:val="TextodegloboCar"/>
    <w:uiPriority w:val="99"/>
    <w:semiHidden/>
    <w:unhideWhenUsed/>
    <w:rsid w:val="00261CDA"/>
    <w:rPr>
      <w:rFonts w:ascii="Tahoma" w:hAnsi="Tahoma" w:cs="Tahoma"/>
      <w:sz w:val="16"/>
      <w:szCs w:val="16"/>
    </w:rPr>
  </w:style>
  <w:style w:type="character" w:customStyle="1" w:styleId="TextodegloboCar">
    <w:name w:val="Texto de globo Car"/>
    <w:link w:val="Textodeglobo"/>
    <w:uiPriority w:val="99"/>
    <w:semiHidden/>
    <w:rsid w:val="00261CDA"/>
    <w:rPr>
      <w:rFonts w:ascii="Tahoma" w:eastAsia="Calibri" w:hAnsi="Tahoma" w:cs="Tahoma"/>
      <w:sz w:val="16"/>
      <w:szCs w:val="16"/>
      <w:lang w:val="es-ES_tradnl" w:eastAsia="es-CR"/>
    </w:rPr>
  </w:style>
  <w:style w:type="character" w:styleId="Textodelmarcadordeposicin">
    <w:name w:val="Placeholder Text"/>
    <w:uiPriority w:val="99"/>
    <w:semiHidden/>
    <w:rsid w:val="00636180"/>
    <w:rPr>
      <w:color w:val="808080"/>
    </w:rPr>
  </w:style>
  <w:style w:type="paragraph" w:styleId="Encabezado">
    <w:name w:val="header"/>
    <w:basedOn w:val="Normal"/>
    <w:link w:val="EncabezadoCar"/>
    <w:uiPriority w:val="99"/>
    <w:unhideWhenUsed/>
    <w:rsid w:val="009B55FF"/>
    <w:pPr>
      <w:tabs>
        <w:tab w:val="center" w:pos="4419"/>
        <w:tab w:val="right" w:pos="8838"/>
      </w:tabs>
    </w:pPr>
  </w:style>
  <w:style w:type="character" w:customStyle="1" w:styleId="EncabezadoCar">
    <w:name w:val="Encabezado Car"/>
    <w:link w:val="Encabezado"/>
    <w:uiPriority w:val="99"/>
    <w:rsid w:val="009B55FF"/>
    <w:rPr>
      <w:lang w:val="es-ES_tradnl"/>
    </w:rPr>
  </w:style>
  <w:style w:type="paragraph" w:styleId="Piedepgina">
    <w:name w:val="footer"/>
    <w:basedOn w:val="Normal"/>
    <w:link w:val="PiedepginaCar"/>
    <w:uiPriority w:val="99"/>
    <w:unhideWhenUsed/>
    <w:rsid w:val="009B55FF"/>
    <w:pPr>
      <w:tabs>
        <w:tab w:val="center" w:pos="4419"/>
        <w:tab w:val="right" w:pos="8838"/>
      </w:tabs>
    </w:pPr>
  </w:style>
  <w:style w:type="character" w:customStyle="1" w:styleId="PiedepginaCar">
    <w:name w:val="Pie de página Car"/>
    <w:link w:val="Piedepgina"/>
    <w:uiPriority w:val="99"/>
    <w:rsid w:val="009B55FF"/>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29D25-941B-48E8-9EE8-2EFE49159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2166</Words>
  <Characters>11914</Characters>
  <Application>Microsoft Office Word</Application>
  <DocSecurity>0</DocSecurity>
  <Lines>99</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 IDH</dc:creator>
  <cp:keywords/>
  <cp:lastModifiedBy>Hannia Sanchez</cp:lastModifiedBy>
  <cp:revision>2</cp:revision>
  <cp:lastPrinted>2019-12-20T18:57:00Z</cp:lastPrinted>
  <dcterms:created xsi:type="dcterms:W3CDTF">2019-12-20T20:05:00Z</dcterms:created>
  <dcterms:modified xsi:type="dcterms:W3CDTF">2019-12-20T20:05:00Z</dcterms:modified>
</cp:coreProperties>
</file>