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498D" w14:textId="77777777" w:rsidR="00BC4B03" w:rsidRDefault="00BC4B03" w:rsidP="00BC4B03">
      <w:pPr>
        <w:spacing w:after="0" w:line="240" w:lineRule="auto"/>
        <w:jc w:val="center"/>
        <w:rPr>
          <w:rFonts w:ascii="Verdana" w:hAnsi="Verdana"/>
          <w:b/>
          <w:sz w:val="20"/>
          <w:szCs w:val="20"/>
          <w:lang w:val="es-DO"/>
        </w:rPr>
      </w:pPr>
    </w:p>
    <w:p w14:paraId="03B556DC" w14:textId="77777777" w:rsidR="00BC037B" w:rsidRPr="00BC4B03" w:rsidRDefault="00456F58" w:rsidP="00BC4B03">
      <w:pPr>
        <w:spacing w:after="0" w:line="240" w:lineRule="auto"/>
        <w:jc w:val="center"/>
        <w:rPr>
          <w:rFonts w:ascii="Verdana" w:hAnsi="Verdana"/>
          <w:b/>
          <w:sz w:val="20"/>
          <w:szCs w:val="20"/>
          <w:lang w:val="es-DO"/>
        </w:rPr>
      </w:pPr>
      <w:r w:rsidRPr="00BC4B03">
        <w:rPr>
          <w:rFonts w:ascii="Verdana" w:hAnsi="Verdana"/>
          <w:b/>
          <w:sz w:val="20"/>
          <w:szCs w:val="20"/>
          <w:lang w:val="es-DO"/>
        </w:rPr>
        <w:t xml:space="preserve">VOTO PARCIALMENTE DISIDENTE DEL </w:t>
      </w:r>
    </w:p>
    <w:p w14:paraId="5ED1F4DC" w14:textId="77777777" w:rsidR="00C7484B" w:rsidRPr="00BC4B03" w:rsidRDefault="00456F58" w:rsidP="00BC4B03">
      <w:pPr>
        <w:spacing w:after="0" w:line="240" w:lineRule="auto"/>
        <w:jc w:val="center"/>
        <w:rPr>
          <w:rFonts w:ascii="Verdana" w:hAnsi="Verdana"/>
          <w:b/>
          <w:sz w:val="20"/>
          <w:szCs w:val="20"/>
          <w:lang w:val="es-DO"/>
        </w:rPr>
      </w:pPr>
      <w:r w:rsidRPr="00BC4B03">
        <w:rPr>
          <w:rFonts w:ascii="Verdana" w:hAnsi="Verdana"/>
          <w:b/>
          <w:sz w:val="20"/>
          <w:szCs w:val="20"/>
          <w:lang w:val="es-DO"/>
        </w:rPr>
        <w:t xml:space="preserve">JUEZ </w:t>
      </w:r>
      <w:r w:rsidR="00BC037B" w:rsidRPr="00BC4B03">
        <w:rPr>
          <w:rFonts w:ascii="Verdana" w:hAnsi="Verdana"/>
          <w:b/>
          <w:sz w:val="20"/>
          <w:szCs w:val="20"/>
          <w:lang w:val="es-DO"/>
        </w:rPr>
        <w:t xml:space="preserve">PATRICIO </w:t>
      </w:r>
      <w:r w:rsidRPr="00BC4B03">
        <w:rPr>
          <w:rFonts w:ascii="Verdana" w:hAnsi="Verdana"/>
          <w:b/>
          <w:sz w:val="20"/>
          <w:szCs w:val="20"/>
          <w:lang w:val="es-DO"/>
        </w:rPr>
        <w:t>PAZMIÑO FREIRE</w:t>
      </w:r>
    </w:p>
    <w:p w14:paraId="37AB8BF1" w14:textId="77777777" w:rsidR="00BC037B" w:rsidRPr="00BC4B03" w:rsidRDefault="00BC037B" w:rsidP="00BC4B03">
      <w:pPr>
        <w:spacing w:after="0" w:line="240" w:lineRule="auto"/>
        <w:jc w:val="center"/>
        <w:rPr>
          <w:rFonts w:ascii="Verdana" w:hAnsi="Verdana"/>
          <w:b/>
          <w:sz w:val="20"/>
          <w:szCs w:val="20"/>
          <w:lang w:val="es-DO"/>
        </w:rPr>
      </w:pPr>
    </w:p>
    <w:p w14:paraId="4B67FF9F" w14:textId="77777777" w:rsidR="00C050E8" w:rsidRPr="00BC4B03" w:rsidRDefault="00C050E8" w:rsidP="00BC4B03">
      <w:pPr>
        <w:spacing w:after="0" w:line="240" w:lineRule="auto"/>
        <w:jc w:val="center"/>
        <w:rPr>
          <w:rFonts w:ascii="Verdana" w:hAnsi="Verdana"/>
          <w:b/>
          <w:sz w:val="20"/>
          <w:szCs w:val="20"/>
          <w:lang w:val="es-CR"/>
        </w:rPr>
      </w:pPr>
      <w:r w:rsidRPr="00BC4B03">
        <w:rPr>
          <w:rFonts w:ascii="Verdana" w:hAnsi="Verdana"/>
          <w:b/>
          <w:sz w:val="20"/>
          <w:szCs w:val="20"/>
          <w:lang w:val="es-CR"/>
        </w:rPr>
        <w:t>A LA SENTENCIA DE 22 DE NOVIEMBRE DE 2019</w:t>
      </w:r>
    </w:p>
    <w:p w14:paraId="6FC65133" w14:textId="77777777" w:rsidR="00C050E8" w:rsidRPr="00BC4B03" w:rsidRDefault="00C050E8" w:rsidP="00BC4B03">
      <w:pPr>
        <w:spacing w:after="0" w:line="240" w:lineRule="auto"/>
        <w:jc w:val="center"/>
        <w:outlineLvl w:val="0"/>
        <w:rPr>
          <w:rFonts w:ascii="Verdana" w:hAnsi="Verdana"/>
          <w:b/>
          <w:sz w:val="20"/>
          <w:szCs w:val="20"/>
          <w:lang w:val="es-CR"/>
        </w:rPr>
      </w:pPr>
      <w:r w:rsidRPr="00BC4B03">
        <w:rPr>
          <w:rFonts w:ascii="Verdana" w:hAnsi="Verdana"/>
          <w:b/>
          <w:sz w:val="20"/>
          <w:szCs w:val="20"/>
          <w:lang w:val="es-CR"/>
        </w:rPr>
        <w:t>DE LA CORTE INTERAMERICANA DE DERECHOS HUMANOS</w:t>
      </w:r>
    </w:p>
    <w:p w14:paraId="2625F496" w14:textId="77777777" w:rsidR="00C050E8" w:rsidRPr="00BC4B03" w:rsidRDefault="00C050E8" w:rsidP="00BC4B03">
      <w:pPr>
        <w:spacing w:after="0" w:line="240" w:lineRule="auto"/>
        <w:jc w:val="center"/>
        <w:rPr>
          <w:rFonts w:ascii="Verdana" w:hAnsi="Verdana"/>
          <w:b/>
          <w:sz w:val="20"/>
          <w:szCs w:val="20"/>
          <w:lang w:val="es-CR"/>
        </w:rPr>
      </w:pPr>
    </w:p>
    <w:p w14:paraId="1924D6EA" w14:textId="77777777" w:rsidR="00C050E8" w:rsidRPr="00BC4B03" w:rsidRDefault="00C050E8" w:rsidP="00BC4B03">
      <w:pPr>
        <w:autoSpaceDE w:val="0"/>
        <w:autoSpaceDN w:val="0"/>
        <w:adjustRightInd w:val="0"/>
        <w:spacing w:after="0" w:line="240" w:lineRule="auto"/>
        <w:jc w:val="center"/>
        <w:rPr>
          <w:rFonts w:ascii="Verdana" w:hAnsi="Verdana" w:cs="Times New Roman"/>
          <w:color w:val="000000"/>
          <w:sz w:val="20"/>
          <w:szCs w:val="20"/>
          <w:lang w:val="es-CR"/>
        </w:rPr>
      </w:pPr>
      <w:r w:rsidRPr="00BC4B03">
        <w:rPr>
          <w:rFonts w:ascii="Verdana" w:hAnsi="Verdana"/>
          <w:b/>
          <w:sz w:val="20"/>
          <w:szCs w:val="20"/>
          <w:lang w:val="es-CR"/>
        </w:rPr>
        <w:t>EN EL CASO HERNÁNDEZ VS. ARGENTINA</w:t>
      </w:r>
    </w:p>
    <w:p w14:paraId="155A8AD7" w14:textId="77777777" w:rsidR="00C8675E" w:rsidRPr="00BC4B03" w:rsidRDefault="00C8675E" w:rsidP="00BC4B03">
      <w:pPr>
        <w:widowControl w:val="0"/>
        <w:tabs>
          <w:tab w:val="left" w:pos="720"/>
        </w:tabs>
        <w:adjustRightInd w:val="0"/>
        <w:spacing w:after="0" w:line="240" w:lineRule="auto"/>
        <w:jc w:val="center"/>
        <w:textAlignment w:val="baseline"/>
        <w:rPr>
          <w:rFonts w:ascii="Verdana" w:eastAsia="Calibri" w:hAnsi="Verdana" w:cs="Verdana"/>
          <w:b/>
          <w:bCs/>
          <w:i/>
          <w:iCs/>
          <w:snapToGrid w:val="0"/>
          <w:sz w:val="20"/>
          <w:szCs w:val="20"/>
          <w:lang w:val="es-ES" w:eastAsia="es-ES"/>
        </w:rPr>
      </w:pPr>
    </w:p>
    <w:p w14:paraId="4D8D2602" w14:textId="1A69F060" w:rsidR="00BC037B" w:rsidRPr="00BC4B03" w:rsidRDefault="00F2135A" w:rsidP="00BC4B03">
      <w:pPr>
        <w:tabs>
          <w:tab w:val="left" w:pos="709"/>
        </w:tabs>
        <w:spacing w:after="0" w:line="240" w:lineRule="auto"/>
        <w:jc w:val="both"/>
        <w:rPr>
          <w:rFonts w:ascii="Verdana" w:hAnsi="Verdana"/>
          <w:b/>
          <w:sz w:val="20"/>
          <w:szCs w:val="20"/>
          <w:lang w:val="es-DO"/>
        </w:rPr>
      </w:pPr>
      <w:r w:rsidRPr="00BC4B03">
        <w:rPr>
          <w:rFonts w:ascii="Verdana" w:hAnsi="Verdana"/>
          <w:b/>
          <w:sz w:val="20"/>
          <w:szCs w:val="20"/>
          <w:lang w:val="es-DO"/>
        </w:rPr>
        <w:tab/>
      </w:r>
      <w:r w:rsidR="00404C95" w:rsidRPr="00BC4B03">
        <w:rPr>
          <w:rFonts w:ascii="Verdana" w:hAnsi="Verdana"/>
          <w:b/>
          <w:sz w:val="20"/>
          <w:szCs w:val="20"/>
          <w:lang w:val="es-DO"/>
        </w:rPr>
        <w:t xml:space="preserve">I. </w:t>
      </w:r>
      <w:r w:rsidR="00BC037B" w:rsidRPr="00BC4B03">
        <w:rPr>
          <w:rFonts w:ascii="Verdana" w:hAnsi="Verdana"/>
          <w:b/>
          <w:sz w:val="20"/>
          <w:szCs w:val="20"/>
          <w:lang w:val="es-DO"/>
        </w:rPr>
        <w:t>Introducción</w:t>
      </w:r>
    </w:p>
    <w:p w14:paraId="30EC31CC" w14:textId="77777777" w:rsidR="00DB3688" w:rsidRPr="00BC4B03" w:rsidRDefault="00DB3688" w:rsidP="00BC4B03">
      <w:pPr>
        <w:pStyle w:val="Prrafodelista"/>
        <w:tabs>
          <w:tab w:val="left" w:pos="3936"/>
        </w:tabs>
        <w:spacing w:after="0" w:line="240" w:lineRule="auto"/>
        <w:ind w:left="1080"/>
        <w:jc w:val="both"/>
        <w:rPr>
          <w:rFonts w:ascii="Verdana" w:hAnsi="Verdana"/>
          <w:b/>
          <w:sz w:val="20"/>
          <w:szCs w:val="20"/>
          <w:lang w:val="es-DO"/>
        </w:rPr>
      </w:pPr>
    </w:p>
    <w:p w14:paraId="71BF5CE9" w14:textId="5F36FE16" w:rsidR="00404C95" w:rsidRPr="00BC4B03" w:rsidRDefault="00404C95" w:rsidP="00BC4B03">
      <w:pPr>
        <w:pStyle w:val="Prrafodelista"/>
        <w:numPr>
          <w:ilvl w:val="0"/>
          <w:numId w:val="12"/>
        </w:numPr>
        <w:spacing w:after="0" w:line="240" w:lineRule="auto"/>
        <w:ind w:left="0" w:firstLine="0"/>
        <w:jc w:val="both"/>
        <w:rPr>
          <w:rFonts w:ascii="Verdana" w:hAnsi="Verdana"/>
          <w:sz w:val="20"/>
          <w:szCs w:val="20"/>
          <w:lang w:val="es-DO"/>
        </w:rPr>
      </w:pPr>
      <w:r w:rsidRPr="00BC4B03">
        <w:rPr>
          <w:rFonts w:ascii="Verdana" w:hAnsi="Verdana"/>
          <w:sz w:val="20"/>
          <w:szCs w:val="20"/>
          <w:lang w:val="es-DO"/>
        </w:rPr>
        <w:t>L</w:t>
      </w:r>
      <w:r w:rsidR="00262DEA" w:rsidRPr="00BC4B03">
        <w:rPr>
          <w:rFonts w:ascii="Verdana" w:hAnsi="Verdana"/>
          <w:sz w:val="20"/>
          <w:szCs w:val="20"/>
          <w:lang w:val="es-DO"/>
        </w:rPr>
        <w:t xml:space="preserve">a sentencia del caso </w:t>
      </w:r>
      <w:r w:rsidR="00262DEA" w:rsidRPr="00BC4B03">
        <w:rPr>
          <w:rFonts w:ascii="Verdana" w:hAnsi="Verdana"/>
          <w:i/>
          <w:sz w:val="20"/>
          <w:szCs w:val="20"/>
          <w:lang w:val="es-DO"/>
        </w:rPr>
        <w:t>Hernández Vs. Argentina</w:t>
      </w:r>
      <w:r w:rsidR="00C8675E" w:rsidRPr="00BC4B03">
        <w:rPr>
          <w:rFonts w:ascii="Verdana" w:hAnsi="Verdana"/>
          <w:sz w:val="20"/>
          <w:szCs w:val="20"/>
          <w:lang w:val="es-DO"/>
        </w:rPr>
        <w:t xml:space="preserve"> </w:t>
      </w:r>
      <w:r w:rsidRPr="00BC4B03">
        <w:rPr>
          <w:rFonts w:ascii="Verdana" w:hAnsi="Verdana"/>
          <w:sz w:val="20"/>
          <w:szCs w:val="20"/>
          <w:lang w:val="es-DO"/>
        </w:rPr>
        <w:t>en general</w:t>
      </w:r>
      <w:r w:rsidR="00262DEA" w:rsidRPr="00BC4B03">
        <w:rPr>
          <w:rFonts w:ascii="Verdana" w:hAnsi="Verdana"/>
          <w:sz w:val="20"/>
          <w:szCs w:val="20"/>
          <w:lang w:val="es-DO"/>
        </w:rPr>
        <w:t xml:space="preserve"> </w:t>
      </w:r>
      <w:r w:rsidR="00FE68D4" w:rsidRPr="00BC4B03">
        <w:rPr>
          <w:rFonts w:ascii="Verdana" w:hAnsi="Verdana"/>
          <w:sz w:val="20"/>
          <w:szCs w:val="20"/>
          <w:lang w:val="es-DO"/>
        </w:rPr>
        <w:t xml:space="preserve">consolida </w:t>
      </w:r>
      <w:r w:rsidR="00262DEA" w:rsidRPr="00BC4B03">
        <w:rPr>
          <w:rFonts w:ascii="Verdana" w:hAnsi="Verdana"/>
          <w:sz w:val="20"/>
          <w:szCs w:val="20"/>
          <w:lang w:val="es-DO"/>
        </w:rPr>
        <w:t xml:space="preserve">la tesis adoptada por la Corte </w:t>
      </w:r>
      <w:r w:rsidR="00546A72" w:rsidRPr="00BC4B03">
        <w:rPr>
          <w:rFonts w:ascii="Verdana" w:hAnsi="Verdana"/>
          <w:sz w:val="20"/>
          <w:szCs w:val="20"/>
          <w:lang w:val="es-DO"/>
        </w:rPr>
        <w:t xml:space="preserve">Interamericana de Derechos Humanos </w:t>
      </w:r>
      <w:r w:rsidR="0013684D" w:rsidRPr="00BC4B03">
        <w:rPr>
          <w:rFonts w:ascii="Verdana" w:hAnsi="Verdana"/>
          <w:sz w:val="20"/>
          <w:szCs w:val="20"/>
          <w:lang w:val="es-DO"/>
        </w:rPr>
        <w:t>a partir del</w:t>
      </w:r>
      <w:r w:rsidR="00262DEA" w:rsidRPr="00BC4B03">
        <w:rPr>
          <w:rFonts w:ascii="Verdana" w:hAnsi="Verdana"/>
          <w:sz w:val="20"/>
          <w:szCs w:val="20"/>
          <w:lang w:val="es-DO"/>
        </w:rPr>
        <w:t xml:space="preserve"> caso </w:t>
      </w:r>
      <w:r w:rsidR="00262DEA" w:rsidRPr="00BC4B03">
        <w:rPr>
          <w:rFonts w:ascii="Verdana" w:hAnsi="Verdana"/>
          <w:i/>
          <w:sz w:val="20"/>
          <w:szCs w:val="20"/>
          <w:lang w:val="es-DO"/>
        </w:rPr>
        <w:t>Lagos del Campo Vs. Perú</w:t>
      </w:r>
      <w:r w:rsidR="00FC3FA8" w:rsidRPr="00BC4B03">
        <w:rPr>
          <w:rStyle w:val="Refdenotaalpie"/>
          <w:rFonts w:ascii="Verdana" w:hAnsi="Verdana"/>
          <w:sz w:val="20"/>
          <w:szCs w:val="20"/>
          <w:lang w:val="es-DO"/>
        </w:rPr>
        <w:footnoteReference w:id="1"/>
      </w:r>
      <w:r w:rsidR="00262DEA" w:rsidRPr="00BC4B03">
        <w:rPr>
          <w:rFonts w:ascii="Verdana" w:hAnsi="Verdana"/>
          <w:i/>
          <w:sz w:val="20"/>
          <w:szCs w:val="20"/>
          <w:lang w:val="es-DO"/>
        </w:rPr>
        <w:t xml:space="preserve"> </w:t>
      </w:r>
      <w:r w:rsidR="00262DEA" w:rsidRPr="00BC4B03">
        <w:rPr>
          <w:rFonts w:ascii="Verdana" w:hAnsi="Verdana"/>
          <w:sz w:val="20"/>
          <w:szCs w:val="20"/>
          <w:lang w:val="es-DO"/>
        </w:rPr>
        <w:t xml:space="preserve">en </w:t>
      </w:r>
      <w:r w:rsidR="00FE68D4" w:rsidRPr="00BC4B03">
        <w:rPr>
          <w:rFonts w:ascii="Verdana" w:hAnsi="Verdana"/>
          <w:sz w:val="20"/>
          <w:szCs w:val="20"/>
          <w:lang w:val="es-DO"/>
        </w:rPr>
        <w:t>lo relativo</w:t>
      </w:r>
      <w:r w:rsidR="00262DEA" w:rsidRPr="00BC4B03">
        <w:rPr>
          <w:rFonts w:ascii="Verdana" w:hAnsi="Verdana"/>
          <w:sz w:val="20"/>
          <w:szCs w:val="20"/>
          <w:lang w:val="es-DO"/>
        </w:rPr>
        <w:t xml:space="preserve"> a la </w:t>
      </w:r>
      <w:proofErr w:type="spellStart"/>
      <w:r w:rsidR="00262DEA" w:rsidRPr="00BC4B03">
        <w:rPr>
          <w:rFonts w:ascii="Verdana" w:hAnsi="Verdana"/>
          <w:sz w:val="20"/>
          <w:szCs w:val="20"/>
          <w:lang w:val="es-DO"/>
        </w:rPr>
        <w:t>justiciabilidad</w:t>
      </w:r>
      <w:proofErr w:type="spellEnd"/>
      <w:r w:rsidR="00262DEA" w:rsidRPr="00BC4B03">
        <w:rPr>
          <w:rFonts w:ascii="Verdana" w:hAnsi="Verdana"/>
          <w:sz w:val="20"/>
          <w:szCs w:val="20"/>
          <w:lang w:val="es-DO"/>
        </w:rPr>
        <w:t xml:space="preserve"> directa de los derechos económicos, sociales, culturales y ambientales “DESCA”, a través del artículo 26 de la Convención Americana sobre Derechos Humanos. </w:t>
      </w:r>
      <w:r w:rsidR="003E7D80" w:rsidRPr="00BC4B03">
        <w:rPr>
          <w:rFonts w:ascii="Verdana" w:hAnsi="Verdana"/>
          <w:sz w:val="20"/>
          <w:szCs w:val="20"/>
          <w:lang w:val="es-DO"/>
        </w:rPr>
        <w:t>En la</w:t>
      </w:r>
      <w:r w:rsidR="00FE68D4" w:rsidRPr="00BC4B03">
        <w:rPr>
          <w:rFonts w:ascii="Verdana" w:hAnsi="Verdana"/>
          <w:sz w:val="20"/>
          <w:szCs w:val="20"/>
          <w:lang w:val="es-DO"/>
        </w:rPr>
        <w:t xml:space="preserve"> referida s</w:t>
      </w:r>
      <w:r w:rsidR="003E7D80" w:rsidRPr="00BC4B03">
        <w:rPr>
          <w:rFonts w:ascii="Verdana" w:hAnsi="Verdana"/>
          <w:sz w:val="20"/>
          <w:szCs w:val="20"/>
          <w:lang w:val="es-DO"/>
        </w:rPr>
        <w:t xml:space="preserve">entencia </w:t>
      </w:r>
      <w:r w:rsidR="00E562B3" w:rsidRPr="00BC4B03">
        <w:rPr>
          <w:rFonts w:ascii="Verdana" w:hAnsi="Verdana"/>
          <w:sz w:val="20"/>
          <w:szCs w:val="20"/>
          <w:lang w:val="es-DO"/>
        </w:rPr>
        <w:t xml:space="preserve">se sostuvo que </w:t>
      </w:r>
      <w:r w:rsidR="00BF13C7" w:rsidRPr="00BC4B03">
        <w:rPr>
          <w:rFonts w:ascii="Verdana" w:hAnsi="Verdana"/>
          <w:sz w:val="20"/>
          <w:szCs w:val="20"/>
          <w:lang w:val="es-DO"/>
        </w:rPr>
        <w:t>Argentina</w:t>
      </w:r>
      <w:r w:rsidR="00E562B3" w:rsidRPr="00BC4B03">
        <w:rPr>
          <w:rFonts w:ascii="Verdana" w:hAnsi="Verdana"/>
          <w:sz w:val="20"/>
          <w:szCs w:val="20"/>
          <w:lang w:val="es-DO"/>
        </w:rPr>
        <w:t xml:space="preserve"> era responsable internacionalmente por la violación </w:t>
      </w:r>
      <w:r w:rsidR="00FE68D4" w:rsidRPr="00BC4B03">
        <w:rPr>
          <w:rFonts w:ascii="Verdana" w:hAnsi="Verdana"/>
          <w:sz w:val="20"/>
          <w:szCs w:val="20"/>
          <w:lang w:val="es-DO"/>
        </w:rPr>
        <w:t>del</w:t>
      </w:r>
      <w:r w:rsidR="00E562B3" w:rsidRPr="00BC4B03">
        <w:rPr>
          <w:rFonts w:ascii="Verdana" w:hAnsi="Verdana"/>
          <w:sz w:val="20"/>
          <w:szCs w:val="20"/>
          <w:lang w:val="es-DO"/>
        </w:rPr>
        <w:t xml:space="preserve"> derecho a la salud del señor Hernández </w:t>
      </w:r>
      <w:r w:rsidR="00BF13C7" w:rsidRPr="00BC4B03">
        <w:rPr>
          <w:rFonts w:ascii="Verdana" w:hAnsi="Verdana"/>
          <w:sz w:val="20"/>
          <w:szCs w:val="20"/>
          <w:lang w:val="es-DO"/>
        </w:rPr>
        <w:t>como consecuencia de la enfermedad que contrajo mientras estuvo privado de libertad, las secuelas permanentes por esta ocasionadas y la falta de elementos probatorios por parte del Estado que demostraran que, en su posición especial de garante, había provisto al señor Hernández de atenci</w:t>
      </w:r>
      <w:r w:rsidR="00C000DA" w:rsidRPr="00BC4B03">
        <w:rPr>
          <w:rFonts w:ascii="Verdana" w:hAnsi="Verdana"/>
          <w:sz w:val="20"/>
          <w:szCs w:val="20"/>
          <w:lang w:val="es-DO"/>
        </w:rPr>
        <w:t>ón médica oportuna y adecuada ante las múltiples denuncias sobre el deterioro de su estado de salud, conforme los estándares de disponibilidad, accesibilidad, aceptabilidad y calidad reconocidos en la Observación General 14 del Comité de Derechos Económicos, Sociales y Culturales</w:t>
      </w:r>
      <w:r w:rsidR="0037172A" w:rsidRPr="00BC4B03">
        <w:rPr>
          <w:rStyle w:val="Refdenotaalpie"/>
          <w:rFonts w:ascii="Verdana" w:hAnsi="Verdana"/>
          <w:sz w:val="20"/>
          <w:szCs w:val="20"/>
          <w:lang w:val="es-DO"/>
        </w:rPr>
        <w:footnoteReference w:id="2"/>
      </w:r>
      <w:r w:rsidR="00C000DA" w:rsidRPr="00BC4B03">
        <w:rPr>
          <w:rFonts w:ascii="Verdana" w:hAnsi="Verdana"/>
          <w:sz w:val="20"/>
          <w:szCs w:val="20"/>
          <w:lang w:val="es-DO"/>
        </w:rPr>
        <w:t xml:space="preserve">. </w:t>
      </w:r>
    </w:p>
    <w:p w14:paraId="4E6C0365" w14:textId="77777777" w:rsidR="00404C95" w:rsidRPr="00BC4B03" w:rsidRDefault="00404C95" w:rsidP="00BC4B03">
      <w:pPr>
        <w:pStyle w:val="Prrafodelista"/>
        <w:spacing w:after="0" w:line="240" w:lineRule="auto"/>
        <w:ind w:left="0"/>
        <w:jc w:val="both"/>
        <w:rPr>
          <w:rFonts w:ascii="Verdana" w:hAnsi="Verdana"/>
          <w:sz w:val="20"/>
          <w:szCs w:val="20"/>
          <w:lang w:val="es-DO"/>
        </w:rPr>
      </w:pPr>
    </w:p>
    <w:p w14:paraId="0091FDB6" w14:textId="593C2879" w:rsidR="00404C95" w:rsidRPr="00BC4B03" w:rsidRDefault="00C000DA" w:rsidP="00BC4B03">
      <w:pPr>
        <w:pStyle w:val="Prrafodelista"/>
        <w:numPr>
          <w:ilvl w:val="0"/>
          <w:numId w:val="12"/>
        </w:numPr>
        <w:spacing w:after="0" w:line="240" w:lineRule="auto"/>
        <w:ind w:left="0" w:firstLine="0"/>
        <w:jc w:val="both"/>
        <w:rPr>
          <w:rFonts w:ascii="Verdana" w:hAnsi="Verdana"/>
          <w:sz w:val="20"/>
          <w:szCs w:val="20"/>
          <w:lang w:val="es-DO"/>
        </w:rPr>
      </w:pPr>
      <w:r w:rsidRPr="00BC4B03">
        <w:rPr>
          <w:rFonts w:ascii="Verdana" w:hAnsi="Verdana"/>
          <w:sz w:val="20"/>
          <w:szCs w:val="20"/>
          <w:lang w:val="es-DO"/>
        </w:rPr>
        <w:t xml:space="preserve">Para llegar a esta conclusión, la Corte siguió el razonamiento vertido en </w:t>
      </w:r>
      <w:r w:rsidR="0037172A" w:rsidRPr="00BC4B03">
        <w:rPr>
          <w:rFonts w:ascii="Verdana" w:hAnsi="Verdana"/>
          <w:i/>
          <w:sz w:val="20"/>
          <w:szCs w:val="20"/>
          <w:lang w:val="es-DO"/>
        </w:rPr>
        <w:t>Poblete Vilches Vs. Chile</w:t>
      </w:r>
      <w:r w:rsidR="006C0BED" w:rsidRPr="00BC4B03">
        <w:rPr>
          <w:rStyle w:val="Refdenotaalpie"/>
          <w:rFonts w:ascii="Verdana" w:hAnsi="Verdana"/>
          <w:sz w:val="20"/>
          <w:szCs w:val="20"/>
          <w:lang w:val="es-DO"/>
        </w:rPr>
        <w:footnoteReference w:id="3"/>
      </w:r>
      <w:r w:rsidR="00404C95" w:rsidRPr="00BC4B03">
        <w:rPr>
          <w:rFonts w:ascii="Verdana" w:hAnsi="Verdana"/>
          <w:i/>
          <w:sz w:val="20"/>
          <w:szCs w:val="20"/>
          <w:lang w:val="es-DO"/>
        </w:rPr>
        <w:t xml:space="preserve"> </w:t>
      </w:r>
      <w:r w:rsidR="00404C95" w:rsidRPr="00BC4B03">
        <w:rPr>
          <w:rFonts w:ascii="Verdana" w:hAnsi="Verdana"/>
          <w:sz w:val="20"/>
          <w:szCs w:val="20"/>
          <w:lang w:val="es-DO"/>
        </w:rPr>
        <w:t xml:space="preserve">y en </w:t>
      </w:r>
      <w:proofErr w:type="spellStart"/>
      <w:r w:rsidR="00404C95" w:rsidRPr="00BC4B03">
        <w:rPr>
          <w:rFonts w:ascii="Verdana" w:hAnsi="Verdana"/>
          <w:i/>
          <w:sz w:val="20"/>
          <w:szCs w:val="20"/>
          <w:lang w:val="es-DO"/>
        </w:rPr>
        <w:t>Cuscul</w:t>
      </w:r>
      <w:proofErr w:type="spellEnd"/>
      <w:r w:rsidR="00404C95" w:rsidRPr="00BC4B03">
        <w:rPr>
          <w:rFonts w:ascii="Verdana" w:hAnsi="Verdana"/>
          <w:i/>
          <w:sz w:val="20"/>
          <w:szCs w:val="20"/>
          <w:lang w:val="es-DO"/>
        </w:rPr>
        <w:t xml:space="preserve"> Pivaral Vs. Guatemala</w:t>
      </w:r>
      <w:r w:rsidR="006C0BED" w:rsidRPr="00BC4B03">
        <w:rPr>
          <w:rStyle w:val="Refdenotaalpie"/>
          <w:rFonts w:ascii="Verdana" w:hAnsi="Verdana"/>
          <w:sz w:val="20"/>
          <w:szCs w:val="20"/>
          <w:lang w:val="es-DO"/>
        </w:rPr>
        <w:footnoteReference w:id="4"/>
      </w:r>
      <w:r w:rsidRPr="00BC4B03">
        <w:rPr>
          <w:rFonts w:ascii="Verdana" w:hAnsi="Verdana"/>
          <w:sz w:val="20"/>
          <w:szCs w:val="20"/>
          <w:lang w:val="es-DO"/>
        </w:rPr>
        <w:t xml:space="preserve"> </w:t>
      </w:r>
      <w:r w:rsidR="00E502A9" w:rsidRPr="00BC4B03">
        <w:rPr>
          <w:rFonts w:ascii="Verdana" w:hAnsi="Verdana"/>
          <w:sz w:val="20"/>
          <w:szCs w:val="20"/>
          <w:lang w:val="es-DO"/>
        </w:rPr>
        <w:t xml:space="preserve">a fin de </w:t>
      </w:r>
      <w:r w:rsidR="00546A72" w:rsidRPr="00BC4B03">
        <w:rPr>
          <w:rFonts w:ascii="Verdana" w:hAnsi="Verdana"/>
          <w:sz w:val="20"/>
          <w:szCs w:val="20"/>
          <w:lang w:val="es-DO"/>
        </w:rPr>
        <w:t>desarrollar e</w:t>
      </w:r>
      <w:r w:rsidR="00635F9E" w:rsidRPr="00BC4B03">
        <w:rPr>
          <w:rFonts w:ascii="Verdana" w:hAnsi="Verdana"/>
          <w:sz w:val="20"/>
          <w:szCs w:val="20"/>
          <w:lang w:val="es-DO"/>
        </w:rPr>
        <w:t>l contenido del derecho a la salud</w:t>
      </w:r>
      <w:r w:rsidR="007961A9" w:rsidRPr="00BC4B03">
        <w:rPr>
          <w:rFonts w:ascii="Verdana" w:hAnsi="Verdana"/>
          <w:sz w:val="20"/>
          <w:szCs w:val="20"/>
          <w:lang w:val="es-DO"/>
        </w:rPr>
        <w:t xml:space="preserve"> a partir de los artículos 34.i y 34.l de la Carta de la Organización de Estados Americanos, interpretados a la luz de otros instrumentos</w:t>
      </w:r>
      <w:r w:rsidR="00831796" w:rsidRPr="00BC4B03">
        <w:rPr>
          <w:rFonts w:ascii="Verdana" w:hAnsi="Verdana"/>
          <w:sz w:val="20"/>
          <w:szCs w:val="20"/>
          <w:lang w:val="es-DO"/>
        </w:rPr>
        <w:t xml:space="preserve"> internacionales</w:t>
      </w:r>
      <w:r w:rsidR="00546A72" w:rsidRPr="00BC4B03">
        <w:rPr>
          <w:rStyle w:val="Refdenotaalpie"/>
          <w:rFonts w:ascii="Verdana" w:hAnsi="Verdana"/>
          <w:sz w:val="20"/>
          <w:szCs w:val="20"/>
          <w:lang w:val="es-DO"/>
        </w:rPr>
        <w:footnoteReference w:id="5"/>
      </w:r>
      <w:r w:rsidR="00831796" w:rsidRPr="00BC4B03">
        <w:rPr>
          <w:rFonts w:ascii="Verdana" w:hAnsi="Verdana"/>
          <w:sz w:val="20"/>
          <w:szCs w:val="20"/>
          <w:lang w:val="es-DO"/>
        </w:rPr>
        <w:t>, la legislación interna de los Estado</w:t>
      </w:r>
      <w:r w:rsidR="00546A72" w:rsidRPr="00BC4B03">
        <w:rPr>
          <w:rFonts w:ascii="Verdana" w:hAnsi="Verdana"/>
          <w:sz w:val="20"/>
          <w:szCs w:val="20"/>
          <w:lang w:val="es-DO"/>
        </w:rPr>
        <w:t>s</w:t>
      </w:r>
      <w:r w:rsidR="00831796" w:rsidRPr="00BC4B03">
        <w:rPr>
          <w:rFonts w:ascii="Verdana" w:hAnsi="Verdana"/>
          <w:sz w:val="20"/>
          <w:szCs w:val="20"/>
          <w:lang w:val="es-DO"/>
        </w:rPr>
        <w:t xml:space="preserve"> de la región</w:t>
      </w:r>
      <w:r w:rsidR="00DB3688" w:rsidRPr="00BC4B03">
        <w:rPr>
          <w:rFonts w:eastAsia="Calibri"/>
          <w:iCs/>
          <w:vertAlign w:val="superscript"/>
          <w:lang w:val="es-CO"/>
        </w:rPr>
        <w:footnoteReference w:id="6"/>
      </w:r>
      <w:r w:rsidR="00831796" w:rsidRPr="00BC4B03">
        <w:rPr>
          <w:rFonts w:ascii="Verdana" w:hAnsi="Verdana"/>
          <w:sz w:val="20"/>
          <w:szCs w:val="20"/>
          <w:lang w:val="es-DO"/>
        </w:rPr>
        <w:t xml:space="preserve"> y la propia Constitución argentina</w:t>
      </w:r>
      <w:r w:rsidR="00546A72" w:rsidRPr="00BC4B03">
        <w:rPr>
          <w:rStyle w:val="Refdenotaalpie"/>
          <w:rFonts w:ascii="Verdana" w:hAnsi="Verdana"/>
          <w:sz w:val="20"/>
          <w:szCs w:val="20"/>
          <w:lang w:val="es-DO"/>
        </w:rPr>
        <w:footnoteReference w:id="7"/>
      </w:r>
      <w:r w:rsidR="00831796" w:rsidRPr="00BC4B03">
        <w:rPr>
          <w:rFonts w:ascii="Verdana" w:hAnsi="Verdana"/>
          <w:sz w:val="20"/>
          <w:szCs w:val="20"/>
          <w:lang w:val="es-DO"/>
        </w:rPr>
        <w:t xml:space="preserve">. </w:t>
      </w:r>
      <w:r w:rsidR="00BD07D6" w:rsidRPr="00BC4B03">
        <w:rPr>
          <w:rFonts w:ascii="Verdana" w:hAnsi="Verdana"/>
          <w:sz w:val="20"/>
          <w:szCs w:val="20"/>
          <w:lang w:val="es-DO"/>
        </w:rPr>
        <w:t>L</w:t>
      </w:r>
      <w:r w:rsidR="00831796" w:rsidRPr="00BC4B03">
        <w:rPr>
          <w:rFonts w:ascii="Verdana" w:hAnsi="Verdana"/>
          <w:sz w:val="20"/>
          <w:szCs w:val="20"/>
          <w:lang w:val="es-DO"/>
        </w:rPr>
        <w:t xml:space="preserve">a </w:t>
      </w:r>
      <w:r w:rsidR="00831796" w:rsidRPr="00BC4B03">
        <w:rPr>
          <w:rFonts w:ascii="Verdana" w:hAnsi="Verdana"/>
          <w:sz w:val="20"/>
          <w:szCs w:val="20"/>
          <w:lang w:val="es-DO"/>
        </w:rPr>
        <w:lastRenderedPageBreak/>
        <w:t>Sen</w:t>
      </w:r>
      <w:r w:rsidR="0037172A" w:rsidRPr="00BC4B03">
        <w:rPr>
          <w:rFonts w:ascii="Verdana" w:hAnsi="Verdana"/>
          <w:sz w:val="20"/>
          <w:szCs w:val="20"/>
          <w:lang w:val="es-DO"/>
        </w:rPr>
        <w:t>tencia reitera</w:t>
      </w:r>
      <w:r w:rsidR="00404C95" w:rsidRPr="00BC4B03">
        <w:rPr>
          <w:rFonts w:ascii="Verdana" w:hAnsi="Verdana"/>
          <w:sz w:val="20"/>
          <w:szCs w:val="20"/>
          <w:lang w:val="es-DO"/>
        </w:rPr>
        <w:t xml:space="preserve"> de esta forma</w:t>
      </w:r>
      <w:r w:rsidR="0037172A" w:rsidRPr="00BC4B03">
        <w:rPr>
          <w:rFonts w:ascii="Verdana" w:hAnsi="Verdana"/>
          <w:sz w:val="20"/>
          <w:szCs w:val="20"/>
          <w:lang w:val="es-DO"/>
        </w:rPr>
        <w:t xml:space="preserve"> </w:t>
      </w:r>
      <w:r w:rsidR="00897931" w:rsidRPr="00BC4B03">
        <w:rPr>
          <w:rFonts w:ascii="Verdana" w:hAnsi="Verdana"/>
          <w:sz w:val="20"/>
          <w:szCs w:val="20"/>
          <w:lang w:val="es-DO"/>
        </w:rPr>
        <w:t xml:space="preserve">que </w:t>
      </w:r>
      <w:r w:rsidR="0037172A" w:rsidRPr="00BC4B03">
        <w:rPr>
          <w:rFonts w:ascii="Verdana" w:hAnsi="Verdana"/>
          <w:sz w:val="20"/>
          <w:szCs w:val="20"/>
          <w:lang w:val="es-DO"/>
        </w:rPr>
        <w:t xml:space="preserve">la salud es un derecho protegido </w:t>
      </w:r>
      <w:r w:rsidR="00897931" w:rsidRPr="00BC4B03">
        <w:rPr>
          <w:rFonts w:ascii="Verdana" w:hAnsi="Verdana"/>
          <w:sz w:val="20"/>
          <w:szCs w:val="20"/>
          <w:lang w:val="es-DO"/>
        </w:rPr>
        <w:t>por la Convención Americana en virtud de una interpretación sistemática, teleológica y evolutiva de su artículo 26, del cual se desprenden</w:t>
      </w:r>
      <w:r w:rsidR="00E502A9" w:rsidRPr="00BC4B03">
        <w:rPr>
          <w:rFonts w:ascii="Verdana" w:hAnsi="Verdana"/>
          <w:sz w:val="20"/>
          <w:szCs w:val="20"/>
          <w:lang w:val="es-DO"/>
        </w:rPr>
        <w:t xml:space="preserve"> obligaciones inmediatas y progresivas: las primeras denotan el acceso efectivo, sin discriminación alguna, a los servicios de salud y las prestaciones de s</w:t>
      </w:r>
      <w:r w:rsidR="00790D22" w:rsidRPr="00BC4B03">
        <w:rPr>
          <w:rFonts w:ascii="Verdana" w:hAnsi="Verdana"/>
          <w:sz w:val="20"/>
          <w:szCs w:val="20"/>
          <w:lang w:val="es-DO"/>
        </w:rPr>
        <w:t>eguridad social, mientras que las segundas se refieren al deber estatal de</w:t>
      </w:r>
      <w:r w:rsidR="00854CCD" w:rsidRPr="00BC4B03">
        <w:rPr>
          <w:rFonts w:ascii="Verdana" w:hAnsi="Verdana"/>
          <w:sz w:val="20"/>
          <w:szCs w:val="20"/>
          <w:lang w:val="es-DO"/>
        </w:rPr>
        <w:t xml:space="preserve"> evidenciar de manera inequívoca que con sus decisiones de política pública</w:t>
      </w:r>
      <w:r w:rsidR="001B40D7" w:rsidRPr="00BC4B03">
        <w:rPr>
          <w:rFonts w:ascii="Verdana" w:hAnsi="Verdana"/>
          <w:sz w:val="20"/>
          <w:szCs w:val="20"/>
          <w:lang w:val="es-DO"/>
        </w:rPr>
        <w:t xml:space="preserve"> avanza</w:t>
      </w:r>
      <w:r w:rsidR="00790D22" w:rsidRPr="00BC4B03">
        <w:rPr>
          <w:rFonts w:ascii="Verdana" w:hAnsi="Verdana"/>
          <w:sz w:val="20"/>
          <w:szCs w:val="20"/>
          <w:lang w:val="es-DO"/>
        </w:rPr>
        <w:t xml:space="preserve"> hacia la concreción y efectividad </w:t>
      </w:r>
      <w:r w:rsidR="00854CCD" w:rsidRPr="00BC4B03">
        <w:rPr>
          <w:rFonts w:ascii="Verdana" w:hAnsi="Verdana"/>
          <w:sz w:val="20"/>
          <w:szCs w:val="20"/>
          <w:lang w:val="es-DO"/>
        </w:rPr>
        <w:t>material plena</w:t>
      </w:r>
      <w:r w:rsidR="00790D22" w:rsidRPr="00BC4B03">
        <w:rPr>
          <w:rFonts w:ascii="Verdana" w:hAnsi="Verdana"/>
          <w:sz w:val="20"/>
          <w:szCs w:val="20"/>
          <w:lang w:val="es-DO"/>
        </w:rPr>
        <w:t xml:space="preserve"> del mencionado derecho, no pudiendo mermar las garantías ya adoptadas </w:t>
      </w:r>
      <w:r w:rsidR="00854CCD" w:rsidRPr="00BC4B03">
        <w:rPr>
          <w:rFonts w:ascii="Verdana" w:hAnsi="Verdana"/>
          <w:sz w:val="20"/>
          <w:szCs w:val="20"/>
          <w:lang w:val="es-DO"/>
        </w:rPr>
        <w:t>y así configurar</w:t>
      </w:r>
      <w:r w:rsidR="00790D22" w:rsidRPr="00BC4B03">
        <w:rPr>
          <w:rFonts w:ascii="Verdana" w:hAnsi="Verdana"/>
          <w:sz w:val="20"/>
          <w:szCs w:val="20"/>
          <w:lang w:val="es-DO"/>
        </w:rPr>
        <w:t xml:space="preserve"> </w:t>
      </w:r>
      <w:r w:rsidR="00854CCD" w:rsidRPr="00BC4B03">
        <w:rPr>
          <w:rFonts w:ascii="Verdana" w:hAnsi="Verdana"/>
          <w:sz w:val="20"/>
          <w:szCs w:val="20"/>
          <w:lang w:val="es-DO"/>
        </w:rPr>
        <w:t xml:space="preserve">la </w:t>
      </w:r>
      <w:r w:rsidR="00790D22" w:rsidRPr="00BC4B03">
        <w:rPr>
          <w:rFonts w:ascii="Verdana" w:hAnsi="Verdana"/>
          <w:sz w:val="20"/>
          <w:szCs w:val="20"/>
          <w:lang w:val="es-DO"/>
        </w:rPr>
        <w:t xml:space="preserve">no regresividad. </w:t>
      </w:r>
    </w:p>
    <w:p w14:paraId="656C4E5D" w14:textId="77777777" w:rsidR="00404C95" w:rsidRPr="00BC4B03" w:rsidRDefault="00404C95" w:rsidP="00BC4B03">
      <w:pPr>
        <w:pStyle w:val="Prrafodelista"/>
        <w:rPr>
          <w:rFonts w:ascii="Verdana" w:hAnsi="Verdana"/>
          <w:sz w:val="20"/>
          <w:szCs w:val="20"/>
          <w:lang w:val="es-DO"/>
        </w:rPr>
      </w:pPr>
    </w:p>
    <w:p w14:paraId="2662F421" w14:textId="3111C278" w:rsidR="00F5308E" w:rsidRPr="00BC4B03" w:rsidRDefault="00404C95" w:rsidP="00BC4B03">
      <w:pPr>
        <w:pStyle w:val="Prrafodelista"/>
        <w:numPr>
          <w:ilvl w:val="0"/>
          <w:numId w:val="12"/>
        </w:numPr>
        <w:spacing w:after="0" w:line="240" w:lineRule="auto"/>
        <w:ind w:left="0" w:firstLine="0"/>
        <w:jc w:val="both"/>
        <w:rPr>
          <w:rFonts w:ascii="Verdana" w:hAnsi="Verdana"/>
          <w:sz w:val="20"/>
          <w:szCs w:val="20"/>
          <w:lang w:val="es-DO"/>
        </w:rPr>
      </w:pPr>
      <w:r w:rsidRPr="00BC4B03">
        <w:rPr>
          <w:rFonts w:ascii="Verdana" w:hAnsi="Verdana"/>
          <w:sz w:val="20"/>
          <w:szCs w:val="20"/>
          <w:lang w:val="es-DO"/>
        </w:rPr>
        <w:t xml:space="preserve">La anterior es la tesis adecuada para continuar fortaleciendo la protección de los DESCA en el Sistema Interamericano de Protección de Derechos Humanos. </w:t>
      </w:r>
      <w:r w:rsidR="00BD07D6" w:rsidRPr="00BC4B03">
        <w:rPr>
          <w:rFonts w:ascii="Verdana" w:hAnsi="Verdana"/>
          <w:sz w:val="20"/>
          <w:szCs w:val="20"/>
          <w:lang w:val="es-DO"/>
        </w:rPr>
        <w:t xml:space="preserve">En este sentido, concuerdo </w:t>
      </w:r>
      <w:r w:rsidR="00DB3688" w:rsidRPr="00BC4B03">
        <w:rPr>
          <w:rFonts w:ascii="Verdana" w:hAnsi="Verdana"/>
          <w:sz w:val="20"/>
          <w:szCs w:val="20"/>
          <w:lang w:val="es-DO"/>
        </w:rPr>
        <w:t xml:space="preserve">fundamentalmente </w:t>
      </w:r>
      <w:r w:rsidR="00BD07D6" w:rsidRPr="00BC4B03">
        <w:rPr>
          <w:rFonts w:ascii="Verdana" w:hAnsi="Verdana"/>
          <w:sz w:val="20"/>
          <w:szCs w:val="20"/>
          <w:lang w:val="es-DO"/>
        </w:rPr>
        <w:t xml:space="preserve">con los criterios adoptados en la Sentencia para determinar la responsabilidad del Estado por la transgresión al derecho a la salud como un derecho autónomo y justiciable mediante el artículo 26 de la Convención Americana. </w:t>
      </w:r>
      <w:r w:rsidR="00AF1B24" w:rsidRPr="00BC4B03">
        <w:rPr>
          <w:rFonts w:ascii="Verdana" w:hAnsi="Verdana"/>
          <w:sz w:val="20"/>
          <w:szCs w:val="20"/>
          <w:lang w:val="es-DO"/>
        </w:rPr>
        <w:t>No dis</w:t>
      </w:r>
      <w:r w:rsidR="00F5308E" w:rsidRPr="00BC4B03">
        <w:rPr>
          <w:rFonts w:ascii="Verdana" w:hAnsi="Verdana"/>
          <w:sz w:val="20"/>
          <w:szCs w:val="20"/>
          <w:lang w:val="es-DO"/>
        </w:rPr>
        <w:t>crepo</w:t>
      </w:r>
      <w:r w:rsidR="00AF1B24" w:rsidRPr="00BC4B03">
        <w:rPr>
          <w:rFonts w:ascii="Verdana" w:hAnsi="Verdana"/>
          <w:sz w:val="20"/>
          <w:szCs w:val="20"/>
          <w:lang w:val="es-DO"/>
        </w:rPr>
        <w:t xml:space="preserve"> </w:t>
      </w:r>
      <w:r w:rsidR="00F5308E" w:rsidRPr="00BC4B03">
        <w:rPr>
          <w:rFonts w:ascii="Verdana" w:hAnsi="Verdana"/>
          <w:sz w:val="20"/>
          <w:szCs w:val="20"/>
          <w:lang w:val="es-DO"/>
        </w:rPr>
        <w:t xml:space="preserve">con </w:t>
      </w:r>
      <w:r w:rsidR="00AF1B24" w:rsidRPr="00BC4B03">
        <w:rPr>
          <w:rFonts w:ascii="Verdana" w:hAnsi="Verdana"/>
          <w:sz w:val="20"/>
          <w:szCs w:val="20"/>
          <w:lang w:val="es-DO"/>
        </w:rPr>
        <w:t xml:space="preserve">la </w:t>
      </w:r>
      <w:r w:rsidR="00AF1B24" w:rsidRPr="00BC4B03">
        <w:rPr>
          <w:rFonts w:ascii="Verdana" w:hAnsi="Verdana"/>
          <w:i/>
          <w:sz w:val="20"/>
          <w:szCs w:val="20"/>
          <w:lang w:val="es-DO"/>
        </w:rPr>
        <w:t xml:space="preserve">ratio </w:t>
      </w:r>
      <w:proofErr w:type="spellStart"/>
      <w:r w:rsidR="00AF1B24" w:rsidRPr="00BC4B03">
        <w:rPr>
          <w:rFonts w:ascii="Verdana" w:hAnsi="Verdana"/>
          <w:i/>
          <w:sz w:val="20"/>
          <w:szCs w:val="20"/>
          <w:lang w:val="es-DO"/>
        </w:rPr>
        <w:t>deciden</w:t>
      </w:r>
      <w:r w:rsidR="00F5308E" w:rsidRPr="00BC4B03">
        <w:rPr>
          <w:rFonts w:ascii="Verdana" w:hAnsi="Verdana"/>
          <w:i/>
          <w:sz w:val="20"/>
          <w:szCs w:val="20"/>
          <w:lang w:val="es-DO"/>
        </w:rPr>
        <w:t>d</w:t>
      </w:r>
      <w:r w:rsidR="00AF1B24" w:rsidRPr="00BC4B03">
        <w:rPr>
          <w:rFonts w:ascii="Verdana" w:hAnsi="Verdana"/>
          <w:i/>
          <w:sz w:val="20"/>
          <w:szCs w:val="20"/>
          <w:lang w:val="es-DO"/>
        </w:rPr>
        <w:t>i</w:t>
      </w:r>
      <w:proofErr w:type="spellEnd"/>
      <w:r w:rsidR="00AF1B24" w:rsidRPr="00BC4B03">
        <w:rPr>
          <w:rFonts w:ascii="Verdana" w:hAnsi="Verdana"/>
          <w:sz w:val="20"/>
          <w:szCs w:val="20"/>
          <w:lang w:val="es-DO"/>
        </w:rPr>
        <w:t xml:space="preserve"> ni </w:t>
      </w:r>
      <w:r w:rsidR="00FE68D4" w:rsidRPr="00BC4B03">
        <w:rPr>
          <w:rFonts w:ascii="Verdana" w:hAnsi="Verdana"/>
          <w:sz w:val="20"/>
          <w:szCs w:val="20"/>
          <w:lang w:val="es-DO"/>
        </w:rPr>
        <w:t xml:space="preserve">con la </w:t>
      </w:r>
      <w:proofErr w:type="spellStart"/>
      <w:r w:rsidR="00F5308E" w:rsidRPr="00BC4B03">
        <w:rPr>
          <w:rFonts w:ascii="Verdana" w:hAnsi="Verdana"/>
          <w:i/>
          <w:iCs/>
          <w:sz w:val="20"/>
          <w:szCs w:val="20"/>
          <w:lang w:val="es-DO"/>
        </w:rPr>
        <w:t>obiter</w:t>
      </w:r>
      <w:proofErr w:type="spellEnd"/>
      <w:r w:rsidR="00F5308E" w:rsidRPr="00BC4B03">
        <w:rPr>
          <w:rFonts w:ascii="Verdana" w:hAnsi="Verdana"/>
          <w:i/>
          <w:iCs/>
          <w:sz w:val="20"/>
          <w:szCs w:val="20"/>
          <w:lang w:val="es-DO"/>
        </w:rPr>
        <w:t xml:space="preserve"> dicta</w:t>
      </w:r>
      <w:r w:rsidR="00AF1B24" w:rsidRPr="00BC4B03">
        <w:rPr>
          <w:rFonts w:ascii="Verdana" w:hAnsi="Verdana"/>
          <w:sz w:val="20"/>
          <w:szCs w:val="20"/>
          <w:lang w:val="es-DO"/>
        </w:rPr>
        <w:t xml:space="preserve"> de la Sentencia, sino que emito el presente voto para advertir sobre </w:t>
      </w:r>
      <w:r w:rsidR="00F5308E" w:rsidRPr="00BC4B03">
        <w:rPr>
          <w:rFonts w:ascii="Verdana" w:hAnsi="Verdana"/>
          <w:sz w:val="20"/>
          <w:szCs w:val="20"/>
          <w:lang w:val="es-DO"/>
        </w:rPr>
        <w:t xml:space="preserve">un aspecto de su parte resolutiva que me resulta </w:t>
      </w:r>
      <w:r w:rsidR="00FE68D4" w:rsidRPr="00BC4B03">
        <w:rPr>
          <w:rFonts w:ascii="Verdana" w:hAnsi="Verdana"/>
          <w:sz w:val="20"/>
          <w:szCs w:val="20"/>
          <w:lang w:val="es-DO"/>
        </w:rPr>
        <w:t>inconveniente</w:t>
      </w:r>
      <w:r w:rsidR="00F5308E" w:rsidRPr="00BC4B03">
        <w:rPr>
          <w:rFonts w:ascii="Verdana" w:hAnsi="Verdana"/>
          <w:sz w:val="20"/>
          <w:szCs w:val="20"/>
          <w:lang w:val="es-DO"/>
        </w:rPr>
        <w:t xml:space="preserve"> </w:t>
      </w:r>
      <w:r w:rsidR="00DB3688" w:rsidRPr="00BC4B03">
        <w:rPr>
          <w:rFonts w:ascii="Verdana" w:hAnsi="Verdana"/>
          <w:sz w:val="20"/>
          <w:szCs w:val="20"/>
          <w:lang w:val="es-DO"/>
        </w:rPr>
        <w:t>en la medida en que podría prestarse a</w:t>
      </w:r>
      <w:r w:rsidR="004616F9" w:rsidRPr="00BC4B03">
        <w:rPr>
          <w:rFonts w:ascii="Verdana" w:hAnsi="Verdana"/>
          <w:sz w:val="20"/>
          <w:szCs w:val="20"/>
          <w:lang w:val="es-DO"/>
        </w:rPr>
        <w:t xml:space="preserve"> confusiones innecesarias sobre</w:t>
      </w:r>
      <w:r w:rsidRPr="00BC4B03">
        <w:rPr>
          <w:rFonts w:ascii="Verdana" w:hAnsi="Verdana"/>
          <w:sz w:val="20"/>
          <w:szCs w:val="20"/>
          <w:lang w:val="es-DO"/>
        </w:rPr>
        <w:t xml:space="preserve"> el alcance de</w:t>
      </w:r>
      <w:r w:rsidR="004616F9" w:rsidRPr="00BC4B03">
        <w:rPr>
          <w:rFonts w:ascii="Verdana" w:hAnsi="Verdana"/>
          <w:sz w:val="20"/>
          <w:szCs w:val="20"/>
          <w:lang w:val="es-DO"/>
        </w:rPr>
        <w:t xml:space="preserve"> </w:t>
      </w:r>
      <w:r w:rsidR="00F5308E" w:rsidRPr="00BC4B03">
        <w:rPr>
          <w:rFonts w:ascii="Verdana" w:hAnsi="Verdana"/>
          <w:sz w:val="20"/>
          <w:szCs w:val="20"/>
          <w:lang w:val="es-DO"/>
        </w:rPr>
        <w:t xml:space="preserve">la </w:t>
      </w:r>
      <w:proofErr w:type="spellStart"/>
      <w:r w:rsidR="00F5308E" w:rsidRPr="00BC4B03">
        <w:rPr>
          <w:rFonts w:ascii="Verdana" w:hAnsi="Verdana"/>
          <w:sz w:val="20"/>
          <w:szCs w:val="20"/>
          <w:lang w:val="es-DO"/>
        </w:rPr>
        <w:t>justiciabilidad</w:t>
      </w:r>
      <w:proofErr w:type="spellEnd"/>
      <w:r w:rsidR="00F5308E" w:rsidRPr="00BC4B03">
        <w:rPr>
          <w:rFonts w:ascii="Verdana" w:hAnsi="Verdana"/>
          <w:sz w:val="20"/>
          <w:szCs w:val="20"/>
          <w:lang w:val="es-DO"/>
        </w:rPr>
        <w:t xml:space="preserve"> directa del artículo 26</w:t>
      </w:r>
      <w:r w:rsidR="00FE68D4" w:rsidRPr="00BC4B03">
        <w:rPr>
          <w:rFonts w:ascii="Verdana" w:hAnsi="Verdana"/>
          <w:sz w:val="20"/>
          <w:szCs w:val="20"/>
          <w:lang w:val="es-DO"/>
        </w:rPr>
        <w:t xml:space="preserve"> </w:t>
      </w:r>
      <w:r w:rsidR="004952BB" w:rsidRPr="00BC4B03">
        <w:rPr>
          <w:rFonts w:ascii="Verdana" w:hAnsi="Verdana"/>
          <w:sz w:val="20"/>
          <w:szCs w:val="20"/>
          <w:lang w:val="es-DO"/>
        </w:rPr>
        <w:t xml:space="preserve">y una eventual relación </w:t>
      </w:r>
      <w:r w:rsidR="00FE68D4" w:rsidRPr="00BC4B03">
        <w:rPr>
          <w:rFonts w:ascii="Verdana" w:hAnsi="Verdana"/>
          <w:sz w:val="20"/>
          <w:szCs w:val="20"/>
          <w:lang w:val="es-DO"/>
        </w:rPr>
        <w:t>respecto de</w:t>
      </w:r>
      <w:r w:rsidR="00F5308E" w:rsidRPr="00BC4B03">
        <w:rPr>
          <w:rFonts w:ascii="Verdana" w:hAnsi="Verdana"/>
          <w:sz w:val="20"/>
          <w:szCs w:val="20"/>
          <w:lang w:val="es-DO"/>
        </w:rPr>
        <w:t xml:space="preserve"> la conexidad o la intersección con la violación de otros derechos consagrados en la Convención Americana. </w:t>
      </w:r>
      <w:r w:rsidRPr="00BC4B03">
        <w:rPr>
          <w:rFonts w:ascii="Verdana" w:hAnsi="Verdana"/>
          <w:sz w:val="20"/>
          <w:szCs w:val="20"/>
          <w:lang w:val="es-DO"/>
        </w:rPr>
        <w:t>En particular, mi reserva se dirige a la forma en que fueron ad</w:t>
      </w:r>
      <w:r w:rsidR="001B40D7" w:rsidRPr="00BC4B03">
        <w:rPr>
          <w:rFonts w:ascii="Verdana" w:hAnsi="Verdana"/>
          <w:sz w:val="20"/>
          <w:szCs w:val="20"/>
          <w:lang w:val="es-DO"/>
        </w:rPr>
        <w:t>optados los puntos resolutivos 2 y 3</w:t>
      </w:r>
      <w:r w:rsidRPr="00BC4B03">
        <w:rPr>
          <w:rFonts w:ascii="Verdana" w:hAnsi="Verdana"/>
          <w:sz w:val="20"/>
          <w:szCs w:val="20"/>
          <w:lang w:val="es-DO"/>
        </w:rPr>
        <w:t xml:space="preserve"> de la Sentencia, los cuales voté en contra. </w:t>
      </w:r>
      <w:r w:rsidR="00F5308E" w:rsidRPr="00BC4B03">
        <w:rPr>
          <w:rFonts w:ascii="Verdana" w:hAnsi="Verdana"/>
          <w:sz w:val="20"/>
          <w:szCs w:val="20"/>
          <w:lang w:val="es-DO"/>
        </w:rPr>
        <w:t xml:space="preserve">Para exponer las razones de mi reserva, preciso hacer algunas acotaciones </w:t>
      </w:r>
      <w:r w:rsidR="004616F9" w:rsidRPr="00BC4B03">
        <w:rPr>
          <w:rFonts w:ascii="Verdana" w:hAnsi="Verdana"/>
          <w:sz w:val="20"/>
          <w:szCs w:val="20"/>
          <w:lang w:val="es-DO"/>
        </w:rPr>
        <w:t xml:space="preserve">sobre </w:t>
      </w:r>
      <w:r w:rsidR="00F5308E" w:rsidRPr="00BC4B03">
        <w:rPr>
          <w:rFonts w:ascii="Verdana" w:hAnsi="Verdana"/>
          <w:sz w:val="20"/>
          <w:szCs w:val="20"/>
          <w:lang w:val="es-DO"/>
        </w:rPr>
        <w:t xml:space="preserve">la evolución jurisprudencial de la Corte en cuanto a la </w:t>
      </w:r>
      <w:proofErr w:type="spellStart"/>
      <w:r w:rsidR="00F5308E" w:rsidRPr="00BC4B03">
        <w:rPr>
          <w:rFonts w:ascii="Verdana" w:hAnsi="Verdana"/>
          <w:sz w:val="20"/>
          <w:szCs w:val="20"/>
          <w:lang w:val="es-DO"/>
        </w:rPr>
        <w:t>justiciabilidad</w:t>
      </w:r>
      <w:proofErr w:type="spellEnd"/>
      <w:r w:rsidR="00F5308E" w:rsidRPr="00BC4B03">
        <w:rPr>
          <w:rFonts w:ascii="Verdana" w:hAnsi="Verdana"/>
          <w:sz w:val="20"/>
          <w:szCs w:val="20"/>
          <w:lang w:val="es-DO"/>
        </w:rPr>
        <w:t xml:space="preserve"> </w:t>
      </w:r>
      <w:r w:rsidR="009D15B7" w:rsidRPr="00BC4B03">
        <w:rPr>
          <w:rFonts w:ascii="Verdana" w:hAnsi="Verdana"/>
          <w:sz w:val="20"/>
          <w:szCs w:val="20"/>
          <w:lang w:val="es-DO"/>
        </w:rPr>
        <w:t xml:space="preserve">y acceso directo </w:t>
      </w:r>
      <w:r w:rsidR="00F5308E" w:rsidRPr="00BC4B03">
        <w:rPr>
          <w:rFonts w:ascii="Verdana" w:hAnsi="Verdana"/>
          <w:sz w:val="20"/>
          <w:szCs w:val="20"/>
          <w:lang w:val="es-DO"/>
        </w:rPr>
        <w:t>de los DESCA</w:t>
      </w:r>
      <w:r w:rsidR="004616F9" w:rsidRPr="00BC4B03">
        <w:rPr>
          <w:rFonts w:ascii="Verdana" w:hAnsi="Verdana"/>
          <w:sz w:val="20"/>
          <w:szCs w:val="20"/>
          <w:lang w:val="es-DO"/>
        </w:rPr>
        <w:t xml:space="preserve">. </w:t>
      </w:r>
    </w:p>
    <w:p w14:paraId="25DD46C5" w14:textId="77777777" w:rsidR="00DB3688" w:rsidRPr="00BC4B03" w:rsidRDefault="00DB3688" w:rsidP="00BC4B03">
      <w:pPr>
        <w:tabs>
          <w:tab w:val="left" w:pos="3936"/>
        </w:tabs>
        <w:spacing w:after="0" w:line="240" w:lineRule="auto"/>
        <w:jc w:val="both"/>
        <w:rPr>
          <w:rFonts w:ascii="Verdana" w:hAnsi="Verdana"/>
          <w:sz w:val="20"/>
          <w:szCs w:val="20"/>
          <w:lang w:val="es-DO"/>
        </w:rPr>
      </w:pPr>
    </w:p>
    <w:p w14:paraId="2F934A6C" w14:textId="5ACC43B9" w:rsidR="004616F9" w:rsidRPr="00BC4B03" w:rsidRDefault="00F2135A" w:rsidP="00BC4B03">
      <w:pPr>
        <w:spacing w:after="0" w:line="240" w:lineRule="auto"/>
        <w:jc w:val="both"/>
        <w:rPr>
          <w:rFonts w:ascii="Verdana" w:hAnsi="Verdana"/>
          <w:b/>
          <w:bCs/>
          <w:sz w:val="20"/>
          <w:szCs w:val="20"/>
          <w:lang w:val="es-DO"/>
        </w:rPr>
      </w:pPr>
      <w:r w:rsidRPr="00BC4B03">
        <w:rPr>
          <w:rFonts w:ascii="Verdana" w:hAnsi="Verdana"/>
          <w:b/>
          <w:bCs/>
          <w:sz w:val="20"/>
          <w:szCs w:val="20"/>
          <w:lang w:val="es-DO"/>
        </w:rPr>
        <w:tab/>
      </w:r>
      <w:r w:rsidR="00404C95" w:rsidRPr="00BC4B03">
        <w:rPr>
          <w:rFonts w:ascii="Verdana" w:hAnsi="Verdana"/>
          <w:b/>
          <w:bCs/>
          <w:sz w:val="20"/>
          <w:szCs w:val="20"/>
          <w:lang w:val="es-DO"/>
        </w:rPr>
        <w:t xml:space="preserve">II. </w:t>
      </w:r>
      <w:r w:rsidR="004616F9" w:rsidRPr="00BC4B03">
        <w:rPr>
          <w:rFonts w:ascii="Verdana" w:hAnsi="Verdana"/>
          <w:b/>
          <w:bCs/>
          <w:sz w:val="20"/>
          <w:szCs w:val="20"/>
          <w:lang w:val="es-DO"/>
        </w:rPr>
        <w:t>Desarrollo jurisprudencial en materia de DESCA</w:t>
      </w:r>
    </w:p>
    <w:p w14:paraId="7DF263C4" w14:textId="77777777" w:rsidR="00DB3688" w:rsidRPr="00BC4B03" w:rsidRDefault="00DB3688" w:rsidP="00BC4B03">
      <w:pPr>
        <w:pStyle w:val="Prrafodelista"/>
        <w:tabs>
          <w:tab w:val="left" w:pos="3936"/>
        </w:tabs>
        <w:spacing w:after="0" w:line="240" w:lineRule="auto"/>
        <w:ind w:left="1080"/>
        <w:jc w:val="both"/>
        <w:rPr>
          <w:rFonts w:ascii="Verdana" w:hAnsi="Verdana"/>
          <w:sz w:val="20"/>
          <w:szCs w:val="20"/>
          <w:lang w:val="es-DO"/>
        </w:rPr>
      </w:pPr>
    </w:p>
    <w:p w14:paraId="54E36EFA" w14:textId="362010B7" w:rsidR="000436F9" w:rsidRPr="00BC4B03" w:rsidRDefault="000436F9" w:rsidP="00BC4B03">
      <w:pPr>
        <w:pStyle w:val="Prrafodelista"/>
        <w:numPr>
          <w:ilvl w:val="0"/>
          <w:numId w:val="12"/>
        </w:numPr>
        <w:spacing w:after="0" w:line="240" w:lineRule="auto"/>
        <w:ind w:left="0" w:firstLine="0"/>
        <w:jc w:val="both"/>
        <w:rPr>
          <w:rFonts w:ascii="Verdana" w:hAnsi="Verdana"/>
          <w:sz w:val="20"/>
          <w:szCs w:val="20"/>
          <w:lang w:val="es-DO"/>
        </w:rPr>
      </w:pPr>
      <w:r w:rsidRPr="00BC4B03">
        <w:rPr>
          <w:rFonts w:ascii="Verdana" w:hAnsi="Verdana"/>
          <w:sz w:val="20"/>
          <w:szCs w:val="20"/>
          <w:lang w:val="es-DO"/>
        </w:rPr>
        <w:t>Es importante recordar que previo al año 2017</w:t>
      </w:r>
      <w:r w:rsidR="00DB3688" w:rsidRPr="00BC4B03">
        <w:rPr>
          <w:rFonts w:ascii="Verdana" w:hAnsi="Verdana"/>
          <w:sz w:val="20"/>
          <w:szCs w:val="20"/>
          <w:lang w:val="es-DO"/>
        </w:rPr>
        <w:t xml:space="preserve"> </w:t>
      </w:r>
      <w:r w:rsidR="003C7980" w:rsidRPr="00BC4B03">
        <w:rPr>
          <w:rFonts w:ascii="Verdana" w:hAnsi="Verdana"/>
          <w:sz w:val="20"/>
          <w:szCs w:val="20"/>
          <w:lang w:val="es-DO"/>
        </w:rPr>
        <w:t xml:space="preserve">la Corte no se había pronunciado directamente sobre la violación del artículo 26 de la Convención, sino que se había limitado a recalcar la interdependencia de los DESCA con los derechos civiles y políticos, siempre </w:t>
      </w:r>
      <w:r w:rsidR="004952BB" w:rsidRPr="00BC4B03">
        <w:rPr>
          <w:rFonts w:ascii="Verdana" w:hAnsi="Verdana"/>
          <w:sz w:val="20"/>
          <w:szCs w:val="20"/>
          <w:lang w:val="es-DO"/>
        </w:rPr>
        <w:t>manteniendo</w:t>
      </w:r>
      <w:r w:rsidR="003C7980" w:rsidRPr="00BC4B03">
        <w:rPr>
          <w:rFonts w:ascii="Verdana" w:hAnsi="Verdana"/>
          <w:sz w:val="20"/>
          <w:szCs w:val="20"/>
          <w:lang w:val="es-DO"/>
        </w:rPr>
        <w:t xml:space="preserve"> la responsabilidad del Estado por la vulneración de estos últimos. Por ejemplo, en </w:t>
      </w:r>
      <w:r w:rsidR="003C7980" w:rsidRPr="00BC4B03">
        <w:rPr>
          <w:rFonts w:ascii="Verdana" w:hAnsi="Verdana"/>
          <w:i/>
          <w:iCs/>
          <w:sz w:val="20"/>
          <w:szCs w:val="20"/>
          <w:lang w:val="es-DO"/>
        </w:rPr>
        <w:t>Cinco Pensionistas Vs. Perú</w:t>
      </w:r>
      <w:r w:rsidR="00F15313" w:rsidRPr="00BC4B03">
        <w:rPr>
          <w:rStyle w:val="Refdenotaalpie"/>
          <w:rFonts w:ascii="Verdana" w:hAnsi="Verdana"/>
          <w:iCs/>
          <w:sz w:val="20"/>
          <w:szCs w:val="20"/>
          <w:lang w:val="es-DO"/>
        </w:rPr>
        <w:footnoteReference w:id="8"/>
      </w:r>
      <w:r w:rsidR="00052D5B" w:rsidRPr="00BC4B03">
        <w:rPr>
          <w:rFonts w:ascii="Verdana" w:hAnsi="Verdana"/>
          <w:sz w:val="20"/>
          <w:szCs w:val="20"/>
          <w:lang w:val="es-DO"/>
        </w:rPr>
        <w:t xml:space="preserve">, un caso que, al igual que en </w:t>
      </w:r>
      <w:r w:rsidR="00052D5B" w:rsidRPr="00BC4B03">
        <w:rPr>
          <w:rFonts w:ascii="Verdana" w:hAnsi="Verdana"/>
          <w:i/>
          <w:iCs/>
          <w:sz w:val="20"/>
          <w:szCs w:val="20"/>
          <w:lang w:val="es-DO"/>
        </w:rPr>
        <w:t>Asociación Nacional de Cesantes y Jubilados de la Superintendencia Nacional de Administración Tributaria (ANCEJUB-SUNAT) Vs. Perú</w:t>
      </w:r>
      <w:r w:rsidR="008C149B" w:rsidRPr="00BC4B03">
        <w:rPr>
          <w:rStyle w:val="Refdenotaalpie"/>
          <w:rFonts w:ascii="Verdana" w:hAnsi="Verdana"/>
          <w:iCs/>
          <w:sz w:val="20"/>
          <w:szCs w:val="20"/>
          <w:lang w:val="es-DO"/>
        </w:rPr>
        <w:footnoteReference w:id="9"/>
      </w:r>
      <w:r w:rsidR="00052D5B" w:rsidRPr="00BC4B03">
        <w:rPr>
          <w:rFonts w:ascii="Verdana" w:hAnsi="Verdana"/>
          <w:sz w:val="20"/>
          <w:szCs w:val="20"/>
          <w:lang w:val="es-DO"/>
        </w:rPr>
        <w:t xml:space="preserve">, versaba sobre los derechos pensionarios reconocidos por sentencias internas a favor de un grupo de pensionistas de una entidad estatal, la Corte no esgrimió ninguna consideración sobre el derecho a la seguridad social, sino que </w:t>
      </w:r>
      <w:r w:rsidRPr="00BC4B03">
        <w:rPr>
          <w:rFonts w:ascii="Verdana" w:hAnsi="Verdana"/>
          <w:sz w:val="20"/>
          <w:szCs w:val="20"/>
          <w:lang w:val="es-DO"/>
        </w:rPr>
        <w:t>se limitó a resaltar</w:t>
      </w:r>
      <w:r w:rsidR="00052D5B" w:rsidRPr="00BC4B03">
        <w:rPr>
          <w:rFonts w:ascii="Verdana" w:hAnsi="Verdana"/>
          <w:sz w:val="20"/>
          <w:szCs w:val="20"/>
          <w:lang w:val="es-DO"/>
        </w:rPr>
        <w:t xml:space="preserve"> la dimensión individual y colectiva de los DESCA y señaló que su desarrollo progresivo </w:t>
      </w:r>
      <w:r w:rsidR="00274303" w:rsidRPr="00BC4B03">
        <w:rPr>
          <w:rFonts w:ascii="Verdana" w:hAnsi="Verdana"/>
          <w:sz w:val="20"/>
          <w:szCs w:val="20"/>
          <w:lang w:val="es-DO"/>
        </w:rPr>
        <w:t xml:space="preserve">se mide </w:t>
      </w:r>
      <w:r w:rsidR="00052D5B" w:rsidRPr="00BC4B03">
        <w:rPr>
          <w:rFonts w:ascii="Verdana" w:hAnsi="Verdana"/>
          <w:sz w:val="20"/>
          <w:szCs w:val="20"/>
          <w:lang w:val="es-DO"/>
        </w:rPr>
        <w:t>“en función de la creciente cobertura de los derechos económicos, sociales y culturales en general, y del derecho a la seguridad social y a la pensión en particular, sobre el conjunto de la población, teniendo presentes los imperativos de la equidad social”</w:t>
      </w:r>
      <w:r w:rsidR="00052D5B" w:rsidRPr="00BC4B03">
        <w:rPr>
          <w:rStyle w:val="Refdenotaalpie"/>
          <w:rFonts w:ascii="Verdana" w:hAnsi="Verdana"/>
          <w:sz w:val="20"/>
          <w:szCs w:val="20"/>
          <w:lang w:val="es-DO"/>
        </w:rPr>
        <w:footnoteReference w:id="10"/>
      </w:r>
      <w:r w:rsidRPr="00BC4B03">
        <w:rPr>
          <w:rFonts w:ascii="Verdana" w:hAnsi="Verdana"/>
          <w:sz w:val="20"/>
          <w:szCs w:val="20"/>
          <w:lang w:val="es-DO"/>
        </w:rPr>
        <w:t>.</w:t>
      </w:r>
    </w:p>
    <w:p w14:paraId="4F16912E" w14:textId="77777777" w:rsidR="000436F9" w:rsidRPr="00BC4B03" w:rsidRDefault="000436F9" w:rsidP="00BC4B03">
      <w:pPr>
        <w:pStyle w:val="Prrafodelista"/>
        <w:spacing w:after="0" w:line="240" w:lineRule="auto"/>
        <w:ind w:left="0"/>
        <w:jc w:val="both"/>
        <w:rPr>
          <w:rFonts w:ascii="Verdana" w:hAnsi="Verdana"/>
          <w:sz w:val="20"/>
          <w:szCs w:val="20"/>
          <w:lang w:val="es-DO"/>
        </w:rPr>
      </w:pPr>
    </w:p>
    <w:p w14:paraId="350376AB" w14:textId="58F4AB4E" w:rsidR="000436F9" w:rsidRPr="00BC4B03" w:rsidRDefault="004952BB" w:rsidP="00BC4B03">
      <w:pPr>
        <w:pStyle w:val="Prrafodelista"/>
        <w:numPr>
          <w:ilvl w:val="0"/>
          <w:numId w:val="12"/>
        </w:numPr>
        <w:spacing w:after="0" w:line="240" w:lineRule="auto"/>
        <w:ind w:left="0" w:firstLine="0"/>
        <w:jc w:val="both"/>
        <w:rPr>
          <w:rFonts w:ascii="Verdana" w:hAnsi="Verdana"/>
          <w:sz w:val="20"/>
          <w:szCs w:val="20"/>
          <w:lang w:val="es-DO"/>
        </w:rPr>
      </w:pPr>
      <w:r w:rsidRPr="00BC4B03">
        <w:rPr>
          <w:rFonts w:ascii="Verdana" w:hAnsi="Verdana"/>
          <w:sz w:val="20"/>
          <w:szCs w:val="20"/>
          <w:lang w:val="es-DO"/>
        </w:rPr>
        <w:lastRenderedPageBreak/>
        <w:t>E</w:t>
      </w:r>
      <w:r w:rsidR="000436F9" w:rsidRPr="00BC4B03">
        <w:rPr>
          <w:rFonts w:ascii="Verdana" w:hAnsi="Verdana"/>
          <w:sz w:val="20"/>
          <w:szCs w:val="20"/>
          <w:lang w:val="es-DO"/>
        </w:rPr>
        <w:t xml:space="preserve">n </w:t>
      </w:r>
      <w:r w:rsidR="000436F9" w:rsidRPr="00BC4B03">
        <w:rPr>
          <w:rFonts w:ascii="Verdana" w:hAnsi="Verdana"/>
          <w:i/>
          <w:sz w:val="20"/>
          <w:szCs w:val="20"/>
          <w:lang w:val="es-DO"/>
        </w:rPr>
        <w:t>Cinco Pensionistas</w:t>
      </w:r>
      <w:r w:rsidR="000436F9" w:rsidRPr="00BC4B03">
        <w:rPr>
          <w:rFonts w:ascii="Verdana" w:hAnsi="Verdana"/>
          <w:sz w:val="20"/>
          <w:szCs w:val="20"/>
          <w:lang w:val="es-DO"/>
        </w:rPr>
        <w:t>,</w:t>
      </w:r>
      <w:r w:rsidR="00052D5B" w:rsidRPr="00BC4B03">
        <w:rPr>
          <w:rFonts w:ascii="Verdana" w:hAnsi="Verdana"/>
          <w:sz w:val="20"/>
          <w:szCs w:val="20"/>
          <w:lang w:val="es-DO"/>
        </w:rPr>
        <w:t xml:space="preserve"> pese a que las sentencias de cuya inejecución se derivaban todas las violaciones alegadas</w:t>
      </w:r>
      <w:r w:rsidR="00274303" w:rsidRPr="00BC4B03">
        <w:rPr>
          <w:rFonts w:ascii="Verdana" w:hAnsi="Verdana"/>
          <w:sz w:val="20"/>
          <w:szCs w:val="20"/>
          <w:lang w:val="es-DO"/>
        </w:rPr>
        <w:t xml:space="preserve"> </w:t>
      </w:r>
      <w:r w:rsidR="00052D5B" w:rsidRPr="00BC4B03">
        <w:rPr>
          <w:rFonts w:ascii="Verdana" w:hAnsi="Verdana"/>
          <w:sz w:val="20"/>
          <w:szCs w:val="20"/>
          <w:lang w:val="es-DO"/>
        </w:rPr>
        <w:t>reivindicaban el derecho a la seguridad social de los cinco pensionistas, la Corte</w:t>
      </w:r>
      <w:r w:rsidR="00854CCD" w:rsidRPr="00BC4B03">
        <w:rPr>
          <w:rFonts w:ascii="Verdana" w:hAnsi="Verdana"/>
          <w:sz w:val="20"/>
          <w:szCs w:val="20"/>
          <w:lang w:val="es-DO"/>
        </w:rPr>
        <w:t xml:space="preserve"> no optó por </w:t>
      </w:r>
      <w:r w:rsidR="00052D5B" w:rsidRPr="00BC4B03">
        <w:rPr>
          <w:rFonts w:ascii="Verdana" w:hAnsi="Verdana"/>
          <w:sz w:val="20"/>
          <w:szCs w:val="20"/>
          <w:lang w:val="es-DO"/>
        </w:rPr>
        <w:t>pronunciarse sobre el deber de progresividad contemplado en el artículo 26 de la Convenció</w:t>
      </w:r>
      <w:r w:rsidR="001D3F66" w:rsidRPr="00BC4B03">
        <w:rPr>
          <w:rFonts w:ascii="Verdana" w:hAnsi="Verdana"/>
          <w:sz w:val="20"/>
          <w:szCs w:val="20"/>
          <w:lang w:val="es-DO"/>
        </w:rPr>
        <w:t xml:space="preserve">n Americana </w:t>
      </w:r>
      <w:r w:rsidR="00052D5B" w:rsidRPr="00BC4B03">
        <w:rPr>
          <w:rFonts w:ascii="Verdana" w:hAnsi="Verdana"/>
          <w:sz w:val="20"/>
          <w:szCs w:val="20"/>
          <w:lang w:val="es-DO"/>
        </w:rPr>
        <w:t xml:space="preserve">y, en su lugar, solo declaró la violación de los artículos </w:t>
      </w:r>
      <w:r w:rsidR="001D3F66" w:rsidRPr="00BC4B03">
        <w:rPr>
          <w:rFonts w:ascii="Verdana" w:hAnsi="Verdana"/>
          <w:sz w:val="20"/>
          <w:szCs w:val="20"/>
          <w:lang w:val="es-DO"/>
        </w:rPr>
        <w:t>21, 25, 1.1 y 2 del citado instrumento</w:t>
      </w:r>
      <w:r w:rsidR="001D3F66" w:rsidRPr="00BC4B03">
        <w:rPr>
          <w:rStyle w:val="Refdenotaalpie"/>
          <w:rFonts w:ascii="Verdana" w:hAnsi="Verdana"/>
          <w:sz w:val="20"/>
          <w:szCs w:val="20"/>
          <w:lang w:val="es-DO"/>
        </w:rPr>
        <w:footnoteReference w:id="11"/>
      </w:r>
      <w:r w:rsidR="001D3F66" w:rsidRPr="00BC4B03">
        <w:rPr>
          <w:rFonts w:ascii="Verdana" w:hAnsi="Verdana"/>
          <w:sz w:val="20"/>
          <w:szCs w:val="20"/>
          <w:lang w:val="es-DO"/>
        </w:rPr>
        <w:t>.</w:t>
      </w:r>
      <w:r w:rsidR="00F2135A" w:rsidRPr="00BC4B03">
        <w:rPr>
          <w:rFonts w:ascii="Verdana" w:hAnsi="Verdana"/>
          <w:sz w:val="20"/>
          <w:szCs w:val="20"/>
          <w:lang w:val="es-DO"/>
        </w:rPr>
        <w:t xml:space="preserve"> E</w:t>
      </w:r>
      <w:r w:rsidR="00BD7F0A" w:rsidRPr="00BC4B03">
        <w:rPr>
          <w:rFonts w:ascii="Verdana" w:hAnsi="Verdana"/>
          <w:sz w:val="20"/>
          <w:szCs w:val="20"/>
          <w:lang w:val="es-DO"/>
        </w:rPr>
        <w:t>n el caso</w:t>
      </w:r>
      <w:r w:rsidR="001D3F66" w:rsidRPr="00BC4B03">
        <w:rPr>
          <w:rFonts w:ascii="Verdana" w:hAnsi="Verdana"/>
          <w:sz w:val="20"/>
          <w:szCs w:val="20"/>
          <w:lang w:val="es-DO"/>
        </w:rPr>
        <w:t xml:space="preserve"> </w:t>
      </w:r>
      <w:r w:rsidR="003C7980" w:rsidRPr="00BC4B03">
        <w:rPr>
          <w:rFonts w:ascii="Verdana" w:hAnsi="Verdana"/>
          <w:i/>
          <w:iCs/>
          <w:sz w:val="20"/>
          <w:szCs w:val="20"/>
          <w:lang w:val="es-DO"/>
        </w:rPr>
        <w:t>Acevedo Buendía y Otros (“Cesantes y Jubilados de la Contraloría”) Vs. Perú</w:t>
      </w:r>
      <w:r w:rsidR="00F97DB6" w:rsidRPr="00BC4B03">
        <w:rPr>
          <w:rStyle w:val="Refdenotaalpie"/>
          <w:rFonts w:ascii="Verdana" w:hAnsi="Verdana"/>
          <w:iCs/>
          <w:sz w:val="20"/>
          <w:szCs w:val="20"/>
          <w:lang w:val="es-DO"/>
        </w:rPr>
        <w:footnoteReference w:id="12"/>
      </w:r>
      <w:r w:rsidR="00BD7F0A" w:rsidRPr="00BC4B03">
        <w:rPr>
          <w:rFonts w:ascii="Verdana" w:hAnsi="Verdana"/>
          <w:i/>
          <w:iCs/>
          <w:sz w:val="20"/>
          <w:szCs w:val="20"/>
          <w:lang w:val="es-DO"/>
        </w:rPr>
        <w:t xml:space="preserve"> </w:t>
      </w:r>
      <w:r w:rsidR="00BD7F0A" w:rsidRPr="00BC4B03">
        <w:rPr>
          <w:rFonts w:ascii="Verdana" w:hAnsi="Verdana"/>
          <w:sz w:val="20"/>
          <w:szCs w:val="20"/>
          <w:lang w:val="es-DO"/>
        </w:rPr>
        <w:t>la Corte señaló que del artículo 26 de la Convención surge tanto una obligación de hacer a cargo de los Estados que supone “brindar los medios y elementos necesarios para responder a las exigencias de efectividad de los derechos involucrados, siempre en la medida de los recursos económicos y financieros de que disponga”, como un deber de no regresividad que “resulta justiciable cuando de derechos económicos, sociales y culturales se trate”</w:t>
      </w:r>
      <w:r w:rsidR="006012F8" w:rsidRPr="00BC4B03">
        <w:rPr>
          <w:rStyle w:val="Refdenotaalpie"/>
          <w:rFonts w:ascii="Verdana" w:hAnsi="Verdana"/>
          <w:sz w:val="20"/>
          <w:szCs w:val="20"/>
          <w:lang w:val="es-DO"/>
        </w:rPr>
        <w:footnoteReference w:id="13"/>
      </w:r>
      <w:r w:rsidR="00F2135A" w:rsidRPr="00BC4B03">
        <w:rPr>
          <w:rFonts w:ascii="Verdana" w:hAnsi="Verdana"/>
          <w:sz w:val="20"/>
          <w:szCs w:val="20"/>
          <w:lang w:val="es-DO"/>
        </w:rPr>
        <w:t>. Aún así,</w:t>
      </w:r>
      <w:r w:rsidR="00BD7F0A" w:rsidRPr="00BC4B03">
        <w:rPr>
          <w:rFonts w:ascii="Verdana" w:hAnsi="Verdana"/>
          <w:sz w:val="20"/>
          <w:szCs w:val="20"/>
          <w:lang w:val="es-DO"/>
        </w:rPr>
        <w:t xml:space="preserve"> el Tribunal </w:t>
      </w:r>
      <w:r w:rsidR="00BD7F0A" w:rsidRPr="00BC4B03">
        <w:rPr>
          <w:rFonts w:ascii="Verdana" w:hAnsi="Verdana"/>
          <w:iCs/>
          <w:sz w:val="20"/>
          <w:szCs w:val="20"/>
          <w:lang w:val="es-DO"/>
        </w:rPr>
        <w:t>no encontró motivos</w:t>
      </w:r>
      <w:r w:rsidR="00BD7F0A" w:rsidRPr="00BC4B03">
        <w:rPr>
          <w:rFonts w:ascii="Verdana" w:hAnsi="Verdana"/>
          <w:sz w:val="20"/>
          <w:szCs w:val="20"/>
          <w:lang w:val="es-DO"/>
        </w:rPr>
        <w:t xml:space="preserve"> para retener la violación de dicho artículo y únicamente declaró vulnerados los derechos a la protección judicial y la propiedad privada</w:t>
      </w:r>
      <w:r w:rsidR="00BD7F0A" w:rsidRPr="00BC4B03">
        <w:rPr>
          <w:rStyle w:val="Refdenotaalpie"/>
          <w:rFonts w:ascii="Verdana" w:hAnsi="Verdana"/>
          <w:sz w:val="20"/>
          <w:szCs w:val="20"/>
          <w:lang w:val="es-DO"/>
        </w:rPr>
        <w:footnoteReference w:id="14"/>
      </w:r>
      <w:r w:rsidR="00BD7F0A" w:rsidRPr="00BC4B03">
        <w:rPr>
          <w:rFonts w:ascii="Verdana" w:hAnsi="Verdana"/>
          <w:sz w:val="20"/>
          <w:szCs w:val="20"/>
          <w:lang w:val="es-DO"/>
        </w:rPr>
        <w:t xml:space="preserve">. </w:t>
      </w:r>
    </w:p>
    <w:p w14:paraId="666A44DD" w14:textId="77777777" w:rsidR="000436F9" w:rsidRPr="00BC4B03" w:rsidRDefault="000436F9" w:rsidP="00BC4B03">
      <w:pPr>
        <w:pStyle w:val="Prrafodelista"/>
        <w:rPr>
          <w:rFonts w:ascii="Verdana" w:hAnsi="Verdana"/>
          <w:sz w:val="20"/>
          <w:szCs w:val="20"/>
          <w:lang w:val="es-DO"/>
        </w:rPr>
      </w:pPr>
    </w:p>
    <w:p w14:paraId="46349D45" w14:textId="0E742430" w:rsidR="000436F9" w:rsidRPr="00BC4B03" w:rsidRDefault="000436F9" w:rsidP="00BC4B03">
      <w:pPr>
        <w:pStyle w:val="Prrafodelista"/>
        <w:numPr>
          <w:ilvl w:val="0"/>
          <w:numId w:val="12"/>
        </w:numPr>
        <w:spacing w:after="0" w:line="240" w:lineRule="auto"/>
        <w:ind w:left="0" w:firstLine="0"/>
        <w:jc w:val="both"/>
        <w:rPr>
          <w:rFonts w:ascii="Verdana" w:hAnsi="Verdana"/>
          <w:sz w:val="20"/>
          <w:szCs w:val="20"/>
          <w:lang w:val="es-DO"/>
        </w:rPr>
      </w:pPr>
      <w:r w:rsidRPr="00BC4B03">
        <w:rPr>
          <w:rFonts w:ascii="Verdana" w:hAnsi="Verdana"/>
          <w:sz w:val="20"/>
          <w:szCs w:val="20"/>
          <w:lang w:val="es-DO"/>
        </w:rPr>
        <w:t>En</w:t>
      </w:r>
      <w:r w:rsidR="00891D13" w:rsidRPr="00BC4B03">
        <w:rPr>
          <w:rFonts w:ascii="Verdana" w:hAnsi="Verdana"/>
          <w:i/>
          <w:sz w:val="20"/>
          <w:szCs w:val="20"/>
          <w:lang w:val="es-DO"/>
        </w:rPr>
        <w:t xml:space="preserve"> Suarez Peralta Vs. Ecuador</w:t>
      </w:r>
      <w:r w:rsidR="003C1AC2" w:rsidRPr="00BC4B03">
        <w:rPr>
          <w:rStyle w:val="Refdenotaalpie"/>
          <w:rFonts w:ascii="Verdana" w:hAnsi="Verdana"/>
          <w:sz w:val="20"/>
          <w:szCs w:val="20"/>
          <w:lang w:val="es-DO"/>
        </w:rPr>
        <w:footnoteReference w:id="15"/>
      </w:r>
      <w:r w:rsidR="00891D13" w:rsidRPr="00BC4B03">
        <w:rPr>
          <w:rFonts w:ascii="Verdana" w:hAnsi="Verdana"/>
          <w:sz w:val="20"/>
          <w:szCs w:val="20"/>
          <w:lang w:val="es-DO"/>
        </w:rPr>
        <w:t xml:space="preserve">, un caso que versaba eminentemente sobre el derecho a la salud, aunque </w:t>
      </w:r>
      <w:r w:rsidR="00CD7326" w:rsidRPr="00BC4B03">
        <w:rPr>
          <w:rFonts w:ascii="Verdana" w:hAnsi="Verdana"/>
          <w:sz w:val="20"/>
          <w:szCs w:val="20"/>
          <w:lang w:val="es-DO"/>
        </w:rPr>
        <w:t xml:space="preserve">la Corte </w:t>
      </w:r>
      <w:r w:rsidR="00891D13" w:rsidRPr="00BC4B03">
        <w:rPr>
          <w:rFonts w:ascii="Verdana" w:hAnsi="Verdana"/>
          <w:sz w:val="20"/>
          <w:szCs w:val="20"/>
          <w:lang w:val="es-DO"/>
        </w:rPr>
        <w:t xml:space="preserve">reiteró </w:t>
      </w:r>
      <w:r w:rsidR="00CD7326" w:rsidRPr="00BC4B03">
        <w:rPr>
          <w:rFonts w:ascii="Verdana" w:hAnsi="Verdana"/>
          <w:sz w:val="20"/>
          <w:szCs w:val="20"/>
          <w:lang w:val="es-DO"/>
        </w:rPr>
        <w:t>“</w:t>
      </w:r>
      <w:r w:rsidR="00891D13" w:rsidRPr="00BC4B03">
        <w:rPr>
          <w:rFonts w:ascii="Verdana" w:hAnsi="Verdana"/>
          <w:sz w:val="20"/>
          <w:szCs w:val="20"/>
          <w:lang w:val="es-DO"/>
        </w:rPr>
        <w:t>la interdependencia e indivisibilidad existente entre los derechos civiles y políticos y los económicos sociales y culturales, ya que deben ser entendidos integralmente como derechos humanos, sin jerarquía entre sí y exigibles en todos los casos</w:t>
      </w:r>
      <w:r w:rsidR="00CD7326" w:rsidRPr="00BC4B03">
        <w:rPr>
          <w:rFonts w:ascii="Verdana" w:hAnsi="Verdana"/>
          <w:sz w:val="20"/>
          <w:szCs w:val="20"/>
          <w:lang w:val="es-DO"/>
        </w:rPr>
        <w:t>”</w:t>
      </w:r>
      <w:r w:rsidR="00CD7326" w:rsidRPr="00BC4B03">
        <w:rPr>
          <w:rStyle w:val="Refdenotaalpie"/>
          <w:rFonts w:ascii="Verdana" w:hAnsi="Verdana"/>
          <w:sz w:val="20"/>
          <w:szCs w:val="20"/>
          <w:lang w:val="es-DO"/>
        </w:rPr>
        <w:footnoteReference w:id="16"/>
      </w:r>
      <w:r w:rsidR="00CD7326" w:rsidRPr="00BC4B03">
        <w:rPr>
          <w:rFonts w:ascii="Verdana" w:hAnsi="Verdana"/>
          <w:sz w:val="20"/>
          <w:szCs w:val="20"/>
          <w:lang w:val="es-DO"/>
        </w:rPr>
        <w:t>, subsumió el contenido de dicho derecho a la integridad personal y no declaró la violación del artículo 26 de la Convención. Y así sucedió con otros casos vinculados a algún DESCA</w:t>
      </w:r>
      <w:r w:rsidR="00CD7326" w:rsidRPr="00BC4B03">
        <w:rPr>
          <w:rStyle w:val="Refdenotaalpie"/>
          <w:rFonts w:ascii="Verdana" w:hAnsi="Verdana"/>
          <w:sz w:val="20"/>
          <w:szCs w:val="20"/>
          <w:lang w:val="es-DO"/>
        </w:rPr>
        <w:footnoteReference w:id="17"/>
      </w:r>
      <w:r w:rsidR="004952BB" w:rsidRPr="00BC4B03">
        <w:rPr>
          <w:rFonts w:ascii="Verdana" w:hAnsi="Verdana"/>
          <w:sz w:val="20"/>
          <w:szCs w:val="20"/>
          <w:lang w:val="es-DO"/>
        </w:rPr>
        <w:t>, todo ello</w:t>
      </w:r>
      <w:r w:rsidR="00645341" w:rsidRPr="00BC4B03">
        <w:rPr>
          <w:rFonts w:ascii="Verdana" w:hAnsi="Verdana"/>
          <w:sz w:val="20"/>
          <w:szCs w:val="20"/>
          <w:lang w:val="es-DO"/>
        </w:rPr>
        <w:t xml:space="preserve"> </w:t>
      </w:r>
      <w:r w:rsidR="00236DF6" w:rsidRPr="00BC4B03">
        <w:rPr>
          <w:rFonts w:ascii="Verdana" w:hAnsi="Verdana"/>
          <w:sz w:val="20"/>
          <w:szCs w:val="20"/>
          <w:lang w:val="es-DO"/>
        </w:rPr>
        <w:t xml:space="preserve">hasta </w:t>
      </w:r>
      <w:r w:rsidR="004952BB" w:rsidRPr="00BC4B03">
        <w:rPr>
          <w:rFonts w:ascii="Verdana" w:hAnsi="Verdana"/>
          <w:sz w:val="20"/>
          <w:szCs w:val="20"/>
          <w:lang w:val="es-DO"/>
        </w:rPr>
        <w:t xml:space="preserve">que se conoció el caso </w:t>
      </w:r>
      <w:r w:rsidR="00CD7326" w:rsidRPr="00BC4B03">
        <w:rPr>
          <w:rFonts w:ascii="Verdana" w:hAnsi="Verdana"/>
          <w:i/>
          <w:sz w:val="20"/>
          <w:szCs w:val="20"/>
          <w:lang w:val="es-DO"/>
        </w:rPr>
        <w:t>Lagos del Campo Vs. Perú</w:t>
      </w:r>
      <w:r w:rsidR="0053002B" w:rsidRPr="00BC4B03">
        <w:rPr>
          <w:rStyle w:val="Refdenotaalpie"/>
          <w:rFonts w:ascii="Verdana" w:hAnsi="Verdana"/>
          <w:sz w:val="20"/>
          <w:szCs w:val="20"/>
          <w:lang w:val="es-DO"/>
        </w:rPr>
        <w:footnoteReference w:id="18"/>
      </w:r>
      <w:r w:rsidR="00CD7326" w:rsidRPr="00BC4B03">
        <w:rPr>
          <w:rFonts w:ascii="Verdana" w:hAnsi="Verdana"/>
          <w:i/>
          <w:sz w:val="20"/>
          <w:szCs w:val="20"/>
          <w:lang w:val="es-DO"/>
        </w:rPr>
        <w:t>.</w:t>
      </w:r>
      <w:r w:rsidR="00236DF6" w:rsidRPr="00BC4B03">
        <w:rPr>
          <w:rFonts w:ascii="Verdana" w:hAnsi="Verdana"/>
          <w:sz w:val="20"/>
          <w:szCs w:val="20"/>
          <w:lang w:val="es-DO"/>
        </w:rPr>
        <w:t xml:space="preserve"> En dicha sentencia, la Corte utilizó el artículo 26 de la Convención para remitirse a las disposiciones de la Carta de la OEA y </w:t>
      </w:r>
      <w:r w:rsidR="004952BB" w:rsidRPr="00BC4B03">
        <w:rPr>
          <w:rFonts w:ascii="Verdana" w:hAnsi="Verdana"/>
          <w:sz w:val="20"/>
          <w:szCs w:val="20"/>
          <w:lang w:val="es-DO"/>
        </w:rPr>
        <w:t>analizar</w:t>
      </w:r>
      <w:r w:rsidR="00236DF6" w:rsidRPr="00BC4B03">
        <w:rPr>
          <w:rFonts w:ascii="Verdana" w:hAnsi="Verdana"/>
          <w:sz w:val="20"/>
          <w:szCs w:val="20"/>
          <w:lang w:val="es-DO"/>
        </w:rPr>
        <w:t xml:space="preserve"> si en ellas se </w:t>
      </w:r>
      <w:r w:rsidR="004952BB" w:rsidRPr="00BC4B03">
        <w:rPr>
          <w:rFonts w:ascii="Verdana" w:hAnsi="Verdana"/>
          <w:sz w:val="20"/>
          <w:szCs w:val="20"/>
          <w:lang w:val="es-DO"/>
        </w:rPr>
        <w:t>podría encontrar</w:t>
      </w:r>
      <w:r w:rsidR="00236DF6" w:rsidRPr="00BC4B03">
        <w:rPr>
          <w:rFonts w:ascii="Verdana" w:hAnsi="Verdana"/>
          <w:sz w:val="20"/>
          <w:szCs w:val="20"/>
          <w:lang w:val="es-DO"/>
        </w:rPr>
        <w:t xml:space="preserve"> mención específica </w:t>
      </w:r>
      <w:r w:rsidR="00854CCD" w:rsidRPr="00BC4B03">
        <w:rPr>
          <w:rFonts w:ascii="Verdana" w:hAnsi="Verdana"/>
          <w:sz w:val="20"/>
          <w:szCs w:val="20"/>
          <w:lang w:val="es-DO"/>
        </w:rPr>
        <w:t>a</w:t>
      </w:r>
      <w:r w:rsidR="00236DF6" w:rsidRPr="00BC4B03">
        <w:rPr>
          <w:rFonts w:ascii="Verdana" w:hAnsi="Verdana"/>
          <w:sz w:val="20"/>
          <w:szCs w:val="20"/>
          <w:lang w:val="es-DO"/>
        </w:rPr>
        <w:t xml:space="preserve"> los elementos constitutivos del derecho a la estabilidad laboral con un grado de precisi</w:t>
      </w:r>
      <w:r w:rsidR="008B3D38" w:rsidRPr="00BC4B03">
        <w:rPr>
          <w:rFonts w:ascii="Verdana" w:hAnsi="Verdana"/>
          <w:sz w:val="20"/>
          <w:szCs w:val="20"/>
          <w:lang w:val="es-DO"/>
        </w:rPr>
        <w:t xml:space="preserve">ón que el mismo pudiera desprenderse del propio artículo 26. Luego se auxilió del </w:t>
      </w:r>
      <w:r w:rsidR="008B3D38" w:rsidRPr="00BC4B03">
        <w:rPr>
          <w:rFonts w:ascii="Verdana" w:hAnsi="Verdana"/>
          <w:i/>
          <w:sz w:val="20"/>
          <w:szCs w:val="20"/>
          <w:lang w:val="es-DO"/>
        </w:rPr>
        <w:t xml:space="preserve">corpus iuris </w:t>
      </w:r>
      <w:r w:rsidR="008B3D38" w:rsidRPr="00BC4B03">
        <w:rPr>
          <w:rFonts w:ascii="Verdana" w:hAnsi="Verdana"/>
          <w:sz w:val="20"/>
          <w:szCs w:val="20"/>
          <w:lang w:val="es-DO"/>
        </w:rPr>
        <w:t xml:space="preserve">internacional y nacional en la materia para delimitar el contenido del derecho a la estabilidad laboral y, sirviéndose de las reglas de interpretación del artículo 29 de la Convención, juzgó </w:t>
      </w:r>
      <w:r w:rsidR="00BD77AE" w:rsidRPr="00BC4B03">
        <w:rPr>
          <w:rFonts w:ascii="Verdana" w:hAnsi="Verdana"/>
          <w:sz w:val="20"/>
          <w:szCs w:val="20"/>
          <w:lang w:val="es-DO"/>
        </w:rPr>
        <w:t>que dicho derecho se enmarcaba en el ámbito de protección del artículo 26 de la Convenci</w:t>
      </w:r>
      <w:r w:rsidRPr="00BC4B03">
        <w:rPr>
          <w:rFonts w:ascii="Verdana" w:hAnsi="Verdana"/>
          <w:sz w:val="20"/>
          <w:szCs w:val="20"/>
          <w:lang w:val="es-DO"/>
        </w:rPr>
        <w:t>ón.</w:t>
      </w:r>
    </w:p>
    <w:p w14:paraId="782EE341" w14:textId="77777777" w:rsidR="000436F9" w:rsidRPr="00BC4B03" w:rsidRDefault="000436F9" w:rsidP="00BC4B03">
      <w:pPr>
        <w:pStyle w:val="Prrafodelista"/>
        <w:spacing w:after="0" w:line="240" w:lineRule="auto"/>
        <w:ind w:left="0"/>
        <w:jc w:val="both"/>
        <w:rPr>
          <w:rFonts w:ascii="Verdana" w:hAnsi="Verdana"/>
          <w:sz w:val="20"/>
          <w:szCs w:val="20"/>
          <w:lang w:val="es-DO"/>
        </w:rPr>
      </w:pPr>
    </w:p>
    <w:p w14:paraId="1B17722E" w14:textId="636FB963" w:rsidR="008B3D38" w:rsidRPr="00BC4B03" w:rsidRDefault="00BD77AE" w:rsidP="00BC4B03">
      <w:pPr>
        <w:pStyle w:val="Prrafodelista"/>
        <w:numPr>
          <w:ilvl w:val="0"/>
          <w:numId w:val="12"/>
        </w:numPr>
        <w:spacing w:after="0" w:line="240" w:lineRule="auto"/>
        <w:ind w:left="0" w:firstLine="0"/>
        <w:jc w:val="both"/>
        <w:rPr>
          <w:rFonts w:ascii="Verdana" w:hAnsi="Verdana"/>
          <w:sz w:val="20"/>
          <w:szCs w:val="20"/>
          <w:lang w:val="es-DO"/>
        </w:rPr>
      </w:pPr>
      <w:r w:rsidRPr="00BC4B03">
        <w:rPr>
          <w:rFonts w:ascii="Verdana" w:hAnsi="Verdana"/>
          <w:sz w:val="20"/>
          <w:szCs w:val="20"/>
          <w:lang w:val="es-DO"/>
        </w:rPr>
        <w:t xml:space="preserve">El desarrollo del mencionado criterio prosiguió en posteriores </w:t>
      </w:r>
      <w:r w:rsidR="00B5483C" w:rsidRPr="00BC4B03">
        <w:rPr>
          <w:rFonts w:ascii="Verdana" w:hAnsi="Verdana"/>
          <w:sz w:val="20"/>
          <w:szCs w:val="20"/>
          <w:lang w:val="es-DO"/>
        </w:rPr>
        <w:t>decisiones</w:t>
      </w:r>
      <w:r w:rsidRPr="00BC4B03">
        <w:rPr>
          <w:rFonts w:ascii="Verdana" w:hAnsi="Verdana"/>
          <w:sz w:val="20"/>
          <w:szCs w:val="20"/>
          <w:lang w:val="es-DO"/>
        </w:rPr>
        <w:t xml:space="preserve"> como</w:t>
      </w:r>
      <w:r w:rsidR="00B5483C" w:rsidRPr="00BC4B03">
        <w:rPr>
          <w:rFonts w:ascii="Verdana" w:hAnsi="Verdana"/>
          <w:sz w:val="20"/>
          <w:szCs w:val="20"/>
          <w:lang w:val="es-DO"/>
        </w:rPr>
        <w:t>:</w:t>
      </w:r>
      <w:r w:rsidRPr="00BC4B03">
        <w:rPr>
          <w:rFonts w:ascii="Verdana" w:hAnsi="Verdana"/>
          <w:sz w:val="20"/>
          <w:szCs w:val="20"/>
          <w:lang w:val="es-DO"/>
        </w:rPr>
        <w:t xml:space="preserve"> </w:t>
      </w:r>
      <w:r w:rsidR="00FA78AB" w:rsidRPr="00BC4B03">
        <w:rPr>
          <w:rFonts w:ascii="Verdana" w:hAnsi="Verdana"/>
          <w:i/>
          <w:sz w:val="20"/>
          <w:szCs w:val="20"/>
          <w:lang w:val="es-DO"/>
        </w:rPr>
        <w:t>Trabajadores Cesados de Petroperú y Otros Vs. Perú</w:t>
      </w:r>
      <w:r w:rsidR="00FA78AB" w:rsidRPr="00BC4B03">
        <w:rPr>
          <w:rStyle w:val="Refdenotaalpie"/>
          <w:rFonts w:ascii="Verdana" w:hAnsi="Verdana"/>
          <w:sz w:val="20"/>
          <w:szCs w:val="20"/>
        </w:rPr>
        <w:footnoteReference w:id="19"/>
      </w:r>
      <w:r w:rsidR="00FA78AB" w:rsidRPr="00BC4B03">
        <w:rPr>
          <w:rFonts w:ascii="Verdana" w:hAnsi="Verdana"/>
          <w:i/>
          <w:sz w:val="20"/>
          <w:szCs w:val="20"/>
          <w:lang w:val="es-DO"/>
        </w:rPr>
        <w:t>, San Miguel Sosa Vs. Venezuela</w:t>
      </w:r>
      <w:r w:rsidR="00FA78AB" w:rsidRPr="00BC4B03">
        <w:rPr>
          <w:rStyle w:val="Refdenotaalpie"/>
          <w:rFonts w:ascii="Verdana" w:hAnsi="Verdana"/>
          <w:sz w:val="20"/>
          <w:szCs w:val="20"/>
        </w:rPr>
        <w:footnoteReference w:id="20"/>
      </w:r>
      <w:r w:rsidR="002D5B1D" w:rsidRPr="00BC4B03">
        <w:rPr>
          <w:rFonts w:ascii="Verdana" w:hAnsi="Verdana"/>
          <w:i/>
          <w:sz w:val="20"/>
          <w:szCs w:val="20"/>
          <w:lang w:val="es-DO"/>
        </w:rPr>
        <w:t>,</w:t>
      </w:r>
      <w:r w:rsidR="000436F9" w:rsidRPr="00BC4B03">
        <w:rPr>
          <w:rFonts w:ascii="Verdana" w:hAnsi="Verdana"/>
          <w:i/>
          <w:sz w:val="20"/>
          <w:szCs w:val="20"/>
          <w:lang w:val="es-DO"/>
        </w:rPr>
        <w:t xml:space="preserve"> </w:t>
      </w:r>
      <w:r w:rsidR="002D5B1D" w:rsidRPr="00BC4B03">
        <w:rPr>
          <w:rFonts w:ascii="Verdana" w:hAnsi="Verdana"/>
          <w:i/>
          <w:sz w:val="20"/>
          <w:szCs w:val="20"/>
          <w:lang w:val="es-DO"/>
        </w:rPr>
        <w:lastRenderedPageBreak/>
        <w:t>Poblete Vilches y Otros Vs. Chile</w:t>
      </w:r>
      <w:r w:rsidR="00FA78AB" w:rsidRPr="00BC4B03">
        <w:rPr>
          <w:rStyle w:val="Refdenotaalpie"/>
          <w:rFonts w:ascii="Verdana" w:hAnsi="Verdana"/>
          <w:sz w:val="20"/>
          <w:szCs w:val="20"/>
          <w:lang w:val="es-DO"/>
        </w:rPr>
        <w:footnoteReference w:id="21"/>
      </w:r>
      <w:r w:rsidR="000436F9" w:rsidRPr="00BC4B03">
        <w:rPr>
          <w:rFonts w:ascii="Verdana" w:hAnsi="Verdana"/>
          <w:i/>
          <w:sz w:val="20"/>
          <w:szCs w:val="20"/>
          <w:lang w:val="es-DO"/>
        </w:rPr>
        <w:t xml:space="preserve">, </w:t>
      </w:r>
      <w:proofErr w:type="spellStart"/>
      <w:r w:rsidR="000436F9" w:rsidRPr="00BC4B03">
        <w:rPr>
          <w:rFonts w:ascii="Verdana" w:hAnsi="Verdana"/>
          <w:i/>
          <w:sz w:val="20"/>
          <w:szCs w:val="20"/>
          <w:lang w:val="es-DO"/>
        </w:rPr>
        <w:t>Cuscul</w:t>
      </w:r>
      <w:proofErr w:type="spellEnd"/>
      <w:r w:rsidR="000436F9" w:rsidRPr="00BC4B03">
        <w:rPr>
          <w:rFonts w:ascii="Verdana" w:hAnsi="Verdana"/>
          <w:i/>
          <w:sz w:val="20"/>
          <w:szCs w:val="20"/>
          <w:lang w:val="es-DO"/>
        </w:rPr>
        <w:t xml:space="preserve"> Pivaral y otros Vs. Guatemala</w:t>
      </w:r>
      <w:r w:rsidR="000436F9" w:rsidRPr="00BC4B03">
        <w:rPr>
          <w:rStyle w:val="Refdenotaalpie"/>
          <w:rFonts w:ascii="Verdana" w:hAnsi="Verdana"/>
          <w:sz w:val="20"/>
          <w:szCs w:val="20"/>
          <w:lang w:val="es-DO"/>
        </w:rPr>
        <w:footnoteReference w:id="22"/>
      </w:r>
      <w:r w:rsidR="000436F9" w:rsidRPr="00BC4B03">
        <w:rPr>
          <w:rFonts w:ascii="Verdana" w:hAnsi="Verdana"/>
          <w:i/>
          <w:sz w:val="20"/>
          <w:szCs w:val="20"/>
          <w:lang w:val="es-DO"/>
        </w:rPr>
        <w:t>,</w:t>
      </w:r>
      <w:r w:rsidR="000436F9" w:rsidRPr="00BC4B03">
        <w:rPr>
          <w:rFonts w:ascii="Verdana" w:hAnsi="Verdana"/>
          <w:sz w:val="20"/>
          <w:szCs w:val="20"/>
          <w:lang w:val="es-DO"/>
        </w:rPr>
        <w:t xml:space="preserve"> </w:t>
      </w:r>
      <w:r w:rsidR="000436F9" w:rsidRPr="00BC4B03">
        <w:rPr>
          <w:rFonts w:ascii="Verdana" w:hAnsi="Verdana"/>
          <w:i/>
          <w:sz w:val="20"/>
          <w:szCs w:val="20"/>
          <w:lang w:val="es-DO"/>
        </w:rPr>
        <w:t>Muelle Flores Vs. Perú</w:t>
      </w:r>
      <w:r w:rsidR="000436F9" w:rsidRPr="00BC4B03">
        <w:rPr>
          <w:rStyle w:val="Refdenotaalpie"/>
          <w:rFonts w:ascii="Verdana" w:hAnsi="Verdana"/>
          <w:sz w:val="20"/>
          <w:szCs w:val="20"/>
          <w:lang w:val="es-DO"/>
        </w:rPr>
        <w:footnoteReference w:id="23"/>
      </w:r>
      <w:r w:rsidR="000436F9" w:rsidRPr="00BC4B03">
        <w:rPr>
          <w:rFonts w:ascii="Verdana" w:hAnsi="Verdana"/>
          <w:sz w:val="20"/>
          <w:szCs w:val="20"/>
          <w:lang w:val="es-DO"/>
        </w:rPr>
        <w:t xml:space="preserve">, y </w:t>
      </w:r>
      <w:r w:rsidR="000436F9" w:rsidRPr="00BC4B03">
        <w:rPr>
          <w:rFonts w:ascii="Verdana" w:hAnsi="Verdana"/>
          <w:i/>
          <w:sz w:val="20"/>
          <w:szCs w:val="20"/>
          <w:lang w:val="es-CR"/>
        </w:rPr>
        <w:t>Asociación Nacional de Cesantes y Jubilados de la Superintendencia Nacional de Administración Tributaria (ANCEJUB-SUNAT) Vs. Perú</w:t>
      </w:r>
      <w:r w:rsidR="000436F9" w:rsidRPr="00BC4B03">
        <w:rPr>
          <w:rStyle w:val="Refdenotaalpie"/>
          <w:rFonts w:ascii="Verdana" w:hAnsi="Verdana"/>
          <w:sz w:val="20"/>
          <w:szCs w:val="20"/>
        </w:rPr>
        <w:footnoteReference w:id="24"/>
      </w:r>
      <w:r w:rsidR="00FA78AB" w:rsidRPr="00BC4B03">
        <w:rPr>
          <w:rFonts w:ascii="Verdana" w:hAnsi="Verdana"/>
          <w:i/>
          <w:sz w:val="20"/>
          <w:szCs w:val="20"/>
          <w:lang w:val="es-DO"/>
        </w:rPr>
        <w:t xml:space="preserve">. </w:t>
      </w:r>
      <w:r w:rsidR="00B5483C" w:rsidRPr="00BC4B03">
        <w:rPr>
          <w:rFonts w:ascii="Verdana" w:hAnsi="Verdana"/>
          <w:sz w:val="20"/>
          <w:szCs w:val="20"/>
          <w:lang w:val="es-DO"/>
        </w:rPr>
        <w:t>Es preciso destacar que d</w:t>
      </w:r>
      <w:r w:rsidR="000436F9" w:rsidRPr="00BC4B03">
        <w:rPr>
          <w:rFonts w:ascii="Verdana" w:hAnsi="Verdana"/>
          <w:sz w:val="20"/>
          <w:szCs w:val="20"/>
          <w:lang w:val="es-DO"/>
        </w:rPr>
        <w:t xml:space="preserve">esde </w:t>
      </w:r>
      <w:r w:rsidR="000436F9" w:rsidRPr="00BC4B03">
        <w:rPr>
          <w:rFonts w:ascii="Verdana" w:hAnsi="Verdana"/>
          <w:i/>
          <w:sz w:val="20"/>
          <w:szCs w:val="20"/>
          <w:lang w:val="es-DO"/>
        </w:rPr>
        <w:t>Poblete Vilches</w:t>
      </w:r>
      <w:r w:rsidR="00FA78AB" w:rsidRPr="00BC4B03">
        <w:rPr>
          <w:rFonts w:ascii="Verdana" w:hAnsi="Verdana"/>
          <w:sz w:val="20"/>
          <w:szCs w:val="20"/>
          <w:lang w:val="es-DO"/>
        </w:rPr>
        <w:t>, la Corte reconoció lo siguiente:</w:t>
      </w:r>
    </w:p>
    <w:p w14:paraId="7D9C6E5D" w14:textId="77777777" w:rsidR="008B3D38" w:rsidRPr="00BC4B03" w:rsidRDefault="008B3D38" w:rsidP="00BC4B03">
      <w:pPr>
        <w:tabs>
          <w:tab w:val="left" w:pos="3936"/>
        </w:tabs>
        <w:spacing w:after="0" w:line="240" w:lineRule="auto"/>
        <w:jc w:val="both"/>
        <w:rPr>
          <w:rFonts w:ascii="Verdana" w:hAnsi="Verdana"/>
          <w:sz w:val="20"/>
          <w:szCs w:val="20"/>
          <w:lang w:val="es-DO"/>
        </w:rPr>
      </w:pPr>
    </w:p>
    <w:p w14:paraId="7542DC18" w14:textId="7CADB982" w:rsidR="008B3D38" w:rsidRPr="00BC4B03" w:rsidRDefault="002D5B1D" w:rsidP="00BC4B03">
      <w:pPr>
        <w:pStyle w:val="Estilo1"/>
        <w:tabs>
          <w:tab w:val="left" w:pos="709"/>
          <w:tab w:val="left" w:pos="8505"/>
        </w:tabs>
        <w:spacing w:after="0"/>
        <w:ind w:left="709" w:right="856"/>
        <w:rPr>
          <w:i/>
          <w:sz w:val="18"/>
          <w:szCs w:val="20"/>
          <w:lang w:val="es-CR"/>
        </w:rPr>
      </w:pPr>
      <w:r w:rsidRPr="00BC4B03">
        <w:rPr>
          <w:sz w:val="18"/>
          <w:szCs w:val="20"/>
          <w:lang w:val="es-CR"/>
        </w:rPr>
        <w:t>“</w:t>
      </w:r>
      <w:r w:rsidR="008B3D38" w:rsidRPr="00BC4B03">
        <w:rPr>
          <w:sz w:val="18"/>
          <w:szCs w:val="20"/>
          <w:lang w:val="es-CR"/>
        </w:rPr>
        <w:t>Así, resulta claro interpretar que la Convención Americana incorporó en su catálogo de derechos protegidos los denominados derechos económicos, sociales, culturales y ambientales (DESCA), a través de una derivación de las normas reconocidas en la Carta de la Organización de los Estados Americanos (OEA), así como de las normas de interpretación dispuestas en el propio artículo 29 de la Convención; particularmente, que impide limitar o excluir el goce de los derechos establecidos en la Declaración Americana e inclusive los reconocidos en materia interna. Asimismo, de conformidad con una interpretación sistemática, teleológica y evolutiva, la Corte ha recurrido al corpus iuris internacional y nacional en la materia para dar contenido específico al alcance de los derechos tutelados por la Convención, a fin de derivar el alcance de las obligaciones específicas de cada derecho</w:t>
      </w:r>
      <w:r w:rsidRPr="00BC4B03">
        <w:rPr>
          <w:sz w:val="18"/>
          <w:szCs w:val="20"/>
          <w:lang w:val="es-CR"/>
        </w:rPr>
        <w:t>”</w:t>
      </w:r>
      <w:r w:rsidR="008B3D38" w:rsidRPr="00BC4B03">
        <w:rPr>
          <w:rStyle w:val="Refdenotaalpie"/>
          <w:sz w:val="18"/>
          <w:szCs w:val="20"/>
        </w:rPr>
        <w:footnoteReference w:id="25"/>
      </w:r>
      <w:r w:rsidR="008B3D38" w:rsidRPr="00BC4B03">
        <w:rPr>
          <w:sz w:val="18"/>
          <w:szCs w:val="20"/>
          <w:lang w:val="es-CR"/>
        </w:rPr>
        <w:t>.</w:t>
      </w:r>
    </w:p>
    <w:p w14:paraId="739AF78B" w14:textId="77777777" w:rsidR="008B3D38" w:rsidRPr="00BC4B03" w:rsidRDefault="008B3D38" w:rsidP="00BC4B03">
      <w:pPr>
        <w:tabs>
          <w:tab w:val="left" w:pos="3936"/>
        </w:tabs>
        <w:spacing w:after="0" w:line="240" w:lineRule="auto"/>
        <w:jc w:val="both"/>
        <w:rPr>
          <w:rFonts w:ascii="Verdana" w:hAnsi="Verdana"/>
          <w:i/>
          <w:sz w:val="20"/>
          <w:szCs w:val="20"/>
          <w:lang w:val="es-CR"/>
        </w:rPr>
      </w:pPr>
    </w:p>
    <w:p w14:paraId="087E00B7" w14:textId="16D7C2E7" w:rsidR="006012F8" w:rsidRPr="00BC4B03" w:rsidRDefault="00F2135A" w:rsidP="00BC4B03">
      <w:pPr>
        <w:tabs>
          <w:tab w:val="left" w:pos="709"/>
        </w:tabs>
        <w:spacing w:after="0" w:line="240" w:lineRule="auto"/>
        <w:jc w:val="both"/>
        <w:rPr>
          <w:rFonts w:ascii="Verdana" w:hAnsi="Verdana"/>
          <w:b/>
          <w:bCs/>
          <w:sz w:val="20"/>
          <w:szCs w:val="20"/>
          <w:lang w:val="es-DO"/>
        </w:rPr>
      </w:pPr>
      <w:r w:rsidRPr="00BC4B03">
        <w:rPr>
          <w:rFonts w:ascii="Verdana" w:hAnsi="Verdana"/>
          <w:b/>
          <w:bCs/>
          <w:sz w:val="20"/>
          <w:szCs w:val="20"/>
          <w:lang w:val="es-DO"/>
        </w:rPr>
        <w:tab/>
        <w:t xml:space="preserve">III. </w:t>
      </w:r>
      <w:r w:rsidR="006012F8" w:rsidRPr="00BC4B03">
        <w:rPr>
          <w:rFonts w:ascii="Verdana" w:hAnsi="Verdana"/>
          <w:b/>
          <w:bCs/>
          <w:sz w:val="20"/>
          <w:szCs w:val="20"/>
          <w:lang w:val="es-DO"/>
        </w:rPr>
        <w:t>In</w:t>
      </w:r>
      <w:r w:rsidR="00B5483C" w:rsidRPr="00BC4B03">
        <w:rPr>
          <w:rFonts w:ascii="Verdana" w:hAnsi="Verdana"/>
          <w:b/>
          <w:bCs/>
          <w:sz w:val="20"/>
          <w:szCs w:val="20"/>
          <w:lang w:val="es-DO"/>
        </w:rPr>
        <w:t>conveniente</w:t>
      </w:r>
      <w:r w:rsidR="006012F8" w:rsidRPr="00BC4B03">
        <w:rPr>
          <w:rFonts w:ascii="Verdana" w:hAnsi="Verdana"/>
          <w:b/>
          <w:bCs/>
          <w:sz w:val="20"/>
          <w:szCs w:val="20"/>
          <w:lang w:val="es-DO"/>
        </w:rPr>
        <w:t xml:space="preserve"> reiteración de violaciones en el caso concreto</w:t>
      </w:r>
    </w:p>
    <w:p w14:paraId="6966815C" w14:textId="77777777" w:rsidR="00DB3688" w:rsidRPr="00BC4B03" w:rsidRDefault="00DB3688" w:rsidP="00BC4B03">
      <w:pPr>
        <w:tabs>
          <w:tab w:val="left" w:pos="3936"/>
        </w:tabs>
        <w:spacing w:after="0" w:line="240" w:lineRule="auto"/>
        <w:jc w:val="both"/>
        <w:rPr>
          <w:rFonts w:ascii="Verdana" w:hAnsi="Verdana"/>
          <w:sz w:val="20"/>
          <w:szCs w:val="20"/>
          <w:lang w:val="es-DO"/>
        </w:rPr>
      </w:pPr>
    </w:p>
    <w:p w14:paraId="3A29946E" w14:textId="42B6A430" w:rsidR="00F2135A" w:rsidRPr="00BC4B03" w:rsidRDefault="00F2135A" w:rsidP="00BC4B03">
      <w:pPr>
        <w:pStyle w:val="Prrafodelista"/>
        <w:numPr>
          <w:ilvl w:val="0"/>
          <w:numId w:val="12"/>
        </w:numPr>
        <w:spacing w:after="0" w:line="240" w:lineRule="auto"/>
        <w:ind w:left="0" w:firstLine="0"/>
        <w:jc w:val="both"/>
        <w:rPr>
          <w:rFonts w:ascii="Verdana" w:hAnsi="Verdana"/>
          <w:sz w:val="20"/>
          <w:szCs w:val="20"/>
          <w:lang w:val="es-DO"/>
        </w:rPr>
      </w:pPr>
      <w:r w:rsidRPr="00BC4B03">
        <w:rPr>
          <w:rFonts w:ascii="Verdana" w:hAnsi="Verdana"/>
          <w:sz w:val="20"/>
          <w:szCs w:val="20"/>
          <w:lang w:val="es-DO"/>
        </w:rPr>
        <w:t xml:space="preserve">Una de las consecuencias más notables que tuvo este cambio jurisprudencial fue que ahora las violaciones a los DESCA se analizan de manera autónoma, y por lo tanto se declara la responsabilidad internacional del Estado por violaciones al artículo 26 de la Convención en relación con el artículo 1.1 del mismo instrumento. Esto fue lo que sucedió en todos los casos antes mencionados. Por ejemplo, en </w:t>
      </w:r>
      <w:proofErr w:type="spellStart"/>
      <w:r w:rsidRPr="00BC4B03">
        <w:rPr>
          <w:rFonts w:ascii="Verdana" w:hAnsi="Verdana"/>
          <w:i/>
          <w:sz w:val="20"/>
          <w:szCs w:val="20"/>
          <w:lang w:val="es-DO"/>
        </w:rPr>
        <w:t>Cuscul</w:t>
      </w:r>
      <w:proofErr w:type="spellEnd"/>
      <w:r w:rsidRPr="00BC4B03">
        <w:rPr>
          <w:rFonts w:ascii="Verdana" w:hAnsi="Verdana"/>
          <w:i/>
          <w:sz w:val="20"/>
          <w:szCs w:val="20"/>
          <w:lang w:val="es-DO"/>
        </w:rPr>
        <w:t xml:space="preserve"> Pivaral</w:t>
      </w:r>
      <w:r w:rsidRPr="00BC4B03">
        <w:rPr>
          <w:rFonts w:ascii="Verdana" w:hAnsi="Verdana"/>
          <w:sz w:val="20"/>
          <w:szCs w:val="20"/>
          <w:lang w:val="es-DO"/>
        </w:rPr>
        <w:t xml:space="preserve"> se resolvió que “[e]l Estado es responsable por la violación al derecho a la salud, […] en perjuicio de las 49 personas listadas como víctimas […]”</w:t>
      </w:r>
      <w:r w:rsidRPr="00BC4B03">
        <w:rPr>
          <w:rStyle w:val="Refdenotaalpie"/>
          <w:rFonts w:ascii="Verdana" w:hAnsi="Verdana"/>
          <w:sz w:val="20"/>
          <w:szCs w:val="20"/>
          <w:lang w:val="es-DO"/>
        </w:rPr>
        <w:footnoteReference w:id="26"/>
      </w:r>
      <w:r w:rsidRPr="00BC4B03">
        <w:rPr>
          <w:rFonts w:ascii="Verdana" w:hAnsi="Verdana"/>
          <w:sz w:val="20"/>
          <w:szCs w:val="20"/>
          <w:lang w:val="es-DO"/>
        </w:rPr>
        <w:t xml:space="preserve">, y en </w:t>
      </w:r>
      <w:r w:rsidRPr="00BC4B03">
        <w:rPr>
          <w:rFonts w:ascii="Verdana" w:hAnsi="Verdana"/>
          <w:i/>
          <w:sz w:val="20"/>
          <w:szCs w:val="20"/>
          <w:lang w:val="es-DO"/>
        </w:rPr>
        <w:t>Mu</w:t>
      </w:r>
      <w:r w:rsidR="0019672E" w:rsidRPr="00BC4B03">
        <w:rPr>
          <w:rFonts w:ascii="Verdana" w:hAnsi="Verdana"/>
          <w:i/>
          <w:sz w:val="20"/>
          <w:szCs w:val="20"/>
          <w:lang w:val="es-DO"/>
        </w:rPr>
        <w:t>e</w:t>
      </w:r>
      <w:r w:rsidRPr="00BC4B03">
        <w:rPr>
          <w:rFonts w:ascii="Verdana" w:hAnsi="Verdana"/>
          <w:i/>
          <w:sz w:val="20"/>
          <w:szCs w:val="20"/>
          <w:lang w:val="es-DO"/>
        </w:rPr>
        <w:t xml:space="preserve">lle Flores </w:t>
      </w:r>
      <w:r w:rsidRPr="00BC4B03">
        <w:rPr>
          <w:rFonts w:ascii="Verdana" w:hAnsi="Verdana"/>
          <w:sz w:val="20"/>
          <w:szCs w:val="20"/>
          <w:lang w:val="es-DO"/>
        </w:rPr>
        <w:t>se resolvió que “[e]l Estado es responsable por la violación del derecho a la seguridad social […] en perjuicio del señor Oscar Muelle Flores”</w:t>
      </w:r>
      <w:r w:rsidR="00AA04D1" w:rsidRPr="00BC4B03">
        <w:rPr>
          <w:rStyle w:val="Refdenotaalpie"/>
          <w:rFonts w:ascii="Verdana" w:hAnsi="Verdana"/>
          <w:sz w:val="20"/>
          <w:szCs w:val="20"/>
          <w:lang w:val="es-DO"/>
        </w:rPr>
        <w:footnoteReference w:id="27"/>
      </w:r>
      <w:r w:rsidRPr="00BC4B03">
        <w:rPr>
          <w:rFonts w:ascii="Verdana" w:hAnsi="Verdana"/>
          <w:sz w:val="20"/>
          <w:szCs w:val="20"/>
          <w:lang w:val="es-DO"/>
        </w:rPr>
        <w:t xml:space="preserve">. </w:t>
      </w:r>
      <w:r w:rsidR="0030423B" w:rsidRPr="00BC4B03">
        <w:rPr>
          <w:rFonts w:ascii="Verdana" w:hAnsi="Verdana"/>
          <w:sz w:val="20"/>
          <w:szCs w:val="20"/>
          <w:lang w:val="es-DO"/>
        </w:rPr>
        <w:t xml:space="preserve">En </w:t>
      </w:r>
      <w:r w:rsidR="00F52026" w:rsidRPr="00BC4B03">
        <w:rPr>
          <w:rFonts w:ascii="Verdana" w:hAnsi="Verdana"/>
          <w:sz w:val="20"/>
          <w:szCs w:val="20"/>
          <w:lang w:val="es-DO"/>
        </w:rPr>
        <w:t>consideración</w:t>
      </w:r>
      <w:r w:rsidR="0030423B" w:rsidRPr="00BC4B03">
        <w:rPr>
          <w:rFonts w:ascii="Verdana" w:hAnsi="Verdana"/>
          <w:sz w:val="20"/>
          <w:szCs w:val="20"/>
          <w:lang w:val="es-DO"/>
        </w:rPr>
        <w:t xml:space="preserve"> al cambio jurisprudencial introducido por </w:t>
      </w:r>
      <w:r w:rsidR="0030423B" w:rsidRPr="00BC4B03">
        <w:rPr>
          <w:rFonts w:ascii="Verdana" w:hAnsi="Verdana"/>
          <w:i/>
          <w:sz w:val="20"/>
          <w:szCs w:val="20"/>
          <w:lang w:val="es-DO"/>
        </w:rPr>
        <w:t>Lagos del Campo Vs. Perú</w:t>
      </w:r>
      <w:r w:rsidR="0030423B" w:rsidRPr="00BC4B03">
        <w:rPr>
          <w:rFonts w:ascii="Verdana" w:hAnsi="Verdana"/>
          <w:sz w:val="20"/>
          <w:szCs w:val="20"/>
          <w:lang w:val="es-DO"/>
        </w:rPr>
        <w:t xml:space="preserve">, </w:t>
      </w:r>
      <w:r w:rsidR="00B5483C" w:rsidRPr="00BC4B03">
        <w:rPr>
          <w:rFonts w:ascii="Verdana" w:hAnsi="Verdana"/>
          <w:sz w:val="20"/>
          <w:szCs w:val="20"/>
          <w:lang w:val="es-DO"/>
        </w:rPr>
        <w:t>llama la atención</w:t>
      </w:r>
      <w:r w:rsidR="002D5B1D" w:rsidRPr="00BC4B03">
        <w:rPr>
          <w:rFonts w:ascii="Verdana" w:hAnsi="Verdana"/>
          <w:sz w:val="20"/>
          <w:szCs w:val="20"/>
          <w:lang w:val="es-DO"/>
        </w:rPr>
        <w:t xml:space="preserve"> que en la Sentencia</w:t>
      </w:r>
      <w:r w:rsidR="00AA04D1" w:rsidRPr="00BC4B03">
        <w:rPr>
          <w:rFonts w:ascii="Verdana" w:hAnsi="Verdana"/>
          <w:sz w:val="20"/>
          <w:szCs w:val="20"/>
          <w:lang w:val="es-DO"/>
        </w:rPr>
        <w:t xml:space="preserve"> de </w:t>
      </w:r>
      <w:r w:rsidR="00AA04D1" w:rsidRPr="00BC4B03">
        <w:rPr>
          <w:rFonts w:ascii="Verdana" w:hAnsi="Verdana"/>
          <w:i/>
          <w:sz w:val="20"/>
          <w:szCs w:val="20"/>
          <w:lang w:val="es-DO"/>
        </w:rPr>
        <w:t>Hernández Vs. Argentina</w:t>
      </w:r>
      <w:r w:rsidR="00646352" w:rsidRPr="00BC4B03">
        <w:rPr>
          <w:rFonts w:ascii="Verdana" w:hAnsi="Verdana"/>
          <w:sz w:val="20"/>
          <w:szCs w:val="20"/>
          <w:lang w:val="es-DO"/>
        </w:rPr>
        <w:t xml:space="preserve"> </w:t>
      </w:r>
      <w:r w:rsidR="004607A1" w:rsidRPr="00BC4B03">
        <w:rPr>
          <w:rFonts w:ascii="Verdana" w:hAnsi="Verdana"/>
          <w:sz w:val="20"/>
          <w:szCs w:val="20"/>
          <w:lang w:val="es-DO"/>
        </w:rPr>
        <w:t>la Corte haya</w:t>
      </w:r>
      <w:r w:rsidR="00AA04D1" w:rsidRPr="00BC4B03">
        <w:rPr>
          <w:rFonts w:ascii="Verdana" w:hAnsi="Verdana"/>
          <w:sz w:val="20"/>
          <w:szCs w:val="20"/>
          <w:lang w:val="es-DO"/>
        </w:rPr>
        <w:t xml:space="preserve"> establecido</w:t>
      </w:r>
      <w:r w:rsidR="004607A1" w:rsidRPr="00BC4B03">
        <w:rPr>
          <w:rFonts w:ascii="Verdana" w:hAnsi="Verdana"/>
          <w:sz w:val="20"/>
          <w:szCs w:val="20"/>
          <w:lang w:val="es-DO"/>
        </w:rPr>
        <w:t xml:space="preserve"> la </w:t>
      </w:r>
      <w:r w:rsidR="00AA04D1" w:rsidRPr="00BC4B03">
        <w:rPr>
          <w:rFonts w:ascii="Verdana" w:hAnsi="Verdana"/>
          <w:sz w:val="20"/>
          <w:szCs w:val="20"/>
          <w:lang w:val="es-DO"/>
        </w:rPr>
        <w:t>violación del artículo 5.1 y 5.2</w:t>
      </w:r>
      <w:r w:rsidR="00190FF6" w:rsidRPr="00BC4B03">
        <w:rPr>
          <w:rFonts w:ascii="Verdana" w:hAnsi="Verdana"/>
          <w:sz w:val="20"/>
          <w:szCs w:val="20"/>
          <w:lang w:val="es-DO"/>
        </w:rPr>
        <w:t xml:space="preserve"> en el punto resolutivo 3</w:t>
      </w:r>
      <w:r w:rsidR="004607A1" w:rsidRPr="00BC4B03">
        <w:rPr>
          <w:rFonts w:ascii="Verdana" w:hAnsi="Verdana"/>
          <w:sz w:val="20"/>
          <w:szCs w:val="20"/>
          <w:lang w:val="es-DO"/>
        </w:rPr>
        <w:t xml:space="preserve"> de la Sentencia</w:t>
      </w:r>
      <w:r w:rsidR="00AA04D1" w:rsidRPr="00BC4B03">
        <w:rPr>
          <w:rFonts w:ascii="Verdana" w:hAnsi="Verdana"/>
          <w:sz w:val="20"/>
          <w:szCs w:val="20"/>
          <w:lang w:val="es-DO"/>
        </w:rPr>
        <w:t>,</w:t>
      </w:r>
      <w:r w:rsidR="00646352" w:rsidRPr="00BC4B03">
        <w:rPr>
          <w:rFonts w:ascii="Verdana" w:hAnsi="Verdana"/>
          <w:sz w:val="20"/>
          <w:szCs w:val="20"/>
          <w:lang w:val="es-DO"/>
        </w:rPr>
        <w:t xml:space="preserve"> después de </w:t>
      </w:r>
      <w:r w:rsidR="005F6ABC" w:rsidRPr="00BC4B03">
        <w:rPr>
          <w:rFonts w:ascii="Verdana" w:hAnsi="Verdana"/>
          <w:sz w:val="20"/>
          <w:szCs w:val="20"/>
          <w:lang w:val="es-DO"/>
        </w:rPr>
        <w:t xml:space="preserve">ya </w:t>
      </w:r>
      <w:r w:rsidR="00646352" w:rsidRPr="00BC4B03">
        <w:rPr>
          <w:rFonts w:ascii="Verdana" w:hAnsi="Verdana"/>
          <w:sz w:val="20"/>
          <w:szCs w:val="20"/>
          <w:lang w:val="es-DO"/>
        </w:rPr>
        <w:t>haberla de</w:t>
      </w:r>
      <w:r w:rsidR="00190FF6" w:rsidRPr="00BC4B03">
        <w:rPr>
          <w:rFonts w:ascii="Verdana" w:hAnsi="Verdana"/>
          <w:sz w:val="20"/>
          <w:szCs w:val="20"/>
          <w:lang w:val="es-DO"/>
        </w:rPr>
        <w:t>clarado en el punto resolutivo 2</w:t>
      </w:r>
      <w:r w:rsidR="00646352" w:rsidRPr="00BC4B03">
        <w:rPr>
          <w:rFonts w:ascii="Verdana" w:hAnsi="Verdana"/>
          <w:sz w:val="20"/>
          <w:szCs w:val="20"/>
          <w:lang w:val="es-DO"/>
        </w:rPr>
        <w:t xml:space="preserve">. </w:t>
      </w:r>
      <w:r w:rsidR="00F52026" w:rsidRPr="00BC4B03">
        <w:rPr>
          <w:rFonts w:ascii="Verdana" w:hAnsi="Verdana"/>
          <w:sz w:val="20"/>
          <w:szCs w:val="20"/>
          <w:lang w:val="es-DO"/>
        </w:rPr>
        <w:t>A</w:t>
      </w:r>
      <w:r w:rsidR="00646352" w:rsidRPr="00BC4B03">
        <w:rPr>
          <w:rFonts w:ascii="Verdana" w:hAnsi="Verdana"/>
          <w:sz w:val="20"/>
          <w:szCs w:val="20"/>
          <w:lang w:val="es-DO"/>
        </w:rPr>
        <w:t xml:space="preserve">demás de </w:t>
      </w:r>
      <w:r w:rsidR="00190FF6" w:rsidRPr="00BC4B03">
        <w:rPr>
          <w:rFonts w:ascii="Verdana" w:hAnsi="Verdana"/>
          <w:sz w:val="20"/>
          <w:szCs w:val="20"/>
          <w:lang w:val="es-DO"/>
        </w:rPr>
        <w:t>ser</w:t>
      </w:r>
      <w:r w:rsidR="00646352" w:rsidRPr="00BC4B03">
        <w:rPr>
          <w:rFonts w:ascii="Verdana" w:hAnsi="Verdana"/>
          <w:sz w:val="20"/>
          <w:szCs w:val="20"/>
          <w:lang w:val="es-DO"/>
        </w:rPr>
        <w:t xml:space="preserve"> repetitivo</w:t>
      </w:r>
      <w:r w:rsidR="00F52026" w:rsidRPr="00BC4B03">
        <w:rPr>
          <w:rFonts w:ascii="Verdana" w:hAnsi="Verdana"/>
          <w:sz w:val="20"/>
          <w:szCs w:val="20"/>
          <w:lang w:val="es-DO"/>
        </w:rPr>
        <w:t>,</w:t>
      </w:r>
      <w:r w:rsidR="005F6ABC" w:rsidRPr="00BC4B03">
        <w:rPr>
          <w:rFonts w:ascii="Verdana" w:hAnsi="Verdana"/>
          <w:sz w:val="20"/>
          <w:szCs w:val="20"/>
          <w:lang w:val="es-DO"/>
        </w:rPr>
        <w:t xml:space="preserve"> resulta inconveniente</w:t>
      </w:r>
      <w:r w:rsidR="00F52026" w:rsidRPr="00BC4B03">
        <w:rPr>
          <w:rFonts w:ascii="Verdana" w:hAnsi="Verdana"/>
          <w:sz w:val="20"/>
          <w:szCs w:val="20"/>
          <w:lang w:val="es-DO"/>
        </w:rPr>
        <w:t xml:space="preserve"> porque</w:t>
      </w:r>
      <w:r w:rsidR="005F6ABC" w:rsidRPr="00BC4B03">
        <w:rPr>
          <w:rFonts w:ascii="Verdana" w:hAnsi="Verdana"/>
          <w:sz w:val="20"/>
          <w:szCs w:val="20"/>
          <w:lang w:val="es-DO"/>
        </w:rPr>
        <w:t xml:space="preserve"> en</w:t>
      </w:r>
      <w:r w:rsidR="00F52026" w:rsidRPr="00BC4B03">
        <w:rPr>
          <w:rFonts w:ascii="Verdana" w:hAnsi="Verdana"/>
          <w:sz w:val="20"/>
          <w:szCs w:val="20"/>
          <w:lang w:val="es-DO"/>
        </w:rPr>
        <w:t xml:space="preserve"> la violación </w:t>
      </w:r>
      <w:r w:rsidR="00190FF6" w:rsidRPr="00BC4B03">
        <w:rPr>
          <w:rFonts w:ascii="Verdana" w:hAnsi="Verdana"/>
          <w:sz w:val="20"/>
          <w:szCs w:val="20"/>
          <w:lang w:val="es-DO"/>
        </w:rPr>
        <w:t>del punto resolutivo 3</w:t>
      </w:r>
      <w:r w:rsidR="00AA04D1" w:rsidRPr="00BC4B03">
        <w:rPr>
          <w:rFonts w:ascii="Verdana" w:hAnsi="Verdana"/>
          <w:sz w:val="20"/>
          <w:szCs w:val="20"/>
          <w:lang w:val="es-DO"/>
        </w:rPr>
        <w:t xml:space="preserve"> </w:t>
      </w:r>
      <w:r w:rsidR="00F52026" w:rsidRPr="00BC4B03">
        <w:rPr>
          <w:rFonts w:ascii="Verdana" w:hAnsi="Verdana"/>
          <w:sz w:val="20"/>
          <w:szCs w:val="20"/>
          <w:lang w:val="es-DO"/>
        </w:rPr>
        <w:t>se declara conjuntamente con la de</w:t>
      </w:r>
      <w:r w:rsidRPr="00BC4B03">
        <w:rPr>
          <w:rFonts w:ascii="Verdana" w:hAnsi="Verdana"/>
          <w:sz w:val="20"/>
          <w:szCs w:val="20"/>
          <w:lang w:val="es-DO"/>
        </w:rPr>
        <w:t>l artículo 26 de la Convención</w:t>
      </w:r>
      <w:r w:rsidR="009D15B7" w:rsidRPr="00BC4B03">
        <w:rPr>
          <w:rFonts w:ascii="Verdana" w:hAnsi="Verdana"/>
          <w:sz w:val="20"/>
          <w:szCs w:val="20"/>
          <w:lang w:val="es-DO"/>
        </w:rPr>
        <w:t xml:space="preserve">, </w:t>
      </w:r>
      <w:r w:rsidR="00AA04D1" w:rsidRPr="00BC4B03">
        <w:rPr>
          <w:rFonts w:ascii="Verdana" w:hAnsi="Verdana"/>
          <w:sz w:val="20"/>
          <w:szCs w:val="20"/>
          <w:lang w:val="es-DO"/>
        </w:rPr>
        <w:t xml:space="preserve">no de manera independiente, como </w:t>
      </w:r>
      <w:r w:rsidR="009D15B7" w:rsidRPr="00BC4B03">
        <w:rPr>
          <w:rFonts w:ascii="Verdana" w:hAnsi="Verdana"/>
          <w:sz w:val="20"/>
          <w:szCs w:val="20"/>
          <w:lang w:val="es-DO"/>
        </w:rPr>
        <w:t xml:space="preserve">ya </w:t>
      </w:r>
      <w:r w:rsidR="00AA04D1" w:rsidRPr="00BC4B03">
        <w:rPr>
          <w:rFonts w:ascii="Verdana" w:hAnsi="Verdana"/>
          <w:sz w:val="20"/>
          <w:szCs w:val="20"/>
          <w:lang w:val="es-DO"/>
        </w:rPr>
        <w:t xml:space="preserve">lo había hecho </w:t>
      </w:r>
      <w:r w:rsidR="009D15B7" w:rsidRPr="00BC4B03">
        <w:rPr>
          <w:rFonts w:ascii="Verdana" w:hAnsi="Verdana"/>
          <w:sz w:val="20"/>
          <w:szCs w:val="20"/>
          <w:lang w:val="es-DO"/>
        </w:rPr>
        <w:t xml:space="preserve">de manera reiterada y clara </w:t>
      </w:r>
      <w:r w:rsidR="00AA04D1" w:rsidRPr="00BC4B03">
        <w:rPr>
          <w:rFonts w:ascii="Verdana" w:hAnsi="Verdana"/>
          <w:sz w:val="20"/>
          <w:szCs w:val="20"/>
          <w:lang w:val="es-DO"/>
        </w:rPr>
        <w:t>en casos previos</w:t>
      </w:r>
      <w:r w:rsidRPr="00BC4B03">
        <w:rPr>
          <w:rFonts w:ascii="Verdana" w:hAnsi="Verdana"/>
          <w:sz w:val="20"/>
          <w:szCs w:val="20"/>
          <w:lang w:val="es-DO"/>
        </w:rPr>
        <w:t>.</w:t>
      </w:r>
    </w:p>
    <w:p w14:paraId="65B143C4" w14:textId="77777777" w:rsidR="00F2135A" w:rsidRPr="00BC4B03" w:rsidRDefault="00F2135A" w:rsidP="00BC4B03">
      <w:pPr>
        <w:pStyle w:val="Prrafodelista"/>
        <w:spacing w:after="0" w:line="240" w:lineRule="auto"/>
        <w:ind w:left="0"/>
        <w:jc w:val="both"/>
        <w:rPr>
          <w:rFonts w:ascii="Verdana" w:hAnsi="Verdana"/>
          <w:sz w:val="20"/>
          <w:szCs w:val="20"/>
          <w:lang w:val="es-DO"/>
        </w:rPr>
      </w:pPr>
    </w:p>
    <w:p w14:paraId="2D307543" w14:textId="2C2C30AE" w:rsidR="00F2135A" w:rsidRPr="00BC4B03" w:rsidRDefault="00AA04D1" w:rsidP="00BC4B03">
      <w:pPr>
        <w:pStyle w:val="Prrafodelista"/>
        <w:numPr>
          <w:ilvl w:val="0"/>
          <w:numId w:val="12"/>
        </w:numPr>
        <w:spacing w:after="0" w:line="240" w:lineRule="auto"/>
        <w:ind w:left="0" w:firstLine="0"/>
        <w:jc w:val="both"/>
        <w:rPr>
          <w:rStyle w:val="Textoennegrita"/>
          <w:rFonts w:ascii="Verdana" w:hAnsi="Verdana"/>
          <w:b w:val="0"/>
          <w:bCs w:val="0"/>
          <w:sz w:val="20"/>
          <w:szCs w:val="20"/>
          <w:lang w:val="es-DO"/>
        </w:rPr>
      </w:pPr>
      <w:r w:rsidRPr="00BC4B03">
        <w:rPr>
          <w:rFonts w:ascii="Verdana" w:hAnsi="Verdana"/>
          <w:sz w:val="20"/>
          <w:szCs w:val="20"/>
          <w:lang w:val="es-DO"/>
        </w:rPr>
        <w:lastRenderedPageBreak/>
        <w:t>L</w:t>
      </w:r>
      <w:r w:rsidR="00F52026" w:rsidRPr="00BC4B03">
        <w:rPr>
          <w:rFonts w:ascii="Verdana" w:hAnsi="Verdana"/>
          <w:sz w:val="20"/>
          <w:szCs w:val="20"/>
          <w:lang w:val="es-DO"/>
        </w:rPr>
        <w:t xml:space="preserve">a reiteración que hace la Corte de la vulneración del derecho a la integridad personal junto a la del derecho a la salud pareciera indicar que esta última no se sostiene como una violación autónoma, sino en conexidad con la primera. Si el derecho a la salud es un derecho autónomo, justiciable en virtud del artículo 26 de la Convención, </w:t>
      </w:r>
      <w:r w:rsidR="00F03906" w:rsidRPr="00BC4B03">
        <w:rPr>
          <w:rFonts w:ascii="Verdana" w:hAnsi="Verdana"/>
          <w:sz w:val="20"/>
          <w:szCs w:val="20"/>
          <w:lang w:val="es-DO"/>
        </w:rPr>
        <w:t>¿</w:t>
      </w:r>
      <w:r w:rsidR="00F52026" w:rsidRPr="00BC4B03">
        <w:rPr>
          <w:rFonts w:ascii="Verdana" w:hAnsi="Verdana"/>
          <w:sz w:val="20"/>
          <w:szCs w:val="20"/>
          <w:lang w:val="es-DO"/>
        </w:rPr>
        <w:t>por qué no podía declararse su violaci</w:t>
      </w:r>
      <w:r w:rsidR="00F03906" w:rsidRPr="00BC4B03">
        <w:rPr>
          <w:rFonts w:ascii="Verdana" w:hAnsi="Verdana"/>
          <w:sz w:val="20"/>
          <w:szCs w:val="20"/>
          <w:lang w:val="es-DO"/>
        </w:rPr>
        <w:t xml:space="preserve">ón en un punto resolutivo separado, como se hizo </w:t>
      </w:r>
      <w:r w:rsidR="00F03906" w:rsidRPr="00BC4B03">
        <w:rPr>
          <w:rStyle w:val="Textoennegrita"/>
          <w:rFonts w:ascii="Verdana" w:hAnsi="Verdana"/>
          <w:b w:val="0"/>
          <w:color w:val="000000"/>
          <w:sz w:val="20"/>
          <w:szCs w:val="20"/>
          <w:lang w:val="es-DO"/>
        </w:rPr>
        <w:t>en</w:t>
      </w:r>
      <w:r w:rsidR="00F03906" w:rsidRPr="00BC4B03">
        <w:rPr>
          <w:rStyle w:val="Textoennegrita"/>
          <w:rFonts w:ascii="Verdana" w:hAnsi="Verdana"/>
          <w:b w:val="0"/>
          <w:i/>
          <w:color w:val="000000"/>
          <w:sz w:val="20"/>
          <w:szCs w:val="20"/>
          <w:lang w:val="es-DO"/>
        </w:rPr>
        <w:t xml:space="preserve"> </w:t>
      </w:r>
      <w:r w:rsidRPr="00BC4B03">
        <w:rPr>
          <w:rStyle w:val="Textoennegrita"/>
          <w:rFonts w:ascii="Verdana" w:hAnsi="Verdana"/>
          <w:b w:val="0"/>
          <w:i/>
          <w:color w:val="000000"/>
          <w:sz w:val="20"/>
          <w:szCs w:val="20"/>
          <w:lang w:val="es-DO"/>
        </w:rPr>
        <w:t xml:space="preserve">Poblete Vilches </w:t>
      </w:r>
      <w:r w:rsidRPr="00BC4B03">
        <w:rPr>
          <w:rStyle w:val="Textoennegrita"/>
          <w:rFonts w:ascii="Verdana" w:hAnsi="Verdana"/>
          <w:b w:val="0"/>
          <w:color w:val="000000"/>
          <w:sz w:val="20"/>
          <w:szCs w:val="20"/>
          <w:lang w:val="es-DO"/>
        </w:rPr>
        <w:t xml:space="preserve">y en </w:t>
      </w:r>
      <w:proofErr w:type="spellStart"/>
      <w:r w:rsidRPr="00BC4B03">
        <w:rPr>
          <w:rStyle w:val="Textoennegrita"/>
          <w:rFonts w:ascii="Verdana" w:hAnsi="Verdana"/>
          <w:b w:val="0"/>
          <w:i/>
          <w:color w:val="000000"/>
          <w:sz w:val="20"/>
          <w:szCs w:val="20"/>
          <w:lang w:val="es-DO"/>
        </w:rPr>
        <w:t>Cuscul</w:t>
      </w:r>
      <w:proofErr w:type="spellEnd"/>
      <w:r w:rsidRPr="00BC4B03">
        <w:rPr>
          <w:rStyle w:val="Textoennegrita"/>
          <w:rFonts w:ascii="Verdana" w:hAnsi="Verdana"/>
          <w:b w:val="0"/>
          <w:i/>
          <w:color w:val="000000"/>
          <w:sz w:val="20"/>
          <w:szCs w:val="20"/>
          <w:lang w:val="es-DO"/>
        </w:rPr>
        <w:t xml:space="preserve"> Pivaral</w:t>
      </w:r>
      <w:r w:rsidR="00B20A8D" w:rsidRPr="00BC4B03">
        <w:rPr>
          <w:rStyle w:val="Textoennegrita"/>
          <w:rFonts w:ascii="Verdana" w:hAnsi="Verdana"/>
          <w:b w:val="0"/>
          <w:color w:val="000000"/>
          <w:sz w:val="20"/>
          <w:szCs w:val="20"/>
          <w:lang w:val="es-DO"/>
        </w:rPr>
        <w:t>?</w:t>
      </w:r>
      <w:r w:rsidR="002A3645" w:rsidRPr="00BC4B03">
        <w:rPr>
          <w:rStyle w:val="Textoennegrita"/>
          <w:rFonts w:ascii="Verdana" w:hAnsi="Verdana"/>
          <w:b w:val="0"/>
          <w:color w:val="000000"/>
          <w:sz w:val="20"/>
          <w:szCs w:val="20"/>
          <w:lang w:val="es-DO"/>
        </w:rPr>
        <w:t xml:space="preserve"> Es decir, si ya la jurisprudencia ha superado la aproximación de la conexidad e interdependencia con los derechos civiles y políticos como única vía para conocer las violaciones de los DESCA a través de la Convención y, en cambio, la protección de estos ha sido incorporada al catálogo de derechos protegidos por dicho instrumento, subyace la inquietud </w:t>
      </w:r>
      <w:r w:rsidR="00190FF6" w:rsidRPr="00BC4B03">
        <w:rPr>
          <w:rStyle w:val="Textoennegrita"/>
          <w:rFonts w:ascii="Verdana" w:hAnsi="Verdana"/>
          <w:b w:val="0"/>
          <w:color w:val="000000"/>
          <w:sz w:val="20"/>
          <w:szCs w:val="20"/>
          <w:lang w:val="es-DO"/>
        </w:rPr>
        <w:t>de porqué</w:t>
      </w:r>
      <w:r w:rsidR="002A3645" w:rsidRPr="00BC4B03">
        <w:rPr>
          <w:rStyle w:val="Textoennegrita"/>
          <w:rFonts w:ascii="Verdana" w:hAnsi="Verdana"/>
          <w:b w:val="0"/>
          <w:color w:val="000000"/>
          <w:sz w:val="20"/>
          <w:szCs w:val="20"/>
          <w:lang w:val="es-DO"/>
        </w:rPr>
        <w:t xml:space="preserve"> declarar la vulneración del </w:t>
      </w:r>
      <w:r w:rsidR="00591028" w:rsidRPr="00BC4B03">
        <w:rPr>
          <w:rStyle w:val="Textoennegrita"/>
          <w:rFonts w:ascii="Verdana" w:hAnsi="Verdana"/>
          <w:b w:val="0"/>
          <w:color w:val="000000"/>
          <w:sz w:val="20"/>
          <w:szCs w:val="20"/>
          <w:lang w:val="es-DO"/>
        </w:rPr>
        <w:t xml:space="preserve">derecho a la salud junto a la del derecho a la integridad personal, máxime </w:t>
      </w:r>
      <w:r w:rsidR="00B852E5" w:rsidRPr="00BC4B03">
        <w:rPr>
          <w:rStyle w:val="Textoennegrita"/>
          <w:rFonts w:ascii="Verdana" w:hAnsi="Verdana"/>
          <w:b w:val="0"/>
          <w:color w:val="000000"/>
          <w:sz w:val="20"/>
          <w:szCs w:val="20"/>
          <w:lang w:val="es-DO"/>
        </w:rPr>
        <w:t xml:space="preserve">si </w:t>
      </w:r>
      <w:r w:rsidR="00C01A8C" w:rsidRPr="00BC4B03">
        <w:rPr>
          <w:rStyle w:val="Textoennegrita"/>
          <w:rFonts w:ascii="Verdana" w:hAnsi="Verdana"/>
          <w:b w:val="0"/>
          <w:color w:val="000000"/>
          <w:sz w:val="20"/>
          <w:szCs w:val="20"/>
          <w:lang w:val="es-DO"/>
        </w:rPr>
        <w:t>este aspecto</w:t>
      </w:r>
      <w:r w:rsidR="00591028" w:rsidRPr="00BC4B03">
        <w:rPr>
          <w:rStyle w:val="Textoennegrita"/>
          <w:rFonts w:ascii="Verdana" w:hAnsi="Verdana"/>
          <w:b w:val="0"/>
          <w:color w:val="000000"/>
          <w:sz w:val="20"/>
          <w:szCs w:val="20"/>
          <w:lang w:val="es-DO"/>
        </w:rPr>
        <w:t xml:space="preserve"> ya hab</w:t>
      </w:r>
      <w:r w:rsidR="00C01A8C" w:rsidRPr="00BC4B03">
        <w:rPr>
          <w:rStyle w:val="Textoennegrita"/>
          <w:rFonts w:ascii="Verdana" w:hAnsi="Verdana"/>
          <w:b w:val="0"/>
          <w:color w:val="000000"/>
          <w:sz w:val="20"/>
          <w:szCs w:val="20"/>
          <w:lang w:val="es-DO"/>
        </w:rPr>
        <w:t>ía sido resuelto</w:t>
      </w:r>
      <w:r w:rsidR="00591028" w:rsidRPr="00BC4B03">
        <w:rPr>
          <w:rStyle w:val="Textoennegrita"/>
          <w:rFonts w:ascii="Verdana" w:hAnsi="Verdana"/>
          <w:b w:val="0"/>
          <w:color w:val="000000"/>
          <w:sz w:val="20"/>
          <w:szCs w:val="20"/>
          <w:lang w:val="es-DO"/>
        </w:rPr>
        <w:t xml:space="preserve"> en el punto resolutivo anterior</w:t>
      </w:r>
      <w:r w:rsidRPr="00BC4B03">
        <w:rPr>
          <w:rStyle w:val="Textoennegrita"/>
          <w:rFonts w:ascii="Verdana" w:hAnsi="Verdana"/>
          <w:b w:val="0"/>
          <w:color w:val="000000"/>
          <w:sz w:val="20"/>
          <w:szCs w:val="20"/>
          <w:lang w:val="es-DO"/>
        </w:rPr>
        <w:t xml:space="preserve"> en la Sentencia</w:t>
      </w:r>
      <w:r w:rsidR="00591028" w:rsidRPr="00BC4B03">
        <w:rPr>
          <w:rStyle w:val="Textoennegrita"/>
          <w:rFonts w:ascii="Verdana" w:hAnsi="Verdana"/>
          <w:b w:val="0"/>
          <w:color w:val="000000"/>
          <w:sz w:val="20"/>
          <w:szCs w:val="20"/>
          <w:lang w:val="es-DO"/>
        </w:rPr>
        <w:t xml:space="preserve">. </w:t>
      </w:r>
    </w:p>
    <w:p w14:paraId="644A8BA6" w14:textId="77777777" w:rsidR="00F2135A" w:rsidRPr="00BC4B03" w:rsidRDefault="00F2135A" w:rsidP="00BC4B03">
      <w:pPr>
        <w:pStyle w:val="Prrafodelista"/>
        <w:rPr>
          <w:rStyle w:val="Textoennegrita"/>
          <w:rFonts w:ascii="Verdana" w:hAnsi="Verdana"/>
          <w:b w:val="0"/>
          <w:color w:val="000000"/>
          <w:sz w:val="20"/>
          <w:szCs w:val="20"/>
          <w:shd w:val="clear" w:color="auto" w:fill="FFFFFF"/>
          <w:lang w:val="es-DO"/>
        </w:rPr>
      </w:pPr>
    </w:p>
    <w:p w14:paraId="4496C9AC" w14:textId="3C4BE7BE" w:rsidR="00F2135A" w:rsidRPr="00BC4B03" w:rsidRDefault="00591028" w:rsidP="00BC4B03">
      <w:pPr>
        <w:pStyle w:val="Prrafodelista"/>
        <w:numPr>
          <w:ilvl w:val="0"/>
          <w:numId w:val="12"/>
        </w:numPr>
        <w:spacing w:after="0" w:line="240" w:lineRule="auto"/>
        <w:ind w:left="0" w:firstLine="0"/>
        <w:jc w:val="both"/>
        <w:rPr>
          <w:rStyle w:val="Textoennegrita"/>
          <w:rFonts w:ascii="Verdana" w:hAnsi="Verdana"/>
          <w:b w:val="0"/>
          <w:bCs w:val="0"/>
          <w:sz w:val="20"/>
          <w:szCs w:val="20"/>
          <w:lang w:val="es-DO"/>
        </w:rPr>
      </w:pPr>
      <w:r w:rsidRPr="00BC4B03">
        <w:rPr>
          <w:rStyle w:val="Textoennegrita"/>
          <w:rFonts w:ascii="Verdana" w:hAnsi="Verdana"/>
          <w:b w:val="0"/>
          <w:color w:val="000000"/>
          <w:sz w:val="20"/>
          <w:szCs w:val="20"/>
          <w:lang w:val="es-DO"/>
        </w:rPr>
        <w:t xml:space="preserve">Del modo en que </w:t>
      </w:r>
      <w:r w:rsidR="004E06FC" w:rsidRPr="00BC4B03">
        <w:rPr>
          <w:rStyle w:val="Textoennegrita"/>
          <w:rFonts w:ascii="Verdana" w:hAnsi="Verdana"/>
          <w:b w:val="0"/>
          <w:color w:val="000000"/>
          <w:sz w:val="20"/>
          <w:szCs w:val="20"/>
          <w:lang w:val="es-DO"/>
        </w:rPr>
        <w:t>consta</w:t>
      </w:r>
      <w:r w:rsidRPr="00BC4B03">
        <w:rPr>
          <w:rStyle w:val="Textoennegrita"/>
          <w:rFonts w:ascii="Verdana" w:hAnsi="Verdana"/>
          <w:b w:val="0"/>
          <w:color w:val="000000"/>
          <w:sz w:val="20"/>
          <w:szCs w:val="20"/>
          <w:lang w:val="es-DO"/>
        </w:rPr>
        <w:t xml:space="preserve"> en la Sentencia, la consignación de ambas violaciones en un</w:t>
      </w:r>
      <w:r w:rsidRPr="00BC4B03">
        <w:rPr>
          <w:rStyle w:val="Textoennegrita"/>
          <w:rFonts w:ascii="Verdana" w:hAnsi="Verdana"/>
          <w:b w:val="0"/>
          <w:color w:val="000000"/>
          <w:sz w:val="20"/>
          <w:szCs w:val="20"/>
          <w:shd w:val="clear" w:color="auto" w:fill="FFFFFF"/>
          <w:lang w:val="es-DO"/>
        </w:rPr>
        <w:t xml:space="preserve"> </w:t>
      </w:r>
      <w:r w:rsidRPr="00BC4B03">
        <w:rPr>
          <w:rStyle w:val="Textoennegrita"/>
          <w:rFonts w:ascii="Verdana" w:hAnsi="Verdana"/>
          <w:b w:val="0"/>
          <w:color w:val="000000"/>
          <w:sz w:val="20"/>
          <w:szCs w:val="20"/>
          <w:lang w:val="es-DO"/>
        </w:rPr>
        <w:t xml:space="preserve">mismo punto resolutivo </w:t>
      </w:r>
      <w:r w:rsidR="004E06FC" w:rsidRPr="00BC4B03">
        <w:rPr>
          <w:rStyle w:val="Textoennegrita"/>
          <w:rFonts w:ascii="Verdana" w:hAnsi="Verdana"/>
          <w:b w:val="0"/>
          <w:color w:val="000000"/>
          <w:sz w:val="20"/>
          <w:szCs w:val="20"/>
          <w:lang w:val="es-DO"/>
        </w:rPr>
        <w:t>eventualmente puede sugerir</w:t>
      </w:r>
      <w:r w:rsidRPr="00BC4B03">
        <w:rPr>
          <w:rStyle w:val="Textoennegrita"/>
          <w:rFonts w:ascii="Verdana" w:hAnsi="Verdana"/>
          <w:b w:val="0"/>
          <w:color w:val="000000"/>
          <w:sz w:val="20"/>
          <w:szCs w:val="20"/>
          <w:lang w:val="es-DO"/>
        </w:rPr>
        <w:t xml:space="preserve"> un reto</w:t>
      </w:r>
      <w:r w:rsidR="00C01A8C" w:rsidRPr="00BC4B03">
        <w:rPr>
          <w:rStyle w:val="Textoennegrita"/>
          <w:rFonts w:ascii="Verdana" w:hAnsi="Verdana"/>
          <w:b w:val="0"/>
          <w:color w:val="000000"/>
          <w:sz w:val="20"/>
          <w:szCs w:val="20"/>
          <w:lang w:val="es-DO"/>
        </w:rPr>
        <w:t>rno a la tesis de la conexidad</w:t>
      </w:r>
      <w:r w:rsidR="002752A5" w:rsidRPr="00BC4B03">
        <w:rPr>
          <w:rStyle w:val="Textoennegrita"/>
          <w:rFonts w:ascii="Verdana" w:hAnsi="Verdana"/>
          <w:b w:val="0"/>
          <w:color w:val="000000"/>
          <w:sz w:val="20"/>
          <w:szCs w:val="20"/>
          <w:lang w:val="es-DO"/>
        </w:rPr>
        <w:t>,</w:t>
      </w:r>
      <w:r w:rsidR="00C01A8C" w:rsidRPr="00BC4B03">
        <w:rPr>
          <w:rStyle w:val="Textoennegrita"/>
          <w:rFonts w:ascii="Verdana" w:hAnsi="Verdana"/>
          <w:b w:val="0"/>
          <w:color w:val="000000"/>
          <w:sz w:val="20"/>
          <w:szCs w:val="20"/>
          <w:shd w:val="clear" w:color="auto" w:fill="FFFFFF"/>
          <w:lang w:val="es-DO"/>
        </w:rPr>
        <w:t xml:space="preserve"> </w:t>
      </w:r>
      <w:r w:rsidR="00C01A8C" w:rsidRPr="00BC4B03">
        <w:rPr>
          <w:rStyle w:val="Textoennegrita"/>
          <w:rFonts w:ascii="Verdana" w:hAnsi="Verdana"/>
          <w:b w:val="0"/>
          <w:color w:val="000000"/>
          <w:sz w:val="20"/>
          <w:szCs w:val="20"/>
          <w:lang w:val="es-DO"/>
        </w:rPr>
        <w:t xml:space="preserve">como si la vulneración del derecho a la salud no pudiera </w:t>
      </w:r>
      <w:r w:rsidR="004E06FC" w:rsidRPr="00BC4B03">
        <w:rPr>
          <w:rStyle w:val="Textoennegrita"/>
          <w:rFonts w:ascii="Verdana" w:hAnsi="Verdana"/>
          <w:b w:val="0"/>
          <w:color w:val="000000"/>
          <w:sz w:val="20"/>
          <w:szCs w:val="20"/>
          <w:lang w:val="es-DO"/>
        </w:rPr>
        <w:t>declararse</w:t>
      </w:r>
      <w:r w:rsidR="00C01A8C" w:rsidRPr="00BC4B03">
        <w:rPr>
          <w:rStyle w:val="Textoennegrita"/>
          <w:rFonts w:ascii="Verdana" w:hAnsi="Verdana"/>
          <w:b w:val="0"/>
          <w:color w:val="000000"/>
          <w:sz w:val="20"/>
          <w:szCs w:val="20"/>
          <w:lang w:val="es-DO"/>
        </w:rPr>
        <w:t xml:space="preserve"> con independencia de la</w:t>
      </w:r>
      <w:r w:rsidR="00C01A8C" w:rsidRPr="00BC4B03">
        <w:rPr>
          <w:rStyle w:val="Textoennegrita"/>
          <w:rFonts w:ascii="Verdana" w:hAnsi="Verdana"/>
          <w:b w:val="0"/>
          <w:color w:val="000000"/>
          <w:sz w:val="20"/>
          <w:szCs w:val="20"/>
          <w:shd w:val="clear" w:color="auto" w:fill="FFFFFF"/>
          <w:lang w:val="es-DO"/>
        </w:rPr>
        <w:t xml:space="preserve"> </w:t>
      </w:r>
      <w:r w:rsidR="004E06FC" w:rsidRPr="00BC4B03">
        <w:rPr>
          <w:rStyle w:val="Textoennegrita"/>
          <w:rFonts w:ascii="Verdana" w:hAnsi="Verdana"/>
          <w:b w:val="0"/>
          <w:color w:val="000000"/>
          <w:sz w:val="20"/>
          <w:szCs w:val="20"/>
          <w:lang w:val="es-DO"/>
        </w:rPr>
        <w:t>violación</w:t>
      </w:r>
      <w:r w:rsidR="00C01A8C" w:rsidRPr="00BC4B03">
        <w:rPr>
          <w:rStyle w:val="Textoennegrita"/>
          <w:rFonts w:ascii="Verdana" w:hAnsi="Verdana"/>
          <w:b w:val="0"/>
          <w:color w:val="000000"/>
          <w:sz w:val="20"/>
          <w:szCs w:val="20"/>
          <w:lang w:val="es-DO"/>
        </w:rPr>
        <w:t xml:space="preserve"> al derecho a la integridad personal. </w:t>
      </w:r>
      <w:r w:rsidR="002752A5" w:rsidRPr="00BC4B03">
        <w:rPr>
          <w:rStyle w:val="Textoennegrita"/>
          <w:rFonts w:ascii="Verdana" w:hAnsi="Verdana"/>
          <w:b w:val="0"/>
          <w:color w:val="000000"/>
          <w:sz w:val="20"/>
          <w:szCs w:val="20"/>
          <w:lang w:val="es-DO"/>
        </w:rPr>
        <w:t>Desde luego, e</w:t>
      </w:r>
      <w:r w:rsidR="00C01A8C" w:rsidRPr="00BC4B03">
        <w:rPr>
          <w:rStyle w:val="Textoennegrita"/>
          <w:rFonts w:ascii="Verdana" w:hAnsi="Verdana"/>
          <w:b w:val="0"/>
          <w:color w:val="000000"/>
          <w:sz w:val="20"/>
          <w:szCs w:val="20"/>
          <w:lang w:val="es-DO"/>
        </w:rPr>
        <w:t>st</w:t>
      </w:r>
      <w:r w:rsidR="004E06FC" w:rsidRPr="00BC4B03">
        <w:rPr>
          <w:rStyle w:val="Textoennegrita"/>
          <w:rFonts w:ascii="Verdana" w:hAnsi="Verdana"/>
          <w:b w:val="0"/>
          <w:color w:val="000000"/>
          <w:sz w:val="20"/>
          <w:szCs w:val="20"/>
          <w:lang w:val="es-DO"/>
        </w:rPr>
        <w:t>a eventual lectura</w:t>
      </w:r>
      <w:r w:rsidR="00C01A8C" w:rsidRPr="00BC4B03">
        <w:rPr>
          <w:rStyle w:val="Textoennegrita"/>
          <w:rFonts w:ascii="Verdana" w:hAnsi="Verdana"/>
          <w:b w:val="0"/>
          <w:color w:val="000000"/>
          <w:sz w:val="20"/>
          <w:szCs w:val="20"/>
          <w:lang w:val="es-DO"/>
        </w:rPr>
        <w:t xml:space="preserve"> </w:t>
      </w:r>
      <w:r w:rsidRPr="00BC4B03">
        <w:rPr>
          <w:rStyle w:val="Textoennegrita"/>
          <w:rFonts w:ascii="Verdana" w:hAnsi="Verdana"/>
          <w:b w:val="0"/>
          <w:color w:val="000000"/>
          <w:sz w:val="20"/>
          <w:szCs w:val="20"/>
          <w:lang w:val="es-DO"/>
        </w:rPr>
        <w:t>implicaría</w:t>
      </w:r>
      <w:r w:rsidRPr="00BC4B03">
        <w:rPr>
          <w:rStyle w:val="Textoennegrita"/>
          <w:rFonts w:ascii="Verdana" w:hAnsi="Verdana"/>
          <w:b w:val="0"/>
          <w:color w:val="000000"/>
          <w:sz w:val="20"/>
          <w:szCs w:val="20"/>
          <w:shd w:val="clear" w:color="auto" w:fill="FFFFFF"/>
          <w:lang w:val="es-DO"/>
        </w:rPr>
        <w:t xml:space="preserve"> </w:t>
      </w:r>
      <w:r w:rsidRPr="00BC4B03">
        <w:rPr>
          <w:rStyle w:val="Textoennegrita"/>
          <w:rFonts w:ascii="Verdana" w:hAnsi="Verdana"/>
          <w:b w:val="0"/>
          <w:color w:val="000000"/>
          <w:sz w:val="20"/>
          <w:szCs w:val="20"/>
          <w:lang w:val="es-DO"/>
        </w:rPr>
        <w:t>un evidente retroceso en la efectividad de los DESCA</w:t>
      </w:r>
      <w:r w:rsidR="00C01A8C" w:rsidRPr="00BC4B03">
        <w:rPr>
          <w:rStyle w:val="Textoennegrita"/>
          <w:rFonts w:ascii="Verdana" w:hAnsi="Verdana"/>
          <w:b w:val="0"/>
          <w:color w:val="000000"/>
          <w:sz w:val="20"/>
          <w:szCs w:val="20"/>
          <w:lang w:val="es-DO"/>
        </w:rPr>
        <w:t xml:space="preserve"> ante el Sistema Interamericano</w:t>
      </w:r>
      <w:r w:rsidR="002752A5" w:rsidRPr="00BC4B03">
        <w:rPr>
          <w:rStyle w:val="Textoennegrita"/>
          <w:rFonts w:ascii="Verdana" w:hAnsi="Verdana"/>
          <w:b w:val="0"/>
          <w:color w:val="000000"/>
          <w:sz w:val="20"/>
          <w:szCs w:val="20"/>
          <w:lang w:val="es-DO"/>
        </w:rPr>
        <w:t>,</w:t>
      </w:r>
      <w:r w:rsidR="002752A5" w:rsidRPr="00BC4B03">
        <w:rPr>
          <w:rStyle w:val="Textoennegrita"/>
          <w:rFonts w:ascii="Verdana" w:hAnsi="Verdana"/>
          <w:b w:val="0"/>
          <w:color w:val="000000"/>
          <w:sz w:val="20"/>
          <w:szCs w:val="20"/>
          <w:shd w:val="clear" w:color="auto" w:fill="FFFFFF"/>
          <w:lang w:val="es-DO"/>
        </w:rPr>
        <w:t xml:space="preserve"> </w:t>
      </w:r>
      <w:r w:rsidR="002752A5" w:rsidRPr="00BC4B03">
        <w:rPr>
          <w:rStyle w:val="Textoennegrita"/>
          <w:rFonts w:ascii="Verdana" w:hAnsi="Verdana"/>
          <w:b w:val="0"/>
          <w:color w:val="000000"/>
          <w:sz w:val="20"/>
          <w:szCs w:val="20"/>
          <w:lang w:val="es-DO"/>
        </w:rPr>
        <w:t xml:space="preserve">relegando su </w:t>
      </w:r>
      <w:proofErr w:type="spellStart"/>
      <w:r w:rsidR="002752A5" w:rsidRPr="00BC4B03">
        <w:rPr>
          <w:rStyle w:val="Textoennegrita"/>
          <w:rFonts w:ascii="Verdana" w:hAnsi="Verdana"/>
          <w:b w:val="0"/>
          <w:color w:val="000000"/>
          <w:sz w:val="20"/>
          <w:szCs w:val="20"/>
          <w:lang w:val="es-DO"/>
        </w:rPr>
        <w:t>justiciabilidad</w:t>
      </w:r>
      <w:proofErr w:type="spellEnd"/>
      <w:r w:rsidR="002752A5" w:rsidRPr="00BC4B03">
        <w:rPr>
          <w:rStyle w:val="Textoennegrita"/>
          <w:rFonts w:ascii="Verdana" w:hAnsi="Verdana"/>
          <w:b w:val="0"/>
          <w:color w:val="000000"/>
          <w:sz w:val="20"/>
          <w:szCs w:val="20"/>
          <w:lang w:val="es-DO"/>
        </w:rPr>
        <w:t xml:space="preserve"> directa a un segundo plano, </w:t>
      </w:r>
      <w:r w:rsidR="00190FF6" w:rsidRPr="00BC4B03">
        <w:rPr>
          <w:rStyle w:val="Textoennegrita"/>
          <w:rFonts w:ascii="Verdana" w:hAnsi="Verdana"/>
          <w:b w:val="0"/>
          <w:color w:val="000000"/>
          <w:sz w:val="20"/>
          <w:szCs w:val="20"/>
          <w:lang w:val="es-DO"/>
        </w:rPr>
        <w:t>condiciona</w:t>
      </w:r>
      <w:r w:rsidR="004E06FC" w:rsidRPr="00BC4B03">
        <w:rPr>
          <w:rStyle w:val="Textoennegrita"/>
          <w:rFonts w:ascii="Verdana" w:hAnsi="Verdana"/>
          <w:b w:val="0"/>
          <w:color w:val="000000"/>
          <w:sz w:val="20"/>
          <w:szCs w:val="20"/>
          <w:lang w:val="es-DO"/>
        </w:rPr>
        <w:t>do</w:t>
      </w:r>
      <w:r w:rsidR="002752A5" w:rsidRPr="00BC4B03">
        <w:rPr>
          <w:rStyle w:val="Textoennegrita"/>
          <w:rFonts w:ascii="Verdana" w:hAnsi="Verdana"/>
          <w:b w:val="0"/>
          <w:color w:val="000000"/>
          <w:sz w:val="20"/>
          <w:szCs w:val="20"/>
          <w:lang w:val="es-DO"/>
        </w:rPr>
        <w:t xml:space="preserve"> siempre </w:t>
      </w:r>
      <w:r w:rsidR="00190FF6" w:rsidRPr="00BC4B03">
        <w:rPr>
          <w:rStyle w:val="Textoennegrita"/>
          <w:rFonts w:ascii="Verdana" w:hAnsi="Verdana"/>
          <w:b w:val="0"/>
          <w:color w:val="000000"/>
          <w:sz w:val="20"/>
          <w:szCs w:val="20"/>
          <w:lang w:val="es-DO"/>
        </w:rPr>
        <w:t xml:space="preserve">a </w:t>
      </w:r>
      <w:r w:rsidR="002752A5" w:rsidRPr="00BC4B03">
        <w:rPr>
          <w:rStyle w:val="Textoennegrita"/>
          <w:rFonts w:ascii="Verdana" w:hAnsi="Verdana"/>
          <w:b w:val="0"/>
          <w:color w:val="000000"/>
          <w:sz w:val="20"/>
          <w:szCs w:val="20"/>
          <w:lang w:val="es-DO"/>
        </w:rPr>
        <w:t>la</w:t>
      </w:r>
      <w:r w:rsidR="002752A5" w:rsidRPr="00BC4B03">
        <w:rPr>
          <w:rStyle w:val="Textoennegrita"/>
          <w:rFonts w:ascii="Verdana" w:hAnsi="Verdana"/>
          <w:b w:val="0"/>
          <w:color w:val="000000"/>
          <w:sz w:val="20"/>
          <w:szCs w:val="20"/>
          <w:shd w:val="clear" w:color="auto" w:fill="FFFFFF"/>
          <w:lang w:val="es-DO"/>
        </w:rPr>
        <w:t xml:space="preserve"> </w:t>
      </w:r>
      <w:r w:rsidR="002752A5" w:rsidRPr="00BC4B03">
        <w:rPr>
          <w:rStyle w:val="Textoennegrita"/>
          <w:rFonts w:ascii="Verdana" w:hAnsi="Verdana"/>
          <w:b w:val="0"/>
          <w:color w:val="000000"/>
          <w:sz w:val="20"/>
          <w:szCs w:val="20"/>
          <w:lang w:val="es-DO"/>
        </w:rPr>
        <w:t xml:space="preserve">transgresión primigenia de un derecho civil y político, como </w:t>
      </w:r>
      <w:r w:rsidR="009D7620" w:rsidRPr="00BC4B03">
        <w:rPr>
          <w:rStyle w:val="Textoennegrita"/>
          <w:rFonts w:ascii="Verdana" w:hAnsi="Verdana"/>
          <w:b w:val="0"/>
          <w:color w:val="000000"/>
          <w:sz w:val="20"/>
          <w:szCs w:val="20"/>
          <w:lang w:val="es-DO"/>
        </w:rPr>
        <w:t>era</w:t>
      </w:r>
      <w:r w:rsidR="002752A5" w:rsidRPr="00BC4B03">
        <w:rPr>
          <w:rStyle w:val="Textoennegrita"/>
          <w:rFonts w:ascii="Verdana" w:hAnsi="Verdana"/>
          <w:b w:val="0"/>
          <w:color w:val="000000"/>
          <w:sz w:val="20"/>
          <w:szCs w:val="20"/>
          <w:lang w:val="es-DO"/>
        </w:rPr>
        <w:t xml:space="preserve"> </w:t>
      </w:r>
      <w:r w:rsidR="009D7620" w:rsidRPr="00BC4B03">
        <w:rPr>
          <w:rStyle w:val="Textoennegrita"/>
          <w:rFonts w:ascii="Verdana" w:hAnsi="Verdana"/>
          <w:b w:val="0"/>
          <w:color w:val="000000"/>
          <w:sz w:val="20"/>
          <w:szCs w:val="20"/>
          <w:lang w:val="es-DO"/>
        </w:rPr>
        <w:t>razón sentada en fallos</w:t>
      </w:r>
      <w:r w:rsidR="009D7620" w:rsidRPr="00BC4B03">
        <w:rPr>
          <w:rStyle w:val="Textoennegrita"/>
          <w:rFonts w:ascii="Verdana" w:hAnsi="Verdana"/>
          <w:b w:val="0"/>
          <w:color w:val="000000"/>
          <w:sz w:val="20"/>
          <w:szCs w:val="20"/>
          <w:shd w:val="clear" w:color="auto" w:fill="FFFFFF"/>
          <w:lang w:val="es-DO"/>
        </w:rPr>
        <w:t xml:space="preserve"> </w:t>
      </w:r>
      <w:r w:rsidR="009D7620" w:rsidRPr="00BC4B03">
        <w:rPr>
          <w:rStyle w:val="Textoennegrita"/>
          <w:rFonts w:ascii="Verdana" w:hAnsi="Verdana"/>
          <w:b w:val="0"/>
          <w:color w:val="000000"/>
          <w:sz w:val="20"/>
          <w:szCs w:val="20"/>
          <w:lang w:val="es-DO"/>
        </w:rPr>
        <w:t>anteriores a</w:t>
      </w:r>
      <w:r w:rsidR="002752A5" w:rsidRPr="00BC4B03">
        <w:rPr>
          <w:rStyle w:val="Textoennegrita"/>
          <w:rFonts w:ascii="Verdana" w:hAnsi="Verdana"/>
          <w:b w:val="0"/>
          <w:color w:val="000000"/>
          <w:sz w:val="20"/>
          <w:szCs w:val="20"/>
          <w:lang w:val="es-DO"/>
        </w:rPr>
        <w:t xml:space="preserve"> </w:t>
      </w:r>
      <w:r w:rsidR="00727703" w:rsidRPr="00BC4B03">
        <w:rPr>
          <w:rStyle w:val="Textoennegrita"/>
          <w:rFonts w:ascii="Verdana" w:hAnsi="Verdana"/>
          <w:b w:val="0"/>
          <w:color w:val="000000"/>
          <w:sz w:val="20"/>
          <w:szCs w:val="20"/>
          <w:lang w:val="es-DO"/>
        </w:rPr>
        <w:t>la sentencia</w:t>
      </w:r>
      <w:r w:rsidR="002752A5" w:rsidRPr="00BC4B03">
        <w:rPr>
          <w:rStyle w:val="Textoennegrita"/>
          <w:rFonts w:ascii="Verdana" w:hAnsi="Verdana"/>
          <w:b w:val="0"/>
          <w:color w:val="000000"/>
          <w:sz w:val="20"/>
          <w:szCs w:val="20"/>
          <w:lang w:val="es-DO"/>
        </w:rPr>
        <w:t xml:space="preserve"> </w:t>
      </w:r>
      <w:r w:rsidR="002752A5" w:rsidRPr="00BC4B03">
        <w:rPr>
          <w:rStyle w:val="Textoennegrita"/>
          <w:rFonts w:ascii="Verdana" w:hAnsi="Verdana"/>
          <w:b w:val="0"/>
          <w:i/>
          <w:color w:val="000000"/>
          <w:sz w:val="20"/>
          <w:szCs w:val="20"/>
          <w:lang w:val="es-DO"/>
        </w:rPr>
        <w:t>Lagos del Campo Vs. Perú</w:t>
      </w:r>
      <w:r w:rsidR="002752A5" w:rsidRPr="00BC4B03">
        <w:rPr>
          <w:rStyle w:val="Textoennegrita"/>
          <w:rFonts w:ascii="Verdana" w:hAnsi="Verdana"/>
          <w:b w:val="0"/>
          <w:color w:val="000000"/>
          <w:sz w:val="20"/>
          <w:szCs w:val="20"/>
          <w:lang w:val="es-DO"/>
        </w:rPr>
        <w:t xml:space="preserve">. </w:t>
      </w:r>
      <w:r w:rsidR="00727703" w:rsidRPr="00BC4B03">
        <w:rPr>
          <w:rStyle w:val="Textoennegrita"/>
          <w:rFonts w:ascii="Verdana" w:hAnsi="Verdana"/>
          <w:b w:val="0"/>
          <w:color w:val="000000"/>
          <w:sz w:val="20"/>
          <w:szCs w:val="20"/>
          <w:lang w:val="es-DO"/>
        </w:rPr>
        <w:t>Adicionalmente, y de manera i</w:t>
      </w:r>
      <w:r w:rsidR="002752A5" w:rsidRPr="00BC4B03">
        <w:rPr>
          <w:rStyle w:val="Textoennegrita"/>
          <w:rFonts w:ascii="Verdana" w:hAnsi="Verdana"/>
          <w:b w:val="0"/>
          <w:color w:val="000000"/>
          <w:sz w:val="20"/>
          <w:szCs w:val="20"/>
          <w:lang w:val="es-DO"/>
        </w:rPr>
        <w:t>mplícita,</w:t>
      </w:r>
      <w:r w:rsidR="002752A5" w:rsidRPr="00BC4B03">
        <w:rPr>
          <w:rStyle w:val="Textoennegrita"/>
          <w:rFonts w:ascii="Verdana" w:hAnsi="Verdana"/>
          <w:b w:val="0"/>
          <w:color w:val="000000"/>
          <w:sz w:val="20"/>
          <w:szCs w:val="20"/>
          <w:shd w:val="clear" w:color="auto" w:fill="FFFFFF"/>
          <w:lang w:val="es-DO"/>
        </w:rPr>
        <w:t xml:space="preserve"> </w:t>
      </w:r>
      <w:r w:rsidR="002752A5" w:rsidRPr="00BC4B03">
        <w:rPr>
          <w:rStyle w:val="Textoennegrita"/>
          <w:rFonts w:ascii="Verdana" w:hAnsi="Verdana"/>
          <w:b w:val="0"/>
          <w:color w:val="000000"/>
          <w:sz w:val="20"/>
          <w:szCs w:val="20"/>
          <w:lang w:val="es-DO"/>
        </w:rPr>
        <w:t xml:space="preserve">esto también </w:t>
      </w:r>
      <w:r w:rsidR="004E06FC" w:rsidRPr="00BC4B03">
        <w:rPr>
          <w:rStyle w:val="Textoennegrita"/>
          <w:rFonts w:ascii="Verdana" w:hAnsi="Verdana"/>
          <w:b w:val="0"/>
          <w:color w:val="000000"/>
          <w:sz w:val="20"/>
          <w:szCs w:val="20"/>
          <w:lang w:val="es-DO"/>
        </w:rPr>
        <w:t xml:space="preserve">podría </w:t>
      </w:r>
      <w:r w:rsidR="002752A5" w:rsidRPr="00BC4B03">
        <w:rPr>
          <w:rStyle w:val="Textoennegrita"/>
          <w:rFonts w:ascii="Verdana" w:hAnsi="Verdana"/>
          <w:b w:val="0"/>
          <w:color w:val="000000"/>
          <w:sz w:val="20"/>
          <w:szCs w:val="20"/>
          <w:lang w:val="es-DO"/>
        </w:rPr>
        <w:t>denota</w:t>
      </w:r>
      <w:r w:rsidR="004E06FC" w:rsidRPr="00BC4B03">
        <w:rPr>
          <w:rStyle w:val="Textoennegrita"/>
          <w:rFonts w:ascii="Verdana" w:hAnsi="Verdana"/>
          <w:b w:val="0"/>
          <w:color w:val="000000"/>
          <w:sz w:val="20"/>
          <w:szCs w:val="20"/>
          <w:lang w:val="es-DO"/>
        </w:rPr>
        <w:t>r</w:t>
      </w:r>
      <w:r w:rsidR="002752A5" w:rsidRPr="00BC4B03">
        <w:rPr>
          <w:rStyle w:val="Textoennegrita"/>
          <w:rFonts w:ascii="Verdana" w:hAnsi="Verdana"/>
          <w:b w:val="0"/>
          <w:color w:val="000000"/>
          <w:sz w:val="20"/>
          <w:szCs w:val="20"/>
          <w:lang w:val="es-DO"/>
        </w:rPr>
        <w:t xml:space="preserve"> la superposición</w:t>
      </w:r>
      <w:r w:rsidR="004E06FC" w:rsidRPr="00BC4B03">
        <w:rPr>
          <w:rStyle w:val="Textoennegrita"/>
          <w:rFonts w:ascii="Verdana" w:hAnsi="Verdana"/>
          <w:b w:val="0"/>
          <w:color w:val="000000"/>
          <w:sz w:val="20"/>
          <w:szCs w:val="20"/>
          <w:lang w:val="es-DO"/>
        </w:rPr>
        <w:t xml:space="preserve"> jer</w:t>
      </w:r>
      <w:r w:rsidR="00727703" w:rsidRPr="00BC4B03">
        <w:rPr>
          <w:rStyle w:val="Textoennegrita"/>
          <w:rFonts w:ascii="Verdana" w:hAnsi="Verdana"/>
          <w:b w:val="0"/>
          <w:color w:val="000000"/>
          <w:sz w:val="20"/>
          <w:szCs w:val="20"/>
          <w:lang w:val="es-DO"/>
        </w:rPr>
        <w:t>á</w:t>
      </w:r>
      <w:r w:rsidR="004E06FC" w:rsidRPr="00BC4B03">
        <w:rPr>
          <w:rStyle w:val="Textoennegrita"/>
          <w:rFonts w:ascii="Verdana" w:hAnsi="Verdana"/>
          <w:b w:val="0"/>
          <w:color w:val="000000"/>
          <w:sz w:val="20"/>
          <w:szCs w:val="20"/>
          <w:lang w:val="es-DO"/>
        </w:rPr>
        <w:t>rquica</w:t>
      </w:r>
      <w:r w:rsidR="002752A5" w:rsidRPr="00BC4B03">
        <w:rPr>
          <w:rStyle w:val="Textoennegrita"/>
          <w:rFonts w:ascii="Verdana" w:hAnsi="Verdana"/>
          <w:b w:val="0"/>
          <w:color w:val="000000"/>
          <w:sz w:val="20"/>
          <w:szCs w:val="20"/>
          <w:lang w:val="es-DO"/>
        </w:rPr>
        <w:t xml:space="preserve"> de los derechos civiles y políticos</w:t>
      </w:r>
      <w:r w:rsidR="002752A5" w:rsidRPr="00BC4B03">
        <w:rPr>
          <w:rStyle w:val="Textoennegrita"/>
          <w:rFonts w:ascii="Verdana" w:hAnsi="Verdana"/>
          <w:b w:val="0"/>
          <w:color w:val="000000"/>
          <w:sz w:val="20"/>
          <w:szCs w:val="20"/>
          <w:shd w:val="clear" w:color="auto" w:fill="FFFFFF"/>
          <w:lang w:val="es-DO"/>
        </w:rPr>
        <w:t xml:space="preserve"> </w:t>
      </w:r>
      <w:r w:rsidR="002752A5" w:rsidRPr="00BC4B03">
        <w:rPr>
          <w:rStyle w:val="Textoennegrita"/>
          <w:rFonts w:ascii="Verdana" w:hAnsi="Verdana"/>
          <w:b w:val="0"/>
          <w:color w:val="000000"/>
          <w:sz w:val="20"/>
          <w:szCs w:val="20"/>
          <w:lang w:val="es-DO"/>
        </w:rPr>
        <w:t>por encima de los DESCA, cuando</w:t>
      </w:r>
      <w:r w:rsidR="00105E73" w:rsidRPr="00BC4B03">
        <w:rPr>
          <w:rStyle w:val="Textoennegrita"/>
          <w:rFonts w:ascii="Verdana" w:hAnsi="Verdana"/>
          <w:b w:val="0"/>
          <w:color w:val="000000"/>
          <w:sz w:val="20"/>
          <w:szCs w:val="20"/>
          <w:lang w:val="es-DO"/>
        </w:rPr>
        <w:t xml:space="preserve"> para esta Corte</w:t>
      </w:r>
      <w:r w:rsidR="002752A5" w:rsidRPr="00BC4B03">
        <w:rPr>
          <w:rStyle w:val="Textoennegrita"/>
          <w:rFonts w:ascii="Verdana" w:hAnsi="Verdana"/>
          <w:b w:val="0"/>
          <w:color w:val="000000"/>
          <w:sz w:val="20"/>
          <w:szCs w:val="20"/>
          <w:lang w:val="es-DO"/>
        </w:rPr>
        <w:t xml:space="preserve"> </w:t>
      </w:r>
      <w:r w:rsidR="008B4A91" w:rsidRPr="00BC4B03">
        <w:rPr>
          <w:rStyle w:val="Textoennegrita"/>
          <w:rFonts w:ascii="Verdana" w:hAnsi="Verdana"/>
          <w:b w:val="0"/>
          <w:color w:val="000000"/>
          <w:sz w:val="20"/>
          <w:szCs w:val="20"/>
          <w:lang w:val="es-DO"/>
        </w:rPr>
        <w:t xml:space="preserve">entre </w:t>
      </w:r>
      <w:r w:rsidR="002752A5" w:rsidRPr="00BC4B03">
        <w:rPr>
          <w:rStyle w:val="Textoennegrita"/>
          <w:rFonts w:ascii="Verdana" w:hAnsi="Verdana"/>
          <w:b w:val="0"/>
          <w:color w:val="000000"/>
          <w:sz w:val="20"/>
          <w:szCs w:val="20"/>
          <w:lang w:val="es-DO"/>
        </w:rPr>
        <w:t>las obligaciones atinentes a ambas</w:t>
      </w:r>
      <w:r w:rsidR="002752A5" w:rsidRPr="00BC4B03">
        <w:rPr>
          <w:rStyle w:val="Textoennegrita"/>
          <w:rFonts w:ascii="Verdana" w:hAnsi="Verdana"/>
          <w:b w:val="0"/>
          <w:color w:val="000000"/>
          <w:sz w:val="20"/>
          <w:szCs w:val="20"/>
          <w:shd w:val="clear" w:color="auto" w:fill="FFFFFF"/>
          <w:lang w:val="es-DO"/>
        </w:rPr>
        <w:t xml:space="preserve"> </w:t>
      </w:r>
      <w:r w:rsidR="002752A5" w:rsidRPr="00BC4B03">
        <w:rPr>
          <w:rStyle w:val="Textoennegrita"/>
          <w:rFonts w:ascii="Verdana" w:hAnsi="Verdana"/>
          <w:b w:val="0"/>
          <w:color w:val="000000"/>
          <w:sz w:val="20"/>
          <w:szCs w:val="20"/>
          <w:lang w:val="es-DO"/>
        </w:rPr>
        <w:t>categorías</w:t>
      </w:r>
      <w:r w:rsidR="008B4A91" w:rsidRPr="00BC4B03">
        <w:rPr>
          <w:rStyle w:val="Textoennegrita"/>
          <w:rFonts w:ascii="Verdana" w:hAnsi="Verdana"/>
          <w:b w:val="0"/>
          <w:color w:val="000000"/>
          <w:sz w:val="20"/>
          <w:szCs w:val="20"/>
          <w:lang w:val="es-DO"/>
        </w:rPr>
        <w:t xml:space="preserve"> no </w:t>
      </w:r>
      <w:r w:rsidR="004E06FC" w:rsidRPr="00BC4B03">
        <w:rPr>
          <w:rStyle w:val="Textoennegrita"/>
          <w:rFonts w:ascii="Verdana" w:hAnsi="Verdana"/>
          <w:b w:val="0"/>
          <w:color w:val="000000"/>
          <w:sz w:val="20"/>
          <w:szCs w:val="20"/>
          <w:lang w:val="es-DO"/>
        </w:rPr>
        <w:t>puede ni debe</w:t>
      </w:r>
      <w:r w:rsidR="00105E73" w:rsidRPr="00BC4B03">
        <w:rPr>
          <w:rStyle w:val="Textoennegrita"/>
          <w:rFonts w:ascii="Verdana" w:hAnsi="Verdana"/>
          <w:b w:val="0"/>
          <w:color w:val="000000"/>
          <w:sz w:val="20"/>
          <w:szCs w:val="20"/>
          <w:lang w:val="es-DO"/>
        </w:rPr>
        <w:t xml:space="preserve"> </w:t>
      </w:r>
      <w:r w:rsidR="008B4A91" w:rsidRPr="00BC4B03">
        <w:rPr>
          <w:rStyle w:val="Textoennegrita"/>
          <w:rFonts w:ascii="Verdana" w:hAnsi="Verdana"/>
          <w:b w:val="0"/>
          <w:color w:val="000000"/>
          <w:sz w:val="20"/>
          <w:szCs w:val="20"/>
          <w:lang w:val="es-DO"/>
        </w:rPr>
        <w:t>existir jerarquía alguna por ser vinculantes en igual medida</w:t>
      </w:r>
      <w:r w:rsidR="008B4A91" w:rsidRPr="00BC4B03">
        <w:rPr>
          <w:rStyle w:val="Textoennegrita"/>
          <w:rFonts w:ascii="Verdana" w:hAnsi="Verdana"/>
          <w:b w:val="0"/>
          <w:color w:val="000000"/>
          <w:sz w:val="20"/>
          <w:szCs w:val="20"/>
          <w:shd w:val="clear" w:color="auto" w:fill="FFFFFF"/>
          <w:lang w:val="es-DO"/>
        </w:rPr>
        <w:t xml:space="preserve"> </w:t>
      </w:r>
      <w:r w:rsidR="008B4A91" w:rsidRPr="00BC4B03">
        <w:rPr>
          <w:rStyle w:val="Textoennegrita"/>
          <w:rFonts w:ascii="Verdana" w:hAnsi="Verdana"/>
          <w:b w:val="0"/>
          <w:color w:val="000000"/>
          <w:sz w:val="20"/>
          <w:szCs w:val="20"/>
          <w:lang w:val="es-DO"/>
        </w:rPr>
        <w:t>para los Estados suscribientes de la Convención America</w:t>
      </w:r>
      <w:r w:rsidR="00AA04D1" w:rsidRPr="00BC4B03">
        <w:rPr>
          <w:rStyle w:val="Textoennegrita"/>
          <w:rFonts w:ascii="Verdana" w:hAnsi="Verdana"/>
          <w:b w:val="0"/>
          <w:color w:val="000000"/>
          <w:sz w:val="20"/>
          <w:szCs w:val="20"/>
          <w:lang w:val="es-DO"/>
        </w:rPr>
        <w:t>na.</w:t>
      </w:r>
      <w:r w:rsidR="004E06FC" w:rsidRPr="00BC4B03">
        <w:rPr>
          <w:rStyle w:val="Textoennegrita"/>
          <w:rFonts w:ascii="Verdana" w:hAnsi="Verdana"/>
          <w:b w:val="0"/>
          <w:color w:val="000000"/>
          <w:sz w:val="20"/>
          <w:szCs w:val="20"/>
          <w:lang w:val="es-DO"/>
        </w:rPr>
        <w:t xml:space="preserve"> Estas son las razones por las</w:t>
      </w:r>
      <w:r w:rsidR="004E06FC" w:rsidRPr="00BC4B03">
        <w:rPr>
          <w:rStyle w:val="Textoennegrita"/>
          <w:rFonts w:ascii="Verdana" w:hAnsi="Verdana"/>
          <w:b w:val="0"/>
          <w:color w:val="000000"/>
          <w:sz w:val="20"/>
          <w:szCs w:val="20"/>
          <w:shd w:val="clear" w:color="auto" w:fill="FFFFFF"/>
          <w:lang w:val="es-DO"/>
        </w:rPr>
        <w:t xml:space="preserve"> </w:t>
      </w:r>
      <w:r w:rsidR="004E06FC" w:rsidRPr="00BC4B03">
        <w:rPr>
          <w:rStyle w:val="Textoennegrita"/>
          <w:rFonts w:ascii="Verdana" w:hAnsi="Verdana"/>
          <w:b w:val="0"/>
          <w:color w:val="000000"/>
          <w:sz w:val="20"/>
          <w:szCs w:val="20"/>
          <w:lang w:val="es-DO"/>
        </w:rPr>
        <w:t>cuales me veo en la obligación de emitir mi voto parcialmente disidente.</w:t>
      </w:r>
    </w:p>
    <w:p w14:paraId="257934FD" w14:textId="77777777" w:rsidR="00AA04D1" w:rsidRPr="00BC4B03" w:rsidRDefault="00AA04D1" w:rsidP="00BC4B03">
      <w:pPr>
        <w:pStyle w:val="Prrafodelista"/>
        <w:spacing w:after="0" w:line="240" w:lineRule="auto"/>
        <w:ind w:left="0"/>
        <w:jc w:val="both"/>
        <w:rPr>
          <w:rStyle w:val="Textoennegrita"/>
          <w:rFonts w:ascii="Verdana" w:hAnsi="Verdana"/>
          <w:b w:val="0"/>
          <w:bCs w:val="0"/>
          <w:sz w:val="20"/>
          <w:szCs w:val="20"/>
          <w:lang w:val="es-DO"/>
        </w:rPr>
      </w:pPr>
    </w:p>
    <w:p w14:paraId="2F770DB0" w14:textId="52F74FA9" w:rsidR="00AA04D1" w:rsidRPr="00BC4B03" w:rsidRDefault="00AA04D1" w:rsidP="00BC4B03">
      <w:pPr>
        <w:tabs>
          <w:tab w:val="left" w:pos="709"/>
        </w:tabs>
        <w:spacing w:after="0" w:line="240" w:lineRule="auto"/>
        <w:jc w:val="both"/>
        <w:rPr>
          <w:rFonts w:ascii="Verdana" w:hAnsi="Verdana"/>
          <w:b/>
          <w:bCs/>
          <w:sz w:val="20"/>
          <w:szCs w:val="20"/>
          <w:lang w:val="es-DO"/>
        </w:rPr>
      </w:pPr>
      <w:r w:rsidRPr="00BC4B03">
        <w:rPr>
          <w:rFonts w:ascii="Verdana" w:hAnsi="Verdana"/>
          <w:b/>
          <w:bCs/>
          <w:sz w:val="20"/>
          <w:szCs w:val="20"/>
          <w:lang w:val="es-DO"/>
        </w:rPr>
        <w:tab/>
        <w:t>IV. Conclusión</w:t>
      </w:r>
    </w:p>
    <w:p w14:paraId="20DF3EC0" w14:textId="77777777" w:rsidR="00AA04D1" w:rsidRPr="00BC4B03" w:rsidRDefault="00AA04D1" w:rsidP="00BC4B03">
      <w:pPr>
        <w:spacing w:after="0" w:line="240" w:lineRule="auto"/>
        <w:rPr>
          <w:rStyle w:val="Textoennegrita"/>
          <w:rFonts w:ascii="Verdana" w:hAnsi="Verdana"/>
          <w:b w:val="0"/>
          <w:color w:val="000000"/>
          <w:sz w:val="20"/>
          <w:szCs w:val="20"/>
          <w:shd w:val="clear" w:color="auto" w:fill="FFFFFF"/>
          <w:lang w:val="es-DO"/>
        </w:rPr>
      </w:pPr>
    </w:p>
    <w:p w14:paraId="11890E12" w14:textId="050410F7" w:rsidR="008B4A91" w:rsidRPr="00BC4B03" w:rsidRDefault="005F6ABC" w:rsidP="00BC4B03">
      <w:pPr>
        <w:pStyle w:val="Prrafodelista"/>
        <w:numPr>
          <w:ilvl w:val="0"/>
          <w:numId w:val="12"/>
        </w:numPr>
        <w:spacing w:after="0" w:line="240" w:lineRule="auto"/>
        <w:ind w:left="0" w:firstLine="0"/>
        <w:jc w:val="both"/>
        <w:rPr>
          <w:rStyle w:val="Textoennegrita"/>
          <w:rFonts w:ascii="Verdana" w:hAnsi="Verdana"/>
          <w:b w:val="0"/>
          <w:bCs w:val="0"/>
          <w:sz w:val="20"/>
          <w:szCs w:val="20"/>
          <w:lang w:val="es-DO"/>
        </w:rPr>
      </w:pPr>
      <w:r w:rsidRPr="00BC4B03">
        <w:rPr>
          <w:rStyle w:val="Textoennegrita"/>
          <w:rFonts w:ascii="Verdana" w:hAnsi="Verdana"/>
          <w:b w:val="0"/>
          <w:color w:val="000000" w:themeColor="text1"/>
          <w:sz w:val="20"/>
          <w:szCs w:val="20"/>
          <w:lang w:val="es-DO"/>
        </w:rPr>
        <w:t xml:space="preserve">Como consecuencia del razonamiento desarrollado, </w:t>
      </w:r>
      <w:r w:rsidR="002D0495" w:rsidRPr="00BC4B03">
        <w:rPr>
          <w:rStyle w:val="Textoennegrita"/>
          <w:rFonts w:ascii="Verdana" w:hAnsi="Verdana"/>
          <w:b w:val="0"/>
          <w:color w:val="000000" w:themeColor="text1"/>
          <w:sz w:val="20"/>
          <w:szCs w:val="20"/>
          <w:lang w:val="es-DO"/>
        </w:rPr>
        <w:t xml:space="preserve">es obligación de </w:t>
      </w:r>
      <w:r w:rsidRPr="00BC4B03">
        <w:rPr>
          <w:rStyle w:val="Textoennegrita"/>
          <w:rFonts w:ascii="Verdana" w:hAnsi="Verdana"/>
          <w:b w:val="0"/>
          <w:color w:val="000000" w:themeColor="text1"/>
          <w:sz w:val="20"/>
          <w:szCs w:val="20"/>
          <w:lang w:val="es-DO"/>
        </w:rPr>
        <w:t>la Co</w:t>
      </w:r>
      <w:r w:rsidR="002D0495" w:rsidRPr="00BC4B03">
        <w:rPr>
          <w:rStyle w:val="Textoennegrita"/>
          <w:rFonts w:ascii="Verdana" w:hAnsi="Verdana"/>
          <w:b w:val="0"/>
          <w:color w:val="000000" w:themeColor="text1"/>
          <w:sz w:val="20"/>
          <w:szCs w:val="20"/>
          <w:lang w:val="es-DO"/>
        </w:rPr>
        <w:t>rte</w:t>
      </w:r>
      <w:r w:rsidRPr="00BC4B03">
        <w:rPr>
          <w:rStyle w:val="Textoennegrita"/>
          <w:rFonts w:ascii="Verdana" w:hAnsi="Verdana"/>
          <w:b w:val="0"/>
          <w:color w:val="000000" w:themeColor="text1"/>
          <w:sz w:val="20"/>
          <w:szCs w:val="20"/>
          <w:shd w:val="clear" w:color="auto" w:fill="FFFFFF"/>
          <w:lang w:val="es-DO"/>
        </w:rPr>
        <w:t xml:space="preserve"> </w:t>
      </w:r>
      <w:r w:rsidRPr="00BC4B03">
        <w:rPr>
          <w:rStyle w:val="Textoennegrita"/>
          <w:rFonts w:ascii="Verdana" w:hAnsi="Verdana"/>
          <w:b w:val="0"/>
          <w:color w:val="000000" w:themeColor="text1"/>
          <w:sz w:val="20"/>
          <w:szCs w:val="20"/>
          <w:lang w:val="es-DO"/>
        </w:rPr>
        <w:t>mante</w:t>
      </w:r>
      <w:r w:rsidR="002D0495" w:rsidRPr="00BC4B03">
        <w:rPr>
          <w:rStyle w:val="Textoennegrita"/>
          <w:rFonts w:ascii="Verdana" w:hAnsi="Verdana"/>
          <w:b w:val="0"/>
          <w:color w:val="000000" w:themeColor="text1"/>
          <w:sz w:val="20"/>
          <w:szCs w:val="20"/>
          <w:lang w:val="es-DO"/>
        </w:rPr>
        <w:t>ner</w:t>
      </w:r>
      <w:r w:rsidRPr="00BC4B03">
        <w:rPr>
          <w:rStyle w:val="Textoennegrita"/>
          <w:rFonts w:ascii="Verdana" w:hAnsi="Verdana"/>
          <w:b w:val="0"/>
          <w:color w:val="000000" w:themeColor="text1"/>
          <w:sz w:val="20"/>
          <w:szCs w:val="20"/>
          <w:lang w:val="es-DO"/>
        </w:rPr>
        <w:t xml:space="preserve"> congruencia con</w:t>
      </w:r>
      <w:r w:rsidR="00DF40F6" w:rsidRPr="00BC4B03">
        <w:rPr>
          <w:rStyle w:val="Textoennegrita"/>
          <w:rFonts w:ascii="Verdana" w:hAnsi="Verdana"/>
          <w:b w:val="0"/>
          <w:color w:val="000000"/>
          <w:sz w:val="20"/>
          <w:szCs w:val="20"/>
          <w:lang w:val="es-DO"/>
        </w:rPr>
        <w:t xml:space="preserve"> los precedentes consistentes</w:t>
      </w:r>
      <w:r w:rsidR="00DB674C" w:rsidRPr="00BC4B03">
        <w:rPr>
          <w:rStyle w:val="Textoennegrita"/>
          <w:rFonts w:ascii="Verdana" w:hAnsi="Verdana"/>
          <w:b w:val="0"/>
          <w:color w:val="000000"/>
          <w:sz w:val="20"/>
          <w:szCs w:val="20"/>
          <w:lang w:val="es-DO"/>
        </w:rPr>
        <w:t xml:space="preserve">, </w:t>
      </w:r>
      <w:r w:rsidR="002D0495" w:rsidRPr="00BC4B03">
        <w:rPr>
          <w:rStyle w:val="Textoennegrita"/>
          <w:rFonts w:ascii="Verdana" w:hAnsi="Verdana"/>
          <w:b w:val="0"/>
          <w:color w:val="000000"/>
          <w:sz w:val="20"/>
          <w:szCs w:val="20"/>
          <w:lang w:val="es-DO"/>
        </w:rPr>
        <w:t>con</w:t>
      </w:r>
      <w:r w:rsidR="008B4A91" w:rsidRPr="00BC4B03">
        <w:rPr>
          <w:rStyle w:val="Textoennegrita"/>
          <w:rFonts w:ascii="Verdana" w:hAnsi="Verdana"/>
          <w:b w:val="0"/>
          <w:color w:val="000000"/>
          <w:sz w:val="20"/>
          <w:szCs w:val="20"/>
          <w:lang w:val="es-DO"/>
        </w:rPr>
        <w:t xml:space="preserve"> los </w:t>
      </w:r>
      <w:r w:rsidR="00DF40F6" w:rsidRPr="00BC4B03">
        <w:rPr>
          <w:rStyle w:val="Textoennegrita"/>
          <w:rFonts w:ascii="Verdana" w:hAnsi="Verdana"/>
          <w:b w:val="0"/>
          <w:color w:val="000000"/>
          <w:sz w:val="20"/>
          <w:szCs w:val="20"/>
          <w:lang w:val="es-DO"/>
        </w:rPr>
        <w:t xml:space="preserve">fallos y </w:t>
      </w:r>
      <w:r w:rsidR="008B4A91" w:rsidRPr="00BC4B03">
        <w:rPr>
          <w:rStyle w:val="Textoennegrita"/>
          <w:rFonts w:ascii="Verdana" w:hAnsi="Verdana"/>
          <w:b w:val="0"/>
          <w:color w:val="000000"/>
          <w:sz w:val="20"/>
          <w:szCs w:val="20"/>
          <w:lang w:val="es-DO"/>
        </w:rPr>
        <w:t xml:space="preserve"> jurisprudencia </w:t>
      </w:r>
      <w:r w:rsidR="0057529A" w:rsidRPr="00BC4B03">
        <w:rPr>
          <w:rStyle w:val="Textoennegrita"/>
          <w:rFonts w:ascii="Verdana" w:hAnsi="Verdana"/>
          <w:b w:val="0"/>
          <w:color w:val="000000"/>
          <w:sz w:val="20"/>
          <w:szCs w:val="20"/>
          <w:lang w:val="es-DO"/>
        </w:rPr>
        <w:t>que</w:t>
      </w:r>
      <w:r w:rsidR="0057529A" w:rsidRPr="00BC4B03">
        <w:rPr>
          <w:rStyle w:val="Textoennegrita"/>
          <w:rFonts w:ascii="Verdana" w:hAnsi="Verdana"/>
          <w:b w:val="0"/>
          <w:color w:val="000000"/>
          <w:sz w:val="20"/>
          <w:szCs w:val="20"/>
          <w:shd w:val="clear" w:color="auto" w:fill="FFFFFF"/>
          <w:lang w:val="es-DO"/>
        </w:rPr>
        <w:t xml:space="preserve"> </w:t>
      </w:r>
      <w:r w:rsidR="0057529A" w:rsidRPr="00BC4B03">
        <w:rPr>
          <w:rStyle w:val="Textoennegrita"/>
          <w:rFonts w:ascii="Verdana" w:hAnsi="Verdana"/>
          <w:b w:val="0"/>
          <w:color w:val="000000"/>
          <w:sz w:val="20"/>
          <w:szCs w:val="20"/>
          <w:lang w:val="es-DO"/>
        </w:rPr>
        <w:t>más garantiza</w:t>
      </w:r>
      <w:r w:rsidR="00190FF6" w:rsidRPr="00BC4B03">
        <w:rPr>
          <w:rStyle w:val="Textoennegrita"/>
          <w:rFonts w:ascii="Verdana" w:hAnsi="Verdana"/>
          <w:b w:val="0"/>
          <w:color w:val="000000"/>
          <w:sz w:val="20"/>
          <w:szCs w:val="20"/>
          <w:lang w:val="es-DO"/>
        </w:rPr>
        <w:t>n</w:t>
      </w:r>
      <w:r w:rsidR="0057529A" w:rsidRPr="00BC4B03">
        <w:rPr>
          <w:rStyle w:val="Textoennegrita"/>
          <w:rFonts w:ascii="Verdana" w:hAnsi="Verdana"/>
          <w:b w:val="0"/>
          <w:color w:val="000000"/>
          <w:sz w:val="20"/>
          <w:szCs w:val="20"/>
          <w:lang w:val="es-DO"/>
        </w:rPr>
        <w:t xml:space="preserve"> los derechos</w:t>
      </w:r>
      <w:r w:rsidR="00190FF6" w:rsidRPr="00BC4B03">
        <w:rPr>
          <w:rStyle w:val="Textoennegrita"/>
          <w:rFonts w:ascii="Verdana" w:hAnsi="Verdana"/>
          <w:b w:val="0"/>
          <w:color w:val="000000"/>
          <w:sz w:val="20"/>
          <w:szCs w:val="20"/>
          <w:lang w:val="es-DO"/>
        </w:rPr>
        <w:t xml:space="preserve"> </w:t>
      </w:r>
      <w:r w:rsidR="001E1BF3" w:rsidRPr="00BC4B03">
        <w:rPr>
          <w:rStyle w:val="Textoennegrita"/>
          <w:rFonts w:ascii="Verdana" w:hAnsi="Verdana"/>
          <w:b w:val="0"/>
          <w:color w:val="000000"/>
          <w:sz w:val="20"/>
          <w:szCs w:val="20"/>
          <w:lang w:val="es-DO"/>
        </w:rPr>
        <w:t>en materia de protección y acceso directo  al derecho a la</w:t>
      </w:r>
      <w:r w:rsidR="001E1BF3" w:rsidRPr="00BC4B03">
        <w:rPr>
          <w:rStyle w:val="Textoennegrita"/>
          <w:rFonts w:ascii="Verdana" w:hAnsi="Verdana"/>
          <w:b w:val="0"/>
          <w:color w:val="000000"/>
          <w:sz w:val="20"/>
          <w:szCs w:val="20"/>
          <w:shd w:val="clear" w:color="auto" w:fill="FFFFFF"/>
          <w:lang w:val="es-DO"/>
        </w:rPr>
        <w:t xml:space="preserve"> </w:t>
      </w:r>
      <w:r w:rsidR="001E1BF3" w:rsidRPr="00BC4B03">
        <w:rPr>
          <w:rStyle w:val="Textoennegrita"/>
          <w:rFonts w:ascii="Verdana" w:hAnsi="Verdana"/>
          <w:b w:val="0"/>
          <w:color w:val="000000"/>
          <w:sz w:val="20"/>
          <w:szCs w:val="20"/>
          <w:lang w:val="es-DO"/>
        </w:rPr>
        <w:t>salud,</w:t>
      </w:r>
      <w:r w:rsidR="00B6697A" w:rsidRPr="00BC4B03">
        <w:rPr>
          <w:rStyle w:val="Textoennegrita"/>
          <w:rFonts w:ascii="Verdana" w:hAnsi="Verdana"/>
          <w:b w:val="0"/>
          <w:color w:val="000000"/>
          <w:sz w:val="20"/>
          <w:szCs w:val="20"/>
          <w:lang w:val="es-DO"/>
        </w:rPr>
        <w:t xml:space="preserve"> en tanto derecho autónomo, </w:t>
      </w:r>
      <w:r w:rsidR="002D0495" w:rsidRPr="00BC4B03">
        <w:rPr>
          <w:rStyle w:val="Textoennegrita"/>
          <w:rFonts w:ascii="Verdana" w:hAnsi="Verdana"/>
          <w:b w:val="0"/>
          <w:color w:val="000000"/>
          <w:sz w:val="20"/>
          <w:szCs w:val="20"/>
          <w:lang w:val="es-DO"/>
        </w:rPr>
        <w:t xml:space="preserve">esforzándose </w:t>
      </w:r>
      <w:r w:rsidR="00190FF6" w:rsidRPr="00BC4B03">
        <w:rPr>
          <w:rStyle w:val="Textoennegrita"/>
          <w:rFonts w:ascii="Verdana" w:hAnsi="Verdana"/>
          <w:b w:val="0"/>
          <w:color w:val="000000"/>
          <w:sz w:val="20"/>
          <w:szCs w:val="20"/>
          <w:lang w:val="es-DO"/>
        </w:rPr>
        <w:t>en</w:t>
      </w:r>
      <w:r w:rsidR="002D0495" w:rsidRPr="00BC4B03">
        <w:rPr>
          <w:rStyle w:val="Textoennegrita"/>
          <w:rFonts w:ascii="Verdana" w:hAnsi="Verdana"/>
          <w:b w:val="0"/>
          <w:color w:val="000000"/>
          <w:sz w:val="20"/>
          <w:szCs w:val="20"/>
          <w:lang w:val="es-DO"/>
        </w:rPr>
        <w:t xml:space="preserve"> </w:t>
      </w:r>
      <w:r w:rsidR="00A42459" w:rsidRPr="00BC4B03">
        <w:rPr>
          <w:rStyle w:val="Textoennegrita"/>
          <w:rFonts w:ascii="Verdana" w:hAnsi="Verdana"/>
          <w:b w:val="0"/>
          <w:color w:val="000000"/>
          <w:sz w:val="20"/>
          <w:szCs w:val="20"/>
          <w:lang w:val="es-DO"/>
        </w:rPr>
        <w:t>enriquec</w:t>
      </w:r>
      <w:r w:rsidR="002D0495" w:rsidRPr="00BC4B03">
        <w:rPr>
          <w:rStyle w:val="Textoennegrita"/>
          <w:rFonts w:ascii="Verdana" w:hAnsi="Verdana"/>
          <w:b w:val="0"/>
          <w:color w:val="000000"/>
          <w:sz w:val="20"/>
          <w:szCs w:val="20"/>
          <w:lang w:val="es-DO"/>
        </w:rPr>
        <w:t>er</w:t>
      </w:r>
      <w:r w:rsidR="00A42459" w:rsidRPr="00BC4B03">
        <w:rPr>
          <w:rStyle w:val="Textoennegrita"/>
          <w:rFonts w:ascii="Verdana" w:hAnsi="Verdana"/>
          <w:b w:val="0"/>
          <w:color w:val="000000"/>
          <w:sz w:val="20"/>
          <w:szCs w:val="20"/>
          <w:lang w:val="es-DO"/>
        </w:rPr>
        <w:t xml:space="preserve"> </w:t>
      </w:r>
      <w:r w:rsidR="002D0495" w:rsidRPr="00BC4B03">
        <w:rPr>
          <w:rStyle w:val="Textoennegrita"/>
          <w:rFonts w:ascii="Verdana" w:hAnsi="Verdana"/>
          <w:b w:val="0"/>
          <w:color w:val="000000"/>
          <w:sz w:val="20"/>
          <w:szCs w:val="20"/>
          <w:lang w:val="es-DO"/>
        </w:rPr>
        <w:t xml:space="preserve">progresivamente </w:t>
      </w:r>
      <w:r w:rsidR="0099451B" w:rsidRPr="00BC4B03">
        <w:rPr>
          <w:rStyle w:val="Textoennegrita"/>
          <w:rFonts w:ascii="Verdana" w:hAnsi="Verdana"/>
          <w:b w:val="0"/>
          <w:color w:val="000000"/>
          <w:sz w:val="20"/>
          <w:szCs w:val="20"/>
          <w:lang w:val="es-DO"/>
        </w:rPr>
        <w:t>su</w:t>
      </w:r>
      <w:r w:rsidR="0099451B" w:rsidRPr="00BC4B03">
        <w:rPr>
          <w:rStyle w:val="Textoennegrita"/>
          <w:rFonts w:ascii="Verdana" w:hAnsi="Verdana"/>
          <w:b w:val="0"/>
          <w:color w:val="000000"/>
          <w:sz w:val="20"/>
          <w:szCs w:val="20"/>
          <w:shd w:val="clear" w:color="auto" w:fill="FFFFFF"/>
          <w:lang w:val="es-DO"/>
        </w:rPr>
        <w:t xml:space="preserve"> </w:t>
      </w:r>
      <w:r w:rsidR="0099451B" w:rsidRPr="00BC4B03">
        <w:rPr>
          <w:rStyle w:val="Textoennegrita"/>
          <w:rFonts w:ascii="Verdana" w:hAnsi="Verdana"/>
          <w:b w:val="0"/>
          <w:color w:val="000000"/>
          <w:sz w:val="20"/>
          <w:szCs w:val="20"/>
          <w:lang w:val="es-DO"/>
        </w:rPr>
        <w:t>contenido específico</w:t>
      </w:r>
      <w:r w:rsidR="001242FA" w:rsidRPr="00BC4B03">
        <w:rPr>
          <w:rStyle w:val="Textoennegrita"/>
          <w:rFonts w:ascii="Verdana" w:hAnsi="Verdana"/>
          <w:b w:val="0"/>
          <w:color w:val="000000"/>
          <w:sz w:val="20"/>
          <w:szCs w:val="20"/>
          <w:lang w:val="es-DO"/>
        </w:rPr>
        <w:t>,</w:t>
      </w:r>
      <w:r w:rsidR="00923653" w:rsidRPr="00BC4B03">
        <w:rPr>
          <w:rStyle w:val="Textoennegrita"/>
          <w:rFonts w:ascii="Verdana" w:hAnsi="Verdana"/>
          <w:b w:val="0"/>
          <w:color w:val="000000"/>
          <w:sz w:val="20"/>
          <w:szCs w:val="20"/>
          <w:lang w:val="es-DO"/>
        </w:rPr>
        <w:t xml:space="preserve"> </w:t>
      </w:r>
      <w:r w:rsidR="00700629" w:rsidRPr="00BC4B03">
        <w:rPr>
          <w:rStyle w:val="Textoennegrita"/>
          <w:rFonts w:ascii="Verdana" w:hAnsi="Verdana"/>
          <w:b w:val="0"/>
          <w:color w:val="000000"/>
          <w:sz w:val="20"/>
          <w:szCs w:val="20"/>
          <w:lang w:val="es-DO"/>
        </w:rPr>
        <w:t>con el</w:t>
      </w:r>
      <w:r w:rsidR="00923653" w:rsidRPr="00BC4B03">
        <w:rPr>
          <w:rStyle w:val="Textoennegrita"/>
          <w:rFonts w:ascii="Verdana" w:hAnsi="Verdana"/>
          <w:b w:val="0"/>
          <w:color w:val="000000"/>
          <w:sz w:val="20"/>
          <w:szCs w:val="20"/>
          <w:lang w:val="es-DO"/>
        </w:rPr>
        <w:t xml:space="preserve"> fin de </w:t>
      </w:r>
      <w:r w:rsidR="002D0495" w:rsidRPr="00BC4B03">
        <w:rPr>
          <w:rStyle w:val="Textoennegrita"/>
          <w:rFonts w:ascii="Verdana" w:hAnsi="Verdana"/>
          <w:b w:val="0"/>
          <w:color w:val="000000"/>
          <w:sz w:val="20"/>
          <w:szCs w:val="20"/>
          <w:lang w:val="es-DO"/>
        </w:rPr>
        <w:t>evitar interpretaciones que insinúen regresividad</w:t>
      </w:r>
      <w:r w:rsidR="00190FF6" w:rsidRPr="00BC4B03">
        <w:rPr>
          <w:rStyle w:val="Textoennegrita"/>
          <w:rFonts w:ascii="Verdana" w:hAnsi="Verdana"/>
          <w:b w:val="0"/>
          <w:color w:val="000000"/>
          <w:sz w:val="20"/>
          <w:szCs w:val="20"/>
          <w:lang w:val="es-DO"/>
        </w:rPr>
        <w:t xml:space="preserve"> en su hermenéutica garantista </w:t>
      </w:r>
      <w:r w:rsidR="002D0495" w:rsidRPr="00BC4B03">
        <w:rPr>
          <w:rStyle w:val="Textoennegrita"/>
          <w:rFonts w:ascii="Verdana" w:hAnsi="Verdana"/>
          <w:b w:val="0"/>
          <w:color w:val="000000"/>
          <w:sz w:val="20"/>
          <w:szCs w:val="20"/>
          <w:lang w:val="es-DO"/>
        </w:rPr>
        <w:t>y, para el caso específico, dejar en claro</w:t>
      </w:r>
      <w:r w:rsidR="00700629" w:rsidRPr="00BC4B03">
        <w:rPr>
          <w:rStyle w:val="Textoennegrita"/>
          <w:rFonts w:ascii="Verdana" w:hAnsi="Verdana"/>
          <w:b w:val="0"/>
          <w:color w:val="000000"/>
          <w:sz w:val="20"/>
          <w:szCs w:val="20"/>
          <w:lang w:val="es-DO"/>
        </w:rPr>
        <w:t xml:space="preserve"> </w:t>
      </w:r>
      <w:r w:rsidR="00923653" w:rsidRPr="00BC4B03">
        <w:rPr>
          <w:rStyle w:val="Textoennegrita"/>
          <w:rFonts w:ascii="Verdana" w:hAnsi="Verdana"/>
          <w:b w:val="0"/>
          <w:color w:val="000000"/>
          <w:sz w:val="20"/>
          <w:szCs w:val="20"/>
          <w:lang w:val="es-DO"/>
        </w:rPr>
        <w:t xml:space="preserve">el mensaje de que no es suficiente la simple adopción gradual de providencias para mejorar </w:t>
      </w:r>
      <w:r w:rsidR="001E1BF3" w:rsidRPr="00BC4B03">
        <w:rPr>
          <w:rStyle w:val="Textoennegrita"/>
          <w:rFonts w:ascii="Verdana" w:hAnsi="Verdana"/>
          <w:b w:val="0"/>
          <w:color w:val="000000"/>
          <w:sz w:val="20"/>
          <w:szCs w:val="20"/>
          <w:lang w:val="es-DO"/>
        </w:rPr>
        <w:t>el</w:t>
      </w:r>
      <w:r w:rsidR="00923653" w:rsidRPr="00BC4B03">
        <w:rPr>
          <w:rStyle w:val="Textoennegrita"/>
          <w:rFonts w:ascii="Verdana" w:hAnsi="Verdana"/>
          <w:b w:val="0"/>
          <w:color w:val="000000"/>
          <w:sz w:val="20"/>
          <w:szCs w:val="20"/>
          <w:lang w:val="es-DO"/>
        </w:rPr>
        <w:t xml:space="preserve"> acceso por parte de la población, sino que </w:t>
      </w:r>
      <w:r w:rsidR="007C79C9" w:rsidRPr="00BC4B03">
        <w:rPr>
          <w:rStyle w:val="Textoennegrita"/>
          <w:rFonts w:ascii="Verdana" w:hAnsi="Verdana"/>
          <w:b w:val="0"/>
          <w:color w:val="000000"/>
          <w:sz w:val="20"/>
          <w:szCs w:val="20"/>
          <w:lang w:val="es-DO"/>
        </w:rPr>
        <w:t>son</w:t>
      </w:r>
      <w:r w:rsidR="00923653" w:rsidRPr="00BC4B03">
        <w:rPr>
          <w:rStyle w:val="Textoennegrita"/>
          <w:rFonts w:ascii="Verdana" w:hAnsi="Verdana"/>
          <w:b w:val="0"/>
          <w:color w:val="000000"/>
          <w:sz w:val="20"/>
          <w:szCs w:val="20"/>
          <w:lang w:val="es-DO"/>
        </w:rPr>
        <w:t xml:space="preserve"> obligaciones de exigibilidad</w:t>
      </w:r>
      <w:r w:rsidR="002D0495" w:rsidRPr="00BC4B03">
        <w:rPr>
          <w:rStyle w:val="Textoennegrita"/>
          <w:rFonts w:ascii="Verdana" w:hAnsi="Verdana"/>
          <w:b w:val="0"/>
          <w:color w:val="000000"/>
          <w:sz w:val="20"/>
          <w:szCs w:val="20"/>
          <w:lang w:val="es-DO"/>
        </w:rPr>
        <w:t xml:space="preserve"> directa e </w:t>
      </w:r>
      <w:r w:rsidR="00923653" w:rsidRPr="00BC4B03">
        <w:rPr>
          <w:rStyle w:val="Textoennegrita"/>
          <w:rFonts w:ascii="Verdana" w:hAnsi="Verdana"/>
          <w:b w:val="0"/>
          <w:color w:val="000000"/>
          <w:sz w:val="20"/>
          <w:szCs w:val="20"/>
          <w:lang w:val="es-DO"/>
        </w:rPr>
        <w:t xml:space="preserve">inmediata </w:t>
      </w:r>
      <w:r w:rsidR="002D0495" w:rsidRPr="00BC4B03">
        <w:rPr>
          <w:rStyle w:val="Textoennegrita"/>
          <w:rFonts w:ascii="Verdana" w:hAnsi="Verdana"/>
          <w:b w:val="0"/>
          <w:color w:val="000000"/>
          <w:sz w:val="20"/>
          <w:szCs w:val="20"/>
          <w:lang w:val="es-DO"/>
        </w:rPr>
        <w:t xml:space="preserve">vía el artículo 26 de la Convención, destacando que su </w:t>
      </w:r>
      <w:r w:rsidR="00923653" w:rsidRPr="00BC4B03">
        <w:rPr>
          <w:rStyle w:val="Textoennegrita"/>
          <w:rFonts w:ascii="Verdana" w:hAnsi="Verdana"/>
          <w:b w:val="0"/>
          <w:color w:val="000000"/>
          <w:sz w:val="20"/>
          <w:szCs w:val="20"/>
          <w:lang w:val="es-DO"/>
        </w:rPr>
        <w:t>incumplimiento conlleva la responsabilidad internacional</w:t>
      </w:r>
      <w:r w:rsidR="0057529A" w:rsidRPr="00BC4B03">
        <w:rPr>
          <w:rStyle w:val="Textoennegrita"/>
          <w:rFonts w:ascii="Verdana" w:hAnsi="Verdana"/>
          <w:b w:val="0"/>
          <w:color w:val="000000"/>
          <w:sz w:val="20"/>
          <w:szCs w:val="20"/>
          <w:lang w:val="es-DO"/>
        </w:rPr>
        <w:t xml:space="preserve"> de los Estados</w:t>
      </w:r>
      <w:r w:rsidR="007C79C9" w:rsidRPr="00BC4B03">
        <w:rPr>
          <w:rStyle w:val="Textoennegrita"/>
          <w:rFonts w:ascii="Verdana" w:hAnsi="Verdana"/>
          <w:b w:val="0"/>
          <w:color w:val="000000"/>
          <w:sz w:val="20"/>
          <w:szCs w:val="20"/>
          <w:lang w:val="es-DO"/>
        </w:rPr>
        <w:t xml:space="preserve">, razonamiento </w:t>
      </w:r>
      <w:r w:rsidR="0012263C" w:rsidRPr="00BC4B03">
        <w:rPr>
          <w:rStyle w:val="Textoennegrita"/>
          <w:rFonts w:ascii="Verdana" w:hAnsi="Verdana"/>
          <w:b w:val="0"/>
          <w:color w:val="000000"/>
          <w:sz w:val="20"/>
          <w:szCs w:val="20"/>
          <w:lang w:val="es-DO"/>
        </w:rPr>
        <w:t xml:space="preserve">que </w:t>
      </w:r>
      <w:r w:rsidR="00DB674C" w:rsidRPr="00BC4B03">
        <w:rPr>
          <w:rStyle w:val="Textoennegrita"/>
          <w:rFonts w:ascii="Verdana" w:hAnsi="Verdana"/>
          <w:b w:val="0"/>
          <w:color w:val="000000"/>
          <w:sz w:val="20"/>
          <w:szCs w:val="20"/>
          <w:lang w:val="es-DO"/>
        </w:rPr>
        <w:t xml:space="preserve">a partir de </w:t>
      </w:r>
      <w:r w:rsidR="00DB674C" w:rsidRPr="00BC4B03">
        <w:rPr>
          <w:rStyle w:val="Textoennegrita"/>
          <w:rFonts w:ascii="Verdana" w:hAnsi="Verdana"/>
          <w:b w:val="0"/>
          <w:i/>
          <w:color w:val="000000"/>
          <w:sz w:val="20"/>
          <w:szCs w:val="20"/>
          <w:lang w:val="es-DO"/>
        </w:rPr>
        <w:t>Lagos del Campo</w:t>
      </w:r>
      <w:r w:rsidR="00DB674C" w:rsidRPr="00BC4B03">
        <w:rPr>
          <w:rStyle w:val="Textoennegrita"/>
          <w:rFonts w:ascii="Verdana" w:hAnsi="Verdana"/>
          <w:b w:val="0"/>
          <w:color w:val="000000"/>
          <w:sz w:val="20"/>
          <w:szCs w:val="20"/>
          <w:lang w:val="es-DO"/>
        </w:rPr>
        <w:t xml:space="preserve"> </w:t>
      </w:r>
      <w:r w:rsidR="0012263C" w:rsidRPr="00BC4B03">
        <w:rPr>
          <w:rStyle w:val="Textoennegrita"/>
          <w:rFonts w:ascii="Verdana" w:hAnsi="Verdana"/>
          <w:b w:val="0"/>
          <w:color w:val="000000"/>
          <w:sz w:val="20"/>
          <w:szCs w:val="20"/>
          <w:lang w:val="es-DO"/>
        </w:rPr>
        <w:t>ha sido</w:t>
      </w:r>
      <w:r w:rsidR="006E12A7" w:rsidRPr="00BC4B03">
        <w:rPr>
          <w:rStyle w:val="Textoennegrita"/>
          <w:rFonts w:ascii="Verdana" w:hAnsi="Verdana"/>
          <w:b w:val="0"/>
          <w:color w:val="000000"/>
          <w:sz w:val="20"/>
          <w:szCs w:val="20"/>
          <w:lang w:val="es-DO"/>
        </w:rPr>
        <w:t xml:space="preserve"> aprobado</w:t>
      </w:r>
      <w:r w:rsidR="002D0495" w:rsidRPr="00BC4B03">
        <w:rPr>
          <w:rStyle w:val="Textoennegrita"/>
          <w:rFonts w:ascii="Verdana" w:hAnsi="Verdana"/>
          <w:b w:val="0"/>
          <w:color w:val="000000"/>
          <w:sz w:val="20"/>
          <w:szCs w:val="20"/>
          <w:lang w:val="es-DO"/>
        </w:rPr>
        <w:t xml:space="preserve"> de manera</w:t>
      </w:r>
      <w:r w:rsidR="0012263C" w:rsidRPr="00BC4B03">
        <w:rPr>
          <w:rStyle w:val="Textoennegrita"/>
          <w:rFonts w:ascii="Verdana" w:hAnsi="Verdana"/>
          <w:b w:val="0"/>
          <w:color w:val="000000"/>
          <w:sz w:val="20"/>
          <w:szCs w:val="20"/>
          <w:lang w:val="es-DO"/>
        </w:rPr>
        <w:t xml:space="preserve"> reiterada y</w:t>
      </w:r>
      <w:r w:rsidR="006E12A7" w:rsidRPr="00BC4B03">
        <w:rPr>
          <w:rStyle w:val="Textoennegrita"/>
          <w:rFonts w:ascii="Verdana" w:hAnsi="Verdana"/>
          <w:b w:val="0"/>
          <w:color w:val="000000"/>
          <w:sz w:val="20"/>
          <w:szCs w:val="20"/>
          <w:lang w:val="es-DO"/>
        </w:rPr>
        <w:t xml:space="preserve"> mayor</w:t>
      </w:r>
      <w:r w:rsidR="0012263C" w:rsidRPr="00BC4B03">
        <w:rPr>
          <w:rStyle w:val="Textoennegrita"/>
          <w:rFonts w:ascii="Verdana" w:hAnsi="Verdana"/>
          <w:b w:val="0"/>
          <w:color w:val="000000"/>
          <w:sz w:val="20"/>
          <w:szCs w:val="20"/>
          <w:lang w:val="es-DO"/>
        </w:rPr>
        <w:t>itaria por el Pleno de la Corte</w:t>
      </w:r>
      <w:r w:rsidR="0003200D" w:rsidRPr="00BC4B03">
        <w:rPr>
          <w:rStyle w:val="Textoennegrita"/>
          <w:rFonts w:ascii="Verdana" w:hAnsi="Verdana"/>
          <w:b w:val="0"/>
          <w:color w:val="000000"/>
          <w:sz w:val="20"/>
          <w:szCs w:val="20"/>
          <w:lang w:val="es-DO"/>
        </w:rPr>
        <w:t>.</w:t>
      </w:r>
    </w:p>
    <w:p w14:paraId="450900EE" w14:textId="6FB20B8E" w:rsidR="0032143B" w:rsidRPr="00BC4B03" w:rsidRDefault="0032143B" w:rsidP="00BC4B03">
      <w:pPr>
        <w:spacing w:after="0" w:line="240" w:lineRule="auto"/>
        <w:jc w:val="both"/>
        <w:rPr>
          <w:rStyle w:val="Textoennegrita"/>
          <w:rFonts w:ascii="Verdana" w:hAnsi="Verdana"/>
          <w:b w:val="0"/>
          <w:bCs w:val="0"/>
          <w:sz w:val="20"/>
          <w:szCs w:val="20"/>
          <w:lang w:val="es-DO"/>
        </w:rPr>
      </w:pPr>
    </w:p>
    <w:p w14:paraId="43A284F3" w14:textId="77777777" w:rsidR="0032143B" w:rsidRPr="00BC4B03" w:rsidRDefault="0032143B" w:rsidP="00BC4B03">
      <w:pPr>
        <w:spacing w:after="0" w:line="240" w:lineRule="auto"/>
        <w:jc w:val="both"/>
        <w:rPr>
          <w:rStyle w:val="Textoennegrita"/>
          <w:rFonts w:ascii="Verdana" w:hAnsi="Verdana"/>
          <w:b w:val="0"/>
          <w:bCs w:val="0"/>
          <w:sz w:val="20"/>
          <w:szCs w:val="20"/>
          <w:lang w:val="es-DO"/>
        </w:rPr>
      </w:pPr>
    </w:p>
    <w:p w14:paraId="4CD347B3" w14:textId="76FFBF5F" w:rsidR="0032143B" w:rsidRPr="00BC4B03" w:rsidRDefault="0032143B" w:rsidP="00BC4B03">
      <w:pPr>
        <w:spacing w:after="0" w:line="240" w:lineRule="auto"/>
        <w:jc w:val="both"/>
        <w:rPr>
          <w:rStyle w:val="Textoennegrita"/>
          <w:rFonts w:ascii="Verdana" w:hAnsi="Verdana"/>
          <w:b w:val="0"/>
          <w:bCs w:val="0"/>
          <w:sz w:val="20"/>
          <w:szCs w:val="20"/>
          <w:lang w:val="es-DO"/>
        </w:rPr>
      </w:pPr>
      <w:bookmarkStart w:id="1" w:name="_GoBack"/>
      <w:bookmarkEnd w:id="1"/>
    </w:p>
    <w:p w14:paraId="563E40CE" w14:textId="77777777" w:rsidR="00BC037B" w:rsidRPr="00BC4B03" w:rsidRDefault="00BC037B" w:rsidP="00BC4B03">
      <w:pPr>
        <w:tabs>
          <w:tab w:val="left" w:pos="3936"/>
        </w:tabs>
        <w:spacing w:after="0" w:line="240" w:lineRule="auto"/>
        <w:jc w:val="both"/>
        <w:rPr>
          <w:rFonts w:ascii="Verdana" w:hAnsi="Verdana"/>
          <w:b/>
          <w:sz w:val="20"/>
          <w:szCs w:val="20"/>
          <w:lang w:val="es-DO"/>
        </w:rPr>
      </w:pPr>
    </w:p>
    <w:p w14:paraId="5D1C2B4E" w14:textId="5EEEA24B" w:rsidR="00AE416C" w:rsidRPr="00BC4B03" w:rsidRDefault="00AE416C" w:rsidP="00BC4B03">
      <w:pPr>
        <w:spacing w:after="0" w:line="240" w:lineRule="auto"/>
        <w:ind w:left="4248"/>
        <w:jc w:val="center"/>
        <w:rPr>
          <w:rFonts w:ascii="Verdana" w:hAnsi="Verdana"/>
          <w:sz w:val="20"/>
          <w:szCs w:val="20"/>
          <w:lang w:val="es-CR"/>
        </w:rPr>
      </w:pPr>
    </w:p>
    <w:p w14:paraId="08F11904" w14:textId="1A3F3663" w:rsidR="00AE416C" w:rsidRPr="00BC4B03" w:rsidRDefault="00AE416C" w:rsidP="00BC4B03">
      <w:pPr>
        <w:spacing w:after="0" w:line="240" w:lineRule="auto"/>
        <w:ind w:left="4248"/>
        <w:jc w:val="center"/>
        <w:rPr>
          <w:rFonts w:ascii="Verdana" w:hAnsi="Verdana"/>
          <w:sz w:val="20"/>
          <w:szCs w:val="20"/>
          <w:lang w:val="es-CR"/>
        </w:rPr>
      </w:pPr>
      <w:r w:rsidRPr="00BC4B03">
        <w:rPr>
          <w:rFonts w:ascii="Verdana" w:hAnsi="Verdana"/>
          <w:sz w:val="20"/>
          <w:szCs w:val="20"/>
          <w:lang w:val="es-CR"/>
        </w:rPr>
        <w:t>Patricio Pazmiño Freire</w:t>
      </w:r>
    </w:p>
    <w:p w14:paraId="2459732A" w14:textId="77777777" w:rsidR="00AE416C" w:rsidRPr="00BC4B03" w:rsidRDefault="00AE416C" w:rsidP="00BC4B03">
      <w:pPr>
        <w:spacing w:after="0" w:line="240" w:lineRule="auto"/>
        <w:ind w:left="4248"/>
        <w:jc w:val="center"/>
        <w:rPr>
          <w:rFonts w:ascii="Verdana" w:hAnsi="Verdana"/>
          <w:sz w:val="20"/>
          <w:szCs w:val="20"/>
          <w:lang w:val="es-CR"/>
        </w:rPr>
      </w:pPr>
      <w:r w:rsidRPr="00BC4B03">
        <w:rPr>
          <w:rFonts w:ascii="Verdana" w:hAnsi="Verdana"/>
          <w:sz w:val="20"/>
          <w:szCs w:val="20"/>
          <w:lang w:val="es-CR"/>
        </w:rPr>
        <w:t>Juez</w:t>
      </w:r>
    </w:p>
    <w:p w14:paraId="16A3DB64" w14:textId="77777777" w:rsidR="00AE416C" w:rsidRPr="00BC4B03" w:rsidRDefault="00AE416C" w:rsidP="00BC4B03">
      <w:pPr>
        <w:tabs>
          <w:tab w:val="left" w:pos="1440"/>
        </w:tabs>
        <w:spacing w:after="0" w:line="240" w:lineRule="auto"/>
        <w:rPr>
          <w:rFonts w:ascii="Verdana" w:hAnsi="Verdana"/>
          <w:sz w:val="20"/>
          <w:szCs w:val="20"/>
          <w:lang w:val="es-CR"/>
        </w:rPr>
      </w:pPr>
    </w:p>
    <w:p w14:paraId="27244998" w14:textId="77777777" w:rsidR="00AE416C" w:rsidRPr="00BC4B03" w:rsidRDefault="00AE416C" w:rsidP="00BC4B03">
      <w:pPr>
        <w:tabs>
          <w:tab w:val="left" w:pos="1440"/>
        </w:tabs>
        <w:spacing w:after="0" w:line="240" w:lineRule="auto"/>
        <w:rPr>
          <w:rFonts w:ascii="Verdana" w:hAnsi="Verdana"/>
          <w:sz w:val="20"/>
          <w:szCs w:val="20"/>
          <w:lang w:val="es-CR"/>
        </w:rPr>
      </w:pPr>
    </w:p>
    <w:p w14:paraId="3CF582DF" w14:textId="312D1550" w:rsidR="00AE416C" w:rsidRPr="00BC4B03" w:rsidRDefault="00AE416C" w:rsidP="00BC4B03">
      <w:pPr>
        <w:tabs>
          <w:tab w:val="left" w:pos="1440"/>
        </w:tabs>
        <w:spacing w:after="0" w:line="240" w:lineRule="auto"/>
        <w:rPr>
          <w:rFonts w:ascii="Verdana" w:hAnsi="Verdana"/>
          <w:sz w:val="20"/>
          <w:szCs w:val="20"/>
          <w:lang w:val="es-CR"/>
        </w:rPr>
      </w:pPr>
    </w:p>
    <w:p w14:paraId="75699C03" w14:textId="77777777" w:rsidR="00AE416C" w:rsidRPr="00BC4B03" w:rsidRDefault="00AE416C" w:rsidP="00BC4B03">
      <w:pPr>
        <w:tabs>
          <w:tab w:val="left" w:pos="1440"/>
        </w:tabs>
        <w:spacing w:after="0" w:line="240" w:lineRule="auto"/>
        <w:rPr>
          <w:rFonts w:ascii="Verdana" w:hAnsi="Verdana"/>
          <w:sz w:val="20"/>
          <w:szCs w:val="20"/>
          <w:lang w:val="es-CR"/>
        </w:rPr>
      </w:pPr>
    </w:p>
    <w:p w14:paraId="6F93043E" w14:textId="77777777" w:rsidR="00AE416C" w:rsidRPr="00BC4B03" w:rsidRDefault="00AE416C" w:rsidP="00BC4B03">
      <w:pPr>
        <w:tabs>
          <w:tab w:val="left" w:pos="1440"/>
        </w:tabs>
        <w:spacing w:after="0" w:line="240" w:lineRule="auto"/>
        <w:rPr>
          <w:rFonts w:ascii="Verdana" w:hAnsi="Verdana"/>
          <w:sz w:val="20"/>
          <w:szCs w:val="20"/>
          <w:lang w:val="es-CR"/>
        </w:rPr>
      </w:pPr>
      <w:r w:rsidRPr="00BC4B03">
        <w:rPr>
          <w:rFonts w:ascii="Verdana" w:hAnsi="Verdana"/>
          <w:sz w:val="20"/>
          <w:szCs w:val="20"/>
          <w:lang w:val="es-CR"/>
        </w:rPr>
        <w:t xml:space="preserve">        Pablo Saavedra Alessandri </w:t>
      </w:r>
    </w:p>
    <w:p w14:paraId="6FEB040F" w14:textId="25B1CBB0" w:rsidR="00AE416C" w:rsidRPr="00790D22" w:rsidRDefault="00AE416C" w:rsidP="00BC4B03">
      <w:pPr>
        <w:tabs>
          <w:tab w:val="left" w:pos="1440"/>
        </w:tabs>
        <w:spacing w:after="0" w:line="240" w:lineRule="auto"/>
        <w:rPr>
          <w:rFonts w:ascii="Verdana" w:hAnsi="Verdana"/>
          <w:b/>
          <w:sz w:val="20"/>
          <w:szCs w:val="20"/>
          <w:lang w:val="es-DO"/>
        </w:rPr>
      </w:pPr>
      <w:r w:rsidRPr="00BC4B03">
        <w:rPr>
          <w:rFonts w:ascii="Verdana" w:hAnsi="Verdana"/>
          <w:sz w:val="20"/>
          <w:szCs w:val="20"/>
          <w:lang w:val="es-CR"/>
        </w:rPr>
        <w:t xml:space="preserve">                 Secretario</w:t>
      </w:r>
    </w:p>
    <w:sectPr w:rsidR="00AE416C" w:rsidRPr="00790D22" w:rsidSect="0054206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C5D6" w14:textId="77777777" w:rsidR="00506427" w:rsidRDefault="00506427" w:rsidP="004A0255">
      <w:pPr>
        <w:spacing w:after="0" w:line="240" w:lineRule="auto"/>
      </w:pPr>
      <w:r>
        <w:separator/>
      </w:r>
    </w:p>
  </w:endnote>
  <w:endnote w:type="continuationSeparator" w:id="0">
    <w:p w14:paraId="1F88FCED" w14:textId="77777777" w:rsidR="00506427" w:rsidRDefault="00506427" w:rsidP="004A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1650741651"/>
      <w:docPartObj>
        <w:docPartGallery w:val="Page Numbers (Bottom of Page)"/>
        <w:docPartUnique/>
      </w:docPartObj>
    </w:sdtPr>
    <w:sdtEndPr>
      <w:rPr>
        <w:noProof/>
      </w:rPr>
    </w:sdtEndPr>
    <w:sdtContent>
      <w:p w14:paraId="3DCCA503" w14:textId="1BFA2599" w:rsidR="00542060" w:rsidRPr="00542060" w:rsidRDefault="00542060">
        <w:pPr>
          <w:pStyle w:val="Piedepgina"/>
          <w:jc w:val="center"/>
          <w:rPr>
            <w:rFonts w:ascii="Verdana" w:hAnsi="Verdana"/>
            <w:sz w:val="20"/>
            <w:szCs w:val="20"/>
          </w:rPr>
        </w:pPr>
        <w:r w:rsidRPr="00542060">
          <w:rPr>
            <w:rFonts w:ascii="Verdana" w:hAnsi="Verdana"/>
            <w:sz w:val="20"/>
            <w:szCs w:val="20"/>
          </w:rPr>
          <w:fldChar w:fldCharType="begin"/>
        </w:r>
        <w:r w:rsidRPr="00542060">
          <w:rPr>
            <w:rFonts w:ascii="Verdana" w:hAnsi="Verdana"/>
            <w:sz w:val="20"/>
            <w:szCs w:val="20"/>
          </w:rPr>
          <w:instrText xml:space="preserve"> PAGE   \* MERGEFORMAT </w:instrText>
        </w:r>
        <w:r w:rsidRPr="00542060">
          <w:rPr>
            <w:rFonts w:ascii="Verdana" w:hAnsi="Verdana"/>
            <w:sz w:val="20"/>
            <w:szCs w:val="20"/>
          </w:rPr>
          <w:fldChar w:fldCharType="separate"/>
        </w:r>
        <w:r w:rsidR="001D5326">
          <w:rPr>
            <w:rFonts w:ascii="Verdana" w:hAnsi="Verdana"/>
            <w:noProof/>
            <w:sz w:val="20"/>
            <w:szCs w:val="20"/>
          </w:rPr>
          <w:t>2</w:t>
        </w:r>
        <w:r w:rsidRPr="00542060">
          <w:rPr>
            <w:rFonts w:ascii="Verdana" w:hAnsi="Verdana"/>
            <w:noProof/>
            <w:sz w:val="20"/>
            <w:szCs w:val="20"/>
          </w:rPr>
          <w:fldChar w:fldCharType="end"/>
        </w:r>
      </w:p>
    </w:sdtContent>
  </w:sdt>
  <w:p w14:paraId="3B09989D" w14:textId="77777777" w:rsidR="00E3625F" w:rsidRDefault="00E362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E04E5" w14:textId="77777777" w:rsidR="00506427" w:rsidRDefault="00506427" w:rsidP="004A0255">
      <w:pPr>
        <w:spacing w:after="0" w:line="240" w:lineRule="auto"/>
      </w:pPr>
      <w:r>
        <w:separator/>
      </w:r>
    </w:p>
  </w:footnote>
  <w:footnote w:type="continuationSeparator" w:id="0">
    <w:p w14:paraId="5AF8D524" w14:textId="77777777" w:rsidR="00506427" w:rsidRDefault="00506427" w:rsidP="004A0255">
      <w:pPr>
        <w:spacing w:after="0" w:line="240" w:lineRule="auto"/>
      </w:pPr>
      <w:r>
        <w:continuationSeparator/>
      </w:r>
    </w:p>
  </w:footnote>
  <w:footnote w:id="1">
    <w:p w14:paraId="5BBE7E0A" w14:textId="76BB1B05" w:rsidR="00FC3FA8" w:rsidRPr="001B40D7" w:rsidRDefault="00FC3FA8" w:rsidP="001B40D7">
      <w:pPr>
        <w:pStyle w:val="Textonotapie"/>
        <w:spacing w:after="120"/>
        <w:jc w:val="both"/>
        <w:rPr>
          <w:rFonts w:ascii="Verdana" w:hAnsi="Verdana"/>
          <w:sz w:val="16"/>
          <w:szCs w:val="16"/>
          <w:lang w:val="es-CR"/>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0094106A" w:rsidRPr="001B40D7">
        <w:rPr>
          <w:rFonts w:ascii="Verdana" w:hAnsi="Verdana"/>
          <w:i/>
          <w:sz w:val="16"/>
          <w:szCs w:val="16"/>
        </w:rPr>
        <w:t xml:space="preserve">Cfr. </w:t>
      </w:r>
      <w:r w:rsidRPr="001B40D7">
        <w:rPr>
          <w:rFonts w:ascii="Verdana" w:hAnsi="Verdana"/>
          <w:i/>
          <w:sz w:val="16"/>
          <w:szCs w:val="16"/>
        </w:rPr>
        <w:t>Caso Lagos del Campo Vs. Perú</w:t>
      </w:r>
      <w:r w:rsidRPr="001B40D7">
        <w:rPr>
          <w:rFonts w:ascii="Verdana" w:hAnsi="Verdana"/>
          <w:sz w:val="16"/>
          <w:szCs w:val="16"/>
        </w:rPr>
        <w:t xml:space="preserve">. </w:t>
      </w:r>
      <w:r w:rsidRPr="001B40D7">
        <w:rPr>
          <w:rFonts w:ascii="Verdana" w:hAnsi="Verdana"/>
          <w:i/>
          <w:sz w:val="16"/>
          <w:szCs w:val="16"/>
        </w:rPr>
        <w:t>Excepciones Preliminares, Fondo, Reparaciones y Costas</w:t>
      </w:r>
      <w:r w:rsidRPr="001B40D7">
        <w:rPr>
          <w:rFonts w:ascii="Verdana" w:hAnsi="Verdana"/>
          <w:sz w:val="16"/>
          <w:szCs w:val="16"/>
        </w:rPr>
        <w:t>. Sentencia de 31 de agosto de 2017. Serie C No. 340.</w:t>
      </w:r>
    </w:p>
  </w:footnote>
  <w:footnote w:id="2">
    <w:p w14:paraId="23274B20" w14:textId="6500B496" w:rsidR="00E3625F" w:rsidRPr="001B40D7" w:rsidRDefault="00E3625F" w:rsidP="001B40D7">
      <w:pPr>
        <w:pStyle w:val="NormalWeb"/>
        <w:spacing w:after="120" w:line="240" w:lineRule="auto"/>
        <w:jc w:val="both"/>
        <w:rPr>
          <w:rFonts w:ascii="Verdana" w:hAnsi="Verdana"/>
          <w:sz w:val="16"/>
          <w:szCs w:val="16"/>
          <w:lang w:val="es-DO"/>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001B40D7">
        <w:rPr>
          <w:rFonts w:ascii="Verdana" w:hAnsi="Verdana"/>
          <w:i/>
          <w:iCs/>
          <w:sz w:val="16"/>
          <w:szCs w:val="16"/>
        </w:rPr>
        <w:t xml:space="preserve">Cfr. </w:t>
      </w:r>
      <w:r w:rsidRPr="001B40D7">
        <w:rPr>
          <w:rFonts w:ascii="Verdana" w:hAnsi="Verdana"/>
          <w:sz w:val="16"/>
          <w:szCs w:val="16"/>
        </w:rPr>
        <w:t>ONU. Comité de Derechos Económicos, Sociales y Culturales (Comité DESC), Observación General (OG) No. 14: “El derecho al disfrute del más alto nivel posible de salud”, E/C.1</w:t>
      </w:r>
      <w:r w:rsidR="00A175D4" w:rsidRPr="001B40D7">
        <w:rPr>
          <w:rFonts w:ascii="Verdana" w:hAnsi="Verdana"/>
          <w:sz w:val="16"/>
          <w:szCs w:val="16"/>
        </w:rPr>
        <w:t>2/2000/4, 11 de agosto de 2000, párr. 12</w:t>
      </w:r>
    </w:p>
  </w:footnote>
  <w:footnote w:id="3">
    <w:p w14:paraId="5B48778B" w14:textId="65338FD0" w:rsidR="006C0BED" w:rsidRPr="001B40D7" w:rsidRDefault="006C0BED"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00871021" w:rsidRPr="001B40D7">
        <w:rPr>
          <w:rFonts w:ascii="Verdana" w:hAnsi="Verdana"/>
          <w:sz w:val="16"/>
          <w:szCs w:val="16"/>
        </w:rPr>
        <w:tab/>
      </w:r>
      <w:r w:rsidR="00DC7522" w:rsidRPr="001B40D7">
        <w:rPr>
          <w:rFonts w:ascii="Verdana" w:hAnsi="Verdana"/>
          <w:i/>
          <w:sz w:val="16"/>
          <w:szCs w:val="16"/>
        </w:rPr>
        <w:t xml:space="preserve">Cfr. </w:t>
      </w:r>
      <w:r w:rsidR="00871021" w:rsidRPr="001B40D7">
        <w:rPr>
          <w:rFonts w:ascii="Verdana" w:hAnsi="Verdana"/>
          <w:i/>
          <w:sz w:val="16"/>
          <w:szCs w:val="16"/>
        </w:rPr>
        <w:t>Caso Poblete Vilches y otros Vs. Chile. Fondo, Reparaciones y Costas</w:t>
      </w:r>
      <w:r w:rsidR="00871021" w:rsidRPr="001B40D7">
        <w:rPr>
          <w:rFonts w:ascii="Verdana" w:hAnsi="Verdana"/>
          <w:sz w:val="16"/>
          <w:szCs w:val="16"/>
        </w:rPr>
        <w:t>. Sentencia de 8 de marzo de 2018. Serie C No. 349.</w:t>
      </w:r>
    </w:p>
  </w:footnote>
  <w:footnote w:id="4">
    <w:p w14:paraId="222AB3E3" w14:textId="123502AC" w:rsidR="006C0BED" w:rsidRPr="001B40D7" w:rsidRDefault="006C0BED"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00871021" w:rsidRPr="001B40D7">
        <w:rPr>
          <w:rFonts w:ascii="Verdana" w:hAnsi="Verdana"/>
          <w:sz w:val="16"/>
          <w:szCs w:val="16"/>
        </w:rPr>
        <w:tab/>
      </w:r>
      <w:r w:rsidR="00DC7522" w:rsidRPr="001B40D7">
        <w:rPr>
          <w:rFonts w:ascii="Verdana" w:hAnsi="Verdana"/>
          <w:i/>
          <w:sz w:val="16"/>
          <w:szCs w:val="16"/>
        </w:rPr>
        <w:t xml:space="preserve">Cfr. </w:t>
      </w:r>
      <w:r w:rsidR="00871021" w:rsidRPr="001B40D7">
        <w:rPr>
          <w:rFonts w:ascii="Verdana" w:hAnsi="Verdana"/>
          <w:i/>
          <w:sz w:val="16"/>
          <w:szCs w:val="16"/>
        </w:rPr>
        <w:t xml:space="preserve">Caso </w:t>
      </w:r>
      <w:proofErr w:type="spellStart"/>
      <w:r w:rsidR="00871021" w:rsidRPr="001B40D7">
        <w:rPr>
          <w:rFonts w:ascii="Verdana" w:hAnsi="Verdana"/>
          <w:i/>
          <w:sz w:val="16"/>
          <w:szCs w:val="16"/>
        </w:rPr>
        <w:t>Cuscul</w:t>
      </w:r>
      <w:proofErr w:type="spellEnd"/>
      <w:r w:rsidR="00871021" w:rsidRPr="001B40D7">
        <w:rPr>
          <w:rFonts w:ascii="Verdana" w:hAnsi="Verdana"/>
          <w:i/>
          <w:sz w:val="16"/>
          <w:szCs w:val="16"/>
        </w:rPr>
        <w:t xml:space="preserve"> Pivaral y otros Vs. Guatemala. Excepción Preliminar, Fondo, Reparaciones y Costas</w:t>
      </w:r>
      <w:r w:rsidR="00871021" w:rsidRPr="001B40D7">
        <w:rPr>
          <w:rFonts w:ascii="Verdana" w:hAnsi="Verdana"/>
          <w:sz w:val="16"/>
          <w:szCs w:val="16"/>
        </w:rPr>
        <w:t>. Sentencia de 23 de agosto de 2018. Serie C No. 359.</w:t>
      </w:r>
    </w:p>
  </w:footnote>
  <w:footnote w:id="5">
    <w:p w14:paraId="3579BCD4" w14:textId="2103C2D4" w:rsidR="00E3625F" w:rsidRPr="001B40D7" w:rsidRDefault="00E3625F" w:rsidP="001B40D7">
      <w:pPr>
        <w:pStyle w:val="Textonotapie"/>
        <w:spacing w:after="120"/>
        <w:jc w:val="both"/>
        <w:rPr>
          <w:rFonts w:ascii="Verdana" w:hAnsi="Verdana"/>
          <w:sz w:val="16"/>
          <w:szCs w:val="16"/>
          <w:lang w:val="es-DO"/>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t xml:space="preserve">La Sentencia se remite, </w:t>
      </w:r>
      <w:r w:rsidRPr="001B40D7">
        <w:rPr>
          <w:rFonts w:ascii="Verdana" w:hAnsi="Verdana"/>
          <w:i/>
          <w:iCs/>
          <w:sz w:val="16"/>
          <w:szCs w:val="16"/>
        </w:rPr>
        <w:t xml:space="preserve">inter </w:t>
      </w:r>
      <w:proofErr w:type="spellStart"/>
      <w:r w:rsidRPr="001B40D7">
        <w:rPr>
          <w:rFonts w:ascii="Verdana" w:hAnsi="Verdana"/>
          <w:i/>
          <w:iCs/>
          <w:sz w:val="16"/>
          <w:szCs w:val="16"/>
        </w:rPr>
        <w:t>alia</w:t>
      </w:r>
      <w:proofErr w:type="spellEnd"/>
      <w:r w:rsidRPr="001B40D7">
        <w:rPr>
          <w:rFonts w:ascii="Verdana" w:hAnsi="Verdana"/>
          <w:sz w:val="16"/>
          <w:szCs w:val="16"/>
        </w:rPr>
        <w:t>, al artículo 10 del Protocolo Adicional a la Convención Americana sobre Derechos Humanos en materia de Derechos Económicos, Sociales y Culturales (Protocolo de San Salvador); el artículo XI de la Declaración Americana de los Derechos y Deberes del Hombre; el artículo 25 de la Declaración Universal de los Derechos Humanos; el artículo 12 del Pacto Internacional de Derechos Económicos, Sociales y Culturales; el artículo 5.e</w:t>
      </w:r>
      <w:r w:rsidR="006E5773" w:rsidRPr="001B40D7">
        <w:rPr>
          <w:rFonts w:ascii="Verdana" w:hAnsi="Verdana"/>
          <w:sz w:val="16"/>
          <w:szCs w:val="16"/>
        </w:rPr>
        <w:t>)</w:t>
      </w:r>
      <w:r w:rsidRPr="001B40D7">
        <w:rPr>
          <w:rFonts w:ascii="Verdana" w:hAnsi="Verdana"/>
          <w:sz w:val="16"/>
          <w:szCs w:val="16"/>
        </w:rPr>
        <w:t xml:space="preserve"> de la Convención Internacional sobre la Eliminación de Todas las Formas de Discriminación Racial; el artículo 12.1 de la Convención sobre la Eliminación de Todas las Formas de Discriminación contra la Mujer; el artículo 24.1 de la Convención sobre los Derechos del Niño; el artículo 28 de la Convención sobre la Protección de los Trabajadores Migratorios y sus Familiares, y el artículo 25 de la Convención sobre los Derechos de las Personas con Discapacidad. </w:t>
      </w:r>
    </w:p>
  </w:footnote>
  <w:footnote w:id="6">
    <w:p w14:paraId="0900E0EF" w14:textId="28560886" w:rsidR="00E3625F" w:rsidRPr="00BC4B03" w:rsidRDefault="00E3625F" w:rsidP="001B40D7">
      <w:pPr>
        <w:pStyle w:val="Textonotapie"/>
        <w:spacing w:after="120"/>
        <w:jc w:val="both"/>
        <w:rPr>
          <w:rStyle w:val="Refdenotaalpie"/>
          <w:rFonts w:ascii="Verdana" w:hAnsi="Verdana"/>
          <w:sz w:val="16"/>
          <w:szCs w:val="16"/>
        </w:rPr>
      </w:pPr>
      <w:r w:rsidRPr="001B40D7">
        <w:rPr>
          <w:rStyle w:val="Refdenotaalpie"/>
          <w:rFonts w:ascii="Verdana" w:hAnsi="Verdana"/>
          <w:sz w:val="16"/>
          <w:szCs w:val="16"/>
        </w:rPr>
        <w:footnoteRef/>
      </w:r>
      <w:r w:rsidRPr="001B40D7">
        <w:rPr>
          <w:rStyle w:val="Refdenotaalpie"/>
          <w:rFonts w:ascii="Verdana" w:hAnsi="Verdana"/>
          <w:sz w:val="16"/>
          <w:szCs w:val="16"/>
        </w:rPr>
        <w:t xml:space="preserve"> </w:t>
      </w:r>
      <w:r w:rsidRPr="001B40D7">
        <w:rPr>
          <w:rFonts w:ascii="Verdana" w:hAnsi="Verdana"/>
          <w:sz w:val="16"/>
          <w:szCs w:val="16"/>
        </w:rPr>
        <w:tab/>
        <w:t xml:space="preserve">En la Sentencia, se menciona que entre las Constituciones de los Estados Partes de la Convención Americana que consagran el derecho a la salud descuellan las siguientes: Barbados (art. </w:t>
      </w:r>
      <w:r w:rsidRPr="001B40D7">
        <w:rPr>
          <w:rFonts w:ascii="Verdana" w:hAnsi="Verdana"/>
          <w:iCs/>
          <w:sz w:val="16"/>
          <w:szCs w:val="16"/>
        </w:rPr>
        <w:t xml:space="preserve">17.2.A); </w:t>
      </w:r>
      <w:r w:rsidRPr="001B40D7">
        <w:rPr>
          <w:rFonts w:ascii="Verdana" w:hAnsi="Verdana"/>
          <w:sz w:val="16"/>
          <w:szCs w:val="16"/>
        </w:rPr>
        <w:t xml:space="preserve">Bolivia (art. 35); Brasil (art. 196); Chile (art. 19) Colombia (art. 49); Costa Rica (art. 46); Ecuador (art. 32); El Salvador (art. 65); Guatemala (arts. </w:t>
      </w:r>
      <w:r w:rsidRPr="00BC4B03">
        <w:rPr>
          <w:rFonts w:ascii="Verdana" w:hAnsi="Verdana"/>
          <w:sz w:val="16"/>
          <w:szCs w:val="16"/>
        </w:rPr>
        <w:t xml:space="preserve">93 y 94); Haití (art. 19); Honduras (art. 145); México (art. 4); Nicaragua (art. 59); Panamá (art. 109); Paraguay (art. 68); Perú (art. 70); República Dominicana (art. 61); Surinam (art. 36); Uruguay (art. 44), </w:t>
      </w:r>
      <w:r w:rsidRPr="00BC4B03">
        <w:rPr>
          <w:rFonts w:ascii="Verdana" w:hAnsi="Verdana"/>
          <w:iCs/>
          <w:sz w:val="16"/>
          <w:szCs w:val="16"/>
        </w:rPr>
        <w:t xml:space="preserve">y </w:t>
      </w:r>
      <w:r w:rsidRPr="00BC4B03">
        <w:rPr>
          <w:rFonts w:ascii="Verdana" w:hAnsi="Verdana"/>
          <w:sz w:val="16"/>
          <w:szCs w:val="16"/>
        </w:rPr>
        <w:t>Venezuela (art. 83).</w:t>
      </w:r>
    </w:p>
  </w:footnote>
  <w:footnote w:id="7">
    <w:p w14:paraId="387CF926" w14:textId="067AF545" w:rsidR="00E3625F" w:rsidRPr="001B40D7" w:rsidRDefault="00E3625F" w:rsidP="001B40D7">
      <w:pPr>
        <w:pStyle w:val="NormalWeb"/>
        <w:spacing w:after="120" w:line="240" w:lineRule="auto"/>
        <w:jc w:val="both"/>
        <w:rPr>
          <w:rFonts w:ascii="Verdana" w:hAnsi="Verdana"/>
          <w:sz w:val="16"/>
          <w:szCs w:val="16"/>
          <w:lang w:val="es-DO"/>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t>La Sentencia se remite a los artículos 10 y 11 de la Constitución, los cuales disponen respectivamente que “</w:t>
      </w:r>
      <w:bookmarkStart w:id="0" w:name="_Hlk26959777"/>
      <w:r w:rsidRPr="001B40D7">
        <w:rPr>
          <w:rFonts w:ascii="Verdana" w:hAnsi="Verdana"/>
          <w:sz w:val="16"/>
          <w:szCs w:val="16"/>
        </w:rPr>
        <w:t>[e]</w:t>
      </w:r>
      <w:bookmarkEnd w:id="0"/>
      <w:r w:rsidRPr="001B40D7">
        <w:rPr>
          <w:rFonts w:ascii="Verdana" w:hAnsi="Verdana" w:cs="Arial"/>
          <w:color w:val="000000"/>
          <w:sz w:val="16"/>
          <w:szCs w:val="16"/>
          <w:lang w:val="es-PE"/>
        </w:rPr>
        <w:t>l Estado reconoce el derecho universal y progresivo de toda persona a la seguridad social, para su protección frente a las contingencias que precise la ley y para la elevación de su calidad de vida”</w:t>
      </w:r>
      <w:r w:rsidR="00274303">
        <w:rPr>
          <w:rFonts w:ascii="Verdana" w:hAnsi="Verdana" w:cs="Arial"/>
          <w:color w:val="000000"/>
          <w:sz w:val="16"/>
          <w:szCs w:val="16"/>
          <w:lang w:val="es-PE"/>
        </w:rPr>
        <w:t>,</w:t>
      </w:r>
      <w:r w:rsidRPr="001B40D7">
        <w:rPr>
          <w:rFonts w:ascii="Verdana" w:hAnsi="Verdana" w:cs="Arial"/>
          <w:color w:val="000000"/>
          <w:sz w:val="16"/>
          <w:szCs w:val="16"/>
          <w:lang w:val="es-PE"/>
        </w:rPr>
        <w:t xml:space="preserve"> y que “[e]l Estado garantiza el libre acceso a prestaciones de salud y a pensiones, a través de entidades públicas, privadas o mixtas (…)”. </w:t>
      </w:r>
    </w:p>
  </w:footnote>
  <w:footnote w:id="8">
    <w:p w14:paraId="0CFFCD83" w14:textId="43C5B65B" w:rsidR="00F15313" w:rsidRPr="001B40D7" w:rsidRDefault="00F15313" w:rsidP="001B40D7">
      <w:pPr>
        <w:pStyle w:val="Textonotapie"/>
        <w:spacing w:after="120"/>
        <w:jc w:val="both"/>
        <w:rPr>
          <w:rFonts w:ascii="Verdana" w:hAnsi="Verdana"/>
          <w:sz w:val="16"/>
          <w:szCs w:val="16"/>
          <w:lang w:val="es-CR"/>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008C149B" w:rsidRPr="001B40D7">
        <w:rPr>
          <w:rFonts w:ascii="Verdana" w:hAnsi="Verdana"/>
          <w:i/>
          <w:sz w:val="16"/>
          <w:szCs w:val="16"/>
        </w:rPr>
        <w:t xml:space="preserve">Cfr. </w:t>
      </w:r>
      <w:r w:rsidRPr="001B40D7">
        <w:rPr>
          <w:rFonts w:ascii="Verdana" w:hAnsi="Verdana"/>
          <w:i/>
          <w:sz w:val="16"/>
          <w:szCs w:val="16"/>
        </w:rPr>
        <w:t>Caso "Cinco Pensionistas" Vs. Perú. Fondo, Reparaciones y Costas</w:t>
      </w:r>
      <w:r w:rsidRPr="001B40D7">
        <w:rPr>
          <w:rFonts w:ascii="Verdana" w:hAnsi="Verdana"/>
          <w:sz w:val="16"/>
          <w:szCs w:val="16"/>
        </w:rPr>
        <w:t>. Sentencia de 28 de febrero de 2003. Serie C No. 98.</w:t>
      </w:r>
    </w:p>
  </w:footnote>
  <w:footnote w:id="9">
    <w:p w14:paraId="5AAAB165" w14:textId="69C5E04E" w:rsidR="008C149B" w:rsidRPr="001B40D7" w:rsidRDefault="008C149B" w:rsidP="001B40D7">
      <w:pPr>
        <w:pStyle w:val="Textonotapie"/>
        <w:spacing w:after="120"/>
        <w:jc w:val="both"/>
        <w:rPr>
          <w:rFonts w:ascii="Verdana" w:hAnsi="Verdana"/>
          <w:sz w:val="16"/>
          <w:szCs w:val="16"/>
          <w:lang w:val="es-CR"/>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bCs/>
          <w:sz w:val="16"/>
          <w:szCs w:val="16"/>
          <w:lang w:val="es-CR"/>
        </w:rPr>
        <w:tab/>
      </w:r>
      <w:r w:rsidRPr="001B40D7">
        <w:rPr>
          <w:rFonts w:ascii="Verdana" w:hAnsi="Verdana"/>
          <w:bCs/>
          <w:i/>
          <w:sz w:val="16"/>
          <w:szCs w:val="16"/>
          <w:lang w:val="es-CR"/>
        </w:rPr>
        <w:t>Cfr. Caso Asociación Nacional de Cesantes y Jubilados de la Superintendencia Nacional de Administración Tributaria (ANCEJUB-SUNAT) Vs. Perú</w:t>
      </w:r>
      <w:r w:rsidRPr="001B40D7">
        <w:rPr>
          <w:rFonts w:ascii="Verdana" w:hAnsi="Verdana"/>
          <w:bCs/>
          <w:sz w:val="16"/>
          <w:szCs w:val="16"/>
          <w:lang w:val="es-CR"/>
        </w:rPr>
        <w:t xml:space="preserve">. </w:t>
      </w:r>
      <w:r w:rsidRPr="00274303">
        <w:rPr>
          <w:rFonts w:ascii="Verdana" w:hAnsi="Verdana"/>
          <w:bCs/>
          <w:i/>
          <w:sz w:val="16"/>
          <w:szCs w:val="16"/>
          <w:lang w:val="es-CR"/>
        </w:rPr>
        <w:t>Excepciones Preliminares, Fondo, Reparaciones y Costas</w:t>
      </w:r>
      <w:r w:rsidRPr="001B40D7">
        <w:rPr>
          <w:rFonts w:ascii="Verdana" w:hAnsi="Verdana"/>
          <w:bCs/>
          <w:sz w:val="16"/>
          <w:szCs w:val="16"/>
          <w:lang w:val="es-CR"/>
        </w:rPr>
        <w:t xml:space="preserve">. Sentencia de 21 de noviembre de 2019. </w:t>
      </w:r>
      <w:r w:rsidRPr="001B40D7">
        <w:rPr>
          <w:rFonts w:ascii="Verdana" w:hAnsi="Verdana"/>
          <w:bCs/>
          <w:sz w:val="16"/>
          <w:szCs w:val="16"/>
          <w:lang w:val="es-DO"/>
        </w:rPr>
        <w:t>Serie C No. 394.</w:t>
      </w:r>
    </w:p>
  </w:footnote>
  <w:footnote w:id="10">
    <w:p w14:paraId="712D8B64" w14:textId="0266B3F3" w:rsidR="00E3625F" w:rsidRPr="001B40D7" w:rsidRDefault="00E3625F" w:rsidP="001B40D7">
      <w:pPr>
        <w:pStyle w:val="Textonotapie"/>
        <w:spacing w:after="120"/>
        <w:jc w:val="both"/>
        <w:rPr>
          <w:rFonts w:ascii="Verdana" w:hAnsi="Verdana"/>
          <w:sz w:val="16"/>
          <w:szCs w:val="16"/>
          <w:lang w:val="es-DO"/>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iCs/>
          <w:sz w:val="16"/>
          <w:szCs w:val="16"/>
        </w:rPr>
        <w:t>Caso “Cinco Pensionistas” Vs. Perú. Fondo, Reparaciones y Costas</w:t>
      </w:r>
      <w:r w:rsidRPr="001B40D7">
        <w:rPr>
          <w:rFonts w:ascii="Verdana" w:hAnsi="Verdana"/>
          <w:sz w:val="16"/>
          <w:szCs w:val="16"/>
        </w:rPr>
        <w:t>. Sentencia de 28 de febrero de 2003. Serie C No. 98, párr. 147.</w:t>
      </w:r>
    </w:p>
  </w:footnote>
  <w:footnote w:id="11">
    <w:p w14:paraId="7AB41512" w14:textId="6E23E37A" w:rsidR="00E3625F" w:rsidRPr="001B40D7" w:rsidRDefault="00E3625F" w:rsidP="001B40D7">
      <w:pPr>
        <w:pStyle w:val="Textonotapie"/>
        <w:spacing w:after="120"/>
        <w:jc w:val="both"/>
        <w:rPr>
          <w:rFonts w:ascii="Verdana" w:hAnsi="Verdana"/>
          <w:sz w:val="16"/>
          <w:szCs w:val="16"/>
          <w:lang w:val="es-DO"/>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00274303">
        <w:rPr>
          <w:rFonts w:ascii="Verdana" w:hAnsi="Verdana"/>
          <w:i/>
          <w:iCs/>
          <w:sz w:val="16"/>
          <w:szCs w:val="16"/>
        </w:rPr>
        <w:t xml:space="preserve">Cfr. </w:t>
      </w:r>
      <w:r w:rsidRPr="001B40D7">
        <w:rPr>
          <w:rFonts w:ascii="Verdana" w:hAnsi="Verdana"/>
          <w:i/>
          <w:iCs/>
          <w:sz w:val="16"/>
          <w:szCs w:val="16"/>
        </w:rPr>
        <w:t>Caso “Cinco Pensionistas” Vs. Perú. Fondo, Reparaciones y Costas</w:t>
      </w:r>
      <w:r w:rsidRPr="001B40D7">
        <w:rPr>
          <w:rFonts w:ascii="Verdana" w:hAnsi="Verdana"/>
          <w:sz w:val="16"/>
          <w:szCs w:val="16"/>
        </w:rPr>
        <w:t xml:space="preserve">. Sentencia de 28 de febrero de 2003. Serie C, núm. 98, párr. 148 y puntos resolutivos 1, 2 y 3. </w:t>
      </w:r>
    </w:p>
  </w:footnote>
  <w:footnote w:id="12">
    <w:p w14:paraId="4E6D281C" w14:textId="6B4C3EF7" w:rsidR="00F97DB6" w:rsidRPr="001B40D7" w:rsidRDefault="00F97DB6" w:rsidP="001B40D7">
      <w:pPr>
        <w:pStyle w:val="Textonotapie"/>
        <w:spacing w:after="120"/>
        <w:jc w:val="both"/>
        <w:rPr>
          <w:rFonts w:ascii="Verdana" w:hAnsi="Verdana"/>
          <w:sz w:val="16"/>
          <w:szCs w:val="16"/>
          <w:lang w:val="es-CR"/>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lang w:val="es-CR"/>
        </w:rPr>
        <w:tab/>
      </w:r>
      <w:r w:rsidR="00274303">
        <w:rPr>
          <w:rFonts w:ascii="Verdana" w:hAnsi="Verdana"/>
          <w:i/>
          <w:iCs/>
          <w:sz w:val="16"/>
          <w:szCs w:val="16"/>
        </w:rPr>
        <w:t xml:space="preserve">Cfr. </w:t>
      </w:r>
      <w:r w:rsidRPr="001B40D7">
        <w:rPr>
          <w:rFonts w:ascii="Verdana" w:hAnsi="Verdana"/>
          <w:i/>
          <w:sz w:val="16"/>
          <w:szCs w:val="16"/>
          <w:lang w:val="es-CR"/>
        </w:rPr>
        <w:t>Caso Acevedo Buendía y otros (“Cesantes y Jubilados de la Contraloría”) Vs. Perú</w:t>
      </w:r>
      <w:r w:rsidRPr="001B40D7">
        <w:rPr>
          <w:rFonts w:ascii="Verdana" w:hAnsi="Verdana"/>
          <w:sz w:val="16"/>
          <w:szCs w:val="16"/>
          <w:lang w:val="es-CR"/>
        </w:rPr>
        <w:t>. Excepción Preliminar, Fondo, Reparaciones y Costas. Sentencia de 1 de julio de 2009. Serie C No. 198.</w:t>
      </w:r>
    </w:p>
  </w:footnote>
  <w:footnote w:id="13">
    <w:p w14:paraId="1EDE410E" w14:textId="56F67973" w:rsidR="00E3625F" w:rsidRPr="001B40D7" w:rsidRDefault="00E3625F" w:rsidP="001B40D7">
      <w:pPr>
        <w:pStyle w:val="Textonotapie"/>
        <w:spacing w:after="120"/>
        <w:jc w:val="both"/>
        <w:rPr>
          <w:rFonts w:ascii="Verdana" w:hAnsi="Verdana"/>
          <w:sz w:val="16"/>
          <w:szCs w:val="16"/>
          <w:lang w:val="es-DO"/>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sz w:val="16"/>
          <w:szCs w:val="16"/>
          <w:lang w:val="es-ES"/>
        </w:rPr>
        <w:t>Caso Acevedo Buendía y Otros (“Cesantes y Jubilados de la Contraloría”) Vs. Perú. Excepciones Preliminares, Fondo, Reparaciones y Costas</w:t>
      </w:r>
      <w:r w:rsidRPr="001B40D7">
        <w:rPr>
          <w:rFonts w:ascii="Verdana" w:hAnsi="Verdana"/>
          <w:sz w:val="16"/>
          <w:szCs w:val="16"/>
          <w:lang w:val="es-ES"/>
        </w:rPr>
        <w:t xml:space="preserve">. Sentencia de 1 de julio de 2009. Serie C No. 198, párr. 102-103. </w:t>
      </w:r>
    </w:p>
  </w:footnote>
  <w:footnote w:id="14">
    <w:p w14:paraId="243A9F3E" w14:textId="3DF40F29" w:rsidR="00E3625F" w:rsidRPr="001B40D7" w:rsidRDefault="00E3625F" w:rsidP="001B40D7">
      <w:pPr>
        <w:pStyle w:val="Textonotapie"/>
        <w:spacing w:after="120"/>
        <w:jc w:val="both"/>
        <w:rPr>
          <w:rFonts w:ascii="Verdana" w:hAnsi="Verdana"/>
          <w:sz w:val="16"/>
          <w:szCs w:val="16"/>
          <w:lang w:val="es-DO"/>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00274303">
        <w:rPr>
          <w:rFonts w:ascii="Verdana" w:hAnsi="Verdana"/>
          <w:i/>
          <w:iCs/>
          <w:sz w:val="16"/>
          <w:szCs w:val="16"/>
        </w:rPr>
        <w:t xml:space="preserve">Cfr. </w:t>
      </w:r>
      <w:r w:rsidRPr="001B40D7">
        <w:rPr>
          <w:rFonts w:ascii="Verdana" w:hAnsi="Verdana"/>
          <w:i/>
          <w:sz w:val="16"/>
          <w:szCs w:val="16"/>
          <w:lang w:val="es-ES"/>
        </w:rPr>
        <w:t>Caso Acevedo Buendía y Otros (“Cesantes y Jubilados de la Contraloría”) Vs. Perú. Excepciones Preliminares, Fondo, Reparaciones y Costas</w:t>
      </w:r>
      <w:r w:rsidRPr="001B40D7">
        <w:rPr>
          <w:rFonts w:ascii="Verdana" w:hAnsi="Verdana"/>
          <w:sz w:val="16"/>
          <w:szCs w:val="16"/>
          <w:lang w:val="es-ES"/>
        </w:rPr>
        <w:t>. Sentencia de 1 de julio de 2009. Serie C No. 198, p</w:t>
      </w:r>
      <w:r w:rsidRPr="001B40D7">
        <w:rPr>
          <w:rFonts w:ascii="Verdana" w:hAnsi="Verdana"/>
          <w:sz w:val="16"/>
          <w:szCs w:val="16"/>
          <w:lang w:val="es-DO"/>
        </w:rPr>
        <w:t xml:space="preserve">untos resolutivos 2 y 3. </w:t>
      </w:r>
    </w:p>
  </w:footnote>
  <w:footnote w:id="15">
    <w:p w14:paraId="04FF622D" w14:textId="489E1DA6" w:rsidR="003C1AC2" w:rsidRPr="001B40D7" w:rsidRDefault="003C1AC2" w:rsidP="001B40D7">
      <w:pPr>
        <w:pStyle w:val="Textonotapie"/>
        <w:spacing w:after="120"/>
        <w:jc w:val="both"/>
        <w:rPr>
          <w:rFonts w:ascii="Verdana" w:hAnsi="Verdana"/>
          <w:sz w:val="16"/>
          <w:szCs w:val="16"/>
          <w:lang w:val="es-CR"/>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00274303">
        <w:rPr>
          <w:rFonts w:ascii="Verdana" w:hAnsi="Verdana"/>
          <w:i/>
          <w:iCs/>
          <w:sz w:val="16"/>
          <w:szCs w:val="16"/>
        </w:rPr>
        <w:t xml:space="preserve">Cfr. </w:t>
      </w:r>
      <w:r w:rsidRPr="001B40D7">
        <w:rPr>
          <w:rFonts w:ascii="Verdana" w:hAnsi="Verdana"/>
          <w:i/>
          <w:sz w:val="16"/>
          <w:szCs w:val="16"/>
        </w:rPr>
        <w:t>Caso Suárez Peralta Vs. Ecuador. Excepciones preliminares, Fondo, Reparaciones y Costas.</w:t>
      </w:r>
      <w:r w:rsidRPr="001B40D7">
        <w:rPr>
          <w:rFonts w:ascii="Verdana" w:hAnsi="Verdana"/>
          <w:sz w:val="16"/>
          <w:szCs w:val="16"/>
        </w:rPr>
        <w:t xml:space="preserve"> Sentencia de 21 de mayo de 2013. Serie C No. 261</w:t>
      </w:r>
    </w:p>
  </w:footnote>
  <w:footnote w:id="16">
    <w:p w14:paraId="3EFF2A19" w14:textId="74BEDB49"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sz w:val="16"/>
          <w:szCs w:val="16"/>
        </w:rPr>
        <w:t>Caso Suárez Peralta Vs. Ecuador. Excepciones preliminares, Fondo, Reparaciones y Costas.</w:t>
      </w:r>
      <w:r w:rsidRPr="001B40D7">
        <w:rPr>
          <w:rFonts w:ascii="Verdana" w:hAnsi="Verdana"/>
          <w:sz w:val="16"/>
          <w:szCs w:val="16"/>
        </w:rPr>
        <w:t xml:space="preserve"> Sentencia de 21 de mayo de 2013. Serie C No. 261, párr. 131. </w:t>
      </w:r>
    </w:p>
  </w:footnote>
  <w:footnote w:id="17">
    <w:p w14:paraId="77FE1F4D" w14:textId="414F5FB1"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i/>
          <w:sz w:val="16"/>
          <w:szCs w:val="16"/>
        </w:rPr>
        <w:tab/>
        <w:t xml:space="preserve">Cfr. Caso Canales Huapaya y Otros Vs. Perú. Excepciones preliminares, Fondo, Reparaciones y Costas. Sentencia de 24 de junio de 2015. Serie C No. 296, y Caso Gonzales </w:t>
      </w:r>
      <w:proofErr w:type="spellStart"/>
      <w:r w:rsidRPr="001B40D7">
        <w:rPr>
          <w:rFonts w:ascii="Verdana" w:hAnsi="Verdana"/>
          <w:i/>
          <w:sz w:val="16"/>
          <w:szCs w:val="16"/>
        </w:rPr>
        <w:t>Lluy</w:t>
      </w:r>
      <w:proofErr w:type="spellEnd"/>
      <w:r w:rsidRPr="001B40D7">
        <w:rPr>
          <w:rFonts w:ascii="Verdana" w:hAnsi="Verdana"/>
          <w:i/>
          <w:sz w:val="16"/>
          <w:szCs w:val="16"/>
        </w:rPr>
        <w:t xml:space="preserve"> y Otros Vs. Ecuador. Excepciones preliminares, Fondo, Reparaciones y Costas.</w:t>
      </w:r>
      <w:r w:rsidRPr="001B40D7">
        <w:rPr>
          <w:rFonts w:ascii="Verdana" w:hAnsi="Verdana"/>
          <w:sz w:val="16"/>
          <w:szCs w:val="16"/>
        </w:rPr>
        <w:t xml:space="preserve"> Sentencia de 1 de septiembre de 2015. Serie C No. 298. </w:t>
      </w:r>
    </w:p>
  </w:footnote>
  <w:footnote w:id="18">
    <w:p w14:paraId="189D10AB" w14:textId="62DB010A" w:rsidR="0053002B" w:rsidRPr="001B40D7" w:rsidRDefault="0053002B"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sz w:val="16"/>
          <w:szCs w:val="16"/>
        </w:rPr>
        <w:t>Cfr. Caso Lagos del Campo Vs. Perú. Excepciones Preliminares, Fondo, Reparaciones y Costas</w:t>
      </w:r>
      <w:r w:rsidRPr="001B40D7">
        <w:rPr>
          <w:rFonts w:ascii="Verdana" w:hAnsi="Verdana"/>
          <w:sz w:val="16"/>
          <w:szCs w:val="16"/>
        </w:rPr>
        <w:t>. Sentencia de 31 de agosto de 2017. Serie C No. 340.</w:t>
      </w:r>
    </w:p>
  </w:footnote>
  <w:footnote w:id="19">
    <w:p w14:paraId="53F83CD6" w14:textId="77777777"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sz w:val="16"/>
          <w:szCs w:val="16"/>
        </w:rPr>
        <w:t xml:space="preserve">Cfr. Caso Trabajadores Cesados de Petroperú y Otros Vs. Perú. Excepciones Preliminares, Fondo, Reparaciones y Costas. </w:t>
      </w:r>
      <w:r w:rsidRPr="001B40D7">
        <w:rPr>
          <w:rFonts w:ascii="Verdana" w:hAnsi="Verdana"/>
          <w:sz w:val="16"/>
          <w:szCs w:val="16"/>
        </w:rPr>
        <w:t>Sentencia de 23 de noviembre de 2017. Serie C No. 344.</w:t>
      </w:r>
    </w:p>
  </w:footnote>
  <w:footnote w:id="20">
    <w:p w14:paraId="7542D088" w14:textId="77777777"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sz w:val="16"/>
          <w:szCs w:val="16"/>
        </w:rPr>
        <w:t>Cfr</w:t>
      </w:r>
      <w:r w:rsidRPr="00BC4B03">
        <w:rPr>
          <w:rFonts w:ascii="Verdana" w:hAnsi="Verdana"/>
          <w:i/>
          <w:sz w:val="16"/>
          <w:szCs w:val="16"/>
        </w:rPr>
        <w:t>.</w:t>
      </w:r>
      <w:r w:rsidRPr="00BC4B03">
        <w:rPr>
          <w:rStyle w:val="Textoennegrita"/>
          <w:rFonts w:ascii="Verdana" w:hAnsi="Verdana"/>
          <w:b w:val="0"/>
          <w:i/>
          <w:color w:val="000000"/>
          <w:sz w:val="16"/>
          <w:szCs w:val="16"/>
        </w:rPr>
        <w:t xml:space="preserve"> Caso</w:t>
      </w:r>
      <w:r w:rsidRPr="00BC4B03">
        <w:rPr>
          <w:rStyle w:val="Textoennegrita"/>
          <w:rFonts w:ascii="Verdana" w:hAnsi="Verdana"/>
          <w:b w:val="0"/>
          <w:color w:val="000000"/>
          <w:sz w:val="16"/>
          <w:szCs w:val="16"/>
        </w:rPr>
        <w:t xml:space="preserve"> </w:t>
      </w:r>
      <w:r w:rsidRPr="00BC4B03">
        <w:rPr>
          <w:rStyle w:val="Textoennegrita"/>
          <w:rFonts w:ascii="Verdana" w:hAnsi="Verdana"/>
          <w:b w:val="0"/>
          <w:i/>
          <w:color w:val="000000"/>
          <w:sz w:val="16"/>
          <w:szCs w:val="16"/>
        </w:rPr>
        <w:t>San Miguel Sosa y Otras Vs. Venezuela. Fondo, Reparaciones y Costas</w:t>
      </w:r>
      <w:r w:rsidRPr="00BC4B03">
        <w:rPr>
          <w:rStyle w:val="Textoennegrita"/>
          <w:rFonts w:ascii="Verdana" w:hAnsi="Verdana"/>
          <w:b w:val="0"/>
          <w:color w:val="000000"/>
          <w:sz w:val="16"/>
          <w:szCs w:val="16"/>
        </w:rPr>
        <w:t>. Sentencia de 8 de febrero de 2018. Serie C No. 348.</w:t>
      </w:r>
    </w:p>
  </w:footnote>
  <w:footnote w:id="21">
    <w:p w14:paraId="1187D09A" w14:textId="2FB2BBD2"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BC4B03">
        <w:rPr>
          <w:rFonts w:ascii="Verdana" w:hAnsi="Verdana"/>
          <w:i/>
          <w:sz w:val="16"/>
          <w:szCs w:val="16"/>
        </w:rPr>
        <w:t>Cfr.</w:t>
      </w:r>
      <w:r w:rsidRPr="00BC4B03">
        <w:rPr>
          <w:rFonts w:ascii="Verdana" w:hAnsi="Verdana"/>
          <w:sz w:val="16"/>
          <w:szCs w:val="16"/>
        </w:rPr>
        <w:t xml:space="preserve"> </w:t>
      </w:r>
      <w:r w:rsidRPr="00BC4B03">
        <w:rPr>
          <w:rStyle w:val="Textoennegrita"/>
          <w:rFonts w:ascii="Verdana" w:hAnsi="Verdana"/>
          <w:b w:val="0"/>
          <w:i/>
          <w:color w:val="000000"/>
          <w:sz w:val="16"/>
          <w:szCs w:val="16"/>
        </w:rPr>
        <w:t>Caso Poblete Vilches y Otros Vs. Chile. Fondo, Reparaciones y Costas.</w:t>
      </w:r>
      <w:r w:rsidRPr="00BC4B03">
        <w:rPr>
          <w:rStyle w:val="Textoennegrita"/>
          <w:rFonts w:ascii="Verdana" w:hAnsi="Verdana"/>
          <w:b w:val="0"/>
          <w:color w:val="000000"/>
          <w:sz w:val="16"/>
          <w:szCs w:val="16"/>
        </w:rPr>
        <w:t xml:space="preserve"> Sentencia de 8 de marzo de 2018. Serie C No. 349.</w:t>
      </w:r>
    </w:p>
  </w:footnote>
  <w:footnote w:id="22">
    <w:p w14:paraId="75411E35" w14:textId="54D2EDCB"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sz w:val="16"/>
          <w:szCs w:val="16"/>
        </w:rPr>
        <w:t>Cfr.</w:t>
      </w:r>
      <w:r w:rsidRPr="00BC4B03">
        <w:rPr>
          <w:rStyle w:val="Textoennegrita"/>
          <w:rFonts w:ascii="Verdana" w:hAnsi="Verdana"/>
          <w:b w:val="0"/>
          <w:color w:val="000000"/>
          <w:sz w:val="16"/>
          <w:szCs w:val="16"/>
        </w:rPr>
        <w:t xml:space="preserve"> </w:t>
      </w:r>
      <w:r w:rsidRPr="00BC4B03">
        <w:rPr>
          <w:rStyle w:val="Textoennegrita"/>
          <w:rFonts w:ascii="Verdana" w:hAnsi="Verdana"/>
          <w:b w:val="0"/>
          <w:i/>
          <w:color w:val="000000"/>
          <w:sz w:val="16"/>
          <w:szCs w:val="16"/>
        </w:rPr>
        <w:t xml:space="preserve">Caso </w:t>
      </w:r>
      <w:proofErr w:type="spellStart"/>
      <w:r w:rsidRPr="00BC4B03">
        <w:rPr>
          <w:rStyle w:val="Textoennegrita"/>
          <w:rFonts w:ascii="Verdana" w:hAnsi="Verdana"/>
          <w:b w:val="0"/>
          <w:i/>
          <w:color w:val="000000"/>
          <w:sz w:val="16"/>
          <w:szCs w:val="16"/>
        </w:rPr>
        <w:t>Cuscul</w:t>
      </w:r>
      <w:proofErr w:type="spellEnd"/>
      <w:r w:rsidRPr="00BC4B03">
        <w:rPr>
          <w:rStyle w:val="Textoennegrita"/>
          <w:rFonts w:ascii="Verdana" w:hAnsi="Verdana"/>
          <w:b w:val="0"/>
          <w:i/>
          <w:color w:val="000000"/>
          <w:sz w:val="16"/>
          <w:szCs w:val="16"/>
        </w:rPr>
        <w:t xml:space="preserve"> Pivaral y Otros Vs. Guatemala. Excepción Preliminar, Fondo, Reparaciones y Costas. </w:t>
      </w:r>
      <w:r w:rsidRPr="00BC4B03">
        <w:rPr>
          <w:rStyle w:val="Textoennegrita"/>
          <w:rFonts w:ascii="Verdana" w:hAnsi="Verdana"/>
          <w:b w:val="0"/>
          <w:color w:val="000000"/>
          <w:sz w:val="16"/>
          <w:szCs w:val="16"/>
        </w:rPr>
        <w:t>Sentencia de 23 de agosto</w:t>
      </w:r>
      <w:r w:rsidRPr="00BC4B03">
        <w:rPr>
          <w:rStyle w:val="Textoennegrita"/>
          <w:rFonts w:ascii="Verdana" w:hAnsi="Verdana"/>
          <w:color w:val="000000"/>
          <w:sz w:val="16"/>
          <w:szCs w:val="16"/>
        </w:rPr>
        <w:t xml:space="preserve"> </w:t>
      </w:r>
      <w:r w:rsidRPr="00BC4B03">
        <w:rPr>
          <w:rStyle w:val="Textoennegrita"/>
          <w:rFonts w:ascii="Verdana" w:hAnsi="Verdana"/>
          <w:b w:val="0"/>
          <w:color w:val="000000"/>
          <w:sz w:val="16"/>
          <w:szCs w:val="16"/>
        </w:rPr>
        <w:t>de 2018. Serie C No. 359</w:t>
      </w:r>
    </w:p>
  </w:footnote>
  <w:footnote w:id="23">
    <w:p w14:paraId="0635F420" w14:textId="19AB6AAF"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sz w:val="16"/>
          <w:szCs w:val="16"/>
        </w:rPr>
        <w:t xml:space="preserve">Cfr. </w:t>
      </w:r>
      <w:r w:rsidRPr="00BC4B03">
        <w:rPr>
          <w:rStyle w:val="Textoennegrita"/>
          <w:rFonts w:ascii="Verdana" w:hAnsi="Verdana"/>
          <w:b w:val="0"/>
          <w:i/>
          <w:color w:val="000000"/>
          <w:sz w:val="16"/>
          <w:szCs w:val="16"/>
        </w:rPr>
        <w:t>Caso Muelle Flores Vs. Perú. Excepciones Preliminares, Fondo, Reparaciones y Costas.</w:t>
      </w:r>
      <w:r w:rsidRPr="00BC4B03">
        <w:rPr>
          <w:rStyle w:val="Textoennegrita"/>
          <w:rFonts w:ascii="Verdana" w:hAnsi="Verdana"/>
          <w:b w:val="0"/>
          <w:color w:val="000000"/>
          <w:sz w:val="16"/>
          <w:szCs w:val="16"/>
        </w:rPr>
        <w:t xml:space="preserve"> Sentencia de 6 de marzo de 2019. Serie C No. 375</w:t>
      </w:r>
    </w:p>
  </w:footnote>
  <w:footnote w:id="24">
    <w:p w14:paraId="366AE7B5" w14:textId="74E44038"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sz w:val="16"/>
          <w:szCs w:val="16"/>
        </w:rPr>
        <w:t>Cfr. Caso de la Asociación Nacional de Cesantes y Jubilados de la Superintendencia Nacional de Administración Tributaria (ANCEJUB-SUNAT) Vs. Perú</w:t>
      </w:r>
      <w:r w:rsidRPr="001B40D7">
        <w:rPr>
          <w:rFonts w:ascii="Verdana" w:hAnsi="Verdana"/>
          <w:sz w:val="16"/>
          <w:szCs w:val="16"/>
        </w:rPr>
        <w:t xml:space="preserve">. </w:t>
      </w:r>
      <w:r w:rsidRPr="001B40D7">
        <w:rPr>
          <w:rFonts w:ascii="Verdana" w:hAnsi="Verdana"/>
          <w:i/>
          <w:sz w:val="16"/>
          <w:szCs w:val="16"/>
        </w:rPr>
        <w:t>Excepciones preliminares, Fondo, Reparaciones y Costas</w:t>
      </w:r>
      <w:r w:rsidRPr="001B40D7">
        <w:rPr>
          <w:rFonts w:ascii="Verdana" w:hAnsi="Verdana"/>
          <w:sz w:val="16"/>
          <w:szCs w:val="16"/>
        </w:rPr>
        <w:t>. Sentencia de 21 de noviembre de 2019</w:t>
      </w:r>
      <w:r w:rsidRPr="00BC4B03">
        <w:rPr>
          <w:rFonts w:ascii="Verdana" w:hAnsi="Verdana"/>
          <w:sz w:val="16"/>
          <w:szCs w:val="16"/>
        </w:rPr>
        <w:t xml:space="preserve">. </w:t>
      </w:r>
      <w:r w:rsidRPr="00BC4B03">
        <w:rPr>
          <w:rStyle w:val="Textoennegrita"/>
          <w:rFonts w:ascii="Verdana" w:hAnsi="Verdana"/>
          <w:b w:val="0"/>
          <w:color w:val="000000"/>
          <w:sz w:val="16"/>
          <w:szCs w:val="16"/>
        </w:rPr>
        <w:t xml:space="preserve">Serie C No. </w:t>
      </w:r>
      <w:r w:rsidR="00991BBA" w:rsidRPr="00BC4B03">
        <w:rPr>
          <w:rStyle w:val="Textoennegrita"/>
          <w:rFonts w:ascii="Verdana" w:hAnsi="Verdana"/>
          <w:b w:val="0"/>
          <w:color w:val="000000"/>
          <w:sz w:val="16"/>
          <w:szCs w:val="16"/>
        </w:rPr>
        <w:t>394</w:t>
      </w:r>
      <w:r w:rsidRPr="00BC4B03">
        <w:rPr>
          <w:rStyle w:val="Textoennegrita"/>
          <w:rFonts w:ascii="Verdana" w:hAnsi="Verdana"/>
          <w:b w:val="0"/>
          <w:color w:val="000000"/>
          <w:sz w:val="16"/>
          <w:szCs w:val="16"/>
        </w:rPr>
        <w:t>.</w:t>
      </w:r>
    </w:p>
  </w:footnote>
  <w:footnote w:id="25">
    <w:p w14:paraId="21027DBB" w14:textId="31717FB6" w:rsidR="00E3625F" w:rsidRPr="001B40D7" w:rsidRDefault="00E3625F" w:rsidP="001B40D7">
      <w:pPr>
        <w:pStyle w:val="Textonotapie"/>
        <w:spacing w:after="120"/>
        <w:jc w:val="both"/>
        <w:rPr>
          <w:rFonts w:ascii="Verdana" w:hAnsi="Verdana"/>
          <w:sz w:val="16"/>
          <w:szCs w:val="16"/>
          <w:lang w:val="es-PE"/>
        </w:rPr>
      </w:pPr>
      <w:r w:rsidRPr="001B40D7">
        <w:rPr>
          <w:rStyle w:val="Refdenotaalpie"/>
          <w:rFonts w:ascii="Verdana" w:hAnsi="Verdana"/>
          <w:sz w:val="16"/>
          <w:szCs w:val="16"/>
        </w:rPr>
        <w:footnoteRef/>
      </w:r>
      <w:r w:rsidRPr="001B40D7">
        <w:rPr>
          <w:rFonts w:ascii="Verdana" w:hAnsi="Verdana"/>
          <w:sz w:val="16"/>
          <w:szCs w:val="16"/>
          <w:lang w:val="es-PE"/>
        </w:rPr>
        <w:t xml:space="preserve"> </w:t>
      </w:r>
      <w:r w:rsidRPr="001B40D7">
        <w:rPr>
          <w:rFonts w:ascii="Verdana" w:hAnsi="Verdana"/>
          <w:sz w:val="16"/>
          <w:szCs w:val="16"/>
          <w:lang w:val="es-PE"/>
        </w:rPr>
        <w:tab/>
      </w:r>
      <w:r w:rsidRPr="00BC4B03">
        <w:rPr>
          <w:rStyle w:val="Textoennegrita"/>
          <w:rFonts w:ascii="Verdana" w:hAnsi="Verdana"/>
          <w:b w:val="0"/>
          <w:i/>
          <w:color w:val="000000"/>
          <w:sz w:val="16"/>
          <w:szCs w:val="16"/>
        </w:rPr>
        <w:t>Caso Poblete Vilches y Otros Vs. Chile. Fondo, Reparaciones y Costas.</w:t>
      </w:r>
      <w:r w:rsidRPr="00BC4B03">
        <w:rPr>
          <w:rStyle w:val="Textoennegrita"/>
          <w:rFonts w:ascii="Verdana" w:hAnsi="Verdana"/>
          <w:b w:val="0"/>
          <w:color w:val="000000"/>
          <w:sz w:val="16"/>
          <w:szCs w:val="16"/>
        </w:rPr>
        <w:t xml:space="preserve"> Sentencia de 8 de marzo de 2018. Serie C No. 349, párr. 103.</w:t>
      </w:r>
      <w:r w:rsidRPr="001B40D7">
        <w:rPr>
          <w:rStyle w:val="Textoennegrita"/>
          <w:rFonts w:ascii="Verdana" w:hAnsi="Verdana"/>
          <w:b w:val="0"/>
          <w:color w:val="000000"/>
          <w:sz w:val="16"/>
          <w:szCs w:val="16"/>
          <w:shd w:val="clear" w:color="auto" w:fill="FFFFFF"/>
        </w:rPr>
        <w:t xml:space="preserve"> </w:t>
      </w:r>
    </w:p>
  </w:footnote>
  <w:footnote w:id="26">
    <w:p w14:paraId="1C7A61E8" w14:textId="4816D225"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BC4B03">
        <w:rPr>
          <w:rStyle w:val="Textoennegrita"/>
          <w:rFonts w:ascii="Verdana" w:hAnsi="Verdana"/>
          <w:b w:val="0"/>
          <w:color w:val="000000"/>
          <w:sz w:val="16"/>
          <w:szCs w:val="16"/>
        </w:rPr>
        <w:t xml:space="preserve"> </w:t>
      </w:r>
      <w:r w:rsidRPr="00BC4B03">
        <w:rPr>
          <w:rStyle w:val="Textoennegrita"/>
          <w:rFonts w:ascii="Verdana" w:hAnsi="Verdana"/>
          <w:b w:val="0"/>
          <w:i/>
          <w:color w:val="000000"/>
          <w:sz w:val="16"/>
          <w:szCs w:val="16"/>
        </w:rPr>
        <w:t xml:space="preserve">Caso </w:t>
      </w:r>
      <w:proofErr w:type="spellStart"/>
      <w:r w:rsidRPr="00BC4B03">
        <w:rPr>
          <w:rStyle w:val="Textoennegrita"/>
          <w:rFonts w:ascii="Verdana" w:hAnsi="Verdana"/>
          <w:b w:val="0"/>
          <w:i/>
          <w:color w:val="000000"/>
          <w:sz w:val="16"/>
          <w:szCs w:val="16"/>
        </w:rPr>
        <w:t>Cuscul</w:t>
      </w:r>
      <w:proofErr w:type="spellEnd"/>
      <w:r w:rsidRPr="00BC4B03">
        <w:rPr>
          <w:rStyle w:val="Textoennegrita"/>
          <w:rFonts w:ascii="Verdana" w:hAnsi="Verdana"/>
          <w:b w:val="0"/>
          <w:i/>
          <w:color w:val="000000"/>
          <w:sz w:val="16"/>
          <w:szCs w:val="16"/>
        </w:rPr>
        <w:t xml:space="preserve"> Pivaral y Otros Vs. Guatemala. Excepción Preliminar, Fondo, Reparaciones y Costas. </w:t>
      </w:r>
      <w:r w:rsidRPr="00BC4B03">
        <w:rPr>
          <w:rStyle w:val="Textoennegrita"/>
          <w:rFonts w:ascii="Verdana" w:hAnsi="Verdana"/>
          <w:b w:val="0"/>
          <w:color w:val="000000"/>
          <w:sz w:val="16"/>
          <w:szCs w:val="16"/>
        </w:rPr>
        <w:t>Sentencia de 23 de agosto</w:t>
      </w:r>
      <w:r w:rsidRPr="00BC4B03">
        <w:rPr>
          <w:rStyle w:val="Textoennegrita"/>
          <w:rFonts w:ascii="Verdana" w:hAnsi="Verdana"/>
          <w:color w:val="000000"/>
          <w:sz w:val="16"/>
          <w:szCs w:val="16"/>
        </w:rPr>
        <w:t xml:space="preserve"> </w:t>
      </w:r>
      <w:r w:rsidRPr="00BC4B03">
        <w:rPr>
          <w:rStyle w:val="Textoennegrita"/>
          <w:rFonts w:ascii="Verdana" w:hAnsi="Verdana"/>
          <w:b w:val="0"/>
          <w:color w:val="000000"/>
          <w:sz w:val="16"/>
          <w:szCs w:val="16"/>
        </w:rPr>
        <w:t>de 2018. Serie C No. 359, Punto Resolutivo 1.</w:t>
      </w:r>
    </w:p>
  </w:footnote>
  <w:footnote w:id="27">
    <w:p w14:paraId="0A83D409" w14:textId="2E88C3F6" w:rsidR="00E3625F" w:rsidRPr="001B40D7" w:rsidRDefault="00E3625F" w:rsidP="001B40D7">
      <w:pPr>
        <w:pStyle w:val="Textonotapie"/>
        <w:spacing w:after="120"/>
        <w:jc w:val="both"/>
        <w:rPr>
          <w:rFonts w:ascii="Verdana" w:hAnsi="Verdana"/>
          <w:sz w:val="16"/>
          <w:szCs w:val="16"/>
        </w:rPr>
      </w:pPr>
      <w:r w:rsidRPr="001B40D7">
        <w:rPr>
          <w:rStyle w:val="Refdenotaalpie"/>
          <w:rFonts w:ascii="Verdana" w:hAnsi="Verdana"/>
          <w:sz w:val="16"/>
          <w:szCs w:val="16"/>
        </w:rPr>
        <w:footnoteRef/>
      </w:r>
      <w:r w:rsidRPr="001B40D7">
        <w:rPr>
          <w:rFonts w:ascii="Verdana" w:hAnsi="Verdana"/>
          <w:sz w:val="16"/>
          <w:szCs w:val="16"/>
        </w:rPr>
        <w:t xml:space="preserve"> </w:t>
      </w:r>
      <w:r w:rsidRPr="001B40D7">
        <w:rPr>
          <w:rFonts w:ascii="Verdana" w:hAnsi="Verdana"/>
          <w:sz w:val="16"/>
          <w:szCs w:val="16"/>
        </w:rPr>
        <w:tab/>
      </w:r>
      <w:r w:rsidRPr="001B40D7">
        <w:rPr>
          <w:rFonts w:ascii="Verdana" w:hAnsi="Verdana"/>
          <w:i/>
          <w:sz w:val="16"/>
          <w:szCs w:val="16"/>
        </w:rPr>
        <w:t xml:space="preserve"> </w:t>
      </w:r>
      <w:r w:rsidRPr="00BC4B03">
        <w:rPr>
          <w:rStyle w:val="Textoennegrita"/>
          <w:rFonts w:ascii="Verdana" w:hAnsi="Verdana"/>
          <w:b w:val="0"/>
          <w:i/>
          <w:color w:val="000000"/>
          <w:sz w:val="16"/>
          <w:szCs w:val="16"/>
        </w:rPr>
        <w:t>Caso Muelle Flores Vs. Perú. Excepciones Preliminares, Fondo, Reparaciones y Costas.</w:t>
      </w:r>
      <w:r w:rsidRPr="00BC4B03">
        <w:rPr>
          <w:rStyle w:val="Textoennegrita"/>
          <w:rFonts w:ascii="Verdana" w:hAnsi="Verdana"/>
          <w:b w:val="0"/>
          <w:color w:val="000000"/>
          <w:sz w:val="16"/>
          <w:szCs w:val="16"/>
        </w:rPr>
        <w:t xml:space="preserve"> Sentencia de 6 de marzo de 2019. Serie C No. 375, Punto Resolutivo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B53"/>
    <w:multiLevelType w:val="hybridMultilevel"/>
    <w:tmpl w:val="9EDCD13C"/>
    <w:lvl w:ilvl="0" w:tplc="D27ED4C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E45B29"/>
    <w:multiLevelType w:val="hybridMultilevel"/>
    <w:tmpl w:val="ED766362"/>
    <w:lvl w:ilvl="0" w:tplc="FD24D5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03ED1"/>
    <w:multiLevelType w:val="hybridMultilevel"/>
    <w:tmpl w:val="6D44551C"/>
    <w:lvl w:ilvl="0" w:tplc="46E2C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A6D7C"/>
    <w:multiLevelType w:val="hybridMultilevel"/>
    <w:tmpl w:val="108060D0"/>
    <w:lvl w:ilvl="0" w:tplc="3D2C4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7656C"/>
    <w:multiLevelType w:val="hybridMultilevel"/>
    <w:tmpl w:val="10AE620E"/>
    <w:lvl w:ilvl="0" w:tplc="3BD24E3A">
      <w:start w:val="1"/>
      <w:numFmt w:val="decimal"/>
      <w:pStyle w:val="Ttulo3"/>
      <w:lvlText w:val="A.%1."/>
      <w:lvlJc w:val="left"/>
      <w:pPr>
        <w:ind w:left="1353" w:hanging="360"/>
      </w:pPr>
      <w:rPr>
        <w:b/>
        <w:i w:val="0"/>
      </w:rPr>
    </w:lvl>
    <w:lvl w:ilvl="1" w:tplc="B1BE33EE">
      <w:start w:val="1"/>
      <w:numFmt w:val="lowerRoman"/>
      <w:lvlText w:val="%2."/>
      <w:lvlJc w:val="left"/>
      <w:pPr>
        <w:ind w:left="786" w:hanging="360"/>
      </w:pPr>
      <w:rPr>
        <w:rFonts w:ascii="Verdana" w:eastAsia="Batang" w:hAnsi="Verdana" w:cstheme="minorBidi"/>
      </w:rPr>
    </w:lvl>
    <w:lvl w:ilvl="2" w:tplc="0409001B">
      <w:start w:val="1"/>
      <w:numFmt w:val="lowerRoman"/>
      <w:lvlText w:val="%3."/>
      <w:lvlJc w:val="right"/>
      <w:pPr>
        <w:ind w:left="1876" w:hanging="180"/>
      </w:pPr>
    </w:lvl>
    <w:lvl w:ilvl="3" w:tplc="B50ACB34">
      <w:start w:val="1"/>
      <w:numFmt w:val="decimal"/>
      <w:lvlText w:val="%4."/>
      <w:lvlJc w:val="left"/>
      <w:pPr>
        <w:ind w:left="2596" w:hanging="360"/>
      </w:pPr>
      <w:rPr>
        <w:rFonts w:ascii="Verdana" w:hAnsi="Verdana" w:hint="default"/>
        <w:i w:val="0"/>
        <w:sz w:val="20"/>
        <w:szCs w:val="20"/>
      </w:r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5" w15:restartNumberingAfterBreak="0">
    <w:nsid w:val="45842B23"/>
    <w:multiLevelType w:val="hybridMultilevel"/>
    <w:tmpl w:val="D2A22D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ED516C1"/>
    <w:multiLevelType w:val="hybridMultilevel"/>
    <w:tmpl w:val="88D2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3373A"/>
    <w:multiLevelType w:val="hybridMultilevel"/>
    <w:tmpl w:val="62C6CC2A"/>
    <w:lvl w:ilvl="0" w:tplc="13A63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C045C"/>
    <w:multiLevelType w:val="hybridMultilevel"/>
    <w:tmpl w:val="EE689438"/>
    <w:lvl w:ilvl="0" w:tplc="8E4224E8">
      <w:start w:val="1"/>
      <w:numFmt w:val="decimal"/>
      <w:pStyle w:val="Ttulo4"/>
      <w:lvlText w:val="A.2.%1."/>
      <w:lvlJc w:val="left"/>
      <w:pPr>
        <w:ind w:left="1068" w:hanging="360"/>
      </w:pPr>
      <w:rPr>
        <w:b/>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79354707"/>
    <w:multiLevelType w:val="hybridMultilevel"/>
    <w:tmpl w:val="DEFACD16"/>
    <w:lvl w:ilvl="0" w:tplc="98A461BC">
      <w:start w:val="1"/>
      <w:numFmt w:val="decimal"/>
      <w:lvlText w:val="%1."/>
      <w:lvlJc w:val="left"/>
      <w:pPr>
        <w:ind w:left="967" w:hanging="825"/>
      </w:pPr>
      <w:rPr>
        <w:rFonts w:ascii="Verdana" w:eastAsia="Verdana" w:hAnsi="Verdana" w:cs="Verdana" w:hint="default"/>
        <w:b w:val="0"/>
        <w:i w:val="0"/>
        <w:strike w:val="0"/>
        <w:dstrike w:val="0"/>
        <w:color w:val="auto"/>
        <w:sz w:val="20"/>
        <w:szCs w:val="20"/>
        <w:u w:val="none"/>
        <w:effect w:val="none"/>
        <w:lang w:val="es-MX"/>
      </w:rPr>
    </w:lvl>
    <w:lvl w:ilvl="1" w:tplc="140A001B">
      <w:start w:val="1"/>
      <w:numFmt w:val="lowerRoman"/>
      <w:lvlText w:val="%2."/>
      <w:lvlJc w:val="right"/>
      <w:pPr>
        <w:ind w:left="1440" w:hanging="360"/>
      </w:pPr>
    </w:lvl>
    <w:lvl w:ilvl="2" w:tplc="811CA528">
      <w:start w:val="1"/>
      <w:numFmt w:val="lowerRoman"/>
      <w:lvlText w:val="%3."/>
      <w:lvlJc w:val="right"/>
      <w:pPr>
        <w:ind w:left="1031" w:hanging="180"/>
      </w:pPr>
      <w:rPr>
        <w:rFonts w:ascii="Verdana" w:eastAsia="Batang" w:hAnsi="Verdana" w:cstheme="minorBidi"/>
        <w:i w:val="0"/>
      </w:rPr>
    </w:lvl>
    <w:lvl w:ilvl="3" w:tplc="664CD6A6">
      <w:start w:val="1"/>
      <w:numFmt w:val="decimal"/>
      <w:lvlText w:val="D.7.%4."/>
      <w:lvlJc w:val="left"/>
      <w:pPr>
        <w:ind w:left="2880" w:hanging="360"/>
      </w:pPr>
      <w:rPr>
        <w:lang w:val="es-AR"/>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5B9ABF92">
      <w:start w:val="1"/>
      <w:numFmt w:val="decimal"/>
      <w:lvlText w:val="A.%7."/>
      <w:lvlJc w:val="left"/>
      <w:pPr>
        <w:ind w:left="1778" w:hanging="360"/>
      </w:pPr>
      <w:rPr>
        <w:b w:val="0"/>
        <w:i/>
      </w:r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7EEC7C62"/>
    <w:multiLevelType w:val="hybridMultilevel"/>
    <w:tmpl w:val="60A4FA8A"/>
    <w:lvl w:ilvl="0" w:tplc="3F6A2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12501"/>
    <w:multiLevelType w:val="hybridMultilevel"/>
    <w:tmpl w:val="134818CC"/>
    <w:lvl w:ilvl="0" w:tplc="6E74B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3"/>
  </w:num>
  <w:num w:numId="5">
    <w:abstractNumId w:val="1"/>
  </w:num>
  <w:num w:numId="6">
    <w:abstractNumId w:val="0"/>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58"/>
    <w:rsid w:val="00001CE8"/>
    <w:rsid w:val="00014619"/>
    <w:rsid w:val="000269A5"/>
    <w:rsid w:val="0003200D"/>
    <w:rsid w:val="000356CE"/>
    <w:rsid w:val="0004368A"/>
    <w:rsid w:val="000436F9"/>
    <w:rsid w:val="00052D5B"/>
    <w:rsid w:val="00105E73"/>
    <w:rsid w:val="0012263C"/>
    <w:rsid w:val="001242FA"/>
    <w:rsid w:val="00125C37"/>
    <w:rsid w:val="0013684D"/>
    <w:rsid w:val="0016276A"/>
    <w:rsid w:val="0018383A"/>
    <w:rsid w:val="00190FF6"/>
    <w:rsid w:val="00194480"/>
    <w:rsid w:val="0019672E"/>
    <w:rsid w:val="001B28EE"/>
    <w:rsid w:val="001B40D7"/>
    <w:rsid w:val="001D3F66"/>
    <w:rsid w:val="001D4184"/>
    <w:rsid w:val="001D5326"/>
    <w:rsid w:val="001E1BF3"/>
    <w:rsid w:val="001E2484"/>
    <w:rsid w:val="0020738A"/>
    <w:rsid w:val="00236DF6"/>
    <w:rsid w:val="00262DEA"/>
    <w:rsid w:val="00274303"/>
    <w:rsid w:val="002752A5"/>
    <w:rsid w:val="002A3645"/>
    <w:rsid w:val="002A5B73"/>
    <w:rsid w:val="002B782B"/>
    <w:rsid w:val="002D0495"/>
    <w:rsid w:val="002D5B1D"/>
    <w:rsid w:val="0030423B"/>
    <w:rsid w:val="0032143B"/>
    <w:rsid w:val="00347703"/>
    <w:rsid w:val="0037172A"/>
    <w:rsid w:val="003860A5"/>
    <w:rsid w:val="0039651F"/>
    <w:rsid w:val="003C1AC2"/>
    <w:rsid w:val="003C7980"/>
    <w:rsid w:val="003E7D80"/>
    <w:rsid w:val="00404C95"/>
    <w:rsid w:val="00456F58"/>
    <w:rsid w:val="004607A1"/>
    <w:rsid w:val="004616F9"/>
    <w:rsid w:val="004952BB"/>
    <w:rsid w:val="004A0255"/>
    <w:rsid w:val="004C3466"/>
    <w:rsid w:val="004E06FC"/>
    <w:rsid w:val="00506427"/>
    <w:rsid w:val="0053002B"/>
    <w:rsid w:val="00542060"/>
    <w:rsid w:val="00546A72"/>
    <w:rsid w:val="0057529A"/>
    <w:rsid w:val="005753FC"/>
    <w:rsid w:val="00591028"/>
    <w:rsid w:val="005A6CA0"/>
    <w:rsid w:val="005E4FB3"/>
    <w:rsid w:val="005E58D9"/>
    <w:rsid w:val="005F6ABC"/>
    <w:rsid w:val="006012F8"/>
    <w:rsid w:val="00602297"/>
    <w:rsid w:val="006066E9"/>
    <w:rsid w:val="00635F9E"/>
    <w:rsid w:val="00645341"/>
    <w:rsid w:val="00646352"/>
    <w:rsid w:val="00650BC1"/>
    <w:rsid w:val="006C0BED"/>
    <w:rsid w:val="006E12A7"/>
    <w:rsid w:val="006E5773"/>
    <w:rsid w:val="00700629"/>
    <w:rsid w:val="00727703"/>
    <w:rsid w:val="007338CE"/>
    <w:rsid w:val="007867D3"/>
    <w:rsid w:val="00790D22"/>
    <w:rsid w:val="007961A9"/>
    <w:rsid w:val="007B180D"/>
    <w:rsid w:val="007C79C9"/>
    <w:rsid w:val="007D1F56"/>
    <w:rsid w:val="007D38CF"/>
    <w:rsid w:val="007E23CE"/>
    <w:rsid w:val="00831796"/>
    <w:rsid w:val="00854CCD"/>
    <w:rsid w:val="00871021"/>
    <w:rsid w:val="00887658"/>
    <w:rsid w:val="00891D13"/>
    <w:rsid w:val="00897931"/>
    <w:rsid w:val="008A5B92"/>
    <w:rsid w:val="008B3CCF"/>
    <w:rsid w:val="008B3D38"/>
    <w:rsid w:val="008B4A91"/>
    <w:rsid w:val="008C149B"/>
    <w:rsid w:val="008C1505"/>
    <w:rsid w:val="008C3A4A"/>
    <w:rsid w:val="00923653"/>
    <w:rsid w:val="0094106A"/>
    <w:rsid w:val="00946A19"/>
    <w:rsid w:val="00957A73"/>
    <w:rsid w:val="00991BBA"/>
    <w:rsid w:val="0099451B"/>
    <w:rsid w:val="009D15B7"/>
    <w:rsid w:val="009D1872"/>
    <w:rsid w:val="009D2CFE"/>
    <w:rsid w:val="009D7620"/>
    <w:rsid w:val="00A175D4"/>
    <w:rsid w:val="00A42459"/>
    <w:rsid w:val="00AA04D1"/>
    <w:rsid w:val="00AE416C"/>
    <w:rsid w:val="00AF1B24"/>
    <w:rsid w:val="00B20A8D"/>
    <w:rsid w:val="00B34BE8"/>
    <w:rsid w:val="00B5483C"/>
    <w:rsid w:val="00B6697A"/>
    <w:rsid w:val="00B81C47"/>
    <w:rsid w:val="00B852E5"/>
    <w:rsid w:val="00BC037B"/>
    <w:rsid w:val="00BC4B03"/>
    <w:rsid w:val="00BC65B5"/>
    <w:rsid w:val="00BD07D6"/>
    <w:rsid w:val="00BD26C1"/>
    <w:rsid w:val="00BD2E6A"/>
    <w:rsid w:val="00BD6021"/>
    <w:rsid w:val="00BD77AE"/>
    <w:rsid w:val="00BD7F0A"/>
    <w:rsid w:val="00BF13C7"/>
    <w:rsid w:val="00C000DA"/>
    <w:rsid w:val="00C01A8C"/>
    <w:rsid w:val="00C050E8"/>
    <w:rsid w:val="00C16421"/>
    <w:rsid w:val="00C47587"/>
    <w:rsid w:val="00C7484B"/>
    <w:rsid w:val="00C75EAF"/>
    <w:rsid w:val="00C8675E"/>
    <w:rsid w:val="00CA4FF3"/>
    <w:rsid w:val="00CC2C29"/>
    <w:rsid w:val="00CD7326"/>
    <w:rsid w:val="00CE2B62"/>
    <w:rsid w:val="00CE6578"/>
    <w:rsid w:val="00D303A8"/>
    <w:rsid w:val="00D33D45"/>
    <w:rsid w:val="00DA6D63"/>
    <w:rsid w:val="00DB3688"/>
    <w:rsid w:val="00DB674C"/>
    <w:rsid w:val="00DC7522"/>
    <w:rsid w:val="00DD0CFA"/>
    <w:rsid w:val="00DE35D5"/>
    <w:rsid w:val="00DF40F6"/>
    <w:rsid w:val="00E25D86"/>
    <w:rsid w:val="00E3625F"/>
    <w:rsid w:val="00E502A9"/>
    <w:rsid w:val="00E562B3"/>
    <w:rsid w:val="00E75C7F"/>
    <w:rsid w:val="00E93105"/>
    <w:rsid w:val="00EC0222"/>
    <w:rsid w:val="00EE3CF9"/>
    <w:rsid w:val="00F03906"/>
    <w:rsid w:val="00F15313"/>
    <w:rsid w:val="00F2135A"/>
    <w:rsid w:val="00F52026"/>
    <w:rsid w:val="00F5308E"/>
    <w:rsid w:val="00F719F5"/>
    <w:rsid w:val="00F847AD"/>
    <w:rsid w:val="00F97DB6"/>
    <w:rsid w:val="00FA78AB"/>
    <w:rsid w:val="00FC3FA8"/>
    <w:rsid w:val="00FE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FEFA"/>
  <w15:docId w15:val="{50F01AF2-BDD8-412C-BB18-C23AAFC9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Prrafodelista"/>
    <w:next w:val="Normal"/>
    <w:link w:val="Ttulo3Car"/>
    <w:semiHidden/>
    <w:unhideWhenUsed/>
    <w:qFormat/>
    <w:rsid w:val="001D4184"/>
    <w:pPr>
      <w:numPr>
        <w:numId w:val="8"/>
      </w:numPr>
      <w:tabs>
        <w:tab w:val="num" w:pos="360"/>
        <w:tab w:val="left" w:pos="1276"/>
      </w:tabs>
      <w:spacing w:after="0" w:line="240" w:lineRule="auto"/>
      <w:ind w:left="720" w:firstLine="0"/>
      <w:jc w:val="both"/>
      <w:outlineLvl w:val="2"/>
    </w:pPr>
    <w:rPr>
      <w:rFonts w:ascii="Verdana" w:eastAsia="Batang" w:hAnsi="Verdana"/>
      <w:b/>
      <w:i/>
      <w:sz w:val="20"/>
      <w:szCs w:val="20"/>
      <w:lang w:val="es-MX"/>
    </w:rPr>
  </w:style>
  <w:style w:type="paragraph" w:styleId="Ttulo4">
    <w:name w:val="heading 4"/>
    <w:basedOn w:val="Prrafodelista"/>
    <w:next w:val="Normal"/>
    <w:link w:val="Ttulo4Car"/>
    <w:uiPriority w:val="9"/>
    <w:semiHidden/>
    <w:unhideWhenUsed/>
    <w:qFormat/>
    <w:rsid w:val="001D4184"/>
    <w:pPr>
      <w:numPr>
        <w:numId w:val="9"/>
      </w:numPr>
      <w:tabs>
        <w:tab w:val="num" w:pos="360"/>
        <w:tab w:val="left" w:pos="1418"/>
      </w:tabs>
      <w:spacing w:after="0" w:line="240" w:lineRule="auto"/>
      <w:ind w:left="720" w:firstLine="0"/>
      <w:jc w:val="both"/>
      <w:outlineLvl w:val="3"/>
    </w:pPr>
    <w:rPr>
      <w:rFonts w:ascii="Verdana" w:eastAsia="Batang" w:hAnsi="Verdana"/>
      <w:i/>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2,Párrafo de lista1,List Paragraph1,Colorful List - Accent 11,Lista vistosa - Énfasis 11,Subtle Emphasis1,Footnote1"/>
    <w:basedOn w:val="Normal"/>
    <w:link w:val="PrrafodelistaCar"/>
    <w:uiPriority w:val="99"/>
    <w:qFormat/>
    <w:rsid w:val="00BC037B"/>
    <w:pPr>
      <w:ind w:left="720"/>
      <w:contextualSpacing/>
    </w:pPr>
  </w:style>
  <w:style w:type="paragraph" w:styleId="Textonotapie">
    <w:name w:val="footnote text"/>
    <w:aliases w:val="Footnote Text Char Char Char Char Char,Footnote Text Char Char Char Char,footnote text,Footnote reference,FA Fu,Footnote Text Char Char Char,Footnote Text Cha,FA Fußnotentext,FA Fuﬂnotentext,Footnote Text Char Char,Ca,C,FA Fu?notente,ft,5"/>
    <w:basedOn w:val="Normal"/>
    <w:link w:val="TextonotapieCar"/>
    <w:unhideWhenUsed/>
    <w:qFormat/>
    <w:rsid w:val="004A0255"/>
    <w:pPr>
      <w:spacing w:after="0" w:line="240" w:lineRule="auto"/>
    </w:pPr>
    <w:rPr>
      <w:rFonts w:eastAsiaTheme="minorEastAsia"/>
      <w:sz w:val="24"/>
      <w:szCs w:val="24"/>
      <w:lang w:val="es-ES_tradnl" w:eastAsia="es-ES"/>
    </w:rPr>
  </w:style>
  <w:style w:type="character" w:customStyle="1" w:styleId="TextonotapieCar">
    <w:name w:val="Texto nota pie Car"/>
    <w:aliases w:val="Footnote Text Char Char Char Char Char Car,Footnote Text Char Char Char Char Car,footnote text Car,Footnote reference Car,FA Fu Car,Footnote Text Char Char Char Car,Footnote Text Cha Car,FA Fußnotentext Car,FA Fuﬂnotentext Car,Ca Car"/>
    <w:basedOn w:val="Fuentedeprrafopredeter"/>
    <w:link w:val="Textonotapie"/>
    <w:qFormat/>
    <w:rsid w:val="004A0255"/>
    <w:rPr>
      <w:rFonts w:eastAsiaTheme="minorEastAsia"/>
      <w:sz w:val="24"/>
      <w:szCs w:val="24"/>
      <w:lang w:val="es-ES_tradnl" w:eastAsia="es-ES"/>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basedOn w:val="Fuentedeprrafopredeter"/>
    <w:link w:val="4GChar"/>
    <w:uiPriority w:val="99"/>
    <w:unhideWhenUsed/>
    <w:qFormat/>
    <w:rsid w:val="004A025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A0255"/>
    <w:pPr>
      <w:spacing w:after="0" w:line="240" w:lineRule="auto"/>
      <w:jc w:val="both"/>
    </w:pPr>
    <w:rPr>
      <w:vertAlign w:val="superscript"/>
    </w:rPr>
  </w:style>
  <w:style w:type="character" w:customStyle="1" w:styleId="PrrafodelistaCar">
    <w:name w:val="Párrafo de lista Car"/>
    <w:aliases w:val="List Paragraph2 Car,Párrafo de lista1 Car,List Paragraph1 Car,Colorful List - Accent 11 Car,Lista vistosa - Énfasis 11 Car,Subtle Emphasis1 Car,Footnote1 Car"/>
    <w:link w:val="Prrafodelista"/>
    <w:uiPriority w:val="99"/>
    <w:locked/>
    <w:rsid w:val="004A0255"/>
  </w:style>
  <w:style w:type="character" w:styleId="Textoennegrita">
    <w:name w:val="Strong"/>
    <w:aliases w:val="Heading 2.1"/>
    <w:uiPriority w:val="22"/>
    <w:qFormat/>
    <w:rsid w:val="004A0255"/>
    <w:rPr>
      <w:b/>
      <w:bCs/>
    </w:rPr>
  </w:style>
  <w:style w:type="character" w:customStyle="1" w:styleId="Estilo1Car">
    <w:name w:val="Estilo1 Car"/>
    <w:link w:val="Estilo1"/>
    <w:locked/>
    <w:rsid w:val="004A0255"/>
    <w:rPr>
      <w:rFonts w:ascii="Verdana" w:hAnsi="Verdana"/>
    </w:rPr>
  </w:style>
  <w:style w:type="paragraph" w:customStyle="1" w:styleId="Estilo1">
    <w:name w:val="Estilo1"/>
    <w:basedOn w:val="Normal"/>
    <w:link w:val="Estilo1Car"/>
    <w:qFormat/>
    <w:rsid w:val="004A0255"/>
    <w:pPr>
      <w:tabs>
        <w:tab w:val="left" w:pos="567"/>
        <w:tab w:val="left" w:pos="1134"/>
        <w:tab w:val="num" w:pos="6042"/>
      </w:tabs>
      <w:spacing w:after="120" w:line="240" w:lineRule="auto"/>
      <w:jc w:val="both"/>
    </w:pPr>
    <w:rPr>
      <w:rFonts w:ascii="Verdana" w:hAnsi="Verdana"/>
    </w:rPr>
  </w:style>
  <w:style w:type="character" w:customStyle="1" w:styleId="Ttulo3Car">
    <w:name w:val="Título 3 Car"/>
    <w:basedOn w:val="Fuentedeprrafopredeter"/>
    <w:link w:val="Ttulo3"/>
    <w:semiHidden/>
    <w:rsid w:val="001D4184"/>
    <w:rPr>
      <w:rFonts w:ascii="Verdana" w:eastAsia="Batang" w:hAnsi="Verdana"/>
      <w:b/>
      <w:i/>
      <w:sz w:val="20"/>
      <w:szCs w:val="20"/>
      <w:lang w:val="es-MX"/>
    </w:rPr>
  </w:style>
  <w:style w:type="character" w:customStyle="1" w:styleId="Ttulo4Car">
    <w:name w:val="Título 4 Car"/>
    <w:basedOn w:val="Fuentedeprrafopredeter"/>
    <w:link w:val="Ttulo4"/>
    <w:uiPriority w:val="9"/>
    <w:semiHidden/>
    <w:rsid w:val="001D4184"/>
    <w:rPr>
      <w:rFonts w:ascii="Verdana" w:eastAsia="Batang" w:hAnsi="Verdana"/>
      <w:i/>
      <w:sz w:val="20"/>
      <w:szCs w:val="20"/>
      <w:u w:val="single"/>
      <w:lang w:val="es-MX"/>
    </w:rPr>
  </w:style>
  <w:style w:type="paragraph" w:styleId="NormalWeb">
    <w:name w:val="Normal (Web)"/>
    <w:aliases w:val="Normal (Web) Char1,Normal (Web) Char Char,Normal (Web) Char1 Char,Normal (Web) Char Char Char"/>
    <w:basedOn w:val="Normal"/>
    <w:uiPriority w:val="99"/>
    <w:unhideWhenUsed/>
    <w:rsid w:val="001D4184"/>
    <w:rPr>
      <w:rFonts w:ascii="Times New Roman" w:hAnsi="Times New Roman" w:cs="Times New Roman"/>
      <w:sz w:val="24"/>
      <w:szCs w:val="24"/>
      <w:lang w:val="es-MX"/>
    </w:rPr>
  </w:style>
  <w:style w:type="character" w:customStyle="1" w:styleId="FootnoteAnchor">
    <w:name w:val="Footnote Anchor"/>
    <w:rsid w:val="001D4184"/>
    <w:rPr>
      <w:vertAlign w:val="superscript"/>
    </w:rPr>
  </w:style>
  <w:style w:type="paragraph" w:styleId="Encabezado">
    <w:name w:val="header"/>
    <w:basedOn w:val="Normal"/>
    <w:link w:val="EncabezadoCar"/>
    <w:uiPriority w:val="99"/>
    <w:unhideWhenUsed/>
    <w:rsid w:val="00946A1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46A19"/>
  </w:style>
  <w:style w:type="paragraph" w:styleId="Piedepgina">
    <w:name w:val="footer"/>
    <w:basedOn w:val="Normal"/>
    <w:link w:val="PiedepginaCar"/>
    <w:uiPriority w:val="99"/>
    <w:unhideWhenUsed/>
    <w:rsid w:val="00946A1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46A19"/>
  </w:style>
  <w:style w:type="character" w:styleId="Textodelmarcadordeposicin">
    <w:name w:val="Placeholder Text"/>
    <w:basedOn w:val="Fuentedeprrafopredeter"/>
    <w:uiPriority w:val="99"/>
    <w:semiHidden/>
    <w:rsid w:val="0099451B"/>
    <w:rPr>
      <w:color w:val="808080"/>
    </w:rPr>
  </w:style>
  <w:style w:type="paragraph" w:styleId="Textodeglobo">
    <w:name w:val="Balloon Text"/>
    <w:basedOn w:val="Normal"/>
    <w:link w:val="TextodegloboCar"/>
    <w:uiPriority w:val="99"/>
    <w:semiHidden/>
    <w:unhideWhenUsed/>
    <w:rsid w:val="009945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51B"/>
    <w:rPr>
      <w:rFonts w:ascii="Tahoma" w:hAnsi="Tahoma" w:cs="Tahoma"/>
      <w:sz w:val="16"/>
      <w:szCs w:val="16"/>
    </w:rPr>
  </w:style>
  <w:style w:type="character" w:styleId="Refdecomentario">
    <w:name w:val="annotation reference"/>
    <w:basedOn w:val="Fuentedeprrafopredeter"/>
    <w:uiPriority w:val="99"/>
    <w:semiHidden/>
    <w:unhideWhenUsed/>
    <w:rsid w:val="00A175D4"/>
    <w:rPr>
      <w:sz w:val="16"/>
      <w:szCs w:val="16"/>
    </w:rPr>
  </w:style>
  <w:style w:type="paragraph" w:styleId="Textocomentario">
    <w:name w:val="annotation text"/>
    <w:basedOn w:val="Normal"/>
    <w:link w:val="TextocomentarioCar"/>
    <w:uiPriority w:val="99"/>
    <w:semiHidden/>
    <w:unhideWhenUsed/>
    <w:rsid w:val="00A175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75D4"/>
    <w:rPr>
      <w:sz w:val="20"/>
      <w:szCs w:val="20"/>
    </w:rPr>
  </w:style>
  <w:style w:type="paragraph" w:styleId="Asuntodelcomentario">
    <w:name w:val="annotation subject"/>
    <w:basedOn w:val="Textocomentario"/>
    <w:next w:val="Textocomentario"/>
    <w:link w:val="AsuntodelcomentarioCar"/>
    <w:uiPriority w:val="99"/>
    <w:semiHidden/>
    <w:unhideWhenUsed/>
    <w:rsid w:val="00A175D4"/>
    <w:rPr>
      <w:b/>
      <w:bCs/>
    </w:rPr>
  </w:style>
  <w:style w:type="character" w:customStyle="1" w:styleId="AsuntodelcomentarioCar">
    <w:name w:val="Asunto del comentario Car"/>
    <w:basedOn w:val="TextocomentarioCar"/>
    <w:link w:val="Asuntodelcomentario"/>
    <w:uiPriority w:val="99"/>
    <w:semiHidden/>
    <w:rsid w:val="00A17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22183">
      <w:bodyDiv w:val="1"/>
      <w:marLeft w:val="0"/>
      <w:marRight w:val="0"/>
      <w:marTop w:val="0"/>
      <w:marBottom w:val="0"/>
      <w:divBdr>
        <w:top w:val="none" w:sz="0" w:space="0" w:color="auto"/>
        <w:left w:val="none" w:sz="0" w:space="0" w:color="auto"/>
        <w:bottom w:val="none" w:sz="0" w:space="0" w:color="auto"/>
        <w:right w:val="none" w:sz="0" w:space="0" w:color="auto"/>
      </w:divBdr>
    </w:div>
    <w:div w:id="1217738522">
      <w:bodyDiv w:val="1"/>
      <w:marLeft w:val="0"/>
      <w:marRight w:val="0"/>
      <w:marTop w:val="0"/>
      <w:marBottom w:val="0"/>
      <w:divBdr>
        <w:top w:val="none" w:sz="0" w:space="0" w:color="auto"/>
        <w:left w:val="none" w:sz="0" w:space="0" w:color="auto"/>
        <w:bottom w:val="none" w:sz="0" w:space="0" w:color="auto"/>
        <w:right w:val="none" w:sz="0" w:space="0" w:color="auto"/>
      </w:divBdr>
    </w:div>
    <w:div w:id="1388408606">
      <w:bodyDiv w:val="1"/>
      <w:marLeft w:val="0"/>
      <w:marRight w:val="0"/>
      <w:marTop w:val="0"/>
      <w:marBottom w:val="0"/>
      <w:divBdr>
        <w:top w:val="none" w:sz="0" w:space="0" w:color="auto"/>
        <w:left w:val="none" w:sz="0" w:space="0" w:color="auto"/>
        <w:bottom w:val="none" w:sz="0" w:space="0" w:color="auto"/>
        <w:right w:val="none" w:sz="0" w:space="0" w:color="auto"/>
      </w:divBdr>
    </w:div>
    <w:div w:id="1684739904">
      <w:bodyDiv w:val="1"/>
      <w:marLeft w:val="0"/>
      <w:marRight w:val="0"/>
      <w:marTop w:val="0"/>
      <w:marBottom w:val="0"/>
      <w:divBdr>
        <w:top w:val="none" w:sz="0" w:space="0" w:color="auto"/>
        <w:left w:val="none" w:sz="0" w:space="0" w:color="auto"/>
        <w:bottom w:val="none" w:sz="0" w:space="0" w:color="auto"/>
        <w:right w:val="none" w:sz="0" w:space="0" w:color="auto"/>
      </w:divBdr>
    </w:div>
    <w:div w:id="19012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3BD6-1DD9-4D9A-89EF-2F28672C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11149</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dcterms:created xsi:type="dcterms:W3CDTF">2019-12-20T19:59:00Z</dcterms:created>
  <dcterms:modified xsi:type="dcterms:W3CDTF">2019-12-20T19:59:00Z</dcterms:modified>
</cp:coreProperties>
</file>