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1A" w:rsidRPr="007C14AE" w:rsidRDefault="00085E1A" w:rsidP="00217612">
      <w:pPr>
        <w:spacing w:after="0" w:line="240" w:lineRule="auto"/>
        <w:jc w:val="center"/>
        <w:rPr>
          <w:rFonts w:ascii="Verdana" w:hAnsi="Verdana"/>
          <w:b/>
          <w:sz w:val="20"/>
          <w:szCs w:val="20"/>
          <w:lang w:val="es-ES_tradnl"/>
        </w:rPr>
      </w:pPr>
      <w:bookmarkStart w:id="0" w:name="_GoBack"/>
      <w:bookmarkEnd w:id="0"/>
    </w:p>
    <w:p w:rsidR="00085E1A" w:rsidRPr="00D41FEB" w:rsidRDefault="00085E1A" w:rsidP="00217612">
      <w:pPr>
        <w:spacing w:after="0" w:line="240" w:lineRule="auto"/>
        <w:jc w:val="center"/>
        <w:rPr>
          <w:rFonts w:ascii="Verdana" w:hAnsi="Verdana"/>
          <w:b/>
          <w:sz w:val="20"/>
          <w:szCs w:val="20"/>
        </w:rPr>
      </w:pPr>
      <w:r w:rsidRPr="00D41FEB">
        <w:rPr>
          <w:rFonts w:ascii="Verdana" w:hAnsi="Verdana"/>
          <w:b/>
          <w:sz w:val="20"/>
          <w:szCs w:val="20"/>
        </w:rPr>
        <w:t>VOTO CONCURRENTE DEL</w:t>
      </w:r>
    </w:p>
    <w:p w:rsidR="00085E1A" w:rsidRPr="00D41FEB" w:rsidRDefault="00085E1A" w:rsidP="00217612">
      <w:pPr>
        <w:spacing w:after="0" w:line="240" w:lineRule="auto"/>
        <w:jc w:val="center"/>
        <w:rPr>
          <w:rFonts w:ascii="Verdana" w:hAnsi="Verdana"/>
          <w:b/>
          <w:sz w:val="20"/>
          <w:szCs w:val="20"/>
        </w:rPr>
      </w:pPr>
      <w:r w:rsidRPr="00D41FEB">
        <w:rPr>
          <w:rFonts w:ascii="Verdana" w:hAnsi="Verdana"/>
          <w:b/>
          <w:sz w:val="20"/>
          <w:szCs w:val="20"/>
        </w:rPr>
        <w:t>JUEZ L. PATRICIO PAZMIÑO FREIRE</w:t>
      </w:r>
    </w:p>
    <w:p w:rsidR="00085E1A" w:rsidRPr="00D41FEB" w:rsidRDefault="00085E1A" w:rsidP="00217612">
      <w:pPr>
        <w:spacing w:after="0" w:line="240" w:lineRule="auto"/>
        <w:jc w:val="center"/>
        <w:rPr>
          <w:rFonts w:ascii="Verdana" w:hAnsi="Verdana"/>
          <w:b/>
          <w:sz w:val="20"/>
          <w:szCs w:val="20"/>
        </w:rPr>
      </w:pPr>
    </w:p>
    <w:p w:rsidR="00085E1A" w:rsidRPr="00D41FEB" w:rsidRDefault="00085E1A" w:rsidP="00217612">
      <w:pPr>
        <w:spacing w:after="0" w:line="240" w:lineRule="auto"/>
        <w:jc w:val="center"/>
        <w:rPr>
          <w:rFonts w:ascii="Verdana" w:hAnsi="Verdana" w:cs="Verdana Bold"/>
          <w:b/>
          <w:bCs/>
          <w:i/>
          <w:caps/>
          <w:sz w:val="20"/>
          <w:szCs w:val="20"/>
        </w:rPr>
      </w:pPr>
      <w:r w:rsidRPr="00D41FEB">
        <w:rPr>
          <w:rFonts w:ascii="Verdana" w:hAnsi="Verdana" w:cs="Verdana Bold"/>
          <w:b/>
          <w:bCs/>
          <w:i/>
          <w:caps/>
          <w:sz w:val="20"/>
          <w:szCs w:val="20"/>
        </w:rPr>
        <w:t>CASO DE LOS BUZOS MISKITOS (LEMOTH MORRIS Y OTROS) VS. HONDURAS</w:t>
      </w:r>
    </w:p>
    <w:p w:rsidR="00085E1A" w:rsidRPr="00D41FEB" w:rsidRDefault="00085E1A" w:rsidP="00217612">
      <w:pPr>
        <w:spacing w:after="0" w:line="240" w:lineRule="auto"/>
        <w:jc w:val="center"/>
        <w:rPr>
          <w:rFonts w:ascii="Verdana" w:hAnsi="Verdana" w:cs="Verdana Bold"/>
          <w:b/>
          <w:bCs/>
          <w:i/>
          <w:caps/>
          <w:sz w:val="20"/>
          <w:szCs w:val="20"/>
        </w:rPr>
      </w:pPr>
    </w:p>
    <w:p w:rsidR="00085E1A" w:rsidRPr="00D41FEB" w:rsidRDefault="00085E1A" w:rsidP="00217612">
      <w:pPr>
        <w:spacing w:after="0" w:line="240" w:lineRule="auto"/>
        <w:jc w:val="center"/>
        <w:rPr>
          <w:rFonts w:ascii="Verdana" w:hAnsi="Verdana" w:cs="Verdana Bold"/>
          <w:b/>
          <w:bCs/>
          <w:i/>
          <w:caps/>
          <w:sz w:val="20"/>
          <w:szCs w:val="20"/>
        </w:rPr>
      </w:pPr>
    </w:p>
    <w:p w:rsidR="00085E1A" w:rsidRPr="00D41FEB" w:rsidRDefault="00085E1A" w:rsidP="00217612">
      <w:pPr>
        <w:spacing w:after="0" w:line="240" w:lineRule="auto"/>
        <w:jc w:val="center"/>
        <w:rPr>
          <w:rFonts w:ascii="Verdana" w:hAnsi="Verdana" w:cs="Verdana Bold"/>
          <w:b/>
          <w:bCs/>
          <w:i/>
          <w:caps/>
          <w:sz w:val="20"/>
          <w:szCs w:val="20"/>
        </w:rPr>
      </w:pPr>
      <w:r w:rsidRPr="00D41FEB">
        <w:rPr>
          <w:rFonts w:ascii="Verdana" w:hAnsi="Verdana" w:cs="Verdana Bold"/>
          <w:b/>
          <w:bCs/>
          <w:i/>
          <w:caps/>
          <w:sz w:val="20"/>
          <w:szCs w:val="20"/>
        </w:rPr>
        <w:t>SENTENCIA DE 31 DE AGOSTO DE 2021</w:t>
      </w:r>
    </w:p>
    <w:p w:rsidR="00085E1A" w:rsidRPr="00D41FEB" w:rsidRDefault="00085E1A" w:rsidP="00217612">
      <w:pPr>
        <w:spacing w:after="0" w:line="240" w:lineRule="auto"/>
        <w:jc w:val="center"/>
        <w:rPr>
          <w:rFonts w:ascii="Verdana" w:hAnsi="Verdana"/>
          <w:sz w:val="20"/>
          <w:szCs w:val="20"/>
          <w:lang w:val="es-ES"/>
        </w:rPr>
      </w:pPr>
    </w:p>
    <w:p w:rsidR="00085E1A" w:rsidRPr="00D41FEB" w:rsidRDefault="00085E1A" w:rsidP="00217612">
      <w:pPr>
        <w:pStyle w:val="Prrafodelista"/>
        <w:numPr>
          <w:ilvl w:val="0"/>
          <w:numId w:val="1"/>
        </w:numPr>
        <w:tabs>
          <w:tab w:val="left" w:pos="567"/>
        </w:tabs>
        <w:ind w:left="0" w:firstLine="0"/>
        <w:contextualSpacing w:val="0"/>
        <w:jc w:val="both"/>
        <w:rPr>
          <w:rFonts w:ascii="Verdana" w:hAnsi="Verdana"/>
          <w:sz w:val="20"/>
          <w:szCs w:val="20"/>
        </w:rPr>
      </w:pPr>
      <w:r w:rsidRPr="00D41FEB">
        <w:rPr>
          <w:rFonts w:ascii="Verdana" w:hAnsi="Verdana"/>
          <w:sz w:val="20"/>
          <w:szCs w:val="20"/>
          <w:lang w:val="es-ES_tradnl"/>
        </w:rPr>
        <w:t>Mediante el presente voto</w:t>
      </w:r>
      <w:r w:rsidR="00794E43" w:rsidRPr="00D41FEB">
        <w:rPr>
          <w:rFonts w:ascii="Verdana" w:hAnsi="Verdana"/>
          <w:sz w:val="20"/>
          <w:szCs w:val="20"/>
          <w:lang w:val="es-ES_tradnl"/>
        </w:rPr>
        <w:t xml:space="preserve"> manifiesto</w:t>
      </w:r>
      <w:r w:rsidRPr="00D41FEB">
        <w:rPr>
          <w:rFonts w:ascii="Verdana" w:hAnsi="Verdana"/>
          <w:sz w:val="20"/>
          <w:szCs w:val="20"/>
          <w:lang w:val="es-ES_tradnl"/>
        </w:rPr>
        <w:t xml:space="preserve"> mi acuerdo co</w:t>
      </w:r>
      <w:r w:rsidR="00794E43" w:rsidRPr="00D41FEB">
        <w:rPr>
          <w:rFonts w:ascii="Verdana" w:hAnsi="Verdana"/>
          <w:sz w:val="20"/>
          <w:szCs w:val="20"/>
          <w:lang w:val="es-ES_tradnl"/>
        </w:rPr>
        <w:t>n la decisión de la mayoría que tiene relación con la homologación del</w:t>
      </w:r>
      <w:r w:rsidR="00C363D7" w:rsidRPr="00D41FEB">
        <w:rPr>
          <w:rFonts w:ascii="Verdana" w:hAnsi="Verdana"/>
          <w:sz w:val="20"/>
          <w:szCs w:val="20"/>
          <w:lang w:val="es-ES_tradnl"/>
        </w:rPr>
        <w:t xml:space="preserve"> acuerdo de solución </w:t>
      </w:r>
      <w:r w:rsidRPr="00D41FEB">
        <w:rPr>
          <w:rFonts w:ascii="Verdana" w:hAnsi="Verdana"/>
          <w:sz w:val="20"/>
          <w:szCs w:val="20"/>
          <w:lang w:val="es-ES_tradnl"/>
        </w:rPr>
        <w:t xml:space="preserve">amistosa entre las víctimas y el Estado. Como Juez Interamericano </w:t>
      </w:r>
      <w:r w:rsidR="0074202B" w:rsidRPr="00D41FEB">
        <w:rPr>
          <w:rFonts w:ascii="Verdana" w:hAnsi="Verdana"/>
          <w:sz w:val="20"/>
          <w:szCs w:val="20"/>
          <w:lang w:val="es-ES_tradnl"/>
        </w:rPr>
        <w:t>veo</w:t>
      </w:r>
      <w:r w:rsidRPr="00D41FEB">
        <w:rPr>
          <w:rFonts w:ascii="Verdana" w:hAnsi="Verdana"/>
          <w:sz w:val="20"/>
          <w:szCs w:val="20"/>
          <w:lang w:val="es-ES_tradnl"/>
        </w:rPr>
        <w:t xml:space="preserve"> con</w:t>
      </w:r>
      <w:r w:rsidR="0074202B" w:rsidRPr="00D41FEB">
        <w:rPr>
          <w:rFonts w:ascii="Verdana" w:hAnsi="Verdana"/>
          <w:sz w:val="20"/>
          <w:szCs w:val="20"/>
          <w:lang w:val="es-ES_tradnl"/>
        </w:rPr>
        <w:t xml:space="preserve"> gran</w:t>
      </w:r>
      <w:r w:rsidRPr="00D41FEB">
        <w:rPr>
          <w:rFonts w:ascii="Verdana" w:hAnsi="Verdana"/>
          <w:sz w:val="20"/>
          <w:szCs w:val="20"/>
          <w:lang w:val="es-ES_tradnl"/>
        </w:rPr>
        <w:t xml:space="preserve"> satisfacción que se haya llegado a un acuerdo que </w:t>
      </w:r>
      <w:r w:rsidR="0074202B" w:rsidRPr="00D41FEB">
        <w:rPr>
          <w:rFonts w:ascii="Verdana" w:hAnsi="Verdana"/>
          <w:sz w:val="20"/>
          <w:szCs w:val="20"/>
          <w:lang w:val="es-ES_tradnl"/>
        </w:rPr>
        <w:t>reconozca</w:t>
      </w:r>
      <w:r w:rsidRPr="00D41FEB">
        <w:rPr>
          <w:rFonts w:ascii="Verdana" w:hAnsi="Verdana"/>
          <w:sz w:val="20"/>
          <w:szCs w:val="20"/>
          <w:lang w:val="es-ES_tradnl"/>
        </w:rPr>
        <w:t xml:space="preserve"> los intereses de reparación de las vícti</w:t>
      </w:r>
      <w:r w:rsidR="00794E43" w:rsidRPr="00D41FEB">
        <w:rPr>
          <w:rFonts w:ascii="Verdana" w:hAnsi="Verdana"/>
          <w:sz w:val="20"/>
          <w:szCs w:val="20"/>
          <w:lang w:val="es-ES_tradnl"/>
        </w:rPr>
        <w:t>mas en este caso. Q</w:t>
      </w:r>
      <w:r w:rsidRPr="00D41FEB">
        <w:rPr>
          <w:rFonts w:ascii="Verdana" w:hAnsi="Verdana"/>
          <w:sz w:val="20"/>
          <w:szCs w:val="20"/>
          <w:lang w:val="es-ES_tradnl"/>
        </w:rPr>
        <w:t xml:space="preserve">ueda ahora como una tarea </w:t>
      </w:r>
      <w:r w:rsidR="00794E43" w:rsidRPr="00D41FEB">
        <w:rPr>
          <w:rFonts w:ascii="Verdana" w:hAnsi="Verdana"/>
          <w:sz w:val="20"/>
          <w:szCs w:val="20"/>
          <w:lang w:val="es-ES_tradnl"/>
        </w:rPr>
        <w:t xml:space="preserve">pendiente </w:t>
      </w:r>
      <w:r w:rsidRPr="00D41FEB">
        <w:rPr>
          <w:rFonts w:ascii="Verdana" w:hAnsi="Verdana"/>
          <w:sz w:val="20"/>
          <w:szCs w:val="20"/>
          <w:lang w:val="es-ES_tradnl"/>
        </w:rPr>
        <w:t>del Tribunal el supervisar el cumplimiento de es</w:t>
      </w:r>
      <w:r w:rsidR="00794E43" w:rsidRPr="00D41FEB">
        <w:rPr>
          <w:rFonts w:ascii="Verdana" w:hAnsi="Verdana"/>
          <w:sz w:val="20"/>
          <w:szCs w:val="20"/>
          <w:lang w:val="es-ES_tradnl"/>
        </w:rPr>
        <w:t xml:space="preserve">ta Sentencia en los términos </w:t>
      </w:r>
      <w:r w:rsidRPr="00D41FEB">
        <w:rPr>
          <w:rFonts w:ascii="Verdana" w:hAnsi="Verdana"/>
          <w:sz w:val="20"/>
          <w:szCs w:val="20"/>
          <w:lang w:val="es-ES_tradnl"/>
        </w:rPr>
        <w:t>que se han adopta</w:t>
      </w:r>
      <w:r w:rsidR="00794E43" w:rsidRPr="00D41FEB">
        <w:rPr>
          <w:rFonts w:ascii="Verdana" w:hAnsi="Verdana"/>
          <w:sz w:val="20"/>
          <w:szCs w:val="20"/>
          <w:lang w:val="es-ES_tradnl"/>
        </w:rPr>
        <w:t>do las reparaciones. Sin ánimo</w:t>
      </w:r>
      <w:r w:rsidRPr="00D41FEB">
        <w:rPr>
          <w:rFonts w:ascii="Verdana" w:hAnsi="Verdana"/>
          <w:sz w:val="20"/>
          <w:szCs w:val="20"/>
          <w:lang w:val="es-ES_tradnl"/>
        </w:rPr>
        <w:t xml:space="preserve"> de ahondar más en este punto, cuyos retos y oportunidades para la implementación del fallo, se podrán abordar más adelante cuando la Corte co</w:t>
      </w:r>
      <w:r w:rsidR="00794E43" w:rsidRPr="00D41FEB">
        <w:rPr>
          <w:rFonts w:ascii="Verdana" w:hAnsi="Verdana"/>
          <w:sz w:val="20"/>
          <w:szCs w:val="20"/>
          <w:lang w:val="es-ES_tradnl"/>
        </w:rPr>
        <w:t xml:space="preserve">nozca de la materia, tengo particular interés en fortalecer la decisión a partir de la reflexión en </w:t>
      </w:r>
      <w:r w:rsidRPr="00D41FEB">
        <w:rPr>
          <w:rFonts w:ascii="Verdana" w:hAnsi="Verdana"/>
          <w:sz w:val="20"/>
          <w:szCs w:val="20"/>
          <w:lang w:val="es-ES_tradnl"/>
        </w:rPr>
        <w:t>torno a la temática sobre la cual versa este caso:</w:t>
      </w:r>
      <w:r w:rsidR="00794E43" w:rsidRPr="00D41FEB">
        <w:rPr>
          <w:rFonts w:ascii="Verdana" w:hAnsi="Verdana"/>
          <w:sz w:val="20"/>
          <w:szCs w:val="20"/>
          <w:lang w:val="es-ES_tradnl"/>
        </w:rPr>
        <w:t xml:space="preserve"> revisar e insistir en la necesaria precisión respecto de</w:t>
      </w:r>
      <w:r w:rsidRPr="00D41FEB">
        <w:rPr>
          <w:rFonts w:ascii="Verdana" w:hAnsi="Verdana"/>
          <w:sz w:val="20"/>
          <w:szCs w:val="20"/>
          <w:lang w:val="es-ES_tradnl"/>
        </w:rPr>
        <w:t xml:space="preserve"> las obligaciones de las empresas </w:t>
      </w:r>
      <w:r w:rsidR="00794E43" w:rsidRPr="00D41FEB">
        <w:rPr>
          <w:rFonts w:ascii="Verdana" w:hAnsi="Verdana"/>
          <w:sz w:val="20"/>
          <w:szCs w:val="20"/>
          <w:lang w:val="es-ES_tradnl"/>
        </w:rPr>
        <w:t>privadas en materia de derechos humanos, con este propósito repasaré</w:t>
      </w:r>
      <w:r w:rsidR="0074202B" w:rsidRPr="00D41FEB">
        <w:rPr>
          <w:rFonts w:ascii="Verdana" w:hAnsi="Verdana"/>
          <w:sz w:val="20"/>
          <w:szCs w:val="20"/>
          <w:lang w:val="es-ES_tradnl"/>
        </w:rPr>
        <w:t xml:space="preserve"> la evolución de la temática de empresas y derechos humanos y la necesidad de reformular las reglas de atribución de responsabi</w:t>
      </w:r>
      <w:r w:rsidR="00794E43" w:rsidRPr="00D41FEB">
        <w:rPr>
          <w:rFonts w:ascii="Verdana" w:hAnsi="Verdana"/>
          <w:sz w:val="20"/>
          <w:szCs w:val="20"/>
          <w:lang w:val="es-ES_tradnl"/>
        </w:rPr>
        <w:t>lidad internacional,</w:t>
      </w:r>
      <w:r w:rsidR="0074202B" w:rsidRPr="00D41FEB">
        <w:rPr>
          <w:rFonts w:ascii="Verdana" w:hAnsi="Verdana"/>
          <w:sz w:val="20"/>
          <w:szCs w:val="20"/>
          <w:lang w:val="es-ES_tradnl"/>
        </w:rPr>
        <w:t xml:space="preserve"> </w:t>
      </w:r>
      <w:r w:rsidR="00C363D7" w:rsidRPr="00D41FEB">
        <w:rPr>
          <w:rFonts w:ascii="Verdana" w:hAnsi="Verdana"/>
          <w:sz w:val="20"/>
          <w:szCs w:val="20"/>
          <w:lang w:val="es-ES_tradnl"/>
        </w:rPr>
        <w:t xml:space="preserve">y, </w:t>
      </w:r>
      <w:r w:rsidR="00794E43" w:rsidRPr="00D41FEB">
        <w:rPr>
          <w:rFonts w:ascii="Verdana" w:hAnsi="Verdana"/>
          <w:sz w:val="20"/>
          <w:szCs w:val="20"/>
          <w:lang w:val="es-ES_tradnl"/>
        </w:rPr>
        <w:t>a continuación</w:t>
      </w:r>
      <w:r w:rsidR="00C363D7" w:rsidRPr="00D41FEB">
        <w:rPr>
          <w:rFonts w:ascii="Verdana" w:hAnsi="Verdana"/>
          <w:sz w:val="20"/>
          <w:szCs w:val="20"/>
          <w:lang w:val="es-ES_tradnl"/>
        </w:rPr>
        <w:t xml:space="preserve">, </w:t>
      </w:r>
      <w:r w:rsidR="0074202B" w:rsidRPr="00D41FEB">
        <w:rPr>
          <w:rFonts w:ascii="Verdana" w:hAnsi="Verdana"/>
          <w:sz w:val="20"/>
          <w:szCs w:val="20"/>
          <w:lang w:val="es-ES_tradnl"/>
        </w:rPr>
        <w:t xml:space="preserve"> abordaré las políticas públicas y el rol de los mecanismos de reparación para casos de empresas</w:t>
      </w:r>
      <w:r w:rsidR="00C363D7" w:rsidRPr="00D41FEB">
        <w:rPr>
          <w:rFonts w:ascii="Verdana" w:hAnsi="Verdana"/>
          <w:sz w:val="20"/>
          <w:szCs w:val="20"/>
          <w:lang w:val="es-ES_tradnl"/>
        </w:rPr>
        <w:t xml:space="preserve"> privadas</w:t>
      </w:r>
      <w:r w:rsidR="0074202B" w:rsidRPr="00D41FEB">
        <w:rPr>
          <w:rFonts w:ascii="Verdana" w:hAnsi="Verdana"/>
          <w:sz w:val="20"/>
          <w:szCs w:val="20"/>
          <w:lang w:val="es-ES_tradnl"/>
        </w:rPr>
        <w:t xml:space="preserve"> y derechos humanos.</w:t>
      </w:r>
    </w:p>
    <w:p w:rsidR="0074202B" w:rsidRPr="00D41FEB" w:rsidRDefault="0074202B" w:rsidP="00217612">
      <w:pPr>
        <w:pStyle w:val="Prrafodelista"/>
        <w:tabs>
          <w:tab w:val="left" w:pos="567"/>
        </w:tabs>
        <w:ind w:left="0"/>
        <w:contextualSpacing w:val="0"/>
        <w:jc w:val="both"/>
        <w:rPr>
          <w:rFonts w:ascii="Verdana" w:hAnsi="Verdana"/>
          <w:sz w:val="20"/>
          <w:szCs w:val="20"/>
          <w:lang w:val="es-ES_tradnl"/>
        </w:rPr>
      </w:pPr>
    </w:p>
    <w:p w:rsidR="0074202B" w:rsidRPr="00D41FEB" w:rsidRDefault="0074202B" w:rsidP="00217612">
      <w:pPr>
        <w:pStyle w:val="Prrafodelista"/>
        <w:numPr>
          <w:ilvl w:val="0"/>
          <w:numId w:val="2"/>
        </w:numPr>
        <w:tabs>
          <w:tab w:val="left" w:pos="567"/>
        </w:tabs>
        <w:contextualSpacing w:val="0"/>
        <w:jc w:val="both"/>
        <w:rPr>
          <w:rFonts w:ascii="Verdana" w:hAnsi="Verdana"/>
          <w:b/>
          <w:sz w:val="20"/>
          <w:szCs w:val="20"/>
          <w:lang w:val="es-ES_tradnl"/>
        </w:rPr>
      </w:pPr>
      <w:r w:rsidRPr="00D41FEB">
        <w:rPr>
          <w:rFonts w:ascii="Verdana" w:hAnsi="Verdana"/>
          <w:b/>
          <w:sz w:val="20"/>
          <w:szCs w:val="20"/>
          <w:lang w:val="es-ES_tradnl"/>
        </w:rPr>
        <w:t>Evolución de la temática de empresas y derechos humanos y las reglas de la</w:t>
      </w:r>
      <w:r w:rsidR="00A563C8" w:rsidRPr="00D41FEB">
        <w:rPr>
          <w:rFonts w:ascii="Verdana" w:hAnsi="Verdana"/>
          <w:b/>
          <w:sz w:val="20"/>
          <w:szCs w:val="20"/>
          <w:lang w:val="es-ES_tradnl"/>
        </w:rPr>
        <w:t xml:space="preserve"> atribución de responsabilidad</w:t>
      </w:r>
    </w:p>
    <w:p w:rsidR="0074202B" w:rsidRPr="00D41FEB" w:rsidRDefault="0074202B" w:rsidP="00217612">
      <w:pPr>
        <w:pStyle w:val="Prrafodelista"/>
        <w:tabs>
          <w:tab w:val="left" w:pos="567"/>
        </w:tabs>
        <w:ind w:left="0"/>
        <w:contextualSpacing w:val="0"/>
        <w:jc w:val="both"/>
        <w:rPr>
          <w:rFonts w:ascii="Verdana" w:hAnsi="Verdana"/>
          <w:sz w:val="20"/>
          <w:szCs w:val="20"/>
        </w:rPr>
      </w:pPr>
    </w:p>
    <w:p w:rsidR="00685923" w:rsidRPr="00D41FEB" w:rsidRDefault="00C363D7" w:rsidP="00217612">
      <w:pPr>
        <w:pStyle w:val="Prrafodelista"/>
        <w:numPr>
          <w:ilvl w:val="0"/>
          <w:numId w:val="1"/>
        </w:numPr>
        <w:tabs>
          <w:tab w:val="left" w:pos="567"/>
        </w:tabs>
        <w:ind w:left="0" w:firstLine="0"/>
        <w:contextualSpacing w:val="0"/>
        <w:jc w:val="both"/>
        <w:rPr>
          <w:rFonts w:ascii="Verdana" w:hAnsi="Verdana"/>
          <w:i/>
          <w:sz w:val="20"/>
          <w:szCs w:val="20"/>
        </w:rPr>
      </w:pPr>
      <w:r w:rsidRPr="00D41FEB">
        <w:rPr>
          <w:rFonts w:ascii="Verdana" w:hAnsi="Verdana"/>
          <w:sz w:val="20"/>
          <w:szCs w:val="20"/>
        </w:rPr>
        <w:t xml:space="preserve">Debo empezar esta </w:t>
      </w:r>
      <w:r w:rsidR="00D519AB" w:rsidRPr="00D41FEB">
        <w:rPr>
          <w:rFonts w:ascii="Verdana" w:hAnsi="Verdana"/>
          <w:sz w:val="20"/>
          <w:szCs w:val="20"/>
        </w:rPr>
        <w:t>reflexión</w:t>
      </w:r>
      <w:r w:rsidR="0074202B" w:rsidRPr="00D41FEB">
        <w:rPr>
          <w:rFonts w:ascii="Verdana" w:hAnsi="Verdana"/>
          <w:sz w:val="20"/>
          <w:szCs w:val="20"/>
        </w:rPr>
        <w:t xml:space="preserve"> dejando constancia que este no es el primer caso que la Corte conoce en el cual estén involucradas empresas y que éstas hayan tenido actuaciones</w:t>
      </w:r>
      <w:r w:rsidRPr="00D41FEB">
        <w:rPr>
          <w:rFonts w:ascii="Verdana" w:hAnsi="Verdana"/>
          <w:sz w:val="20"/>
          <w:szCs w:val="20"/>
        </w:rPr>
        <w:t xml:space="preserve"> u omisiones</w:t>
      </w:r>
      <w:r w:rsidR="0074202B" w:rsidRPr="00D41FEB">
        <w:rPr>
          <w:rFonts w:ascii="Verdana" w:hAnsi="Verdana"/>
          <w:sz w:val="20"/>
          <w:szCs w:val="20"/>
        </w:rPr>
        <w:t xml:space="preserve"> que </w:t>
      </w:r>
      <w:r w:rsidRPr="00D41FEB">
        <w:rPr>
          <w:rFonts w:ascii="Verdana" w:hAnsi="Verdana"/>
          <w:sz w:val="20"/>
          <w:szCs w:val="20"/>
        </w:rPr>
        <w:t xml:space="preserve">tienen como efecto </w:t>
      </w:r>
      <w:r w:rsidR="0074202B" w:rsidRPr="00D41FEB">
        <w:rPr>
          <w:rFonts w:ascii="Verdana" w:hAnsi="Verdana"/>
          <w:sz w:val="20"/>
          <w:szCs w:val="20"/>
        </w:rPr>
        <w:t>violaciones a los derechos humanos.</w:t>
      </w:r>
      <w:r w:rsidR="00307771" w:rsidRPr="00D41FEB">
        <w:rPr>
          <w:rFonts w:ascii="Verdana" w:hAnsi="Verdana"/>
          <w:sz w:val="20"/>
          <w:szCs w:val="20"/>
        </w:rPr>
        <w:t xml:space="preserve"> En diversos casos, </w:t>
      </w:r>
      <w:r w:rsidRPr="00D41FEB">
        <w:rPr>
          <w:rFonts w:ascii="Verdana" w:hAnsi="Verdana"/>
          <w:sz w:val="20"/>
          <w:szCs w:val="20"/>
        </w:rPr>
        <w:t xml:space="preserve">que a la fecha son parte sustancial </w:t>
      </w:r>
      <w:r w:rsidR="00307771" w:rsidRPr="00D41FEB">
        <w:rPr>
          <w:rFonts w:ascii="Verdana" w:hAnsi="Verdana"/>
          <w:sz w:val="20"/>
          <w:szCs w:val="20"/>
        </w:rPr>
        <w:t>de su jurisprudencia constante</w:t>
      </w:r>
      <w:r w:rsidR="00685923" w:rsidRPr="00D41FEB">
        <w:rPr>
          <w:rFonts w:ascii="Verdana" w:hAnsi="Verdana"/>
          <w:sz w:val="20"/>
          <w:szCs w:val="20"/>
        </w:rPr>
        <w:t xml:space="preserve"> sobre derechos de los pueblos indígenas y tribales</w:t>
      </w:r>
      <w:r w:rsidR="00307771" w:rsidRPr="00D41FEB">
        <w:rPr>
          <w:rFonts w:ascii="Verdana" w:hAnsi="Verdana"/>
          <w:sz w:val="20"/>
          <w:szCs w:val="20"/>
        </w:rPr>
        <w:t>, relacionados con industrias extractivas y el derecho a la propiedad comunal, han sido las actuaciones de las empre</w:t>
      </w:r>
      <w:r w:rsidRPr="00D41FEB">
        <w:rPr>
          <w:rFonts w:ascii="Verdana" w:hAnsi="Verdana"/>
          <w:sz w:val="20"/>
          <w:szCs w:val="20"/>
        </w:rPr>
        <w:t xml:space="preserve">sas a través de la tolerancia, </w:t>
      </w:r>
      <w:r w:rsidR="00307771" w:rsidRPr="00D41FEB">
        <w:rPr>
          <w:rFonts w:ascii="Verdana" w:hAnsi="Verdana"/>
          <w:sz w:val="20"/>
          <w:szCs w:val="20"/>
        </w:rPr>
        <w:t>colaboración</w:t>
      </w:r>
      <w:r w:rsidRPr="00D41FEB">
        <w:rPr>
          <w:rFonts w:ascii="Verdana" w:hAnsi="Verdana"/>
          <w:sz w:val="20"/>
          <w:szCs w:val="20"/>
        </w:rPr>
        <w:t xml:space="preserve"> u omisión </w:t>
      </w:r>
      <w:r w:rsidR="00307771" w:rsidRPr="00D41FEB">
        <w:rPr>
          <w:rFonts w:ascii="Verdana" w:hAnsi="Verdana"/>
          <w:sz w:val="20"/>
          <w:szCs w:val="20"/>
        </w:rPr>
        <w:t>estatal, desde donde se ha</w:t>
      </w:r>
      <w:r w:rsidR="00374CA3" w:rsidRPr="00D41FEB">
        <w:rPr>
          <w:rFonts w:ascii="Verdana" w:hAnsi="Verdana"/>
          <w:sz w:val="20"/>
          <w:szCs w:val="20"/>
        </w:rPr>
        <w:t>n generado</w:t>
      </w:r>
      <w:r w:rsidR="00307771" w:rsidRPr="00D41FEB">
        <w:rPr>
          <w:rFonts w:ascii="Verdana" w:hAnsi="Verdana"/>
          <w:sz w:val="20"/>
          <w:szCs w:val="20"/>
        </w:rPr>
        <w:t xml:space="preserve"> las violaciones a los derechos humanos. Por ejemplo, en el </w:t>
      </w:r>
      <w:r w:rsidR="00D41FEB" w:rsidRPr="00D41FEB">
        <w:rPr>
          <w:rFonts w:ascii="Verdana" w:hAnsi="Verdana"/>
          <w:i/>
          <w:sz w:val="20"/>
          <w:szCs w:val="20"/>
        </w:rPr>
        <w:t xml:space="preserve">caso </w:t>
      </w:r>
      <w:proofErr w:type="spellStart"/>
      <w:r w:rsidR="00D41FEB" w:rsidRPr="00D41FEB">
        <w:rPr>
          <w:rFonts w:ascii="Verdana" w:hAnsi="Verdana"/>
          <w:i/>
          <w:sz w:val="20"/>
          <w:szCs w:val="20"/>
        </w:rPr>
        <w:t>Sarayaku</w:t>
      </w:r>
      <w:proofErr w:type="spellEnd"/>
      <w:r w:rsidR="00D41FEB" w:rsidRPr="00D41FEB">
        <w:rPr>
          <w:rFonts w:ascii="Verdana" w:hAnsi="Verdana"/>
          <w:i/>
          <w:sz w:val="20"/>
          <w:szCs w:val="20"/>
        </w:rPr>
        <w:t xml:space="preserve"> Vs. Ecuador</w:t>
      </w:r>
      <w:r w:rsidR="00307771" w:rsidRPr="00D41FEB">
        <w:rPr>
          <w:rFonts w:ascii="Verdana" w:hAnsi="Verdana"/>
          <w:i/>
          <w:sz w:val="20"/>
          <w:szCs w:val="20"/>
        </w:rPr>
        <w:t xml:space="preserve"> </w:t>
      </w:r>
      <w:r w:rsidR="00307771" w:rsidRPr="00D41FEB">
        <w:rPr>
          <w:rFonts w:ascii="Verdana" w:hAnsi="Verdana"/>
          <w:sz w:val="20"/>
          <w:szCs w:val="20"/>
        </w:rPr>
        <w:t>fueron los contratos de exploración de hidrocarburos, así como las actividades de prospección y exploración</w:t>
      </w:r>
      <w:r w:rsidRPr="00D41FEB">
        <w:rPr>
          <w:rFonts w:ascii="Verdana" w:hAnsi="Verdana"/>
          <w:sz w:val="20"/>
          <w:szCs w:val="20"/>
        </w:rPr>
        <w:t>,</w:t>
      </w:r>
      <w:r w:rsidR="00307771" w:rsidRPr="00D41FEB">
        <w:rPr>
          <w:rFonts w:ascii="Verdana" w:hAnsi="Verdana"/>
          <w:sz w:val="20"/>
          <w:szCs w:val="20"/>
        </w:rPr>
        <w:t xml:space="preserve"> lo</w:t>
      </w:r>
      <w:r w:rsidRPr="00D41FEB">
        <w:rPr>
          <w:rFonts w:ascii="Verdana" w:hAnsi="Verdana"/>
          <w:sz w:val="20"/>
          <w:szCs w:val="20"/>
        </w:rPr>
        <w:t>s</w:t>
      </w:r>
      <w:r w:rsidR="00307771" w:rsidRPr="00D41FEB">
        <w:rPr>
          <w:rFonts w:ascii="Verdana" w:hAnsi="Verdana"/>
          <w:sz w:val="20"/>
          <w:szCs w:val="20"/>
        </w:rPr>
        <w:t xml:space="preserve"> hechos </w:t>
      </w:r>
      <w:r w:rsidR="00374CA3" w:rsidRPr="00D41FEB">
        <w:rPr>
          <w:rFonts w:ascii="Verdana" w:hAnsi="Verdana"/>
          <w:sz w:val="20"/>
          <w:szCs w:val="20"/>
        </w:rPr>
        <w:t xml:space="preserve">ilícitos internacionales. Actividades, algunas realizadas por el Estado a la hora de otorgar la </w:t>
      </w:r>
      <w:r w:rsidR="00685923" w:rsidRPr="00D41FEB">
        <w:rPr>
          <w:rFonts w:ascii="Verdana" w:hAnsi="Verdana"/>
          <w:sz w:val="20"/>
          <w:szCs w:val="20"/>
        </w:rPr>
        <w:t>concesión</w:t>
      </w:r>
      <w:r w:rsidR="00374CA3" w:rsidRPr="00D41FEB">
        <w:rPr>
          <w:rFonts w:ascii="Verdana" w:hAnsi="Verdana"/>
          <w:sz w:val="20"/>
          <w:szCs w:val="20"/>
        </w:rPr>
        <w:t xml:space="preserve"> o el contrato, pero otras donde eminentemente </w:t>
      </w:r>
      <w:r w:rsidR="00685923" w:rsidRPr="00D41FEB">
        <w:rPr>
          <w:rFonts w:ascii="Verdana" w:hAnsi="Verdana"/>
          <w:sz w:val="20"/>
          <w:szCs w:val="20"/>
        </w:rPr>
        <w:t>e, incluso,</w:t>
      </w:r>
      <w:r w:rsidR="00374CA3" w:rsidRPr="00D41FEB">
        <w:rPr>
          <w:rFonts w:ascii="Verdana" w:hAnsi="Verdana"/>
          <w:sz w:val="20"/>
          <w:szCs w:val="20"/>
        </w:rPr>
        <w:t xml:space="preserve"> exclusivamente</w:t>
      </w:r>
      <w:r w:rsidRPr="00D41FEB">
        <w:rPr>
          <w:rFonts w:ascii="Verdana" w:hAnsi="Verdana"/>
          <w:sz w:val="20"/>
          <w:szCs w:val="20"/>
        </w:rPr>
        <w:t>,</w:t>
      </w:r>
      <w:r w:rsidR="00307771" w:rsidRPr="00D41FEB">
        <w:rPr>
          <w:rFonts w:ascii="Verdana" w:hAnsi="Verdana"/>
          <w:sz w:val="20"/>
          <w:szCs w:val="20"/>
        </w:rPr>
        <w:t xml:space="preserve"> participó una empresa privada</w:t>
      </w:r>
      <w:r w:rsidRPr="00D41FEB">
        <w:rPr>
          <w:rFonts w:ascii="Verdana" w:hAnsi="Verdana"/>
          <w:sz w:val="20"/>
          <w:szCs w:val="20"/>
        </w:rPr>
        <w:t xml:space="preserve"> como son la ejecución de las actividades</w:t>
      </w:r>
      <w:r w:rsidR="00374CA3" w:rsidRPr="00D41FEB">
        <w:rPr>
          <w:rFonts w:ascii="Verdana" w:hAnsi="Verdana"/>
          <w:sz w:val="20"/>
          <w:szCs w:val="20"/>
        </w:rPr>
        <w:t xml:space="preserve"> de prospección y exploración</w:t>
      </w:r>
      <w:r w:rsidR="00307771" w:rsidRPr="00D41FEB">
        <w:rPr>
          <w:rStyle w:val="Refdenotaalpie"/>
          <w:rFonts w:ascii="Verdana" w:hAnsi="Verdana"/>
          <w:sz w:val="20"/>
          <w:szCs w:val="20"/>
        </w:rPr>
        <w:footnoteReference w:id="1"/>
      </w:r>
      <w:r w:rsidR="00307771" w:rsidRPr="00D41FEB">
        <w:rPr>
          <w:rFonts w:ascii="Verdana" w:hAnsi="Verdana"/>
          <w:sz w:val="20"/>
          <w:szCs w:val="20"/>
        </w:rPr>
        <w:t>. Est</w:t>
      </w:r>
      <w:r w:rsidRPr="00D41FEB">
        <w:rPr>
          <w:rFonts w:ascii="Verdana" w:hAnsi="Verdana"/>
          <w:sz w:val="20"/>
          <w:szCs w:val="20"/>
        </w:rPr>
        <w:t xml:space="preserve">e caso </w:t>
      </w:r>
      <w:r w:rsidR="00307771" w:rsidRPr="00D41FEB">
        <w:rPr>
          <w:rFonts w:ascii="Verdana" w:hAnsi="Verdana"/>
          <w:sz w:val="20"/>
          <w:szCs w:val="20"/>
        </w:rPr>
        <w:t xml:space="preserve">muestra una problemática que ha sido repetida en casos ante la Corte, como </w:t>
      </w:r>
      <w:proofErr w:type="spellStart"/>
      <w:r w:rsidR="00307771" w:rsidRPr="00D41FEB">
        <w:rPr>
          <w:rFonts w:ascii="Verdana" w:hAnsi="Verdana"/>
          <w:i/>
          <w:sz w:val="20"/>
          <w:szCs w:val="20"/>
        </w:rPr>
        <w:t>Kaliña</w:t>
      </w:r>
      <w:proofErr w:type="spellEnd"/>
      <w:r w:rsidR="00307771" w:rsidRPr="00D41FEB">
        <w:rPr>
          <w:rFonts w:ascii="Verdana" w:hAnsi="Verdana"/>
          <w:i/>
          <w:sz w:val="20"/>
          <w:szCs w:val="20"/>
        </w:rPr>
        <w:t xml:space="preserve"> </w:t>
      </w:r>
      <w:proofErr w:type="spellStart"/>
      <w:r w:rsidR="00307771" w:rsidRPr="00D41FEB">
        <w:rPr>
          <w:rFonts w:ascii="Verdana" w:hAnsi="Verdana"/>
          <w:i/>
          <w:sz w:val="20"/>
          <w:szCs w:val="20"/>
        </w:rPr>
        <w:t>Lokono</w:t>
      </w:r>
      <w:proofErr w:type="spellEnd"/>
      <w:r w:rsidR="00307771" w:rsidRPr="00D41FEB">
        <w:rPr>
          <w:rFonts w:ascii="Verdana" w:hAnsi="Verdana"/>
          <w:i/>
          <w:sz w:val="20"/>
          <w:szCs w:val="20"/>
        </w:rPr>
        <w:t xml:space="preserve"> Vs. </w:t>
      </w:r>
      <w:proofErr w:type="spellStart"/>
      <w:r w:rsidR="00307771" w:rsidRPr="00D41FEB">
        <w:rPr>
          <w:rFonts w:ascii="Verdana" w:hAnsi="Verdana"/>
          <w:i/>
          <w:sz w:val="20"/>
          <w:szCs w:val="20"/>
        </w:rPr>
        <w:t>Suriname</w:t>
      </w:r>
      <w:proofErr w:type="spellEnd"/>
      <w:r w:rsidR="00307771" w:rsidRPr="00D41FEB">
        <w:rPr>
          <w:rStyle w:val="Refdenotaalpie"/>
          <w:rFonts w:ascii="Verdana" w:hAnsi="Verdana"/>
          <w:sz w:val="20"/>
          <w:szCs w:val="20"/>
        </w:rPr>
        <w:footnoteReference w:id="2"/>
      </w:r>
      <w:r w:rsidR="00307771" w:rsidRPr="00D41FEB">
        <w:rPr>
          <w:rFonts w:ascii="Verdana" w:hAnsi="Verdana"/>
          <w:sz w:val="20"/>
          <w:szCs w:val="20"/>
        </w:rPr>
        <w:t xml:space="preserve"> o, incluso, el reciente </w:t>
      </w:r>
      <w:proofErr w:type="spellStart"/>
      <w:r w:rsidR="00307771" w:rsidRPr="00D41FEB">
        <w:rPr>
          <w:rFonts w:ascii="Verdana" w:hAnsi="Verdana"/>
          <w:i/>
          <w:sz w:val="20"/>
          <w:szCs w:val="20"/>
        </w:rPr>
        <w:t>Lhaka</w:t>
      </w:r>
      <w:proofErr w:type="spellEnd"/>
      <w:r w:rsidR="00307771" w:rsidRPr="00D41FEB">
        <w:rPr>
          <w:rFonts w:ascii="Verdana" w:hAnsi="Verdana"/>
          <w:i/>
          <w:sz w:val="20"/>
          <w:szCs w:val="20"/>
        </w:rPr>
        <w:t xml:space="preserve"> </w:t>
      </w:r>
      <w:proofErr w:type="spellStart"/>
      <w:r w:rsidR="00307771" w:rsidRPr="00D41FEB">
        <w:rPr>
          <w:rFonts w:ascii="Verdana" w:hAnsi="Verdana"/>
          <w:i/>
          <w:sz w:val="20"/>
          <w:szCs w:val="20"/>
        </w:rPr>
        <w:t>Honat</w:t>
      </w:r>
      <w:proofErr w:type="spellEnd"/>
      <w:r w:rsidR="00307771" w:rsidRPr="00D41FEB">
        <w:rPr>
          <w:rFonts w:ascii="Verdana" w:hAnsi="Verdana"/>
          <w:i/>
          <w:sz w:val="20"/>
          <w:szCs w:val="20"/>
        </w:rPr>
        <w:t xml:space="preserve"> Vs. Argentina</w:t>
      </w:r>
      <w:r w:rsidR="00D41FEB" w:rsidRPr="00D41FEB">
        <w:rPr>
          <w:rStyle w:val="Refdenotaalpie"/>
          <w:rFonts w:ascii="Verdana" w:hAnsi="Verdana"/>
          <w:i/>
          <w:sz w:val="20"/>
          <w:szCs w:val="20"/>
        </w:rPr>
        <w:footnoteReference w:id="3"/>
      </w:r>
      <w:r w:rsidR="00307771" w:rsidRPr="00D41FEB">
        <w:rPr>
          <w:rFonts w:ascii="Verdana" w:hAnsi="Verdana"/>
          <w:sz w:val="20"/>
          <w:szCs w:val="20"/>
        </w:rPr>
        <w:t xml:space="preserve">, donde las fronteras entre la </w:t>
      </w:r>
      <w:r w:rsidRPr="00D41FEB">
        <w:rPr>
          <w:rFonts w:ascii="Verdana" w:hAnsi="Verdana"/>
          <w:sz w:val="20"/>
          <w:szCs w:val="20"/>
        </w:rPr>
        <w:t xml:space="preserve">responsabilidad del Estado y </w:t>
      </w:r>
      <w:r w:rsidR="00307771" w:rsidRPr="00D41FEB">
        <w:rPr>
          <w:rFonts w:ascii="Verdana" w:hAnsi="Verdana"/>
          <w:sz w:val="20"/>
          <w:szCs w:val="20"/>
        </w:rPr>
        <w:t>de las empresas confluyen</w:t>
      </w:r>
      <w:r w:rsidRPr="00D41FEB">
        <w:rPr>
          <w:rFonts w:ascii="Verdana" w:hAnsi="Verdana"/>
          <w:sz w:val="20"/>
          <w:szCs w:val="20"/>
        </w:rPr>
        <w:t xml:space="preserve"> y se potencian a manera de retroalimentación en la generación de violaciones a los derechos humanos</w:t>
      </w:r>
      <w:r w:rsidR="00307771" w:rsidRPr="00D41FEB">
        <w:rPr>
          <w:rFonts w:ascii="Verdana" w:hAnsi="Verdana"/>
          <w:sz w:val="20"/>
          <w:szCs w:val="20"/>
        </w:rPr>
        <w:t xml:space="preserve">. </w:t>
      </w:r>
      <w:r w:rsidR="00374CA3" w:rsidRPr="00D41FEB">
        <w:rPr>
          <w:rFonts w:ascii="Verdana" w:hAnsi="Verdana"/>
          <w:sz w:val="20"/>
          <w:szCs w:val="20"/>
        </w:rPr>
        <w:t xml:space="preserve">Resulta </w:t>
      </w:r>
      <w:r w:rsidRPr="00D41FEB">
        <w:rPr>
          <w:rFonts w:ascii="Verdana" w:hAnsi="Verdana"/>
          <w:sz w:val="20"/>
          <w:szCs w:val="20"/>
        </w:rPr>
        <w:t xml:space="preserve">oportuno </w:t>
      </w:r>
      <w:r w:rsidR="00374CA3" w:rsidRPr="00D41FEB">
        <w:rPr>
          <w:rFonts w:ascii="Verdana" w:hAnsi="Verdana"/>
          <w:sz w:val="20"/>
          <w:szCs w:val="20"/>
        </w:rPr>
        <w:t>preguntarse si las reglas de atribución de responsabilidad internacional, tal como se encuent</w:t>
      </w:r>
      <w:r w:rsidRPr="00D41FEB">
        <w:rPr>
          <w:rFonts w:ascii="Verdana" w:hAnsi="Verdana"/>
          <w:sz w:val="20"/>
          <w:szCs w:val="20"/>
        </w:rPr>
        <w:t>ra tradicionalmente establecida</w:t>
      </w:r>
      <w:r w:rsidR="00374CA3" w:rsidRPr="00D41FEB">
        <w:rPr>
          <w:rFonts w:ascii="Verdana" w:hAnsi="Verdana"/>
          <w:sz w:val="20"/>
          <w:szCs w:val="20"/>
        </w:rPr>
        <w:t>, donde es el Estado exclusivamente el destinatario primigenio, deben mantenerse inamovib</w:t>
      </w:r>
      <w:r w:rsidRPr="00D41FEB">
        <w:rPr>
          <w:rFonts w:ascii="Verdana" w:hAnsi="Verdana"/>
          <w:sz w:val="20"/>
          <w:szCs w:val="20"/>
        </w:rPr>
        <w:t xml:space="preserve">les. Estos casos tenían, y </w:t>
      </w:r>
      <w:r w:rsidR="00374CA3" w:rsidRPr="00D41FEB">
        <w:rPr>
          <w:rFonts w:ascii="Verdana" w:hAnsi="Verdana"/>
          <w:sz w:val="20"/>
          <w:szCs w:val="20"/>
        </w:rPr>
        <w:t xml:space="preserve">los que vendrán, </w:t>
      </w:r>
      <w:r w:rsidRPr="00D41FEB">
        <w:rPr>
          <w:rFonts w:ascii="Verdana" w:hAnsi="Verdana"/>
          <w:sz w:val="20"/>
          <w:szCs w:val="20"/>
        </w:rPr>
        <w:t xml:space="preserve">tienen, </w:t>
      </w:r>
      <w:r w:rsidR="00374CA3" w:rsidRPr="00D41FEB">
        <w:rPr>
          <w:rFonts w:ascii="Verdana" w:hAnsi="Verdana"/>
          <w:sz w:val="20"/>
          <w:szCs w:val="20"/>
        </w:rPr>
        <w:t xml:space="preserve">una particularidad esencial, que es el </w:t>
      </w:r>
      <w:r w:rsidRPr="00D41FEB">
        <w:rPr>
          <w:rFonts w:ascii="Verdana" w:hAnsi="Verdana"/>
          <w:sz w:val="20"/>
          <w:szCs w:val="20"/>
        </w:rPr>
        <w:t>hecho que las empresas que opera</w:t>
      </w:r>
      <w:r w:rsidR="00374CA3" w:rsidRPr="00D41FEB">
        <w:rPr>
          <w:rFonts w:ascii="Verdana" w:hAnsi="Verdana"/>
          <w:sz w:val="20"/>
          <w:szCs w:val="20"/>
        </w:rPr>
        <w:t xml:space="preserve">n con intereses en </w:t>
      </w:r>
      <w:r w:rsidR="00374CA3" w:rsidRPr="00D41FEB">
        <w:rPr>
          <w:rFonts w:ascii="Verdana" w:hAnsi="Verdana"/>
          <w:sz w:val="20"/>
          <w:szCs w:val="20"/>
        </w:rPr>
        <w:lastRenderedPageBreak/>
        <w:t xml:space="preserve">diversos países, </w:t>
      </w:r>
      <w:r w:rsidR="00B47CFF" w:rsidRPr="00D41FEB">
        <w:rPr>
          <w:rFonts w:ascii="Verdana" w:hAnsi="Verdana"/>
          <w:sz w:val="20"/>
          <w:szCs w:val="20"/>
        </w:rPr>
        <w:t>cuenta</w:t>
      </w:r>
      <w:r w:rsidR="00685923" w:rsidRPr="00D41FEB">
        <w:rPr>
          <w:rFonts w:ascii="Verdana" w:hAnsi="Verdana"/>
          <w:sz w:val="20"/>
          <w:szCs w:val="20"/>
        </w:rPr>
        <w:t xml:space="preserve">n con </w:t>
      </w:r>
      <w:r w:rsidR="00374CA3" w:rsidRPr="00D41FEB">
        <w:rPr>
          <w:rFonts w:ascii="Verdana" w:hAnsi="Verdana"/>
          <w:sz w:val="20"/>
          <w:szCs w:val="20"/>
        </w:rPr>
        <w:t xml:space="preserve">actividades en distintos Estados y </w:t>
      </w:r>
      <w:r w:rsidR="00B47CFF" w:rsidRPr="00D41FEB">
        <w:rPr>
          <w:rFonts w:ascii="Verdana" w:hAnsi="Verdana"/>
          <w:sz w:val="20"/>
          <w:szCs w:val="20"/>
        </w:rPr>
        <w:t>generalmente está</w:t>
      </w:r>
      <w:r w:rsidR="00685923" w:rsidRPr="00D41FEB">
        <w:rPr>
          <w:rFonts w:ascii="Verdana" w:hAnsi="Verdana"/>
          <w:sz w:val="20"/>
          <w:szCs w:val="20"/>
        </w:rPr>
        <w:t xml:space="preserve">n </w:t>
      </w:r>
      <w:r w:rsidR="00B47CFF" w:rsidRPr="00D41FEB">
        <w:rPr>
          <w:rFonts w:ascii="Verdana" w:hAnsi="Verdana"/>
          <w:sz w:val="20"/>
          <w:szCs w:val="20"/>
        </w:rPr>
        <w:t>constituidas</w:t>
      </w:r>
      <w:r w:rsidR="00374CA3" w:rsidRPr="00D41FEB">
        <w:rPr>
          <w:rFonts w:ascii="Verdana" w:hAnsi="Verdana"/>
          <w:sz w:val="20"/>
          <w:szCs w:val="20"/>
        </w:rPr>
        <w:t xml:space="preserve"> en múltiples</w:t>
      </w:r>
      <w:r w:rsidR="00B47CFF" w:rsidRPr="00D41FEB">
        <w:rPr>
          <w:rFonts w:ascii="Verdana" w:hAnsi="Verdana"/>
          <w:sz w:val="20"/>
          <w:szCs w:val="20"/>
        </w:rPr>
        <w:t xml:space="preserve"> y diversas jurisdicciones. Estas empresas</w:t>
      </w:r>
      <w:r w:rsidR="00374CA3" w:rsidRPr="00D41FEB">
        <w:rPr>
          <w:rFonts w:ascii="Verdana" w:hAnsi="Verdana"/>
          <w:sz w:val="20"/>
          <w:szCs w:val="20"/>
        </w:rPr>
        <w:t xml:space="preserve"> se han convertido en verdaderos actores globales. Cabe preguntarse si el derecho internac</w:t>
      </w:r>
      <w:r w:rsidR="00B47CFF" w:rsidRPr="00D41FEB">
        <w:rPr>
          <w:rFonts w:ascii="Verdana" w:hAnsi="Verdana"/>
          <w:sz w:val="20"/>
          <w:szCs w:val="20"/>
        </w:rPr>
        <w:t>ional, tal como está configurado</w:t>
      </w:r>
      <w:r w:rsidR="00374CA3" w:rsidRPr="00D41FEB">
        <w:rPr>
          <w:rFonts w:ascii="Verdana" w:hAnsi="Verdana"/>
          <w:sz w:val="20"/>
          <w:szCs w:val="20"/>
        </w:rPr>
        <w:t xml:space="preserve"> actualmente, heredero de la concepción westfaliana de los Estados como actores</w:t>
      </w:r>
      <w:r w:rsidR="00685923" w:rsidRPr="00D41FEB">
        <w:rPr>
          <w:rFonts w:ascii="Verdana" w:hAnsi="Verdana"/>
          <w:sz w:val="20"/>
          <w:szCs w:val="20"/>
        </w:rPr>
        <w:t>, sino únicos</w:t>
      </w:r>
      <w:r w:rsidR="00374CA3" w:rsidRPr="00D41FEB">
        <w:rPr>
          <w:rFonts w:ascii="Verdana" w:hAnsi="Verdana"/>
          <w:sz w:val="20"/>
          <w:szCs w:val="20"/>
        </w:rPr>
        <w:t xml:space="preserve"> principales, resulta suficiente para encarar estos desafíos. Desafíos, que no son pocos, si vemos que afectan no sólo aspectos sensibles para nuestras comunidades como es la propiedad y co</w:t>
      </w:r>
      <w:r w:rsidR="00B47CFF" w:rsidRPr="00D41FEB">
        <w:rPr>
          <w:rFonts w:ascii="Verdana" w:hAnsi="Verdana"/>
          <w:sz w:val="20"/>
          <w:szCs w:val="20"/>
        </w:rPr>
        <w:t>n ellos, todas las implicancias</w:t>
      </w:r>
      <w:r w:rsidR="00374CA3" w:rsidRPr="00D41FEB">
        <w:rPr>
          <w:rFonts w:ascii="Verdana" w:hAnsi="Verdana"/>
          <w:sz w:val="20"/>
          <w:szCs w:val="20"/>
        </w:rPr>
        <w:t xml:space="preserve"> que ha considerado la Corte, que van desde el derecho al agua, alimentación a la supervivencia misma de su cultura, pero tam</w:t>
      </w:r>
      <w:r w:rsidR="00B47CFF" w:rsidRPr="00D41FEB">
        <w:rPr>
          <w:rFonts w:ascii="Verdana" w:hAnsi="Verdana"/>
          <w:sz w:val="20"/>
          <w:szCs w:val="20"/>
        </w:rPr>
        <w:t>bién a las afectaciones a la salud y a los derechos sociales.</w:t>
      </w:r>
    </w:p>
    <w:p w:rsidR="00E806BA" w:rsidRPr="00D41FEB" w:rsidRDefault="00E806BA" w:rsidP="00217612">
      <w:pPr>
        <w:pStyle w:val="Prrafodelista"/>
        <w:tabs>
          <w:tab w:val="left" w:pos="567"/>
        </w:tabs>
        <w:ind w:left="0"/>
        <w:contextualSpacing w:val="0"/>
        <w:jc w:val="both"/>
        <w:rPr>
          <w:rFonts w:ascii="Verdana" w:hAnsi="Verdana"/>
          <w:i/>
          <w:sz w:val="20"/>
          <w:szCs w:val="20"/>
        </w:rPr>
      </w:pPr>
    </w:p>
    <w:p w:rsidR="00792BB1" w:rsidRPr="00D41FEB" w:rsidRDefault="00374CA3" w:rsidP="00217612">
      <w:pPr>
        <w:pStyle w:val="Prrafodelista"/>
        <w:numPr>
          <w:ilvl w:val="0"/>
          <w:numId w:val="1"/>
        </w:numPr>
        <w:tabs>
          <w:tab w:val="left" w:pos="567"/>
        </w:tabs>
        <w:ind w:left="0" w:firstLine="0"/>
        <w:contextualSpacing w:val="0"/>
        <w:jc w:val="both"/>
        <w:rPr>
          <w:rFonts w:ascii="Verdana" w:hAnsi="Verdana"/>
          <w:i/>
          <w:sz w:val="20"/>
          <w:szCs w:val="20"/>
        </w:rPr>
      </w:pPr>
      <w:r w:rsidRPr="00D41FEB">
        <w:rPr>
          <w:rFonts w:ascii="Verdana" w:hAnsi="Verdana"/>
          <w:sz w:val="20"/>
          <w:szCs w:val="20"/>
        </w:rPr>
        <w:t xml:space="preserve">En casos como </w:t>
      </w:r>
      <w:r w:rsidR="00307771" w:rsidRPr="00D41FEB">
        <w:rPr>
          <w:rFonts w:ascii="Verdana" w:hAnsi="Verdana"/>
          <w:i/>
          <w:sz w:val="20"/>
          <w:szCs w:val="20"/>
        </w:rPr>
        <w:t xml:space="preserve">González </w:t>
      </w:r>
      <w:proofErr w:type="spellStart"/>
      <w:r w:rsidR="00307771" w:rsidRPr="00D41FEB">
        <w:rPr>
          <w:rFonts w:ascii="Verdana" w:hAnsi="Verdana"/>
          <w:i/>
          <w:sz w:val="20"/>
          <w:szCs w:val="20"/>
        </w:rPr>
        <w:t>Lluy</w:t>
      </w:r>
      <w:proofErr w:type="spellEnd"/>
      <w:r w:rsidR="00307771" w:rsidRPr="00D41FEB">
        <w:rPr>
          <w:rFonts w:ascii="Verdana" w:hAnsi="Verdana"/>
          <w:i/>
          <w:sz w:val="20"/>
          <w:szCs w:val="20"/>
        </w:rPr>
        <w:t xml:space="preserve"> Vs. Ecuador </w:t>
      </w:r>
      <w:r w:rsidR="00307771" w:rsidRPr="00D41FEB">
        <w:rPr>
          <w:rFonts w:ascii="Verdana" w:hAnsi="Verdana"/>
          <w:sz w:val="20"/>
          <w:szCs w:val="20"/>
        </w:rPr>
        <w:t xml:space="preserve">o </w:t>
      </w:r>
      <w:proofErr w:type="spellStart"/>
      <w:r w:rsidR="00685923" w:rsidRPr="00D41FEB">
        <w:rPr>
          <w:rFonts w:ascii="Verdana" w:hAnsi="Verdana"/>
          <w:i/>
          <w:sz w:val="20"/>
          <w:szCs w:val="20"/>
        </w:rPr>
        <w:t>Ximenes</w:t>
      </w:r>
      <w:proofErr w:type="spellEnd"/>
      <w:r w:rsidR="00685923" w:rsidRPr="00D41FEB">
        <w:rPr>
          <w:rFonts w:ascii="Verdana" w:hAnsi="Verdana"/>
          <w:i/>
          <w:sz w:val="20"/>
          <w:szCs w:val="20"/>
        </w:rPr>
        <w:t xml:space="preserve"> </w:t>
      </w:r>
      <w:proofErr w:type="spellStart"/>
      <w:r w:rsidR="00685923" w:rsidRPr="00D41FEB">
        <w:rPr>
          <w:rFonts w:ascii="Verdana" w:hAnsi="Verdana"/>
          <w:i/>
          <w:sz w:val="20"/>
          <w:szCs w:val="20"/>
        </w:rPr>
        <w:t>Lópes</w:t>
      </w:r>
      <w:proofErr w:type="spellEnd"/>
      <w:r w:rsidR="00685923" w:rsidRPr="00D41FEB">
        <w:rPr>
          <w:rFonts w:ascii="Verdana" w:hAnsi="Verdana"/>
          <w:i/>
          <w:sz w:val="20"/>
          <w:szCs w:val="20"/>
        </w:rPr>
        <w:t xml:space="preserve">, </w:t>
      </w:r>
      <w:r w:rsidR="00685923" w:rsidRPr="00D41FEB">
        <w:rPr>
          <w:rFonts w:ascii="Verdana" w:hAnsi="Verdana"/>
          <w:sz w:val="20"/>
          <w:szCs w:val="20"/>
        </w:rPr>
        <w:t xml:space="preserve">se trató específicamente las obligaciones de las empresas privadas de proveer servicios públicos. Una paradoja: se </w:t>
      </w:r>
      <w:r w:rsidR="00BE6186" w:rsidRPr="00D41FEB">
        <w:rPr>
          <w:rFonts w:ascii="Verdana" w:hAnsi="Verdana"/>
          <w:sz w:val="20"/>
          <w:szCs w:val="20"/>
        </w:rPr>
        <w:t>instrumentaliza al ámbito privado</w:t>
      </w:r>
      <w:r w:rsidR="00B8054A" w:rsidRPr="00D41FEB">
        <w:rPr>
          <w:rFonts w:ascii="Verdana" w:hAnsi="Verdana"/>
          <w:sz w:val="20"/>
          <w:szCs w:val="20"/>
        </w:rPr>
        <w:t xml:space="preserve"> en el desempeño de</w:t>
      </w:r>
      <w:r w:rsidR="00685923" w:rsidRPr="00D41FEB">
        <w:rPr>
          <w:rFonts w:ascii="Verdana" w:hAnsi="Verdana"/>
          <w:sz w:val="20"/>
          <w:szCs w:val="20"/>
        </w:rPr>
        <w:t xml:space="preserve"> una tarea eminentemente estatal, sin la posibilidad de respaldo estatal. Es decir, el Estado deja a la esfera privada sus funciones de naturaleza pública, pero limita la responsabilidad bajo </w:t>
      </w:r>
      <w:r w:rsidR="00BE6186" w:rsidRPr="00D41FEB">
        <w:rPr>
          <w:rFonts w:ascii="Verdana" w:hAnsi="Verdana"/>
          <w:sz w:val="20"/>
          <w:szCs w:val="20"/>
        </w:rPr>
        <w:t>el</w:t>
      </w:r>
      <w:r w:rsidR="00B8054A" w:rsidRPr="00D41FEB">
        <w:rPr>
          <w:rFonts w:ascii="Verdana" w:hAnsi="Verdana"/>
          <w:sz w:val="20"/>
          <w:szCs w:val="20"/>
        </w:rPr>
        <w:t xml:space="preserve"> escudo corporativo, vale decir: no se levanta el velo.</w:t>
      </w:r>
      <w:r w:rsidR="00685923" w:rsidRPr="00D41FEB">
        <w:rPr>
          <w:rFonts w:ascii="Verdana" w:hAnsi="Verdana"/>
          <w:sz w:val="20"/>
          <w:szCs w:val="20"/>
        </w:rPr>
        <w:t xml:space="preserve"> En este punto cabe preguntarse, sobre </w:t>
      </w:r>
      <w:r w:rsidR="00E806BA" w:rsidRPr="00D41FEB">
        <w:rPr>
          <w:rFonts w:ascii="Verdana" w:hAnsi="Verdana"/>
          <w:sz w:val="20"/>
          <w:szCs w:val="20"/>
        </w:rPr>
        <w:t>la vigencia actual del</w:t>
      </w:r>
      <w:r w:rsidR="00685923" w:rsidRPr="00D41FEB">
        <w:rPr>
          <w:rFonts w:ascii="Verdana" w:hAnsi="Verdana"/>
          <w:sz w:val="20"/>
          <w:szCs w:val="20"/>
        </w:rPr>
        <w:t xml:space="preserve"> sistema corporativo, existente en todos nuest</w:t>
      </w:r>
      <w:r w:rsidR="00B8054A" w:rsidRPr="00D41FEB">
        <w:rPr>
          <w:rFonts w:ascii="Verdana" w:hAnsi="Verdana"/>
          <w:sz w:val="20"/>
          <w:szCs w:val="20"/>
        </w:rPr>
        <w:t xml:space="preserve">ros países y cómo sus reglas </w:t>
      </w:r>
      <w:r w:rsidR="00685923" w:rsidRPr="00D41FEB">
        <w:rPr>
          <w:rFonts w:ascii="Verdana" w:hAnsi="Verdana"/>
          <w:sz w:val="20"/>
          <w:szCs w:val="20"/>
        </w:rPr>
        <w:t xml:space="preserve">algunos repiten como si </w:t>
      </w:r>
      <w:r w:rsidR="00B8054A" w:rsidRPr="00D41FEB">
        <w:rPr>
          <w:rFonts w:ascii="Verdana" w:hAnsi="Verdana"/>
          <w:sz w:val="20"/>
          <w:szCs w:val="20"/>
        </w:rPr>
        <w:t xml:space="preserve">realmente </w:t>
      </w:r>
      <w:r w:rsidR="00685923" w:rsidRPr="00D41FEB">
        <w:rPr>
          <w:rFonts w:ascii="Verdana" w:hAnsi="Verdana"/>
          <w:sz w:val="20"/>
          <w:szCs w:val="20"/>
        </w:rPr>
        <w:t>fueran principios</w:t>
      </w:r>
      <w:r w:rsidR="00B8054A" w:rsidRPr="00D41FEB">
        <w:rPr>
          <w:rFonts w:ascii="Verdana" w:hAnsi="Verdana"/>
          <w:sz w:val="20"/>
          <w:szCs w:val="20"/>
        </w:rPr>
        <w:t xml:space="preserve"> generales del derecho</w:t>
      </w:r>
      <w:r w:rsidR="00685923" w:rsidRPr="00D41FEB">
        <w:rPr>
          <w:rFonts w:ascii="Verdana" w:hAnsi="Verdana"/>
          <w:sz w:val="20"/>
          <w:szCs w:val="20"/>
        </w:rPr>
        <w:t>. El legado de gran parte de éstas proviene del mercantilismo y el producto de la era colonial</w:t>
      </w:r>
      <w:r w:rsidR="00685923" w:rsidRPr="00D41FEB">
        <w:rPr>
          <w:rStyle w:val="Refdenotaalpie"/>
          <w:rFonts w:ascii="Verdana" w:hAnsi="Verdana"/>
          <w:i/>
          <w:sz w:val="20"/>
          <w:szCs w:val="20"/>
        </w:rPr>
        <w:footnoteReference w:id="4"/>
      </w:r>
      <w:r w:rsidR="00685923" w:rsidRPr="00D41FEB">
        <w:rPr>
          <w:rFonts w:ascii="Verdana" w:hAnsi="Verdana"/>
          <w:sz w:val="20"/>
          <w:szCs w:val="20"/>
        </w:rPr>
        <w:t xml:space="preserve">. Un legado que América Latina aún </w:t>
      </w:r>
      <w:r w:rsidR="00E806BA" w:rsidRPr="00D41FEB">
        <w:rPr>
          <w:rFonts w:ascii="Verdana" w:hAnsi="Verdana"/>
          <w:sz w:val="20"/>
          <w:szCs w:val="20"/>
        </w:rPr>
        <w:t xml:space="preserve">lucha por </w:t>
      </w:r>
      <w:r w:rsidR="00685923" w:rsidRPr="00D41FEB">
        <w:rPr>
          <w:rFonts w:ascii="Verdana" w:hAnsi="Verdana"/>
          <w:sz w:val="20"/>
          <w:szCs w:val="20"/>
        </w:rPr>
        <w:t xml:space="preserve">dejar atrás. Cuando conocimos el </w:t>
      </w:r>
      <w:r w:rsidR="00685923" w:rsidRPr="00D41FEB">
        <w:rPr>
          <w:rFonts w:ascii="Verdana" w:hAnsi="Verdana"/>
          <w:i/>
          <w:sz w:val="20"/>
          <w:szCs w:val="20"/>
        </w:rPr>
        <w:t>Caso Hacienda Brasil Verde Vs. Brasil</w:t>
      </w:r>
      <w:r w:rsidR="00E806BA" w:rsidRPr="00D41FEB">
        <w:rPr>
          <w:rFonts w:ascii="Verdana" w:hAnsi="Verdana"/>
          <w:sz w:val="20"/>
          <w:szCs w:val="20"/>
        </w:rPr>
        <w:t>, que trata sobre 85 trabajadores, cuya exclusión y marginación, así como los intereses empresariales</w:t>
      </w:r>
      <w:r w:rsidR="00181243" w:rsidRPr="00D41FEB">
        <w:rPr>
          <w:rFonts w:ascii="Verdana" w:hAnsi="Verdana"/>
          <w:sz w:val="20"/>
          <w:szCs w:val="20"/>
        </w:rPr>
        <w:t>,</w:t>
      </w:r>
      <w:r w:rsidR="00E806BA" w:rsidRPr="00D41FEB">
        <w:rPr>
          <w:rFonts w:ascii="Verdana" w:hAnsi="Verdana"/>
          <w:sz w:val="20"/>
          <w:szCs w:val="20"/>
        </w:rPr>
        <w:t xml:space="preserve"> convirtieron en esclavos en una Hacienda en el</w:t>
      </w:r>
      <w:r w:rsidR="00181243" w:rsidRPr="00D41FEB">
        <w:rPr>
          <w:rFonts w:ascii="Verdana" w:hAnsi="Verdana"/>
          <w:sz w:val="20"/>
          <w:szCs w:val="20"/>
        </w:rPr>
        <w:t xml:space="preserve"> Estado de Pará en Brasil, constatamos</w:t>
      </w:r>
      <w:r w:rsidR="00E806BA" w:rsidRPr="00D41FEB">
        <w:rPr>
          <w:rFonts w:ascii="Verdana" w:hAnsi="Verdana"/>
          <w:sz w:val="20"/>
          <w:szCs w:val="20"/>
        </w:rPr>
        <w:t xml:space="preserve"> una problemática sino generalizada, por lo menos recurrente. Un sistema, cuyos actores, instituciones públicas y, sobre todo, privadas, deshumanizan y convierten en parte de este engranaje del capitalismo a hombres y mujeres</w:t>
      </w:r>
      <w:r w:rsidR="00181243" w:rsidRPr="00D41FEB">
        <w:rPr>
          <w:rFonts w:ascii="Verdana" w:hAnsi="Verdana"/>
          <w:sz w:val="20"/>
          <w:szCs w:val="20"/>
        </w:rPr>
        <w:t>, muchas veces niños y niñas,</w:t>
      </w:r>
      <w:r w:rsidR="00E806BA" w:rsidRPr="00D41FEB">
        <w:rPr>
          <w:rFonts w:ascii="Verdana" w:hAnsi="Verdana"/>
          <w:sz w:val="20"/>
          <w:szCs w:val="20"/>
        </w:rPr>
        <w:t xml:space="preserve"> sin otras oportunidades</w:t>
      </w:r>
      <w:r w:rsidR="00181243" w:rsidRPr="00D41FEB">
        <w:rPr>
          <w:rFonts w:ascii="Verdana" w:hAnsi="Verdana"/>
          <w:sz w:val="20"/>
          <w:szCs w:val="20"/>
        </w:rPr>
        <w:t xml:space="preserve"> alternativas como proyecto de vida digno, tal como reconoce la Sentencia, colocándoles </w:t>
      </w:r>
      <w:r w:rsidR="00E806BA" w:rsidRPr="00D41FEB">
        <w:rPr>
          <w:rFonts w:ascii="Verdana" w:hAnsi="Verdana"/>
          <w:sz w:val="20"/>
          <w:szCs w:val="20"/>
        </w:rPr>
        <w:t>‘‘</w:t>
      </w:r>
      <w:r w:rsidR="00E806BA" w:rsidRPr="00D41FEB">
        <w:rPr>
          <w:rFonts w:ascii="Verdana" w:hAnsi="Verdana"/>
          <w:sz w:val="20"/>
          <w:szCs w:val="20"/>
          <w:lang w:val="es-ES"/>
        </w:rPr>
        <w:t>en los últimos eslabones de las cadenas de suministro de una economía globalizada’’</w:t>
      </w:r>
      <w:r w:rsidR="00E806BA" w:rsidRPr="00D41FEB">
        <w:rPr>
          <w:rStyle w:val="Refdenotaalpie"/>
          <w:rFonts w:ascii="Verdana" w:hAnsi="Verdana"/>
          <w:sz w:val="20"/>
          <w:szCs w:val="20"/>
          <w:lang w:val="es-ES"/>
        </w:rPr>
        <w:footnoteReference w:id="5"/>
      </w:r>
      <w:r w:rsidR="00181243" w:rsidRPr="00D41FEB">
        <w:rPr>
          <w:rFonts w:ascii="Verdana" w:hAnsi="Verdana"/>
          <w:sz w:val="20"/>
          <w:szCs w:val="20"/>
          <w:lang w:val="es-ES"/>
        </w:rPr>
        <w:t>, así</w:t>
      </w:r>
      <w:r w:rsidR="00E806BA" w:rsidRPr="00D41FEB">
        <w:rPr>
          <w:rFonts w:ascii="Verdana" w:hAnsi="Verdana"/>
          <w:sz w:val="20"/>
          <w:szCs w:val="20"/>
          <w:lang w:val="es-ES"/>
        </w:rPr>
        <w:t xml:space="preserve"> las personas no tiene más consentimiento, ni voluntad. </w:t>
      </w:r>
      <w:r w:rsidR="00C928E0" w:rsidRPr="00D41FEB">
        <w:rPr>
          <w:rFonts w:ascii="Verdana" w:hAnsi="Verdana"/>
          <w:sz w:val="20"/>
          <w:szCs w:val="20"/>
          <w:lang w:val="es-ES"/>
        </w:rPr>
        <w:t xml:space="preserve">Este caso trajo consigo un importante desarrollo, que fue el considerar la posibilidad de incluir bajo el concepto tradicional de esclavitud a la esclavitud moderna. Una de las normas de </w:t>
      </w:r>
      <w:proofErr w:type="spellStart"/>
      <w:r w:rsidR="00C928E0" w:rsidRPr="00D41FEB">
        <w:rPr>
          <w:rFonts w:ascii="Verdana" w:hAnsi="Verdana"/>
          <w:i/>
          <w:sz w:val="20"/>
          <w:szCs w:val="20"/>
          <w:lang w:val="es-ES"/>
        </w:rPr>
        <w:t>jus</w:t>
      </w:r>
      <w:proofErr w:type="spellEnd"/>
      <w:r w:rsidR="00C928E0" w:rsidRPr="00D41FEB">
        <w:rPr>
          <w:rFonts w:ascii="Verdana" w:hAnsi="Verdana"/>
          <w:i/>
          <w:sz w:val="20"/>
          <w:szCs w:val="20"/>
          <w:lang w:val="es-ES"/>
        </w:rPr>
        <w:t xml:space="preserve"> </w:t>
      </w:r>
      <w:proofErr w:type="spellStart"/>
      <w:r w:rsidR="00C928E0" w:rsidRPr="00D41FEB">
        <w:rPr>
          <w:rFonts w:ascii="Verdana" w:hAnsi="Verdana"/>
          <w:i/>
          <w:sz w:val="20"/>
          <w:szCs w:val="20"/>
          <w:lang w:val="es-ES"/>
        </w:rPr>
        <w:t>cogens</w:t>
      </w:r>
      <w:proofErr w:type="spellEnd"/>
      <w:r w:rsidR="00C928E0" w:rsidRPr="00D41FEB">
        <w:rPr>
          <w:rFonts w:ascii="Verdana" w:hAnsi="Verdana"/>
          <w:sz w:val="20"/>
          <w:szCs w:val="20"/>
          <w:lang w:val="es-ES"/>
        </w:rPr>
        <w:t xml:space="preserve">, que algunos consideran inamovible, aunque ya no cumpla más sus objetivos, entraba a ser considerada también para estas situaciones. </w:t>
      </w:r>
      <w:r w:rsidR="00181243" w:rsidRPr="00D41FEB">
        <w:rPr>
          <w:rFonts w:ascii="Verdana" w:hAnsi="Verdana"/>
          <w:sz w:val="20"/>
          <w:szCs w:val="20"/>
          <w:lang w:val="es-ES"/>
        </w:rPr>
        <w:t>Este ejemplo</w:t>
      </w:r>
      <w:r w:rsidR="00BE6186" w:rsidRPr="00D41FEB">
        <w:rPr>
          <w:rFonts w:ascii="Verdana" w:hAnsi="Verdana"/>
          <w:sz w:val="20"/>
          <w:szCs w:val="20"/>
          <w:lang w:val="es-ES"/>
        </w:rPr>
        <w:t xml:space="preserve"> nos demuestra cómo el derecho internacional está y tiene que estar en constante desarrollo para abordar l</w:t>
      </w:r>
      <w:r w:rsidR="00792BB1" w:rsidRPr="00D41FEB">
        <w:rPr>
          <w:rFonts w:ascii="Verdana" w:hAnsi="Verdana"/>
          <w:sz w:val="20"/>
          <w:szCs w:val="20"/>
          <w:lang w:val="es-ES"/>
        </w:rPr>
        <w:t>as problemáticas más actuales</w:t>
      </w:r>
      <w:r w:rsidR="00181243" w:rsidRPr="00D41FEB">
        <w:rPr>
          <w:rFonts w:ascii="Verdana" w:hAnsi="Verdana"/>
          <w:sz w:val="20"/>
          <w:szCs w:val="20"/>
          <w:lang w:val="es-ES"/>
        </w:rPr>
        <w:t>, especialmente abordándolas desde un enfoque del derecho internacional de los derechos humanos</w:t>
      </w:r>
      <w:r w:rsidR="00792BB1" w:rsidRPr="00D41FEB">
        <w:rPr>
          <w:rFonts w:ascii="Verdana" w:hAnsi="Verdana"/>
          <w:sz w:val="20"/>
          <w:szCs w:val="20"/>
          <w:lang w:val="es-ES"/>
        </w:rPr>
        <w:t xml:space="preserve">. </w:t>
      </w:r>
    </w:p>
    <w:p w:rsidR="00BB3CA0" w:rsidRPr="00D41FEB" w:rsidRDefault="00BB3CA0" w:rsidP="00217612">
      <w:pPr>
        <w:pStyle w:val="Prrafodelista"/>
        <w:tabs>
          <w:tab w:val="left" w:pos="567"/>
        </w:tabs>
        <w:ind w:left="0"/>
        <w:contextualSpacing w:val="0"/>
        <w:jc w:val="both"/>
        <w:rPr>
          <w:rFonts w:ascii="Verdana" w:hAnsi="Verdana"/>
          <w:i/>
          <w:sz w:val="20"/>
          <w:szCs w:val="20"/>
        </w:rPr>
      </w:pPr>
    </w:p>
    <w:p w:rsidR="00EF0EF0" w:rsidRPr="00D41FEB" w:rsidRDefault="00792BB1" w:rsidP="00217612">
      <w:pPr>
        <w:pStyle w:val="Prrafodelista"/>
        <w:numPr>
          <w:ilvl w:val="0"/>
          <w:numId w:val="1"/>
        </w:numPr>
        <w:tabs>
          <w:tab w:val="left" w:pos="567"/>
        </w:tabs>
        <w:ind w:left="0" w:firstLine="0"/>
        <w:contextualSpacing w:val="0"/>
        <w:jc w:val="both"/>
        <w:rPr>
          <w:rFonts w:ascii="Verdana" w:hAnsi="Verdana"/>
          <w:i/>
          <w:sz w:val="20"/>
          <w:szCs w:val="20"/>
        </w:rPr>
      </w:pPr>
      <w:r w:rsidRPr="00D41FEB">
        <w:rPr>
          <w:rFonts w:ascii="Verdana" w:hAnsi="Verdana"/>
          <w:sz w:val="20"/>
          <w:szCs w:val="20"/>
        </w:rPr>
        <w:t>P</w:t>
      </w:r>
      <w:proofErr w:type="spellStart"/>
      <w:r w:rsidR="00BE6186" w:rsidRPr="00D41FEB">
        <w:rPr>
          <w:rFonts w:ascii="Verdana" w:hAnsi="Verdana"/>
          <w:sz w:val="20"/>
          <w:szCs w:val="20"/>
          <w:lang w:val="es-ES"/>
        </w:rPr>
        <w:t>or</w:t>
      </w:r>
      <w:proofErr w:type="spellEnd"/>
      <w:r w:rsidR="00BE6186" w:rsidRPr="00D41FEB">
        <w:rPr>
          <w:rFonts w:ascii="Verdana" w:hAnsi="Verdana"/>
          <w:sz w:val="20"/>
          <w:szCs w:val="20"/>
          <w:lang w:val="es-ES"/>
        </w:rPr>
        <w:t xml:space="preserve"> supuesto, los hechos del </w:t>
      </w:r>
      <w:r w:rsidR="00BE6186" w:rsidRPr="00D41FEB">
        <w:rPr>
          <w:rFonts w:ascii="Verdana" w:hAnsi="Verdana"/>
          <w:i/>
          <w:sz w:val="20"/>
          <w:szCs w:val="20"/>
          <w:lang w:val="es-ES"/>
        </w:rPr>
        <w:t xml:space="preserve">caso Hacienda Brasil Verde, </w:t>
      </w:r>
      <w:r w:rsidR="00BE6186" w:rsidRPr="00D41FEB">
        <w:rPr>
          <w:rFonts w:ascii="Verdana" w:hAnsi="Verdana"/>
          <w:sz w:val="20"/>
          <w:szCs w:val="20"/>
          <w:lang w:val="es-ES"/>
        </w:rPr>
        <w:t xml:space="preserve">así como del </w:t>
      </w:r>
      <w:r w:rsidR="00BE6186" w:rsidRPr="00D41FEB">
        <w:rPr>
          <w:rFonts w:ascii="Verdana" w:hAnsi="Verdana"/>
          <w:i/>
          <w:sz w:val="20"/>
          <w:szCs w:val="20"/>
          <w:lang w:val="es-ES"/>
        </w:rPr>
        <w:t>caso Fábrica de Fuegos</w:t>
      </w:r>
      <w:r w:rsidRPr="00D41FEB">
        <w:rPr>
          <w:rStyle w:val="Refdenotaalpie"/>
          <w:rFonts w:ascii="Verdana" w:hAnsi="Verdana"/>
          <w:i/>
          <w:sz w:val="20"/>
          <w:szCs w:val="20"/>
          <w:lang w:val="es-ES"/>
        </w:rPr>
        <w:footnoteReference w:id="6"/>
      </w:r>
      <w:r w:rsidR="00BE6186" w:rsidRPr="00D41FEB">
        <w:rPr>
          <w:rFonts w:ascii="Verdana" w:hAnsi="Verdana"/>
          <w:sz w:val="20"/>
          <w:szCs w:val="20"/>
          <w:lang w:val="es-ES"/>
        </w:rPr>
        <w:t xml:space="preserve"> también en con</w:t>
      </w:r>
      <w:r w:rsidR="00181243" w:rsidRPr="00D41FEB">
        <w:rPr>
          <w:rFonts w:ascii="Verdana" w:hAnsi="Verdana"/>
          <w:sz w:val="20"/>
          <w:szCs w:val="20"/>
          <w:lang w:val="es-ES"/>
        </w:rPr>
        <w:t xml:space="preserve">tra de Brasil, nos dan cuenta </w:t>
      </w:r>
      <w:r w:rsidRPr="00D41FEB">
        <w:rPr>
          <w:rFonts w:ascii="Verdana" w:hAnsi="Verdana"/>
          <w:sz w:val="20"/>
          <w:szCs w:val="20"/>
          <w:lang w:val="es-ES"/>
        </w:rPr>
        <w:t xml:space="preserve">que prácticas </w:t>
      </w:r>
      <w:r w:rsidR="00181243" w:rsidRPr="00D41FEB">
        <w:rPr>
          <w:rFonts w:ascii="Verdana" w:hAnsi="Verdana"/>
          <w:sz w:val="20"/>
          <w:szCs w:val="20"/>
          <w:lang w:val="es-ES"/>
        </w:rPr>
        <w:t xml:space="preserve">aberrantes </w:t>
      </w:r>
      <w:r w:rsidRPr="00D41FEB">
        <w:rPr>
          <w:rFonts w:ascii="Verdana" w:hAnsi="Verdana"/>
          <w:sz w:val="20"/>
          <w:szCs w:val="20"/>
          <w:lang w:val="es-ES"/>
        </w:rPr>
        <w:t>tan antiguas de explotación aún persisten en pleno siglo XXI.</w:t>
      </w:r>
      <w:r w:rsidR="00181243" w:rsidRPr="00D41FEB">
        <w:rPr>
          <w:rFonts w:ascii="Verdana" w:hAnsi="Verdana"/>
          <w:sz w:val="20"/>
          <w:szCs w:val="20"/>
          <w:lang w:val="es-ES"/>
        </w:rPr>
        <w:t xml:space="preserve"> Para una lectura de refuerzo de estas afirmaciones, </w:t>
      </w:r>
      <w:r w:rsidR="00CC0434" w:rsidRPr="00D41FEB">
        <w:rPr>
          <w:rFonts w:ascii="Verdana" w:hAnsi="Verdana"/>
          <w:sz w:val="20"/>
          <w:szCs w:val="20"/>
          <w:lang w:val="es-ES"/>
        </w:rPr>
        <w:t xml:space="preserve">aunque aún está en el orden de la justicia nacional, </w:t>
      </w:r>
      <w:r w:rsidR="00181243" w:rsidRPr="00D41FEB">
        <w:rPr>
          <w:rFonts w:ascii="Verdana" w:hAnsi="Verdana"/>
          <w:sz w:val="20"/>
          <w:szCs w:val="20"/>
          <w:lang w:val="es-ES"/>
        </w:rPr>
        <w:t xml:space="preserve">invito a revisar el caso y la sentencia de la empresa </w:t>
      </w:r>
      <w:proofErr w:type="spellStart"/>
      <w:r w:rsidR="00181243" w:rsidRPr="00D41FEB">
        <w:rPr>
          <w:rFonts w:ascii="Verdana" w:hAnsi="Verdana"/>
          <w:sz w:val="20"/>
          <w:szCs w:val="20"/>
          <w:lang w:val="es-ES"/>
        </w:rPr>
        <w:t>Furukawua</w:t>
      </w:r>
      <w:proofErr w:type="spellEnd"/>
      <w:r w:rsidR="00181243" w:rsidRPr="00D41FEB">
        <w:rPr>
          <w:rFonts w:ascii="Verdana" w:hAnsi="Verdana"/>
          <w:sz w:val="20"/>
          <w:szCs w:val="20"/>
          <w:lang w:val="es-ES"/>
        </w:rPr>
        <w:t xml:space="preserve"> en Ecuador.</w:t>
      </w:r>
      <w:r w:rsidRPr="00D41FEB">
        <w:rPr>
          <w:rFonts w:ascii="Verdana" w:hAnsi="Verdana"/>
          <w:sz w:val="20"/>
          <w:szCs w:val="20"/>
          <w:lang w:val="es-ES"/>
        </w:rPr>
        <w:t xml:space="preserve"> Sin embargo, </w:t>
      </w:r>
      <w:proofErr w:type="spellStart"/>
      <w:r w:rsidRPr="00D41FEB">
        <w:rPr>
          <w:rFonts w:ascii="Verdana" w:hAnsi="Verdana"/>
          <w:i/>
          <w:sz w:val="20"/>
          <w:szCs w:val="20"/>
          <w:lang w:val="es-ES"/>
        </w:rPr>
        <w:t>Frantz</w:t>
      </w:r>
      <w:proofErr w:type="spellEnd"/>
      <w:r w:rsidRPr="00D41FEB">
        <w:rPr>
          <w:rFonts w:ascii="Verdana" w:hAnsi="Verdana"/>
          <w:i/>
          <w:sz w:val="20"/>
          <w:szCs w:val="20"/>
          <w:lang w:val="es-ES"/>
        </w:rPr>
        <w:t xml:space="preserve"> </w:t>
      </w:r>
      <w:proofErr w:type="spellStart"/>
      <w:r w:rsidRPr="00D41FEB">
        <w:rPr>
          <w:rFonts w:ascii="Verdana" w:hAnsi="Verdana"/>
          <w:i/>
          <w:sz w:val="20"/>
          <w:szCs w:val="20"/>
          <w:lang w:val="es-ES"/>
        </w:rPr>
        <w:t>Fanon</w:t>
      </w:r>
      <w:proofErr w:type="spellEnd"/>
      <w:r w:rsidRPr="00D41FEB">
        <w:rPr>
          <w:rFonts w:ascii="Verdana" w:hAnsi="Verdana"/>
          <w:sz w:val="20"/>
          <w:szCs w:val="20"/>
          <w:lang w:val="es-ES"/>
        </w:rPr>
        <w:t xml:space="preserve"> </w:t>
      </w:r>
      <w:r w:rsidR="00EF0EF0" w:rsidRPr="00D41FEB">
        <w:rPr>
          <w:rFonts w:ascii="Verdana" w:hAnsi="Verdana"/>
          <w:sz w:val="20"/>
          <w:szCs w:val="20"/>
          <w:lang w:val="es-ES"/>
        </w:rPr>
        <w:t>explica</w:t>
      </w:r>
      <w:r w:rsidRPr="00D41FEB">
        <w:rPr>
          <w:rFonts w:ascii="Verdana" w:hAnsi="Verdana"/>
          <w:sz w:val="20"/>
          <w:szCs w:val="20"/>
          <w:lang w:val="es-ES"/>
        </w:rPr>
        <w:t xml:space="preserve"> que finalmente todas las formas </w:t>
      </w:r>
      <w:r w:rsidR="00EF0EF0" w:rsidRPr="00D41FEB">
        <w:rPr>
          <w:rFonts w:ascii="Verdana" w:hAnsi="Verdana"/>
          <w:sz w:val="20"/>
          <w:szCs w:val="20"/>
          <w:lang w:val="es-ES"/>
        </w:rPr>
        <w:t>de explotación son idénticas porque todas se aplican s</w:t>
      </w:r>
      <w:r w:rsidR="00077399" w:rsidRPr="00D41FEB">
        <w:rPr>
          <w:rFonts w:ascii="Verdana" w:hAnsi="Verdana"/>
          <w:sz w:val="20"/>
          <w:szCs w:val="20"/>
          <w:lang w:val="es-ES"/>
        </w:rPr>
        <w:t>obre el mismo objeto: la persona</w:t>
      </w:r>
      <w:r w:rsidR="00EF0EF0" w:rsidRPr="00D41FEB">
        <w:rPr>
          <w:rFonts w:ascii="Verdana" w:hAnsi="Verdana"/>
          <w:sz w:val="20"/>
          <w:szCs w:val="20"/>
          <w:lang w:val="es-ES"/>
        </w:rPr>
        <w:t>. Coincido e</w:t>
      </w:r>
      <w:r w:rsidR="007C14AE">
        <w:rPr>
          <w:rFonts w:ascii="Verdana" w:hAnsi="Verdana"/>
          <w:sz w:val="20"/>
          <w:szCs w:val="20"/>
          <w:lang w:val="es-ES"/>
        </w:rPr>
        <w:t>n este punto, lo relevante de la</w:t>
      </w:r>
      <w:r w:rsidR="00EF0EF0" w:rsidRPr="00D41FEB">
        <w:rPr>
          <w:rFonts w:ascii="Verdana" w:hAnsi="Verdana"/>
          <w:sz w:val="20"/>
          <w:szCs w:val="20"/>
          <w:lang w:val="es-ES"/>
        </w:rPr>
        <w:t xml:space="preserve"> explotación, al igual que de otras violaciones a los derechos humanos</w:t>
      </w:r>
      <w:r w:rsidR="007C14AE">
        <w:rPr>
          <w:rFonts w:ascii="Verdana" w:hAnsi="Verdana"/>
          <w:sz w:val="20"/>
          <w:szCs w:val="20"/>
          <w:lang w:val="es-ES"/>
        </w:rPr>
        <w:t>,</w:t>
      </w:r>
      <w:r w:rsidR="00EF0EF0" w:rsidRPr="00D41FEB">
        <w:rPr>
          <w:rFonts w:ascii="Verdana" w:hAnsi="Verdana"/>
          <w:sz w:val="20"/>
          <w:szCs w:val="20"/>
          <w:lang w:val="es-ES"/>
        </w:rPr>
        <w:t xml:space="preserve"> es la víctima. La construcción jurídica que se haga detrás para poder proteger sus derechos es</w:t>
      </w:r>
      <w:r w:rsidR="00EF7867" w:rsidRPr="00D41FEB">
        <w:rPr>
          <w:rFonts w:ascii="Verdana" w:hAnsi="Verdana"/>
          <w:sz w:val="20"/>
          <w:szCs w:val="20"/>
          <w:lang w:val="es-ES"/>
        </w:rPr>
        <w:t xml:space="preserve">, sino accesoria, por lo </w:t>
      </w:r>
      <w:r w:rsidR="00EF0EF0" w:rsidRPr="00D41FEB">
        <w:rPr>
          <w:rFonts w:ascii="Verdana" w:hAnsi="Verdana"/>
          <w:sz w:val="20"/>
          <w:szCs w:val="20"/>
          <w:lang w:val="es-ES"/>
        </w:rPr>
        <w:t xml:space="preserve">menos relevante para los efectos reales que es la reparación. Ahora bien, el caso de los buzos </w:t>
      </w:r>
      <w:proofErr w:type="spellStart"/>
      <w:r w:rsidR="00EF0EF0" w:rsidRPr="00D41FEB">
        <w:rPr>
          <w:rFonts w:ascii="Verdana" w:hAnsi="Verdana"/>
          <w:sz w:val="20"/>
          <w:szCs w:val="20"/>
          <w:lang w:val="es-ES"/>
        </w:rPr>
        <w:t>miskitos</w:t>
      </w:r>
      <w:proofErr w:type="spellEnd"/>
      <w:r w:rsidR="00EF0EF0" w:rsidRPr="00D41FEB">
        <w:rPr>
          <w:rFonts w:ascii="Verdana" w:hAnsi="Verdana"/>
          <w:sz w:val="20"/>
          <w:szCs w:val="20"/>
          <w:lang w:val="es-ES"/>
        </w:rPr>
        <w:t xml:space="preserve"> trae consigo la inter</w:t>
      </w:r>
      <w:r w:rsidR="00D41FEB" w:rsidRPr="00D41FEB">
        <w:rPr>
          <w:rFonts w:ascii="Verdana" w:hAnsi="Verdana"/>
          <w:sz w:val="20"/>
          <w:szCs w:val="20"/>
          <w:lang w:val="es-ES"/>
        </w:rPr>
        <w:t>acción entre diferentes actores</w:t>
      </w:r>
      <w:r w:rsidR="009F7BAA" w:rsidRPr="00D41FEB">
        <w:rPr>
          <w:rFonts w:ascii="Verdana" w:hAnsi="Verdana"/>
          <w:sz w:val="20"/>
          <w:szCs w:val="20"/>
          <w:lang w:val="es-ES"/>
        </w:rPr>
        <w:t>:</w:t>
      </w:r>
      <w:r w:rsidR="00EF0EF0" w:rsidRPr="00D41FEB">
        <w:rPr>
          <w:rFonts w:ascii="Verdana" w:hAnsi="Verdana"/>
          <w:sz w:val="20"/>
          <w:szCs w:val="20"/>
          <w:lang w:val="es-ES"/>
        </w:rPr>
        <w:t xml:space="preserve"> el Estado, la empresa privada y las comunidades </w:t>
      </w:r>
      <w:r w:rsidR="00EF0EF0" w:rsidRPr="00D41FEB">
        <w:rPr>
          <w:rFonts w:ascii="Verdana" w:hAnsi="Verdana"/>
          <w:sz w:val="20"/>
          <w:szCs w:val="20"/>
          <w:lang w:val="es-ES"/>
        </w:rPr>
        <w:lastRenderedPageBreak/>
        <w:t>indígenas</w:t>
      </w:r>
      <w:r w:rsidR="00BB3CA0" w:rsidRPr="00D41FEB">
        <w:rPr>
          <w:rFonts w:ascii="Verdana" w:hAnsi="Verdana"/>
          <w:sz w:val="20"/>
          <w:szCs w:val="20"/>
          <w:lang w:val="es-ES"/>
        </w:rPr>
        <w:t xml:space="preserve"> cuyo objeto de trabajo era una práctica tradicional que, posteriormente, fue </w:t>
      </w:r>
      <w:r w:rsidR="00CC0434" w:rsidRPr="00D41FEB">
        <w:rPr>
          <w:rFonts w:ascii="Verdana" w:hAnsi="Verdana"/>
          <w:sz w:val="20"/>
          <w:szCs w:val="20"/>
          <w:lang w:val="es-ES"/>
        </w:rPr>
        <w:t>impuesta como una</w:t>
      </w:r>
      <w:r w:rsidR="00BB3CA0" w:rsidRPr="00D41FEB">
        <w:rPr>
          <w:rFonts w:ascii="Verdana" w:hAnsi="Verdana"/>
          <w:sz w:val="20"/>
          <w:szCs w:val="20"/>
          <w:lang w:val="es-ES"/>
        </w:rPr>
        <w:t xml:space="preserve"> lógica del mercado</w:t>
      </w:r>
      <w:r w:rsidR="00EF0EF0" w:rsidRPr="00D41FEB">
        <w:rPr>
          <w:rFonts w:ascii="Verdana" w:hAnsi="Verdana"/>
          <w:sz w:val="20"/>
          <w:szCs w:val="20"/>
          <w:lang w:val="es-ES"/>
        </w:rPr>
        <w:t xml:space="preserve">. </w:t>
      </w:r>
      <w:r w:rsidR="00CC0434" w:rsidRPr="00D41FEB">
        <w:rPr>
          <w:rFonts w:ascii="Verdana" w:hAnsi="Verdana"/>
          <w:sz w:val="20"/>
          <w:szCs w:val="20"/>
          <w:lang w:val="es-ES"/>
        </w:rPr>
        <w:t xml:space="preserve">Volveré </w:t>
      </w:r>
      <w:r w:rsidR="00BB3CA0" w:rsidRPr="00D41FEB">
        <w:rPr>
          <w:rFonts w:ascii="Verdana" w:hAnsi="Verdana"/>
          <w:sz w:val="20"/>
          <w:szCs w:val="20"/>
          <w:lang w:val="es-ES"/>
        </w:rPr>
        <w:t xml:space="preserve">al punto de los actores más adelante, pero me gustaría reiterar que las formas de explotación, como señala </w:t>
      </w:r>
      <w:proofErr w:type="spellStart"/>
      <w:r w:rsidR="00BB3CA0" w:rsidRPr="00D41FEB">
        <w:rPr>
          <w:rFonts w:ascii="Verdana" w:hAnsi="Verdana"/>
          <w:sz w:val="20"/>
          <w:szCs w:val="20"/>
          <w:lang w:val="es-ES"/>
        </w:rPr>
        <w:t>Fanon</w:t>
      </w:r>
      <w:proofErr w:type="spellEnd"/>
      <w:r w:rsidR="00BB3CA0" w:rsidRPr="00D41FEB">
        <w:rPr>
          <w:rFonts w:ascii="Verdana" w:hAnsi="Verdana"/>
          <w:sz w:val="20"/>
          <w:szCs w:val="20"/>
          <w:lang w:val="es-ES"/>
        </w:rPr>
        <w:t>, pueden tener diversos modos de materializarse, especialmente en el periodo en que nos encontramos hoy en día, donde el trabajo está sufriendo un cambio sustantivo. La economía política internacional está mutando a procesos digitales donde las nuevas tecnologías no son sólo las herramientas sino el objeto y resultado del trabajo. En este contexto, donde el capital y la tecnología parecen fusionarse, donde lo digital tiene efectos totalizantes, es que planteé ya la pregunta en mi Voto en la Opinión Consultiva 25 sobre ‘‘</w:t>
      </w:r>
      <w:r w:rsidR="00BB3CA0" w:rsidRPr="00D41FEB">
        <w:rPr>
          <w:rFonts w:ascii="Verdana" w:hAnsi="Verdana"/>
          <w:sz w:val="20"/>
          <w:szCs w:val="20"/>
        </w:rPr>
        <w:t>Derechos a la libertad sindical, negociación colectiva y huelga, y su relación con otros derechos, con perspectiva de género’’:</w:t>
      </w:r>
    </w:p>
    <w:p w:rsidR="00BB3CA0" w:rsidRPr="00D41FEB" w:rsidRDefault="00BB3CA0" w:rsidP="00217612">
      <w:pPr>
        <w:tabs>
          <w:tab w:val="left" w:pos="567"/>
        </w:tabs>
        <w:spacing w:after="0" w:line="240" w:lineRule="auto"/>
        <w:jc w:val="both"/>
        <w:rPr>
          <w:rFonts w:ascii="Verdana" w:hAnsi="Verdana"/>
          <w:i/>
          <w:sz w:val="20"/>
          <w:szCs w:val="20"/>
        </w:rPr>
      </w:pPr>
    </w:p>
    <w:p w:rsidR="00BB3CA0" w:rsidRPr="00D41FEB" w:rsidRDefault="00BB3CA0" w:rsidP="00217612">
      <w:pPr>
        <w:snapToGrid w:val="0"/>
        <w:spacing w:after="0" w:line="240" w:lineRule="auto"/>
        <w:ind w:left="720"/>
        <w:jc w:val="both"/>
        <w:rPr>
          <w:rFonts w:ascii="Verdana" w:hAnsi="Verdana" w:cs="Calibri"/>
          <w:sz w:val="18"/>
          <w:szCs w:val="20"/>
          <w:lang w:val="es-ES"/>
        </w:rPr>
      </w:pPr>
      <w:r w:rsidRPr="00D41FEB">
        <w:rPr>
          <w:rFonts w:ascii="Verdana" w:hAnsi="Verdana" w:cs="Calibri"/>
          <w:sz w:val="18"/>
          <w:szCs w:val="20"/>
        </w:rPr>
        <w:t>E</w:t>
      </w:r>
      <w:r w:rsidRPr="00D41FEB">
        <w:rPr>
          <w:rFonts w:ascii="Verdana" w:hAnsi="Verdana" w:cs="Calibri"/>
          <w:sz w:val="18"/>
          <w:szCs w:val="20"/>
          <w:lang w:val="es-ES"/>
        </w:rPr>
        <w:t>l surgimiento de las nuevas tecnologías y servicios que revelan inéditas obligaciones y desafíos para los Estados y sus funciones legislativas y judiciales para adecuar su ordenamiento constitucional y legal, así como reformular sus prácticas frente a las nuevas condiciones del mercado laboral, en particular respecto de los cambios que ha producido la irrupción de las nuevas tecnologías. Sin duda, el trabajo a través de nuevas tecnologías –como son el trabajo por plataformas digitales que atraviesan los servicios de comunicación, transporte, compra y venta digital de alimentos y bienes en general- puede representar ventajas en el acceso a diversificadas y novedosas fuentes de empleo, pero a la vez, trae implícito una serie de modificaciones a las relaciones tradicionales de trabajo, en tiempos, horarios, modalidades de remuneración y de asociación gremial, así como en la utilización, en algunos casos, de nuevos conocimientos y manejo de destrezas tecnológicas, no conocidas hace poco tiempo atrás. Sin embargo, esta inédita y diversa modalidad de empleo también conlleva importantes riesgos para el goce de los derechos laborales, especialmente si consideramos que Latinoamérica y el Caribe tienen una alta tasa de desocupación, la cual conduce a las personas a adoptar y someterse, no voluntariamente, a formas precarizadas de empleo, con unas relaciones de trabajadores y empleadores con formas nada conocidas o aún de imprecisos contornos de sus garantías legales y jurisdiccionales  que deben ser abordados con inmediatez y preocupación, si de verdad queremos atender los reclamos de miles de nuevos trabajadores en estas novedosísimas circunstancias, máxime si tomamos en serio que en el año 2020 la región tenía una tasa de desocupación de 10,6% según datos de la Organización Internacional del Trabajo, lo que significa que más de 30 millones de personas no tienen empleo</w:t>
      </w:r>
      <w:r w:rsidRPr="00D41FEB">
        <w:rPr>
          <w:rStyle w:val="Refdenotaalpie"/>
          <w:rFonts w:ascii="Verdana" w:hAnsi="Verdana" w:cs="Calibri"/>
          <w:sz w:val="18"/>
          <w:szCs w:val="20"/>
          <w:lang w:val="es-ES"/>
        </w:rPr>
        <w:footnoteReference w:id="7"/>
      </w:r>
      <w:r w:rsidRPr="00D41FEB">
        <w:rPr>
          <w:rFonts w:ascii="Verdana" w:hAnsi="Verdana" w:cs="Calibri"/>
          <w:sz w:val="18"/>
          <w:szCs w:val="20"/>
          <w:lang w:val="es-ES"/>
        </w:rPr>
        <w:t xml:space="preserve">, y todo aquello sin incorporar las cifras actualizadas de la pérdida de fuentes de empleo, la tremenda desregulación laboral, las políticas de ajuste estructural, y la incierta, cuando no mal administrada y no resuelta crisis sanitaria del </w:t>
      </w:r>
      <w:proofErr w:type="spellStart"/>
      <w:r w:rsidRPr="00D41FEB">
        <w:rPr>
          <w:rFonts w:ascii="Verdana" w:hAnsi="Verdana" w:cs="Calibri"/>
          <w:sz w:val="18"/>
          <w:szCs w:val="20"/>
          <w:lang w:val="es-ES"/>
        </w:rPr>
        <w:t>Covid</w:t>
      </w:r>
      <w:proofErr w:type="spellEnd"/>
      <w:r w:rsidRPr="00D41FEB">
        <w:rPr>
          <w:rFonts w:ascii="Verdana" w:hAnsi="Verdana" w:cs="Calibri"/>
          <w:sz w:val="18"/>
          <w:szCs w:val="20"/>
          <w:lang w:val="es-ES"/>
        </w:rPr>
        <w:t xml:space="preserve"> 19 y sus efectos devastadores en las economías, las familias y las personas de nuestro continente</w:t>
      </w:r>
      <w:r w:rsidRPr="00D41FEB">
        <w:rPr>
          <w:rStyle w:val="Refdenotaalpie"/>
          <w:rFonts w:ascii="Verdana" w:hAnsi="Verdana"/>
          <w:sz w:val="18"/>
          <w:szCs w:val="20"/>
          <w:lang w:val="es-ES"/>
        </w:rPr>
        <w:footnoteReference w:id="8"/>
      </w:r>
      <w:r w:rsidRPr="00D41FEB">
        <w:rPr>
          <w:rFonts w:ascii="Verdana" w:hAnsi="Verdana" w:cs="Calibri"/>
          <w:sz w:val="18"/>
          <w:szCs w:val="20"/>
          <w:lang w:val="es-ES"/>
        </w:rPr>
        <w:t>.</w:t>
      </w:r>
    </w:p>
    <w:p w:rsidR="00217612" w:rsidRPr="00D41FEB" w:rsidRDefault="00217612" w:rsidP="00217612">
      <w:pPr>
        <w:snapToGrid w:val="0"/>
        <w:spacing w:after="0" w:line="240" w:lineRule="auto"/>
        <w:ind w:left="720"/>
        <w:jc w:val="both"/>
        <w:rPr>
          <w:rFonts w:ascii="Verdana" w:hAnsi="Verdana" w:cs="Calibri"/>
          <w:sz w:val="20"/>
          <w:szCs w:val="20"/>
          <w:lang w:val="es-ES"/>
        </w:rPr>
      </w:pPr>
    </w:p>
    <w:p w:rsidR="00685923" w:rsidRPr="00D41FEB" w:rsidRDefault="00A41BBD" w:rsidP="00217612">
      <w:pPr>
        <w:pStyle w:val="Prrafodelista"/>
        <w:numPr>
          <w:ilvl w:val="0"/>
          <w:numId w:val="1"/>
        </w:numPr>
        <w:tabs>
          <w:tab w:val="left" w:pos="567"/>
        </w:tabs>
        <w:ind w:left="0" w:firstLine="0"/>
        <w:contextualSpacing w:val="0"/>
        <w:jc w:val="both"/>
        <w:rPr>
          <w:rFonts w:ascii="Verdana" w:hAnsi="Verdana"/>
          <w:i/>
          <w:sz w:val="20"/>
          <w:szCs w:val="20"/>
        </w:rPr>
      </w:pPr>
      <w:r w:rsidRPr="00D41FEB">
        <w:rPr>
          <w:rFonts w:ascii="Verdana" w:hAnsi="Verdana"/>
          <w:sz w:val="20"/>
          <w:szCs w:val="20"/>
        </w:rPr>
        <w:t xml:space="preserve">Hecha la reflexión sobre lo que avizora el futuro y si realmente nuestras instituciones jurídicas como tradicionalmente están planteadas pueden abordar este tipo de problemáticas me gustaría </w:t>
      </w:r>
      <w:r w:rsidR="005E0028" w:rsidRPr="00D41FEB">
        <w:rPr>
          <w:rFonts w:ascii="Verdana" w:hAnsi="Verdana"/>
          <w:sz w:val="20"/>
          <w:szCs w:val="20"/>
        </w:rPr>
        <w:t>reflexionar sobre si en el Derecho Internacional Público la institución de la atribución de responsabilidad se p</w:t>
      </w:r>
      <w:r w:rsidR="009F7BAA" w:rsidRPr="00D41FEB">
        <w:rPr>
          <w:rFonts w:ascii="Verdana" w:hAnsi="Verdana"/>
          <w:sz w:val="20"/>
          <w:szCs w:val="20"/>
        </w:rPr>
        <w:t>uede mantener incólume, gravada en piedra</w:t>
      </w:r>
      <w:r w:rsidR="005E0028" w:rsidRPr="00D41FEB">
        <w:rPr>
          <w:rFonts w:ascii="Verdana" w:hAnsi="Verdana"/>
          <w:sz w:val="20"/>
          <w:szCs w:val="20"/>
        </w:rPr>
        <w:t xml:space="preserve">. El mundo occidental </w:t>
      </w:r>
      <w:proofErr w:type="gramStart"/>
      <w:r w:rsidR="005E0028" w:rsidRPr="00D41FEB">
        <w:rPr>
          <w:rFonts w:ascii="Verdana" w:hAnsi="Verdana"/>
          <w:sz w:val="20"/>
          <w:szCs w:val="20"/>
        </w:rPr>
        <w:t>le</w:t>
      </w:r>
      <w:proofErr w:type="gramEnd"/>
      <w:r w:rsidR="005E0028" w:rsidRPr="00D41FEB">
        <w:rPr>
          <w:rFonts w:ascii="Verdana" w:hAnsi="Verdana"/>
          <w:sz w:val="20"/>
          <w:szCs w:val="20"/>
        </w:rPr>
        <w:t xml:space="preserve"> atribuye a las consecuencias de las guerras mundiales la ‘‘toma de consciencia’’ de la humanidad y, su consecuente, creación de un sistema internacional de protección a los derechos humanos. Considero que esta visión es un poco limitada, pues la humanidad y sobre todo los pueblos originarios y los movimientos sociales en América Latina venían reiterando desde mucho antes no sólo la internacionalización, sino también la garantía de los derechos sociales y económicos. No obstante, me sirve un poco la imagen occidental y tradicional del punto de inflexión que generó la segunda guerra mundial para mostrar que es posible la transformación del régimen internacional. Con esta se cayó la idea de que únicamente eran </w:t>
      </w:r>
      <w:r w:rsidR="005E0028" w:rsidRPr="00D41FEB">
        <w:rPr>
          <w:rFonts w:ascii="Verdana" w:hAnsi="Verdana"/>
          <w:sz w:val="20"/>
          <w:szCs w:val="20"/>
        </w:rPr>
        <w:lastRenderedPageBreak/>
        <w:t xml:space="preserve">los Estados los actores internacionales y se evolucionó hacia considerar al individuo como el destinatario de las normas internacionales y el sujeto de derechos. Sin embargo, esta visión sigue sin incluir a otros actores que hoy ostentan tanto o más poder que muchos Estados: las corporaciones trasnacionales. </w:t>
      </w:r>
      <w:r w:rsidR="008B3C9B" w:rsidRPr="00D41FEB">
        <w:rPr>
          <w:rFonts w:ascii="Verdana" w:hAnsi="Verdana"/>
          <w:sz w:val="20"/>
          <w:szCs w:val="20"/>
        </w:rPr>
        <w:t xml:space="preserve">De esta manera, </w:t>
      </w:r>
      <w:r w:rsidR="008B3C9B" w:rsidRPr="00D41FEB">
        <w:rPr>
          <w:rFonts w:ascii="Verdana" w:hAnsi="Verdana"/>
          <w:sz w:val="20"/>
          <w:szCs w:val="20"/>
          <w:lang w:val="es-ES"/>
        </w:rPr>
        <w:t>la teoría clásica de los derechos humanos no acepta ningún vínculo que no sea el entre el individuo y Estado. Es decir, desde el mismo surgimiento de un Estado como actor principal en la sociedad internacional, la protección de los derechos humanos fundamentales ha sido tradicionalmente aplicable a su ámbito de responsabilidad. Por tanto, en la sociedad moderna, los Estados llevan a cabo tanto la protección como la violación de los derechos humanos. Vemos con los ejemplos antes citados, que esto no se apareja del todo con la realidad.</w:t>
      </w:r>
      <w:r w:rsidR="008B3C9B" w:rsidRPr="00D41FEB">
        <w:rPr>
          <w:rStyle w:val="Refdenotaalpie"/>
          <w:rFonts w:ascii="Verdana" w:hAnsi="Verdana"/>
          <w:sz w:val="20"/>
          <w:szCs w:val="20"/>
          <w:lang w:val="es-ES"/>
        </w:rPr>
        <w:footnoteReference w:id="9"/>
      </w:r>
      <w:r w:rsidR="008B3C9B" w:rsidRPr="00D41FEB">
        <w:rPr>
          <w:rFonts w:ascii="Verdana" w:hAnsi="Verdana"/>
          <w:sz w:val="20"/>
          <w:szCs w:val="20"/>
          <w:lang w:val="es-ES"/>
        </w:rPr>
        <w:t xml:space="preserve">. </w:t>
      </w:r>
      <w:r w:rsidR="00A41556" w:rsidRPr="00D41FEB">
        <w:rPr>
          <w:rFonts w:ascii="Verdana" w:hAnsi="Verdana"/>
          <w:sz w:val="20"/>
          <w:szCs w:val="20"/>
          <w:lang w:val="es-ES"/>
        </w:rPr>
        <w:t>La Sentencia en este caso, el desarrollo más reciente de los Principios Rectores sobre empresas y derechos humanos</w:t>
      </w:r>
      <w:r w:rsidR="00A41556" w:rsidRPr="00D41FEB">
        <w:rPr>
          <w:rStyle w:val="Refdenotaalpie"/>
          <w:rFonts w:ascii="Verdana" w:hAnsi="Verdana"/>
          <w:sz w:val="20"/>
          <w:szCs w:val="20"/>
          <w:lang w:val="es-ES"/>
        </w:rPr>
        <w:footnoteReference w:id="10"/>
      </w:r>
      <w:r w:rsidR="00A41556" w:rsidRPr="00D41FEB">
        <w:rPr>
          <w:rFonts w:ascii="Verdana" w:hAnsi="Verdana"/>
          <w:sz w:val="20"/>
          <w:szCs w:val="20"/>
          <w:lang w:val="es-ES"/>
        </w:rPr>
        <w:t xml:space="preserve"> establece cuáles son las obligaciones que deben guiar a los Estados para garantizar los derechos humanos. Hace énfasis también en el hecho de que las empresas deben respetar estos derechos. Sin lugar a duda, ambas son verdades irrevocables. No obstante, dejo a manera de reflexión</w:t>
      </w:r>
      <w:r w:rsidR="00077399" w:rsidRPr="00D41FEB">
        <w:rPr>
          <w:rFonts w:ascii="Verdana" w:hAnsi="Verdana"/>
          <w:sz w:val="20"/>
          <w:szCs w:val="20"/>
          <w:lang w:val="es-ES"/>
        </w:rPr>
        <w:t xml:space="preserve"> el preguntarnos</w:t>
      </w:r>
      <w:r w:rsidR="00A41556" w:rsidRPr="00D41FEB">
        <w:rPr>
          <w:rFonts w:ascii="Verdana" w:hAnsi="Verdana"/>
          <w:sz w:val="20"/>
          <w:szCs w:val="20"/>
          <w:lang w:val="es-ES"/>
        </w:rPr>
        <w:t xml:space="preserve"> si </w:t>
      </w:r>
      <w:r w:rsidR="00077399" w:rsidRPr="00D41FEB">
        <w:rPr>
          <w:rFonts w:ascii="Verdana" w:hAnsi="Verdana"/>
          <w:sz w:val="20"/>
          <w:szCs w:val="20"/>
          <w:lang w:val="es-ES"/>
        </w:rPr>
        <w:t>nos encontramos ante</w:t>
      </w:r>
      <w:r w:rsidR="00A41556" w:rsidRPr="00D41FEB">
        <w:rPr>
          <w:rFonts w:ascii="Verdana" w:hAnsi="Verdana"/>
          <w:sz w:val="20"/>
          <w:szCs w:val="20"/>
          <w:lang w:val="es-ES"/>
        </w:rPr>
        <w:t xml:space="preserve"> un proceso en que las empresas también pueden ser reconocidas como responsables por las viol</w:t>
      </w:r>
      <w:r w:rsidR="00077399" w:rsidRPr="00D41FEB">
        <w:rPr>
          <w:rFonts w:ascii="Verdana" w:hAnsi="Verdana"/>
          <w:sz w:val="20"/>
          <w:szCs w:val="20"/>
          <w:lang w:val="es-ES"/>
        </w:rPr>
        <w:t>aciones a los derechos humanos. Es decir,</w:t>
      </w:r>
      <w:r w:rsidR="00A41556" w:rsidRPr="00D41FEB">
        <w:rPr>
          <w:rFonts w:ascii="Verdana" w:hAnsi="Verdana"/>
          <w:sz w:val="20"/>
          <w:szCs w:val="20"/>
          <w:lang w:val="es-ES"/>
        </w:rPr>
        <w:t xml:space="preserve"> no </w:t>
      </w:r>
      <w:r w:rsidR="009F7BAA" w:rsidRPr="00D41FEB">
        <w:rPr>
          <w:rFonts w:ascii="Verdana" w:hAnsi="Verdana"/>
          <w:sz w:val="20"/>
          <w:szCs w:val="20"/>
          <w:lang w:val="es-ES"/>
        </w:rPr>
        <w:t xml:space="preserve">solo o exclusivamente </w:t>
      </w:r>
      <w:r w:rsidR="00A41556" w:rsidRPr="00D41FEB">
        <w:rPr>
          <w:rFonts w:ascii="Verdana" w:hAnsi="Verdana"/>
          <w:sz w:val="20"/>
          <w:szCs w:val="20"/>
          <w:lang w:val="es-ES"/>
        </w:rPr>
        <w:t>lo</w:t>
      </w:r>
      <w:r w:rsidR="009F7BAA" w:rsidRPr="00D41FEB">
        <w:rPr>
          <w:rFonts w:ascii="Verdana" w:hAnsi="Verdana"/>
          <w:sz w:val="20"/>
          <w:szCs w:val="20"/>
          <w:lang w:val="es-ES"/>
        </w:rPr>
        <w:t>s</w:t>
      </w:r>
      <w:r w:rsidR="00A41556" w:rsidRPr="00D41FEB">
        <w:rPr>
          <w:rFonts w:ascii="Verdana" w:hAnsi="Verdana"/>
          <w:sz w:val="20"/>
          <w:szCs w:val="20"/>
          <w:lang w:val="es-ES"/>
        </w:rPr>
        <w:t xml:space="preserve"> Estados en su relación con las empresas, sino propiamente</w:t>
      </w:r>
      <w:r w:rsidR="009F7BAA" w:rsidRPr="00D41FEB">
        <w:rPr>
          <w:rFonts w:ascii="Verdana" w:hAnsi="Verdana"/>
          <w:sz w:val="20"/>
          <w:szCs w:val="20"/>
          <w:lang w:val="es-ES"/>
        </w:rPr>
        <w:t xml:space="preserve"> y complementariamente</w:t>
      </w:r>
      <w:r w:rsidR="00A41556" w:rsidRPr="00D41FEB">
        <w:rPr>
          <w:rFonts w:ascii="Verdana" w:hAnsi="Verdana"/>
          <w:sz w:val="20"/>
          <w:szCs w:val="20"/>
          <w:lang w:val="es-ES"/>
        </w:rPr>
        <w:t xml:space="preserve"> las empresas como actores del derecho internacional. </w:t>
      </w:r>
    </w:p>
    <w:p w:rsidR="00077399" w:rsidRPr="00D41FEB" w:rsidRDefault="00077399" w:rsidP="00217612">
      <w:pPr>
        <w:pStyle w:val="Prrafodelista"/>
        <w:tabs>
          <w:tab w:val="left" w:pos="567"/>
        </w:tabs>
        <w:ind w:left="0"/>
        <w:contextualSpacing w:val="0"/>
        <w:jc w:val="both"/>
        <w:rPr>
          <w:rFonts w:ascii="Verdana" w:hAnsi="Verdana"/>
          <w:i/>
          <w:sz w:val="20"/>
          <w:szCs w:val="20"/>
        </w:rPr>
      </w:pPr>
    </w:p>
    <w:p w:rsidR="00077399" w:rsidRPr="00D41FEB" w:rsidRDefault="00077399" w:rsidP="00217612">
      <w:pPr>
        <w:pStyle w:val="Prrafodelista"/>
        <w:numPr>
          <w:ilvl w:val="0"/>
          <w:numId w:val="2"/>
        </w:numPr>
        <w:rPr>
          <w:rFonts w:ascii="Verdana" w:hAnsi="Verdana"/>
          <w:b/>
          <w:sz w:val="20"/>
          <w:szCs w:val="20"/>
          <w:lang w:val="es-ES"/>
        </w:rPr>
      </w:pPr>
      <w:r w:rsidRPr="00D41FEB">
        <w:rPr>
          <w:rFonts w:ascii="Verdana" w:hAnsi="Verdana"/>
          <w:b/>
          <w:sz w:val="20"/>
          <w:szCs w:val="20"/>
          <w:lang w:val="es-ES"/>
        </w:rPr>
        <w:t>P</w:t>
      </w:r>
      <w:proofErr w:type="spellStart"/>
      <w:r w:rsidR="009F7BAA" w:rsidRPr="00D41FEB">
        <w:rPr>
          <w:rFonts w:ascii="Verdana" w:hAnsi="Verdana"/>
          <w:b/>
          <w:sz w:val="20"/>
          <w:szCs w:val="20"/>
          <w:lang w:val="es-ES_tradnl"/>
        </w:rPr>
        <w:t>olíticas</w:t>
      </w:r>
      <w:proofErr w:type="spellEnd"/>
      <w:r w:rsidRPr="00D41FEB">
        <w:rPr>
          <w:rFonts w:ascii="Verdana" w:hAnsi="Verdana"/>
          <w:b/>
          <w:sz w:val="20"/>
          <w:szCs w:val="20"/>
          <w:lang w:val="es-ES_tradnl"/>
        </w:rPr>
        <w:t xml:space="preserve"> públicas y el rol de los mecanismos de reparación para casos de empresas y derechos humanos</w:t>
      </w:r>
    </w:p>
    <w:p w:rsidR="00077399" w:rsidRPr="00D41FEB" w:rsidRDefault="00077399" w:rsidP="00217612">
      <w:pPr>
        <w:pStyle w:val="Prrafodelista"/>
        <w:tabs>
          <w:tab w:val="left" w:pos="567"/>
        </w:tabs>
        <w:ind w:left="0"/>
        <w:contextualSpacing w:val="0"/>
        <w:jc w:val="both"/>
        <w:rPr>
          <w:rFonts w:ascii="Verdana" w:hAnsi="Verdana"/>
          <w:i/>
          <w:sz w:val="20"/>
          <w:szCs w:val="20"/>
        </w:rPr>
      </w:pPr>
    </w:p>
    <w:p w:rsidR="00307771" w:rsidRPr="00D41FEB" w:rsidRDefault="00307771" w:rsidP="00217612">
      <w:pPr>
        <w:pStyle w:val="Prrafodelista"/>
        <w:numPr>
          <w:ilvl w:val="0"/>
          <w:numId w:val="1"/>
        </w:numPr>
        <w:tabs>
          <w:tab w:val="left" w:pos="567"/>
        </w:tabs>
        <w:ind w:left="0" w:firstLine="0"/>
        <w:contextualSpacing w:val="0"/>
        <w:jc w:val="both"/>
        <w:rPr>
          <w:rFonts w:ascii="Verdana" w:hAnsi="Verdana"/>
          <w:sz w:val="20"/>
          <w:szCs w:val="20"/>
        </w:rPr>
      </w:pPr>
      <w:r w:rsidRPr="00D41FEB">
        <w:rPr>
          <w:rFonts w:ascii="Verdana" w:hAnsi="Verdana"/>
          <w:sz w:val="20"/>
          <w:szCs w:val="20"/>
        </w:rPr>
        <w:t>.</w:t>
      </w:r>
      <w:r w:rsidR="00077399" w:rsidRPr="00D41FEB">
        <w:rPr>
          <w:rFonts w:ascii="Verdana" w:hAnsi="Verdana"/>
          <w:sz w:val="20"/>
          <w:szCs w:val="20"/>
          <w:lang w:val="es-ES"/>
        </w:rPr>
        <w:t xml:space="preserve"> El tema de la responsabilidad internacional de las empresas está íntimamente ligado a la</w:t>
      </w:r>
      <w:r w:rsidR="009F7BAA" w:rsidRPr="00D41FEB">
        <w:rPr>
          <w:rFonts w:ascii="Verdana" w:hAnsi="Verdana"/>
          <w:sz w:val="20"/>
          <w:szCs w:val="20"/>
          <w:lang w:val="es-ES"/>
        </w:rPr>
        <w:t>s consecuencias de la violación, en el entendido</w:t>
      </w:r>
      <w:r w:rsidR="00077399" w:rsidRPr="00D41FEB">
        <w:rPr>
          <w:rFonts w:ascii="Verdana" w:hAnsi="Verdana"/>
          <w:sz w:val="20"/>
          <w:szCs w:val="20"/>
          <w:lang w:val="es-ES"/>
        </w:rPr>
        <w:t xml:space="preserve"> de que es principio del derecho internacional que ante una violación se tiene que reparar</w:t>
      </w:r>
      <w:r w:rsidR="00077399" w:rsidRPr="00D41FEB">
        <w:rPr>
          <w:rStyle w:val="Refdenotaalpie"/>
          <w:rFonts w:ascii="Verdana" w:hAnsi="Verdana"/>
          <w:sz w:val="20"/>
          <w:szCs w:val="20"/>
          <w:lang w:val="es-ES"/>
        </w:rPr>
        <w:footnoteReference w:id="11"/>
      </w:r>
      <w:r w:rsidR="00077399" w:rsidRPr="00D41FEB">
        <w:rPr>
          <w:rFonts w:ascii="Verdana" w:hAnsi="Verdana"/>
          <w:sz w:val="20"/>
          <w:szCs w:val="20"/>
          <w:lang w:val="es-ES"/>
        </w:rPr>
        <w:t xml:space="preserve">. Una interpretación sencilla y ceñida a la realidad nos llevaría a pensar </w:t>
      </w:r>
      <w:r w:rsidR="00947B67" w:rsidRPr="00D41FEB">
        <w:rPr>
          <w:rFonts w:ascii="Verdana" w:hAnsi="Verdana"/>
          <w:sz w:val="20"/>
          <w:szCs w:val="20"/>
          <w:lang w:val="es-ES"/>
        </w:rPr>
        <w:t>que,</w:t>
      </w:r>
      <w:r w:rsidR="00077399" w:rsidRPr="00D41FEB">
        <w:rPr>
          <w:rFonts w:ascii="Verdana" w:hAnsi="Verdana"/>
          <w:sz w:val="20"/>
          <w:szCs w:val="20"/>
          <w:lang w:val="es-ES"/>
        </w:rPr>
        <w:t xml:space="preserve"> si la empresa fue la que generó el daño, ésta también debe ser quien repare. Al parecer, desde la Corte, ya hemos dado un paso inicial en el caso </w:t>
      </w:r>
      <w:proofErr w:type="spellStart"/>
      <w:r w:rsidR="00077399" w:rsidRPr="00D41FEB">
        <w:rPr>
          <w:rFonts w:ascii="Verdana" w:hAnsi="Verdana"/>
          <w:i/>
          <w:sz w:val="20"/>
          <w:szCs w:val="20"/>
          <w:lang w:val="es-ES"/>
        </w:rPr>
        <w:t>Kaliña</w:t>
      </w:r>
      <w:proofErr w:type="spellEnd"/>
      <w:r w:rsidR="00077399" w:rsidRPr="00D41FEB">
        <w:rPr>
          <w:rFonts w:ascii="Verdana" w:hAnsi="Verdana"/>
          <w:i/>
          <w:sz w:val="20"/>
          <w:szCs w:val="20"/>
          <w:lang w:val="es-ES"/>
        </w:rPr>
        <w:t xml:space="preserve"> y </w:t>
      </w:r>
      <w:proofErr w:type="spellStart"/>
      <w:r w:rsidR="00077399" w:rsidRPr="00D41FEB">
        <w:rPr>
          <w:rFonts w:ascii="Verdana" w:hAnsi="Verdana"/>
          <w:i/>
          <w:sz w:val="20"/>
          <w:szCs w:val="20"/>
          <w:lang w:val="es-ES"/>
        </w:rPr>
        <w:t>Lokono</w:t>
      </w:r>
      <w:proofErr w:type="spellEnd"/>
      <w:r w:rsidR="00077399" w:rsidRPr="00D41FEB">
        <w:rPr>
          <w:rFonts w:ascii="Verdana" w:hAnsi="Verdana"/>
          <w:i/>
          <w:sz w:val="20"/>
          <w:szCs w:val="20"/>
          <w:lang w:val="es-ES"/>
        </w:rPr>
        <w:t xml:space="preserve"> Vs. Surinam</w:t>
      </w:r>
      <w:r w:rsidR="00077399" w:rsidRPr="00D41FEB">
        <w:rPr>
          <w:rFonts w:ascii="Verdana" w:hAnsi="Verdana"/>
          <w:sz w:val="20"/>
          <w:szCs w:val="20"/>
          <w:lang w:val="es-ES"/>
        </w:rPr>
        <w:t xml:space="preserve"> donde se consideró que </w:t>
      </w:r>
      <w:r w:rsidR="00077399" w:rsidRPr="00D41FEB">
        <w:rPr>
          <w:rFonts w:ascii="Verdana" w:hAnsi="Verdana"/>
          <w:sz w:val="20"/>
          <w:szCs w:val="20"/>
        </w:rPr>
        <w:t>el Estado debía, de manera conjunta con las empresas extractivas, implementar las acciones suficientes y necesarias, a fin de rehabilitar la zona afectada</w:t>
      </w:r>
      <w:r w:rsidR="004C7ED4" w:rsidRPr="00D41FEB">
        <w:rPr>
          <w:rStyle w:val="Refdenotaalpie"/>
          <w:rFonts w:ascii="Verdana" w:hAnsi="Verdana"/>
          <w:sz w:val="20"/>
          <w:szCs w:val="20"/>
        </w:rPr>
        <w:footnoteReference w:id="12"/>
      </w:r>
      <w:r w:rsidR="00077399" w:rsidRPr="00D41FEB">
        <w:rPr>
          <w:rFonts w:ascii="Verdana" w:hAnsi="Verdana"/>
          <w:sz w:val="20"/>
          <w:szCs w:val="20"/>
        </w:rPr>
        <w:t xml:space="preserve">. </w:t>
      </w:r>
      <w:r w:rsidR="004C7ED4" w:rsidRPr="00D41FEB">
        <w:rPr>
          <w:rFonts w:ascii="Verdana" w:hAnsi="Verdana"/>
          <w:sz w:val="20"/>
          <w:szCs w:val="20"/>
        </w:rPr>
        <w:t>A todas luces, en este caso s</w:t>
      </w:r>
      <w:r w:rsidR="00077399" w:rsidRPr="00D41FEB">
        <w:rPr>
          <w:rFonts w:ascii="Verdana" w:hAnsi="Verdana"/>
          <w:sz w:val="20"/>
          <w:szCs w:val="20"/>
        </w:rPr>
        <w:t>e compartió la titularidad de la medida de reparación con una empresa.</w:t>
      </w:r>
    </w:p>
    <w:p w:rsidR="00EF7867" w:rsidRPr="00D41FEB" w:rsidRDefault="00EF7867" w:rsidP="00217612">
      <w:pPr>
        <w:pStyle w:val="Prrafodelista"/>
        <w:tabs>
          <w:tab w:val="left" w:pos="567"/>
        </w:tabs>
        <w:ind w:left="0"/>
        <w:contextualSpacing w:val="0"/>
        <w:jc w:val="both"/>
        <w:rPr>
          <w:rFonts w:ascii="Verdana" w:hAnsi="Verdana"/>
          <w:sz w:val="20"/>
          <w:szCs w:val="20"/>
        </w:rPr>
      </w:pPr>
    </w:p>
    <w:p w:rsidR="00300D55" w:rsidRPr="00D41FEB" w:rsidRDefault="004C7ED4" w:rsidP="00217612">
      <w:pPr>
        <w:pStyle w:val="Prrafodelista"/>
        <w:numPr>
          <w:ilvl w:val="0"/>
          <w:numId w:val="1"/>
        </w:numPr>
        <w:tabs>
          <w:tab w:val="left" w:pos="567"/>
        </w:tabs>
        <w:ind w:left="0" w:firstLine="0"/>
        <w:contextualSpacing w:val="0"/>
        <w:jc w:val="both"/>
        <w:rPr>
          <w:rFonts w:ascii="Verdana" w:hAnsi="Verdana"/>
          <w:sz w:val="20"/>
          <w:szCs w:val="20"/>
        </w:rPr>
      </w:pPr>
      <w:r w:rsidRPr="00D41FEB">
        <w:rPr>
          <w:rFonts w:ascii="Verdana" w:hAnsi="Verdana"/>
          <w:sz w:val="20"/>
          <w:szCs w:val="20"/>
        </w:rPr>
        <w:t xml:space="preserve">En el caso </w:t>
      </w:r>
      <w:proofErr w:type="spellStart"/>
      <w:r w:rsidRPr="00D41FEB">
        <w:rPr>
          <w:rFonts w:ascii="Verdana" w:hAnsi="Verdana"/>
          <w:sz w:val="20"/>
          <w:szCs w:val="20"/>
        </w:rPr>
        <w:t>subjudic</w:t>
      </w:r>
      <w:r w:rsidR="00217612" w:rsidRPr="00D41FEB">
        <w:rPr>
          <w:rFonts w:ascii="Verdana" w:hAnsi="Verdana"/>
          <w:sz w:val="20"/>
          <w:szCs w:val="20"/>
        </w:rPr>
        <w:t>e</w:t>
      </w:r>
      <w:proofErr w:type="spellEnd"/>
      <w:r w:rsidR="00300D55" w:rsidRPr="00D41FEB">
        <w:rPr>
          <w:rFonts w:ascii="Verdana" w:hAnsi="Verdana"/>
          <w:sz w:val="20"/>
          <w:szCs w:val="20"/>
        </w:rPr>
        <w:t xml:space="preserve"> </w:t>
      </w:r>
      <w:r w:rsidRPr="00D41FEB">
        <w:rPr>
          <w:rFonts w:ascii="Verdana" w:hAnsi="Verdana"/>
          <w:sz w:val="20"/>
          <w:szCs w:val="20"/>
        </w:rPr>
        <w:t xml:space="preserve">la Corte adoptó diversas medidas de reparación que fueron homologadas por el acuerdo entre las partes. Resultan muy importantes aquellas relacionadas con las políticas públicas que buscan </w:t>
      </w:r>
      <w:r w:rsidR="00EF7867" w:rsidRPr="00D41FEB">
        <w:rPr>
          <w:rFonts w:ascii="Verdana" w:hAnsi="Verdana"/>
          <w:sz w:val="20"/>
          <w:szCs w:val="20"/>
        </w:rPr>
        <w:t xml:space="preserve">la atención social, así como la diversificación productiva de la economía local. Sin embargo, hubiera sido interesante, claro </w:t>
      </w:r>
      <w:r w:rsidR="00625C87" w:rsidRPr="00D41FEB">
        <w:rPr>
          <w:rFonts w:ascii="Verdana" w:hAnsi="Verdana"/>
          <w:sz w:val="20"/>
          <w:szCs w:val="20"/>
        </w:rPr>
        <w:t xml:space="preserve">que </w:t>
      </w:r>
      <w:r w:rsidR="00EF7867" w:rsidRPr="00D41FEB">
        <w:rPr>
          <w:rFonts w:ascii="Verdana" w:hAnsi="Verdana"/>
          <w:sz w:val="20"/>
          <w:szCs w:val="20"/>
        </w:rPr>
        <w:t>escapaba de nuestro rol teniendo en cuenta que se trató de un mutuo acuerdo entre las partes, que se dé una medida de reparación que obligue a la participación de las empresas en estas tareas de atención</w:t>
      </w:r>
      <w:r w:rsidR="00625C87" w:rsidRPr="00D41FEB">
        <w:rPr>
          <w:rFonts w:ascii="Verdana" w:hAnsi="Verdana"/>
          <w:sz w:val="20"/>
          <w:szCs w:val="20"/>
        </w:rPr>
        <w:t>, mitigación</w:t>
      </w:r>
      <w:r w:rsidR="00EF7867" w:rsidRPr="00D41FEB">
        <w:rPr>
          <w:rFonts w:ascii="Verdana" w:hAnsi="Verdana"/>
          <w:sz w:val="20"/>
          <w:szCs w:val="20"/>
        </w:rPr>
        <w:t xml:space="preserve"> o, incluso, </w:t>
      </w:r>
      <w:r w:rsidR="00625C87" w:rsidRPr="00D41FEB">
        <w:rPr>
          <w:rFonts w:ascii="Verdana" w:hAnsi="Verdana"/>
          <w:sz w:val="20"/>
          <w:szCs w:val="20"/>
        </w:rPr>
        <w:t xml:space="preserve">en </w:t>
      </w:r>
      <w:r w:rsidR="00EF7867" w:rsidRPr="00D41FEB">
        <w:rPr>
          <w:rFonts w:ascii="Verdana" w:hAnsi="Verdana"/>
          <w:sz w:val="20"/>
          <w:szCs w:val="20"/>
        </w:rPr>
        <w:t xml:space="preserve">los proyectos de desarrollo social planteados en la reparación. </w:t>
      </w:r>
    </w:p>
    <w:p w:rsidR="00300D55" w:rsidRPr="00D41FEB" w:rsidRDefault="00300D55" w:rsidP="00217612">
      <w:pPr>
        <w:pStyle w:val="Prrafodelista"/>
        <w:rPr>
          <w:rFonts w:ascii="Verdana" w:hAnsi="Verdana"/>
          <w:sz w:val="20"/>
          <w:szCs w:val="20"/>
          <w:lang w:val="es-ES"/>
        </w:rPr>
      </w:pPr>
    </w:p>
    <w:p w:rsidR="000302FF" w:rsidRPr="00D41FEB" w:rsidRDefault="000302FF" w:rsidP="00217612">
      <w:pPr>
        <w:pStyle w:val="Prrafodelista"/>
        <w:numPr>
          <w:ilvl w:val="0"/>
          <w:numId w:val="1"/>
        </w:numPr>
        <w:tabs>
          <w:tab w:val="left" w:pos="567"/>
        </w:tabs>
        <w:ind w:left="0" w:firstLine="0"/>
        <w:contextualSpacing w:val="0"/>
        <w:jc w:val="both"/>
        <w:rPr>
          <w:rFonts w:ascii="Verdana" w:hAnsi="Verdana"/>
          <w:sz w:val="20"/>
          <w:szCs w:val="20"/>
        </w:rPr>
      </w:pPr>
      <w:r w:rsidRPr="00D41FEB">
        <w:rPr>
          <w:rFonts w:ascii="Verdana" w:hAnsi="Verdana"/>
          <w:sz w:val="20"/>
          <w:szCs w:val="20"/>
          <w:lang w:val="es-ES"/>
        </w:rPr>
        <w:lastRenderedPageBreak/>
        <w:t>La problemática de las empresas y derechos humanos forma parte de los mayores desafíos existentes en el orden público interamericano. Teniendo en cuen</w:t>
      </w:r>
      <w:r w:rsidR="00625C87" w:rsidRPr="00D41FEB">
        <w:rPr>
          <w:rFonts w:ascii="Verdana" w:hAnsi="Verdana"/>
          <w:sz w:val="20"/>
          <w:szCs w:val="20"/>
          <w:lang w:val="es-ES"/>
        </w:rPr>
        <w:t>ta el contexto de América Central, Caribe y Sur América,</w:t>
      </w:r>
      <w:r w:rsidRPr="00D41FEB">
        <w:rPr>
          <w:rFonts w:ascii="Verdana" w:hAnsi="Verdana"/>
          <w:sz w:val="20"/>
          <w:szCs w:val="20"/>
          <w:lang w:val="es-ES"/>
        </w:rPr>
        <w:t xml:space="preserve"> donde confluye la desigualdad social, el alto índice de </w:t>
      </w:r>
      <w:r w:rsidR="00625C87" w:rsidRPr="00D41FEB">
        <w:rPr>
          <w:rFonts w:ascii="Verdana" w:hAnsi="Verdana"/>
          <w:sz w:val="20"/>
          <w:szCs w:val="20"/>
          <w:lang w:val="es-ES"/>
        </w:rPr>
        <w:t xml:space="preserve">migración, </w:t>
      </w:r>
      <w:r w:rsidRPr="00D41FEB">
        <w:rPr>
          <w:rFonts w:ascii="Verdana" w:hAnsi="Verdana"/>
          <w:sz w:val="20"/>
          <w:szCs w:val="20"/>
          <w:lang w:val="es-ES"/>
        </w:rPr>
        <w:t>desempleo e informalidad es preciso que el ordenamiento internacional</w:t>
      </w:r>
      <w:r w:rsidR="00625C87" w:rsidRPr="00D41FEB">
        <w:rPr>
          <w:rFonts w:ascii="Verdana" w:hAnsi="Verdana"/>
          <w:sz w:val="20"/>
          <w:szCs w:val="20"/>
          <w:lang w:val="es-ES"/>
        </w:rPr>
        <w:t>, principalmente tribunales y Cortes,</w:t>
      </w:r>
      <w:r w:rsidRPr="00D41FEB">
        <w:rPr>
          <w:rFonts w:ascii="Verdana" w:hAnsi="Verdana"/>
          <w:sz w:val="20"/>
          <w:szCs w:val="20"/>
          <w:lang w:val="es-ES"/>
        </w:rPr>
        <w:t xml:space="preserve"> esté</w:t>
      </w:r>
      <w:r w:rsidR="00625C87" w:rsidRPr="00D41FEB">
        <w:rPr>
          <w:rFonts w:ascii="Verdana" w:hAnsi="Verdana"/>
          <w:sz w:val="20"/>
          <w:szCs w:val="20"/>
          <w:lang w:val="es-ES"/>
        </w:rPr>
        <w:t>n</w:t>
      </w:r>
      <w:r w:rsidRPr="00D41FEB">
        <w:rPr>
          <w:rFonts w:ascii="Verdana" w:hAnsi="Verdana"/>
          <w:sz w:val="20"/>
          <w:szCs w:val="20"/>
          <w:lang w:val="es-ES"/>
        </w:rPr>
        <w:t xml:space="preserve"> a la altura</w:t>
      </w:r>
      <w:r w:rsidR="00625C87" w:rsidRPr="00D41FEB">
        <w:rPr>
          <w:rFonts w:ascii="Verdana" w:hAnsi="Verdana"/>
          <w:sz w:val="20"/>
          <w:szCs w:val="20"/>
          <w:lang w:val="es-ES"/>
        </w:rPr>
        <w:t xml:space="preserve"> de este desafío</w:t>
      </w:r>
      <w:r w:rsidRPr="00D41FEB">
        <w:rPr>
          <w:rFonts w:ascii="Verdana" w:hAnsi="Verdana"/>
          <w:sz w:val="20"/>
          <w:szCs w:val="20"/>
          <w:lang w:val="es-ES"/>
        </w:rPr>
        <w:t>. A su vez las nuevas tecnologías plantean retos esenciales que deben ser abordados con firmeza y desde una óptica progresiva</w:t>
      </w:r>
      <w:r w:rsidR="00625C87" w:rsidRPr="00D41FEB">
        <w:rPr>
          <w:rFonts w:ascii="Verdana" w:hAnsi="Verdana"/>
          <w:sz w:val="20"/>
          <w:szCs w:val="20"/>
          <w:lang w:val="es-ES"/>
        </w:rPr>
        <w:t>, progresista y conglobada de derechos humanos; empeño y desafío, por otro lado, que legamos a la futura nueva composición de la Corte.</w:t>
      </w:r>
    </w:p>
    <w:p w:rsidR="00077399" w:rsidRPr="008B2E2D" w:rsidRDefault="00077399" w:rsidP="00217612">
      <w:pPr>
        <w:pStyle w:val="Prrafodelista"/>
        <w:rPr>
          <w:rFonts w:ascii="Verdana" w:hAnsi="Verdana"/>
          <w:sz w:val="20"/>
          <w:szCs w:val="20"/>
        </w:rPr>
      </w:pPr>
    </w:p>
    <w:p w:rsidR="000302FF" w:rsidRPr="00947B67" w:rsidRDefault="000302FF" w:rsidP="00217612">
      <w:pPr>
        <w:pStyle w:val="Prrafodelista"/>
        <w:rPr>
          <w:rFonts w:ascii="Verdana" w:hAnsi="Verdana"/>
          <w:sz w:val="20"/>
          <w:szCs w:val="20"/>
          <w:lang w:val="es-ES"/>
        </w:rPr>
      </w:pPr>
    </w:p>
    <w:p w:rsidR="000302FF" w:rsidRPr="00D41FEB" w:rsidRDefault="000302FF" w:rsidP="00217612">
      <w:pPr>
        <w:snapToGrid w:val="0"/>
        <w:spacing w:after="0" w:line="240" w:lineRule="auto"/>
        <w:jc w:val="both"/>
        <w:rPr>
          <w:rFonts w:ascii="Verdana" w:hAnsi="Verdana" w:cs="Arial"/>
          <w:sz w:val="20"/>
          <w:szCs w:val="20"/>
          <w:lang w:val="es-ES"/>
        </w:rPr>
      </w:pPr>
    </w:p>
    <w:p w:rsidR="000302FF" w:rsidRDefault="000302FF" w:rsidP="00217612">
      <w:pPr>
        <w:snapToGrid w:val="0"/>
        <w:spacing w:after="0" w:line="240" w:lineRule="auto"/>
        <w:jc w:val="both"/>
        <w:rPr>
          <w:rFonts w:ascii="Verdana" w:hAnsi="Verdana" w:cs="Arial"/>
          <w:sz w:val="20"/>
          <w:szCs w:val="20"/>
          <w:lang w:val="es-ES"/>
        </w:rPr>
      </w:pPr>
    </w:p>
    <w:p w:rsidR="00947B67" w:rsidRPr="00D41FEB" w:rsidRDefault="00947B67" w:rsidP="00217612">
      <w:pPr>
        <w:snapToGrid w:val="0"/>
        <w:spacing w:after="0" w:line="240" w:lineRule="auto"/>
        <w:jc w:val="both"/>
        <w:rPr>
          <w:rFonts w:ascii="Verdana" w:hAnsi="Verdana" w:cs="Arial"/>
          <w:sz w:val="20"/>
          <w:szCs w:val="20"/>
          <w:lang w:val="es-ES"/>
        </w:rPr>
      </w:pPr>
    </w:p>
    <w:p w:rsidR="000302FF" w:rsidRPr="00D41FEB" w:rsidRDefault="000302FF" w:rsidP="00217612">
      <w:pPr>
        <w:snapToGrid w:val="0"/>
        <w:spacing w:after="0" w:line="240" w:lineRule="auto"/>
        <w:jc w:val="both"/>
        <w:rPr>
          <w:rFonts w:ascii="Verdana" w:hAnsi="Verdana" w:cs="Arial"/>
          <w:sz w:val="20"/>
          <w:szCs w:val="20"/>
          <w:lang w:val="es-ES"/>
        </w:rPr>
      </w:pPr>
    </w:p>
    <w:p w:rsidR="000302FF" w:rsidRPr="00D41FEB" w:rsidRDefault="000302FF" w:rsidP="00217612">
      <w:pPr>
        <w:snapToGrid w:val="0"/>
        <w:spacing w:after="0" w:line="240" w:lineRule="auto"/>
        <w:ind w:left="4248"/>
        <w:jc w:val="center"/>
        <w:rPr>
          <w:rFonts w:ascii="Verdana" w:hAnsi="Verdana" w:cs="Arial"/>
          <w:sz w:val="20"/>
          <w:szCs w:val="20"/>
          <w:lang w:val="es-ES"/>
        </w:rPr>
      </w:pPr>
      <w:r w:rsidRPr="00D41FEB">
        <w:rPr>
          <w:rFonts w:ascii="Verdana" w:hAnsi="Verdana" w:cs="Arial"/>
          <w:sz w:val="20"/>
          <w:szCs w:val="20"/>
          <w:lang w:val="es-ES"/>
        </w:rPr>
        <w:t>L. Patricio Pazmiño Freire</w:t>
      </w:r>
    </w:p>
    <w:p w:rsidR="000302FF" w:rsidRPr="00D41FEB" w:rsidRDefault="00347381" w:rsidP="00217612">
      <w:pPr>
        <w:snapToGrid w:val="0"/>
        <w:spacing w:after="0" w:line="240" w:lineRule="auto"/>
        <w:ind w:left="4248"/>
        <w:jc w:val="center"/>
        <w:rPr>
          <w:rFonts w:ascii="Verdana" w:hAnsi="Verdana" w:cs="Arial"/>
          <w:sz w:val="20"/>
          <w:szCs w:val="20"/>
          <w:lang w:val="es-ES"/>
        </w:rPr>
      </w:pPr>
      <w:r>
        <w:rPr>
          <w:rFonts w:ascii="Verdana" w:hAnsi="Verdana" w:cs="Arial"/>
          <w:sz w:val="20"/>
          <w:szCs w:val="20"/>
          <w:lang w:val="es-ES"/>
        </w:rPr>
        <w:t>Vicepresidente</w:t>
      </w:r>
    </w:p>
    <w:p w:rsidR="000302FF" w:rsidRPr="00D41FEB" w:rsidRDefault="000302FF" w:rsidP="00217612">
      <w:pPr>
        <w:snapToGrid w:val="0"/>
        <w:spacing w:after="0" w:line="240" w:lineRule="auto"/>
        <w:rPr>
          <w:rFonts w:ascii="Verdana" w:hAnsi="Verdana" w:cs="Arial"/>
          <w:sz w:val="20"/>
          <w:szCs w:val="20"/>
          <w:lang w:val="es-ES"/>
        </w:rPr>
      </w:pPr>
    </w:p>
    <w:p w:rsidR="000302FF" w:rsidRPr="00D41FEB" w:rsidRDefault="000302FF" w:rsidP="00217612">
      <w:pPr>
        <w:snapToGrid w:val="0"/>
        <w:spacing w:after="0" w:line="240" w:lineRule="auto"/>
        <w:rPr>
          <w:rFonts w:ascii="Verdana" w:hAnsi="Verdana" w:cs="Arial"/>
          <w:sz w:val="20"/>
          <w:szCs w:val="20"/>
          <w:lang w:val="es-ES"/>
        </w:rPr>
      </w:pPr>
    </w:p>
    <w:p w:rsidR="000302FF" w:rsidRPr="00D41FEB" w:rsidRDefault="000302FF" w:rsidP="00217612">
      <w:pPr>
        <w:snapToGrid w:val="0"/>
        <w:spacing w:after="0" w:line="240" w:lineRule="auto"/>
        <w:rPr>
          <w:rFonts w:ascii="Verdana" w:hAnsi="Verdana" w:cs="Arial"/>
          <w:sz w:val="20"/>
          <w:szCs w:val="20"/>
          <w:lang w:val="es-ES"/>
        </w:rPr>
      </w:pPr>
    </w:p>
    <w:p w:rsidR="000302FF" w:rsidRPr="00D41FEB" w:rsidRDefault="000302FF" w:rsidP="00217612">
      <w:pPr>
        <w:spacing w:after="0" w:line="240" w:lineRule="auto"/>
        <w:rPr>
          <w:rFonts w:ascii="Verdana" w:eastAsia="Times" w:hAnsi="Verdana"/>
          <w:sz w:val="20"/>
          <w:szCs w:val="20"/>
          <w:lang w:val="pt-BR"/>
        </w:rPr>
      </w:pPr>
    </w:p>
    <w:p w:rsidR="000302FF" w:rsidRPr="00D41FEB" w:rsidRDefault="000302FF" w:rsidP="00217612">
      <w:pPr>
        <w:spacing w:after="0" w:line="240" w:lineRule="auto"/>
        <w:rPr>
          <w:rFonts w:ascii="Verdana" w:eastAsia="Times" w:hAnsi="Verdana"/>
          <w:sz w:val="20"/>
          <w:szCs w:val="20"/>
          <w:lang w:val="pt-BR"/>
        </w:rPr>
      </w:pPr>
    </w:p>
    <w:p w:rsidR="000302FF" w:rsidRPr="00D41FEB" w:rsidRDefault="000302FF" w:rsidP="00217612">
      <w:pPr>
        <w:spacing w:after="0" w:line="240" w:lineRule="auto"/>
        <w:rPr>
          <w:rFonts w:ascii="Verdana" w:eastAsia="Times" w:hAnsi="Verdana"/>
          <w:sz w:val="20"/>
          <w:szCs w:val="20"/>
          <w:lang w:val="pt-BR"/>
        </w:rPr>
      </w:pPr>
      <w:r w:rsidRPr="00D41FEB">
        <w:rPr>
          <w:rFonts w:ascii="Verdana" w:eastAsia="Times" w:hAnsi="Verdana"/>
          <w:sz w:val="20"/>
          <w:szCs w:val="20"/>
          <w:lang w:val="pt-BR"/>
        </w:rPr>
        <w:t xml:space="preserve">Pablo Saavedra </w:t>
      </w:r>
      <w:proofErr w:type="spellStart"/>
      <w:r w:rsidRPr="00D41FEB">
        <w:rPr>
          <w:rFonts w:ascii="Verdana" w:eastAsia="Times" w:hAnsi="Verdana"/>
          <w:sz w:val="20"/>
          <w:szCs w:val="20"/>
          <w:lang w:val="pt-BR"/>
        </w:rPr>
        <w:t>Alessandri</w:t>
      </w:r>
      <w:proofErr w:type="spellEnd"/>
    </w:p>
    <w:p w:rsidR="000302FF" w:rsidRPr="00D41FEB" w:rsidRDefault="000302FF" w:rsidP="00217612">
      <w:pPr>
        <w:spacing w:after="0" w:line="240" w:lineRule="auto"/>
        <w:rPr>
          <w:rFonts w:ascii="Verdana" w:eastAsia="Times" w:hAnsi="Verdana"/>
          <w:sz w:val="20"/>
          <w:szCs w:val="20"/>
        </w:rPr>
      </w:pPr>
      <w:r w:rsidRPr="00D41FEB">
        <w:rPr>
          <w:rFonts w:ascii="Verdana" w:eastAsia="Times" w:hAnsi="Verdana"/>
          <w:sz w:val="20"/>
          <w:szCs w:val="20"/>
          <w:lang w:val="pt-BR"/>
        </w:rPr>
        <w:tab/>
      </w:r>
      <w:r w:rsidRPr="00D41FEB">
        <w:rPr>
          <w:rFonts w:ascii="Verdana" w:eastAsia="Times" w:hAnsi="Verdana"/>
          <w:sz w:val="20"/>
          <w:szCs w:val="20"/>
        </w:rPr>
        <w:t>Secretario</w:t>
      </w:r>
    </w:p>
    <w:p w:rsidR="000302FF" w:rsidRPr="00D41FEB" w:rsidRDefault="000302FF" w:rsidP="00217612">
      <w:pPr>
        <w:snapToGrid w:val="0"/>
        <w:spacing w:after="0" w:line="240" w:lineRule="auto"/>
        <w:rPr>
          <w:rFonts w:ascii="Verdana" w:hAnsi="Verdana" w:cs="Arial"/>
          <w:sz w:val="20"/>
          <w:szCs w:val="20"/>
          <w:lang w:val="es-ES"/>
        </w:rPr>
      </w:pPr>
    </w:p>
    <w:p w:rsidR="000302FF" w:rsidRPr="00D41FEB" w:rsidRDefault="000302FF" w:rsidP="00217612">
      <w:pPr>
        <w:pStyle w:val="Prrafodelista"/>
        <w:rPr>
          <w:rFonts w:ascii="Verdana" w:hAnsi="Verdana"/>
          <w:b/>
          <w:sz w:val="20"/>
          <w:szCs w:val="20"/>
          <w:lang w:val="es-ES"/>
        </w:rPr>
      </w:pPr>
    </w:p>
    <w:sectPr w:rsidR="000302FF" w:rsidRPr="00D41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99" w:rsidRDefault="00E04699" w:rsidP="00307771">
      <w:pPr>
        <w:spacing w:after="0" w:line="240" w:lineRule="auto"/>
      </w:pPr>
      <w:r>
        <w:separator/>
      </w:r>
    </w:p>
  </w:endnote>
  <w:endnote w:type="continuationSeparator" w:id="0">
    <w:p w:rsidR="00E04699" w:rsidRDefault="00E04699" w:rsidP="0030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Times New Roman"/>
    <w:charset w:val="00"/>
    <w:family w:val="auto"/>
    <w:pitch w:val="variable"/>
    <w:sig w:usb0="00000001"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99" w:rsidRDefault="00E04699" w:rsidP="00307771">
      <w:pPr>
        <w:spacing w:after="0" w:line="240" w:lineRule="auto"/>
      </w:pPr>
      <w:r>
        <w:separator/>
      </w:r>
    </w:p>
  </w:footnote>
  <w:footnote w:type="continuationSeparator" w:id="0">
    <w:p w:rsidR="00E04699" w:rsidRDefault="00E04699" w:rsidP="00307771">
      <w:pPr>
        <w:spacing w:after="0" w:line="240" w:lineRule="auto"/>
      </w:pPr>
      <w:r>
        <w:continuationSeparator/>
      </w:r>
    </w:p>
  </w:footnote>
  <w:footnote w:id="1">
    <w:p w:rsidR="00307771" w:rsidRPr="007C14AE" w:rsidRDefault="00307771" w:rsidP="00617E9D">
      <w:pPr>
        <w:pStyle w:val="Textonotapie"/>
        <w:jc w:val="both"/>
        <w:rPr>
          <w:rFonts w:ascii="Verdana" w:hAnsi="Verdana"/>
          <w:sz w:val="16"/>
          <w:szCs w:val="16"/>
          <w:lang w:val="es-ES_tradnl"/>
        </w:rPr>
      </w:pPr>
      <w:r w:rsidRPr="00617E9D">
        <w:rPr>
          <w:rStyle w:val="Refdenotaalpie"/>
          <w:rFonts w:ascii="Verdana" w:hAnsi="Verdana"/>
          <w:sz w:val="16"/>
          <w:szCs w:val="16"/>
        </w:rPr>
        <w:footnoteRef/>
      </w:r>
      <w:r w:rsidRPr="00617E9D">
        <w:rPr>
          <w:rFonts w:ascii="Verdana" w:hAnsi="Verdana"/>
          <w:sz w:val="16"/>
          <w:szCs w:val="16"/>
          <w:lang w:val="es-ES"/>
        </w:rPr>
        <w:t xml:space="preserve"> </w:t>
      </w:r>
      <w:r w:rsidR="00D41FEB" w:rsidRPr="00617E9D">
        <w:rPr>
          <w:rFonts w:ascii="Verdana" w:hAnsi="Verdana"/>
          <w:sz w:val="16"/>
          <w:szCs w:val="16"/>
          <w:lang w:val="es-ES"/>
        </w:rPr>
        <w:t xml:space="preserve">Caso Pueblo Indígena </w:t>
      </w:r>
      <w:proofErr w:type="spellStart"/>
      <w:r w:rsidR="00D41FEB" w:rsidRPr="00617E9D">
        <w:rPr>
          <w:rFonts w:ascii="Verdana" w:hAnsi="Verdana"/>
          <w:sz w:val="16"/>
          <w:szCs w:val="16"/>
          <w:lang w:val="es-ES"/>
        </w:rPr>
        <w:t>Kichwa</w:t>
      </w:r>
      <w:proofErr w:type="spellEnd"/>
      <w:r w:rsidR="00D41FEB" w:rsidRPr="00617E9D">
        <w:rPr>
          <w:rFonts w:ascii="Verdana" w:hAnsi="Verdana"/>
          <w:sz w:val="16"/>
          <w:szCs w:val="16"/>
          <w:lang w:val="es-ES"/>
        </w:rPr>
        <w:t xml:space="preserve"> de </w:t>
      </w:r>
      <w:proofErr w:type="spellStart"/>
      <w:r w:rsidR="00D41FEB" w:rsidRPr="00617E9D">
        <w:rPr>
          <w:rFonts w:ascii="Verdana" w:hAnsi="Verdana"/>
          <w:sz w:val="16"/>
          <w:szCs w:val="16"/>
          <w:lang w:val="es-ES"/>
        </w:rPr>
        <w:t>Sarayaku</w:t>
      </w:r>
      <w:proofErr w:type="spellEnd"/>
      <w:r w:rsidR="00D41FEB" w:rsidRPr="00617E9D">
        <w:rPr>
          <w:rFonts w:ascii="Verdana" w:hAnsi="Verdana"/>
          <w:sz w:val="16"/>
          <w:szCs w:val="16"/>
          <w:lang w:val="es-ES"/>
        </w:rPr>
        <w:t xml:space="preserve"> Vs. Ecuador. Fondo y Reparaciones. Sentencia de 27 de junio de 2012. Serie C No. 245</w:t>
      </w:r>
    </w:p>
  </w:footnote>
  <w:footnote w:id="2">
    <w:p w:rsidR="00307771" w:rsidRPr="007C14AE" w:rsidRDefault="00307771" w:rsidP="00617E9D">
      <w:pPr>
        <w:pStyle w:val="Textonotapie"/>
        <w:jc w:val="both"/>
        <w:rPr>
          <w:rFonts w:ascii="Verdana" w:hAnsi="Verdana"/>
          <w:sz w:val="16"/>
          <w:szCs w:val="16"/>
          <w:lang w:val="es-ES_tradnl"/>
        </w:rPr>
      </w:pPr>
      <w:r w:rsidRPr="00617E9D">
        <w:rPr>
          <w:rStyle w:val="Refdenotaalpie"/>
          <w:rFonts w:ascii="Verdana" w:hAnsi="Verdana"/>
          <w:sz w:val="16"/>
          <w:szCs w:val="16"/>
        </w:rPr>
        <w:footnoteRef/>
      </w:r>
      <w:r w:rsidRPr="00617E9D">
        <w:rPr>
          <w:rFonts w:ascii="Verdana" w:hAnsi="Verdana"/>
          <w:sz w:val="16"/>
          <w:szCs w:val="16"/>
          <w:lang w:val="es-ES"/>
        </w:rPr>
        <w:t xml:space="preserve"> </w:t>
      </w:r>
      <w:r w:rsidR="00D41FEB" w:rsidRPr="00617E9D">
        <w:rPr>
          <w:rFonts w:ascii="Verdana" w:hAnsi="Verdana"/>
          <w:sz w:val="16"/>
          <w:szCs w:val="16"/>
          <w:lang w:val="es-ES"/>
        </w:rPr>
        <w:t xml:space="preserve">Caso Pueblos </w:t>
      </w:r>
      <w:proofErr w:type="spellStart"/>
      <w:r w:rsidR="00D41FEB" w:rsidRPr="00617E9D">
        <w:rPr>
          <w:rFonts w:ascii="Verdana" w:hAnsi="Verdana"/>
          <w:sz w:val="16"/>
          <w:szCs w:val="16"/>
          <w:lang w:val="es-ES"/>
        </w:rPr>
        <w:t>Kaliña</w:t>
      </w:r>
      <w:proofErr w:type="spellEnd"/>
      <w:r w:rsidR="00D41FEB" w:rsidRPr="00617E9D">
        <w:rPr>
          <w:rFonts w:ascii="Verdana" w:hAnsi="Verdana"/>
          <w:sz w:val="16"/>
          <w:szCs w:val="16"/>
          <w:lang w:val="es-ES"/>
        </w:rPr>
        <w:t xml:space="preserve"> y </w:t>
      </w:r>
      <w:proofErr w:type="spellStart"/>
      <w:r w:rsidR="00D41FEB" w:rsidRPr="00617E9D">
        <w:rPr>
          <w:rFonts w:ascii="Verdana" w:hAnsi="Verdana"/>
          <w:sz w:val="16"/>
          <w:szCs w:val="16"/>
          <w:lang w:val="es-ES"/>
        </w:rPr>
        <w:t>Lokono</w:t>
      </w:r>
      <w:proofErr w:type="spellEnd"/>
      <w:r w:rsidR="00D41FEB" w:rsidRPr="00617E9D">
        <w:rPr>
          <w:rFonts w:ascii="Verdana" w:hAnsi="Verdana"/>
          <w:sz w:val="16"/>
          <w:szCs w:val="16"/>
          <w:lang w:val="es-ES"/>
        </w:rPr>
        <w:t xml:space="preserve"> Vs. Surinam. Fondo, Reparaciones y Costas. Sentencia de 25 de noviembre de 2015. Serie C No. 309</w:t>
      </w:r>
    </w:p>
  </w:footnote>
  <w:footnote w:id="3">
    <w:p w:rsidR="00D41FEB" w:rsidRPr="00617E9D" w:rsidRDefault="00D41FEB" w:rsidP="00617E9D">
      <w:pPr>
        <w:pStyle w:val="Textonotapie"/>
        <w:jc w:val="both"/>
        <w:rPr>
          <w:rFonts w:ascii="Verdana" w:hAnsi="Verdana"/>
          <w:sz w:val="16"/>
          <w:szCs w:val="16"/>
          <w:lang w:val="en-US"/>
        </w:rPr>
      </w:pPr>
      <w:r w:rsidRPr="00617E9D">
        <w:rPr>
          <w:rStyle w:val="Refdenotaalpie"/>
          <w:rFonts w:ascii="Verdana" w:hAnsi="Verdana"/>
          <w:sz w:val="16"/>
          <w:szCs w:val="16"/>
        </w:rPr>
        <w:footnoteRef/>
      </w:r>
      <w:r w:rsidRPr="00617E9D">
        <w:rPr>
          <w:rFonts w:ascii="Verdana" w:hAnsi="Verdana"/>
          <w:sz w:val="16"/>
          <w:szCs w:val="16"/>
          <w:lang w:val="es-ES"/>
        </w:rPr>
        <w:t xml:space="preserve"> Caso Comunidades Indígenas Miembros de la Asociación </w:t>
      </w:r>
      <w:proofErr w:type="spellStart"/>
      <w:r w:rsidRPr="00617E9D">
        <w:rPr>
          <w:rFonts w:ascii="Verdana" w:hAnsi="Verdana"/>
          <w:sz w:val="16"/>
          <w:szCs w:val="16"/>
          <w:lang w:val="es-ES"/>
        </w:rPr>
        <w:t>Lhaka</w:t>
      </w:r>
      <w:proofErr w:type="spellEnd"/>
      <w:r w:rsidRPr="00617E9D">
        <w:rPr>
          <w:rFonts w:ascii="Verdana" w:hAnsi="Verdana"/>
          <w:sz w:val="16"/>
          <w:szCs w:val="16"/>
          <w:lang w:val="es-ES"/>
        </w:rPr>
        <w:t xml:space="preserve"> </w:t>
      </w:r>
      <w:proofErr w:type="spellStart"/>
      <w:r w:rsidRPr="00617E9D">
        <w:rPr>
          <w:rFonts w:ascii="Verdana" w:hAnsi="Verdana"/>
          <w:sz w:val="16"/>
          <w:szCs w:val="16"/>
          <w:lang w:val="es-ES"/>
        </w:rPr>
        <w:t>Honhat</w:t>
      </w:r>
      <w:proofErr w:type="spellEnd"/>
      <w:r w:rsidRPr="00617E9D">
        <w:rPr>
          <w:rFonts w:ascii="Verdana" w:hAnsi="Verdana"/>
          <w:sz w:val="16"/>
          <w:szCs w:val="16"/>
          <w:lang w:val="es-ES"/>
        </w:rPr>
        <w:t xml:space="preserve"> (Nuestra Tierra) Vs. Argentina. Fondo, Reparaciones y Costas. Sentencia de 6 de febrero de 2020. </w:t>
      </w:r>
      <w:r w:rsidRPr="007C14AE">
        <w:rPr>
          <w:rFonts w:ascii="Verdana" w:hAnsi="Verdana"/>
          <w:sz w:val="16"/>
          <w:szCs w:val="16"/>
          <w:lang w:val="en-US"/>
        </w:rPr>
        <w:t>Serie C No. 400</w:t>
      </w:r>
    </w:p>
  </w:footnote>
  <w:footnote w:id="4">
    <w:p w:rsidR="00685923" w:rsidRPr="00617E9D" w:rsidRDefault="00685923" w:rsidP="00617E9D">
      <w:pPr>
        <w:spacing w:after="0" w:line="240" w:lineRule="auto"/>
        <w:jc w:val="both"/>
        <w:rPr>
          <w:rFonts w:ascii="Verdana" w:eastAsia="Times New Roman" w:hAnsi="Verdana" w:cs="Times New Roman"/>
          <w:sz w:val="16"/>
          <w:szCs w:val="16"/>
          <w:lang w:val="es-ES"/>
        </w:rPr>
      </w:pPr>
      <w:r w:rsidRPr="00617E9D">
        <w:rPr>
          <w:rStyle w:val="Refdenotaalpie"/>
          <w:rFonts w:ascii="Verdana" w:hAnsi="Verdana"/>
          <w:sz w:val="16"/>
          <w:szCs w:val="16"/>
        </w:rPr>
        <w:footnoteRef/>
      </w:r>
      <w:r w:rsidRPr="00617E9D">
        <w:rPr>
          <w:rFonts w:ascii="Verdana" w:hAnsi="Verdana"/>
          <w:sz w:val="16"/>
          <w:szCs w:val="16"/>
          <w:lang w:val="en-US"/>
        </w:rPr>
        <w:t xml:space="preserve"> </w:t>
      </w:r>
      <w:r w:rsidRPr="00617E9D">
        <w:rPr>
          <w:rFonts w:ascii="Verdana" w:eastAsia="Times New Roman" w:hAnsi="Verdana" w:cs="Times New Roman"/>
          <w:sz w:val="16"/>
          <w:szCs w:val="16"/>
          <w:lang w:val="en-US"/>
        </w:rPr>
        <w:t xml:space="preserve">Ratner, Steven R. “Corporations and Human Rights: A Theory of Legal Responsibility.” </w:t>
      </w:r>
      <w:proofErr w:type="spellStart"/>
      <w:r w:rsidRPr="00617E9D">
        <w:rPr>
          <w:rFonts w:ascii="Verdana" w:eastAsia="Times New Roman" w:hAnsi="Verdana" w:cs="Times New Roman"/>
          <w:i/>
          <w:iCs/>
          <w:sz w:val="16"/>
          <w:szCs w:val="16"/>
          <w:lang w:val="es-ES"/>
        </w:rPr>
        <w:t>The</w:t>
      </w:r>
      <w:proofErr w:type="spellEnd"/>
      <w:r w:rsidRPr="00617E9D">
        <w:rPr>
          <w:rFonts w:ascii="Verdana" w:eastAsia="Times New Roman" w:hAnsi="Verdana" w:cs="Times New Roman"/>
          <w:i/>
          <w:iCs/>
          <w:sz w:val="16"/>
          <w:szCs w:val="16"/>
          <w:lang w:val="es-ES"/>
        </w:rPr>
        <w:t xml:space="preserve"> Yale </w:t>
      </w:r>
      <w:proofErr w:type="spellStart"/>
      <w:r w:rsidRPr="00617E9D">
        <w:rPr>
          <w:rFonts w:ascii="Verdana" w:eastAsia="Times New Roman" w:hAnsi="Verdana" w:cs="Times New Roman"/>
          <w:i/>
          <w:iCs/>
          <w:sz w:val="16"/>
          <w:szCs w:val="16"/>
          <w:lang w:val="es-ES"/>
        </w:rPr>
        <w:t>Law</w:t>
      </w:r>
      <w:proofErr w:type="spellEnd"/>
      <w:r w:rsidRPr="00617E9D">
        <w:rPr>
          <w:rFonts w:ascii="Verdana" w:eastAsia="Times New Roman" w:hAnsi="Verdana" w:cs="Times New Roman"/>
          <w:i/>
          <w:iCs/>
          <w:sz w:val="16"/>
          <w:szCs w:val="16"/>
          <w:lang w:val="es-ES"/>
        </w:rPr>
        <w:t xml:space="preserve"> </w:t>
      </w:r>
      <w:proofErr w:type="spellStart"/>
      <w:r w:rsidRPr="00617E9D">
        <w:rPr>
          <w:rFonts w:ascii="Verdana" w:eastAsia="Times New Roman" w:hAnsi="Verdana" w:cs="Times New Roman"/>
          <w:i/>
          <w:iCs/>
          <w:sz w:val="16"/>
          <w:szCs w:val="16"/>
          <w:lang w:val="es-ES"/>
        </w:rPr>
        <w:t>Journal</w:t>
      </w:r>
      <w:proofErr w:type="spellEnd"/>
      <w:r w:rsidRPr="00617E9D">
        <w:rPr>
          <w:rFonts w:ascii="Verdana" w:eastAsia="Times New Roman" w:hAnsi="Verdana" w:cs="Times New Roman"/>
          <w:sz w:val="16"/>
          <w:szCs w:val="16"/>
          <w:lang w:val="es-ES"/>
        </w:rPr>
        <w:t xml:space="preserve"> 111, no. 3 (2001): 443–545. https://doi.org/10.2307/797542.</w:t>
      </w:r>
    </w:p>
  </w:footnote>
  <w:footnote w:id="5">
    <w:p w:rsidR="00E806BA" w:rsidRPr="00617E9D" w:rsidRDefault="00E806BA" w:rsidP="00617E9D">
      <w:pPr>
        <w:pStyle w:val="Textonotapie"/>
        <w:jc w:val="both"/>
        <w:rPr>
          <w:rFonts w:ascii="Verdana" w:hAnsi="Verdana"/>
          <w:sz w:val="16"/>
          <w:szCs w:val="16"/>
          <w:lang w:val="es-ES"/>
        </w:rPr>
      </w:pPr>
      <w:r w:rsidRPr="00617E9D">
        <w:rPr>
          <w:rStyle w:val="Refdenotaalpie"/>
          <w:rFonts w:ascii="Verdana" w:hAnsi="Verdana"/>
          <w:sz w:val="16"/>
          <w:szCs w:val="16"/>
        </w:rPr>
        <w:footnoteRef/>
      </w:r>
      <w:r w:rsidRPr="00617E9D">
        <w:rPr>
          <w:rFonts w:ascii="Verdana" w:hAnsi="Verdana"/>
          <w:sz w:val="16"/>
          <w:szCs w:val="16"/>
        </w:rPr>
        <w:t xml:space="preserve"> Caso Trabajadores de la Hacienda Brasil Verde Vs. Brasil. Excepciones Preliminares, Fondo, Reparaciones y Costas. Sentencia de 20 de octubre de 2016. Serie C No. 318, párr. 318</w:t>
      </w:r>
    </w:p>
  </w:footnote>
  <w:footnote w:id="6">
    <w:p w:rsidR="00792BB1" w:rsidRPr="00617E9D" w:rsidRDefault="00792BB1" w:rsidP="00617E9D">
      <w:pPr>
        <w:pStyle w:val="Textonotapie"/>
        <w:jc w:val="both"/>
        <w:rPr>
          <w:rFonts w:ascii="Verdana" w:hAnsi="Verdana"/>
          <w:sz w:val="16"/>
          <w:szCs w:val="16"/>
          <w:lang w:val="es-ES"/>
        </w:rPr>
      </w:pPr>
      <w:r w:rsidRPr="00617E9D">
        <w:rPr>
          <w:rStyle w:val="Refdenotaalpie"/>
          <w:rFonts w:ascii="Verdana" w:hAnsi="Verdana"/>
          <w:sz w:val="16"/>
          <w:szCs w:val="16"/>
        </w:rPr>
        <w:footnoteRef/>
      </w:r>
      <w:r w:rsidRPr="00617E9D">
        <w:rPr>
          <w:rFonts w:ascii="Verdana" w:hAnsi="Verdana"/>
          <w:sz w:val="16"/>
          <w:szCs w:val="16"/>
        </w:rPr>
        <w:t xml:space="preserve"> </w:t>
      </w:r>
      <w:r w:rsidR="00D41FEB" w:rsidRPr="00617E9D">
        <w:rPr>
          <w:rFonts w:ascii="Verdana" w:hAnsi="Verdana"/>
          <w:sz w:val="16"/>
          <w:szCs w:val="16"/>
        </w:rPr>
        <w:t xml:space="preserve">Caso de los Empleados de la Fábrica de Fuegos de Santo </w:t>
      </w:r>
      <w:proofErr w:type="spellStart"/>
      <w:r w:rsidR="00D41FEB" w:rsidRPr="00617E9D">
        <w:rPr>
          <w:rFonts w:ascii="Verdana" w:hAnsi="Verdana"/>
          <w:sz w:val="16"/>
          <w:szCs w:val="16"/>
        </w:rPr>
        <w:t>Antônio</w:t>
      </w:r>
      <w:proofErr w:type="spellEnd"/>
      <w:r w:rsidR="00D41FEB" w:rsidRPr="00617E9D">
        <w:rPr>
          <w:rFonts w:ascii="Verdana" w:hAnsi="Verdana"/>
          <w:sz w:val="16"/>
          <w:szCs w:val="16"/>
        </w:rPr>
        <w:t xml:space="preserve"> de </w:t>
      </w:r>
      <w:proofErr w:type="spellStart"/>
      <w:r w:rsidR="00D41FEB" w:rsidRPr="00617E9D">
        <w:rPr>
          <w:rFonts w:ascii="Verdana" w:hAnsi="Verdana"/>
          <w:sz w:val="16"/>
          <w:szCs w:val="16"/>
        </w:rPr>
        <w:t>Jesus</w:t>
      </w:r>
      <w:proofErr w:type="spellEnd"/>
      <w:r w:rsidR="00D41FEB" w:rsidRPr="00617E9D">
        <w:rPr>
          <w:rFonts w:ascii="Verdana" w:hAnsi="Verdana"/>
          <w:sz w:val="16"/>
          <w:szCs w:val="16"/>
        </w:rPr>
        <w:t xml:space="preserve"> y sus familiares Vs. Brasil. Excepciones Preliminares, Fondo, Reparaciones y Costas. Sentencia de 15 de julio de 2020. Serie C No. 407</w:t>
      </w:r>
    </w:p>
  </w:footnote>
  <w:footnote w:id="7">
    <w:p w:rsidR="00BB3CA0" w:rsidRPr="00617E9D" w:rsidRDefault="00BB3CA0" w:rsidP="00617E9D">
      <w:pPr>
        <w:pStyle w:val="Textonotapie"/>
        <w:jc w:val="both"/>
        <w:rPr>
          <w:rFonts w:ascii="Verdana" w:hAnsi="Verdana"/>
          <w:sz w:val="16"/>
          <w:szCs w:val="16"/>
        </w:rPr>
      </w:pPr>
      <w:r w:rsidRPr="00617E9D">
        <w:rPr>
          <w:rStyle w:val="Refdenotaalpie"/>
          <w:rFonts w:ascii="Verdana" w:hAnsi="Verdana"/>
          <w:sz w:val="16"/>
          <w:szCs w:val="16"/>
        </w:rPr>
        <w:footnoteRef/>
      </w:r>
      <w:r w:rsidRPr="00617E9D">
        <w:rPr>
          <w:rFonts w:ascii="Verdana" w:hAnsi="Verdana"/>
          <w:sz w:val="16"/>
          <w:szCs w:val="16"/>
        </w:rPr>
        <w:t xml:space="preserve"> </w:t>
      </w:r>
      <w:r w:rsidRPr="00617E9D">
        <w:rPr>
          <w:rFonts w:ascii="Verdana" w:hAnsi="Verdana"/>
          <w:sz w:val="16"/>
          <w:szCs w:val="16"/>
        </w:rPr>
        <w:tab/>
      </w:r>
      <w:r w:rsidRPr="00617E9D">
        <w:rPr>
          <w:rFonts w:ascii="Verdana" w:hAnsi="Verdana"/>
          <w:i/>
          <w:sz w:val="16"/>
          <w:szCs w:val="16"/>
        </w:rPr>
        <w:t xml:space="preserve"> </w:t>
      </w:r>
      <w:r w:rsidRPr="00617E9D">
        <w:rPr>
          <w:rFonts w:ascii="Verdana" w:hAnsi="Verdana"/>
          <w:sz w:val="16"/>
          <w:szCs w:val="16"/>
        </w:rPr>
        <w:t xml:space="preserve">Organización Internacional del Trabajo. </w:t>
      </w:r>
      <w:r w:rsidRPr="00617E9D">
        <w:rPr>
          <w:rFonts w:ascii="Verdana" w:hAnsi="Verdana"/>
          <w:i/>
          <w:sz w:val="16"/>
          <w:szCs w:val="16"/>
        </w:rPr>
        <w:t>Panorama Laboral 2020. América Latina y el Caribe</w:t>
      </w:r>
      <w:r w:rsidRPr="00617E9D">
        <w:rPr>
          <w:rFonts w:ascii="Verdana" w:hAnsi="Verdana"/>
          <w:sz w:val="16"/>
          <w:szCs w:val="16"/>
        </w:rPr>
        <w:t>, 2019, pág. 6.</w:t>
      </w:r>
    </w:p>
  </w:footnote>
  <w:footnote w:id="8">
    <w:p w:rsidR="00BB3CA0" w:rsidRPr="00617E9D" w:rsidRDefault="00BB3CA0" w:rsidP="00617E9D">
      <w:pPr>
        <w:pStyle w:val="Textonotapie"/>
        <w:jc w:val="both"/>
        <w:rPr>
          <w:rFonts w:ascii="Verdana" w:hAnsi="Verdana"/>
          <w:sz w:val="16"/>
          <w:szCs w:val="16"/>
          <w:lang w:val="es-ES"/>
        </w:rPr>
      </w:pPr>
      <w:r w:rsidRPr="00617E9D">
        <w:rPr>
          <w:rStyle w:val="Refdenotaalpie"/>
          <w:rFonts w:ascii="Verdana" w:hAnsi="Verdana"/>
          <w:sz w:val="16"/>
          <w:szCs w:val="16"/>
        </w:rPr>
        <w:footnoteRef/>
      </w:r>
      <w:r w:rsidRPr="00617E9D">
        <w:rPr>
          <w:rFonts w:ascii="Verdana" w:hAnsi="Verdana"/>
          <w:sz w:val="16"/>
          <w:szCs w:val="16"/>
        </w:rPr>
        <w:t xml:space="preserve"> Derechos a la libertad sindical, negociación colectiva y huelga, y su relación con otros derechos, con perspectiva de género (interpretación y alcance de los artículos 13, 15, 16, 24, 25 y 26, en relación con los artículos 1.1 y 2 de la Convención Americana sobre Derechos Humanos, de los artículos 3, 6, 7 y 8 del Protocolo de San Salvador, de los artículos 2, 3, 4, 5 y 6 de la Convención de Belem do Pará, de los artículos 34, 44 y 45 de la Carta de la Organización de los Estados Americanos, y de los artículos II, IV, XIV, XXI y XXII de la Declaración Americana de los Derechos y Deberes del Hombre). Opinión Consultiva OC-27/21 de 5 de mayo de 2021. Serie A No. 27.</w:t>
      </w:r>
    </w:p>
  </w:footnote>
  <w:footnote w:id="9">
    <w:p w:rsidR="008B3C9B" w:rsidRPr="00617E9D" w:rsidRDefault="008B3C9B" w:rsidP="00617E9D">
      <w:pPr>
        <w:pStyle w:val="Textonotapie"/>
        <w:jc w:val="both"/>
        <w:rPr>
          <w:rFonts w:ascii="Verdana" w:hAnsi="Verdana"/>
          <w:sz w:val="16"/>
          <w:szCs w:val="16"/>
          <w:lang w:val="es-ES"/>
        </w:rPr>
      </w:pPr>
      <w:r w:rsidRPr="00617E9D">
        <w:rPr>
          <w:rStyle w:val="Refdenotaalpie"/>
          <w:rFonts w:ascii="Verdana" w:hAnsi="Verdana"/>
          <w:sz w:val="16"/>
          <w:szCs w:val="16"/>
        </w:rPr>
        <w:footnoteRef/>
      </w:r>
      <w:r w:rsidRPr="00617E9D">
        <w:rPr>
          <w:rFonts w:ascii="Verdana" w:hAnsi="Verdana"/>
          <w:sz w:val="16"/>
          <w:szCs w:val="16"/>
          <w:lang w:val="es-ES"/>
        </w:rPr>
        <w:t xml:space="preserve"> </w:t>
      </w:r>
      <w:r w:rsidR="00A41556" w:rsidRPr="00617E9D">
        <w:rPr>
          <w:rFonts w:ascii="Verdana" w:hAnsi="Verdana"/>
          <w:sz w:val="16"/>
          <w:szCs w:val="16"/>
          <w:lang w:val="es-ES"/>
        </w:rPr>
        <w:t xml:space="preserve">Hay quienes consideran que las empresas transnacionales corresponden a ‘‘un nivel drásticamente diferente de trabajo’’ y por ello requieren un nuevo cuerpo normativo al que denominan ‘‘derecho transnacional’’. Sin embargo, aquí la discusión es más bien si el derecho internacional de los derechos humanos debe aplicarse para esta realidad en toda su magnitud. </w:t>
      </w:r>
      <w:r w:rsidRPr="00617E9D">
        <w:rPr>
          <w:rFonts w:ascii="Verdana" w:hAnsi="Verdana"/>
          <w:sz w:val="16"/>
          <w:szCs w:val="16"/>
          <w:lang w:val="es-ES"/>
        </w:rPr>
        <w:t xml:space="preserve">Y.  M.  </w:t>
      </w:r>
      <w:proofErr w:type="spellStart"/>
      <w:proofErr w:type="gramStart"/>
      <w:r w:rsidRPr="00617E9D">
        <w:rPr>
          <w:rFonts w:ascii="Verdana" w:hAnsi="Verdana"/>
          <w:sz w:val="16"/>
          <w:szCs w:val="16"/>
          <w:lang w:val="es-ES"/>
        </w:rPr>
        <w:t>Kolosov</w:t>
      </w:r>
      <w:proofErr w:type="spellEnd"/>
      <w:r w:rsidRPr="00617E9D">
        <w:rPr>
          <w:rFonts w:ascii="Verdana" w:hAnsi="Verdana"/>
          <w:sz w:val="16"/>
          <w:szCs w:val="16"/>
          <w:lang w:val="es-ES"/>
        </w:rPr>
        <w:t xml:space="preserve">  &amp;</w:t>
      </w:r>
      <w:proofErr w:type="gramEnd"/>
      <w:r w:rsidRPr="00617E9D">
        <w:rPr>
          <w:rFonts w:ascii="Verdana" w:hAnsi="Verdana"/>
          <w:sz w:val="16"/>
          <w:szCs w:val="16"/>
          <w:lang w:val="es-ES"/>
        </w:rPr>
        <w:t xml:space="preserve">  E.  S.  </w:t>
      </w:r>
      <w:proofErr w:type="spellStart"/>
      <w:r w:rsidRPr="00617E9D">
        <w:rPr>
          <w:rFonts w:ascii="Verdana" w:hAnsi="Verdana"/>
          <w:sz w:val="16"/>
          <w:szCs w:val="16"/>
          <w:lang w:val="es-ES"/>
        </w:rPr>
        <w:t>Krivchikova</w:t>
      </w:r>
      <w:proofErr w:type="spellEnd"/>
      <w:r w:rsidRPr="00617E9D">
        <w:rPr>
          <w:rFonts w:ascii="Verdana" w:hAnsi="Verdana"/>
          <w:sz w:val="16"/>
          <w:szCs w:val="16"/>
          <w:lang w:val="es-ES"/>
        </w:rPr>
        <w:t xml:space="preserve">:  </w:t>
      </w:r>
      <w:proofErr w:type="spellStart"/>
      <w:proofErr w:type="gramStart"/>
      <w:r w:rsidRPr="00617E9D">
        <w:rPr>
          <w:rFonts w:ascii="Verdana" w:hAnsi="Verdana"/>
          <w:sz w:val="16"/>
          <w:szCs w:val="16"/>
          <w:lang w:val="es-ES"/>
        </w:rPr>
        <w:t>Mejdunarodnoe</w:t>
      </w:r>
      <w:proofErr w:type="spellEnd"/>
      <w:r w:rsidRPr="00617E9D">
        <w:rPr>
          <w:rFonts w:ascii="Verdana" w:hAnsi="Verdana"/>
          <w:sz w:val="16"/>
          <w:szCs w:val="16"/>
          <w:lang w:val="es-ES"/>
        </w:rPr>
        <w:t xml:space="preserve">  pravo</w:t>
      </w:r>
      <w:proofErr w:type="gramEnd"/>
      <w:r w:rsidRPr="00617E9D">
        <w:rPr>
          <w:rFonts w:ascii="Verdana" w:hAnsi="Verdana"/>
          <w:sz w:val="16"/>
          <w:szCs w:val="16"/>
          <w:lang w:val="es-ES"/>
        </w:rPr>
        <w:t xml:space="preserve">  [International  </w:t>
      </w:r>
      <w:proofErr w:type="spellStart"/>
      <w:r w:rsidRPr="00617E9D">
        <w:rPr>
          <w:rFonts w:ascii="Verdana" w:hAnsi="Verdana"/>
          <w:sz w:val="16"/>
          <w:szCs w:val="16"/>
          <w:lang w:val="es-ES"/>
        </w:rPr>
        <w:t>Law</w:t>
      </w:r>
      <w:proofErr w:type="spellEnd"/>
      <w:r w:rsidRPr="00617E9D">
        <w:rPr>
          <w:rFonts w:ascii="Verdana" w:hAnsi="Verdana"/>
          <w:sz w:val="16"/>
          <w:szCs w:val="16"/>
          <w:lang w:val="es-ES"/>
        </w:rPr>
        <w:t xml:space="preserve">],  </w:t>
      </w:r>
      <w:proofErr w:type="spellStart"/>
      <w:r w:rsidRPr="00617E9D">
        <w:rPr>
          <w:rFonts w:ascii="Verdana" w:hAnsi="Verdana"/>
          <w:sz w:val="16"/>
          <w:szCs w:val="16"/>
          <w:lang w:val="es-ES"/>
        </w:rPr>
        <w:t>Uchebnik</w:t>
      </w:r>
      <w:proofErr w:type="spellEnd"/>
      <w:r w:rsidRPr="00617E9D">
        <w:rPr>
          <w:rFonts w:ascii="Verdana" w:hAnsi="Verdana"/>
          <w:sz w:val="16"/>
          <w:szCs w:val="16"/>
          <w:lang w:val="es-ES"/>
        </w:rPr>
        <w:t xml:space="preserve">. </w:t>
      </w:r>
      <w:proofErr w:type="spellStart"/>
      <w:proofErr w:type="gramStart"/>
      <w:r w:rsidRPr="00617E9D">
        <w:rPr>
          <w:rFonts w:ascii="Verdana" w:hAnsi="Verdana"/>
          <w:sz w:val="16"/>
          <w:szCs w:val="16"/>
          <w:lang w:val="es-ES"/>
        </w:rPr>
        <w:t>Mejdunarodnie</w:t>
      </w:r>
      <w:proofErr w:type="spellEnd"/>
      <w:r w:rsidRPr="00617E9D">
        <w:rPr>
          <w:rFonts w:ascii="Verdana" w:hAnsi="Verdana"/>
          <w:sz w:val="16"/>
          <w:szCs w:val="16"/>
          <w:lang w:val="es-ES"/>
        </w:rPr>
        <w:t xml:space="preserve">  </w:t>
      </w:r>
      <w:proofErr w:type="spellStart"/>
      <w:r w:rsidRPr="00617E9D">
        <w:rPr>
          <w:rFonts w:ascii="Verdana" w:hAnsi="Verdana"/>
          <w:sz w:val="16"/>
          <w:szCs w:val="16"/>
          <w:lang w:val="es-ES"/>
        </w:rPr>
        <w:t>otnosheniya</w:t>
      </w:r>
      <w:proofErr w:type="spellEnd"/>
      <w:proofErr w:type="gramEnd"/>
      <w:r w:rsidRPr="00617E9D">
        <w:rPr>
          <w:rFonts w:ascii="Verdana" w:hAnsi="Verdana"/>
          <w:sz w:val="16"/>
          <w:szCs w:val="16"/>
          <w:lang w:val="es-ES"/>
        </w:rPr>
        <w:t xml:space="preserve">,  </w:t>
      </w:r>
      <w:proofErr w:type="spellStart"/>
      <w:r w:rsidRPr="00617E9D">
        <w:rPr>
          <w:rFonts w:ascii="Verdana" w:hAnsi="Verdana"/>
          <w:sz w:val="16"/>
          <w:szCs w:val="16"/>
          <w:lang w:val="es-ES"/>
        </w:rPr>
        <w:t>Moscow</w:t>
      </w:r>
      <w:proofErr w:type="spellEnd"/>
      <w:r w:rsidRPr="00617E9D">
        <w:rPr>
          <w:rFonts w:ascii="Verdana" w:hAnsi="Verdana"/>
          <w:sz w:val="16"/>
          <w:szCs w:val="16"/>
          <w:lang w:val="es-ES"/>
        </w:rPr>
        <w:t xml:space="preserve">,  2000,  p.  </w:t>
      </w:r>
      <w:r w:rsidRPr="00617E9D">
        <w:rPr>
          <w:rFonts w:ascii="Verdana" w:hAnsi="Verdana"/>
          <w:sz w:val="16"/>
          <w:szCs w:val="16"/>
        </w:rPr>
        <w:t>86</w:t>
      </w:r>
    </w:p>
  </w:footnote>
  <w:footnote w:id="10">
    <w:p w:rsidR="00A41556" w:rsidRPr="00617E9D" w:rsidRDefault="00A41556" w:rsidP="00617E9D">
      <w:pPr>
        <w:pStyle w:val="Textonotapie"/>
        <w:jc w:val="both"/>
        <w:rPr>
          <w:rFonts w:ascii="Verdana" w:hAnsi="Verdana"/>
          <w:sz w:val="16"/>
          <w:szCs w:val="16"/>
          <w:lang w:val="es-ES"/>
        </w:rPr>
      </w:pPr>
      <w:r w:rsidRPr="00617E9D">
        <w:rPr>
          <w:rStyle w:val="Refdenotaalpie"/>
          <w:rFonts w:ascii="Verdana" w:hAnsi="Verdana"/>
          <w:sz w:val="16"/>
          <w:szCs w:val="16"/>
        </w:rPr>
        <w:footnoteRef/>
      </w:r>
      <w:r w:rsidRPr="00617E9D">
        <w:rPr>
          <w:rFonts w:ascii="Verdana" w:hAnsi="Verdana"/>
          <w:sz w:val="16"/>
          <w:szCs w:val="16"/>
        </w:rPr>
        <w:t xml:space="preserve"> Oficina del Alto Comisionado de las Naciones Unidas para los Derechos Humanos (ACNUDH). </w:t>
      </w:r>
      <w:r w:rsidRPr="00617E9D">
        <w:rPr>
          <w:rFonts w:ascii="Verdana" w:eastAsia="Times" w:hAnsi="Verdana" w:cs="Arial"/>
          <w:i/>
          <w:sz w:val="16"/>
          <w:szCs w:val="16"/>
          <w:lang w:val="es-MX"/>
        </w:rPr>
        <w:t>Principios Rectores sobre las empresas y los derechos humanos: puesta en práctica del marco de las Naciones Unidas para “proteger, respetar y remediar”</w:t>
      </w:r>
      <w:r w:rsidRPr="00617E9D">
        <w:rPr>
          <w:rFonts w:ascii="Verdana" w:eastAsia="Times" w:hAnsi="Verdana" w:cs="Arial"/>
          <w:sz w:val="16"/>
          <w:szCs w:val="16"/>
          <w:lang w:val="es-MX"/>
        </w:rPr>
        <w:t xml:space="preserve">, </w:t>
      </w:r>
      <w:r w:rsidRPr="00617E9D">
        <w:rPr>
          <w:rFonts w:ascii="Verdana" w:hAnsi="Verdana"/>
          <w:color w:val="211D1E"/>
          <w:sz w:val="16"/>
          <w:szCs w:val="16"/>
        </w:rPr>
        <w:t>HR/PUB/11/04,</w:t>
      </w:r>
      <w:r w:rsidRPr="00617E9D">
        <w:rPr>
          <w:rFonts w:ascii="Verdana" w:eastAsia="Times" w:hAnsi="Verdana" w:cs="Arial"/>
          <w:sz w:val="16"/>
          <w:szCs w:val="16"/>
          <w:lang w:val="es-MX"/>
        </w:rPr>
        <w:t xml:space="preserve"> </w:t>
      </w:r>
      <w:r w:rsidRPr="00617E9D">
        <w:rPr>
          <w:rFonts w:ascii="Verdana" w:hAnsi="Verdana"/>
          <w:sz w:val="16"/>
          <w:szCs w:val="16"/>
        </w:rPr>
        <w:t>2011</w:t>
      </w:r>
    </w:p>
  </w:footnote>
  <w:footnote w:id="11">
    <w:p w:rsidR="00077399" w:rsidRPr="00617E9D" w:rsidRDefault="00077399" w:rsidP="00617E9D">
      <w:pPr>
        <w:pStyle w:val="Textonotapie"/>
        <w:jc w:val="both"/>
        <w:rPr>
          <w:rFonts w:ascii="Verdana" w:hAnsi="Verdana"/>
          <w:sz w:val="16"/>
          <w:szCs w:val="16"/>
          <w:lang w:val="es-ES"/>
        </w:rPr>
      </w:pPr>
      <w:r w:rsidRPr="00617E9D">
        <w:rPr>
          <w:rStyle w:val="Refdenotaalpie"/>
          <w:rFonts w:ascii="Verdana" w:hAnsi="Verdana"/>
          <w:sz w:val="16"/>
          <w:szCs w:val="16"/>
        </w:rPr>
        <w:footnoteRef/>
      </w:r>
      <w:r w:rsidRPr="00617E9D">
        <w:rPr>
          <w:rFonts w:ascii="Verdana" w:hAnsi="Verdana"/>
          <w:sz w:val="16"/>
          <w:szCs w:val="16"/>
        </w:rPr>
        <w:t xml:space="preserve"> </w:t>
      </w:r>
      <w:r w:rsidRPr="00617E9D">
        <w:rPr>
          <w:rFonts w:ascii="Verdana" w:hAnsi="Verdana"/>
          <w:sz w:val="16"/>
          <w:szCs w:val="16"/>
          <w:lang w:val="es-ES_tradnl"/>
        </w:rPr>
        <w:t xml:space="preserve">El artículo 63.1 de la Convención Americana sobre Derechos Humanos otorga a la Corte Interamericana la facultad de ordenar que se garantice a la víctima el derecho violado, así como de ordenar medidas de reparación que abarquen tanto indemnizaciones compensatorias como otras medidas adicionales. Para el Tribunal toda violación a una obligación internacional, que significa un daño, conlleva una reparación. </w:t>
      </w:r>
    </w:p>
  </w:footnote>
  <w:footnote w:id="12">
    <w:p w:rsidR="004C7ED4" w:rsidRPr="00617E9D" w:rsidRDefault="004C7ED4" w:rsidP="00617E9D">
      <w:pPr>
        <w:pStyle w:val="Textonotapie"/>
        <w:jc w:val="both"/>
        <w:rPr>
          <w:rFonts w:ascii="Verdana" w:hAnsi="Verdana"/>
          <w:sz w:val="16"/>
          <w:szCs w:val="16"/>
          <w:lang w:val="es-ES"/>
        </w:rPr>
      </w:pPr>
      <w:r w:rsidRPr="00617E9D">
        <w:rPr>
          <w:rStyle w:val="Refdenotaalpie"/>
          <w:rFonts w:ascii="Verdana" w:hAnsi="Verdana"/>
          <w:sz w:val="16"/>
          <w:szCs w:val="16"/>
        </w:rPr>
        <w:footnoteRef/>
      </w:r>
      <w:r w:rsidRPr="00617E9D">
        <w:rPr>
          <w:rFonts w:ascii="Verdana" w:hAnsi="Verdana"/>
          <w:sz w:val="16"/>
          <w:szCs w:val="16"/>
        </w:rPr>
        <w:t xml:space="preserve"> </w:t>
      </w:r>
      <w:r w:rsidR="00617E9D" w:rsidRPr="00617E9D">
        <w:rPr>
          <w:rFonts w:ascii="Verdana" w:hAnsi="Verdana"/>
          <w:sz w:val="16"/>
          <w:szCs w:val="16"/>
        </w:rPr>
        <w:t xml:space="preserve">Caso Pueblos </w:t>
      </w:r>
      <w:proofErr w:type="spellStart"/>
      <w:r w:rsidR="00617E9D" w:rsidRPr="00617E9D">
        <w:rPr>
          <w:rFonts w:ascii="Verdana" w:hAnsi="Verdana"/>
          <w:sz w:val="16"/>
          <w:szCs w:val="16"/>
        </w:rPr>
        <w:t>Kaliña</w:t>
      </w:r>
      <w:proofErr w:type="spellEnd"/>
      <w:r w:rsidR="00617E9D" w:rsidRPr="00617E9D">
        <w:rPr>
          <w:rFonts w:ascii="Verdana" w:hAnsi="Verdana"/>
          <w:sz w:val="16"/>
          <w:szCs w:val="16"/>
        </w:rPr>
        <w:t xml:space="preserve"> y </w:t>
      </w:r>
      <w:proofErr w:type="spellStart"/>
      <w:r w:rsidR="00617E9D" w:rsidRPr="00617E9D">
        <w:rPr>
          <w:rFonts w:ascii="Verdana" w:hAnsi="Verdana"/>
          <w:sz w:val="16"/>
          <w:szCs w:val="16"/>
        </w:rPr>
        <w:t>Lokono</w:t>
      </w:r>
      <w:proofErr w:type="spellEnd"/>
      <w:r w:rsidR="00617E9D" w:rsidRPr="00617E9D">
        <w:rPr>
          <w:rFonts w:ascii="Verdana" w:hAnsi="Verdana"/>
          <w:sz w:val="16"/>
          <w:szCs w:val="16"/>
        </w:rPr>
        <w:t xml:space="preserve"> Vs. Surinam. Fondo, Reparaciones y Costas. Sentencia de 25 de noviembre de 2015. Serie C No. 309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B0B"/>
    <w:multiLevelType w:val="hybridMultilevel"/>
    <w:tmpl w:val="9B1CF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B59BD"/>
    <w:multiLevelType w:val="hybridMultilevel"/>
    <w:tmpl w:val="F866F500"/>
    <w:lvl w:ilvl="0" w:tplc="955A2732">
      <w:start w:val="1"/>
      <w:numFmt w:val="decimal"/>
      <w:lvlText w:val="%1."/>
      <w:lvlJc w:val="left"/>
      <w:pPr>
        <w:ind w:left="720" w:hanging="360"/>
      </w:pPr>
      <w:rPr>
        <w:rFonts w:ascii="Verdana" w:hAnsi="Verdana" w:hint="default"/>
        <w:b w:val="0"/>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749D77E3"/>
    <w:multiLevelType w:val="hybridMultilevel"/>
    <w:tmpl w:val="F856B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CR"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1A"/>
    <w:rsid w:val="000302FF"/>
    <w:rsid w:val="00077399"/>
    <w:rsid w:val="00085E1A"/>
    <w:rsid w:val="000F5DDC"/>
    <w:rsid w:val="0018090D"/>
    <w:rsid w:val="00181243"/>
    <w:rsid w:val="00217612"/>
    <w:rsid w:val="00300D55"/>
    <w:rsid w:val="00307771"/>
    <w:rsid w:val="00347381"/>
    <w:rsid w:val="00374CA3"/>
    <w:rsid w:val="003C5628"/>
    <w:rsid w:val="003F4877"/>
    <w:rsid w:val="004145E3"/>
    <w:rsid w:val="004C7ED4"/>
    <w:rsid w:val="005E0028"/>
    <w:rsid w:val="00617E9D"/>
    <w:rsid w:val="00625C87"/>
    <w:rsid w:val="00685923"/>
    <w:rsid w:val="006D41C8"/>
    <w:rsid w:val="0074202B"/>
    <w:rsid w:val="00792BB1"/>
    <w:rsid w:val="00794E43"/>
    <w:rsid w:val="007C14AE"/>
    <w:rsid w:val="007D33CA"/>
    <w:rsid w:val="00825170"/>
    <w:rsid w:val="008B2E2D"/>
    <w:rsid w:val="008B3C9B"/>
    <w:rsid w:val="00947B67"/>
    <w:rsid w:val="009F7BAA"/>
    <w:rsid w:val="00A41556"/>
    <w:rsid w:val="00A41BBD"/>
    <w:rsid w:val="00A563C8"/>
    <w:rsid w:val="00A603FF"/>
    <w:rsid w:val="00AD0EB8"/>
    <w:rsid w:val="00B47CFF"/>
    <w:rsid w:val="00B8054A"/>
    <w:rsid w:val="00BB3CA0"/>
    <w:rsid w:val="00BE6186"/>
    <w:rsid w:val="00C363D7"/>
    <w:rsid w:val="00C928E0"/>
    <w:rsid w:val="00CC0434"/>
    <w:rsid w:val="00D41FEB"/>
    <w:rsid w:val="00D519AB"/>
    <w:rsid w:val="00E04699"/>
    <w:rsid w:val="00E806BA"/>
    <w:rsid w:val="00EF0EF0"/>
    <w:rsid w:val="00EF7867"/>
    <w:rsid w:val="00FD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EA6D4-9327-4787-BEA2-DE0DF18A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1A"/>
    <w:pPr>
      <w:spacing w:line="256" w:lineRule="auto"/>
    </w:pPr>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85E1A"/>
    <w:pPr>
      <w:spacing w:after="0" w:line="240" w:lineRule="auto"/>
      <w:jc w:val="center"/>
    </w:pPr>
    <w:rPr>
      <w:rFonts w:ascii="Verdana" w:eastAsia="Times New Roman" w:hAnsi="Verdana" w:cs="Times New Roman"/>
      <w:b/>
      <w:sz w:val="20"/>
      <w:szCs w:val="20"/>
      <w:lang w:val="es-ES_tradnl"/>
    </w:rPr>
  </w:style>
  <w:style w:type="character" w:customStyle="1" w:styleId="TtuloCar">
    <w:name w:val="Título Car"/>
    <w:basedOn w:val="Fuentedeprrafopredeter"/>
    <w:link w:val="Ttulo"/>
    <w:rsid w:val="00085E1A"/>
    <w:rPr>
      <w:rFonts w:ascii="Verdana" w:eastAsia="Times New Roman" w:hAnsi="Verdana" w:cs="Times New Roman"/>
      <w:b/>
      <w:sz w:val="20"/>
      <w:szCs w:val="20"/>
      <w:lang w:val="es-ES_tradnl"/>
    </w:rPr>
  </w:style>
  <w:style w:type="paragraph" w:styleId="Subttulo">
    <w:name w:val="Subtitle"/>
    <w:basedOn w:val="Normal"/>
    <w:next w:val="Normal"/>
    <w:link w:val="SubttuloCar"/>
    <w:qFormat/>
    <w:rsid w:val="00085E1A"/>
    <w:pPr>
      <w:spacing w:after="0" w:line="240" w:lineRule="auto"/>
      <w:jc w:val="center"/>
    </w:pPr>
    <w:rPr>
      <w:rFonts w:ascii="Verdana" w:eastAsia="Times New Roman" w:hAnsi="Verdana" w:cs="Times New Roman"/>
      <w:b/>
      <w:i/>
      <w:iCs/>
      <w:spacing w:val="15"/>
      <w:sz w:val="20"/>
      <w:szCs w:val="24"/>
      <w:lang w:val="es-ES_tradnl"/>
    </w:rPr>
  </w:style>
  <w:style w:type="character" w:customStyle="1" w:styleId="SubttuloCar">
    <w:name w:val="Subtítulo Car"/>
    <w:basedOn w:val="Fuentedeprrafopredeter"/>
    <w:link w:val="Subttulo"/>
    <w:rsid w:val="00085E1A"/>
    <w:rPr>
      <w:rFonts w:ascii="Verdana" w:eastAsia="Times New Roman" w:hAnsi="Verdana" w:cs="Times New Roman"/>
      <w:b/>
      <w:i/>
      <w:iCs/>
      <w:spacing w:val="15"/>
      <w:sz w:val="20"/>
      <w:szCs w:val="24"/>
      <w:lang w:val="es-ES_tradnl"/>
    </w:rPr>
  </w:style>
  <w:style w:type="paragraph" w:styleId="Prrafodelista">
    <w:name w:val="List Paragraph"/>
    <w:basedOn w:val="Normal"/>
    <w:uiPriority w:val="34"/>
    <w:qFormat/>
    <w:rsid w:val="00085E1A"/>
    <w:pPr>
      <w:spacing w:after="0" w:line="240" w:lineRule="auto"/>
      <w:ind w:left="720"/>
      <w:contextualSpacing/>
    </w:pPr>
    <w:rPr>
      <w:rFonts w:ascii="Times New Roman" w:eastAsia="Times New Roman" w:hAnsi="Times New Roman" w:cs="Times New Roman"/>
      <w:sz w:val="24"/>
      <w:szCs w:val="24"/>
      <w:lang w:val="es-MX" w:eastAsia="es-MX"/>
    </w:rPr>
  </w:style>
  <w:style w:type="paragraph" w:styleId="Textonotapie">
    <w:name w:val="footnote text"/>
    <w:aliases w:val="Footnote Text Char Char Char Char Char,Footnote Text Char Char Char Char,footnote text,Footnote reference,FA Fu,Footnote Text Char Char Char,Footnote Text Cha,FA Fußnotentext,FA Fuﬂnotentext,Footnote Text Char Char,Ca,C,FA Fu?notente,ft,5"/>
    <w:basedOn w:val="Normal"/>
    <w:link w:val="TextonotapieCar"/>
    <w:unhideWhenUsed/>
    <w:qFormat/>
    <w:rsid w:val="0030777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ar,Footnote reference Car,FA Fu Car,Footnote Text Char Char Char Car,Footnote Text Cha Car,FA Fußnotentext Car,FA Fuﬂnotentext Car,Ca Car"/>
    <w:basedOn w:val="Fuentedeprrafopredeter"/>
    <w:link w:val="Textonotapie"/>
    <w:qFormat/>
    <w:rsid w:val="00307771"/>
    <w:rPr>
      <w:sz w:val="20"/>
      <w:szCs w:val="20"/>
      <w:lang w:val="es-CR"/>
    </w:rPr>
  </w:style>
  <w:style w:type="character" w:styleId="Refdenotaalpie">
    <w:name w:val="footnote reference"/>
    <w:aliases w:val="Footnotes refss,Texto de nota al pie,Appel note de bas de page,Footnote number,referencia nota al pie,BVI fnr,f,Ref. de nota al pie.,4_G,16 Point,Superscript 6 Point,Footnote symbol,Footnote,Texto nota al pie,Footnote Reference Char3"/>
    <w:basedOn w:val="Fuentedeprrafopredeter"/>
    <w:link w:val="4GChar"/>
    <w:uiPriority w:val="99"/>
    <w:unhideWhenUsed/>
    <w:qFormat/>
    <w:rsid w:val="0030777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B3CA0"/>
    <w:pPr>
      <w:spacing w:after="0" w:line="240" w:lineRule="auto"/>
      <w:jc w:val="both"/>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71766">
      <w:bodyDiv w:val="1"/>
      <w:marLeft w:val="0"/>
      <w:marRight w:val="0"/>
      <w:marTop w:val="0"/>
      <w:marBottom w:val="0"/>
      <w:divBdr>
        <w:top w:val="none" w:sz="0" w:space="0" w:color="auto"/>
        <w:left w:val="none" w:sz="0" w:space="0" w:color="auto"/>
        <w:bottom w:val="none" w:sz="0" w:space="0" w:color="auto"/>
        <w:right w:val="none" w:sz="0" w:space="0" w:color="auto"/>
      </w:divBdr>
      <w:divsChild>
        <w:div w:id="989286837">
          <w:marLeft w:val="0"/>
          <w:marRight w:val="0"/>
          <w:marTop w:val="0"/>
          <w:marBottom w:val="0"/>
          <w:divBdr>
            <w:top w:val="none" w:sz="0" w:space="0" w:color="auto"/>
            <w:left w:val="none" w:sz="0" w:space="0" w:color="auto"/>
            <w:bottom w:val="none" w:sz="0" w:space="0" w:color="auto"/>
            <w:right w:val="none" w:sz="0" w:space="0" w:color="auto"/>
          </w:divBdr>
          <w:divsChild>
            <w:div w:id="17349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2360</Words>
  <Characters>12985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2021-10-14T19:28:00Z</dcterms:created>
  <dcterms:modified xsi:type="dcterms:W3CDTF">2021-10-14T19:28:00Z</dcterms:modified>
</cp:coreProperties>
</file>