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3EC1B" w14:textId="77777777" w:rsidR="00DE7840" w:rsidRDefault="00DE7840" w:rsidP="007624ED">
      <w:pPr>
        <w:spacing w:after="0" w:line="240" w:lineRule="auto"/>
        <w:jc w:val="center"/>
        <w:rPr>
          <w:rFonts w:ascii="Verdana" w:hAnsi="Verdana" w:cs="Times New Roman"/>
          <w:b/>
          <w:sz w:val="20"/>
          <w:szCs w:val="20"/>
          <w:lang w:val="en-US"/>
        </w:rPr>
      </w:pPr>
      <w:bookmarkStart w:id="0" w:name="_GoBack"/>
    </w:p>
    <w:p w14:paraId="5E758699" w14:textId="77777777" w:rsidR="00DE7840" w:rsidRDefault="00DE7840" w:rsidP="007624ED">
      <w:pPr>
        <w:spacing w:after="0" w:line="240" w:lineRule="auto"/>
        <w:jc w:val="center"/>
        <w:rPr>
          <w:rFonts w:ascii="Verdana" w:hAnsi="Verdana" w:cs="Times New Roman"/>
          <w:b/>
          <w:sz w:val="20"/>
          <w:szCs w:val="20"/>
          <w:lang w:val="en-US"/>
        </w:rPr>
      </w:pPr>
    </w:p>
    <w:p w14:paraId="5DB97DA9" w14:textId="77777777" w:rsidR="00DE7840" w:rsidRDefault="00DE7840" w:rsidP="007624ED">
      <w:pPr>
        <w:spacing w:after="0" w:line="240" w:lineRule="auto"/>
        <w:jc w:val="center"/>
        <w:rPr>
          <w:rFonts w:ascii="Verdana" w:hAnsi="Verdana" w:cs="Times New Roman"/>
          <w:b/>
          <w:sz w:val="20"/>
          <w:szCs w:val="20"/>
          <w:lang w:val="en-US"/>
        </w:rPr>
      </w:pPr>
    </w:p>
    <w:p w14:paraId="3016B3AF" w14:textId="77777777" w:rsidR="00DE7840" w:rsidRDefault="00DE7840" w:rsidP="007624ED">
      <w:pPr>
        <w:spacing w:after="0" w:line="240" w:lineRule="auto"/>
        <w:jc w:val="center"/>
        <w:rPr>
          <w:rFonts w:ascii="Verdana" w:hAnsi="Verdana" w:cs="Times New Roman"/>
          <w:b/>
          <w:sz w:val="20"/>
          <w:szCs w:val="20"/>
          <w:lang w:val="en-US"/>
        </w:rPr>
      </w:pPr>
    </w:p>
    <w:p w14:paraId="71F7FAA4" w14:textId="77777777" w:rsidR="00DE7840" w:rsidRDefault="00DE7840" w:rsidP="007624ED">
      <w:pPr>
        <w:spacing w:after="0" w:line="240" w:lineRule="auto"/>
        <w:jc w:val="center"/>
        <w:rPr>
          <w:rFonts w:ascii="Verdana" w:hAnsi="Verdana" w:cs="Times New Roman"/>
          <w:b/>
          <w:sz w:val="20"/>
          <w:szCs w:val="20"/>
          <w:lang w:val="en-US"/>
        </w:rPr>
      </w:pPr>
    </w:p>
    <w:p w14:paraId="1D107BA4" w14:textId="77777777" w:rsidR="00DE002D" w:rsidRDefault="00DE002D" w:rsidP="007624ED">
      <w:pPr>
        <w:spacing w:after="0" w:line="240" w:lineRule="auto"/>
        <w:jc w:val="center"/>
        <w:rPr>
          <w:rFonts w:ascii="Verdana" w:hAnsi="Verdana" w:cs="Times New Roman"/>
          <w:b/>
          <w:sz w:val="20"/>
          <w:szCs w:val="20"/>
          <w:lang w:val="en-US"/>
        </w:rPr>
      </w:pPr>
    </w:p>
    <w:p w14:paraId="1C63FE86" w14:textId="77777777" w:rsidR="00DE002D" w:rsidRDefault="00DE002D" w:rsidP="007624ED">
      <w:pPr>
        <w:spacing w:after="0" w:line="240" w:lineRule="auto"/>
        <w:jc w:val="center"/>
        <w:rPr>
          <w:rFonts w:ascii="Verdana" w:hAnsi="Verdana" w:cs="Times New Roman"/>
          <w:b/>
          <w:sz w:val="20"/>
          <w:szCs w:val="20"/>
          <w:lang w:val="en-US"/>
        </w:rPr>
      </w:pPr>
    </w:p>
    <w:p w14:paraId="51575D03" w14:textId="77777777" w:rsidR="00DE7840" w:rsidRDefault="00DE7840" w:rsidP="007624ED">
      <w:pPr>
        <w:spacing w:after="0" w:line="240" w:lineRule="auto"/>
        <w:jc w:val="center"/>
        <w:rPr>
          <w:rFonts w:ascii="Verdana" w:hAnsi="Verdana" w:cs="Times New Roman"/>
          <w:b/>
          <w:sz w:val="20"/>
          <w:szCs w:val="20"/>
          <w:lang w:val="en-US"/>
        </w:rPr>
      </w:pPr>
    </w:p>
    <w:p w14:paraId="1F982A76" w14:textId="77777777" w:rsidR="00DE7840" w:rsidRDefault="00DE7840" w:rsidP="007624ED">
      <w:pPr>
        <w:spacing w:after="0" w:line="240" w:lineRule="auto"/>
        <w:jc w:val="center"/>
        <w:rPr>
          <w:rFonts w:ascii="Verdana" w:hAnsi="Verdana" w:cs="Times New Roman"/>
          <w:b/>
          <w:sz w:val="20"/>
          <w:szCs w:val="20"/>
          <w:lang w:val="en-US"/>
        </w:rPr>
      </w:pPr>
    </w:p>
    <w:p w14:paraId="0A205367" w14:textId="729B3C5E" w:rsidR="007624ED" w:rsidRPr="002D0A21" w:rsidRDefault="00FA543D" w:rsidP="007624ED">
      <w:pPr>
        <w:spacing w:after="0" w:line="240" w:lineRule="auto"/>
        <w:jc w:val="center"/>
        <w:rPr>
          <w:rFonts w:ascii="Verdana" w:hAnsi="Verdana" w:cs="Times New Roman"/>
          <w:b/>
          <w:sz w:val="20"/>
          <w:szCs w:val="20"/>
          <w:lang w:val="en-US"/>
        </w:rPr>
      </w:pPr>
      <w:r w:rsidRPr="002D0A21">
        <w:rPr>
          <w:rFonts w:ascii="Verdana" w:hAnsi="Verdana" w:cs="Times New Roman"/>
          <w:b/>
          <w:sz w:val="20"/>
          <w:szCs w:val="20"/>
          <w:lang w:val="en-US"/>
        </w:rPr>
        <w:t>PARTIALLY DISSENTING OPINION OF</w:t>
      </w:r>
    </w:p>
    <w:p w14:paraId="46882588" w14:textId="4867D517" w:rsidR="007624ED" w:rsidRPr="002D0A21" w:rsidRDefault="00560B81" w:rsidP="007624ED">
      <w:pPr>
        <w:spacing w:after="0" w:line="240" w:lineRule="auto"/>
        <w:jc w:val="center"/>
        <w:rPr>
          <w:rFonts w:ascii="Verdana" w:hAnsi="Verdana" w:cs="Times New Roman"/>
          <w:b/>
          <w:sz w:val="20"/>
          <w:szCs w:val="20"/>
          <w:lang w:val="en-US"/>
        </w:rPr>
      </w:pPr>
      <w:r w:rsidRPr="002D0A21">
        <w:rPr>
          <w:rFonts w:ascii="Verdana" w:hAnsi="Verdana" w:cs="Times New Roman"/>
          <w:b/>
          <w:sz w:val="20"/>
          <w:szCs w:val="20"/>
          <w:lang w:val="en-US"/>
        </w:rPr>
        <w:t>JU</w:t>
      </w:r>
      <w:r w:rsidR="00FA543D" w:rsidRPr="002D0A21">
        <w:rPr>
          <w:rFonts w:ascii="Verdana" w:hAnsi="Verdana" w:cs="Times New Roman"/>
          <w:b/>
          <w:sz w:val="20"/>
          <w:szCs w:val="20"/>
          <w:lang w:val="en-US"/>
        </w:rPr>
        <w:t>DGE</w:t>
      </w:r>
      <w:r w:rsidRPr="002D0A21">
        <w:rPr>
          <w:rFonts w:ascii="Verdana" w:hAnsi="Verdana" w:cs="Times New Roman"/>
          <w:b/>
          <w:sz w:val="20"/>
          <w:szCs w:val="20"/>
          <w:lang w:val="en-US"/>
        </w:rPr>
        <w:t xml:space="preserve"> ALBERTO PÉREZ PÉREZ</w:t>
      </w:r>
      <w:r w:rsidRPr="002D0A21">
        <w:rPr>
          <w:rFonts w:ascii="Verdana" w:hAnsi="Verdana"/>
          <w:b/>
          <w:sz w:val="20"/>
          <w:szCs w:val="20"/>
          <w:lang w:val="en-US"/>
        </w:rPr>
        <w:br/>
      </w:r>
    </w:p>
    <w:p w14:paraId="1E5B7746" w14:textId="62DA0844" w:rsidR="007624ED" w:rsidRPr="002D0A21" w:rsidRDefault="00560B81" w:rsidP="007624ED">
      <w:pPr>
        <w:spacing w:after="0" w:line="240" w:lineRule="auto"/>
        <w:jc w:val="center"/>
        <w:rPr>
          <w:rFonts w:ascii="Verdana" w:hAnsi="Verdana" w:cs="Times New Roman"/>
          <w:b/>
          <w:sz w:val="20"/>
          <w:szCs w:val="20"/>
          <w:lang w:val="en-US"/>
        </w:rPr>
      </w:pPr>
      <w:r w:rsidRPr="002D0A21">
        <w:rPr>
          <w:rFonts w:ascii="Verdana" w:hAnsi="Verdana" w:cs="Times New Roman"/>
          <w:b/>
          <w:sz w:val="20"/>
          <w:szCs w:val="20"/>
          <w:lang w:val="en-US"/>
        </w:rPr>
        <w:t>CAS</w:t>
      </w:r>
      <w:r w:rsidR="00FA543D" w:rsidRPr="002D0A21">
        <w:rPr>
          <w:rFonts w:ascii="Verdana" w:hAnsi="Verdana" w:cs="Times New Roman"/>
          <w:b/>
          <w:sz w:val="20"/>
          <w:szCs w:val="20"/>
          <w:lang w:val="en-US"/>
        </w:rPr>
        <w:t>E OF THE</w:t>
      </w:r>
      <w:r w:rsidRPr="002D0A21">
        <w:rPr>
          <w:rFonts w:ascii="Verdana" w:hAnsi="Verdana" w:cs="Times New Roman"/>
          <w:b/>
          <w:sz w:val="20"/>
          <w:szCs w:val="20"/>
          <w:lang w:val="en-US"/>
        </w:rPr>
        <w:t xml:space="preserve"> KALIÑA </w:t>
      </w:r>
      <w:r w:rsidR="00FA543D" w:rsidRPr="002D0A21">
        <w:rPr>
          <w:rFonts w:ascii="Verdana" w:hAnsi="Verdana" w:cs="Times New Roman"/>
          <w:b/>
          <w:sz w:val="20"/>
          <w:szCs w:val="20"/>
          <w:lang w:val="en-US"/>
        </w:rPr>
        <w:t>AND</w:t>
      </w:r>
      <w:r w:rsidRPr="002D0A21">
        <w:rPr>
          <w:rFonts w:ascii="Verdana" w:hAnsi="Verdana" w:cs="Times New Roman"/>
          <w:b/>
          <w:sz w:val="20"/>
          <w:szCs w:val="20"/>
          <w:lang w:val="en-US"/>
        </w:rPr>
        <w:t xml:space="preserve"> LOKONO</w:t>
      </w:r>
      <w:r w:rsidR="00FA543D" w:rsidRPr="002D0A21">
        <w:rPr>
          <w:rFonts w:ascii="Verdana" w:hAnsi="Verdana" w:cs="Times New Roman"/>
          <w:b/>
          <w:sz w:val="20"/>
          <w:szCs w:val="20"/>
          <w:lang w:val="en-US"/>
        </w:rPr>
        <w:t xml:space="preserve"> PEOPLES</w:t>
      </w:r>
      <w:r w:rsidRPr="002D0A21">
        <w:rPr>
          <w:rFonts w:ascii="Verdana" w:hAnsi="Verdana" w:cs="Times New Roman"/>
          <w:b/>
          <w:sz w:val="20"/>
          <w:szCs w:val="20"/>
          <w:lang w:val="en-US"/>
        </w:rPr>
        <w:t xml:space="preserve"> </w:t>
      </w:r>
      <w:r w:rsidRPr="002D0A21">
        <w:rPr>
          <w:rFonts w:ascii="Verdana" w:hAnsi="Verdana" w:cs="Times New Roman"/>
          <w:b/>
          <w:i/>
          <w:sz w:val="20"/>
          <w:szCs w:val="20"/>
          <w:lang w:val="en-US"/>
        </w:rPr>
        <w:t>V</w:t>
      </w:r>
      <w:r w:rsidRPr="002D0A21">
        <w:rPr>
          <w:rFonts w:ascii="Verdana" w:hAnsi="Verdana" w:cs="Times New Roman"/>
          <w:b/>
          <w:sz w:val="20"/>
          <w:szCs w:val="20"/>
          <w:lang w:val="en-US"/>
        </w:rPr>
        <w:t>. SURINAM</w:t>
      </w:r>
      <w:r w:rsidR="00FA543D" w:rsidRPr="002D0A21">
        <w:rPr>
          <w:rFonts w:ascii="Verdana" w:hAnsi="Verdana" w:cs="Times New Roman"/>
          <w:b/>
          <w:sz w:val="20"/>
          <w:szCs w:val="20"/>
          <w:lang w:val="en-US"/>
        </w:rPr>
        <w:t>E</w:t>
      </w:r>
    </w:p>
    <w:p w14:paraId="27FD969F" w14:textId="77777777" w:rsidR="007624ED" w:rsidRPr="002D0A21" w:rsidRDefault="007624ED" w:rsidP="007624ED">
      <w:pPr>
        <w:spacing w:after="0" w:line="240" w:lineRule="auto"/>
        <w:jc w:val="center"/>
        <w:rPr>
          <w:rFonts w:ascii="Verdana" w:hAnsi="Verdana" w:cs="Times New Roman"/>
          <w:b/>
          <w:sz w:val="20"/>
          <w:szCs w:val="20"/>
          <w:lang w:val="en-US"/>
        </w:rPr>
      </w:pPr>
    </w:p>
    <w:p w14:paraId="77D98459" w14:textId="6E16ED82" w:rsidR="007624ED" w:rsidRPr="002D0A21" w:rsidRDefault="00FA543D" w:rsidP="007624ED">
      <w:pPr>
        <w:spacing w:after="0" w:line="240" w:lineRule="auto"/>
        <w:jc w:val="center"/>
        <w:rPr>
          <w:rFonts w:ascii="Verdana" w:hAnsi="Verdana" w:cs="Times New Roman"/>
          <w:b/>
          <w:sz w:val="20"/>
          <w:szCs w:val="20"/>
          <w:lang w:val="en-US"/>
        </w:rPr>
      </w:pPr>
      <w:r w:rsidRPr="002D0A21">
        <w:rPr>
          <w:rFonts w:ascii="Verdana" w:hAnsi="Verdana" w:cs="Times New Roman"/>
          <w:b/>
          <w:sz w:val="20"/>
          <w:szCs w:val="20"/>
          <w:lang w:val="en-US"/>
        </w:rPr>
        <w:t>JUDGMENT OF NOVEMBER</w:t>
      </w:r>
      <w:r w:rsidR="007624ED" w:rsidRPr="002D0A21">
        <w:rPr>
          <w:rFonts w:ascii="Verdana" w:hAnsi="Verdana" w:cs="Times New Roman"/>
          <w:b/>
          <w:sz w:val="20"/>
          <w:szCs w:val="20"/>
          <w:lang w:val="en-US"/>
        </w:rPr>
        <w:t xml:space="preserve"> 25</w:t>
      </w:r>
      <w:r w:rsidRPr="002D0A21">
        <w:rPr>
          <w:rFonts w:ascii="Verdana" w:hAnsi="Verdana" w:cs="Times New Roman"/>
          <w:b/>
          <w:sz w:val="20"/>
          <w:szCs w:val="20"/>
          <w:lang w:val="en-US"/>
        </w:rPr>
        <w:t xml:space="preserve">, </w:t>
      </w:r>
      <w:r w:rsidR="007624ED" w:rsidRPr="002D0A21">
        <w:rPr>
          <w:rFonts w:ascii="Verdana" w:hAnsi="Verdana" w:cs="Times New Roman"/>
          <w:b/>
          <w:sz w:val="20"/>
          <w:szCs w:val="20"/>
          <w:lang w:val="en-US"/>
        </w:rPr>
        <w:t>2015</w:t>
      </w:r>
    </w:p>
    <w:p w14:paraId="09291F29" w14:textId="5C97EAF6" w:rsidR="002A0350" w:rsidRPr="00FF656A" w:rsidRDefault="002A0350" w:rsidP="002A0350">
      <w:pPr>
        <w:ind w:right="-138"/>
        <w:jc w:val="center"/>
        <w:rPr>
          <w:rFonts w:ascii="Verdana" w:hAnsi="Verdana"/>
          <w:sz w:val="20"/>
          <w:szCs w:val="20"/>
          <w:lang w:val="en-US"/>
        </w:rPr>
      </w:pPr>
      <w:r w:rsidRPr="00FF656A">
        <w:rPr>
          <w:rFonts w:ascii="Verdana" w:hAnsi="Verdana"/>
          <w:b/>
          <w:i/>
          <w:sz w:val="20"/>
          <w:szCs w:val="20"/>
          <w:lang w:val="en-US"/>
        </w:rPr>
        <w:t xml:space="preserve">(Merits, </w:t>
      </w:r>
      <w:r w:rsidR="00E4321B">
        <w:rPr>
          <w:rFonts w:ascii="Verdana" w:hAnsi="Verdana"/>
          <w:b/>
          <w:i/>
          <w:sz w:val="20"/>
          <w:szCs w:val="20"/>
          <w:lang w:val="en-US"/>
        </w:rPr>
        <w:t>R</w:t>
      </w:r>
      <w:r w:rsidRPr="00FF656A">
        <w:rPr>
          <w:rFonts w:ascii="Verdana" w:hAnsi="Verdana"/>
          <w:b/>
          <w:i/>
          <w:sz w:val="20"/>
          <w:szCs w:val="20"/>
          <w:lang w:val="en-US"/>
        </w:rPr>
        <w:t xml:space="preserve">eparations and </w:t>
      </w:r>
      <w:r w:rsidR="00E4321B">
        <w:rPr>
          <w:rFonts w:ascii="Verdana" w:hAnsi="Verdana"/>
          <w:b/>
          <w:i/>
          <w:sz w:val="20"/>
          <w:szCs w:val="20"/>
          <w:lang w:val="en-US"/>
        </w:rPr>
        <w:t>C</w:t>
      </w:r>
      <w:r w:rsidRPr="00FF656A">
        <w:rPr>
          <w:rFonts w:ascii="Verdana" w:hAnsi="Verdana"/>
          <w:b/>
          <w:i/>
          <w:sz w:val="20"/>
          <w:szCs w:val="20"/>
          <w:lang w:val="en-US"/>
        </w:rPr>
        <w:t>osts)</w:t>
      </w:r>
    </w:p>
    <w:p w14:paraId="3DD1F5FA" w14:textId="509D2604" w:rsidR="00464D9C" w:rsidRPr="002D0A21" w:rsidRDefault="00464D9C" w:rsidP="007624ED">
      <w:pPr>
        <w:spacing w:after="0" w:line="240" w:lineRule="auto"/>
        <w:jc w:val="center"/>
        <w:rPr>
          <w:rFonts w:ascii="Verdana" w:hAnsi="Verdana" w:cs="Times New Roman"/>
          <w:sz w:val="20"/>
          <w:szCs w:val="20"/>
          <w:lang w:val="en-US"/>
        </w:rPr>
      </w:pPr>
    </w:p>
    <w:p w14:paraId="77A5EE9A" w14:textId="6925A045" w:rsidR="00FA543D" w:rsidRPr="002D0A21" w:rsidRDefault="00FA543D" w:rsidP="007624ED">
      <w:pPr>
        <w:pStyle w:val="Estilo1"/>
        <w:spacing w:after="0"/>
        <w:rPr>
          <w:rFonts w:ascii="Verdana" w:hAnsi="Verdana"/>
          <w:sz w:val="20"/>
          <w:szCs w:val="20"/>
          <w:lang w:val="en-US"/>
        </w:rPr>
      </w:pPr>
      <w:r w:rsidRPr="002D0A21">
        <w:rPr>
          <w:rFonts w:ascii="Verdana" w:hAnsi="Verdana"/>
          <w:sz w:val="20"/>
          <w:szCs w:val="20"/>
          <w:lang w:val="en-US"/>
        </w:rPr>
        <w:t xml:space="preserve">I have dissented from operative paragraphs 1 to 3 </w:t>
      </w:r>
      <w:r w:rsidR="00742D30" w:rsidRPr="002D0A21">
        <w:rPr>
          <w:rFonts w:ascii="Verdana" w:hAnsi="Verdana"/>
          <w:sz w:val="20"/>
          <w:szCs w:val="20"/>
          <w:lang w:val="en-US"/>
        </w:rPr>
        <w:t>because</w:t>
      </w:r>
      <w:r w:rsidRPr="002D0A21">
        <w:rPr>
          <w:rFonts w:ascii="Verdana" w:hAnsi="Verdana"/>
          <w:sz w:val="20"/>
          <w:szCs w:val="20"/>
          <w:lang w:val="en-US"/>
        </w:rPr>
        <w:t xml:space="preserve"> they unduly cite certain articles of the American Convention on Human Rights that have presumably been violated</w:t>
      </w:r>
      <w:r w:rsidR="00A76963" w:rsidRPr="00A76963">
        <w:rPr>
          <w:rFonts w:ascii="Verdana" w:hAnsi="Verdana"/>
          <w:sz w:val="20"/>
          <w:szCs w:val="20"/>
          <w:lang w:val="en-US"/>
        </w:rPr>
        <w:t xml:space="preserve"> </w:t>
      </w:r>
      <w:r w:rsidR="00A76963" w:rsidRPr="002D0A21">
        <w:rPr>
          <w:rFonts w:ascii="Verdana" w:hAnsi="Verdana"/>
          <w:sz w:val="20"/>
          <w:szCs w:val="20"/>
          <w:lang w:val="en-US"/>
        </w:rPr>
        <w:t>as grounds for the judgment</w:t>
      </w:r>
      <w:r w:rsidRPr="002D0A21">
        <w:rPr>
          <w:rFonts w:ascii="Verdana" w:hAnsi="Verdana"/>
          <w:sz w:val="20"/>
          <w:szCs w:val="20"/>
          <w:lang w:val="en-US"/>
        </w:rPr>
        <w:t xml:space="preserve">: respectively, Articles 3, 23 and 13. The </w:t>
      </w:r>
      <w:r w:rsidR="00742D30" w:rsidRPr="002D0A21">
        <w:rPr>
          <w:rFonts w:ascii="Verdana" w:hAnsi="Verdana"/>
          <w:sz w:val="20"/>
          <w:szCs w:val="20"/>
          <w:lang w:val="en-US"/>
        </w:rPr>
        <w:t xml:space="preserve">Court’s </w:t>
      </w:r>
      <w:r w:rsidRPr="002D0A21">
        <w:rPr>
          <w:rFonts w:ascii="Verdana" w:hAnsi="Verdana"/>
          <w:sz w:val="20"/>
          <w:szCs w:val="20"/>
          <w:lang w:val="en-US"/>
        </w:rPr>
        <w:t xml:space="preserve">application of these articles in this case </w:t>
      </w:r>
      <w:r w:rsidR="00742D30" w:rsidRPr="002D0A21">
        <w:rPr>
          <w:rFonts w:ascii="Verdana" w:hAnsi="Verdana"/>
          <w:sz w:val="20"/>
          <w:szCs w:val="20"/>
          <w:lang w:val="en-US"/>
        </w:rPr>
        <w:t>conflicts with</w:t>
      </w:r>
      <w:r w:rsidRPr="002D0A21">
        <w:rPr>
          <w:rFonts w:ascii="Verdana" w:hAnsi="Verdana"/>
          <w:sz w:val="20"/>
          <w:szCs w:val="20"/>
          <w:lang w:val="en-US"/>
        </w:rPr>
        <w:t xml:space="preserve"> the </w:t>
      </w:r>
      <w:r w:rsidR="00742D30" w:rsidRPr="002D0A21">
        <w:rPr>
          <w:rFonts w:ascii="Verdana" w:hAnsi="Verdana"/>
          <w:sz w:val="20"/>
          <w:szCs w:val="20"/>
          <w:lang w:val="en-US"/>
        </w:rPr>
        <w:t>evident</w:t>
      </w:r>
      <w:r w:rsidRPr="002D0A21">
        <w:rPr>
          <w:rFonts w:ascii="Verdana" w:hAnsi="Verdana"/>
          <w:sz w:val="20"/>
          <w:szCs w:val="20"/>
          <w:lang w:val="en-US"/>
        </w:rPr>
        <w:t xml:space="preserve"> </w:t>
      </w:r>
      <w:r w:rsidR="00742D30" w:rsidRPr="002D0A21">
        <w:rPr>
          <w:rFonts w:ascii="Verdana" w:hAnsi="Verdana"/>
          <w:sz w:val="20"/>
          <w:szCs w:val="20"/>
          <w:lang w:val="en-US"/>
        </w:rPr>
        <w:t>meaning</w:t>
      </w:r>
      <w:r w:rsidRPr="002D0A21">
        <w:rPr>
          <w:rFonts w:ascii="Verdana" w:hAnsi="Verdana"/>
          <w:sz w:val="20"/>
          <w:szCs w:val="20"/>
          <w:lang w:val="en-US"/>
        </w:rPr>
        <w:t xml:space="preserve"> of these provisions</w:t>
      </w:r>
      <w:r w:rsidR="00742D30" w:rsidRPr="002D0A21">
        <w:rPr>
          <w:rFonts w:ascii="Verdana" w:hAnsi="Verdana"/>
          <w:sz w:val="20"/>
          <w:szCs w:val="20"/>
          <w:lang w:val="en-US"/>
        </w:rPr>
        <w:t>,</w:t>
      </w:r>
      <w:r w:rsidRPr="002D0A21">
        <w:rPr>
          <w:rFonts w:ascii="Verdana" w:hAnsi="Verdana"/>
          <w:sz w:val="20"/>
          <w:szCs w:val="20"/>
          <w:lang w:val="en-US"/>
        </w:rPr>
        <w:t xml:space="preserve"> and the reasoning that is </w:t>
      </w:r>
      <w:r w:rsidR="00742D30" w:rsidRPr="002D0A21">
        <w:rPr>
          <w:rFonts w:ascii="Verdana" w:hAnsi="Verdana"/>
          <w:sz w:val="20"/>
          <w:szCs w:val="20"/>
          <w:lang w:val="en-US"/>
        </w:rPr>
        <w:t>given</w:t>
      </w:r>
      <w:r w:rsidRPr="002D0A21">
        <w:rPr>
          <w:rFonts w:ascii="Verdana" w:hAnsi="Verdana"/>
          <w:sz w:val="20"/>
          <w:szCs w:val="20"/>
          <w:lang w:val="en-US"/>
        </w:rPr>
        <w:t xml:space="preserve"> is totally insufficient and even, in one case, almost inexistent. </w:t>
      </w:r>
      <w:r w:rsidR="00742D30" w:rsidRPr="002D0A21">
        <w:rPr>
          <w:rFonts w:ascii="Verdana" w:hAnsi="Verdana"/>
          <w:sz w:val="20"/>
          <w:szCs w:val="20"/>
          <w:lang w:val="en-US"/>
        </w:rPr>
        <w:t xml:space="preserve"> </w:t>
      </w:r>
    </w:p>
    <w:p w14:paraId="648DF9A4" w14:textId="77777777" w:rsidR="007624ED" w:rsidRPr="002D0A21" w:rsidRDefault="007624ED" w:rsidP="007624ED">
      <w:pPr>
        <w:pStyle w:val="Estilo1"/>
        <w:numPr>
          <w:ilvl w:val="0"/>
          <w:numId w:val="0"/>
        </w:numPr>
        <w:spacing w:after="0"/>
        <w:rPr>
          <w:rFonts w:ascii="Verdana" w:hAnsi="Verdana"/>
          <w:sz w:val="20"/>
          <w:szCs w:val="20"/>
          <w:lang w:val="en-US"/>
        </w:rPr>
      </w:pPr>
    </w:p>
    <w:p w14:paraId="3DD1F5FC" w14:textId="316E7FE4" w:rsidR="00080510" w:rsidRPr="002D0A21" w:rsidRDefault="00FA543D" w:rsidP="007624ED">
      <w:pPr>
        <w:pStyle w:val="Estilo1"/>
        <w:spacing w:after="0"/>
        <w:rPr>
          <w:rFonts w:ascii="Verdana" w:hAnsi="Verdana"/>
          <w:sz w:val="20"/>
          <w:szCs w:val="20"/>
          <w:lang w:val="en-US"/>
        </w:rPr>
      </w:pPr>
      <w:r w:rsidRPr="002D0A21">
        <w:rPr>
          <w:rFonts w:ascii="Verdana" w:hAnsi="Verdana"/>
          <w:sz w:val="20"/>
          <w:szCs w:val="20"/>
          <w:lang w:val="en-US"/>
        </w:rPr>
        <w:t xml:space="preserve">Furthermore, as will be seen, the rights that it is intended to protect by citing Articles </w:t>
      </w:r>
      <w:r w:rsidR="000C3CEA" w:rsidRPr="002D0A21">
        <w:rPr>
          <w:rFonts w:ascii="Verdana" w:hAnsi="Verdana"/>
          <w:sz w:val="20"/>
          <w:szCs w:val="20"/>
          <w:lang w:val="en-US"/>
        </w:rPr>
        <w:t>3, 1</w:t>
      </w:r>
      <w:r w:rsidR="008956EE" w:rsidRPr="002D0A21">
        <w:rPr>
          <w:rFonts w:ascii="Verdana" w:hAnsi="Verdana"/>
          <w:sz w:val="20"/>
          <w:szCs w:val="20"/>
          <w:lang w:val="en-US"/>
        </w:rPr>
        <w:t>3</w:t>
      </w:r>
      <w:r w:rsidRPr="002D0A21">
        <w:rPr>
          <w:rFonts w:ascii="Verdana" w:hAnsi="Verdana"/>
          <w:sz w:val="20"/>
          <w:szCs w:val="20"/>
          <w:lang w:val="en-US"/>
        </w:rPr>
        <w:t xml:space="preserve"> and </w:t>
      </w:r>
      <w:r w:rsidR="000C3CEA" w:rsidRPr="002D0A21">
        <w:rPr>
          <w:rFonts w:ascii="Verdana" w:hAnsi="Verdana"/>
          <w:sz w:val="20"/>
          <w:szCs w:val="20"/>
          <w:lang w:val="en-US"/>
        </w:rPr>
        <w:t xml:space="preserve">23 </w:t>
      </w:r>
      <w:r w:rsidRPr="002D0A21">
        <w:rPr>
          <w:rFonts w:ascii="Verdana" w:hAnsi="Verdana"/>
          <w:sz w:val="20"/>
          <w:szCs w:val="20"/>
          <w:lang w:val="en-US"/>
        </w:rPr>
        <w:t>are</w:t>
      </w:r>
      <w:r w:rsidR="00742D30" w:rsidRPr="002D0A21">
        <w:rPr>
          <w:rFonts w:ascii="Verdana" w:hAnsi="Verdana"/>
          <w:sz w:val="20"/>
          <w:szCs w:val="20"/>
          <w:lang w:val="en-US"/>
        </w:rPr>
        <w:t xml:space="preserve"> correctly</w:t>
      </w:r>
      <w:r w:rsidRPr="002D0A21">
        <w:rPr>
          <w:rFonts w:ascii="Verdana" w:hAnsi="Verdana"/>
          <w:sz w:val="20"/>
          <w:szCs w:val="20"/>
          <w:lang w:val="en-US"/>
        </w:rPr>
        <w:t xml:space="preserve"> founded on other provisions of the Convention</w:t>
      </w:r>
      <w:r w:rsidR="001239BE" w:rsidRPr="002D0A21">
        <w:rPr>
          <w:rFonts w:ascii="Verdana" w:hAnsi="Verdana"/>
          <w:sz w:val="20"/>
          <w:szCs w:val="20"/>
          <w:lang w:val="en-US"/>
        </w:rPr>
        <w:t xml:space="preserve">, </w:t>
      </w:r>
      <w:r w:rsidRPr="002D0A21">
        <w:rPr>
          <w:rFonts w:ascii="Verdana" w:hAnsi="Verdana"/>
          <w:sz w:val="20"/>
          <w:szCs w:val="20"/>
          <w:lang w:val="en-US"/>
        </w:rPr>
        <w:t>already contained in the text of the judgment.</w:t>
      </w:r>
    </w:p>
    <w:p w14:paraId="35AF052F" w14:textId="77777777" w:rsidR="007624ED" w:rsidRPr="002D0A21" w:rsidRDefault="007624ED" w:rsidP="007624ED">
      <w:pPr>
        <w:pStyle w:val="Estilo1"/>
        <w:numPr>
          <w:ilvl w:val="0"/>
          <w:numId w:val="0"/>
        </w:numPr>
        <w:spacing w:after="0"/>
        <w:rPr>
          <w:rFonts w:ascii="Verdana" w:hAnsi="Verdana"/>
          <w:sz w:val="20"/>
          <w:szCs w:val="20"/>
          <w:lang w:val="en-US"/>
        </w:rPr>
      </w:pPr>
    </w:p>
    <w:p w14:paraId="69322370" w14:textId="4E6E7AA1" w:rsidR="00FA543D" w:rsidRPr="002D0A21" w:rsidRDefault="00FA543D" w:rsidP="00742D30">
      <w:pPr>
        <w:pStyle w:val="ListParagraph"/>
        <w:numPr>
          <w:ilvl w:val="0"/>
          <w:numId w:val="2"/>
        </w:numPr>
        <w:spacing w:after="0" w:line="240" w:lineRule="auto"/>
        <w:ind w:left="0" w:firstLine="0"/>
        <w:jc w:val="center"/>
        <w:rPr>
          <w:rFonts w:ascii="Verdana" w:hAnsi="Verdana" w:cs="Times New Roman"/>
          <w:b/>
          <w:sz w:val="20"/>
          <w:szCs w:val="20"/>
          <w:lang w:val="en-US"/>
        </w:rPr>
      </w:pPr>
      <w:r w:rsidRPr="002D0A21">
        <w:rPr>
          <w:rFonts w:ascii="Verdana" w:hAnsi="Verdana" w:cs="Times New Roman"/>
          <w:b/>
          <w:sz w:val="20"/>
          <w:szCs w:val="20"/>
          <w:lang w:val="en-US"/>
        </w:rPr>
        <w:t>Article</w:t>
      </w:r>
      <w:r w:rsidR="00080510" w:rsidRPr="002D0A21">
        <w:rPr>
          <w:rFonts w:ascii="Verdana" w:hAnsi="Verdana" w:cs="Times New Roman"/>
          <w:b/>
          <w:sz w:val="20"/>
          <w:szCs w:val="20"/>
          <w:lang w:val="en-US"/>
        </w:rPr>
        <w:t xml:space="preserve"> 3 (</w:t>
      </w:r>
      <w:r w:rsidR="00742D30" w:rsidRPr="002D0A21">
        <w:rPr>
          <w:rFonts w:ascii="Verdana" w:hAnsi="Verdana" w:cs="Times New Roman"/>
          <w:b/>
          <w:sz w:val="20"/>
          <w:szCs w:val="20"/>
          <w:lang w:val="en-US"/>
        </w:rPr>
        <w:t>Right to R</w:t>
      </w:r>
      <w:r w:rsidRPr="002D0A21">
        <w:rPr>
          <w:rFonts w:ascii="Verdana" w:hAnsi="Verdana" w:cs="Times New Roman"/>
          <w:b/>
          <w:sz w:val="20"/>
          <w:szCs w:val="20"/>
          <w:lang w:val="en-US"/>
        </w:rPr>
        <w:t>ec</w:t>
      </w:r>
      <w:r w:rsidR="00742D30" w:rsidRPr="002D0A21">
        <w:rPr>
          <w:rFonts w:ascii="Verdana" w:hAnsi="Verdana" w:cs="Times New Roman"/>
          <w:b/>
          <w:sz w:val="20"/>
          <w:szCs w:val="20"/>
          <w:lang w:val="en-US"/>
        </w:rPr>
        <w:t>ognition of J</w:t>
      </w:r>
      <w:r w:rsidRPr="002D0A21">
        <w:rPr>
          <w:rFonts w:ascii="Verdana" w:hAnsi="Verdana" w:cs="Times New Roman"/>
          <w:b/>
          <w:sz w:val="20"/>
          <w:szCs w:val="20"/>
          <w:lang w:val="en-US"/>
        </w:rPr>
        <w:t>u</w:t>
      </w:r>
      <w:r w:rsidR="00742D30" w:rsidRPr="002D0A21">
        <w:rPr>
          <w:rFonts w:ascii="Verdana" w:hAnsi="Verdana" w:cs="Times New Roman"/>
          <w:b/>
          <w:sz w:val="20"/>
          <w:szCs w:val="20"/>
          <w:lang w:val="en-US"/>
        </w:rPr>
        <w:t>ridical P</w:t>
      </w:r>
      <w:r w:rsidRPr="002D0A21">
        <w:rPr>
          <w:rFonts w:ascii="Verdana" w:hAnsi="Verdana" w:cs="Times New Roman"/>
          <w:b/>
          <w:sz w:val="20"/>
          <w:szCs w:val="20"/>
          <w:lang w:val="en-US"/>
        </w:rPr>
        <w:t>ersonality</w:t>
      </w:r>
      <w:r w:rsidR="00080510" w:rsidRPr="002D0A21">
        <w:rPr>
          <w:rFonts w:ascii="Verdana" w:hAnsi="Verdana" w:cs="Times New Roman"/>
          <w:b/>
          <w:sz w:val="20"/>
          <w:szCs w:val="20"/>
          <w:lang w:val="en-US"/>
        </w:rPr>
        <w:t>)</w:t>
      </w:r>
    </w:p>
    <w:p w14:paraId="7DC23F26" w14:textId="62FE667C" w:rsidR="007624ED" w:rsidRPr="002D0A21" w:rsidRDefault="00FA543D" w:rsidP="00742D30">
      <w:pPr>
        <w:pStyle w:val="ListParagraph"/>
        <w:spacing w:after="0" w:line="240" w:lineRule="auto"/>
        <w:ind w:left="0"/>
        <w:jc w:val="center"/>
        <w:rPr>
          <w:rFonts w:ascii="Verdana" w:hAnsi="Verdana" w:cs="Times New Roman"/>
          <w:b/>
          <w:sz w:val="20"/>
          <w:szCs w:val="20"/>
          <w:lang w:val="en-US"/>
        </w:rPr>
      </w:pPr>
      <w:r w:rsidRPr="002D0A21">
        <w:rPr>
          <w:rFonts w:ascii="Verdana" w:hAnsi="Verdana" w:cs="Times New Roman"/>
          <w:b/>
          <w:sz w:val="20"/>
          <w:szCs w:val="20"/>
          <w:lang w:val="en-US"/>
        </w:rPr>
        <w:t>was not violated</w:t>
      </w:r>
    </w:p>
    <w:p w14:paraId="46E3826A" w14:textId="77777777" w:rsidR="00742D30" w:rsidRPr="002D0A21" w:rsidRDefault="00742D30" w:rsidP="00742D30">
      <w:pPr>
        <w:pStyle w:val="ListParagraph"/>
        <w:spacing w:after="0" w:line="240" w:lineRule="auto"/>
        <w:ind w:left="0"/>
        <w:jc w:val="center"/>
        <w:rPr>
          <w:rFonts w:ascii="Verdana" w:hAnsi="Verdana" w:cs="Times New Roman"/>
          <w:b/>
          <w:sz w:val="20"/>
          <w:szCs w:val="20"/>
          <w:lang w:val="en-US"/>
        </w:rPr>
      </w:pPr>
    </w:p>
    <w:p w14:paraId="3DD1F5FE" w14:textId="7384A367" w:rsidR="00080510" w:rsidRPr="002D0A21" w:rsidRDefault="00564C07" w:rsidP="007624ED">
      <w:pPr>
        <w:pStyle w:val="Estilo1"/>
        <w:spacing w:after="0"/>
        <w:rPr>
          <w:rFonts w:ascii="Verdana" w:hAnsi="Verdana"/>
          <w:sz w:val="20"/>
          <w:szCs w:val="20"/>
          <w:lang w:val="en-US"/>
        </w:rPr>
      </w:pPr>
      <w:r>
        <w:rPr>
          <w:rFonts w:ascii="Verdana" w:hAnsi="Verdana"/>
          <w:sz w:val="20"/>
          <w:szCs w:val="20"/>
          <w:lang w:val="en-US"/>
        </w:rPr>
        <w:t>Article</w:t>
      </w:r>
      <w:r w:rsidR="00955CFC" w:rsidRPr="002D0A21">
        <w:rPr>
          <w:rFonts w:ascii="Verdana" w:hAnsi="Verdana"/>
          <w:sz w:val="20"/>
          <w:szCs w:val="20"/>
          <w:lang w:val="en-US"/>
        </w:rPr>
        <w:t xml:space="preserve"> 3 </w:t>
      </w:r>
      <w:r w:rsidR="00FA543D" w:rsidRPr="002D0A21">
        <w:rPr>
          <w:rFonts w:ascii="Verdana" w:hAnsi="Verdana"/>
          <w:sz w:val="20"/>
          <w:szCs w:val="20"/>
          <w:lang w:val="en-US"/>
        </w:rPr>
        <w:t>establishes</w:t>
      </w:r>
      <w:r w:rsidR="002D0A21" w:rsidRPr="002D0A21">
        <w:rPr>
          <w:rFonts w:ascii="Verdana" w:hAnsi="Verdana"/>
          <w:sz w:val="20"/>
          <w:szCs w:val="20"/>
          <w:lang w:val="en-US"/>
        </w:rPr>
        <w:t>:</w:t>
      </w:r>
    </w:p>
    <w:p w14:paraId="08F1A6BB" w14:textId="77777777" w:rsidR="006431C8" w:rsidRPr="002D0A21" w:rsidRDefault="006431C8" w:rsidP="00120F47">
      <w:pPr>
        <w:pStyle w:val="Estilo1"/>
        <w:numPr>
          <w:ilvl w:val="0"/>
          <w:numId w:val="0"/>
        </w:numPr>
        <w:spacing w:after="0"/>
        <w:rPr>
          <w:rFonts w:ascii="Verdana" w:hAnsi="Verdana"/>
          <w:sz w:val="20"/>
          <w:szCs w:val="20"/>
          <w:lang w:val="en-US"/>
        </w:rPr>
      </w:pPr>
    </w:p>
    <w:p w14:paraId="3DD1F5FF" w14:textId="42AF749B" w:rsidR="00955CFC" w:rsidRPr="002D0A21" w:rsidRDefault="00FA543D" w:rsidP="007624ED">
      <w:pPr>
        <w:pStyle w:val="Estilo2"/>
        <w:spacing w:after="0"/>
        <w:rPr>
          <w:rFonts w:ascii="Verdana" w:hAnsi="Verdana"/>
          <w:sz w:val="20"/>
          <w:szCs w:val="20"/>
          <w:lang w:val="en-US"/>
        </w:rPr>
      </w:pPr>
      <w:r w:rsidRPr="002D0A21">
        <w:rPr>
          <w:rFonts w:ascii="Verdana" w:hAnsi="Verdana"/>
          <w:sz w:val="20"/>
          <w:szCs w:val="20"/>
          <w:lang w:val="en-US"/>
        </w:rPr>
        <w:t>Article</w:t>
      </w:r>
      <w:r w:rsidR="00955CFC" w:rsidRPr="002D0A21">
        <w:rPr>
          <w:rFonts w:ascii="Verdana" w:hAnsi="Verdana"/>
          <w:sz w:val="20"/>
          <w:szCs w:val="20"/>
          <w:lang w:val="en-US"/>
        </w:rPr>
        <w:t xml:space="preserve"> 3.  </w:t>
      </w:r>
      <w:r w:rsidRPr="002D0A21">
        <w:rPr>
          <w:rFonts w:ascii="Verdana" w:hAnsi="Verdana"/>
          <w:sz w:val="20"/>
          <w:szCs w:val="20"/>
          <w:lang w:val="en-US"/>
        </w:rPr>
        <w:t>Right to recognition of juridical personality</w:t>
      </w:r>
    </w:p>
    <w:p w14:paraId="210EF779" w14:textId="77777777" w:rsidR="00742D30" w:rsidRPr="002D0A21" w:rsidRDefault="00742D30" w:rsidP="007624ED">
      <w:pPr>
        <w:pStyle w:val="Estilo2"/>
        <w:spacing w:after="0"/>
        <w:rPr>
          <w:rFonts w:ascii="Verdana" w:hAnsi="Verdana"/>
          <w:sz w:val="16"/>
          <w:szCs w:val="16"/>
          <w:lang w:val="en-US"/>
        </w:rPr>
      </w:pPr>
    </w:p>
    <w:p w14:paraId="3DD1F600" w14:textId="02D42075" w:rsidR="00955CFC" w:rsidRPr="002D0A21" w:rsidRDefault="00FA543D" w:rsidP="007624ED">
      <w:pPr>
        <w:pStyle w:val="Estilo2"/>
        <w:spacing w:after="0"/>
        <w:jc w:val="left"/>
        <w:rPr>
          <w:rFonts w:ascii="Verdana" w:hAnsi="Verdana"/>
          <w:sz w:val="20"/>
          <w:szCs w:val="20"/>
          <w:lang w:val="en-US"/>
        </w:rPr>
      </w:pPr>
      <w:r w:rsidRPr="002D0A21">
        <w:rPr>
          <w:rFonts w:ascii="Verdana" w:hAnsi="Verdana"/>
          <w:spacing w:val="-3"/>
          <w:sz w:val="20"/>
          <w:szCs w:val="20"/>
          <w:lang w:val="en-US"/>
        </w:rPr>
        <w:t>Every person has the right to recognition as a person before the law.</w:t>
      </w:r>
    </w:p>
    <w:p w14:paraId="5F9A9044" w14:textId="77777777" w:rsidR="007624ED" w:rsidRPr="002D0A21" w:rsidRDefault="007624ED" w:rsidP="007624ED">
      <w:pPr>
        <w:pStyle w:val="Estilo1"/>
        <w:numPr>
          <w:ilvl w:val="0"/>
          <w:numId w:val="0"/>
        </w:numPr>
        <w:spacing w:after="0"/>
        <w:rPr>
          <w:rFonts w:ascii="Verdana" w:hAnsi="Verdana"/>
          <w:sz w:val="20"/>
          <w:szCs w:val="20"/>
          <w:lang w:val="en-US"/>
        </w:rPr>
      </w:pPr>
    </w:p>
    <w:p w14:paraId="3DD1F601" w14:textId="6A372A74" w:rsidR="00955CFC" w:rsidRPr="002D0A21" w:rsidRDefault="00FA543D" w:rsidP="007624ED">
      <w:pPr>
        <w:pStyle w:val="Estilo1"/>
        <w:numPr>
          <w:ilvl w:val="0"/>
          <w:numId w:val="0"/>
        </w:numPr>
        <w:spacing w:after="0"/>
        <w:rPr>
          <w:rFonts w:ascii="Verdana" w:hAnsi="Verdana"/>
          <w:sz w:val="20"/>
          <w:szCs w:val="20"/>
          <w:lang w:val="en-US"/>
        </w:rPr>
      </w:pPr>
      <w:r w:rsidRPr="002D0A21">
        <w:rPr>
          <w:rFonts w:ascii="Verdana" w:hAnsi="Verdana"/>
          <w:sz w:val="20"/>
          <w:szCs w:val="20"/>
          <w:lang w:val="en-US"/>
        </w:rPr>
        <w:t>Meanwhile</w:t>
      </w:r>
      <w:r w:rsidR="00955CFC" w:rsidRPr="002D0A21">
        <w:rPr>
          <w:rFonts w:ascii="Verdana" w:hAnsi="Verdana"/>
          <w:sz w:val="20"/>
          <w:szCs w:val="20"/>
          <w:lang w:val="en-US"/>
        </w:rPr>
        <w:t xml:space="preserve">, </w:t>
      </w:r>
      <w:r w:rsidRPr="002D0A21">
        <w:rPr>
          <w:rFonts w:ascii="Verdana" w:hAnsi="Verdana"/>
          <w:sz w:val="20"/>
          <w:szCs w:val="20"/>
          <w:lang w:val="en-US"/>
        </w:rPr>
        <w:t>Art</w:t>
      </w:r>
      <w:r w:rsidR="00564C07">
        <w:rPr>
          <w:rFonts w:ascii="Verdana" w:hAnsi="Verdana"/>
          <w:sz w:val="20"/>
          <w:szCs w:val="20"/>
          <w:lang w:val="en-US"/>
        </w:rPr>
        <w:t>icle</w:t>
      </w:r>
      <w:r w:rsidR="00955CFC" w:rsidRPr="002D0A21">
        <w:rPr>
          <w:rFonts w:ascii="Verdana" w:hAnsi="Verdana"/>
          <w:sz w:val="20"/>
          <w:szCs w:val="20"/>
          <w:lang w:val="en-US"/>
        </w:rPr>
        <w:t xml:space="preserve"> 1</w:t>
      </w:r>
      <w:r w:rsidRPr="002D0A21">
        <w:rPr>
          <w:rFonts w:ascii="Verdana" w:hAnsi="Verdana"/>
          <w:sz w:val="20"/>
          <w:szCs w:val="20"/>
          <w:lang w:val="en-US"/>
        </w:rPr>
        <w:t>(</w:t>
      </w:r>
      <w:r w:rsidR="00955CFC" w:rsidRPr="002D0A21">
        <w:rPr>
          <w:rFonts w:ascii="Verdana" w:hAnsi="Verdana"/>
          <w:sz w:val="20"/>
          <w:szCs w:val="20"/>
          <w:lang w:val="en-US"/>
        </w:rPr>
        <w:t>2</w:t>
      </w:r>
      <w:r w:rsidRPr="002D0A21">
        <w:rPr>
          <w:rFonts w:ascii="Verdana" w:hAnsi="Verdana"/>
          <w:sz w:val="20"/>
          <w:szCs w:val="20"/>
          <w:lang w:val="en-US"/>
        </w:rPr>
        <w:t>)</w:t>
      </w:r>
      <w:r w:rsidR="00955CFC" w:rsidRPr="002D0A21">
        <w:rPr>
          <w:rFonts w:ascii="Verdana" w:hAnsi="Verdana"/>
          <w:sz w:val="20"/>
          <w:szCs w:val="20"/>
          <w:lang w:val="en-US"/>
        </w:rPr>
        <w:t xml:space="preserve"> </w:t>
      </w:r>
      <w:r w:rsidRPr="002D0A21">
        <w:rPr>
          <w:rFonts w:ascii="Verdana" w:hAnsi="Verdana"/>
          <w:sz w:val="20"/>
          <w:szCs w:val="20"/>
          <w:lang w:val="en-US"/>
        </w:rPr>
        <w:t>stipulates</w:t>
      </w:r>
      <w:r w:rsidR="00955CFC" w:rsidRPr="002D0A21">
        <w:rPr>
          <w:rFonts w:ascii="Verdana" w:hAnsi="Verdana"/>
          <w:sz w:val="20"/>
          <w:szCs w:val="20"/>
          <w:lang w:val="en-US"/>
        </w:rPr>
        <w:t>:</w:t>
      </w:r>
    </w:p>
    <w:p w14:paraId="3995FCB2" w14:textId="77777777" w:rsidR="006431C8" w:rsidRPr="002D0A21" w:rsidRDefault="006431C8" w:rsidP="007624ED">
      <w:pPr>
        <w:pStyle w:val="Estilo1"/>
        <w:numPr>
          <w:ilvl w:val="0"/>
          <w:numId w:val="0"/>
        </w:numPr>
        <w:spacing w:after="0"/>
        <w:rPr>
          <w:rFonts w:ascii="Verdana" w:hAnsi="Verdana"/>
          <w:sz w:val="20"/>
          <w:szCs w:val="20"/>
          <w:lang w:val="en-US"/>
        </w:rPr>
      </w:pPr>
    </w:p>
    <w:p w14:paraId="3DD1F602" w14:textId="32F53A08" w:rsidR="00955CFC" w:rsidRPr="002D0A21" w:rsidRDefault="00955CFC" w:rsidP="007624ED">
      <w:pPr>
        <w:pStyle w:val="Estilo1"/>
        <w:numPr>
          <w:ilvl w:val="0"/>
          <w:numId w:val="0"/>
        </w:numPr>
        <w:spacing w:after="0"/>
        <w:ind w:left="708"/>
        <w:rPr>
          <w:rFonts w:ascii="Verdana" w:hAnsi="Verdana"/>
          <w:i/>
          <w:sz w:val="20"/>
          <w:szCs w:val="20"/>
          <w:lang w:val="en-US"/>
        </w:rPr>
      </w:pPr>
      <w:r w:rsidRPr="002D0A21">
        <w:rPr>
          <w:rFonts w:ascii="Verdana" w:hAnsi="Verdana"/>
          <w:i/>
          <w:sz w:val="20"/>
          <w:szCs w:val="20"/>
          <w:lang w:val="en-US"/>
        </w:rPr>
        <w:t xml:space="preserve">2. </w:t>
      </w:r>
      <w:r w:rsidR="00FA543D" w:rsidRPr="002D0A21">
        <w:rPr>
          <w:rFonts w:ascii="Verdana" w:hAnsi="Verdana"/>
          <w:i/>
          <w:spacing w:val="-3"/>
          <w:sz w:val="20"/>
          <w:szCs w:val="20"/>
          <w:lang w:val="en-US"/>
        </w:rPr>
        <w:t>For the purposes of this Convention, "person" means every human being</w:t>
      </w:r>
      <w:r w:rsidRPr="002D0A21">
        <w:rPr>
          <w:rFonts w:ascii="Verdana" w:hAnsi="Verdana"/>
          <w:i/>
          <w:sz w:val="20"/>
          <w:szCs w:val="20"/>
          <w:lang w:val="en-US"/>
        </w:rPr>
        <w:t>.</w:t>
      </w:r>
    </w:p>
    <w:p w14:paraId="1FFD9DC7" w14:textId="77777777" w:rsidR="007624ED" w:rsidRPr="002D0A21" w:rsidRDefault="007624ED" w:rsidP="007624ED">
      <w:pPr>
        <w:pStyle w:val="Estilo1"/>
        <w:numPr>
          <w:ilvl w:val="0"/>
          <w:numId w:val="0"/>
        </w:numPr>
        <w:spacing w:after="0"/>
        <w:rPr>
          <w:rFonts w:ascii="Verdana" w:hAnsi="Verdana"/>
          <w:i/>
          <w:sz w:val="20"/>
          <w:szCs w:val="20"/>
          <w:lang w:val="en-US"/>
        </w:rPr>
      </w:pPr>
    </w:p>
    <w:p w14:paraId="3DD1F603" w14:textId="4B1DD12F" w:rsidR="00080510" w:rsidRPr="002D0A21" w:rsidRDefault="00955CFC" w:rsidP="000218C2">
      <w:pPr>
        <w:pStyle w:val="Estilo1"/>
        <w:spacing w:after="0"/>
        <w:rPr>
          <w:rFonts w:ascii="Verdana" w:hAnsi="Verdana"/>
          <w:sz w:val="20"/>
          <w:szCs w:val="20"/>
          <w:lang w:val="en-US"/>
        </w:rPr>
      </w:pPr>
      <w:r w:rsidRPr="002D0A21">
        <w:rPr>
          <w:rFonts w:ascii="Verdana" w:hAnsi="Verdana"/>
          <w:sz w:val="20"/>
          <w:szCs w:val="20"/>
          <w:lang w:val="en-US"/>
        </w:rPr>
        <w:t>Significa</w:t>
      </w:r>
      <w:r w:rsidR="00FA543D" w:rsidRPr="002D0A21">
        <w:rPr>
          <w:rFonts w:ascii="Verdana" w:hAnsi="Verdana"/>
          <w:sz w:val="20"/>
          <w:szCs w:val="20"/>
          <w:lang w:val="en-US"/>
        </w:rPr>
        <w:t>ntly, neither of these provisions has been transcribed in the text of the judgment. Perhaps the reason for this unjustified omission is the fact that it is sufficient to read Article</w:t>
      </w:r>
      <w:r w:rsidR="00467100" w:rsidRPr="002D0A21">
        <w:rPr>
          <w:rFonts w:ascii="Verdana" w:hAnsi="Verdana"/>
          <w:sz w:val="20"/>
          <w:szCs w:val="20"/>
          <w:lang w:val="en-US"/>
        </w:rPr>
        <w:t xml:space="preserve"> 3</w:t>
      </w:r>
      <w:r w:rsidR="00FA543D" w:rsidRPr="002D0A21">
        <w:rPr>
          <w:rFonts w:ascii="Verdana" w:hAnsi="Verdana"/>
          <w:sz w:val="20"/>
          <w:szCs w:val="20"/>
          <w:lang w:val="en-US"/>
        </w:rPr>
        <w:t xml:space="preserve"> and Article</w:t>
      </w:r>
      <w:r w:rsidR="00467100" w:rsidRPr="002D0A21">
        <w:rPr>
          <w:rFonts w:ascii="Verdana" w:hAnsi="Verdana"/>
          <w:sz w:val="20"/>
          <w:szCs w:val="20"/>
          <w:lang w:val="en-US"/>
        </w:rPr>
        <w:t xml:space="preserve"> 1</w:t>
      </w:r>
      <w:r w:rsidR="00FA543D" w:rsidRPr="002D0A21">
        <w:rPr>
          <w:rFonts w:ascii="Verdana" w:hAnsi="Verdana"/>
          <w:sz w:val="20"/>
          <w:szCs w:val="20"/>
          <w:lang w:val="en-US"/>
        </w:rPr>
        <w:t>(</w:t>
      </w:r>
      <w:r w:rsidR="00467100" w:rsidRPr="002D0A21">
        <w:rPr>
          <w:rFonts w:ascii="Verdana" w:hAnsi="Verdana"/>
          <w:sz w:val="20"/>
          <w:szCs w:val="20"/>
          <w:lang w:val="en-US"/>
        </w:rPr>
        <w:t>2</w:t>
      </w:r>
      <w:r w:rsidR="00FA543D" w:rsidRPr="002D0A21">
        <w:rPr>
          <w:rFonts w:ascii="Verdana" w:hAnsi="Verdana"/>
          <w:sz w:val="20"/>
          <w:szCs w:val="20"/>
          <w:lang w:val="en-US"/>
        </w:rPr>
        <w:t>)</w:t>
      </w:r>
      <w:r w:rsidR="00467100" w:rsidRPr="002D0A21">
        <w:rPr>
          <w:rFonts w:ascii="Verdana" w:hAnsi="Verdana"/>
          <w:sz w:val="20"/>
          <w:szCs w:val="20"/>
          <w:lang w:val="en-US"/>
        </w:rPr>
        <w:t xml:space="preserve"> </w:t>
      </w:r>
      <w:r w:rsidR="00FA543D" w:rsidRPr="002D0A21">
        <w:rPr>
          <w:rFonts w:ascii="Verdana" w:hAnsi="Verdana"/>
          <w:sz w:val="20"/>
          <w:szCs w:val="20"/>
          <w:lang w:val="en-US"/>
        </w:rPr>
        <w:t>to note that the right to recognition of juridical personality</w:t>
      </w:r>
      <w:r w:rsidR="00467100" w:rsidRPr="002D0A21">
        <w:rPr>
          <w:rFonts w:ascii="Verdana" w:hAnsi="Verdana"/>
          <w:sz w:val="20"/>
          <w:szCs w:val="20"/>
          <w:lang w:val="en-US"/>
        </w:rPr>
        <w:t xml:space="preserve"> </w:t>
      </w:r>
      <w:r w:rsidR="00FA543D" w:rsidRPr="002D0A21">
        <w:rPr>
          <w:rFonts w:ascii="Verdana" w:hAnsi="Verdana"/>
          <w:sz w:val="20"/>
          <w:szCs w:val="20"/>
          <w:lang w:val="en-US"/>
        </w:rPr>
        <w:t>is one of the “rights and guarantees that are inherent</w:t>
      </w:r>
      <w:r w:rsidR="00723A7E" w:rsidRPr="002D0A21">
        <w:rPr>
          <w:rFonts w:ascii="Verdana" w:eastAsia="Times New Roman" w:hAnsi="Verdana"/>
          <w:color w:val="000000"/>
          <w:sz w:val="20"/>
          <w:szCs w:val="20"/>
          <w:lang w:val="en-US"/>
        </w:rPr>
        <w:t xml:space="preserve"> </w:t>
      </w:r>
      <w:r w:rsidR="00FA543D" w:rsidRPr="002D0A21">
        <w:rPr>
          <w:rFonts w:ascii="Verdana" w:eastAsia="Times New Roman" w:hAnsi="Verdana"/>
          <w:i/>
          <w:color w:val="000000"/>
          <w:sz w:val="20"/>
          <w:szCs w:val="20"/>
          <w:lang w:val="en-US"/>
        </w:rPr>
        <w:t xml:space="preserve">in the human </w:t>
      </w:r>
      <w:r w:rsidR="00E4321B">
        <w:rPr>
          <w:rFonts w:ascii="Verdana" w:eastAsia="Times New Roman" w:hAnsi="Verdana"/>
          <w:i/>
          <w:color w:val="000000"/>
          <w:sz w:val="20"/>
          <w:szCs w:val="20"/>
          <w:lang w:val="en-US"/>
        </w:rPr>
        <w:t>being</w:t>
      </w:r>
      <w:r w:rsidR="00723A7E" w:rsidRPr="002D0A21">
        <w:rPr>
          <w:rFonts w:ascii="Verdana" w:eastAsia="Times New Roman" w:hAnsi="Verdana"/>
          <w:color w:val="000000"/>
          <w:sz w:val="20"/>
          <w:szCs w:val="20"/>
          <w:lang w:val="en-US"/>
        </w:rPr>
        <w:t>” (</w:t>
      </w:r>
      <w:r w:rsidR="00FA543D" w:rsidRPr="002D0A21">
        <w:rPr>
          <w:rFonts w:ascii="Verdana" w:eastAsia="Times New Roman" w:hAnsi="Verdana"/>
          <w:color w:val="000000"/>
          <w:sz w:val="20"/>
          <w:szCs w:val="20"/>
          <w:lang w:val="en-US"/>
        </w:rPr>
        <w:t>A</w:t>
      </w:r>
      <w:r w:rsidR="00564C07">
        <w:rPr>
          <w:rFonts w:ascii="Verdana" w:eastAsia="Times New Roman" w:hAnsi="Verdana"/>
          <w:color w:val="000000"/>
          <w:sz w:val="20"/>
          <w:szCs w:val="20"/>
          <w:lang w:val="en-US"/>
        </w:rPr>
        <w:t>rticle</w:t>
      </w:r>
      <w:r w:rsidR="00723A7E" w:rsidRPr="002D0A21">
        <w:rPr>
          <w:rFonts w:ascii="Verdana" w:eastAsia="Times New Roman" w:hAnsi="Verdana"/>
          <w:color w:val="000000"/>
          <w:sz w:val="20"/>
          <w:szCs w:val="20"/>
          <w:lang w:val="en-US"/>
        </w:rPr>
        <w:t xml:space="preserve"> 29</w:t>
      </w:r>
      <w:r w:rsidR="00FA543D" w:rsidRPr="002D0A21">
        <w:rPr>
          <w:rFonts w:ascii="Verdana" w:eastAsia="Times New Roman" w:hAnsi="Verdana"/>
          <w:color w:val="000000"/>
          <w:sz w:val="20"/>
          <w:szCs w:val="20"/>
          <w:lang w:val="en-US"/>
        </w:rPr>
        <w:t>(</w:t>
      </w:r>
      <w:r w:rsidR="00723A7E" w:rsidRPr="002D0A21">
        <w:rPr>
          <w:rFonts w:ascii="Verdana" w:eastAsia="Times New Roman" w:hAnsi="Verdana"/>
          <w:color w:val="000000"/>
          <w:sz w:val="20"/>
          <w:szCs w:val="20"/>
          <w:lang w:val="en-US"/>
        </w:rPr>
        <w:t xml:space="preserve">c)), </w:t>
      </w:r>
      <w:r w:rsidR="00FA543D" w:rsidRPr="002D0A21">
        <w:rPr>
          <w:rFonts w:ascii="Verdana" w:eastAsia="Times New Roman" w:hAnsi="Verdana"/>
          <w:color w:val="000000"/>
          <w:sz w:val="20"/>
          <w:szCs w:val="20"/>
          <w:lang w:val="en-US"/>
        </w:rPr>
        <w:t xml:space="preserve">that cannot be suspended in states of emergency </w:t>
      </w:r>
      <w:r w:rsidR="00723A7E" w:rsidRPr="002D0A21">
        <w:rPr>
          <w:rFonts w:ascii="Verdana" w:hAnsi="Verdana"/>
          <w:sz w:val="20"/>
          <w:szCs w:val="20"/>
          <w:lang w:val="en-US"/>
        </w:rPr>
        <w:t>(</w:t>
      </w:r>
      <w:r w:rsidR="00564C07">
        <w:rPr>
          <w:rFonts w:ascii="Verdana" w:hAnsi="Verdana"/>
          <w:sz w:val="20"/>
          <w:szCs w:val="20"/>
          <w:lang w:val="en-US"/>
        </w:rPr>
        <w:t>Article</w:t>
      </w:r>
      <w:r w:rsidR="00723A7E" w:rsidRPr="002D0A21">
        <w:rPr>
          <w:rFonts w:ascii="Verdana" w:hAnsi="Verdana"/>
          <w:sz w:val="20"/>
          <w:szCs w:val="20"/>
          <w:lang w:val="en-US"/>
        </w:rPr>
        <w:t xml:space="preserve"> 27</w:t>
      </w:r>
      <w:r w:rsidR="00FA543D" w:rsidRPr="002D0A21">
        <w:rPr>
          <w:rFonts w:ascii="Verdana" w:hAnsi="Verdana"/>
          <w:sz w:val="20"/>
          <w:szCs w:val="20"/>
          <w:lang w:val="en-US"/>
        </w:rPr>
        <w:t>(</w:t>
      </w:r>
      <w:r w:rsidR="00723A7E" w:rsidRPr="002D0A21">
        <w:rPr>
          <w:rFonts w:ascii="Verdana" w:hAnsi="Verdana"/>
          <w:sz w:val="20"/>
          <w:szCs w:val="20"/>
          <w:lang w:val="en-US"/>
        </w:rPr>
        <w:t>2</w:t>
      </w:r>
      <w:r w:rsidR="00FA543D" w:rsidRPr="002D0A21">
        <w:rPr>
          <w:rFonts w:ascii="Verdana" w:hAnsi="Verdana"/>
          <w:sz w:val="20"/>
          <w:szCs w:val="20"/>
          <w:lang w:val="en-US"/>
        </w:rPr>
        <w:t>)</w:t>
      </w:r>
      <w:r w:rsidR="00723A7E" w:rsidRPr="002D0A21">
        <w:rPr>
          <w:rFonts w:ascii="Verdana" w:hAnsi="Verdana"/>
          <w:sz w:val="20"/>
          <w:szCs w:val="20"/>
          <w:lang w:val="en-US"/>
        </w:rPr>
        <w:t>)</w:t>
      </w:r>
      <w:r w:rsidR="00B3687D" w:rsidRPr="002D0A21">
        <w:rPr>
          <w:rFonts w:ascii="Verdana" w:hAnsi="Verdana"/>
          <w:sz w:val="20"/>
          <w:szCs w:val="20"/>
          <w:lang w:val="en-US"/>
        </w:rPr>
        <w:t>.</w:t>
      </w:r>
    </w:p>
    <w:p w14:paraId="479D6AA7" w14:textId="77777777" w:rsidR="007624ED" w:rsidRPr="002D0A21" w:rsidRDefault="007624ED" w:rsidP="007624ED">
      <w:pPr>
        <w:pStyle w:val="Estilo1"/>
        <w:numPr>
          <w:ilvl w:val="0"/>
          <w:numId w:val="0"/>
        </w:numPr>
        <w:spacing w:after="0"/>
        <w:rPr>
          <w:rFonts w:ascii="Verdana" w:hAnsi="Verdana"/>
          <w:sz w:val="20"/>
          <w:szCs w:val="20"/>
          <w:lang w:val="en-US"/>
        </w:rPr>
      </w:pPr>
    </w:p>
    <w:p w14:paraId="3DD1F604" w14:textId="352E98D6" w:rsidR="00EC5E9A" w:rsidRPr="002D0A21" w:rsidRDefault="00FA543D" w:rsidP="007624ED">
      <w:pPr>
        <w:pStyle w:val="Estilo1"/>
        <w:spacing w:after="0"/>
        <w:rPr>
          <w:rFonts w:ascii="Verdana" w:hAnsi="Verdana"/>
          <w:sz w:val="20"/>
          <w:szCs w:val="20"/>
          <w:lang w:val="en-US"/>
        </w:rPr>
      </w:pPr>
      <w:r w:rsidRPr="002D0A21">
        <w:rPr>
          <w:rFonts w:ascii="Verdana" w:hAnsi="Verdana"/>
          <w:sz w:val="20"/>
          <w:szCs w:val="20"/>
          <w:lang w:val="en-US"/>
        </w:rPr>
        <w:t>Consequently</w:t>
      </w:r>
      <w:r w:rsidR="00723A7E" w:rsidRPr="002D0A21">
        <w:rPr>
          <w:rFonts w:ascii="Verdana" w:hAnsi="Verdana"/>
          <w:sz w:val="20"/>
          <w:szCs w:val="20"/>
          <w:lang w:val="en-US"/>
        </w:rPr>
        <w:t xml:space="preserve">, </w:t>
      </w:r>
      <w:r w:rsidRPr="002D0A21">
        <w:rPr>
          <w:rFonts w:ascii="Verdana" w:hAnsi="Verdana"/>
          <w:sz w:val="20"/>
          <w:szCs w:val="20"/>
          <w:lang w:val="en-US"/>
        </w:rPr>
        <w:t>Article</w:t>
      </w:r>
      <w:r w:rsidR="00723A7E" w:rsidRPr="002D0A21">
        <w:rPr>
          <w:rFonts w:ascii="Verdana" w:hAnsi="Verdana"/>
          <w:sz w:val="20"/>
          <w:szCs w:val="20"/>
          <w:lang w:val="en-US"/>
        </w:rPr>
        <w:t xml:space="preserve"> 3 </w:t>
      </w:r>
      <w:r w:rsidRPr="002D0A21">
        <w:rPr>
          <w:rFonts w:ascii="Verdana" w:hAnsi="Verdana"/>
          <w:sz w:val="20"/>
          <w:szCs w:val="20"/>
          <w:lang w:val="en-US"/>
        </w:rPr>
        <w:t xml:space="preserve">cannot serve as grounds for granting or recognizing </w:t>
      </w:r>
      <w:r w:rsidR="00BE3989" w:rsidRPr="00A76963">
        <w:rPr>
          <w:rFonts w:ascii="Verdana" w:hAnsi="Verdana"/>
          <w:i/>
          <w:sz w:val="20"/>
          <w:szCs w:val="20"/>
          <w:lang w:val="en-US"/>
        </w:rPr>
        <w:t>legal status</w:t>
      </w:r>
      <w:r w:rsidR="00BE3989" w:rsidRPr="00A76963">
        <w:rPr>
          <w:rFonts w:ascii="Verdana" w:hAnsi="Verdana"/>
          <w:sz w:val="20"/>
          <w:szCs w:val="20"/>
          <w:lang w:val="en-US"/>
        </w:rPr>
        <w:t xml:space="preserve"> </w:t>
      </w:r>
      <w:r w:rsidR="00BE3989" w:rsidRPr="00EE5175">
        <w:rPr>
          <w:rFonts w:ascii="Verdana" w:hAnsi="Verdana"/>
          <w:i/>
          <w:sz w:val="20"/>
          <w:szCs w:val="20"/>
          <w:lang w:val="en-US"/>
        </w:rPr>
        <w:t>[</w:t>
      </w:r>
      <w:r w:rsidR="00BE3989" w:rsidRPr="002D0A21">
        <w:rPr>
          <w:rFonts w:ascii="Verdana" w:hAnsi="Verdana"/>
          <w:i/>
          <w:sz w:val="20"/>
          <w:szCs w:val="20"/>
          <w:lang w:val="en-US"/>
        </w:rPr>
        <w:t>personería</w:t>
      </w:r>
      <w:r w:rsidR="00BE3989" w:rsidRPr="002D0A21">
        <w:rPr>
          <w:rFonts w:ascii="Verdana" w:hAnsi="Verdana"/>
          <w:sz w:val="20"/>
          <w:szCs w:val="20"/>
          <w:lang w:val="en-US"/>
        </w:rPr>
        <w:t xml:space="preserve"> </w:t>
      </w:r>
      <w:r w:rsidR="00BE3989" w:rsidRPr="002D0A21">
        <w:rPr>
          <w:rFonts w:ascii="Verdana" w:hAnsi="Verdana"/>
          <w:i/>
          <w:sz w:val="20"/>
          <w:szCs w:val="20"/>
          <w:lang w:val="en-US"/>
        </w:rPr>
        <w:t xml:space="preserve">jurídica] </w:t>
      </w:r>
      <w:r w:rsidRPr="002D0A21">
        <w:rPr>
          <w:rFonts w:ascii="Verdana" w:hAnsi="Verdana"/>
          <w:sz w:val="20"/>
          <w:szCs w:val="20"/>
          <w:lang w:val="en-US"/>
        </w:rPr>
        <w:t xml:space="preserve">to groups or collective entities, whether or not they are indigenous or tribal peoples or communities. </w:t>
      </w:r>
    </w:p>
    <w:p w14:paraId="7D115C5C" w14:textId="77777777" w:rsidR="007624ED" w:rsidRPr="002D0A21" w:rsidRDefault="007624ED" w:rsidP="007624ED">
      <w:pPr>
        <w:pStyle w:val="Estilo1"/>
        <w:numPr>
          <w:ilvl w:val="0"/>
          <w:numId w:val="0"/>
        </w:numPr>
        <w:spacing w:after="0"/>
        <w:rPr>
          <w:rFonts w:ascii="Verdana" w:hAnsi="Verdana"/>
          <w:sz w:val="20"/>
          <w:szCs w:val="20"/>
          <w:lang w:val="en-US"/>
        </w:rPr>
      </w:pPr>
    </w:p>
    <w:p w14:paraId="0215151F" w14:textId="65437593" w:rsidR="00FA543D" w:rsidRPr="002D0A21" w:rsidRDefault="00A76963" w:rsidP="007624ED">
      <w:pPr>
        <w:pStyle w:val="Estilo1"/>
        <w:spacing w:after="0"/>
        <w:rPr>
          <w:rFonts w:ascii="Verdana" w:hAnsi="Verdana"/>
          <w:sz w:val="20"/>
          <w:szCs w:val="20"/>
          <w:lang w:val="en-US"/>
        </w:rPr>
      </w:pPr>
      <w:r>
        <w:rPr>
          <w:rFonts w:ascii="Verdana" w:hAnsi="Verdana"/>
          <w:sz w:val="20"/>
          <w:szCs w:val="20"/>
          <w:lang w:val="en-US"/>
        </w:rPr>
        <w:t>R</w:t>
      </w:r>
      <w:r w:rsidR="00FA543D" w:rsidRPr="002D0A21">
        <w:rPr>
          <w:rFonts w:ascii="Verdana" w:hAnsi="Verdana"/>
          <w:sz w:val="20"/>
          <w:szCs w:val="20"/>
          <w:lang w:val="en-US"/>
        </w:rPr>
        <w:t xml:space="preserve">ecognition of juridical personality to the individual human beings who compose that people or community, as the </w:t>
      </w:r>
      <w:r w:rsidR="00FA543D" w:rsidRPr="00A76963">
        <w:rPr>
          <w:rFonts w:ascii="Verdana" w:hAnsi="Verdana"/>
          <w:sz w:val="20"/>
          <w:szCs w:val="20"/>
          <w:lang w:val="en-US"/>
        </w:rPr>
        <w:t>Court d</w:t>
      </w:r>
      <w:r>
        <w:rPr>
          <w:rFonts w:ascii="Verdana" w:hAnsi="Verdana"/>
          <w:sz w:val="20"/>
          <w:szCs w:val="20"/>
          <w:lang w:val="en-US"/>
        </w:rPr>
        <w:t>id</w:t>
      </w:r>
      <w:r w:rsidR="00FA543D" w:rsidRPr="00A76963">
        <w:rPr>
          <w:rFonts w:ascii="Verdana" w:hAnsi="Verdana"/>
          <w:sz w:val="20"/>
          <w:szCs w:val="20"/>
          <w:lang w:val="en-US"/>
        </w:rPr>
        <w:t xml:space="preserve"> in</w:t>
      </w:r>
      <w:r w:rsidR="00FA543D" w:rsidRPr="002D0A21">
        <w:rPr>
          <w:rFonts w:ascii="Verdana" w:hAnsi="Verdana"/>
          <w:sz w:val="20"/>
          <w:szCs w:val="20"/>
          <w:lang w:val="en-US"/>
        </w:rPr>
        <w:t xml:space="preserve"> the case of the </w:t>
      </w:r>
      <w:r w:rsidR="00FA543D" w:rsidRPr="002D0A21">
        <w:rPr>
          <w:rFonts w:ascii="Verdana" w:hAnsi="Verdana"/>
          <w:i/>
          <w:sz w:val="20"/>
          <w:szCs w:val="20"/>
          <w:lang w:val="en-US"/>
        </w:rPr>
        <w:t xml:space="preserve">Sawhoyamaxa Indigenous </w:t>
      </w:r>
      <w:r w:rsidR="00FA543D" w:rsidRPr="002D0A21">
        <w:rPr>
          <w:rFonts w:ascii="Verdana" w:hAnsi="Verdana"/>
          <w:i/>
          <w:sz w:val="20"/>
          <w:szCs w:val="20"/>
          <w:lang w:val="en-US"/>
        </w:rPr>
        <w:lastRenderedPageBreak/>
        <w:t>Community,</w:t>
      </w:r>
      <w:r>
        <w:rPr>
          <w:rFonts w:ascii="Verdana" w:hAnsi="Verdana"/>
          <w:i/>
          <w:sz w:val="20"/>
          <w:szCs w:val="20"/>
          <w:lang w:val="en-US"/>
        </w:rPr>
        <w:t xml:space="preserve"> </w:t>
      </w:r>
      <w:r w:rsidRPr="002D0A21">
        <w:rPr>
          <w:rFonts w:ascii="Verdana" w:hAnsi="Verdana"/>
          <w:sz w:val="20"/>
          <w:szCs w:val="20"/>
          <w:lang w:val="en-US"/>
        </w:rPr>
        <w:t>is a different matter</w:t>
      </w:r>
      <w:r>
        <w:rPr>
          <w:rFonts w:ascii="Verdana" w:hAnsi="Verdana"/>
          <w:sz w:val="20"/>
          <w:szCs w:val="20"/>
          <w:lang w:val="en-US"/>
        </w:rPr>
        <w:t>. In that case,</w:t>
      </w:r>
      <w:r w:rsidR="00FA543D" w:rsidRPr="002D0A21">
        <w:rPr>
          <w:rFonts w:ascii="Verdana" w:hAnsi="Verdana"/>
          <w:sz w:val="20"/>
          <w:szCs w:val="20"/>
          <w:lang w:val="en-US"/>
        </w:rPr>
        <w:t xml:space="preserve"> it declared that Article 3 had been violated to the detriment of several individual members of this community who “</w:t>
      </w:r>
      <w:r w:rsidR="00FA543D" w:rsidRPr="002D0A21">
        <w:rPr>
          <w:rFonts w:ascii="Verdana" w:hAnsi="Verdana"/>
          <w:i/>
          <w:sz w:val="20"/>
          <w:szCs w:val="20"/>
          <w:lang w:val="en-US"/>
        </w:rPr>
        <w:t>did not have records of their birth and death, or any other document provided by the State that could prove their existence and identity.”</w:t>
      </w:r>
      <w:r w:rsidR="00FA543D" w:rsidRPr="002D0A21">
        <w:rPr>
          <w:rFonts w:ascii="Verdana" w:hAnsi="Verdana"/>
          <w:sz w:val="20"/>
          <w:szCs w:val="20"/>
          <w:lang w:val="en-US"/>
        </w:rPr>
        <w:t xml:space="preserve"> The Court stated</w:t>
      </w:r>
      <w:r w:rsidR="00FE36AA" w:rsidRPr="002D0A21">
        <w:rPr>
          <w:rFonts w:ascii="Verdana" w:hAnsi="Verdana"/>
          <w:sz w:val="20"/>
          <w:szCs w:val="20"/>
          <w:lang w:val="en-US"/>
        </w:rPr>
        <w:t>:</w:t>
      </w:r>
    </w:p>
    <w:p w14:paraId="14A4F3EA" w14:textId="77777777" w:rsidR="007624ED" w:rsidRPr="002D0A21" w:rsidRDefault="007624ED" w:rsidP="007624ED">
      <w:pPr>
        <w:pStyle w:val="Estilo1"/>
        <w:numPr>
          <w:ilvl w:val="0"/>
          <w:numId w:val="0"/>
        </w:numPr>
        <w:spacing w:after="0"/>
        <w:rPr>
          <w:rFonts w:ascii="Verdana" w:hAnsi="Verdana"/>
          <w:sz w:val="20"/>
          <w:szCs w:val="20"/>
          <w:lang w:val="en-US"/>
        </w:rPr>
      </w:pPr>
    </w:p>
    <w:p w14:paraId="1AA07E86" w14:textId="3F00D32F" w:rsidR="00FE36AA" w:rsidRPr="002D0A21" w:rsidRDefault="00EC5E9A" w:rsidP="00DE7840">
      <w:pPr>
        <w:pStyle w:val="Estilo3"/>
        <w:spacing w:after="0"/>
        <w:ind w:right="-64"/>
        <w:rPr>
          <w:rFonts w:ascii="Verdana" w:hAnsi="Verdana"/>
          <w:i w:val="0"/>
          <w:sz w:val="20"/>
          <w:szCs w:val="20"/>
          <w:lang w:val="en-US"/>
        </w:rPr>
      </w:pPr>
      <w:r w:rsidRPr="002D0A21">
        <w:rPr>
          <w:rFonts w:ascii="Verdana" w:hAnsi="Verdana"/>
          <w:i w:val="0"/>
          <w:sz w:val="20"/>
          <w:szCs w:val="20"/>
          <w:lang w:val="en-US"/>
        </w:rPr>
        <w:t xml:space="preserve">188. </w:t>
      </w:r>
      <w:r w:rsidR="00FE36AA" w:rsidRPr="002D0A21">
        <w:rPr>
          <w:rFonts w:ascii="Verdana" w:eastAsia="Times New Roman" w:hAnsi="Verdana" w:cs="Arial"/>
          <w:i w:val="0"/>
          <w:sz w:val="20"/>
          <w:szCs w:val="20"/>
          <w:lang w:val="en-US"/>
        </w:rPr>
        <w:t>The right to recognition of</w:t>
      </w:r>
      <w:r w:rsidR="00515B0D">
        <w:rPr>
          <w:rFonts w:ascii="Verdana" w:eastAsia="Times New Roman" w:hAnsi="Verdana" w:cs="Arial"/>
          <w:i w:val="0"/>
          <w:sz w:val="20"/>
          <w:szCs w:val="20"/>
          <w:lang w:val="en-US"/>
        </w:rPr>
        <w:t xml:space="preserve"> juridical</w:t>
      </w:r>
      <w:r w:rsidR="00FE36AA" w:rsidRPr="002D0A21">
        <w:rPr>
          <w:rFonts w:ascii="Verdana" w:eastAsia="Times New Roman" w:hAnsi="Verdana" w:cs="Arial"/>
          <w:i w:val="0"/>
          <w:sz w:val="20"/>
          <w:szCs w:val="20"/>
          <w:lang w:val="en-US"/>
        </w:rPr>
        <w:t xml:space="preserve"> personality before the law represents a parameter to determine whether a person is entitled to any given rights and whether such a person can enforce such rights. The breach of such recognition implies the absolute denial of the possibility of being a holder of such rights and of assuming obligations, and renders the individual vulnerable to the non-observance of the same by the State or by individuals.</w:t>
      </w:r>
    </w:p>
    <w:p w14:paraId="5BE30C92" w14:textId="77777777" w:rsidR="007624ED" w:rsidRPr="002D0A21" w:rsidRDefault="007624ED" w:rsidP="00DE7840">
      <w:pPr>
        <w:pStyle w:val="Estilo3"/>
        <w:spacing w:after="0"/>
        <w:ind w:left="0" w:right="-64"/>
        <w:rPr>
          <w:rFonts w:ascii="Verdana" w:hAnsi="Verdana"/>
          <w:i w:val="0"/>
          <w:sz w:val="20"/>
          <w:szCs w:val="20"/>
          <w:lang w:val="en-US"/>
        </w:rPr>
      </w:pPr>
    </w:p>
    <w:p w14:paraId="51229A71" w14:textId="48868285" w:rsidR="00FE36AA" w:rsidRPr="002D0A21" w:rsidRDefault="00EC5E9A" w:rsidP="00DE7840">
      <w:pPr>
        <w:pStyle w:val="Estilo3"/>
        <w:spacing w:after="0"/>
        <w:ind w:right="-64"/>
        <w:rPr>
          <w:rFonts w:ascii="Verdana" w:hAnsi="Verdana"/>
          <w:i w:val="0"/>
          <w:sz w:val="20"/>
          <w:szCs w:val="20"/>
          <w:lang w:val="en-US"/>
        </w:rPr>
      </w:pPr>
      <w:r w:rsidRPr="002D0A21">
        <w:rPr>
          <w:rFonts w:ascii="Verdana" w:hAnsi="Verdana"/>
          <w:i w:val="0"/>
          <w:sz w:val="20"/>
          <w:szCs w:val="20"/>
          <w:lang w:val="en-US"/>
        </w:rPr>
        <w:t xml:space="preserve">189. </w:t>
      </w:r>
      <w:r w:rsidR="00FE36AA" w:rsidRPr="002D0A21">
        <w:rPr>
          <w:rFonts w:ascii="Verdana" w:eastAsia="Times New Roman" w:hAnsi="Verdana" w:cs="Arial"/>
          <w:i w:val="0"/>
          <w:sz w:val="20"/>
          <w:szCs w:val="20"/>
          <w:lang w:val="en-US"/>
        </w:rPr>
        <w:t xml:space="preserve">The State has a duty to provide the general legal conditions and </w:t>
      </w:r>
      <w:r w:rsidR="00515B0D">
        <w:rPr>
          <w:rFonts w:ascii="Verdana" w:eastAsia="Times New Roman" w:hAnsi="Verdana" w:cs="Arial"/>
          <w:i w:val="0"/>
          <w:sz w:val="20"/>
          <w:szCs w:val="20"/>
          <w:lang w:val="en-US"/>
        </w:rPr>
        <w:t>resources</w:t>
      </w:r>
      <w:r w:rsidR="00FE36AA" w:rsidRPr="002D0A21">
        <w:rPr>
          <w:rFonts w:ascii="Verdana" w:eastAsia="Times New Roman" w:hAnsi="Verdana" w:cs="Arial"/>
          <w:i w:val="0"/>
          <w:sz w:val="20"/>
          <w:szCs w:val="20"/>
          <w:lang w:val="en-US"/>
        </w:rPr>
        <w:t>, so that the right to recognition of juridical personality may be exercised by its holders. In particular, the State is bound to ensure to those persons in situations of vulnerability, exclusion and discrimination, the legal and administrative conditions</w:t>
      </w:r>
      <w:r w:rsidR="00FE36AA" w:rsidRPr="002D0A21">
        <w:rPr>
          <w:rFonts w:ascii="Verdana" w:hAnsi="Verdana" w:cs="Arial"/>
          <w:i w:val="0"/>
          <w:sz w:val="20"/>
          <w:szCs w:val="20"/>
          <w:lang w:val="en-US"/>
        </w:rPr>
        <w:t xml:space="preserve"> </w:t>
      </w:r>
      <w:r w:rsidR="00FE36AA" w:rsidRPr="002D0A21">
        <w:rPr>
          <w:rFonts w:ascii="Verdana" w:eastAsia="Times New Roman" w:hAnsi="Verdana" w:cs="Arial"/>
          <w:i w:val="0"/>
          <w:sz w:val="20"/>
          <w:szCs w:val="20"/>
          <w:lang w:val="en-US"/>
        </w:rPr>
        <w:t>that may secure for them the exercise of such right, pursuant to the principle of equality under the law.</w:t>
      </w:r>
    </w:p>
    <w:p w14:paraId="30663108" w14:textId="77777777" w:rsidR="007624ED" w:rsidRPr="002D0A21" w:rsidRDefault="007624ED" w:rsidP="00DE7840">
      <w:pPr>
        <w:pStyle w:val="Estilo3"/>
        <w:spacing w:after="0"/>
        <w:ind w:right="-64"/>
        <w:rPr>
          <w:rFonts w:ascii="Verdana" w:hAnsi="Verdana"/>
          <w:i w:val="0"/>
          <w:sz w:val="20"/>
          <w:szCs w:val="20"/>
          <w:lang w:val="en-US"/>
        </w:rPr>
      </w:pPr>
    </w:p>
    <w:p w14:paraId="3DD1F609" w14:textId="3A483243" w:rsidR="00EC5E9A" w:rsidRPr="002D0A21" w:rsidRDefault="00EC5E9A" w:rsidP="00DE7840">
      <w:pPr>
        <w:pStyle w:val="Estilo3"/>
        <w:spacing w:after="0"/>
        <w:ind w:right="-64"/>
        <w:rPr>
          <w:rFonts w:ascii="Verdana" w:hAnsi="Verdana"/>
          <w:i w:val="0"/>
          <w:sz w:val="20"/>
          <w:szCs w:val="20"/>
          <w:lang w:val="en-US"/>
        </w:rPr>
      </w:pPr>
      <w:r w:rsidRPr="002D0A21">
        <w:rPr>
          <w:rFonts w:ascii="Verdana" w:hAnsi="Verdana"/>
          <w:i w:val="0"/>
          <w:sz w:val="20"/>
          <w:szCs w:val="20"/>
          <w:lang w:val="en-US"/>
        </w:rPr>
        <w:t xml:space="preserve">190. </w:t>
      </w:r>
      <w:r w:rsidR="00FE36AA" w:rsidRPr="002D0A21">
        <w:rPr>
          <w:rFonts w:ascii="Verdana" w:hAnsi="Verdana"/>
          <w:i w:val="0"/>
          <w:sz w:val="20"/>
          <w:szCs w:val="20"/>
          <w:lang w:val="en-US"/>
        </w:rPr>
        <w:t xml:space="preserve"> </w:t>
      </w:r>
      <w:r w:rsidR="00FE36AA" w:rsidRPr="002D0A21">
        <w:rPr>
          <w:rFonts w:ascii="Verdana" w:eastAsia="Times New Roman" w:hAnsi="Verdana" w:cs="Arial"/>
          <w:i w:val="0"/>
          <w:sz w:val="20"/>
          <w:szCs w:val="20"/>
          <w:lang w:val="en-US"/>
        </w:rPr>
        <w:t>In the instant case, the Court has considered proved that 18 of the 19 members of the Sawhoyamaxa Community who died as a result of the State’s failure to comply with its preventive duty regarding their right to life</w:t>
      </w:r>
      <w:r w:rsidR="00515B0D">
        <w:rPr>
          <w:rFonts w:ascii="Verdana" w:eastAsia="Times New Roman" w:hAnsi="Verdana" w:cs="Arial"/>
          <w:i w:val="0"/>
          <w:sz w:val="20"/>
          <w:szCs w:val="20"/>
          <w:lang w:val="en-US"/>
        </w:rPr>
        <w:t xml:space="preserve"> (</w:t>
      </w:r>
      <w:r w:rsidR="00515B0D">
        <w:rPr>
          <w:rFonts w:ascii="Verdana" w:eastAsia="Times New Roman" w:hAnsi="Verdana" w:cs="Arial"/>
          <w:sz w:val="20"/>
          <w:szCs w:val="20"/>
          <w:lang w:val="en-US"/>
        </w:rPr>
        <w:t xml:space="preserve">supra </w:t>
      </w:r>
      <w:r w:rsidR="00515B0D">
        <w:rPr>
          <w:rFonts w:ascii="Verdana" w:eastAsia="Times New Roman" w:hAnsi="Verdana" w:cs="Arial"/>
          <w:i w:val="0"/>
          <w:sz w:val="20"/>
          <w:szCs w:val="20"/>
          <w:lang w:val="en-US"/>
        </w:rPr>
        <w:t>para. 178)</w:t>
      </w:r>
      <w:r w:rsidR="00FE36AA" w:rsidRPr="002D0A21">
        <w:rPr>
          <w:rFonts w:ascii="Verdana" w:eastAsia="Times New Roman" w:hAnsi="Verdana" w:cs="Arial"/>
          <w:i w:val="0"/>
          <w:sz w:val="20"/>
          <w:szCs w:val="20"/>
          <w:lang w:val="en-US"/>
        </w:rPr>
        <w:t>, did not have any birth or death records, or any other document provided by the State able to prove their existence and identity</w:t>
      </w:r>
      <w:r w:rsidR="00FE36AA" w:rsidRPr="002D0A21">
        <w:rPr>
          <w:rFonts w:ascii="Verdana" w:hAnsi="Verdana"/>
          <w:i w:val="0"/>
          <w:sz w:val="20"/>
          <w:szCs w:val="20"/>
          <w:lang w:val="en-US"/>
        </w:rPr>
        <w:t>.</w:t>
      </w:r>
      <w:r w:rsidR="00FE36AA" w:rsidRPr="002D0A21" w:rsidDel="00FE36AA">
        <w:rPr>
          <w:rFonts w:ascii="Verdana" w:hAnsi="Verdana"/>
          <w:i w:val="0"/>
          <w:sz w:val="20"/>
          <w:szCs w:val="20"/>
          <w:lang w:val="en-US"/>
        </w:rPr>
        <w:t xml:space="preserve"> </w:t>
      </w:r>
      <w:r w:rsidRPr="002D0A21">
        <w:rPr>
          <w:rFonts w:ascii="Verdana" w:hAnsi="Verdana"/>
          <w:i w:val="0"/>
          <w:sz w:val="20"/>
          <w:szCs w:val="20"/>
          <w:lang w:val="en-US"/>
        </w:rPr>
        <w:t>(…)</w:t>
      </w:r>
    </w:p>
    <w:p w14:paraId="5B73BA46" w14:textId="77777777" w:rsidR="007624ED" w:rsidRPr="002D0A21" w:rsidRDefault="007624ED" w:rsidP="00DE7840">
      <w:pPr>
        <w:pStyle w:val="Estilo3"/>
        <w:spacing w:after="0"/>
        <w:ind w:right="-64"/>
        <w:rPr>
          <w:rFonts w:ascii="Verdana" w:hAnsi="Verdana"/>
          <w:i w:val="0"/>
          <w:sz w:val="20"/>
          <w:szCs w:val="20"/>
          <w:lang w:val="en-US"/>
        </w:rPr>
      </w:pPr>
    </w:p>
    <w:p w14:paraId="3DD1F60A" w14:textId="12BCF923" w:rsidR="00EC5E9A" w:rsidRPr="002D0A21" w:rsidRDefault="00EC5E9A" w:rsidP="00DE7840">
      <w:pPr>
        <w:pStyle w:val="Estilo3"/>
        <w:spacing w:after="0"/>
        <w:ind w:right="-64"/>
        <w:rPr>
          <w:rFonts w:ascii="Verdana" w:hAnsi="Verdana"/>
          <w:sz w:val="20"/>
          <w:szCs w:val="20"/>
          <w:lang w:val="en-US"/>
        </w:rPr>
      </w:pPr>
      <w:r w:rsidRPr="002D0A21">
        <w:rPr>
          <w:rFonts w:ascii="Verdana" w:hAnsi="Verdana"/>
          <w:i w:val="0"/>
          <w:sz w:val="20"/>
          <w:szCs w:val="20"/>
          <w:lang w:val="en-US"/>
        </w:rPr>
        <w:t>194.</w:t>
      </w:r>
      <w:r w:rsidRPr="002D0A21">
        <w:rPr>
          <w:rFonts w:ascii="Verdana" w:hAnsi="Verdana"/>
          <w:sz w:val="20"/>
          <w:szCs w:val="20"/>
          <w:lang w:val="en-US"/>
        </w:rPr>
        <w:t xml:space="preserve"> </w:t>
      </w:r>
      <w:r w:rsidR="00FE36AA" w:rsidRPr="002D0A21">
        <w:rPr>
          <w:rFonts w:ascii="Verdana" w:eastAsia="Times New Roman" w:hAnsi="Verdana" w:cs="Arial"/>
          <w:sz w:val="20"/>
          <w:szCs w:val="20"/>
          <w:lang w:val="en-US"/>
        </w:rPr>
        <w:t>Based on the above considerations, and notwithstanding the fact that other members of the Community may be in the same situation, the Court finds that the State violated the right to recognition of juridical personality recognized in Article 3 of the American Convention, to the detriment of NN Galarza, Rosana López, Eduardo Cáceres, Eulalio Cáceres, Esteban González</w:t>
      </w:r>
      <w:r w:rsidR="00CE7847">
        <w:rPr>
          <w:rFonts w:ascii="Verdana" w:eastAsia="Times New Roman" w:hAnsi="Verdana" w:cs="Arial"/>
          <w:sz w:val="20"/>
          <w:szCs w:val="20"/>
          <w:lang w:val="en-US"/>
        </w:rPr>
        <w:t xml:space="preserve"> </w:t>
      </w:r>
      <w:r w:rsidR="00FE36AA" w:rsidRPr="002D0A21">
        <w:rPr>
          <w:rFonts w:ascii="Verdana" w:eastAsia="Times New Roman" w:hAnsi="Verdana" w:cs="Arial"/>
          <w:sz w:val="20"/>
          <w:szCs w:val="20"/>
          <w:lang w:val="en-US"/>
        </w:rPr>
        <w:t>Aponte, NN González</w:t>
      </w:r>
      <w:r w:rsidR="00515B0D">
        <w:rPr>
          <w:rFonts w:ascii="Verdana" w:eastAsia="Times New Roman" w:hAnsi="Verdana" w:cs="Arial"/>
          <w:sz w:val="20"/>
          <w:szCs w:val="20"/>
          <w:lang w:val="en-US"/>
        </w:rPr>
        <w:t xml:space="preserve"> </w:t>
      </w:r>
      <w:r w:rsidR="00FE36AA" w:rsidRPr="002D0A21">
        <w:rPr>
          <w:rFonts w:ascii="Verdana" w:eastAsia="Times New Roman" w:hAnsi="Verdana" w:cs="Arial"/>
          <w:sz w:val="20"/>
          <w:szCs w:val="20"/>
          <w:lang w:val="en-US"/>
        </w:rPr>
        <w:t>Aponte, NN Yegros, Jenny Toledo, Guido Ruiz-Díaz, NN González, Luis Torres-Chávez, Diego Andrés Ayala, Francisca Britez, Silvia Adela Chávez, Derlis Armando Torres, Juan Ramón González, Arnaldo Galarza and Fátima Galarza.</w:t>
      </w:r>
      <w:r w:rsidRPr="002D0A21">
        <w:rPr>
          <w:rStyle w:val="FootnoteReference"/>
          <w:rFonts w:ascii="Verdana" w:hAnsi="Verdana"/>
          <w:i w:val="0"/>
          <w:sz w:val="20"/>
          <w:szCs w:val="20"/>
          <w:lang w:val="en-US"/>
        </w:rPr>
        <w:footnoteReference w:id="1"/>
      </w:r>
    </w:p>
    <w:p w14:paraId="01BDFC61" w14:textId="77777777" w:rsidR="007624ED" w:rsidRPr="002D0A21" w:rsidRDefault="007624ED" w:rsidP="00DE7840">
      <w:pPr>
        <w:pStyle w:val="Estilo3"/>
        <w:spacing w:after="0"/>
        <w:ind w:right="-64"/>
        <w:rPr>
          <w:rFonts w:ascii="Verdana" w:hAnsi="Verdana"/>
          <w:sz w:val="20"/>
          <w:szCs w:val="20"/>
          <w:lang w:val="en-US"/>
        </w:rPr>
      </w:pPr>
    </w:p>
    <w:p w14:paraId="7087CCC2" w14:textId="65BFBB3A" w:rsidR="007624ED" w:rsidRPr="002D0A21" w:rsidRDefault="00FA543D" w:rsidP="000218C2">
      <w:pPr>
        <w:pStyle w:val="Estilo1"/>
        <w:rPr>
          <w:rFonts w:ascii="Verdana" w:hAnsi="Verdana"/>
          <w:sz w:val="20"/>
          <w:szCs w:val="20"/>
          <w:lang w:val="en-US"/>
        </w:rPr>
      </w:pPr>
      <w:r w:rsidRPr="002D0A21">
        <w:rPr>
          <w:rFonts w:ascii="Verdana" w:hAnsi="Verdana"/>
          <w:sz w:val="20"/>
          <w:szCs w:val="20"/>
          <w:lang w:val="en-US"/>
        </w:rPr>
        <w:t>Article</w:t>
      </w:r>
      <w:r w:rsidR="000334AE" w:rsidRPr="002D0A21">
        <w:rPr>
          <w:rFonts w:ascii="Verdana" w:hAnsi="Verdana"/>
          <w:sz w:val="20"/>
          <w:szCs w:val="20"/>
          <w:lang w:val="en-US"/>
        </w:rPr>
        <w:t xml:space="preserve"> 3 ha</w:t>
      </w:r>
      <w:r w:rsidR="00FE36AA" w:rsidRPr="002D0A21">
        <w:rPr>
          <w:rFonts w:ascii="Verdana" w:hAnsi="Verdana"/>
          <w:sz w:val="20"/>
          <w:szCs w:val="20"/>
          <w:lang w:val="en-US"/>
        </w:rPr>
        <w:t>s also been interpreted and applied correctly – that is, as a fundamental right of all human beings – in numerous cases. For example, in the</w:t>
      </w:r>
      <w:r w:rsidR="000334AE" w:rsidRPr="002D0A21">
        <w:rPr>
          <w:rFonts w:ascii="Verdana" w:hAnsi="Verdana"/>
          <w:sz w:val="20"/>
          <w:szCs w:val="20"/>
          <w:lang w:val="en-US"/>
        </w:rPr>
        <w:t xml:space="preserve"> </w:t>
      </w:r>
      <w:r w:rsidR="00FE36AA" w:rsidRPr="002D0A21">
        <w:rPr>
          <w:rFonts w:ascii="Verdana" w:hAnsi="Verdana"/>
          <w:i/>
          <w:sz w:val="20"/>
          <w:szCs w:val="20"/>
          <w:lang w:val="en-US"/>
        </w:rPr>
        <w:t>Case of the Yean and Bosico Girls v. Dominican Republic</w:t>
      </w:r>
      <w:r w:rsidR="00FE36AA" w:rsidRPr="002D0A21" w:rsidDel="00FE36AA">
        <w:rPr>
          <w:rFonts w:ascii="Verdana" w:hAnsi="Verdana"/>
          <w:i/>
          <w:sz w:val="20"/>
          <w:szCs w:val="20"/>
          <w:lang w:val="en-US"/>
        </w:rPr>
        <w:t xml:space="preserve"> </w:t>
      </w:r>
      <w:r w:rsidR="00FE36AA" w:rsidRPr="002D0A21">
        <w:rPr>
          <w:rFonts w:ascii="Verdana" w:hAnsi="Verdana"/>
          <w:sz w:val="20"/>
          <w:szCs w:val="20"/>
          <w:lang w:val="en-US"/>
        </w:rPr>
        <w:t xml:space="preserve">the Court decided as follows: </w:t>
      </w:r>
    </w:p>
    <w:p w14:paraId="6C695129" w14:textId="07AECA6D" w:rsidR="00094C01" w:rsidRPr="00797250" w:rsidRDefault="00094C01" w:rsidP="00DE7840">
      <w:pPr>
        <w:ind w:left="708" w:right="-64"/>
        <w:jc w:val="both"/>
        <w:rPr>
          <w:rFonts w:ascii="Verdana" w:eastAsia="Times New Roman" w:hAnsi="Verdana" w:cs="Arial"/>
          <w:sz w:val="20"/>
          <w:szCs w:val="20"/>
          <w:lang w:val="en-US"/>
        </w:rPr>
      </w:pPr>
      <w:r w:rsidRPr="00797250">
        <w:rPr>
          <w:rFonts w:ascii="Verdana" w:eastAsia="Times New Roman" w:hAnsi="Verdana" w:cs="Arial"/>
          <w:sz w:val="20"/>
          <w:szCs w:val="20"/>
          <w:lang w:val="en-US"/>
        </w:rPr>
        <w:t xml:space="preserve">178. A stateless person, </w:t>
      </w:r>
      <w:r w:rsidRPr="00797250">
        <w:rPr>
          <w:rFonts w:ascii="Verdana" w:eastAsia="Times New Roman" w:hAnsi="Verdana" w:cs="Arial"/>
          <w:i/>
          <w:sz w:val="20"/>
          <w:szCs w:val="20"/>
          <w:lang w:val="en-US"/>
        </w:rPr>
        <w:t>ex definitione</w:t>
      </w:r>
      <w:r w:rsidRPr="00797250">
        <w:rPr>
          <w:rFonts w:ascii="Verdana" w:eastAsia="Times New Roman" w:hAnsi="Verdana" w:cs="Arial"/>
          <w:sz w:val="20"/>
          <w:szCs w:val="20"/>
          <w:lang w:val="en-US"/>
        </w:rPr>
        <w:t>, does not have recognized juridic</w:t>
      </w:r>
      <w:r w:rsidRPr="00797250">
        <w:rPr>
          <w:rFonts w:ascii="Verdana" w:hAnsi="Verdana" w:cs="Arial"/>
          <w:sz w:val="20"/>
          <w:szCs w:val="20"/>
          <w:lang w:val="en-US"/>
        </w:rPr>
        <w:t xml:space="preserve">al </w:t>
      </w:r>
      <w:r w:rsidRPr="00797250">
        <w:rPr>
          <w:rFonts w:ascii="Verdana" w:eastAsia="Times New Roman" w:hAnsi="Verdana" w:cs="Arial"/>
          <w:sz w:val="20"/>
          <w:szCs w:val="20"/>
          <w:lang w:val="en-US"/>
        </w:rPr>
        <w:t xml:space="preserve">personality, because he has not established a juridical and political connection with any State; thus nationality is a prerequisite for recognition of juridical personality. </w:t>
      </w:r>
    </w:p>
    <w:p w14:paraId="1F5B75C7" w14:textId="77777777" w:rsidR="00094C01" w:rsidRPr="00797250" w:rsidRDefault="00094C01" w:rsidP="00DE7840">
      <w:pPr>
        <w:spacing w:after="0" w:line="240" w:lineRule="auto"/>
        <w:ind w:left="708" w:right="-64"/>
        <w:jc w:val="both"/>
        <w:rPr>
          <w:rFonts w:ascii="Verdana" w:eastAsia="Times New Roman" w:hAnsi="Verdana" w:cs="Arial"/>
          <w:sz w:val="20"/>
          <w:szCs w:val="20"/>
          <w:lang w:val="en-US"/>
        </w:rPr>
      </w:pPr>
      <w:r w:rsidRPr="00797250">
        <w:rPr>
          <w:rFonts w:ascii="Verdana" w:eastAsia="Times New Roman" w:hAnsi="Verdana" w:cs="Arial"/>
          <w:sz w:val="20"/>
          <w:szCs w:val="20"/>
          <w:lang w:val="en-US"/>
        </w:rPr>
        <w:t xml:space="preserve">179. The Court considers that the failure to recognize juridical personality harms human dignity, because it denies absolutely an individual’s condition of being a subject of rights and renders him vulnerable to non-observance of his rights by the State or other individuals. </w:t>
      </w:r>
    </w:p>
    <w:p w14:paraId="234D9B56" w14:textId="77777777" w:rsidR="00094C01" w:rsidRPr="00797250" w:rsidRDefault="00094C01" w:rsidP="00DE7840">
      <w:pPr>
        <w:spacing w:after="0" w:line="240" w:lineRule="auto"/>
        <w:ind w:left="708" w:right="-64"/>
        <w:jc w:val="both"/>
        <w:rPr>
          <w:rFonts w:ascii="Verdana" w:eastAsia="Times New Roman" w:hAnsi="Verdana" w:cs="Arial"/>
          <w:sz w:val="20"/>
          <w:szCs w:val="20"/>
          <w:lang w:val="en-US"/>
        </w:rPr>
      </w:pPr>
    </w:p>
    <w:p w14:paraId="3DD1F60E" w14:textId="4AB03155" w:rsidR="005C53E0" w:rsidRPr="00797250" w:rsidRDefault="00094C01" w:rsidP="00DE7840">
      <w:pPr>
        <w:spacing w:after="0" w:line="240" w:lineRule="auto"/>
        <w:ind w:left="708" w:right="-64"/>
        <w:jc w:val="both"/>
        <w:rPr>
          <w:rFonts w:ascii="Verdana" w:hAnsi="Verdana"/>
          <w:sz w:val="20"/>
          <w:szCs w:val="20"/>
          <w:lang w:val="en-US"/>
        </w:rPr>
      </w:pPr>
      <w:r w:rsidRPr="00797250">
        <w:rPr>
          <w:rFonts w:ascii="Verdana" w:eastAsia="Times New Roman" w:hAnsi="Verdana" w:cs="Arial"/>
          <w:sz w:val="20"/>
          <w:szCs w:val="20"/>
          <w:lang w:val="en-US"/>
        </w:rPr>
        <w:t xml:space="preserve">180. In this specific case, the State maintained the Yean and Bosico children in a legal limbo in which, even though the children existed and were inserted into a </w:t>
      </w:r>
      <w:r w:rsidRPr="00797250">
        <w:rPr>
          <w:rFonts w:ascii="Verdana" w:eastAsia="Times New Roman" w:hAnsi="Verdana" w:cs="Arial"/>
          <w:sz w:val="20"/>
          <w:szCs w:val="20"/>
          <w:lang w:val="en-US"/>
        </w:rPr>
        <w:lastRenderedPageBreak/>
        <w:t xml:space="preserve">particular social context, their existence was not recognized </w:t>
      </w:r>
      <w:r w:rsidR="00A76963" w:rsidRPr="00797250">
        <w:rPr>
          <w:rFonts w:ascii="Verdana" w:eastAsia="Times New Roman" w:hAnsi="Verdana" w:cs="Arial"/>
          <w:sz w:val="20"/>
          <w:szCs w:val="20"/>
          <w:lang w:val="en-US"/>
        </w:rPr>
        <w:t>leg</w:t>
      </w:r>
      <w:r w:rsidRPr="00797250">
        <w:rPr>
          <w:rFonts w:ascii="Verdana" w:eastAsia="Times New Roman" w:hAnsi="Verdana" w:cs="Arial"/>
          <w:sz w:val="20"/>
          <w:szCs w:val="20"/>
          <w:lang w:val="en-US"/>
        </w:rPr>
        <w:t>ally; in other words they did not have juridical personality.</w:t>
      </w:r>
      <w:r w:rsidR="004941AC" w:rsidRPr="00797250">
        <w:rPr>
          <w:rStyle w:val="FootnoteReference"/>
          <w:rFonts w:ascii="Verdana" w:hAnsi="Verdana"/>
          <w:sz w:val="20"/>
          <w:szCs w:val="20"/>
          <w:lang w:val="en-US"/>
        </w:rPr>
        <w:footnoteReference w:id="2"/>
      </w:r>
    </w:p>
    <w:p w14:paraId="5600A28D" w14:textId="77777777" w:rsidR="007624ED" w:rsidRPr="002D0A21" w:rsidRDefault="007624ED" w:rsidP="007624ED">
      <w:pPr>
        <w:pStyle w:val="Estilo1"/>
        <w:numPr>
          <w:ilvl w:val="0"/>
          <w:numId w:val="0"/>
        </w:numPr>
        <w:spacing w:after="0"/>
        <w:ind w:left="708"/>
        <w:rPr>
          <w:rFonts w:ascii="Verdana" w:hAnsi="Verdana"/>
          <w:sz w:val="20"/>
          <w:szCs w:val="20"/>
          <w:lang w:val="en-US"/>
        </w:rPr>
      </w:pPr>
    </w:p>
    <w:p w14:paraId="3DD1F60F" w14:textId="0746DB01" w:rsidR="00B3687D" w:rsidRPr="002D0A21" w:rsidRDefault="00094C01" w:rsidP="007624ED">
      <w:pPr>
        <w:pStyle w:val="Estilo1"/>
        <w:spacing w:after="0"/>
        <w:rPr>
          <w:rFonts w:ascii="Verdana" w:hAnsi="Verdana"/>
          <w:sz w:val="20"/>
          <w:szCs w:val="20"/>
          <w:lang w:val="en-US"/>
        </w:rPr>
      </w:pPr>
      <w:r w:rsidRPr="002D0A21">
        <w:rPr>
          <w:rFonts w:ascii="Verdana" w:hAnsi="Verdana"/>
          <w:sz w:val="20"/>
          <w:szCs w:val="20"/>
          <w:lang w:val="en-US"/>
        </w:rPr>
        <w:t xml:space="preserve">The Court has also declared, with full justification, the violation of </w:t>
      </w:r>
      <w:r w:rsidR="00FA543D" w:rsidRPr="002D0A21">
        <w:rPr>
          <w:rFonts w:ascii="Verdana" w:hAnsi="Verdana"/>
          <w:sz w:val="20"/>
          <w:szCs w:val="20"/>
          <w:lang w:val="en-US"/>
        </w:rPr>
        <w:t>Article</w:t>
      </w:r>
      <w:r w:rsidR="000C3CEA" w:rsidRPr="002D0A21">
        <w:rPr>
          <w:rFonts w:ascii="Verdana" w:hAnsi="Verdana"/>
          <w:sz w:val="20"/>
          <w:szCs w:val="20"/>
          <w:lang w:val="en-US"/>
        </w:rPr>
        <w:t xml:space="preserve"> 3 </w:t>
      </w:r>
      <w:r w:rsidRPr="002D0A21">
        <w:rPr>
          <w:rFonts w:ascii="Verdana" w:hAnsi="Verdana"/>
          <w:sz w:val="20"/>
          <w:szCs w:val="20"/>
          <w:lang w:val="en-US"/>
        </w:rPr>
        <w:t>in cases of forced disappearance. In the case of</w:t>
      </w:r>
      <w:r w:rsidR="000334AE" w:rsidRPr="002D0A21">
        <w:rPr>
          <w:rFonts w:ascii="Verdana" w:hAnsi="Verdana"/>
          <w:sz w:val="20"/>
          <w:szCs w:val="20"/>
          <w:lang w:val="en-US"/>
        </w:rPr>
        <w:t xml:space="preserve"> </w:t>
      </w:r>
      <w:r w:rsidR="000334AE" w:rsidRPr="002D0A21">
        <w:rPr>
          <w:rFonts w:ascii="Verdana" w:hAnsi="Verdana"/>
          <w:i/>
          <w:sz w:val="20"/>
          <w:szCs w:val="20"/>
          <w:lang w:val="en-US"/>
        </w:rPr>
        <w:t xml:space="preserve">Anzualdo Castro v. </w:t>
      </w:r>
      <w:r w:rsidRPr="002D0A21">
        <w:rPr>
          <w:rFonts w:ascii="Verdana" w:hAnsi="Verdana"/>
          <w:i/>
          <w:sz w:val="20"/>
          <w:szCs w:val="20"/>
          <w:lang w:val="en-US"/>
        </w:rPr>
        <w:t>Peru</w:t>
      </w:r>
      <w:r w:rsidR="000334AE" w:rsidRPr="002D0A21">
        <w:rPr>
          <w:rFonts w:ascii="Verdana" w:hAnsi="Verdana"/>
          <w:sz w:val="20"/>
          <w:szCs w:val="20"/>
          <w:lang w:val="en-US"/>
        </w:rPr>
        <w:t xml:space="preserve">, </w:t>
      </w:r>
      <w:r w:rsidRPr="002D0A21">
        <w:rPr>
          <w:rFonts w:ascii="Verdana" w:hAnsi="Verdana"/>
          <w:sz w:val="20"/>
          <w:szCs w:val="20"/>
          <w:lang w:val="en-US"/>
        </w:rPr>
        <w:t xml:space="preserve">which was the first </w:t>
      </w:r>
      <w:r w:rsidR="00A76963">
        <w:rPr>
          <w:rFonts w:ascii="Verdana" w:hAnsi="Verdana"/>
          <w:sz w:val="20"/>
          <w:szCs w:val="20"/>
          <w:lang w:val="en-US"/>
        </w:rPr>
        <w:t>case</w:t>
      </w:r>
      <w:r w:rsidRPr="002D0A21">
        <w:rPr>
          <w:rFonts w:ascii="Verdana" w:hAnsi="Verdana"/>
          <w:sz w:val="20"/>
          <w:szCs w:val="20"/>
          <w:lang w:val="en-US"/>
        </w:rPr>
        <w:t xml:space="preserve"> in which it adopted this position, the Court explained the content and basis of </w:t>
      </w:r>
      <w:r w:rsidR="00FA543D" w:rsidRPr="002D0A21">
        <w:rPr>
          <w:rFonts w:ascii="Verdana" w:hAnsi="Verdana"/>
          <w:sz w:val="20"/>
          <w:szCs w:val="20"/>
          <w:lang w:val="en-US"/>
        </w:rPr>
        <w:t>Article</w:t>
      </w:r>
      <w:r w:rsidR="000C3CEA" w:rsidRPr="002D0A21">
        <w:rPr>
          <w:rFonts w:ascii="Verdana" w:hAnsi="Verdana"/>
          <w:sz w:val="20"/>
          <w:szCs w:val="20"/>
          <w:lang w:val="en-US"/>
        </w:rPr>
        <w:t xml:space="preserve"> 3</w:t>
      </w:r>
      <w:r w:rsidR="00FA543D" w:rsidRPr="002D0A21">
        <w:rPr>
          <w:rFonts w:ascii="Verdana" w:hAnsi="Verdana"/>
          <w:sz w:val="20"/>
          <w:szCs w:val="20"/>
          <w:lang w:val="en-US"/>
        </w:rPr>
        <w:t xml:space="preserve"> and </w:t>
      </w:r>
      <w:r w:rsidRPr="002D0A21">
        <w:rPr>
          <w:rFonts w:ascii="Verdana" w:hAnsi="Verdana"/>
          <w:sz w:val="20"/>
          <w:szCs w:val="20"/>
          <w:lang w:val="en-US"/>
        </w:rPr>
        <w:t>explained the reasons for its application to such cases</w:t>
      </w:r>
      <w:r w:rsidR="000C3CEA" w:rsidRPr="002D0A21">
        <w:rPr>
          <w:rFonts w:ascii="Verdana" w:hAnsi="Verdana"/>
          <w:sz w:val="20"/>
          <w:szCs w:val="20"/>
          <w:lang w:val="en-US"/>
        </w:rPr>
        <w:t>:</w:t>
      </w:r>
    </w:p>
    <w:p w14:paraId="026615C1" w14:textId="48A7CEAF" w:rsidR="00120E2D" w:rsidRPr="002D0A21" w:rsidRDefault="00120E2D" w:rsidP="000218C2">
      <w:pPr>
        <w:spacing w:after="0" w:line="240" w:lineRule="auto"/>
        <w:jc w:val="both"/>
        <w:rPr>
          <w:rFonts w:ascii="Verdana" w:hAnsi="Verdana" w:cs="Times New Roman"/>
          <w:sz w:val="20"/>
          <w:szCs w:val="20"/>
          <w:lang w:val="en-US"/>
        </w:rPr>
      </w:pPr>
    </w:p>
    <w:p w14:paraId="11E56E23" w14:textId="6EA4FEE7" w:rsidR="00120E2D" w:rsidRPr="002D0A21" w:rsidRDefault="00120E2D" w:rsidP="00E76C57">
      <w:pPr>
        <w:spacing w:after="0" w:line="240" w:lineRule="auto"/>
        <w:ind w:left="708" w:right="26"/>
        <w:jc w:val="both"/>
        <w:rPr>
          <w:rFonts w:ascii="Verdana" w:eastAsia="Times New Roman" w:hAnsi="Verdana" w:cs="Arial"/>
          <w:sz w:val="20"/>
          <w:szCs w:val="20"/>
          <w:lang w:val="en-US"/>
        </w:rPr>
      </w:pPr>
      <w:r w:rsidRPr="002D0A21">
        <w:rPr>
          <w:rFonts w:ascii="Verdana" w:eastAsia="Times New Roman" w:hAnsi="Verdana" w:cs="Arial"/>
          <w:sz w:val="20"/>
          <w:szCs w:val="20"/>
          <w:lang w:val="en-US"/>
        </w:rPr>
        <w:t xml:space="preserve">87.  As to the alleged violation of Article 3 of the Convention </w:t>
      </w:r>
      <w:r w:rsidRPr="002D0A21">
        <w:rPr>
          <w:rFonts w:ascii="Verdana" w:hAnsi="Verdana" w:cs="Times New Roman"/>
          <w:sz w:val="20"/>
          <w:szCs w:val="20"/>
          <w:lang w:val="en-US"/>
        </w:rPr>
        <w:t>(</w:t>
      </w:r>
      <w:r w:rsidRPr="002D0A21">
        <w:rPr>
          <w:rFonts w:ascii="Verdana" w:hAnsi="Verdana" w:cs="Times New Roman"/>
          <w:i/>
          <w:sz w:val="20"/>
          <w:szCs w:val="20"/>
          <w:lang w:val="en-US"/>
        </w:rPr>
        <w:t>supra</w:t>
      </w:r>
      <w:r w:rsidRPr="002D0A21">
        <w:rPr>
          <w:rFonts w:ascii="Verdana" w:hAnsi="Verdana" w:cs="Times New Roman"/>
          <w:sz w:val="20"/>
          <w:szCs w:val="20"/>
          <w:lang w:val="en-US"/>
        </w:rPr>
        <w:t xml:space="preserve"> paras. 56 and 57),</w:t>
      </w:r>
      <w:r w:rsidRPr="002D0A21">
        <w:rPr>
          <w:rFonts w:ascii="Verdana" w:eastAsia="Times New Roman" w:hAnsi="Verdana" w:cs="Arial"/>
          <w:sz w:val="20"/>
          <w:szCs w:val="20"/>
          <w:lang w:val="en-US"/>
        </w:rPr>
        <w:t xml:space="preserve"> the Court has noted that the content itself of the right to juridical personality is that every person has the right to be recognized everywhere as a person having rights and obligations, and to enjoy the basic civil rights [which] implies the capacity to be the holder of rights (capacity and exercise) and obligations; the violation of this recognition presumes an absolute disavowal of the possibility of being a holder of [the</w:t>
      </w:r>
      <w:r w:rsidR="00515B0D">
        <w:rPr>
          <w:rFonts w:ascii="Verdana" w:eastAsia="Times New Roman" w:hAnsi="Verdana" w:cs="Arial"/>
          <w:sz w:val="20"/>
          <w:szCs w:val="20"/>
          <w:lang w:val="en-US"/>
        </w:rPr>
        <w:t xml:space="preserve">] </w:t>
      </w:r>
      <w:r w:rsidRPr="002D0A21">
        <w:rPr>
          <w:rFonts w:ascii="Verdana" w:eastAsia="Times New Roman" w:hAnsi="Verdana" w:cs="Arial"/>
          <w:sz w:val="20"/>
          <w:szCs w:val="20"/>
          <w:lang w:val="en-US"/>
        </w:rPr>
        <w:t>rights and obligations</w:t>
      </w:r>
      <w:r w:rsidR="00515B0D">
        <w:rPr>
          <w:rFonts w:ascii="Verdana" w:eastAsia="Times New Roman" w:hAnsi="Verdana" w:cs="Arial"/>
          <w:sz w:val="20"/>
          <w:szCs w:val="20"/>
          <w:lang w:val="en-US"/>
        </w:rPr>
        <w:t xml:space="preserve"> </w:t>
      </w:r>
      <w:r w:rsidR="0056707E">
        <w:rPr>
          <w:rFonts w:ascii="Verdana" w:eastAsia="Times New Roman" w:hAnsi="Verdana" w:cs="Arial"/>
          <w:sz w:val="20"/>
          <w:szCs w:val="20"/>
          <w:lang w:val="en-US"/>
        </w:rPr>
        <w:t>[the civil and basic]</w:t>
      </w:r>
      <w:r w:rsidRPr="002D0A21">
        <w:rPr>
          <w:rFonts w:ascii="Verdana" w:eastAsia="Times New Roman" w:hAnsi="Verdana" w:cs="Arial"/>
          <w:sz w:val="20"/>
          <w:szCs w:val="20"/>
          <w:lang w:val="en-US"/>
        </w:rPr>
        <w:t>.</w:t>
      </w:r>
    </w:p>
    <w:p w14:paraId="29BEE5B8" w14:textId="77777777" w:rsidR="00120E2D" w:rsidRPr="002D0A21" w:rsidRDefault="00120E2D" w:rsidP="00E76C57">
      <w:pPr>
        <w:spacing w:after="0" w:line="240" w:lineRule="auto"/>
        <w:ind w:left="708" w:right="26"/>
        <w:jc w:val="both"/>
        <w:rPr>
          <w:rFonts w:ascii="Verdana" w:eastAsia="Times New Roman" w:hAnsi="Verdana" w:cs="Arial"/>
          <w:sz w:val="20"/>
          <w:szCs w:val="20"/>
          <w:lang w:val="en-US"/>
        </w:rPr>
      </w:pPr>
    </w:p>
    <w:p w14:paraId="1B7F95BE" w14:textId="0BB16EC6" w:rsidR="00120E2D" w:rsidRPr="002D0A21" w:rsidRDefault="00120E2D" w:rsidP="00E76C57">
      <w:pPr>
        <w:spacing w:after="0" w:line="240" w:lineRule="auto"/>
        <w:ind w:left="708" w:right="26"/>
        <w:jc w:val="both"/>
        <w:rPr>
          <w:rFonts w:ascii="Verdana" w:eastAsia="Times New Roman" w:hAnsi="Verdana" w:cs="Arial"/>
          <w:sz w:val="20"/>
          <w:szCs w:val="20"/>
          <w:lang w:val="en-US"/>
        </w:rPr>
      </w:pPr>
      <w:r w:rsidRPr="002D0A21">
        <w:rPr>
          <w:rFonts w:ascii="Verdana" w:eastAsia="Times New Roman" w:hAnsi="Verdana" w:cs="Arial"/>
          <w:sz w:val="20"/>
          <w:szCs w:val="20"/>
          <w:lang w:val="en-US"/>
        </w:rPr>
        <w:t xml:space="preserve">88. This right represents a parameter to determine whether a person is entitled to any given rights and whether </w:t>
      </w:r>
      <w:r w:rsidR="00A76963">
        <w:rPr>
          <w:rFonts w:ascii="Verdana" w:eastAsia="Times New Roman" w:hAnsi="Verdana" w:cs="Arial"/>
          <w:sz w:val="20"/>
          <w:szCs w:val="20"/>
          <w:lang w:val="en-US"/>
        </w:rPr>
        <w:t>that</w:t>
      </w:r>
      <w:r w:rsidRPr="002D0A21">
        <w:rPr>
          <w:rFonts w:ascii="Verdana" w:eastAsia="Times New Roman" w:hAnsi="Verdana" w:cs="Arial"/>
          <w:sz w:val="20"/>
          <w:szCs w:val="20"/>
          <w:lang w:val="en-US"/>
        </w:rPr>
        <w:t xml:space="preserve"> person can enforce such rights, therefore, the failure to recognize </w:t>
      </w:r>
      <w:r w:rsidR="00A76963">
        <w:rPr>
          <w:rFonts w:ascii="Verdana" w:eastAsia="Times New Roman" w:hAnsi="Verdana" w:cs="Arial"/>
          <w:sz w:val="20"/>
          <w:szCs w:val="20"/>
          <w:lang w:val="en-US"/>
        </w:rPr>
        <w:t xml:space="preserve">juridical personality </w:t>
      </w:r>
      <w:r w:rsidRPr="002D0A21">
        <w:rPr>
          <w:rFonts w:ascii="Verdana" w:eastAsia="Times New Roman" w:hAnsi="Verdana" w:cs="Arial"/>
          <w:sz w:val="20"/>
          <w:szCs w:val="20"/>
          <w:lang w:val="en-US"/>
        </w:rPr>
        <w:t xml:space="preserve">places the person in a vulnerable position in relation to the State or third parties. </w:t>
      </w:r>
      <w:r w:rsidR="00A76963">
        <w:rPr>
          <w:rFonts w:ascii="Verdana" w:eastAsia="Times New Roman" w:hAnsi="Verdana" w:cs="Arial"/>
          <w:sz w:val="20"/>
          <w:szCs w:val="20"/>
          <w:lang w:val="en-US"/>
        </w:rPr>
        <w:t>Thus</w:t>
      </w:r>
      <w:r w:rsidRPr="002D0A21">
        <w:rPr>
          <w:rFonts w:ascii="Verdana" w:eastAsia="Times New Roman" w:hAnsi="Verdana" w:cs="Arial"/>
          <w:sz w:val="20"/>
          <w:szCs w:val="20"/>
          <w:lang w:val="en-US"/>
        </w:rPr>
        <w:t xml:space="preserve">, the content of the right to juridical personality refers to </w:t>
      </w:r>
      <w:r w:rsidR="00A76963">
        <w:rPr>
          <w:rFonts w:ascii="Verdana" w:eastAsia="Times New Roman" w:hAnsi="Verdana" w:cs="Arial"/>
          <w:sz w:val="20"/>
          <w:szCs w:val="20"/>
          <w:lang w:val="en-US"/>
        </w:rPr>
        <w:t>the corresponding</w:t>
      </w:r>
      <w:r w:rsidRPr="002D0A21">
        <w:rPr>
          <w:rFonts w:ascii="Verdana" w:eastAsia="Times New Roman" w:hAnsi="Verdana" w:cs="Arial"/>
          <w:sz w:val="20"/>
          <w:szCs w:val="20"/>
          <w:lang w:val="en-US"/>
        </w:rPr>
        <w:t xml:space="preserve"> general </w:t>
      </w:r>
      <w:r w:rsidR="00A76963">
        <w:rPr>
          <w:rFonts w:ascii="Verdana" w:eastAsia="Times New Roman" w:hAnsi="Verdana" w:cs="Arial"/>
          <w:sz w:val="20"/>
          <w:szCs w:val="20"/>
          <w:lang w:val="en-US"/>
        </w:rPr>
        <w:t>obligation</w:t>
      </w:r>
      <w:r w:rsidRPr="002D0A21">
        <w:rPr>
          <w:rFonts w:ascii="Verdana" w:eastAsia="Times New Roman" w:hAnsi="Verdana" w:cs="Arial"/>
          <w:sz w:val="20"/>
          <w:szCs w:val="20"/>
          <w:lang w:val="en-US"/>
        </w:rPr>
        <w:t xml:space="preserve"> of the State to provide the means and general </w:t>
      </w:r>
      <w:r w:rsidR="00A76963">
        <w:rPr>
          <w:rFonts w:ascii="Verdana" w:eastAsia="Times New Roman" w:hAnsi="Verdana" w:cs="Arial"/>
          <w:sz w:val="20"/>
          <w:szCs w:val="20"/>
          <w:lang w:val="en-US"/>
        </w:rPr>
        <w:t>legal</w:t>
      </w:r>
      <w:r w:rsidRPr="002D0A21">
        <w:rPr>
          <w:rFonts w:ascii="Verdana" w:eastAsia="Times New Roman" w:hAnsi="Verdana" w:cs="Arial"/>
          <w:sz w:val="20"/>
          <w:szCs w:val="20"/>
          <w:lang w:val="en-US"/>
        </w:rPr>
        <w:t xml:space="preserve"> conditions necessary to guarantee each person the free and full enjoyment of the right to the recognition of his or her juridical personality.</w:t>
      </w:r>
      <w:r w:rsidR="00A76963">
        <w:rPr>
          <w:rFonts w:ascii="Verdana" w:eastAsia="Times New Roman" w:hAnsi="Verdana" w:cs="Arial"/>
          <w:sz w:val="20"/>
          <w:szCs w:val="20"/>
          <w:lang w:val="en-US"/>
        </w:rPr>
        <w:t xml:space="preserve"> </w:t>
      </w:r>
    </w:p>
    <w:p w14:paraId="08A061F5" w14:textId="77777777" w:rsidR="00120E2D" w:rsidRPr="002D0A21" w:rsidRDefault="00120E2D" w:rsidP="00E76C57">
      <w:pPr>
        <w:spacing w:after="0" w:line="240" w:lineRule="auto"/>
        <w:ind w:right="26"/>
        <w:jc w:val="both"/>
        <w:rPr>
          <w:rFonts w:ascii="Verdana" w:eastAsia="Times New Roman" w:hAnsi="Verdana" w:cs="Arial"/>
          <w:sz w:val="20"/>
          <w:szCs w:val="20"/>
          <w:lang w:val="en-US"/>
        </w:rPr>
      </w:pPr>
    </w:p>
    <w:p w14:paraId="6D05C341" w14:textId="3A3919DB" w:rsidR="00120E2D" w:rsidRPr="002D0A21" w:rsidRDefault="00120E2D" w:rsidP="00E76C57">
      <w:pPr>
        <w:spacing w:after="0" w:line="240" w:lineRule="auto"/>
        <w:ind w:left="708" w:right="26"/>
        <w:jc w:val="both"/>
        <w:rPr>
          <w:rFonts w:ascii="Verdana" w:eastAsia="Times New Roman" w:hAnsi="Verdana" w:cs="Arial"/>
          <w:sz w:val="20"/>
          <w:szCs w:val="20"/>
          <w:lang w:val="en-US"/>
        </w:rPr>
      </w:pPr>
      <w:r w:rsidRPr="002D0A21">
        <w:rPr>
          <w:rFonts w:ascii="Verdana" w:eastAsia="Times New Roman" w:hAnsi="Verdana" w:cs="Arial"/>
          <w:sz w:val="20"/>
          <w:szCs w:val="20"/>
          <w:lang w:val="en-US"/>
        </w:rPr>
        <w:t xml:space="preserve">89. However, pursuant to the principle </w:t>
      </w:r>
      <w:r w:rsidR="00A76963">
        <w:rPr>
          <w:rFonts w:ascii="Verdana" w:eastAsia="Times New Roman" w:hAnsi="Verdana" w:cs="Arial"/>
          <w:sz w:val="20"/>
          <w:szCs w:val="20"/>
          <w:lang w:val="en-US"/>
        </w:rPr>
        <w:t>of effectiveness and the need for</w:t>
      </w:r>
      <w:r w:rsidRPr="002D0A21">
        <w:rPr>
          <w:rFonts w:ascii="Verdana" w:eastAsia="Times New Roman" w:hAnsi="Verdana" w:cs="Arial"/>
          <w:sz w:val="20"/>
          <w:szCs w:val="20"/>
          <w:lang w:val="en-US"/>
        </w:rPr>
        <w:t xml:space="preserve"> protection in cases of people and groups in </w:t>
      </w:r>
      <w:r w:rsidR="00A76963">
        <w:rPr>
          <w:rFonts w:ascii="Verdana" w:eastAsia="Times New Roman" w:hAnsi="Verdana" w:cs="Arial"/>
          <w:sz w:val="20"/>
          <w:szCs w:val="20"/>
          <w:lang w:val="en-US"/>
        </w:rPr>
        <w:t>a vulnerable situation</w:t>
      </w:r>
      <w:r w:rsidRPr="002D0A21">
        <w:rPr>
          <w:rFonts w:ascii="Verdana" w:eastAsia="Times New Roman" w:hAnsi="Verdana" w:cs="Arial"/>
          <w:sz w:val="20"/>
          <w:szCs w:val="20"/>
          <w:lang w:val="en-US"/>
        </w:rPr>
        <w:t xml:space="preserve">, this Court has observed the broader legal content of this right, by considering that the State “is bound to guarantee to those persons in situations of vulnerability, exclusion and discrimination, the legal and administrative conditions that may secure for them the exercise of such right, pursuant to the principle of equality under the law.” […] </w:t>
      </w:r>
    </w:p>
    <w:p w14:paraId="6A9F46BE" w14:textId="77777777" w:rsidR="00120E2D" w:rsidRPr="002D0A21" w:rsidRDefault="00120E2D" w:rsidP="00E76C57">
      <w:pPr>
        <w:spacing w:after="0" w:line="240" w:lineRule="auto"/>
        <w:ind w:left="708" w:right="26"/>
        <w:jc w:val="both"/>
        <w:rPr>
          <w:rFonts w:ascii="Verdana" w:eastAsia="Times New Roman" w:hAnsi="Verdana" w:cs="Arial"/>
          <w:sz w:val="20"/>
          <w:szCs w:val="20"/>
          <w:lang w:val="en-US"/>
        </w:rPr>
      </w:pPr>
    </w:p>
    <w:p w14:paraId="24BF3CF3" w14:textId="390982E1" w:rsidR="00120E2D" w:rsidRPr="002D0A21" w:rsidRDefault="00120E2D" w:rsidP="00E76C57">
      <w:pPr>
        <w:spacing w:after="0" w:line="240" w:lineRule="auto"/>
        <w:ind w:left="708" w:right="26"/>
        <w:jc w:val="both"/>
        <w:rPr>
          <w:rFonts w:ascii="Verdana" w:eastAsia="Times New Roman" w:hAnsi="Verdana" w:cs="Arial"/>
          <w:sz w:val="20"/>
          <w:szCs w:val="20"/>
          <w:lang w:val="en-US"/>
        </w:rPr>
      </w:pPr>
      <w:r w:rsidRPr="002D0A21">
        <w:rPr>
          <w:rFonts w:ascii="Verdana" w:eastAsia="Times New Roman" w:hAnsi="Verdana" w:cs="Arial"/>
          <w:sz w:val="20"/>
          <w:szCs w:val="20"/>
          <w:lang w:val="en-US"/>
        </w:rPr>
        <w:t>90. Certainly, case law has developed the legal content of [the right to recognition of physical personality</w:t>
      </w:r>
      <w:r w:rsidR="0056707E">
        <w:rPr>
          <w:rFonts w:ascii="Verdana" w:eastAsia="Times New Roman" w:hAnsi="Verdana" w:cs="Arial"/>
          <w:sz w:val="20"/>
          <w:szCs w:val="20"/>
          <w:lang w:val="en-US"/>
        </w:rPr>
        <w:t xml:space="preserve"> </w:t>
      </w:r>
      <w:r w:rsidRPr="002D0A21">
        <w:rPr>
          <w:rFonts w:ascii="Verdana" w:eastAsia="Times New Roman" w:hAnsi="Verdana" w:cs="Arial"/>
          <w:sz w:val="20"/>
          <w:szCs w:val="20"/>
          <w:lang w:val="en-US"/>
        </w:rPr>
        <w:t xml:space="preserve">of every human being] in cases involving human rights violations other than forced disappearance of persons, because, in most </w:t>
      </w:r>
      <w:r w:rsidR="00A76963">
        <w:rPr>
          <w:rFonts w:ascii="Verdana" w:eastAsia="Times New Roman" w:hAnsi="Verdana" w:cs="Arial"/>
          <w:sz w:val="20"/>
          <w:szCs w:val="20"/>
          <w:lang w:val="en-US"/>
        </w:rPr>
        <w:t xml:space="preserve">cases </w:t>
      </w:r>
      <w:r w:rsidRPr="002D0A21">
        <w:rPr>
          <w:rFonts w:ascii="Verdana" w:eastAsia="Times New Roman" w:hAnsi="Verdana" w:cs="Arial"/>
          <w:sz w:val="20"/>
          <w:szCs w:val="20"/>
          <w:lang w:val="en-US"/>
        </w:rPr>
        <w:t>of this type, the Court has found that it was not necessary to analyze the violation of Article 3 of the Convention, since there were no facts that warranted this. Nevertheless</w:t>
      </w:r>
      <w:r w:rsidRPr="002D0A21">
        <w:rPr>
          <w:rFonts w:ascii="Verdana" w:eastAsia="Times New Roman" w:hAnsi="Verdana" w:cs="Arial"/>
          <w:i/>
          <w:sz w:val="20"/>
          <w:szCs w:val="20"/>
          <w:lang w:val="en-US"/>
        </w:rPr>
        <w:t>, in view of the multiple and complex nature of this serious human right</w:t>
      </w:r>
      <w:r w:rsidR="00A76963">
        <w:rPr>
          <w:rFonts w:ascii="Verdana" w:eastAsia="Times New Roman" w:hAnsi="Verdana" w:cs="Arial"/>
          <w:i/>
          <w:sz w:val="20"/>
          <w:szCs w:val="20"/>
          <w:lang w:val="en-US"/>
        </w:rPr>
        <w:t>s</w:t>
      </w:r>
      <w:r w:rsidRPr="002D0A21">
        <w:rPr>
          <w:rFonts w:ascii="Verdana" w:eastAsia="Times New Roman" w:hAnsi="Verdana" w:cs="Arial"/>
          <w:i/>
          <w:sz w:val="20"/>
          <w:szCs w:val="20"/>
          <w:lang w:val="en-US"/>
        </w:rPr>
        <w:t xml:space="preserve"> violation, the Court reconsiders its previous position and deems it possible that, in this type of case, forced disappearance may entail a specific violation of the said right: </w:t>
      </w:r>
      <w:r w:rsidR="00945716" w:rsidRPr="002D0A21">
        <w:rPr>
          <w:rFonts w:ascii="Verdana" w:eastAsia="Times New Roman" w:hAnsi="Verdana" w:cs="Arial"/>
          <w:i/>
          <w:sz w:val="20"/>
          <w:szCs w:val="20"/>
          <w:lang w:val="en-US"/>
        </w:rPr>
        <w:t>in addition to</w:t>
      </w:r>
      <w:r w:rsidRPr="002D0A21">
        <w:rPr>
          <w:rFonts w:ascii="Verdana" w:eastAsia="Times New Roman" w:hAnsi="Verdana" w:cs="Arial"/>
          <w:i/>
          <w:sz w:val="20"/>
          <w:szCs w:val="20"/>
          <w:lang w:val="en-US"/>
        </w:rPr>
        <w:t xml:space="preserve"> the fact that the disappeared person can no longer exercise and enjoy other rights, and eventually all the rights to which he is entitled, his disappearance </w:t>
      </w:r>
      <w:r w:rsidR="00945716" w:rsidRPr="002D0A21">
        <w:rPr>
          <w:rFonts w:ascii="Verdana" w:eastAsia="Times New Roman" w:hAnsi="Verdana" w:cs="Arial"/>
          <w:i/>
          <w:sz w:val="20"/>
          <w:szCs w:val="20"/>
          <w:lang w:val="en-US"/>
        </w:rPr>
        <w:t>seeks</w:t>
      </w:r>
      <w:r w:rsidRPr="002D0A21">
        <w:rPr>
          <w:rFonts w:ascii="Verdana" w:eastAsia="Times New Roman" w:hAnsi="Verdana" w:cs="Arial"/>
          <w:i/>
          <w:sz w:val="20"/>
          <w:szCs w:val="20"/>
          <w:lang w:val="en-US"/>
        </w:rPr>
        <w:t xml:space="preserve"> not only one of the most serious forms of placing the person outside the protection of the law</w:t>
      </w:r>
      <w:r w:rsidR="00945716" w:rsidRPr="002D0A21">
        <w:rPr>
          <w:rFonts w:ascii="Verdana" w:eastAsia="Times New Roman" w:hAnsi="Verdana" w:cs="Arial"/>
          <w:i/>
          <w:sz w:val="20"/>
          <w:szCs w:val="20"/>
          <w:lang w:val="en-US"/>
        </w:rPr>
        <w:t>,</w:t>
      </w:r>
      <w:r w:rsidRPr="002D0A21">
        <w:rPr>
          <w:rFonts w:ascii="Verdana" w:eastAsia="Times New Roman" w:hAnsi="Verdana" w:cs="Arial"/>
          <w:i/>
          <w:sz w:val="20"/>
          <w:szCs w:val="20"/>
          <w:lang w:val="en-US"/>
        </w:rPr>
        <w:t xml:space="preserve"> </w:t>
      </w:r>
      <w:r w:rsidR="00945716" w:rsidRPr="002D0A21">
        <w:rPr>
          <w:rFonts w:ascii="Verdana" w:eastAsia="Times New Roman" w:hAnsi="Verdana" w:cs="Arial"/>
          <w:i/>
          <w:sz w:val="20"/>
          <w:szCs w:val="20"/>
          <w:lang w:val="en-US"/>
        </w:rPr>
        <w:t>but also denies</w:t>
      </w:r>
      <w:r w:rsidRPr="002D0A21">
        <w:rPr>
          <w:rFonts w:ascii="Verdana" w:eastAsia="Times New Roman" w:hAnsi="Verdana" w:cs="Arial"/>
          <w:i/>
          <w:sz w:val="20"/>
          <w:szCs w:val="20"/>
          <w:lang w:val="en-US"/>
        </w:rPr>
        <w:t xml:space="preserve"> that person's existence and </w:t>
      </w:r>
      <w:r w:rsidR="00945716" w:rsidRPr="002D0A21">
        <w:rPr>
          <w:rFonts w:ascii="Verdana" w:eastAsia="Times New Roman" w:hAnsi="Verdana" w:cs="Arial"/>
          <w:i/>
          <w:sz w:val="20"/>
          <w:szCs w:val="20"/>
          <w:lang w:val="en-US"/>
        </w:rPr>
        <w:t>leaves</w:t>
      </w:r>
      <w:r w:rsidRPr="002D0A21">
        <w:rPr>
          <w:rFonts w:ascii="Verdana" w:eastAsia="Times New Roman" w:hAnsi="Verdana" w:cs="Arial"/>
          <w:i/>
          <w:sz w:val="20"/>
          <w:szCs w:val="20"/>
          <w:lang w:val="en-US"/>
        </w:rPr>
        <w:t xml:space="preserve"> him in a kind of limbo or u</w:t>
      </w:r>
      <w:r w:rsidR="00945716" w:rsidRPr="002D0A21">
        <w:rPr>
          <w:rFonts w:ascii="Verdana" w:eastAsia="Times New Roman" w:hAnsi="Verdana" w:cs="Arial"/>
          <w:i/>
          <w:sz w:val="20"/>
          <w:szCs w:val="20"/>
          <w:lang w:val="en-US"/>
        </w:rPr>
        <w:t>ncertain legal situation before</w:t>
      </w:r>
      <w:r w:rsidRPr="002D0A21">
        <w:rPr>
          <w:rFonts w:ascii="Verdana" w:eastAsia="Times New Roman" w:hAnsi="Verdana" w:cs="Arial"/>
          <w:i/>
          <w:sz w:val="20"/>
          <w:szCs w:val="20"/>
          <w:lang w:val="en-US"/>
        </w:rPr>
        <w:t xml:space="preserve"> society, the State</w:t>
      </w:r>
      <w:r w:rsidR="00945716" w:rsidRPr="002D0A21">
        <w:rPr>
          <w:rFonts w:ascii="Verdana" w:eastAsia="Times New Roman" w:hAnsi="Verdana" w:cs="Arial"/>
          <w:i/>
          <w:sz w:val="20"/>
          <w:szCs w:val="20"/>
          <w:lang w:val="en-US"/>
        </w:rPr>
        <w:t>,</w:t>
      </w:r>
      <w:r w:rsidRPr="002D0A21">
        <w:rPr>
          <w:rFonts w:ascii="Verdana" w:eastAsia="Times New Roman" w:hAnsi="Verdana" w:cs="Arial"/>
          <w:i/>
          <w:sz w:val="20"/>
          <w:szCs w:val="20"/>
          <w:lang w:val="en-US"/>
        </w:rPr>
        <w:t xml:space="preserve"> and even the international community</w:t>
      </w:r>
      <w:r w:rsidRPr="002D0A21">
        <w:rPr>
          <w:rFonts w:ascii="Verdana" w:eastAsia="Times New Roman" w:hAnsi="Verdana" w:cs="Arial"/>
          <w:sz w:val="20"/>
          <w:szCs w:val="20"/>
          <w:lang w:val="en-US"/>
        </w:rPr>
        <w:t>.</w:t>
      </w:r>
    </w:p>
    <w:p w14:paraId="77CF8FDC" w14:textId="77777777" w:rsidR="007624ED" w:rsidRPr="002D0A21" w:rsidRDefault="007624ED" w:rsidP="00E76C57">
      <w:pPr>
        <w:tabs>
          <w:tab w:val="left" w:pos="1418"/>
        </w:tabs>
        <w:spacing w:after="0" w:line="240" w:lineRule="auto"/>
        <w:ind w:left="708" w:right="26"/>
        <w:jc w:val="both"/>
        <w:rPr>
          <w:rFonts w:ascii="Verdana" w:hAnsi="Verdana" w:cs="Times New Roman"/>
          <w:i/>
          <w:sz w:val="20"/>
          <w:szCs w:val="20"/>
          <w:lang w:val="en-US"/>
        </w:rPr>
      </w:pPr>
    </w:p>
    <w:p w14:paraId="25C28AFA" w14:textId="1B33510C" w:rsidR="00120E2D" w:rsidRPr="002D0A21" w:rsidRDefault="00120E2D" w:rsidP="00E76C57">
      <w:pPr>
        <w:spacing w:after="0" w:line="240" w:lineRule="auto"/>
        <w:ind w:left="708" w:right="26"/>
        <w:jc w:val="both"/>
        <w:rPr>
          <w:rFonts w:ascii="Verdana" w:hAnsi="Verdana" w:cs="Times New Roman"/>
          <w:sz w:val="20"/>
          <w:szCs w:val="20"/>
          <w:lang w:val="en-US"/>
        </w:rPr>
      </w:pPr>
      <w:r w:rsidRPr="002D0A21">
        <w:rPr>
          <w:rFonts w:ascii="Verdana" w:eastAsia="Times New Roman" w:hAnsi="Verdana" w:cs="Arial"/>
          <w:sz w:val="20"/>
          <w:szCs w:val="20"/>
          <w:lang w:val="en-US"/>
        </w:rPr>
        <w:t xml:space="preserve">91. </w:t>
      </w:r>
      <w:r w:rsidR="00945716" w:rsidRPr="002D0A21">
        <w:rPr>
          <w:rFonts w:ascii="Verdana" w:eastAsia="Times New Roman" w:hAnsi="Verdana" w:cs="Arial"/>
          <w:sz w:val="20"/>
          <w:szCs w:val="20"/>
          <w:lang w:val="en-US"/>
        </w:rPr>
        <w:t>Thus</w:t>
      </w:r>
      <w:r w:rsidRPr="002D0A21">
        <w:rPr>
          <w:rFonts w:ascii="Verdana" w:eastAsia="Times New Roman" w:hAnsi="Verdana" w:cs="Arial"/>
          <w:sz w:val="20"/>
          <w:szCs w:val="20"/>
          <w:lang w:val="en-US"/>
        </w:rPr>
        <w:t xml:space="preserve">, the Court bears in mind that one of the characteristics of forced disappearance, </w:t>
      </w:r>
      <w:r w:rsidR="00945716" w:rsidRPr="002D0A21">
        <w:rPr>
          <w:rFonts w:ascii="Verdana" w:eastAsia="Times New Roman" w:hAnsi="Verdana" w:cs="Arial"/>
          <w:sz w:val="20"/>
          <w:szCs w:val="20"/>
          <w:lang w:val="en-US"/>
        </w:rPr>
        <w:t>contrary</w:t>
      </w:r>
      <w:r w:rsidRPr="002D0A21">
        <w:rPr>
          <w:rFonts w:ascii="Verdana" w:eastAsia="Times New Roman" w:hAnsi="Verdana" w:cs="Arial"/>
          <w:sz w:val="20"/>
          <w:szCs w:val="20"/>
          <w:lang w:val="en-US"/>
        </w:rPr>
        <w:t xml:space="preserve"> to extra</w:t>
      </w:r>
      <w:r w:rsidR="00945716" w:rsidRPr="002D0A21">
        <w:rPr>
          <w:rFonts w:ascii="Verdana" w:eastAsia="Times New Roman" w:hAnsi="Verdana" w:cs="Arial"/>
          <w:sz w:val="20"/>
          <w:szCs w:val="20"/>
          <w:lang w:val="en-US"/>
        </w:rPr>
        <w:t>judicial</w:t>
      </w:r>
      <w:r w:rsidR="00A76963">
        <w:rPr>
          <w:rFonts w:ascii="Verdana" w:eastAsia="Times New Roman" w:hAnsi="Verdana" w:cs="Arial"/>
          <w:sz w:val="20"/>
          <w:szCs w:val="20"/>
          <w:lang w:val="en-US"/>
        </w:rPr>
        <w:t xml:space="preserve"> execution</w:t>
      </w:r>
      <w:r w:rsidRPr="002D0A21">
        <w:rPr>
          <w:rFonts w:ascii="Verdana" w:eastAsia="Times New Roman" w:hAnsi="Verdana" w:cs="Arial"/>
          <w:sz w:val="20"/>
          <w:szCs w:val="20"/>
          <w:lang w:val="en-US"/>
        </w:rPr>
        <w:t xml:space="preserve">, is that it </w:t>
      </w:r>
      <w:r w:rsidR="00945716" w:rsidRPr="002D0A21">
        <w:rPr>
          <w:rFonts w:ascii="Verdana" w:eastAsia="Times New Roman" w:hAnsi="Verdana" w:cs="Arial"/>
          <w:sz w:val="20"/>
          <w:szCs w:val="20"/>
          <w:lang w:val="en-US"/>
        </w:rPr>
        <w:t>entails</w:t>
      </w:r>
      <w:r w:rsidRPr="002D0A21">
        <w:rPr>
          <w:rFonts w:ascii="Verdana" w:eastAsia="Times New Roman" w:hAnsi="Verdana" w:cs="Arial"/>
          <w:sz w:val="20"/>
          <w:szCs w:val="20"/>
          <w:lang w:val="en-US"/>
        </w:rPr>
        <w:t xml:space="preserve"> the State’s </w:t>
      </w:r>
      <w:r w:rsidRPr="002D0A21">
        <w:rPr>
          <w:rFonts w:ascii="Verdana" w:eastAsia="Times New Roman" w:hAnsi="Verdana" w:cs="Arial"/>
          <w:sz w:val="20"/>
          <w:szCs w:val="20"/>
          <w:lang w:val="en-US"/>
        </w:rPr>
        <w:lastRenderedPageBreak/>
        <w:t xml:space="preserve">refusal to acknowledge that the victim is </w:t>
      </w:r>
      <w:r w:rsidR="00945716" w:rsidRPr="002D0A21">
        <w:rPr>
          <w:rFonts w:ascii="Verdana" w:eastAsia="Times New Roman" w:hAnsi="Verdana" w:cs="Arial"/>
          <w:sz w:val="20"/>
          <w:szCs w:val="20"/>
          <w:lang w:val="en-US"/>
        </w:rPr>
        <w:t xml:space="preserve">in </w:t>
      </w:r>
      <w:r w:rsidRPr="002D0A21">
        <w:rPr>
          <w:rFonts w:ascii="Verdana" w:eastAsia="Times New Roman" w:hAnsi="Verdana" w:cs="Arial"/>
          <w:sz w:val="20"/>
          <w:szCs w:val="20"/>
          <w:lang w:val="en-US"/>
        </w:rPr>
        <w:t xml:space="preserve">its custody and </w:t>
      </w:r>
      <w:r w:rsidR="00945716" w:rsidRPr="002D0A21">
        <w:rPr>
          <w:rFonts w:ascii="Verdana" w:eastAsia="Times New Roman" w:hAnsi="Verdana" w:cs="Arial"/>
          <w:sz w:val="20"/>
          <w:szCs w:val="20"/>
          <w:lang w:val="en-US"/>
        </w:rPr>
        <w:t xml:space="preserve">to </w:t>
      </w:r>
      <w:r w:rsidRPr="002D0A21">
        <w:rPr>
          <w:rFonts w:ascii="Verdana" w:eastAsia="Times New Roman" w:hAnsi="Verdana" w:cs="Arial"/>
          <w:sz w:val="20"/>
          <w:szCs w:val="20"/>
          <w:lang w:val="en-US"/>
        </w:rPr>
        <w:t xml:space="preserve">provide information in </w:t>
      </w:r>
      <w:r w:rsidR="00945716" w:rsidRPr="002D0A21">
        <w:rPr>
          <w:rFonts w:ascii="Verdana" w:eastAsia="Times New Roman" w:hAnsi="Verdana" w:cs="Arial"/>
          <w:sz w:val="20"/>
          <w:szCs w:val="20"/>
          <w:lang w:val="en-US"/>
        </w:rPr>
        <w:t>this</w:t>
      </w:r>
      <w:r w:rsidRPr="002D0A21">
        <w:rPr>
          <w:rFonts w:ascii="Verdana" w:eastAsia="Times New Roman" w:hAnsi="Verdana" w:cs="Arial"/>
          <w:sz w:val="20"/>
          <w:szCs w:val="20"/>
          <w:lang w:val="en-US"/>
        </w:rPr>
        <w:t xml:space="preserve"> regard, in order to create uncertainty as to his whereabouts, life or death</w:t>
      </w:r>
      <w:r w:rsidR="00A76963">
        <w:rPr>
          <w:rFonts w:ascii="Verdana" w:eastAsia="Times New Roman" w:hAnsi="Verdana" w:cs="Arial"/>
          <w:sz w:val="20"/>
          <w:szCs w:val="20"/>
          <w:lang w:val="en-US"/>
        </w:rPr>
        <w:t>,</w:t>
      </w:r>
      <w:r w:rsidRPr="002D0A21">
        <w:rPr>
          <w:rFonts w:ascii="Verdana" w:eastAsia="Times New Roman" w:hAnsi="Verdana" w:cs="Arial"/>
          <w:sz w:val="20"/>
          <w:szCs w:val="20"/>
          <w:lang w:val="en-US"/>
        </w:rPr>
        <w:t xml:space="preserve"> </w:t>
      </w:r>
      <w:r w:rsidR="00945716" w:rsidRPr="002D0A21">
        <w:rPr>
          <w:rFonts w:ascii="Verdana" w:eastAsia="Times New Roman" w:hAnsi="Verdana" w:cs="Arial"/>
          <w:sz w:val="20"/>
          <w:szCs w:val="20"/>
          <w:lang w:val="en-US"/>
        </w:rPr>
        <w:t xml:space="preserve">to intimidate and </w:t>
      </w:r>
      <w:r w:rsidR="00A76963">
        <w:rPr>
          <w:rFonts w:ascii="Verdana" w:eastAsia="Times New Roman" w:hAnsi="Verdana" w:cs="Arial"/>
          <w:sz w:val="20"/>
          <w:szCs w:val="20"/>
          <w:lang w:val="en-US"/>
        </w:rPr>
        <w:t xml:space="preserve">to </w:t>
      </w:r>
      <w:r w:rsidR="00945716" w:rsidRPr="002D0A21">
        <w:rPr>
          <w:rFonts w:ascii="Verdana" w:eastAsia="Times New Roman" w:hAnsi="Verdana" w:cs="Arial"/>
          <w:sz w:val="20"/>
          <w:szCs w:val="20"/>
          <w:lang w:val="en-US"/>
        </w:rPr>
        <w:t xml:space="preserve">eliminate rights </w:t>
      </w:r>
      <w:r w:rsidR="00945716" w:rsidRPr="002D0A21">
        <w:rPr>
          <w:rFonts w:ascii="Verdana" w:hAnsi="Verdana" w:cs="Times New Roman"/>
          <w:sz w:val="20"/>
          <w:szCs w:val="20"/>
          <w:lang w:val="en-US"/>
        </w:rPr>
        <w:t>(</w:t>
      </w:r>
      <w:r w:rsidR="00945716" w:rsidRPr="002D0A21">
        <w:rPr>
          <w:rFonts w:ascii="Verdana" w:hAnsi="Verdana" w:cs="Times New Roman"/>
          <w:i/>
          <w:sz w:val="20"/>
          <w:szCs w:val="20"/>
          <w:lang w:val="en-US"/>
        </w:rPr>
        <w:t>supra</w:t>
      </w:r>
      <w:r w:rsidR="00945716" w:rsidRPr="002D0A21">
        <w:rPr>
          <w:rFonts w:ascii="Verdana" w:hAnsi="Verdana" w:cs="Times New Roman"/>
          <w:sz w:val="20"/>
          <w:szCs w:val="20"/>
          <w:lang w:val="en-US"/>
        </w:rPr>
        <w:t xml:space="preserve"> paras. 60 and 80).</w:t>
      </w:r>
    </w:p>
    <w:p w14:paraId="70CED22C" w14:textId="77777777" w:rsidR="007624ED" w:rsidRPr="002D0A21" w:rsidRDefault="007624ED" w:rsidP="00E76C57">
      <w:pPr>
        <w:tabs>
          <w:tab w:val="left" w:pos="1418"/>
        </w:tabs>
        <w:spacing w:after="0" w:line="240" w:lineRule="auto"/>
        <w:ind w:right="26"/>
        <w:jc w:val="both"/>
        <w:rPr>
          <w:rFonts w:ascii="Verdana" w:hAnsi="Verdana" w:cs="Times New Roman"/>
          <w:sz w:val="20"/>
          <w:szCs w:val="20"/>
          <w:lang w:val="en-US"/>
        </w:rPr>
      </w:pPr>
    </w:p>
    <w:p w14:paraId="3DD1F615" w14:textId="16299CDE" w:rsidR="00D51029" w:rsidRPr="002D0A21" w:rsidRDefault="00967D53" w:rsidP="00E76C57">
      <w:pPr>
        <w:tabs>
          <w:tab w:val="left" w:pos="1418"/>
        </w:tabs>
        <w:spacing w:after="0" w:line="240" w:lineRule="auto"/>
        <w:ind w:left="708" w:right="26"/>
        <w:jc w:val="both"/>
        <w:rPr>
          <w:rFonts w:ascii="Verdana" w:hAnsi="Verdana" w:cs="Times New Roman"/>
          <w:sz w:val="20"/>
          <w:szCs w:val="20"/>
          <w:lang w:val="en-US"/>
        </w:rPr>
      </w:pPr>
      <w:r w:rsidRPr="002D0A21">
        <w:rPr>
          <w:rFonts w:ascii="Verdana" w:hAnsi="Verdana" w:cs="Times New Roman"/>
          <w:sz w:val="20"/>
          <w:szCs w:val="20"/>
          <w:lang w:val="en-US"/>
        </w:rPr>
        <w:t>[</w:t>
      </w:r>
      <w:r w:rsidR="00D51029" w:rsidRPr="002D0A21">
        <w:rPr>
          <w:rFonts w:ascii="Verdana" w:hAnsi="Verdana" w:cs="Times New Roman"/>
          <w:sz w:val="20"/>
          <w:szCs w:val="20"/>
          <w:lang w:val="en-US"/>
        </w:rPr>
        <w:t>…</w:t>
      </w:r>
      <w:r w:rsidRPr="002D0A21">
        <w:rPr>
          <w:rFonts w:ascii="Verdana" w:hAnsi="Verdana" w:cs="Times New Roman"/>
          <w:sz w:val="20"/>
          <w:szCs w:val="20"/>
          <w:lang w:val="en-US"/>
        </w:rPr>
        <w:t>]</w:t>
      </w:r>
    </w:p>
    <w:p w14:paraId="4961C75D" w14:textId="77777777" w:rsidR="007624ED" w:rsidRPr="002D0A21" w:rsidRDefault="007624ED" w:rsidP="00E76C57">
      <w:pPr>
        <w:tabs>
          <w:tab w:val="left" w:pos="1418"/>
        </w:tabs>
        <w:spacing w:after="0" w:line="240" w:lineRule="auto"/>
        <w:ind w:left="708" w:right="26"/>
        <w:jc w:val="both"/>
        <w:rPr>
          <w:rFonts w:ascii="Verdana" w:hAnsi="Verdana" w:cs="Times New Roman"/>
          <w:sz w:val="20"/>
          <w:szCs w:val="20"/>
          <w:lang w:val="en-US"/>
        </w:rPr>
      </w:pPr>
    </w:p>
    <w:p w14:paraId="3DD1F616" w14:textId="44769300" w:rsidR="000C3CEA" w:rsidRPr="002D0A21" w:rsidRDefault="00D51029" w:rsidP="00E76C57">
      <w:pPr>
        <w:pStyle w:val="Estilo3"/>
        <w:tabs>
          <w:tab w:val="left" w:pos="1418"/>
        </w:tabs>
        <w:spacing w:after="0"/>
        <w:ind w:right="26"/>
        <w:rPr>
          <w:rFonts w:ascii="Verdana" w:hAnsi="Verdana"/>
          <w:sz w:val="20"/>
          <w:szCs w:val="20"/>
          <w:lang w:val="en-US"/>
        </w:rPr>
      </w:pPr>
      <w:r w:rsidRPr="002D0A21">
        <w:rPr>
          <w:rFonts w:ascii="Verdana" w:hAnsi="Verdana"/>
          <w:sz w:val="20"/>
          <w:szCs w:val="20"/>
          <w:lang w:val="en-US"/>
        </w:rPr>
        <w:t>101</w:t>
      </w:r>
      <w:r w:rsidR="007938B5" w:rsidRPr="002D0A21">
        <w:rPr>
          <w:rFonts w:ascii="Verdana" w:hAnsi="Verdana"/>
          <w:sz w:val="20"/>
          <w:szCs w:val="20"/>
          <w:lang w:val="en-US"/>
        </w:rPr>
        <w:t xml:space="preserve">. </w:t>
      </w:r>
      <w:r w:rsidR="00945716" w:rsidRPr="002D0A21">
        <w:rPr>
          <w:rFonts w:ascii="Verdana" w:eastAsia="Times New Roman" w:hAnsi="Verdana" w:cs="Arial"/>
          <w:sz w:val="20"/>
          <w:szCs w:val="20"/>
          <w:lang w:val="en-US"/>
        </w:rPr>
        <w:t>Based on the foregoing, the Court finds that in cases of forced disappearance of persons, the victim is placed in a situation of legal uncertainty that prevents, impedes or eliminates the possibility of the individual being entitled to or effectively exercising his rights in general, in one of the most serious forms of non-compliance with the State’s obligations to respect</w:t>
      </w:r>
      <w:r w:rsidR="00A76963">
        <w:rPr>
          <w:rFonts w:ascii="Verdana" w:eastAsia="Times New Roman" w:hAnsi="Verdana" w:cs="Arial"/>
          <w:sz w:val="20"/>
          <w:szCs w:val="20"/>
          <w:lang w:val="en-US"/>
        </w:rPr>
        <w:t xml:space="preserve"> and ensure human rights. This h</w:t>
      </w:r>
      <w:r w:rsidR="00945716" w:rsidRPr="002D0A21">
        <w:rPr>
          <w:rFonts w:ascii="Verdana" w:eastAsia="Times New Roman" w:hAnsi="Verdana" w:cs="Arial"/>
          <w:sz w:val="20"/>
          <w:szCs w:val="20"/>
          <w:lang w:val="en-US"/>
        </w:rPr>
        <w:t>as resulted in the violation of the right to juridical personality of Mr. Anzualdo Castro.</w:t>
      </w:r>
      <w:r w:rsidR="00763D47" w:rsidRPr="002D0A21">
        <w:rPr>
          <w:rStyle w:val="FootnoteReference"/>
          <w:rFonts w:ascii="Verdana" w:hAnsi="Verdana"/>
          <w:sz w:val="20"/>
          <w:szCs w:val="20"/>
          <w:lang w:val="en-US"/>
        </w:rPr>
        <w:footnoteReference w:id="3"/>
      </w:r>
    </w:p>
    <w:p w14:paraId="472A0B7C" w14:textId="77777777" w:rsidR="007624ED" w:rsidRPr="002D0A21" w:rsidRDefault="007624ED" w:rsidP="007624ED">
      <w:pPr>
        <w:pStyle w:val="Estilo3"/>
        <w:tabs>
          <w:tab w:val="left" w:pos="1418"/>
        </w:tabs>
        <w:spacing w:after="0"/>
        <w:rPr>
          <w:rFonts w:ascii="Verdana" w:hAnsi="Verdana"/>
          <w:i w:val="0"/>
          <w:sz w:val="20"/>
          <w:szCs w:val="20"/>
          <w:lang w:val="en-US"/>
        </w:rPr>
      </w:pPr>
    </w:p>
    <w:p w14:paraId="031B4DB9" w14:textId="4DD11F3F" w:rsidR="00945716" w:rsidRPr="002D0A21" w:rsidRDefault="00945716" w:rsidP="007624ED">
      <w:pPr>
        <w:pStyle w:val="Estilo1"/>
        <w:spacing w:after="0"/>
        <w:rPr>
          <w:rFonts w:ascii="Verdana" w:hAnsi="Verdana"/>
          <w:sz w:val="20"/>
          <w:szCs w:val="20"/>
          <w:lang w:val="en-US"/>
        </w:rPr>
      </w:pPr>
      <w:r w:rsidRPr="002D0A21">
        <w:rPr>
          <w:rFonts w:ascii="Verdana" w:hAnsi="Verdana"/>
          <w:sz w:val="20"/>
          <w:szCs w:val="20"/>
          <w:lang w:val="en-US"/>
        </w:rPr>
        <w:t xml:space="preserve">Thus, the grounds for the recognition of the </w:t>
      </w:r>
      <w:r w:rsidR="00BE3989" w:rsidRPr="002D0A21">
        <w:rPr>
          <w:rFonts w:ascii="Verdana" w:hAnsi="Verdana"/>
          <w:i/>
          <w:sz w:val="20"/>
          <w:szCs w:val="20"/>
          <w:lang w:val="en-US"/>
        </w:rPr>
        <w:t>legal status [personería jurídica]</w:t>
      </w:r>
      <w:r w:rsidR="007938B5" w:rsidRPr="002D0A21">
        <w:rPr>
          <w:rStyle w:val="FootnoteReference"/>
          <w:rFonts w:ascii="Verdana" w:hAnsi="Verdana"/>
          <w:i/>
          <w:sz w:val="20"/>
          <w:szCs w:val="20"/>
          <w:lang w:val="en-US"/>
        </w:rPr>
        <w:footnoteReference w:id="4"/>
      </w:r>
      <w:r w:rsidR="00723A7E" w:rsidRPr="002D0A21">
        <w:rPr>
          <w:rFonts w:ascii="Verdana" w:hAnsi="Verdana"/>
          <w:sz w:val="20"/>
          <w:szCs w:val="20"/>
          <w:lang w:val="en-US"/>
        </w:rPr>
        <w:t xml:space="preserve"> </w:t>
      </w:r>
      <w:r w:rsidRPr="002D0A21">
        <w:rPr>
          <w:rFonts w:ascii="Verdana" w:hAnsi="Verdana"/>
          <w:sz w:val="20"/>
          <w:szCs w:val="20"/>
          <w:lang w:val="en-US"/>
        </w:rPr>
        <w:t xml:space="preserve">of the indigenous or tribal peoples or communities should be sought in relation to other provisions of the Convention. These grounds are not very hard to find, because they are the legal consequence of the recognition of the right to property (in this case collective property) </w:t>
      </w:r>
      <w:r w:rsidR="00A76963">
        <w:rPr>
          <w:rFonts w:ascii="Verdana" w:hAnsi="Verdana"/>
          <w:sz w:val="20"/>
          <w:szCs w:val="20"/>
          <w:lang w:val="en-US"/>
        </w:rPr>
        <w:t>established</w:t>
      </w:r>
      <w:r w:rsidRPr="002D0A21">
        <w:rPr>
          <w:rFonts w:ascii="Verdana" w:hAnsi="Verdana"/>
          <w:sz w:val="20"/>
          <w:szCs w:val="20"/>
          <w:lang w:val="en-US"/>
        </w:rPr>
        <w:t xml:space="preserve"> in Article 21. No one can be the holder of a right without the corresponding existence of the consequent legal </w:t>
      </w:r>
      <w:r w:rsidR="00BE3989" w:rsidRPr="002D0A21">
        <w:rPr>
          <w:rFonts w:ascii="Verdana" w:hAnsi="Verdana"/>
          <w:sz w:val="20"/>
          <w:szCs w:val="20"/>
          <w:lang w:val="en-US"/>
        </w:rPr>
        <w:t>status [</w:t>
      </w:r>
      <w:r w:rsidR="002D0A21">
        <w:rPr>
          <w:rFonts w:ascii="Verdana" w:hAnsi="Verdana"/>
          <w:i/>
          <w:sz w:val="20"/>
          <w:szCs w:val="20"/>
          <w:lang w:val="en-US"/>
        </w:rPr>
        <w:t>personerí</w:t>
      </w:r>
      <w:r w:rsidR="00BE3989" w:rsidRPr="002D0A21">
        <w:rPr>
          <w:rFonts w:ascii="Verdana" w:hAnsi="Verdana"/>
          <w:i/>
          <w:sz w:val="20"/>
          <w:szCs w:val="20"/>
          <w:lang w:val="en-US"/>
        </w:rPr>
        <w:t>a jurídica</w:t>
      </w:r>
      <w:r w:rsidR="00BE3989" w:rsidRPr="002D0A21">
        <w:rPr>
          <w:rFonts w:ascii="Verdana" w:hAnsi="Verdana"/>
          <w:sz w:val="20"/>
          <w:szCs w:val="20"/>
          <w:lang w:val="en-US"/>
        </w:rPr>
        <w:t>]</w:t>
      </w:r>
      <w:r w:rsidRPr="002D0A21">
        <w:rPr>
          <w:rFonts w:ascii="Verdana" w:hAnsi="Verdana"/>
          <w:sz w:val="20"/>
          <w:szCs w:val="20"/>
          <w:lang w:val="en-US"/>
        </w:rPr>
        <w:t xml:space="preserve">. And the Court explained this in its judgment in the case of the </w:t>
      </w:r>
      <w:r w:rsidRPr="002D0A21">
        <w:rPr>
          <w:rFonts w:ascii="Verdana" w:hAnsi="Verdana"/>
          <w:i/>
          <w:sz w:val="20"/>
          <w:szCs w:val="20"/>
          <w:lang w:val="en-US"/>
        </w:rPr>
        <w:t>Saramaka</w:t>
      </w:r>
      <w:r w:rsidR="002D0A21">
        <w:rPr>
          <w:rFonts w:ascii="Verdana" w:hAnsi="Verdana"/>
          <w:i/>
          <w:sz w:val="20"/>
          <w:szCs w:val="20"/>
          <w:lang w:val="en-US"/>
        </w:rPr>
        <w:t xml:space="preserve"> Peop</w:t>
      </w:r>
      <w:r w:rsidRPr="002D0A21">
        <w:rPr>
          <w:rFonts w:ascii="Verdana" w:hAnsi="Verdana"/>
          <w:i/>
          <w:sz w:val="20"/>
          <w:szCs w:val="20"/>
          <w:lang w:val="en-US"/>
        </w:rPr>
        <w:t xml:space="preserve">le, </w:t>
      </w:r>
      <w:r w:rsidRPr="002D0A21">
        <w:rPr>
          <w:rFonts w:ascii="Verdana" w:hAnsi="Verdana"/>
          <w:sz w:val="20"/>
          <w:szCs w:val="20"/>
          <w:lang w:val="en-US"/>
        </w:rPr>
        <w:t>in which it set out the correct reasoning with absolute clarity:</w:t>
      </w:r>
    </w:p>
    <w:p w14:paraId="33075F93" w14:textId="77777777" w:rsidR="007624ED" w:rsidRPr="002D0A21" w:rsidRDefault="007624ED" w:rsidP="007624ED">
      <w:pPr>
        <w:pStyle w:val="Estilo1"/>
        <w:numPr>
          <w:ilvl w:val="0"/>
          <w:numId w:val="0"/>
        </w:numPr>
        <w:spacing w:after="0"/>
        <w:rPr>
          <w:rFonts w:ascii="Verdana" w:hAnsi="Verdana"/>
          <w:sz w:val="20"/>
          <w:szCs w:val="20"/>
          <w:lang w:val="en-US"/>
        </w:rPr>
      </w:pPr>
    </w:p>
    <w:p w14:paraId="491515BB" w14:textId="2185D1D5" w:rsidR="00945716" w:rsidRPr="002D0A21" w:rsidRDefault="00945716" w:rsidP="00E76C57">
      <w:pPr>
        <w:spacing w:after="0" w:line="240" w:lineRule="auto"/>
        <w:ind w:left="709"/>
        <w:jc w:val="both"/>
        <w:rPr>
          <w:rFonts w:ascii="Verdana" w:eastAsia="Times New Roman" w:hAnsi="Verdana" w:cs="Arial"/>
          <w:sz w:val="20"/>
          <w:szCs w:val="20"/>
          <w:lang w:val="en-US"/>
        </w:rPr>
      </w:pPr>
      <w:r w:rsidRPr="002D0A21">
        <w:rPr>
          <w:rFonts w:ascii="Verdana" w:eastAsia="Times New Roman" w:hAnsi="Verdana" w:cs="Arial"/>
          <w:sz w:val="20"/>
          <w:szCs w:val="20"/>
          <w:lang w:val="en-US"/>
        </w:rPr>
        <w:t xml:space="preserve">171. The recognition of their juridical personality is a way, albeit not the only one, to ensure that the community, as a whole, will be able to enjoy and exercise fully their right to property, in accordance with their communal property system, and the right of equal access to judicial protection against violations of that right. </w:t>
      </w:r>
    </w:p>
    <w:p w14:paraId="64A9584F" w14:textId="77777777" w:rsidR="00945716" w:rsidRPr="002D0A21" w:rsidRDefault="00945716" w:rsidP="00E76C57">
      <w:pPr>
        <w:spacing w:after="0" w:line="240" w:lineRule="auto"/>
        <w:ind w:left="709"/>
        <w:jc w:val="both"/>
        <w:rPr>
          <w:rFonts w:ascii="Verdana" w:eastAsia="Times New Roman" w:hAnsi="Verdana" w:cs="Arial"/>
          <w:sz w:val="20"/>
          <w:szCs w:val="20"/>
          <w:lang w:val="en-US"/>
        </w:rPr>
      </w:pPr>
    </w:p>
    <w:p w14:paraId="3DD1F619" w14:textId="1895BC2D" w:rsidR="00D66DEE" w:rsidRPr="002D0A21" w:rsidRDefault="00945716" w:rsidP="00E76C57">
      <w:pPr>
        <w:spacing w:after="0" w:line="240" w:lineRule="auto"/>
        <w:ind w:left="709"/>
        <w:jc w:val="both"/>
        <w:rPr>
          <w:rFonts w:ascii="Verdana" w:hAnsi="Verdana"/>
          <w:i/>
          <w:sz w:val="20"/>
          <w:szCs w:val="20"/>
          <w:lang w:val="en-US"/>
        </w:rPr>
      </w:pPr>
      <w:r w:rsidRPr="002D0A21">
        <w:rPr>
          <w:rFonts w:ascii="Verdana" w:eastAsia="Times New Roman" w:hAnsi="Verdana" w:cs="Arial"/>
          <w:sz w:val="20"/>
          <w:szCs w:val="20"/>
          <w:lang w:val="en-US"/>
        </w:rPr>
        <w:t xml:space="preserve">172. The Court considers that the right to have their juridical personality recognized by the State is one of the special measures that should be provided to indigenous and tribal groups in order to ensure that they are able to enjoy their territory in accordance with their own traditions. This is a </w:t>
      </w:r>
      <w:r w:rsidRPr="002D0A21">
        <w:rPr>
          <w:rFonts w:ascii="Verdana" w:eastAsia="Times New Roman" w:hAnsi="Verdana" w:cs="Arial"/>
          <w:i/>
          <w:sz w:val="20"/>
          <w:szCs w:val="20"/>
          <w:lang w:val="en-US"/>
        </w:rPr>
        <w:t>natural consequence of the recognition of the right of members of indigenous and tribal groups to enjoy certain rights in a communal manner</w:t>
      </w:r>
      <w:r w:rsidRPr="002D0A21">
        <w:rPr>
          <w:rFonts w:ascii="Verdana" w:eastAsia="Times New Roman" w:hAnsi="Verdana" w:cs="Arial"/>
          <w:sz w:val="20"/>
          <w:szCs w:val="20"/>
          <w:lang w:val="en-US"/>
        </w:rPr>
        <w:t>.</w:t>
      </w:r>
      <w:r w:rsidR="00D66DEE" w:rsidRPr="00797250">
        <w:rPr>
          <w:rStyle w:val="FootnoteReference"/>
          <w:rFonts w:ascii="Verdana" w:hAnsi="Verdana"/>
          <w:i/>
          <w:sz w:val="20"/>
          <w:szCs w:val="20"/>
          <w:lang w:val="en-US"/>
        </w:rPr>
        <w:footnoteReference w:id="5"/>
      </w:r>
    </w:p>
    <w:p w14:paraId="079E69FE" w14:textId="77777777" w:rsidR="007624ED" w:rsidRPr="002D0A21" w:rsidRDefault="007624ED" w:rsidP="007624ED">
      <w:pPr>
        <w:pStyle w:val="Estilo2"/>
        <w:spacing w:after="0"/>
        <w:jc w:val="both"/>
        <w:rPr>
          <w:rFonts w:ascii="Verdana" w:hAnsi="Verdana"/>
          <w:sz w:val="20"/>
          <w:szCs w:val="20"/>
          <w:lang w:val="en-US"/>
        </w:rPr>
      </w:pPr>
    </w:p>
    <w:p w14:paraId="3DD1F61A" w14:textId="1709A22C" w:rsidR="00D66DEE" w:rsidRPr="002D0A21" w:rsidRDefault="00945716" w:rsidP="007624ED">
      <w:pPr>
        <w:pStyle w:val="Estilo1"/>
        <w:spacing w:after="0"/>
        <w:rPr>
          <w:rFonts w:ascii="Verdana" w:hAnsi="Verdana"/>
          <w:sz w:val="20"/>
          <w:szCs w:val="20"/>
          <w:lang w:val="en-US"/>
        </w:rPr>
      </w:pPr>
      <w:r w:rsidRPr="002D0A21">
        <w:rPr>
          <w:rFonts w:ascii="Verdana" w:hAnsi="Verdana"/>
          <w:sz w:val="20"/>
          <w:szCs w:val="20"/>
          <w:lang w:val="en-US"/>
        </w:rPr>
        <w:t xml:space="preserve">The same reasoning must be applied in the instant case; thus, the reference to </w:t>
      </w:r>
      <w:r w:rsidR="00FA543D" w:rsidRPr="002D0A21">
        <w:rPr>
          <w:rFonts w:ascii="Verdana" w:hAnsi="Verdana"/>
          <w:sz w:val="20"/>
          <w:szCs w:val="20"/>
          <w:lang w:val="en-US"/>
        </w:rPr>
        <w:t>Article</w:t>
      </w:r>
      <w:r w:rsidR="00D66DEE" w:rsidRPr="002D0A21">
        <w:rPr>
          <w:rFonts w:ascii="Verdana" w:hAnsi="Verdana"/>
          <w:sz w:val="20"/>
          <w:szCs w:val="20"/>
          <w:lang w:val="en-US"/>
        </w:rPr>
        <w:t xml:space="preserve"> 3</w:t>
      </w:r>
      <w:r w:rsidR="00FA543D" w:rsidRPr="002D0A21">
        <w:rPr>
          <w:rFonts w:ascii="Verdana" w:hAnsi="Verdana"/>
          <w:sz w:val="20"/>
          <w:szCs w:val="20"/>
          <w:lang w:val="en-US"/>
        </w:rPr>
        <w:t xml:space="preserve"> and</w:t>
      </w:r>
      <w:r w:rsidRPr="002D0A21">
        <w:rPr>
          <w:rFonts w:ascii="Verdana" w:hAnsi="Verdana"/>
          <w:sz w:val="20"/>
          <w:szCs w:val="20"/>
          <w:lang w:val="en-US"/>
        </w:rPr>
        <w:t xml:space="preserve">, in particular, </w:t>
      </w:r>
      <w:r w:rsidR="00EB08D8" w:rsidRPr="002D0A21">
        <w:rPr>
          <w:rFonts w:ascii="Verdana" w:hAnsi="Verdana"/>
          <w:sz w:val="20"/>
          <w:szCs w:val="20"/>
          <w:lang w:val="en-US"/>
        </w:rPr>
        <w:t>the</w:t>
      </w:r>
      <w:r w:rsidRPr="002D0A21">
        <w:rPr>
          <w:rFonts w:ascii="Verdana" w:hAnsi="Verdana"/>
          <w:sz w:val="20"/>
          <w:szCs w:val="20"/>
          <w:lang w:val="en-US"/>
        </w:rPr>
        <w:t xml:space="preserve"> supposed violation</w:t>
      </w:r>
      <w:r w:rsidR="00EB08D8" w:rsidRPr="002D0A21">
        <w:rPr>
          <w:rFonts w:ascii="Verdana" w:hAnsi="Verdana"/>
          <w:sz w:val="20"/>
          <w:szCs w:val="20"/>
          <w:lang w:val="en-US"/>
        </w:rPr>
        <w:t xml:space="preserve"> of this article</w:t>
      </w:r>
      <w:r w:rsidRPr="002D0A21">
        <w:rPr>
          <w:rFonts w:ascii="Verdana" w:hAnsi="Verdana"/>
          <w:sz w:val="20"/>
          <w:szCs w:val="20"/>
          <w:lang w:val="en-US"/>
        </w:rPr>
        <w:t>, is not only unjustified, but also unnecessary.</w:t>
      </w:r>
      <w:r w:rsidR="00D66DEE" w:rsidRPr="002D0A21">
        <w:rPr>
          <w:rStyle w:val="FootnoteReference"/>
          <w:rFonts w:ascii="Verdana" w:hAnsi="Verdana"/>
          <w:sz w:val="20"/>
          <w:szCs w:val="20"/>
          <w:lang w:val="en-US"/>
        </w:rPr>
        <w:footnoteReference w:id="6"/>
      </w:r>
    </w:p>
    <w:p w14:paraId="6354E24E" w14:textId="77777777" w:rsidR="007624ED" w:rsidRPr="002D0A21" w:rsidRDefault="007624ED" w:rsidP="007624ED">
      <w:pPr>
        <w:pStyle w:val="Estilo1"/>
        <w:numPr>
          <w:ilvl w:val="0"/>
          <w:numId w:val="0"/>
        </w:numPr>
        <w:spacing w:after="0"/>
        <w:rPr>
          <w:rFonts w:ascii="Verdana" w:hAnsi="Verdana"/>
          <w:sz w:val="20"/>
          <w:szCs w:val="20"/>
          <w:lang w:val="en-US"/>
        </w:rPr>
      </w:pPr>
    </w:p>
    <w:p w14:paraId="3DD1F61B" w14:textId="736F39FF" w:rsidR="00080510" w:rsidRPr="002D0A21" w:rsidRDefault="00FA543D" w:rsidP="00945716">
      <w:pPr>
        <w:pStyle w:val="Estilo1"/>
        <w:numPr>
          <w:ilvl w:val="0"/>
          <w:numId w:val="2"/>
        </w:numPr>
        <w:spacing w:after="0"/>
        <w:jc w:val="center"/>
        <w:rPr>
          <w:rFonts w:ascii="Verdana" w:hAnsi="Verdana"/>
          <w:b/>
          <w:sz w:val="20"/>
          <w:szCs w:val="20"/>
          <w:lang w:val="en-US"/>
        </w:rPr>
      </w:pPr>
      <w:r w:rsidRPr="002D0A21">
        <w:rPr>
          <w:rFonts w:ascii="Verdana" w:hAnsi="Verdana"/>
          <w:b/>
          <w:sz w:val="20"/>
          <w:szCs w:val="20"/>
          <w:lang w:val="en-US"/>
        </w:rPr>
        <w:lastRenderedPageBreak/>
        <w:t>Article</w:t>
      </w:r>
      <w:r w:rsidR="00080510" w:rsidRPr="002D0A21">
        <w:rPr>
          <w:rFonts w:ascii="Verdana" w:hAnsi="Verdana"/>
          <w:b/>
          <w:sz w:val="20"/>
          <w:szCs w:val="20"/>
          <w:lang w:val="en-US"/>
        </w:rPr>
        <w:t xml:space="preserve"> 13 (</w:t>
      </w:r>
      <w:r w:rsidR="00945716" w:rsidRPr="002D0A21">
        <w:rPr>
          <w:rFonts w:ascii="Verdana" w:hAnsi="Verdana"/>
          <w:b/>
          <w:sz w:val="20"/>
          <w:szCs w:val="20"/>
          <w:lang w:val="en-US"/>
        </w:rPr>
        <w:t>Freedom of Thought and Expression</w:t>
      </w:r>
      <w:r w:rsidR="00080510" w:rsidRPr="002D0A21">
        <w:rPr>
          <w:rFonts w:ascii="Verdana" w:hAnsi="Verdana"/>
          <w:b/>
          <w:sz w:val="20"/>
          <w:szCs w:val="20"/>
          <w:lang w:val="en-US"/>
        </w:rPr>
        <w:t>)</w:t>
      </w:r>
      <w:r w:rsidR="00945716" w:rsidRPr="002D0A21">
        <w:rPr>
          <w:rFonts w:ascii="Verdana" w:hAnsi="Verdana"/>
          <w:b/>
          <w:sz w:val="20"/>
          <w:szCs w:val="20"/>
          <w:lang w:val="en-US"/>
        </w:rPr>
        <w:t xml:space="preserve"> was not violated</w:t>
      </w:r>
    </w:p>
    <w:p w14:paraId="4A7AAA8B" w14:textId="77777777" w:rsidR="007624ED" w:rsidRPr="002D0A21" w:rsidRDefault="007624ED" w:rsidP="007624ED">
      <w:pPr>
        <w:pStyle w:val="Estilo1"/>
        <w:numPr>
          <w:ilvl w:val="0"/>
          <w:numId w:val="0"/>
        </w:numPr>
        <w:spacing w:after="0"/>
        <w:ind w:left="1080"/>
        <w:rPr>
          <w:rFonts w:ascii="Verdana" w:hAnsi="Verdana"/>
          <w:b/>
          <w:sz w:val="20"/>
          <w:szCs w:val="20"/>
          <w:lang w:val="en-US"/>
        </w:rPr>
      </w:pPr>
    </w:p>
    <w:p w14:paraId="3DD1F61C" w14:textId="6ABE7E85" w:rsidR="00080510" w:rsidRPr="002D0A21" w:rsidRDefault="00FA543D" w:rsidP="007624ED">
      <w:pPr>
        <w:pStyle w:val="Estilo1"/>
        <w:spacing w:after="0"/>
        <w:rPr>
          <w:rFonts w:ascii="Verdana" w:hAnsi="Verdana"/>
          <w:sz w:val="20"/>
          <w:szCs w:val="20"/>
          <w:lang w:val="en-US"/>
        </w:rPr>
      </w:pPr>
      <w:r w:rsidRPr="002D0A21">
        <w:rPr>
          <w:rFonts w:ascii="Verdana" w:hAnsi="Verdana"/>
          <w:sz w:val="20"/>
          <w:szCs w:val="20"/>
          <w:lang w:val="en-US"/>
        </w:rPr>
        <w:t>Art</w:t>
      </w:r>
      <w:r w:rsidR="00564C07">
        <w:rPr>
          <w:rFonts w:ascii="Verdana" w:hAnsi="Verdana"/>
          <w:sz w:val="20"/>
          <w:szCs w:val="20"/>
          <w:lang w:val="en-US"/>
        </w:rPr>
        <w:t>icle</w:t>
      </w:r>
      <w:r w:rsidR="00600105" w:rsidRPr="002D0A21">
        <w:rPr>
          <w:rFonts w:ascii="Verdana" w:hAnsi="Verdana"/>
          <w:sz w:val="20"/>
          <w:szCs w:val="20"/>
          <w:lang w:val="en-US"/>
        </w:rPr>
        <w:t xml:space="preserve"> 13</w:t>
      </w:r>
      <w:r w:rsidR="00945716" w:rsidRPr="002D0A21">
        <w:rPr>
          <w:rFonts w:ascii="Verdana" w:hAnsi="Verdana"/>
          <w:sz w:val="20"/>
          <w:szCs w:val="20"/>
          <w:lang w:val="en-US"/>
        </w:rPr>
        <w:t>(</w:t>
      </w:r>
      <w:r w:rsidR="00600105" w:rsidRPr="002D0A21">
        <w:rPr>
          <w:rFonts w:ascii="Verdana" w:hAnsi="Verdana"/>
          <w:sz w:val="20"/>
          <w:szCs w:val="20"/>
          <w:lang w:val="en-US"/>
        </w:rPr>
        <w:t>1</w:t>
      </w:r>
      <w:r w:rsidR="00945716" w:rsidRPr="002D0A21">
        <w:rPr>
          <w:rFonts w:ascii="Verdana" w:hAnsi="Verdana"/>
          <w:sz w:val="20"/>
          <w:szCs w:val="20"/>
          <w:lang w:val="en-US"/>
        </w:rPr>
        <w:t>)</w:t>
      </w:r>
      <w:r w:rsidR="00600105" w:rsidRPr="002D0A21">
        <w:rPr>
          <w:rFonts w:ascii="Verdana" w:hAnsi="Verdana"/>
          <w:sz w:val="20"/>
          <w:szCs w:val="20"/>
          <w:lang w:val="en-US"/>
        </w:rPr>
        <w:t xml:space="preserve"> </w:t>
      </w:r>
      <w:r w:rsidR="00945716" w:rsidRPr="002D0A21">
        <w:rPr>
          <w:rFonts w:ascii="Verdana" w:hAnsi="Verdana"/>
          <w:sz w:val="20"/>
          <w:szCs w:val="20"/>
          <w:lang w:val="en-US"/>
        </w:rPr>
        <w:t>of</w:t>
      </w:r>
      <w:r w:rsidR="00600105" w:rsidRPr="002D0A21">
        <w:rPr>
          <w:rFonts w:ascii="Verdana" w:hAnsi="Verdana"/>
          <w:sz w:val="20"/>
          <w:szCs w:val="20"/>
          <w:lang w:val="en-US"/>
        </w:rPr>
        <w:t xml:space="preserve"> </w:t>
      </w:r>
      <w:r w:rsidRPr="002D0A21">
        <w:rPr>
          <w:rFonts w:ascii="Verdana" w:hAnsi="Verdana"/>
          <w:sz w:val="20"/>
          <w:szCs w:val="20"/>
          <w:lang w:val="en-US"/>
        </w:rPr>
        <w:t>the American Convention</w:t>
      </w:r>
      <w:r w:rsidR="00600105" w:rsidRPr="002D0A21">
        <w:rPr>
          <w:rFonts w:ascii="Verdana" w:hAnsi="Verdana"/>
          <w:sz w:val="20"/>
          <w:szCs w:val="20"/>
          <w:lang w:val="en-US"/>
        </w:rPr>
        <w:t xml:space="preserve"> </w:t>
      </w:r>
      <w:r w:rsidR="00945716" w:rsidRPr="002D0A21">
        <w:rPr>
          <w:rFonts w:ascii="Verdana" w:hAnsi="Verdana"/>
          <w:sz w:val="20"/>
          <w:szCs w:val="20"/>
          <w:lang w:val="en-US"/>
        </w:rPr>
        <w:t>establishes the following</w:t>
      </w:r>
      <w:r w:rsidR="00600105" w:rsidRPr="002D0A21">
        <w:rPr>
          <w:rFonts w:ascii="Verdana" w:hAnsi="Verdana"/>
          <w:sz w:val="20"/>
          <w:szCs w:val="20"/>
          <w:lang w:val="en-US"/>
        </w:rPr>
        <w:t>:</w:t>
      </w:r>
    </w:p>
    <w:p w14:paraId="5EED7906" w14:textId="77777777" w:rsidR="007624ED" w:rsidRPr="002D0A21" w:rsidRDefault="007624ED" w:rsidP="007624ED">
      <w:pPr>
        <w:pStyle w:val="Estilo1"/>
        <w:numPr>
          <w:ilvl w:val="0"/>
          <w:numId w:val="0"/>
        </w:numPr>
        <w:spacing w:after="0"/>
        <w:rPr>
          <w:rFonts w:ascii="Verdana" w:hAnsi="Verdana"/>
          <w:sz w:val="20"/>
          <w:szCs w:val="20"/>
          <w:lang w:val="en-US"/>
        </w:rPr>
      </w:pPr>
    </w:p>
    <w:p w14:paraId="5FD29A92" w14:textId="565BF41E" w:rsidR="00945716" w:rsidRPr="002D0A21" w:rsidRDefault="00FA543D" w:rsidP="007624ED">
      <w:pPr>
        <w:pStyle w:val="Estilo2"/>
        <w:spacing w:after="0"/>
        <w:rPr>
          <w:rFonts w:ascii="Verdana" w:hAnsi="Verdana"/>
          <w:sz w:val="20"/>
          <w:szCs w:val="20"/>
          <w:lang w:val="en-US"/>
        </w:rPr>
      </w:pPr>
      <w:r w:rsidRPr="002D0A21">
        <w:rPr>
          <w:rFonts w:ascii="Verdana" w:hAnsi="Verdana"/>
          <w:sz w:val="20"/>
          <w:szCs w:val="20"/>
          <w:lang w:val="en-US"/>
        </w:rPr>
        <w:t>Article</w:t>
      </w:r>
      <w:r w:rsidR="00600105" w:rsidRPr="002D0A21">
        <w:rPr>
          <w:rFonts w:ascii="Verdana" w:hAnsi="Verdana"/>
          <w:sz w:val="20"/>
          <w:szCs w:val="20"/>
          <w:lang w:val="en-US"/>
        </w:rPr>
        <w:t xml:space="preserve"> 13. </w:t>
      </w:r>
      <w:r w:rsidR="00945716" w:rsidRPr="002D0A21">
        <w:rPr>
          <w:rFonts w:ascii="Verdana" w:hAnsi="Verdana"/>
          <w:sz w:val="20"/>
          <w:szCs w:val="20"/>
          <w:lang w:val="en-US"/>
        </w:rPr>
        <w:t>Freedom of Thought and Expression</w:t>
      </w:r>
      <w:r w:rsidR="00945716" w:rsidRPr="002D0A21" w:rsidDel="00945716">
        <w:rPr>
          <w:rFonts w:ascii="Verdana" w:hAnsi="Verdana"/>
          <w:sz w:val="20"/>
          <w:szCs w:val="20"/>
          <w:lang w:val="en-US"/>
        </w:rPr>
        <w:t xml:space="preserve"> </w:t>
      </w:r>
    </w:p>
    <w:p w14:paraId="5748D5E9" w14:textId="77777777" w:rsidR="007624ED" w:rsidRPr="002D0A21" w:rsidRDefault="007624ED" w:rsidP="00564C07">
      <w:pPr>
        <w:pStyle w:val="Estilo2"/>
        <w:spacing w:after="0"/>
        <w:jc w:val="left"/>
        <w:rPr>
          <w:rFonts w:ascii="Verdana" w:hAnsi="Verdana"/>
          <w:sz w:val="20"/>
          <w:szCs w:val="20"/>
          <w:lang w:val="en-US"/>
        </w:rPr>
      </w:pPr>
    </w:p>
    <w:p w14:paraId="3DD1F61E" w14:textId="528B3E63" w:rsidR="00600105" w:rsidRPr="002D0A21" w:rsidRDefault="00945716" w:rsidP="00AB5688">
      <w:pPr>
        <w:pStyle w:val="Estilo2"/>
        <w:numPr>
          <w:ilvl w:val="0"/>
          <w:numId w:val="4"/>
        </w:numPr>
        <w:spacing w:after="0"/>
        <w:ind w:right="386"/>
        <w:jc w:val="both"/>
        <w:rPr>
          <w:rFonts w:ascii="Verdana" w:hAnsi="Verdana"/>
          <w:sz w:val="20"/>
          <w:szCs w:val="20"/>
          <w:lang w:val="en-US"/>
        </w:rPr>
      </w:pPr>
      <w:r w:rsidRPr="002D0A21">
        <w:rPr>
          <w:rFonts w:ascii="Verdana" w:hAnsi="Verdana"/>
          <w:spacing w:val="-3"/>
          <w:sz w:val="20"/>
          <w:szCs w:val="20"/>
          <w:lang w:val="en-US"/>
        </w:rPr>
        <w:t>Everyone has the right to freedom of thought and expression.  This right includes freedom to seek, receive, and impart information and ideas of all kinds, regardless of frontiers, either orally, in writing, in print, in the form of art, or through any other medium of one's choice</w:t>
      </w:r>
      <w:r w:rsidR="00600105" w:rsidRPr="002D0A21">
        <w:rPr>
          <w:rFonts w:ascii="Verdana" w:hAnsi="Verdana"/>
          <w:sz w:val="20"/>
          <w:szCs w:val="20"/>
          <w:lang w:val="en-US"/>
        </w:rPr>
        <w:t>.</w:t>
      </w:r>
    </w:p>
    <w:p w14:paraId="204339B7" w14:textId="77777777" w:rsidR="007624ED" w:rsidRPr="002D0A21" w:rsidRDefault="007624ED" w:rsidP="00AB5688">
      <w:pPr>
        <w:pStyle w:val="Estilo2"/>
        <w:spacing w:after="0"/>
        <w:ind w:left="0" w:right="386"/>
        <w:jc w:val="both"/>
        <w:rPr>
          <w:rFonts w:ascii="Verdana" w:hAnsi="Verdana"/>
          <w:sz w:val="20"/>
          <w:szCs w:val="20"/>
          <w:lang w:val="en-US"/>
        </w:rPr>
      </w:pPr>
    </w:p>
    <w:p w14:paraId="6BCB6F22" w14:textId="2BEC683F" w:rsidR="004E1411" w:rsidRPr="002D0A21" w:rsidRDefault="004E1411" w:rsidP="00AB5688">
      <w:pPr>
        <w:pStyle w:val="Estilo1"/>
        <w:spacing w:after="0"/>
        <w:ind w:right="26"/>
        <w:rPr>
          <w:rFonts w:ascii="Verdana" w:hAnsi="Verdana"/>
          <w:sz w:val="20"/>
          <w:szCs w:val="20"/>
          <w:lang w:val="en-US"/>
        </w:rPr>
      </w:pPr>
      <w:r w:rsidRPr="002D0A21">
        <w:rPr>
          <w:rFonts w:ascii="Verdana" w:hAnsi="Verdana"/>
          <w:sz w:val="20"/>
          <w:szCs w:val="20"/>
          <w:lang w:val="en-US"/>
        </w:rPr>
        <w:t xml:space="preserve">Once again it is necessary to point out that this provision has not been transcribed in the text of the judgment. Perhaps the reason for this unjustified omission is </w:t>
      </w:r>
      <w:r w:rsidR="002D0A21" w:rsidRPr="002D0A21">
        <w:rPr>
          <w:rFonts w:ascii="Verdana" w:hAnsi="Verdana"/>
          <w:sz w:val="20"/>
          <w:szCs w:val="20"/>
          <w:lang w:val="en-US"/>
        </w:rPr>
        <w:t>the</w:t>
      </w:r>
      <w:r w:rsidRPr="002D0A21">
        <w:rPr>
          <w:rFonts w:ascii="Verdana" w:hAnsi="Verdana"/>
          <w:sz w:val="20"/>
          <w:szCs w:val="20"/>
          <w:lang w:val="en-US"/>
        </w:rPr>
        <w:t xml:space="preserve"> fact that it is sufficient to read </w:t>
      </w:r>
      <w:r w:rsidR="00FA543D" w:rsidRPr="002D0A21">
        <w:rPr>
          <w:rFonts w:ascii="Verdana" w:hAnsi="Verdana"/>
          <w:sz w:val="20"/>
          <w:szCs w:val="20"/>
          <w:lang w:val="en-US"/>
        </w:rPr>
        <w:t>Article</w:t>
      </w:r>
      <w:r w:rsidR="00020484" w:rsidRPr="002D0A21">
        <w:rPr>
          <w:rFonts w:ascii="Verdana" w:hAnsi="Verdana"/>
          <w:sz w:val="20"/>
          <w:szCs w:val="20"/>
          <w:lang w:val="en-US"/>
        </w:rPr>
        <w:t xml:space="preserve"> 13 </w:t>
      </w:r>
      <w:r w:rsidRPr="002D0A21">
        <w:rPr>
          <w:rFonts w:ascii="Verdana" w:hAnsi="Verdana"/>
          <w:sz w:val="20"/>
          <w:szCs w:val="20"/>
          <w:lang w:val="en-US"/>
        </w:rPr>
        <w:t xml:space="preserve">to understand that the refusal to hand over certain information considered necessary </w:t>
      </w:r>
      <w:r w:rsidR="00AB5688">
        <w:rPr>
          <w:rFonts w:ascii="Verdana" w:hAnsi="Verdana"/>
          <w:sz w:val="20"/>
          <w:szCs w:val="20"/>
          <w:lang w:val="en-US"/>
        </w:rPr>
        <w:t xml:space="preserve">in order to </w:t>
      </w:r>
      <w:r w:rsidRPr="002D0A21">
        <w:rPr>
          <w:rFonts w:ascii="Verdana" w:hAnsi="Verdana"/>
          <w:sz w:val="20"/>
          <w:szCs w:val="20"/>
          <w:lang w:val="en-US"/>
        </w:rPr>
        <w:t xml:space="preserve">exercise the rights to participation and </w:t>
      </w:r>
      <w:r w:rsidR="00AB5688">
        <w:rPr>
          <w:rFonts w:ascii="Verdana" w:hAnsi="Verdana"/>
          <w:sz w:val="20"/>
          <w:szCs w:val="20"/>
          <w:lang w:val="en-US"/>
        </w:rPr>
        <w:t xml:space="preserve">to </w:t>
      </w:r>
      <w:r w:rsidRPr="002D0A21">
        <w:rPr>
          <w:rFonts w:ascii="Verdana" w:hAnsi="Verdana"/>
          <w:sz w:val="20"/>
          <w:szCs w:val="20"/>
          <w:lang w:val="en-US"/>
        </w:rPr>
        <w:t xml:space="preserve">consultation of an indigenous or tribal people are unrelated to “freedom of thought and expression” and, in particular, with the “freedom to </w:t>
      </w:r>
      <w:r w:rsidRPr="002D0A21">
        <w:rPr>
          <w:rFonts w:ascii="Verdana" w:hAnsi="Verdana"/>
          <w:spacing w:val="-3"/>
          <w:sz w:val="20"/>
          <w:szCs w:val="20"/>
          <w:lang w:val="en-US"/>
        </w:rPr>
        <w:t>seek, receive, and impart information and ideas of all kinds.”</w:t>
      </w:r>
    </w:p>
    <w:p w14:paraId="38C9D587" w14:textId="77777777" w:rsidR="007624ED" w:rsidRPr="002D0A21" w:rsidRDefault="007624ED" w:rsidP="007624ED">
      <w:pPr>
        <w:pStyle w:val="Estilo1"/>
        <w:numPr>
          <w:ilvl w:val="0"/>
          <w:numId w:val="0"/>
        </w:numPr>
        <w:spacing w:after="0"/>
        <w:rPr>
          <w:rFonts w:ascii="Verdana" w:hAnsi="Verdana"/>
          <w:sz w:val="20"/>
          <w:szCs w:val="20"/>
          <w:lang w:val="en-US"/>
        </w:rPr>
      </w:pPr>
    </w:p>
    <w:p w14:paraId="3DD1F620" w14:textId="44926EAF" w:rsidR="00020484" w:rsidRPr="002D0A21" w:rsidRDefault="00480333" w:rsidP="007624ED">
      <w:pPr>
        <w:pStyle w:val="Estilo1"/>
        <w:spacing w:after="0"/>
        <w:rPr>
          <w:rFonts w:ascii="Verdana" w:hAnsi="Verdana"/>
          <w:sz w:val="20"/>
          <w:szCs w:val="20"/>
          <w:lang w:val="en-US"/>
        </w:rPr>
      </w:pPr>
      <w:r w:rsidRPr="002D0A21">
        <w:rPr>
          <w:rFonts w:ascii="Verdana" w:hAnsi="Verdana"/>
          <w:sz w:val="20"/>
          <w:szCs w:val="20"/>
          <w:lang w:val="en-US"/>
        </w:rPr>
        <w:t xml:space="preserve">As the Court rightly indicated in the judgment in the </w:t>
      </w:r>
      <w:r w:rsidR="00020484" w:rsidRPr="002D0A21">
        <w:rPr>
          <w:rFonts w:ascii="Verdana" w:hAnsi="Verdana"/>
          <w:i/>
          <w:sz w:val="20"/>
          <w:szCs w:val="20"/>
          <w:lang w:val="en-US"/>
        </w:rPr>
        <w:t>Sarayaku</w:t>
      </w:r>
      <w:r w:rsidRPr="002D0A21">
        <w:rPr>
          <w:rFonts w:ascii="Verdana" w:hAnsi="Verdana"/>
          <w:sz w:val="20"/>
          <w:szCs w:val="20"/>
          <w:lang w:val="en-US"/>
        </w:rPr>
        <w:t xml:space="preserve"> case:</w:t>
      </w:r>
    </w:p>
    <w:p w14:paraId="32117608" w14:textId="77777777" w:rsidR="007624ED" w:rsidRPr="002D0A21" w:rsidRDefault="007624ED" w:rsidP="007624ED">
      <w:pPr>
        <w:pStyle w:val="Estilo1"/>
        <w:numPr>
          <w:ilvl w:val="0"/>
          <w:numId w:val="0"/>
        </w:numPr>
        <w:spacing w:after="0"/>
        <w:rPr>
          <w:rFonts w:ascii="Verdana" w:hAnsi="Verdana"/>
          <w:sz w:val="20"/>
          <w:szCs w:val="20"/>
          <w:lang w:val="en-US"/>
        </w:rPr>
      </w:pPr>
    </w:p>
    <w:p w14:paraId="3DD1F621" w14:textId="544A139B" w:rsidR="00020484" w:rsidRPr="002D0A21" w:rsidRDefault="00480333" w:rsidP="00E76C57">
      <w:pPr>
        <w:tabs>
          <w:tab w:val="left" w:pos="9000"/>
        </w:tabs>
        <w:spacing w:after="0" w:line="240" w:lineRule="auto"/>
        <w:ind w:left="720"/>
        <w:jc w:val="both"/>
        <w:rPr>
          <w:rFonts w:ascii="Verdana" w:hAnsi="Verdana"/>
          <w:sz w:val="20"/>
          <w:szCs w:val="20"/>
          <w:lang w:val="en-US"/>
        </w:rPr>
      </w:pPr>
      <w:r w:rsidRPr="002D0A21">
        <w:rPr>
          <w:rFonts w:ascii="Verdana" w:hAnsi="Verdana"/>
          <w:sz w:val="20"/>
          <w:szCs w:val="20"/>
          <w:lang w:val="en-US"/>
        </w:rPr>
        <w:t>[R]</w:t>
      </w:r>
      <w:r w:rsidR="00CE59E4" w:rsidRPr="002D0A21">
        <w:rPr>
          <w:rFonts w:ascii="Verdana" w:hAnsi="Verdana"/>
          <w:sz w:val="20"/>
          <w:szCs w:val="20"/>
          <w:lang w:val="en-US"/>
        </w:rPr>
        <w:t xml:space="preserve">egarding the alleged violation of Articles 13, 23 and 26 of the Convention, the Court agrees with the Commission that, in cases such as this one, access to information is vital for effective democratic monitoring of the State’s management of </w:t>
      </w:r>
      <w:r w:rsidR="000218C2" w:rsidRPr="002D0A21">
        <w:rPr>
          <w:rFonts w:ascii="Verdana" w:hAnsi="Verdana"/>
          <w:sz w:val="20"/>
          <w:szCs w:val="20"/>
          <w:lang w:val="en-US"/>
        </w:rPr>
        <w:t xml:space="preserve">the </w:t>
      </w:r>
      <w:r w:rsidR="00CE59E4" w:rsidRPr="002D0A21">
        <w:rPr>
          <w:rFonts w:ascii="Verdana" w:hAnsi="Verdana"/>
          <w:sz w:val="20"/>
          <w:szCs w:val="20"/>
          <w:lang w:val="en-US"/>
        </w:rPr>
        <w:t xml:space="preserve">exploration and exploitation of natural resources on the territory of indigenous communities, a matter of evident public interest. Nevertheless, </w:t>
      </w:r>
      <w:r w:rsidR="00CE59E4" w:rsidRPr="002D0A21">
        <w:rPr>
          <w:rFonts w:ascii="Verdana" w:hAnsi="Verdana"/>
          <w:i/>
          <w:sz w:val="20"/>
          <w:szCs w:val="20"/>
          <w:lang w:val="en-US"/>
        </w:rPr>
        <w:t>the Court considers that, in this case, the facts have been sufficiently analyzed and the violations conceptualized under the rights to communal property, consultation and cultural identity of the Sarayaku People, in the terms of Article 21 of the Convention, in relation to Articles 1(1) and 2 thereof; accordingly, it will not rule on the alleged violation of those provisions</w:t>
      </w:r>
      <w:r w:rsidR="00CE59E4" w:rsidRPr="002D0A21">
        <w:rPr>
          <w:rFonts w:ascii="Verdana" w:hAnsi="Verdana"/>
          <w:sz w:val="20"/>
          <w:szCs w:val="20"/>
          <w:lang w:val="en-US"/>
        </w:rPr>
        <w:t>.</w:t>
      </w:r>
      <w:r w:rsidR="00065836" w:rsidRPr="002D0A21">
        <w:rPr>
          <w:rStyle w:val="FootnoteReference"/>
          <w:rFonts w:ascii="Verdana" w:hAnsi="Verdana"/>
          <w:sz w:val="20"/>
          <w:szCs w:val="20"/>
          <w:lang w:val="en-US"/>
        </w:rPr>
        <w:footnoteReference w:id="7"/>
      </w:r>
    </w:p>
    <w:p w14:paraId="62E9F083" w14:textId="77777777" w:rsidR="007624ED" w:rsidRPr="002D0A21" w:rsidRDefault="007624ED" w:rsidP="007624ED">
      <w:pPr>
        <w:pStyle w:val="Estilo3"/>
        <w:spacing w:after="0"/>
        <w:rPr>
          <w:rFonts w:ascii="Verdana" w:hAnsi="Verdana"/>
          <w:i w:val="0"/>
          <w:sz w:val="20"/>
          <w:szCs w:val="20"/>
          <w:lang w:val="en-US"/>
        </w:rPr>
      </w:pPr>
    </w:p>
    <w:p w14:paraId="5C5A2B96" w14:textId="4C69F65A" w:rsidR="000218C2" w:rsidRPr="002D0A21" w:rsidRDefault="00480333" w:rsidP="000218C2">
      <w:pPr>
        <w:pStyle w:val="Estilo1"/>
        <w:spacing w:after="0"/>
        <w:rPr>
          <w:rFonts w:ascii="Verdana" w:hAnsi="Verdana"/>
          <w:sz w:val="20"/>
          <w:szCs w:val="20"/>
          <w:lang w:val="en-US"/>
        </w:rPr>
      </w:pPr>
      <w:r w:rsidRPr="002D0A21">
        <w:rPr>
          <w:rFonts w:ascii="Verdana" w:hAnsi="Verdana"/>
          <w:sz w:val="20"/>
          <w:szCs w:val="20"/>
          <w:lang w:val="en-US"/>
        </w:rPr>
        <w:t>In the instant ca</w:t>
      </w:r>
      <w:r w:rsidR="000218C2" w:rsidRPr="002D0A21">
        <w:rPr>
          <w:rFonts w:ascii="Verdana" w:hAnsi="Verdana"/>
          <w:sz w:val="20"/>
          <w:szCs w:val="20"/>
          <w:lang w:val="en-US"/>
        </w:rPr>
        <w:t>s</w:t>
      </w:r>
      <w:r w:rsidRPr="002D0A21">
        <w:rPr>
          <w:rFonts w:ascii="Verdana" w:hAnsi="Verdana"/>
          <w:sz w:val="20"/>
          <w:szCs w:val="20"/>
          <w:lang w:val="en-US"/>
        </w:rPr>
        <w:t>e, the Court considered the po</w:t>
      </w:r>
      <w:r w:rsidR="000218C2" w:rsidRPr="002D0A21">
        <w:rPr>
          <w:rFonts w:ascii="Verdana" w:hAnsi="Verdana"/>
          <w:sz w:val="20"/>
          <w:szCs w:val="20"/>
          <w:lang w:val="en-US"/>
        </w:rPr>
        <w:t>s</w:t>
      </w:r>
      <w:r w:rsidRPr="002D0A21">
        <w:rPr>
          <w:rFonts w:ascii="Verdana" w:hAnsi="Verdana"/>
          <w:sz w:val="20"/>
          <w:szCs w:val="20"/>
          <w:lang w:val="en-US"/>
        </w:rPr>
        <w:t xml:space="preserve">sible violation of </w:t>
      </w:r>
      <w:r w:rsidR="00AB5688">
        <w:rPr>
          <w:rFonts w:ascii="Verdana" w:hAnsi="Verdana"/>
          <w:sz w:val="20"/>
          <w:szCs w:val="20"/>
          <w:lang w:val="en-US"/>
        </w:rPr>
        <w:t>Article</w:t>
      </w:r>
      <w:r w:rsidR="00B55A11" w:rsidRPr="002D0A21">
        <w:rPr>
          <w:rFonts w:ascii="Verdana" w:hAnsi="Verdana"/>
          <w:sz w:val="20"/>
          <w:szCs w:val="20"/>
          <w:lang w:val="en-US"/>
        </w:rPr>
        <w:t xml:space="preserve"> 13 </w:t>
      </w:r>
      <w:r w:rsidRPr="002D0A21">
        <w:rPr>
          <w:rFonts w:ascii="Verdana" w:hAnsi="Verdana"/>
          <w:i/>
          <w:sz w:val="20"/>
          <w:szCs w:val="20"/>
          <w:lang w:val="en-US"/>
        </w:rPr>
        <w:t>ex officio</w:t>
      </w:r>
      <w:r w:rsidR="00B55A11" w:rsidRPr="002D0A21">
        <w:rPr>
          <w:rFonts w:ascii="Verdana" w:hAnsi="Verdana"/>
          <w:sz w:val="20"/>
          <w:szCs w:val="20"/>
          <w:lang w:val="en-US"/>
        </w:rPr>
        <w:t>,</w:t>
      </w:r>
      <w:r w:rsidR="000218C2" w:rsidRPr="002D0A21">
        <w:rPr>
          <w:rFonts w:ascii="Verdana" w:hAnsi="Verdana"/>
          <w:sz w:val="20"/>
          <w:szCs w:val="20"/>
          <w:lang w:val="en-US"/>
        </w:rPr>
        <w:t xml:space="preserve"> because it had not been alleged by either the Commission or the presumed victims.</w:t>
      </w:r>
      <w:r w:rsidR="00B55A11" w:rsidRPr="002D0A21">
        <w:rPr>
          <w:rStyle w:val="FootnoteReference"/>
          <w:rFonts w:ascii="Verdana" w:hAnsi="Verdana"/>
          <w:sz w:val="20"/>
          <w:szCs w:val="20"/>
          <w:lang w:val="en-US"/>
        </w:rPr>
        <w:footnoteReference w:id="8"/>
      </w:r>
      <w:r w:rsidR="000218C2" w:rsidRPr="002D0A21">
        <w:rPr>
          <w:rFonts w:ascii="Verdana" w:hAnsi="Verdana"/>
          <w:sz w:val="20"/>
          <w:szCs w:val="20"/>
          <w:lang w:val="en-US"/>
        </w:rPr>
        <w:t xml:space="preserve"> It immediately began to examin</w:t>
      </w:r>
      <w:r w:rsidR="00AB5688">
        <w:rPr>
          <w:rFonts w:ascii="Verdana" w:hAnsi="Verdana"/>
          <w:sz w:val="20"/>
          <w:szCs w:val="20"/>
          <w:lang w:val="en-US"/>
        </w:rPr>
        <w:t>e the possible violation of Article</w:t>
      </w:r>
      <w:r w:rsidR="000218C2" w:rsidRPr="002D0A21">
        <w:rPr>
          <w:rFonts w:ascii="Verdana" w:hAnsi="Verdana"/>
          <w:sz w:val="20"/>
          <w:szCs w:val="20"/>
          <w:lang w:val="en-US"/>
        </w:rPr>
        <w:t xml:space="preserve"> 13 consisting in the “the State’s failure to answer the request for information on the property titles, which the victims have alleged.”</w:t>
      </w:r>
      <w:r w:rsidR="000218C2" w:rsidRPr="002D0A21">
        <w:rPr>
          <w:rStyle w:val="FootnoteReference"/>
          <w:rFonts w:ascii="Verdana" w:hAnsi="Verdana"/>
          <w:sz w:val="20"/>
          <w:szCs w:val="20"/>
          <w:lang w:val="en-US"/>
        </w:rPr>
        <w:footnoteReference w:id="9"/>
      </w:r>
      <w:r w:rsidR="000218C2" w:rsidRPr="002D0A21">
        <w:rPr>
          <w:rFonts w:ascii="Verdana" w:hAnsi="Verdana"/>
          <w:sz w:val="20"/>
          <w:szCs w:val="20"/>
          <w:lang w:val="en-US"/>
        </w:rPr>
        <w:t xml:space="preserve"> More precisely, this was a request “to clarify and produce the relevant documents that prove whether the persons identified above [H.J. De Vries and Harrold Sijlbing] possess valid land titles in the village of Pierrekondre; and if so, [to explain] the nature of those titles and whether the said persons had permission to build houses and/or stores under them. [They] asked that this information be provided in writing and discussed with [them] as soon as it was available.”</w:t>
      </w:r>
      <w:r w:rsidR="000218C2" w:rsidRPr="002D0A21">
        <w:rPr>
          <w:rStyle w:val="FootnoteReference"/>
          <w:rFonts w:ascii="Verdana" w:hAnsi="Verdana"/>
          <w:sz w:val="20"/>
          <w:szCs w:val="20"/>
          <w:lang w:val="en-US"/>
        </w:rPr>
        <w:footnoteReference w:id="10"/>
      </w:r>
      <w:r w:rsidR="000218C2" w:rsidRPr="002D0A21">
        <w:rPr>
          <w:rFonts w:ascii="Verdana" w:hAnsi="Verdana"/>
          <w:sz w:val="20"/>
          <w:szCs w:val="20"/>
          <w:lang w:val="en-US"/>
        </w:rPr>
        <w:t xml:space="preserve"> It is clear that this request for information is unrelated to “a matter o</w:t>
      </w:r>
      <w:r w:rsidR="00AB5688">
        <w:rPr>
          <w:rFonts w:ascii="Verdana" w:hAnsi="Verdana"/>
          <w:sz w:val="20"/>
          <w:szCs w:val="20"/>
          <w:lang w:val="en-US"/>
        </w:rPr>
        <w:t xml:space="preserve">f evident public interest,” </w:t>
      </w:r>
      <w:r w:rsidR="000218C2" w:rsidRPr="002D0A21">
        <w:rPr>
          <w:rFonts w:ascii="Verdana" w:hAnsi="Verdana"/>
          <w:sz w:val="20"/>
          <w:szCs w:val="20"/>
          <w:lang w:val="en-US"/>
        </w:rPr>
        <w:t xml:space="preserve">rather </w:t>
      </w:r>
      <w:r w:rsidR="00AB5688">
        <w:rPr>
          <w:rFonts w:ascii="Verdana" w:hAnsi="Verdana"/>
          <w:sz w:val="20"/>
          <w:szCs w:val="20"/>
          <w:lang w:val="en-US"/>
        </w:rPr>
        <w:t xml:space="preserve">it refers </w:t>
      </w:r>
      <w:r w:rsidR="000218C2" w:rsidRPr="002D0A21">
        <w:rPr>
          <w:rFonts w:ascii="Verdana" w:hAnsi="Verdana"/>
          <w:sz w:val="20"/>
          <w:szCs w:val="20"/>
          <w:lang w:val="en-US"/>
        </w:rPr>
        <w:t>to a matter of interest to the Kaliña and Lokono indigenous peoples in order to exercise their ri</w:t>
      </w:r>
      <w:r w:rsidR="00564C07">
        <w:rPr>
          <w:rFonts w:ascii="Verdana" w:hAnsi="Verdana"/>
          <w:sz w:val="20"/>
          <w:szCs w:val="20"/>
          <w:lang w:val="en-US"/>
        </w:rPr>
        <w:t xml:space="preserve">ght to </w:t>
      </w:r>
      <w:r w:rsidR="00564C07">
        <w:rPr>
          <w:rFonts w:ascii="Verdana" w:hAnsi="Verdana"/>
          <w:sz w:val="20"/>
          <w:szCs w:val="20"/>
          <w:lang w:val="en-US"/>
        </w:rPr>
        <w:lastRenderedPageBreak/>
        <w:t>judicial protection (Article</w:t>
      </w:r>
      <w:r w:rsidR="000218C2" w:rsidRPr="002D0A21">
        <w:rPr>
          <w:rFonts w:ascii="Verdana" w:hAnsi="Verdana"/>
          <w:sz w:val="20"/>
          <w:szCs w:val="20"/>
          <w:lang w:val="en-US"/>
        </w:rPr>
        <w:t xml:space="preserve"> 25) in relation to their rights to collective property, participation and consultation.</w:t>
      </w:r>
    </w:p>
    <w:p w14:paraId="43BCC91A" w14:textId="77777777" w:rsidR="007624ED" w:rsidRPr="002D0A21" w:rsidRDefault="007624ED" w:rsidP="007624ED">
      <w:pPr>
        <w:pStyle w:val="Estilo1"/>
        <w:numPr>
          <w:ilvl w:val="0"/>
          <w:numId w:val="0"/>
        </w:numPr>
        <w:spacing w:after="0"/>
        <w:rPr>
          <w:rFonts w:ascii="Verdana" w:hAnsi="Verdana"/>
          <w:sz w:val="20"/>
          <w:szCs w:val="20"/>
          <w:lang w:val="en-US"/>
        </w:rPr>
      </w:pPr>
    </w:p>
    <w:p w14:paraId="3DD1F623" w14:textId="39586763" w:rsidR="00600105" w:rsidRPr="002D0A21" w:rsidRDefault="000218C2" w:rsidP="000218C2">
      <w:pPr>
        <w:pStyle w:val="Estilo1"/>
        <w:spacing w:after="0"/>
        <w:rPr>
          <w:rFonts w:ascii="Verdana" w:hAnsi="Verdana"/>
          <w:sz w:val="20"/>
          <w:szCs w:val="20"/>
          <w:lang w:val="en-US"/>
        </w:rPr>
      </w:pPr>
      <w:r w:rsidRPr="002D0A21">
        <w:rPr>
          <w:rFonts w:ascii="Verdana" w:hAnsi="Verdana"/>
          <w:sz w:val="20"/>
          <w:szCs w:val="20"/>
          <w:lang w:val="en-US"/>
        </w:rPr>
        <w:t xml:space="preserve">To the contrary, the freedom of information recognized in </w:t>
      </w:r>
      <w:r w:rsidR="00FA543D" w:rsidRPr="002D0A21">
        <w:rPr>
          <w:rFonts w:ascii="Verdana" w:hAnsi="Verdana"/>
          <w:sz w:val="20"/>
          <w:szCs w:val="20"/>
          <w:lang w:val="en-US"/>
        </w:rPr>
        <w:t>Article</w:t>
      </w:r>
      <w:r w:rsidR="003E22F4" w:rsidRPr="002D0A21">
        <w:rPr>
          <w:rFonts w:ascii="Verdana" w:hAnsi="Verdana"/>
          <w:sz w:val="20"/>
          <w:szCs w:val="20"/>
          <w:lang w:val="en-US"/>
        </w:rPr>
        <w:t xml:space="preserve"> 13 </w:t>
      </w:r>
      <w:r w:rsidRPr="002D0A21">
        <w:rPr>
          <w:rFonts w:ascii="Verdana" w:hAnsi="Verdana"/>
          <w:sz w:val="20"/>
          <w:szCs w:val="20"/>
          <w:lang w:val="en-US"/>
        </w:rPr>
        <w:t>of</w:t>
      </w:r>
      <w:r w:rsidR="003E22F4" w:rsidRPr="002D0A21">
        <w:rPr>
          <w:rFonts w:ascii="Verdana" w:hAnsi="Verdana"/>
          <w:sz w:val="20"/>
          <w:szCs w:val="20"/>
          <w:lang w:val="en-US"/>
        </w:rPr>
        <w:t xml:space="preserve"> </w:t>
      </w:r>
      <w:r w:rsidR="00FA543D" w:rsidRPr="002D0A21">
        <w:rPr>
          <w:rFonts w:ascii="Verdana" w:hAnsi="Verdana"/>
          <w:sz w:val="20"/>
          <w:szCs w:val="20"/>
          <w:lang w:val="en-US"/>
        </w:rPr>
        <w:t>the Convention</w:t>
      </w:r>
      <w:r w:rsidRPr="002D0A21">
        <w:rPr>
          <w:rFonts w:ascii="Verdana" w:hAnsi="Verdana"/>
          <w:sz w:val="20"/>
          <w:szCs w:val="20"/>
          <w:lang w:val="en-US"/>
        </w:rPr>
        <w:t xml:space="preserve"> refers (in the terms transcribed above from the judgment in the Sarayaku case) to “information [that] is vital for effective democratic monitoring of the State’s management of the exploration and exploitation of natural resources on the territory of indigenous communities.” The instant case does not relate to the “democratic control of the State’s management,” but to the exercise of the specific rights mentioned at the end of the preceding paragraph. As the judgment indicates, “the information requested was important documentation to provide the Kaliña and Lokono peoples</w:t>
      </w:r>
      <w:r w:rsidRPr="002D0A21">
        <w:rPr>
          <w:rFonts w:ascii="Verdana" w:hAnsi="Verdana"/>
          <w:b/>
          <w:sz w:val="20"/>
          <w:szCs w:val="20"/>
          <w:lang w:val="en-US"/>
        </w:rPr>
        <w:t xml:space="preserve"> </w:t>
      </w:r>
      <w:r w:rsidRPr="002D0A21">
        <w:rPr>
          <w:rFonts w:ascii="Verdana" w:hAnsi="Verdana"/>
          <w:sz w:val="20"/>
          <w:szCs w:val="20"/>
          <w:lang w:val="en-US"/>
        </w:rPr>
        <w:t>with precise facts on how many individuals from outside their communities were in the area, and the legal situation of the land ownership. Thus, the information could have provided them with additional evidence when filing their claims in the domestic jurisdiction.</w:t>
      </w:r>
      <w:r w:rsidR="00F61931" w:rsidRPr="002D0A21">
        <w:rPr>
          <w:rFonts w:ascii="Verdana" w:hAnsi="Verdana"/>
          <w:sz w:val="20"/>
          <w:szCs w:val="20"/>
          <w:lang w:val="en-US"/>
        </w:rPr>
        <w:t>”</w:t>
      </w:r>
      <w:r w:rsidR="00F1117A" w:rsidRPr="002D0A21">
        <w:rPr>
          <w:rStyle w:val="FootnoteReference"/>
          <w:rFonts w:ascii="Verdana" w:hAnsi="Verdana"/>
          <w:sz w:val="20"/>
          <w:szCs w:val="20"/>
          <w:lang w:val="en-US"/>
        </w:rPr>
        <w:footnoteReference w:id="11"/>
      </w:r>
    </w:p>
    <w:p w14:paraId="3C7BB96C" w14:textId="77777777" w:rsidR="007624ED" w:rsidRPr="002D0A21" w:rsidRDefault="007624ED" w:rsidP="007624ED">
      <w:pPr>
        <w:pStyle w:val="Estilo1"/>
        <w:numPr>
          <w:ilvl w:val="0"/>
          <w:numId w:val="0"/>
        </w:numPr>
        <w:spacing w:after="0"/>
        <w:rPr>
          <w:rFonts w:ascii="Verdana" w:hAnsi="Verdana"/>
          <w:sz w:val="20"/>
          <w:szCs w:val="20"/>
          <w:lang w:val="en-US"/>
        </w:rPr>
      </w:pPr>
    </w:p>
    <w:p w14:paraId="3DD1F624" w14:textId="3B4AAD8E" w:rsidR="00B173B5" w:rsidRPr="002D0A21" w:rsidRDefault="000218C2" w:rsidP="007624ED">
      <w:pPr>
        <w:pStyle w:val="Estilo1"/>
        <w:spacing w:after="0"/>
        <w:rPr>
          <w:rFonts w:ascii="Verdana" w:hAnsi="Verdana"/>
          <w:sz w:val="20"/>
          <w:szCs w:val="20"/>
          <w:lang w:val="en-US"/>
        </w:rPr>
      </w:pPr>
      <w:r w:rsidRPr="002D0A21">
        <w:rPr>
          <w:rFonts w:ascii="Verdana" w:hAnsi="Verdana"/>
          <w:sz w:val="20"/>
          <w:szCs w:val="20"/>
          <w:lang w:val="en-US"/>
        </w:rPr>
        <w:t xml:space="preserve">Therefore, it was not in order to declare a violation of </w:t>
      </w:r>
      <w:r w:rsidR="00FA543D" w:rsidRPr="002D0A21">
        <w:rPr>
          <w:rFonts w:ascii="Verdana" w:hAnsi="Verdana"/>
          <w:sz w:val="20"/>
          <w:szCs w:val="20"/>
          <w:lang w:val="en-US"/>
        </w:rPr>
        <w:t>Article</w:t>
      </w:r>
      <w:r w:rsidRPr="002D0A21">
        <w:rPr>
          <w:rFonts w:ascii="Verdana" w:hAnsi="Verdana"/>
          <w:sz w:val="20"/>
          <w:szCs w:val="20"/>
          <w:lang w:val="en-US"/>
        </w:rPr>
        <w:t xml:space="preserve"> 13 of</w:t>
      </w:r>
      <w:r w:rsidR="00B173B5" w:rsidRPr="002D0A21">
        <w:rPr>
          <w:rFonts w:ascii="Verdana" w:hAnsi="Verdana"/>
          <w:sz w:val="20"/>
          <w:szCs w:val="20"/>
          <w:lang w:val="en-US"/>
        </w:rPr>
        <w:t xml:space="preserve"> </w:t>
      </w:r>
      <w:r w:rsidR="00FA543D" w:rsidRPr="002D0A21">
        <w:rPr>
          <w:rFonts w:ascii="Verdana" w:hAnsi="Verdana"/>
          <w:sz w:val="20"/>
          <w:szCs w:val="20"/>
          <w:lang w:val="en-US"/>
        </w:rPr>
        <w:t>the Convention</w:t>
      </w:r>
      <w:r w:rsidRPr="002D0A21">
        <w:rPr>
          <w:rFonts w:ascii="Verdana" w:hAnsi="Verdana"/>
          <w:sz w:val="20"/>
          <w:szCs w:val="20"/>
          <w:lang w:val="en-US"/>
        </w:rPr>
        <w:t xml:space="preserve">; rather it was sufficient to </w:t>
      </w:r>
      <w:r w:rsidR="002D0A21" w:rsidRPr="002D0A21">
        <w:rPr>
          <w:rFonts w:ascii="Verdana" w:hAnsi="Verdana"/>
          <w:sz w:val="20"/>
          <w:szCs w:val="20"/>
          <w:lang w:val="en-US"/>
        </w:rPr>
        <w:t>declare</w:t>
      </w:r>
      <w:r w:rsidRPr="002D0A21">
        <w:rPr>
          <w:rFonts w:ascii="Verdana" w:hAnsi="Verdana"/>
          <w:sz w:val="20"/>
          <w:szCs w:val="20"/>
          <w:lang w:val="en-US"/>
        </w:rPr>
        <w:t xml:space="preserve"> the violation of </w:t>
      </w:r>
      <w:r w:rsidR="00FA543D" w:rsidRPr="002D0A21">
        <w:rPr>
          <w:rFonts w:ascii="Verdana" w:hAnsi="Verdana"/>
          <w:sz w:val="20"/>
          <w:szCs w:val="20"/>
          <w:lang w:val="en-US"/>
        </w:rPr>
        <w:t>Article</w:t>
      </w:r>
      <w:r w:rsidR="00B173B5" w:rsidRPr="002D0A21">
        <w:rPr>
          <w:rFonts w:ascii="Verdana" w:hAnsi="Verdana"/>
          <w:sz w:val="20"/>
          <w:szCs w:val="20"/>
          <w:lang w:val="en-US"/>
        </w:rPr>
        <w:t xml:space="preserve"> 25 </w:t>
      </w:r>
      <w:r w:rsidRPr="002D0A21">
        <w:rPr>
          <w:rFonts w:ascii="Verdana" w:hAnsi="Verdana"/>
          <w:sz w:val="20"/>
          <w:szCs w:val="20"/>
          <w:lang w:val="en-US"/>
        </w:rPr>
        <w:t>(Right to Judicial Protection).</w:t>
      </w:r>
    </w:p>
    <w:p w14:paraId="1C80950C" w14:textId="77777777" w:rsidR="007624ED" w:rsidRPr="002D0A21" w:rsidRDefault="007624ED" w:rsidP="007624ED">
      <w:pPr>
        <w:pStyle w:val="Estilo1"/>
        <w:numPr>
          <w:ilvl w:val="0"/>
          <w:numId w:val="0"/>
        </w:numPr>
        <w:spacing w:after="0"/>
        <w:rPr>
          <w:rFonts w:ascii="Verdana" w:hAnsi="Verdana"/>
          <w:sz w:val="20"/>
          <w:szCs w:val="20"/>
          <w:lang w:val="en-US"/>
        </w:rPr>
      </w:pPr>
    </w:p>
    <w:p w14:paraId="3DD1F625" w14:textId="0A0B20BC" w:rsidR="00080510" w:rsidRPr="002D0A21" w:rsidRDefault="00FA543D" w:rsidP="007624ED">
      <w:pPr>
        <w:pStyle w:val="Estilo1"/>
        <w:numPr>
          <w:ilvl w:val="0"/>
          <w:numId w:val="2"/>
        </w:numPr>
        <w:spacing w:after="0"/>
        <w:jc w:val="center"/>
        <w:rPr>
          <w:rFonts w:ascii="Verdana" w:hAnsi="Verdana"/>
          <w:b/>
          <w:sz w:val="20"/>
          <w:szCs w:val="20"/>
          <w:lang w:val="en-US"/>
        </w:rPr>
      </w:pPr>
      <w:r w:rsidRPr="002D0A21">
        <w:rPr>
          <w:rFonts w:ascii="Verdana" w:hAnsi="Verdana"/>
          <w:b/>
          <w:sz w:val="20"/>
          <w:szCs w:val="20"/>
          <w:lang w:val="en-US"/>
        </w:rPr>
        <w:t>Article</w:t>
      </w:r>
      <w:r w:rsidR="00080510" w:rsidRPr="002D0A21">
        <w:rPr>
          <w:rFonts w:ascii="Verdana" w:hAnsi="Verdana"/>
          <w:b/>
          <w:sz w:val="20"/>
          <w:szCs w:val="20"/>
          <w:lang w:val="en-US"/>
        </w:rPr>
        <w:t xml:space="preserve"> 23 (</w:t>
      </w:r>
      <w:r w:rsidR="000218C2" w:rsidRPr="002D0A21">
        <w:rPr>
          <w:rFonts w:ascii="Verdana" w:hAnsi="Verdana"/>
          <w:b/>
          <w:sz w:val="20"/>
          <w:szCs w:val="20"/>
          <w:lang w:val="en-US"/>
        </w:rPr>
        <w:t>Right to Participate in Government</w:t>
      </w:r>
      <w:r w:rsidR="00B173B5" w:rsidRPr="002D0A21">
        <w:rPr>
          <w:rFonts w:ascii="Verdana" w:hAnsi="Verdana"/>
          <w:b/>
          <w:sz w:val="20"/>
          <w:szCs w:val="20"/>
          <w:lang w:val="en-US"/>
        </w:rPr>
        <w:t>)</w:t>
      </w:r>
      <w:r w:rsidR="000218C2" w:rsidRPr="002D0A21">
        <w:rPr>
          <w:rFonts w:ascii="Verdana" w:hAnsi="Verdana"/>
          <w:b/>
          <w:sz w:val="20"/>
          <w:szCs w:val="20"/>
          <w:lang w:val="en-US"/>
        </w:rPr>
        <w:t xml:space="preserve"> was not violated</w:t>
      </w:r>
    </w:p>
    <w:p w14:paraId="11DEF0CB" w14:textId="77777777" w:rsidR="007624ED" w:rsidRPr="002D0A21" w:rsidRDefault="007624ED" w:rsidP="007624ED">
      <w:pPr>
        <w:pStyle w:val="Estilo1"/>
        <w:numPr>
          <w:ilvl w:val="0"/>
          <w:numId w:val="0"/>
        </w:numPr>
        <w:spacing w:after="0"/>
        <w:ind w:left="1080"/>
        <w:rPr>
          <w:rFonts w:ascii="Verdana" w:hAnsi="Verdana"/>
          <w:b/>
          <w:sz w:val="20"/>
          <w:szCs w:val="20"/>
          <w:lang w:val="en-US"/>
        </w:rPr>
      </w:pPr>
    </w:p>
    <w:p w14:paraId="3DD1F626" w14:textId="3EF9BBE2" w:rsidR="00080510" w:rsidRPr="002D0A21" w:rsidRDefault="00564C07" w:rsidP="007624ED">
      <w:pPr>
        <w:pStyle w:val="Estilo1"/>
        <w:spacing w:after="0"/>
        <w:rPr>
          <w:rFonts w:ascii="Verdana" w:hAnsi="Verdana"/>
          <w:sz w:val="20"/>
          <w:szCs w:val="20"/>
          <w:lang w:val="en-US"/>
        </w:rPr>
      </w:pPr>
      <w:r>
        <w:rPr>
          <w:rFonts w:ascii="Verdana" w:hAnsi="Verdana"/>
          <w:sz w:val="20"/>
          <w:szCs w:val="20"/>
          <w:lang w:val="en-US"/>
        </w:rPr>
        <w:t xml:space="preserve">Article </w:t>
      </w:r>
      <w:r w:rsidR="00D46F07" w:rsidRPr="002D0A21">
        <w:rPr>
          <w:rFonts w:ascii="Verdana" w:hAnsi="Verdana"/>
          <w:sz w:val="20"/>
          <w:szCs w:val="20"/>
          <w:lang w:val="en-US"/>
        </w:rPr>
        <w:t xml:space="preserve">23 </w:t>
      </w:r>
      <w:r w:rsidR="000218C2" w:rsidRPr="002D0A21">
        <w:rPr>
          <w:rFonts w:ascii="Verdana" w:hAnsi="Verdana"/>
          <w:sz w:val="20"/>
          <w:szCs w:val="20"/>
          <w:lang w:val="en-US"/>
        </w:rPr>
        <w:t>of</w:t>
      </w:r>
      <w:r w:rsidR="00F61931" w:rsidRPr="002D0A21">
        <w:rPr>
          <w:rFonts w:ascii="Verdana" w:hAnsi="Verdana"/>
          <w:sz w:val="20"/>
          <w:szCs w:val="20"/>
          <w:lang w:val="en-US"/>
        </w:rPr>
        <w:t xml:space="preserve"> </w:t>
      </w:r>
      <w:r w:rsidR="00FA543D" w:rsidRPr="002D0A21">
        <w:rPr>
          <w:rFonts w:ascii="Verdana" w:hAnsi="Verdana"/>
          <w:sz w:val="20"/>
          <w:szCs w:val="20"/>
          <w:lang w:val="en-US"/>
        </w:rPr>
        <w:t>the American Convention</w:t>
      </w:r>
      <w:r w:rsidR="00F61931" w:rsidRPr="002D0A21">
        <w:rPr>
          <w:rFonts w:ascii="Verdana" w:hAnsi="Verdana"/>
          <w:sz w:val="20"/>
          <w:szCs w:val="20"/>
          <w:lang w:val="en-US"/>
        </w:rPr>
        <w:t xml:space="preserve"> </w:t>
      </w:r>
      <w:r w:rsidR="000218C2" w:rsidRPr="002D0A21">
        <w:rPr>
          <w:rFonts w:ascii="Verdana" w:hAnsi="Verdana"/>
          <w:sz w:val="20"/>
          <w:szCs w:val="20"/>
          <w:lang w:val="en-US"/>
        </w:rPr>
        <w:t>establishes the following</w:t>
      </w:r>
      <w:r w:rsidR="00D46F07" w:rsidRPr="002D0A21">
        <w:rPr>
          <w:rFonts w:ascii="Verdana" w:hAnsi="Verdana"/>
          <w:sz w:val="20"/>
          <w:szCs w:val="20"/>
          <w:lang w:val="en-US"/>
        </w:rPr>
        <w:t>:</w:t>
      </w:r>
    </w:p>
    <w:p w14:paraId="30C86327" w14:textId="77777777" w:rsidR="007624ED" w:rsidRPr="002D0A21" w:rsidRDefault="007624ED" w:rsidP="00AB5688">
      <w:pPr>
        <w:pStyle w:val="Estilo1"/>
        <w:numPr>
          <w:ilvl w:val="0"/>
          <w:numId w:val="0"/>
        </w:numPr>
        <w:spacing w:after="0"/>
        <w:ind w:right="386"/>
        <w:rPr>
          <w:rFonts w:ascii="Verdana" w:hAnsi="Verdana"/>
          <w:sz w:val="20"/>
          <w:szCs w:val="20"/>
          <w:lang w:val="en-US"/>
        </w:rPr>
      </w:pPr>
    </w:p>
    <w:p w14:paraId="3DD1F627" w14:textId="083868E1" w:rsidR="00D46F07" w:rsidRPr="002D0A21" w:rsidRDefault="00FA543D" w:rsidP="00AB5688">
      <w:pPr>
        <w:pStyle w:val="Estilo2"/>
        <w:spacing w:after="0"/>
        <w:ind w:right="386"/>
        <w:rPr>
          <w:rFonts w:ascii="Verdana" w:hAnsi="Verdana"/>
          <w:sz w:val="20"/>
          <w:szCs w:val="20"/>
          <w:lang w:val="en-US"/>
        </w:rPr>
      </w:pPr>
      <w:r w:rsidRPr="002D0A21">
        <w:rPr>
          <w:rFonts w:ascii="Verdana" w:hAnsi="Verdana"/>
          <w:sz w:val="20"/>
          <w:szCs w:val="20"/>
          <w:lang w:val="en-US"/>
        </w:rPr>
        <w:t>Article</w:t>
      </w:r>
      <w:r w:rsidR="00D46F07" w:rsidRPr="002D0A21">
        <w:rPr>
          <w:rFonts w:ascii="Verdana" w:hAnsi="Verdana"/>
          <w:sz w:val="20"/>
          <w:szCs w:val="20"/>
          <w:lang w:val="en-US"/>
        </w:rPr>
        <w:t xml:space="preserve"> 23.  </w:t>
      </w:r>
      <w:r w:rsidR="000218C2" w:rsidRPr="002D0A21">
        <w:rPr>
          <w:rFonts w:ascii="Verdana" w:hAnsi="Verdana"/>
          <w:sz w:val="20"/>
          <w:szCs w:val="20"/>
          <w:lang w:val="en-US"/>
        </w:rPr>
        <w:t>Right to Participate in Government</w:t>
      </w:r>
      <w:r w:rsidR="00D46F07" w:rsidRPr="002D0A21">
        <w:rPr>
          <w:rFonts w:ascii="Verdana" w:hAnsi="Verdana"/>
          <w:sz w:val="20"/>
          <w:szCs w:val="20"/>
          <w:lang w:val="en-US"/>
        </w:rPr>
        <w:t xml:space="preserve"> </w:t>
      </w:r>
    </w:p>
    <w:p w14:paraId="1290ACFB" w14:textId="77777777" w:rsidR="007624ED" w:rsidRPr="002D0A21" w:rsidRDefault="007624ED" w:rsidP="00AB5688">
      <w:pPr>
        <w:pStyle w:val="Estilo2"/>
        <w:spacing w:after="0"/>
        <w:ind w:right="386"/>
        <w:rPr>
          <w:rFonts w:ascii="Verdana" w:hAnsi="Verdana"/>
          <w:sz w:val="20"/>
          <w:szCs w:val="20"/>
          <w:lang w:val="en-US"/>
        </w:rPr>
      </w:pPr>
    </w:p>
    <w:p w14:paraId="217509C4" w14:textId="52737A86" w:rsidR="000218C2" w:rsidRPr="002D0A21" w:rsidRDefault="000218C2" w:rsidP="00E76C57">
      <w:pPr>
        <w:tabs>
          <w:tab w:val="left" w:pos="720"/>
          <w:tab w:val="left" w:pos="1080"/>
          <w:tab w:val="left" w:pos="1680"/>
          <w:tab w:val="left" w:pos="5400"/>
        </w:tabs>
        <w:suppressAutoHyphens/>
        <w:spacing w:after="0" w:line="240" w:lineRule="auto"/>
        <w:ind w:left="720"/>
        <w:jc w:val="both"/>
        <w:rPr>
          <w:rFonts w:ascii="Verdana" w:hAnsi="Verdana"/>
          <w:i/>
          <w:spacing w:val="-3"/>
          <w:sz w:val="20"/>
          <w:szCs w:val="20"/>
          <w:lang w:val="en-US"/>
        </w:rPr>
      </w:pPr>
      <w:r w:rsidRPr="002D0A21">
        <w:rPr>
          <w:rFonts w:ascii="Verdana" w:hAnsi="Verdana"/>
          <w:i/>
          <w:spacing w:val="-3"/>
          <w:sz w:val="20"/>
          <w:szCs w:val="20"/>
          <w:lang w:val="en-US"/>
        </w:rPr>
        <w:t>1.</w:t>
      </w:r>
      <w:r w:rsidRPr="002D0A21">
        <w:rPr>
          <w:rFonts w:ascii="Verdana" w:hAnsi="Verdana"/>
          <w:i/>
          <w:spacing w:val="-3"/>
          <w:sz w:val="20"/>
          <w:szCs w:val="20"/>
          <w:lang w:val="en-US"/>
        </w:rPr>
        <w:tab/>
        <w:t>Every citizen shall enjoy the following rights and opportunities:</w:t>
      </w:r>
    </w:p>
    <w:p w14:paraId="1ED1FB49" w14:textId="20B01516" w:rsidR="000218C2" w:rsidRPr="002D0A21" w:rsidRDefault="000218C2" w:rsidP="00E76C57">
      <w:pPr>
        <w:tabs>
          <w:tab w:val="left" w:pos="720"/>
          <w:tab w:val="left" w:pos="1080"/>
          <w:tab w:val="left" w:pos="1680"/>
          <w:tab w:val="left" w:pos="5400"/>
        </w:tabs>
        <w:suppressAutoHyphens/>
        <w:spacing w:after="0" w:line="240" w:lineRule="auto"/>
        <w:ind w:left="720" w:hanging="1080"/>
        <w:jc w:val="both"/>
        <w:rPr>
          <w:rFonts w:ascii="Verdana" w:hAnsi="Verdana"/>
          <w:i/>
          <w:spacing w:val="-3"/>
          <w:sz w:val="20"/>
          <w:szCs w:val="20"/>
          <w:lang w:val="en-US"/>
        </w:rPr>
      </w:pPr>
      <w:r w:rsidRPr="002D0A21">
        <w:rPr>
          <w:rFonts w:ascii="Verdana" w:hAnsi="Verdana"/>
          <w:i/>
          <w:spacing w:val="-3"/>
          <w:sz w:val="20"/>
          <w:szCs w:val="20"/>
          <w:lang w:val="en-US"/>
        </w:rPr>
        <w:tab/>
        <w:t>a.</w:t>
      </w:r>
      <w:r w:rsidRPr="002D0A21">
        <w:rPr>
          <w:rFonts w:ascii="Verdana" w:hAnsi="Verdana"/>
          <w:i/>
          <w:spacing w:val="-3"/>
          <w:sz w:val="20"/>
          <w:szCs w:val="20"/>
          <w:lang w:val="en-US"/>
        </w:rPr>
        <w:tab/>
        <w:t>to take part in the conduct of public affairs, directly or through freely chosen representatives;</w:t>
      </w:r>
    </w:p>
    <w:p w14:paraId="76898B61" w14:textId="26785706" w:rsidR="000218C2" w:rsidRPr="002D0A21" w:rsidRDefault="000218C2" w:rsidP="00E76C57">
      <w:pPr>
        <w:tabs>
          <w:tab w:val="left" w:pos="720"/>
          <w:tab w:val="left" w:pos="1080"/>
          <w:tab w:val="left" w:pos="1680"/>
          <w:tab w:val="left" w:pos="5400"/>
        </w:tabs>
        <w:suppressAutoHyphens/>
        <w:spacing w:after="0" w:line="240" w:lineRule="auto"/>
        <w:ind w:left="720" w:hanging="1080"/>
        <w:jc w:val="both"/>
        <w:rPr>
          <w:rFonts w:ascii="Verdana" w:hAnsi="Verdana"/>
          <w:i/>
          <w:spacing w:val="-3"/>
          <w:sz w:val="20"/>
          <w:szCs w:val="20"/>
          <w:lang w:val="en-US"/>
        </w:rPr>
      </w:pPr>
      <w:r w:rsidRPr="002D0A21">
        <w:rPr>
          <w:rFonts w:ascii="Verdana" w:hAnsi="Verdana"/>
          <w:i/>
          <w:spacing w:val="-3"/>
          <w:sz w:val="20"/>
          <w:szCs w:val="20"/>
          <w:lang w:val="en-US"/>
        </w:rPr>
        <w:tab/>
        <w:t>b.</w:t>
      </w:r>
      <w:r w:rsidRPr="002D0A21">
        <w:rPr>
          <w:rFonts w:ascii="Verdana" w:hAnsi="Verdana"/>
          <w:i/>
          <w:spacing w:val="-3"/>
          <w:sz w:val="20"/>
          <w:szCs w:val="20"/>
          <w:lang w:val="en-US"/>
        </w:rPr>
        <w:tab/>
        <w:t>to vote and to be elected in genuine periodic elections, which shall be by universal and equal suffrage and by secret ballot that guarantees the free expression of the will of the voters; and</w:t>
      </w:r>
    </w:p>
    <w:p w14:paraId="15B4FB42" w14:textId="77777777" w:rsidR="000218C2" w:rsidRPr="002D0A21" w:rsidRDefault="000218C2" w:rsidP="00E76C57">
      <w:pPr>
        <w:tabs>
          <w:tab w:val="left" w:pos="720"/>
          <w:tab w:val="left" w:pos="1080"/>
          <w:tab w:val="left" w:pos="1680"/>
          <w:tab w:val="left" w:pos="5400"/>
        </w:tabs>
        <w:suppressAutoHyphens/>
        <w:spacing w:after="0" w:line="240" w:lineRule="auto"/>
        <w:ind w:left="720" w:hanging="1080"/>
        <w:jc w:val="both"/>
        <w:rPr>
          <w:rFonts w:ascii="Verdana" w:hAnsi="Verdana"/>
          <w:i/>
          <w:spacing w:val="-3"/>
          <w:sz w:val="20"/>
          <w:szCs w:val="20"/>
          <w:lang w:val="en-US"/>
        </w:rPr>
      </w:pPr>
      <w:r w:rsidRPr="002D0A21">
        <w:rPr>
          <w:rFonts w:ascii="Verdana" w:hAnsi="Verdana"/>
          <w:i/>
          <w:spacing w:val="-3"/>
          <w:sz w:val="20"/>
          <w:szCs w:val="20"/>
          <w:lang w:val="en-US"/>
        </w:rPr>
        <w:tab/>
        <w:t>c.</w:t>
      </w:r>
      <w:r w:rsidRPr="002D0A21">
        <w:rPr>
          <w:rFonts w:ascii="Verdana" w:hAnsi="Verdana"/>
          <w:i/>
          <w:spacing w:val="-3"/>
          <w:sz w:val="20"/>
          <w:szCs w:val="20"/>
          <w:lang w:val="en-US"/>
        </w:rPr>
        <w:tab/>
        <w:t>to have access, under general conditions of equality, to the public service of his country.</w:t>
      </w:r>
    </w:p>
    <w:p w14:paraId="5B17BF8F" w14:textId="77777777" w:rsidR="000218C2" w:rsidRPr="002D0A21" w:rsidRDefault="000218C2" w:rsidP="00E76C57">
      <w:pPr>
        <w:tabs>
          <w:tab w:val="left" w:pos="480"/>
          <w:tab w:val="left" w:pos="1080"/>
          <w:tab w:val="left" w:pos="1680"/>
          <w:tab w:val="left" w:pos="5400"/>
        </w:tabs>
        <w:suppressAutoHyphens/>
        <w:spacing w:after="0" w:line="240" w:lineRule="auto"/>
        <w:ind w:left="720"/>
        <w:jc w:val="both"/>
        <w:rPr>
          <w:rFonts w:ascii="Verdana" w:hAnsi="Verdana"/>
          <w:i/>
          <w:spacing w:val="-3"/>
          <w:sz w:val="16"/>
          <w:szCs w:val="16"/>
          <w:lang w:val="en-US"/>
        </w:rPr>
      </w:pPr>
    </w:p>
    <w:p w14:paraId="391CADB6" w14:textId="71AF4849" w:rsidR="000218C2" w:rsidRPr="002D0A21" w:rsidRDefault="000218C2" w:rsidP="00E76C57">
      <w:pPr>
        <w:tabs>
          <w:tab w:val="left" w:pos="480"/>
          <w:tab w:val="left" w:pos="1080"/>
          <w:tab w:val="left" w:pos="1680"/>
          <w:tab w:val="left" w:pos="5400"/>
        </w:tabs>
        <w:suppressAutoHyphens/>
        <w:spacing w:after="0" w:line="240" w:lineRule="auto"/>
        <w:ind w:left="720"/>
        <w:jc w:val="both"/>
        <w:rPr>
          <w:rFonts w:ascii="Verdana" w:hAnsi="Verdana"/>
          <w:i/>
          <w:spacing w:val="-3"/>
          <w:sz w:val="20"/>
          <w:szCs w:val="20"/>
          <w:lang w:val="en-US"/>
        </w:rPr>
      </w:pPr>
      <w:r w:rsidRPr="002D0A21">
        <w:rPr>
          <w:rFonts w:ascii="Verdana" w:hAnsi="Verdana"/>
          <w:i/>
          <w:spacing w:val="-3"/>
          <w:sz w:val="20"/>
          <w:szCs w:val="20"/>
          <w:lang w:val="en-US"/>
        </w:rPr>
        <w:t>2.</w:t>
      </w:r>
      <w:r w:rsidRPr="002D0A21">
        <w:rPr>
          <w:rFonts w:ascii="Verdana" w:hAnsi="Verdana"/>
          <w:i/>
          <w:spacing w:val="-3"/>
          <w:sz w:val="20"/>
          <w:szCs w:val="20"/>
          <w:lang w:val="en-US"/>
        </w:rPr>
        <w:tab/>
        <w:t>The law may regulate the exercise of the rights and opportunities referred to in the preceding paragraph only on the basis of age, nationality, residence, language, education, civil and mental capacity, or sentencing by a competent court in criminal proceedings.</w:t>
      </w:r>
    </w:p>
    <w:p w14:paraId="2D41A5A7" w14:textId="77777777" w:rsidR="007624ED" w:rsidRPr="002D0A21" w:rsidRDefault="007624ED" w:rsidP="007624ED">
      <w:pPr>
        <w:pStyle w:val="Estilo2"/>
        <w:spacing w:after="0"/>
        <w:ind w:left="708"/>
        <w:jc w:val="both"/>
        <w:rPr>
          <w:rFonts w:ascii="Verdana" w:hAnsi="Verdana"/>
          <w:sz w:val="20"/>
          <w:szCs w:val="20"/>
          <w:lang w:val="en-US"/>
        </w:rPr>
      </w:pPr>
    </w:p>
    <w:p w14:paraId="3DD1F62D" w14:textId="19D98AED" w:rsidR="00D46F07" w:rsidRPr="002D0A21" w:rsidRDefault="00AB5688" w:rsidP="000218C2">
      <w:pPr>
        <w:pStyle w:val="Estilo1"/>
        <w:spacing w:after="0"/>
        <w:rPr>
          <w:rFonts w:ascii="Verdana" w:hAnsi="Verdana"/>
          <w:sz w:val="20"/>
          <w:szCs w:val="20"/>
          <w:lang w:val="en-US"/>
        </w:rPr>
      </w:pPr>
      <w:r>
        <w:rPr>
          <w:rFonts w:ascii="Verdana" w:hAnsi="Verdana"/>
          <w:sz w:val="20"/>
          <w:szCs w:val="20"/>
          <w:lang w:val="en-US"/>
        </w:rPr>
        <w:t>In this case, Article</w:t>
      </w:r>
      <w:r w:rsidR="000218C2" w:rsidRPr="002D0A21">
        <w:rPr>
          <w:rFonts w:ascii="Verdana" w:hAnsi="Verdana"/>
          <w:sz w:val="20"/>
          <w:szCs w:val="20"/>
          <w:lang w:val="en-US"/>
        </w:rPr>
        <w:t xml:space="preserve"> 23 was transcribed in the text of the judgment. But the transcription is partial and biased. It only goes as far as the words “public affairs,” and omits the passage that states “directly or through freely chosen representatives” as well as subparagraphs (b) and (c) regarding the “rights and opportunities” “to vote and to be elected” and to have equal access “to the public service.” Both the elements omitted and the reference to “public affairs” and the name of the rights in question (“Right to Participate in Government”) would be sufficient to exclude the application of the norm allegedly violated to a matter concerning private property</w:t>
      </w:r>
      <w:r w:rsidR="007D5769" w:rsidRPr="002D0A21">
        <w:rPr>
          <w:rFonts w:ascii="Verdana" w:hAnsi="Verdana"/>
          <w:sz w:val="20"/>
          <w:szCs w:val="20"/>
          <w:lang w:val="en-US"/>
        </w:rPr>
        <w:t xml:space="preserve"> (</w:t>
      </w:r>
      <w:r w:rsidR="00FA543D" w:rsidRPr="002D0A21">
        <w:rPr>
          <w:rFonts w:ascii="Verdana" w:hAnsi="Verdana"/>
          <w:sz w:val="20"/>
          <w:szCs w:val="20"/>
          <w:lang w:val="en-US"/>
        </w:rPr>
        <w:t>Article</w:t>
      </w:r>
      <w:r w:rsidR="007D5769" w:rsidRPr="002D0A21">
        <w:rPr>
          <w:rFonts w:ascii="Verdana" w:hAnsi="Verdana"/>
          <w:sz w:val="20"/>
          <w:szCs w:val="20"/>
          <w:lang w:val="en-US"/>
        </w:rPr>
        <w:t xml:space="preserve"> 21)</w:t>
      </w:r>
      <w:r w:rsidR="00FA543D" w:rsidRPr="002D0A21">
        <w:rPr>
          <w:rFonts w:ascii="Verdana" w:hAnsi="Verdana"/>
          <w:sz w:val="20"/>
          <w:szCs w:val="20"/>
          <w:lang w:val="en-US"/>
        </w:rPr>
        <w:t xml:space="preserve"> and </w:t>
      </w:r>
      <w:r w:rsidR="007D5769" w:rsidRPr="002D0A21">
        <w:rPr>
          <w:rFonts w:ascii="Verdana" w:hAnsi="Verdana"/>
          <w:sz w:val="20"/>
          <w:szCs w:val="20"/>
          <w:lang w:val="en-US"/>
        </w:rPr>
        <w:t>no</w:t>
      </w:r>
      <w:r w:rsidR="000218C2" w:rsidRPr="002D0A21">
        <w:rPr>
          <w:rFonts w:ascii="Verdana" w:hAnsi="Verdana"/>
          <w:sz w:val="20"/>
          <w:szCs w:val="20"/>
          <w:lang w:val="en-US"/>
        </w:rPr>
        <w:t>t</w:t>
      </w:r>
      <w:r w:rsidR="007D5769" w:rsidRPr="002D0A21">
        <w:rPr>
          <w:rFonts w:ascii="Verdana" w:hAnsi="Verdana"/>
          <w:sz w:val="20"/>
          <w:szCs w:val="20"/>
          <w:lang w:val="en-US"/>
        </w:rPr>
        <w:t xml:space="preserve"> “</w:t>
      </w:r>
      <w:r w:rsidR="000218C2" w:rsidRPr="002D0A21">
        <w:rPr>
          <w:rFonts w:ascii="Verdana" w:hAnsi="Verdana"/>
          <w:sz w:val="20"/>
          <w:szCs w:val="20"/>
          <w:lang w:val="en-US"/>
        </w:rPr>
        <w:t>a matter of evident public interest</w:t>
      </w:r>
      <w:r w:rsidR="007D5769" w:rsidRPr="002D0A21">
        <w:rPr>
          <w:rFonts w:ascii="Verdana" w:hAnsi="Verdana"/>
          <w:sz w:val="20"/>
          <w:szCs w:val="20"/>
          <w:lang w:val="en-US"/>
        </w:rPr>
        <w:t>” (</w:t>
      </w:r>
      <w:r w:rsidR="000218C2" w:rsidRPr="002D0A21">
        <w:rPr>
          <w:rFonts w:ascii="Verdana" w:hAnsi="Verdana"/>
          <w:sz w:val="20"/>
          <w:szCs w:val="20"/>
          <w:lang w:val="en-US"/>
        </w:rPr>
        <w:t xml:space="preserve">as seen in paras. </w:t>
      </w:r>
      <w:r w:rsidR="007D5769" w:rsidRPr="002D0A21">
        <w:rPr>
          <w:rFonts w:ascii="Verdana" w:hAnsi="Verdana"/>
          <w:sz w:val="20"/>
          <w:szCs w:val="20"/>
          <w:lang w:val="en-US"/>
        </w:rPr>
        <w:t>13</w:t>
      </w:r>
      <w:r w:rsidR="00FA543D" w:rsidRPr="002D0A21">
        <w:rPr>
          <w:rFonts w:ascii="Verdana" w:hAnsi="Verdana"/>
          <w:sz w:val="20"/>
          <w:szCs w:val="20"/>
          <w:lang w:val="en-US"/>
        </w:rPr>
        <w:t xml:space="preserve"> and </w:t>
      </w:r>
      <w:r w:rsidR="007D5769" w:rsidRPr="002D0A21">
        <w:rPr>
          <w:rFonts w:ascii="Verdana" w:hAnsi="Verdana"/>
          <w:sz w:val="20"/>
          <w:szCs w:val="20"/>
          <w:lang w:val="en-US"/>
        </w:rPr>
        <w:t xml:space="preserve">14), </w:t>
      </w:r>
      <w:r w:rsidR="000218C2" w:rsidRPr="002D0A21">
        <w:rPr>
          <w:rFonts w:ascii="Verdana" w:hAnsi="Verdana"/>
          <w:sz w:val="20"/>
          <w:szCs w:val="20"/>
          <w:lang w:val="en-US"/>
        </w:rPr>
        <w:t>but rather a private matter</w:t>
      </w:r>
      <w:r w:rsidR="007D5769" w:rsidRPr="002D0A21">
        <w:rPr>
          <w:rFonts w:ascii="Verdana" w:hAnsi="Verdana"/>
          <w:sz w:val="20"/>
          <w:szCs w:val="20"/>
          <w:lang w:val="en-US"/>
        </w:rPr>
        <w:t xml:space="preserve">. </w:t>
      </w:r>
    </w:p>
    <w:p w14:paraId="669AF1A0" w14:textId="77777777" w:rsidR="007624ED" w:rsidRPr="002D0A21" w:rsidRDefault="007624ED" w:rsidP="007624ED">
      <w:pPr>
        <w:pStyle w:val="Estilo1"/>
        <w:numPr>
          <w:ilvl w:val="0"/>
          <w:numId w:val="0"/>
        </w:numPr>
        <w:spacing w:after="0"/>
        <w:rPr>
          <w:rFonts w:ascii="Verdana" w:hAnsi="Verdana"/>
          <w:sz w:val="20"/>
          <w:szCs w:val="20"/>
          <w:lang w:val="en-US"/>
        </w:rPr>
      </w:pPr>
    </w:p>
    <w:p w14:paraId="53CCA0B2" w14:textId="3CEEBB52" w:rsidR="00F67A1B" w:rsidRPr="002D0A21" w:rsidRDefault="00F67A1B" w:rsidP="00F67A1B">
      <w:pPr>
        <w:pStyle w:val="Estilo1"/>
        <w:spacing w:after="0"/>
        <w:rPr>
          <w:rFonts w:ascii="Verdana" w:hAnsi="Verdana"/>
          <w:sz w:val="20"/>
          <w:szCs w:val="20"/>
          <w:lang w:val="en-US"/>
        </w:rPr>
      </w:pPr>
      <w:r w:rsidRPr="002D0A21">
        <w:rPr>
          <w:rFonts w:ascii="Verdana" w:hAnsi="Verdana"/>
          <w:sz w:val="20"/>
          <w:szCs w:val="20"/>
          <w:lang w:val="en-US"/>
        </w:rPr>
        <w:t xml:space="preserve">According to the second operative paragraph of the judgment, the violation of </w:t>
      </w:r>
      <w:r w:rsidR="00FA543D" w:rsidRPr="002D0A21">
        <w:rPr>
          <w:rFonts w:ascii="Verdana" w:hAnsi="Verdana"/>
          <w:sz w:val="20"/>
          <w:szCs w:val="20"/>
          <w:lang w:val="en-US"/>
        </w:rPr>
        <w:t>Article</w:t>
      </w:r>
      <w:r w:rsidR="007D5769" w:rsidRPr="002D0A21">
        <w:rPr>
          <w:rFonts w:ascii="Verdana" w:hAnsi="Verdana"/>
          <w:sz w:val="20"/>
          <w:szCs w:val="20"/>
          <w:lang w:val="en-US"/>
        </w:rPr>
        <w:t xml:space="preserve"> 23 </w:t>
      </w:r>
      <w:r w:rsidRPr="002D0A21">
        <w:rPr>
          <w:rFonts w:ascii="Verdana" w:hAnsi="Verdana"/>
          <w:sz w:val="20"/>
          <w:szCs w:val="20"/>
          <w:lang w:val="en-US"/>
        </w:rPr>
        <w:t xml:space="preserve">was allegedly proved “pursuant to paragraphs 122 to 230.” But, an analysis of those paragraphs reveals that, although they are inserted in Chapter VI.2, entitled “Right to </w:t>
      </w:r>
      <w:r w:rsidRPr="002D0A21">
        <w:rPr>
          <w:rFonts w:ascii="Verdana" w:hAnsi="Verdana"/>
          <w:sz w:val="20"/>
          <w:szCs w:val="20"/>
          <w:lang w:val="en-US"/>
        </w:rPr>
        <w:lastRenderedPageBreak/>
        <w:t>collective property (Article 21) and political rights (Article 23) in relation to Articles 1(1) and 2 of the American Convention,” none of its sections deals with the political rights that were presumably violated. The “Considerations of the Court” are comprised of the following four sections, and they do not mention such rights either:</w:t>
      </w:r>
      <w:r w:rsidR="00F52C65" w:rsidRPr="002D0A21">
        <w:rPr>
          <w:rFonts w:ascii="Verdana" w:hAnsi="Verdana"/>
          <w:sz w:val="20"/>
          <w:szCs w:val="20"/>
          <w:lang w:val="en-US"/>
        </w:rPr>
        <w:t xml:space="preserve"> “</w:t>
      </w:r>
      <w:bookmarkStart w:id="1" w:name="_Toc438137477"/>
      <w:r w:rsidR="00F52C65" w:rsidRPr="002D0A21">
        <w:rPr>
          <w:rFonts w:ascii="Verdana" w:hAnsi="Verdana"/>
          <w:i/>
          <w:sz w:val="20"/>
          <w:szCs w:val="20"/>
          <w:lang w:val="en-US"/>
        </w:rPr>
        <w:t xml:space="preserve">B.1 </w:t>
      </w:r>
      <w:r w:rsidRPr="002D0A21">
        <w:rPr>
          <w:rFonts w:ascii="Verdana" w:hAnsi="Verdana"/>
          <w:i/>
          <w:sz w:val="20"/>
          <w:szCs w:val="20"/>
          <w:lang w:val="en-US"/>
        </w:rPr>
        <w:t>Interpretation of the right to collective property of the indigenous peoples in this case”; B.2 The failure to recognize the right to collective property of the Kaliña and Lokono indigenous peoples”; B.3 Nature reserves in the traditional territory”</w:t>
      </w:r>
      <w:r w:rsidR="009D2EFA">
        <w:rPr>
          <w:rFonts w:ascii="Verdana" w:hAnsi="Verdana"/>
          <w:i/>
          <w:sz w:val="20"/>
          <w:szCs w:val="20"/>
          <w:lang w:val="en-US"/>
        </w:rPr>
        <w:t>,</w:t>
      </w:r>
      <w:r w:rsidRPr="002D0A21">
        <w:rPr>
          <w:rFonts w:ascii="Verdana" w:hAnsi="Verdana"/>
          <w:i/>
          <w:sz w:val="20"/>
          <w:szCs w:val="20"/>
          <w:lang w:val="en-US"/>
        </w:rPr>
        <w:t xml:space="preserve"> and “B.4 The right to collective property in relation to the mining concession within the Wane Kreek Nature Reserve.”</w:t>
      </w:r>
    </w:p>
    <w:bookmarkEnd w:id="1"/>
    <w:p w14:paraId="6134757E" w14:textId="77777777" w:rsidR="007624ED" w:rsidRPr="002D0A21" w:rsidRDefault="007624ED" w:rsidP="007624ED">
      <w:pPr>
        <w:pStyle w:val="Estilo1"/>
        <w:numPr>
          <w:ilvl w:val="0"/>
          <w:numId w:val="0"/>
        </w:numPr>
        <w:spacing w:after="0"/>
        <w:rPr>
          <w:rFonts w:ascii="Verdana" w:hAnsi="Verdana"/>
          <w:sz w:val="20"/>
          <w:szCs w:val="20"/>
          <w:lang w:val="en-US"/>
        </w:rPr>
      </w:pPr>
    </w:p>
    <w:p w14:paraId="3DD1F62F" w14:textId="632617D9" w:rsidR="007D5769" w:rsidRDefault="00250ADF" w:rsidP="007624ED">
      <w:pPr>
        <w:pStyle w:val="Estilo1"/>
        <w:spacing w:after="0"/>
        <w:rPr>
          <w:rFonts w:ascii="Verdana" w:hAnsi="Verdana"/>
          <w:sz w:val="20"/>
          <w:szCs w:val="20"/>
          <w:lang w:val="en-US"/>
        </w:rPr>
      </w:pPr>
      <w:r w:rsidRPr="002D0A21">
        <w:rPr>
          <w:rFonts w:ascii="Verdana" w:hAnsi="Verdana"/>
          <w:sz w:val="20"/>
          <w:szCs w:val="20"/>
          <w:lang w:val="en-US"/>
        </w:rPr>
        <w:t>A</w:t>
      </w:r>
      <w:r w:rsidR="00F67A1B" w:rsidRPr="002D0A21">
        <w:rPr>
          <w:rFonts w:ascii="Verdana" w:hAnsi="Verdana"/>
          <w:sz w:val="20"/>
          <w:szCs w:val="20"/>
          <w:lang w:val="en-US"/>
        </w:rPr>
        <w:t xml:space="preserve">lso, the four </w:t>
      </w:r>
      <w:r w:rsidR="00D36621">
        <w:rPr>
          <w:rFonts w:ascii="Verdana" w:hAnsi="Verdana"/>
          <w:sz w:val="20"/>
          <w:szCs w:val="20"/>
          <w:lang w:val="en-US"/>
        </w:rPr>
        <w:t>main disputes described in paragraph</w:t>
      </w:r>
      <w:r w:rsidR="00F67A1B" w:rsidRPr="002D0A21">
        <w:rPr>
          <w:rFonts w:ascii="Verdana" w:hAnsi="Verdana"/>
          <w:sz w:val="20"/>
          <w:szCs w:val="20"/>
          <w:lang w:val="en-US"/>
        </w:rPr>
        <w:t xml:space="preserve"> 127 do not mention political rights or </w:t>
      </w:r>
      <w:r w:rsidR="00FA543D" w:rsidRPr="002D0A21">
        <w:rPr>
          <w:rFonts w:ascii="Verdana" w:hAnsi="Verdana"/>
          <w:sz w:val="20"/>
          <w:szCs w:val="20"/>
          <w:lang w:val="en-US"/>
        </w:rPr>
        <w:t>Article</w:t>
      </w:r>
      <w:r w:rsidR="00ED22D4" w:rsidRPr="002D0A21">
        <w:rPr>
          <w:rFonts w:ascii="Verdana" w:hAnsi="Verdana"/>
          <w:sz w:val="20"/>
          <w:szCs w:val="20"/>
          <w:lang w:val="en-US"/>
        </w:rPr>
        <w:t xml:space="preserve"> 23</w:t>
      </w:r>
      <w:r w:rsidR="00F67A1B" w:rsidRPr="002D0A21">
        <w:rPr>
          <w:rFonts w:ascii="Verdana" w:hAnsi="Verdana"/>
          <w:sz w:val="20"/>
          <w:szCs w:val="20"/>
          <w:lang w:val="en-US"/>
        </w:rPr>
        <w:t>,</w:t>
      </w:r>
      <w:r w:rsidR="00377A21" w:rsidRPr="002D0A21">
        <w:rPr>
          <w:rStyle w:val="FootnoteReference"/>
          <w:rFonts w:ascii="Verdana" w:hAnsi="Verdana"/>
          <w:sz w:val="20"/>
          <w:szCs w:val="20"/>
          <w:lang w:val="en-US"/>
        </w:rPr>
        <w:footnoteReference w:id="12"/>
      </w:r>
      <w:r w:rsidR="00FA543D" w:rsidRPr="002D0A21">
        <w:rPr>
          <w:rFonts w:ascii="Verdana" w:hAnsi="Verdana"/>
          <w:sz w:val="20"/>
          <w:szCs w:val="20"/>
          <w:lang w:val="en-US"/>
        </w:rPr>
        <w:t xml:space="preserve"> and </w:t>
      </w:r>
      <w:r w:rsidR="00383972" w:rsidRPr="002D0A21">
        <w:rPr>
          <w:rFonts w:ascii="Verdana" w:hAnsi="Verdana"/>
          <w:sz w:val="20"/>
          <w:szCs w:val="20"/>
          <w:lang w:val="en-US"/>
        </w:rPr>
        <w:t xml:space="preserve">the </w:t>
      </w:r>
      <w:r w:rsidR="00881F98" w:rsidRPr="002D0A21">
        <w:rPr>
          <w:rFonts w:ascii="Verdana" w:hAnsi="Verdana"/>
          <w:sz w:val="20"/>
          <w:szCs w:val="20"/>
          <w:lang w:val="en-US"/>
        </w:rPr>
        <w:t>109 p</w:t>
      </w:r>
      <w:r w:rsidR="00383972" w:rsidRPr="002D0A21">
        <w:rPr>
          <w:rFonts w:ascii="Verdana" w:hAnsi="Verdana"/>
          <w:sz w:val="20"/>
          <w:szCs w:val="20"/>
          <w:lang w:val="en-US"/>
        </w:rPr>
        <w:t xml:space="preserve">aragraphs of these sections do not include any terms that would attempt to provide grounds for the alleged violation of </w:t>
      </w:r>
      <w:r w:rsidR="00D36621">
        <w:rPr>
          <w:rFonts w:ascii="Verdana" w:hAnsi="Verdana"/>
          <w:sz w:val="20"/>
          <w:szCs w:val="20"/>
          <w:lang w:val="en-US"/>
        </w:rPr>
        <w:t>Article</w:t>
      </w:r>
      <w:r w:rsidR="00377A21" w:rsidRPr="002D0A21">
        <w:rPr>
          <w:rFonts w:ascii="Verdana" w:hAnsi="Verdana"/>
          <w:sz w:val="20"/>
          <w:szCs w:val="20"/>
          <w:lang w:val="en-US"/>
        </w:rPr>
        <w:t xml:space="preserve"> 23:</w:t>
      </w:r>
    </w:p>
    <w:p w14:paraId="15216BD8" w14:textId="77777777" w:rsidR="00E76C57" w:rsidRPr="002D0A21" w:rsidRDefault="00E76C57" w:rsidP="00E76C57">
      <w:pPr>
        <w:pStyle w:val="Estilo1"/>
        <w:numPr>
          <w:ilvl w:val="0"/>
          <w:numId w:val="0"/>
        </w:numPr>
        <w:spacing w:after="0"/>
        <w:rPr>
          <w:rFonts w:ascii="Verdana" w:hAnsi="Verdana"/>
          <w:sz w:val="20"/>
          <w:szCs w:val="20"/>
          <w:lang w:val="en-US"/>
        </w:rPr>
      </w:pPr>
    </w:p>
    <w:p w14:paraId="7D3B7495" w14:textId="4A991046" w:rsidR="00383972" w:rsidRPr="002D0A21" w:rsidRDefault="00383972" w:rsidP="007624ED">
      <w:pPr>
        <w:pStyle w:val="Estilo1"/>
        <w:numPr>
          <w:ilvl w:val="1"/>
          <w:numId w:val="1"/>
        </w:numPr>
        <w:spacing w:after="0"/>
        <w:ind w:left="0" w:firstLine="720"/>
        <w:rPr>
          <w:rFonts w:ascii="Verdana" w:hAnsi="Verdana"/>
          <w:sz w:val="20"/>
          <w:szCs w:val="20"/>
          <w:lang w:val="en-US"/>
        </w:rPr>
      </w:pPr>
      <w:r w:rsidRPr="002D0A21">
        <w:rPr>
          <w:rFonts w:ascii="Verdana" w:hAnsi="Verdana"/>
          <w:sz w:val="20"/>
          <w:szCs w:val="20"/>
          <w:lang w:val="en-US"/>
        </w:rPr>
        <w:t>Paragraph</w:t>
      </w:r>
      <w:r w:rsidR="004E07C7" w:rsidRPr="002D0A21">
        <w:rPr>
          <w:rFonts w:ascii="Verdana" w:hAnsi="Verdana"/>
          <w:sz w:val="20"/>
          <w:szCs w:val="20"/>
          <w:lang w:val="en-US"/>
        </w:rPr>
        <w:t xml:space="preserve"> 126: </w:t>
      </w:r>
      <w:r w:rsidR="00F52C65" w:rsidRPr="002D0A21">
        <w:rPr>
          <w:rFonts w:ascii="Verdana" w:hAnsi="Verdana"/>
          <w:sz w:val="20"/>
          <w:szCs w:val="20"/>
          <w:lang w:val="en-US"/>
        </w:rPr>
        <w:t>“</w:t>
      </w:r>
      <w:r w:rsidR="00F61931" w:rsidRPr="002D0A21">
        <w:rPr>
          <w:rFonts w:ascii="Verdana" w:hAnsi="Verdana"/>
          <w:sz w:val="20"/>
          <w:szCs w:val="20"/>
          <w:lang w:val="en-US"/>
        </w:rPr>
        <w:t>[…]</w:t>
      </w:r>
      <w:r w:rsidR="002D0A21">
        <w:rPr>
          <w:rFonts w:ascii="Verdana" w:hAnsi="Verdana"/>
          <w:sz w:val="20"/>
          <w:szCs w:val="20"/>
          <w:lang w:val="en-US"/>
        </w:rPr>
        <w:t xml:space="preserve"> </w:t>
      </w:r>
      <w:r w:rsidRPr="002D0A21">
        <w:rPr>
          <w:rFonts w:ascii="Verdana" w:hAnsi="Verdana"/>
          <w:sz w:val="20"/>
          <w:szCs w:val="20"/>
          <w:lang w:val="en-US"/>
        </w:rPr>
        <w:t xml:space="preserve">the Court considers it important to emphasize that, although the parties have not argued the violation of Article 23 of the Convention during the proceedings before this Court, it finds it pertinent to apply the </w:t>
      </w:r>
      <w:r w:rsidRPr="002D0A21">
        <w:rPr>
          <w:rFonts w:ascii="Verdana" w:hAnsi="Verdana"/>
          <w:i/>
          <w:sz w:val="20"/>
          <w:szCs w:val="20"/>
          <w:lang w:val="en-US"/>
        </w:rPr>
        <w:t>iura novit curia</w:t>
      </w:r>
      <w:r w:rsidRPr="002D0A21">
        <w:rPr>
          <w:rFonts w:ascii="Verdana" w:hAnsi="Verdana"/>
          <w:sz w:val="20"/>
          <w:szCs w:val="20"/>
          <w:lang w:val="en-US"/>
        </w:rPr>
        <w:t xml:space="preserve"> principle.” In other words, it records the de</w:t>
      </w:r>
      <w:r w:rsidR="00FF656A">
        <w:rPr>
          <w:rFonts w:ascii="Verdana" w:hAnsi="Verdana"/>
          <w:sz w:val="20"/>
          <w:szCs w:val="20"/>
          <w:lang w:val="en-US"/>
        </w:rPr>
        <w:t>cision to consider a violation</w:t>
      </w:r>
      <w:r w:rsidR="00FF656A" w:rsidRPr="00FF656A">
        <w:rPr>
          <w:rFonts w:ascii="Verdana" w:hAnsi="Verdana"/>
          <w:sz w:val="20"/>
          <w:szCs w:val="20"/>
          <w:lang w:val="en-US"/>
        </w:rPr>
        <w:t xml:space="preserve"> that </w:t>
      </w:r>
      <w:r w:rsidRPr="00FF656A">
        <w:rPr>
          <w:rFonts w:ascii="Verdana" w:hAnsi="Verdana"/>
          <w:sz w:val="20"/>
          <w:szCs w:val="20"/>
          <w:lang w:val="en-US"/>
        </w:rPr>
        <w:t>has not been</w:t>
      </w:r>
      <w:r w:rsidRPr="002D0A21">
        <w:rPr>
          <w:rFonts w:ascii="Verdana" w:hAnsi="Verdana"/>
          <w:sz w:val="20"/>
          <w:szCs w:val="20"/>
          <w:lang w:val="en-US"/>
        </w:rPr>
        <w:t xml:space="preserve"> alleged by the parties, but does not explain how this violation has been committed.</w:t>
      </w:r>
    </w:p>
    <w:p w14:paraId="69762F70" w14:textId="77777777" w:rsidR="00383972" w:rsidRPr="002D0A21" w:rsidRDefault="00383972" w:rsidP="00383972">
      <w:pPr>
        <w:pStyle w:val="Estilo1"/>
        <w:numPr>
          <w:ilvl w:val="0"/>
          <w:numId w:val="0"/>
        </w:numPr>
        <w:spacing w:after="0"/>
        <w:ind w:left="720"/>
        <w:rPr>
          <w:rFonts w:ascii="Verdana" w:hAnsi="Verdana"/>
          <w:sz w:val="20"/>
          <w:szCs w:val="20"/>
          <w:lang w:val="en-US"/>
        </w:rPr>
      </w:pPr>
    </w:p>
    <w:p w14:paraId="3384ED9D" w14:textId="4BCFAAE2" w:rsidR="00383972" w:rsidRPr="002D0A21" w:rsidRDefault="00383972" w:rsidP="00383972">
      <w:pPr>
        <w:pStyle w:val="Estilo1"/>
        <w:numPr>
          <w:ilvl w:val="1"/>
          <w:numId w:val="1"/>
        </w:numPr>
        <w:spacing w:after="0"/>
        <w:ind w:left="0" w:firstLine="720"/>
        <w:rPr>
          <w:rFonts w:ascii="Verdana" w:hAnsi="Verdana"/>
          <w:sz w:val="20"/>
          <w:szCs w:val="20"/>
          <w:lang w:val="en-US"/>
        </w:rPr>
      </w:pPr>
      <w:r w:rsidRPr="002D0A21">
        <w:rPr>
          <w:rFonts w:ascii="Verdana" w:hAnsi="Verdana"/>
          <w:sz w:val="20"/>
          <w:szCs w:val="20"/>
          <w:lang w:val="en-US"/>
        </w:rPr>
        <w:t>Paragraph</w:t>
      </w:r>
      <w:r w:rsidR="004E07C7" w:rsidRPr="002D0A21">
        <w:rPr>
          <w:rFonts w:ascii="Verdana" w:hAnsi="Verdana"/>
          <w:sz w:val="20"/>
          <w:szCs w:val="20"/>
          <w:lang w:val="en-US"/>
        </w:rPr>
        <w:t xml:space="preserve"> 196: “</w:t>
      </w:r>
      <w:r w:rsidRPr="002D0A21">
        <w:rPr>
          <w:rFonts w:ascii="Verdana" w:hAnsi="Verdana"/>
          <w:sz w:val="20"/>
          <w:lang w:val="en-US"/>
        </w:rPr>
        <w:t xml:space="preserve">In this regard, the Court recalls that Article 23 of the American Convention establishes that everyone must enjoy the rights and </w:t>
      </w:r>
      <w:r w:rsidRPr="002D0A21">
        <w:rPr>
          <w:rFonts w:ascii="Verdana" w:hAnsi="Verdana"/>
          <w:sz w:val="20"/>
          <w:szCs w:val="20"/>
          <w:lang w:val="en-US"/>
        </w:rPr>
        <w:t>opportunities “</w:t>
      </w:r>
      <w:r w:rsidRPr="002D0A21">
        <w:rPr>
          <w:rFonts w:ascii="Verdana" w:hAnsi="Verdana"/>
          <w:spacing w:val="-3"/>
          <w:sz w:val="20"/>
          <w:szCs w:val="20"/>
          <w:lang w:val="en-US"/>
        </w:rPr>
        <w:t xml:space="preserve">to take part in the conduct of public affairs </w:t>
      </w:r>
      <w:r w:rsidRPr="002D0A21">
        <w:rPr>
          <w:rFonts w:ascii="Verdana" w:hAnsi="Verdana"/>
          <w:sz w:val="20"/>
          <w:szCs w:val="20"/>
          <w:lang w:val="en-US"/>
        </w:rPr>
        <w:t>[…].” In this sense, the participation of the indigenous communities in the conservation of the environment is not only a matter of public interest, but also part of the exercise of their right as indigenous peoples “to participate in decision-making in</w:t>
      </w:r>
      <w:r w:rsidRPr="002D0A21">
        <w:rPr>
          <w:rFonts w:ascii="Verdana" w:hAnsi="Verdana"/>
          <w:sz w:val="20"/>
          <w:lang w:val="en-US"/>
        </w:rPr>
        <w:t xml:space="preserve"> matters which would affect their rights, […] in accordance with their own procedures and […] institutions” (</w:t>
      </w:r>
      <w:r w:rsidRPr="002D0A21">
        <w:rPr>
          <w:rFonts w:ascii="Verdana" w:hAnsi="Verdana"/>
          <w:i/>
          <w:sz w:val="20"/>
          <w:lang w:val="en-US"/>
        </w:rPr>
        <w:t xml:space="preserve">supra </w:t>
      </w:r>
      <w:r w:rsidRPr="002D0A21">
        <w:rPr>
          <w:rFonts w:ascii="Verdana" w:hAnsi="Verdana"/>
          <w:sz w:val="20"/>
          <w:lang w:val="en-US"/>
        </w:rPr>
        <w:t>paras. 178 and 180).” Thus, there is an attempt to identify the “right to take part in the conduct of public affairs” with the right of the indigenous peoples to take part in the adoption of decisions on matters that affect their rights, without providing even the most basic grounds for this. It is evident that these are two different matters.</w:t>
      </w:r>
    </w:p>
    <w:p w14:paraId="69A15C74" w14:textId="77777777" w:rsidR="007624ED" w:rsidRPr="002D0A21" w:rsidRDefault="007624ED" w:rsidP="007624ED">
      <w:pPr>
        <w:pStyle w:val="Estilo1"/>
        <w:numPr>
          <w:ilvl w:val="0"/>
          <w:numId w:val="0"/>
        </w:numPr>
        <w:spacing w:after="0"/>
        <w:rPr>
          <w:rFonts w:ascii="Verdana" w:hAnsi="Verdana"/>
          <w:sz w:val="20"/>
          <w:szCs w:val="20"/>
          <w:lang w:val="en-US"/>
        </w:rPr>
      </w:pPr>
    </w:p>
    <w:p w14:paraId="3DD1F632" w14:textId="1E9C08FB" w:rsidR="00F1117A" w:rsidRPr="002D0A21" w:rsidRDefault="00383972" w:rsidP="00005F6F">
      <w:pPr>
        <w:pStyle w:val="Estilo1"/>
        <w:numPr>
          <w:ilvl w:val="1"/>
          <w:numId w:val="1"/>
        </w:numPr>
        <w:spacing w:after="0"/>
        <w:ind w:left="0" w:firstLine="720"/>
        <w:rPr>
          <w:rFonts w:ascii="Verdana" w:hAnsi="Verdana"/>
          <w:sz w:val="20"/>
          <w:szCs w:val="20"/>
          <w:lang w:val="en-US"/>
        </w:rPr>
      </w:pPr>
      <w:r w:rsidRPr="002D0A21">
        <w:rPr>
          <w:rFonts w:ascii="Verdana" w:hAnsi="Verdana"/>
          <w:sz w:val="20"/>
          <w:szCs w:val="20"/>
          <w:lang w:val="en-US"/>
        </w:rPr>
        <w:t>Paragraph</w:t>
      </w:r>
      <w:r w:rsidR="004E07C7" w:rsidRPr="002D0A21">
        <w:rPr>
          <w:rFonts w:ascii="Verdana" w:hAnsi="Verdana"/>
          <w:sz w:val="20"/>
          <w:szCs w:val="20"/>
          <w:lang w:val="en-US"/>
        </w:rPr>
        <w:t xml:space="preserve"> 197: “</w:t>
      </w:r>
      <w:r w:rsidRPr="002D0A21">
        <w:rPr>
          <w:rFonts w:ascii="Verdana" w:hAnsi="Verdana"/>
          <w:sz w:val="20"/>
          <w:szCs w:val="20"/>
          <w:lang w:val="en-US"/>
        </w:rPr>
        <w:t xml:space="preserve">the absence of explicit mechanisms that guarantee the access, use and effective participation </w:t>
      </w:r>
      <w:r w:rsidRPr="002D0A21">
        <w:rPr>
          <w:rFonts w:ascii="Verdana" w:hAnsi="Verdana"/>
          <w:sz w:val="20"/>
          <w:lang w:val="en-US"/>
        </w:rPr>
        <w:t xml:space="preserve">of the Kaliña and Lokono indigenous peoples in the conservation of the said nature reserves and the benefits these reserves yield constitutes a violation of the obligation to adopt the necessary provisions to make such measures effective in order to ensure the rights to collective property, to cultural identity, and to political rights, </w:t>
      </w:r>
      <w:r w:rsidRPr="002D0A21">
        <w:rPr>
          <w:rFonts w:ascii="Verdana" w:hAnsi="Verdana"/>
          <w:sz w:val="20"/>
          <w:szCs w:val="20"/>
          <w:lang w:val="en-US"/>
        </w:rPr>
        <w:t>to the detriment of the Kaliña and Lokono peoples.” The failure to provide the grounds for the supposed</w:t>
      </w:r>
      <w:r w:rsidR="00D36621">
        <w:rPr>
          <w:rFonts w:ascii="Verdana" w:hAnsi="Verdana"/>
          <w:sz w:val="20"/>
          <w:szCs w:val="20"/>
          <w:lang w:val="en-US"/>
        </w:rPr>
        <w:t xml:space="preserve"> equivalence to</w:t>
      </w:r>
      <w:r w:rsidR="00005F6F" w:rsidRPr="002D0A21">
        <w:rPr>
          <w:rFonts w:ascii="Verdana" w:hAnsi="Verdana"/>
          <w:sz w:val="20"/>
          <w:szCs w:val="20"/>
          <w:lang w:val="en-US"/>
        </w:rPr>
        <w:t xml:space="preserve"> political rights continues</w:t>
      </w:r>
      <w:r w:rsidR="004E07C7" w:rsidRPr="002D0A21">
        <w:rPr>
          <w:rFonts w:ascii="Verdana" w:hAnsi="Verdana"/>
          <w:sz w:val="20"/>
          <w:szCs w:val="20"/>
          <w:lang w:val="en-US"/>
        </w:rPr>
        <w:t>.</w:t>
      </w:r>
    </w:p>
    <w:p w14:paraId="2941DAB1" w14:textId="77777777" w:rsidR="007624ED" w:rsidRPr="002D0A21" w:rsidRDefault="007624ED" w:rsidP="007624ED">
      <w:pPr>
        <w:pStyle w:val="Estilo1"/>
        <w:numPr>
          <w:ilvl w:val="0"/>
          <w:numId w:val="0"/>
        </w:numPr>
        <w:spacing w:after="0"/>
        <w:rPr>
          <w:rFonts w:ascii="Verdana" w:hAnsi="Verdana"/>
          <w:sz w:val="20"/>
          <w:szCs w:val="20"/>
          <w:lang w:val="en-US"/>
        </w:rPr>
      </w:pPr>
    </w:p>
    <w:p w14:paraId="3DD1F633" w14:textId="179D8D5F" w:rsidR="00B2711B" w:rsidRPr="002D0A21" w:rsidRDefault="00005F6F" w:rsidP="00005F6F">
      <w:pPr>
        <w:pStyle w:val="Estilo1"/>
        <w:numPr>
          <w:ilvl w:val="1"/>
          <w:numId w:val="1"/>
        </w:numPr>
        <w:spacing w:after="0"/>
        <w:ind w:left="0" w:firstLine="720"/>
        <w:rPr>
          <w:rFonts w:ascii="Verdana" w:hAnsi="Verdana"/>
          <w:sz w:val="20"/>
          <w:szCs w:val="20"/>
          <w:lang w:val="en-US"/>
        </w:rPr>
      </w:pPr>
      <w:r w:rsidRPr="002D0A21">
        <w:rPr>
          <w:rFonts w:ascii="Verdana" w:hAnsi="Verdana"/>
          <w:sz w:val="20"/>
          <w:szCs w:val="20"/>
          <w:lang w:val="en-US"/>
        </w:rPr>
        <w:t>In paragraph</w:t>
      </w:r>
      <w:r w:rsidR="00B2711B" w:rsidRPr="002D0A21">
        <w:rPr>
          <w:rFonts w:ascii="Verdana" w:hAnsi="Verdana"/>
          <w:sz w:val="20"/>
          <w:szCs w:val="20"/>
          <w:lang w:val="en-US"/>
        </w:rPr>
        <w:t xml:space="preserve"> 198 (</w:t>
      </w:r>
      <w:r w:rsidRPr="002D0A21">
        <w:rPr>
          <w:rFonts w:ascii="Verdana" w:hAnsi="Verdana"/>
          <w:sz w:val="20"/>
          <w:szCs w:val="20"/>
          <w:lang w:val="en-US"/>
        </w:rPr>
        <w:t xml:space="preserve">the sole paragraph in the </w:t>
      </w:r>
      <w:r w:rsidR="002D0A21" w:rsidRPr="002D0A21">
        <w:rPr>
          <w:rFonts w:ascii="Verdana" w:hAnsi="Verdana"/>
          <w:sz w:val="20"/>
          <w:szCs w:val="20"/>
          <w:lang w:val="en-US"/>
        </w:rPr>
        <w:t>section</w:t>
      </w:r>
      <w:r w:rsidRPr="002D0A21">
        <w:rPr>
          <w:rFonts w:ascii="Verdana" w:hAnsi="Verdana"/>
          <w:sz w:val="20"/>
          <w:szCs w:val="20"/>
          <w:lang w:val="en-US"/>
        </w:rPr>
        <w:t xml:space="preserve"> entitled “Conclusion on the restrictions in the nature reserves”), political rights are once again included without any grounds: “</w:t>
      </w:r>
      <w:r w:rsidRPr="002D0A21">
        <w:rPr>
          <w:rFonts w:ascii="Verdana" w:hAnsi="Verdana" w:cs="Arial"/>
          <w:sz w:val="20"/>
          <w:szCs w:val="20"/>
          <w:lang w:val="en-US"/>
        </w:rPr>
        <w:t xml:space="preserve">In sum, the Court finds that the State has violated the victims’ rights to collective property, cultural identity and participation in public matters, mainly by preventing their effective participation, and the access to part of their </w:t>
      </w:r>
      <w:r w:rsidRPr="002D0A21">
        <w:rPr>
          <w:rFonts w:ascii="Verdana" w:hAnsi="Verdana"/>
          <w:sz w:val="20"/>
          <w:lang w:val="en-US"/>
        </w:rPr>
        <w:t xml:space="preserve">traditional territory and natural </w:t>
      </w:r>
      <w:r w:rsidRPr="002D0A21">
        <w:rPr>
          <w:rFonts w:ascii="Verdana" w:hAnsi="Verdana"/>
          <w:sz w:val="20"/>
          <w:lang w:val="en-US"/>
        </w:rPr>
        <w:lastRenderedPageBreak/>
        <w:t xml:space="preserve">resources, in the Galibi and Wane Kreek nature reserves, as well as by failing to guarantee, effectively, the traditional territory of the communities that has been affected by the environmental degradation within the Wane Kreek Nature Reserve, which constitutes a violation </w:t>
      </w:r>
      <w:r w:rsidRPr="002D0A21">
        <w:rPr>
          <w:rFonts w:ascii="Verdana" w:hAnsi="Verdana" w:cs="Arial"/>
          <w:sz w:val="20"/>
          <w:szCs w:val="20"/>
          <w:lang w:val="en-US"/>
        </w:rPr>
        <w:t>of</w:t>
      </w:r>
      <w:r w:rsidRPr="002D0A21">
        <w:rPr>
          <w:rFonts w:ascii="Verdana" w:hAnsi="Verdana"/>
          <w:sz w:val="20"/>
          <w:lang w:val="en-US"/>
        </w:rPr>
        <w:t xml:space="preserve"> Articles 21,</w:t>
      </w:r>
      <w:r w:rsidRPr="002D0A21">
        <w:rPr>
          <w:rFonts w:ascii="Verdana" w:hAnsi="Verdana" w:cs="Arial"/>
          <w:sz w:val="20"/>
          <w:szCs w:val="20"/>
          <w:lang w:val="en-US"/>
        </w:rPr>
        <w:t xml:space="preserve"> 2 and 23 of the American Convention, in relation to Article 1(1) </w:t>
      </w:r>
      <w:r w:rsidRPr="002D0A21">
        <w:rPr>
          <w:rFonts w:ascii="Verdana" w:hAnsi="Verdana"/>
          <w:sz w:val="20"/>
          <w:lang w:val="en-US"/>
        </w:rPr>
        <w:t>thereof, to the detriment of the Kaliña and Lokono peoples and their members</w:t>
      </w:r>
      <w:r w:rsidRPr="002D0A21">
        <w:rPr>
          <w:rFonts w:ascii="Verdana" w:hAnsi="Verdana"/>
          <w:sz w:val="20"/>
          <w:szCs w:val="20"/>
          <w:lang w:val="en-US"/>
        </w:rPr>
        <w:t>.</w:t>
      </w:r>
      <w:r w:rsidR="00B2711B" w:rsidRPr="002D0A21">
        <w:rPr>
          <w:rFonts w:ascii="Verdana" w:hAnsi="Verdana"/>
          <w:sz w:val="20"/>
          <w:szCs w:val="20"/>
          <w:lang w:val="en-US"/>
        </w:rPr>
        <w:t>”</w:t>
      </w:r>
    </w:p>
    <w:p w14:paraId="741BFC3D" w14:textId="77777777" w:rsidR="007624ED" w:rsidRPr="002D0A21" w:rsidRDefault="007624ED" w:rsidP="007624ED">
      <w:pPr>
        <w:pStyle w:val="Estilo1"/>
        <w:numPr>
          <w:ilvl w:val="0"/>
          <w:numId w:val="0"/>
        </w:numPr>
        <w:spacing w:after="0"/>
        <w:ind w:left="720"/>
        <w:rPr>
          <w:rFonts w:ascii="Verdana" w:hAnsi="Verdana"/>
          <w:sz w:val="20"/>
          <w:szCs w:val="20"/>
          <w:lang w:val="en-US"/>
        </w:rPr>
      </w:pPr>
    </w:p>
    <w:p w14:paraId="3DD1F634" w14:textId="114D58AD" w:rsidR="00B2711B" w:rsidRPr="002D0A21" w:rsidRDefault="00383972" w:rsidP="00005F6F">
      <w:pPr>
        <w:pStyle w:val="Estilo1"/>
        <w:numPr>
          <w:ilvl w:val="1"/>
          <w:numId w:val="1"/>
        </w:numPr>
        <w:spacing w:after="0"/>
        <w:ind w:left="0" w:firstLine="720"/>
        <w:rPr>
          <w:rFonts w:ascii="Verdana" w:hAnsi="Verdana"/>
          <w:sz w:val="20"/>
          <w:szCs w:val="20"/>
          <w:lang w:val="en-US"/>
        </w:rPr>
      </w:pPr>
      <w:r w:rsidRPr="002D0A21">
        <w:rPr>
          <w:rFonts w:ascii="Verdana" w:hAnsi="Verdana"/>
          <w:sz w:val="20"/>
          <w:szCs w:val="20"/>
          <w:lang w:val="en-US"/>
        </w:rPr>
        <w:t>Paragraph</w:t>
      </w:r>
      <w:r w:rsidR="00B2711B" w:rsidRPr="002D0A21">
        <w:rPr>
          <w:rFonts w:ascii="Verdana" w:hAnsi="Verdana"/>
          <w:sz w:val="20"/>
          <w:szCs w:val="20"/>
          <w:lang w:val="en-US"/>
        </w:rPr>
        <w:t xml:space="preserve"> 202: “</w:t>
      </w:r>
      <w:r w:rsidR="00005F6F" w:rsidRPr="002D0A21">
        <w:rPr>
          <w:rFonts w:ascii="Verdana" w:hAnsi="Verdana"/>
          <w:sz w:val="20"/>
          <w:szCs w:val="20"/>
          <w:lang w:val="en-US"/>
        </w:rPr>
        <w:t xml:space="preserve">Furthermore, the Court reiterates that Article 23 of the American Convention establishes that: </w:t>
      </w:r>
      <w:r w:rsidR="00005F6F" w:rsidRPr="002D0A21">
        <w:rPr>
          <w:rFonts w:ascii="Verdana" w:hAnsi="Verdana"/>
          <w:spacing w:val="-3"/>
          <w:sz w:val="20"/>
          <w:szCs w:val="20"/>
          <w:lang w:val="en-US"/>
        </w:rPr>
        <w:t>“[e]very citizen shall enjoy the following rights and opportunities: (a) to take part in the conduct of public affairs</w:t>
      </w:r>
      <w:r w:rsidR="00005F6F" w:rsidRPr="002D0A21">
        <w:rPr>
          <w:rFonts w:ascii="Verdana" w:hAnsi="Verdana"/>
          <w:sz w:val="20"/>
          <w:szCs w:val="20"/>
          <w:lang w:val="en-US"/>
        </w:rPr>
        <w:t xml:space="preserve"> […].” Similarly, Article 18 of the United Nations Declaration on the Rights of Indigenous Peoples establishes that “[i]</w:t>
      </w:r>
      <w:r w:rsidR="00005F6F" w:rsidRPr="002D0A21">
        <w:rPr>
          <w:rFonts w:ascii="Verdana" w:eastAsia="Times New Roman" w:hAnsi="Verdana"/>
          <w:sz w:val="20"/>
          <w:szCs w:val="20"/>
          <w:lang w:val="en-US"/>
        </w:rPr>
        <w:t>ndigenous peoples have the right to participate in decision-making in matters which would affect their rights, through representatives […],” and the pertinent part of Article 32 stipulates that “States shall consult and cooperate in good faith […] prior to the approval of any project affecting their lands or territories and other resources, particularly in connection with the […] utilization or exploitation of mineral […] resources.”</w:t>
      </w:r>
      <w:r w:rsidR="00005F6F" w:rsidRPr="002D0A21">
        <w:rPr>
          <w:rFonts w:ascii="Verdana" w:hAnsi="Verdana"/>
          <w:sz w:val="20"/>
          <w:szCs w:val="20"/>
          <w:lang w:val="en-US"/>
        </w:rPr>
        <w:t xml:space="preserve"> In this case, there is evident confusion between “to take part </w:t>
      </w:r>
      <w:r w:rsidR="00005F6F" w:rsidRPr="002D0A21">
        <w:rPr>
          <w:rFonts w:ascii="Verdana" w:hAnsi="Verdana"/>
          <w:i/>
          <w:sz w:val="20"/>
          <w:szCs w:val="20"/>
          <w:lang w:val="en-US"/>
        </w:rPr>
        <w:t>in the conduct of public affairs</w:t>
      </w:r>
      <w:r w:rsidR="00005F6F" w:rsidRPr="002D0A21">
        <w:rPr>
          <w:rFonts w:ascii="Verdana" w:hAnsi="Verdana"/>
          <w:sz w:val="20"/>
          <w:szCs w:val="20"/>
          <w:lang w:val="en-US"/>
        </w:rPr>
        <w:t xml:space="preserve">” </w:t>
      </w:r>
      <w:r w:rsidR="00FA543D" w:rsidRPr="002D0A21">
        <w:rPr>
          <w:rFonts w:ascii="Verdana" w:hAnsi="Verdana"/>
          <w:sz w:val="20"/>
          <w:szCs w:val="20"/>
          <w:lang w:val="en-US"/>
        </w:rPr>
        <w:t>and Articles</w:t>
      </w:r>
      <w:r w:rsidR="00B2711B" w:rsidRPr="002D0A21">
        <w:rPr>
          <w:rFonts w:ascii="Verdana" w:hAnsi="Verdana"/>
          <w:sz w:val="20"/>
          <w:szCs w:val="20"/>
          <w:lang w:val="en-US"/>
        </w:rPr>
        <w:t xml:space="preserve"> 18</w:t>
      </w:r>
      <w:r w:rsidR="00FA543D" w:rsidRPr="002D0A21">
        <w:rPr>
          <w:rFonts w:ascii="Verdana" w:hAnsi="Verdana"/>
          <w:sz w:val="20"/>
          <w:szCs w:val="20"/>
          <w:lang w:val="en-US"/>
        </w:rPr>
        <w:t xml:space="preserve"> and </w:t>
      </w:r>
      <w:r w:rsidR="00B2711B" w:rsidRPr="002D0A21">
        <w:rPr>
          <w:rFonts w:ascii="Verdana" w:hAnsi="Verdana"/>
          <w:sz w:val="20"/>
          <w:szCs w:val="20"/>
          <w:lang w:val="en-US"/>
        </w:rPr>
        <w:t xml:space="preserve">32 </w:t>
      </w:r>
      <w:r w:rsidR="00005F6F" w:rsidRPr="002D0A21">
        <w:rPr>
          <w:rFonts w:ascii="Verdana" w:hAnsi="Verdana"/>
          <w:sz w:val="20"/>
          <w:szCs w:val="20"/>
          <w:lang w:val="en-US"/>
        </w:rPr>
        <w:t xml:space="preserve">of the Declaration on the Rights of Indigenous Peoples relating to participation </w:t>
      </w:r>
      <w:r w:rsidR="00005F6F" w:rsidRPr="002D0A21">
        <w:rPr>
          <w:rFonts w:ascii="Verdana" w:eastAsia="Times New Roman" w:hAnsi="Verdana"/>
          <w:i/>
          <w:sz w:val="20"/>
          <w:szCs w:val="20"/>
          <w:lang w:val="en-US"/>
        </w:rPr>
        <w:t>in matters which would affect their rights and the obligation of States to “consult […] prior to the approval of any project affecting their lands</w:t>
      </w:r>
      <w:r w:rsidR="00005F6F" w:rsidRPr="002D0A21">
        <w:rPr>
          <w:rFonts w:ascii="Verdana" w:eastAsia="Times New Roman" w:hAnsi="Verdana"/>
          <w:sz w:val="20"/>
          <w:szCs w:val="20"/>
          <w:lang w:val="en-US"/>
        </w:rPr>
        <w:t>.”</w:t>
      </w:r>
    </w:p>
    <w:p w14:paraId="0F13191C" w14:textId="77777777" w:rsidR="007624ED" w:rsidRPr="002D0A21" w:rsidRDefault="007624ED" w:rsidP="007624ED">
      <w:pPr>
        <w:pStyle w:val="Estilo1"/>
        <w:numPr>
          <w:ilvl w:val="0"/>
          <w:numId w:val="0"/>
        </w:numPr>
        <w:spacing w:after="0"/>
        <w:ind w:left="720"/>
        <w:rPr>
          <w:rFonts w:ascii="Verdana" w:hAnsi="Verdana"/>
          <w:sz w:val="20"/>
          <w:szCs w:val="20"/>
          <w:lang w:val="en-US"/>
        </w:rPr>
      </w:pPr>
    </w:p>
    <w:p w14:paraId="2D0CFECD" w14:textId="1198B198" w:rsidR="00005F6F" w:rsidRPr="002D0A21" w:rsidRDefault="00383972" w:rsidP="00005F6F">
      <w:pPr>
        <w:pStyle w:val="Estilo1"/>
        <w:numPr>
          <w:ilvl w:val="1"/>
          <w:numId w:val="1"/>
        </w:numPr>
        <w:spacing w:after="0"/>
        <w:ind w:left="0" w:firstLine="720"/>
        <w:rPr>
          <w:rFonts w:ascii="Verdana" w:hAnsi="Verdana"/>
          <w:sz w:val="20"/>
          <w:szCs w:val="20"/>
          <w:lang w:val="en-US"/>
        </w:rPr>
      </w:pPr>
      <w:r w:rsidRPr="002D0A21">
        <w:rPr>
          <w:rFonts w:ascii="Verdana" w:hAnsi="Verdana"/>
          <w:sz w:val="20"/>
          <w:szCs w:val="20"/>
          <w:lang w:val="en-US"/>
        </w:rPr>
        <w:t>Paragraph</w:t>
      </w:r>
      <w:r w:rsidR="00B2711B" w:rsidRPr="002D0A21">
        <w:rPr>
          <w:rFonts w:ascii="Verdana" w:hAnsi="Verdana"/>
          <w:sz w:val="20"/>
          <w:szCs w:val="20"/>
          <w:lang w:val="en-US"/>
        </w:rPr>
        <w:t xml:space="preserve"> 203: </w:t>
      </w:r>
      <w:r w:rsidR="00005F6F" w:rsidRPr="002D0A21">
        <w:rPr>
          <w:rFonts w:ascii="Verdana" w:hAnsi="Verdana"/>
          <w:sz w:val="20"/>
          <w:szCs w:val="20"/>
          <w:lang w:val="en-US"/>
        </w:rPr>
        <w:t>The following paragraph enunciates, but without providing any grounds, the presumed</w:t>
      </w:r>
      <w:r w:rsidR="00D36621">
        <w:rPr>
          <w:rFonts w:ascii="Verdana" w:hAnsi="Verdana"/>
          <w:sz w:val="20"/>
          <w:szCs w:val="20"/>
          <w:lang w:val="en-US"/>
        </w:rPr>
        <w:t xml:space="preserve"> equivalence</w:t>
      </w:r>
      <w:r w:rsidR="00005F6F" w:rsidRPr="002D0A21">
        <w:rPr>
          <w:rFonts w:ascii="Verdana" w:hAnsi="Verdana"/>
          <w:sz w:val="20"/>
          <w:szCs w:val="20"/>
          <w:lang w:val="en-US"/>
        </w:rPr>
        <w:t xml:space="preserve"> between the right to participation and consultation derived from the right to property, and the right to participate in the conduct of public affairs. Thus, it indicates: “Consequently, in order to ensure the use and enjoyment of the right to indigenous collective property recognized in Articles 1(1) and 21 of the Convention, in relation to the utilization or exploitation of natural resources in their traditional territory, the State must, for the effects of this case, put in place mechanisms for the effective participation of the indigenous peoples using procedures that are culturally adapted to the decision-making of such peoples. This is not only </w:t>
      </w:r>
      <w:r w:rsidR="00005F6F" w:rsidRPr="002D0A21">
        <w:rPr>
          <w:rFonts w:ascii="Verdana" w:hAnsi="Verdana"/>
          <w:i/>
          <w:sz w:val="20"/>
          <w:szCs w:val="20"/>
          <w:lang w:val="en-US"/>
        </w:rPr>
        <w:t>a matter of public interest</w:t>
      </w:r>
      <w:r w:rsidR="00005F6F" w:rsidRPr="002D0A21">
        <w:rPr>
          <w:rFonts w:ascii="Verdana" w:hAnsi="Verdana"/>
          <w:sz w:val="20"/>
          <w:szCs w:val="20"/>
          <w:lang w:val="en-US"/>
        </w:rPr>
        <w:t xml:space="preserve">, but also forms part of the exercise of </w:t>
      </w:r>
      <w:r w:rsidR="00005F6F" w:rsidRPr="002D0A21">
        <w:rPr>
          <w:rFonts w:ascii="Verdana" w:hAnsi="Verdana"/>
          <w:i/>
          <w:sz w:val="20"/>
          <w:szCs w:val="20"/>
          <w:lang w:val="en-US"/>
        </w:rPr>
        <w:t>their right to take part in any decision-making on matters that affect their interests, in accordance with their own procedures and institutions, in relation to Article 23 of the American Convention</w:t>
      </w:r>
      <w:r w:rsidR="00005F6F" w:rsidRPr="002D0A21">
        <w:rPr>
          <w:rFonts w:ascii="Verdana" w:hAnsi="Verdana"/>
          <w:sz w:val="20"/>
          <w:szCs w:val="20"/>
          <w:lang w:val="en-US"/>
        </w:rPr>
        <w:t xml:space="preserve"> (</w:t>
      </w:r>
      <w:r w:rsidR="00005F6F" w:rsidRPr="002D0A21">
        <w:rPr>
          <w:rFonts w:ascii="Verdana" w:hAnsi="Verdana"/>
          <w:i/>
          <w:sz w:val="20"/>
          <w:szCs w:val="20"/>
          <w:lang w:val="en-US"/>
        </w:rPr>
        <w:t xml:space="preserve">supra </w:t>
      </w:r>
      <w:r w:rsidR="00005F6F" w:rsidRPr="002D0A21">
        <w:rPr>
          <w:rFonts w:ascii="Verdana" w:hAnsi="Verdana"/>
          <w:sz w:val="20"/>
          <w:szCs w:val="20"/>
          <w:lang w:val="en-US"/>
        </w:rPr>
        <w:t>para. 196).” No explanation is given as to why “</w:t>
      </w:r>
      <w:r w:rsidR="00005F6F" w:rsidRPr="002D0A21">
        <w:rPr>
          <w:rFonts w:ascii="Verdana" w:hAnsi="Verdana"/>
          <w:i/>
          <w:sz w:val="20"/>
          <w:szCs w:val="20"/>
          <w:lang w:val="en-US"/>
        </w:rPr>
        <w:t>the conduct of public affairs</w:t>
      </w:r>
      <w:r w:rsidR="00005F6F" w:rsidRPr="002D0A21">
        <w:rPr>
          <w:rFonts w:ascii="Verdana" w:hAnsi="Verdana"/>
          <w:sz w:val="20"/>
          <w:szCs w:val="20"/>
          <w:lang w:val="en-US"/>
        </w:rPr>
        <w:t xml:space="preserve">” would be equivalent to participation in decisions relating to </w:t>
      </w:r>
      <w:r w:rsidR="00005F6F" w:rsidRPr="002D0A21">
        <w:rPr>
          <w:rFonts w:ascii="Verdana" w:hAnsi="Verdana"/>
          <w:i/>
          <w:sz w:val="20"/>
          <w:szCs w:val="20"/>
          <w:lang w:val="en-US"/>
        </w:rPr>
        <w:t>private</w:t>
      </w:r>
      <w:r w:rsidR="00005F6F" w:rsidRPr="002D0A21">
        <w:rPr>
          <w:rFonts w:ascii="Verdana" w:hAnsi="Verdana"/>
          <w:sz w:val="20"/>
          <w:szCs w:val="20"/>
          <w:lang w:val="en-US"/>
        </w:rPr>
        <w:t xml:space="preserve"> property of a collective nature. Nor is it explained why matters relating to </w:t>
      </w:r>
      <w:r w:rsidR="00005F6F" w:rsidRPr="002D0A21">
        <w:rPr>
          <w:rFonts w:ascii="Verdana" w:hAnsi="Verdana"/>
          <w:i/>
          <w:sz w:val="20"/>
          <w:szCs w:val="20"/>
          <w:lang w:val="en-US"/>
        </w:rPr>
        <w:t xml:space="preserve">private </w:t>
      </w:r>
      <w:r w:rsidR="00005F6F" w:rsidRPr="002D0A21">
        <w:rPr>
          <w:rFonts w:ascii="Verdana" w:hAnsi="Verdana"/>
          <w:sz w:val="20"/>
          <w:szCs w:val="20"/>
          <w:lang w:val="en-US"/>
        </w:rPr>
        <w:t>property or to any of its implications would be a “</w:t>
      </w:r>
      <w:r w:rsidR="00005F6F" w:rsidRPr="002D0A21">
        <w:rPr>
          <w:rFonts w:ascii="Verdana" w:hAnsi="Verdana"/>
          <w:i/>
          <w:sz w:val="20"/>
          <w:szCs w:val="20"/>
          <w:lang w:val="en-US"/>
        </w:rPr>
        <w:t>matter of public interest</w:t>
      </w:r>
      <w:r w:rsidR="00005F6F" w:rsidRPr="002D0A21">
        <w:rPr>
          <w:rFonts w:ascii="Verdana" w:hAnsi="Verdana"/>
          <w:sz w:val="20"/>
          <w:szCs w:val="20"/>
          <w:lang w:val="en-US"/>
        </w:rPr>
        <w:t>.”</w:t>
      </w:r>
    </w:p>
    <w:p w14:paraId="6AB6FC4B" w14:textId="77777777" w:rsidR="007624ED" w:rsidRPr="002D0A21" w:rsidRDefault="007624ED" w:rsidP="007624ED">
      <w:pPr>
        <w:pStyle w:val="Estilo1"/>
        <w:numPr>
          <w:ilvl w:val="0"/>
          <w:numId w:val="0"/>
        </w:numPr>
        <w:spacing w:after="0"/>
        <w:ind w:left="720"/>
        <w:rPr>
          <w:rFonts w:ascii="Verdana" w:hAnsi="Verdana"/>
          <w:sz w:val="20"/>
          <w:szCs w:val="20"/>
          <w:lang w:val="en-US"/>
        </w:rPr>
      </w:pPr>
    </w:p>
    <w:p w14:paraId="3DD1F636" w14:textId="59A4DC12" w:rsidR="00FC75F8" w:rsidRPr="002D0A21" w:rsidRDefault="00005F6F" w:rsidP="007624ED">
      <w:pPr>
        <w:pStyle w:val="Estilo1"/>
        <w:numPr>
          <w:ilvl w:val="1"/>
          <w:numId w:val="1"/>
        </w:numPr>
        <w:spacing w:after="0"/>
        <w:ind w:left="0" w:firstLine="720"/>
        <w:rPr>
          <w:rFonts w:ascii="Verdana" w:hAnsi="Verdana"/>
          <w:sz w:val="20"/>
          <w:szCs w:val="20"/>
          <w:lang w:val="en-US"/>
        </w:rPr>
      </w:pPr>
      <w:r w:rsidRPr="002D0A21">
        <w:rPr>
          <w:rFonts w:ascii="Verdana" w:hAnsi="Verdana"/>
          <w:sz w:val="20"/>
          <w:szCs w:val="20"/>
          <w:lang w:val="en-US"/>
        </w:rPr>
        <w:t xml:space="preserve">The paragraph containing the final conclusion in this regard </w:t>
      </w:r>
      <w:r w:rsidR="00F1117A" w:rsidRPr="002D0A21">
        <w:rPr>
          <w:rFonts w:ascii="Verdana" w:hAnsi="Verdana"/>
          <w:sz w:val="20"/>
          <w:szCs w:val="20"/>
          <w:lang w:val="en-US"/>
        </w:rPr>
        <w:t>(</w:t>
      </w:r>
      <w:r w:rsidRPr="002D0A21">
        <w:rPr>
          <w:rFonts w:ascii="Verdana" w:hAnsi="Verdana"/>
          <w:sz w:val="20"/>
          <w:szCs w:val="20"/>
          <w:lang w:val="en-US"/>
        </w:rPr>
        <w:t>para</w:t>
      </w:r>
      <w:r w:rsidR="005E08B3" w:rsidRPr="002D0A21">
        <w:rPr>
          <w:rFonts w:ascii="Verdana" w:hAnsi="Verdana"/>
          <w:sz w:val="20"/>
          <w:szCs w:val="20"/>
          <w:lang w:val="en-US"/>
        </w:rPr>
        <w:t xml:space="preserve">. 230) </w:t>
      </w:r>
      <w:r w:rsidRPr="002D0A21">
        <w:rPr>
          <w:rFonts w:ascii="Verdana" w:hAnsi="Verdana"/>
          <w:sz w:val="20"/>
          <w:szCs w:val="20"/>
          <w:lang w:val="en-US"/>
        </w:rPr>
        <w:t>mentions the presumed violation of Article</w:t>
      </w:r>
      <w:r w:rsidR="005E08B3" w:rsidRPr="002D0A21">
        <w:rPr>
          <w:rFonts w:ascii="Verdana" w:hAnsi="Verdana"/>
          <w:sz w:val="20"/>
          <w:szCs w:val="20"/>
          <w:lang w:val="en-US"/>
        </w:rPr>
        <w:t xml:space="preserve"> 23, </w:t>
      </w:r>
      <w:r w:rsidRPr="002D0A21">
        <w:rPr>
          <w:rFonts w:ascii="Verdana" w:hAnsi="Verdana"/>
          <w:sz w:val="20"/>
          <w:szCs w:val="20"/>
          <w:lang w:val="en-US"/>
        </w:rPr>
        <w:t xml:space="preserve">but the only grounds included refer to </w:t>
      </w:r>
      <w:r w:rsidR="00FA543D" w:rsidRPr="002D0A21">
        <w:rPr>
          <w:rFonts w:ascii="Verdana" w:hAnsi="Verdana"/>
          <w:sz w:val="20"/>
          <w:szCs w:val="20"/>
          <w:lang w:val="en-US"/>
        </w:rPr>
        <w:t>Article</w:t>
      </w:r>
      <w:r w:rsidRPr="002D0A21">
        <w:rPr>
          <w:rFonts w:ascii="Verdana" w:hAnsi="Verdana"/>
          <w:sz w:val="20"/>
          <w:szCs w:val="20"/>
          <w:lang w:val="en-US"/>
        </w:rPr>
        <w:t xml:space="preserve"> 21 concerning private property, and not to the right to take part in the conduct of public affairs recognized in </w:t>
      </w:r>
      <w:r w:rsidR="00FA543D" w:rsidRPr="002D0A21">
        <w:rPr>
          <w:rFonts w:ascii="Verdana" w:hAnsi="Verdana"/>
          <w:sz w:val="20"/>
          <w:szCs w:val="20"/>
          <w:lang w:val="en-US"/>
        </w:rPr>
        <w:t>Article</w:t>
      </w:r>
      <w:r w:rsidR="005E08B3" w:rsidRPr="002D0A21">
        <w:rPr>
          <w:rFonts w:ascii="Verdana" w:hAnsi="Verdana"/>
          <w:sz w:val="20"/>
          <w:szCs w:val="20"/>
          <w:lang w:val="en-US"/>
        </w:rPr>
        <w:t xml:space="preserve"> 23, </w:t>
      </w:r>
      <w:r w:rsidRPr="002D0A21">
        <w:rPr>
          <w:rFonts w:ascii="Verdana" w:hAnsi="Verdana"/>
          <w:sz w:val="20"/>
          <w:szCs w:val="20"/>
          <w:lang w:val="en-US"/>
        </w:rPr>
        <w:t xml:space="preserve">which has a very different </w:t>
      </w:r>
      <w:r w:rsidR="00D36621">
        <w:rPr>
          <w:rFonts w:ascii="Verdana" w:hAnsi="Verdana"/>
          <w:sz w:val="20"/>
          <w:szCs w:val="20"/>
          <w:lang w:val="en-US"/>
        </w:rPr>
        <w:t>meaning</w:t>
      </w:r>
      <w:r w:rsidRPr="002D0A21">
        <w:rPr>
          <w:rFonts w:ascii="Verdana" w:hAnsi="Verdana"/>
          <w:sz w:val="20"/>
          <w:szCs w:val="20"/>
          <w:lang w:val="en-US"/>
        </w:rPr>
        <w:t xml:space="preserve"> and content.</w:t>
      </w:r>
    </w:p>
    <w:p w14:paraId="08F9C123" w14:textId="77E51A2B" w:rsidR="007624ED" w:rsidRPr="002D0A21" w:rsidRDefault="007624ED" w:rsidP="007624ED">
      <w:pPr>
        <w:pStyle w:val="Estilo1"/>
        <w:numPr>
          <w:ilvl w:val="0"/>
          <w:numId w:val="0"/>
        </w:numPr>
        <w:spacing w:after="0"/>
        <w:rPr>
          <w:rFonts w:ascii="Verdana" w:hAnsi="Verdana"/>
          <w:sz w:val="20"/>
          <w:szCs w:val="20"/>
          <w:lang w:val="en-US"/>
        </w:rPr>
      </w:pPr>
    </w:p>
    <w:p w14:paraId="3DD1F637" w14:textId="3827682B" w:rsidR="005E08B3" w:rsidRPr="002D0A21" w:rsidRDefault="00005F6F" w:rsidP="007624ED">
      <w:pPr>
        <w:pStyle w:val="Estilo1"/>
        <w:spacing w:after="0"/>
        <w:rPr>
          <w:rFonts w:ascii="Verdana" w:hAnsi="Verdana"/>
          <w:sz w:val="20"/>
          <w:szCs w:val="20"/>
          <w:lang w:val="en-US"/>
        </w:rPr>
      </w:pPr>
      <w:r w:rsidRPr="002D0A21">
        <w:rPr>
          <w:rFonts w:ascii="Verdana" w:hAnsi="Verdana"/>
          <w:sz w:val="20"/>
          <w:szCs w:val="20"/>
          <w:lang w:val="en-US"/>
        </w:rPr>
        <w:t xml:space="preserve">The remaining mentions of </w:t>
      </w:r>
      <w:r w:rsidR="00FA543D" w:rsidRPr="002D0A21">
        <w:rPr>
          <w:rFonts w:ascii="Verdana" w:hAnsi="Verdana"/>
          <w:sz w:val="20"/>
          <w:szCs w:val="20"/>
          <w:lang w:val="en-US"/>
        </w:rPr>
        <w:t>Article</w:t>
      </w:r>
      <w:r w:rsidR="005E08B3" w:rsidRPr="002D0A21">
        <w:rPr>
          <w:rFonts w:ascii="Verdana" w:hAnsi="Verdana"/>
          <w:sz w:val="20"/>
          <w:szCs w:val="20"/>
          <w:lang w:val="en-US"/>
        </w:rPr>
        <w:t xml:space="preserve"> 23 </w:t>
      </w:r>
      <w:r w:rsidRPr="002D0A21">
        <w:rPr>
          <w:rFonts w:ascii="Verdana" w:hAnsi="Verdana"/>
          <w:sz w:val="20"/>
          <w:szCs w:val="20"/>
          <w:lang w:val="en-US"/>
        </w:rPr>
        <w:t xml:space="preserve">are contained in the chapter on reparations </w:t>
      </w:r>
      <w:r w:rsidR="005E08B3" w:rsidRPr="002D0A21">
        <w:rPr>
          <w:rFonts w:ascii="Verdana" w:hAnsi="Verdana"/>
          <w:sz w:val="20"/>
          <w:szCs w:val="20"/>
          <w:lang w:val="en-US"/>
        </w:rPr>
        <w:t>(VII)</w:t>
      </w:r>
      <w:r w:rsidR="00FA543D" w:rsidRPr="002D0A21">
        <w:rPr>
          <w:rFonts w:ascii="Verdana" w:hAnsi="Verdana"/>
          <w:sz w:val="20"/>
          <w:szCs w:val="20"/>
          <w:lang w:val="en-US"/>
        </w:rPr>
        <w:t xml:space="preserve"> and </w:t>
      </w:r>
      <w:r w:rsidRPr="002D0A21">
        <w:rPr>
          <w:rFonts w:ascii="Verdana" w:hAnsi="Verdana"/>
          <w:sz w:val="20"/>
          <w:szCs w:val="20"/>
          <w:lang w:val="en-US"/>
        </w:rPr>
        <w:t>evidently refer to the consideration</w:t>
      </w:r>
      <w:r w:rsidR="00D36621">
        <w:rPr>
          <w:rFonts w:ascii="Verdana" w:hAnsi="Verdana"/>
          <w:sz w:val="20"/>
          <w:szCs w:val="20"/>
          <w:lang w:val="en-US"/>
        </w:rPr>
        <w:t>s</w:t>
      </w:r>
      <w:r w:rsidRPr="002D0A21">
        <w:rPr>
          <w:rFonts w:ascii="Verdana" w:hAnsi="Verdana"/>
          <w:sz w:val="20"/>
          <w:szCs w:val="20"/>
          <w:lang w:val="en-US"/>
        </w:rPr>
        <w:t xml:space="preserve"> in the chapter on merits </w:t>
      </w:r>
      <w:r w:rsidR="005E08B3" w:rsidRPr="002D0A21">
        <w:rPr>
          <w:rFonts w:ascii="Verdana" w:hAnsi="Verdana"/>
          <w:sz w:val="20"/>
          <w:szCs w:val="20"/>
          <w:lang w:val="en-US"/>
        </w:rPr>
        <w:t>(VI)</w:t>
      </w:r>
      <w:r w:rsidRPr="002D0A21">
        <w:rPr>
          <w:rFonts w:ascii="Verdana" w:hAnsi="Verdana"/>
          <w:sz w:val="20"/>
          <w:szCs w:val="20"/>
          <w:lang w:val="en-US"/>
        </w:rPr>
        <w:t xml:space="preserve"> without adding any </w:t>
      </w:r>
      <w:r w:rsidR="00D36621">
        <w:rPr>
          <w:rFonts w:ascii="Verdana" w:hAnsi="Verdana"/>
          <w:sz w:val="20"/>
          <w:szCs w:val="20"/>
          <w:lang w:val="en-US"/>
        </w:rPr>
        <w:t>reasoning</w:t>
      </w:r>
      <w:r w:rsidRPr="002D0A21">
        <w:rPr>
          <w:rFonts w:ascii="Verdana" w:hAnsi="Verdana"/>
          <w:sz w:val="20"/>
          <w:szCs w:val="20"/>
          <w:lang w:val="en-US"/>
        </w:rPr>
        <w:t xml:space="preserve"> in this regard (paras</w:t>
      </w:r>
      <w:r w:rsidR="005E08B3" w:rsidRPr="002D0A21">
        <w:rPr>
          <w:rFonts w:ascii="Verdana" w:hAnsi="Verdana"/>
          <w:sz w:val="20"/>
          <w:szCs w:val="20"/>
          <w:lang w:val="en-US"/>
        </w:rPr>
        <w:t xml:space="preserve">. </w:t>
      </w:r>
      <w:r w:rsidRPr="002D0A21">
        <w:rPr>
          <w:rFonts w:ascii="Verdana" w:hAnsi="Verdana"/>
          <w:sz w:val="20"/>
          <w:szCs w:val="20"/>
          <w:lang w:val="en-US"/>
        </w:rPr>
        <w:t>278, 295 and</w:t>
      </w:r>
      <w:r w:rsidR="005E08B3" w:rsidRPr="002D0A21">
        <w:rPr>
          <w:rFonts w:ascii="Verdana" w:hAnsi="Verdana"/>
          <w:sz w:val="20"/>
          <w:szCs w:val="20"/>
          <w:lang w:val="en-US"/>
        </w:rPr>
        <w:t xml:space="preserve"> 304).</w:t>
      </w:r>
      <w:r w:rsidRPr="002D0A21">
        <w:rPr>
          <w:rFonts w:ascii="Verdana" w:hAnsi="Verdana"/>
          <w:sz w:val="20"/>
          <w:szCs w:val="20"/>
          <w:lang w:val="en-US"/>
        </w:rPr>
        <w:t xml:space="preserve"> To the contrary, when the grounds for the alleged violations are described, there is merely a reference to “the lack of effective participation in relation to the exploitation project within one reserve</w:t>
      </w:r>
      <w:r w:rsidR="00FC75F8" w:rsidRPr="002D0A21">
        <w:rPr>
          <w:rFonts w:ascii="Verdana" w:hAnsi="Verdana"/>
          <w:sz w:val="20"/>
          <w:szCs w:val="20"/>
          <w:lang w:val="en-US"/>
        </w:rPr>
        <w:t xml:space="preserve">” </w:t>
      </w:r>
      <w:r w:rsidRPr="002D0A21">
        <w:rPr>
          <w:rFonts w:ascii="Verdana" w:hAnsi="Verdana"/>
          <w:sz w:val="20"/>
          <w:szCs w:val="20"/>
          <w:lang w:val="en-US"/>
        </w:rPr>
        <w:t>(para</w:t>
      </w:r>
      <w:r w:rsidR="00250ADF" w:rsidRPr="002D0A21">
        <w:rPr>
          <w:rFonts w:ascii="Verdana" w:hAnsi="Verdana"/>
          <w:sz w:val="20"/>
          <w:szCs w:val="20"/>
          <w:lang w:val="en-US"/>
        </w:rPr>
        <w:t>.</w:t>
      </w:r>
      <w:r w:rsidR="00FC75F8" w:rsidRPr="002D0A21">
        <w:rPr>
          <w:rFonts w:ascii="Verdana" w:hAnsi="Verdana"/>
          <w:sz w:val="20"/>
          <w:szCs w:val="20"/>
          <w:lang w:val="en-US"/>
        </w:rPr>
        <w:t xml:space="preserve"> 278-c) o</w:t>
      </w:r>
      <w:r w:rsidRPr="002D0A21">
        <w:rPr>
          <w:rFonts w:ascii="Verdana" w:hAnsi="Verdana"/>
          <w:sz w:val="20"/>
          <w:szCs w:val="20"/>
          <w:lang w:val="en-US"/>
        </w:rPr>
        <w:t>r to</w:t>
      </w:r>
      <w:r w:rsidR="00FC75F8" w:rsidRPr="002D0A21">
        <w:rPr>
          <w:rFonts w:ascii="Verdana" w:hAnsi="Verdana"/>
          <w:sz w:val="20"/>
          <w:szCs w:val="20"/>
          <w:lang w:val="en-US"/>
        </w:rPr>
        <w:t xml:space="preserve"> “</w:t>
      </w:r>
      <w:r w:rsidRPr="002D0A21">
        <w:rPr>
          <w:rFonts w:ascii="Verdana" w:hAnsi="Verdana"/>
          <w:sz w:val="20"/>
          <w:szCs w:val="20"/>
          <w:lang w:val="en-US"/>
        </w:rPr>
        <w:t>the lack of mechanisms that ensure effective participation, by a consultation process” (para</w:t>
      </w:r>
      <w:r w:rsidR="00FC75F8" w:rsidRPr="002D0A21">
        <w:rPr>
          <w:rFonts w:ascii="Verdana" w:hAnsi="Verdana"/>
          <w:sz w:val="20"/>
          <w:szCs w:val="20"/>
          <w:lang w:val="en-US"/>
        </w:rPr>
        <w:t>. 304-d).</w:t>
      </w:r>
    </w:p>
    <w:p w14:paraId="06F2B54F" w14:textId="77777777" w:rsidR="007624ED" w:rsidRPr="002D0A21" w:rsidRDefault="007624ED" w:rsidP="007624ED">
      <w:pPr>
        <w:pStyle w:val="Estilo1"/>
        <w:numPr>
          <w:ilvl w:val="0"/>
          <w:numId w:val="0"/>
        </w:numPr>
        <w:spacing w:after="0"/>
        <w:rPr>
          <w:rFonts w:ascii="Verdana" w:hAnsi="Verdana"/>
          <w:sz w:val="20"/>
          <w:szCs w:val="20"/>
          <w:lang w:val="en-US"/>
        </w:rPr>
      </w:pPr>
    </w:p>
    <w:p w14:paraId="3DD1F638" w14:textId="2D6B566D" w:rsidR="00FC75F8" w:rsidRPr="002D0A21" w:rsidRDefault="00005F6F" w:rsidP="00005F6F">
      <w:pPr>
        <w:pStyle w:val="Estilo1"/>
        <w:spacing w:after="0"/>
        <w:rPr>
          <w:rFonts w:ascii="Verdana" w:hAnsi="Verdana"/>
          <w:sz w:val="20"/>
          <w:szCs w:val="20"/>
          <w:lang w:val="en-US"/>
        </w:rPr>
      </w:pPr>
      <w:r w:rsidRPr="002D0A21">
        <w:rPr>
          <w:rFonts w:ascii="Verdana" w:hAnsi="Verdana"/>
          <w:sz w:val="20"/>
          <w:szCs w:val="20"/>
          <w:lang w:val="en-US"/>
        </w:rPr>
        <w:t>The foregoing reveals that, on this aspect also, the conclusion reached in the Sarayaku case and transcribed above (</w:t>
      </w:r>
      <w:r w:rsidRPr="002D0A21">
        <w:rPr>
          <w:rFonts w:ascii="Verdana" w:hAnsi="Verdana"/>
          <w:i/>
          <w:sz w:val="20"/>
          <w:szCs w:val="20"/>
          <w:lang w:val="en-US"/>
        </w:rPr>
        <w:t>supra,</w:t>
      </w:r>
      <w:r w:rsidRPr="002D0A21">
        <w:rPr>
          <w:rFonts w:ascii="Verdana" w:hAnsi="Verdana"/>
          <w:sz w:val="20"/>
          <w:szCs w:val="20"/>
          <w:lang w:val="en-US"/>
        </w:rPr>
        <w:t xml:space="preserve"> para. 13) with regard to the presumed violation of Articles 13 and 23 is also applicable: “</w:t>
      </w:r>
      <w:r w:rsidRPr="002D0A21">
        <w:rPr>
          <w:rFonts w:ascii="Verdana" w:hAnsi="Verdana"/>
          <w:i/>
          <w:sz w:val="20"/>
          <w:szCs w:val="20"/>
          <w:lang w:val="en-US"/>
        </w:rPr>
        <w:t xml:space="preserve">the Court considers that, in this case, the facts have been sufficiently analyzed and the violations conceptualized under the rights to </w:t>
      </w:r>
      <w:r w:rsidRPr="002D0A21">
        <w:rPr>
          <w:rFonts w:ascii="Verdana" w:hAnsi="Verdana"/>
          <w:i/>
          <w:sz w:val="20"/>
          <w:szCs w:val="20"/>
          <w:lang w:val="en-US"/>
        </w:rPr>
        <w:lastRenderedPageBreak/>
        <w:t>communal property, consultation and cultural identity of the Sarayaku People, in the terms of Article 21 of the Convention, in relation to Articles 1(1) and 2 thereof; accordingly, it will not rule on the alleged violation of those provisions</w:t>
      </w:r>
      <w:r w:rsidRPr="002D0A21">
        <w:rPr>
          <w:rFonts w:ascii="Verdana" w:hAnsi="Verdana"/>
          <w:sz w:val="20"/>
          <w:szCs w:val="20"/>
          <w:lang w:val="en-US"/>
        </w:rPr>
        <w:t>.”</w:t>
      </w:r>
    </w:p>
    <w:p w14:paraId="28223C57" w14:textId="77777777" w:rsidR="007624ED" w:rsidRPr="002D0A21" w:rsidRDefault="007624ED" w:rsidP="007624ED">
      <w:pPr>
        <w:pStyle w:val="Estilo1"/>
        <w:numPr>
          <w:ilvl w:val="0"/>
          <w:numId w:val="0"/>
        </w:numPr>
        <w:spacing w:after="0"/>
        <w:rPr>
          <w:rFonts w:ascii="Verdana" w:hAnsi="Verdana"/>
          <w:sz w:val="20"/>
          <w:szCs w:val="20"/>
          <w:lang w:val="en-US"/>
        </w:rPr>
      </w:pPr>
    </w:p>
    <w:p w14:paraId="3DD1F639" w14:textId="0459045F" w:rsidR="00FC75F8" w:rsidRPr="002D0A21" w:rsidRDefault="00CE59E4" w:rsidP="007624ED">
      <w:pPr>
        <w:pStyle w:val="Estilo1"/>
        <w:spacing w:after="0"/>
        <w:rPr>
          <w:rFonts w:ascii="Verdana" w:hAnsi="Verdana"/>
          <w:sz w:val="20"/>
          <w:szCs w:val="20"/>
          <w:lang w:val="en-US"/>
        </w:rPr>
      </w:pPr>
      <w:r w:rsidRPr="002D0A21">
        <w:rPr>
          <w:rFonts w:ascii="Verdana" w:hAnsi="Verdana"/>
          <w:sz w:val="20"/>
          <w:szCs w:val="20"/>
          <w:lang w:val="en-US"/>
        </w:rPr>
        <w:t xml:space="preserve">Consequently, it is not in order to declare a violation of </w:t>
      </w:r>
      <w:r w:rsidR="00FA543D" w:rsidRPr="002D0A21">
        <w:rPr>
          <w:rFonts w:ascii="Verdana" w:hAnsi="Verdana"/>
          <w:sz w:val="20"/>
          <w:szCs w:val="20"/>
          <w:lang w:val="en-US"/>
        </w:rPr>
        <w:t>Article</w:t>
      </w:r>
      <w:r w:rsidR="00A53D6C" w:rsidRPr="002D0A21">
        <w:rPr>
          <w:rFonts w:ascii="Verdana" w:hAnsi="Verdana"/>
          <w:sz w:val="20"/>
          <w:szCs w:val="20"/>
          <w:lang w:val="en-US"/>
        </w:rPr>
        <w:t xml:space="preserve"> 23 </w:t>
      </w:r>
      <w:r w:rsidRPr="002D0A21">
        <w:rPr>
          <w:rFonts w:ascii="Verdana" w:hAnsi="Verdana"/>
          <w:sz w:val="20"/>
          <w:szCs w:val="20"/>
          <w:lang w:val="en-US"/>
        </w:rPr>
        <w:t>of</w:t>
      </w:r>
      <w:r w:rsidR="00A53D6C" w:rsidRPr="002D0A21">
        <w:rPr>
          <w:rFonts w:ascii="Verdana" w:hAnsi="Verdana"/>
          <w:sz w:val="20"/>
          <w:szCs w:val="20"/>
          <w:lang w:val="en-US"/>
        </w:rPr>
        <w:t xml:space="preserve"> </w:t>
      </w:r>
      <w:r w:rsidR="00FA543D" w:rsidRPr="002D0A21">
        <w:rPr>
          <w:rFonts w:ascii="Verdana" w:hAnsi="Verdana"/>
          <w:sz w:val="20"/>
          <w:szCs w:val="20"/>
          <w:lang w:val="en-US"/>
        </w:rPr>
        <w:t>the Convention</w:t>
      </w:r>
      <w:r w:rsidR="00A53D6C" w:rsidRPr="002D0A21">
        <w:rPr>
          <w:rFonts w:ascii="Verdana" w:hAnsi="Verdana"/>
          <w:sz w:val="20"/>
          <w:szCs w:val="20"/>
          <w:lang w:val="en-US"/>
        </w:rPr>
        <w:t xml:space="preserve">, </w:t>
      </w:r>
      <w:r w:rsidRPr="002D0A21">
        <w:rPr>
          <w:rFonts w:ascii="Verdana" w:hAnsi="Verdana"/>
          <w:sz w:val="20"/>
          <w:szCs w:val="20"/>
          <w:lang w:val="en-US"/>
        </w:rPr>
        <w:t xml:space="preserve">but rather sufficient to declare the violation of </w:t>
      </w:r>
      <w:r w:rsidR="00FA543D" w:rsidRPr="002D0A21">
        <w:rPr>
          <w:rFonts w:ascii="Verdana" w:hAnsi="Verdana"/>
          <w:sz w:val="20"/>
          <w:szCs w:val="20"/>
          <w:lang w:val="en-US"/>
        </w:rPr>
        <w:t>Article</w:t>
      </w:r>
      <w:r w:rsidR="00A53D6C" w:rsidRPr="002D0A21">
        <w:rPr>
          <w:rFonts w:ascii="Verdana" w:hAnsi="Verdana"/>
          <w:sz w:val="20"/>
          <w:szCs w:val="20"/>
          <w:lang w:val="en-US"/>
        </w:rPr>
        <w:t xml:space="preserve"> 21 (</w:t>
      </w:r>
      <w:r w:rsidRPr="002D0A21">
        <w:rPr>
          <w:rFonts w:ascii="Verdana" w:hAnsi="Verdana"/>
          <w:sz w:val="20"/>
          <w:szCs w:val="20"/>
          <w:lang w:val="en-US"/>
        </w:rPr>
        <w:t>Right to Property).</w:t>
      </w:r>
    </w:p>
    <w:p w14:paraId="02676E8D" w14:textId="77777777" w:rsidR="00071392" w:rsidRPr="002D0A21" w:rsidRDefault="00071392" w:rsidP="007624ED">
      <w:pPr>
        <w:pStyle w:val="Estilo1"/>
        <w:numPr>
          <w:ilvl w:val="0"/>
          <w:numId w:val="0"/>
        </w:numPr>
        <w:spacing w:after="0"/>
        <w:rPr>
          <w:rFonts w:ascii="Verdana" w:hAnsi="Verdana"/>
          <w:sz w:val="20"/>
          <w:szCs w:val="20"/>
          <w:lang w:val="en-US"/>
        </w:rPr>
      </w:pPr>
    </w:p>
    <w:p w14:paraId="3DD1F63A" w14:textId="6609566C" w:rsidR="00F1117A" w:rsidRPr="00EE5175" w:rsidRDefault="00F1117A" w:rsidP="007624ED">
      <w:pPr>
        <w:pStyle w:val="Estilo2"/>
        <w:numPr>
          <w:ilvl w:val="0"/>
          <w:numId w:val="2"/>
        </w:numPr>
        <w:spacing w:after="0"/>
        <w:ind w:left="0" w:firstLine="0"/>
        <w:rPr>
          <w:rFonts w:ascii="Verdana" w:hAnsi="Verdana"/>
          <w:b/>
          <w:i w:val="0"/>
          <w:sz w:val="20"/>
          <w:szCs w:val="20"/>
          <w:lang w:val="en-US"/>
        </w:rPr>
      </w:pPr>
      <w:r w:rsidRPr="00EE5175">
        <w:rPr>
          <w:rFonts w:ascii="Verdana" w:hAnsi="Verdana"/>
          <w:b/>
          <w:i w:val="0"/>
          <w:sz w:val="20"/>
          <w:szCs w:val="20"/>
          <w:lang w:val="en-US"/>
        </w:rPr>
        <w:t>Conclusions</w:t>
      </w:r>
    </w:p>
    <w:p w14:paraId="444C3660" w14:textId="77777777" w:rsidR="007624ED" w:rsidRPr="002D0A21" w:rsidRDefault="007624ED" w:rsidP="007624ED">
      <w:pPr>
        <w:pStyle w:val="Estilo2"/>
        <w:spacing w:after="0"/>
        <w:ind w:left="0"/>
        <w:jc w:val="left"/>
        <w:rPr>
          <w:rFonts w:ascii="Verdana" w:hAnsi="Verdana"/>
          <w:sz w:val="20"/>
          <w:szCs w:val="20"/>
          <w:lang w:val="en-US"/>
        </w:rPr>
      </w:pPr>
    </w:p>
    <w:p w14:paraId="3DD1F63B" w14:textId="74FFF94E" w:rsidR="00F1117A" w:rsidRPr="002D0A21" w:rsidRDefault="00CE59E4" w:rsidP="007624ED">
      <w:pPr>
        <w:pStyle w:val="Estilo1"/>
        <w:spacing w:after="0"/>
        <w:rPr>
          <w:rFonts w:ascii="Verdana" w:hAnsi="Verdana"/>
          <w:sz w:val="20"/>
          <w:szCs w:val="20"/>
          <w:lang w:val="en-US"/>
        </w:rPr>
      </w:pPr>
      <w:r w:rsidRPr="002D0A21">
        <w:rPr>
          <w:rFonts w:ascii="Verdana" w:hAnsi="Verdana"/>
          <w:sz w:val="20"/>
          <w:szCs w:val="20"/>
          <w:lang w:val="en-US"/>
        </w:rPr>
        <w:t>I</w:t>
      </w:r>
      <w:r w:rsidR="00F1117A" w:rsidRPr="002D0A21">
        <w:rPr>
          <w:rFonts w:ascii="Verdana" w:hAnsi="Verdana"/>
          <w:sz w:val="20"/>
          <w:szCs w:val="20"/>
          <w:lang w:val="en-US"/>
        </w:rPr>
        <w:t>n conclusi</w:t>
      </w:r>
      <w:r w:rsidRPr="002D0A21">
        <w:rPr>
          <w:rFonts w:ascii="Verdana" w:hAnsi="Verdana"/>
          <w:sz w:val="20"/>
          <w:szCs w:val="20"/>
          <w:lang w:val="en-US"/>
        </w:rPr>
        <w:t>o</w:t>
      </w:r>
      <w:r w:rsidR="00F1117A" w:rsidRPr="002D0A21">
        <w:rPr>
          <w:rFonts w:ascii="Verdana" w:hAnsi="Verdana"/>
          <w:sz w:val="20"/>
          <w:szCs w:val="20"/>
          <w:lang w:val="en-US"/>
        </w:rPr>
        <w:t>n:</w:t>
      </w:r>
    </w:p>
    <w:p w14:paraId="3ACEDA44" w14:textId="77777777" w:rsidR="007624ED" w:rsidRPr="002D0A21" w:rsidRDefault="007624ED" w:rsidP="007624ED">
      <w:pPr>
        <w:pStyle w:val="Estilo1"/>
        <w:numPr>
          <w:ilvl w:val="0"/>
          <w:numId w:val="0"/>
        </w:numPr>
        <w:spacing w:after="0"/>
        <w:rPr>
          <w:rFonts w:ascii="Verdana" w:hAnsi="Verdana"/>
          <w:sz w:val="20"/>
          <w:szCs w:val="20"/>
          <w:lang w:val="en-US"/>
        </w:rPr>
      </w:pPr>
    </w:p>
    <w:p w14:paraId="3DD1F63C" w14:textId="13478149" w:rsidR="00A73D0B" w:rsidRPr="002D0A21" w:rsidRDefault="00CE59E4" w:rsidP="007624ED">
      <w:pPr>
        <w:pStyle w:val="Estilo1"/>
        <w:numPr>
          <w:ilvl w:val="1"/>
          <w:numId w:val="1"/>
        </w:numPr>
        <w:spacing w:after="0"/>
        <w:ind w:left="1134" w:hanging="731"/>
        <w:rPr>
          <w:rFonts w:ascii="Verdana" w:hAnsi="Verdana"/>
          <w:sz w:val="20"/>
          <w:szCs w:val="20"/>
          <w:lang w:val="en-US"/>
        </w:rPr>
      </w:pPr>
      <w:r w:rsidRPr="002D0A21">
        <w:rPr>
          <w:rFonts w:ascii="Verdana" w:hAnsi="Verdana"/>
          <w:sz w:val="20"/>
          <w:szCs w:val="20"/>
          <w:lang w:val="en-US"/>
        </w:rPr>
        <w:t xml:space="preserve">It is not in order to declare that </w:t>
      </w:r>
      <w:r w:rsidR="00FA543D" w:rsidRPr="002D0A21">
        <w:rPr>
          <w:rFonts w:ascii="Verdana" w:hAnsi="Verdana"/>
          <w:sz w:val="20"/>
          <w:szCs w:val="20"/>
          <w:lang w:val="en-US"/>
        </w:rPr>
        <w:t>Articles</w:t>
      </w:r>
      <w:r w:rsidR="00A73D0B" w:rsidRPr="002D0A21">
        <w:rPr>
          <w:rFonts w:ascii="Verdana" w:hAnsi="Verdana"/>
          <w:sz w:val="20"/>
          <w:szCs w:val="20"/>
          <w:lang w:val="en-US"/>
        </w:rPr>
        <w:t xml:space="preserve"> 3, 13</w:t>
      </w:r>
      <w:r w:rsidR="00FA543D" w:rsidRPr="002D0A21">
        <w:rPr>
          <w:rFonts w:ascii="Verdana" w:hAnsi="Verdana"/>
          <w:sz w:val="20"/>
          <w:szCs w:val="20"/>
          <w:lang w:val="en-US"/>
        </w:rPr>
        <w:t xml:space="preserve"> and </w:t>
      </w:r>
      <w:r w:rsidR="00A73D0B" w:rsidRPr="002D0A21">
        <w:rPr>
          <w:rFonts w:ascii="Verdana" w:hAnsi="Verdana"/>
          <w:sz w:val="20"/>
          <w:szCs w:val="20"/>
          <w:lang w:val="en-US"/>
        </w:rPr>
        <w:t xml:space="preserve">23 </w:t>
      </w:r>
      <w:r w:rsidRPr="002D0A21">
        <w:rPr>
          <w:rFonts w:ascii="Verdana" w:hAnsi="Verdana"/>
          <w:sz w:val="20"/>
          <w:szCs w:val="20"/>
          <w:lang w:val="en-US"/>
        </w:rPr>
        <w:t>of</w:t>
      </w:r>
      <w:r w:rsidR="00A73D0B" w:rsidRPr="002D0A21">
        <w:rPr>
          <w:rFonts w:ascii="Verdana" w:hAnsi="Verdana"/>
          <w:sz w:val="20"/>
          <w:szCs w:val="20"/>
          <w:lang w:val="en-US"/>
        </w:rPr>
        <w:t xml:space="preserve"> </w:t>
      </w:r>
      <w:r w:rsidR="00FA543D" w:rsidRPr="002D0A21">
        <w:rPr>
          <w:rFonts w:ascii="Verdana" w:hAnsi="Verdana"/>
          <w:sz w:val="20"/>
          <w:szCs w:val="20"/>
          <w:lang w:val="en-US"/>
        </w:rPr>
        <w:t>the American Convention</w:t>
      </w:r>
      <w:r w:rsidRPr="002D0A21">
        <w:rPr>
          <w:rFonts w:ascii="Verdana" w:hAnsi="Verdana"/>
          <w:sz w:val="20"/>
          <w:szCs w:val="20"/>
          <w:lang w:val="en-US"/>
        </w:rPr>
        <w:t xml:space="preserve"> have been violated</w:t>
      </w:r>
      <w:r w:rsidR="00A73D0B" w:rsidRPr="002D0A21">
        <w:rPr>
          <w:rFonts w:ascii="Verdana" w:hAnsi="Verdana"/>
          <w:sz w:val="20"/>
          <w:szCs w:val="20"/>
          <w:lang w:val="en-US"/>
        </w:rPr>
        <w:t>;</w:t>
      </w:r>
    </w:p>
    <w:p w14:paraId="3DD1F63D" w14:textId="477E8446" w:rsidR="00A73D0B" w:rsidRDefault="00CE59E4" w:rsidP="007624ED">
      <w:pPr>
        <w:pStyle w:val="Estilo1"/>
        <w:numPr>
          <w:ilvl w:val="1"/>
          <w:numId w:val="1"/>
        </w:numPr>
        <w:spacing w:after="0"/>
        <w:ind w:left="1134" w:hanging="731"/>
        <w:rPr>
          <w:rFonts w:ascii="Verdana" w:hAnsi="Verdana"/>
          <w:sz w:val="20"/>
          <w:szCs w:val="20"/>
          <w:lang w:val="en-US"/>
        </w:rPr>
      </w:pPr>
      <w:r w:rsidRPr="002D0A21">
        <w:rPr>
          <w:rFonts w:ascii="Verdana" w:hAnsi="Verdana"/>
          <w:sz w:val="20"/>
          <w:szCs w:val="20"/>
          <w:lang w:val="en-US"/>
        </w:rPr>
        <w:t xml:space="preserve">It is sufficient to declare the violation of </w:t>
      </w:r>
      <w:r w:rsidR="00FA543D" w:rsidRPr="002D0A21">
        <w:rPr>
          <w:rFonts w:ascii="Verdana" w:hAnsi="Verdana"/>
          <w:sz w:val="20"/>
          <w:szCs w:val="20"/>
          <w:lang w:val="en-US"/>
        </w:rPr>
        <w:t>Article</w:t>
      </w:r>
      <w:r w:rsidR="00A73D0B" w:rsidRPr="002D0A21">
        <w:rPr>
          <w:rFonts w:ascii="Verdana" w:hAnsi="Verdana"/>
          <w:sz w:val="20"/>
          <w:szCs w:val="20"/>
          <w:lang w:val="en-US"/>
        </w:rPr>
        <w:t xml:space="preserve"> 21 (</w:t>
      </w:r>
      <w:r w:rsidR="00D36621">
        <w:rPr>
          <w:rFonts w:ascii="Verdana" w:hAnsi="Verdana"/>
          <w:sz w:val="20"/>
          <w:szCs w:val="20"/>
          <w:lang w:val="en-US"/>
        </w:rPr>
        <w:t>R</w:t>
      </w:r>
      <w:r w:rsidRPr="002D0A21">
        <w:rPr>
          <w:rFonts w:ascii="Verdana" w:hAnsi="Verdana"/>
          <w:sz w:val="20"/>
          <w:szCs w:val="20"/>
          <w:lang w:val="en-US"/>
        </w:rPr>
        <w:t xml:space="preserve">ight to </w:t>
      </w:r>
      <w:r w:rsidR="002D0A21" w:rsidRPr="002D0A21">
        <w:rPr>
          <w:rFonts w:ascii="Verdana" w:hAnsi="Verdana"/>
          <w:sz w:val="20"/>
          <w:szCs w:val="20"/>
          <w:lang w:val="en-US"/>
        </w:rPr>
        <w:t>communal</w:t>
      </w:r>
      <w:r w:rsidRPr="002D0A21">
        <w:rPr>
          <w:rFonts w:ascii="Verdana" w:hAnsi="Verdana"/>
          <w:sz w:val="20"/>
          <w:szCs w:val="20"/>
          <w:lang w:val="en-US"/>
        </w:rPr>
        <w:t xml:space="preserve"> property), </w:t>
      </w:r>
      <w:r w:rsidR="00D36621">
        <w:rPr>
          <w:rFonts w:ascii="Verdana" w:hAnsi="Verdana"/>
          <w:sz w:val="20"/>
          <w:szCs w:val="20"/>
          <w:lang w:val="en-US"/>
        </w:rPr>
        <w:t>and</w:t>
      </w:r>
      <w:r w:rsidRPr="002D0A21">
        <w:rPr>
          <w:rFonts w:ascii="Verdana" w:hAnsi="Verdana"/>
          <w:sz w:val="20"/>
          <w:szCs w:val="20"/>
          <w:lang w:val="en-US"/>
        </w:rPr>
        <w:t xml:space="preserve"> the consequent rights to recognition of</w:t>
      </w:r>
      <w:r w:rsidR="00D36621">
        <w:rPr>
          <w:rFonts w:ascii="Verdana" w:hAnsi="Verdana"/>
          <w:sz w:val="20"/>
          <w:szCs w:val="20"/>
          <w:lang w:val="en-US"/>
        </w:rPr>
        <w:t xml:space="preserve"> legal status</w:t>
      </w:r>
      <w:r w:rsidRPr="002D0A21">
        <w:rPr>
          <w:rFonts w:ascii="Verdana" w:hAnsi="Verdana"/>
          <w:sz w:val="20"/>
          <w:szCs w:val="20"/>
          <w:lang w:val="en-US"/>
        </w:rPr>
        <w:t xml:space="preserve"> </w:t>
      </w:r>
      <w:r w:rsidR="00D36621" w:rsidRPr="00D36621">
        <w:rPr>
          <w:rFonts w:ascii="Verdana" w:hAnsi="Verdana"/>
          <w:i/>
          <w:sz w:val="20"/>
          <w:szCs w:val="20"/>
          <w:lang w:val="en-US"/>
        </w:rPr>
        <w:t>[</w:t>
      </w:r>
      <w:r w:rsidR="00A73D0B" w:rsidRPr="00D36621">
        <w:rPr>
          <w:rFonts w:ascii="Verdana" w:hAnsi="Verdana"/>
          <w:i/>
          <w:sz w:val="20"/>
          <w:szCs w:val="20"/>
          <w:lang w:val="en-US"/>
        </w:rPr>
        <w:t>personería jurídica</w:t>
      </w:r>
      <w:r w:rsidR="00D36621" w:rsidRPr="00D36621">
        <w:rPr>
          <w:rFonts w:ascii="Verdana" w:hAnsi="Verdana"/>
          <w:i/>
          <w:sz w:val="20"/>
          <w:szCs w:val="20"/>
          <w:lang w:val="en-US"/>
        </w:rPr>
        <w:t>]</w:t>
      </w:r>
      <w:r w:rsidR="00FA543D" w:rsidRPr="00D36621">
        <w:rPr>
          <w:rFonts w:ascii="Verdana" w:hAnsi="Verdana"/>
          <w:i/>
          <w:sz w:val="20"/>
          <w:szCs w:val="20"/>
          <w:lang w:val="en-US"/>
        </w:rPr>
        <w:t xml:space="preserve"> </w:t>
      </w:r>
      <w:r w:rsidR="00FA543D" w:rsidRPr="002D0A21">
        <w:rPr>
          <w:rFonts w:ascii="Verdana" w:hAnsi="Verdana"/>
          <w:sz w:val="20"/>
          <w:szCs w:val="20"/>
          <w:lang w:val="en-US"/>
        </w:rPr>
        <w:t xml:space="preserve">and </w:t>
      </w:r>
      <w:r w:rsidRPr="002D0A21">
        <w:rPr>
          <w:rFonts w:ascii="Verdana" w:hAnsi="Verdana"/>
          <w:sz w:val="20"/>
          <w:szCs w:val="20"/>
          <w:lang w:val="en-US"/>
        </w:rPr>
        <w:t xml:space="preserve">to consultation and cultural identity, </w:t>
      </w:r>
      <w:r w:rsidR="00FA543D" w:rsidRPr="002D0A21">
        <w:rPr>
          <w:rFonts w:ascii="Verdana" w:hAnsi="Verdana"/>
          <w:sz w:val="20"/>
          <w:szCs w:val="20"/>
          <w:lang w:val="en-US"/>
        </w:rPr>
        <w:t xml:space="preserve">and </w:t>
      </w:r>
      <w:r w:rsidRPr="002D0A21">
        <w:rPr>
          <w:rFonts w:ascii="Verdana" w:hAnsi="Verdana"/>
          <w:sz w:val="20"/>
          <w:szCs w:val="20"/>
          <w:lang w:val="en-US"/>
        </w:rPr>
        <w:t>Article</w:t>
      </w:r>
      <w:r w:rsidR="00FA543D" w:rsidRPr="002D0A21">
        <w:rPr>
          <w:rFonts w:ascii="Verdana" w:hAnsi="Verdana"/>
          <w:sz w:val="20"/>
          <w:szCs w:val="20"/>
          <w:lang w:val="en-US"/>
        </w:rPr>
        <w:t xml:space="preserve"> </w:t>
      </w:r>
      <w:r w:rsidR="00A73D0B" w:rsidRPr="002D0A21">
        <w:rPr>
          <w:rFonts w:ascii="Verdana" w:hAnsi="Verdana"/>
          <w:sz w:val="20"/>
          <w:szCs w:val="20"/>
          <w:lang w:val="en-US"/>
        </w:rPr>
        <w:t>25 (</w:t>
      </w:r>
      <w:r w:rsidRPr="002D0A21">
        <w:rPr>
          <w:rFonts w:ascii="Verdana" w:hAnsi="Verdana"/>
          <w:sz w:val="20"/>
          <w:szCs w:val="20"/>
          <w:lang w:val="en-US"/>
        </w:rPr>
        <w:t>Right to Judicial Protection) of</w:t>
      </w:r>
      <w:r w:rsidR="00A73D0B" w:rsidRPr="002D0A21">
        <w:rPr>
          <w:rFonts w:ascii="Verdana" w:hAnsi="Verdana"/>
          <w:sz w:val="20"/>
          <w:szCs w:val="20"/>
          <w:lang w:val="en-US"/>
        </w:rPr>
        <w:t xml:space="preserve"> </w:t>
      </w:r>
      <w:r w:rsidR="00FA543D" w:rsidRPr="002D0A21">
        <w:rPr>
          <w:rFonts w:ascii="Verdana" w:hAnsi="Verdana"/>
          <w:sz w:val="20"/>
          <w:szCs w:val="20"/>
          <w:lang w:val="en-US"/>
        </w:rPr>
        <w:t>the American Convention</w:t>
      </w:r>
      <w:r w:rsidR="00A73D0B" w:rsidRPr="002D0A21">
        <w:rPr>
          <w:rFonts w:ascii="Verdana" w:hAnsi="Verdana"/>
          <w:sz w:val="20"/>
          <w:szCs w:val="20"/>
          <w:lang w:val="en-US"/>
        </w:rPr>
        <w:t>.</w:t>
      </w:r>
    </w:p>
    <w:p w14:paraId="5A5E433D" w14:textId="77777777" w:rsidR="00071392" w:rsidRDefault="00071392" w:rsidP="00071392">
      <w:pPr>
        <w:pStyle w:val="Estilo1"/>
        <w:rPr>
          <w:lang w:val="en-US"/>
        </w:rPr>
      </w:pPr>
    </w:p>
    <w:p w14:paraId="1877F28A" w14:textId="5377FCCD" w:rsidR="00071392" w:rsidRPr="002D0A21" w:rsidRDefault="00071392" w:rsidP="00071392">
      <w:pPr>
        <w:pStyle w:val="Estilo1"/>
        <w:numPr>
          <w:ilvl w:val="0"/>
          <w:numId w:val="0"/>
        </w:numPr>
        <w:rPr>
          <w:lang w:val="en-US"/>
        </w:rPr>
      </w:pPr>
    </w:p>
    <w:p w14:paraId="2C9830EE" w14:textId="4132E9FF" w:rsidR="007624ED" w:rsidRPr="002D0A21" w:rsidRDefault="007624ED" w:rsidP="007624ED">
      <w:pPr>
        <w:pStyle w:val="Estilo1"/>
        <w:numPr>
          <w:ilvl w:val="0"/>
          <w:numId w:val="0"/>
        </w:numPr>
        <w:spacing w:after="0"/>
        <w:ind w:left="1134"/>
        <w:rPr>
          <w:rFonts w:ascii="Verdana" w:hAnsi="Verdana"/>
          <w:sz w:val="20"/>
          <w:szCs w:val="20"/>
          <w:lang w:val="en-US"/>
        </w:rPr>
      </w:pPr>
    </w:p>
    <w:p w14:paraId="6510138E" w14:textId="77777777" w:rsidR="003C743F" w:rsidRPr="00DE7840" w:rsidRDefault="003C743F" w:rsidP="007624ED">
      <w:pPr>
        <w:widowControl w:val="0"/>
        <w:adjustRightInd w:val="0"/>
        <w:spacing w:after="0" w:line="240" w:lineRule="auto"/>
        <w:ind w:left="5041"/>
        <w:jc w:val="center"/>
        <w:rPr>
          <w:rFonts w:ascii="Verdana" w:eastAsia="Times New Roman" w:hAnsi="Verdana" w:cs="Times New Roman"/>
          <w:spacing w:val="-4"/>
          <w:sz w:val="20"/>
          <w:szCs w:val="20"/>
          <w:lang w:val="en-US" w:eastAsia="es-CR"/>
        </w:rPr>
      </w:pPr>
    </w:p>
    <w:p w14:paraId="34CB11DE" w14:textId="77777777" w:rsidR="003C743F" w:rsidRDefault="003C743F" w:rsidP="007624ED">
      <w:pPr>
        <w:widowControl w:val="0"/>
        <w:adjustRightInd w:val="0"/>
        <w:spacing w:after="0" w:line="240" w:lineRule="auto"/>
        <w:ind w:left="5041"/>
        <w:jc w:val="center"/>
        <w:rPr>
          <w:rFonts w:ascii="Verdana" w:eastAsia="Times New Roman" w:hAnsi="Verdana" w:cs="Times New Roman"/>
          <w:spacing w:val="-4"/>
          <w:sz w:val="20"/>
          <w:szCs w:val="20"/>
          <w:lang w:val="en-US" w:eastAsia="es-CR"/>
        </w:rPr>
      </w:pPr>
    </w:p>
    <w:p w14:paraId="20D94C9E" w14:textId="77777777" w:rsidR="00071392" w:rsidRDefault="00071392" w:rsidP="00DE002D">
      <w:pPr>
        <w:widowControl w:val="0"/>
        <w:adjustRightInd w:val="0"/>
        <w:spacing w:after="0" w:line="240" w:lineRule="auto"/>
        <w:ind w:left="-90"/>
        <w:rPr>
          <w:rFonts w:ascii="Verdana" w:eastAsia="Times New Roman" w:hAnsi="Verdana" w:cs="Times New Roman"/>
          <w:spacing w:val="-4"/>
          <w:sz w:val="20"/>
          <w:szCs w:val="20"/>
          <w:lang w:val="en-US" w:eastAsia="es-CR"/>
        </w:rPr>
      </w:pPr>
    </w:p>
    <w:p w14:paraId="4B5D0797" w14:textId="77777777" w:rsidR="00071392" w:rsidRPr="00DE7840" w:rsidRDefault="00071392" w:rsidP="00DE002D">
      <w:pPr>
        <w:widowControl w:val="0"/>
        <w:adjustRightInd w:val="0"/>
        <w:spacing w:after="0" w:line="240" w:lineRule="auto"/>
        <w:ind w:left="-90"/>
        <w:rPr>
          <w:rFonts w:ascii="Verdana" w:eastAsia="Times New Roman" w:hAnsi="Verdana" w:cs="Times New Roman"/>
          <w:spacing w:val="-4"/>
          <w:sz w:val="20"/>
          <w:szCs w:val="20"/>
          <w:lang w:val="en-US" w:eastAsia="es-CR"/>
        </w:rPr>
      </w:pPr>
    </w:p>
    <w:p w14:paraId="16A10E46" w14:textId="77777777" w:rsidR="007624ED" w:rsidRPr="002A0350" w:rsidRDefault="007624ED" w:rsidP="007624ED">
      <w:pPr>
        <w:widowControl w:val="0"/>
        <w:adjustRightInd w:val="0"/>
        <w:spacing w:after="0" w:line="240" w:lineRule="auto"/>
        <w:ind w:left="5041"/>
        <w:jc w:val="center"/>
        <w:rPr>
          <w:rFonts w:ascii="Verdana" w:eastAsia="Times New Roman" w:hAnsi="Verdana" w:cs="Times New Roman"/>
          <w:spacing w:val="-4"/>
          <w:sz w:val="20"/>
          <w:szCs w:val="20"/>
          <w:lang w:eastAsia="es-CR"/>
        </w:rPr>
      </w:pPr>
      <w:r w:rsidRPr="002A0350">
        <w:rPr>
          <w:rFonts w:ascii="Verdana" w:eastAsia="Times New Roman" w:hAnsi="Verdana" w:cs="Times New Roman"/>
          <w:spacing w:val="-4"/>
          <w:sz w:val="20"/>
          <w:szCs w:val="20"/>
          <w:lang w:eastAsia="es-CR"/>
        </w:rPr>
        <w:t>Alberto Pérez Pérez</w:t>
      </w:r>
    </w:p>
    <w:p w14:paraId="3BAD3ED0" w14:textId="5A92ADC3" w:rsidR="007624ED" w:rsidRDefault="007624ED" w:rsidP="007624ED">
      <w:pPr>
        <w:widowControl w:val="0"/>
        <w:adjustRightInd w:val="0"/>
        <w:spacing w:after="0" w:line="240" w:lineRule="auto"/>
        <w:ind w:left="5041"/>
        <w:jc w:val="center"/>
        <w:rPr>
          <w:rFonts w:ascii="Verdana" w:eastAsia="Times New Roman" w:hAnsi="Verdana" w:cs="Times New Roman"/>
          <w:spacing w:val="-4"/>
          <w:sz w:val="20"/>
          <w:szCs w:val="20"/>
          <w:lang w:eastAsia="es-CR"/>
        </w:rPr>
      </w:pPr>
      <w:r w:rsidRPr="002A0350">
        <w:rPr>
          <w:rFonts w:ascii="Verdana" w:eastAsia="Times New Roman" w:hAnsi="Verdana" w:cs="Times New Roman"/>
          <w:spacing w:val="-4"/>
          <w:sz w:val="20"/>
          <w:szCs w:val="20"/>
          <w:lang w:eastAsia="es-CR"/>
        </w:rPr>
        <w:t>Ju</w:t>
      </w:r>
      <w:r w:rsidR="00CE59E4" w:rsidRPr="002A0350">
        <w:rPr>
          <w:rFonts w:ascii="Verdana" w:eastAsia="Times New Roman" w:hAnsi="Verdana" w:cs="Times New Roman"/>
          <w:spacing w:val="-4"/>
          <w:sz w:val="20"/>
          <w:szCs w:val="20"/>
          <w:lang w:eastAsia="es-CR"/>
        </w:rPr>
        <w:t>dge</w:t>
      </w:r>
    </w:p>
    <w:p w14:paraId="4AF8FC8E" w14:textId="77777777" w:rsidR="00071392" w:rsidRDefault="00071392" w:rsidP="007624ED">
      <w:pPr>
        <w:widowControl w:val="0"/>
        <w:adjustRightInd w:val="0"/>
        <w:spacing w:after="0" w:line="240" w:lineRule="auto"/>
        <w:ind w:left="5041"/>
        <w:jc w:val="center"/>
        <w:rPr>
          <w:rFonts w:ascii="Verdana" w:eastAsia="Times New Roman" w:hAnsi="Verdana" w:cs="Times New Roman"/>
          <w:spacing w:val="-4"/>
          <w:sz w:val="20"/>
          <w:szCs w:val="20"/>
          <w:lang w:eastAsia="es-CR"/>
        </w:rPr>
      </w:pPr>
    </w:p>
    <w:p w14:paraId="4CFD9F1D" w14:textId="77777777" w:rsidR="00071392" w:rsidRDefault="00071392" w:rsidP="007624ED">
      <w:pPr>
        <w:widowControl w:val="0"/>
        <w:adjustRightInd w:val="0"/>
        <w:spacing w:after="0" w:line="240" w:lineRule="auto"/>
        <w:ind w:left="5041"/>
        <w:jc w:val="center"/>
        <w:rPr>
          <w:rFonts w:ascii="Verdana" w:eastAsia="Times New Roman" w:hAnsi="Verdana" w:cs="Times New Roman"/>
          <w:spacing w:val="-4"/>
          <w:sz w:val="20"/>
          <w:szCs w:val="20"/>
          <w:lang w:eastAsia="es-CR"/>
        </w:rPr>
      </w:pPr>
    </w:p>
    <w:p w14:paraId="38CDF8F9" w14:textId="77777777" w:rsidR="00071392" w:rsidRDefault="00071392" w:rsidP="007624ED">
      <w:pPr>
        <w:widowControl w:val="0"/>
        <w:adjustRightInd w:val="0"/>
        <w:spacing w:after="0" w:line="240" w:lineRule="auto"/>
        <w:ind w:left="5041"/>
        <w:jc w:val="center"/>
        <w:rPr>
          <w:rFonts w:ascii="Verdana" w:eastAsia="Times New Roman" w:hAnsi="Verdana" w:cs="Times New Roman"/>
          <w:spacing w:val="-4"/>
          <w:sz w:val="20"/>
          <w:szCs w:val="20"/>
          <w:lang w:eastAsia="es-CR"/>
        </w:rPr>
      </w:pPr>
    </w:p>
    <w:p w14:paraId="50D52F57" w14:textId="77777777" w:rsidR="00071392" w:rsidRDefault="00071392" w:rsidP="007624ED">
      <w:pPr>
        <w:widowControl w:val="0"/>
        <w:adjustRightInd w:val="0"/>
        <w:spacing w:after="0" w:line="240" w:lineRule="auto"/>
        <w:ind w:left="5041"/>
        <w:jc w:val="center"/>
        <w:rPr>
          <w:rFonts w:ascii="Verdana" w:eastAsia="Times New Roman" w:hAnsi="Verdana" w:cs="Times New Roman"/>
          <w:spacing w:val="-4"/>
          <w:sz w:val="20"/>
          <w:szCs w:val="20"/>
          <w:lang w:eastAsia="es-CR"/>
        </w:rPr>
      </w:pPr>
    </w:p>
    <w:p w14:paraId="1D85F001" w14:textId="77777777" w:rsidR="00071392" w:rsidRPr="002A0350" w:rsidRDefault="00071392" w:rsidP="007624ED">
      <w:pPr>
        <w:widowControl w:val="0"/>
        <w:adjustRightInd w:val="0"/>
        <w:spacing w:after="0" w:line="240" w:lineRule="auto"/>
        <w:ind w:left="5041"/>
        <w:jc w:val="center"/>
        <w:rPr>
          <w:rFonts w:ascii="Verdana" w:eastAsia="Times New Roman" w:hAnsi="Verdana" w:cs="Times New Roman"/>
          <w:spacing w:val="-4"/>
          <w:sz w:val="20"/>
          <w:szCs w:val="20"/>
          <w:lang w:eastAsia="es-CR"/>
        </w:rPr>
      </w:pPr>
    </w:p>
    <w:p w14:paraId="004F91ED" w14:textId="77777777" w:rsidR="007624ED" w:rsidRPr="002A0350" w:rsidRDefault="007624ED" w:rsidP="007624ED">
      <w:pPr>
        <w:pStyle w:val="Estilo4"/>
        <w:numPr>
          <w:ilvl w:val="0"/>
          <w:numId w:val="0"/>
        </w:numPr>
        <w:jc w:val="both"/>
        <w:rPr>
          <w:rFonts w:ascii="Verdana" w:hAnsi="Verdana"/>
          <w:i/>
          <w:sz w:val="20"/>
          <w:szCs w:val="20"/>
        </w:rPr>
      </w:pPr>
    </w:p>
    <w:p w14:paraId="7353B0A7" w14:textId="3D2A2FD8" w:rsidR="00DE002D" w:rsidRDefault="00DE002D" w:rsidP="007624ED">
      <w:pPr>
        <w:widowControl w:val="0"/>
        <w:adjustRightInd w:val="0"/>
        <w:spacing w:after="0" w:line="240" w:lineRule="auto"/>
        <w:jc w:val="both"/>
        <w:rPr>
          <w:rFonts w:ascii="Verdana" w:eastAsia="Times New Roman" w:hAnsi="Verdana" w:cs="Verdana"/>
          <w:spacing w:val="-4"/>
          <w:sz w:val="20"/>
          <w:szCs w:val="20"/>
          <w:lang w:eastAsia="es-CR"/>
        </w:rPr>
      </w:pPr>
    </w:p>
    <w:p w14:paraId="6CACF00D" w14:textId="35C8C792" w:rsidR="00DE002D" w:rsidRDefault="00DE002D" w:rsidP="007624ED">
      <w:pPr>
        <w:widowControl w:val="0"/>
        <w:adjustRightInd w:val="0"/>
        <w:spacing w:after="0" w:line="240" w:lineRule="auto"/>
        <w:jc w:val="both"/>
        <w:rPr>
          <w:rFonts w:ascii="Verdana" w:eastAsia="Times New Roman" w:hAnsi="Verdana" w:cs="Verdana"/>
          <w:spacing w:val="-4"/>
          <w:sz w:val="20"/>
          <w:szCs w:val="20"/>
          <w:lang w:eastAsia="es-CR"/>
        </w:rPr>
      </w:pPr>
    </w:p>
    <w:p w14:paraId="5577BCA1" w14:textId="77777777" w:rsidR="007624ED" w:rsidRPr="002A0350" w:rsidRDefault="007624ED" w:rsidP="00DE002D">
      <w:pPr>
        <w:widowControl w:val="0"/>
        <w:adjustRightInd w:val="0"/>
        <w:spacing w:after="0" w:line="240" w:lineRule="auto"/>
        <w:ind w:firstLine="708"/>
        <w:jc w:val="both"/>
        <w:rPr>
          <w:rFonts w:ascii="Verdana" w:eastAsia="Times New Roman" w:hAnsi="Verdana" w:cs="Verdana"/>
          <w:spacing w:val="-4"/>
          <w:sz w:val="20"/>
          <w:szCs w:val="20"/>
          <w:lang w:eastAsia="es-CR"/>
        </w:rPr>
      </w:pPr>
      <w:r w:rsidRPr="002A0350">
        <w:rPr>
          <w:rFonts w:ascii="Verdana" w:eastAsia="Times New Roman" w:hAnsi="Verdana" w:cs="Verdana"/>
          <w:spacing w:val="-4"/>
          <w:sz w:val="20"/>
          <w:szCs w:val="20"/>
          <w:lang w:eastAsia="es-CR"/>
        </w:rPr>
        <w:t>Pablo Saavedra Alessandri</w:t>
      </w:r>
    </w:p>
    <w:p w14:paraId="6D8C4B0C" w14:textId="2A879673" w:rsidR="007624ED" w:rsidRPr="002A0350" w:rsidRDefault="007624ED" w:rsidP="007624ED">
      <w:pPr>
        <w:widowControl w:val="0"/>
        <w:adjustRightInd w:val="0"/>
        <w:spacing w:after="0" w:line="240" w:lineRule="auto"/>
        <w:jc w:val="both"/>
        <w:rPr>
          <w:rFonts w:ascii="Verdana" w:eastAsia="Times New Roman" w:hAnsi="Verdana" w:cs="Verdana"/>
          <w:spacing w:val="-4"/>
          <w:sz w:val="20"/>
          <w:szCs w:val="20"/>
          <w:lang w:eastAsia="es-CR"/>
        </w:rPr>
      </w:pPr>
      <w:r w:rsidRPr="002A0350">
        <w:rPr>
          <w:rFonts w:ascii="Verdana" w:eastAsia="Times New Roman" w:hAnsi="Verdana" w:cs="Verdana"/>
          <w:spacing w:val="-4"/>
          <w:sz w:val="20"/>
          <w:szCs w:val="20"/>
          <w:lang w:eastAsia="es-CR"/>
        </w:rPr>
        <w:tab/>
      </w:r>
      <w:r w:rsidR="00DE002D">
        <w:rPr>
          <w:rFonts w:ascii="Verdana" w:eastAsia="Times New Roman" w:hAnsi="Verdana" w:cs="Verdana"/>
          <w:spacing w:val="-4"/>
          <w:sz w:val="20"/>
          <w:szCs w:val="20"/>
          <w:lang w:eastAsia="es-CR"/>
        </w:rPr>
        <w:tab/>
        <w:t xml:space="preserve">  </w:t>
      </w:r>
      <w:r w:rsidRPr="002A0350">
        <w:rPr>
          <w:rFonts w:ascii="Verdana" w:eastAsia="Times New Roman" w:hAnsi="Verdana" w:cs="Verdana"/>
          <w:spacing w:val="-4"/>
          <w:sz w:val="20"/>
          <w:szCs w:val="20"/>
          <w:lang w:eastAsia="es-CR"/>
        </w:rPr>
        <w:t>Secretar</w:t>
      </w:r>
      <w:r w:rsidR="00CE59E4" w:rsidRPr="002A0350">
        <w:rPr>
          <w:rFonts w:ascii="Verdana" w:eastAsia="Times New Roman" w:hAnsi="Verdana" w:cs="Verdana"/>
          <w:spacing w:val="-4"/>
          <w:sz w:val="20"/>
          <w:szCs w:val="20"/>
          <w:lang w:eastAsia="es-CR"/>
        </w:rPr>
        <w:t>y</w:t>
      </w:r>
      <w:bookmarkEnd w:id="0"/>
    </w:p>
    <w:sectPr w:rsidR="007624ED" w:rsidRPr="002A0350" w:rsidSect="00727BFB">
      <w:footerReference w:type="default" r:id="rId12"/>
      <w:pgSz w:w="12240" w:h="15840" w:code="1"/>
      <w:pgMar w:top="1440" w:right="146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E40E7" w14:textId="77777777" w:rsidR="00BF5AF1" w:rsidRDefault="00BF5AF1" w:rsidP="00D66DEE">
      <w:pPr>
        <w:spacing w:after="0" w:line="240" w:lineRule="auto"/>
      </w:pPr>
      <w:r>
        <w:separator/>
      </w:r>
    </w:p>
  </w:endnote>
  <w:endnote w:type="continuationSeparator" w:id="0">
    <w:p w14:paraId="3917E2D4" w14:textId="77777777" w:rsidR="00BF5AF1" w:rsidRDefault="00BF5AF1" w:rsidP="00D6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473332"/>
      <w:docPartObj>
        <w:docPartGallery w:val="Page Numbers (Bottom of Page)"/>
        <w:docPartUnique/>
      </w:docPartObj>
    </w:sdtPr>
    <w:sdtEndPr>
      <w:rPr>
        <w:rFonts w:ascii="Verdana" w:hAnsi="Verdana"/>
        <w:noProof/>
        <w:sz w:val="20"/>
        <w:szCs w:val="20"/>
      </w:rPr>
    </w:sdtEndPr>
    <w:sdtContent>
      <w:p w14:paraId="6C85666E" w14:textId="1DC3DB75" w:rsidR="00071392" w:rsidRPr="00071392" w:rsidRDefault="00071392">
        <w:pPr>
          <w:pStyle w:val="Footer"/>
          <w:jc w:val="center"/>
          <w:rPr>
            <w:rFonts w:ascii="Verdana" w:hAnsi="Verdana"/>
            <w:sz w:val="20"/>
            <w:szCs w:val="20"/>
          </w:rPr>
        </w:pPr>
        <w:r w:rsidRPr="00071392">
          <w:rPr>
            <w:rFonts w:ascii="Verdana" w:hAnsi="Verdana"/>
            <w:sz w:val="20"/>
            <w:szCs w:val="20"/>
          </w:rPr>
          <w:fldChar w:fldCharType="begin"/>
        </w:r>
        <w:r w:rsidRPr="00071392">
          <w:rPr>
            <w:rFonts w:ascii="Verdana" w:hAnsi="Verdana"/>
            <w:sz w:val="20"/>
            <w:szCs w:val="20"/>
          </w:rPr>
          <w:instrText xml:space="preserve"> PAGE   \* MERGEFORMAT </w:instrText>
        </w:r>
        <w:r w:rsidRPr="00071392">
          <w:rPr>
            <w:rFonts w:ascii="Verdana" w:hAnsi="Verdana"/>
            <w:sz w:val="20"/>
            <w:szCs w:val="20"/>
          </w:rPr>
          <w:fldChar w:fldCharType="separate"/>
        </w:r>
        <w:r w:rsidR="00C86FB1">
          <w:rPr>
            <w:rFonts w:ascii="Verdana" w:hAnsi="Verdana"/>
            <w:noProof/>
            <w:sz w:val="20"/>
            <w:szCs w:val="20"/>
          </w:rPr>
          <w:t>9</w:t>
        </w:r>
        <w:r w:rsidRPr="00071392">
          <w:rPr>
            <w:rFonts w:ascii="Verdana" w:hAnsi="Verdana"/>
            <w:noProof/>
            <w:sz w:val="20"/>
            <w:szCs w:val="20"/>
          </w:rPr>
          <w:fldChar w:fldCharType="end"/>
        </w:r>
      </w:p>
    </w:sdtContent>
  </w:sdt>
  <w:p w14:paraId="3A3234F7" w14:textId="77777777" w:rsidR="00071392" w:rsidRDefault="00071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26E05" w14:textId="77777777" w:rsidR="00BF5AF1" w:rsidRDefault="00BF5AF1" w:rsidP="00D66DEE">
      <w:pPr>
        <w:spacing w:after="0" w:line="240" w:lineRule="auto"/>
      </w:pPr>
      <w:r>
        <w:separator/>
      </w:r>
    </w:p>
  </w:footnote>
  <w:footnote w:type="continuationSeparator" w:id="0">
    <w:p w14:paraId="5783360B" w14:textId="77777777" w:rsidR="00BF5AF1" w:rsidRDefault="00BF5AF1" w:rsidP="00D66DEE">
      <w:pPr>
        <w:spacing w:after="0" w:line="240" w:lineRule="auto"/>
      </w:pPr>
      <w:r>
        <w:continuationSeparator/>
      </w:r>
    </w:p>
  </w:footnote>
  <w:footnote w:id="1">
    <w:p w14:paraId="3DD1F643" w14:textId="475AE5CE" w:rsidR="00383972" w:rsidRPr="002D0A21" w:rsidRDefault="00383972" w:rsidP="00EE5175">
      <w:pPr>
        <w:spacing w:after="120" w:line="240" w:lineRule="auto"/>
        <w:jc w:val="both"/>
        <w:rPr>
          <w:rFonts w:ascii="Verdana" w:hAnsi="Verdana"/>
          <w:bCs/>
          <w:color w:val="000000"/>
          <w:sz w:val="16"/>
          <w:szCs w:val="16"/>
          <w:shd w:val="clear" w:color="auto" w:fill="FFFFFF"/>
          <w:lang w:val="en-US"/>
        </w:rPr>
      </w:pPr>
      <w:r w:rsidRPr="002D0A21">
        <w:rPr>
          <w:rStyle w:val="FootnoteReference"/>
          <w:rFonts w:ascii="Verdana" w:hAnsi="Verdana" w:cs="Times New Roman"/>
          <w:sz w:val="16"/>
          <w:szCs w:val="16"/>
          <w:lang w:val="en-US"/>
        </w:rPr>
        <w:footnoteRef/>
      </w:r>
      <w:r w:rsidRPr="002D0A21">
        <w:rPr>
          <w:rFonts w:ascii="Verdana" w:hAnsi="Verdana" w:cs="Times New Roman"/>
          <w:sz w:val="16"/>
          <w:szCs w:val="16"/>
          <w:lang w:val="en-US"/>
        </w:rPr>
        <w:t xml:space="preserve"> </w:t>
      </w:r>
      <w:r w:rsidRPr="002D0A21">
        <w:rPr>
          <w:rFonts w:ascii="Verdana" w:hAnsi="Verdana" w:cs="Times New Roman"/>
          <w:sz w:val="16"/>
          <w:szCs w:val="16"/>
          <w:lang w:val="en-US"/>
        </w:rPr>
        <w:tab/>
      </w:r>
      <w:r w:rsidRPr="002D0A21">
        <w:rPr>
          <w:rStyle w:val="Strong"/>
          <w:rFonts w:ascii="Verdana" w:hAnsi="Verdana"/>
          <w:b w:val="0"/>
          <w:i/>
          <w:color w:val="000000"/>
          <w:sz w:val="16"/>
          <w:szCs w:val="16"/>
          <w:shd w:val="clear" w:color="auto" w:fill="FFFFFF"/>
          <w:lang w:val="en-US"/>
        </w:rPr>
        <w:t xml:space="preserve">Case of the Sawhoyamaxa Indigenous Community v. Paraguay. Merits, </w:t>
      </w:r>
      <w:r w:rsidR="00515B0D">
        <w:rPr>
          <w:rStyle w:val="Strong"/>
          <w:rFonts w:ascii="Verdana" w:hAnsi="Verdana"/>
          <w:b w:val="0"/>
          <w:i/>
          <w:color w:val="000000"/>
          <w:sz w:val="16"/>
          <w:szCs w:val="16"/>
          <w:shd w:val="clear" w:color="auto" w:fill="FFFFFF"/>
          <w:lang w:val="en-US"/>
        </w:rPr>
        <w:t>R</w:t>
      </w:r>
      <w:r w:rsidRPr="002D0A21">
        <w:rPr>
          <w:rStyle w:val="Strong"/>
          <w:rFonts w:ascii="Verdana" w:hAnsi="Verdana"/>
          <w:b w:val="0"/>
          <w:i/>
          <w:color w:val="000000"/>
          <w:sz w:val="16"/>
          <w:szCs w:val="16"/>
          <w:shd w:val="clear" w:color="auto" w:fill="FFFFFF"/>
          <w:lang w:val="en-US"/>
        </w:rPr>
        <w:t xml:space="preserve">eparations and </w:t>
      </w:r>
      <w:r w:rsidR="00515B0D">
        <w:rPr>
          <w:rStyle w:val="Strong"/>
          <w:rFonts w:ascii="Verdana" w:hAnsi="Verdana"/>
          <w:b w:val="0"/>
          <w:i/>
          <w:color w:val="000000"/>
          <w:sz w:val="16"/>
          <w:szCs w:val="16"/>
          <w:shd w:val="clear" w:color="auto" w:fill="FFFFFF"/>
          <w:lang w:val="en-US"/>
        </w:rPr>
        <w:t>C</w:t>
      </w:r>
      <w:r w:rsidRPr="002D0A21">
        <w:rPr>
          <w:rStyle w:val="Strong"/>
          <w:rFonts w:ascii="Verdana" w:hAnsi="Verdana"/>
          <w:b w:val="0"/>
          <w:i/>
          <w:color w:val="000000"/>
          <w:sz w:val="16"/>
          <w:szCs w:val="16"/>
          <w:shd w:val="clear" w:color="auto" w:fill="FFFFFF"/>
          <w:lang w:val="en-US"/>
        </w:rPr>
        <w:t>osts.</w:t>
      </w:r>
      <w:r w:rsidRPr="002D0A21">
        <w:rPr>
          <w:rStyle w:val="Strong"/>
          <w:rFonts w:ascii="Verdana" w:hAnsi="Verdana"/>
          <w:b w:val="0"/>
          <w:color w:val="000000"/>
          <w:sz w:val="16"/>
          <w:szCs w:val="16"/>
          <w:shd w:val="clear" w:color="auto" w:fill="FFFFFF"/>
          <w:lang w:val="en-US"/>
        </w:rPr>
        <w:t xml:space="preserve"> Judgment of March 29, 2006. Series C No. 146, paras. 188 to 190 and 194.</w:t>
      </w:r>
    </w:p>
  </w:footnote>
  <w:footnote w:id="2">
    <w:p w14:paraId="3DD1F644" w14:textId="7DCCAB93" w:rsidR="00383972" w:rsidRPr="002D0A21" w:rsidRDefault="00383972" w:rsidP="00EE5175">
      <w:pPr>
        <w:spacing w:after="120" w:line="240" w:lineRule="auto"/>
        <w:jc w:val="both"/>
        <w:rPr>
          <w:rFonts w:ascii="Verdana" w:hAnsi="Verdana"/>
          <w:bCs/>
          <w:color w:val="000000"/>
          <w:sz w:val="16"/>
          <w:szCs w:val="16"/>
          <w:shd w:val="clear" w:color="auto" w:fill="FFFFFF"/>
          <w:lang w:val="en-US"/>
        </w:rPr>
      </w:pPr>
      <w:r w:rsidRPr="002D0A21">
        <w:rPr>
          <w:rStyle w:val="FootnoteReference"/>
          <w:rFonts w:ascii="Verdana" w:hAnsi="Verdana" w:cs="Times New Roman"/>
          <w:sz w:val="16"/>
          <w:szCs w:val="16"/>
          <w:lang w:val="en-US"/>
        </w:rPr>
        <w:footnoteRef/>
      </w:r>
      <w:r w:rsidRPr="002D0A21">
        <w:rPr>
          <w:rFonts w:ascii="Verdana" w:hAnsi="Verdana" w:cs="Times New Roman"/>
          <w:sz w:val="16"/>
          <w:szCs w:val="16"/>
          <w:lang w:val="en-US"/>
        </w:rPr>
        <w:t xml:space="preserve"> </w:t>
      </w:r>
      <w:r w:rsidRPr="002D0A21">
        <w:rPr>
          <w:rFonts w:ascii="Verdana" w:hAnsi="Verdana" w:cs="Times New Roman"/>
          <w:sz w:val="16"/>
          <w:szCs w:val="16"/>
          <w:lang w:val="en-US"/>
        </w:rPr>
        <w:tab/>
      </w:r>
      <w:r w:rsidRPr="002D0A21">
        <w:rPr>
          <w:rStyle w:val="Strong"/>
          <w:rFonts w:ascii="Verdana" w:hAnsi="Verdana"/>
          <w:b w:val="0"/>
          <w:i/>
          <w:color w:val="000000"/>
          <w:sz w:val="16"/>
          <w:szCs w:val="16"/>
          <w:shd w:val="clear" w:color="auto" w:fill="FFFFFF"/>
          <w:lang w:val="en-US"/>
        </w:rPr>
        <w:t xml:space="preserve">Case of the Yean and Bosico Girls v. Dominican Republic. Preliminary </w:t>
      </w:r>
      <w:r w:rsidR="00CE7847">
        <w:rPr>
          <w:rStyle w:val="Strong"/>
          <w:rFonts w:ascii="Verdana" w:hAnsi="Verdana"/>
          <w:b w:val="0"/>
          <w:i/>
          <w:color w:val="000000"/>
          <w:sz w:val="16"/>
          <w:szCs w:val="16"/>
          <w:shd w:val="clear" w:color="auto" w:fill="FFFFFF"/>
          <w:lang w:val="en-US"/>
        </w:rPr>
        <w:t>O</w:t>
      </w:r>
      <w:r w:rsidRPr="002D0A21">
        <w:rPr>
          <w:rStyle w:val="Strong"/>
          <w:rFonts w:ascii="Verdana" w:hAnsi="Verdana"/>
          <w:b w:val="0"/>
          <w:i/>
          <w:color w:val="000000"/>
          <w:sz w:val="16"/>
          <w:szCs w:val="16"/>
          <w:shd w:val="clear" w:color="auto" w:fill="FFFFFF"/>
          <w:lang w:val="en-US"/>
        </w:rPr>
        <w:t xml:space="preserve">bjections, </w:t>
      </w:r>
      <w:r w:rsidR="00CE7847">
        <w:rPr>
          <w:rStyle w:val="Strong"/>
          <w:rFonts w:ascii="Verdana" w:hAnsi="Verdana"/>
          <w:b w:val="0"/>
          <w:i/>
          <w:color w:val="000000"/>
          <w:sz w:val="16"/>
          <w:szCs w:val="16"/>
          <w:shd w:val="clear" w:color="auto" w:fill="FFFFFF"/>
          <w:lang w:val="en-US"/>
        </w:rPr>
        <w:t>M</w:t>
      </w:r>
      <w:r w:rsidRPr="002D0A21">
        <w:rPr>
          <w:rStyle w:val="Strong"/>
          <w:rFonts w:ascii="Verdana" w:hAnsi="Verdana"/>
          <w:b w:val="0"/>
          <w:i/>
          <w:color w:val="000000"/>
          <w:sz w:val="16"/>
          <w:szCs w:val="16"/>
          <w:shd w:val="clear" w:color="auto" w:fill="FFFFFF"/>
          <w:lang w:val="en-US"/>
        </w:rPr>
        <w:t xml:space="preserve">erits, </w:t>
      </w:r>
      <w:r w:rsidR="00CE7847">
        <w:rPr>
          <w:rStyle w:val="Strong"/>
          <w:rFonts w:ascii="Verdana" w:hAnsi="Verdana"/>
          <w:b w:val="0"/>
          <w:i/>
          <w:color w:val="000000"/>
          <w:sz w:val="16"/>
          <w:szCs w:val="16"/>
          <w:shd w:val="clear" w:color="auto" w:fill="FFFFFF"/>
          <w:lang w:val="en-US"/>
        </w:rPr>
        <w:t>R</w:t>
      </w:r>
      <w:r w:rsidRPr="002D0A21">
        <w:rPr>
          <w:rStyle w:val="Strong"/>
          <w:rFonts w:ascii="Verdana" w:hAnsi="Verdana"/>
          <w:b w:val="0"/>
          <w:i/>
          <w:color w:val="000000"/>
          <w:sz w:val="16"/>
          <w:szCs w:val="16"/>
          <w:shd w:val="clear" w:color="auto" w:fill="FFFFFF"/>
          <w:lang w:val="en-US"/>
        </w:rPr>
        <w:t xml:space="preserve">eparations and </w:t>
      </w:r>
      <w:r w:rsidR="00CE7847">
        <w:rPr>
          <w:rStyle w:val="Strong"/>
          <w:rFonts w:ascii="Verdana" w:hAnsi="Verdana"/>
          <w:b w:val="0"/>
          <w:i/>
          <w:color w:val="000000"/>
          <w:sz w:val="16"/>
          <w:szCs w:val="16"/>
          <w:shd w:val="clear" w:color="auto" w:fill="FFFFFF"/>
          <w:lang w:val="en-US"/>
        </w:rPr>
        <w:t>C</w:t>
      </w:r>
      <w:r w:rsidRPr="002D0A21">
        <w:rPr>
          <w:rStyle w:val="Strong"/>
          <w:rFonts w:ascii="Verdana" w:hAnsi="Verdana"/>
          <w:b w:val="0"/>
          <w:i/>
          <w:color w:val="000000"/>
          <w:sz w:val="16"/>
          <w:szCs w:val="16"/>
          <w:shd w:val="clear" w:color="auto" w:fill="FFFFFF"/>
          <w:lang w:val="en-US"/>
        </w:rPr>
        <w:t>osts</w:t>
      </w:r>
      <w:r w:rsidRPr="002D0A21">
        <w:rPr>
          <w:rStyle w:val="Strong"/>
          <w:rFonts w:ascii="Verdana" w:hAnsi="Verdana"/>
          <w:b w:val="0"/>
          <w:color w:val="000000"/>
          <w:sz w:val="16"/>
          <w:szCs w:val="16"/>
          <w:shd w:val="clear" w:color="auto" w:fill="FFFFFF"/>
          <w:lang w:val="en-US"/>
        </w:rPr>
        <w:t xml:space="preserve">. Judgment of September 8, 2005. Series C No. 130, paras. 178 to 180, and </w:t>
      </w:r>
      <w:r w:rsidRPr="002D0A21">
        <w:rPr>
          <w:rStyle w:val="Strong"/>
          <w:rFonts w:ascii="Verdana" w:hAnsi="Verdana"/>
          <w:b w:val="0"/>
          <w:i/>
          <w:color w:val="000000"/>
          <w:sz w:val="16"/>
          <w:szCs w:val="16"/>
          <w:shd w:val="clear" w:color="auto" w:fill="FFFFFF"/>
          <w:lang w:val="en-US"/>
        </w:rPr>
        <w:t>Case of Ex</w:t>
      </w:r>
      <w:r w:rsidR="002D0A21">
        <w:rPr>
          <w:rStyle w:val="Strong"/>
          <w:rFonts w:ascii="Verdana" w:hAnsi="Verdana"/>
          <w:b w:val="0"/>
          <w:i/>
          <w:color w:val="000000"/>
          <w:sz w:val="16"/>
          <w:szCs w:val="16"/>
          <w:shd w:val="clear" w:color="auto" w:fill="FFFFFF"/>
          <w:lang w:val="en-US"/>
        </w:rPr>
        <w:t xml:space="preserve">pelled Dominicans and Haitians </w:t>
      </w:r>
      <w:r w:rsidRPr="002D0A21">
        <w:rPr>
          <w:rStyle w:val="Strong"/>
          <w:rFonts w:ascii="Verdana" w:hAnsi="Verdana"/>
          <w:b w:val="0"/>
          <w:i/>
          <w:color w:val="000000"/>
          <w:sz w:val="16"/>
          <w:szCs w:val="16"/>
          <w:shd w:val="clear" w:color="auto" w:fill="FFFFFF"/>
          <w:lang w:val="en-US"/>
        </w:rPr>
        <w:t xml:space="preserve">v. Dominican Republic. Preliminary </w:t>
      </w:r>
      <w:r w:rsidR="00CE7847">
        <w:rPr>
          <w:rStyle w:val="Strong"/>
          <w:rFonts w:ascii="Verdana" w:hAnsi="Verdana"/>
          <w:b w:val="0"/>
          <w:i/>
          <w:color w:val="000000"/>
          <w:sz w:val="16"/>
          <w:szCs w:val="16"/>
          <w:shd w:val="clear" w:color="auto" w:fill="FFFFFF"/>
          <w:lang w:val="en-US"/>
        </w:rPr>
        <w:t>O</w:t>
      </w:r>
      <w:r w:rsidRPr="002D0A21">
        <w:rPr>
          <w:rStyle w:val="Strong"/>
          <w:rFonts w:ascii="Verdana" w:hAnsi="Verdana"/>
          <w:b w:val="0"/>
          <w:i/>
          <w:color w:val="000000"/>
          <w:sz w:val="16"/>
          <w:szCs w:val="16"/>
          <w:shd w:val="clear" w:color="auto" w:fill="FFFFFF"/>
          <w:lang w:val="en-US"/>
        </w:rPr>
        <w:t xml:space="preserve">bjections, </w:t>
      </w:r>
      <w:r w:rsidR="00CE7847">
        <w:rPr>
          <w:rStyle w:val="Strong"/>
          <w:rFonts w:ascii="Verdana" w:hAnsi="Verdana"/>
          <w:b w:val="0"/>
          <w:i/>
          <w:color w:val="000000"/>
          <w:sz w:val="16"/>
          <w:szCs w:val="16"/>
          <w:shd w:val="clear" w:color="auto" w:fill="FFFFFF"/>
          <w:lang w:val="en-US"/>
        </w:rPr>
        <w:t>M</w:t>
      </w:r>
      <w:r w:rsidRPr="002D0A21">
        <w:rPr>
          <w:rStyle w:val="Strong"/>
          <w:rFonts w:ascii="Verdana" w:hAnsi="Verdana"/>
          <w:b w:val="0"/>
          <w:i/>
          <w:color w:val="000000"/>
          <w:sz w:val="16"/>
          <w:szCs w:val="16"/>
          <w:shd w:val="clear" w:color="auto" w:fill="FFFFFF"/>
          <w:lang w:val="en-US"/>
        </w:rPr>
        <w:t xml:space="preserve">erits, </w:t>
      </w:r>
      <w:r w:rsidR="00CE7847">
        <w:rPr>
          <w:rStyle w:val="Strong"/>
          <w:rFonts w:ascii="Verdana" w:hAnsi="Verdana"/>
          <w:b w:val="0"/>
          <w:i/>
          <w:color w:val="000000"/>
          <w:sz w:val="16"/>
          <w:szCs w:val="16"/>
          <w:shd w:val="clear" w:color="auto" w:fill="FFFFFF"/>
          <w:lang w:val="en-US"/>
        </w:rPr>
        <w:t>R</w:t>
      </w:r>
      <w:r w:rsidRPr="002D0A21">
        <w:rPr>
          <w:rStyle w:val="Strong"/>
          <w:rFonts w:ascii="Verdana" w:hAnsi="Verdana"/>
          <w:b w:val="0"/>
          <w:i/>
          <w:color w:val="000000"/>
          <w:sz w:val="16"/>
          <w:szCs w:val="16"/>
          <w:shd w:val="clear" w:color="auto" w:fill="FFFFFF"/>
          <w:lang w:val="en-US"/>
        </w:rPr>
        <w:t xml:space="preserve">eparations and </w:t>
      </w:r>
      <w:r w:rsidR="00CE7847">
        <w:rPr>
          <w:rStyle w:val="Strong"/>
          <w:rFonts w:ascii="Verdana" w:hAnsi="Verdana"/>
          <w:b w:val="0"/>
          <w:i/>
          <w:color w:val="000000"/>
          <w:sz w:val="16"/>
          <w:szCs w:val="16"/>
          <w:shd w:val="clear" w:color="auto" w:fill="FFFFFF"/>
          <w:lang w:val="en-US"/>
        </w:rPr>
        <w:t>C</w:t>
      </w:r>
      <w:r w:rsidRPr="002D0A21">
        <w:rPr>
          <w:rStyle w:val="Strong"/>
          <w:rFonts w:ascii="Verdana" w:hAnsi="Verdana"/>
          <w:b w:val="0"/>
          <w:i/>
          <w:color w:val="000000"/>
          <w:sz w:val="16"/>
          <w:szCs w:val="16"/>
          <w:shd w:val="clear" w:color="auto" w:fill="FFFFFF"/>
          <w:lang w:val="en-US"/>
        </w:rPr>
        <w:t>osts.</w:t>
      </w:r>
      <w:r w:rsidRPr="002D0A21">
        <w:rPr>
          <w:rStyle w:val="Strong"/>
          <w:rFonts w:ascii="Verdana" w:hAnsi="Verdana"/>
          <w:b w:val="0"/>
          <w:color w:val="000000"/>
          <w:sz w:val="16"/>
          <w:szCs w:val="16"/>
          <w:shd w:val="clear" w:color="auto" w:fill="FFFFFF"/>
          <w:lang w:val="en-US"/>
        </w:rPr>
        <w:t xml:space="preserve"> Judgment of August 28, 2014. Series C No. 282, paras. 265 to 268.</w:t>
      </w:r>
    </w:p>
  </w:footnote>
  <w:footnote w:id="3">
    <w:p w14:paraId="01AF315E" w14:textId="71B3E99F" w:rsidR="00383972" w:rsidRPr="002D0A21" w:rsidRDefault="00383972" w:rsidP="00EE5175">
      <w:pPr>
        <w:pStyle w:val="FootnoteText"/>
        <w:spacing w:after="120"/>
        <w:jc w:val="both"/>
        <w:rPr>
          <w:rFonts w:ascii="Verdana" w:hAnsi="Verdana"/>
          <w:sz w:val="16"/>
          <w:szCs w:val="16"/>
          <w:lang w:val="en-US"/>
        </w:rPr>
      </w:pPr>
      <w:r w:rsidRPr="002D0A21">
        <w:rPr>
          <w:rStyle w:val="FootnoteReference"/>
          <w:rFonts w:ascii="Verdana" w:hAnsi="Verdana"/>
          <w:sz w:val="16"/>
          <w:szCs w:val="16"/>
          <w:lang w:val="en-US"/>
        </w:rPr>
        <w:footnoteRef/>
      </w:r>
      <w:r w:rsidRPr="002D0A21">
        <w:rPr>
          <w:rFonts w:ascii="Verdana" w:hAnsi="Verdana"/>
          <w:sz w:val="16"/>
          <w:szCs w:val="16"/>
          <w:lang w:val="en-US"/>
        </w:rPr>
        <w:t xml:space="preserve"> </w:t>
      </w:r>
      <w:r w:rsidRPr="002D0A21">
        <w:rPr>
          <w:rFonts w:ascii="Verdana" w:hAnsi="Verdana"/>
          <w:sz w:val="16"/>
          <w:szCs w:val="16"/>
          <w:lang w:val="en-US"/>
        </w:rPr>
        <w:tab/>
      </w:r>
      <w:r w:rsidRPr="002D0A21">
        <w:rPr>
          <w:rStyle w:val="Strong"/>
          <w:rFonts w:ascii="Verdana" w:hAnsi="Verdana"/>
          <w:b w:val="0"/>
          <w:i/>
          <w:color w:val="000000"/>
          <w:sz w:val="16"/>
          <w:szCs w:val="16"/>
          <w:shd w:val="clear" w:color="auto" w:fill="FFFFFF"/>
          <w:lang w:val="en-US"/>
        </w:rPr>
        <w:t xml:space="preserve">Case of Anzualdo Castro v. Peru. Preliminary </w:t>
      </w:r>
      <w:r w:rsidR="00497730">
        <w:rPr>
          <w:rStyle w:val="Strong"/>
          <w:rFonts w:ascii="Verdana" w:hAnsi="Verdana"/>
          <w:b w:val="0"/>
          <w:i/>
          <w:color w:val="000000"/>
          <w:sz w:val="16"/>
          <w:szCs w:val="16"/>
          <w:shd w:val="clear" w:color="auto" w:fill="FFFFFF"/>
          <w:lang w:val="en-US"/>
        </w:rPr>
        <w:t>O</w:t>
      </w:r>
      <w:r w:rsidRPr="002D0A21">
        <w:rPr>
          <w:rStyle w:val="Strong"/>
          <w:rFonts w:ascii="Verdana" w:hAnsi="Verdana"/>
          <w:b w:val="0"/>
          <w:i/>
          <w:color w:val="000000"/>
          <w:sz w:val="16"/>
          <w:szCs w:val="16"/>
          <w:shd w:val="clear" w:color="auto" w:fill="FFFFFF"/>
          <w:lang w:val="en-US"/>
        </w:rPr>
        <w:t xml:space="preserve">bjection, </w:t>
      </w:r>
      <w:r w:rsidR="0056707E">
        <w:rPr>
          <w:rStyle w:val="Strong"/>
          <w:rFonts w:ascii="Verdana" w:hAnsi="Verdana"/>
          <w:b w:val="0"/>
          <w:i/>
          <w:color w:val="000000"/>
          <w:sz w:val="16"/>
          <w:szCs w:val="16"/>
          <w:shd w:val="clear" w:color="auto" w:fill="FFFFFF"/>
          <w:lang w:val="en-US"/>
        </w:rPr>
        <w:t>M</w:t>
      </w:r>
      <w:r w:rsidRPr="002D0A21">
        <w:rPr>
          <w:rStyle w:val="Strong"/>
          <w:rFonts w:ascii="Verdana" w:hAnsi="Verdana"/>
          <w:b w:val="0"/>
          <w:i/>
          <w:color w:val="000000"/>
          <w:sz w:val="16"/>
          <w:szCs w:val="16"/>
          <w:shd w:val="clear" w:color="auto" w:fill="FFFFFF"/>
          <w:lang w:val="en-US"/>
        </w:rPr>
        <w:t xml:space="preserve">erits, </w:t>
      </w:r>
      <w:r w:rsidR="0056707E">
        <w:rPr>
          <w:rStyle w:val="Strong"/>
          <w:rFonts w:ascii="Verdana" w:hAnsi="Verdana"/>
          <w:b w:val="0"/>
          <w:i/>
          <w:color w:val="000000"/>
          <w:sz w:val="16"/>
          <w:szCs w:val="16"/>
          <w:shd w:val="clear" w:color="auto" w:fill="FFFFFF"/>
          <w:lang w:val="en-US"/>
        </w:rPr>
        <w:t>R</w:t>
      </w:r>
      <w:r w:rsidRPr="002D0A21">
        <w:rPr>
          <w:rStyle w:val="Strong"/>
          <w:rFonts w:ascii="Verdana" w:hAnsi="Verdana"/>
          <w:b w:val="0"/>
          <w:i/>
          <w:color w:val="000000"/>
          <w:sz w:val="16"/>
          <w:szCs w:val="16"/>
          <w:shd w:val="clear" w:color="auto" w:fill="FFFFFF"/>
          <w:lang w:val="en-US"/>
        </w:rPr>
        <w:t xml:space="preserve">eparations and </w:t>
      </w:r>
      <w:r w:rsidR="0056707E">
        <w:rPr>
          <w:rStyle w:val="Strong"/>
          <w:rFonts w:ascii="Verdana" w:hAnsi="Verdana"/>
          <w:b w:val="0"/>
          <w:i/>
          <w:color w:val="000000"/>
          <w:sz w:val="16"/>
          <w:szCs w:val="16"/>
          <w:shd w:val="clear" w:color="auto" w:fill="FFFFFF"/>
          <w:lang w:val="en-US"/>
        </w:rPr>
        <w:t>C</w:t>
      </w:r>
      <w:r w:rsidRPr="002D0A21">
        <w:rPr>
          <w:rStyle w:val="Strong"/>
          <w:rFonts w:ascii="Verdana" w:hAnsi="Verdana"/>
          <w:b w:val="0"/>
          <w:i/>
          <w:color w:val="000000"/>
          <w:sz w:val="16"/>
          <w:szCs w:val="16"/>
          <w:shd w:val="clear" w:color="auto" w:fill="FFFFFF"/>
          <w:lang w:val="en-US"/>
        </w:rPr>
        <w:t xml:space="preserve">osts. </w:t>
      </w:r>
      <w:r w:rsidRPr="002D0A21">
        <w:rPr>
          <w:rStyle w:val="Strong"/>
          <w:rFonts w:ascii="Verdana" w:hAnsi="Verdana"/>
          <w:b w:val="0"/>
          <w:color w:val="000000"/>
          <w:sz w:val="16"/>
          <w:szCs w:val="16"/>
          <w:shd w:val="clear" w:color="auto" w:fill="FFFFFF"/>
          <w:lang w:val="en-US"/>
        </w:rPr>
        <w:t>Judgment of September 22, 2009. Series C No. 202, paras. 87 to 91 and 101.</w:t>
      </w:r>
    </w:p>
  </w:footnote>
  <w:footnote w:id="4">
    <w:p w14:paraId="3DD1F645" w14:textId="5B6878BA" w:rsidR="00383972" w:rsidRPr="002D0A21" w:rsidRDefault="00383972" w:rsidP="00EE5175">
      <w:pPr>
        <w:pStyle w:val="FootnoteText"/>
        <w:spacing w:after="120"/>
        <w:jc w:val="both"/>
        <w:rPr>
          <w:rFonts w:ascii="Verdana" w:hAnsi="Verdana" w:cs="Times New Roman"/>
          <w:sz w:val="16"/>
          <w:szCs w:val="16"/>
          <w:lang w:val="en-US"/>
        </w:rPr>
      </w:pPr>
      <w:r w:rsidRPr="002D0A21">
        <w:rPr>
          <w:rStyle w:val="FootnoteReference"/>
          <w:rFonts w:ascii="Verdana" w:hAnsi="Verdana" w:cs="Times New Roman"/>
          <w:sz w:val="16"/>
          <w:szCs w:val="16"/>
          <w:lang w:val="en-US"/>
        </w:rPr>
        <w:footnoteRef/>
      </w:r>
      <w:r w:rsidRPr="002D0A21">
        <w:rPr>
          <w:rFonts w:ascii="Verdana" w:hAnsi="Verdana" w:cs="Times New Roman"/>
          <w:sz w:val="16"/>
          <w:szCs w:val="16"/>
          <w:lang w:val="en-US"/>
        </w:rPr>
        <w:t xml:space="preserve"> </w:t>
      </w:r>
      <w:r w:rsidRPr="002D0A21">
        <w:rPr>
          <w:rFonts w:ascii="Verdana" w:hAnsi="Verdana" w:cs="Times New Roman"/>
          <w:sz w:val="16"/>
          <w:szCs w:val="16"/>
          <w:lang w:val="en-US"/>
        </w:rPr>
        <w:tab/>
        <w:t>I find it preferable to reserve the use of the expression</w:t>
      </w:r>
      <w:r w:rsidR="00497730">
        <w:rPr>
          <w:rFonts w:ascii="Verdana" w:hAnsi="Verdana" w:cs="Times New Roman"/>
          <w:sz w:val="16"/>
          <w:szCs w:val="16"/>
          <w:lang w:val="en-US"/>
        </w:rPr>
        <w:t xml:space="preserve"> </w:t>
      </w:r>
      <w:r w:rsidR="00497730">
        <w:rPr>
          <w:rFonts w:ascii="Verdana" w:hAnsi="Verdana" w:cs="Times New Roman"/>
          <w:i/>
          <w:sz w:val="16"/>
          <w:szCs w:val="16"/>
          <w:lang w:val="en-US"/>
        </w:rPr>
        <w:t>“</w:t>
      </w:r>
      <w:r w:rsidRPr="00EE5175">
        <w:rPr>
          <w:rFonts w:ascii="Verdana" w:hAnsi="Verdana" w:cs="Times New Roman"/>
          <w:i/>
          <w:sz w:val="16"/>
          <w:szCs w:val="16"/>
          <w:lang w:val="en-US"/>
        </w:rPr>
        <w:t>juridical</w:t>
      </w:r>
      <w:r w:rsidRPr="00497730">
        <w:rPr>
          <w:rFonts w:ascii="Verdana" w:hAnsi="Verdana" w:cs="Times New Roman"/>
          <w:i/>
          <w:sz w:val="16"/>
          <w:szCs w:val="16"/>
          <w:lang w:val="en-US"/>
        </w:rPr>
        <w:t xml:space="preserve"> personality</w:t>
      </w:r>
      <w:r w:rsidRPr="00EE5175">
        <w:rPr>
          <w:rFonts w:ascii="Verdana" w:hAnsi="Verdana" w:cs="Times New Roman"/>
          <w:i/>
          <w:sz w:val="16"/>
          <w:szCs w:val="16"/>
          <w:lang w:val="en-US"/>
        </w:rPr>
        <w:t>” [</w:t>
      </w:r>
      <w:r w:rsidRPr="002D0A21">
        <w:rPr>
          <w:rFonts w:ascii="Verdana" w:hAnsi="Verdana" w:cs="Times New Roman"/>
          <w:i/>
          <w:sz w:val="16"/>
          <w:szCs w:val="16"/>
          <w:lang w:val="en-US"/>
        </w:rPr>
        <w:t>personalidad</w:t>
      </w:r>
      <w:r w:rsidR="00BE3989" w:rsidRPr="002D0A21">
        <w:rPr>
          <w:rFonts w:ascii="Verdana" w:hAnsi="Verdana" w:cs="Times New Roman"/>
          <w:i/>
          <w:sz w:val="16"/>
          <w:szCs w:val="16"/>
          <w:lang w:val="en-US"/>
        </w:rPr>
        <w:t xml:space="preserve"> jurídica</w:t>
      </w:r>
      <w:r w:rsidRPr="00EE5175">
        <w:rPr>
          <w:rFonts w:ascii="Verdana" w:hAnsi="Verdana" w:cs="Times New Roman"/>
          <w:i/>
          <w:sz w:val="16"/>
          <w:szCs w:val="16"/>
          <w:lang w:val="en-US"/>
        </w:rPr>
        <w:t>]</w:t>
      </w:r>
      <w:r w:rsidRPr="002D0A21">
        <w:rPr>
          <w:rFonts w:ascii="Verdana" w:hAnsi="Verdana" w:cs="Times New Roman"/>
          <w:sz w:val="16"/>
          <w:szCs w:val="16"/>
          <w:lang w:val="en-US"/>
        </w:rPr>
        <w:t xml:space="preserve"> to si</w:t>
      </w:r>
      <w:r w:rsidR="00AB5688">
        <w:rPr>
          <w:rFonts w:ascii="Verdana" w:hAnsi="Verdana" w:cs="Times New Roman"/>
          <w:sz w:val="16"/>
          <w:szCs w:val="16"/>
          <w:lang w:val="en-US"/>
        </w:rPr>
        <w:t>tuations covered by Article 3 of</w:t>
      </w:r>
      <w:r w:rsidRPr="002D0A21">
        <w:rPr>
          <w:rFonts w:ascii="Verdana" w:hAnsi="Verdana" w:cs="Times New Roman"/>
          <w:sz w:val="16"/>
          <w:szCs w:val="16"/>
          <w:lang w:val="en-US"/>
        </w:rPr>
        <w:t xml:space="preserve"> the Convention (the right of every human being to recognition as a person before the law) and, instead, speak of </w:t>
      </w:r>
      <w:r w:rsidRPr="00EE5175">
        <w:rPr>
          <w:rFonts w:ascii="Verdana" w:hAnsi="Verdana" w:cs="Times New Roman"/>
          <w:i/>
          <w:sz w:val="16"/>
          <w:szCs w:val="16"/>
          <w:lang w:val="en-US"/>
        </w:rPr>
        <w:t>“</w:t>
      </w:r>
      <w:r w:rsidR="00BE3989" w:rsidRPr="00EE5175">
        <w:rPr>
          <w:rFonts w:ascii="Verdana" w:hAnsi="Verdana" w:cs="Times New Roman"/>
          <w:i/>
          <w:sz w:val="16"/>
          <w:szCs w:val="16"/>
          <w:lang w:val="en-US"/>
        </w:rPr>
        <w:t>legal status</w:t>
      </w:r>
      <w:r w:rsidRPr="00EE5175">
        <w:rPr>
          <w:rFonts w:ascii="Verdana" w:hAnsi="Verdana" w:cs="Times New Roman"/>
          <w:i/>
          <w:sz w:val="16"/>
          <w:szCs w:val="16"/>
          <w:lang w:val="en-US"/>
        </w:rPr>
        <w:t>”</w:t>
      </w:r>
      <w:r w:rsidRPr="002D0A21">
        <w:rPr>
          <w:rFonts w:ascii="Verdana" w:hAnsi="Verdana" w:cs="Times New Roman"/>
          <w:sz w:val="16"/>
          <w:szCs w:val="16"/>
          <w:lang w:val="en-US"/>
        </w:rPr>
        <w:t xml:space="preserve"> </w:t>
      </w:r>
      <w:r w:rsidRPr="00EE5175">
        <w:rPr>
          <w:rFonts w:ascii="Verdana" w:hAnsi="Verdana" w:cs="Times New Roman"/>
          <w:i/>
          <w:sz w:val="16"/>
          <w:szCs w:val="16"/>
          <w:lang w:val="en-US"/>
        </w:rPr>
        <w:t>[</w:t>
      </w:r>
      <w:r w:rsidRPr="002D0A21">
        <w:rPr>
          <w:rFonts w:ascii="Verdana" w:hAnsi="Verdana" w:cs="Times New Roman"/>
          <w:i/>
          <w:sz w:val="16"/>
          <w:szCs w:val="16"/>
          <w:lang w:val="en-US"/>
        </w:rPr>
        <w:t>personería jurídica</w:t>
      </w:r>
      <w:r w:rsidRPr="00EE5175">
        <w:rPr>
          <w:rFonts w:ascii="Verdana" w:hAnsi="Verdana" w:cs="Times New Roman"/>
          <w:i/>
          <w:sz w:val="16"/>
          <w:szCs w:val="16"/>
          <w:lang w:val="en-US"/>
        </w:rPr>
        <w:t>]</w:t>
      </w:r>
      <w:r w:rsidRPr="002D0A21">
        <w:rPr>
          <w:rFonts w:ascii="Verdana" w:hAnsi="Verdana" w:cs="Times New Roman"/>
          <w:sz w:val="16"/>
          <w:szCs w:val="16"/>
          <w:lang w:val="en-US"/>
        </w:rPr>
        <w:t xml:space="preserve"> for cases in which the condition of subject of rights and obligations is attributed to a group, community or people. </w:t>
      </w:r>
    </w:p>
  </w:footnote>
  <w:footnote w:id="5">
    <w:p w14:paraId="3DD1F646" w14:textId="6A0FC803" w:rsidR="00383972" w:rsidRPr="002D0A21" w:rsidRDefault="00383972" w:rsidP="00EE5175">
      <w:pPr>
        <w:spacing w:after="120" w:line="240" w:lineRule="auto"/>
        <w:jc w:val="both"/>
        <w:rPr>
          <w:rFonts w:ascii="Verdana" w:hAnsi="Verdana"/>
          <w:bCs/>
          <w:color w:val="000000"/>
          <w:sz w:val="16"/>
          <w:szCs w:val="16"/>
          <w:shd w:val="clear" w:color="auto" w:fill="FFFFFF"/>
          <w:lang w:val="en-US"/>
        </w:rPr>
      </w:pPr>
      <w:r w:rsidRPr="002D0A21">
        <w:rPr>
          <w:rStyle w:val="FootnoteReference"/>
          <w:rFonts w:ascii="Verdana" w:hAnsi="Verdana" w:cs="Times New Roman"/>
          <w:sz w:val="16"/>
          <w:szCs w:val="16"/>
          <w:lang w:val="en-US"/>
        </w:rPr>
        <w:footnoteRef/>
      </w:r>
      <w:r w:rsidRPr="002D0A21">
        <w:rPr>
          <w:rFonts w:ascii="Verdana" w:hAnsi="Verdana" w:cs="Times New Roman"/>
          <w:sz w:val="16"/>
          <w:szCs w:val="16"/>
          <w:lang w:val="en-US"/>
        </w:rPr>
        <w:t xml:space="preserve"> </w:t>
      </w:r>
      <w:r w:rsidRPr="002D0A21">
        <w:rPr>
          <w:rFonts w:ascii="Verdana" w:hAnsi="Verdana" w:cs="Times New Roman"/>
          <w:sz w:val="16"/>
          <w:szCs w:val="16"/>
          <w:lang w:val="en-US"/>
        </w:rPr>
        <w:tab/>
      </w:r>
      <w:r w:rsidRPr="002D0A21">
        <w:rPr>
          <w:rStyle w:val="Strong"/>
          <w:rFonts w:ascii="Verdana" w:hAnsi="Verdana"/>
          <w:b w:val="0"/>
          <w:i/>
          <w:color w:val="000000"/>
          <w:sz w:val="16"/>
          <w:szCs w:val="16"/>
          <w:shd w:val="clear" w:color="auto" w:fill="FFFFFF"/>
          <w:lang w:val="en-US"/>
        </w:rPr>
        <w:t xml:space="preserve">Case of the Saramaka People v. Suriname. Preliminary </w:t>
      </w:r>
      <w:r w:rsidR="00497730">
        <w:rPr>
          <w:rStyle w:val="Strong"/>
          <w:rFonts w:ascii="Verdana" w:hAnsi="Verdana"/>
          <w:b w:val="0"/>
          <w:i/>
          <w:color w:val="000000"/>
          <w:sz w:val="16"/>
          <w:szCs w:val="16"/>
          <w:shd w:val="clear" w:color="auto" w:fill="FFFFFF"/>
          <w:lang w:val="en-US"/>
        </w:rPr>
        <w:t>O</w:t>
      </w:r>
      <w:r w:rsidRPr="002D0A21">
        <w:rPr>
          <w:rStyle w:val="Strong"/>
          <w:rFonts w:ascii="Verdana" w:hAnsi="Verdana"/>
          <w:b w:val="0"/>
          <w:i/>
          <w:color w:val="000000"/>
          <w:sz w:val="16"/>
          <w:szCs w:val="16"/>
          <w:shd w:val="clear" w:color="auto" w:fill="FFFFFF"/>
          <w:lang w:val="en-US"/>
        </w:rPr>
        <w:t xml:space="preserve">bjections, </w:t>
      </w:r>
      <w:r w:rsidR="0056707E">
        <w:rPr>
          <w:rStyle w:val="Strong"/>
          <w:rFonts w:ascii="Verdana" w:hAnsi="Verdana"/>
          <w:b w:val="0"/>
          <w:i/>
          <w:color w:val="000000"/>
          <w:sz w:val="16"/>
          <w:szCs w:val="16"/>
          <w:shd w:val="clear" w:color="auto" w:fill="FFFFFF"/>
          <w:lang w:val="en-US"/>
        </w:rPr>
        <w:t>M</w:t>
      </w:r>
      <w:r w:rsidRPr="002D0A21">
        <w:rPr>
          <w:rStyle w:val="Strong"/>
          <w:rFonts w:ascii="Verdana" w:hAnsi="Verdana"/>
          <w:b w:val="0"/>
          <w:i/>
          <w:color w:val="000000"/>
          <w:sz w:val="16"/>
          <w:szCs w:val="16"/>
          <w:shd w:val="clear" w:color="auto" w:fill="FFFFFF"/>
          <w:lang w:val="en-US"/>
        </w:rPr>
        <w:t xml:space="preserve">erits, </w:t>
      </w:r>
      <w:r w:rsidR="0056707E">
        <w:rPr>
          <w:rStyle w:val="Strong"/>
          <w:rFonts w:ascii="Verdana" w:hAnsi="Verdana"/>
          <w:b w:val="0"/>
          <w:i/>
          <w:color w:val="000000"/>
          <w:sz w:val="16"/>
          <w:szCs w:val="16"/>
          <w:shd w:val="clear" w:color="auto" w:fill="FFFFFF"/>
          <w:lang w:val="en-US"/>
        </w:rPr>
        <w:t>R</w:t>
      </w:r>
      <w:r w:rsidRPr="002D0A21">
        <w:rPr>
          <w:rStyle w:val="Strong"/>
          <w:rFonts w:ascii="Verdana" w:hAnsi="Verdana"/>
          <w:b w:val="0"/>
          <w:i/>
          <w:color w:val="000000"/>
          <w:sz w:val="16"/>
          <w:szCs w:val="16"/>
          <w:shd w:val="clear" w:color="auto" w:fill="FFFFFF"/>
          <w:lang w:val="en-US"/>
        </w:rPr>
        <w:t xml:space="preserve">eparations and </w:t>
      </w:r>
      <w:r w:rsidR="0056707E">
        <w:rPr>
          <w:rStyle w:val="Strong"/>
          <w:rFonts w:ascii="Verdana" w:hAnsi="Verdana"/>
          <w:b w:val="0"/>
          <w:i/>
          <w:color w:val="000000"/>
          <w:sz w:val="16"/>
          <w:szCs w:val="16"/>
          <w:shd w:val="clear" w:color="auto" w:fill="FFFFFF"/>
          <w:lang w:val="en-US"/>
        </w:rPr>
        <w:t>C</w:t>
      </w:r>
      <w:r w:rsidRPr="002D0A21">
        <w:rPr>
          <w:rStyle w:val="Strong"/>
          <w:rFonts w:ascii="Verdana" w:hAnsi="Verdana"/>
          <w:b w:val="0"/>
          <w:i/>
          <w:color w:val="000000"/>
          <w:sz w:val="16"/>
          <w:szCs w:val="16"/>
          <w:shd w:val="clear" w:color="auto" w:fill="FFFFFF"/>
          <w:lang w:val="en-US"/>
        </w:rPr>
        <w:t>osts.</w:t>
      </w:r>
      <w:r w:rsidRPr="002D0A21">
        <w:rPr>
          <w:rStyle w:val="Strong"/>
          <w:rFonts w:ascii="Verdana" w:hAnsi="Verdana"/>
          <w:b w:val="0"/>
          <w:color w:val="000000"/>
          <w:sz w:val="16"/>
          <w:szCs w:val="16"/>
          <w:shd w:val="clear" w:color="auto" w:fill="FFFFFF"/>
          <w:lang w:val="en-US"/>
        </w:rPr>
        <w:t xml:space="preserve"> Judgment of November 28, 2007. Series C No. 172, paras. 171 and 172.</w:t>
      </w:r>
    </w:p>
  </w:footnote>
  <w:footnote w:id="6">
    <w:p w14:paraId="3DD1F647" w14:textId="31EC5B26" w:rsidR="00383972" w:rsidRPr="002D0A21" w:rsidRDefault="00383972" w:rsidP="00EE5175">
      <w:pPr>
        <w:pStyle w:val="FootnoteText"/>
        <w:spacing w:after="120"/>
        <w:jc w:val="both"/>
        <w:rPr>
          <w:rFonts w:ascii="Verdana" w:hAnsi="Verdana" w:cs="Times New Roman"/>
          <w:sz w:val="16"/>
          <w:szCs w:val="16"/>
          <w:lang w:val="en-US"/>
        </w:rPr>
      </w:pPr>
      <w:r w:rsidRPr="002D0A21">
        <w:rPr>
          <w:rStyle w:val="FootnoteReference"/>
          <w:rFonts w:ascii="Verdana" w:hAnsi="Verdana" w:cs="Times New Roman"/>
          <w:sz w:val="16"/>
          <w:szCs w:val="16"/>
          <w:lang w:val="en-US"/>
        </w:rPr>
        <w:footnoteRef/>
      </w:r>
      <w:r w:rsidRPr="002D0A21">
        <w:rPr>
          <w:rFonts w:ascii="Verdana" w:hAnsi="Verdana" w:cs="Times New Roman"/>
          <w:sz w:val="16"/>
          <w:szCs w:val="16"/>
          <w:lang w:val="en-US"/>
        </w:rPr>
        <w:t xml:space="preserve"> </w:t>
      </w:r>
      <w:r w:rsidRPr="002D0A21">
        <w:rPr>
          <w:rFonts w:ascii="Verdana" w:hAnsi="Verdana" w:cs="Times New Roman"/>
          <w:sz w:val="16"/>
          <w:szCs w:val="16"/>
          <w:lang w:val="en-US"/>
        </w:rPr>
        <w:tab/>
        <w:t xml:space="preserve">In the case of the Saramaka People, incongruously, the Court ended by declaring “the violation of the right of the members of the Saramaka People to recognition of their juridical personality pursuant to Article 3 of the Convention in relation to their right to property under Article 21 thereof, and the right to judicial protection under Article 5 of this same instrument, as well as with regard to the general obligation of </w:t>
      </w:r>
      <w:r w:rsidR="00AB5688">
        <w:rPr>
          <w:rFonts w:ascii="Verdana" w:hAnsi="Verdana" w:cs="Times New Roman"/>
          <w:sz w:val="16"/>
          <w:szCs w:val="16"/>
          <w:lang w:val="en-US"/>
        </w:rPr>
        <w:t xml:space="preserve">the </w:t>
      </w:r>
      <w:r w:rsidRPr="002D0A21">
        <w:rPr>
          <w:rFonts w:ascii="Verdana" w:hAnsi="Verdana" w:cs="Times New Roman"/>
          <w:sz w:val="16"/>
          <w:szCs w:val="16"/>
          <w:lang w:val="en-US"/>
        </w:rPr>
        <w:t>State to adopt the legislative or other measures required to make those rights effective and to respect and ensure their free and full exercise without discrimination, in accordance with Articles 2 and 1(1) of the Convention, respectively.” This was an evident inconsistency which the Court should not repeat.</w:t>
      </w:r>
    </w:p>
  </w:footnote>
  <w:footnote w:id="7">
    <w:p w14:paraId="3DD1F648" w14:textId="7A79149F" w:rsidR="00383972" w:rsidRPr="002D0A21" w:rsidRDefault="00383972" w:rsidP="00EE5175">
      <w:pPr>
        <w:spacing w:after="120" w:line="240" w:lineRule="auto"/>
        <w:jc w:val="both"/>
        <w:rPr>
          <w:rFonts w:ascii="Verdana" w:hAnsi="Verdana"/>
          <w:bCs/>
          <w:color w:val="000000"/>
          <w:sz w:val="16"/>
          <w:szCs w:val="16"/>
          <w:shd w:val="clear" w:color="auto" w:fill="FFFFFF"/>
          <w:lang w:val="en-US"/>
        </w:rPr>
      </w:pPr>
      <w:r w:rsidRPr="002D0A21">
        <w:rPr>
          <w:rStyle w:val="FootnoteReference"/>
          <w:rFonts w:ascii="Verdana" w:hAnsi="Verdana" w:cs="Times New Roman"/>
          <w:sz w:val="16"/>
          <w:szCs w:val="16"/>
          <w:lang w:val="en-US"/>
        </w:rPr>
        <w:footnoteRef/>
      </w:r>
      <w:r w:rsidRPr="002D0A21">
        <w:rPr>
          <w:rFonts w:ascii="Verdana" w:hAnsi="Verdana" w:cs="Times New Roman"/>
          <w:sz w:val="16"/>
          <w:szCs w:val="16"/>
          <w:lang w:val="en-US"/>
        </w:rPr>
        <w:t xml:space="preserve"> </w:t>
      </w:r>
      <w:r w:rsidRPr="002D0A21">
        <w:rPr>
          <w:rFonts w:ascii="Verdana" w:hAnsi="Verdana" w:cs="Times New Roman"/>
          <w:sz w:val="16"/>
          <w:szCs w:val="16"/>
          <w:lang w:val="en-US"/>
        </w:rPr>
        <w:tab/>
      </w:r>
      <w:r w:rsidRPr="002D0A21">
        <w:rPr>
          <w:rStyle w:val="Strong"/>
          <w:rFonts w:ascii="Verdana" w:hAnsi="Verdana"/>
          <w:b w:val="0"/>
          <w:i/>
          <w:color w:val="000000"/>
          <w:sz w:val="16"/>
          <w:szCs w:val="16"/>
          <w:shd w:val="clear" w:color="auto" w:fill="FFFFFF"/>
          <w:lang w:val="en-US"/>
        </w:rPr>
        <w:t xml:space="preserve">Case of the Kichwa Indigenous People of Sarayaku v. Ecuador. Merits and </w:t>
      </w:r>
      <w:r w:rsidR="003E3FD7">
        <w:rPr>
          <w:rStyle w:val="Strong"/>
          <w:rFonts w:ascii="Verdana" w:hAnsi="Verdana"/>
          <w:b w:val="0"/>
          <w:i/>
          <w:color w:val="000000"/>
          <w:sz w:val="16"/>
          <w:szCs w:val="16"/>
          <w:shd w:val="clear" w:color="auto" w:fill="FFFFFF"/>
          <w:lang w:val="en-US"/>
        </w:rPr>
        <w:t>R</w:t>
      </w:r>
      <w:r w:rsidRPr="002D0A21">
        <w:rPr>
          <w:rStyle w:val="Strong"/>
          <w:rFonts w:ascii="Verdana" w:hAnsi="Verdana"/>
          <w:b w:val="0"/>
          <w:i/>
          <w:color w:val="000000"/>
          <w:sz w:val="16"/>
          <w:szCs w:val="16"/>
          <w:shd w:val="clear" w:color="auto" w:fill="FFFFFF"/>
          <w:lang w:val="en-US"/>
        </w:rPr>
        <w:t>eparations.</w:t>
      </w:r>
      <w:r w:rsidRPr="002D0A21">
        <w:rPr>
          <w:rStyle w:val="Strong"/>
          <w:rFonts w:ascii="Verdana" w:hAnsi="Verdana"/>
          <w:b w:val="0"/>
          <w:color w:val="000000"/>
          <w:sz w:val="16"/>
          <w:szCs w:val="16"/>
          <w:shd w:val="clear" w:color="auto" w:fill="FFFFFF"/>
          <w:lang w:val="en-US"/>
        </w:rPr>
        <w:t xml:space="preserve"> Judgment of June 27, 2012. Series C No. 245, para. 230.</w:t>
      </w:r>
    </w:p>
  </w:footnote>
  <w:footnote w:id="8">
    <w:p w14:paraId="3DD1F649" w14:textId="0E6A4DFB" w:rsidR="00383972" w:rsidRPr="002D0A21" w:rsidRDefault="00383972" w:rsidP="00EE5175">
      <w:pPr>
        <w:spacing w:after="120" w:line="240" w:lineRule="auto"/>
        <w:jc w:val="both"/>
        <w:rPr>
          <w:rFonts w:ascii="Verdana" w:hAnsi="Verdana"/>
          <w:sz w:val="16"/>
          <w:szCs w:val="16"/>
          <w:lang w:val="en-US"/>
        </w:rPr>
      </w:pPr>
      <w:r w:rsidRPr="002D0A21">
        <w:rPr>
          <w:rStyle w:val="FootnoteReference"/>
          <w:rFonts w:ascii="Verdana" w:hAnsi="Verdana" w:cs="Times New Roman"/>
          <w:sz w:val="16"/>
          <w:szCs w:val="16"/>
          <w:lang w:val="en-US"/>
        </w:rPr>
        <w:footnoteRef/>
      </w:r>
      <w:r w:rsidRPr="002D0A21">
        <w:rPr>
          <w:rFonts w:ascii="Verdana" w:hAnsi="Verdana" w:cs="Times New Roman"/>
          <w:sz w:val="16"/>
          <w:szCs w:val="16"/>
          <w:lang w:val="en-US"/>
        </w:rPr>
        <w:t xml:space="preserve"> </w:t>
      </w:r>
      <w:r w:rsidRPr="002D0A21">
        <w:rPr>
          <w:rFonts w:ascii="Verdana" w:hAnsi="Verdana" w:cs="Times New Roman"/>
          <w:sz w:val="16"/>
          <w:szCs w:val="16"/>
          <w:lang w:val="en-US"/>
        </w:rPr>
        <w:tab/>
      </w:r>
      <w:r w:rsidRPr="002D0A21">
        <w:rPr>
          <w:rStyle w:val="Strong"/>
          <w:rFonts w:ascii="Verdana" w:hAnsi="Verdana"/>
          <w:b w:val="0"/>
          <w:i/>
          <w:color w:val="000000"/>
          <w:sz w:val="16"/>
          <w:szCs w:val="16"/>
          <w:shd w:val="clear" w:color="auto" w:fill="FFFFFF"/>
          <w:lang w:val="en-US"/>
        </w:rPr>
        <w:t xml:space="preserve">Case of the Kaliña and Lokono Peoples v. Suriname. Merits, </w:t>
      </w:r>
      <w:r w:rsidR="003E3FD7">
        <w:rPr>
          <w:rStyle w:val="Strong"/>
          <w:rFonts w:ascii="Verdana" w:hAnsi="Verdana"/>
          <w:b w:val="0"/>
          <w:i/>
          <w:color w:val="000000"/>
          <w:sz w:val="16"/>
          <w:szCs w:val="16"/>
          <w:shd w:val="clear" w:color="auto" w:fill="FFFFFF"/>
          <w:lang w:val="en-US"/>
        </w:rPr>
        <w:t>R</w:t>
      </w:r>
      <w:r w:rsidRPr="002D0A21">
        <w:rPr>
          <w:rStyle w:val="Strong"/>
          <w:rFonts w:ascii="Verdana" w:hAnsi="Verdana"/>
          <w:b w:val="0"/>
          <w:i/>
          <w:color w:val="000000"/>
          <w:sz w:val="16"/>
          <w:szCs w:val="16"/>
          <w:shd w:val="clear" w:color="auto" w:fill="FFFFFF"/>
          <w:lang w:val="en-US"/>
        </w:rPr>
        <w:t xml:space="preserve">eparations and </w:t>
      </w:r>
      <w:r w:rsidR="003E3FD7">
        <w:rPr>
          <w:rStyle w:val="Strong"/>
          <w:rFonts w:ascii="Verdana" w:hAnsi="Verdana"/>
          <w:b w:val="0"/>
          <w:i/>
          <w:color w:val="000000"/>
          <w:sz w:val="16"/>
          <w:szCs w:val="16"/>
          <w:shd w:val="clear" w:color="auto" w:fill="FFFFFF"/>
          <w:lang w:val="en-US"/>
        </w:rPr>
        <w:t>C</w:t>
      </w:r>
      <w:r w:rsidRPr="002D0A21">
        <w:rPr>
          <w:rStyle w:val="Strong"/>
          <w:rFonts w:ascii="Verdana" w:hAnsi="Verdana"/>
          <w:b w:val="0"/>
          <w:i/>
          <w:color w:val="000000"/>
          <w:sz w:val="16"/>
          <w:szCs w:val="16"/>
          <w:shd w:val="clear" w:color="auto" w:fill="FFFFFF"/>
          <w:lang w:val="en-US"/>
        </w:rPr>
        <w:t>osts.</w:t>
      </w:r>
      <w:r w:rsidRPr="002D0A21">
        <w:rPr>
          <w:rStyle w:val="Strong"/>
          <w:rFonts w:ascii="Verdana" w:hAnsi="Verdana"/>
          <w:b w:val="0"/>
          <w:color w:val="000000"/>
          <w:sz w:val="16"/>
          <w:szCs w:val="16"/>
          <w:shd w:val="clear" w:color="auto" w:fill="FFFFFF"/>
          <w:lang w:val="en-US"/>
        </w:rPr>
        <w:t xml:space="preserve"> Judgment of November 25, 2015, para. 259.</w:t>
      </w:r>
    </w:p>
  </w:footnote>
  <w:footnote w:id="9">
    <w:p w14:paraId="08D304F8" w14:textId="77777777" w:rsidR="00383972" w:rsidRPr="002D0A21" w:rsidRDefault="00383972" w:rsidP="00EE5175">
      <w:pPr>
        <w:pStyle w:val="FootnoteText"/>
        <w:spacing w:after="120"/>
        <w:jc w:val="both"/>
        <w:rPr>
          <w:rFonts w:ascii="Verdana" w:hAnsi="Verdana"/>
          <w:sz w:val="16"/>
          <w:szCs w:val="16"/>
          <w:lang w:val="en-US"/>
        </w:rPr>
      </w:pPr>
      <w:r w:rsidRPr="002D0A21">
        <w:rPr>
          <w:rStyle w:val="FootnoteReference"/>
          <w:rFonts w:ascii="Verdana" w:hAnsi="Verdana"/>
          <w:sz w:val="16"/>
          <w:szCs w:val="16"/>
          <w:lang w:val="en-US"/>
        </w:rPr>
        <w:footnoteRef/>
      </w:r>
      <w:r w:rsidRPr="002D0A21">
        <w:rPr>
          <w:rFonts w:ascii="Verdana" w:hAnsi="Verdana"/>
          <w:sz w:val="16"/>
          <w:szCs w:val="16"/>
          <w:lang w:val="en-US"/>
        </w:rPr>
        <w:t xml:space="preserve"> </w:t>
      </w:r>
      <w:r w:rsidRPr="002D0A21">
        <w:rPr>
          <w:rFonts w:ascii="Verdana" w:hAnsi="Verdana"/>
          <w:sz w:val="16"/>
          <w:szCs w:val="16"/>
          <w:lang w:val="en-US"/>
        </w:rPr>
        <w:tab/>
      </w:r>
      <w:r w:rsidRPr="002D0A21">
        <w:rPr>
          <w:rStyle w:val="Strong"/>
          <w:rFonts w:ascii="Verdana" w:hAnsi="Verdana"/>
          <w:b w:val="0"/>
          <w:i/>
          <w:color w:val="000000"/>
          <w:sz w:val="16"/>
          <w:szCs w:val="16"/>
          <w:shd w:val="clear" w:color="auto" w:fill="FFFFFF"/>
          <w:lang w:val="en-US"/>
        </w:rPr>
        <w:t>Case of the Kaliña and Lokono Peoples</w:t>
      </w:r>
      <w:r w:rsidRPr="002D0A21" w:rsidDel="00CE59E4">
        <w:rPr>
          <w:rStyle w:val="Strong"/>
          <w:rFonts w:ascii="Verdana" w:hAnsi="Verdana"/>
          <w:b w:val="0"/>
          <w:i/>
          <w:color w:val="000000"/>
          <w:sz w:val="16"/>
          <w:szCs w:val="16"/>
          <w:shd w:val="clear" w:color="auto" w:fill="FFFFFF"/>
          <w:lang w:val="en-US"/>
        </w:rPr>
        <w:t xml:space="preserve"> </w:t>
      </w:r>
      <w:r w:rsidRPr="002D0A21">
        <w:rPr>
          <w:rStyle w:val="Strong"/>
          <w:rFonts w:ascii="Verdana" w:hAnsi="Verdana"/>
          <w:b w:val="0"/>
          <w:i/>
          <w:color w:val="000000"/>
          <w:sz w:val="16"/>
          <w:szCs w:val="16"/>
          <w:shd w:val="clear" w:color="auto" w:fill="FFFFFF"/>
          <w:lang w:val="en-US"/>
        </w:rPr>
        <w:t>v. Suriname, supra</w:t>
      </w:r>
      <w:r w:rsidRPr="002D0A21">
        <w:rPr>
          <w:rStyle w:val="Strong"/>
          <w:rFonts w:ascii="Verdana" w:hAnsi="Verdana"/>
          <w:b w:val="0"/>
          <w:color w:val="000000"/>
          <w:sz w:val="16"/>
          <w:szCs w:val="16"/>
          <w:shd w:val="clear" w:color="auto" w:fill="FFFFFF"/>
          <w:lang w:val="en-US"/>
        </w:rPr>
        <w:t>, para. 260.</w:t>
      </w:r>
    </w:p>
  </w:footnote>
  <w:footnote w:id="10">
    <w:p w14:paraId="4C413143" w14:textId="77777777" w:rsidR="00383972" w:rsidRPr="002D0A21" w:rsidRDefault="00383972" w:rsidP="00EE5175">
      <w:pPr>
        <w:pStyle w:val="FootnoteText"/>
        <w:spacing w:after="120"/>
        <w:jc w:val="both"/>
        <w:rPr>
          <w:rFonts w:ascii="Verdana" w:hAnsi="Verdana" w:cs="Times New Roman"/>
          <w:sz w:val="16"/>
          <w:szCs w:val="16"/>
          <w:lang w:val="en-US"/>
        </w:rPr>
      </w:pPr>
      <w:r w:rsidRPr="002D0A21">
        <w:rPr>
          <w:rStyle w:val="FootnoteReference"/>
          <w:rFonts w:ascii="Verdana" w:hAnsi="Verdana" w:cs="Times New Roman"/>
          <w:sz w:val="16"/>
          <w:szCs w:val="16"/>
          <w:lang w:val="en-US"/>
        </w:rPr>
        <w:footnoteRef/>
      </w:r>
      <w:r w:rsidRPr="002D0A21">
        <w:rPr>
          <w:rFonts w:ascii="Verdana" w:hAnsi="Verdana" w:cs="Times New Roman"/>
          <w:sz w:val="16"/>
          <w:szCs w:val="16"/>
          <w:lang w:val="en-US"/>
        </w:rPr>
        <w:t xml:space="preserve"> </w:t>
      </w:r>
      <w:r w:rsidRPr="002D0A21">
        <w:rPr>
          <w:rFonts w:ascii="Verdana" w:hAnsi="Verdana" w:cs="Times New Roman"/>
          <w:sz w:val="16"/>
          <w:szCs w:val="16"/>
          <w:lang w:val="en-US"/>
        </w:rPr>
        <w:tab/>
      </w:r>
      <w:r w:rsidRPr="002D0A21">
        <w:rPr>
          <w:rStyle w:val="Strong"/>
          <w:rFonts w:ascii="Verdana" w:hAnsi="Verdana"/>
          <w:b w:val="0"/>
          <w:i/>
          <w:color w:val="000000"/>
          <w:sz w:val="16"/>
          <w:szCs w:val="16"/>
          <w:shd w:val="clear" w:color="auto" w:fill="FFFFFF"/>
          <w:lang w:val="en-US"/>
        </w:rPr>
        <w:t>Case of the Kaliña and Lokono Peoples</w:t>
      </w:r>
      <w:r w:rsidRPr="002D0A21" w:rsidDel="00CE59E4">
        <w:rPr>
          <w:rStyle w:val="Strong"/>
          <w:rFonts w:ascii="Verdana" w:hAnsi="Verdana"/>
          <w:b w:val="0"/>
          <w:i/>
          <w:color w:val="000000"/>
          <w:sz w:val="16"/>
          <w:szCs w:val="16"/>
          <w:shd w:val="clear" w:color="auto" w:fill="FFFFFF"/>
          <w:lang w:val="en-US"/>
        </w:rPr>
        <w:t xml:space="preserve"> </w:t>
      </w:r>
      <w:r w:rsidRPr="002D0A21">
        <w:rPr>
          <w:rStyle w:val="Strong"/>
          <w:rFonts w:ascii="Verdana" w:hAnsi="Verdana"/>
          <w:b w:val="0"/>
          <w:i/>
          <w:color w:val="000000"/>
          <w:sz w:val="16"/>
          <w:szCs w:val="16"/>
          <w:shd w:val="clear" w:color="auto" w:fill="FFFFFF"/>
          <w:lang w:val="en-US"/>
        </w:rPr>
        <w:t>v. Suriname, supra</w:t>
      </w:r>
      <w:r w:rsidRPr="002D0A21">
        <w:rPr>
          <w:rStyle w:val="Strong"/>
          <w:rFonts w:ascii="Verdana" w:hAnsi="Verdana"/>
          <w:b w:val="0"/>
          <w:color w:val="000000"/>
          <w:sz w:val="16"/>
          <w:szCs w:val="16"/>
          <w:shd w:val="clear" w:color="auto" w:fill="FFFFFF"/>
          <w:lang w:val="en-US"/>
        </w:rPr>
        <w:t>, para. 263.</w:t>
      </w:r>
    </w:p>
  </w:footnote>
  <w:footnote w:id="11">
    <w:p w14:paraId="3DD1F64D" w14:textId="10BED2E4" w:rsidR="00383972" w:rsidRPr="002D0A21" w:rsidRDefault="00383972" w:rsidP="00EE5175">
      <w:pPr>
        <w:pStyle w:val="FootnoteText"/>
        <w:spacing w:after="120"/>
        <w:jc w:val="both"/>
        <w:rPr>
          <w:rFonts w:ascii="Verdana" w:hAnsi="Verdana" w:cs="Times New Roman"/>
          <w:sz w:val="16"/>
          <w:szCs w:val="16"/>
          <w:lang w:val="en-US"/>
        </w:rPr>
      </w:pPr>
      <w:r w:rsidRPr="002D0A21">
        <w:rPr>
          <w:rStyle w:val="FootnoteReference"/>
          <w:rFonts w:ascii="Verdana" w:hAnsi="Verdana" w:cs="Times New Roman"/>
          <w:sz w:val="16"/>
          <w:szCs w:val="16"/>
          <w:lang w:val="en-US"/>
        </w:rPr>
        <w:footnoteRef/>
      </w:r>
      <w:r w:rsidRPr="002D0A21">
        <w:rPr>
          <w:rFonts w:ascii="Verdana" w:hAnsi="Verdana" w:cs="Times New Roman"/>
          <w:sz w:val="16"/>
          <w:szCs w:val="16"/>
          <w:lang w:val="en-US"/>
        </w:rPr>
        <w:t xml:space="preserve"> </w:t>
      </w:r>
      <w:r w:rsidRPr="002D0A21">
        <w:rPr>
          <w:rFonts w:ascii="Verdana" w:hAnsi="Verdana" w:cs="Times New Roman"/>
          <w:sz w:val="16"/>
          <w:szCs w:val="16"/>
          <w:lang w:val="en-US"/>
        </w:rPr>
        <w:tab/>
      </w:r>
      <w:r w:rsidRPr="002D0A21">
        <w:rPr>
          <w:rStyle w:val="Strong"/>
          <w:rFonts w:ascii="Verdana" w:hAnsi="Verdana"/>
          <w:b w:val="0"/>
          <w:i/>
          <w:color w:val="000000"/>
          <w:sz w:val="16"/>
          <w:szCs w:val="16"/>
          <w:shd w:val="clear" w:color="auto" w:fill="FFFFFF"/>
          <w:lang w:val="en-US"/>
        </w:rPr>
        <w:t>Case of the Kaliña and Lokono Peoples</w:t>
      </w:r>
      <w:r w:rsidRPr="002D0A21" w:rsidDel="00CE59E4">
        <w:rPr>
          <w:rStyle w:val="Strong"/>
          <w:rFonts w:ascii="Verdana" w:hAnsi="Verdana"/>
          <w:b w:val="0"/>
          <w:i/>
          <w:color w:val="000000"/>
          <w:sz w:val="16"/>
          <w:szCs w:val="16"/>
          <w:shd w:val="clear" w:color="auto" w:fill="FFFFFF"/>
          <w:lang w:val="en-US"/>
        </w:rPr>
        <w:t xml:space="preserve"> </w:t>
      </w:r>
      <w:r w:rsidRPr="002D0A21">
        <w:rPr>
          <w:rStyle w:val="Strong"/>
          <w:rFonts w:ascii="Verdana" w:hAnsi="Verdana"/>
          <w:b w:val="0"/>
          <w:i/>
          <w:color w:val="000000"/>
          <w:sz w:val="16"/>
          <w:szCs w:val="16"/>
          <w:shd w:val="clear" w:color="auto" w:fill="FFFFFF"/>
          <w:lang w:val="en-US"/>
        </w:rPr>
        <w:t>v. Suriname, supra</w:t>
      </w:r>
      <w:r w:rsidRPr="002D0A21">
        <w:rPr>
          <w:rStyle w:val="Strong"/>
          <w:rFonts w:ascii="Verdana" w:hAnsi="Verdana"/>
          <w:b w:val="0"/>
          <w:color w:val="000000"/>
          <w:sz w:val="16"/>
          <w:szCs w:val="16"/>
          <w:shd w:val="clear" w:color="auto" w:fill="FFFFFF"/>
          <w:lang w:val="en-US"/>
        </w:rPr>
        <w:t>, para.</w:t>
      </w:r>
      <w:r w:rsidRPr="002D0A21">
        <w:rPr>
          <w:rFonts w:ascii="Verdana" w:hAnsi="Verdana" w:cs="Times New Roman"/>
          <w:sz w:val="16"/>
          <w:szCs w:val="16"/>
          <w:lang w:val="en-US"/>
        </w:rPr>
        <w:t xml:space="preserve"> 267.</w:t>
      </w:r>
    </w:p>
  </w:footnote>
  <w:footnote w:id="12">
    <w:p w14:paraId="3DD1F64E" w14:textId="7B15F638" w:rsidR="00383972" w:rsidRPr="002D0A21" w:rsidRDefault="00383972" w:rsidP="00EE5175">
      <w:pPr>
        <w:pStyle w:val="FootnoteText"/>
        <w:spacing w:after="120"/>
        <w:jc w:val="both"/>
        <w:rPr>
          <w:rFonts w:ascii="Verdana" w:hAnsi="Verdana"/>
          <w:sz w:val="16"/>
          <w:szCs w:val="16"/>
          <w:lang w:val="en-US"/>
        </w:rPr>
      </w:pPr>
      <w:r w:rsidRPr="002D0A21">
        <w:rPr>
          <w:rStyle w:val="FootnoteReference"/>
          <w:rFonts w:ascii="Verdana" w:hAnsi="Verdana" w:cs="Times New Roman"/>
          <w:sz w:val="16"/>
          <w:szCs w:val="16"/>
          <w:lang w:val="en-US"/>
        </w:rPr>
        <w:footnoteRef/>
      </w:r>
      <w:r w:rsidRPr="002D0A21">
        <w:rPr>
          <w:rFonts w:ascii="Verdana" w:hAnsi="Verdana" w:cs="Times New Roman"/>
          <w:sz w:val="16"/>
          <w:szCs w:val="16"/>
          <w:lang w:val="en-US"/>
        </w:rPr>
        <w:t xml:space="preserve"> </w:t>
      </w:r>
      <w:r w:rsidRPr="002D0A21">
        <w:rPr>
          <w:rFonts w:ascii="Verdana" w:hAnsi="Verdana" w:cs="Times New Roman"/>
          <w:sz w:val="16"/>
          <w:szCs w:val="16"/>
          <w:lang w:val="en-US"/>
        </w:rPr>
        <w:tab/>
        <w:t>“</w:t>
      </w:r>
      <w:r w:rsidRPr="002D0A21">
        <w:rPr>
          <w:rFonts w:ascii="Verdana" w:hAnsi="Verdana" w:cs="Arial"/>
          <w:sz w:val="16"/>
          <w:szCs w:val="16"/>
          <w:lang w:val="en-US"/>
        </w:rPr>
        <w:t>Based on the above, in light of the arguments of the parties, the Court finds that the violations that have been alleged relate to four main disputes: (a) the failure to recognize the right to collective property and the absence of delimitation, demarcation and land-titling of the ancestral lands of the Kaliña and Lokono indigenous peoples; (b) the granting of land titles and leases to non-indigenous persons within the territory claimed by the Kaliña and Lokono peoples; (c) the adverse effects on use and enjoyment of the parts of the nature reserves that fall within the alleged traditional territories, and (</w:t>
      </w:r>
      <w:r w:rsidRPr="002D0A21">
        <w:rPr>
          <w:rFonts w:ascii="Verdana" w:hAnsi="Verdana"/>
          <w:sz w:val="16"/>
          <w:szCs w:val="16"/>
          <w:lang w:val="en-US"/>
        </w:rPr>
        <w:t xml:space="preserve">d) the absence of effective participation, by means of a </w:t>
      </w:r>
      <w:r w:rsidRPr="002D0A21">
        <w:rPr>
          <w:rFonts w:ascii="Verdana" w:hAnsi="Verdana" w:cs="Arial"/>
          <w:sz w:val="16"/>
          <w:szCs w:val="16"/>
          <w:lang w:val="en-US"/>
        </w:rPr>
        <w:t xml:space="preserve">consultation process, with regard to the mining concessions within one of </w:t>
      </w:r>
      <w:r w:rsidRPr="002D0A21">
        <w:rPr>
          <w:rFonts w:ascii="Verdana" w:hAnsi="Verdana"/>
          <w:sz w:val="16"/>
          <w:szCs w:val="16"/>
          <w:lang w:val="en-US"/>
        </w:rPr>
        <w:t>the nature reserves in the ancestral territory</w:t>
      </w:r>
      <w:r w:rsidRPr="002D0A21">
        <w:rPr>
          <w:rFonts w:ascii="Verdana" w:hAnsi="Verdana" w:cs="Times New Roman"/>
          <w:sz w:val="16"/>
          <w:szCs w:val="16"/>
          <w:lang w:val="en-US"/>
        </w:rPr>
        <w:t xml:space="preserve">.” </w:t>
      </w:r>
      <w:r w:rsidRPr="002D0A21">
        <w:rPr>
          <w:rStyle w:val="Strong"/>
          <w:rFonts w:ascii="Verdana" w:hAnsi="Verdana"/>
          <w:b w:val="0"/>
          <w:i/>
          <w:color w:val="000000"/>
          <w:sz w:val="16"/>
          <w:szCs w:val="16"/>
          <w:shd w:val="clear" w:color="auto" w:fill="FFFFFF"/>
          <w:lang w:val="en-US"/>
        </w:rPr>
        <w:t>Case of the Kaliña and Lokono Peoples v. Suriname, supra</w:t>
      </w:r>
      <w:r w:rsidRPr="002D0A21">
        <w:rPr>
          <w:rStyle w:val="Strong"/>
          <w:rFonts w:ascii="Verdana" w:hAnsi="Verdana"/>
          <w:b w:val="0"/>
          <w:color w:val="000000"/>
          <w:sz w:val="16"/>
          <w:szCs w:val="16"/>
          <w:shd w:val="clear" w:color="auto" w:fill="FFFFFF"/>
          <w:lang w:val="en-US"/>
        </w:rPr>
        <w:t>, para. 127.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86E"/>
    <w:multiLevelType w:val="hybridMultilevel"/>
    <w:tmpl w:val="3704E16C"/>
    <w:lvl w:ilvl="0" w:tplc="F0A69672">
      <w:start w:val="1"/>
      <w:numFmt w:val="decimal"/>
      <w:pStyle w:val="Estilo1"/>
      <w:lvlText w:val="%1."/>
      <w:lvlJc w:val="left"/>
      <w:pPr>
        <w:ind w:left="720" w:hanging="360"/>
      </w:pPr>
      <w:rPr>
        <w:rFonts w:hint="default"/>
      </w:rPr>
    </w:lvl>
    <w:lvl w:ilvl="1" w:tplc="870EC26C">
      <w:start w:val="1"/>
      <w:numFmt w:val="lowerLetter"/>
      <w:lvlText w:val="%2)"/>
      <w:lvlJc w:val="left"/>
      <w:pPr>
        <w:ind w:left="1440" w:hanging="360"/>
      </w:pPr>
      <w:rPr>
        <w:rFonts w:ascii="Times New Roman" w:hAnsi="Times New Roman" w:cs="Times New Roman" w:hint="default"/>
        <w:b w:val="0"/>
        <w:i/>
        <w:sz w:val="24"/>
        <w:szCs w:val="24"/>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36F2E83"/>
    <w:multiLevelType w:val="hybridMultilevel"/>
    <w:tmpl w:val="30467760"/>
    <w:lvl w:ilvl="0" w:tplc="FEAE2600">
      <w:start w:val="1"/>
      <w:numFmt w:val="decimal"/>
      <w:pStyle w:val="Estilo4"/>
      <w:lvlText w:val="%1."/>
      <w:lvlJc w:val="left"/>
      <w:pPr>
        <w:ind w:left="3763" w:hanging="360"/>
      </w:pPr>
      <w:rPr>
        <w:sz w:val="20"/>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2">
    <w:nsid w:val="61B36A3B"/>
    <w:multiLevelType w:val="hybridMultilevel"/>
    <w:tmpl w:val="989AF976"/>
    <w:lvl w:ilvl="0" w:tplc="E924A7B0">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6450298B"/>
    <w:multiLevelType w:val="hybridMultilevel"/>
    <w:tmpl w:val="5DF0310C"/>
    <w:lvl w:ilvl="0" w:tplc="0922DE9A">
      <w:start w:val="1"/>
      <w:numFmt w:val="decimal"/>
      <w:lvlText w:val="%1."/>
      <w:lvlJc w:val="left"/>
      <w:pPr>
        <w:ind w:left="378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6F001C76"/>
    <w:multiLevelType w:val="hybridMultilevel"/>
    <w:tmpl w:val="3BF8E89C"/>
    <w:lvl w:ilvl="0" w:tplc="F448F914">
      <w:start w:val="1"/>
      <w:numFmt w:val="decimal"/>
      <w:lvlText w:val="%1."/>
      <w:lvlJc w:val="left"/>
      <w:pPr>
        <w:ind w:left="1144" w:hanging="360"/>
      </w:pPr>
      <w:rPr>
        <w:rFonts w:hint="default"/>
      </w:rPr>
    </w:lvl>
    <w:lvl w:ilvl="1" w:tplc="140A0019" w:tentative="1">
      <w:start w:val="1"/>
      <w:numFmt w:val="lowerLetter"/>
      <w:lvlText w:val="%2."/>
      <w:lvlJc w:val="left"/>
      <w:pPr>
        <w:ind w:left="1864" w:hanging="360"/>
      </w:pPr>
    </w:lvl>
    <w:lvl w:ilvl="2" w:tplc="140A001B" w:tentative="1">
      <w:start w:val="1"/>
      <w:numFmt w:val="lowerRoman"/>
      <w:lvlText w:val="%3."/>
      <w:lvlJc w:val="right"/>
      <w:pPr>
        <w:ind w:left="2584" w:hanging="180"/>
      </w:pPr>
    </w:lvl>
    <w:lvl w:ilvl="3" w:tplc="140A000F" w:tentative="1">
      <w:start w:val="1"/>
      <w:numFmt w:val="decimal"/>
      <w:lvlText w:val="%4."/>
      <w:lvlJc w:val="left"/>
      <w:pPr>
        <w:ind w:left="3304" w:hanging="360"/>
      </w:pPr>
    </w:lvl>
    <w:lvl w:ilvl="4" w:tplc="140A0019" w:tentative="1">
      <w:start w:val="1"/>
      <w:numFmt w:val="lowerLetter"/>
      <w:lvlText w:val="%5."/>
      <w:lvlJc w:val="left"/>
      <w:pPr>
        <w:ind w:left="4024" w:hanging="360"/>
      </w:pPr>
    </w:lvl>
    <w:lvl w:ilvl="5" w:tplc="140A001B" w:tentative="1">
      <w:start w:val="1"/>
      <w:numFmt w:val="lowerRoman"/>
      <w:lvlText w:val="%6."/>
      <w:lvlJc w:val="right"/>
      <w:pPr>
        <w:ind w:left="4744" w:hanging="180"/>
      </w:pPr>
    </w:lvl>
    <w:lvl w:ilvl="6" w:tplc="140A000F" w:tentative="1">
      <w:start w:val="1"/>
      <w:numFmt w:val="decimal"/>
      <w:lvlText w:val="%7."/>
      <w:lvlJc w:val="left"/>
      <w:pPr>
        <w:ind w:left="5464" w:hanging="360"/>
      </w:pPr>
    </w:lvl>
    <w:lvl w:ilvl="7" w:tplc="140A0019" w:tentative="1">
      <w:start w:val="1"/>
      <w:numFmt w:val="lowerLetter"/>
      <w:lvlText w:val="%8."/>
      <w:lvlJc w:val="left"/>
      <w:pPr>
        <w:ind w:left="6184" w:hanging="360"/>
      </w:pPr>
    </w:lvl>
    <w:lvl w:ilvl="8" w:tplc="140A001B" w:tentative="1">
      <w:start w:val="1"/>
      <w:numFmt w:val="lowerRoman"/>
      <w:lvlText w:val="%9."/>
      <w:lvlJc w:val="right"/>
      <w:pPr>
        <w:ind w:left="6904" w:hanging="180"/>
      </w:pPr>
    </w:lvl>
  </w:abstractNum>
  <w:num w:numId="1">
    <w:abstractNumId w:val="0"/>
  </w:num>
  <w:num w:numId="2">
    <w:abstractNumId w:val="2"/>
  </w:num>
  <w:num w:numId="3">
    <w:abstractNumId w:val="0"/>
    <w:lvlOverride w:ilvl="0">
      <w:startOverride w:val="178"/>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42"/>
    <w:rsid w:val="00005F6F"/>
    <w:rsid w:val="00020484"/>
    <w:rsid w:val="000218C2"/>
    <w:rsid w:val="000334AE"/>
    <w:rsid w:val="00054F5A"/>
    <w:rsid w:val="00065836"/>
    <w:rsid w:val="00071392"/>
    <w:rsid w:val="00080510"/>
    <w:rsid w:val="00094C01"/>
    <w:rsid w:val="0009668C"/>
    <w:rsid w:val="000B0F5B"/>
    <w:rsid w:val="000C3CEA"/>
    <w:rsid w:val="00120E2D"/>
    <w:rsid w:val="00120F47"/>
    <w:rsid w:val="001239BE"/>
    <w:rsid w:val="00176B69"/>
    <w:rsid w:val="0018780B"/>
    <w:rsid w:val="00193558"/>
    <w:rsid w:val="001C24D8"/>
    <w:rsid w:val="001E4DF0"/>
    <w:rsid w:val="00250ADF"/>
    <w:rsid w:val="002A0350"/>
    <w:rsid w:val="002A44B2"/>
    <w:rsid w:val="002B679D"/>
    <w:rsid w:val="002D0A21"/>
    <w:rsid w:val="003367A1"/>
    <w:rsid w:val="00377A21"/>
    <w:rsid w:val="00383972"/>
    <w:rsid w:val="003A1EBB"/>
    <w:rsid w:val="003C3E9B"/>
    <w:rsid w:val="003C743F"/>
    <w:rsid w:val="003E22F4"/>
    <w:rsid w:val="003E3FD7"/>
    <w:rsid w:val="00414984"/>
    <w:rsid w:val="004570DB"/>
    <w:rsid w:val="00464D9C"/>
    <w:rsid w:val="00467100"/>
    <w:rsid w:val="00467537"/>
    <w:rsid w:val="00480333"/>
    <w:rsid w:val="004941AC"/>
    <w:rsid w:val="00497730"/>
    <w:rsid w:val="004D0C4F"/>
    <w:rsid w:val="004D3AA2"/>
    <w:rsid w:val="004E07C7"/>
    <w:rsid w:val="004E1411"/>
    <w:rsid w:val="00515B0D"/>
    <w:rsid w:val="00557E43"/>
    <w:rsid w:val="00560B81"/>
    <w:rsid w:val="00564C07"/>
    <w:rsid w:val="0056707E"/>
    <w:rsid w:val="005C53E0"/>
    <w:rsid w:val="005E08B3"/>
    <w:rsid w:val="00600105"/>
    <w:rsid w:val="00616F6F"/>
    <w:rsid w:val="006431C8"/>
    <w:rsid w:val="00662B3C"/>
    <w:rsid w:val="006843CE"/>
    <w:rsid w:val="006A3D4E"/>
    <w:rsid w:val="006B1D86"/>
    <w:rsid w:val="00723A7E"/>
    <w:rsid w:val="00727BFB"/>
    <w:rsid w:val="00742D30"/>
    <w:rsid w:val="00750D86"/>
    <w:rsid w:val="007624ED"/>
    <w:rsid w:val="00763D47"/>
    <w:rsid w:val="007938B5"/>
    <w:rsid w:val="00797250"/>
    <w:rsid w:val="007D5769"/>
    <w:rsid w:val="00812F94"/>
    <w:rsid w:val="008555D3"/>
    <w:rsid w:val="00881F98"/>
    <w:rsid w:val="008956EE"/>
    <w:rsid w:val="008C0944"/>
    <w:rsid w:val="00945716"/>
    <w:rsid w:val="00955CFC"/>
    <w:rsid w:val="00965EA7"/>
    <w:rsid w:val="00967D53"/>
    <w:rsid w:val="009D2EFA"/>
    <w:rsid w:val="00A45D9A"/>
    <w:rsid w:val="00A53D6C"/>
    <w:rsid w:val="00A6103B"/>
    <w:rsid w:val="00A73D0B"/>
    <w:rsid w:val="00A76963"/>
    <w:rsid w:val="00AB5688"/>
    <w:rsid w:val="00AC3712"/>
    <w:rsid w:val="00AD09F4"/>
    <w:rsid w:val="00AF60D0"/>
    <w:rsid w:val="00B173B5"/>
    <w:rsid w:val="00B2711B"/>
    <w:rsid w:val="00B3687D"/>
    <w:rsid w:val="00B55A11"/>
    <w:rsid w:val="00BE3817"/>
    <w:rsid w:val="00BE3989"/>
    <w:rsid w:val="00BF5AF1"/>
    <w:rsid w:val="00C86FB1"/>
    <w:rsid w:val="00CE59E4"/>
    <w:rsid w:val="00CE7847"/>
    <w:rsid w:val="00D36621"/>
    <w:rsid w:val="00D46F07"/>
    <w:rsid w:val="00D51029"/>
    <w:rsid w:val="00D66DEE"/>
    <w:rsid w:val="00DE002D"/>
    <w:rsid w:val="00DE4993"/>
    <w:rsid w:val="00DE7840"/>
    <w:rsid w:val="00DF0A42"/>
    <w:rsid w:val="00E3330F"/>
    <w:rsid w:val="00E4321B"/>
    <w:rsid w:val="00E76C57"/>
    <w:rsid w:val="00EB08D8"/>
    <w:rsid w:val="00EC5E9A"/>
    <w:rsid w:val="00EC6BE1"/>
    <w:rsid w:val="00ED22D4"/>
    <w:rsid w:val="00EE5175"/>
    <w:rsid w:val="00F1117A"/>
    <w:rsid w:val="00F353CB"/>
    <w:rsid w:val="00F52C65"/>
    <w:rsid w:val="00F61931"/>
    <w:rsid w:val="00F67A1B"/>
    <w:rsid w:val="00FA543D"/>
    <w:rsid w:val="00FC75F8"/>
    <w:rsid w:val="00FE36AA"/>
    <w:rsid w:val="00FF656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Footnote,List Paragraph2,List Paragraph1,Colorful List - Accent 11,Lista vistosa - Énfasis 11"/>
    <w:basedOn w:val="Normal"/>
    <w:link w:val="ListParagraphChar"/>
    <w:uiPriority w:val="99"/>
    <w:qFormat/>
    <w:rsid w:val="00560B81"/>
    <w:pPr>
      <w:ind w:left="720"/>
      <w:contextualSpacing/>
    </w:pPr>
  </w:style>
  <w:style w:type="paragraph" w:customStyle="1" w:styleId="Estilo1">
    <w:name w:val="Estilo1"/>
    <w:basedOn w:val="ListParagraph"/>
    <w:link w:val="Estilo1Car"/>
    <w:qFormat/>
    <w:rsid w:val="00F52C65"/>
    <w:pPr>
      <w:numPr>
        <w:numId w:val="1"/>
      </w:numPr>
      <w:spacing w:after="240" w:line="240" w:lineRule="auto"/>
      <w:ind w:left="0" w:firstLine="0"/>
      <w:contextualSpacing w:val="0"/>
      <w:jc w:val="both"/>
    </w:pPr>
    <w:rPr>
      <w:rFonts w:ascii="Times New Roman" w:hAnsi="Times New Roman" w:cs="Times New Roman"/>
      <w:sz w:val="24"/>
      <w:szCs w:val="24"/>
    </w:rPr>
  </w:style>
  <w:style w:type="paragraph" w:customStyle="1" w:styleId="Estilo2">
    <w:name w:val="Estilo2"/>
    <w:basedOn w:val="Estilo1"/>
    <w:link w:val="Estilo2Car"/>
    <w:qFormat/>
    <w:rsid w:val="00955CFC"/>
    <w:pPr>
      <w:numPr>
        <w:numId w:val="0"/>
      </w:numPr>
      <w:spacing w:after="120"/>
      <w:ind w:left="709"/>
      <w:jc w:val="center"/>
    </w:pPr>
    <w:rPr>
      <w:i/>
    </w:r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link w:val="ListParagraph"/>
    <w:uiPriority w:val="99"/>
    <w:rsid w:val="00080510"/>
  </w:style>
  <w:style w:type="character" w:customStyle="1" w:styleId="Estilo1Car">
    <w:name w:val="Estilo1 Car"/>
    <w:basedOn w:val="ListParagraphChar"/>
    <w:link w:val="Estilo1"/>
    <w:rsid w:val="00F52C65"/>
    <w:rPr>
      <w:rFonts w:ascii="Times New Roman" w:hAnsi="Times New Roman" w:cs="Times New Roman"/>
      <w:sz w:val="24"/>
      <w:szCs w:val="24"/>
    </w:rPr>
  </w:style>
  <w:style w:type="paragraph" w:customStyle="1" w:styleId="Estilo3">
    <w:name w:val="Estilo3"/>
    <w:basedOn w:val="Estilo2"/>
    <w:link w:val="Estilo3Car"/>
    <w:qFormat/>
    <w:rsid w:val="00D66DEE"/>
    <w:pPr>
      <w:jc w:val="both"/>
    </w:pPr>
  </w:style>
  <w:style w:type="character" w:customStyle="1" w:styleId="Estilo2Car">
    <w:name w:val="Estilo2 Car"/>
    <w:basedOn w:val="Estilo1Car"/>
    <w:link w:val="Estilo2"/>
    <w:rsid w:val="00955CFC"/>
    <w:rPr>
      <w:rFonts w:ascii="Times New Roman" w:hAnsi="Times New Roman" w:cs="Times New Roman"/>
      <w:i/>
      <w:sz w:val="24"/>
      <w:szCs w:val="24"/>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uiPriority w:val="99"/>
    <w:unhideWhenUsed/>
    <w:qFormat/>
    <w:rsid w:val="00D66DEE"/>
    <w:pPr>
      <w:spacing w:after="0" w:line="240" w:lineRule="auto"/>
    </w:pPr>
    <w:rPr>
      <w:sz w:val="20"/>
      <w:szCs w:val="20"/>
    </w:rPr>
  </w:style>
  <w:style w:type="character" w:customStyle="1" w:styleId="Estilo3Car">
    <w:name w:val="Estilo3 Car"/>
    <w:basedOn w:val="Estilo2Car"/>
    <w:link w:val="Estilo3"/>
    <w:rsid w:val="00D66DEE"/>
    <w:rPr>
      <w:rFonts w:ascii="Times New Roman" w:hAnsi="Times New Roman" w:cs="Times New Roman"/>
      <w:i/>
      <w:sz w:val="24"/>
      <w:szCs w:val="24"/>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uiPriority w:val="99"/>
    <w:rsid w:val="00D66DEE"/>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nhideWhenUsed/>
    <w:qFormat/>
    <w:rsid w:val="00D66DEE"/>
    <w:rPr>
      <w:vertAlign w:val="superscript"/>
    </w:rPr>
  </w:style>
  <w:style w:type="character" w:customStyle="1" w:styleId="Estilo4Car">
    <w:name w:val="Estilo4 Car"/>
    <w:basedOn w:val="DefaultParagraphFont"/>
    <w:link w:val="Estilo4"/>
    <w:locked/>
    <w:rsid w:val="007624ED"/>
    <w:rPr>
      <w:rFonts w:ascii="Times New Roman" w:hAnsi="Times New Roman" w:cs="Times New Roman"/>
      <w:sz w:val="24"/>
      <w:szCs w:val="24"/>
    </w:rPr>
  </w:style>
  <w:style w:type="paragraph" w:customStyle="1" w:styleId="Estilo4">
    <w:name w:val="Estilo4"/>
    <w:basedOn w:val="Normal"/>
    <w:link w:val="Estilo4Car"/>
    <w:qFormat/>
    <w:rsid w:val="007624ED"/>
    <w:pPr>
      <w:numPr>
        <w:numId w:val="5"/>
      </w:numPr>
      <w:spacing w:line="256" w:lineRule="auto"/>
      <w:ind w:left="0" w:firstLine="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61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31"/>
    <w:rPr>
      <w:rFonts w:ascii="Tahoma" w:hAnsi="Tahoma" w:cs="Tahoma"/>
      <w:sz w:val="16"/>
      <w:szCs w:val="16"/>
    </w:rPr>
  </w:style>
  <w:style w:type="character" w:styleId="Strong">
    <w:name w:val="Strong"/>
    <w:basedOn w:val="DefaultParagraphFont"/>
    <w:uiPriority w:val="22"/>
    <w:qFormat/>
    <w:rsid w:val="003A1EBB"/>
    <w:rPr>
      <w:b/>
      <w:bCs/>
    </w:rPr>
  </w:style>
  <w:style w:type="character" w:styleId="Hyperlink">
    <w:name w:val="Hyperlink"/>
    <w:aliases w:val="Heading 3 caso"/>
    <w:uiPriority w:val="99"/>
    <w:rsid w:val="00F67A1B"/>
    <w:rPr>
      <w:rFonts w:cs="Times New Roman"/>
      <w:color w:val="0000FF"/>
      <w:u w:val="single"/>
    </w:rPr>
  </w:style>
  <w:style w:type="paragraph" w:styleId="TOC3">
    <w:name w:val="toc 3"/>
    <w:basedOn w:val="Normal"/>
    <w:next w:val="Normal"/>
    <w:autoRedefine/>
    <w:uiPriority w:val="39"/>
    <w:unhideWhenUsed/>
    <w:rsid w:val="00F67A1B"/>
    <w:pPr>
      <w:tabs>
        <w:tab w:val="right" w:leader="dot" w:pos="8828"/>
      </w:tabs>
      <w:spacing w:before="60" w:after="60" w:line="240" w:lineRule="auto"/>
      <w:ind w:left="482"/>
      <w:contextualSpacing/>
    </w:pPr>
    <w:rPr>
      <w:rFonts w:ascii="Times New Roman" w:eastAsia="Calibri" w:hAnsi="Times New Roman" w:cs="Times New Roman"/>
      <w:sz w:val="24"/>
      <w:szCs w:val="24"/>
      <w:lang w:val="es-ES_tradnl"/>
    </w:rPr>
  </w:style>
  <w:style w:type="paragraph" w:styleId="Header">
    <w:name w:val="header"/>
    <w:basedOn w:val="Normal"/>
    <w:link w:val="HeaderChar"/>
    <w:uiPriority w:val="99"/>
    <w:unhideWhenUsed/>
    <w:rsid w:val="0007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392"/>
  </w:style>
  <w:style w:type="paragraph" w:styleId="Footer">
    <w:name w:val="footer"/>
    <w:basedOn w:val="Normal"/>
    <w:link w:val="FooterChar"/>
    <w:uiPriority w:val="99"/>
    <w:unhideWhenUsed/>
    <w:rsid w:val="0007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Footnote,List Paragraph2,List Paragraph1,Colorful List - Accent 11,Lista vistosa - Énfasis 11"/>
    <w:basedOn w:val="Normal"/>
    <w:link w:val="ListParagraphChar"/>
    <w:uiPriority w:val="99"/>
    <w:qFormat/>
    <w:rsid w:val="00560B81"/>
    <w:pPr>
      <w:ind w:left="720"/>
      <w:contextualSpacing/>
    </w:pPr>
  </w:style>
  <w:style w:type="paragraph" w:customStyle="1" w:styleId="Estilo1">
    <w:name w:val="Estilo1"/>
    <w:basedOn w:val="ListParagraph"/>
    <w:link w:val="Estilo1Car"/>
    <w:qFormat/>
    <w:rsid w:val="00F52C65"/>
    <w:pPr>
      <w:numPr>
        <w:numId w:val="1"/>
      </w:numPr>
      <w:spacing w:after="240" w:line="240" w:lineRule="auto"/>
      <w:ind w:left="0" w:firstLine="0"/>
      <w:contextualSpacing w:val="0"/>
      <w:jc w:val="both"/>
    </w:pPr>
    <w:rPr>
      <w:rFonts w:ascii="Times New Roman" w:hAnsi="Times New Roman" w:cs="Times New Roman"/>
      <w:sz w:val="24"/>
      <w:szCs w:val="24"/>
    </w:rPr>
  </w:style>
  <w:style w:type="paragraph" w:customStyle="1" w:styleId="Estilo2">
    <w:name w:val="Estilo2"/>
    <w:basedOn w:val="Estilo1"/>
    <w:link w:val="Estilo2Car"/>
    <w:qFormat/>
    <w:rsid w:val="00955CFC"/>
    <w:pPr>
      <w:numPr>
        <w:numId w:val="0"/>
      </w:numPr>
      <w:spacing w:after="120"/>
      <w:ind w:left="709"/>
      <w:jc w:val="center"/>
    </w:pPr>
    <w:rPr>
      <w:i/>
    </w:r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link w:val="ListParagraph"/>
    <w:uiPriority w:val="99"/>
    <w:rsid w:val="00080510"/>
  </w:style>
  <w:style w:type="character" w:customStyle="1" w:styleId="Estilo1Car">
    <w:name w:val="Estilo1 Car"/>
    <w:basedOn w:val="ListParagraphChar"/>
    <w:link w:val="Estilo1"/>
    <w:rsid w:val="00F52C65"/>
    <w:rPr>
      <w:rFonts w:ascii="Times New Roman" w:hAnsi="Times New Roman" w:cs="Times New Roman"/>
      <w:sz w:val="24"/>
      <w:szCs w:val="24"/>
    </w:rPr>
  </w:style>
  <w:style w:type="paragraph" w:customStyle="1" w:styleId="Estilo3">
    <w:name w:val="Estilo3"/>
    <w:basedOn w:val="Estilo2"/>
    <w:link w:val="Estilo3Car"/>
    <w:qFormat/>
    <w:rsid w:val="00D66DEE"/>
    <w:pPr>
      <w:jc w:val="both"/>
    </w:pPr>
  </w:style>
  <w:style w:type="character" w:customStyle="1" w:styleId="Estilo2Car">
    <w:name w:val="Estilo2 Car"/>
    <w:basedOn w:val="Estilo1Car"/>
    <w:link w:val="Estilo2"/>
    <w:rsid w:val="00955CFC"/>
    <w:rPr>
      <w:rFonts w:ascii="Times New Roman" w:hAnsi="Times New Roman" w:cs="Times New Roman"/>
      <w:i/>
      <w:sz w:val="24"/>
      <w:szCs w:val="24"/>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uiPriority w:val="99"/>
    <w:unhideWhenUsed/>
    <w:qFormat/>
    <w:rsid w:val="00D66DEE"/>
    <w:pPr>
      <w:spacing w:after="0" w:line="240" w:lineRule="auto"/>
    </w:pPr>
    <w:rPr>
      <w:sz w:val="20"/>
      <w:szCs w:val="20"/>
    </w:rPr>
  </w:style>
  <w:style w:type="character" w:customStyle="1" w:styleId="Estilo3Car">
    <w:name w:val="Estilo3 Car"/>
    <w:basedOn w:val="Estilo2Car"/>
    <w:link w:val="Estilo3"/>
    <w:rsid w:val="00D66DEE"/>
    <w:rPr>
      <w:rFonts w:ascii="Times New Roman" w:hAnsi="Times New Roman" w:cs="Times New Roman"/>
      <w:i/>
      <w:sz w:val="24"/>
      <w:szCs w:val="24"/>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uiPriority w:val="99"/>
    <w:rsid w:val="00D66DEE"/>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nhideWhenUsed/>
    <w:qFormat/>
    <w:rsid w:val="00D66DEE"/>
    <w:rPr>
      <w:vertAlign w:val="superscript"/>
    </w:rPr>
  </w:style>
  <w:style w:type="character" w:customStyle="1" w:styleId="Estilo4Car">
    <w:name w:val="Estilo4 Car"/>
    <w:basedOn w:val="DefaultParagraphFont"/>
    <w:link w:val="Estilo4"/>
    <w:locked/>
    <w:rsid w:val="007624ED"/>
    <w:rPr>
      <w:rFonts w:ascii="Times New Roman" w:hAnsi="Times New Roman" w:cs="Times New Roman"/>
      <w:sz w:val="24"/>
      <w:szCs w:val="24"/>
    </w:rPr>
  </w:style>
  <w:style w:type="paragraph" w:customStyle="1" w:styleId="Estilo4">
    <w:name w:val="Estilo4"/>
    <w:basedOn w:val="Normal"/>
    <w:link w:val="Estilo4Car"/>
    <w:qFormat/>
    <w:rsid w:val="007624ED"/>
    <w:pPr>
      <w:numPr>
        <w:numId w:val="5"/>
      </w:numPr>
      <w:spacing w:line="256" w:lineRule="auto"/>
      <w:ind w:left="0" w:firstLine="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61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31"/>
    <w:rPr>
      <w:rFonts w:ascii="Tahoma" w:hAnsi="Tahoma" w:cs="Tahoma"/>
      <w:sz w:val="16"/>
      <w:szCs w:val="16"/>
    </w:rPr>
  </w:style>
  <w:style w:type="character" w:styleId="Strong">
    <w:name w:val="Strong"/>
    <w:basedOn w:val="DefaultParagraphFont"/>
    <w:uiPriority w:val="22"/>
    <w:qFormat/>
    <w:rsid w:val="003A1EBB"/>
    <w:rPr>
      <w:b/>
      <w:bCs/>
    </w:rPr>
  </w:style>
  <w:style w:type="character" w:styleId="Hyperlink">
    <w:name w:val="Hyperlink"/>
    <w:aliases w:val="Heading 3 caso"/>
    <w:uiPriority w:val="99"/>
    <w:rsid w:val="00F67A1B"/>
    <w:rPr>
      <w:rFonts w:cs="Times New Roman"/>
      <w:color w:val="0000FF"/>
      <w:u w:val="single"/>
    </w:rPr>
  </w:style>
  <w:style w:type="paragraph" w:styleId="TOC3">
    <w:name w:val="toc 3"/>
    <w:basedOn w:val="Normal"/>
    <w:next w:val="Normal"/>
    <w:autoRedefine/>
    <w:uiPriority w:val="39"/>
    <w:unhideWhenUsed/>
    <w:rsid w:val="00F67A1B"/>
    <w:pPr>
      <w:tabs>
        <w:tab w:val="right" w:leader="dot" w:pos="8828"/>
      </w:tabs>
      <w:spacing w:before="60" w:after="60" w:line="240" w:lineRule="auto"/>
      <w:ind w:left="482"/>
      <w:contextualSpacing/>
    </w:pPr>
    <w:rPr>
      <w:rFonts w:ascii="Times New Roman" w:eastAsia="Calibri" w:hAnsi="Times New Roman" w:cs="Times New Roman"/>
      <w:sz w:val="24"/>
      <w:szCs w:val="24"/>
      <w:lang w:val="es-ES_tradnl"/>
    </w:rPr>
  </w:style>
  <w:style w:type="paragraph" w:styleId="Header">
    <w:name w:val="header"/>
    <w:basedOn w:val="Normal"/>
    <w:link w:val="HeaderChar"/>
    <w:uiPriority w:val="99"/>
    <w:unhideWhenUsed/>
    <w:rsid w:val="0007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392"/>
  </w:style>
  <w:style w:type="paragraph" w:styleId="Footer">
    <w:name w:val="footer"/>
    <w:basedOn w:val="Normal"/>
    <w:link w:val="FooterChar"/>
    <w:uiPriority w:val="99"/>
    <w:unhideWhenUsed/>
    <w:rsid w:val="0007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8704">
      <w:bodyDiv w:val="1"/>
      <w:marLeft w:val="0"/>
      <w:marRight w:val="0"/>
      <w:marTop w:val="0"/>
      <w:marBottom w:val="0"/>
      <w:divBdr>
        <w:top w:val="none" w:sz="0" w:space="0" w:color="auto"/>
        <w:left w:val="none" w:sz="0" w:space="0" w:color="auto"/>
        <w:bottom w:val="none" w:sz="0" w:space="0" w:color="auto"/>
        <w:right w:val="none" w:sz="0" w:space="0" w:color="auto"/>
      </w:divBdr>
    </w:div>
    <w:div w:id="10237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22D46-A179-4728-A82D-15CBC240960E}">
  <ds:schemaRefs>
    <ds:schemaRef ds:uri="http://schemas.microsoft.com/office/2006/metadata/properties"/>
  </ds:schemaRefs>
</ds:datastoreItem>
</file>

<file path=customXml/itemProps2.xml><?xml version="1.0" encoding="utf-8"?>
<ds:datastoreItem xmlns:ds="http://schemas.openxmlformats.org/officeDocument/2006/customXml" ds:itemID="{6EFE08E0-9E74-4163-A6BD-06025A6AB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6E4EE3-CB39-4C02-9088-6631D8B2137E}">
  <ds:schemaRefs>
    <ds:schemaRef ds:uri="http://schemas.microsoft.com/sharepoint/v3/contenttype/forms"/>
  </ds:schemaRefs>
</ds:datastoreItem>
</file>

<file path=customXml/itemProps4.xml><?xml version="1.0" encoding="utf-8"?>
<ds:datastoreItem xmlns:ds="http://schemas.openxmlformats.org/officeDocument/2006/customXml" ds:itemID="{07AB4E77-8AA6-4CAA-AFCC-5610B937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3924</Words>
  <Characters>21582</Characters>
  <Application>Microsoft Office Word</Application>
  <DocSecurity>0</DocSecurity>
  <Lines>179</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2016-01-28T16:33:00Z</cp:lastPrinted>
  <dcterms:created xsi:type="dcterms:W3CDTF">2016-01-28T19:50:00Z</dcterms:created>
  <dcterms:modified xsi:type="dcterms:W3CDTF">2016-01-28T19:50:00Z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