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7D45" w14:textId="77777777" w:rsidR="00A80BD3" w:rsidRDefault="00A80BD3" w:rsidP="00A80BD3">
      <w:pPr>
        <w:tabs>
          <w:tab w:val="left" w:pos="709"/>
        </w:tabs>
        <w:spacing w:after="0" w:line="240" w:lineRule="auto"/>
        <w:jc w:val="center"/>
        <w:rPr>
          <w:rFonts w:ascii="Verdana" w:hAnsi="Verdana"/>
          <w:b/>
          <w:sz w:val="20"/>
          <w:szCs w:val="20"/>
          <w:lang w:val="es-CR"/>
        </w:rPr>
      </w:pPr>
    </w:p>
    <w:p w14:paraId="691DC1EA" w14:textId="77777777" w:rsidR="00B15EF8" w:rsidRDefault="00B15EF8" w:rsidP="00A80BD3">
      <w:pPr>
        <w:tabs>
          <w:tab w:val="left" w:pos="709"/>
        </w:tabs>
        <w:spacing w:after="0" w:line="240" w:lineRule="auto"/>
        <w:jc w:val="center"/>
        <w:rPr>
          <w:rFonts w:ascii="Verdana" w:hAnsi="Verdana"/>
          <w:b/>
          <w:sz w:val="20"/>
          <w:szCs w:val="20"/>
          <w:lang w:val="es-CR"/>
        </w:rPr>
      </w:pPr>
    </w:p>
    <w:p w14:paraId="35A525F8" w14:textId="77777777" w:rsidR="00B15EF8" w:rsidRDefault="00B15EF8" w:rsidP="00A80BD3">
      <w:pPr>
        <w:tabs>
          <w:tab w:val="left" w:pos="709"/>
        </w:tabs>
        <w:spacing w:after="0" w:line="240" w:lineRule="auto"/>
        <w:jc w:val="center"/>
        <w:rPr>
          <w:rFonts w:ascii="Verdana" w:hAnsi="Verdana"/>
          <w:b/>
          <w:sz w:val="20"/>
          <w:szCs w:val="20"/>
          <w:lang w:val="es-CR"/>
        </w:rPr>
      </w:pPr>
    </w:p>
    <w:p w14:paraId="1BAE6D84" w14:textId="77777777" w:rsidR="00B15EF8" w:rsidRDefault="00B15EF8" w:rsidP="00A80BD3">
      <w:pPr>
        <w:tabs>
          <w:tab w:val="left" w:pos="709"/>
        </w:tabs>
        <w:spacing w:after="0" w:line="240" w:lineRule="auto"/>
        <w:jc w:val="center"/>
        <w:rPr>
          <w:rFonts w:ascii="Verdana" w:hAnsi="Verdana"/>
          <w:b/>
          <w:sz w:val="20"/>
          <w:szCs w:val="20"/>
          <w:lang w:val="es-CR"/>
        </w:rPr>
      </w:pPr>
    </w:p>
    <w:p w14:paraId="0DAC334D" w14:textId="77777777" w:rsidR="00B15EF8" w:rsidRDefault="00B15EF8" w:rsidP="00A80BD3">
      <w:pPr>
        <w:tabs>
          <w:tab w:val="left" w:pos="709"/>
        </w:tabs>
        <w:spacing w:after="0" w:line="240" w:lineRule="auto"/>
        <w:jc w:val="center"/>
        <w:rPr>
          <w:rFonts w:ascii="Verdana" w:hAnsi="Verdana"/>
          <w:b/>
          <w:sz w:val="20"/>
          <w:szCs w:val="20"/>
          <w:lang w:val="es-CR"/>
        </w:rPr>
      </w:pPr>
    </w:p>
    <w:p w14:paraId="2238DC5A" w14:textId="77777777" w:rsidR="00B24072" w:rsidRDefault="00B24072" w:rsidP="00A80BD3">
      <w:pPr>
        <w:tabs>
          <w:tab w:val="left" w:pos="709"/>
        </w:tabs>
        <w:spacing w:after="0" w:line="240" w:lineRule="auto"/>
        <w:jc w:val="center"/>
        <w:rPr>
          <w:rFonts w:ascii="Verdana" w:hAnsi="Verdana"/>
          <w:b/>
          <w:sz w:val="20"/>
          <w:szCs w:val="20"/>
          <w:lang w:val="es-CR"/>
        </w:rPr>
      </w:pPr>
    </w:p>
    <w:p w14:paraId="7A6A3831" w14:textId="77777777" w:rsidR="00B15EF8" w:rsidRPr="00794B5E" w:rsidRDefault="00B15EF8" w:rsidP="00A80BD3">
      <w:pPr>
        <w:tabs>
          <w:tab w:val="left" w:pos="709"/>
        </w:tabs>
        <w:spacing w:after="0" w:line="240" w:lineRule="auto"/>
        <w:jc w:val="center"/>
        <w:rPr>
          <w:rFonts w:ascii="Verdana" w:hAnsi="Verdana"/>
          <w:b/>
          <w:sz w:val="20"/>
          <w:szCs w:val="20"/>
          <w:lang w:val="es-CR"/>
        </w:rPr>
      </w:pPr>
    </w:p>
    <w:p w14:paraId="57FAA54A" w14:textId="77777777" w:rsidR="00A80BD3" w:rsidRPr="00794B5E" w:rsidRDefault="00A80BD3"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VOTO CONCURRENTE DEL JUEZ HUMBERTO ANTONIO SIERRA PORTO</w:t>
      </w:r>
    </w:p>
    <w:p w14:paraId="45A3DA87" w14:textId="77777777" w:rsidR="00A80BD3" w:rsidRPr="00794B5E" w:rsidRDefault="00A80BD3" w:rsidP="00A80BD3">
      <w:pPr>
        <w:tabs>
          <w:tab w:val="left" w:pos="709"/>
        </w:tabs>
        <w:spacing w:after="0" w:line="240" w:lineRule="auto"/>
        <w:jc w:val="center"/>
        <w:rPr>
          <w:rFonts w:ascii="Verdana" w:hAnsi="Verdana"/>
          <w:b/>
          <w:sz w:val="20"/>
          <w:szCs w:val="20"/>
          <w:lang w:val="es-CR"/>
        </w:rPr>
      </w:pPr>
    </w:p>
    <w:p w14:paraId="3A03544B" w14:textId="2F7742B7" w:rsidR="00637749" w:rsidRPr="00794B5E" w:rsidRDefault="00637749"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 xml:space="preserve">A LA </w:t>
      </w:r>
      <w:r w:rsidR="00A80BD3" w:rsidRPr="00794B5E">
        <w:rPr>
          <w:rFonts w:ascii="Verdana" w:hAnsi="Verdana"/>
          <w:b/>
          <w:sz w:val="20"/>
          <w:szCs w:val="20"/>
          <w:lang w:val="es-CR"/>
        </w:rPr>
        <w:t xml:space="preserve">SENTENCIA </w:t>
      </w:r>
      <w:r w:rsidR="0047311C">
        <w:rPr>
          <w:rFonts w:ascii="Verdana" w:hAnsi="Verdana"/>
          <w:b/>
          <w:sz w:val="20"/>
          <w:szCs w:val="20"/>
          <w:lang w:val="es-CR"/>
        </w:rPr>
        <w:t xml:space="preserve">DE </w:t>
      </w:r>
      <w:r w:rsidR="00E45EFB">
        <w:rPr>
          <w:rFonts w:ascii="Verdana" w:hAnsi="Verdana"/>
          <w:b/>
          <w:sz w:val="20"/>
          <w:szCs w:val="20"/>
          <w:lang w:val="es-CR"/>
        </w:rPr>
        <w:t>1</w:t>
      </w:r>
      <w:r w:rsidRPr="00794B5E">
        <w:rPr>
          <w:rFonts w:ascii="Verdana" w:hAnsi="Verdana"/>
          <w:b/>
          <w:sz w:val="20"/>
          <w:szCs w:val="20"/>
          <w:lang w:val="es-CR"/>
        </w:rPr>
        <w:t xml:space="preserve"> DE </w:t>
      </w:r>
      <w:r w:rsidR="0047311C">
        <w:rPr>
          <w:rFonts w:ascii="Verdana" w:hAnsi="Verdana"/>
          <w:b/>
          <w:sz w:val="20"/>
          <w:szCs w:val="20"/>
          <w:lang w:val="es-CR"/>
        </w:rPr>
        <w:t>DICIEMBRE DE 2016</w:t>
      </w:r>
    </w:p>
    <w:p w14:paraId="2CC5A6A0" w14:textId="77777777" w:rsidR="00A80BD3" w:rsidRPr="00794B5E" w:rsidRDefault="00A80BD3"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DE LA CORTE INTERAMERICANA DE DERECHOS HUMANOS</w:t>
      </w:r>
    </w:p>
    <w:p w14:paraId="359618C0" w14:textId="77777777" w:rsidR="00A80BD3" w:rsidRPr="00794B5E" w:rsidRDefault="00A80BD3" w:rsidP="00A80BD3">
      <w:pPr>
        <w:tabs>
          <w:tab w:val="left" w:pos="709"/>
        </w:tabs>
        <w:spacing w:after="0" w:line="240" w:lineRule="auto"/>
        <w:jc w:val="center"/>
        <w:rPr>
          <w:rFonts w:ascii="Verdana" w:hAnsi="Verdana"/>
          <w:b/>
          <w:sz w:val="20"/>
          <w:szCs w:val="20"/>
          <w:lang w:val="es-CR"/>
        </w:rPr>
      </w:pPr>
    </w:p>
    <w:p w14:paraId="5A40424F" w14:textId="77777777" w:rsidR="00637749" w:rsidRPr="00794B5E" w:rsidRDefault="00637749" w:rsidP="00637749">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 xml:space="preserve">EN EL CASO </w:t>
      </w:r>
      <w:r w:rsidR="0047311C">
        <w:rPr>
          <w:rFonts w:ascii="Verdana" w:hAnsi="Verdana"/>
          <w:b/>
          <w:sz w:val="20"/>
          <w:szCs w:val="20"/>
          <w:lang w:val="es-CR"/>
        </w:rPr>
        <w:t>ANDRADE SALMÓN</w:t>
      </w:r>
      <w:r w:rsidRPr="00794B5E">
        <w:rPr>
          <w:rFonts w:ascii="Verdana" w:hAnsi="Verdana"/>
          <w:b/>
          <w:sz w:val="20"/>
          <w:szCs w:val="20"/>
          <w:lang w:val="es-CR"/>
        </w:rPr>
        <w:t xml:space="preserve"> </w:t>
      </w:r>
      <w:r w:rsidRPr="00794B5E">
        <w:rPr>
          <w:rFonts w:ascii="Verdana" w:hAnsi="Verdana"/>
          <w:b/>
          <w:i/>
          <w:sz w:val="20"/>
          <w:szCs w:val="20"/>
          <w:lang w:val="es-CR"/>
        </w:rPr>
        <w:t>VS.</w:t>
      </w:r>
      <w:r w:rsidRPr="00794B5E">
        <w:rPr>
          <w:rFonts w:ascii="Verdana" w:hAnsi="Verdana"/>
          <w:b/>
          <w:sz w:val="20"/>
          <w:szCs w:val="20"/>
          <w:lang w:val="es-CR"/>
        </w:rPr>
        <w:t xml:space="preserve"> </w:t>
      </w:r>
      <w:r w:rsidR="0047311C">
        <w:rPr>
          <w:rFonts w:ascii="Verdana" w:hAnsi="Verdana"/>
          <w:b/>
          <w:sz w:val="20"/>
          <w:szCs w:val="20"/>
          <w:lang w:val="es-CR"/>
        </w:rPr>
        <w:t>BOLIVIA</w:t>
      </w:r>
    </w:p>
    <w:p w14:paraId="6E3CB241" w14:textId="77777777" w:rsidR="00637749" w:rsidRPr="00794B5E" w:rsidRDefault="00637749" w:rsidP="00637749">
      <w:pPr>
        <w:tabs>
          <w:tab w:val="left" w:pos="709"/>
        </w:tabs>
        <w:spacing w:after="0" w:line="240" w:lineRule="auto"/>
        <w:jc w:val="center"/>
        <w:rPr>
          <w:rFonts w:ascii="Verdana" w:hAnsi="Verdana"/>
          <w:b/>
          <w:sz w:val="20"/>
          <w:szCs w:val="20"/>
          <w:lang w:val="es-CR"/>
        </w:rPr>
      </w:pPr>
    </w:p>
    <w:p w14:paraId="298F547C" w14:textId="77777777" w:rsidR="00240089" w:rsidRPr="00240089" w:rsidRDefault="00240089" w:rsidP="00240089">
      <w:pPr>
        <w:pStyle w:val="ListParagraph"/>
        <w:numPr>
          <w:ilvl w:val="0"/>
          <w:numId w:val="7"/>
        </w:numPr>
        <w:tabs>
          <w:tab w:val="left" w:pos="567"/>
          <w:tab w:val="left" w:pos="709"/>
        </w:tabs>
        <w:spacing w:after="0" w:line="240" w:lineRule="auto"/>
        <w:jc w:val="both"/>
        <w:rPr>
          <w:rFonts w:ascii="Verdana" w:hAnsi="Verdana"/>
          <w:b/>
          <w:i/>
          <w:sz w:val="20"/>
          <w:szCs w:val="20"/>
          <w:lang w:val="es-CR"/>
        </w:rPr>
      </w:pPr>
      <w:r>
        <w:rPr>
          <w:rFonts w:ascii="Verdana" w:hAnsi="Verdana"/>
          <w:b/>
          <w:i/>
          <w:sz w:val="20"/>
          <w:szCs w:val="20"/>
          <w:lang w:val="es-CR"/>
        </w:rPr>
        <w:t>Objeto</w:t>
      </w:r>
      <w:r w:rsidR="00253657">
        <w:rPr>
          <w:rFonts w:ascii="Verdana" w:hAnsi="Verdana"/>
          <w:b/>
          <w:i/>
          <w:sz w:val="20"/>
          <w:szCs w:val="20"/>
          <w:lang w:val="es-CR"/>
        </w:rPr>
        <w:t xml:space="preserve"> del presente voto</w:t>
      </w:r>
      <w:r>
        <w:rPr>
          <w:rFonts w:ascii="Verdana" w:hAnsi="Verdana"/>
          <w:b/>
          <w:i/>
          <w:sz w:val="20"/>
          <w:szCs w:val="20"/>
          <w:lang w:val="es-CR"/>
        </w:rPr>
        <w:t xml:space="preserve"> </w:t>
      </w:r>
    </w:p>
    <w:p w14:paraId="7AA8F009" w14:textId="77777777" w:rsidR="00240089" w:rsidRPr="00794B5E" w:rsidRDefault="00240089" w:rsidP="00A80BD3">
      <w:pPr>
        <w:pStyle w:val="ListParagraph"/>
        <w:tabs>
          <w:tab w:val="left" w:pos="709"/>
        </w:tabs>
        <w:spacing w:after="0" w:line="240" w:lineRule="auto"/>
        <w:rPr>
          <w:rFonts w:ascii="Verdana" w:hAnsi="Verdana"/>
          <w:b/>
          <w:sz w:val="20"/>
          <w:szCs w:val="20"/>
          <w:lang w:val="es-CR"/>
        </w:rPr>
      </w:pPr>
    </w:p>
    <w:p w14:paraId="3E0D850D" w14:textId="0AB7F91C" w:rsidR="007B5976" w:rsidRDefault="00F07E48" w:rsidP="007B5976">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Concurro con </w:t>
      </w:r>
      <w:r w:rsidR="006439EC">
        <w:rPr>
          <w:rFonts w:ascii="Verdana" w:hAnsi="Verdana"/>
          <w:sz w:val="20"/>
          <w:szCs w:val="20"/>
          <w:lang w:val="es-CR"/>
        </w:rPr>
        <w:t xml:space="preserve">la totalidad de </w:t>
      </w:r>
      <w:r>
        <w:rPr>
          <w:rFonts w:ascii="Verdana" w:hAnsi="Verdana"/>
          <w:sz w:val="20"/>
          <w:szCs w:val="20"/>
          <w:lang w:val="es-CR"/>
        </w:rPr>
        <w:t>los argumentos y</w:t>
      </w:r>
      <w:r w:rsidR="003E0BBC">
        <w:rPr>
          <w:rFonts w:ascii="Verdana" w:hAnsi="Verdana"/>
          <w:sz w:val="20"/>
          <w:szCs w:val="20"/>
          <w:lang w:val="es-CR"/>
        </w:rPr>
        <w:t xml:space="preserve"> de</w:t>
      </w:r>
      <w:r>
        <w:rPr>
          <w:rFonts w:ascii="Verdana" w:hAnsi="Verdana"/>
          <w:sz w:val="20"/>
          <w:szCs w:val="20"/>
          <w:lang w:val="es-CR"/>
        </w:rPr>
        <w:t xml:space="preserve"> las conclusiones de la Corte Interamericana de Derechos Humanos (en adelante también “la Corte”) en la </w:t>
      </w:r>
      <w:r w:rsidR="006439EC">
        <w:rPr>
          <w:rFonts w:ascii="Verdana" w:hAnsi="Verdana"/>
          <w:sz w:val="20"/>
          <w:szCs w:val="20"/>
          <w:lang w:val="es-CR"/>
        </w:rPr>
        <w:t>presente sentencia</w:t>
      </w:r>
      <w:r>
        <w:rPr>
          <w:rFonts w:ascii="Verdana" w:hAnsi="Verdana"/>
          <w:sz w:val="20"/>
          <w:szCs w:val="20"/>
          <w:lang w:val="es-CR"/>
        </w:rPr>
        <w:t xml:space="preserve">. Sin embargo, considero </w:t>
      </w:r>
      <w:r w:rsidR="00D026DD">
        <w:rPr>
          <w:rFonts w:ascii="Verdana" w:hAnsi="Verdana"/>
          <w:sz w:val="20"/>
          <w:szCs w:val="20"/>
          <w:lang w:val="es-CR"/>
        </w:rPr>
        <w:t>relevante</w:t>
      </w:r>
      <w:r>
        <w:rPr>
          <w:rFonts w:ascii="Verdana" w:hAnsi="Verdana"/>
          <w:sz w:val="20"/>
          <w:szCs w:val="20"/>
          <w:lang w:val="es-CR"/>
        </w:rPr>
        <w:t xml:space="preserve"> </w:t>
      </w:r>
      <w:r w:rsidR="006439EC">
        <w:rPr>
          <w:rFonts w:ascii="Verdana" w:hAnsi="Verdana"/>
          <w:sz w:val="20"/>
          <w:szCs w:val="20"/>
          <w:lang w:val="es-CR"/>
        </w:rPr>
        <w:t>realizar algunas reflexiones</w:t>
      </w:r>
      <w:r w:rsidR="00D026DD">
        <w:rPr>
          <w:rFonts w:ascii="Verdana" w:hAnsi="Verdana"/>
          <w:sz w:val="20"/>
          <w:szCs w:val="20"/>
          <w:lang w:val="es-CR"/>
        </w:rPr>
        <w:t xml:space="preserve"> adicionales</w:t>
      </w:r>
      <w:r w:rsidR="006439EC">
        <w:rPr>
          <w:rFonts w:ascii="Verdana" w:hAnsi="Verdana"/>
          <w:sz w:val="20"/>
          <w:szCs w:val="20"/>
          <w:lang w:val="es-CR"/>
        </w:rPr>
        <w:t xml:space="preserve"> sobre dos</w:t>
      </w:r>
      <w:r w:rsidR="00A47590">
        <w:rPr>
          <w:rFonts w:ascii="Verdana" w:hAnsi="Verdana"/>
          <w:sz w:val="20"/>
          <w:szCs w:val="20"/>
          <w:lang w:val="es-CR"/>
        </w:rPr>
        <w:t xml:space="preserve"> </w:t>
      </w:r>
      <w:r w:rsidR="003E0BBC">
        <w:rPr>
          <w:rFonts w:ascii="Verdana" w:hAnsi="Verdana"/>
          <w:sz w:val="20"/>
          <w:szCs w:val="20"/>
          <w:lang w:val="es-CR"/>
        </w:rPr>
        <w:t>cuestiones en particular</w:t>
      </w:r>
      <w:r w:rsidR="00893404">
        <w:rPr>
          <w:rFonts w:ascii="Verdana" w:hAnsi="Verdana"/>
          <w:sz w:val="20"/>
          <w:szCs w:val="20"/>
          <w:lang w:val="es-CR"/>
        </w:rPr>
        <w:t xml:space="preserve">. </w:t>
      </w:r>
      <w:r w:rsidR="00D026DD">
        <w:rPr>
          <w:rFonts w:ascii="Verdana" w:hAnsi="Verdana"/>
          <w:sz w:val="20"/>
          <w:szCs w:val="20"/>
          <w:lang w:val="es-CR"/>
        </w:rPr>
        <w:t xml:space="preserve">Primero, </w:t>
      </w:r>
      <w:r w:rsidR="00893404">
        <w:rPr>
          <w:rFonts w:ascii="Verdana" w:hAnsi="Verdana"/>
          <w:sz w:val="20"/>
          <w:szCs w:val="20"/>
          <w:lang w:val="es-CR"/>
        </w:rPr>
        <w:t xml:space="preserve">sobre </w:t>
      </w:r>
      <w:r w:rsidR="002D2ED4">
        <w:rPr>
          <w:rFonts w:ascii="Verdana" w:hAnsi="Verdana"/>
          <w:sz w:val="20"/>
          <w:szCs w:val="20"/>
          <w:lang w:val="es-CR"/>
        </w:rPr>
        <w:t>cómo</w:t>
      </w:r>
      <w:r w:rsidR="00893404">
        <w:rPr>
          <w:rFonts w:ascii="Verdana" w:hAnsi="Verdana"/>
          <w:sz w:val="20"/>
          <w:szCs w:val="20"/>
          <w:lang w:val="es-CR"/>
        </w:rPr>
        <w:t xml:space="preserve"> </w:t>
      </w:r>
      <w:r w:rsidR="00B43006">
        <w:rPr>
          <w:rFonts w:ascii="Verdana" w:hAnsi="Verdana"/>
          <w:sz w:val="20"/>
          <w:szCs w:val="20"/>
          <w:lang w:val="es-CR"/>
        </w:rPr>
        <w:t>la Corte debe</w:t>
      </w:r>
      <w:r w:rsidR="00E300BF">
        <w:rPr>
          <w:rFonts w:ascii="Verdana" w:hAnsi="Verdana"/>
          <w:sz w:val="20"/>
          <w:szCs w:val="20"/>
          <w:lang w:val="es-CR"/>
        </w:rPr>
        <w:t xml:space="preserve"> </w:t>
      </w:r>
      <w:r w:rsidR="00240089">
        <w:rPr>
          <w:rFonts w:ascii="Verdana" w:hAnsi="Verdana"/>
          <w:sz w:val="20"/>
          <w:szCs w:val="20"/>
          <w:lang w:val="es-CR"/>
        </w:rPr>
        <w:t>analizar</w:t>
      </w:r>
      <w:r w:rsidR="003E0BBC">
        <w:rPr>
          <w:rFonts w:ascii="Verdana" w:hAnsi="Verdana"/>
          <w:sz w:val="20"/>
          <w:szCs w:val="20"/>
          <w:lang w:val="es-CR"/>
        </w:rPr>
        <w:t>,</w:t>
      </w:r>
      <w:r w:rsidR="00D026DD">
        <w:rPr>
          <w:rFonts w:ascii="Verdana" w:hAnsi="Verdana"/>
          <w:sz w:val="20"/>
          <w:szCs w:val="20"/>
          <w:lang w:val="es-CR"/>
        </w:rPr>
        <w:t xml:space="preserve"> en </w:t>
      </w:r>
      <w:r w:rsidR="003E0BBC">
        <w:rPr>
          <w:rFonts w:ascii="Verdana" w:hAnsi="Verdana"/>
          <w:sz w:val="20"/>
          <w:szCs w:val="20"/>
          <w:lang w:val="es-CR"/>
        </w:rPr>
        <w:t>futuros casos,</w:t>
      </w:r>
      <w:r w:rsidR="00893404">
        <w:rPr>
          <w:rFonts w:ascii="Verdana" w:hAnsi="Verdana"/>
          <w:sz w:val="20"/>
          <w:szCs w:val="20"/>
          <w:lang w:val="es-CR"/>
        </w:rPr>
        <w:t xml:space="preserve"> los alegatos sobre</w:t>
      </w:r>
      <w:r w:rsidR="00E300BF">
        <w:rPr>
          <w:rFonts w:ascii="Verdana" w:hAnsi="Verdana"/>
          <w:sz w:val="20"/>
          <w:szCs w:val="20"/>
          <w:lang w:val="es-CR"/>
        </w:rPr>
        <w:t xml:space="preserve"> </w:t>
      </w:r>
      <w:r w:rsidR="002D2ED4">
        <w:rPr>
          <w:rFonts w:ascii="Verdana" w:hAnsi="Verdana"/>
          <w:sz w:val="20"/>
          <w:szCs w:val="20"/>
          <w:lang w:val="es-CR"/>
        </w:rPr>
        <w:t>violaciones al derecho a la protección de la honra</w:t>
      </w:r>
      <w:r w:rsidR="002D2ED4">
        <w:rPr>
          <w:rStyle w:val="FootnoteReference"/>
          <w:rFonts w:ascii="Verdana" w:hAnsi="Verdana"/>
          <w:sz w:val="20"/>
          <w:szCs w:val="20"/>
          <w:lang w:val="es-CR"/>
        </w:rPr>
        <w:footnoteReference w:id="1"/>
      </w:r>
      <w:r w:rsidR="00E300BF">
        <w:rPr>
          <w:rFonts w:ascii="Verdana" w:hAnsi="Verdana"/>
          <w:sz w:val="20"/>
          <w:szCs w:val="20"/>
          <w:lang w:val="es-CR"/>
        </w:rPr>
        <w:t>,</w:t>
      </w:r>
      <w:r w:rsidR="002D2ED4">
        <w:rPr>
          <w:rFonts w:ascii="Verdana" w:hAnsi="Verdana"/>
          <w:sz w:val="20"/>
          <w:szCs w:val="20"/>
          <w:lang w:val="es-CR"/>
        </w:rPr>
        <w:t xml:space="preserve"> </w:t>
      </w:r>
      <w:r w:rsidR="00E300BF">
        <w:rPr>
          <w:rFonts w:ascii="Verdana" w:hAnsi="Verdana"/>
          <w:sz w:val="20"/>
          <w:szCs w:val="20"/>
          <w:lang w:val="es-CR"/>
        </w:rPr>
        <w:t>específicamente cuando un funcionario público es acusado penalmente</w:t>
      </w:r>
      <w:r w:rsidR="00240089">
        <w:rPr>
          <w:rFonts w:ascii="Verdana" w:hAnsi="Verdana"/>
          <w:sz w:val="20"/>
          <w:szCs w:val="20"/>
          <w:lang w:val="es-CR"/>
        </w:rPr>
        <w:t>, en uno o más procesos,</w:t>
      </w:r>
      <w:r w:rsidR="00E300BF">
        <w:rPr>
          <w:rFonts w:ascii="Verdana" w:hAnsi="Verdana"/>
          <w:sz w:val="20"/>
          <w:szCs w:val="20"/>
          <w:lang w:val="es-CR"/>
        </w:rPr>
        <w:t xml:space="preserve"> de haber realizado malos manejos de recursos económicos públicos</w:t>
      </w:r>
      <w:r w:rsidR="00D026DD">
        <w:rPr>
          <w:rFonts w:ascii="Verdana" w:hAnsi="Verdana"/>
          <w:sz w:val="20"/>
          <w:szCs w:val="20"/>
          <w:lang w:val="es-CR"/>
        </w:rPr>
        <w:t xml:space="preserve"> cuando se encontraba ejerciendo sus funciones</w:t>
      </w:r>
      <w:r w:rsidR="00E300BF">
        <w:rPr>
          <w:rFonts w:ascii="Verdana" w:hAnsi="Verdana"/>
          <w:sz w:val="20"/>
          <w:szCs w:val="20"/>
          <w:lang w:val="es-CR"/>
        </w:rPr>
        <w:t>. Segundo, precisar la relación existente entre el derecho</w:t>
      </w:r>
      <w:r w:rsidR="0051282C">
        <w:rPr>
          <w:rFonts w:ascii="Verdana" w:hAnsi="Verdana"/>
          <w:sz w:val="20"/>
          <w:szCs w:val="20"/>
          <w:lang w:val="es-CR"/>
        </w:rPr>
        <w:t xml:space="preserve"> de los funcionarios públicos</w:t>
      </w:r>
      <w:r w:rsidR="00E300BF">
        <w:rPr>
          <w:rFonts w:ascii="Verdana" w:hAnsi="Verdana"/>
          <w:sz w:val="20"/>
          <w:szCs w:val="20"/>
          <w:lang w:val="es-CR"/>
        </w:rPr>
        <w:t xml:space="preserve"> a </w:t>
      </w:r>
      <w:r w:rsidR="0051282C">
        <w:rPr>
          <w:rFonts w:ascii="Verdana" w:hAnsi="Verdana"/>
          <w:sz w:val="20"/>
          <w:szCs w:val="20"/>
          <w:lang w:val="es-CR"/>
        </w:rPr>
        <w:t>ser juzgados en un plazo razonable</w:t>
      </w:r>
      <w:r w:rsidR="0051282C">
        <w:rPr>
          <w:rStyle w:val="FootnoteReference"/>
          <w:rFonts w:ascii="Verdana" w:hAnsi="Verdana"/>
          <w:sz w:val="20"/>
          <w:szCs w:val="20"/>
          <w:lang w:val="es-CR"/>
        </w:rPr>
        <w:footnoteReference w:id="2"/>
      </w:r>
      <w:r w:rsidR="0051282C">
        <w:rPr>
          <w:rFonts w:ascii="Verdana" w:hAnsi="Verdana"/>
          <w:sz w:val="20"/>
          <w:szCs w:val="20"/>
          <w:lang w:val="es-CR"/>
        </w:rPr>
        <w:t>, y la protección de sus derechos políticos</w:t>
      </w:r>
      <w:r w:rsidR="007B5976">
        <w:rPr>
          <w:rFonts w:ascii="Verdana" w:hAnsi="Verdana"/>
          <w:sz w:val="20"/>
          <w:szCs w:val="20"/>
          <w:lang w:val="es-CR"/>
        </w:rPr>
        <w:t xml:space="preserve"> reconocidos por la Convención Americana sobre Derechos Humanos (en adelante también “la Convención”)</w:t>
      </w:r>
      <w:r w:rsidR="0051282C">
        <w:rPr>
          <w:rFonts w:ascii="Verdana" w:hAnsi="Verdana"/>
          <w:sz w:val="20"/>
          <w:szCs w:val="20"/>
          <w:lang w:val="es-CR"/>
        </w:rPr>
        <w:t>.</w:t>
      </w:r>
      <w:r w:rsidR="00240089">
        <w:rPr>
          <w:rFonts w:ascii="Verdana" w:hAnsi="Verdana"/>
          <w:sz w:val="20"/>
          <w:szCs w:val="20"/>
          <w:lang w:val="es-CR"/>
        </w:rPr>
        <w:t xml:space="preserve"> </w:t>
      </w:r>
      <w:r w:rsidR="00253657">
        <w:rPr>
          <w:rFonts w:ascii="Verdana" w:hAnsi="Verdana"/>
          <w:sz w:val="20"/>
          <w:szCs w:val="20"/>
          <w:lang w:val="es-CR"/>
        </w:rPr>
        <w:t xml:space="preserve">Ambas cuestiones </w:t>
      </w:r>
      <w:r w:rsidR="003E0BBC">
        <w:rPr>
          <w:rFonts w:ascii="Verdana" w:hAnsi="Verdana"/>
          <w:sz w:val="20"/>
          <w:szCs w:val="20"/>
          <w:lang w:val="es-CR"/>
        </w:rPr>
        <w:t>tienen una estrecha relación con</w:t>
      </w:r>
      <w:r w:rsidR="00253657">
        <w:rPr>
          <w:rFonts w:ascii="Verdana" w:hAnsi="Verdana"/>
          <w:sz w:val="20"/>
          <w:szCs w:val="20"/>
          <w:lang w:val="es-CR"/>
        </w:rPr>
        <w:t xml:space="preserve"> un tema de gran importancia para nuestra región: cómo </w:t>
      </w:r>
      <w:r w:rsidR="00D026DD">
        <w:rPr>
          <w:rFonts w:ascii="Verdana" w:hAnsi="Verdana"/>
          <w:sz w:val="20"/>
          <w:szCs w:val="20"/>
          <w:lang w:val="es-CR"/>
        </w:rPr>
        <w:t>aliviar</w:t>
      </w:r>
      <w:r w:rsidR="00253657">
        <w:rPr>
          <w:rFonts w:ascii="Verdana" w:hAnsi="Verdana"/>
          <w:sz w:val="20"/>
          <w:szCs w:val="20"/>
          <w:lang w:val="es-CR"/>
        </w:rPr>
        <w:t xml:space="preserve"> la tensión que </w:t>
      </w:r>
      <w:r w:rsidR="00B43006">
        <w:rPr>
          <w:rFonts w:ascii="Verdana" w:hAnsi="Verdana"/>
          <w:sz w:val="20"/>
          <w:szCs w:val="20"/>
          <w:lang w:val="es-CR"/>
        </w:rPr>
        <w:t>puede surgir</w:t>
      </w:r>
      <w:r w:rsidR="00253657">
        <w:rPr>
          <w:rFonts w:ascii="Verdana" w:hAnsi="Verdana"/>
          <w:sz w:val="20"/>
          <w:szCs w:val="20"/>
          <w:lang w:val="es-CR"/>
        </w:rPr>
        <w:t xml:space="preserve"> entre </w:t>
      </w:r>
      <w:r w:rsidR="00C73862">
        <w:rPr>
          <w:rFonts w:ascii="Verdana" w:hAnsi="Verdana"/>
          <w:sz w:val="20"/>
          <w:szCs w:val="20"/>
          <w:lang w:val="es-CR"/>
        </w:rPr>
        <w:t xml:space="preserve">los esfuerzos </w:t>
      </w:r>
      <w:r w:rsidR="00D026DD">
        <w:rPr>
          <w:rFonts w:ascii="Verdana" w:hAnsi="Verdana"/>
          <w:sz w:val="20"/>
          <w:szCs w:val="20"/>
          <w:lang w:val="es-CR"/>
        </w:rPr>
        <w:t>de un Estado por combatir la corrupción</w:t>
      </w:r>
      <w:r w:rsidR="00B43006">
        <w:rPr>
          <w:rFonts w:ascii="Verdana" w:hAnsi="Verdana"/>
          <w:sz w:val="20"/>
          <w:szCs w:val="20"/>
          <w:lang w:val="es-CR"/>
        </w:rPr>
        <w:t xml:space="preserve"> </w:t>
      </w:r>
      <w:r w:rsidR="00C73862">
        <w:rPr>
          <w:rFonts w:ascii="Verdana" w:hAnsi="Verdana"/>
          <w:sz w:val="20"/>
          <w:szCs w:val="20"/>
          <w:lang w:val="es-CR"/>
        </w:rPr>
        <w:t>–un flagelo</w:t>
      </w:r>
      <w:r w:rsidR="00B43006">
        <w:rPr>
          <w:rFonts w:ascii="Verdana" w:hAnsi="Verdana"/>
          <w:sz w:val="20"/>
          <w:szCs w:val="20"/>
          <w:lang w:val="es-CR"/>
        </w:rPr>
        <w:t xml:space="preserve"> histórico</w:t>
      </w:r>
      <w:r w:rsidR="00C73862">
        <w:rPr>
          <w:rFonts w:ascii="Verdana" w:hAnsi="Verdana"/>
          <w:sz w:val="20"/>
          <w:szCs w:val="20"/>
          <w:lang w:val="es-CR"/>
        </w:rPr>
        <w:t xml:space="preserve"> para el desarrollo de nuestras sociedades–,</w:t>
      </w:r>
      <w:r w:rsidR="00253657">
        <w:rPr>
          <w:rFonts w:ascii="Verdana" w:hAnsi="Verdana"/>
          <w:sz w:val="20"/>
          <w:szCs w:val="20"/>
          <w:lang w:val="es-CR"/>
        </w:rPr>
        <w:t xml:space="preserve"> </w:t>
      </w:r>
      <w:r w:rsidR="00B43006">
        <w:rPr>
          <w:rFonts w:ascii="Verdana" w:hAnsi="Verdana"/>
          <w:sz w:val="20"/>
          <w:szCs w:val="20"/>
          <w:lang w:val="es-CR"/>
        </w:rPr>
        <w:t>sin abrir la puerta para</w:t>
      </w:r>
      <w:r w:rsidR="00D026DD">
        <w:rPr>
          <w:rFonts w:ascii="Verdana" w:hAnsi="Verdana"/>
          <w:sz w:val="20"/>
          <w:szCs w:val="20"/>
          <w:lang w:val="es-CR"/>
        </w:rPr>
        <w:t xml:space="preserve"> que –derivado de esa lucha– se produzca</w:t>
      </w:r>
      <w:r w:rsidR="00B43006">
        <w:rPr>
          <w:rFonts w:ascii="Verdana" w:hAnsi="Verdana"/>
          <w:sz w:val="20"/>
          <w:szCs w:val="20"/>
          <w:lang w:val="es-CR"/>
        </w:rPr>
        <w:t xml:space="preserve"> la violación</w:t>
      </w:r>
      <w:r w:rsidR="00253657">
        <w:rPr>
          <w:rFonts w:ascii="Verdana" w:hAnsi="Verdana"/>
          <w:sz w:val="20"/>
          <w:szCs w:val="20"/>
          <w:lang w:val="es-CR"/>
        </w:rPr>
        <w:t xml:space="preserve"> de</w:t>
      </w:r>
      <w:r w:rsidR="00D026DD">
        <w:rPr>
          <w:rFonts w:ascii="Verdana" w:hAnsi="Verdana"/>
          <w:sz w:val="20"/>
          <w:szCs w:val="20"/>
          <w:lang w:val="es-CR"/>
        </w:rPr>
        <w:t xml:space="preserve"> derechos a la</w:t>
      </w:r>
      <w:r w:rsidR="003E0BBC">
        <w:rPr>
          <w:rFonts w:ascii="Verdana" w:hAnsi="Verdana"/>
          <w:sz w:val="20"/>
          <w:szCs w:val="20"/>
          <w:lang w:val="es-CR"/>
        </w:rPr>
        <w:t xml:space="preserve"> honra y</w:t>
      </w:r>
      <w:r w:rsidR="00D026DD">
        <w:rPr>
          <w:rFonts w:ascii="Verdana" w:hAnsi="Verdana"/>
          <w:sz w:val="20"/>
          <w:szCs w:val="20"/>
          <w:lang w:val="es-CR"/>
        </w:rPr>
        <w:t xml:space="preserve"> la participación política</w:t>
      </w:r>
      <w:r w:rsidR="00C73862">
        <w:rPr>
          <w:rFonts w:ascii="Verdana" w:hAnsi="Verdana"/>
          <w:sz w:val="20"/>
          <w:szCs w:val="20"/>
          <w:lang w:val="es-CR"/>
        </w:rPr>
        <w:t xml:space="preserve"> de quienes ejercen funciones públicas</w:t>
      </w:r>
      <w:r w:rsidR="00D026DD">
        <w:rPr>
          <w:rFonts w:ascii="Verdana" w:hAnsi="Verdana"/>
          <w:sz w:val="20"/>
          <w:szCs w:val="20"/>
          <w:lang w:val="es-CR"/>
        </w:rPr>
        <w:t xml:space="preserve"> y han sido acusados de</w:t>
      </w:r>
      <w:r w:rsidR="003E0BBC">
        <w:rPr>
          <w:rFonts w:ascii="Verdana" w:hAnsi="Verdana"/>
          <w:sz w:val="20"/>
          <w:szCs w:val="20"/>
          <w:lang w:val="es-CR"/>
        </w:rPr>
        <w:t xml:space="preserve"> delitos relacionados con actos de</w:t>
      </w:r>
      <w:r w:rsidR="00D026DD">
        <w:rPr>
          <w:rFonts w:ascii="Verdana" w:hAnsi="Verdana"/>
          <w:sz w:val="20"/>
          <w:szCs w:val="20"/>
          <w:lang w:val="es-CR"/>
        </w:rPr>
        <w:t xml:space="preserve"> corrupción</w:t>
      </w:r>
      <w:r w:rsidR="00C73862">
        <w:rPr>
          <w:rFonts w:ascii="Verdana" w:hAnsi="Verdana"/>
          <w:sz w:val="20"/>
          <w:szCs w:val="20"/>
          <w:lang w:val="es-CR"/>
        </w:rPr>
        <w:t>.</w:t>
      </w:r>
      <w:r w:rsidR="00253657">
        <w:rPr>
          <w:rFonts w:ascii="Verdana" w:hAnsi="Verdana"/>
          <w:sz w:val="20"/>
          <w:szCs w:val="20"/>
          <w:lang w:val="es-CR"/>
        </w:rPr>
        <w:t xml:space="preserve"> </w:t>
      </w:r>
    </w:p>
    <w:p w14:paraId="27B62043" w14:textId="77777777" w:rsidR="007B5976" w:rsidRDefault="007B5976" w:rsidP="007B5976">
      <w:pPr>
        <w:pStyle w:val="ListParagraph"/>
        <w:tabs>
          <w:tab w:val="left" w:pos="567"/>
          <w:tab w:val="left" w:pos="709"/>
        </w:tabs>
        <w:spacing w:after="0" w:line="240" w:lineRule="auto"/>
        <w:ind w:left="0"/>
        <w:jc w:val="both"/>
        <w:rPr>
          <w:rFonts w:ascii="Verdana" w:hAnsi="Verdana"/>
          <w:sz w:val="20"/>
          <w:szCs w:val="20"/>
          <w:lang w:val="es-CR"/>
        </w:rPr>
      </w:pPr>
    </w:p>
    <w:p w14:paraId="11006A55" w14:textId="43995D4B" w:rsidR="00240089" w:rsidRPr="00240089" w:rsidRDefault="00240089" w:rsidP="00240089">
      <w:pPr>
        <w:pStyle w:val="ListParagraph"/>
        <w:numPr>
          <w:ilvl w:val="0"/>
          <w:numId w:val="7"/>
        </w:numPr>
        <w:tabs>
          <w:tab w:val="left" w:pos="567"/>
          <w:tab w:val="left" w:pos="709"/>
        </w:tabs>
        <w:spacing w:after="0" w:line="240" w:lineRule="auto"/>
        <w:jc w:val="both"/>
        <w:rPr>
          <w:rFonts w:ascii="Verdana" w:hAnsi="Verdana"/>
          <w:b/>
          <w:i/>
          <w:sz w:val="20"/>
          <w:szCs w:val="20"/>
          <w:lang w:val="es-CR"/>
        </w:rPr>
      </w:pPr>
      <w:r w:rsidRPr="00240089">
        <w:rPr>
          <w:rFonts w:ascii="Verdana" w:hAnsi="Verdana"/>
          <w:b/>
          <w:i/>
          <w:sz w:val="20"/>
          <w:szCs w:val="20"/>
          <w:lang w:val="es-CR"/>
        </w:rPr>
        <w:t>El derecho a la honra</w:t>
      </w:r>
      <w:r w:rsidR="003E0BBC">
        <w:rPr>
          <w:rFonts w:ascii="Verdana" w:hAnsi="Verdana"/>
          <w:b/>
          <w:i/>
          <w:sz w:val="20"/>
          <w:szCs w:val="20"/>
          <w:lang w:val="es-CR"/>
        </w:rPr>
        <w:t xml:space="preserve"> y los derechos políticos</w:t>
      </w:r>
      <w:r w:rsidR="00C73862">
        <w:rPr>
          <w:rFonts w:ascii="Verdana" w:hAnsi="Verdana"/>
          <w:b/>
          <w:i/>
          <w:sz w:val="20"/>
          <w:szCs w:val="20"/>
          <w:lang w:val="es-CR"/>
        </w:rPr>
        <w:t xml:space="preserve"> de funcionarios públicos sujetos a proceso</w:t>
      </w:r>
      <w:r w:rsidR="003E0BBC">
        <w:rPr>
          <w:rFonts w:ascii="Verdana" w:hAnsi="Verdana"/>
          <w:b/>
          <w:i/>
          <w:sz w:val="20"/>
          <w:szCs w:val="20"/>
          <w:lang w:val="es-CR"/>
        </w:rPr>
        <w:t>s penales</w:t>
      </w:r>
    </w:p>
    <w:p w14:paraId="57FBF700" w14:textId="77777777" w:rsidR="00240089" w:rsidRDefault="00240089" w:rsidP="007B5976">
      <w:pPr>
        <w:pStyle w:val="ListParagraph"/>
        <w:tabs>
          <w:tab w:val="left" w:pos="567"/>
          <w:tab w:val="left" w:pos="709"/>
        </w:tabs>
        <w:spacing w:after="0" w:line="240" w:lineRule="auto"/>
        <w:ind w:left="0"/>
        <w:jc w:val="both"/>
        <w:rPr>
          <w:rFonts w:ascii="Verdana" w:hAnsi="Verdana"/>
          <w:sz w:val="20"/>
          <w:szCs w:val="20"/>
          <w:lang w:val="es-CR"/>
        </w:rPr>
      </w:pPr>
    </w:p>
    <w:p w14:paraId="34EC7C06" w14:textId="67DD548F" w:rsidR="00CD1EB7" w:rsidRPr="007527D9" w:rsidRDefault="00B43006" w:rsidP="007527D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La Corte ha señalado en su jurisprudencia</w:t>
      </w:r>
      <w:r w:rsidR="003E0BBC">
        <w:rPr>
          <w:rStyle w:val="FootnoteReference"/>
          <w:rFonts w:ascii="Verdana" w:hAnsi="Verdana"/>
          <w:sz w:val="20"/>
          <w:szCs w:val="20"/>
          <w:lang w:val="es-CR"/>
        </w:rPr>
        <w:footnoteReference w:id="3"/>
      </w:r>
      <w:r w:rsidR="00EE4031">
        <w:rPr>
          <w:rFonts w:ascii="Verdana" w:hAnsi="Verdana"/>
          <w:sz w:val="20"/>
          <w:szCs w:val="20"/>
          <w:lang w:val="es-CR"/>
        </w:rPr>
        <w:t>, la cual ha</w:t>
      </w:r>
      <w:r w:rsidR="00D026DD">
        <w:rPr>
          <w:rFonts w:ascii="Verdana" w:hAnsi="Verdana"/>
          <w:sz w:val="20"/>
          <w:szCs w:val="20"/>
          <w:lang w:val="es-CR"/>
        </w:rPr>
        <w:t xml:space="preserve"> sido reiterada</w:t>
      </w:r>
      <w:r w:rsidR="0041714C">
        <w:rPr>
          <w:rFonts w:ascii="Verdana" w:hAnsi="Verdana"/>
          <w:sz w:val="20"/>
          <w:szCs w:val="20"/>
          <w:lang w:val="es-CR"/>
        </w:rPr>
        <w:t xml:space="preserve"> en el presente caso</w:t>
      </w:r>
      <w:r w:rsidR="003E0BBC">
        <w:rPr>
          <w:rFonts w:ascii="Verdana" w:hAnsi="Verdana"/>
          <w:sz w:val="20"/>
          <w:szCs w:val="20"/>
          <w:lang w:val="es-CR"/>
        </w:rPr>
        <w:t xml:space="preserve"> (párr. 18</w:t>
      </w:r>
      <w:r w:rsidR="00E8717B">
        <w:rPr>
          <w:rFonts w:ascii="Verdana" w:hAnsi="Verdana"/>
          <w:sz w:val="20"/>
          <w:szCs w:val="20"/>
          <w:lang w:val="es-CR"/>
        </w:rPr>
        <w:t>4</w:t>
      </w:r>
      <w:r w:rsidR="003E0BBC">
        <w:rPr>
          <w:rFonts w:ascii="Verdana" w:hAnsi="Verdana"/>
          <w:sz w:val="20"/>
          <w:szCs w:val="20"/>
          <w:lang w:val="es-CR"/>
        </w:rPr>
        <w:t>)</w:t>
      </w:r>
      <w:r w:rsidR="0041714C">
        <w:rPr>
          <w:rFonts w:ascii="Verdana" w:hAnsi="Verdana"/>
          <w:sz w:val="20"/>
          <w:szCs w:val="20"/>
          <w:lang w:val="es-CR"/>
        </w:rPr>
        <w:t>,</w:t>
      </w:r>
      <w:r>
        <w:rPr>
          <w:rFonts w:ascii="Verdana" w:hAnsi="Verdana"/>
          <w:sz w:val="20"/>
          <w:szCs w:val="20"/>
          <w:lang w:val="es-CR"/>
        </w:rPr>
        <w:t xml:space="preserve"> que </w:t>
      </w:r>
      <w:r w:rsidR="00EE4031">
        <w:rPr>
          <w:rFonts w:ascii="Verdana" w:hAnsi="Verdana"/>
          <w:sz w:val="20"/>
          <w:lang w:val="es-ES_tradnl"/>
        </w:rPr>
        <w:t>un proceso judicial no constituye, por sí mismo, una afectación ilegítima del honor o de la dignidad de la</w:t>
      </w:r>
      <w:r w:rsidR="00550881">
        <w:rPr>
          <w:rFonts w:ascii="Verdana" w:hAnsi="Verdana"/>
          <w:sz w:val="20"/>
          <w:lang w:val="es-ES_tradnl"/>
        </w:rPr>
        <w:t>s</w:t>
      </w:r>
      <w:r w:rsidR="00EE4031">
        <w:rPr>
          <w:rFonts w:ascii="Verdana" w:hAnsi="Verdana"/>
          <w:sz w:val="20"/>
          <w:lang w:val="es-ES_tradnl"/>
        </w:rPr>
        <w:t xml:space="preserve"> persona</w:t>
      </w:r>
      <w:r w:rsidR="00550881">
        <w:rPr>
          <w:rFonts w:ascii="Verdana" w:hAnsi="Verdana"/>
          <w:sz w:val="20"/>
          <w:lang w:val="es-ES_tradnl"/>
        </w:rPr>
        <w:t>s</w:t>
      </w:r>
      <w:r w:rsidR="00EE4031">
        <w:rPr>
          <w:rFonts w:ascii="Verdana" w:hAnsi="Verdana"/>
          <w:sz w:val="20"/>
          <w:lang w:val="es-ES_tradnl"/>
        </w:rPr>
        <w:t>. El proceso sirve al objetivo de resolver una c</w:t>
      </w:r>
      <w:r w:rsidR="00CD1EB7">
        <w:rPr>
          <w:rFonts w:ascii="Verdana" w:hAnsi="Verdana"/>
          <w:sz w:val="20"/>
          <w:lang w:val="es-ES_tradnl"/>
        </w:rPr>
        <w:t>ontroversia, aunque ello pueda</w:t>
      </w:r>
      <w:r w:rsidR="00EE4031">
        <w:rPr>
          <w:rFonts w:ascii="Verdana" w:hAnsi="Verdana"/>
          <w:sz w:val="20"/>
          <w:lang w:val="es-ES_tradnl"/>
        </w:rPr>
        <w:t xml:space="preserve"> acarrear, indirectamente, molestias para quienes se hal</w:t>
      </w:r>
      <w:r w:rsidR="00D026DD">
        <w:rPr>
          <w:rFonts w:ascii="Verdana" w:hAnsi="Verdana"/>
          <w:sz w:val="20"/>
          <w:lang w:val="es-ES_tradnl"/>
        </w:rPr>
        <w:t xml:space="preserve">lan sujetos al enjuiciamiento. </w:t>
      </w:r>
      <w:r w:rsidR="00CD1EB7">
        <w:rPr>
          <w:rFonts w:ascii="Verdana" w:hAnsi="Verdana"/>
          <w:sz w:val="20"/>
          <w:lang w:val="es-ES_tradnl"/>
        </w:rPr>
        <w:t>En el mismo sentido, la Corte</w:t>
      </w:r>
      <w:r w:rsidR="00EE4031">
        <w:rPr>
          <w:rFonts w:ascii="Verdana" w:hAnsi="Verdana"/>
          <w:sz w:val="20"/>
          <w:lang w:val="es-ES_tradnl"/>
        </w:rPr>
        <w:t xml:space="preserve"> ha establecido que la sanción aplicada</w:t>
      </w:r>
      <w:r w:rsidR="00CD1EB7">
        <w:rPr>
          <w:rFonts w:ascii="Verdana" w:hAnsi="Verdana"/>
          <w:sz w:val="20"/>
          <w:lang w:val="es-ES_tradnl"/>
        </w:rPr>
        <w:t>,</w:t>
      </w:r>
      <w:r w:rsidR="00EE4031">
        <w:rPr>
          <w:rFonts w:ascii="Verdana" w:hAnsi="Verdana"/>
          <w:sz w:val="20"/>
          <w:lang w:val="es-ES_tradnl"/>
        </w:rPr>
        <w:t xml:space="preserve"> al cabo de un proceso</w:t>
      </w:r>
      <w:r w:rsidR="00CD1EB7">
        <w:rPr>
          <w:rFonts w:ascii="Verdana" w:hAnsi="Verdana"/>
          <w:sz w:val="20"/>
          <w:lang w:val="es-ES_tradnl"/>
        </w:rPr>
        <w:t>,</w:t>
      </w:r>
      <w:r w:rsidR="00EE4031">
        <w:rPr>
          <w:rFonts w:ascii="Verdana" w:hAnsi="Verdana"/>
          <w:sz w:val="20"/>
          <w:lang w:val="es-ES_tradnl"/>
        </w:rPr>
        <w:t xml:space="preserve"> no </w:t>
      </w:r>
      <w:r w:rsidR="00EE4031">
        <w:rPr>
          <w:rFonts w:ascii="Verdana" w:hAnsi="Verdana"/>
          <w:sz w:val="20"/>
          <w:lang w:val="es-ES_tradnl"/>
        </w:rPr>
        <w:lastRenderedPageBreak/>
        <w:t>necesariamente menoscaba valores de la persona</w:t>
      </w:r>
      <w:r w:rsidR="0041714C">
        <w:rPr>
          <w:rStyle w:val="FootnoteReference"/>
          <w:rFonts w:ascii="Verdana" w:hAnsi="Verdana"/>
          <w:sz w:val="20"/>
          <w:szCs w:val="20"/>
          <w:lang w:val="es-CR"/>
        </w:rPr>
        <w:footnoteReference w:id="4"/>
      </w:r>
      <w:r w:rsidR="00EE4031">
        <w:rPr>
          <w:rFonts w:ascii="Verdana" w:hAnsi="Verdana"/>
          <w:sz w:val="20"/>
          <w:lang w:val="es-CR"/>
        </w:rPr>
        <w:t xml:space="preserve">. </w:t>
      </w:r>
      <w:r w:rsidR="00550881">
        <w:rPr>
          <w:rFonts w:ascii="Verdana" w:hAnsi="Verdana"/>
          <w:sz w:val="20"/>
          <w:lang w:val="es-CR"/>
        </w:rPr>
        <w:t xml:space="preserve">De esta forma, </w:t>
      </w:r>
      <w:r w:rsidR="00EE4031">
        <w:rPr>
          <w:rFonts w:ascii="Verdana" w:hAnsi="Verdana"/>
          <w:sz w:val="20"/>
          <w:lang w:val="es-CR"/>
        </w:rPr>
        <w:t xml:space="preserve">aun cuando </w:t>
      </w:r>
      <w:r w:rsidR="00A47590">
        <w:rPr>
          <w:rFonts w:ascii="Verdana" w:hAnsi="Verdana"/>
          <w:sz w:val="20"/>
          <w:lang w:val="es-CR"/>
        </w:rPr>
        <w:t>existan</w:t>
      </w:r>
      <w:r w:rsidR="00EE4031">
        <w:rPr>
          <w:rFonts w:ascii="Verdana" w:hAnsi="Verdana"/>
          <w:sz w:val="20"/>
          <w:lang w:val="es-CR"/>
        </w:rPr>
        <w:t xml:space="preserve"> afectaciones</w:t>
      </w:r>
      <w:r w:rsidR="00550881">
        <w:rPr>
          <w:rFonts w:ascii="Verdana" w:hAnsi="Verdana"/>
          <w:sz w:val="20"/>
          <w:lang w:val="es-CR"/>
        </w:rPr>
        <w:t xml:space="preserve"> </w:t>
      </w:r>
      <w:r w:rsidR="00EE4031">
        <w:rPr>
          <w:rFonts w:ascii="Verdana" w:hAnsi="Verdana"/>
          <w:sz w:val="20"/>
          <w:lang w:val="es-CR"/>
        </w:rPr>
        <w:t>a diversos aspectos de la vida</w:t>
      </w:r>
      <w:r w:rsidR="00DB1476">
        <w:rPr>
          <w:rFonts w:ascii="Verdana" w:hAnsi="Verdana"/>
          <w:sz w:val="20"/>
          <w:lang w:val="es-CR"/>
        </w:rPr>
        <w:t xml:space="preserve"> </w:t>
      </w:r>
      <w:r w:rsidR="00EE4031">
        <w:rPr>
          <w:rFonts w:ascii="Verdana" w:hAnsi="Verdana"/>
          <w:sz w:val="20"/>
          <w:lang w:val="es-CR"/>
        </w:rPr>
        <w:t xml:space="preserve">de </w:t>
      </w:r>
      <w:r w:rsidR="00550881">
        <w:rPr>
          <w:rFonts w:ascii="Verdana" w:hAnsi="Verdana"/>
          <w:sz w:val="20"/>
          <w:lang w:val="es-CR"/>
        </w:rPr>
        <w:t>aquellas personas que se encuentran</w:t>
      </w:r>
      <w:r w:rsidR="00EE4031">
        <w:rPr>
          <w:rFonts w:ascii="Verdana" w:hAnsi="Verdana"/>
          <w:sz w:val="20"/>
          <w:lang w:val="es-CR"/>
        </w:rPr>
        <w:t xml:space="preserve"> sujeta</w:t>
      </w:r>
      <w:r w:rsidR="00550881">
        <w:rPr>
          <w:rFonts w:ascii="Verdana" w:hAnsi="Verdana"/>
          <w:sz w:val="20"/>
          <w:lang w:val="es-CR"/>
        </w:rPr>
        <w:t>s</w:t>
      </w:r>
      <w:r w:rsidR="00EE4031">
        <w:rPr>
          <w:rFonts w:ascii="Verdana" w:hAnsi="Verdana"/>
          <w:sz w:val="20"/>
          <w:lang w:val="es-CR"/>
        </w:rPr>
        <w:t xml:space="preserve"> a proceso</w:t>
      </w:r>
      <w:r w:rsidR="00D026DD">
        <w:rPr>
          <w:rFonts w:ascii="Verdana" w:hAnsi="Verdana"/>
          <w:sz w:val="20"/>
          <w:lang w:val="es-CR"/>
        </w:rPr>
        <w:t>s</w:t>
      </w:r>
      <w:r w:rsidR="00FC59A5">
        <w:rPr>
          <w:rFonts w:ascii="Verdana" w:hAnsi="Verdana"/>
          <w:sz w:val="20"/>
          <w:lang w:val="es-CR"/>
        </w:rPr>
        <w:t xml:space="preserve"> penales</w:t>
      </w:r>
      <w:r w:rsidR="003E0BBC">
        <w:rPr>
          <w:rFonts w:ascii="Verdana" w:hAnsi="Verdana"/>
          <w:sz w:val="20"/>
          <w:lang w:val="es-CR"/>
        </w:rPr>
        <w:t xml:space="preserve"> (p. ej., afectaciones a su buen nombre, a sus actividades laborales, o a sus relaciones personales)</w:t>
      </w:r>
      <w:r w:rsidR="00B979F2">
        <w:rPr>
          <w:rFonts w:ascii="Verdana" w:hAnsi="Verdana"/>
          <w:sz w:val="20"/>
          <w:lang w:val="es-CR"/>
        </w:rPr>
        <w:t>,</w:t>
      </w:r>
      <w:r w:rsidR="00CD1EB7">
        <w:rPr>
          <w:rFonts w:ascii="Verdana" w:hAnsi="Verdana"/>
          <w:sz w:val="20"/>
          <w:lang w:val="es-CR"/>
        </w:rPr>
        <w:t xml:space="preserve"> o </w:t>
      </w:r>
      <w:r w:rsidR="003E0BBC">
        <w:rPr>
          <w:rFonts w:ascii="Verdana" w:hAnsi="Verdana"/>
          <w:sz w:val="20"/>
          <w:lang w:val="es-CR"/>
        </w:rPr>
        <w:t xml:space="preserve">que han sido </w:t>
      </w:r>
      <w:r w:rsidR="00CD1EB7">
        <w:rPr>
          <w:rFonts w:ascii="Verdana" w:hAnsi="Verdana"/>
          <w:sz w:val="20"/>
          <w:lang w:val="es-CR"/>
        </w:rPr>
        <w:t>condenada</w:t>
      </w:r>
      <w:r w:rsidR="00550881">
        <w:rPr>
          <w:rFonts w:ascii="Verdana" w:hAnsi="Verdana"/>
          <w:sz w:val="20"/>
          <w:lang w:val="es-CR"/>
        </w:rPr>
        <w:t>s</w:t>
      </w:r>
      <w:r w:rsidR="00CD1EB7">
        <w:rPr>
          <w:rFonts w:ascii="Verdana" w:hAnsi="Verdana"/>
          <w:sz w:val="20"/>
          <w:lang w:val="es-CR"/>
        </w:rPr>
        <w:t xml:space="preserve"> por un delito</w:t>
      </w:r>
      <w:r w:rsidR="00EE4031">
        <w:rPr>
          <w:rFonts w:ascii="Verdana" w:hAnsi="Verdana"/>
          <w:sz w:val="20"/>
          <w:lang w:val="es-CR"/>
        </w:rPr>
        <w:t>, esto no es</w:t>
      </w:r>
      <w:r w:rsidR="003E0BBC">
        <w:rPr>
          <w:rFonts w:ascii="Verdana" w:hAnsi="Verdana"/>
          <w:sz w:val="20"/>
          <w:lang w:val="es-CR"/>
        </w:rPr>
        <w:t xml:space="preserve"> razón</w:t>
      </w:r>
      <w:r w:rsidR="00EE4031">
        <w:rPr>
          <w:rFonts w:ascii="Verdana" w:hAnsi="Verdana"/>
          <w:sz w:val="20"/>
          <w:lang w:val="es-CR"/>
        </w:rPr>
        <w:t xml:space="preserve"> suficiente para sostener que se ha</w:t>
      </w:r>
      <w:r w:rsidR="00CD1EB7">
        <w:rPr>
          <w:rFonts w:ascii="Verdana" w:hAnsi="Verdana"/>
          <w:sz w:val="20"/>
          <w:lang w:val="es-CR"/>
        </w:rPr>
        <w:t>n</w:t>
      </w:r>
      <w:r w:rsidR="00EE4031">
        <w:rPr>
          <w:rFonts w:ascii="Verdana" w:hAnsi="Verdana"/>
          <w:sz w:val="20"/>
          <w:lang w:val="es-CR"/>
        </w:rPr>
        <w:t xml:space="preserve"> </w:t>
      </w:r>
      <w:r w:rsidR="00CD1EB7">
        <w:rPr>
          <w:rFonts w:ascii="Verdana" w:hAnsi="Verdana"/>
          <w:sz w:val="20"/>
          <w:lang w:val="es-CR"/>
        </w:rPr>
        <w:t>violado</w:t>
      </w:r>
      <w:r w:rsidR="00EE4031">
        <w:rPr>
          <w:rFonts w:ascii="Verdana" w:hAnsi="Verdana"/>
          <w:sz w:val="20"/>
          <w:lang w:val="es-CR"/>
        </w:rPr>
        <w:t xml:space="preserve"> sus derechos humanos (</w:t>
      </w:r>
      <w:r w:rsidR="003E0BBC">
        <w:rPr>
          <w:rFonts w:ascii="Verdana" w:hAnsi="Verdana"/>
          <w:sz w:val="20"/>
          <w:lang w:val="es-CR"/>
        </w:rPr>
        <w:t>p. ej.,</w:t>
      </w:r>
      <w:r w:rsidR="00CD1EB7">
        <w:rPr>
          <w:rFonts w:ascii="Verdana" w:hAnsi="Verdana"/>
          <w:sz w:val="20"/>
          <w:lang w:val="es-CR"/>
        </w:rPr>
        <w:t xml:space="preserve"> sus derechos </w:t>
      </w:r>
      <w:r w:rsidR="00EE4031">
        <w:rPr>
          <w:rFonts w:ascii="Verdana" w:hAnsi="Verdana"/>
          <w:sz w:val="20"/>
          <w:lang w:val="es-CR"/>
        </w:rPr>
        <w:t xml:space="preserve">a la honra, al trabajo, o a la </w:t>
      </w:r>
      <w:r w:rsidR="00550881">
        <w:rPr>
          <w:rFonts w:ascii="Verdana" w:hAnsi="Verdana"/>
          <w:sz w:val="20"/>
          <w:lang w:val="es-CR"/>
        </w:rPr>
        <w:t>familia</w:t>
      </w:r>
      <w:r w:rsidR="00EE4031">
        <w:rPr>
          <w:rFonts w:ascii="Verdana" w:hAnsi="Verdana"/>
          <w:sz w:val="20"/>
          <w:lang w:val="es-CR"/>
        </w:rPr>
        <w:t>).</w:t>
      </w:r>
      <w:r w:rsidR="00D026DD">
        <w:rPr>
          <w:rFonts w:ascii="Verdana" w:hAnsi="Verdana"/>
          <w:sz w:val="20"/>
          <w:lang w:val="es-CR"/>
        </w:rPr>
        <w:t xml:space="preserve"> </w:t>
      </w:r>
      <w:r w:rsidR="00DB1476" w:rsidRPr="007527D9">
        <w:rPr>
          <w:rFonts w:ascii="Verdana" w:hAnsi="Verdana"/>
          <w:sz w:val="20"/>
          <w:lang w:val="es-CR"/>
        </w:rPr>
        <w:t>Por el contrario,</w:t>
      </w:r>
      <w:r w:rsidR="00A47590" w:rsidRPr="007527D9">
        <w:rPr>
          <w:rFonts w:ascii="Verdana" w:hAnsi="Verdana"/>
          <w:sz w:val="20"/>
          <w:lang w:val="es-CR"/>
        </w:rPr>
        <w:t xml:space="preserve"> en el plano interamericano,</w:t>
      </w:r>
      <w:r w:rsidR="00DB1476" w:rsidRPr="007527D9">
        <w:rPr>
          <w:rFonts w:ascii="Verdana" w:hAnsi="Verdana"/>
          <w:sz w:val="20"/>
          <w:lang w:val="es-CR"/>
        </w:rPr>
        <w:t xml:space="preserve"> para considerar que el derecho a la honra ha sido violado</w:t>
      </w:r>
      <w:r w:rsidR="00FC59A5" w:rsidRPr="007527D9">
        <w:rPr>
          <w:rFonts w:ascii="Verdana" w:hAnsi="Verdana"/>
          <w:sz w:val="20"/>
          <w:lang w:val="es-CR"/>
        </w:rPr>
        <w:t>,</w:t>
      </w:r>
      <w:r w:rsidR="00DB1476" w:rsidRPr="007527D9">
        <w:rPr>
          <w:rFonts w:ascii="Verdana" w:hAnsi="Verdana"/>
          <w:sz w:val="20"/>
          <w:lang w:val="es-CR"/>
        </w:rPr>
        <w:t xml:space="preserve"> como resultado de un</w:t>
      </w:r>
      <w:r w:rsidR="00695137">
        <w:rPr>
          <w:rFonts w:ascii="Verdana" w:hAnsi="Verdana"/>
          <w:sz w:val="20"/>
          <w:lang w:val="es-CR"/>
        </w:rPr>
        <w:t>o o varios</w:t>
      </w:r>
      <w:r w:rsidR="00DB1476" w:rsidRPr="007527D9">
        <w:rPr>
          <w:rFonts w:ascii="Verdana" w:hAnsi="Verdana"/>
          <w:sz w:val="20"/>
          <w:lang w:val="es-CR"/>
        </w:rPr>
        <w:t xml:space="preserve"> proceso</w:t>
      </w:r>
      <w:r w:rsidR="00695137">
        <w:rPr>
          <w:rFonts w:ascii="Verdana" w:hAnsi="Verdana"/>
          <w:sz w:val="20"/>
          <w:lang w:val="es-CR"/>
        </w:rPr>
        <w:t>s</w:t>
      </w:r>
      <w:r w:rsidR="00DB1476" w:rsidRPr="007527D9">
        <w:rPr>
          <w:rFonts w:ascii="Verdana" w:hAnsi="Verdana"/>
          <w:sz w:val="20"/>
          <w:lang w:val="es-CR"/>
        </w:rPr>
        <w:t xml:space="preserve">, es necesario que las partes </w:t>
      </w:r>
      <w:r w:rsidR="00A47590" w:rsidRPr="007527D9">
        <w:rPr>
          <w:rFonts w:ascii="Verdana" w:hAnsi="Verdana"/>
          <w:sz w:val="20"/>
          <w:lang w:val="es-CR"/>
        </w:rPr>
        <w:t xml:space="preserve">aleguen, y </w:t>
      </w:r>
      <w:r w:rsidR="00DB1476" w:rsidRPr="007527D9">
        <w:rPr>
          <w:rFonts w:ascii="Verdana" w:hAnsi="Verdana"/>
          <w:sz w:val="20"/>
          <w:lang w:val="es-CR"/>
        </w:rPr>
        <w:t>prueben</w:t>
      </w:r>
      <w:r w:rsidR="00A47590" w:rsidRPr="007527D9">
        <w:rPr>
          <w:rFonts w:ascii="Verdana" w:hAnsi="Verdana"/>
          <w:sz w:val="20"/>
          <w:lang w:val="es-CR"/>
        </w:rPr>
        <w:t>,</w:t>
      </w:r>
      <w:r w:rsidR="00DB1476" w:rsidRPr="007527D9">
        <w:rPr>
          <w:rFonts w:ascii="Verdana" w:hAnsi="Verdana"/>
          <w:sz w:val="20"/>
          <w:lang w:val="es-CR"/>
        </w:rPr>
        <w:t xml:space="preserve"> la existencia de acciones de las autoridades encaminadas a causar un daño a la imagen de las personas sujetas </w:t>
      </w:r>
      <w:r w:rsidR="003E0BBC">
        <w:rPr>
          <w:rFonts w:ascii="Verdana" w:hAnsi="Verdana"/>
          <w:sz w:val="20"/>
          <w:lang w:val="es-CR"/>
        </w:rPr>
        <w:t>a uno o varios procesos</w:t>
      </w:r>
      <w:r w:rsidR="00DB1476" w:rsidRPr="007527D9">
        <w:rPr>
          <w:rFonts w:ascii="Verdana" w:hAnsi="Verdana"/>
          <w:sz w:val="20"/>
          <w:lang w:val="es-CR"/>
        </w:rPr>
        <w:t xml:space="preserve"> (</w:t>
      </w:r>
      <w:r w:rsidR="003E0BBC">
        <w:rPr>
          <w:rFonts w:ascii="Verdana" w:hAnsi="Verdana"/>
          <w:sz w:val="20"/>
          <w:lang w:val="es-CR"/>
        </w:rPr>
        <w:t>p. ej.,</w:t>
      </w:r>
      <w:r w:rsidR="00DB1476" w:rsidRPr="007527D9">
        <w:rPr>
          <w:rFonts w:ascii="Verdana" w:hAnsi="Verdana"/>
          <w:sz w:val="20"/>
          <w:lang w:val="es-CR"/>
        </w:rPr>
        <w:t xml:space="preserve"> </w:t>
      </w:r>
      <w:r w:rsidR="003E0BBC">
        <w:rPr>
          <w:rFonts w:ascii="Verdana" w:hAnsi="Verdana"/>
          <w:sz w:val="20"/>
          <w:lang w:val="es-CR"/>
        </w:rPr>
        <w:t>que han sido sometidas</w:t>
      </w:r>
      <w:r w:rsidR="00DB1476" w:rsidRPr="007527D9">
        <w:rPr>
          <w:rFonts w:ascii="Verdana" w:hAnsi="Verdana"/>
          <w:sz w:val="20"/>
          <w:lang w:val="es-CR"/>
        </w:rPr>
        <w:t xml:space="preserve"> al odio, estigmatización, desprecio público, persecución o discriminación por medio de declaraciones públicas por parte de funcionarios públicos)</w:t>
      </w:r>
      <w:r w:rsidR="00A47590" w:rsidRPr="007527D9">
        <w:rPr>
          <w:rFonts w:ascii="Verdana" w:hAnsi="Verdana"/>
          <w:sz w:val="20"/>
          <w:lang w:val="es-CR"/>
        </w:rPr>
        <w:t xml:space="preserve">, y la </w:t>
      </w:r>
      <w:r w:rsidR="003E0BBC">
        <w:rPr>
          <w:rFonts w:ascii="Verdana" w:hAnsi="Verdana"/>
          <w:sz w:val="20"/>
          <w:lang w:val="es-CR"/>
        </w:rPr>
        <w:t>concreción</w:t>
      </w:r>
      <w:r w:rsidR="00A47590" w:rsidRPr="007527D9">
        <w:rPr>
          <w:rFonts w:ascii="Verdana" w:hAnsi="Verdana"/>
          <w:sz w:val="20"/>
          <w:lang w:val="es-CR"/>
        </w:rPr>
        <w:t xml:space="preserve"> de ese daño</w:t>
      </w:r>
      <w:r w:rsidR="00DB1476">
        <w:rPr>
          <w:rStyle w:val="FootnoteReference"/>
          <w:rFonts w:ascii="Verdana" w:hAnsi="Verdana"/>
          <w:sz w:val="20"/>
          <w:lang w:val="es-CR"/>
        </w:rPr>
        <w:footnoteReference w:id="5"/>
      </w:r>
      <w:r w:rsidR="00DB1476" w:rsidRPr="007527D9">
        <w:rPr>
          <w:rFonts w:ascii="Verdana" w:hAnsi="Verdana"/>
          <w:sz w:val="20"/>
          <w:lang w:val="es-CR"/>
        </w:rPr>
        <w:t>.</w:t>
      </w:r>
      <w:r w:rsidR="00A47590" w:rsidRPr="007527D9">
        <w:rPr>
          <w:rFonts w:ascii="Verdana" w:hAnsi="Verdana"/>
          <w:sz w:val="20"/>
          <w:szCs w:val="20"/>
          <w:lang w:val="es-CR"/>
        </w:rPr>
        <w:t xml:space="preserve"> </w:t>
      </w:r>
      <w:r w:rsidR="003E0BBC">
        <w:rPr>
          <w:rFonts w:ascii="Verdana" w:hAnsi="Verdana"/>
          <w:sz w:val="20"/>
          <w:szCs w:val="20"/>
          <w:lang w:val="es-CR"/>
        </w:rPr>
        <w:t>En el presente caso, la Corte no contó con elementos para determinar la existencia de acciones encaminadas a producir ese resultado en contra de la señora Andrade Salmón (párr. 18</w:t>
      </w:r>
      <w:r w:rsidR="005D0FC6">
        <w:rPr>
          <w:rFonts w:ascii="Verdana" w:hAnsi="Verdana"/>
          <w:sz w:val="20"/>
          <w:szCs w:val="20"/>
          <w:lang w:val="es-CR"/>
        </w:rPr>
        <w:t>5</w:t>
      </w:r>
      <w:r w:rsidR="003E0BBC">
        <w:rPr>
          <w:rFonts w:ascii="Verdana" w:hAnsi="Verdana"/>
          <w:sz w:val="20"/>
          <w:szCs w:val="20"/>
          <w:lang w:val="es-CR"/>
        </w:rPr>
        <w:t>).</w:t>
      </w:r>
    </w:p>
    <w:p w14:paraId="5CDF7461" w14:textId="0D0BA739" w:rsidR="00A47590" w:rsidRDefault="00A47590" w:rsidP="00A47590">
      <w:pPr>
        <w:pStyle w:val="ListParagraph"/>
        <w:tabs>
          <w:tab w:val="left" w:pos="567"/>
          <w:tab w:val="left" w:pos="709"/>
        </w:tabs>
        <w:spacing w:after="0" w:line="240" w:lineRule="auto"/>
        <w:ind w:left="0"/>
        <w:jc w:val="both"/>
        <w:rPr>
          <w:rFonts w:ascii="Verdana" w:hAnsi="Verdana"/>
          <w:sz w:val="20"/>
          <w:szCs w:val="20"/>
          <w:lang w:val="es-CR"/>
        </w:rPr>
      </w:pPr>
    </w:p>
    <w:p w14:paraId="6CC1BEBC" w14:textId="2AC9EFE0" w:rsidR="007144A1" w:rsidRDefault="007527D9" w:rsidP="007144A1">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Sin perjuicio de lo anterior, el presente caso es ejemplificativo de la problemática que existe cuando se inician múltiples procesos</w:t>
      </w:r>
      <w:r w:rsidR="008F6B9E">
        <w:rPr>
          <w:rFonts w:ascii="Verdana" w:hAnsi="Verdana"/>
          <w:sz w:val="20"/>
          <w:szCs w:val="20"/>
          <w:lang w:val="es-CR"/>
        </w:rPr>
        <w:t>,</w:t>
      </w:r>
      <w:r>
        <w:rPr>
          <w:rFonts w:ascii="Verdana" w:hAnsi="Verdana"/>
          <w:sz w:val="20"/>
          <w:szCs w:val="20"/>
          <w:lang w:val="es-CR"/>
        </w:rPr>
        <w:t xml:space="preserve"> con pretensiones sancionatorias</w:t>
      </w:r>
      <w:r w:rsidR="008F6B9E">
        <w:rPr>
          <w:rFonts w:ascii="Verdana" w:hAnsi="Verdana"/>
          <w:sz w:val="20"/>
          <w:szCs w:val="20"/>
          <w:lang w:val="es-CR"/>
        </w:rPr>
        <w:t>,</w:t>
      </w:r>
      <w:r w:rsidR="00695137">
        <w:rPr>
          <w:rFonts w:ascii="Verdana" w:hAnsi="Verdana"/>
          <w:sz w:val="20"/>
          <w:szCs w:val="20"/>
          <w:lang w:val="es-CR"/>
        </w:rPr>
        <w:t xml:space="preserve"> dirigido</w:t>
      </w:r>
      <w:r w:rsidR="008F6B9E">
        <w:rPr>
          <w:rFonts w:ascii="Verdana" w:hAnsi="Verdana"/>
          <w:sz w:val="20"/>
          <w:szCs w:val="20"/>
          <w:lang w:val="es-CR"/>
        </w:rPr>
        <w:t xml:space="preserve">s contra una o varias personas, acusadas de delitos relacionados con </w:t>
      </w:r>
      <w:r w:rsidR="00695137">
        <w:rPr>
          <w:rFonts w:ascii="Verdana" w:hAnsi="Verdana"/>
          <w:sz w:val="20"/>
          <w:szCs w:val="20"/>
          <w:lang w:val="es-CR"/>
        </w:rPr>
        <w:t>malos manejos de la función pública</w:t>
      </w:r>
      <w:r>
        <w:rPr>
          <w:rFonts w:ascii="Verdana" w:hAnsi="Verdana"/>
          <w:sz w:val="20"/>
          <w:szCs w:val="20"/>
          <w:lang w:val="es-CR"/>
        </w:rPr>
        <w:t>. Los casos de “</w:t>
      </w:r>
      <w:proofErr w:type="spellStart"/>
      <w:r>
        <w:rPr>
          <w:rFonts w:ascii="Verdana" w:hAnsi="Verdana"/>
          <w:sz w:val="20"/>
          <w:szCs w:val="20"/>
          <w:lang w:val="es-CR"/>
        </w:rPr>
        <w:t>Gader</w:t>
      </w:r>
      <w:proofErr w:type="spellEnd"/>
      <w:r>
        <w:rPr>
          <w:rFonts w:ascii="Verdana" w:hAnsi="Verdana"/>
          <w:sz w:val="20"/>
          <w:szCs w:val="20"/>
          <w:lang w:val="es-CR"/>
        </w:rPr>
        <w:t>”, “Luminarias Chinas”, y “</w:t>
      </w:r>
      <w:proofErr w:type="spellStart"/>
      <w:r>
        <w:rPr>
          <w:rFonts w:ascii="Verdana" w:hAnsi="Verdana"/>
          <w:sz w:val="20"/>
          <w:szCs w:val="20"/>
          <w:lang w:val="es-CR"/>
        </w:rPr>
        <w:t>Quaglio</w:t>
      </w:r>
      <w:proofErr w:type="spellEnd"/>
      <w:r>
        <w:rPr>
          <w:rFonts w:ascii="Verdana" w:hAnsi="Verdana"/>
          <w:sz w:val="20"/>
          <w:szCs w:val="20"/>
          <w:lang w:val="es-CR"/>
        </w:rPr>
        <w:t>”</w:t>
      </w:r>
      <w:r w:rsidR="008F6B9E">
        <w:rPr>
          <w:rFonts w:ascii="Verdana" w:hAnsi="Verdana"/>
          <w:sz w:val="20"/>
          <w:szCs w:val="20"/>
          <w:lang w:val="es-CR"/>
        </w:rPr>
        <w:t>,</w:t>
      </w:r>
      <w:r>
        <w:rPr>
          <w:rFonts w:ascii="Verdana" w:hAnsi="Verdana"/>
          <w:sz w:val="20"/>
          <w:szCs w:val="20"/>
          <w:lang w:val="es-CR"/>
        </w:rPr>
        <w:t xml:space="preserve"> seguidos contra </w:t>
      </w:r>
      <w:r w:rsidR="008F6B9E">
        <w:rPr>
          <w:rFonts w:ascii="Verdana" w:hAnsi="Verdana"/>
          <w:sz w:val="20"/>
          <w:szCs w:val="20"/>
          <w:lang w:val="es-CR"/>
        </w:rPr>
        <w:t>la señora Andrade Salmón,</w:t>
      </w:r>
      <w:r w:rsidR="00695137">
        <w:rPr>
          <w:rFonts w:ascii="Verdana" w:hAnsi="Verdana"/>
          <w:sz w:val="20"/>
          <w:szCs w:val="20"/>
          <w:lang w:val="es-CR"/>
        </w:rPr>
        <w:t xml:space="preserve"> </w:t>
      </w:r>
      <w:r w:rsidR="003E0BBC">
        <w:rPr>
          <w:rFonts w:ascii="Verdana" w:hAnsi="Verdana"/>
          <w:sz w:val="20"/>
          <w:szCs w:val="20"/>
          <w:lang w:val="es-CR"/>
        </w:rPr>
        <w:t xml:space="preserve">no constituyeron </w:t>
      </w:r>
      <w:r w:rsidR="003E0BBC">
        <w:rPr>
          <w:rFonts w:ascii="Verdana" w:hAnsi="Verdana"/>
          <w:i/>
          <w:sz w:val="20"/>
          <w:szCs w:val="20"/>
          <w:lang w:val="es-CR"/>
        </w:rPr>
        <w:t xml:space="preserve">per se </w:t>
      </w:r>
      <w:r w:rsidR="00947E3D">
        <w:rPr>
          <w:rFonts w:ascii="Verdana" w:hAnsi="Verdana"/>
          <w:sz w:val="20"/>
          <w:szCs w:val="20"/>
          <w:lang w:val="es-CR"/>
        </w:rPr>
        <w:t>una violación a la Convención</w:t>
      </w:r>
      <w:r w:rsidR="008F6B9E">
        <w:rPr>
          <w:rFonts w:ascii="Verdana" w:hAnsi="Verdana"/>
          <w:sz w:val="20"/>
          <w:szCs w:val="20"/>
          <w:lang w:val="es-CR"/>
        </w:rPr>
        <w:t xml:space="preserve">. Sin embargo, al momento de evaluar los efectos que tuvieron esos procesos, tanto por la manera en que fueron conducidos, como por su duración, fue posible advertir diversas violaciones a los derechos </w:t>
      </w:r>
      <w:r w:rsidR="00947E3D">
        <w:rPr>
          <w:rFonts w:ascii="Verdana" w:hAnsi="Verdana"/>
          <w:sz w:val="20"/>
          <w:szCs w:val="20"/>
          <w:lang w:val="es-CR"/>
        </w:rPr>
        <w:t>humanos de la víctima</w:t>
      </w:r>
      <w:r w:rsidR="008F6B9E">
        <w:rPr>
          <w:rFonts w:ascii="Verdana" w:hAnsi="Verdana"/>
          <w:sz w:val="20"/>
          <w:szCs w:val="20"/>
          <w:lang w:val="es-CR"/>
        </w:rPr>
        <w:t xml:space="preserve">. Eso sucedió en relación con el derecho a la propiedad privada, por la dilación por más de 15 años de la fianza impuesta y pagada en el marco </w:t>
      </w:r>
      <w:r w:rsidR="007144A1">
        <w:rPr>
          <w:rFonts w:ascii="Verdana" w:hAnsi="Verdana"/>
          <w:sz w:val="20"/>
          <w:szCs w:val="20"/>
          <w:lang w:val="es-CR"/>
        </w:rPr>
        <w:t>de uno de los procesos</w:t>
      </w:r>
      <w:r w:rsidR="008F6B9E">
        <w:rPr>
          <w:rFonts w:ascii="Verdana" w:hAnsi="Verdana"/>
          <w:sz w:val="20"/>
          <w:szCs w:val="20"/>
          <w:lang w:val="es-CR"/>
        </w:rPr>
        <w:t xml:space="preserve"> (párr. 13</w:t>
      </w:r>
      <w:r w:rsidR="005D0FC6">
        <w:rPr>
          <w:rFonts w:ascii="Verdana" w:hAnsi="Verdana"/>
          <w:sz w:val="20"/>
          <w:szCs w:val="20"/>
          <w:lang w:val="es-CR"/>
        </w:rPr>
        <w:t>5</w:t>
      </w:r>
      <w:r w:rsidR="008F6B9E">
        <w:rPr>
          <w:rFonts w:ascii="Verdana" w:hAnsi="Verdana"/>
          <w:sz w:val="20"/>
          <w:szCs w:val="20"/>
          <w:lang w:val="es-CR"/>
        </w:rPr>
        <w:t>); en relación con el derecho de circulaci</w:t>
      </w:r>
      <w:r w:rsidR="007144A1">
        <w:rPr>
          <w:rFonts w:ascii="Verdana" w:hAnsi="Verdana"/>
          <w:sz w:val="20"/>
          <w:szCs w:val="20"/>
          <w:lang w:val="es-CR"/>
        </w:rPr>
        <w:t xml:space="preserve">ón y residencia, por la falta de fundamentación de las medidas cautelares que le fueron impuestas, por la dilación desproporcionada en el tiempo de las medidas de arraigo impuestas, y por la falta de revisión periódica de las mismas en dos de los procesos (párr. 150); y en relación con el derecho a ser juzgada en un plazo razonable, por la prolongada duración de los tres procesos, uno de los cuales aún sigue abierto (párr. </w:t>
      </w:r>
      <w:r w:rsidR="005D0FC6">
        <w:rPr>
          <w:rFonts w:ascii="Verdana" w:hAnsi="Verdana"/>
          <w:sz w:val="20"/>
          <w:szCs w:val="20"/>
          <w:lang w:val="es-CR"/>
        </w:rPr>
        <w:t>177</w:t>
      </w:r>
      <w:r w:rsidR="007144A1">
        <w:rPr>
          <w:rFonts w:ascii="Verdana" w:hAnsi="Verdana"/>
          <w:sz w:val="20"/>
          <w:szCs w:val="20"/>
          <w:lang w:val="es-CR"/>
        </w:rPr>
        <w:t>).</w:t>
      </w:r>
    </w:p>
    <w:p w14:paraId="5D211871" w14:textId="2DF2EBD9" w:rsidR="007144A1" w:rsidRDefault="007144A1" w:rsidP="007144A1">
      <w:pPr>
        <w:pStyle w:val="ListParagraph"/>
        <w:tabs>
          <w:tab w:val="left" w:pos="567"/>
          <w:tab w:val="left" w:pos="709"/>
        </w:tabs>
        <w:spacing w:after="0" w:line="240" w:lineRule="auto"/>
        <w:ind w:left="0"/>
        <w:jc w:val="both"/>
        <w:rPr>
          <w:rFonts w:ascii="Verdana" w:hAnsi="Verdana"/>
          <w:sz w:val="20"/>
          <w:szCs w:val="20"/>
          <w:lang w:val="es-CR"/>
        </w:rPr>
      </w:pPr>
    </w:p>
    <w:p w14:paraId="59B3889B" w14:textId="17BC948E" w:rsidR="007144A1" w:rsidRDefault="00695137" w:rsidP="007144A1">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De esta forma, es posible advertir que, aun cuando la apertura de procesos penales no </w:t>
      </w:r>
      <w:r w:rsidR="00E57E0A">
        <w:rPr>
          <w:rFonts w:ascii="Verdana" w:hAnsi="Verdana"/>
          <w:sz w:val="20"/>
          <w:szCs w:val="20"/>
          <w:lang w:val="es-CR"/>
        </w:rPr>
        <w:t>necesariamente constituye un</w:t>
      </w:r>
      <w:r>
        <w:rPr>
          <w:rFonts w:ascii="Verdana" w:hAnsi="Verdana"/>
          <w:sz w:val="20"/>
          <w:szCs w:val="20"/>
          <w:lang w:val="es-CR"/>
        </w:rPr>
        <w:t xml:space="preserve"> uso ilegítimo del </w:t>
      </w:r>
      <w:proofErr w:type="spellStart"/>
      <w:r>
        <w:rPr>
          <w:rFonts w:ascii="Verdana" w:hAnsi="Verdana"/>
          <w:i/>
          <w:sz w:val="20"/>
          <w:szCs w:val="20"/>
          <w:lang w:val="es-CR"/>
        </w:rPr>
        <w:t>ius</w:t>
      </w:r>
      <w:proofErr w:type="spellEnd"/>
      <w:r>
        <w:rPr>
          <w:rFonts w:ascii="Verdana" w:hAnsi="Verdana"/>
          <w:i/>
          <w:sz w:val="20"/>
          <w:szCs w:val="20"/>
          <w:lang w:val="es-CR"/>
        </w:rPr>
        <w:t xml:space="preserve"> </w:t>
      </w:r>
      <w:proofErr w:type="spellStart"/>
      <w:r>
        <w:rPr>
          <w:rFonts w:ascii="Verdana" w:hAnsi="Verdana"/>
          <w:i/>
          <w:sz w:val="20"/>
          <w:szCs w:val="20"/>
          <w:lang w:val="es-CR"/>
        </w:rPr>
        <w:t>puniendi</w:t>
      </w:r>
      <w:proofErr w:type="spellEnd"/>
      <w:r>
        <w:rPr>
          <w:rFonts w:ascii="Verdana" w:hAnsi="Verdana"/>
          <w:sz w:val="20"/>
          <w:szCs w:val="20"/>
          <w:lang w:val="es-CR"/>
        </w:rPr>
        <w:t>,</w:t>
      </w:r>
      <w:r w:rsidR="00E57E0A">
        <w:rPr>
          <w:rFonts w:ascii="Verdana" w:hAnsi="Verdana"/>
          <w:sz w:val="20"/>
          <w:szCs w:val="20"/>
          <w:lang w:val="es-CR"/>
        </w:rPr>
        <w:t xml:space="preserve"> las</w:t>
      </w:r>
      <w:r w:rsidR="003A4B26">
        <w:rPr>
          <w:rFonts w:ascii="Verdana" w:hAnsi="Verdana"/>
          <w:sz w:val="20"/>
          <w:szCs w:val="20"/>
          <w:lang w:val="es-CR"/>
        </w:rPr>
        <w:t xml:space="preserve"> motivaciones,</w:t>
      </w:r>
      <w:r w:rsidR="00E57E0A">
        <w:rPr>
          <w:rFonts w:ascii="Verdana" w:hAnsi="Verdana"/>
          <w:sz w:val="20"/>
          <w:szCs w:val="20"/>
          <w:lang w:val="es-CR"/>
        </w:rPr>
        <w:t xml:space="preserve"> </w:t>
      </w:r>
      <w:r w:rsidR="00401D84">
        <w:rPr>
          <w:rFonts w:ascii="Verdana" w:hAnsi="Verdana"/>
          <w:sz w:val="20"/>
          <w:szCs w:val="20"/>
          <w:lang w:val="es-CR"/>
        </w:rPr>
        <w:t xml:space="preserve">el </w:t>
      </w:r>
      <w:r w:rsidR="00947F08">
        <w:rPr>
          <w:rFonts w:ascii="Verdana" w:hAnsi="Verdana"/>
          <w:sz w:val="20"/>
          <w:szCs w:val="20"/>
          <w:lang w:val="es-CR"/>
        </w:rPr>
        <w:t>número</w:t>
      </w:r>
      <w:r w:rsidR="00401D84">
        <w:rPr>
          <w:rFonts w:ascii="Verdana" w:hAnsi="Verdana"/>
          <w:sz w:val="20"/>
          <w:szCs w:val="20"/>
          <w:lang w:val="es-CR"/>
        </w:rPr>
        <w:t xml:space="preserve">, las </w:t>
      </w:r>
      <w:r w:rsidR="00E57E0A">
        <w:rPr>
          <w:rFonts w:ascii="Verdana" w:hAnsi="Verdana"/>
          <w:sz w:val="20"/>
          <w:szCs w:val="20"/>
          <w:lang w:val="es-CR"/>
        </w:rPr>
        <w:t>características</w:t>
      </w:r>
      <w:r w:rsidR="003A5450">
        <w:rPr>
          <w:rFonts w:ascii="Verdana" w:hAnsi="Verdana"/>
          <w:sz w:val="20"/>
          <w:szCs w:val="20"/>
          <w:lang w:val="es-CR"/>
        </w:rPr>
        <w:t>,</w:t>
      </w:r>
      <w:r w:rsidR="00E57E0A">
        <w:rPr>
          <w:rFonts w:ascii="Verdana" w:hAnsi="Verdana"/>
          <w:sz w:val="20"/>
          <w:szCs w:val="20"/>
          <w:lang w:val="es-CR"/>
        </w:rPr>
        <w:t xml:space="preserve"> o duración de estos procesos</w:t>
      </w:r>
      <w:r w:rsidR="00293F61">
        <w:rPr>
          <w:rFonts w:ascii="Verdana" w:hAnsi="Verdana"/>
          <w:sz w:val="20"/>
          <w:szCs w:val="20"/>
          <w:lang w:val="es-CR"/>
        </w:rPr>
        <w:t>,</w:t>
      </w:r>
      <w:r w:rsidR="00E57E0A">
        <w:rPr>
          <w:rFonts w:ascii="Verdana" w:hAnsi="Verdana"/>
          <w:sz w:val="20"/>
          <w:szCs w:val="20"/>
          <w:lang w:val="es-CR"/>
        </w:rPr>
        <w:t xml:space="preserve"> sí pueden afectar</w:t>
      </w:r>
      <w:r w:rsidR="000909F2">
        <w:rPr>
          <w:rFonts w:ascii="Verdana" w:hAnsi="Verdana"/>
          <w:sz w:val="20"/>
          <w:szCs w:val="20"/>
          <w:lang w:val="es-CR"/>
        </w:rPr>
        <w:t xml:space="preserve"> su legitimidad y algunos</w:t>
      </w:r>
      <w:r w:rsidR="00E57E0A">
        <w:rPr>
          <w:rFonts w:ascii="Verdana" w:hAnsi="Verdana"/>
          <w:sz w:val="20"/>
          <w:szCs w:val="20"/>
          <w:lang w:val="es-CR"/>
        </w:rPr>
        <w:t xml:space="preserve"> derechos protegidos por la Convención. En el caso de</w:t>
      </w:r>
      <w:r w:rsidR="000909F2">
        <w:rPr>
          <w:rFonts w:ascii="Verdana" w:hAnsi="Verdana"/>
          <w:sz w:val="20"/>
          <w:szCs w:val="20"/>
          <w:lang w:val="es-CR"/>
        </w:rPr>
        <w:t xml:space="preserve"> procesos penales seguidos contra</w:t>
      </w:r>
      <w:r w:rsidR="00E57E0A">
        <w:rPr>
          <w:rFonts w:ascii="Verdana" w:hAnsi="Verdana"/>
          <w:sz w:val="20"/>
          <w:szCs w:val="20"/>
          <w:lang w:val="es-CR"/>
        </w:rPr>
        <w:t xml:space="preserve"> funcionarios públicos,</w:t>
      </w:r>
      <w:r w:rsidR="00AF69EB">
        <w:rPr>
          <w:rFonts w:ascii="Verdana" w:hAnsi="Verdana"/>
          <w:sz w:val="20"/>
          <w:szCs w:val="20"/>
          <w:lang w:val="es-CR"/>
        </w:rPr>
        <w:t xml:space="preserve"> quienes</w:t>
      </w:r>
      <w:r w:rsidR="00C36304">
        <w:rPr>
          <w:rFonts w:ascii="Verdana" w:hAnsi="Verdana"/>
          <w:sz w:val="20"/>
          <w:szCs w:val="20"/>
          <w:lang w:val="es-CR"/>
        </w:rPr>
        <w:t xml:space="preserve"> naturalmente</w:t>
      </w:r>
      <w:r w:rsidR="00AF69EB">
        <w:rPr>
          <w:rFonts w:ascii="Verdana" w:hAnsi="Verdana"/>
          <w:sz w:val="20"/>
          <w:szCs w:val="20"/>
          <w:lang w:val="es-CR"/>
        </w:rPr>
        <w:t xml:space="preserve"> realizan sus labores en la </w:t>
      </w:r>
      <w:r w:rsidR="003A5450">
        <w:rPr>
          <w:rFonts w:ascii="Verdana" w:hAnsi="Verdana"/>
          <w:i/>
          <w:sz w:val="20"/>
          <w:szCs w:val="20"/>
          <w:lang w:val="es-CR"/>
        </w:rPr>
        <w:t>res publica</w:t>
      </w:r>
      <w:r w:rsidR="00AF69EB">
        <w:rPr>
          <w:rFonts w:ascii="Verdana" w:hAnsi="Verdana"/>
          <w:sz w:val="20"/>
          <w:szCs w:val="20"/>
          <w:lang w:val="es-CR"/>
        </w:rPr>
        <w:t>,</w:t>
      </w:r>
      <w:r w:rsidR="000909F2">
        <w:rPr>
          <w:rFonts w:ascii="Verdana" w:hAnsi="Verdana"/>
          <w:sz w:val="20"/>
          <w:szCs w:val="20"/>
          <w:lang w:val="es-CR"/>
        </w:rPr>
        <w:t xml:space="preserve"> é</w:t>
      </w:r>
      <w:r w:rsidR="00E57E0A">
        <w:rPr>
          <w:rFonts w:ascii="Verdana" w:hAnsi="Verdana"/>
          <w:sz w:val="20"/>
          <w:szCs w:val="20"/>
          <w:lang w:val="es-CR"/>
        </w:rPr>
        <w:t xml:space="preserve">stos pueden ser utilizados como un medio para </w:t>
      </w:r>
      <w:r w:rsidR="00EB4509">
        <w:rPr>
          <w:rFonts w:ascii="Verdana" w:hAnsi="Verdana"/>
          <w:sz w:val="20"/>
          <w:szCs w:val="20"/>
          <w:lang w:val="es-CR"/>
        </w:rPr>
        <w:t>someter rivales políticos</w:t>
      </w:r>
      <w:r w:rsidR="003A4B26">
        <w:rPr>
          <w:rFonts w:ascii="Verdana" w:hAnsi="Verdana"/>
          <w:sz w:val="20"/>
          <w:szCs w:val="20"/>
          <w:lang w:val="es-CR"/>
        </w:rPr>
        <w:t xml:space="preserve"> </w:t>
      </w:r>
      <w:r w:rsidR="00EB4509">
        <w:rPr>
          <w:rFonts w:ascii="Verdana" w:hAnsi="Verdana"/>
          <w:sz w:val="20"/>
          <w:szCs w:val="20"/>
          <w:lang w:val="es-CR"/>
        </w:rPr>
        <w:t xml:space="preserve">al desprestigio y, en algunos casos, a excluirlos de la vida política cuando la ley no permita ocupar cargos públicos a </w:t>
      </w:r>
      <w:r w:rsidR="000909F2">
        <w:rPr>
          <w:rFonts w:ascii="Verdana" w:hAnsi="Verdana"/>
          <w:sz w:val="20"/>
          <w:szCs w:val="20"/>
          <w:lang w:val="es-CR"/>
        </w:rPr>
        <w:t>quienes estén sujeto</w:t>
      </w:r>
      <w:r w:rsidR="00EB4509">
        <w:rPr>
          <w:rFonts w:ascii="Verdana" w:hAnsi="Verdana"/>
          <w:sz w:val="20"/>
          <w:szCs w:val="20"/>
          <w:lang w:val="es-CR"/>
        </w:rPr>
        <w:t>s a proceso</w:t>
      </w:r>
      <w:r w:rsidR="003A5450">
        <w:rPr>
          <w:rFonts w:ascii="Verdana" w:hAnsi="Verdana"/>
          <w:sz w:val="20"/>
          <w:szCs w:val="20"/>
          <w:lang w:val="es-CR"/>
        </w:rPr>
        <w:t xml:space="preserve"> penal,</w:t>
      </w:r>
      <w:r w:rsidR="000909F2">
        <w:rPr>
          <w:rFonts w:ascii="Verdana" w:hAnsi="Verdana"/>
          <w:sz w:val="20"/>
          <w:szCs w:val="20"/>
          <w:lang w:val="es-CR"/>
        </w:rPr>
        <w:t xml:space="preserve"> o que han sido condenado</w:t>
      </w:r>
      <w:r w:rsidR="00EB4509">
        <w:rPr>
          <w:rFonts w:ascii="Verdana" w:hAnsi="Verdana"/>
          <w:sz w:val="20"/>
          <w:szCs w:val="20"/>
          <w:lang w:val="es-CR"/>
        </w:rPr>
        <w:t>s</w:t>
      </w:r>
      <w:r w:rsidR="003A4B26">
        <w:rPr>
          <w:rFonts w:ascii="Verdana" w:hAnsi="Verdana"/>
          <w:sz w:val="20"/>
          <w:szCs w:val="20"/>
          <w:lang w:val="es-CR"/>
        </w:rPr>
        <w:t>.</w:t>
      </w:r>
      <w:r w:rsidR="00EB4509">
        <w:rPr>
          <w:rFonts w:ascii="Verdana" w:hAnsi="Verdana"/>
          <w:sz w:val="20"/>
          <w:szCs w:val="20"/>
          <w:lang w:val="es-CR"/>
        </w:rPr>
        <w:t xml:space="preserve"> </w:t>
      </w:r>
      <w:r w:rsidR="003A5450">
        <w:rPr>
          <w:rFonts w:ascii="Verdana" w:hAnsi="Verdana"/>
          <w:sz w:val="20"/>
          <w:szCs w:val="20"/>
          <w:lang w:val="es-CR"/>
        </w:rPr>
        <w:t xml:space="preserve">En estas circunstancias –es decir, cuando el proceso penal se utiliza con el objetivo </w:t>
      </w:r>
      <w:r w:rsidR="000909F2">
        <w:rPr>
          <w:rFonts w:ascii="Verdana" w:hAnsi="Verdana"/>
          <w:sz w:val="20"/>
          <w:szCs w:val="20"/>
          <w:lang w:val="es-CR"/>
        </w:rPr>
        <w:t xml:space="preserve">político </w:t>
      </w:r>
      <w:r w:rsidR="003A5450">
        <w:rPr>
          <w:rFonts w:ascii="Verdana" w:hAnsi="Verdana"/>
          <w:sz w:val="20"/>
          <w:szCs w:val="20"/>
          <w:lang w:val="es-CR"/>
        </w:rPr>
        <w:t xml:space="preserve">de </w:t>
      </w:r>
      <w:r w:rsidR="00757E3F">
        <w:rPr>
          <w:rFonts w:ascii="Verdana" w:hAnsi="Verdana"/>
          <w:sz w:val="20"/>
          <w:szCs w:val="20"/>
          <w:lang w:val="es-CR"/>
        </w:rPr>
        <w:t>limitar</w:t>
      </w:r>
      <w:r w:rsidR="003A5450">
        <w:rPr>
          <w:rFonts w:ascii="Verdana" w:hAnsi="Verdana"/>
          <w:sz w:val="20"/>
          <w:szCs w:val="20"/>
          <w:lang w:val="es-CR"/>
        </w:rPr>
        <w:t xml:space="preserve"> </w:t>
      </w:r>
      <w:r w:rsidR="0094692F">
        <w:rPr>
          <w:rFonts w:ascii="Verdana" w:hAnsi="Verdana"/>
          <w:sz w:val="20"/>
          <w:szCs w:val="20"/>
          <w:lang w:val="es-CR"/>
        </w:rPr>
        <w:t>o suspender la posibilidad</w:t>
      </w:r>
      <w:r w:rsidR="003A5450">
        <w:rPr>
          <w:rFonts w:ascii="Verdana" w:hAnsi="Verdana"/>
          <w:sz w:val="20"/>
          <w:szCs w:val="20"/>
          <w:lang w:val="es-CR"/>
        </w:rPr>
        <w:t xml:space="preserve"> de una persona o un grupo </w:t>
      </w:r>
      <w:r w:rsidR="00757E3F">
        <w:rPr>
          <w:rFonts w:ascii="Verdana" w:hAnsi="Verdana"/>
          <w:sz w:val="20"/>
          <w:szCs w:val="20"/>
          <w:lang w:val="es-CR"/>
        </w:rPr>
        <w:t>para</w:t>
      </w:r>
      <w:r w:rsidR="003A5450">
        <w:rPr>
          <w:rFonts w:ascii="Verdana" w:hAnsi="Verdana"/>
          <w:sz w:val="20"/>
          <w:szCs w:val="20"/>
          <w:lang w:val="es-CR"/>
        </w:rPr>
        <w:t xml:space="preserve"> participar en el gobierno–</w:t>
      </w:r>
      <w:r w:rsidR="00EB4509">
        <w:rPr>
          <w:rFonts w:ascii="Verdana" w:hAnsi="Verdana"/>
          <w:sz w:val="20"/>
          <w:szCs w:val="20"/>
          <w:lang w:val="es-CR"/>
        </w:rPr>
        <w:t xml:space="preserve"> </w:t>
      </w:r>
      <w:r w:rsidR="00757E3F">
        <w:rPr>
          <w:rFonts w:ascii="Verdana" w:hAnsi="Verdana"/>
          <w:sz w:val="20"/>
          <w:szCs w:val="20"/>
          <w:lang w:val="es-CR"/>
        </w:rPr>
        <w:t xml:space="preserve">se </w:t>
      </w:r>
      <w:r w:rsidR="00293F61">
        <w:rPr>
          <w:rFonts w:ascii="Verdana" w:hAnsi="Verdana"/>
          <w:sz w:val="20"/>
          <w:szCs w:val="20"/>
          <w:lang w:val="es-CR"/>
        </w:rPr>
        <w:t>afectan</w:t>
      </w:r>
      <w:r w:rsidR="00757E3F">
        <w:rPr>
          <w:rFonts w:ascii="Verdana" w:hAnsi="Verdana"/>
          <w:sz w:val="20"/>
          <w:szCs w:val="20"/>
          <w:lang w:val="es-CR"/>
        </w:rPr>
        <w:t xml:space="preserve"> los derechos políticos de quienes se </w:t>
      </w:r>
      <w:r w:rsidR="00C36304">
        <w:rPr>
          <w:rFonts w:ascii="Verdana" w:hAnsi="Verdana"/>
          <w:sz w:val="20"/>
          <w:szCs w:val="20"/>
          <w:lang w:val="es-CR"/>
        </w:rPr>
        <w:t>encuentran sujetos a proceso, acción que además</w:t>
      </w:r>
      <w:r w:rsidR="00757E3F">
        <w:rPr>
          <w:rFonts w:ascii="Verdana" w:hAnsi="Verdana"/>
          <w:sz w:val="20"/>
          <w:szCs w:val="20"/>
          <w:lang w:val="es-CR"/>
        </w:rPr>
        <w:t xml:space="preserve"> constituye un atentado contra la </w:t>
      </w:r>
      <w:r w:rsidR="0094692F">
        <w:rPr>
          <w:rFonts w:ascii="Verdana" w:hAnsi="Verdana"/>
          <w:sz w:val="20"/>
          <w:szCs w:val="20"/>
          <w:lang w:val="es-CR"/>
        </w:rPr>
        <w:t>democracia</w:t>
      </w:r>
      <w:r w:rsidR="00757E3F">
        <w:rPr>
          <w:rFonts w:ascii="Verdana" w:hAnsi="Verdana"/>
          <w:sz w:val="20"/>
          <w:szCs w:val="20"/>
          <w:lang w:val="es-CR"/>
        </w:rPr>
        <w:t xml:space="preserve">. </w:t>
      </w:r>
      <w:r w:rsidR="00D85554">
        <w:rPr>
          <w:rFonts w:ascii="Verdana" w:hAnsi="Verdana"/>
          <w:sz w:val="20"/>
          <w:szCs w:val="20"/>
          <w:lang w:val="es-CR"/>
        </w:rPr>
        <w:t>En este sentido, cabe recordar que el artículo 23.1 de la Convención Americana reconoce un catálogo de derechos y oportunidades que el Estado debe garantizar en condiciones de igualdad</w:t>
      </w:r>
      <w:r w:rsidR="00D85554">
        <w:rPr>
          <w:rStyle w:val="FootnoteReference"/>
          <w:rFonts w:ascii="Verdana" w:hAnsi="Verdana"/>
          <w:sz w:val="20"/>
          <w:szCs w:val="20"/>
          <w:lang w:val="es-CR"/>
        </w:rPr>
        <w:footnoteReference w:id="6"/>
      </w:r>
      <w:r w:rsidR="00D85554">
        <w:rPr>
          <w:rFonts w:ascii="Verdana" w:hAnsi="Verdana"/>
          <w:sz w:val="20"/>
          <w:szCs w:val="20"/>
          <w:lang w:val="es-CR"/>
        </w:rPr>
        <w:t xml:space="preserve">, </w:t>
      </w:r>
      <w:r w:rsidR="00293F61">
        <w:rPr>
          <w:rFonts w:ascii="Verdana" w:hAnsi="Verdana"/>
          <w:sz w:val="20"/>
          <w:szCs w:val="20"/>
          <w:lang w:val="es-CR"/>
        </w:rPr>
        <w:t xml:space="preserve">y que la Corte </w:t>
      </w:r>
      <w:r w:rsidR="00293F61">
        <w:rPr>
          <w:rFonts w:ascii="Verdana" w:hAnsi="Verdana"/>
          <w:sz w:val="20"/>
          <w:szCs w:val="20"/>
          <w:lang w:val="es-CR"/>
        </w:rPr>
        <w:lastRenderedPageBreak/>
        <w:t xml:space="preserve">Interamericana ha </w:t>
      </w:r>
      <w:r w:rsidR="00AC590A">
        <w:rPr>
          <w:rFonts w:ascii="Verdana" w:hAnsi="Verdana"/>
          <w:sz w:val="20"/>
          <w:szCs w:val="20"/>
          <w:lang w:val="es-CR"/>
        </w:rPr>
        <w:t>interpretado</w:t>
      </w:r>
      <w:r w:rsidR="00C36304">
        <w:rPr>
          <w:rFonts w:ascii="Verdana" w:hAnsi="Verdana"/>
          <w:sz w:val="20"/>
          <w:szCs w:val="20"/>
          <w:lang w:val="es-CR"/>
        </w:rPr>
        <w:t xml:space="preserve"> que “es indispensable que el Estado genere las condiciones y mecanismos óptimos para que los derechos políticos sean ejercidos de forma efectiva, respetando el principio de igualdad y no discriminación</w:t>
      </w:r>
      <w:r w:rsidR="00C36304">
        <w:rPr>
          <w:rStyle w:val="FootnoteReference"/>
          <w:rFonts w:ascii="Verdana" w:hAnsi="Verdana"/>
          <w:sz w:val="20"/>
          <w:szCs w:val="20"/>
          <w:lang w:val="es-CR"/>
        </w:rPr>
        <w:footnoteReference w:id="7"/>
      </w:r>
      <w:r w:rsidR="00C36304">
        <w:rPr>
          <w:rFonts w:ascii="Verdana" w:hAnsi="Verdana"/>
          <w:sz w:val="20"/>
          <w:szCs w:val="20"/>
          <w:lang w:val="es-CR"/>
        </w:rPr>
        <w:t>.”</w:t>
      </w:r>
    </w:p>
    <w:p w14:paraId="6FB0C78F" w14:textId="2A24CE44" w:rsidR="00C36304" w:rsidRDefault="00C36304" w:rsidP="00C36304">
      <w:pPr>
        <w:pStyle w:val="ListParagraph"/>
        <w:tabs>
          <w:tab w:val="left" w:pos="567"/>
          <w:tab w:val="left" w:pos="709"/>
        </w:tabs>
        <w:spacing w:after="0" w:line="240" w:lineRule="auto"/>
        <w:ind w:left="0"/>
        <w:jc w:val="both"/>
        <w:rPr>
          <w:rFonts w:ascii="Verdana" w:hAnsi="Verdana"/>
          <w:sz w:val="20"/>
          <w:szCs w:val="20"/>
          <w:lang w:val="es-CR"/>
        </w:rPr>
      </w:pPr>
    </w:p>
    <w:p w14:paraId="0EDEC9F2" w14:textId="6879B0EF" w:rsidR="000620FF" w:rsidRDefault="008D7757" w:rsidP="000909F2">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En este contexto</w:t>
      </w:r>
      <w:r w:rsidR="007D673D">
        <w:rPr>
          <w:rFonts w:ascii="Verdana" w:hAnsi="Verdana"/>
          <w:sz w:val="20"/>
          <w:szCs w:val="20"/>
          <w:lang w:val="es-CR"/>
        </w:rPr>
        <w:t>,</w:t>
      </w:r>
      <w:r w:rsidR="00C36304">
        <w:rPr>
          <w:rFonts w:ascii="Verdana" w:hAnsi="Verdana"/>
          <w:sz w:val="20"/>
          <w:szCs w:val="20"/>
          <w:lang w:val="es-CR"/>
        </w:rPr>
        <w:t xml:space="preserve"> es posible identificar una </w:t>
      </w:r>
      <w:r w:rsidR="00AC590A">
        <w:rPr>
          <w:rFonts w:ascii="Verdana" w:hAnsi="Verdana"/>
          <w:sz w:val="20"/>
          <w:szCs w:val="20"/>
          <w:lang w:val="es-CR"/>
        </w:rPr>
        <w:t>tensión: por una parte, es legítimo –y necesario– que</w:t>
      </w:r>
      <w:r w:rsidR="00C36304">
        <w:rPr>
          <w:rFonts w:ascii="Verdana" w:hAnsi="Verdana"/>
          <w:sz w:val="20"/>
          <w:szCs w:val="20"/>
          <w:lang w:val="es-CR"/>
        </w:rPr>
        <w:t xml:space="preserve"> los Estados </w:t>
      </w:r>
      <w:r w:rsidR="00AC590A">
        <w:rPr>
          <w:rFonts w:ascii="Verdana" w:hAnsi="Verdana"/>
          <w:sz w:val="20"/>
          <w:szCs w:val="20"/>
          <w:lang w:val="es-CR"/>
        </w:rPr>
        <w:t>combatan el mal manejo de la función pública, sobre todo en una región que tiene altos índices de corrupción</w:t>
      </w:r>
      <w:r w:rsidR="008E3AC2">
        <w:rPr>
          <w:rStyle w:val="FootnoteReference"/>
          <w:rFonts w:ascii="Verdana" w:hAnsi="Verdana"/>
          <w:sz w:val="20"/>
          <w:szCs w:val="20"/>
          <w:lang w:val="es-CR"/>
        </w:rPr>
        <w:footnoteReference w:id="8"/>
      </w:r>
      <w:r w:rsidR="000909F2">
        <w:rPr>
          <w:rFonts w:ascii="Verdana" w:hAnsi="Verdana"/>
          <w:sz w:val="20"/>
          <w:szCs w:val="20"/>
          <w:lang w:val="es-CR"/>
        </w:rPr>
        <w:t>, lo cual afecta la protección los derechos de los más vulnerables y al Estado de derecho</w:t>
      </w:r>
      <w:r w:rsidR="00AC590A">
        <w:rPr>
          <w:rFonts w:ascii="Verdana" w:hAnsi="Verdana"/>
          <w:sz w:val="20"/>
          <w:szCs w:val="20"/>
          <w:lang w:val="es-CR"/>
        </w:rPr>
        <w:t>; por otro lado, las acciones que el Estado emprenda</w:t>
      </w:r>
      <w:r>
        <w:rPr>
          <w:rFonts w:ascii="Verdana" w:hAnsi="Verdana"/>
          <w:sz w:val="20"/>
          <w:szCs w:val="20"/>
          <w:lang w:val="es-CR"/>
        </w:rPr>
        <w:t xml:space="preserve"> en </w:t>
      </w:r>
      <w:r w:rsidR="007D673D">
        <w:rPr>
          <w:rFonts w:ascii="Verdana" w:hAnsi="Verdana"/>
          <w:sz w:val="20"/>
          <w:szCs w:val="20"/>
          <w:lang w:val="es-CR"/>
        </w:rPr>
        <w:t>el combate a la corrupción</w:t>
      </w:r>
      <w:r w:rsidR="00AC590A">
        <w:rPr>
          <w:rFonts w:ascii="Verdana" w:hAnsi="Verdana"/>
          <w:sz w:val="20"/>
          <w:szCs w:val="20"/>
          <w:lang w:val="es-CR"/>
        </w:rPr>
        <w:t xml:space="preserve"> deben </w:t>
      </w:r>
      <w:r>
        <w:rPr>
          <w:rFonts w:ascii="Verdana" w:hAnsi="Verdana"/>
          <w:sz w:val="20"/>
          <w:szCs w:val="20"/>
          <w:lang w:val="es-CR"/>
        </w:rPr>
        <w:t xml:space="preserve">siempre </w:t>
      </w:r>
      <w:r w:rsidR="00AC590A">
        <w:rPr>
          <w:rFonts w:ascii="Verdana" w:hAnsi="Verdana"/>
          <w:sz w:val="20"/>
          <w:szCs w:val="20"/>
          <w:lang w:val="es-CR"/>
        </w:rPr>
        <w:t>rea</w:t>
      </w:r>
      <w:r w:rsidR="00401D84">
        <w:rPr>
          <w:rFonts w:ascii="Verdana" w:hAnsi="Verdana"/>
          <w:sz w:val="20"/>
          <w:szCs w:val="20"/>
          <w:lang w:val="es-CR"/>
        </w:rPr>
        <w:t>lizarse por medios legales, y con</w:t>
      </w:r>
      <w:r w:rsidR="00AC590A">
        <w:rPr>
          <w:rFonts w:ascii="Verdana" w:hAnsi="Verdana"/>
          <w:sz w:val="20"/>
          <w:szCs w:val="20"/>
          <w:lang w:val="es-CR"/>
        </w:rPr>
        <w:t xml:space="preserve"> respeto a los derechos humanos de las personas acusadas</w:t>
      </w:r>
      <w:r>
        <w:rPr>
          <w:rFonts w:ascii="Verdana" w:hAnsi="Verdana"/>
          <w:sz w:val="20"/>
          <w:szCs w:val="20"/>
          <w:lang w:val="es-CR"/>
        </w:rPr>
        <w:t xml:space="preserve"> (</w:t>
      </w:r>
      <w:r w:rsidR="000909F2">
        <w:rPr>
          <w:rFonts w:ascii="Verdana" w:hAnsi="Verdana"/>
          <w:sz w:val="20"/>
          <w:lang w:val="es-CR"/>
        </w:rPr>
        <w:t>p. ej.,</w:t>
      </w:r>
      <w:r>
        <w:rPr>
          <w:rFonts w:ascii="Verdana" w:hAnsi="Verdana"/>
          <w:sz w:val="20"/>
          <w:szCs w:val="20"/>
          <w:lang w:val="es-CR"/>
        </w:rPr>
        <w:t xml:space="preserve"> su derecho a la presunción de inocencia, a la </w:t>
      </w:r>
      <w:r w:rsidR="000909F2">
        <w:rPr>
          <w:rFonts w:ascii="Verdana" w:hAnsi="Verdana"/>
          <w:sz w:val="20"/>
          <w:szCs w:val="20"/>
          <w:lang w:val="es-CR"/>
        </w:rPr>
        <w:t>honra</w:t>
      </w:r>
      <w:r>
        <w:rPr>
          <w:rFonts w:ascii="Verdana" w:hAnsi="Verdana"/>
          <w:sz w:val="20"/>
          <w:szCs w:val="20"/>
          <w:lang w:val="es-CR"/>
        </w:rPr>
        <w:t>, y a sus derechos políticos)</w:t>
      </w:r>
      <w:r w:rsidR="00AC590A">
        <w:rPr>
          <w:rFonts w:ascii="Verdana" w:hAnsi="Verdana"/>
          <w:sz w:val="20"/>
          <w:szCs w:val="20"/>
          <w:lang w:val="es-CR"/>
        </w:rPr>
        <w:t>.</w:t>
      </w:r>
      <w:r>
        <w:rPr>
          <w:rFonts w:ascii="Verdana" w:hAnsi="Verdana"/>
          <w:sz w:val="20"/>
          <w:szCs w:val="20"/>
          <w:lang w:val="es-CR"/>
        </w:rPr>
        <w:t xml:space="preserve"> No hacerlo</w:t>
      </w:r>
      <w:r w:rsidR="000909F2">
        <w:rPr>
          <w:rFonts w:ascii="Verdana" w:hAnsi="Verdana"/>
          <w:sz w:val="20"/>
          <w:szCs w:val="20"/>
          <w:lang w:val="es-CR"/>
        </w:rPr>
        <w:t xml:space="preserve"> así –y caer en la tentación de justificar los medios por los fines perseguidos– </w:t>
      </w:r>
      <w:r>
        <w:rPr>
          <w:rFonts w:ascii="Verdana" w:hAnsi="Verdana"/>
          <w:sz w:val="20"/>
          <w:szCs w:val="20"/>
          <w:lang w:val="es-CR"/>
        </w:rPr>
        <w:t xml:space="preserve">puede tener efectos </w:t>
      </w:r>
      <w:r w:rsidR="000909F2">
        <w:rPr>
          <w:rFonts w:ascii="Verdana" w:hAnsi="Verdana"/>
          <w:sz w:val="20"/>
          <w:szCs w:val="20"/>
          <w:lang w:val="es-CR"/>
        </w:rPr>
        <w:t>nocivos</w:t>
      </w:r>
      <w:r>
        <w:rPr>
          <w:rFonts w:ascii="Verdana" w:hAnsi="Verdana"/>
          <w:sz w:val="20"/>
          <w:szCs w:val="20"/>
          <w:lang w:val="es-CR"/>
        </w:rPr>
        <w:t xml:space="preserve"> tanto para las personas </w:t>
      </w:r>
      <w:r w:rsidR="000909F2">
        <w:rPr>
          <w:rFonts w:ascii="Verdana" w:hAnsi="Verdana"/>
          <w:sz w:val="20"/>
          <w:szCs w:val="20"/>
          <w:lang w:val="es-CR"/>
        </w:rPr>
        <w:t>acusadas</w:t>
      </w:r>
      <w:r>
        <w:rPr>
          <w:rFonts w:ascii="Verdana" w:hAnsi="Verdana"/>
          <w:sz w:val="20"/>
          <w:szCs w:val="20"/>
          <w:lang w:val="es-CR"/>
        </w:rPr>
        <w:t xml:space="preserve">, cuyos derechos humanos pueden verse afectados, como también para aquellos </w:t>
      </w:r>
      <w:r w:rsidR="000909F2">
        <w:rPr>
          <w:rFonts w:ascii="Verdana" w:hAnsi="Verdana"/>
          <w:sz w:val="20"/>
          <w:szCs w:val="20"/>
          <w:lang w:val="es-CR"/>
        </w:rPr>
        <w:t>quienes</w:t>
      </w:r>
      <w:r>
        <w:rPr>
          <w:rFonts w:ascii="Verdana" w:hAnsi="Verdana"/>
          <w:sz w:val="20"/>
          <w:szCs w:val="20"/>
          <w:lang w:val="es-CR"/>
        </w:rPr>
        <w:t xml:space="preserve"> quieran participar en la vida pública, pues sabrán que hacerlo implica riesgos que trascienden aquellos naturales al juego democrático</w:t>
      </w:r>
      <w:r w:rsidR="000909F2">
        <w:rPr>
          <w:rFonts w:ascii="Verdana" w:hAnsi="Verdana"/>
          <w:sz w:val="20"/>
          <w:szCs w:val="20"/>
          <w:lang w:val="es-CR"/>
        </w:rPr>
        <w:t>, y que pueden implicar afectaciones a bienes como su libertad personal, su propiedad, o su libertad de movimiento</w:t>
      </w:r>
      <w:r>
        <w:rPr>
          <w:rFonts w:ascii="Verdana" w:hAnsi="Verdana"/>
          <w:sz w:val="20"/>
          <w:szCs w:val="20"/>
          <w:lang w:val="es-CR"/>
        </w:rPr>
        <w:t xml:space="preserve">. Los Estados tienen la obligación de </w:t>
      </w:r>
      <w:r w:rsidR="000909F2">
        <w:rPr>
          <w:rFonts w:ascii="Verdana" w:hAnsi="Verdana"/>
          <w:sz w:val="20"/>
          <w:szCs w:val="20"/>
          <w:lang w:val="es-CR"/>
        </w:rPr>
        <w:t>combatir y desincentivar la corrupción</w:t>
      </w:r>
      <w:r>
        <w:rPr>
          <w:rFonts w:ascii="Verdana" w:hAnsi="Verdana"/>
          <w:sz w:val="20"/>
          <w:szCs w:val="20"/>
          <w:lang w:val="es-CR"/>
        </w:rPr>
        <w:t xml:space="preserve">, </w:t>
      </w:r>
      <w:r w:rsidR="000909F2">
        <w:rPr>
          <w:rFonts w:ascii="Verdana" w:hAnsi="Verdana"/>
          <w:sz w:val="20"/>
          <w:szCs w:val="20"/>
          <w:lang w:val="es-CR"/>
        </w:rPr>
        <w:t xml:space="preserve">pero sin que esto </w:t>
      </w:r>
      <w:r w:rsidR="000620FF">
        <w:rPr>
          <w:rFonts w:ascii="Verdana" w:hAnsi="Verdana"/>
          <w:sz w:val="20"/>
          <w:szCs w:val="20"/>
          <w:lang w:val="es-CR"/>
        </w:rPr>
        <w:t>violente</w:t>
      </w:r>
      <w:r w:rsidR="000909F2">
        <w:rPr>
          <w:rFonts w:ascii="Verdana" w:hAnsi="Verdana"/>
          <w:sz w:val="20"/>
          <w:szCs w:val="20"/>
          <w:lang w:val="es-CR"/>
        </w:rPr>
        <w:t xml:space="preserve"> </w:t>
      </w:r>
      <w:r w:rsidR="00F874B4" w:rsidRPr="000909F2">
        <w:rPr>
          <w:rFonts w:ascii="Verdana" w:hAnsi="Verdana"/>
          <w:sz w:val="20"/>
          <w:szCs w:val="20"/>
          <w:lang w:val="es-CR"/>
        </w:rPr>
        <w:t>los derechos de las personas acusadas o procesadas</w:t>
      </w:r>
      <w:r w:rsidR="000620FF">
        <w:rPr>
          <w:rFonts w:ascii="Verdana" w:hAnsi="Verdana"/>
          <w:sz w:val="20"/>
          <w:szCs w:val="20"/>
          <w:lang w:val="es-CR"/>
        </w:rPr>
        <w:t>, ni afecte la promoción y defensa de la democracia</w:t>
      </w:r>
      <w:r w:rsidR="00F874B4" w:rsidRPr="000909F2">
        <w:rPr>
          <w:rFonts w:ascii="Verdana" w:hAnsi="Verdana"/>
          <w:sz w:val="20"/>
          <w:szCs w:val="20"/>
          <w:lang w:val="es-CR"/>
        </w:rPr>
        <w:t>.</w:t>
      </w:r>
    </w:p>
    <w:p w14:paraId="5D2B6DA8" w14:textId="77777777" w:rsidR="000620FF" w:rsidRDefault="000620FF" w:rsidP="000620FF">
      <w:pPr>
        <w:pStyle w:val="ListParagraph"/>
        <w:tabs>
          <w:tab w:val="left" w:pos="567"/>
          <w:tab w:val="left" w:pos="709"/>
        </w:tabs>
        <w:spacing w:after="0" w:line="240" w:lineRule="auto"/>
        <w:ind w:left="0"/>
        <w:jc w:val="both"/>
        <w:rPr>
          <w:rFonts w:ascii="Verdana" w:hAnsi="Verdana"/>
          <w:sz w:val="20"/>
          <w:szCs w:val="20"/>
          <w:lang w:val="es-CR"/>
        </w:rPr>
      </w:pPr>
    </w:p>
    <w:p w14:paraId="54C111DD" w14:textId="6B927D13" w:rsidR="007D673D" w:rsidRPr="000909F2" w:rsidRDefault="00F874B4" w:rsidP="000909F2">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0909F2">
        <w:rPr>
          <w:rFonts w:ascii="Verdana" w:hAnsi="Verdana"/>
          <w:sz w:val="20"/>
          <w:szCs w:val="20"/>
          <w:lang w:val="es-CR"/>
        </w:rPr>
        <w:t xml:space="preserve"> Esto implica que los procesos</w:t>
      </w:r>
      <w:r w:rsidR="000620FF">
        <w:rPr>
          <w:rFonts w:ascii="Verdana" w:hAnsi="Verdana"/>
          <w:sz w:val="20"/>
          <w:szCs w:val="20"/>
          <w:lang w:val="es-CR"/>
        </w:rPr>
        <w:t xml:space="preserve"> seguidos contra personas acusadas de delitos relacionados con actos de corrupción</w:t>
      </w:r>
      <w:r w:rsidRPr="000909F2">
        <w:rPr>
          <w:rFonts w:ascii="Verdana" w:hAnsi="Verdana"/>
          <w:sz w:val="20"/>
          <w:szCs w:val="20"/>
          <w:lang w:val="es-CR"/>
        </w:rPr>
        <w:t xml:space="preserve"> deberán ser realizados con estricto apego a los derechos reconocidos en la Convención Americana, en especial a los derechos a la libertad personal (artículo 7), a las garantías judiciales (artículo 8), y a la protección judicial (artículo 25). También requiere que el marco legal a través del cual se combate la corrupción se ajuste a las obligaciones generales del Estado, tal y como lo requiere el artículo 2 de la Convención. En relación con este último punto, </w:t>
      </w:r>
      <w:r w:rsidR="00C05E0A" w:rsidRPr="000909F2">
        <w:rPr>
          <w:rFonts w:ascii="Verdana" w:hAnsi="Verdana"/>
          <w:sz w:val="20"/>
          <w:szCs w:val="20"/>
          <w:lang w:val="es-CR"/>
        </w:rPr>
        <w:t xml:space="preserve">es necesario que se reduzcan al máximo las restricciones legislativas que no permiten la participación política de personas que se encuentran sujetas a un proceso, para de esta forma desincentivar el uso </w:t>
      </w:r>
      <w:r w:rsidR="00AB7E36" w:rsidRPr="000909F2">
        <w:rPr>
          <w:rFonts w:ascii="Verdana" w:hAnsi="Verdana"/>
          <w:sz w:val="20"/>
          <w:szCs w:val="20"/>
          <w:lang w:val="es-CR"/>
        </w:rPr>
        <w:t>del proceso</w:t>
      </w:r>
      <w:r w:rsidR="00C05E0A" w:rsidRPr="000909F2">
        <w:rPr>
          <w:rFonts w:ascii="Verdana" w:hAnsi="Verdana"/>
          <w:sz w:val="20"/>
          <w:szCs w:val="20"/>
          <w:lang w:val="es-CR"/>
        </w:rPr>
        <w:t xml:space="preserve"> penales c</w:t>
      </w:r>
      <w:r w:rsidR="00AB7E36" w:rsidRPr="000909F2">
        <w:rPr>
          <w:rFonts w:ascii="Verdana" w:hAnsi="Verdana"/>
          <w:sz w:val="20"/>
          <w:szCs w:val="20"/>
          <w:lang w:val="es-CR"/>
        </w:rPr>
        <w:t>on finalidades</w:t>
      </w:r>
      <w:r w:rsidR="00C05E0A" w:rsidRPr="000909F2">
        <w:rPr>
          <w:rFonts w:ascii="Verdana" w:hAnsi="Verdana"/>
          <w:sz w:val="20"/>
          <w:szCs w:val="20"/>
          <w:lang w:val="es-CR"/>
        </w:rPr>
        <w:t xml:space="preserve"> pol</w:t>
      </w:r>
      <w:r w:rsidR="00AB7E36" w:rsidRPr="000909F2">
        <w:rPr>
          <w:rFonts w:ascii="Verdana" w:hAnsi="Verdana"/>
          <w:sz w:val="20"/>
          <w:szCs w:val="20"/>
          <w:lang w:val="es-CR"/>
        </w:rPr>
        <w:t>ítica</w:t>
      </w:r>
      <w:r w:rsidR="00C05E0A" w:rsidRPr="000909F2">
        <w:rPr>
          <w:rFonts w:ascii="Verdana" w:hAnsi="Verdana"/>
          <w:sz w:val="20"/>
          <w:szCs w:val="20"/>
          <w:lang w:val="es-CR"/>
        </w:rPr>
        <w:t>s</w:t>
      </w:r>
      <w:r w:rsidR="009434BA" w:rsidRPr="000909F2">
        <w:rPr>
          <w:rFonts w:ascii="Verdana" w:hAnsi="Verdana"/>
          <w:sz w:val="20"/>
          <w:szCs w:val="20"/>
          <w:lang w:val="es-CR"/>
        </w:rPr>
        <w:t xml:space="preserve"> </w:t>
      </w:r>
      <w:r w:rsidR="000620FF">
        <w:rPr>
          <w:rFonts w:ascii="Verdana" w:hAnsi="Verdana"/>
          <w:sz w:val="20"/>
          <w:szCs w:val="20"/>
          <w:lang w:val="es-CR"/>
        </w:rPr>
        <w:t>(</w:t>
      </w:r>
      <w:r w:rsidR="000620FF">
        <w:rPr>
          <w:rFonts w:ascii="Verdana" w:hAnsi="Verdana"/>
          <w:sz w:val="20"/>
          <w:lang w:val="es-CR"/>
        </w:rPr>
        <w:t xml:space="preserve">p. ej., </w:t>
      </w:r>
      <w:r w:rsidR="009434BA" w:rsidRPr="000909F2">
        <w:rPr>
          <w:rFonts w:ascii="Verdana" w:hAnsi="Verdana"/>
          <w:sz w:val="20"/>
          <w:szCs w:val="20"/>
          <w:lang w:val="es-CR"/>
        </w:rPr>
        <w:t>con el fin de excluir a una persona para presentarse como candidato a una elección</w:t>
      </w:r>
      <w:r w:rsidR="000620FF">
        <w:rPr>
          <w:rFonts w:ascii="Verdana" w:hAnsi="Verdana"/>
          <w:sz w:val="20"/>
          <w:szCs w:val="20"/>
          <w:lang w:val="es-CR"/>
        </w:rPr>
        <w:t>)</w:t>
      </w:r>
      <w:r w:rsidR="00C05E0A" w:rsidRPr="000909F2">
        <w:rPr>
          <w:rFonts w:ascii="Verdana" w:hAnsi="Verdana"/>
          <w:sz w:val="20"/>
          <w:szCs w:val="20"/>
          <w:lang w:val="es-CR"/>
        </w:rPr>
        <w:t>.</w:t>
      </w:r>
      <w:r w:rsidR="00AB7E36" w:rsidRPr="000909F2">
        <w:rPr>
          <w:rFonts w:ascii="Verdana" w:hAnsi="Verdana"/>
          <w:sz w:val="20"/>
          <w:szCs w:val="20"/>
          <w:lang w:val="es-CR"/>
        </w:rPr>
        <w:t xml:space="preserve"> Acciones de esta naturaleza fortalecerían el ejercicio de los derechos políticos de todos los ciudadanos, al </w:t>
      </w:r>
      <w:r w:rsidR="009434BA" w:rsidRPr="000909F2">
        <w:rPr>
          <w:rFonts w:ascii="Verdana" w:hAnsi="Verdana"/>
          <w:sz w:val="20"/>
          <w:szCs w:val="20"/>
          <w:lang w:val="es-CR"/>
        </w:rPr>
        <w:t>coadyuvar en la creación de</w:t>
      </w:r>
      <w:r w:rsidR="00AB7E36" w:rsidRPr="000909F2">
        <w:rPr>
          <w:rFonts w:ascii="Verdana" w:hAnsi="Verdana"/>
          <w:sz w:val="20"/>
          <w:szCs w:val="20"/>
          <w:lang w:val="es-CR"/>
        </w:rPr>
        <w:t xml:space="preserve"> condiciones </w:t>
      </w:r>
      <w:r w:rsidR="009434BA" w:rsidRPr="000909F2">
        <w:rPr>
          <w:rFonts w:ascii="Verdana" w:hAnsi="Verdana"/>
          <w:sz w:val="20"/>
          <w:szCs w:val="20"/>
          <w:lang w:val="es-CR"/>
        </w:rPr>
        <w:t>que permitan</w:t>
      </w:r>
      <w:r w:rsidR="00AB7E36" w:rsidRPr="000909F2">
        <w:rPr>
          <w:rFonts w:ascii="Verdana" w:hAnsi="Verdana"/>
          <w:sz w:val="20"/>
          <w:szCs w:val="20"/>
          <w:lang w:val="es-CR"/>
        </w:rPr>
        <w:t xml:space="preserve"> “participar en la dirección de los asuntos públicos”, </w:t>
      </w:r>
      <w:r w:rsidR="009434BA" w:rsidRPr="000909F2">
        <w:rPr>
          <w:rFonts w:ascii="Verdana" w:hAnsi="Verdana"/>
          <w:sz w:val="20"/>
          <w:szCs w:val="20"/>
          <w:lang w:val="es-CR"/>
        </w:rPr>
        <w:t>y</w:t>
      </w:r>
      <w:r w:rsidR="00AB7E36" w:rsidRPr="000909F2">
        <w:rPr>
          <w:rFonts w:ascii="Verdana" w:hAnsi="Verdana"/>
          <w:sz w:val="20"/>
          <w:szCs w:val="20"/>
          <w:lang w:val="es-CR"/>
        </w:rPr>
        <w:t xml:space="preserve"> “tener acceso, en condiciones generales de igualdad, a las funciones públicas de su país</w:t>
      </w:r>
      <w:r w:rsidR="00AB7E36">
        <w:rPr>
          <w:rStyle w:val="FootnoteReference"/>
          <w:rFonts w:ascii="Verdana" w:hAnsi="Verdana"/>
          <w:sz w:val="20"/>
          <w:szCs w:val="20"/>
          <w:lang w:val="es-CR"/>
        </w:rPr>
        <w:footnoteReference w:id="9"/>
      </w:r>
      <w:r w:rsidR="00AB7E36" w:rsidRPr="000909F2">
        <w:rPr>
          <w:rFonts w:ascii="Verdana" w:hAnsi="Verdana"/>
          <w:sz w:val="20"/>
          <w:szCs w:val="20"/>
          <w:lang w:val="es-CR"/>
        </w:rPr>
        <w:t xml:space="preserve">.” </w:t>
      </w:r>
      <w:r w:rsidR="00C05E0A" w:rsidRPr="000909F2">
        <w:rPr>
          <w:rFonts w:ascii="Verdana" w:hAnsi="Verdana"/>
          <w:sz w:val="20"/>
          <w:szCs w:val="20"/>
          <w:lang w:val="es-CR"/>
        </w:rPr>
        <w:t xml:space="preserve">   </w:t>
      </w:r>
      <w:r w:rsidRPr="000909F2">
        <w:rPr>
          <w:rFonts w:ascii="Verdana" w:hAnsi="Verdana"/>
          <w:sz w:val="20"/>
          <w:szCs w:val="20"/>
          <w:lang w:val="es-CR"/>
        </w:rPr>
        <w:t xml:space="preserve">  </w:t>
      </w:r>
      <w:r w:rsidR="007D673D" w:rsidRPr="000909F2">
        <w:rPr>
          <w:rFonts w:ascii="Verdana" w:hAnsi="Verdana"/>
          <w:sz w:val="20"/>
          <w:szCs w:val="20"/>
          <w:lang w:val="es-CR"/>
        </w:rPr>
        <w:t xml:space="preserve">  </w:t>
      </w:r>
    </w:p>
    <w:p w14:paraId="237AC558" w14:textId="77777777" w:rsidR="0047311C" w:rsidRDefault="0047311C" w:rsidP="0047311C">
      <w:pPr>
        <w:pStyle w:val="ListParagraph"/>
        <w:tabs>
          <w:tab w:val="left" w:pos="567"/>
          <w:tab w:val="left" w:pos="709"/>
        </w:tabs>
        <w:spacing w:after="0" w:line="240" w:lineRule="auto"/>
        <w:ind w:left="0"/>
        <w:jc w:val="both"/>
        <w:rPr>
          <w:rFonts w:ascii="Verdana" w:hAnsi="Verdana"/>
          <w:sz w:val="20"/>
          <w:szCs w:val="20"/>
          <w:lang w:val="es-CR"/>
        </w:rPr>
      </w:pPr>
    </w:p>
    <w:p w14:paraId="37F17CFD" w14:textId="77777777" w:rsidR="00240089" w:rsidRPr="00240089" w:rsidRDefault="00240089" w:rsidP="00240089">
      <w:pPr>
        <w:pStyle w:val="ListParagraph"/>
        <w:numPr>
          <w:ilvl w:val="0"/>
          <w:numId w:val="7"/>
        </w:numPr>
        <w:tabs>
          <w:tab w:val="left" w:pos="567"/>
          <w:tab w:val="left" w:pos="709"/>
        </w:tabs>
        <w:spacing w:after="0" w:line="240" w:lineRule="auto"/>
        <w:jc w:val="both"/>
        <w:rPr>
          <w:rFonts w:ascii="Verdana" w:hAnsi="Verdana"/>
          <w:b/>
          <w:i/>
          <w:sz w:val="20"/>
          <w:szCs w:val="20"/>
          <w:lang w:val="es-CR"/>
        </w:rPr>
      </w:pPr>
      <w:r w:rsidRPr="00240089">
        <w:rPr>
          <w:rFonts w:ascii="Verdana" w:hAnsi="Verdana"/>
          <w:b/>
          <w:i/>
          <w:sz w:val="20"/>
          <w:szCs w:val="20"/>
          <w:lang w:val="es-CR"/>
        </w:rPr>
        <w:t xml:space="preserve">El derecho </w:t>
      </w:r>
      <w:r w:rsidR="00C73862">
        <w:rPr>
          <w:rFonts w:ascii="Verdana" w:hAnsi="Verdana"/>
          <w:b/>
          <w:i/>
          <w:sz w:val="20"/>
          <w:szCs w:val="20"/>
          <w:lang w:val="es-CR"/>
        </w:rPr>
        <w:t xml:space="preserve">del funcionario público </w:t>
      </w:r>
      <w:r w:rsidRPr="00240089">
        <w:rPr>
          <w:rFonts w:ascii="Verdana" w:hAnsi="Verdana"/>
          <w:b/>
          <w:i/>
          <w:sz w:val="20"/>
          <w:szCs w:val="20"/>
          <w:lang w:val="es-CR"/>
        </w:rPr>
        <w:t xml:space="preserve">a </w:t>
      </w:r>
      <w:r>
        <w:rPr>
          <w:rFonts w:ascii="Verdana" w:hAnsi="Verdana"/>
          <w:b/>
          <w:i/>
          <w:sz w:val="20"/>
          <w:szCs w:val="20"/>
          <w:lang w:val="es-CR"/>
        </w:rPr>
        <w:t>ser juzgado en un plazo razonable</w:t>
      </w:r>
    </w:p>
    <w:p w14:paraId="4654BC58" w14:textId="77777777" w:rsidR="0047311C" w:rsidRDefault="0047311C" w:rsidP="0047311C">
      <w:pPr>
        <w:pStyle w:val="ListParagraph"/>
        <w:tabs>
          <w:tab w:val="left" w:pos="567"/>
          <w:tab w:val="left" w:pos="709"/>
        </w:tabs>
        <w:spacing w:after="0" w:line="240" w:lineRule="auto"/>
        <w:ind w:left="0"/>
        <w:jc w:val="both"/>
        <w:rPr>
          <w:rFonts w:ascii="Verdana" w:hAnsi="Verdana"/>
          <w:sz w:val="20"/>
          <w:szCs w:val="20"/>
          <w:lang w:val="es-CR"/>
        </w:rPr>
      </w:pPr>
    </w:p>
    <w:p w14:paraId="7565847E" w14:textId="58A39166" w:rsidR="009434BA" w:rsidRDefault="00DF188C" w:rsidP="009434BA">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Es i</w:t>
      </w:r>
      <w:r w:rsidR="009434BA">
        <w:rPr>
          <w:rFonts w:ascii="Verdana" w:hAnsi="Verdana"/>
          <w:sz w:val="20"/>
          <w:szCs w:val="20"/>
          <w:lang w:val="es-CR"/>
        </w:rPr>
        <w:t xml:space="preserve">gualmente relevante que los Estados respeten la garantía del plazo razonable en procesos </w:t>
      </w:r>
      <w:r>
        <w:rPr>
          <w:rFonts w:ascii="Verdana" w:hAnsi="Verdana"/>
          <w:sz w:val="20"/>
          <w:szCs w:val="20"/>
          <w:lang w:val="es-CR"/>
        </w:rPr>
        <w:t xml:space="preserve">seguidos </w:t>
      </w:r>
      <w:r w:rsidR="009434BA">
        <w:rPr>
          <w:rFonts w:ascii="Verdana" w:hAnsi="Verdana"/>
          <w:sz w:val="20"/>
          <w:szCs w:val="20"/>
          <w:lang w:val="es-CR"/>
        </w:rPr>
        <w:t>por</w:t>
      </w:r>
      <w:r>
        <w:rPr>
          <w:rFonts w:ascii="Verdana" w:hAnsi="Verdana"/>
          <w:sz w:val="20"/>
          <w:szCs w:val="20"/>
          <w:lang w:val="es-CR"/>
        </w:rPr>
        <w:t xml:space="preserve"> </w:t>
      </w:r>
      <w:r w:rsidR="000620FF">
        <w:rPr>
          <w:rFonts w:ascii="Verdana" w:hAnsi="Verdana"/>
          <w:sz w:val="20"/>
          <w:szCs w:val="20"/>
          <w:lang w:val="es-CR"/>
        </w:rPr>
        <w:t>delitos relacionados con actos de</w:t>
      </w:r>
      <w:r w:rsidR="005D0FC6">
        <w:rPr>
          <w:rFonts w:ascii="Verdana" w:hAnsi="Verdana"/>
          <w:sz w:val="20"/>
          <w:szCs w:val="20"/>
          <w:lang w:val="es-CR"/>
        </w:rPr>
        <w:t xml:space="preserve"> corrupción</w:t>
      </w:r>
      <w:r w:rsidR="009434BA">
        <w:rPr>
          <w:rFonts w:ascii="Verdana" w:hAnsi="Verdana"/>
          <w:sz w:val="20"/>
          <w:szCs w:val="20"/>
          <w:lang w:val="es-CR"/>
        </w:rPr>
        <w:t>.</w:t>
      </w:r>
      <w:r>
        <w:rPr>
          <w:rFonts w:ascii="Verdana" w:hAnsi="Verdana"/>
          <w:sz w:val="20"/>
          <w:szCs w:val="20"/>
          <w:lang w:val="es-CR"/>
        </w:rPr>
        <w:t xml:space="preserve"> La Corte ha establecido que el derecho de acceso a la justicia requiere que los hechos investigados en un proceso penal sean resueltos en un plazo razonable, toda vez que una demora prolongada puede constituir, por sí misma, una </w:t>
      </w:r>
      <w:r>
        <w:rPr>
          <w:rFonts w:ascii="Verdana" w:hAnsi="Verdana"/>
          <w:sz w:val="20"/>
          <w:szCs w:val="20"/>
          <w:lang w:val="es-CR"/>
        </w:rPr>
        <w:lastRenderedPageBreak/>
        <w:t>violación de las garantías procesales</w:t>
      </w:r>
      <w:r>
        <w:rPr>
          <w:rStyle w:val="FootnoteReference"/>
          <w:rFonts w:ascii="Verdana" w:hAnsi="Verdana"/>
          <w:sz w:val="20"/>
          <w:szCs w:val="20"/>
          <w:lang w:val="es-CR"/>
        </w:rPr>
        <w:footnoteReference w:id="10"/>
      </w:r>
      <w:r>
        <w:rPr>
          <w:rFonts w:ascii="Verdana" w:hAnsi="Verdana"/>
          <w:sz w:val="20"/>
          <w:szCs w:val="20"/>
          <w:lang w:val="es-CR"/>
        </w:rPr>
        <w:t>.</w:t>
      </w:r>
      <w:r w:rsidR="009434BA">
        <w:rPr>
          <w:rFonts w:ascii="Verdana" w:hAnsi="Verdana"/>
          <w:sz w:val="20"/>
          <w:szCs w:val="20"/>
          <w:lang w:val="es-CR"/>
        </w:rPr>
        <w:t xml:space="preserve"> </w:t>
      </w:r>
      <w:r>
        <w:rPr>
          <w:rFonts w:ascii="Verdana" w:hAnsi="Verdana"/>
          <w:sz w:val="20"/>
          <w:szCs w:val="20"/>
          <w:lang w:val="es-CR"/>
        </w:rPr>
        <w:t>La razonabilidad del plazo se analiza considerando cuatro elementos: a) la complejidad del asunto; b) la actividad procesal del interesado; c) la conducta de las autoridades judiciales;</w:t>
      </w:r>
      <w:r w:rsidR="00AC169A">
        <w:rPr>
          <w:rFonts w:ascii="Verdana" w:hAnsi="Verdana"/>
          <w:sz w:val="20"/>
          <w:szCs w:val="20"/>
          <w:lang w:val="es-CR"/>
        </w:rPr>
        <w:t xml:space="preserve"> y</w:t>
      </w:r>
      <w:r>
        <w:rPr>
          <w:rFonts w:ascii="Verdana" w:hAnsi="Verdana"/>
          <w:sz w:val="20"/>
          <w:szCs w:val="20"/>
          <w:lang w:val="es-CR"/>
        </w:rPr>
        <w:t xml:space="preserve"> </w:t>
      </w:r>
      <w:r w:rsidR="00AC169A">
        <w:rPr>
          <w:rFonts w:ascii="Verdana" w:hAnsi="Verdana"/>
          <w:sz w:val="20"/>
          <w:szCs w:val="20"/>
          <w:lang w:val="es-CR"/>
        </w:rPr>
        <w:t>d) la afectación generada en la situación jurídica de la persona involucrada en el proceso</w:t>
      </w:r>
      <w:r w:rsidR="00AC169A" w:rsidRPr="00AF0D6B">
        <w:rPr>
          <w:rStyle w:val="FootnoteReference"/>
        </w:rPr>
        <w:footnoteReference w:id="11"/>
      </w:r>
      <w:r w:rsidR="00AC169A">
        <w:rPr>
          <w:rFonts w:ascii="Verdana" w:hAnsi="Verdana"/>
          <w:sz w:val="20"/>
          <w:szCs w:val="20"/>
          <w:lang w:val="es-CR"/>
        </w:rPr>
        <w:t>.</w:t>
      </w:r>
      <w:r w:rsidR="009434BA">
        <w:rPr>
          <w:rFonts w:ascii="Verdana" w:hAnsi="Verdana"/>
          <w:sz w:val="20"/>
          <w:szCs w:val="20"/>
          <w:lang w:val="es-CR"/>
        </w:rPr>
        <w:t xml:space="preserve"> </w:t>
      </w:r>
      <w:r w:rsidR="00AC169A">
        <w:rPr>
          <w:rFonts w:ascii="Verdana" w:hAnsi="Verdana"/>
          <w:sz w:val="20"/>
          <w:szCs w:val="20"/>
          <w:lang w:val="es-CR"/>
        </w:rPr>
        <w:t>En relación al cuarto elemento, la Corte también ha establecido que las autoridades deben actuar con mayor diligencia en aquellos casos donde de la duración del proceso depende la protección de otros derechos de los sujetos del proceso</w:t>
      </w:r>
      <w:r w:rsidR="00AC169A">
        <w:rPr>
          <w:rStyle w:val="FootnoteReference"/>
        </w:rPr>
        <w:footnoteReference w:id="12"/>
      </w:r>
      <w:r w:rsidR="00AC169A">
        <w:rPr>
          <w:rFonts w:ascii="Verdana" w:hAnsi="Verdana"/>
          <w:sz w:val="20"/>
          <w:szCs w:val="20"/>
          <w:lang w:val="es-CR"/>
        </w:rPr>
        <w:t>. En el presente caso, la Corte determinó que la prolongación de los procesos “constituyó un elemento co</w:t>
      </w:r>
      <w:r w:rsidR="00401D84">
        <w:rPr>
          <w:rFonts w:ascii="Verdana" w:hAnsi="Verdana"/>
          <w:sz w:val="20"/>
          <w:szCs w:val="20"/>
          <w:lang w:val="es-CR"/>
        </w:rPr>
        <w:t>n</w:t>
      </w:r>
      <w:r w:rsidR="00AC169A">
        <w:rPr>
          <w:rFonts w:ascii="Verdana" w:hAnsi="Verdana"/>
          <w:sz w:val="20"/>
          <w:szCs w:val="20"/>
          <w:lang w:val="es-CR"/>
        </w:rPr>
        <w:t xml:space="preserve">sustancial a la afectación al derecho a la propiedad, y al derecho a la circulación de la señora Andrade” (párr. 164). </w:t>
      </w:r>
    </w:p>
    <w:p w14:paraId="3A0DDD81" w14:textId="64E8EC98" w:rsidR="00AC169A" w:rsidRDefault="00AC169A" w:rsidP="00AC169A">
      <w:pPr>
        <w:pStyle w:val="ListParagraph"/>
        <w:tabs>
          <w:tab w:val="left" w:pos="567"/>
          <w:tab w:val="left" w:pos="709"/>
        </w:tabs>
        <w:spacing w:after="0" w:line="240" w:lineRule="auto"/>
        <w:ind w:left="0"/>
        <w:jc w:val="both"/>
        <w:rPr>
          <w:rFonts w:ascii="Verdana" w:hAnsi="Verdana"/>
          <w:sz w:val="20"/>
          <w:szCs w:val="20"/>
          <w:lang w:val="es-CR"/>
        </w:rPr>
      </w:pPr>
    </w:p>
    <w:p w14:paraId="65885410" w14:textId="76E12DD2" w:rsidR="00AC169A" w:rsidRPr="00401D84" w:rsidRDefault="00AC169A" w:rsidP="00BA04ED">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401D84">
        <w:rPr>
          <w:rFonts w:ascii="Verdana" w:hAnsi="Verdana"/>
          <w:sz w:val="20"/>
          <w:szCs w:val="20"/>
          <w:lang w:val="es-CR"/>
        </w:rPr>
        <w:t>En este caso no fue alegado</w:t>
      </w:r>
      <w:r w:rsidR="002630F4" w:rsidRPr="00401D84">
        <w:rPr>
          <w:rFonts w:ascii="Verdana" w:hAnsi="Verdana"/>
          <w:sz w:val="20"/>
          <w:szCs w:val="20"/>
          <w:lang w:val="es-CR"/>
        </w:rPr>
        <w:t xml:space="preserve"> </w:t>
      </w:r>
      <w:r w:rsidRPr="00401D84">
        <w:rPr>
          <w:rFonts w:ascii="Verdana" w:hAnsi="Verdana"/>
          <w:sz w:val="20"/>
          <w:szCs w:val="20"/>
          <w:lang w:val="es-CR"/>
        </w:rPr>
        <w:t>que la duración excesiva de los procesos</w:t>
      </w:r>
      <w:r w:rsidR="002630F4" w:rsidRPr="00401D84">
        <w:rPr>
          <w:rFonts w:ascii="Verdana" w:hAnsi="Verdana"/>
          <w:sz w:val="20"/>
          <w:szCs w:val="20"/>
          <w:lang w:val="es-CR"/>
        </w:rPr>
        <w:t xml:space="preserve"> </w:t>
      </w:r>
      <w:r w:rsidRPr="00401D84">
        <w:rPr>
          <w:rFonts w:ascii="Verdana" w:hAnsi="Verdana"/>
          <w:sz w:val="20"/>
          <w:szCs w:val="20"/>
          <w:lang w:val="es-CR"/>
        </w:rPr>
        <w:t>hubiera impactado los derechos pol</w:t>
      </w:r>
      <w:r w:rsidR="002630F4" w:rsidRPr="00401D84">
        <w:rPr>
          <w:rFonts w:ascii="Verdana" w:hAnsi="Verdana"/>
          <w:sz w:val="20"/>
          <w:szCs w:val="20"/>
          <w:lang w:val="es-CR"/>
        </w:rPr>
        <w:t xml:space="preserve">íticos de la señora Andrade Salmón. Sin embargo, no es remoto imaginar circunstancias donde los procesos penales se instrumentalicen –tanto en su </w:t>
      </w:r>
      <w:r w:rsidR="00706C63" w:rsidRPr="00401D84">
        <w:rPr>
          <w:rFonts w:ascii="Verdana" w:hAnsi="Verdana"/>
          <w:sz w:val="20"/>
          <w:szCs w:val="20"/>
          <w:lang w:val="es-CR"/>
        </w:rPr>
        <w:t>existencia misma</w:t>
      </w:r>
      <w:r w:rsidR="002630F4" w:rsidRPr="00401D84">
        <w:rPr>
          <w:rFonts w:ascii="Verdana" w:hAnsi="Verdana"/>
          <w:sz w:val="20"/>
          <w:szCs w:val="20"/>
          <w:lang w:val="es-CR"/>
        </w:rPr>
        <w:t>, como en su duración– con el objetivo de afectar derechos polít</w:t>
      </w:r>
      <w:r w:rsidR="00706C63" w:rsidRPr="00401D84">
        <w:rPr>
          <w:rFonts w:ascii="Verdana" w:hAnsi="Verdana"/>
          <w:sz w:val="20"/>
          <w:szCs w:val="20"/>
          <w:lang w:val="es-CR"/>
        </w:rPr>
        <w:t>icos de las personas sujetas a esos procesos</w:t>
      </w:r>
      <w:r w:rsidR="002630F4" w:rsidRPr="00401D84">
        <w:rPr>
          <w:rFonts w:ascii="Verdana" w:hAnsi="Verdana"/>
          <w:sz w:val="20"/>
          <w:szCs w:val="20"/>
          <w:lang w:val="es-CR"/>
        </w:rPr>
        <w:t>.</w:t>
      </w:r>
      <w:r w:rsidR="00706C63" w:rsidRPr="00401D84">
        <w:rPr>
          <w:rFonts w:ascii="Verdana" w:hAnsi="Verdana"/>
          <w:sz w:val="20"/>
          <w:szCs w:val="20"/>
          <w:lang w:val="es-CR"/>
        </w:rPr>
        <w:t xml:space="preserve"> En esos casos</w:t>
      </w:r>
      <w:r w:rsidR="009B3167" w:rsidRPr="00401D84">
        <w:rPr>
          <w:rFonts w:ascii="Verdana" w:hAnsi="Verdana"/>
          <w:sz w:val="20"/>
          <w:szCs w:val="20"/>
          <w:lang w:val="es-CR"/>
        </w:rPr>
        <w:t>,</w:t>
      </w:r>
      <w:r w:rsidR="00706C63" w:rsidRPr="00401D84">
        <w:rPr>
          <w:rFonts w:ascii="Verdana" w:hAnsi="Verdana"/>
          <w:sz w:val="20"/>
          <w:szCs w:val="20"/>
          <w:lang w:val="es-CR"/>
        </w:rPr>
        <w:t xml:space="preserve"> </w:t>
      </w:r>
      <w:r w:rsidR="000620FF" w:rsidRPr="00401D84">
        <w:rPr>
          <w:rFonts w:ascii="Verdana" w:hAnsi="Verdana"/>
          <w:sz w:val="20"/>
          <w:szCs w:val="20"/>
          <w:lang w:val="es-CR"/>
        </w:rPr>
        <w:t xml:space="preserve">la Comisión Interamericana de Derechos Humanos, o </w:t>
      </w:r>
      <w:r w:rsidR="00706C63" w:rsidRPr="00401D84">
        <w:rPr>
          <w:rFonts w:ascii="Verdana" w:hAnsi="Verdana"/>
          <w:sz w:val="20"/>
          <w:szCs w:val="20"/>
          <w:lang w:val="es-CR"/>
        </w:rPr>
        <w:t>las víctimas, a trav</w:t>
      </w:r>
      <w:r w:rsidR="000620FF" w:rsidRPr="00401D84">
        <w:rPr>
          <w:rFonts w:ascii="Verdana" w:hAnsi="Verdana"/>
          <w:sz w:val="20"/>
          <w:szCs w:val="20"/>
          <w:lang w:val="es-CR"/>
        </w:rPr>
        <w:t>és de sus representantes,</w:t>
      </w:r>
      <w:r w:rsidR="00706C63" w:rsidRPr="00401D84">
        <w:rPr>
          <w:rFonts w:ascii="Verdana" w:hAnsi="Verdana"/>
          <w:sz w:val="20"/>
          <w:szCs w:val="20"/>
          <w:lang w:val="es-CR"/>
        </w:rPr>
        <w:t xml:space="preserve"> deberán alegar, y probar, la existencia de una relación de causalidad entre el inicio de uno o varios procesos penales, y la </w:t>
      </w:r>
      <w:r w:rsidR="009B3167" w:rsidRPr="00401D84">
        <w:rPr>
          <w:rFonts w:ascii="Verdana" w:hAnsi="Verdana"/>
          <w:sz w:val="20"/>
          <w:szCs w:val="20"/>
          <w:lang w:val="es-CR"/>
        </w:rPr>
        <w:t xml:space="preserve">consecución de finalidades </w:t>
      </w:r>
      <w:r w:rsidR="000620FF" w:rsidRPr="00401D84">
        <w:rPr>
          <w:rFonts w:ascii="Verdana" w:hAnsi="Verdana"/>
          <w:sz w:val="20"/>
          <w:szCs w:val="20"/>
          <w:lang w:val="es-CR"/>
        </w:rPr>
        <w:t>ilegítimas</w:t>
      </w:r>
      <w:r w:rsidR="00706C63" w:rsidRPr="00401D84">
        <w:rPr>
          <w:rFonts w:ascii="Verdana" w:hAnsi="Verdana"/>
          <w:sz w:val="20"/>
          <w:szCs w:val="20"/>
          <w:lang w:val="es-CR"/>
        </w:rPr>
        <w:t xml:space="preserve"> (</w:t>
      </w:r>
      <w:r w:rsidR="000620FF" w:rsidRPr="00401D84">
        <w:rPr>
          <w:rFonts w:ascii="Verdana" w:hAnsi="Verdana"/>
          <w:sz w:val="20"/>
          <w:lang w:val="es-CR"/>
        </w:rPr>
        <w:t>p. ej.,</w:t>
      </w:r>
      <w:r w:rsidR="00706C63" w:rsidRPr="00401D84">
        <w:rPr>
          <w:rFonts w:ascii="Verdana" w:hAnsi="Verdana"/>
          <w:sz w:val="20"/>
          <w:szCs w:val="20"/>
          <w:lang w:val="es-CR"/>
        </w:rPr>
        <w:t xml:space="preserve"> impedir la candidatura de una persona a un puesto de elección popular). Estos alegatos tendrían aún más fuerza en cuanto sea probada la ausencia de motivos reales y fundantes en la acusación. </w:t>
      </w:r>
      <w:r w:rsidR="009B3167" w:rsidRPr="00401D84">
        <w:rPr>
          <w:rFonts w:ascii="Verdana" w:hAnsi="Verdana"/>
          <w:sz w:val="20"/>
          <w:szCs w:val="20"/>
          <w:lang w:val="es-CR"/>
        </w:rPr>
        <w:t>En este sentido,</w:t>
      </w:r>
      <w:r w:rsidR="00401D84" w:rsidRPr="00401D84">
        <w:rPr>
          <w:rFonts w:ascii="Verdana" w:hAnsi="Verdana"/>
          <w:sz w:val="20"/>
          <w:szCs w:val="20"/>
          <w:lang w:val="es-CR"/>
        </w:rPr>
        <w:t xml:space="preserve"> no basta alegar que la interposición de acciones penales (y en general acciones de carácter sancionatorio) es un instrumento para cercenar otros derechos. </w:t>
      </w:r>
      <w:r w:rsidR="009B3167" w:rsidRPr="00401D84">
        <w:rPr>
          <w:rFonts w:ascii="Verdana" w:hAnsi="Verdana"/>
          <w:sz w:val="20"/>
          <w:szCs w:val="20"/>
          <w:lang w:val="es-CR"/>
        </w:rPr>
        <w:t xml:space="preserve">Este </w:t>
      </w:r>
      <w:r w:rsidR="00DF2A76" w:rsidRPr="00401D84">
        <w:rPr>
          <w:rFonts w:ascii="Verdana" w:hAnsi="Verdana"/>
          <w:sz w:val="20"/>
          <w:szCs w:val="20"/>
          <w:lang w:val="es-CR"/>
        </w:rPr>
        <w:t>tipo de análisis, el cual evalúa el impacto que puede tener las características</w:t>
      </w:r>
      <w:r w:rsidR="00401D84">
        <w:rPr>
          <w:rFonts w:ascii="Verdana" w:hAnsi="Verdana"/>
          <w:sz w:val="20"/>
          <w:szCs w:val="20"/>
          <w:lang w:val="es-CR"/>
        </w:rPr>
        <w:t xml:space="preserve"> y duración de un proceso, </w:t>
      </w:r>
      <w:r w:rsidR="00696314">
        <w:rPr>
          <w:rFonts w:ascii="Verdana" w:hAnsi="Verdana"/>
          <w:sz w:val="20"/>
          <w:szCs w:val="20"/>
          <w:lang w:val="es-CR"/>
        </w:rPr>
        <w:t>podrían</w:t>
      </w:r>
      <w:r w:rsidR="00DF2A76" w:rsidRPr="00401D84">
        <w:rPr>
          <w:rFonts w:ascii="Verdana" w:hAnsi="Verdana"/>
          <w:sz w:val="20"/>
          <w:szCs w:val="20"/>
          <w:lang w:val="es-CR"/>
        </w:rPr>
        <w:t xml:space="preserve"> ser realizado</w:t>
      </w:r>
      <w:r w:rsidR="00401D84">
        <w:rPr>
          <w:rFonts w:ascii="Verdana" w:hAnsi="Verdana"/>
          <w:sz w:val="20"/>
          <w:szCs w:val="20"/>
          <w:lang w:val="es-CR"/>
        </w:rPr>
        <w:t>s</w:t>
      </w:r>
      <w:r w:rsidR="00DF2A76" w:rsidRPr="00401D84">
        <w:rPr>
          <w:rFonts w:ascii="Verdana" w:hAnsi="Verdana"/>
          <w:sz w:val="20"/>
          <w:szCs w:val="20"/>
          <w:lang w:val="es-CR"/>
        </w:rPr>
        <w:t xml:space="preserve"> en supuestos que involucren</w:t>
      </w:r>
      <w:r w:rsidR="00401D84">
        <w:rPr>
          <w:rFonts w:ascii="Verdana" w:hAnsi="Verdana"/>
          <w:sz w:val="20"/>
          <w:szCs w:val="20"/>
          <w:lang w:val="es-CR"/>
        </w:rPr>
        <w:t xml:space="preserve">, por ejemplo, </w:t>
      </w:r>
      <w:r w:rsidR="00DF2A76" w:rsidRPr="00401D84">
        <w:rPr>
          <w:rFonts w:ascii="Verdana" w:hAnsi="Verdana"/>
          <w:sz w:val="20"/>
          <w:szCs w:val="20"/>
          <w:lang w:val="es-CR"/>
        </w:rPr>
        <w:t xml:space="preserve">violaciones a los derechos políticos, la libertad de expresión, o el derecho a la honra, por mencionar algunos. </w:t>
      </w:r>
    </w:p>
    <w:p w14:paraId="5D2E25D5" w14:textId="77777777" w:rsidR="0047311C" w:rsidRPr="0047311C" w:rsidRDefault="0047311C" w:rsidP="0047311C">
      <w:pPr>
        <w:pStyle w:val="ListParagraph"/>
        <w:tabs>
          <w:tab w:val="left" w:pos="567"/>
          <w:tab w:val="left" w:pos="709"/>
        </w:tabs>
        <w:spacing w:after="0" w:line="240" w:lineRule="auto"/>
        <w:ind w:left="0"/>
        <w:jc w:val="both"/>
        <w:rPr>
          <w:rFonts w:ascii="Verdana" w:hAnsi="Verdana"/>
          <w:sz w:val="20"/>
          <w:szCs w:val="20"/>
          <w:lang w:val="es-CR"/>
        </w:rPr>
      </w:pPr>
    </w:p>
    <w:p w14:paraId="2651A75C" w14:textId="77777777"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14:paraId="258E3C48" w14:textId="459E7504"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14:paraId="4CC6EA3F" w14:textId="77777777"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14:paraId="06153FD8" w14:textId="08F9EC0C" w:rsidR="001A471D" w:rsidRDefault="001A471D" w:rsidP="001A471D">
      <w:pPr>
        <w:pStyle w:val="ListParagraph"/>
        <w:spacing w:after="240"/>
        <w:ind w:left="0" w:right="96"/>
        <w:contextualSpacing w:val="0"/>
        <w:rPr>
          <w:lang w:val="es-CR"/>
        </w:rPr>
      </w:pPr>
    </w:p>
    <w:p w14:paraId="1FA9F7B9" w14:textId="77777777" w:rsidR="001A471D" w:rsidRPr="001B4A16" w:rsidRDefault="001A471D" w:rsidP="001A471D">
      <w:pPr>
        <w:pStyle w:val="NormalWeb"/>
        <w:ind w:left="3600" w:right="96" w:firstLine="720"/>
        <w:jc w:val="center"/>
        <w:rPr>
          <w:rFonts w:ascii="Verdana" w:eastAsia="Calibri" w:hAnsi="Verdana"/>
          <w:sz w:val="20"/>
          <w:szCs w:val="20"/>
        </w:rPr>
      </w:pPr>
      <w:r>
        <w:rPr>
          <w:rFonts w:ascii="Verdana" w:eastAsia="Calibri" w:hAnsi="Verdana"/>
          <w:sz w:val="20"/>
          <w:szCs w:val="20"/>
        </w:rPr>
        <w:t>Humberto Antonio Sierra Porto</w:t>
      </w:r>
    </w:p>
    <w:p w14:paraId="5691286E" w14:textId="77777777" w:rsidR="001A471D" w:rsidRPr="00650FAD" w:rsidRDefault="001A471D" w:rsidP="001A471D">
      <w:pPr>
        <w:pStyle w:val="NormalWeb"/>
        <w:ind w:left="3960" w:right="96" w:firstLine="360"/>
        <w:jc w:val="center"/>
        <w:rPr>
          <w:rFonts w:ascii="Verdana" w:eastAsia="Calibri" w:hAnsi="Verdana"/>
          <w:sz w:val="20"/>
          <w:szCs w:val="20"/>
        </w:rPr>
      </w:pPr>
      <w:r w:rsidRPr="001B4A16">
        <w:rPr>
          <w:rFonts w:ascii="Verdana" w:eastAsia="Calibri" w:hAnsi="Verdana"/>
          <w:sz w:val="20"/>
          <w:szCs w:val="20"/>
        </w:rPr>
        <w:t>Juez</w:t>
      </w:r>
    </w:p>
    <w:p w14:paraId="19C8F4F5" w14:textId="77777777" w:rsidR="001A471D" w:rsidRDefault="001A471D" w:rsidP="001A471D">
      <w:pPr>
        <w:spacing w:after="0" w:line="240" w:lineRule="auto"/>
        <w:rPr>
          <w:rFonts w:ascii="Verdana" w:hAnsi="Verdana"/>
          <w:sz w:val="20"/>
          <w:szCs w:val="20"/>
          <w:lang w:val="es-CR"/>
        </w:rPr>
      </w:pPr>
    </w:p>
    <w:p w14:paraId="4D6A0B2F" w14:textId="77777777" w:rsidR="001A471D" w:rsidRDefault="001A471D" w:rsidP="001A471D">
      <w:pPr>
        <w:spacing w:after="0" w:line="240" w:lineRule="auto"/>
        <w:rPr>
          <w:rFonts w:ascii="Verdana" w:hAnsi="Verdana"/>
          <w:sz w:val="20"/>
          <w:szCs w:val="20"/>
          <w:lang w:val="es-CR"/>
        </w:rPr>
      </w:pPr>
    </w:p>
    <w:p w14:paraId="783BDC0B" w14:textId="4438666F" w:rsidR="001A471D" w:rsidRDefault="001A471D" w:rsidP="001A471D">
      <w:pPr>
        <w:spacing w:after="0" w:line="240" w:lineRule="auto"/>
        <w:rPr>
          <w:rFonts w:ascii="Verdana" w:hAnsi="Verdana"/>
          <w:sz w:val="20"/>
          <w:szCs w:val="20"/>
          <w:lang w:val="es-CR"/>
        </w:rPr>
      </w:pPr>
    </w:p>
    <w:p w14:paraId="2B758743" w14:textId="77777777" w:rsidR="001A471D" w:rsidRDefault="001A471D" w:rsidP="001A471D">
      <w:pPr>
        <w:spacing w:after="0" w:line="240" w:lineRule="auto"/>
        <w:rPr>
          <w:rFonts w:ascii="Verdana" w:hAnsi="Verdana"/>
          <w:sz w:val="20"/>
          <w:szCs w:val="20"/>
          <w:lang w:val="es-CR"/>
        </w:rPr>
      </w:pPr>
    </w:p>
    <w:p w14:paraId="56D2D328" w14:textId="77777777" w:rsidR="001A471D" w:rsidRDefault="001A471D" w:rsidP="001A471D">
      <w:pPr>
        <w:spacing w:after="0" w:line="240" w:lineRule="auto"/>
        <w:rPr>
          <w:rFonts w:ascii="Verdana" w:hAnsi="Verdana"/>
          <w:sz w:val="20"/>
          <w:szCs w:val="20"/>
          <w:lang w:val="es-CR"/>
        </w:rPr>
      </w:pPr>
    </w:p>
    <w:p w14:paraId="70FB79BF" w14:textId="77777777" w:rsidR="001A471D" w:rsidRPr="00464D5E" w:rsidRDefault="00B15EF8" w:rsidP="001A471D">
      <w:pPr>
        <w:spacing w:after="0" w:line="240" w:lineRule="auto"/>
        <w:rPr>
          <w:rFonts w:ascii="Verdana" w:hAnsi="Verdana"/>
          <w:sz w:val="20"/>
          <w:szCs w:val="20"/>
          <w:lang w:val="es-CR"/>
        </w:rPr>
      </w:pPr>
      <w:r>
        <w:rPr>
          <w:rFonts w:ascii="Verdana" w:hAnsi="Verdana"/>
          <w:sz w:val="20"/>
          <w:szCs w:val="20"/>
          <w:lang w:val="es-CR"/>
        </w:rPr>
        <w:t xml:space="preserve">    </w:t>
      </w:r>
      <w:r w:rsidR="001A471D" w:rsidRPr="00464D5E">
        <w:rPr>
          <w:rFonts w:ascii="Verdana" w:hAnsi="Verdana"/>
          <w:sz w:val="20"/>
          <w:szCs w:val="20"/>
          <w:lang w:val="es-CR"/>
        </w:rPr>
        <w:t>Pablo Saavedra Alessandri</w:t>
      </w:r>
    </w:p>
    <w:p w14:paraId="7A7A9AE1" w14:textId="77777777" w:rsidR="001A471D" w:rsidRPr="00464D5E" w:rsidRDefault="001A471D" w:rsidP="001A471D">
      <w:pPr>
        <w:spacing w:after="0" w:line="240" w:lineRule="auto"/>
        <w:rPr>
          <w:rFonts w:ascii="Verdana" w:hAnsi="Verdana"/>
          <w:sz w:val="20"/>
          <w:szCs w:val="20"/>
          <w:lang w:val="es-CR"/>
        </w:rPr>
      </w:pPr>
      <w:r w:rsidRPr="00464D5E">
        <w:rPr>
          <w:rFonts w:ascii="Verdana" w:hAnsi="Verdana"/>
          <w:sz w:val="20"/>
          <w:szCs w:val="20"/>
          <w:lang w:val="es-CR"/>
        </w:rPr>
        <w:tab/>
      </w:r>
      <w:r w:rsidR="00B15EF8">
        <w:rPr>
          <w:rFonts w:ascii="Verdana" w:hAnsi="Verdana"/>
          <w:sz w:val="20"/>
          <w:szCs w:val="20"/>
          <w:lang w:val="es-CR"/>
        </w:rPr>
        <w:t xml:space="preserve">    </w:t>
      </w:r>
      <w:r w:rsidRPr="00464D5E">
        <w:rPr>
          <w:rFonts w:ascii="Verdana" w:hAnsi="Verdana"/>
          <w:sz w:val="20"/>
          <w:szCs w:val="20"/>
          <w:lang w:val="es-CR"/>
        </w:rPr>
        <w:t>Secretario</w:t>
      </w:r>
    </w:p>
    <w:p w14:paraId="4C94ABBD" w14:textId="77777777"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sectPr w:rsidR="001A471D" w:rsidSect="001D623D">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AC46" w14:textId="77777777" w:rsidR="00721636" w:rsidRDefault="00721636" w:rsidP="00A80BD3">
      <w:pPr>
        <w:spacing w:after="0" w:line="240" w:lineRule="auto"/>
      </w:pPr>
      <w:r>
        <w:separator/>
      </w:r>
    </w:p>
  </w:endnote>
  <w:endnote w:type="continuationSeparator" w:id="0">
    <w:p w14:paraId="61AE7DD5" w14:textId="77777777" w:rsidR="00721636" w:rsidRDefault="00721636" w:rsidP="00A8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9EA30" w14:textId="77777777" w:rsidR="00721636" w:rsidRDefault="00721636" w:rsidP="00A80BD3">
      <w:pPr>
        <w:spacing w:after="0" w:line="240" w:lineRule="auto"/>
      </w:pPr>
      <w:r>
        <w:separator/>
      </w:r>
    </w:p>
  </w:footnote>
  <w:footnote w:type="continuationSeparator" w:id="0">
    <w:p w14:paraId="72A54A74" w14:textId="77777777" w:rsidR="00721636" w:rsidRDefault="00721636" w:rsidP="00A80BD3">
      <w:pPr>
        <w:spacing w:after="0" w:line="240" w:lineRule="auto"/>
      </w:pPr>
      <w:r>
        <w:continuationSeparator/>
      </w:r>
    </w:p>
  </w:footnote>
  <w:footnote w:id="1">
    <w:p w14:paraId="6EA1AFC8" w14:textId="6E9695ED" w:rsidR="0030141A" w:rsidRPr="000620FF" w:rsidRDefault="0030141A" w:rsidP="005E5A7F">
      <w:pPr>
        <w:pStyle w:val="NormalWeb"/>
        <w:spacing w:before="120" w:after="120"/>
        <w:ind w:left="74" w:right="74"/>
        <w:jc w:val="both"/>
        <w:rPr>
          <w:rFonts w:ascii="Verdana" w:eastAsia="Times New Roman" w:hAnsi="Verdana" w:cs="Tahoma"/>
          <w:color w:val="000000"/>
          <w:sz w:val="18"/>
          <w:szCs w:val="18"/>
          <w:lang w:val="es-CR" w:eastAsia="es-CR"/>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eastAsia="Times New Roman" w:hAnsi="Verdana" w:cs="Tahoma"/>
          <w:bCs/>
          <w:color w:val="000000"/>
          <w:sz w:val="18"/>
          <w:szCs w:val="18"/>
          <w:lang w:val="es-CR" w:eastAsia="es-CR"/>
        </w:rPr>
        <w:t>Artículo 11.  Protección de la Honra y de la Dignidad.</w:t>
      </w:r>
      <w:r w:rsidRPr="000620FF">
        <w:rPr>
          <w:rFonts w:ascii="Verdana" w:eastAsia="Times New Roman" w:hAnsi="Verdana" w:cs="Tahoma"/>
          <w:b/>
          <w:bCs/>
          <w:color w:val="000000"/>
          <w:sz w:val="18"/>
          <w:szCs w:val="18"/>
          <w:lang w:val="es-CR" w:eastAsia="es-CR"/>
        </w:rPr>
        <w:t xml:space="preserve"> </w:t>
      </w:r>
      <w:r w:rsidRPr="000620FF">
        <w:rPr>
          <w:rFonts w:ascii="Verdana" w:eastAsia="Times New Roman" w:hAnsi="Verdana" w:cs="Tahoma"/>
          <w:bCs/>
          <w:color w:val="000000"/>
          <w:sz w:val="18"/>
          <w:szCs w:val="18"/>
          <w:lang w:val="es-CR" w:eastAsia="es-CR"/>
        </w:rPr>
        <w:t>“</w:t>
      </w:r>
      <w:r w:rsidRPr="000620FF">
        <w:rPr>
          <w:rFonts w:ascii="Verdana" w:eastAsia="Times New Roman" w:hAnsi="Verdana" w:cs="Tahoma"/>
          <w:color w:val="000000"/>
          <w:sz w:val="18"/>
          <w:szCs w:val="18"/>
          <w:lang w:val="es-CR" w:eastAsia="es-CR"/>
        </w:rPr>
        <w:t>1. Toda persona tiene derecho al respeto de su honra y al reconocimiento de su dignidad. 2. Nadie puede ser objeto de injerencias arbitrarias o abusivas en su vida privada,</w:t>
      </w:r>
      <w:bookmarkStart w:id="0" w:name="_GoBack"/>
      <w:bookmarkEnd w:id="0"/>
      <w:r w:rsidRPr="000620FF">
        <w:rPr>
          <w:rFonts w:ascii="Verdana" w:eastAsia="Times New Roman" w:hAnsi="Verdana" w:cs="Tahoma"/>
          <w:color w:val="000000"/>
          <w:sz w:val="18"/>
          <w:szCs w:val="18"/>
          <w:lang w:val="es-CR" w:eastAsia="es-CR"/>
        </w:rPr>
        <w:t xml:space="preserve"> en la de su familia, en su domicilio o en su correspondencia, ni de ataques ilegales a su honra o reputación.  3. Toda persona tiene derecho a la protección de la ley contra esas injerencias o esos ataques.”</w:t>
      </w:r>
    </w:p>
  </w:footnote>
  <w:footnote w:id="2">
    <w:p w14:paraId="4BE17D3F" w14:textId="4B6382D0" w:rsidR="0030141A" w:rsidRPr="000620FF" w:rsidRDefault="0030141A" w:rsidP="005E5A7F">
      <w:pPr>
        <w:pStyle w:val="NormalWeb"/>
        <w:spacing w:before="120" w:after="120"/>
        <w:ind w:left="74" w:right="74"/>
        <w:jc w:val="both"/>
        <w:rPr>
          <w:rFonts w:ascii="Verdana" w:eastAsia="Times New Roman" w:hAnsi="Verdana"/>
          <w:color w:val="000000"/>
          <w:sz w:val="18"/>
          <w:szCs w:val="18"/>
          <w:lang w:val="es-CR" w:eastAsia="es-CR"/>
        </w:rPr>
      </w:pPr>
      <w:r w:rsidRPr="000620FF">
        <w:rPr>
          <w:rStyle w:val="FootnoteReference"/>
          <w:rFonts w:ascii="Verdana" w:hAnsi="Verdana"/>
          <w:sz w:val="18"/>
          <w:szCs w:val="18"/>
        </w:rPr>
        <w:footnoteRef/>
      </w:r>
      <w:r w:rsidR="0078370D">
        <w:rPr>
          <w:rFonts w:ascii="Verdana" w:eastAsia="Times New Roman" w:hAnsi="Verdana"/>
          <w:bCs/>
          <w:color w:val="000000"/>
          <w:sz w:val="18"/>
          <w:szCs w:val="18"/>
          <w:lang w:val="es-CR" w:eastAsia="es-CR"/>
        </w:rPr>
        <w:t xml:space="preserve"> </w:t>
      </w:r>
      <w:r w:rsidR="0078370D">
        <w:rPr>
          <w:rFonts w:ascii="Verdana" w:eastAsia="Times New Roman" w:hAnsi="Verdana"/>
          <w:bCs/>
          <w:color w:val="000000"/>
          <w:sz w:val="18"/>
          <w:szCs w:val="18"/>
          <w:lang w:val="es-CR" w:eastAsia="es-CR"/>
        </w:rPr>
        <w:tab/>
      </w:r>
      <w:r w:rsidRPr="000620FF">
        <w:rPr>
          <w:rFonts w:ascii="Verdana" w:eastAsia="Times New Roman" w:hAnsi="Verdana"/>
          <w:bCs/>
          <w:color w:val="000000"/>
          <w:sz w:val="18"/>
          <w:szCs w:val="18"/>
          <w:lang w:val="es-CR" w:eastAsia="es-CR"/>
        </w:rPr>
        <w:t>Artículo 8. Garantías Judiciales.</w:t>
      </w:r>
      <w:r w:rsidRPr="000620FF">
        <w:rPr>
          <w:rFonts w:ascii="Verdana" w:eastAsia="Times New Roman" w:hAnsi="Verdana"/>
          <w:b/>
          <w:bCs/>
          <w:color w:val="000000"/>
          <w:sz w:val="18"/>
          <w:szCs w:val="18"/>
          <w:lang w:val="es-CR" w:eastAsia="es-CR"/>
        </w:rPr>
        <w:t xml:space="preserve"> </w:t>
      </w:r>
      <w:r w:rsidRPr="0078370D">
        <w:rPr>
          <w:rFonts w:ascii="Verdana" w:eastAsia="Times New Roman" w:hAnsi="Verdana"/>
          <w:bCs/>
          <w:color w:val="000000"/>
          <w:sz w:val="18"/>
          <w:szCs w:val="18"/>
          <w:lang w:val="es-CR" w:eastAsia="es-CR"/>
        </w:rPr>
        <w:t>“</w:t>
      </w:r>
      <w:r w:rsidRPr="000620FF">
        <w:rPr>
          <w:rFonts w:ascii="Verdana" w:eastAsia="Times New Roman" w:hAnsi="Verdana"/>
          <w:color w:val="000000"/>
          <w:sz w:val="18"/>
          <w:szCs w:val="18"/>
          <w:lang w:val="es-CR" w:eastAsia="es-CR"/>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
    <w:p w14:paraId="53C3863B" w14:textId="2A409517" w:rsidR="003E0BBC" w:rsidRPr="000620FF" w:rsidRDefault="003E0BBC" w:rsidP="005E5A7F">
      <w:pPr>
        <w:pStyle w:val="FootnoteText"/>
        <w:spacing w:before="120" w:after="120"/>
        <w:ind w:firstLine="74"/>
        <w:jc w:val="both"/>
        <w:rPr>
          <w:rFonts w:ascii="Verdana" w:hAnsi="Verdana"/>
          <w:sz w:val="18"/>
          <w:szCs w:val="18"/>
        </w:rPr>
      </w:pPr>
      <w:r w:rsidRPr="000620FF">
        <w:rPr>
          <w:rStyle w:val="FootnoteReference"/>
          <w:rFonts w:ascii="Verdana" w:hAnsi="Verdana"/>
          <w:sz w:val="18"/>
          <w:szCs w:val="18"/>
        </w:rPr>
        <w:footnoteRef/>
      </w:r>
      <w:r w:rsidR="0078370D">
        <w:rPr>
          <w:rFonts w:ascii="Verdana" w:hAnsi="Verdana"/>
          <w:i/>
          <w:sz w:val="18"/>
          <w:szCs w:val="18"/>
        </w:rPr>
        <w:t xml:space="preserve"> </w:t>
      </w:r>
      <w:r w:rsidR="0078370D">
        <w:rPr>
          <w:rFonts w:ascii="Verdana" w:hAnsi="Verdana"/>
          <w:i/>
          <w:sz w:val="18"/>
          <w:szCs w:val="18"/>
        </w:rPr>
        <w:tab/>
      </w:r>
      <w:r w:rsidRPr="000620FF">
        <w:rPr>
          <w:rFonts w:ascii="Verdana" w:hAnsi="Verdana"/>
          <w:i/>
          <w:sz w:val="18"/>
          <w:szCs w:val="18"/>
        </w:rPr>
        <w:t xml:space="preserve">Cfr. </w:t>
      </w:r>
      <w:r w:rsidRPr="005E5A7F">
        <w:rPr>
          <w:rStyle w:val="Strong"/>
          <w:rFonts w:ascii="Verdana" w:hAnsi="Verdana"/>
          <w:b w:val="0"/>
          <w:i/>
          <w:color w:val="000000"/>
          <w:sz w:val="18"/>
          <w:szCs w:val="18"/>
        </w:rPr>
        <w:t xml:space="preserve">Caso </w:t>
      </w:r>
      <w:proofErr w:type="spellStart"/>
      <w:r w:rsidRPr="005E5A7F">
        <w:rPr>
          <w:rStyle w:val="Strong"/>
          <w:rFonts w:ascii="Verdana" w:hAnsi="Verdana"/>
          <w:b w:val="0"/>
          <w:i/>
          <w:color w:val="000000"/>
          <w:sz w:val="18"/>
          <w:szCs w:val="18"/>
        </w:rPr>
        <w:t>Cesti</w:t>
      </w:r>
      <w:proofErr w:type="spellEnd"/>
      <w:r w:rsidRPr="005E5A7F">
        <w:rPr>
          <w:rStyle w:val="Strong"/>
          <w:rFonts w:ascii="Verdana" w:hAnsi="Verdana"/>
          <w:b w:val="0"/>
          <w:i/>
          <w:color w:val="000000"/>
          <w:sz w:val="18"/>
          <w:szCs w:val="18"/>
        </w:rPr>
        <w:t xml:space="preserve"> Hurtado Vs. Perú. Fondo.</w:t>
      </w:r>
      <w:r w:rsidRPr="005E5A7F">
        <w:rPr>
          <w:rStyle w:val="Strong"/>
          <w:rFonts w:ascii="Verdana" w:hAnsi="Verdana"/>
          <w:b w:val="0"/>
          <w:color w:val="000000"/>
          <w:sz w:val="18"/>
          <w:szCs w:val="18"/>
        </w:rPr>
        <w:t xml:space="preserve"> Sentencia de 29 de septiembre de 1999. Serie C No. 56., párr. 177.</w:t>
      </w:r>
    </w:p>
  </w:footnote>
  <w:footnote w:id="4">
    <w:p w14:paraId="248EC1D0" w14:textId="7C89A894" w:rsidR="0030141A" w:rsidRPr="000620FF" w:rsidRDefault="0030141A" w:rsidP="005E5A7F">
      <w:pPr>
        <w:pStyle w:val="FootnoteText"/>
        <w:spacing w:before="120" w:after="120"/>
        <w:jc w:val="both"/>
        <w:rPr>
          <w:rFonts w:ascii="Verdana" w:hAnsi="Verdana"/>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hAnsi="Verdana"/>
          <w:i/>
          <w:sz w:val="18"/>
          <w:szCs w:val="18"/>
        </w:rPr>
        <w:t xml:space="preserve">Cfr. </w:t>
      </w:r>
      <w:r w:rsidRPr="00947F08">
        <w:rPr>
          <w:rStyle w:val="Strong"/>
          <w:rFonts w:ascii="Verdana" w:hAnsi="Verdana"/>
          <w:b w:val="0"/>
          <w:i/>
          <w:color w:val="000000"/>
          <w:sz w:val="18"/>
          <w:szCs w:val="18"/>
        </w:rPr>
        <w:t xml:space="preserve">Caso </w:t>
      </w:r>
      <w:proofErr w:type="spellStart"/>
      <w:r w:rsidRPr="00947F08">
        <w:rPr>
          <w:rStyle w:val="Strong"/>
          <w:rFonts w:ascii="Verdana" w:hAnsi="Verdana"/>
          <w:b w:val="0"/>
          <w:i/>
          <w:color w:val="000000"/>
          <w:sz w:val="18"/>
          <w:szCs w:val="18"/>
        </w:rPr>
        <w:t>Cesti</w:t>
      </w:r>
      <w:proofErr w:type="spellEnd"/>
      <w:r w:rsidRPr="00947F08">
        <w:rPr>
          <w:rStyle w:val="Strong"/>
          <w:rFonts w:ascii="Verdana" w:hAnsi="Verdana"/>
          <w:b w:val="0"/>
          <w:i/>
          <w:color w:val="000000"/>
          <w:sz w:val="18"/>
          <w:szCs w:val="18"/>
        </w:rPr>
        <w:t xml:space="preserve"> Hurtado Vs. Perú. Fondo.</w:t>
      </w:r>
      <w:r w:rsidRPr="00947F08">
        <w:rPr>
          <w:rStyle w:val="Strong"/>
          <w:rFonts w:ascii="Verdana" w:hAnsi="Verdana"/>
          <w:b w:val="0"/>
          <w:color w:val="000000"/>
          <w:sz w:val="18"/>
          <w:szCs w:val="18"/>
        </w:rPr>
        <w:t xml:space="preserve"> Sentencia de 29 de septiembre de 1999. Serie C No. 56., párr. 177.</w:t>
      </w:r>
    </w:p>
  </w:footnote>
  <w:footnote w:id="5">
    <w:p w14:paraId="6A67F0C1" w14:textId="6799ABB0" w:rsidR="00DB1476" w:rsidRPr="000620FF" w:rsidRDefault="00DB1476" w:rsidP="005E5A7F">
      <w:pPr>
        <w:pStyle w:val="FootnoteText"/>
        <w:spacing w:before="120" w:after="120"/>
        <w:jc w:val="both"/>
        <w:rPr>
          <w:rFonts w:ascii="Verdana" w:hAnsi="Verdana"/>
          <w:b/>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hAnsi="Verdana"/>
          <w:i/>
          <w:sz w:val="18"/>
          <w:szCs w:val="18"/>
        </w:rPr>
        <w:t xml:space="preserve">Cfr. </w:t>
      </w:r>
      <w:r w:rsidRPr="00947F08">
        <w:rPr>
          <w:rStyle w:val="Strong"/>
          <w:rFonts w:ascii="Verdana" w:hAnsi="Verdana"/>
          <w:b w:val="0"/>
          <w:i/>
          <w:color w:val="000000"/>
          <w:sz w:val="18"/>
          <w:szCs w:val="18"/>
        </w:rPr>
        <w:t>Caso Tristán Donoso Vs. Panamá. Excepción Preliminar, Fondo, Reparaciones y Costas.</w:t>
      </w:r>
      <w:r w:rsidRPr="00947F08">
        <w:rPr>
          <w:rStyle w:val="Strong"/>
          <w:rFonts w:ascii="Verdana" w:hAnsi="Verdana"/>
          <w:b w:val="0"/>
          <w:color w:val="000000"/>
          <w:sz w:val="18"/>
          <w:szCs w:val="18"/>
        </w:rPr>
        <w:t xml:space="preserve"> Sentencia de 27 de enero de 2009. Serie C No. 193., párr. 57, Corte IDH. </w:t>
      </w:r>
      <w:r w:rsidRPr="00947F08">
        <w:rPr>
          <w:rStyle w:val="Strong"/>
          <w:rFonts w:ascii="Verdana" w:hAnsi="Verdana"/>
          <w:b w:val="0"/>
          <w:i/>
          <w:color w:val="000000"/>
          <w:sz w:val="18"/>
          <w:szCs w:val="18"/>
        </w:rPr>
        <w:t>Caso González y otras (“Campo Algodonero”) Vs. México. Excepción Preliminar, Fondo, Reparaciones y Costas.</w:t>
      </w:r>
      <w:r w:rsidRPr="00947F08">
        <w:rPr>
          <w:rStyle w:val="Strong"/>
          <w:rFonts w:ascii="Verdana" w:hAnsi="Verdana"/>
          <w:b w:val="0"/>
          <w:color w:val="000000"/>
          <w:sz w:val="18"/>
          <w:szCs w:val="18"/>
        </w:rPr>
        <w:t xml:space="preserve"> Sentencia de 16 de noviembre de 2009. Serie C No. 205., párr. 444, y </w:t>
      </w:r>
      <w:r w:rsidRPr="00947F08">
        <w:rPr>
          <w:rStyle w:val="Strong"/>
          <w:rFonts w:ascii="Verdana" w:hAnsi="Verdana"/>
          <w:b w:val="0"/>
          <w:i/>
          <w:color w:val="000000"/>
          <w:sz w:val="18"/>
          <w:szCs w:val="18"/>
        </w:rPr>
        <w:t>Caso Manuel Cepeda Vargas Vs. Colombia. Excepciones Preliminares, Fondo, Reparaciones y Costas.</w:t>
      </w:r>
      <w:r w:rsidRPr="00947F08">
        <w:rPr>
          <w:rStyle w:val="Strong"/>
          <w:rFonts w:ascii="Verdana" w:hAnsi="Verdana"/>
          <w:b w:val="0"/>
          <w:color w:val="000000"/>
          <w:sz w:val="18"/>
          <w:szCs w:val="18"/>
        </w:rPr>
        <w:t xml:space="preserve"> Sentencia de 26 de mayo de 2010. Serie C No. 213.</w:t>
      </w:r>
    </w:p>
  </w:footnote>
  <w:footnote w:id="6">
    <w:p w14:paraId="2BA8F70C" w14:textId="711684EF" w:rsidR="00D85554" w:rsidRPr="000620FF" w:rsidRDefault="00D85554" w:rsidP="005E5A7F">
      <w:pPr>
        <w:pStyle w:val="NormalWeb"/>
        <w:spacing w:before="120" w:after="120"/>
        <w:ind w:right="74"/>
        <w:jc w:val="both"/>
        <w:rPr>
          <w:rFonts w:ascii="Verdana" w:eastAsia="Times New Roman" w:hAnsi="Verdana" w:cs="Tahoma"/>
          <w:color w:val="000000"/>
          <w:sz w:val="18"/>
          <w:szCs w:val="18"/>
          <w:lang w:val="es-CR" w:eastAsia="es-CR"/>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eastAsia="Times New Roman" w:hAnsi="Verdana" w:cs="Tahoma"/>
          <w:bCs/>
          <w:color w:val="000000"/>
          <w:sz w:val="18"/>
          <w:szCs w:val="18"/>
          <w:lang w:val="es-CR" w:eastAsia="es-CR"/>
        </w:rPr>
        <w:t>Artículo 23.  Derechos Políticos.</w:t>
      </w:r>
      <w:r w:rsidRPr="00D85554">
        <w:rPr>
          <w:rFonts w:ascii="Verdana" w:eastAsia="Times New Roman" w:hAnsi="Verdana" w:cs="Tahoma"/>
          <w:color w:val="000000"/>
          <w:sz w:val="18"/>
          <w:szCs w:val="18"/>
          <w:lang w:val="es-CR" w:eastAsia="es-CR"/>
        </w:rPr>
        <w:t> </w:t>
      </w:r>
      <w:r w:rsidR="0078370D">
        <w:rPr>
          <w:rFonts w:ascii="Verdana" w:eastAsia="Times New Roman" w:hAnsi="Verdana" w:cs="Tahoma"/>
          <w:color w:val="000000"/>
          <w:sz w:val="18"/>
          <w:szCs w:val="18"/>
          <w:lang w:val="es-CR" w:eastAsia="es-CR"/>
        </w:rPr>
        <w:t>“</w:t>
      </w:r>
      <w:r w:rsidRPr="00D85554">
        <w:rPr>
          <w:rFonts w:ascii="Verdana" w:eastAsia="Times New Roman" w:hAnsi="Verdana" w:cs="Tahoma"/>
          <w:color w:val="000000"/>
          <w:sz w:val="18"/>
          <w:szCs w:val="18"/>
          <w:lang w:val="es-CR" w:eastAsia="es-CR"/>
        </w:rPr>
        <w:t xml:space="preserve">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w:t>
      </w:r>
      <w:r w:rsidRPr="000620FF">
        <w:rPr>
          <w:rFonts w:ascii="Verdana" w:eastAsia="Times New Roman" w:hAnsi="Verdana" w:cs="Tahoma"/>
          <w:color w:val="000000"/>
          <w:sz w:val="18"/>
          <w:szCs w:val="18"/>
          <w:lang w:val="es-CR" w:eastAsia="es-CR"/>
        </w:rPr>
        <w:t>g</w:t>
      </w:r>
      <w:r w:rsidRPr="00D85554">
        <w:rPr>
          <w:rFonts w:ascii="Verdana" w:eastAsia="Times New Roman" w:hAnsi="Verdana" w:cs="Tahoma"/>
          <w:color w:val="000000"/>
          <w:sz w:val="18"/>
          <w:szCs w:val="18"/>
          <w:lang w:val="es-CR" w:eastAsia="es-CR"/>
        </w:rPr>
        <w:t>arantice la libre expresión de la voluntad de los electores, y c) de tener acceso, en condiciones generales de igualdad, a las funciones públicas de su país.</w:t>
      </w:r>
      <w:r w:rsidR="0078370D">
        <w:rPr>
          <w:rFonts w:ascii="Verdana" w:eastAsia="Times New Roman" w:hAnsi="Verdana" w:cs="Tahoma"/>
          <w:color w:val="000000"/>
          <w:sz w:val="18"/>
          <w:szCs w:val="18"/>
          <w:lang w:val="es-CR" w:eastAsia="es-CR"/>
        </w:rPr>
        <w:t>”</w:t>
      </w:r>
    </w:p>
  </w:footnote>
  <w:footnote w:id="7">
    <w:p w14:paraId="0B783ED8" w14:textId="126B5301" w:rsidR="00C36304" w:rsidRPr="000620FF" w:rsidRDefault="00C36304" w:rsidP="005E5A7F">
      <w:pPr>
        <w:pStyle w:val="FootnoteText"/>
        <w:spacing w:before="120" w:after="120"/>
        <w:jc w:val="both"/>
        <w:rPr>
          <w:rFonts w:ascii="Verdana" w:hAnsi="Verdana"/>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hAnsi="Verdana"/>
          <w:i/>
          <w:sz w:val="18"/>
          <w:szCs w:val="18"/>
        </w:rPr>
        <w:t>Cfr.</w:t>
      </w:r>
      <w:r w:rsidRPr="000620FF">
        <w:rPr>
          <w:rFonts w:ascii="Verdana" w:hAnsi="Verdana"/>
          <w:sz w:val="18"/>
          <w:szCs w:val="18"/>
        </w:rPr>
        <w:t xml:space="preserve"> </w:t>
      </w:r>
      <w:r w:rsidRPr="00947F08">
        <w:rPr>
          <w:rStyle w:val="Strong"/>
          <w:rFonts w:ascii="Verdana" w:hAnsi="Verdana"/>
          <w:b w:val="0"/>
          <w:i/>
          <w:color w:val="000000"/>
          <w:sz w:val="18"/>
          <w:szCs w:val="18"/>
        </w:rPr>
        <w:t xml:space="preserve">Caso </w:t>
      </w:r>
      <w:proofErr w:type="spellStart"/>
      <w:r w:rsidRPr="00947F08">
        <w:rPr>
          <w:rStyle w:val="Strong"/>
          <w:rFonts w:ascii="Verdana" w:hAnsi="Verdana"/>
          <w:b w:val="0"/>
          <w:i/>
          <w:color w:val="000000"/>
          <w:sz w:val="18"/>
          <w:szCs w:val="18"/>
        </w:rPr>
        <w:t>Yatama</w:t>
      </w:r>
      <w:proofErr w:type="spellEnd"/>
      <w:r w:rsidRPr="00947F08">
        <w:rPr>
          <w:rStyle w:val="Strong"/>
          <w:rFonts w:ascii="Verdana" w:hAnsi="Verdana"/>
          <w:b w:val="0"/>
          <w:i/>
          <w:color w:val="000000"/>
          <w:sz w:val="18"/>
          <w:szCs w:val="18"/>
        </w:rPr>
        <w:t xml:space="preserve"> Vs. Nicaragua. Excepciones Preliminares, Fondo, Reparaciones y Costas.</w:t>
      </w:r>
      <w:r w:rsidRPr="00947F08">
        <w:rPr>
          <w:rStyle w:val="Strong"/>
          <w:rFonts w:ascii="Verdana" w:hAnsi="Verdana"/>
          <w:b w:val="0"/>
          <w:color w:val="000000"/>
          <w:sz w:val="18"/>
          <w:szCs w:val="18"/>
        </w:rPr>
        <w:t xml:space="preserve"> Sentencia de 23 de junio de 2005. Serie C No. 127., párr. 195, y </w:t>
      </w:r>
      <w:r w:rsidRPr="00947F08">
        <w:rPr>
          <w:rStyle w:val="Strong"/>
          <w:rFonts w:ascii="Verdana" w:hAnsi="Verdana"/>
          <w:b w:val="0"/>
          <w:i/>
          <w:color w:val="000000"/>
          <w:sz w:val="18"/>
          <w:szCs w:val="18"/>
        </w:rPr>
        <w:t xml:space="preserve">Caso Castañeda </w:t>
      </w:r>
      <w:proofErr w:type="spellStart"/>
      <w:r w:rsidRPr="00947F08">
        <w:rPr>
          <w:rStyle w:val="Strong"/>
          <w:rFonts w:ascii="Verdana" w:hAnsi="Verdana"/>
          <w:b w:val="0"/>
          <w:i/>
          <w:color w:val="000000"/>
          <w:sz w:val="18"/>
          <w:szCs w:val="18"/>
        </w:rPr>
        <w:t>Gutman</w:t>
      </w:r>
      <w:proofErr w:type="spellEnd"/>
      <w:r w:rsidRPr="00947F08">
        <w:rPr>
          <w:rStyle w:val="Strong"/>
          <w:rFonts w:ascii="Verdana" w:hAnsi="Verdana"/>
          <w:b w:val="0"/>
          <w:i/>
          <w:color w:val="000000"/>
          <w:sz w:val="18"/>
          <w:szCs w:val="18"/>
        </w:rPr>
        <w:t xml:space="preserve"> Vs. México. Excepciones Preliminares, Fondo, Reparaciones y Costas.</w:t>
      </w:r>
      <w:r w:rsidRPr="00947F08">
        <w:rPr>
          <w:rStyle w:val="Strong"/>
          <w:rFonts w:ascii="Verdana" w:hAnsi="Verdana"/>
          <w:b w:val="0"/>
          <w:color w:val="000000"/>
          <w:sz w:val="18"/>
          <w:szCs w:val="18"/>
        </w:rPr>
        <w:t xml:space="preserve"> Sentencia de 6 de agosto de 2008. Serie C No. 184., 145.</w:t>
      </w:r>
    </w:p>
  </w:footnote>
  <w:footnote w:id="8">
    <w:p w14:paraId="66135386" w14:textId="3A5C0E1A" w:rsidR="008E3AC2" w:rsidRPr="000620FF" w:rsidRDefault="008E3AC2" w:rsidP="005E5A7F">
      <w:pPr>
        <w:pStyle w:val="FootnoteText"/>
        <w:spacing w:before="120" w:after="120"/>
        <w:jc w:val="both"/>
        <w:rPr>
          <w:rFonts w:ascii="Verdana" w:hAnsi="Verdana"/>
          <w:sz w:val="18"/>
          <w:szCs w:val="18"/>
          <w:lang w:val="es-CR"/>
        </w:rPr>
      </w:pPr>
      <w:r w:rsidRPr="000620FF">
        <w:rPr>
          <w:rStyle w:val="FootnoteReference"/>
          <w:rFonts w:ascii="Verdana" w:hAnsi="Verdana"/>
          <w:sz w:val="18"/>
          <w:szCs w:val="18"/>
        </w:rPr>
        <w:footnoteRef/>
      </w:r>
      <w:r w:rsidRPr="000620FF">
        <w:rPr>
          <w:rFonts w:ascii="Verdana" w:hAnsi="Verdana"/>
          <w:sz w:val="18"/>
          <w:szCs w:val="18"/>
          <w:lang w:val="es-CR"/>
        </w:rPr>
        <w:t xml:space="preserve"> </w:t>
      </w:r>
      <w:r w:rsidR="000620FF" w:rsidRPr="000620FF">
        <w:rPr>
          <w:rFonts w:ascii="Verdana" w:hAnsi="Verdana"/>
          <w:sz w:val="18"/>
          <w:szCs w:val="18"/>
          <w:lang w:val="es-CR"/>
        </w:rPr>
        <w:tab/>
      </w:r>
      <w:r w:rsidRPr="000620FF">
        <w:rPr>
          <w:rFonts w:ascii="Verdana" w:hAnsi="Verdana"/>
          <w:i/>
          <w:sz w:val="18"/>
          <w:szCs w:val="18"/>
          <w:lang w:val="es-CR"/>
        </w:rPr>
        <w:t xml:space="preserve">Cfr. </w:t>
      </w:r>
      <w:proofErr w:type="spellStart"/>
      <w:r w:rsidRPr="000620FF">
        <w:rPr>
          <w:rFonts w:ascii="Verdana" w:hAnsi="Verdana"/>
          <w:sz w:val="18"/>
          <w:szCs w:val="18"/>
          <w:lang w:val="es-CR"/>
        </w:rPr>
        <w:t>Transparency</w:t>
      </w:r>
      <w:proofErr w:type="spellEnd"/>
      <w:r w:rsidRPr="000620FF">
        <w:rPr>
          <w:rFonts w:ascii="Verdana" w:hAnsi="Verdana"/>
          <w:sz w:val="18"/>
          <w:szCs w:val="18"/>
          <w:lang w:val="es-CR"/>
        </w:rPr>
        <w:t xml:space="preserve"> International, </w:t>
      </w:r>
      <w:proofErr w:type="spellStart"/>
      <w:r w:rsidRPr="000620FF">
        <w:rPr>
          <w:rFonts w:ascii="Verdana" w:hAnsi="Verdana"/>
          <w:i/>
          <w:sz w:val="18"/>
          <w:szCs w:val="18"/>
          <w:lang w:val="es-CR"/>
        </w:rPr>
        <w:t>Corruption</w:t>
      </w:r>
      <w:proofErr w:type="spellEnd"/>
      <w:r w:rsidRPr="000620FF">
        <w:rPr>
          <w:rFonts w:ascii="Verdana" w:hAnsi="Verdana"/>
          <w:i/>
          <w:sz w:val="18"/>
          <w:szCs w:val="18"/>
          <w:lang w:val="es-CR"/>
        </w:rPr>
        <w:t xml:space="preserve"> </w:t>
      </w:r>
      <w:proofErr w:type="spellStart"/>
      <w:r w:rsidRPr="000620FF">
        <w:rPr>
          <w:rFonts w:ascii="Verdana" w:hAnsi="Verdana"/>
          <w:i/>
          <w:sz w:val="18"/>
          <w:szCs w:val="18"/>
          <w:lang w:val="es-CR"/>
        </w:rPr>
        <w:t>Perception</w:t>
      </w:r>
      <w:proofErr w:type="spellEnd"/>
      <w:r w:rsidRPr="000620FF">
        <w:rPr>
          <w:rFonts w:ascii="Verdana" w:hAnsi="Verdana"/>
          <w:i/>
          <w:sz w:val="18"/>
          <w:szCs w:val="18"/>
          <w:lang w:val="es-CR"/>
        </w:rPr>
        <w:t xml:space="preserve"> </w:t>
      </w:r>
      <w:proofErr w:type="spellStart"/>
      <w:r w:rsidRPr="000620FF">
        <w:rPr>
          <w:rFonts w:ascii="Verdana" w:hAnsi="Verdana"/>
          <w:i/>
          <w:sz w:val="18"/>
          <w:szCs w:val="18"/>
          <w:lang w:val="es-CR"/>
        </w:rPr>
        <w:t>Index</w:t>
      </w:r>
      <w:proofErr w:type="spellEnd"/>
      <w:r w:rsidRPr="000620FF">
        <w:rPr>
          <w:rFonts w:ascii="Verdana" w:hAnsi="Verdana"/>
          <w:i/>
          <w:sz w:val="18"/>
          <w:szCs w:val="18"/>
          <w:lang w:val="es-CR"/>
        </w:rPr>
        <w:t xml:space="preserve"> 2015</w:t>
      </w:r>
      <w:r w:rsidRPr="000620FF">
        <w:rPr>
          <w:rFonts w:ascii="Verdana" w:hAnsi="Verdana"/>
          <w:sz w:val="18"/>
          <w:szCs w:val="18"/>
          <w:lang w:val="es-CR"/>
        </w:rPr>
        <w:t xml:space="preserve">, disponible en </w:t>
      </w:r>
      <w:hyperlink r:id="rId1" w:history="1">
        <w:r w:rsidRPr="000620FF">
          <w:rPr>
            <w:rStyle w:val="Hyperlink"/>
            <w:rFonts w:ascii="Verdana" w:hAnsi="Verdana"/>
            <w:sz w:val="18"/>
            <w:szCs w:val="18"/>
            <w:lang w:val="es-CR"/>
          </w:rPr>
          <w:t>http://www.transparency.org/cpi2015</w:t>
        </w:r>
      </w:hyperlink>
      <w:r w:rsidRPr="000620FF">
        <w:rPr>
          <w:rFonts w:ascii="Verdana" w:hAnsi="Verdana"/>
          <w:sz w:val="18"/>
          <w:szCs w:val="18"/>
          <w:lang w:val="es-CR"/>
        </w:rPr>
        <w:t>. El índice anual de “</w:t>
      </w:r>
      <w:proofErr w:type="spellStart"/>
      <w:r w:rsidRPr="000620FF">
        <w:rPr>
          <w:rFonts w:ascii="Verdana" w:hAnsi="Verdana"/>
          <w:sz w:val="18"/>
          <w:szCs w:val="18"/>
          <w:lang w:val="es-CR"/>
        </w:rPr>
        <w:t>Transparency</w:t>
      </w:r>
      <w:proofErr w:type="spellEnd"/>
      <w:r w:rsidRPr="000620FF">
        <w:rPr>
          <w:rFonts w:ascii="Verdana" w:hAnsi="Verdana"/>
          <w:sz w:val="18"/>
          <w:szCs w:val="18"/>
          <w:lang w:val="es-CR"/>
        </w:rPr>
        <w:t xml:space="preserve"> International” muestra que con excepción de </w:t>
      </w:r>
      <w:r w:rsidR="00881AA8" w:rsidRPr="000620FF">
        <w:rPr>
          <w:rFonts w:ascii="Verdana" w:hAnsi="Verdana"/>
          <w:sz w:val="18"/>
          <w:szCs w:val="18"/>
          <w:lang w:val="es-CR"/>
        </w:rPr>
        <w:t xml:space="preserve">Canadá, </w:t>
      </w:r>
      <w:r w:rsidRPr="000620FF">
        <w:rPr>
          <w:rFonts w:ascii="Verdana" w:hAnsi="Verdana"/>
          <w:sz w:val="18"/>
          <w:szCs w:val="18"/>
          <w:lang w:val="es-CR"/>
        </w:rPr>
        <w:t>Costa Rica, Chile</w:t>
      </w:r>
      <w:r w:rsidR="00881AA8" w:rsidRPr="000620FF">
        <w:rPr>
          <w:rFonts w:ascii="Verdana" w:hAnsi="Verdana"/>
          <w:sz w:val="18"/>
          <w:szCs w:val="18"/>
          <w:lang w:val="es-CR"/>
        </w:rPr>
        <w:t>, Estados Unidos,</w:t>
      </w:r>
      <w:r w:rsidRPr="000620FF">
        <w:rPr>
          <w:rFonts w:ascii="Verdana" w:hAnsi="Verdana"/>
          <w:sz w:val="18"/>
          <w:szCs w:val="18"/>
          <w:lang w:val="es-CR"/>
        </w:rPr>
        <w:t xml:space="preserve"> y Uruguay, el resto de países </w:t>
      </w:r>
      <w:r w:rsidR="00881AA8" w:rsidRPr="000620FF">
        <w:rPr>
          <w:rFonts w:ascii="Verdana" w:hAnsi="Verdana"/>
          <w:sz w:val="18"/>
          <w:szCs w:val="18"/>
          <w:lang w:val="es-CR"/>
        </w:rPr>
        <w:t>del continente americano tienen serios niveles de corrupción en el sector público.</w:t>
      </w:r>
      <w:r w:rsidRPr="000620FF">
        <w:rPr>
          <w:rFonts w:ascii="Verdana" w:hAnsi="Verdana"/>
          <w:sz w:val="18"/>
          <w:szCs w:val="18"/>
          <w:lang w:val="es-CR"/>
        </w:rPr>
        <w:t xml:space="preserve"> </w:t>
      </w:r>
    </w:p>
  </w:footnote>
  <w:footnote w:id="9">
    <w:p w14:paraId="58AE8EA8" w14:textId="26C82755" w:rsidR="00AB7E36" w:rsidRPr="000620FF" w:rsidRDefault="00AB7E36" w:rsidP="005E5A7F">
      <w:pPr>
        <w:pStyle w:val="FootnoteText"/>
        <w:spacing w:before="120" w:after="120"/>
        <w:jc w:val="both"/>
        <w:rPr>
          <w:rFonts w:ascii="Verdana" w:hAnsi="Verdana"/>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00C565DF" w:rsidRPr="000620FF">
        <w:rPr>
          <w:rFonts w:ascii="Verdana" w:hAnsi="Verdana"/>
          <w:sz w:val="18"/>
          <w:szCs w:val="18"/>
        </w:rPr>
        <w:t>Convención Americana, Artículo 23.1 (a) y (b).</w:t>
      </w:r>
    </w:p>
  </w:footnote>
  <w:footnote w:id="10">
    <w:p w14:paraId="5BEDF737" w14:textId="7895D2E2" w:rsidR="00DF188C" w:rsidRPr="000620FF" w:rsidRDefault="00DF188C" w:rsidP="005E5A7F">
      <w:pPr>
        <w:pStyle w:val="FootnoteText"/>
        <w:spacing w:before="120" w:after="120"/>
        <w:jc w:val="both"/>
        <w:rPr>
          <w:rFonts w:ascii="Verdana" w:hAnsi="Verdana"/>
          <w:sz w:val="18"/>
          <w:szCs w:val="18"/>
          <w:lang w:val="es-CR"/>
        </w:rPr>
      </w:pPr>
      <w:r w:rsidRPr="000620FF">
        <w:rPr>
          <w:rStyle w:val="FootnoteReference"/>
          <w:rFonts w:ascii="Verdana" w:hAnsi="Verdana"/>
          <w:sz w:val="18"/>
          <w:szCs w:val="18"/>
        </w:rPr>
        <w:footnoteRef/>
      </w:r>
      <w:r w:rsidRPr="000620FF">
        <w:rPr>
          <w:rFonts w:ascii="Verdana" w:hAnsi="Verdana"/>
          <w:sz w:val="18"/>
          <w:szCs w:val="18"/>
        </w:rPr>
        <w:t xml:space="preserve"> </w:t>
      </w:r>
      <w:r w:rsidR="000620FF" w:rsidRPr="000620FF">
        <w:rPr>
          <w:rFonts w:ascii="Verdana" w:hAnsi="Verdana"/>
          <w:sz w:val="18"/>
          <w:szCs w:val="18"/>
        </w:rPr>
        <w:tab/>
      </w:r>
      <w:r w:rsidRPr="000620FF">
        <w:rPr>
          <w:rFonts w:ascii="Verdana" w:hAnsi="Verdana"/>
          <w:i/>
          <w:sz w:val="18"/>
          <w:szCs w:val="18"/>
        </w:rPr>
        <w:t xml:space="preserve">Cfr. Caso </w:t>
      </w:r>
      <w:proofErr w:type="spellStart"/>
      <w:r w:rsidRPr="000620FF">
        <w:rPr>
          <w:rFonts w:ascii="Verdana" w:hAnsi="Verdana"/>
          <w:i/>
          <w:sz w:val="18"/>
          <w:szCs w:val="18"/>
        </w:rPr>
        <w:t>Hilaire</w:t>
      </w:r>
      <w:proofErr w:type="spellEnd"/>
      <w:r w:rsidRPr="000620FF">
        <w:rPr>
          <w:rFonts w:ascii="Verdana" w:hAnsi="Verdana"/>
          <w:i/>
          <w:sz w:val="18"/>
          <w:szCs w:val="18"/>
        </w:rPr>
        <w:t xml:space="preserve">, </w:t>
      </w:r>
      <w:proofErr w:type="spellStart"/>
      <w:r w:rsidRPr="000620FF">
        <w:rPr>
          <w:rFonts w:ascii="Verdana" w:hAnsi="Verdana"/>
          <w:i/>
          <w:sz w:val="18"/>
          <w:szCs w:val="18"/>
        </w:rPr>
        <w:t>Constantine</w:t>
      </w:r>
      <w:proofErr w:type="spellEnd"/>
      <w:r w:rsidRPr="000620FF">
        <w:rPr>
          <w:rFonts w:ascii="Verdana" w:hAnsi="Verdana"/>
          <w:i/>
          <w:sz w:val="18"/>
          <w:szCs w:val="18"/>
        </w:rPr>
        <w:t xml:space="preserve"> y </w:t>
      </w:r>
      <w:proofErr w:type="spellStart"/>
      <w:r w:rsidRPr="000620FF">
        <w:rPr>
          <w:rFonts w:ascii="Verdana" w:hAnsi="Verdana"/>
          <w:i/>
          <w:sz w:val="18"/>
          <w:szCs w:val="18"/>
        </w:rPr>
        <w:t>Benjamin</w:t>
      </w:r>
      <w:proofErr w:type="spellEnd"/>
      <w:r w:rsidRPr="000620FF">
        <w:rPr>
          <w:rFonts w:ascii="Verdana" w:hAnsi="Verdana"/>
          <w:i/>
          <w:sz w:val="18"/>
          <w:szCs w:val="18"/>
        </w:rPr>
        <w:t xml:space="preserve"> y otros Vs. Trinidad y Tobago. Fondo, Reparaciones y Costas. </w:t>
      </w:r>
      <w:r w:rsidRPr="0078370D">
        <w:rPr>
          <w:rFonts w:ascii="Verdana" w:hAnsi="Verdana"/>
          <w:sz w:val="18"/>
          <w:szCs w:val="18"/>
        </w:rPr>
        <w:t>Sentencia de 21 de junio de 2002. Serie C No. 94, párr. 145</w:t>
      </w:r>
      <w:r w:rsidRPr="000620FF">
        <w:rPr>
          <w:rFonts w:ascii="Verdana" w:hAnsi="Verdana"/>
          <w:i/>
          <w:sz w:val="18"/>
          <w:szCs w:val="18"/>
        </w:rPr>
        <w:t xml:space="preserve">, y </w:t>
      </w:r>
      <w:r w:rsidRPr="0078370D">
        <w:rPr>
          <w:rFonts w:ascii="Verdana" w:hAnsi="Verdana"/>
          <w:i/>
          <w:sz w:val="18"/>
          <w:szCs w:val="18"/>
        </w:rPr>
        <w:t>Caso Tenorio Roca y otros Vs. Perú. Excepciones Preliminares, Fondo, Reparaciones y Costas</w:t>
      </w:r>
      <w:r w:rsidRPr="000620FF">
        <w:rPr>
          <w:rFonts w:ascii="Verdana" w:hAnsi="Verdana"/>
          <w:sz w:val="18"/>
          <w:szCs w:val="18"/>
        </w:rPr>
        <w:t>.</w:t>
      </w:r>
      <w:r w:rsidRPr="000620FF">
        <w:rPr>
          <w:rFonts w:ascii="Verdana" w:hAnsi="Verdana"/>
          <w:i/>
          <w:sz w:val="18"/>
          <w:szCs w:val="18"/>
        </w:rPr>
        <w:t xml:space="preserve"> </w:t>
      </w:r>
      <w:r w:rsidRPr="0078370D">
        <w:rPr>
          <w:rFonts w:ascii="Verdana" w:hAnsi="Verdana"/>
          <w:sz w:val="18"/>
          <w:szCs w:val="18"/>
        </w:rPr>
        <w:t>Sentencia de 22 de junio de 2016. Serie C No. 314, párr. 237.</w:t>
      </w:r>
    </w:p>
  </w:footnote>
  <w:footnote w:id="11">
    <w:p w14:paraId="47BB37EC" w14:textId="77777777" w:rsidR="00AC169A" w:rsidRPr="000620FF" w:rsidRDefault="00AC169A" w:rsidP="005E5A7F">
      <w:pPr>
        <w:pStyle w:val="FootnoteText"/>
        <w:spacing w:before="120" w:after="120"/>
        <w:jc w:val="both"/>
        <w:rPr>
          <w:rFonts w:ascii="Verdana" w:hAnsi="Verdana"/>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Pr="000620FF">
        <w:rPr>
          <w:rFonts w:ascii="Verdana" w:hAnsi="Verdana"/>
          <w:sz w:val="18"/>
          <w:szCs w:val="18"/>
        </w:rPr>
        <w:tab/>
      </w:r>
      <w:r w:rsidRPr="000620FF">
        <w:rPr>
          <w:rFonts w:ascii="Verdana" w:hAnsi="Verdana"/>
          <w:i/>
          <w:sz w:val="18"/>
          <w:szCs w:val="18"/>
        </w:rPr>
        <w:t xml:space="preserve">Cfr. Caso Valle Jaramillo y otros Vs. </w:t>
      </w:r>
      <w:r w:rsidRPr="000620FF">
        <w:rPr>
          <w:rFonts w:ascii="Verdana" w:hAnsi="Verdana"/>
          <w:sz w:val="18"/>
          <w:szCs w:val="18"/>
        </w:rPr>
        <w:t xml:space="preserve">Colombia. </w:t>
      </w:r>
      <w:r w:rsidRPr="0078370D">
        <w:rPr>
          <w:rFonts w:ascii="Verdana" w:hAnsi="Verdana"/>
          <w:i/>
          <w:sz w:val="18"/>
          <w:szCs w:val="18"/>
        </w:rPr>
        <w:t>Fondo, Reparaciones y Costas.</w:t>
      </w:r>
      <w:r w:rsidRPr="000620FF">
        <w:rPr>
          <w:rFonts w:ascii="Verdana" w:hAnsi="Verdana"/>
          <w:sz w:val="18"/>
          <w:szCs w:val="18"/>
        </w:rPr>
        <w:t xml:space="preserve"> Sentencia de 27 de noviembre de 2008. Serie C No. 192 párr. 155, y Caso Tenorio Roca y otros Vs. Perú, párr. 238.</w:t>
      </w:r>
    </w:p>
  </w:footnote>
  <w:footnote w:id="12">
    <w:p w14:paraId="58D8442E" w14:textId="77777777" w:rsidR="00AC169A" w:rsidRPr="000620FF" w:rsidRDefault="00AC169A" w:rsidP="005E5A7F">
      <w:pPr>
        <w:pStyle w:val="FootnoteText"/>
        <w:spacing w:before="120" w:after="120"/>
        <w:jc w:val="both"/>
        <w:rPr>
          <w:rFonts w:ascii="Verdana" w:hAnsi="Verdana"/>
          <w:sz w:val="18"/>
          <w:szCs w:val="18"/>
        </w:rPr>
      </w:pPr>
      <w:r w:rsidRPr="000620FF">
        <w:rPr>
          <w:rStyle w:val="FootnoteReference"/>
          <w:rFonts w:ascii="Verdana" w:hAnsi="Verdana"/>
          <w:sz w:val="18"/>
          <w:szCs w:val="18"/>
        </w:rPr>
        <w:footnoteRef/>
      </w:r>
      <w:r w:rsidRPr="000620FF">
        <w:rPr>
          <w:rFonts w:ascii="Verdana" w:hAnsi="Verdana"/>
          <w:sz w:val="18"/>
          <w:szCs w:val="18"/>
        </w:rPr>
        <w:t xml:space="preserve"> </w:t>
      </w:r>
      <w:r w:rsidRPr="000620FF">
        <w:rPr>
          <w:rFonts w:ascii="Verdana" w:hAnsi="Verdana"/>
          <w:sz w:val="18"/>
          <w:szCs w:val="18"/>
        </w:rPr>
        <w:tab/>
      </w:r>
      <w:r w:rsidRPr="000620FF">
        <w:rPr>
          <w:rFonts w:ascii="Verdana" w:hAnsi="Verdana"/>
          <w:i/>
          <w:sz w:val="18"/>
          <w:szCs w:val="18"/>
        </w:rPr>
        <w:t xml:space="preserve">Cfr. </w:t>
      </w:r>
      <w:r w:rsidRPr="0078370D">
        <w:rPr>
          <w:rFonts w:ascii="Verdana" w:hAnsi="Verdana"/>
          <w:bCs/>
          <w:i/>
          <w:sz w:val="18"/>
          <w:szCs w:val="18"/>
        </w:rPr>
        <w:t>Caso Valle Jaramillo y otros Vs. Colombia. Fondo, Reparaciones y Costas.</w:t>
      </w:r>
      <w:r w:rsidRPr="000620FF">
        <w:rPr>
          <w:rFonts w:ascii="Verdana" w:hAnsi="Verdana"/>
          <w:bCs/>
          <w:sz w:val="18"/>
          <w:szCs w:val="18"/>
        </w:rPr>
        <w:t xml:space="preserve"> Sentencia de 27 de noviembre de 2008. Serie C No. 192., párr. 155, y Caso </w:t>
      </w:r>
      <w:proofErr w:type="spellStart"/>
      <w:r w:rsidRPr="000620FF">
        <w:rPr>
          <w:rFonts w:ascii="Verdana" w:hAnsi="Verdana"/>
          <w:bCs/>
          <w:sz w:val="18"/>
          <w:szCs w:val="18"/>
        </w:rPr>
        <w:t>Furlan</w:t>
      </w:r>
      <w:proofErr w:type="spellEnd"/>
      <w:r w:rsidRPr="000620FF">
        <w:rPr>
          <w:rFonts w:ascii="Verdana" w:hAnsi="Verdana"/>
          <w:bCs/>
          <w:sz w:val="18"/>
          <w:szCs w:val="18"/>
        </w:rPr>
        <w:t xml:space="preserve"> y familiares Vs. Argentina, párr.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80986"/>
      <w:docPartObj>
        <w:docPartGallery w:val="Page Numbers (Top of Page)"/>
        <w:docPartUnique/>
      </w:docPartObj>
    </w:sdtPr>
    <w:sdtEndPr>
      <w:rPr>
        <w:rFonts w:ascii="Verdana" w:hAnsi="Verdana"/>
        <w:noProof/>
        <w:sz w:val="18"/>
        <w:szCs w:val="20"/>
      </w:rPr>
    </w:sdtEndPr>
    <w:sdtContent>
      <w:p w14:paraId="74C47A9F" w14:textId="6D0434CE" w:rsidR="0030141A" w:rsidRPr="00C14996" w:rsidRDefault="0030141A">
        <w:pPr>
          <w:pStyle w:val="Header"/>
          <w:jc w:val="center"/>
          <w:rPr>
            <w:rFonts w:ascii="Verdana" w:hAnsi="Verdana"/>
            <w:sz w:val="18"/>
            <w:szCs w:val="20"/>
          </w:rPr>
        </w:pPr>
        <w:r w:rsidRPr="00C14996">
          <w:rPr>
            <w:rFonts w:ascii="Verdana" w:hAnsi="Verdana"/>
            <w:sz w:val="18"/>
            <w:szCs w:val="20"/>
          </w:rPr>
          <w:fldChar w:fldCharType="begin"/>
        </w:r>
        <w:r w:rsidRPr="00C14996">
          <w:rPr>
            <w:rFonts w:ascii="Verdana" w:hAnsi="Verdana"/>
            <w:sz w:val="18"/>
            <w:szCs w:val="20"/>
          </w:rPr>
          <w:instrText xml:space="preserve"> PAGE   \* MERGEFORMAT </w:instrText>
        </w:r>
        <w:r w:rsidRPr="00C14996">
          <w:rPr>
            <w:rFonts w:ascii="Verdana" w:hAnsi="Verdana"/>
            <w:sz w:val="18"/>
            <w:szCs w:val="20"/>
          </w:rPr>
          <w:fldChar w:fldCharType="separate"/>
        </w:r>
        <w:r w:rsidR="00C14996">
          <w:rPr>
            <w:rFonts w:ascii="Verdana" w:hAnsi="Verdana"/>
            <w:noProof/>
            <w:sz w:val="18"/>
            <w:szCs w:val="20"/>
          </w:rPr>
          <w:t>3</w:t>
        </w:r>
        <w:r w:rsidRPr="00C14996">
          <w:rPr>
            <w:rFonts w:ascii="Verdana" w:hAnsi="Verdana"/>
            <w:noProof/>
            <w:sz w:val="18"/>
            <w:szCs w:val="20"/>
          </w:rPr>
          <w:fldChar w:fldCharType="end"/>
        </w:r>
      </w:p>
    </w:sdtContent>
  </w:sdt>
  <w:p w14:paraId="30A11F72" w14:textId="77777777" w:rsidR="0030141A" w:rsidRDefault="0030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CA4"/>
    <w:multiLevelType w:val="hybridMultilevel"/>
    <w:tmpl w:val="877CFF1A"/>
    <w:lvl w:ilvl="0" w:tplc="140A0017">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80E05CB"/>
    <w:multiLevelType w:val="hybridMultilevel"/>
    <w:tmpl w:val="2ADCC1FA"/>
    <w:lvl w:ilvl="0" w:tplc="1708FCA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EA01FDD"/>
    <w:multiLevelType w:val="hybridMultilevel"/>
    <w:tmpl w:val="543E478C"/>
    <w:lvl w:ilvl="0" w:tplc="4614BD5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8A42E4F"/>
    <w:multiLevelType w:val="hybridMultilevel"/>
    <w:tmpl w:val="F434FBD6"/>
    <w:lvl w:ilvl="0" w:tplc="0A7A4AD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AC369FF"/>
    <w:multiLevelType w:val="hybridMultilevel"/>
    <w:tmpl w:val="46F4788C"/>
    <w:lvl w:ilvl="0" w:tplc="9F701216">
      <w:start w:val="1"/>
      <w:numFmt w:val="decimal"/>
      <w:lvlText w:val="%1."/>
      <w:lvlJc w:val="left"/>
      <w:pPr>
        <w:ind w:left="847"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D3"/>
    <w:rsid w:val="0004403E"/>
    <w:rsid w:val="000620FF"/>
    <w:rsid w:val="000909F2"/>
    <w:rsid w:val="000A3293"/>
    <w:rsid w:val="000F22BD"/>
    <w:rsid w:val="00131B57"/>
    <w:rsid w:val="00133187"/>
    <w:rsid w:val="00135813"/>
    <w:rsid w:val="0017206A"/>
    <w:rsid w:val="001821BF"/>
    <w:rsid w:val="001A471D"/>
    <w:rsid w:val="001A4C5F"/>
    <w:rsid w:val="001D623D"/>
    <w:rsid w:val="001F77F7"/>
    <w:rsid w:val="00217E40"/>
    <w:rsid w:val="0022733F"/>
    <w:rsid w:val="002340DC"/>
    <w:rsid w:val="00240089"/>
    <w:rsid w:val="002463BA"/>
    <w:rsid w:val="00253657"/>
    <w:rsid w:val="002630F4"/>
    <w:rsid w:val="00293F61"/>
    <w:rsid w:val="002C0C77"/>
    <w:rsid w:val="002D2ED4"/>
    <w:rsid w:val="002F07BE"/>
    <w:rsid w:val="0030141A"/>
    <w:rsid w:val="00392E86"/>
    <w:rsid w:val="003A4B26"/>
    <w:rsid w:val="003A5450"/>
    <w:rsid w:val="003E0BBC"/>
    <w:rsid w:val="00401D84"/>
    <w:rsid w:val="0041714C"/>
    <w:rsid w:val="0047311C"/>
    <w:rsid w:val="00491494"/>
    <w:rsid w:val="0051282C"/>
    <w:rsid w:val="00550881"/>
    <w:rsid w:val="0055408F"/>
    <w:rsid w:val="005B22DE"/>
    <w:rsid w:val="005D0FC6"/>
    <w:rsid w:val="005E5A7F"/>
    <w:rsid w:val="00637749"/>
    <w:rsid w:val="00641D6C"/>
    <w:rsid w:val="006439EC"/>
    <w:rsid w:val="00651E3B"/>
    <w:rsid w:val="00695137"/>
    <w:rsid w:val="00696314"/>
    <w:rsid w:val="006D43C4"/>
    <w:rsid w:val="006F5B8D"/>
    <w:rsid w:val="00706C63"/>
    <w:rsid w:val="007144A1"/>
    <w:rsid w:val="00721636"/>
    <w:rsid w:val="00750B94"/>
    <w:rsid w:val="007527D9"/>
    <w:rsid w:val="00757E3F"/>
    <w:rsid w:val="0078370D"/>
    <w:rsid w:val="00794B5E"/>
    <w:rsid w:val="007B5976"/>
    <w:rsid w:val="007C7285"/>
    <w:rsid w:val="007D673D"/>
    <w:rsid w:val="007E08D6"/>
    <w:rsid w:val="007F064B"/>
    <w:rsid w:val="00800357"/>
    <w:rsid w:val="00836689"/>
    <w:rsid w:val="008628A6"/>
    <w:rsid w:val="00881AA8"/>
    <w:rsid w:val="00893404"/>
    <w:rsid w:val="008A7EE4"/>
    <w:rsid w:val="008D7757"/>
    <w:rsid w:val="008E3AC2"/>
    <w:rsid w:val="008E6A74"/>
    <w:rsid w:val="008F6B9E"/>
    <w:rsid w:val="0092685F"/>
    <w:rsid w:val="009434BA"/>
    <w:rsid w:val="0094692F"/>
    <w:rsid w:val="00947E3D"/>
    <w:rsid w:val="00947F08"/>
    <w:rsid w:val="009B3167"/>
    <w:rsid w:val="00A13BBA"/>
    <w:rsid w:val="00A47590"/>
    <w:rsid w:val="00A80BD3"/>
    <w:rsid w:val="00A8683C"/>
    <w:rsid w:val="00AB7E36"/>
    <w:rsid w:val="00AC169A"/>
    <w:rsid w:val="00AC590A"/>
    <w:rsid w:val="00AF69EB"/>
    <w:rsid w:val="00B15EF8"/>
    <w:rsid w:val="00B24072"/>
    <w:rsid w:val="00B43006"/>
    <w:rsid w:val="00B67188"/>
    <w:rsid w:val="00B6736E"/>
    <w:rsid w:val="00B86F9F"/>
    <w:rsid w:val="00B979F2"/>
    <w:rsid w:val="00C007D5"/>
    <w:rsid w:val="00C05E0A"/>
    <w:rsid w:val="00C132DA"/>
    <w:rsid w:val="00C14996"/>
    <w:rsid w:val="00C30FB9"/>
    <w:rsid w:val="00C33C98"/>
    <w:rsid w:val="00C36304"/>
    <w:rsid w:val="00C565DF"/>
    <w:rsid w:val="00C70B08"/>
    <w:rsid w:val="00C73862"/>
    <w:rsid w:val="00C847E3"/>
    <w:rsid w:val="00CB5273"/>
    <w:rsid w:val="00CD1EB7"/>
    <w:rsid w:val="00D026DD"/>
    <w:rsid w:val="00D654D0"/>
    <w:rsid w:val="00D85554"/>
    <w:rsid w:val="00D86214"/>
    <w:rsid w:val="00D9166D"/>
    <w:rsid w:val="00DB1476"/>
    <w:rsid w:val="00DF188C"/>
    <w:rsid w:val="00DF2A76"/>
    <w:rsid w:val="00E300BF"/>
    <w:rsid w:val="00E37695"/>
    <w:rsid w:val="00E45EFB"/>
    <w:rsid w:val="00E56B55"/>
    <w:rsid w:val="00E57E0A"/>
    <w:rsid w:val="00E6488E"/>
    <w:rsid w:val="00E657DE"/>
    <w:rsid w:val="00E71949"/>
    <w:rsid w:val="00E8717B"/>
    <w:rsid w:val="00E93659"/>
    <w:rsid w:val="00EB4509"/>
    <w:rsid w:val="00EE4031"/>
    <w:rsid w:val="00EE647D"/>
    <w:rsid w:val="00F07E48"/>
    <w:rsid w:val="00F2266B"/>
    <w:rsid w:val="00F33E51"/>
    <w:rsid w:val="00F3519E"/>
    <w:rsid w:val="00F571B6"/>
    <w:rsid w:val="00F6660E"/>
    <w:rsid w:val="00F874B4"/>
    <w:rsid w:val="00FB11C5"/>
    <w:rsid w:val="00FC59A5"/>
    <w:rsid w:val="00FD09B5"/>
    <w:rsid w:val="00FE331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3"/>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A80BD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aliases w:val="2. Footnote Text Char,Footnote Tesina Char"/>
    <w:basedOn w:val="DefaultParagraphFont"/>
    <w:rsid w:val="00A80BD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80BD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A80BD3"/>
    <w:rPr>
      <w:vertAlign w:val="superscript"/>
    </w:rPr>
  </w:style>
  <w:style w:type="paragraph" w:styleId="ListParagraph">
    <w:name w:val="List Paragraph"/>
    <w:aliases w:val="Footnote,List Paragraph1,Colorful List - Accent 11,Párrafo de lista1"/>
    <w:basedOn w:val="Normal"/>
    <w:link w:val="ListParagraphChar"/>
    <w:qFormat/>
    <w:rsid w:val="00A80BD3"/>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A80BD3"/>
    <w:rPr>
      <w:rFonts w:ascii="Times New Roman" w:eastAsia="Calibri" w:hAnsi="Times New Roman" w:cs="Times New Roman"/>
      <w:lang w:val="es-ES"/>
    </w:rPr>
  </w:style>
  <w:style w:type="character" w:styleId="Strong">
    <w:name w:val="Strong"/>
    <w:uiPriority w:val="22"/>
    <w:qFormat/>
    <w:rsid w:val="00641D6C"/>
    <w:rPr>
      <w:b/>
      <w:bCs/>
    </w:rPr>
  </w:style>
  <w:style w:type="paragraph" w:styleId="NormalWeb">
    <w:name w:val="Normal (Web)"/>
    <w:aliases w:val="Normal (Web) Char1,Normal (Web) Char Char,Normal (Web) Char1 Char,Normal (Web) Char Char Char"/>
    <w:basedOn w:val="Normal"/>
    <w:uiPriority w:val="99"/>
    <w:rsid w:val="001A471D"/>
    <w:pPr>
      <w:spacing w:after="0" w:line="240" w:lineRule="auto"/>
    </w:pPr>
    <w:rPr>
      <w:rFonts w:eastAsia="Batang"/>
      <w:sz w:val="24"/>
      <w:szCs w:val="24"/>
      <w:lang w:val="es-ES_tradnl"/>
    </w:rPr>
  </w:style>
  <w:style w:type="paragraph" w:styleId="BalloonText">
    <w:name w:val="Balloon Text"/>
    <w:basedOn w:val="Normal"/>
    <w:link w:val="BalloonTextChar"/>
    <w:uiPriority w:val="99"/>
    <w:semiHidden/>
    <w:unhideWhenUsed/>
    <w:rsid w:val="00B1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8"/>
    <w:rPr>
      <w:rFonts w:ascii="Tahoma" w:eastAsia="Calibri" w:hAnsi="Tahoma" w:cs="Tahoma"/>
      <w:sz w:val="16"/>
      <w:szCs w:val="16"/>
      <w:lang w:val="es-ES"/>
    </w:rPr>
  </w:style>
  <w:style w:type="paragraph" w:styleId="Header">
    <w:name w:val="header"/>
    <w:basedOn w:val="Normal"/>
    <w:link w:val="HeaderChar"/>
    <w:uiPriority w:val="99"/>
    <w:unhideWhenUsed/>
    <w:rsid w:val="001D62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623D"/>
    <w:rPr>
      <w:rFonts w:ascii="Times New Roman" w:eastAsia="Calibri" w:hAnsi="Times New Roman" w:cs="Times New Roman"/>
      <w:lang w:val="es-ES"/>
    </w:rPr>
  </w:style>
  <w:style w:type="paragraph" w:styleId="Footer">
    <w:name w:val="footer"/>
    <w:basedOn w:val="Normal"/>
    <w:link w:val="FooterChar"/>
    <w:uiPriority w:val="99"/>
    <w:unhideWhenUsed/>
    <w:rsid w:val="001D62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623D"/>
    <w:rPr>
      <w:rFonts w:ascii="Times New Roman" w:eastAsia="Calibri" w:hAnsi="Times New Roman" w:cs="Times New Roman"/>
      <w:lang w:val="es-ES"/>
    </w:rPr>
  </w:style>
  <w:style w:type="character" w:styleId="Hyperlink">
    <w:name w:val="Hyperlink"/>
    <w:basedOn w:val="DefaultParagraphFont"/>
    <w:uiPriority w:val="99"/>
    <w:unhideWhenUsed/>
    <w:rsid w:val="008E3AC2"/>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C169A"/>
    <w:pPr>
      <w:spacing w:after="0" w:line="240" w:lineRule="auto"/>
      <w:jc w:val="both"/>
    </w:pPr>
    <w:rPr>
      <w:rFonts w:asciiTheme="minorHAnsi" w:eastAsiaTheme="minorHAnsi" w:hAnsiTheme="minorHAnsi" w:cstheme="minorBidi"/>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3"/>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A80BD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aliases w:val="2. Footnote Text Char,Footnote Tesina Char"/>
    <w:basedOn w:val="DefaultParagraphFont"/>
    <w:rsid w:val="00A80BD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80BD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A80BD3"/>
    <w:rPr>
      <w:vertAlign w:val="superscript"/>
    </w:rPr>
  </w:style>
  <w:style w:type="paragraph" w:styleId="ListParagraph">
    <w:name w:val="List Paragraph"/>
    <w:aliases w:val="Footnote,List Paragraph1,Colorful List - Accent 11,Párrafo de lista1"/>
    <w:basedOn w:val="Normal"/>
    <w:link w:val="ListParagraphChar"/>
    <w:qFormat/>
    <w:rsid w:val="00A80BD3"/>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A80BD3"/>
    <w:rPr>
      <w:rFonts w:ascii="Times New Roman" w:eastAsia="Calibri" w:hAnsi="Times New Roman" w:cs="Times New Roman"/>
      <w:lang w:val="es-ES"/>
    </w:rPr>
  </w:style>
  <w:style w:type="character" w:styleId="Strong">
    <w:name w:val="Strong"/>
    <w:uiPriority w:val="22"/>
    <w:qFormat/>
    <w:rsid w:val="00641D6C"/>
    <w:rPr>
      <w:b/>
      <w:bCs/>
    </w:rPr>
  </w:style>
  <w:style w:type="paragraph" w:styleId="NormalWeb">
    <w:name w:val="Normal (Web)"/>
    <w:aliases w:val="Normal (Web) Char1,Normal (Web) Char Char,Normal (Web) Char1 Char,Normal (Web) Char Char Char"/>
    <w:basedOn w:val="Normal"/>
    <w:uiPriority w:val="99"/>
    <w:rsid w:val="001A471D"/>
    <w:pPr>
      <w:spacing w:after="0" w:line="240" w:lineRule="auto"/>
    </w:pPr>
    <w:rPr>
      <w:rFonts w:eastAsia="Batang"/>
      <w:sz w:val="24"/>
      <w:szCs w:val="24"/>
      <w:lang w:val="es-ES_tradnl"/>
    </w:rPr>
  </w:style>
  <w:style w:type="paragraph" w:styleId="BalloonText">
    <w:name w:val="Balloon Text"/>
    <w:basedOn w:val="Normal"/>
    <w:link w:val="BalloonTextChar"/>
    <w:uiPriority w:val="99"/>
    <w:semiHidden/>
    <w:unhideWhenUsed/>
    <w:rsid w:val="00B1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8"/>
    <w:rPr>
      <w:rFonts w:ascii="Tahoma" w:eastAsia="Calibri" w:hAnsi="Tahoma" w:cs="Tahoma"/>
      <w:sz w:val="16"/>
      <w:szCs w:val="16"/>
      <w:lang w:val="es-ES"/>
    </w:rPr>
  </w:style>
  <w:style w:type="paragraph" w:styleId="Header">
    <w:name w:val="header"/>
    <w:basedOn w:val="Normal"/>
    <w:link w:val="HeaderChar"/>
    <w:uiPriority w:val="99"/>
    <w:unhideWhenUsed/>
    <w:rsid w:val="001D62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623D"/>
    <w:rPr>
      <w:rFonts w:ascii="Times New Roman" w:eastAsia="Calibri" w:hAnsi="Times New Roman" w:cs="Times New Roman"/>
      <w:lang w:val="es-ES"/>
    </w:rPr>
  </w:style>
  <w:style w:type="paragraph" w:styleId="Footer">
    <w:name w:val="footer"/>
    <w:basedOn w:val="Normal"/>
    <w:link w:val="FooterChar"/>
    <w:uiPriority w:val="99"/>
    <w:unhideWhenUsed/>
    <w:rsid w:val="001D62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623D"/>
    <w:rPr>
      <w:rFonts w:ascii="Times New Roman" w:eastAsia="Calibri" w:hAnsi="Times New Roman" w:cs="Times New Roman"/>
      <w:lang w:val="es-ES"/>
    </w:rPr>
  </w:style>
  <w:style w:type="character" w:styleId="Hyperlink">
    <w:name w:val="Hyperlink"/>
    <w:basedOn w:val="DefaultParagraphFont"/>
    <w:uiPriority w:val="99"/>
    <w:unhideWhenUsed/>
    <w:rsid w:val="008E3AC2"/>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C169A"/>
    <w:pPr>
      <w:spacing w:after="0" w:line="240" w:lineRule="auto"/>
      <w:jc w:val="both"/>
    </w:pPr>
    <w:rPr>
      <w:rFonts w:asciiTheme="minorHAnsi" w:eastAsiaTheme="minorHAnsi" w:hAnsiTheme="minorHAnsi" w:cstheme="minorBidi"/>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3344">
      <w:bodyDiv w:val="1"/>
      <w:marLeft w:val="0"/>
      <w:marRight w:val="0"/>
      <w:marTop w:val="0"/>
      <w:marBottom w:val="0"/>
      <w:divBdr>
        <w:top w:val="none" w:sz="0" w:space="0" w:color="auto"/>
        <w:left w:val="none" w:sz="0" w:space="0" w:color="auto"/>
        <w:bottom w:val="none" w:sz="0" w:space="0" w:color="auto"/>
        <w:right w:val="none" w:sz="0" w:space="0" w:color="auto"/>
      </w:divBdr>
    </w:div>
    <w:div w:id="145782660">
      <w:bodyDiv w:val="1"/>
      <w:marLeft w:val="0"/>
      <w:marRight w:val="0"/>
      <w:marTop w:val="0"/>
      <w:marBottom w:val="0"/>
      <w:divBdr>
        <w:top w:val="none" w:sz="0" w:space="0" w:color="auto"/>
        <w:left w:val="none" w:sz="0" w:space="0" w:color="auto"/>
        <w:bottom w:val="none" w:sz="0" w:space="0" w:color="auto"/>
        <w:right w:val="none" w:sz="0" w:space="0" w:color="auto"/>
      </w:divBdr>
    </w:div>
    <w:div w:id="679741048">
      <w:bodyDiv w:val="1"/>
      <w:marLeft w:val="0"/>
      <w:marRight w:val="0"/>
      <w:marTop w:val="0"/>
      <w:marBottom w:val="0"/>
      <w:divBdr>
        <w:top w:val="none" w:sz="0" w:space="0" w:color="auto"/>
        <w:left w:val="none" w:sz="0" w:space="0" w:color="auto"/>
        <w:bottom w:val="none" w:sz="0" w:space="0" w:color="auto"/>
        <w:right w:val="none" w:sz="0" w:space="0" w:color="auto"/>
      </w:divBdr>
    </w:div>
    <w:div w:id="859198977">
      <w:bodyDiv w:val="1"/>
      <w:marLeft w:val="0"/>
      <w:marRight w:val="0"/>
      <w:marTop w:val="0"/>
      <w:marBottom w:val="0"/>
      <w:divBdr>
        <w:top w:val="none" w:sz="0" w:space="0" w:color="auto"/>
        <w:left w:val="none" w:sz="0" w:space="0" w:color="auto"/>
        <w:bottom w:val="none" w:sz="0" w:space="0" w:color="auto"/>
        <w:right w:val="none" w:sz="0" w:space="0" w:color="auto"/>
      </w:divBdr>
    </w:div>
    <w:div w:id="1496339496">
      <w:bodyDiv w:val="1"/>
      <w:marLeft w:val="0"/>
      <w:marRight w:val="0"/>
      <w:marTop w:val="0"/>
      <w:marBottom w:val="0"/>
      <w:divBdr>
        <w:top w:val="none" w:sz="0" w:space="0" w:color="auto"/>
        <w:left w:val="none" w:sz="0" w:space="0" w:color="auto"/>
        <w:bottom w:val="none" w:sz="0" w:space="0" w:color="auto"/>
        <w:right w:val="none" w:sz="0" w:space="0" w:color="auto"/>
      </w:divBdr>
    </w:div>
    <w:div w:id="1582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cpi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698C-0827-42C9-B61B-8B8D6DD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1743</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2016-12-22T16:11:00Z</cp:lastPrinted>
  <dcterms:created xsi:type="dcterms:W3CDTF">2016-12-22T17:10:00Z</dcterms:created>
  <dcterms:modified xsi:type="dcterms:W3CDTF">2016-12-22T17:38:00Z</dcterms:modified>
</cp:coreProperties>
</file>