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701D19" w14:textId="77777777" w:rsidR="00BF128B" w:rsidRDefault="00BF128B" w:rsidP="008E47DC">
      <w:pPr>
        <w:tabs>
          <w:tab w:val="left" w:pos="709"/>
        </w:tabs>
        <w:spacing w:after="0" w:line="240" w:lineRule="auto"/>
        <w:jc w:val="center"/>
        <w:rPr>
          <w:rFonts w:ascii="Verdana" w:hAnsi="Verdana"/>
          <w:b/>
          <w:sz w:val="20"/>
          <w:szCs w:val="20"/>
          <w:lang w:val="es-CR"/>
        </w:rPr>
      </w:pPr>
    </w:p>
    <w:p w14:paraId="6118D12F" w14:textId="77777777" w:rsidR="007F4197" w:rsidRDefault="006D19A7" w:rsidP="008E47DC">
      <w:pPr>
        <w:tabs>
          <w:tab w:val="left" w:pos="709"/>
        </w:tabs>
        <w:spacing w:after="0" w:line="240" w:lineRule="auto"/>
        <w:jc w:val="center"/>
        <w:rPr>
          <w:rFonts w:ascii="Verdana" w:hAnsi="Verdana"/>
          <w:b/>
          <w:sz w:val="20"/>
          <w:szCs w:val="20"/>
          <w:lang w:val="es-CR"/>
        </w:rPr>
      </w:pPr>
      <w:r w:rsidRPr="008E47DC">
        <w:rPr>
          <w:rFonts w:ascii="Verdana" w:hAnsi="Verdana"/>
          <w:b/>
          <w:sz w:val="20"/>
          <w:szCs w:val="20"/>
          <w:lang w:val="es-CR"/>
        </w:rPr>
        <w:t xml:space="preserve">VOTO PARCIALMENTE DISIDENTE DEL </w:t>
      </w:r>
    </w:p>
    <w:p w14:paraId="5C5CB818" w14:textId="101DD8BC" w:rsidR="006D19A7" w:rsidRPr="008E47DC" w:rsidRDefault="006D19A7" w:rsidP="008E47DC">
      <w:pPr>
        <w:tabs>
          <w:tab w:val="left" w:pos="709"/>
        </w:tabs>
        <w:spacing w:after="0" w:line="240" w:lineRule="auto"/>
        <w:jc w:val="center"/>
        <w:rPr>
          <w:rFonts w:ascii="Verdana" w:hAnsi="Verdana"/>
          <w:b/>
          <w:sz w:val="20"/>
          <w:szCs w:val="20"/>
          <w:lang w:val="es-CR"/>
        </w:rPr>
      </w:pPr>
      <w:r w:rsidRPr="008E47DC">
        <w:rPr>
          <w:rFonts w:ascii="Verdana" w:hAnsi="Verdana"/>
          <w:b/>
          <w:sz w:val="20"/>
          <w:szCs w:val="20"/>
          <w:lang w:val="es-CR"/>
        </w:rPr>
        <w:t>JUEZ HUMBERTO ANTONIO SIERRA PORTO</w:t>
      </w:r>
    </w:p>
    <w:p w14:paraId="6C0F520C" w14:textId="77777777" w:rsidR="006D19A7" w:rsidRPr="008E47DC" w:rsidRDefault="006D19A7" w:rsidP="008E47DC">
      <w:pPr>
        <w:tabs>
          <w:tab w:val="left" w:pos="709"/>
        </w:tabs>
        <w:spacing w:after="0" w:line="240" w:lineRule="auto"/>
        <w:jc w:val="center"/>
        <w:rPr>
          <w:rFonts w:ascii="Verdana" w:hAnsi="Verdana"/>
          <w:b/>
          <w:sz w:val="20"/>
          <w:szCs w:val="20"/>
          <w:lang w:val="es-CR"/>
        </w:rPr>
      </w:pPr>
    </w:p>
    <w:p w14:paraId="22CB94B1" w14:textId="77777777" w:rsidR="006D19A7" w:rsidRPr="008E47DC" w:rsidRDefault="006D19A7" w:rsidP="008E47DC">
      <w:pPr>
        <w:tabs>
          <w:tab w:val="left" w:pos="709"/>
        </w:tabs>
        <w:spacing w:after="0" w:line="240" w:lineRule="auto"/>
        <w:jc w:val="center"/>
        <w:rPr>
          <w:rFonts w:ascii="Verdana" w:hAnsi="Verdana"/>
          <w:b/>
          <w:sz w:val="20"/>
          <w:szCs w:val="20"/>
          <w:lang w:val="es-CR"/>
        </w:rPr>
      </w:pPr>
      <w:r w:rsidRPr="008E47DC">
        <w:rPr>
          <w:rFonts w:ascii="Verdana" w:hAnsi="Verdana"/>
          <w:b/>
          <w:sz w:val="20"/>
          <w:szCs w:val="20"/>
          <w:lang w:val="es-CR"/>
        </w:rPr>
        <w:t>SENTENCIA DE LA CORTE INTERAMERICANA DE DERECHOS HUMANOS</w:t>
      </w:r>
    </w:p>
    <w:p w14:paraId="7714075D" w14:textId="77777777" w:rsidR="006D19A7" w:rsidRPr="008E47DC" w:rsidRDefault="006D19A7" w:rsidP="008E47DC">
      <w:pPr>
        <w:tabs>
          <w:tab w:val="left" w:pos="709"/>
        </w:tabs>
        <w:spacing w:after="0" w:line="240" w:lineRule="auto"/>
        <w:jc w:val="center"/>
        <w:rPr>
          <w:rFonts w:ascii="Verdana" w:hAnsi="Verdana"/>
          <w:b/>
          <w:sz w:val="20"/>
          <w:szCs w:val="20"/>
          <w:lang w:val="es-CR"/>
        </w:rPr>
      </w:pPr>
    </w:p>
    <w:p w14:paraId="566B7C69" w14:textId="3059F9EC" w:rsidR="006D19A7" w:rsidRPr="008E47DC" w:rsidRDefault="006D19A7" w:rsidP="008E47DC">
      <w:pPr>
        <w:tabs>
          <w:tab w:val="left" w:pos="709"/>
        </w:tabs>
        <w:spacing w:after="0" w:line="240" w:lineRule="auto"/>
        <w:jc w:val="center"/>
        <w:rPr>
          <w:rFonts w:ascii="Verdana" w:hAnsi="Verdana" w:cs="Verdana Bold"/>
          <w:b/>
          <w:bCs/>
          <w:caps/>
          <w:sz w:val="20"/>
          <w:szCs w:val="20"/>
        </w:rPr>
      </w:pPr>
      <w:r w:rsidRPr="008E47DC">
        <w:rPr>
          <w:rFonts w:ascii="Verdana" w:eastAsia="MS Mincho" w:hAnsi="Verdana"/>
          <w:b/>
          <w:sz w:val="20"/>
          <w:szCs w:val="20"/>
        </w:rPr>
        <w:t xml:space="preserve">CASO LAGOS DEL CAMPO </w:t>
      </w:r>
      <w:r w:rsidRPr="008E47DC">
        <w:rPr>
          <w:rFonts w:ascii="Verdana" w:eastAsia="MS Mincho" w:hAnsi="Verdana"/>
          <w:b/>
          <w:i/>
          <w:sz w:val="20"/>
          <w:szCs w:val="20"/>
        </w:rPr>
        <w:t>VS</w:t>
      </w:r>
      <w:r w:rsidRPr="008E47DC">
        <w:rPr>
          <w:rFonts w:ascii="Verdana" w:eastAsia="MS Mincho" w:hAnsi="Verdana"/>
          <w:b/>
          <w:sz w:val="20"/>
          <w:szCs w:val="20"/>
        </w:rPr>
        <w:t>. PERÚ</w:t>
      </w:r>
    </w:p>
    <w:p w14:paraId="7490AB46" w14:textId="77777777" w:rsidR="006D19A7" w:rsidRPr="008E47DC" w:rsidRDefault="006D19A7" w:rsidP="008E47DC">
      <w:pPr>
        <w:tabs>
          <w:tab w:val="left" w:pos="709"/>
        </w:tabs>
        <w:spacing w:after="0" w:line="240" w:lineRule="auto"/>
        <w:jc w:val="center"/>
        <w:rPr>
          <w:rFonts w:ascii="Verdana" w:hAnsi="Verdana"/>
          <w:b/>
          <w:sz w:val="20"/>
          <w:szCs w:val="20"/>
          <w:lang w:val="es-CR"/>
        </w:rPr>
      </w:pPr>
    </w:p>
    <w:p w14:paraId="6D07822E" w14:textId="2213CCED" w:rsidR="006D19A7" w:rsidRPr="008E47DC" w:rsidRDefault="006D19A7" w:rsidP="008E47DC">
      <w:pPr>
        <w:tabs>
          <w:tab w:val="left" w:pos="709"/>
        </w:tabs>
        <w:spacing w:after="0" w:line="240" w:lineRule="auto"/>
        <w:jc w:val="center"/>
        <w:rPr>
          <w:rFonts w:ascii="Verdana" w:hAnsi="Verdana"/>
          <w:b/>
          <w:sz w:val="20"/>
          <w:szCs w:val="20"/>
          <w:lang w:val="es-CR"/>
        </w:rPr>
      </w:pPr>
      <w:r w:rsidRPr="008E47DC">
        <w:rPr>
          <w:rFonts w:ascii="Verdana" w:hAnsi="Verdana"/>
          <w:b/>
          <w:sz w:val="20"/>
          <w:szCs w:val="20"/>
          <w:lang w:val="es-CR"/>
        </w:rPr>
        <w:t>SENTENCIA DE 31 DE AGOSTO DE 2017</w:t>
      </w:r>
    </w:p>
    <w:p w14:paraId="541A1253" w14:textId="77777777" w:rsidR="006D19A7" w:rsidRPr="008E47DC" w:rsidRDefault="006D19A7" w:rsidP="008E47DC">
      <w:pPr>
        <w:tabs>
          <w:tab w:val="left" w:pos="709"/>
        </w:tabs>
        <w:spacing w:after="0" w:line="240" w:lineRule="auto"/>
        <w:jc w:val="center"/>
        <w:rPr>
          <w:rFonts w:ascii="Verdana" w:hAnsi="Verdana"/>
          <w:b/>
          <w:sz w:val="20"/>
          <w:szCs w:val="20"/>
          <w:lang w:val="es-CR"/>
        </w:rPr>
      </w:pPr>
    </w:p>
    <w:p w14:paraId="073DDE7C" w14:textId="77777777" w:rsidR="006D19A7" w:rsidRPr="00C24C47" w:rsidRDefault="006D19A7" w:rsidP="008E47DC">
      <w:pPr>
        <w:tabs>
          <w:tab w:val="left" w:pos="709"/>
        </w:tabs>
        <w:spacing w:after="0" w:line="240" w:lineRule="auto"/>
        <w:jc w:val="center"/>
        <w:rPr>
          <w:rFonts w:ascii="Verdana" w:hAnsi="Verdana"/>
          <w:b/>
          <w:i/>
          <w:sz w:val="20"/>
          <w:szCs w:val="20"/>
          <w:lang w:val="es-CR"/>
        </w:rPr>
      </w:pPr>
      <w:r w:rsidRPr="00C24C47">
        <w:rPr>
          <w:rFonts w:ascii="Verdana" w:hAnsi="Verdana"/>
          <w:b/>
          <w:i/>
          <w:sz w:val="20"/>
          <w:szCs w:val="20"/>
          <w:lang w:val="es-CR"/>
        </w:rPr>
        <w:t>(Excepciones Preliminares, Fondo, Reparaciones y Costas)</w:t>
      </w:r>
    </w:p>
    <w:p w14:paraId="63E591D1" w14:textId="77777777" w:rsidR="003C41D6" w:rsidRDefault="003C41D6" w:rsidP="008E47DC">
      <w:pPr>
        <w:spacing w:after="0" w:line="240" w:lineRule="auto"/>
        <w:jc w:val="both"/>
        <w:rPr>
          <w:rFonts w:ascii="Verdana" w:hAnsi="Verdana" w:cs="Arial"/>
          <w:sz w:val="20"/>
          <w:szCs w:val="20"/>
        </w:rPr>
      </w:pPr>
    </w:p>
    <w:p w14:paraId="7F18FDE1" w14:textId="34E52B17" w:rsidR="00BF128B" w:rsidRDefault="00814E87" w:rsidP="008E47DC">
      <w:pPr>
        <w:spacing w:after="0" w:line="240" w:lineRule="auto"/>
        <w:jc w:val="both"/>
        <w:rPr>
          <w:rFonts w:ascii="Verdana" w:hAnsi="Verdana" w:cs="Arial"/>
          <w:sz w:val="20"/>
          <w:szCs w:val="20"/>
        </w:rPr>
      </w:pPr>
      <w:r>
        <w:rPr>
          <w:rFonts w:ascii="Verdana" w:hAnsi="Verdana" w:cs="Arial"/>
          <w:sz w:val="20"/>
          <w:szCs w:val="20"/>
        </w:rPr>
        <w:t>Con el acost</w:t>
      </w:r>
      <w:r w:rsidR="007C2A46">
        <w:rPr>
          <w:rFonts w:ascii="Verdana" w:hAnsi="Verdana" w:cs="Arial"/>
          <w:sz w:val="20"/>
          <w:szCs w:val="20"/>
        </w:rPr>
        <w:t>umbrado respeto por las decisiones de la Corte, me permito formular a continuación el presente voto parcialmente disidente en el caso de la referencia. Para efectos del desarrollo de esta posición seguiremos el siguiente orden:</w:t>
      </w:r>
    </w:p>
    <w:p w14:paraId="4C576CE7" w14:textId="77777777" w:rsidR="00880C20" w:rsidRPr="008E47DC" w:rsidRDefault="00880C20" w:rsidP="008E47DC">
      <w:pPr>
        <w:spacing w:after="0" w:line="240" w:lineRule="auto"/>
        <w:jc w:val="both"/>
        <w:rPr>
          <w:rFonts w:ascii="Verdana" w:hAnsi="Verdana" w:cs="Arial"/>
          <w:sz w:val="20"/>
          <w:szCs w:val="20"/>
        </w:rPr>
      </w:pPr>
    </w:p>
    <w:p w14:paraId="42989836" w14:textId="520FC348" w:rsidR="00666AD9" w:rsidRPr="00966D31" w:rsidRDefault="00666AD9" w:rsidP="00966D31">
      <w:pPr>
        <w:pStyle w:val="ListParagraph"/>
        <w:numPr>
          <w:ilvl w:val="0"/>
          <w:numId w:val="11"/>
        </w:numPr>
        <w:spacing w:after="0" w:line="240" w:lineRule="auto"/>
        <w:jc w:val="both"/>
        <w:rPr>
          <w:rFonts w:ascii="Verdana" w:hAnsi="Verdana" w:cs="Arial"/>
          <w:b/>
          <w:sz w:val="20"/>
          <w:szCs w:val="20"/>
        </w:rPr>
      </w:pPr>
      <w:r w:rsidRPr="00966D31">
        <w:rPr>
          <w:rFonts w:ascii="Verdana" w:hAnsi="Verdana" w:cs="Arial"/>
          <w:b/>
          <w:sz w:val="20"/>
          <w:szCs w:val="20"/>
        </w:rPr>
        <w:t>INTRODUCCIÓN</w:t>
      </w:r>
    </w:p>
    <w:p w14:paraId="001C937A" w14:textId="77777777" w:rsidR="005F74E2" w:rsidRDefault="005F74E2" w:rsidP="008E47DC">
      <w:pPr>
        <w:spacing w:after="0" w:line="240" w:lineRule="auto"/>
        <w:jc w:val="both"/>
        <w:rPr>
          <w:rFonts w:ascii="Verdana" w:hAnsi="Verdana" w:cs="Arial"/>
          <w:sz w:val="20"/>
          <w:szCs w:val="20"/>
        </w:rPr>
      </w:pPr>
    </w:p>
    <w:p w14:paraId="7940D720" w14:textId="697651A9" w:rsidR="00966D31" w:rsidRDefault="005F74E2" w:rsidP="006B6FDF">
      <w:pPr>
        <w:pStyle w:val="ListParagraph"/>
        <w:numPr>
          <w:ilvl w:val="0"/>
          <w:numId w:val="12"/>
        </w:numPr>
        <w:spacing w:after="0" w:line="240" w:lineRule="auto"/>
        <w:ind w:left="0" w:firstLine="0"/>
        <w:jc w:val="both"/>
        <w:rPr>
          <w:rFonts w:ascii="Verdana" w:hAnsi="Verdana" w:cs="Arial"/>
          <w:sz w:val="20"/>
          <w:szCs w:val="20"/>
        </w:rPr>
      </w:pPr>
      <w:r w:rsidRPr="00966D31">
        <w:rPr>
          <w:rFonts w:ascii="Verdana" w:hAnsi="Verdana" w:cs="Arial"/>
          <w:sz w:val="20"/>
          <w:szCs w:val="20"/>
        </w:rPr>
        <w:t>El presente voto parcialmente disidente</w:t>
      </w:r>
      <w:r w:rsidR="009012C2" w:rsidRPr="00966D31">
        <w:rPr>
          <w:rFonts w:ascii="Verdana" w:hAnsi="Verdana" w:cs="Arial"/>
          <w:sz w:val="20"/>
          <w:szCs w:val="20"/>
        </w:rPr>
        <w:t xml:space="preserve"> tiene la </w:t>
      </w:r>
      <w:r w:rsidR="00312AAF" w:rsidRPr="00966D31">
        <w:rPr>
          <w:rFonts w:ascii="Verdana" w:hAnsi="Verdana" w:cs="Arial"/>
          <w:sz w:val="20"/>
          <w:szCs w:val="20"/>
        </w:rPr>
        <w:t>intención</w:t>
      </w:r>
      <w:r w:rsidR="009012C2" w:rsidRPr="00966D31">
        <w:rPr>
          <w:rFonts w:ascii="Verdana" w:hAnsi="Verdana" w:cs="Arial"/>
          <w:sz w:val="20"/>
          <w:szCs w:val="20"/>
        </w:rPr>
        <w:t xml:space="preserve"> de presentar de forma detallada las razones por las cuales vot</w:t>
      </w:r>
      <w:r w:rsidR="005D34B0" w:rsidRPr="00966D31">
        <w:rPr>
          <w:rFonts w:ascii="Verdana" w:hAnsi="Verdana" w:cs="Arial"/>
          <w:sz w:val="20"/>
          <w:szCs w:val="20"/>
        </w:rPr>
        <w:t xml:space="preserve">é en contra del punto resolutivo quinto en la Sentencia del </w:t>
      </w:r>
      <w:r w:rsidR="00112EB6">
        <w:rPr>
          <w:rFonts w:ascii="Verdana" w:hAnsi="Verdana" w:cs="Arial"/>
          <w:i/>
          <w:sz w:val="20"/>
          <w:szCs w:val="20"/>
        </w:rPr>
        <w:t>C</w:t>
      </w:r>
      <w:r w:rsidR="005D34B0" w:rsidRPr="00C24C47">
        <w:rPr>
          <w:rFonts w:ascii="Verdana" w:hAnsi="Verdana" w:cs="Arial"/>
          <w:i/>
          <w:sz w:val="20"/>
          <w:szCs w:val="20"/>
        </w:rPr>
        <w:t>aso Lagos del Campo Vs. Perú</w:t>
      </w:r>
      <w:r w:rsidR="005D34B0" w:rsidRPr="00966D31">
        <w:rPr>
          <w:rFonts w:ascii="Verdana" w:hAnsi="Verdana" w:cs="Arial"/>
          <w:sz w:val="20"/>
          <w:szCs w:val="20"/>
        </w:rPr>
        <w:t>. En efecto, mi posición respecto a hacer justiciables los denominados derechos económicos, sociales y culturales (DESC) a través de una aplicación directa del artículo 26 de la Convención Americana sobre Derechos Humanos (CADH), ya es conocida, dado que hace dos años presenté un voto concurrente sobre la materia</w:t>
      </w:r>
      <w:r w:rsidR="008333D3" w:rsidRPr="00966D31">
        <w:rPr>
          <w:rFonts w:ascii="Verdana" w:hAnsi="Verdana" w:cs="Arial"/>
          <w:sz w:val="20"/>
          <w:szCs w:val="20"/>
        </w:rPr>
        <w:t xml:space="preserve"> en el </w:t>
      </w:r>
      <w:r w:rsidR="00112EB6" w:rsidRPr="00C24C47">
        <w:rPr>
          <w:rFonts w:ascii="Verdana" w:hAnsi="Verdana" w:cs="Arial"/>
          <w:i/>
          <w:sz w:val="20"/>
          <w:szCs w:val="20"/>
        </w:rPr>
        <w:t>C</w:t>
      </w:r>
      <w:r w:rsidR="008333D3" w:rsidRPr="00C24C47">
        <w:rPr>
          <w:rFonts w:ascii="Verdana" w:hAnsi="Verdana" w:cs="Arial"/>
          <w:i/>
          <w:sz w:val="20"/>
          <w:szCs w:val="20"/>
        </w:rPr>
        <w:t xml:space="preserve">aso </w:t>
      </w:r>
      <w:r w:rsidR="00065CA7" w:rsidRPr="00C24C47">
        <w:rPr>
          <w:rFonts w:ascii="Verdana" w:hAnsi="Verdana" w:cs="Arial"/>
          <w:i/>
          <w:sz w:val="20"/>
          <w:szCs w:val="20"/>
        </w:rPr>
        <w:t>Gonzá</w:t>
      </w:r>
      <w:r w:rsidR="00113A4A" w:rsidRPr="00C24C47">
        <w:rPr>
          <w:rFonts w:ascii="Verdana" w:hAnsi="Verdana" w:cs="Arial"/>
          <w:i/>
          <w:sz w:val="20"/>
          <w:szCs w:val="20"/>
        </w:rPr>
        <w:t xml:space="preserve">lez </w:t>
      </w:r>
      <w:proofErr w:type="spellStart"/>
      <w:r w:rsidR="00113A4A" w:rsidRPr="00C24C47">
        <w:rPr>
          <w:rFonts w:ascii="Verdana" w:hAnsi="Verdana" w:cs="Arial"/>
          <w:i/>
          <w:sz w:val="20"/>
          <w:szCs w:val="20"/>
        </w:rPr>
        <w:t>Lluy</w:t>
      </w:r>
      <w:proofErr w:type="spellEnd"/>
      <w:r w:rsidR="00113A4A" w:rsidRPr="00C24C47">
        <w:rPr>
          <w:rFonts w:ascii="Verdana" w:hAnsi="Verdana" w:cs="Arial"/>
          <w:i/>
          <w:sz w:val="20"/>
          <w:szCs w:val="20"/>
        </w:rPr>
        <w:t xml:space="preserve"> y otros Vs. Ecuador</w:t>
      </w:r>
      <w:r w:rsidR="005D34B0" w:rsidRPr="00966D31">
        <w:rPr>
          <w:rFonts w:ascii="Verdana" w:hAnsi="Verdana" w:cs="Arial"/>
          <w:sz w:val="20"/>
          <w:szCs w:val="20"/>
        </w:rPr>
        <w:t xml:space="preserve">. En aquella oportunidad, </w:t>
      </w:r>
      <w:r w:rsidR="002725EF">
        <w:rPr>
          <w:rFonts w:ascii="Verdana" w:hAnsi="Verdana" w:cs="Arial"/>
          <w:sz w:val="20"/>
          <w:szCs w:val="20"/>
        </w:rPr>
        <w:t>indique</w:t>
      </w:r>
      <w:r w:rsidR="00704A92" w:rsidRPr="00966D31">
        <w:rPr>
          <w:rFonts w:ascii="Verdana" w:hAnsi="Verdana" w:cs="Arial"/>
          <w:sz w:val="20"/>
          <w:szCs w:val="20"/>
        </w:rPr>
        <w:t xml:space="preserve"> los argumentos jurídicos que sustentan mi posición con la esperanza de que estos fuesen parte del debate interno y externo que se ha dado sobre la aplicabilidad del citado artículo de la Convención, pero también con </w:t>
      </w:r>
      <w:r w:rsidR="00312AAF">
        <w:rPr>
          <w:rFonts w:ascii="Verdana" w:hAnsi="Verdana" w:cs="Arial"/>
          <w:sz w:val="20"/>
          <w:szCs w:val="20"/>
        </w:rPr>
        <w:t>el propósito</w:t>
      </w:r>
      <w:r w:rsidR="00704A92" w:rsidRPr="00966D31">
        <w:rPr>
          <w:rFonts w:ascii="Verdana" w:hAnsi="Verdana" w:cs="Arial"/>
          <w:sz w:val="20"/>
          <w:szCs w:val="20"/>
        </w:rPr>
        <w:t xml:space="preserve"> de disuadir a quienes abogaban a favor del paso que la Corte IDH ha dado en esta Sentencia.</w:t>
      </w:r>
    </w:p>
    <w:p w14:paraId="0FAE4D3F" w14:textId="77777777" w:rsidR="00966D31" w:rsidRDefault="00966D31" w:rsidP="00966D31">
      <w:pPr>
        <w:pStyle w:val="ListParagraph"/>
        <w:spacing w:after="0" w:line="240" w:lineRule="auto"/>
        <w:ind w:left="0"/>
        <w:jc w:val="both"/>
        <w:rPr>
          <w:rFonts w:ascii="Verdana" w:hAnsi="Verdana" w:cs="Arial"/>
          <w:sz w:val="20"/>
          <w:szCs w:val="20"/>
        </w:rPr>
      </w:pPr>
    </w:p>
    <w:p w14:paraId="417C8121" w14:textId="32DA577E" w:rsidR="00F4288D" w:rsidRDefault="00F4288D" w:rsidP="006B6FDF">
      <w:pPr>
        <w:pStyle w:val="ListParagraph"/>
        <w:numPr>
          <w:ilvl w:val="0"/>
          <w:numId w:val="12"/>
        </w:numPr>
        <w:spacing w:after="0" w:line="240" w:lineRule="auto"/>
        <w:ind w:left="0" w:firstLine="0"/>
        <w:jc w:val="both"/>
        <w:rPr>
          <w:rFonts w:ascii="Verdana" w:hAnsi="Verdana" w:cs="Arial"/>
          <w:sz w:val="20"/>
          <w:szCs w:val="20"/>
        </w:rPr>
      </w:pPr>
      <w:r>
        <w:rPr>
          <w:rFonts w:ascii="Verdana" w:hAnsi="Verdana" w:cs="Arial"/>
          <w:sz w:val="20"/>
          <w:szCs w:val="20"/>
        </w:rPr>
        <w:t xml:space="preserve">Lo anterior no significa que sea contrario en general a la tesis de que los DESC son derechos justiciables, por el contrario, durante mi paso por la Corte Constitucional colombiana tuve oportunidad de contribuir al desarrollo de líneas jurisprudenciales relacionadas con el carácter de derechos fundamentales y por lo tanto la exigibilidad mediante la acción de tutela del derecho a la salud, el derecho a </w:t>
      </w:r>
      <w:r w:rsidR="008043CA">
        <w:rPr>
          <w:rFonts w:ascii="Verdana" w:hAnsi="Verdana" w:cs="Arial"/>
          <w:sz w:val="20"/>
          <w:szCs w:val="20"/>
        </w:rPr>
        <w:t xml:space="preserve">la vivienda digna, el derecho al agua potable </w:t>
      </w:r>
      <w:r>
        <w:rPr>
          <w:rFonts w:ascii="Verdana" w:hAnsi="Verdana" w:cs="Arial"/>
          <w:sz w:val="20"/>
          <w:szCs w:val="20"/>
        </w:rPr>
        <w:t>y el derecho a la seguridad social, entre otros. No obstante, considero que existen diferencias sustanciales entre la Constitución Colombiana y la CADH, por una parte, y entre el rol de un juez de un tribunal constitucional y el papel que corresponde a un juez que hace parte de un tribunal internacional de derechos humanos</w:t>
      </w:r>
      <w:r w:rsidR="008043CA">
        <w:rPr>
          <w:rFonts w:ascii="Verdana" w:hAnsi="Verdana" w:cs="Arial"/>
          <w:sz w:val="20"/>
          <w:szCs w:val="20"/>
        </w:rPr>
        <w:t>, por otra parte</w:t>
      </w:r>
      <w:r>
        <w:rPr>
          <w:rFonts w:ascii="Verdana" w:hAnsi="Verdana" w:cs="Arial"/>
          <w:sz w:val="20"/>
          <w:szCs w:val="20"/>
        </w:rPr>
        <w:t xml:space="preserve">. </w:t>
      </w:r>
    </w:p>
    <w:p w14:paraId="4AFEEC57" w14:textId="77777777" w:rsidR="008043CA" w:rsidRPr="000F5A5E" w:rsidRDefault="008043CA" w:rsidP="000F5A5E">
      <w:pPr>
        <w:pStyle w:val="ListParagraph"/>
        <w:rPr>
          <w:rFonts w:ascii="Verdana" w:hAnsi="Verdana" w:cs="Arial"/>
          <w:sz w:val="20"/>
          <w:szCs w:val="20"/>
        </w:rPr>
      </w:pPr>
    </w:p>
    <w:p w14:paraId="0B580686" w14:textId="667E2D37" w:rsidR="008043CA" w:rsidRPr="003536CC" w:rsidRDefault="00394541" w:rsidP="005A23A6">
      <w:pPr>
        <w:pStyle w:val="ListParagraph"/>
        <w:numPr>
          <w:ilvl w:val="0"/>
          <w:numId w:val="12"/>
        </w:numPr>
        <w:spacing w:after="0" w:line="240" w:lineRule="auto"/>
        <w:ind w:left="0" w:firstLine="0"/>
        <w:jc w:val="both"/>
        <w:rPr>
          <w:rFonts w:ascii="Verdana" w:hAnsi="Verdana" w:cs="Arial"/>
          <w:sz w:val="20"/>
          <w:szCs w:val="20"/>
        </w:rPr>
      </w:pPr>
      <w:r w:rsidRPr="003536CC">
        <w:rPr>
          <w:rFonts w:ascii="Verdana" w:hAnsi="Verdana" w:cs="Arial"/>
          <w:sz w:val="20"/>
          <w:szCs w:val="20"/>
        </w:rPr>
        <w:t>Asi</w:t>
      </w:r>
      <w:r w:rsidR="008043CA" w:rsidRPr="003536CC">
        <w:rPr>
          <w:rFonts w:ascii="Verdana" w:hAnsi="Verdana" w:cs="Arial"/>
          <w:sz w:val="20"/>
          <w:szCs w:val="20"/>
        </w:rPr>
        <w:t xml:space="preserve">mismo de mi experiencia como juez de un tribunal nacional cuya trayectoria en la </w:t>
      </w:r>
      <w:proofErr w:type="spellStart"/>
      <w:r w:rsidR="008043CA" w:rsidRPr="003536CC">
        <w:rPr>
          <w:rFonts w:ascii="Verdana" w:hAnsi="Verdana" w:cs="Arial"/>
          <w:sz w:val="20"/>
          <w:szCs w:val="20"/>
        </w:rPr>
        <w:t>justiciabilidad</w:t>
      </w:r>
      <w:proofErr w:type="spellEnd"/>
      <w:r w:rsidR="008043CA" w:rsidRPr="003536CC">
        <w:rPr>
          <w:rFonts w:ascii="Verdana" w:hAnsi="Verdana" w:cs="Arial"/>
          <w:sz w:val="20"/>
          <w:szCs w:val="20"/>
        </w:rPr>
        <w:t xml:space="preserve"> directa de los DESC es ampliamente conocida, me queda la clara percepción de las dificultades que supone que un órgano judicial asuma competencias en esta materia, pues </w:t>
      </w:r>
      <w:r w:rsidR="001871AB" w:rsidRPr="003536CC">
        <w:rPr>
          <w:rFonts w:ascii="Verdana" w:hAnsi="Verdana" w:cs="Arial"/>
          <w:sz w:val="20"/>
          <w:szCs w:val="20"/>
        </w:rPr>
        <w:t xml:space="preserve">aunque </w:t>
      </w:r>
      <w:r w:rsidR="008043CA" w:rsidRPr="003536CC">
        <w:rPr>
          <w:rFonts w:ascii="Verdana" w:hAnsi="Verdana" w:cs="Arial"/>
          <w:sz w:val="20"/>
          <w:szCs w:val="20"/>
        </w:rPr>
        <w:t xml:space="preserve">no siempre la protección de estos derechos supone la adopción de políticas públicas o tomar decisiones sobre bienes escasos o meritorios, en </w:t>
      </w:r>
      <w:r w:rsidR="001871AB" w:rsidRPr="003536CC">
        <w:rPr>
          <w:rFonts w:ascii="Verdana" w:hAnsi="Verdana" w:cs="Arial"/>
          <w:sz w:val="20"/>
          <w:szCs w:val="20"/>
        </w:rPr>
        <w:t xml:space="preserve">numerosos </w:t>
      </w:r>
      <w:r w:rsidR="008043CA" w:rsidRPr="003536CC">
        <w:rPr>
          <w:rFonts w:ascii="Verdana" w:hAnsi="Verdana" w:cs="Arial"/>
          <w:sz w:val="20"/>
          <w:szCs w:val="20"/>
        </w:rPr>
        <w:t xml:space="preserve">casos sometidos a conocimiento </w:t>
      </w:r>
      <w:r w:rsidRPr="003536CC">
        <w:rPr>
          <w:rFonts w:ascii="Verdana" w:hAnsi="Verdana" w:cs="Arial"/>
          <w:sz w:val="20"/>
          <w:szCs w:val="20"/>
        </w:rPr>
        <w:t>de una</w:t>
      </w:r>
      <w:r w:rsidR="005A23A6" w:rsidRPr="003536CC">
        <w:rPr>
          <w:rFonts w:ascii="Verdana" w:hAnsi="Verdana" w:cs="Arial"/>
          <w:sz w:val="20"/>
          <w:szCs w:val="20"/>
        </w:rPr>
        <w:t xml:space="preserve"> </w:t>
      </w:r>
      <w:r w:rsidR="008043CA" w:rsidRPr="003536CC">
        <w:rPr>
          <w:rFonts w:ascii="Verdana" w:hAnsi="Verdana" w:cs="Arial"/>
          <w:sz w:val="20"/>
          <w:szCs w:val="20"/>
        </w:rPr>
        <w:t xml:space="preserve">autoridad judicial si se requiere, </w:t>
      </w:r>
      <w:r w:rsidR="001871AB" w:rsidRPr="003536CC">
        <w:rPr>
          <w:rFonts w:ascii="Verdana" w:hAnsi="Verdana" w:cs="Arial"/>
          <w:sz w:val="20"/>
          <w:szCs w:val="20"/>
        </w:rPr>
        <w:t>lo que indefectiblemente conduce al debate sobre del rol de los jueces en un Estado social de derecho y sobre cuál es el órgano legitimado para adoptar estas decisiones en un sistema democrático.</w:t>
      </w:r>
    </w:p>
    <w:p w14:paraId="6072AAA0" w14:textId="77777777" w:rsidR="00F4288D" w:rsidRPr="000F5A5E" w:rsidRDefault="00F4288D" w:rsidP="000F5A5E">
      <w:pPr>
        <w:pStyle w:val="ListParagraph"/>
        <w:rPr>
          <w:rFonts w:ascii="Verdana" w:hAnsi="Verdana" w:cs="Arial"/>
          <w:sz w:val="20"/>
          <w:szCs w:val="20"/>
        </w:rPr>
      </w:pPr>
    </w:p>
    <w:p w14:paraId="04A789A8" w14:textId="1CD5B7FD" w:rsidR="00594D19" w:rsidRPr="00966D31" w:rsidRDefault="006B6FDF" w:rsidP="006B6FDF">
      <w:pPr>
        <w:pStyle w:val="ListParagraph"/>
        <w:numPr>
          <w:ilvl w:val="0"/>
          <w:numId w:val="12"/>
        </w:numPr>
        <w:spacing w:after="0" w:line="240" w:lineRule="auto"/>
        <w:ind w:left="0" w:firstLine="0"/>
        <w:jc w:val="both"/>
        <w:rPr>
          <w:rFonts w:ascii="Verdana" w:hAnsi="Verdana" w:cs="Arial"/>
          <w:sz w:val="20"/>
          <w:szCs w:val="20"/>
        </w:rPr>
      </w:pPr>
      <w:r w:rsidRPr="00966D31">
        <w:rPr>
          <w:rFonts w:ascii="Verdana" w:hAnsi="Verdana" w:cs="Arial"/>
          <w:sz w:val="20"/>
          <w:szCs w:val="20"/>
        </w:rPr>
        <w:lastRenderedPageBreak/>
        <w:t>En este sentido, contin</w:t>
      </w:r>
      <w:r w:rsidR="00F4288D">
        <w:rPr>
          <w:rFonts w:ascii="Verdana" w:hAnsi="Verdana" w:cs="Arial"/>
          <w:sz w:val="20"/>
          <w:szCs w:val="20"/>
        </w:rPr>
        <w:t>úo</w:t>
      </w:r>
      <w:r w:rsidRPr="00966D31">
        <w:rPr>
          <w:rFonts w:ascii="Verdana" w:hAnsi="Verdana" w:cs="Arial"/>
          <w:sz w:val="20"/>
          <w:szCs w:val="20"/>
        </w:rPr>
        <w:t xml:space="preserve"> convencido de que </w:t>
      </w:r>
      <w:r w:rsidR="008043CA">
        <w:rPr>
          <w:rFonts w:ascii="Verdana" w:hAnsi="Verdana" w:cs="Arial"/>
          <w:sz w:val="20"/>
          <w:szCs w:val="20"/>
        </w:rPr>
        <w:t xml:space="preserve">en el marco del sistema interamericano de protección de los derechos humanos </w:t>
      </w:r>
      <w:r w:rsidRPr="00966D31">
        <w:rPr>
          <w:rFonts w:ascii="Verdana" w:hAnsi="Verdana" w:cs="Arial"/>
          <w:sz w:val="20"/>
          <w:szCs w:val="20"/>
        </w:rPr>
        <w:t xml:space="preserve">la </w:t>
      </w:r>
      <w:proofErr w:type="spellStart"/>
      <w:r w:rsidRPr="00966D31">
        <w:rPr>
          <w:rFonts w:ascii="Verdana" w:hAnsi="Verdana" w:cs="Arial"/>
          <w:sz w:val="20"/>
          <w:szCs w:val="20"/>
        </w:rPr>
        <w:t>justiciabilidad</w:t>
      </w:r>
      <w:proofErr w:type="spellEnd"/>
      <w:r w:rsidRPr="00966D31">
        <w:rPr>
          <w:rFonts w:ascii="Verdana" w:hAnsi="Verdana" w:cs="Arial"/>
          <w:sz w:val="20"/>
          <w:szCs w:val="20"/>
        </w:rPr>
        <w:t xml:space="preserve"> de los DESC no debe realizarse por medio de la aplicación directa del artículo 26 de la CADH, como se efectuó en este presente caso, por lo que a continuación estableceré los fundamentos de posición. Para ello, en este voto: i) reiteraré las</w:t>
      </w:r>
      <w:r w:rsidR="00594D19" w:rsidRPr="00966D31">
        <w:rPr>
          <w:rFonts w:ascii="Verdana" w:hAnsi="Verdana" w:cs="Arial"/>
          <w:sz w:val="20"/>
          <w:szCs w:val="20"/>
        </w:rPr>
        <w:t xml:space="preserve"> razones generales por las cuales no </w:t>
      </w:r>
      <w:r w:rsidRPr="00966D31">
        <w:rPr>
          <w:rFonts w:ascii="Verdana" w:hAnsi="Verdana" w:cs="Arial"/>
          <w:sz w:val="20"/>
          <w:szCs w:val="20"/>
        </w:rPr>
        <w:t>estoy</w:t>
      </w:r>
      <w:r w:rsidR="00594D19" w:rsidRPr="00966D31">
        <w:rPr>
          <w:rFonts w:ascii="Verdana" w:hAnsi="Verdana" w:cs="Arial"/>
          <w:sz w:val="20"/>
          <w:szCs w:val="20"/>
        </w:rPr>
        <w:t xml:space="preserve"> de acuerdo con la </w:t>
      </w:r>
      <w:proofErr w:type="spellStart"/>
      <w:r w:rsidR="00594D19" w:rsidRPr="00966D31">
        <w:rPr>
          <w:rFonts w:ascii="Verdana" w:hAnsi="Verdana" w:cs="Arial"/>
          <w:sz w:val="20"/>
          <w:szCs w:val="20"/>
        </w:rPr>
        <w:t>justiciabilidad</w:t>
      </w:r>
      <w:proofErr w:type="spellEnd"/>
      <w:r w:rsidR="00594D19" w:rsidRPr="00966D31">
        <w:rPr>
          <w:rFonts w:ascii="Verdana" w:hAnsi="Verdana" w:cs="Arial"/>
          <w:sz w:val="20"/>
          <w:szCs w:val="20"/>
        </w:rPr>
        <w:t xml:space="preserve"> de los DESC a partir del artículo 26</w:t>
      </w:r>
      <w:r w:rsidRPr="00966D31">
        <w:rPr>
          <w:rFonts w:ascii="Verdana" w:hAnsi="Verdana" w:cs="Arial"/>
          <w:sz w:val="20"/>
          <w:szCs w:val="20"/>
        </w:rPr>
        <w:t xml:space="preserve"> de conformidad con el voto concurrente que ya había presentado en el pasado</w:t>
      </w:r>
      <w:r w:rsidR="00CB59B1" w:rsidRPr="00966D31">
        <w:rPr>
          <w:rFonts w:ascii="Verdana" w:hAnsi="Verdana" w:cs="Arial"/>
          <w:sz w:val="20"/>
          <w:szCs w:val="20"/>
        </w:rPr>
        <w:t xml:space="preserve"> y añadiré las preocupaciones que esta Sentencia me genera al respecto</w:t>
      </w:r>
      <w:r w:rsidRPr="00966D31">
        <w:rPr>
          <w:rFonts w:ascii="Verdana" w:hAnsi="Verdana" w:cs="Arial"/>
          <w:sz w:val="20"/>
          <w:szCs w:val="20"/>
        </w:rPr>
        <w:t>; ii) señalaré el por qué</w:t>
      </w:r>
      <w:r w:rsidR="004003D7" w:rsidRPr="00966D31">
        <w:rPr>
          <w:rFonts w:ascii="Verdana" w:hAnsi="Verdana" w:cs="Arial"/>
          <w:sz w:val="20"/>
          <w:szCs w:val="20"/>
        </w:rPr>
        <w:t>,</w:t>
      </w:r>
      <w:r w:rsidRPr="00966D31">
        <w:rPr>
          <w:rFonts w:ascii="Verdana" w:hAnsi="Verdana" w:cs="Arial"/>
          <w:sz w:val="20"/>
          <w:szCs w:val="20"/>
        </w:rPr>
        <w:t xml:space="preserve"> a mi pa</w:t>
      </w:r>
      <w:r w:rsidR="00307100">
        <w:rPr>
          <w:rFonts w:ascii="Verdana" w:hAnsi="Verdana" w:cs="Arial"/>
          <w:sz w:val="20"/>
          <w:szCs w:val="20"/>
        </w:rPr>
        <w:t>recer, este caso en particular</w:t>
      </w:r>
      <w:r w:rsidR="00A603A6">
        <w:rPr>
          <w:rFonts w:ascii="Verdana" w:hAnsi="Verdana" w:cs="Arial"/>
          <w:sz w:val="20"/>
          <w:szCs w:val="20"/>
        </w:rPr>
        <w:t xml:space="preserve"> no es </w:t>
      </w:r>
      <w:r w:rsidR="00312AAF">
        <w:rPr>
          <w:rFonts w:ascii="Verdana" w:hAnsi="Verdana" w:cs="Arial"/>
          <w:sz w:val="20"/>
          <w:szCs w:val="20"/>
        </w:rPr>
        <w:t>pertinente</w:t>
      </w:r>
      <w:r w:rsidRPr="00966D31">
        <w:rPr>
          <w:rFonts w:ascii="Verdana" w:hAnsi="Verdana" w:cs="Arial"/>
          <w:sz w:val="20"/>
          <w:szCs w:val="20"/>
        </w:rPr>
        <w:t xml:space="preserve"> para arribar a una declaración de la vulneración del artículo 26 de la CADH y ni siquiera para entrar en este debate, y iii) indicaré las falencias argumentativas de la Sentencia que </w:t>
      </w:r>
      <w:r w:rsidR="00065CA7">
        <w:rPr>
          <w:rFonts w:ascii="Verdana" w:hAnsi="Verdana" w:cs="Arial"/>
          <w:sz w:val="20"/>
          <w:szCs w:val="20"/>
        </w:rPr>
        <w:t>hacen de é</w:t>
      </w:r>
      <w:r w:rsidRPr="00966D31">
        <w:rPr>
          <w:rFonts w:ascii="Verdana" w:hAnsi="Verdana" w:cs="Arial"/>
          <w:sz w:val="20"/>
          <w:szCs w:val="20"/>
        </w:rPr>
        <w:t>ste un precedente muy delicado en el marco de la jurisprudencia de la Corte IDH.</w:t>
      </w:r>
    </w:p>
    <w:p w14:paraId="047DAC33" w14:textId="77777777" w:rsidR="00BF128B" w:rsidRDefault="00BF128B" w:rsidP="006B6FDF">
      <w:pPr>
        <w:spacing w:after="0" w:line="240" w:lineRule="auto"/>
        <w:jc w:val="both"/>
        <w:rPr>
          <w:rFonts w:ascii="Verdana" w:hAnsi="Verdana" w:cs="Arial"/>
          <w:sz w:val="20"/>
          <w:szCs w:val="20"/>
        </w:rPr>
      </w:pPr>
    </w:p>
    <w:p w14:paraId="3EF9E910" w14:textId="22128CD3" w:rsidR="001612F6" w:rsidRPr="00966D31" w:rsidRDefault="00CB59B1" w:rsidP="00966D31">
      <w:pPr>
        <w:pStyle w:val="ListParagraph"/>
        <w:numPr>
          <w:ilvl w:val="0"/>
          <w:numId w:val="11"/>
        </w:numPr>
        <w:spacing w:after="0" w:line="240" w:lineRule="auto"/>
        <w:jc w:val="both"/>
        <w:rPr>
          <w:rFonts w:ascii="Verdana" w:hAnsi="Verdana" w:cs="Arial"/>
          <w:b/>
          <w:sz w:val="20"/>
          <w:szCs w:val="20"/>
        </w:rPr>
      </w:pPr>
      <w:r w:rsidRPr="00966D31">
        <w:rPr>
          <w:rFonts w:ascii="Verdana" w:hAnsi="Verdana" w:cs="Arial"/>
          <w:b/>
          <w:sz w:val="20"/>
          <w:szCs w:val="20"/>
        </w:rPr>
        <w:t>ARGUMENTOS PRINCIPALES</w:t>
      </w:r>
      <w:r w:rsidR="00AB09C7" w:rsidRPr="00966D31">
        <w:rPr>
          <w:rFonts w:ascii="Verdana" w:hAnsi="Verdana" w:cs="Arial"/>
          <w:b/>
          <w:sz w:val="20"/>
          <w:szCs w:val="20"/>
        </w:rPr>
        <w:t xml:space="preserve"> EN CONTRA DE LA JUSTICIABILIDAD DIRECTA </w:t>
      </w:r>
      <w:r w:rsidR="003A65D1">
        <w:rPr>
          <w:rFonts w:ascii="Verdana" w:hAnsi="Verdana" w:cs="Arial"/>
          <w:b/>
          <w:sz w:val="20"/>
          <w:szCs w:val="20"/>
        </w:rPr>
        <w:t xml:space="preserve">DE LOS DESC A PARTIR </w:t>
      </w:r>
      <w:r w:rsidR="00AB09C7" w:rsidRPr="00966D31">
        <w:rPr>
          <w:rFonts w:ascii="Verdana" w:hAnsi="Verdana" w:cs="Arial"/>
          <w:b/>
          <w:sz w:val="20"/>
          <w:szCs w:val="20"/>
        </w:rPr>
        <w:t>DEL ARTÍCULO 26 DE LA CADH</w:t>
      </w:r>
    </w:p>
    <w:p w14:paraId="1164F06F" w14:textId="77777777" w:rsidR="00CB59B1" w:rsidRPr="00CB59B1" w:rsidRDefault="00CB59B1" w:rsidP="00CB59B1">
      <w:pPr>
        <w:pStyle w:val="ListParagraph"/>
        <w:spacing w:after="0" w:line="240" w:lineRule="auto"/>
        <w:jc w:val="both"/>
        <w:rPr>
          <w:rFonts w:ascii="Verdana" w:hAnsi="Verdana" w:cs="Arial"/>
          <w:b/>
          <w:sz w:val="20"/>
          <w:szCs w:val="20"/>
        </w:rPr>
      </w:pPr>
    </w:p>
    <w:p w14:paraId="667FDC5F" w14:textId="1C8387B0" w:rsidR="00966D31" w:rsidRDefault="00892DFE" w:rsidP="00F72D9C">
      <w:pPr>
        <w:pStyle w:val="ListParagraph"/>
        <w:numPr>
          <w:ilvl w:val="0"/>
          <w:numId w:val="12"/>
        </w:numPr>
        <w:spacing w:after="0" w:line="240" w:lineRule="auto"/>
        <w:ind w:left="0" w:firstLine="0"/>
        <w:jc w:val="both"/>
        <w:rPr>
          <w:rFonts w:ascii="Verdana" w:hAnsi="Verdana" w:cs="Arial"/>
          <w:sz w:val="20"/>
          <w:szCs w:val="20"/>
        </w:rPr>
      </w:pPr>
      <w:r w:rsidRPr="00966D31">
        <w:rPr>
          <w:rFonts w:ascii="Verdana" w:hAnsi="Verdana" w:cs="Arial"/>
          <w:sz w:val="20"/>
          <w:szCs w:val="20"/>
        </w:rPr>
        <w:t xml:space="preserve">Debido a que </w:t>
      </w:r>
      <w:r w:rsidR="003948F8" w:rsidRPr="00966D31">
        <w:rPr>
          <w:rFonts w:ascii="Verdana" w:hAnsi="Verdana" w:cs="Arial"/>
          <w:sz w:val="20"/>
          <w:szCs w:val="20"/>
        </w:rPr>
        <w:t xml:space="preserve">en el mencionado voto concurrente hice una explicación </w:t>
      </w:r>
      <w:r w:rsidR="0077529A">
        <w:rPr>
          <w:rFonts w:ascii="Verdana" w:hAnsi="Verdana" w:cs="Arial"/>
          <w:sz w:val="20"/>
          <w:szCs w:val="20"/>
        </w:rPr>
        <w:t>amplia</w:t>
      </w:r>
      <w:r w:rsidR="003948F8" w:rsidRPr="00966D31">
        <w:rPr>
          <w:rFonts w:ascii="Verdana" w:hAnsi="Verdana" w:cs="Arial"/>
          <w:sz w:val="20"/>
          <w:szCs w:val="20"/>
        </w:rPr>
        <w:t xml:space="preserve"> de cada argumento que sustenta mi posición, estimo que no es pertinente reproducirlos nuevamente de forma extensa, por lo que me centraré en las conclusiones y reflexiones más relevantes de dicho escrito.</w:t>
      </w:r>
    </w:p>
    <w:p w14:paraId="7EE512C4" w14:textId="77777777" w:rsidR="00966D31" w:rsidRDefault="00966D31" w:rsidP="00966D31">
      <w:pPr>
        <w:pStyle w:val="ListParagraph"/>
        <w:spacing w:after="0" w:line="240" w:lineRule="auto"/>
        <w:ind w:left="0"/>
        <w:jc w:val="both"/>
        <w:rPr>
          <w:rFonts w:ascii="Verdana" w:hAnsi="Verdana" w:cs="Arial"/>
          <w:sz w:val="20"/>
          <w:szCs w:val="20"/>
        </w:rPr>
      </w:pPr>
    </w:p>
    <w:p w14:paraId="31914160" w14:textId="6963D993" w:rsidR="00C67BDF" w:rsidRPr="00966D31" w:rsidRDefault="004A24FF" w:rsidP="00F72D9C">
      <w:pPr>
        <w:pStyle w:val="ListParagraph"/>
        <w:numPr>
          <w:ilvl w:val="0"/>
          <w:numId w:val="12"/>
        </w:numPr>
        <w:spacing w:after="0" w:line="240" w:lineRule="auto"/>
        <w:ind w:left="0" w:firstLine="0"/>
        <w:jc w:val="both"/>
        <w:rPr>
          <w:rFonts w:ascii="Verdana" w:hAnsi="Verdana" w:cs="Arial"/>
          <w:sz w:val="20"/>
          <w:szCs w:val="20"/>
        </w:rPr>
      </w:pPr>
      <w:r w:rsidRPr="00966D31">
        <w:rPr>
          <w:rFonts w:ascii="Verdana" w:hAnsi="Verdana" w:cs="Arial"/>
          <w:sz w:val="20"/>
          <w:szCs w:val="20"/>
        </w:rPr>
        <w:t xml:space="preserve">Sin embargo y de </w:t>
      </w:r>
      <w:r w:rsidR="00F72D9C" w:rsidRPr="00966D31">
        <w:rPr>
          <w:rFonts w:ascii="Verdana" w:hAnsi="Verdana" w:cs="Arial"/>
          <w:sz w:val="20"/>
          <w:szCs w:val="20"/>
        </w:rPr>
        <w:t>manera</w:t>
      </w:r>
      <w:r w:rsidRPr="00966D31">
        <w:rPr>
          <w:rFonts w:ascii="Verdana" w:hAnsi="Verdana" w:cs="Arial"/>
          <w:sz w:val="20"/>
          <w:szCs w:val="20"/>
        </w:rPr>
        <w:t xml:space="preserve"> preliminar, deseo reiterar que mi posición sobre la competencia de la Corte IDH</w:t>
      </w:r>
      <w:r w:rsidR="00F72D9C" w:rsidRPr="00966D31">
        <w:rPr>
          <w:rFonts w:ascii="Verdana" w:hAnsi="Verdana" w:cs="Arial"/>
          <w:sz w:val="20"/>
          <w:szCs w:val="20"/>
        </w:rPr>
        <w:t xml:space="preserve"> no debe ser entendida como una forma de negar </w:t>
      </w:r>
      <w:r w:rsidR="00C67BDF" w:rsidRPr="00966D31">
        <w:rPr>
          <w:rFonts w:ascii="Verdana" w:hAnsi="Verdana" w:cs="Arial"/>
          <w:sz w:val="20"/>
          <w:szCs w:val="20"/>
        </w:rPr>
        <w:t>la im</w:t>
      </w:r>
      <w:r w:rsidR="00F72D9C" w:rsidRPr="00966D31">
        <w:rPr>
          <w:rFonts w:ascii="Verdana" w:hAnsi="Verdana" w:cs="Arial"/>
          <w:sz w:val="20"/>
          <w:szCs w:val="20"/>
        </w:rPr>
        <w:t>portancia y la necesidad de hac</w:t>
      </w:r>
      <w:r w:rsidR="00C67BDF" w:rsidRPr="00966D31">
        <w:rPr>
          <w:rFonts w:ascii="Verdana" w:hAnsi="Verdana" w:cs="Arial"/>
          <w:sz w:val="20"/>
          <w:szCs w:val="20"/>
        </w:rPr>
        <w:t xml:space="preserve">er justiciables los </w:t>
      </w:r>
      <w:r w:rsidR="00F72D9C" w:rsidRPr="00966D31">
        <w:rPr>
          <w:rFonts w:ascii="Verdana" w:hAnsi="Verdana" w:cs="Arial"/>
          <w:sz w:val="20"/>
          <w:szCs w:val="20"/>
        </w:rPr>
        <w:t>DESC</w:t>
      </w:r>
      <w:r w:rsidR="00F418AE" w:rsidRPr="00966D31">
        <w:rPr>
          <w:rFonts w:ascii="Verdana" w:hAnsi="Verdana" w:cs="Arial"/>
          <w:sz w:val="20"/>
          <w:szCs w:val="20"/>
        </w:rPr>
        <w:t>, pues son dos temas distintos</w:t>
      </w:r>
      <w:r w:rsidR="00C67BDF" w:rsidRPr="00966D31">
        <w:rPr>
          <w:rFonts w:ascii="Verdana" w:hAnsi="Verdana" w:cs="Arial"/>
          <w:sz w:val="20"/>
          <w:szCs w:val="20"/>
        </w:rPr>
        <w:t>.</w:t>
      </w:r>
      <w:r w:rsidR="00F418AE" w:rsidRPr="00966D31">
        <w:rPr>
          <w:rFonts w:ascii="Verdana" w:hAnsi="Verdana" w:cs="Arial"/>
          <w:sz w:val="20"/>
          <w:szCs w:val="20"/>
        </w:rPr>
        <w:t xml:space="preserve"> </w:t>
      </w:r>
      <w:r w:rsidR="009E5E69" w:rsidRPr="00966D31">
        <w:rPr>
          <w:rFonts w:ascii="Verdana" w:hAnsi="Verdana" w:cs="Arial"/>
          <w:sz w:val="20"/>
          <w:szCs w:val="20"/>
        </w:rPr>
        <w:t>De hecho,</w:t>
      </w:r>
      <w:r w:rsidR="00C67BDF" w:rsidRPr="00966D31">
        <w:rPr>
          <w:rFonts w:ascii="Verdana" w:hAnsi="Verdana" w:cs="Arial"/>
          <w:sz w:val="20"/>
          <w:szCs w:val="20"/>
        </w:rPr>
        <w:t xml:space="preserve"> la ampl</w:t>
      </w:r>
      <w:r w:rsidR="009E5E69" w:rsidRPr="00966D31">
        <w:rPr>
          <w:rFonts w:ascii="Verdana" w:hAnsi="Verdana" w:cs="Arial"/>
          <w:sz w:val="20"/>
          <w:szCs w:val="20"/>
        </w:rPr>
        <w:t>ia jurisprudencia sobre la materia que ayude a desarrollar</w:t>
      </w:r>
      <w:r w:rsidR="00C67BDF" w:rsidRPr="00966D31">
        <w:rPr>
          <w:rFonts w:ascii="Verdana" w:hAnsi="Verdana" w:cs="Arial"/>
          <w:sz w:val="20"/>
          <w:szCs w:val="20"/>
        </w:rPr>
        <w:t xml:space="preserve"> durante mi ejercicio como magistrado de la Corte Constitucional colombiana</w:t>
      </w:r>
      <w:r w:rsidR="00BC3822">
        <w:rPr>
          <w:rStyle w:val="FootnoteReference"/>
          <w:rFonts w:ascii="Verdana" w:hAnsi="Verdana" w:cs="Arial"/>
          <w:sz w:val="20"/>
          <w:szCs w:val="20"/>
        </w:rPr>
        <w:footnoteReference w:id="1"/>
      </w:r>
      <w:r w:rsidR="00C67BDF" w:rsidRPr="00966D31">
        <w:rPr>
          <w:rFonts w:ascii="Verdana" w:hAnsi="Verdana" w:cs="Arial"/>
          <w:sz w:val="20"/>
          <w:szCs w:val="20"/>
        </w:rPr>
        <w:t>, acredita</w:t>
      </w:r>
      <w:r w:rsidR="009E5E69" w:rsidRPr="00966D31">
        <w:rPr>
          <w:rFonts w:ascii="Verdana" w:hAnsi="Verdana" w:cs="Arial"/>
          <w:sz w:val="20"/>
          <w:szCs w:val="20"/>
        </w:rPr>
        <w:t xml:space="preserve"> que mi pos</w:t>
      </w:r>
      <w:r w:rsidR="00760EF6" w:rsidRPr="00966D31">
        <w:rPr>
          <w:rFonts w:ascii="Verdana" w:hAnsi="Verdana" w:cs="Arial"/>
          <w:sz w:val="20"/>
          <w:szCs w:val="20"/>
        </w:rPr>
        <w:t xml:space="preserve">tura </w:t>
      </w:r>
      <w:r w:rsidR="00660D63" w:rsidRPr="00966D31">
        <w:rPr>
          <w:rFonts w:ascii="Verdana" w:hAnsi="Verdana" w:cs="Arial"/>
          <w:sz w:val="20"/>
          <w:szCs w:val="20"/>
        </w:rPr>
        <w:t xml:space="preserve">es </w:t>
      </w:r>
      <w:r w:rsidR="00BC3822" w:rsidRPr="00966D31">
        <w:rPr>
          <w:rFonts w:ascii="Verdana" w:hAnsi="Verdana" w:cs="Arial"/>
          <w:sz w:val="20"/>
          <w:szCs w:val="20"/>
        </w:rPr>
        <w:t>favorable a garantizar estos derechos de manera directa cuando las condiciones de competencia están dadas</w:t>
      </w:r>
      <w:r w:rsidR="00C67BDF" w:rsidRPr="00966D31">
        <w:rPr>
          <w:rFonts w:ascii="Verdana" w:hAnsi="Verdana" w:cs="Arial"/>
          <w:sz w:val="20"/>
          <w:szCs w:val="20"/>
        </w:rPr>
        <w:t xml:space="preserve">. </w:t>
      </w:r>
      <w:r w:rsidR="00F034BC" w:rsidRPr="00966D31">
        <w:rPr>
          <w:rFonts w:ascii="Verdana" w:hAnsi="Verdana" w:cs="Arial"/>
          <w:sz w:val="20"/>
          <w:szCs w:val="20"/>
        </w:rPr>
        <w:t xml:space="preserve">De forma que mi debate no se centra en si los DESC son derechos que deben ser respetados y garantizados </w:t>
      </w:r>
      <w:r w:rsidR="00FD2798" w:rsidRPr="00966D31">
        <w:rPr>
          <w:rFonts w:ascii="Verdana" w:hAnsi="Verdana" w:cs="Arial"/>
          <w:sz w:val="20"/>
          <w:szCs w:val="20"/>
        </w:rPr>
        <w:t xml:space="preserve">por los Estados </w:t>
      </w:r>
      <w:r w:rsidR="00F034BC" w:rsidRPr="00966D31">
        <w:rPr>
          <w:rFonts w:ascii="Verdana" w:hAnsi="Verdana" w:cs="Arial"/>
          <w:sz w:val="20"/>
          <w:szCs w:val="20"/>
        </w:rPr>
        <w:t xml:space="preserve">a las personas, sino en la forma en que se alcanza esa </w:t>
      </w:r>
      <w:proofErr w:type="spellStart"/>
      <w:r w:rsidR="00F034BC" w:rsidRPr="00966D31">
        <w:rPr>
          <w:rFonts w:ascii="Verdana" w:hAnsi="Verdana" w:cs="Arial"/>
          <w:sz w:val="20"/>
          <w:szCs w:val="20"/>
        </w:rPr>
        <w:t>justiciabilidad</w:t>
      </w:r>
      <w:proofErr w:type="spellEnd"/>
      <w:r w:rsidR="00F034BC" w:rsidRPr="00966D31">
        <w:rPr>
          <w:rFonts w:ascii="Verdana" w:hAnsi="Verdana" w:cs="Arial"/>
          <w:sz w:val="20"/>
          <w:szCs w:val="20"/>
        </w:rPr>
        <w:t xml:space="preserve"> en el sistema interamericano en particular</w:t>
      </w:r>
      <w:r w:rsidR="00FD2798" w:rsidRPr="00966D31">
        <w:rPr>
          <w:rFonts w:ascii="Verdana" w:hAnsi="Verdana" w:cs="Arial"/>
          <w:sz w:val="20"/>
          <w:szCs w:val="20"/>
        </w:rPr>
        <w:t>. Dicho lo anterior, procederé a recordar porque la aplicación directa del artículo 26 de la Convención Americana es efectivamente tan conflictiva.</w:t>
      </w:r>
      <w:r w:rsidR="00F034BC" w:rsidRPr="00966D31">
        <w:rPr>
          <w:rFonts w:ascii="Verdana" w:hAnsi="Verdana" w:cs="Arial"/>
          <w:sz w:val="20"/>
          <w:szCs w:val="20"/>
        </w:rPr>
        <w:t xml:space="preserve"> </w:t>
      </w:r>
    </w:p>
    <w:p w14:paraId="6443D068" w14:textId="77777777" w:rsidR="00BF128B" w:rsidRDefault="00BF128B" w:rsidP="00966D31">
      <w:pPr>
        <w:tabs>
          <w:tab w:val="left" w:pos="709"/>
        </w:tabs>
        <w:spacing w:after="0" w:line="240" w:lineRule="auto"/>
        <w:rPr>
          <w:rFonts w:ascii="Verdana" w:hAnsi="Verdana" w:cs="Arial"/>
          <w:sz w:val="20"/>
          <w:szCs w:val="20"/>
        </w:rPr>
      </w:pPr>
    </w:p>
    <w:p w14:paraId="78E21130" w14:textId="3CE4FCC1" w:rsidR="00C67BDF" w:rsidRPr="00966D31" w:rsidRDefault="00C67BDF" w:rsidP="00966D31">
      <w:pPr>
        <w:pStyle w:val="ListParagraph"/>
        <w:numPr>
          <w:ilvl w:val="0"/>
          <w:numId w:val="13"/>
        </w:numPr>
        <w:tabs>
          <w:tab w:val="left" w:pos="709"/>
        </w:tabs>
        <w:spacing w:after="0" w:line="240" w:lineRule="auto"/>
        <w:rPr>
          <w:rFonts w:ascii="Verdana" w:hAnsi="Verdana"/>
          <w:b/>
          <w:sz w:val="20"/>
          <w:szCs w:val="20"/>
        </w:rPr>
      </w:pPr>
      <w:r w:rsidRPr="00966D31">
        <w:rPr>
          <w:rFonts w:ascii="Verdana" w:hAnsi="Verdana"/>
          <w:b/>
          <w:sz w:val="20"/>
          <w:szCs w:val="20"/>
        </w:rPr>
        <w:t>Alcances del artículo 26 de la Convención Americana</w:t>
      </w:r>
    </w:p>
    <w:p w14:paraId="61D9BAD9" w14:textId="77777777" w:rsidR="00C67BDF" w:rsidRDefault="00C67BDF" w:rsidP="00892DFE">
      <w:pPr>
        <w:spacing w:after="0" w:line="240" w:lineRule="auto"/>
        <w:jc w:val="both"/>
        <w:rPr>
          <w:rFonts w:ascii="Verdana" w:hAnsi="Verdana" w:cs="Arial"/>
          <w:sz w:val="20"/>
          <w:szCs w:val="20"/>
        </w:rPr>
      </w:pPr>
    </w:p>
    <w:p w14:paraId="1DCD51F2" w14:textId="77777777" w:rsidR="00966D31" w:rsidRDefault="00FD2798" w:rsidP="0055180C">
      <w:pPr>
        <w:pStyle w:val="ListParagraph"/>
        <w:numPr>
          <w:ilvl w:val="0"/>
          <w:numId w:val="12"/>
        </w:numPr>
        <w:spacing w:after="0" w:line="240" w:lineRule="auto"/>
        <w:ind w:left="0" w:firstLine="0"/>
        <w:jc w:val="both"/>
        <w:rPr>
          <w:rFonts w:ascii="Verdana" w:hAnsi="Verdana" w:cs="Arial"/>
          <w:sz w:val="20"/>
          <w:szCs w:val="20"/>
        </w:rPr>
      </w:pPr>
      <w:r w:rsidRPr="00966D31">
        <w:rPr>
          <w:rFonts w:ascii="Verdana" w:hAnsi="Verdana" w:cs="Arial"/>
          <w:sz w:val="20"/>
          <w:szCs w:val="20"/>
        </w:rPr>
        <w:t>El alcance de este artículo ha sido ampliamente discutido por académicos</w:t>
      </w:r>
      <w:r>
        <w:rPr>
          <w:rStyle w:val="FootnoteReference"/>
          <w:rFonts w:ascii="Verdana" w:hAnsi="Verdana" w:cs="Arial"/>
          <w:sz w:val="20"/>
          <w:szCs w:val="20"/>
        </w:rPr>
        <w:footnoteReference w:id="2"/>
      </w:r>
      <w:r w:rsidRPr="00966D31">
        <w:rPr>
          <w:rFonts w:ascii="Verdana" w:hAnsi="Verdana" w:cs="Arial"/>
          <w:sz w:val="20"/>
          <w:szCs w:val="20"/>
        </w:rPr>
        <w:t xml:space="preserve"> </w:t>
      </w:r>
      <w:r w:rsidR="00680904" w:rsidRPr="00966D31">
        <w:rPr>
          <w:rFonts w:ascii="Verdana" w:hAnsi="Verdana" w:cs="Arial"/>
          <w:sz w:val="20"/>
          <w:szCs w:val="20"/>
        </w:rPr>
        <w:t>y al interior de la Corte IDH</w:t>
      </w:r>
      <w:r w:rsidR="00614B3B">
        <w:rPr>
          <w:rStyle w:val="FootnoteReference"/>
          <w:rFonts w:ascii="Verdana" w:hAnsi="Verdana" w:cs="Arial"/>
          <w:sz w:val="20"/>
          <w:szCs w:val="20"/>
        </w:rPr>
        <w:footnoteReference w:id="3"/>
      </w:r>
      <w:r w:rsidR="00614B3B" w:rsidRPr="00966D31">
        <w:rPr>
          <w:rFonts w:ascii="Verdana" w:hAnsi="Verdana" w:cs="Arial"/>
          <w:sz w:val="20"/>
          <w:szCs w:val="20"/>
        </w:rPr>
        <w:t>, por lo que el debate ha intentado ampliarse a temas tales como el carácter prestacional de los DESC o la indivisibilidad de los mismos, cuando la pregunta central que debe realizarse para entender el alcance de este derecho es: ¿contiene</w:t>
      </w:r>
      <w:r w:rsidR="00B27BDC" w:rsidRPr="00966D31">
        <w:rPr>
          <w:rFonts w:ascii="Verdana" w:hAnsi="Verdana" w:cs="Arial"/>
          <w:sz w:val="20"/>
          <w:szCs w:val="20"/>
        </w:rPr>
        <w:t xml:space="preserve"> el artículo 26 de la CADH</w:t>
      </w:r>
      <w:r w:rsidR="00614B3B" w:rsidRPr="00966D31">
        <w:rPr>
          <w:rFonts w:ascii="Verdana" w:hAnsi="Verdana" w:cs="Arial"/>
          <w:sz w:val="20"/>
          <w:szCs w:val="20"/>
        </w:rPr>
        <w:t xml:space="preserve"> derechos subjetivos</w:t>
      </w:r>
      <w:r w:rsidR="00B27BDC" w:rsidRPr="00966D31">
        <w:rPr>
          <w:rFonts w:ascii="Verdana" w:hAnsi="Verdana" w:cs="Arial"/>
          <w:sz w:val="20"/>
          <w:szCs w:val="20"/>
        </w:rPr>
        <w:t xml:space="preserve">? </w:t>
      </w:r>
    </w:p>
    <w:p w14:paraId="2CECC6D8" w14:textId="77777777" w:rsidR="00966D31" w:rsidRDefault="00966D31" w:rsidP="00966D31">
      <w:pPr>
        <w:pStyle w:val="ListParagraph"/>
        <w:spacing w:after="0" w:line="240" w:lineRule="auto"/>
        <w:ind w:left="0"/>
        <w:jc w:val="both"/>
        <w:rPr>
          <w:rFonts w:ascii="Verdana" w:hAnsi="Verdana" w:cs="Arial"/>
          <w:sz w:val="20"/>
          <w:szCs w:val="20"/>
        </w:rPr>
      </w:pPr>
    </w:p>
    <w:p w14:paraId="26301910" w14:textId="77777777" w:rsidR="00966D31" w:rsidRPr="00966D31" w:rsidRDefault="0087654E" w:rsidP="0087654E">
      <w:pPr>
        <w:pStyle w:val="ListParagraph"/>
        <w:numPr>
          <w:ilvl w:val="0"/>
          <w:numId w:val="12"/>
        </w:numPr>
        <w:spacing w:after="0" w:line="240" w:lineRule="auto"/>
        <w:ind w:left="0" w:firstLine="0"/>
        <w:jc w:val="both"/>
        <w:rPr>
          <w:rFonts w:ascii="Verdana" w:hAnsi="Verdana" w:cs="Arial"/>
          <w:sz w:val="20"/>
          <w:szCs w:val="20"/>
        </w:rPr>
      </w:pPr>
      <w:r w:rsidRPr="00966D31">
        <w:rPr>
          <w:rFonts w:ascii="Verdana" w:hAnsi="Verdana"/>
          <w:sz w:val="20"/>
          <w:szCs w:val="20"/>
        </w:rPr>
        <w:lastRenderedPageBreak/>
        <w:t>Al respecto</w:t>
      </w:r>
      <w:r w:rsidR="00C67BDF" w:rsidRPr="00966D31">
        <w:rPr>
          <w:rFonts w:ascii="Verdana" w:hAnsi="Verdana"/>
          <w:sz w:val="20"/>
          <w:szCs w:val="20"/>
        </w:rPr>
        <w:t>,</w:t>
      </w:r>
      <w:r w:rsidRPr="00966D31">
        <w:rPr>
          <w:rFonts w:ascii="Verdana" w:hAnsi="Verdana"/>
          <w:sz w:val="20"/>
          <w:szCs w:val="20"/>
        </w:rPr>
        <w:t xml:space="preserve"> ya he demostrado en oportunidades anteriores</w:t>
      </w:r>
      <w:r>
        <w:rPr>
          <w:rStyle w:val="FootnoteReference"/>
          <w:rFonts w:ascii="Verdana" w:hAnsi="Verdana"/>
          <w:sz w:val="20"/>
          <w:szCs w:val="20"/>
        </w:rPr>
        <w:footnoteReference w:id="4"/>
      </w:r>
      <w:r w:rsidRPr="00966D31">
        <w:rPr>
          <w:rFonts w:ascii="Verdana" w:hAnsi="Verdana"/>
          <w:sz w:val="20"/>
          <w:szCs w:val="20"/>
        </w:rPr>
        <w:t xml:space="preserve"> que</w:t>
      </w:r>
      <w:r w:rsidR="00C67BDF" w:rsidRPr="00966D31">
        <w:rPr>
          <w:rFonts w:ascii="Verdana" w:hAnsi="Verdana"/>
          <w:sz w:val="20"/>
          <w:szCs w:val="20"/>
        </w:rPr>
        <w:t xml:space="preserve"> el artículo 26</w:t>
      </w:r>
      <w:r w:rsidR="00BE212E">
        <w:rPr>
          <w:rStyle w:val="FootnoteReference"/>
          <w:rFonts w:ascii="Verdana" w:hAnsi="Verdana"/>
          <w:sz w:val="20"/>
          <w:szCs w:val="20"/>
        </w:rPr>
        <w:footnoteReference w:id="5"/>
      </w:r>
      <w:r w:rsidR="00C67BDF" w:rsidRPr="00966D31">
        <w:rPr>
          <w:rFonts w:ascii="Verdana" w:hAnsi="Verdana"/>
          <w:sz w:val="20"/>
          <w:szCs w:val="20"/>
        </w:rPr>
        <w:t xml:space="preserve"> </w:t>
      </w:r>
      <w:r w:rsidRPr="00966D31">
        <w:rPr>
          <w:rFonts w:ascii="Verdana" w:hAnsi="Verdana"/>
          <w:sz w:val="20"/>
          <w:szCs w:val="20"/>
        </w:rPr>
        <w:t xml:space="preserve">de la CADH </w:t>
      </w:r>
      <w:r w:rsidR="00C67BDF" w:rsidRPr="00966D31">
        <w:rPr>
          <w:rFonts w:ascii="Verdana" w:hAnsi="Verdana"/>
          <w:sz w:val="20"/>
          <w:szCs w:val="20"/>
        </w:rPr>
        <w:t xml:space="preserve">no establece un catálogo de derechos, sino </w:t>
      </w:r>
      <w:r w:rsidR="0055180C" w:rsidRPr="00966D31">
        <w:rPr>
          <w:rFonts w:ascii="Verdana" w:hAnsi="Verdana"/>
          <w:sz w:val="20"/>
          <w:szCs w:val="20"/>
        </w:rPr>
        <w:t>que la obligación que este artículo implica y que la Corte puede supervisar de manera directa es el cumplimiento de la obligación de desarrollo progresivo y su consecuente deber de no regresividad, de los derechos que se pudieran derivar de la Carta de la Organización de Estados Americanos (en adelante “Carta”).</w:t>
      </w:r>
    </w:p>
    <w:p w14:paraId="5711AA0C" w14:textId="77777777" w:rsidR="00966D31" w:rsidRPr="00966D31" w:rsidRDefault="00966D31" w:rsidP="00966D31">
      <w:pPr>
        <w:spacing w:after="0" w:line="240" w:lineRule="auto"/>
        <w:jc w:val="both"/>
        <w:rPr>
          <w:rFonts w:ascii="Verdana" w:hAnsi="Verdana"/>
          <w:sz w:val="20"/>
          <w:szCs w:val="20"/>
        </w:rPr>
      </w:pPr>
    </w:p>
    <w:p w14:paraId="054AB436" w14:textId="0221304F" w:rsidR="00966D31" w:rsidRPr="00966D31" w:rsidRDefault="00BE212E" w:rsidP="0087654E">
      <w:pPr>
        <w:pStyle w:val="ListParagraph"/>
        <w:numPr>
          <w:ilvl w:val="0"/>
          <w:numId w:val="12"/>
        </w:numPr>
        <w:spacing w:after="0" w:line="240" w:lineRule="auto"/>
        <w:ind w:left="0" w:firstLine="0"/>
        <w:jc w:val="both"/>
        <w:rPr>
          <w:rFonts w:ascii="Verdana" w:hAnsi="Verdana" w:cs="Arial"/>
          <w:sz w:val="20"/>
          <w:szCs w:val="20"/>
        </w:rPr>
      </w:pPr>
      <w:r w:rsidRPr="00966D31">
        <w:rPr>
          <w:rFonts w:ascii="Verdana" w:hAnsi="Verdana"/>
          <w:sz w:val="20"/>
          <w:szCs w:val="20"/>
        </w:rPr>
        <w:t>Lo anterior se debe a que dicho artículo</w:t>
      </w:r>
      <w:r w:rsidR="00C67BDF" w:rsidRPr="00966D31">
        <w:rPr>
          <w:rFonts w:ascii="Verdana" w:hAnsi="Verdana"/>
          <w:sz w:val="20"/>
          <w:szCs w:val="20"/>
        </w:rPr>
        <w:t xml:space="preserve"> realiza una remisión directa a la Carta de la Organización de Estados Americanos.</w:t>
      </w:r>
      <w:r w:rsidR="00362AA9" w:rsidRPr="00966D31">
        <w:rPr>
          <w:rFonts w:ascii="Verdana" w:hAnsi="Verdana"/>
          <w:sz w:val="20"/>
          <w:szCs w:val="20"/>
        </w:rPr>
        <w:t xml:space="preserve"> Sin embargo, d</w:t>
      </w:r>
      <w:r w:rsidR="00C67BDF" w:rsidRPr="00966D31">
        <w:rPr>
          <w:rFonts w:ascii="Verdana" w:hAnsi="Verdana"/>
          <w:sz w:val="20"/>
          <w:szCs w:val="20"/>
        </w:rPr>
        <w:t>e una lectura de la Carta se puede</w:t>
      </w:r>
      <w:r w:rsidR="00362AA9" w:rsidRPr="00966D31">
        <w:rPr>
          <w:rFonts w:ascii="Verdana" w:hAnsi="Verdana"/>
          <w:sz w:val="20"/>
          <w:szCs w:val="20"/>
        </w:rPr>
        <w:t xml:space="preserve"> concluir que é</w:t>
      </w:r>
      <w:r w:rsidR="00C67BDF" w:rsidRPr="00966D31">
        <w:rPr>
          <w:rFonts w:ascii="Verdana" w:hAnsi="Verdana"/>
          <w:sz w:val="20"/>
          <w:szCs w:val="20"/>
        </w:rPr>
        <w:t xml:space="preserve">sta tampoco contiene un catálogo de derechos subjetivos claros y precisos, sino que por el contrario se trata de un listado de metas y expectativas que persiguen los Estados de la región, lo cual dificulta vislumbrar cuáles son los derechos a los que se hace mención en el artículo. En concreto, hay </w:t>
      </w:r>
      <w:r w:rsidR="00312AAF">
        <w:rPr>
          <w:rFonts w:ascii="Verdana" w:hAnsi="Verdana"/>
          <w:sz w:val="20"/>
          <w:szCs w:val="20"/>
        </w:rPr>
        <w:t xml:space="preserve">pocas </w:t>
      </w:r>
      <w:r w:rsidR="00C67BDF" w:rsidRPr="00966D31">
        <w:rPr>
          <w:rFonts w:ascii="Verdana" w:hAnsi="Verdana"/>
          <w:sz w:val="20"/>
          <w:szCs w:val="20"/>
        </w:rPr>
        <w:t>referencias expresas a los DESC y para afirmar que efectivamente se encuentran consagrados en la Carta es necesario realizar una labor interpretativa bastante extensa.</w:t>
      </w:r>
    </w:p>
    <w:p w14:paraId="24FD5E5B" w14:textId="77777777" w:rsidR="00966D31" w:rsidRPr="00966D31" w:rsidRDefault="00966D31" w:rsidP="00966D31">
      <w:pPr>
        <w:spacing w:after="0" w:line="240" w:lineRule="auto"/>
        <w:jc w:val="both"/>
        <w:rPr>
          <w:rFonts w:ascii="Verdana" w:hAnsi="Verdana"/>
          <w:sz w:val="20"/>
          <w:szCs w:val="20"/>
        </w:rPr>
      </w:pPr>
    </w:p>
    <w:p w14:paraId="491E3F9F" w14:textId="057DF9EE" w:rsidR="00966D31" w:rsidRPr="00966D31" w:rsidRDefault="00C67BDF" w:rsidP="0087654E">
      <w:pPr>
        <w:pStyle w:val="ListParagraph"/>
        <w:numPr>
          <w:ilvl w:val="0"/>
          <w:numId w:val="12"/>
        </w:numPr>
        <w:spacing w:after="0" w:line="240" w:lineRule="auto"/>
        <w:ind w:left="0" w:firstLine="0"/>
        <w:jc w:val="both"/>
        <w:rPr>
          <w:rFonts w:ascii="Verdana" w:hAnsi="Verdana" w:cs="Arial"/>
          <w:sz w:val="20"/>
          <w:szCs w:val="20"/>
        </w:rPr>
      </w:pPr>
      <w:r w:rsidRPr="00966D31">
        <w:rPr>
          <w:rFonts w:ascii="Verdana" w:hAnsi="Verdana"/>
          <w:sz w:val="20"/>
          <w:szCs w:val="20"/>
        </w:rPr>
        <w:t xml:space="preserve">Si bien hubiera sido deseable </w:t>
      </w:r>
      <w:r w:rsidR="001871AB">
        <w:rPr>
          <w:rFonts w:ascii="Verdana" w:hAnsi="Verdana"/>
          <w:sz w:val="20"/>
          <w:szCs w:val="20"/>
        </w:rPr>
        <w:t xml:space="preserve">que </w:t>
      </w:r>
      <w:r w:rsidRPr="00966D31">
        <w:rPr>
          <w:rFonts w:ascii="Verdana" w:hAnsi="Verdana"/>
          <w:sz w:val="20"/>
          <w:szCs w:val="20"/>
        </w:rPr>
        <w:t xml:space="preserve">el artículo 26 utilizara una técnica legislativa menos problemática, lo cierto es que </w:t>
      </w:r>
      <w:r w:rsidR="001871AB">
        <w:rPr>
          <w:rFonts w:ascii="Verdana" w:hAnsi="Verdana"/>
          <w:sz w:val="20"/>
          <w:szCs w:val="20"/>
        </w:rPr>
        <w:t xml:space="preserve">hace </w:t>
      </w:r>
      <w:r w:rsidRPr="00966D31">
        <w:rPr>
          <w:rFonts w:ascii="Verdana" w:hAnsi="Verdana"/>
          <w:sz w:val="20"/>
          <w:szCs w:val="20"/>
        </w:rPr>
        <w:t>remisión a la Carta</w:t>
      </w:r>
      <w:r w:rsidR="001871AB">
        <w:rPr>
          <w:rFonts w:ascii="Verdana" w:hAnsi="Verdana"/>
          <w:sz w:val="20"/>
          <w:szCs w:val="20"/>
        </w:rPr>
        <w:t xml:space="preserve"> de la OEA</w:t>
      </w:r>
      <w:r w:rsidRPr="00966D31">
        <w:rPr>
          <w:rFonts w:ascii="Verdana" w:hAnsi="Verdana"/>
          <w:sz w:val="20"/>
          <w:szCs w:val="20"/>
        </w:rPr>
        <w:t xml:space="preserve"> y no a la Declaración Americana, lo cual podría haber producido una interpretación distinta, debido a que la declaración sí cuenta con referencias más claras a los DESC</w:t>
      </w:r>
      <w:r w:rsidRPr="00810CE7">
        <w:rPr>
          <w:rStyle w:val="FootnoteReference"/>
          <w:rFonts w:ascii="Verdana" w:hAnsi="Verdana"/>
          <w:sz w:val="20"/>
          <w:szCs w:val="20"/>
        </w:rPr>
        <w:footnoteReference w:id="6"/>
      </w:r>
      <w:r w:rsidRPr="00966D31">
        <w:rPr>
          <w:rFonts w:ascii="Verdana" w:hAnsi="Verdana"/>
          <w:sz w:val="20"/>
          <w:szCs w:val="20"/>
        </w:rPr>
        <w:t xml:space="preserve">. </w:t>
      </w:r>
      <w:r w:rsidRPr="00966D31">
        <w:rPr>
          <w:rFonts w:ascii="Verdana" w:hAnsi="Verdana"/>
          <w:sz w:val="20"/>
          <w:szCs w:val="20"/>
          <w:lang w:val="es-CR"/>
        </w:rPr>
        <w:t>Lamentablemente, este no es el caso</w:t>
      </w:r>
      <w:r>
        <w:rPr>
          <w:rStyle w:val="FootnoteReference"/>
          <w:rFonts w:ascii="Verdana" w:hAnsi="Verdana"/>
          <w:sz w:val="20"/>
          <w:szCs w:val="20"/>
          <w:lang w:val="es-CR"/>
        </w:rPr>
        <w:footnoteReference w:id="7"/>
      </w:r>
      <w:r w:rsidRPr="00966D31">
        <w:rPr>
          <w:rFonts w:ascii="Verdana" w:hAnsi="Verdana"/>
          <w:sz w:val="20"/>
          <w:szCs w:val="20"/>
          <w:lang w:val="es-CR"/>
        </w:rPr>
        <w:t xml:space="preserve">. </w:t>
      </w:r>
      <w:r w:rsidR="007E0397">
        <w:rPr>
          <w:rFonts w:ascii="Verdana" w:hAnsi="Verdana"/>
          <w:sz w:val="20"/>
          <w:szCs w:val="20"/>
          <w:lang w:val="es-CR"/>
        </w:rPr>
        <w:t xml:space="preserve">De manera que el uso de la Declaración </w:t>
      </w:r>
      <w:r w:rsidR="00312AAF">
        <w:rPr>
          <w:rFonts w:ascii="Verdana" w:hAnsi="Verdana"/>
          <w:sz w:val="20"/>
          <w:szCs w:val="20"/>
          <w:lang w:val="es-CR"/>
        </w:rPr>
        <w:t xml:space="preserve">Americana </w:t>
      </w:r>
      <w:r w:rsidR="007E0397">
        <w:rPr>
          <w:rFonts w:ascii="Verdana" w:hAnsi="Verdana"/>
          <w:sz w:val="20"/>
          <w:szCs w:val="20"/>
          <w:lang w:val="es-CR"/>
        </w:rPr>
        <w:t>en la presente Sentencia es “un atajo” que no tiene mayor sustento, más allá de una referencia a una opinión consultiva del año 1989.</w:t>
      </w:r>
    </w:p>
    <w:p w14:paraId="27B4D221" w14:textId="77777777" w:rsidR="00966D31" w:rsidRPr="00966D31" w:rsidRDefault="00966D31" w:rsidP="00966D31">
      <w:pPr>
        <w:spacing w:after="0" w:line="240" w:lineRule="auto"/>
        <w:jc w:val="both"/>
        <w:rPr>
          <w:rFonts w:ascii="Verdana" w:hAnsi="Verdana"/>
          <w:sz w:val="20"/>
          <w:szCs w:val="20"/>
          <w:lang w:val="es-CR"/>
        </w:rPr>
      </w:pPr>
    </w:p>
    <w:p w14:paraId="0A03216C" w14:textId="65D1EF71" w:rsidR="005B157E" w:rsidRPr="005B157E" w:rsidRDefault="005B157E" w:rsidP="005B157E">
      <w:pPr>
        <w:pStyle w:val="ListParagraph"/>
        <w:numPr>
          <w:ilvl w:val="0"/>
          <w:numId w:val="12"/>
        </w:numPr>
        <w:spacing w:after="0" w:line="240" w:lineRule="auto"/>
        <w:ind w:left="0" w:firstLine="0"/>
        <w:jc w:val="both"/>
        <w:rPr>
          <w:rFonts w:ascii="Verdana" w:hAnsi="Verdana" w:cs="Arial"/>
          <w:sz w:val="20"/>
          <w:szCs w:val="20"/>
        </w:rPr>
      </w:pPr>
      <w:r>
        <w:rPr>
          <w:rFonts w:ascii="Verdana" w:hAnsi="Verdana"/>
          <w:sz w:val="20"/>
          <w:szCs w:val="20"/>
        </w:rPr>
        <w:t>Ahora bien, efectivamente el derecho al trabajo es uno de esos</w:t>
      </w:r>
      <w:r w:rsidRPr="005B157E">
        <w:rPr>
          <w:rFonts w:ascii="Verdana" w:hAnsi="Verdana"/>
          <w:sz w:val="20"/>
          <w:szCs w:val="20"/>
        </w:rPr>
        <w:t xml:space="preserve"> derechos que se pudieran derivar de la Carta más allá de la simple referencia al nombre</w:t>
      </w:r>
      <w:r>
        <w:rPr>
          <w:rStyle w:val="FootnoteReference"/>
          <w:rFonts w:ascii="Verdana" w:hAnsi="Verdana"/>
          <w:sz w:val="20"/>
          <w:szCs w:val="20"/>
        </w:rPr>
        <w:footnoteReference w:id="8"/>
      </w:r>
      <w:r>
        <w:rPr>
          <w:rFonts w:ascii="Verdana" w:hAnsi="Verdana"/>
          <w:sz w:val="20"/>
          <w:szCs w:val="20"/>
        </w:rPr>
        <w:t>, pues dicho instrumento realiza una mención expresa del mismo</w:t>
      </w:r>
      <w:r w:rsidRPr="005B157E">
        <w:rPr>
          <w:rFonts w:ascii="Verdana" w:hAnsi="Verdana"/>
          <w:sz w:val="20"/>
          <w:szCs w:val="20"/>
        </w:rPr>
        <w:t>.</w:t>
      </w:r>
      <w:r>
        <w:rPr>
          <w:rFonts w:ascii="Verdana" w:hAnsi="Verdana"/>
          <w:sz w:val="20"/>
          <w:szCs w:val="20"/>
        </w:rPr>
        <w:t xml:space="preserve"> No obstante, </w:t>
      </w:r>
      <w:r w:rsidR="00AA3297">
        <w:rPr>
          <w:rFonts w:ascii="Verdana" w:hAnsi="Verdana"/>
          <w:sz w:val="20"/>
          <w:szCs w:val="20"/>
        </w:rPr>
        <w:t xml:space="preserve">una cosa es el derecho al trabajo y otra es la </w:t>
      </w:r>
      <w:r w:rsidR="003B6EF2">
        <w:rPr>
          <w:rFonts w:ascii="Verdana" w:hAnsi="Verdana"/>
          <w:sz w:val="20"/>
          <w:szCs w:val="20"/>
        </w:rPr>
        <w:t xml:space="preserve">estabilidad laboral, lo cual muestra los dilemas que se presentan cuando el </w:t>
      </w:r>
      <w:r w:rsidR="00607ABD">
        <w:rPr>
          <w:rFonts w:ascii="Verdana" w:hAnsi="Verdana"/>
          <w:sz w:val="20"/>
          <w:szCs w:val="20"/>
        </w:rPr>
        <w:t>catálogo</w:t>
      </w:r>
      <w:r w:rsidR="003B6EF2">
        <w:rPr>
          <w:rFonts w:ascii="Verdana" w:hAnsi="Verdana"/>
          <w:sz w:val="20"/>
          <w:szCs w:val="20"/>
        </w:rPr>
        <w:t xml:space="preserve"> de derechos y sus alcances no se encuentran bien definidos. Además, </w:t>
      </w:r>
      <w:r>
        <w:rPr>
          <w:rFonts w:ascii="Verdana" w:hAnsi="Verdana"/>
          <w:sz w:val="20"/>
          <w:szCs w:val="20"/>
        </w:rPr>
        <w:t xml:space="preserve">no se puede entonces olvidar que la obligación general del artículo 26 de la CADH le permite a la Corte supervisar </w:t>
      </w:r>
      <w:r w:rsidRPr="00966D31">
        <w:rPr>
          <w:rFonts w:ascii="Verdana" w:hAnsi="Verdana"/>
          <w:sz w:val="20"/>
          <w:szCs w:val="20"/>
        </w:rPr>
        <w:t>es el cumplimiento de la obligación de desarrollo progresivo y su consecuente deber de no regresividad</w:t>
      </w:r>
      <w:r w:rsidR="0050517E">
        <w:rPr>
          <w:rFonts w:ascii="Verdana" w:hAnsi="Verdana"/>
          <w:sz w:val="20"/>
          <w:szCs w:val="20"/>
        </w:rPr>
        <w:t>, análisis que no se realizó en la presente Sentencia</w:t>
      </w:r>
      <w:r>
        <w:rPr>
          <w:rFonts w:ascii="Verdana" w:hAnsi="Verdana"/>
          <w:sz w:val="20"/>
          <w:szCs w:val="20"/>
        </w:rPr>
        <w:t>.</w:t>
      </w:r>
    </w:p>
    <w:p w14:paraId="59CC3466" w14:textId="77777777" w:rsidR="005B157E" w:rsidRPr="005B157E" w:rsidRDefault="005B157E" w:rsidP="005B157E">
      <w:pPr>
        <w:spacing w:after="0" w:line="240" w:lineRule="auto"/>
        <w:jc w:val="both"/>
        <w:rPr>
          <w:rFonts w:ascii="Verdana" w:hAnsi="Verdana"/>
          <w:sz w:val="20"/>
          <w:szCs w:val="20"/>
          <w:lang w:val="es-CR"/>
        </w:rPr>
      </w:pPr>
    </w:p>
    <w:p w14:paraId="3F5D5FFA" w14:textId="4BD8DE12" w:rsidR="00966D31" w:rsidRPr="00966D31" w:rsidRDefault="005B157E" w:rsidP="0087654E">
      <w:pPr>
        <w:pStyle w:val="ListParagraph"/>
        <w:numPr>
          <w:ilvl w:val="0"/>
          <w:numId w:val="12"/>
        </w:numPr>
        <w:spacing w:after="0" w:line="240" w:lineRule="auto"/>
        <w:ind w:left="0" w:firstLine="0"/>
        <w:jc w:val="both"/>
        <w:rPr>
          <w:rFonts w:ascii="Verdana" w:hAnsi="Verdana" w:cs="Arial"/>
          <w:sz w:val="20"/>
          <w:szCs w:val="20"/>
        </w:rPr>
      </w:pPr>
      <w:r>
        <w:rPr>
          <w:rFonts w:ascii="Verdana" w:hAnsi="Verdana"/>
          <w:sz w:val="20"/>
          <w:szCs w:val="20"/>
          <w:lang w:val="es-CR"/>
        </w:rPr>
        <w:lastRenderedPageBreak/>
        <w:t>Por otra parte, i</w:t>
      </w:r>
      <w:r w:rsidR="004F6DCD" w:rsidRPr="00966D31">
        <w:rPr>
          <w:rFonts w:ascii="Verdana" w:hAnsi="Verdana"/>
          <w:sz w:val="20"/>
          <w:szCs w:val="20"/>
          <w:lang w:val="es-CR"/>
        </w:rPr>
        <w:t xml:space="preserve">nsisto en dejar en claro que la remisión es a la Carta y no a otras declaraciones, tratados o documentos de </w:t>
      </w:r>
      <w:proofErr w:type="spellStart"/>
      <w:r w:rsidR="004F6DCD" w:rsidRPr="00966D31">
        <w:rPr>
          <w:rFonts w:ascii="Verdana" w:hAnsi="Verdana"/>
          <w:i/>
          <w:sz w:val="20"/>
          <w:szCs w:val="20"/>
          <w:lang w:val="es-CR"/>
        </w:rPr>
        <w:t>soft</w:t>
      </w:r>
      <w:proofErr w:type="spellEnd"/>
      <w:r w:rsidR="004F6DCD" w:rsidRPr="00966D31">
        <w:rPr>
          <w:rFonts w:ascii="Verdana" w:hAnsi="Verdana"/>
          <w:i/>
          <w:sz w:val="20"/>
          <w:szCs w:val="20"/>
          <w:lang w:val="es-CR"/>
        </w:rPr>
        <w:t xml:space="preserve"> </w:t>
      </w:r>
      <w:proofErr w:type="spellStart"/>
      <w:r w:rsidR="004F6DCD" w:rsidRPr="00966D31">
        <w:rPr>
          <w:rFonts w:ascii="Verdana" w:hAnsi="Verdana"/>
          <w:i/>
          <w:sz w:val="20"/>
          <w:szCs w:val="20"/>
          <w:lang w:val="es-CR"/>
        </w:rPr>
        <w:t>law</w:t>
      </w:r>
      <w:proofErr w:type="spellEnd"/>
      <w:r w:rsidR="00DD3D1D">
        <w:rPr>
          <w:rStyle w:val="FootnoteReference"/>
          <w:rFonts w:ascii="Verdana" w:hAnsi="Verdana"/>
          <w:i/>
          <w:sz w:val="20"/>
          <w:szCs w:val="20"/>
          <w:lang w:val="es-CR"/>
        </w:rPr>
        <w:footnoteReference w:id="9"/>
      </w:r>
      <w:r w:rsidR="004F6DCD" w:rsidRPr="00966D31">
        <w:rPr>
          <w:rFonts w:ascii="Verdana" w:hAnsi="Verdana"/>
          <w:sz w:val="20"/>
          <w:szCs w:val="20"/>
          <w:lang w:val="es-CR"/>
        </w:rPr>
        <w:t xml:space="preserve">, porque la mención de estos no subsana o cambia </w:t>
      </w:r>
      <w:r w:rsidR="00274C0B" w:rsidRPr="00966D31">
        <w:rPr>
          <w:rFonts w:ascii="Verdana" w:hAnsi="Verdana"/>
          <w:sz w:val="20"/>
          <w:szCs w:val="20"/>
          <w:lang w:val="es-CR"/>
        </w:rPr>
        <w:t>lo que el artículo 26 de la CADH</w:t>
      </w:r>
      <w:r w:rsidR="004F6DCD" w:rsidRPr="00966D31">
        <w:rPr>
          <w:rFonts w:ascii="Verdana" w:hAnsi="Verdana"/>
          <w:sz w:val="20"/>
          <w:szCs w:val="20"/>
          <w:lang w:val="es-CR"/>
        </w:rPr>
        <w:t xml:space="preserve"> expresamente indica. En otras palabras, hacer referencia a </w:t>
      </w:r>
      <w:r w:rsidR="00DD3D1D" w:rsidRPr="00966D31">
        <w:rPr>
          <w:rFonts w:ascii="Verdana" w:hAnsi="Verdana"/>
          <w:sz w:val="20"/>
          <w:szCs w:val="20"/>
          <w:lang w:val="es-CR"/>
        </w:rPr>
        <w:t xml:space="preserve">“un vasto </w:t>
      </w:r>
      <w:r w:rsidR="00DD3D1D" w:rsidRPr="00966D31">
        <w:rPr>
          <w:rFonts w:ascii="Verdana" w:hAnsi="Verdana"/>
          <w:i/>
          <w:sz w:val="20"/>
          <w:szCs w:val="20"/>
          <w:lang w:val="es-CR"/>
        </w:rPr>
        <w:t>corpus iuris</w:t>
      </w:r>
      <w:r w:rsidR="00DD3D1D" w:rsidRPr="00966D31">
        <w:rPr>
          <w:rFonts w:ascii="Verdana" w:hAnsi="Verdana"/>
          <w:sz w:val="20"/>
          <w:szCs w:val="20"/>
          <w:lang w:val="es-CR"/>
        </w:rPr>
        <w:t>”</w:t>
      </w:r>
      <w:r w:rsidR="00DD3D1D">
        <w:rPr>
          <w:rStyle w:val="FootnoteReference"/>
          <w:rFonts w:ascii="Verdana" w:hAnsi="Verdana"/>
          <w:sz w:val="20"/>
          <w:szCs w:val="20"/>
          <w:lang w:val="es-CR"/>
        </w:rPr>
        <w:footnoteReference w:id="10"/>
      </w:r>
      <w:r w:rsidR="00DD3D1D" w:rsidRPr="00966D31">
        <w:rPr>
          <w:rFonts w:ascii="Verdana" w:hAnsi="Verdana"/>
          <w:sz w:val="20"/>
          <w:szCs w:val="20"/>
          <w:lang w:val="es-CR"/>
        </w:rPr>
        <w:t xml:space="preserve">, en el que se mencionan tratados del sistema universal y sistemas regionales distintos al interamericano, no modifica el hecho de que la remisión del artículo 26 se hizo </w:t>
      </w:r>
      <w:r w:rsidR="00274C0B" w:rsidRPr="00966D31">
        <w:rPr>
          <w:rFonts w:ascii="Verdana" w:hAnsi="Verdana"/>
          <w:sz w:val="20"/>
          <w:szCs w:val="20"/>
          <w:lang w:val="es-CR"/>
        </w:rPr>
        <w:t xml:space="preserve">a la Carta y a ningún otro instrumento, tratado o documento de derecho internacional. </w:t>
      </w:r>
    </w:p>
    <w:p w14:paraId="0524678B" w14:textId="77777777" w:rsidR="00966D31" w:rsidRPr="00966D31" w:rsidRDefault="00966D31" w:rsidP="00966D31">
      <w:pPr>
        <w:spacing w:after="0" w:line="240" w:lineRule="auto"/>
        <w:jc w:val="both"/>
        <w:rPr>
          <w:rFonts w:ascii="Verdana" w:hAnsi="Verdana"/>
          <w:sz w:val="20"/>
          <w:szCs w:val="20"/>
          <w:lang w:val="es-CR"/>
        </w:rPr>
      </w:pPr>
    </w:p>
    <w:p w14:paraId="718D319F" w14:textId="5611CB9B" w:rsidR="00966D31" w:rsidRDefault="003F7B3E" w:rsidP="00421375">
      <w:pPr>
        <w:pStyle w:val="ListParagraph"/>
        <w:numPr>
          <w:ilvl w:val="0"/>
          <w:numId w:val="12"/>
        </w:numPr>
        <w:spacing w:after="0" w:line="240" w:lineRule="auto"/>
        <w:ind w:left="0" w:firstLine="0"/>
        <w:jc w:val="both"/>
        <w:rPr>
          <w:rFonts w:ascii="Verdana" w:hAnsi="Verdana" w:cs="Arial"/>
          <w:sz w:val="20"/>
          <w:szCs w:val="20"/>
        </w:rPr>
      </w:pPr>
      <w:r w:rsidRPr="00966D31">
        <w:rPr>
          <w:rFonts w:ascii="Verdana" w:hAnsi="Verdana"/>
          <w:sz w:val="20"/>
          <w:szCs w:val="20"/>
          <w:lang w:val="es-CR"/>
        </w:rPr>
        <w:t xml:space="preserve">Si de por </w:t>
      </w:r>
      <w:r w:rsidR="00607ABD" w:rsidRPr="00966D31">
        <w:rPr>
          <w:rFonts w:ascii="Verdana" w:hAnsi="Verdana"/>
          <w:sz w:val="20"/>
          <w:szCs w:val="20"/>
          <w:lang w:val="es-CR"/>
        </w:rPr>
        <w:t>sí</w:t>
      </w:r>
      <w:r w:rsidRPr="00966D31">
        <w:rPr>
          <w:rFonts w:ascii="Verdana" w:hAnsi="Verdana"/>
          <w:sz w:val="20"/>
          <w:szCs w:val="20"/>
          <w:lang w:val="es-CR"/>
        </w:rPr>
        <w:t xml:space="preserve">, intentar </w:t>
      </w:r>
      <w:r w:rsidR="00607ABD" w:rsidRPr="00966D31">
        <w:rPr>
          <w:rFonts w:ascii="Verdana" w:hAnsi="Verdana"/>
          <w:sz w:val="20"/>
          <w:szCs w:val="20"/>
          <w:lang w:val="es-CR"/>
        </w:rPr>
        <w:t>construir</w:t>
      </w:r>
      <w:r w:rsidRPr="00966D31">
        <w:rPr>
          <w:rFonts w:ascii="Verdana" w:hAnsi="Verdana"/>
          <w:sz w:val="20"/>
          <w:szCs w:val="20"/>
          <w:lang w:val="es-CR"/>
        </w:rPr>
        <w:t xml:space="preserve"> un </w:t>
      </w:r>
      <w:r w:rsidR="00607ABD" w:rsidRPr="00966D31">
        <w:rPr>
          <w:rFonts w:ascii="Verdana" w:hAnsi="Verdana"/>
          <w:sz w:val="20"/>
          <w:szCs w:val="20"/>
          <w:lang w:val="es-CR"/>
        </w:rPr>
        <w:t>catálogo</w:t>
      </w:r>
      <w:r w:rsidRPr="00966D31">
        <w:rPr>
          <w:rFonts w:ascii="Verdana" w:hAnsi="Verdana"/>
          <w:sz w:val="20"/>
          <w:szCs w:val="20"/>
          <w:lang w:val="es-CR"/>
        </w:rPr>
        <w:t xml:space="preserve"> de DESC a partir de la Carta es una tarea interpretativa compleja, entrar a utilizar cuanto tratado de derechos humanos existe para llenar de contenido al artículo 26 de la CADH, lo único que puede generar es </w:t>
      </w:r>
      <w:r w:rsidRPr="00966D31">
        <w:rPr>
          <w:rFonts w:ascii="Verdana" w:hAnsi="Verdana" w:cs="Arial"/>
          <w:sz w:val="20"/>
          <w:szCs w:val="20"/>
        </w:rPr>
        <w:t>una dinámica de “</w:t>
      </w:r>
      <w:r w:rsidRPr="00966D31">
        <w:rPr>
          <w:rFonts w:ascii="Verdana" w:hAnsi="Verdana" w:cs="Arial"/>
          <w:i/>
          <w:sz w:val="20"/>
          <w:szCs w:val="20"/>
        </w:rPr>
        <w:t>vis expansiva</w:t>
      </w:r>
      <w:r w:rsidRPr="00966D31">
        <w:rPr>
          <w:rFonts w:ascii="Verdana" w:hAnsi="Verdana" w:cs="Arial"/>
          <w:sz w:val="20"/>
          <w:szCs w:val="20"/>
        </w:rPr>
        <w:t>” de la responsabilidad internacional de los Estado</w:t>
      </w:r>
      <w:r w:rsidR="00607ABD">
        <w:rPr>
          <w:rFonts w:ascii="Verdana" w:hAnsi="Verdana" w:cs="Arial"/>
          <w:sz w:val="20"/>
          <w:szCs w:val="20"/>
        </w:rPr>
        <w:t>s</w:t>
      </w:r>
      <w:r w:rsidRPr="00966D31">
        <w:rPr>
          <w:rFonts w:ascii="Verdana" w:hAnsi="Verdana" w:cs="Arial"/>
          <w:sz w:val="20"/>
          <w:szCs w:val="20"/>
        </w:rPr>
        <w:t xml:space="preserve">. Es decir que al no tener presente un catálogo definido de </w:t>
      </w:r>
      <w:r w:rsidR="00421375" w:rsidRPr="00966D31">
        <w:rPr>
          <w:rFonts w:ascii="Verdana" w:hAnsi="Verdana" w:cs="Arial"/>
          <w:sz w:val="20"/>
          <w:szCs w:val="20"/>
        </w:rPr>
        <w:t xml:space="preserve">los </w:t>
      </w:r>
      <w:r w:rsidRPr="00966D31">
        <w:rPr>
          <w:rFonts w:ascii="Verdana" w:hAnsi="Verdana" w:cs="Arial"/>
          <w:sz w:val="20"/>
          <w:szCs w:val="20"/>
        </w:rPr>
        <w:t xml:space="preserve">DESC cuya infracción genera responsabilidad de los Estados, estos no pueden </w:t>
      </w:r>
      <w:r w:rsidR="00421375" w:rsidRPr="00966D31">
        <w:rPr>
          <w:rFonts w:ascii="Verdana" w:hAnsi="Verdana" w:cs="Arial"/>
          <w:sz w:val="20"/>
          <w:szCs w:val="20"/>
        </w:rPr>
        <w:t xml:space="preserve">prevenir ni reparar internamente las posibles infracciones porque </w:t>
      </w:r>
      <w:r w:rsidR="00607ABD" w:rsidRPr="00966D31">
        <w:rPr>
          <w:rFonts w:ascii="Verdana" w:hAnsi="Verdana" w:cs="Arial"/>
          <w:sz w:val="20"/>
          <w:szCs w:val="20"/>
        </w:rPr>
        <w:t>básicamente</w:t>
      </w:r>
      <w:r w:rsidR="00421375" w:rsidRPr="00966D31">
        <w:rPr>
          <w:rFonts w:ascii="Verdana" w:hAnsi="Verdana" w:cs="Arial"/>
          <w:sz w:val="20"/>
          <w:szCs w:val="20"/>
        </w:rPr>
        <w:t xml:space="preserve"> la Corte IDH puede modificar el </w:t>
      </w:r>
      <w:r w:rsidR="00607ABD" w:rsidRPr="00966D31">
        <w:rPr>
          <w:rFonts w:ascii="Verdana" w:hAnsi="Verdana" w:cs="Arial"/>
          <w:sz w:val="20"/>
          <w:szCs w:val="20"/>
        </w:rPr>
        <w:t>catálogo</w:t>
      </w:r>
      <w:r w:rsidR="00421375" w:rsidRPr="00966D31">
        <w:rPr>
          <w:rFonts w:ascii="Verdana" w:hAnsi="Verdana" w:cs="Arial"/>
          <w:sz w:val="20"/>
          <w:szCs w:val="20"/>
        </w:rPr>
        <w:t xml:space="preserve"> de los derechos dependiendo del caso</w:t>
      </w:r>
      <w:r w:rsidRPr="00966D31">
        <w:rPr>
          <w:rFonts w:ascii="Verdana" w:hAnsi="Verdana" w:cs="Arial"/>
          <w:sz w:val="20"/>
          <w:szCs w:val="20"/>
        </w:rPr>
        <w:t>.</w:t>
      </w:r>
      <w:r w:rsidR="00421375" w:rsidRPr="00966D31">
        <w:rPr>
          <w:rFonts w:ascii="Verdana" w:hAnsi="Verdana" w:cs="Arial"/>
          <w:sz w:val="20"/>
          <w:szCs w:val="20"/>
        </w:rPr>
        <w:t xml:space="preserve"> </w:t>
      </w:r>
    </w:p>
    <w:p w14:paraId="5FBC9A34" w14:textId="77777777" w:rsidR="00966D31" w:rsidRDefault="00966D31" w:rsidP="00966D31">
      <w:pPr>
        <w:spacing w:after="0" w:line="240" w:lineRule="auto"/>
        <w:jc w:val="both"/>
        <w:rPr>
          <w:rFonts w:ascii="Verdana" w:hAnsi="Verdana" w:cs="Arial"/>
          <w:sz w:val="20"/>
          <w:szCs w:val="20"/>
        </w:rPr>
      </w:pPr>
    </w:p>
    <w:p w14:paraId="50F9C42A" w14:textId="79E8F2CB" w:rsidR="00880C20" w:rsidRDefault="00421375" w:rsidP="00160965">
      <w:pPr>
        <w:pStyle w:val="ListParagraph"/>
        <w:numPr>
          <w:ilvl w:val="0"/>
          <w:numId w:val="12"/>
        </w:numPr>
        <w:spacing w:after="0" w:line="240" w:lineRule="auto"/>
        <w:ind w:left="0" w:firstLine="0"/>
        <w:jc w:val="both"/>
        <w:rPr>
          <w:rFonts w:ascii="Verdana" w:hAnsi="Verdana" w:cs="Arial"/>
          <w:sz w:val="20"/>
          <w:szCs w:val="20"/>
        </w:rPr>
      </w:pPr>
      <w:r w:rsidRPr="00966D31">
        <w:rPr>
          <w:rFonts w:ascii="Verdana" w:hAnsi="Verdana" w:cs="Arial"/>
          <w:sz w:val="20"/>
          <w:szCs w:val="20"/>
        </w:rPr>
        <w:t>En este sentido, la Sentencia</w:t>
      </w:r>
      <w:r w:rsidRPr="00966D31">
        <w:rPr>
          <w:rFonts w:ascii="Verdana" w:hAnsi="Verdana"/>
          <w:sz w:val="20"/>
          <w:szCs w:val="20"/>
          <w:lang w:val="es-CR"/>
        </w:rPr>
        <w:t xml:space="preserve"> bajo análisis es preocupante </w:t>
      </w:r>
      <w:r w:rsidRPr="00966D31">
        <w:rPr>
          <w:rFonts w:ascii="Verdana" w:hAnsi="Verdana" w:cs="Arial"/>
          <w:sz w:val="20"/>
          <w:szCs w:val="20"/>
        </w:rPr>
        <w:t>porque se</w:t>
      </w:r>
      <w:r w:rsidR="00B27BDC" w:rsidRPr="00966D31">
        <w:rPr>
          <w:rFonts w:ascii="Verdana" w:hAnsi="Verdana" w:cs="Arial"/>
          <w:sz w:val="20"/>
          <w:szCs w:val="20"/>
        </w:rPr>
        <w:t xml:space="preserve"> </w:t>
      </w:r>
      <w:r w:rsidR="00607ABD" w:rsidRPr="00966D31">
        <w:rPr>
          <w:rFonts w:ascii="Verdana" w:hAnsi="Verdana" w:cs="Arial"/>
          <w:sz w:val="20"/>
          <w:szCs w:val="20"/>
        </w:rPr>
        <w:t>inaugura</w:t>
      </w:r>
      <w:r w:rsidR="00B27BDC" w:rsidRPr="00966D31">
        <w:rPr>
          <w:rFonts w:ascii="Verdana" w:hAnsi="Verdana" w:cs="Arial"/>
          <w:sz w:val="20"/>
          <w:szCs w:val="20"/>
        </w:rPr>
        <w:t xml:space="preserve"> una lógica de</w:t>
      </w:r>
      <w:r w:rsidRPr="00966D31">
        <w:rPr>
          <w:rFonts w:ascii="Verdana" w:hAnsi="Verdana" w:cs="Arial"/>
          <w:sz w:val="20"/>
          <w:szCs w:val="20"/>
        </w:rPr>
        <w:t xml:space="preserve"> funcionamiento de la justicia interamericana que no só</w:t>
      </w:r>
      <w:r w:rsidR="00B27BDC" w:rsidRPr="00966D31">
        <w:rPr>
          <w:rFonts w:ascii="Verdana" w:hAnsi="Verdana" w:cs="Arial"/>
          <w:sz w:val="20"/>
          <w:szCs w:val="20"/>
        </w:rPr>
        <w:t>lo afecta al</w:t>
      </w:r>
      <w:r w:rsidRPr="00966D31">
        <w:rPr>
          <w:rFonts w:ascii="Verdana" w:hAnsi="Verdana" w:cs="Arial"/>
          <w:sz w:val="20"/>
          <w:szCs w:val="20"/>
        </w:rPr>
        <w:t xml:space="preserve"> sistema de competencias de la C</w:t>
      </w:r>
      <w:r w:rsidR="00B27BDC" w:rsidRPr="00966D31">
        <w:rPr>
          <w:rFonts w:ascii="Verdana" w:hAnsi="Verdana" w:cs="Arial"/>
          <w:sz w:val="20"/>
          <w:szCs w:val="20"/>
        </w:rPr>
        <w:t>omisión</w:t>
      </w:r>
      <w:r w:rsidRPr="00966D31">
        <w:rPr>
          <w:rFonts w:ascii="Verdana" w:hAnsi="Verdana" w:cs="Arial"/>
          <w:sz w:val="20"/>
          <w:szCs w:val="20"/>
        </w:rPr>
        <w:t xml:space="preserve"> y de la Corte</w:t>
      </w:r>
      <w:r w:rsidR="00B27BDC" w:rsidRPr="00966D31">
        <w:rPr>
          <w:rFonts w:ascii="Verdana" w:hAnsi="Verdana" w:cs="Arial"/>
          <w:sz w:val="20"/>
          <w:szCs w:val="20"/>
        </w:rPr>
        <w:t xml:space="preserve">, sino </w:t>
      </w:r>
      <w:r w:rsidRPr="00966D31">
        <w:rPr>
          <w:rFonts w:ascii="Verdana" w:hAnsi="Verdana" w:cs="Arial"/>
          <w:sz w:val="20"/>
          <w:szCs w:val="20"/>
        </w:rPr>
        <w:t>que entra a modificar y</w:t>
      </w:r>
      <w:r w:rsidR="007A7C22" w:rsidRPr="00966D31">
        <w:rPr>
          <w:rFonts w:ascii="Verdana" w:hAnsi="Verdana" w:cs="Arial"/>
          <w:sz w:val="20"/>
          <w:szCs w:val="20"/>
        </w:rPr>
        <w:t xml:space="preserve"> añadir un</w:t>
      </w:r>
      <w:r w:rsidRPr="00966D31">
        <w:rPr>
          <w:rFonts w:ascii="Verdana" w:hAnsi="Verdana" w:cs="Arial"/>
          <w:sz w:val="20"/>
          <w:szCs w:val="20"/>
        </w:rPr>
        <w:t xml:space="preserve"> </w:t>
      </w:r>
      <w:r w:rsidR="007A7C22" w:rsidRPr="00966D31">
        <w:rPr>
          <w:rFonts w:ascii="Verdana" w:hAnsi="Verdana" w:cs="Arial"/>
          <w:sz w:val="20"/>
          <w:szCs w:val="20"/>
        </w:rPr>
        <w:t>catálogo de nuevos derechos protegidos por la C</w:t>
      </w:r>
      <w:r w:rsidR="00B27BDC" w:rsidRPr="00966D31">
        <w:rPr>
          <w:rFonts w:ascii="Verdana" w:hAnsi="Verdana" w:cs="Arial"/>
          <w:sz w:val="20"/>
          <w:szCs w:val="20"/>
        </w:rPr>
        <w:t>onvención</w:t>
      </w:r>
      <w:r w:rsidR="007A7C22" w:rsidRPr="00966D31">
        <w:rPr>
          <w:rFonts w:ascii="Verdana" w:hAnsi="Verdana" w:cs="Arial"/>
          <w:sz w:val="20"/>
          <w:szCs w:val="20"/>
        </w:rPr>
        <w:t xml:space="preserve"> Americana</w:t>
      </w:r>
      <w:r w:rsidR="00B27BDC" w:rsidRPr="00966D31">
        <w:rPr>
          <w:rFonts w:ascii="Verdana" w:hAnsi="Verdana" w:cs="Arial"/>
          <w:sz w:val="20"/>
          <w:szCs w:val="20"/>
        </w:rPr>
        <w:t>.</w:t>
      </w:r>
    </w:p>
    <w:p w14:paraId="189F023F" w14:textId="77777777" w:rsidR="00BF128B" w:rsidRDefault="00BF128B" w:rsidP="00160965">
      <w:pPr>
        <w:spacing w:after="0" w:line="240" w:lineRule="auto"/>
        <w:jc w:val="both"/>
        <w:rPr>
          <w:rFonts w:ascii="Verdana" w:hAnsi="Verdana" w:cs="Arial"/>
          <w:b/>
          <w:sz w:val="20"/>
          <w:szCs w:val="20"/>
        </w:rPr>
      </w:pPr>
    </w:p>
    <w:p w14:paraId="7BDCC471" w14:textId="0F56108A" w:rsidR="00160965" w:rsidRPr="0047061E" w:rsidRDefault="00160965" w:rsidP="0047061E">
      <w:pPr>
        <w:pStyle w:val="ListParagraph"/>
        <w:numPr>
          <w:ilvl w:val="0"/>
          <w:numId w:val="13"/>
        </w:numPr>
        <w:tabs>
          <w:tab w:val="left" w:pos="426"/>
          <w:tab w:val="left" w:pos="709"/>
        </w:tabs>
        <w:spacing w:after="0" w:line="240" w:lineRule="auto"/>
        <w:jc w:val="both"/>
        <w:rPr>
          <w:rFonts w:ascii="Verdana" w:hAnsi="Verdana"/>
          <w:b/>
          <w:sz w:val="20"/>
          <w:szCs w:val="20"/>
        </w:rPr>
      </w:pPr>
      <w:r w:rsidRPr="0047061E">
        <w:rPr>
          <w:rFonts w:ascii="Verdana" w:hAnsi="Verdana"/>
          <w:b/>
          <w:sz w:val="20"/>
          <w:szCs w:val="20"/>
        </w:rPr>
        <w:t>El Protocolo de San Salvador</w:t>
      </w:r>
    </w:p>
    <w:p w14:paraId="30C7CBA8" w14:textId="77777777" w:rsidR="00160965" w:rsidRDefault="00160965" w:rsidP="00160965">
      <w:pPr>
        <w:spacing w:after="0" w:line="240" w:lineRule="auto"/>
        <w:jc w:val="both"/>
        <w:rPr>
          <w:rFonts w:ascii="Verdana" w:hAnsi="Verdana" w:cs="Arial"/>
          <w:b/>
          <w:sz w:val="20"/>
          <w:szCs w:val="20"/>
        </w:rPr>
      </w:pPr>
    </w:p>
    <w:p w14:paraId="02622056" w14:textId="77777777" w:rsidR="0047061E" w:rsidRDefault="00246ED3" w:rsidP="00AB09C7">
      <w:pPr>
        <w:pStyle w:val="ListParagraph"/>
        <w:numPr>
          <w:ilvl w:val="0"/>
          <w:numId w:val="12"/>
        </w:numPr>
        <w:spacing w:after="0" w:line="240" w:lineRule="auto"/>
        <w:ind w:left="0" w:firstLine="0"/>
        <w:jc w:val="both"/>
        <w:rPr>
          <w:rFonts w:ascii="Verdana" w:hAnsi="Verdana"/>
          <w:sz w:val="20"/>
          <w:szCs w:val="20"/>
        </w:rPr>
      </w:pPr>
      <w:r w:rsidRPr="0047061E">
        <w:rPr>
          <w:rFonts w:ascii="Verdana" w:hAnsi="Verdana"/>
          <w:sz w:val="20"/>
          <w:szCs w:val="20"/>
        </w:rPr>
        <w:t>Como se señaló anteriormente</w:t>
      </w:r>
      <w:r w:rsidR="00AB09C7">
        <w:rPr>
          <w:rStyle w:val="FootnoteReference"/>
          <w:rFonts w:ascii="Verdana" w:hAnsi="Verdana"/>
          <w:sz w:val="20"/>
          <w:szCs w:val="20"/>
        </w:rPr>
        <w:footnoteReference w:id="11"/>
      </w:r>
      <w:r w:rsidRPr="0047061E">
        <w:rPr>
          <w:rFonts w:ascii="Verdana" w:hAnsi="Verdana"/>
          <w:sz w:val="20"/>
          <w:szCs w:val="20"/>
        </w:rPr>
        <w:t xml:space="preserve"> no es posible abordar los debates sobre la competencia de la Corte Interamericana en materia de DESC sin tener en cuenta al Protocolo de San Salvador.</w:t>
      </w:r>
      <w:r w:rsidR="00AB09C7" w:rsidRPr="0047061E">
        <w:rPr>
          <w:rFonts w:ascii="Verdana" w:hAnsi="Verdana"/>
          <w:sz w:val="20"/>
          <w:szCs w:val="20"/>
        </w:rPr>
        <w:t xml:space="preserve"> </w:t>
      </w:r>
      <w:r w:rsidRPr="0047061E">
        <w:rPr>
          <w:rFonts w:ascii="Verdana" w:hAnsi="Verdana"/>
          <w:sz w:val="20"/>
          <w:szCs w:val="20"/>
        </w:rPr>
        <w:t>La relevancia del Protocolo radica en que es mediante este tratado que los Estados de la región tomaron la decisión de definir cuáles son los DESC que están obligados a cumplir. Asimismo, establecieron de manera clara y precisa el contenido de dichos derechos.</w:t>
      </w:r>
    </w:p>
    <w:p w14:paraId="708580F7" w14:textId="77777777" w:rsidR="0047061E" w:rsidRDefault="0047061E" w:rsidP="0047061E">
      <w:pPr>
        <w:pStyle w:val="ListParagraph"/>
        <w:spacing w:after="0" w:line="240" w:lineRule="auto"/>
        <w:ind w:left="0"/>
        <w:jc w:val="both"/>
        <w:rPr>
          <w:rFonts w:ascii="Verdana" w:hAnsi="Verdana"/>
          <w:sz w:val="20"/>
          <w:szCs w:val="20"/>
        </w:rPr>
      </w:pPr>
    </w:p>
    <w:p w14:paraId="37E08C3A" w14:textId="097F379F" w:rsidR="007C44A8" w:rsidRPr="0047061E" w:rsidRDefault="00AB09C7" w:rsidP="00AB09C7">
      <w:pPr>
        <w:pStyle w:val="ListParagraph"/>
        <w:numPr>
          <w:ilvl w:val="0"/>
          <w:numId w:val="12"/>
        </w:numPr>
        <w:spacing w:after="0" w:line="240" w:lineRule="auto"/>
        <w:ind w:left="0" w:firstLine="0"/>
        <w:jc w:val="both"/>
        <w:rPr>
          <w:rFonts w:ascii="Verdana" w:hAnsi="Verdana"/>
          <w:sz w:val="20"/>
          <w:szCs w:val="20"/>
        </w:rPr>
      </w:pPr>
      <w:r w:rsidRPr="0047061E">
        <w:rPr>
          <w:rFonts w:ascii="Verdana" w:hAnsi="Verdana"/>
          <w:sz w:val="20"/>
          <w:szCs w:val="20"/>
        </w:rPr>
        <w:t>No obstante lo anterior</w:t>
      </w:r>
      <w:r w:rsidR="007C44A8" w:rsidRPr="0047061E">
        <w:rPr>
          <w:rFonts w:ascii="Verdana" w:hAnsi="Verdana"/>
          <w:sz w:val="20"/>
          <w:szCs w:val="20"/>
        </w:rPr>
        <w:t>, los Estados tomaron la decisión soberana de restringir cuáles de los DESC consagrados en el Protocolo podían ser objeto de supervisión por medio del mecanismo de peticiones individuales al establecer en el artículo 19.6 que:</w:t>
      </w:r>
    </w:p>
    <w:p w14:paraId="3C704D82" w14:textId="77777777" w:rsidR="007C44A8" w:rsidRDefault="007C44A8" w:rsidP="007C44A8">
      <w:pPr>
        <w:pStyle w:val="ListParagraph"/>
        <w:tabs>
          <w:tab w:val="left" w:pos="426"/>
          <w:tab w:val="left" w:pos="709"/>
        </w:tabs>
        <w:spacing w:after="0" w:line="240" w:lineRule="auto"/>
        <w:ind w:left="0"/>
        <w:jc w:val="both"/>
        <w:rPr>
          <w:rFonts w:ascii="Verdana" w:hAnsi="Verdana"/>
          <w:sz w:val="20"/>
          <w:szCs w:val="20"/>
        </w:rPr>
      </w:pPr>
    </w:p>
    <w:p w14:paraId="3B5A5629" w14:textId="77777777" w:rsidR="007C44A8" w:rsidRPr="00EF393D" w:rsidRDefault="007C44A8" w:rsidP="00681FB5">
      <w:pPr>
        <w:pStyle w:val="ListParagraph"/>
        <w:tabs>
          <w:tab w:val="left" w:pos="426"/>
          <w:tab w:val="left" w:pos="709"/>
        </w:tabs>
        <w:spacing w:after="0" w:line="240" w:lineRule="auto"/>
        <w:ind w:left="426" w:right="378"/>
        <w:jc w:val="both"/>
        <w:rPr>
          <w:rFonts w:ascii="Verdana" w:hAnsi="Verdana" w:cs="Tahoma"/>
          <w:color w:val="000000"/>
          <w:sz w:val="16"/>
          <w:szCs w:val="16"/>
          <w:shd w:val="clear" w:color="auto" w:fill="FFFFFF"/>
        </w:rPr>
      </w:pPr>
      <w:r w:rsidRPr="00EF393D">
        <w:rPr>
          <w:rFonts w:ascii="Verdana" w:hAnsi="Verdana" w:cs="Tahoma"/>
          <w:color w:val="000000"/>
          <w:sz w:val="16"/>
          <w:szCs w:val="16"/>
          <w:shd w:val="clear" w:color="auto" w:fill="FFFFFF"/>
        </w:rPr>
        <w:t xml:space="preserve">6. </w:t>
      </w:r>
      <w:r w:rsidRPr="00EF393D">
        <w:rPr>
          <w:rFonts w:ascii="Verdana" w:hAnsi="Verdana" w:cs="Tahoma"/>
          <w:color w:val="000000"/>
          <w:sz w:val="16"/>
          <w:szCs w:val="16"/>
          <w:u w:val="single"/>
          <w:shd w:val="clear" w:color="auto" w:fill="FFFFFF"/>
        </w:rPr>
        <w:t>En el caso de que los derechos establecidos en el párrafo a) del artículo 8 y en el artículo 13 fuesen violados por una acción imputable directamente a un Estado</w:t>
      </w:r>
      <w:r w:rsidRPr="00EF393D">
        <w:rPr>
          <w:rFonts w:ascii="Verdana" w:hAnsi="Verdana" w:cs="Tahoma"/>
          <w:color w:val="000000"/>
          <w:sz w:val="16"/>
          <w:szCs w:val="16"/>
          <w:shd w:val="clear" w:color="auto" w:fill="FFFFFF"/>
        </w:rPr>
        <w:t xml:space="preserve"> parte del presente Protocolo, </w:t>
      </w:r>
      <w:r w:rsidRPr="00EF393D">
        <w:rPr>
          <w:rFonts w:ascii="Verdana" w:hAnsi="Verdana" w:cs="Tahoma"/>
          <w:color w:val="000000"/>
          <w:sz w:val="16"/>
          <w:szCs w:val="16"/>
          <w:u w:val="single"/>
          <w:shd w:val="clear" w:color="auto" w:fill="FFFFFF"/>
        </w:rPr>
        <w:t>tal situación podría dar lugar</w:t>
      </w:r>
      <w:r w:rsidRPr="00EF393D">
        <w:rPr>
          <w:rFonts w:ascii="Verdana" w:hAnsi="Verdana" w:cs="Tahoma"/>
          <w:color w:val="000000"/>
          <w:sz w:val="16"/>
          <w:szCs w:val="16"/>
          <w:shd w:val="clear" w:color="auto" w:fill="FFFFFF"/>
        </w:rPr>
        <w:t xml:space="preserve">, mediante la participación de la Comisión Interamericana de Derechos Humanos, y cuando proceda de la Corte Interamericana de Derechos Humanos, </w:t>
      </w:r>
      <w:r w:rsidRPr="00EF393D">
        <w:rPr>
          <w:rFonts w:ascii="Verdana" w:hAnsi="Verdana" w:cs="Tahoma"/>
          <w:color w:val="000000"/>
          <w:sz w:val="16"/>
          <w:szCs w:val="16"/>
          <w:u w:val="single"/>
          <w:shd w:val="clear" w:color="auto" w:fill="FFFFFF"/>
        </w:rPr>
        <w:t xml:space="preserve">a la aplicación del sistema de peticiones individuales </w:t>
      </w:r>
      <w:r w:rsidRPr="00EF393D">
        <w:rPr>
          <w:rFonts w:ascii="Verdana" w:hAnsi="Verdana" w:cs="Tahoma"/>
          <w:color w:val="000000"/>
          <w:sz w:val="16"/>
          <w:szCs w:val="16"/>
          <w:shd w:val="clear" w:color="auto" w:fill="FFFFFF"/>
        </w:rPr>
        <w:t>regulado por los artículos 44 a 51 y 61 a 69 de la Convención Americana sobre Derechos Humanos.</w:t>
      </w:r>
      <w:r>
        <w:rPr>
          <w:rFonts w:ascii="Verdana" w:hAnsi="Verdana" w:cs="Tahoma"/>
          <w:color w:val="000000"/>
          <w:sz w:val="16"/>
          <w:szCs w:val="16"/>
          <w:shd w:val="clear" w:color="auto" w:fill="FFFFFF"/>
        </w:rPr>
        <w:t xml:space="preserve"> (Subrayado fuera del texto)</w:t>
      </w:r>
    </w:p>
    <w:p w14:paraId="13A825E2" w14:textId="77777777" w:rsidR="007C44A8" w:rsidRPr="00EF393D" w:rsidRDefault="007C44A8" w:rsidP="007C44A8">
      <w:pPr>
        <w:pStyle w:val="ListParagraph"/>
        <w:tabs>
          <w:tab w:val="left" w:pos="426"/>
          <w:tab w:val="left" w:pos="709"/>
        </w:tabs>
        <w:spacing w:after="0" w:line="240" w:lineRule="auto"/>
        <w:ind w:left="0"/>
        <w:jc w:val="both"/>
        <w:rPr>
          <w:rFonts w:ascii="Verdana" w:hAnsi="Verdana"/>
          <w:sz w:val="20"/>
          <w:szCs w:val="20"/>
        </w:rPr>
      </w:pPr>
    </w:p>
    <w:p w14:paraId="2F328371" w14:textId="77777777" w:rsidR="00047DC2" w:rsidRDefault="007C44A8" w:rsidP="00160965">
      <w:pPr>
        <w:pStyle w:val="ListParagraph"/>
        <w:numPr>
          <w:ilvl w:val="0"/>
          <w:numId w:val="12"/>
        </w:numPr>
        <w:spacing w:after="0" w:line="240" w:lineRule="auto"/>
        <w:ind w:left="0" w:firstLine="0"/>
        <w:jc w:val="both"/>
        <w:rPr>
          <w:rFonts w:ascii="Verdana" w:hAnsi="Verdana"/>
          <w:sz w:val="20"/>
          <w:szCs w:val="20"/>
        </w:rPr>
      </w:pPr>
      <w:r w:rsidRPr="00047DC2">
        <w:rPr>
          <w:rFonts w:ascii="Verdana" w:hAnsi="Verdana"/>
          <w:sz w:val="20"/>
          <w:szCs w:val="20"/>
        </w:rPr>
        <w:t>Es así como, mediante esta disposición, los Estados resolvieron limitar la competencia de la Comisión y de la Corte para conocer de casos contenciosos que no se encuentren relacionados con algunos derechos sindicales y con el derecho a la educación</w:t>
      </w:r>
      <w:r w:rsidR="00047DC2">
        <w:rPr>
          <w:rFonts w:ascii="Verdana" w:hAnsi="Verdana"/>
          <w:sz w:val="20"/>
          <w:szCs w:val="20"/>
        </w:rPr>
        <w:t>.</w:t>
      </w:r>
    </w:p>
    <w:p w14:paraId="72DA8FFF" w14:textId="77777777" w:rsidR="00047DC2" w:rsidRDefault="00047DC2" w:rsidP="00047DC2">
      <w:pPr>
        <w:pStyle w:val="ListParagraph"/>
        <w:spacing w:after="0" w:line="240" w:lineRule="auto"/>
        <w:ind w:left="0"/>
        <w:jc w:val="both"/>
        <w:rPr>
          <w:rFonts w:ascii="Verdana" w:hAnsi="Verdana"/>
          <w:sz w:val="20"/>
          <w:szCs w:val="20"/>
        </w:rPr>
      </w:pPr>
    </w:p>
    <w:p w14:paraId="2D9FD52E" w14:textId="2E3D3892" w:rsidR="00047DC2" w:rsidRDefault="007C44A8" w:rsidP="000F1334">
      <w:pPr>
        <w:pStyle w:val="ListParagraph"/>
        <w:numPr>
          <w:ilvl w:val="0"/>
          <w:numId w:val="12"/>
        </w:numPr>
        <w:spacing w:after="0" w:line="240" w:lineRule="auto"/>
        <w:ind w:left="0" w:firstLine="0"/>
        <w:jc w:val="both"/>
        <w:rPr>
          <w:rFonts w:ascii="Verdana" w:hAnsi="Verdana"/>
          <w:sz w:val="20"/>
          <w:szCs w:val="20"/>
        </w:rPr>
      </w:pPr>
      <w:r w:rsidRPr="00047DC2">
        <w:rPr>
          <w:rFonts w:ascii="Verdana" w:hAnsi="Verdana"/>
          <w:sz w:val="20"/>
          <w:szCs w:val="20"/>
        </w:rPr>
        <w:lastRenderedPageBreak/>
        <w:t>Ahora bien, esta limitación de competencia no debe entenderse como contradictoria con lo dispuesto con el artículo 26 de la Convención Americana, si se tiene en cuenta que esta norma expresa la voluntad posterior y más específica de los Estados sobre la competencia de la Corte Interamericana sobre DESC. Tampoco se debe leer la Convención Americana de forma aislada sin tener en cuenta su Protocolo, por cuanto son tratados complementarios que deben ser leídos e interpretados de manera conjunta.</w:t>
      </w:r>
      <w:r w:rsidR="00F90620">
        <w:rPr>
          <w:rFonts w:ascii="Verdana" w:hAnsi="Verdana"/>
          <w:sz w:val="20"/>
          <w:szCs w:val="20"/>
        </w:rPr>
        <w:t xml:space="preserve"> En este sentido, </w:t>
      </w:r>
      <w:r w:rsidR="00F90620">
        <w:rPr>
          <w:rFonts w:ascii="Verdana" w:hAnsi="Verdana" w:cs="Arial"/>
          <w:sz w:val="20"/>
          <w:szCs w:val="20"/>
        </w:rPr>
        <w:t>las distintas propuestas</w:t>
      </w:r>
      <w:r w:rsidR="00F90620" w:rsidRPr="00047DC2">
        <w:rPr>
          <w:rFonts w:ascii="Verdana" w:hAnsi="Verdana" w:cs="Arial"/>
          <w:sz w:val="20"/>
          <w:szCs w:val="20"/>
        </w:rPr>
        <w:t xml:space="preserve"> de reforma al sistema IDH que pretenden incluir la </w:t>
      </w:r>
      <w:proofErr w:type="spellStart"/>
      <w:r w:rsidR="00F90620" w:rsidRPr="00047DC2">
        <w:rPr>
          <w:rFonts w:ascii="Verdana" w:hAnsi="Verdana" w:cs="Arial"/>
          <w:sz w:val="20"/>
          <w:szCs w:val="20"/>
        </w:rPr>
        <w:t>justiciabilidad</w:t>
      </w:r>
      <w:proofErr w:type="spellEnd"/>
      <w:r w:rsidR="00F90620" w:rsidRPr="00047DC2">
        <w:rPr>
          <w:rFonts w:ascii="Verdana" w:hAnsi="Verdana" w:cs="Arial"/>
          <w:sz w:val="20"/>
          <w:szCs w:val="20"/>
        </w:rPr>
        <w:t xml:space="preserve"> de DESC hacen evidente, que est</w:t>
      </w:r>
      <w:r w:rsidR="00F90620">
        <w:rPr>
          <w:rFonts w:ascii="Verdana" w:hAnsi="Verdana" w:cs="Arial"/>
          <w:sz w:val="20"/>
          <w:szCs w:val="20"/>
        </w:rPr>
        <w:t>amos ante una compresión de la C</w:t>
      </w:r>
      <w:r w:rsidR="00F90620" w:rsidRPr="00047DC2">
        <w:rPr>
          <w:rFonts w:ascii="Verdana" w:hAnsi="Verdana" w:cs="Arial"/>
          <w:sz w:val="20"/>
          <w:szCs w:val="20"/>
        </w:rPr>
        <w:t xml:space="preserve">onvención contraria a la voluntad de los Estados, </w:t>
      </w:r>
      <w:r w:rsidR="00F90620">
        <w:rPr>
          <w:rFonts w:ascii="Verdana" w:hAnsi="Verdana" w:cs="Arial"/>
          <w:sz w:val="20"/>
          <w:szCs w:val="20"/>
        </w:rPr>
        <w:t>a la voluntad expre</w:t>
      </w:r>
      <w:r w:rsidR="00F90620" w:rsidRPr="00047DC2">
        <w:rPr>
          <w:rFonts w:ascii="Verdana" w:hAnsi="Verdana" w:cs="Arial"/>
          <w:sz w:val="20"/>
          <w:szCs w:val="20"/>
        </w:rPr>
        <w:t>sa de no hacer justiciables los DESC</w:t>
      </w:r>
      <w:r w:rsidR="00F90620">
        <w:rPr>
          <w:rFonts w:ascii="Verdana" w:hAnsi="Verdana" w:cs="Arial"/>
          <w:sz w:val="20"/>
          <w:szCs w:val="20"/>
        </w:rPr>
        <w:t>, salvo los que expresamente señala el artículo 19.6 del Protocolo</w:t>
      </w:r>
      <w:r w:rsidR="00F90620" w:rsidRPr="00047DC2">
        <w:rPr>
          <w:rFonts w:ascii="Verdana" w:hAnsi="Verdana" w:cs="Arial"/>
          <w:sz w:val="20"/>
          <w:szCs w:val="20"/>
        </w:rPr>
        <w:t>.</w:t>
      </w:r>
    </w:p>
    <w:p w14:paraId="18CC093D" w14:textId="77777777" w:rsidR="00047DC2" w:rsidRPr="00047DC2" w:rsidRDefault="00047DC2" w:rsidP="00047DC2">
      <w:pPr>
        <w:spacing w:after="0" w:line="240" w:lineRule="auto"/>
        <w:jc w:val="both"/>
        <w:rPr>
          <w:rFonts w:ascii="Verdana" w:hAnsi="Verdana"/>
          <w:sz w:val="20"/>
          <w:szCs w:val="20"/>
        </w:rPr>
      </w:pPr>
    </w:p>
    <w:p w14:paraId="338E3BE5" w14:textId="77777777" w:rsidR="00047DC2" w:rsidRDefault="007C44A8" w:rsidP="000F1334">
      <w:pPr>
        <w:pStyle w:val="ListParagraph"/>
        <w:numPr>
          <w:ilvl w:val="0"/>
          <w:numId w:val="12"/>
        </w:numPr>
        <w:spacing w:after="0" w:line="240" w:lineRule="auto"/>
        <w:ind w:left="0" w:firstLine="0"/>
        <w:jc w:val="both"/>
        <w:rPr>
          <w:rFonts w:ascii="Verdana" w:hAnsi="Verdana"/>
          <w:sz w:val="20"/>
          <w:szCs w:val="20"/>
        </w:rPr>
      </w:pPr>
      <w:r w:rsidRPr="00047DC2">
        <w:rPr>
          <w:rFonts w:ascii="Verdana" w:hAnsi="Verdana"/>
          <w:sz w:val="20"/>
          <w:szCs w:val="20"/>
        </w:rPr>
        <w:t>Asimismo, es relevante señalar que las obligaciones generadas por el Protocolo a los Estados Parte son independientes al hecho de que la Corte tenga competencia para declarar violaciones en el marco de su función contenciosa. Simplemente para la vigilancia de cumplimiento de estos derechos los Estados dispusieron otros mecanismos, como lo son los establecidos en los demás incisos del artículo 19 del Protocolo, tales como la posibilidad de formular observaciones y recomendaciones sobre la situación de los DESC en el informe anual de la Comisión Interamericana.</w:t>
      </w:r>
    </w:p>
    <w:p w14:paraId="7952DEAA" w14:textId="77777777" w:rsidR="00047DC2" w:rsidRPr="00047DC2" w:rsidRDefault="00047DC2" w:rsidP="00047DC2">
      <w:pPr>
        <w:spacing w:after="0" w:line="240" w:lineRule="auto"/>
        <w:jc w:val="both"/>
        <w:rPr>
          <w:rFonts w:ascii="Verdana" w:hAnsi="Verdana"/>
          <w:sz w:val="20"/>
          <w:szCs w:val="20"/>
        </w:rPr>
      </w:pPr>
    </w:p>
    <w:p w14:paraId="34EB727F" w14:textId="4CE9C154" w:rsidR="000F1334" w:rsidRPr="00047DC2" w:rsidRDefault="000F1334" w:rsidP="000F1334">
      <w:pPr>
        <w:pStyle w:val="ListParagraph"/>
        <w:numPr>
          <w:ilvl w:val="0"/>
          <w:numId w:val="12"/>
        </w:numPr>
        <w:spacing w:after="0" w:line="240" w:lineRule="auto"/>
        <w:ind w:left="0" w:firstLine="0"/>
        <w:jc w:val="both"/>
        <w:rPr>
          <w:rFonts w:ascii="Verdana" w:hAnsi="Verdana"/>
          <w:sz w:val="20"/>
          <w:szCs w:val="20"/>
        </w:rPr>
      </w:pPr>
      <w:r w:rsidRPr="00047DC2">
        <w:rPr>
          <w:rFonts w:ascii="Verdana" w:hAnsi="Verdana"/>
          <w:sz w:val="20"/>
          <w:szCs w:val="20"/>
        </w:rPr>
        <w:t>Teniendo en cuenta lo anterior</w:t>
      </w:r>
      <w:r w:rsidR="00184D12" w:rsidRPr="00047DC2">
        <w:rPr>
          <w:rFonts w:ascii="Verdana" w:hAnsi="Verdana"/>
          <w:sz w:val="20"/>
          <w:szCs w:val="20"/>
        </w:rPr>
        <w:t xml:space="preserve">mente señalado, </w:t>
      </w:r>
      <w:r w:rsidR="002A57F6" w:rsidRPr="00047DC2">
        <w:rPr>
          <w:rFonts w:ascii="Verdana" w:hAnsi="Verdana"/>
          <w:sz w:val="20"/>
          <w:szCs w:val="20"/>
        </w:rPr>
        <w:t xml:space="preserve">estimo </w:t>
      </w:r>
      <w:r w:rsidR="00184D12" w:rsidRPr="00047DC2">
        <w:rPr>
          <w:rFonts w:ascii="Verdana" w:hAnsi="Verdana"/>
          <w:sz w:val="20"/>
          <w:szCs w:val="20"/>
        </w:rPr>
        <w:t>inconc</w:t>
      </w:r>
      <w:r w:rsidRPr="00047DC2">
        <w:rPr>
          <w:rFonts w:ascii="Verdana" w:hAnsi="Verdana"/>
          <w:sz w:val="20"/>
          <w:szCs w:val="20"/>
        </w:rPr>
        <w:t>ebib</w:t>
      </w:r>
      <w:r w:rsidR="00184D12" w:rsidRPr="00047DC2">
        <w:rPr>
          <w:rFonts w:ascii="Verdana" w:hAnsi="Verdana"/>
          <w:sz w:val="20"/>
          <w:szCs w:val="20"/>
        </w:rPr>
        <w:t xml:space="preserve">le </w:t>
      </w:r>
      <w:r w:rsidR="002A57F6" w:rsidRPr="00047DC2">
        <w:rPr>
          <w:rFonts w:ascii="Verdana" w:hAnsi="Verdana"/>
          <w:sz w:val="20"/>
          <w:szCs w:val="20"/>
        </w:rPr>
        <w:t xml:space="preserve">que </w:t>
      </w:r>
      <w:r w:rsidR="00184D12" w:rsidRPr="00047DC2">
        <w:rPr>
          <w:rFonts w:ascii="Verdana" w:hAnsi="Verdana"/>
          <w:sz w:val="20"/>
          <w:szCs w:val="20"/>
        </w:rPr>
        <w:t>una Sentencia que declara la vulneración de un DE</w:t>
      </w:r>
      <w:r w:rsidR="003A5F07" w:rsidRPr="00047DC2">
        <w:rPr>
          <w:rFonts w:ascii="Verdana" w:hAnsi="Verdana"/>
          <w:sz w:val="20"/>
          <w:szCs w:val="20"/>
        </w:rPr>
        <w:t xml:space="preserve">SC en el sistema interamericano, </w:t>
      </w:r>
      <w:r w:rsidR="00184D12" w:rsidRPr="00047DC2">
        <w:rPr>
          <w:rFonts w:ascii="Verdana" w:hAnsi="Verdana"/>
          <w:sz w:val="20"/>
          <w:szCs w:val="20"/>
        </w:rPr>
        <w:t xml:space="preserve">no haga referencia alguna al Protocolo y sus alcances. Más adelante me concentraré en mostrar como esto representa una falencia argumentativa importante, pero más allá de la técnica jurídica que es exigible a un Tribunal de la </w:t>
      </w:r>
      <w:r w:rsidR="00607ABD" w:rsidRPr="00047DC2">
        <w:rPr>
          <w:rFonts w:ascii="Verdana" w:hAnsi="Verdana"/>
          <w:sz w:val="20"/>
          <w:szCs w:val="20"/>
        </w:rPr>
        <w:t>envergadura</w:t>
      </w:r>
      <w:r w:rsidR="00184D12" w:rsidRPr="00047DC2">
        <w:rPr>
          <w:rFonts w:ascii="Verdana" w:hAnsi="Verdana"/>
          <w:sz w:val="20"/>
          <w:szCs w:val="20"/>
        </w:rPr>
        <w:t xml:space="preserve"> de la Corte IDH, la omisión de referirse al Protocolo demuestra la intensión expresa de </w:t>
      </w:r>
      <w:r w:rsidR="002A57F6" w:rsidRPr="00047DC2">
        <w:rPr>
          <w:rFonts w:ascii="Verdana" w:hAnsi="Verdana"/>
          <w:sz w:val="20"/>
          <w:szCs w:val="20"/>
        </w:rPr>
        <w:t xml:space="preserve">no </w:t>
      </w:r>
      <w:r w:rsidR="00184D12" w:rsidRPr="00047DC2">
        <w:rPr>
          <w:rFonts w:ascii="Verdana" w:hAnsi="Verdana"/>
          <w:sz w:val="20"/>
          <w:szCs w:val="20"/>
        </w:rPr>
        <w:t xml:space="preserve">querer encarar los problemas de competencia y </w:t>
      </w:r>
      <w:proofErr w:type="spellStart"/>
      <w:r w:rsidR="00184D12" w:rsidRPr="00047DC2">
        <w:rPr>
          <w:rFonts w:ascii="Verdana" w:hAnsi="Verdana"/>
          <w:sz w:val="20"/>
          <w:szCs w:val="20"/>
        </w:rPr>
        <w:t>justiciabilidad</w:t>
      </w:r>
      <w:proofErr w:type="spellEnd"/>
      <w:r w:rsidR="00184D12" w:rsidRPr="00047DC2">
        <w:rPr>
          <w:rFonts w:ascii="Verdana" w:hAnsi="Verdana"/>
          <w:sz w:val="20"/>
          <w:szCs w:val="20"/>
        </w:rPr>
        <w:t xml:space="preserve"> que se generan por el mismo. </w:t>
      </w:r>
      <w:r w:rsidR="003A5F07" w:rsidRPr="00047DC2">
        <w:rPr>
          <w:rFonts w:ascii="Verdana" w:hAnsi="Verdana"/>
          <w:sz w:val="20"/>
          <w:szCs w:val="20"/>
        </w:rPr>
        <w:t xml:space="preserve">En otras palabras, pareciera que </w:t>
      </w:r>
      <w:r w:rsidR="003052A4">
        <w:rPr>
          <w:rFonts w:ascii="Verdana" w:hAnsi="Verdana"/>
          <w:sz w:val="20"/>
          <w:szCs w:val="20"/>
        </w:rPr>
        <w:t xml:space="preserve">lo que se busca al </w:t>
      </w:r>
      <w:r w:rsidR="003A5F07" w:rsidRPr="00047DC2">
        <w:rPr>
          <w:rFonts w:ascii="Verdana" w:hAnsi="Verdana"/>
          <w:sz w:val="20"/>
          <w:szCs w:val="20"/>
        </w:rPr>
        <w:t xml:space="preserve">no hacer referencia alguna al </w:t>
      </w:r>
      <w:r w:rsidR="0017280B">
        <w:rPr>
          <w:rFonts w:ascii="Verdana" w:hAnsi="Verdana"/>
          <w:sz w:val="20"/>
          <w:szCs w:val="20"/>
        </w:rPr>
        <w:t xml:space="preserve">Protocolo </w:t>
      </w:r>
      <w:r w:rsidR="003052A4">
        <w:rPr>
          <w:rFonts w:ascii="Verdana" w:hAnsi="Verdana"/>
          <w:sz w:val="20"/>
          <w:szCs w:val="20"/>
        </w:rPr>
        <w:t xml:space="preserve">es el deseo de </w:t>
      </w:r>
      <w:r w:rsidR="003A5F07" w:rsidRPr="00047DC2">
        <w:rPr>
          <w:rFonts w:ascii="Verdana" w:hAnsi="Verdana"/>
          <w:sz w:val="20"/>
          <w:szCs w:val="20"/>
        </w:rPr>
        <w:t>negar su existencia</w:t>
      </w:r>
      <w:r w:rsidR="003052A4">
        <w:rPr>
          <w:rFonts w:ascii="Verdana" w:hAnsi="Verdana"/>
          <w:sz w:val="20"/>
          <w:szCs w:val="20"/>
        </w:rPr>
        <w:t xml:space="preserve"> como tratado complementario de la Convención Americana</w:t>
      </w:r>
      <w:r w:rsidR="003A5F07" w:rsidRPr="00047DC2">
        <w:rPr>
          <w:rFonts w:ascii="Verdana" w:hAnsi="Verdana"/>
          <w:sz w:val="20"/>
          <w:szCs w:val="20"/>
        </w:rPr>
        <w:t>, la voluntad de los Estados que expresa</w:t>
      </w:r>
      <w:r w:rsidR="003052A4">
        <w:rPr>
          <w:rFonts w:ascii="Verdana" w:hAnsi="Verdana"/>
          <w:sz w:val="20"/>
          <w:szCs w:val="20"/>
        </w:rPr>
        <w:t xml:space="preserve"> el mismo</w:t>
      </w:r>
      <w:r w:rsidR="003A5F07" w:rsidRPr="00047DC2">
        <w:rPr>
          <w:rFonts w:ascii="Verdana" w:hAnsi="Verdana"/>
          <w:sz w:val="20"/>
          <w:szCs w:val="20"/>
        </w:rPr>
        <w:t xml:space="preserve"> y los debates que se generan a partir de sus disposiciones. </w:t>
      </w:r>
      <w:r w:rsidR="00961A8C">
        <w:rPr>
          <w:rFonts w:ascii="Verdana" w:hAnsi="Verdana"/>
          <w:sz w:val="20"/>
          <w:szCs w:val="20"/>
        </w:rPr>
        <w:t>No obstante esta inten</w:t>
      </w:r>
      <w:r w:rsidR="004A7961">
        <w:rPr>
          <w:rFonts w:ascii="Verdana" w:hAnsi="Verdana"/>
          <w:sz w:val="20"/>
          <w:szCs w:val="20"/>
        </w:rPr>
        <w:t>c</w:t>
      </w:r>
      <w:r w:rsidR="00961A8C">
        <w:rPr>
          <w:rFonts w:ascii="Verdana" w:hAnsi="Verdana"/>
          <w:sz w:val="20"/>
          <w:szCs w:val="20"/>
        </w:rPr>
        <w:t xml:space="preserve">ión, es claro que la validez y </w:t>
      </w:r>
      <w:r w:rsidR="00CD5D87">
        <w:rPr>
          <w:rFonts w:ascii="Verdana" w:hAnsi="Verdana"/>
          <w:sz w:val="20"/>
          <w:szCs w:val="20"/>
        </w:rPr>
        <w:t>obligatoriedad</w:t>
      </w:r>
      <w:r w:rsidR="00961A8C">
        <w:rPr>
          <w:rFonts w:ascii="Verdana" w:hAnsi="Verdana"/>
          <w:sz w:val="20"/>
          <w:szCs w:val="20"/>
        </w:rPr>
        <w:t xml:space="preserve"> de una norma no puede depende</w:t>
      </w:r>
      <w:r w:rsidR="00CD5D87">
        <w:rPr>
          <w:rFonts w:ascii="Verdana" w:hAnsi="Verdana"/>
          <w:sz w:val="20"/>
          <w:szCs w:val="20"/>
        </w:rPr>
        <w:t xml:space="preserve">r de que sea mencionada en una </w:t>
      </w:r>
      <w:r w:rsidR="005C05E4">
        <w:rPr>
          <w:rFonts w:ascii="Verdana" w:hAnsi="Verdana"/>
          <w:sz w:val="20"/>
          <w:szCs w:val="20"/>
        </w:rPr>
        <w:t>sentencia en particu</w:t>
      </w:r>
      <w:r w:rsidR="00CD5D87">
        <w:rPr>
          <w:rFonts w:ascii="Verdana" w:hAnsi="Verdana"/>
          <w:sz w:val="20"/>
          <w:szCs w:val="20"/>
        </w:rPr>
        <w:t>l</w:t>
      </w:r>
      <w:r w:rsidR="005C05E4">
        <w:rPr>
          <w:rFonts w:ascii="Verdana" w:hAnsi="Verdana"/>
          <w:sz w:val="20"/>
          <w:szCs w:val="20"/>
        </w:rPr>
        <w:t>ar</w:t>
      </w:r>
      <w:r w:rsidR="00961A8C">
        <w:rPr>
          <w:rFonts w:ascii="Verdana" w:hAnsi="Verdana"/>
          <w:sz w:val="20"/>
          <w:szCs w:val="20"/>
        </w:rPr>
        <w:t>, es decir que</w:t>
      </w:r>
      <w:r w:rsidR="00B911A3">
        <w:rPr>
          <w:rFonts w:ascii="Verdana" w:hAnsi="Verdana"/>
          <w:sz w:val="20"/>
          <w:szCs w:val="20"/>
        </w:rPr>
        <w:t>,</w:t>
      </w:r>
      <w:r w:rsidR="00961A8C">
        <w:rPr>
          <w:rFonts w:ascii="Verdana" w:hAnsi="Verdana"/>
          <w:sz w:val="20"/>
          <w:szCs w:val="20"/>
        </w:rPr>
        <w:t xml:space="preserve"> </w:t>
      </w:r>
      <w:r w:rsidR="00CD5D87">
        <w:rPr>
          <w:rFonts w:ascii="Verdana" w:hAnsi="Verdana"/>
          <w:sz w:val="20"/>
          <w:szCs w:val="20"/>
        </w:rPr>
        <w:t xml:space="preserve">así la </w:t>
      </w:r>
      <w:r w:rsidR="00961A8C">
        <w:rPr>
          <w:rFonts w:ascii="Verdana" w:hAnsi="Verdana"/>
          <w:sz w:val="20"/>
          <w:szCs w:val="20"/>
        </w:rPr>
        <w:t>quieran omitir</w:t>
      </w:r>
      <w:r w:rsidR="00CD5D87">
        <w:rPr>
          <w:rFonts w:ascii="Verdana" w:hAnsi="Verdana"/>
          <w:sz w:val="20"/>
          <w:szCs w:val="20"/>
        </w:rPr>
        <w:t>, esto</w:t>
      </w:r>
      <w:r w:rsidR="00961A8C">
        <w:rPr>
          <w:rFonts w:ascii="Verdana" w:hAnsi="Verdana"/>
          <w:sz w:val="20"/>
          <w:szCs w:val="20"/>
        </w:rPr>
        <w:t xml:space="preserve"> no </w:t>
      </w:r>
      <w:r w:rsidR="00CD5D87">
        <w:rPr>
          <w:rFonts w:ascii="Verdana" w:hAnsi="Verdana"/>
          <w:sz w:val="20"/>
          <w:szCs w:val="20"/>
        </w:rPr>
        <w:t>afecta en lo más mínimo su existencia o fuerza vinculante.</w:t>
      </w:r>
    </w:p>
    <w:p w14:paraId="2725E3E9" w14:textId="77777777" w:rsidR="00BF128B" w:rsidRDefault="00BF128B" w:rsidP="006B6FDF">
      <w:pPr>
        <w:spacing w:after="0" w:line="240" w:lineRule="auto"/>
        <w:jc w:val="both"/>
        <w:rPr>
          <w:rFonts w:ascii="Verdana" w:hAnsi="Verdana" w:cs="Arial"/>
          <w:b/>
          <w:sz w:val="20"/>
          <w:szCs w:val="20"/>
        </w:rPr>
      </w:pPr>
    </w:p>
    <w:p w14:paraId="43FFC8AE" w14:textId="605B66F1" w:rsidR="005F3B15" w:rsidRPr="00B54B55" w:rsidRDefault="005F3B15" w:rsidP="00B54B55">
      <w:pPr>
        <w:pStyle w:val="ListParagraph"/>
        <w:numPr>
          <w:ilvl w:val="0"/>
          <w:numId w:val="13"/>
        </w:numPr>
        <w:tabs>
          <w:tab w:val="left" w:pos="426"/>
          <w:tab w:val="left" w:pos="709"/>
        </w:tabs>
        <w:spacing w:after="0" w:line="240" w:lineRule="auto"/>
        <w:jc w:val="both"/>
        <w:rPr>
          <w:rFonts w:ascii="Verdana" w:hAnsi="Verdana"/>
          <w:b/>
          <w:sz w:val="20"/>
          <w:szCs w:val="20"/>
        </w:rPr>
      </w:pPr>
      <w:r w:rsidRPr="00B54B55">
        <w:rPr>
          <w:rFonts w:ascii="Verdana" w:hAnsi="Verdana"/>
          <w:b/>
          <w:sz w:val="20"/>
          <w:szCs w:val="20"/>
        </w:rPr>
        <w:t xml:space="preserve">Interpretación evolutiva y principio </w:t>
      </w:r>
      <w:r w:rsidRPr="00B54B55">
        <w:rPr>
          <w:rFonts w:ascii="Verdana" w:hAnsi="Verdana"/>
          <w:b/>
          <w:i/>
          <w:sz w:val="20"/>
          <w:szCs w:val="20"/>
        </w:rPr>
        <w:t xml:space="preserve">pro </w:t>
      </w:r>
      <w:r w:rsidR="008E1172">
        <w:rPr>
          <w:rFonts w:ascii="Verdana" w:hAnsi="Verdana"/>
          <w:b/>
          <w:i/>
          <w:sz w:val="20"/>
          <w:szCs w:val="20"/>
        </w:rPr>
        <w:t>persona</w:t>
      </w:r>
    </w:p>
    <w:p w14:paraId="5521ECC2" w14:textId="77777777" w:rsidR="007C44A8" w:rsidRDefault="007C44A8" w:rsidP="006B6FDF">
      <w:pPr>
        <w:spacing w:after="0" w:line="240" w:lineRule="auto"/>
        <w:jc w:val="both"/>
        <w:rPr>
          <w:rFonts w:ascii="Verdana" w:hAnsi="Verdana" w:cs="Arial"/>
          <w:b/>
          <w:sz w:val="20"/>
          <w:szCs w:val="20"/>
        </w:rPr>
      </w:pPr>
    </w:p>
    <w:p w14:paraId="79C36FD3" w14:textId="2DB05779" w:rsidR="00C06104" w:rsidRDefault="00257BB6" w:rsidP="006B6FDF">
      <w:pPr>
        <w:pStyle w:val="ListParagraph"/>
        <w:numPr>
          <w:ilvl w:val="0"/>
          <w:numId w:val="12"/>
        </w:numPr>
        <w:spacing w:after="0" w:line="240" w:lineRule="auto"/>
        <w:ind w:left="0" w:firstLine="0"/>
        <w:jc w:val="both"/>
        <w:rPr>
          <w:rFonts w:ascii="Verdana" w:hAnsi="Verdana"/>
          <w:sz w:val="20"/>
          <w:szCs w:val="20"/>
        </w:rPr>
      </w:pPr>
      <w:r>
        <w:rPr>
          <w:rFonts w:ascii="Verdana" w:hAnsi="Verdana"/>
          <w:sz w:val="20"/>
          <w:szCs w:val="20"/>
        </w:rPr>
        <w:t xml:space="preserve">La idea de superar los problemas de </w:t>
      </w:r>
      <w:proofErr w:type="spellStart"/>
      <w:r>
        <w:rPr>
          <w:rFonts w:ascii="Verdana" w:hAnsi="Verdana"/>
          <w:sz w:val="20"/>
          <w:szCs w:val="20"/>
        </w:rPr>
        <w:t>justiciabilidad</w:t>
      </w:r>
      <w:proofErr w:type="spellEnd"/>
      <w:r>
        <w:rPr>
          <w:rFonts w:ascii="Verdana" w:hAnsi="Verdana"/>
          <w:sz w:val="20"/>
          <w:szCs w:val="20"/>
        </w:rPr>
        <w:t xml:space="preserve"> de los DESC a partir de una interpretación evolutiva y supues</w:t>
      </w:r>
      <w:r w:rsidR="00766FD5">
        <w:rPr>
          <w:rFonts w:ascii="Verdana" w:hAnsi="Verdana"/>
          <w:sz w:val="20"/>
          <w:szCs w:val="20"/>
        </w:rPr>
        <w:t>t</w:t>
      </w:r>
      <w:r>
        <w:rPr>
          <w:rFonts w:ascii="Verdana" w:hAnsi="Verdana"/>
          <w:sz w:val="20"/>
          <w:szCs w:val="20"/>
        </w:rPr>
        <w:t>amente “</w:t>
      </w:r>
      <w:r>
        <w:rPr>
          <w:rFonts w:ascii="Verdana" w:hAnsi="Verdana"/>
          <w:i/>
          <w:sz w:val="20"/>
          <w:szCs w:val="20"/>
        </w:rPr>
        <w:t xml:space="preserve">pro </w:t>
      </w:r>
      <w:r w:rsidR="008E1172">
        <w:rPr>
          <w:rFonts w:ascii="Verdana" w:hAnsi="Verdana"/>
          <w:i/>
          <w:sz w:val="20"/>
          <w:szCs w:val="20"/>
        </w:rPr>
        <w:t>persona</w:t>
      </w:r>
      <w:r>
        <w:rPr>
          <w:rFonts w:ascii="Verdana" w:hAnsi="Verdana"/>
          <w:sz w:val="20"/>
          <w:szCs w:val="20"/>
        </w:rPr>
        <w:t>” del artículo 26 de la CADH</w:t>
      </w:r>
      <w:r w:rsidR="005041B6">
        <w:rPr>
          <w:rFonts w:ascii="Verdana" w:hAnsi="Verdana"/>
          <w:sz w:val="20"/>
          <w:szCs w:val="20"/>
        </w:rPr>
        <w:t xml:space="preserve"> ha sido constante por parte de quienes apoyan esta tesis. </w:t>
      </w:r>
      <w:r w:rsidR="003D368C">
        <w:rPr>
          <w:rFonts w:ascii="Verdana" w:hAnsi="Verdana"/>
          <w:sz w:val="20"/>
          <w:szCs w:val="20"/>
        </w:rPr>
        <w:t>Sin embargo, este argumento entraña</w:t>
      </w:r>
      <w:r w:rsidR="0071013C">
        <w:rPr>
          <w:rFonts w:ascii="Verdana" w:hAnsi="Verdana"/>
          <w:sz w:val="20"/>
          <w:szCs w:val="20"/>
        </w:rPr>
        <w:t xml:space="preserve"> un problema de base, puesto que no tiene en cuenta que para realizar una corr</w:t>
      </w:r>
      <w:r w:rsidR="00607ABD">
        <w:rPr>
          <w:rFonts w:ascii="Verdana" w:hAnsi="Verdana"/>
          <w:sz w:val="20"/>
          <w:szCs w:val="20"/>
        </w:rPr>
        <w:t xml:space="preserve">ecta interpretación de un tratado </w:t>
      </w:r>
      <w:r w:rsidR="0071013C">
        <w:rPr>
          <w:rFonts w:ascii="Verdana" w:hAnsi="Verdana"/>
          <w:sz w:val="20"/>
          <w:szCs w:val="20"/>
        </w:rPr>
        <w:t>es necesario acudir a</w:t>
      </w:r>
      <w:r w:rsidR="002C41FE" w:rsidRPr="008C6799">
        <w:rPr>
          <w:rFonts w:ascii="Verdana" w:hAnsi="Verdana"/>
          <w:sz w:val="20"/>
          <w:szCs w:val="20"/>
        </w:rPr>
        <w:t xml:space="preserve"> los demás métodos interpretativos con los que se cuenta en el derecho internacional, ya que el método evolutivo no es el único que debe ser tenido en cuenta.</w:t>
      </w:r>
    </w:p>
    <w:p w14:paraId="4A651C89" w14:textId="77777777" w:rsidR="00C06104" w:rsidRDefault="00C06104" w:rsidP="00C06104">
      <w:pPr>
        <w:pStyle w:val="ListParagraph"/>
        <w:spacing w:after="0" w:line="240" w:lineRule="auto"/>
        <w:ind w:left="0"/>
        <w:jc w:val="both"/>
        <w:rPr>
          <w:rFonts w:ascii="Verdana" w:hAnsi="Verdana"/>
          <w:sz w:val="20"/>
          <w:szCs w:val="20"/>
        </w:rPr>
      </w:pPr>
    </w:p>
    <w:p w14:paraId="1AD6BF1D" w14:textId="64335ECF" w:rsidR="00C06104" w:rsidRDefault="002C41FE" w:rsidP="00C06104">
      <w:pPr>
        <w:pStyle w:val="ListParagraph"/>
        <w:numPr>
          <w:ilvl w:val="0"/>
          <w:numId w:val="12"/>
        </w:numPr>
        <w:spacing w:after="0" w:line="240" w:lineRule="auto"/>
        <w:ind w:left="0" w:firstLine="0"/>
        <w:jc w:val="both"/>
        <w:rPr>
          <w:rFonts w:ascii="Verdana" w:hAnsi="Verdana"/>
          <w:sz w:val="20"/>
          <w:szCs w:val="20"/>
        </w:rPr>
      </w:pPr>
      <w:r w:rsidRPr="00C06104">
        <w:rPr>
          <w:rFonts w:ascii="Verdana" w:hAnsi="Verdana"/>
          <w:sz w:val="20"/>
          <w:szCs w:val="20"/>
        </w:rPr>
        <w:t>Sobre los métodos de interpretación que deben ser tenidos en cuenta, los artículos 31 y 32 de la Convención de Viena sobre el Derecho de los Tratados establecen los principales métodos. Esto ha sido acogido por la Corte Interamericana en su jurisprudencia</w:t>
      </w:r>
      <w:r w:rsidR="00B53DC5">
        <w:rPr>
          <w:rStyle w:val="FootnoteReference"/>
          <w:rFonts w:ascii="Verdana" w:hAnsi="Verdana"/>
          <w:sz w:val="20"/>
          <w:szCs w:val="20"/>
        </w:rPr>
        <w:footnoteReference w:id="12"/>
      </w:r>
      <w:r w:rsidRPr="00C06104">
        <w:rPr>
          <w:rFonts w:ascii="Verdana" w:hAnsi="Verdana"/>
          <w:sz w:val="20"/>
          <w:szCs w:val="20"/>
        </w:rPr>
        <w:t xml:space="preserve">, de manera que además del método evolutivo ha utilizado otros </w:t>
      </w:r>
      <w:r w:rsidRPr="00C06104">
        <w:rPr>
          <w:rFonts w:ascii="Verdana" w:hAnsi="Verdana"/>
          <w:sz w:val="20"/>
          <w:szCs w:val="20"/>
          <w:lang w:val="es-CR"/>
        </w:rPr>
        <w:lastRenderedPageBreak/>
        <w:t>criterios de interpretación, tales como la interpretación literal, la interpretación sistemática y la interpretación teleológica.</w:t>
      </w:r>
    </w:p>
    <w:p w14:paraId="19321A68" w14:textId="77777777" w:rsidR="00C06104" w:rsidRPr="00C06104" w:rsidRDefault="00C06104" w:rsidP="00C06104">
      <w:pPr>
        <w:spacing w:after="0" w:line="240" w:lineRule="auto"/>
        <w:jc w:val="both"/>
        <w:rPr>
          <w:rFonts w:ascii="Verdana" w:hAnsi="Verdana"/>
          <w:sz w:val="20"/>
          <w:szCs w:val="20"/>
        </w:rPr>
      </w:pPr>
    </w:p>
    <w:p w14:paraId="1D1892A2" w14:textId="4EDE49D9" w:rsidR="000D3FFA" w:rsidRPr="00D309D6" w:rsidRDefault="002C41FE" w:rsidP="004066BD">
      <w:pPr>
        <w:pStyle w:val="ListParagraph"/>
        <w:numPr>
          <w:ilvl w:val="0"/>
          <w:numId w:val="12"/>
        </w:numPr>
        <w:spacing w:after="0" w:line="240" w:lineRule="auto"/>
        <w:ind w:left="0" w:firstLine="0"/>
        <w:jc w:val="both"/>
        <w:rPr>
          <w:rFonts w:ascii="Verdana" w:hAnsi="Verdana"/>
          <w:sz w:val="20"/>
          <w:szCs w:val="20"/>
        </w:rPr>
      </w:pPr>
      <w:r w:rsidRPr="00C06104">
        <w:rPr>
          <w:rFonts w:ascii="Verdana" w:hAnsi="Verdana"/>
          <w:sz w:val="20"/>
          <w:szCs w:val="20"/>
        </w:rPr>
        <w:t xml:space="preserve">Al respecto, cabe señalar que si se quisiera hacer una interpretación de la norma no es suficiente con hacer uso de uno de los diversos métodos de interpretación existentes, por </w:t>
      </w:r>
      <w:proofErr w:type="gramStart"/>
      <w:r w:rsidRPr="00C06104">
        <w:rPr>
          <w:rFonts w:ascii="Verdana" w:hAnsi="Verdana"/>
          <w:sz w:val="20"/>
          <w:szCs w:val="20"/>
        </w:rPr>
        <w:t>cuanto</w:t>
      </w:r>
      <w:proofErr w:type="gramEnd"/>
      <w:r w:rsidRPr="00C06104">
        <w:rPr>
          <w:rFonts w:ascii="Verdana" w:hAnsi="Verdana"/>
          <w:sz w:val="20"/>
          <w:szCs w:val="20"/>
        </w:rPr>
        <w:t xml:space="preserve"> estos son complementarios entre sí y ninguno tiene una mayor jerarquía que el otro.  </w:t>
      </w:r>
      <w:r w:rsidR="00345512" w:rsidRPr="004066BD">
        <w:rPr>
          <w:rFonts w:ascii="Verdana" w:hAnsi="Verdana" w:cs="Arial"/>
          <w:sz w:val="20"/>
          <w:szCs w:val="20"/>
        </w:rPr>
        <w:t>En efecto, en el mencionado voto concurrente hice el análisis</w:t>
      </w:r>
      <w:r w:rsidR="00345512">
        <w:rPr>
          <w:rStyle w:val="FootnoteReference"/>
          <w:rFonts w:ascii="Verdana" w:hAnsi="Verdana" w:cs="Arial"/>
          <w:sz w:val="20"/>
          <w:szCs w:val="20"/>
        </w:rPr>
        <w:footnoteReference w:id="13"/>
      </w:r>
      <w:r w:rsidR="00345512" w:rsidRPr="004066BD">
        <w:rPr>
          <w:rFonts w:ascii="Verdana" w:hAnsi="Verdana" w:cs="Arial"/>
          <w:sz w:val="20"/>
          <w:szCs w:val="20"/>
        </w:rPr>
        <w:t xml:space="preserve"> del artículo 26 </w:t>
      </w:r>
      <w:r w:rsidR="004066BD">
        <w:rPr>
          <w:rFonts w:ascii="Verdana" w:hAnsi="Verdana" w:cs="Arial"/>
          <w:sz w:val="20"/>
          <w:szCs w:val="20"/>
        </w:rPr>
        <w:t xml:space="preserve">CADH </w:t>
      </w:r>
      <w:r w:rsidR="00345512" w:rsidRPr="004066BD">
        <w:rPr>
          <w:rFonts w:ascii="Verdana" w:hAnsi="Verdana" w:cs="Arial"/>
          <w:sz w:val="20"/>
          <w:szCs w:val="20"/>
        </w:rPr>
        <w:t xml:space="preserve">teniendo en cuenta todos los métodos interpretativos, </w:t>
      </w:r>
      <w:r w:rsidR="003A65D1">
        <w:rPr>
          <w:rFonts w:ascii="Verdana" w:hAnsi="Verdana" w:cs="Arial"/>
          <w:sz w:val="20"/>
          <w:szCs w:val="20"/>
        </w:rPr>
        <w:t>el</w:t>
      </w:r>
      <w:r w:rsidR="00345512" w:rsidRPr="004066BD">
        <w:rPr>
          <w:rFonts w:ascii="Verdana" w:hAnsi="Verdana" w:cs="Arial"/>
          <w:sz w:val="20"/>
          <w:szCs w:val="20"/>
        </w:rPr>
        <w:t xml:space="preserve"> cual demostró que el mismo no permite una </w:t>
      </w:r>
      <w:proofErr w:type="spellStart"/>
      <w:r w:rsidR="00345512" w:rsidRPr="004066BD">
        <w:rPr>
          <w:rFonts w:ascii="Verdana" w:hAnsi="Verdana" w:cs="Arial"/>
          <w:sz w:val="20"/>
          <w:szCs w:val="20"/>
        </w:rPr>
        <w:t>justiciabilidad</w:t>
      </w:r>
      <w:proofErr w:type="spellEnd"/>
      <w:r w:rsidR="00345512" w:rsidRPr="004066BD">
        <w:rPr>
          <w:rFonts w:ascii="Verdana" w:hAnsi="Verdana" w:cs="Arial"/>
          <w:sz w:val="20"/>
          <w:szCs w:val="20"/>
        </w:rPr>
        <w:t xml:space="preserve"> directa de los DESC, pues la competencia de la Corte IDH en la materia se encuentra regulada por el artículo</w:t>
      </w:r>
      <w:r w:rsidR="004066BD" w:rsidRPr="004066BD">
        <w:rPr>
          <w:rFonts w:ascii="Verdana" w:hAnsi="Verdana" w:cs="Arial"/>
          <w:sz w:val="20"/>
          <w:szCs w:val="20"/>
        </w:rPr>
        <w:t xml:space="preserve"> </w:t>
      </w:r>
      <w:r w:rsidR="004066BD" w:rsidRPr="004066BD">
        <w:rPr>
          <w:rFonts w:ascii="Verdana" w:hAnsi="Verdana"/>
          <w:sz w:val="20"/>
          <w:szCs w:val="20"/>
        </w:rPr>
        <w:t>19.6 del Protocolo.</w:t>
      </w:r>
    </w:p>
    <w:p w14:paraId="0DF6C7C1" w14:textId="77777777" w:rsidR="00D309D6" w:rsidRPr="00D309D6" w:rsidRDefault="00D309D6" w:rsidP="00D309D6">
      <w:pPr>
        <w:spacing w:after="0" w:line="240" w:lineRule="auto"/>
        <w:jc w:val="both"/>
        <w:rPr>
          <w:rFonts w:ascii="Verdana" w:hAnsi="Verdana"/>
          <w:sz w:val="20"/>
          <w:szCs w:val="20"/>
        </w:rPr>
      </w:pPr>
    </w:p>
    <w:p w14:paraId="55A74B0B" w14:textId="4D750CCD" w:rsidR="00D309D6" w:rsidRDefault="00D309D6" w:rsidP="004066BD">
      <w:pPr>
        <w:pStyle w:val="ListParagraph"/>
        <w:numPr>
          <w:ilvl w:val="0"/>
          <w:numId w:val="12"/>
        </w:numPr>
        <w:spacing w:after="0" w:line="240" w:lineRule="auto"/>
        <w:ind w:left="0" w:firstLine="0"/>
        <w:jc w:val="both"/>
        <w:rPr>
          <w:rFonts w:ascii="Verdana" w:hAnsi="Verdana"/>
          <w:sz w:val="20"/>
          <w:szCs w:val="20"/>
        </w:rPr>
      </w:pPr>
      <w:r>
        <w:rPr>
          <w:rFonts w:ascii="Verdana" w:hAnsi="Verdana"/>
          <w:sz w:val="20"/>
          <w:szCs w:val="20"/>
        </w:rPr>
        <w:t xml:space="preserve">Por ello, este punto también es bastante controversial </w:t>
      </w:r>
      <w:r w:rsidR="00A73E82">
        <w:rPr>
          <w:rFonts w:ascii="Verdana" w:hAnsi="Verdana"/>
          <w:sz w:val="20"/>
          <w:szCs w:val="20"/>
        </w:rPr>
        <w:t>en la presente Sentencia, pues se limita a usar un solo método de interpretación, dejando de lado</w:t>
      </w:r>
      <w:r>
        <w:rPr>
          <w:rFonts w:ascii="Verdana" w:hAnsi="Verdana"/>
          <w:sz w:val="20"/>
          <w:szCs w:val="20"/>
        </w:rPr>
        <w:t xml:space="preserve"> </w:t>
      </w:r>
      <w:r w:rsidR="00A73E82">
        <w:rPr>
          <w:rFonts w:ascii="Verdana" w:hAnsi="Verdana"/>
          <w:sz w:val="20"/>
          <w:szCs w:val="20"/>
        </w:rPr>
        <w:t xml:space="preserve">a una de las normas más básicas del derecho internacional público, como lo es la </w:t>
      </w:r>
      <w:r w:rsidR="00A73E82" w:rsidRPr="00C06104">
        <w:rPr>
          <w:rFonts w:ascii="Verdana" w:hAnsi="Verdana"/>
          <w:sz w:val="20"/>
          <w:szCs w:val="20"/>
        </w:rPr>
        <w:t>Convención de Viena sobre el Derecho de los Tratado</w:t>
      </w:r>
      <w:r w:rsidR="008E1172">
        <w:rPr>
          <w:rFonts w:ascii="Verdana" w:hAnsi="Verdana"/>
          <w:sz w:val="20"/>
          <w:szCs w:val="20"/>
        </w:rPr>
        <w:t>s</w:t>
      </w:r>
      <w:r w:rsidR="00A73E82">
        <w:rPr>
          <w:rFonts w:ascii="Verdana" w:hAnsi="Verdana"/>
          <w:sz w:val="20"/>
          <w:szCs w:val="20"/>
        </w:rPr>
        <w:t>. Asimismo, no explica o argumenta porque se pretende realizar una interpretación del tratado bajo una</w:t>
      </w:r>
      <w:r w:rsidR="00BE2E6F">
        <w:rPr>
          <w:rFonts w:ascii="Verdana" w:hAnsi="Verdana"/>
          <w:sz w:val="20"/>
          <w:szCs w:val="20"/>
        </w:rPr>
        <w:t xml:space="preserve"> sola</w:t>
      </w:r>
      <w:r w:rsidR="00A73E82">
        <w:rPr>
          <w:rFonts w:ascii="Verdana" w:hAnsi="Verdana"/>
          <w:sz w:val="20"/>
          <w:szCs w:val="20"/>
        </w:rPr>
        <w:t xml:space="preserve"> metodología que además no es usual para la Corte IDH</w:t>
      </w:r>
      <w:r w:rsidR="004A7961">
        <w:rPr>
          <w:rFonts w:ascii="Verdana" w:hAnsi="Verdana"/>
          <w:sz w:val="20"/>
          <w:szCs w:val="20"/>
        </w:rPr>
        <w:t>,</w:t>
      </w:r>
      <w:r w:rsidR="00A73E82">
        <w:rPr>
          <w:rFonts w:ascii="Verdana" w:hAnsi="Verdana"/>
          <w:sz w:val="20"/>
          <w:szCs w:val="20"/>
        </w:rPr>
        <w:t xml:space="preserve"> que en diversas oportunidades ha re</w:t>
      </w:r>
      <w:r w:rsidR="003A65D1">
        <w:rPr>
          <w:rFonts w:ascii="Verdana" w:hAnsi="Verdana"/>
          <w:sz w:val="20"/>
          <w:szCs w:val="20"/>
        </w:rPr>
        <w:t>a</w:t>
      </w:r>
      <w:r w:rsidR="00A73E82">
        <w:rPr>
          <w:rFonts w:ascii="Verdana" w:hAnsi="Verdana"/>
          <w:sz w:val="20"/>
          <w:szCs w:val="20"/>
        </w:rPr>
        <w:t xml:space="preserve">lizado interpretaciones a partir de todos los métodos establecidos. </w:t>
      </w:r>
    </w:p>
    <w:p w14:paraId="5EFBDF94" w14:textId="77777777" w:rsidR="006532EF" w:rsidRPr="006532EF" w:rsidRDefault="006532EF" w:rsidP="006532EF">
      <w:pPr>
        <w:spacing w:after="0" w:line="240" w:lineRule="auto"/>
        <w:jc w:val="both"/>
        <w:rPr>
          <w:rFonts w:ascii="Verdana" w:hAnsi="Verdana"/>
          <w:sz w:val="20"/>
          <w:szCs w:val="20"/>
        </w:rPr>
      </w:pPr>
    </w:p>
    <w:p w14:paraId="3B76FE05" w14:textId="14226CBA" w:rsidR="006532EF" w:rsidRDefault="006532EF" w:rsidP="004066BD">
      <w:pPr>
        <w:pStyle w:val="ListParagraph"/>
        <w:numPr>
          <w:ilvl w:val="0"/>
          <w:numId w:val="12"/>
        </w:numPr>
        <w:spacing w:after="0" w:line="240" w:lineRule="auto"/>
        <w:ind w:left="0" w:firstLine="0"/>
        <w:jc w:val="both"/>
        <w:rPr>
          <w:rFonts w:ascii="Verdana" w:hAnsi="Verdana"/>
          <w:sz w:val="20"/>
          <w:szCs w:val="20"/>
        </w:rPr>
      </w:pPr>
      <w:r>
        <w:rPr>
          <w:rFonts w:ascii="Verdana" w:hAnsi="Verdana"/>
          <w:sz w:val="20"/>
          <w:szCs w:val="20"/>
        </w:rPr>
        <w:t xml:space="preserve">Finalmente, recalcó que en este caso no se está frente a una interpretación más garantista de la norma que permita la aplicación del principio </w:t>
      </w:r>
      <w:proofErr w:type="spellStart"/>
      <w:r>
        <w:rPr>
          <w:rFonts w:ascii="Verdana" w:hAnsi="Verdana"/>
          <w:i/>
          <w:sz w:val="20"/>
          <w:szCs w:val="20"/>
        </w:rPr>
        <w:t>pro</w:t>
      </w:r>
      <w:proofErr w:type="spellEnd"/>
      <w:r>
        <w:rPr>
          <w:rFonts w:ascii="Verdana" w:hAnsi="Verdana"/>
          <w:i/>
          <w:sz w:val="20"/>
          <w:szCs w:val="20"/>
        </w:rPr>
        <w:t xml:space="preserve"> </w:t>
      </w:r>
      <w:r w:rsidR="008E1172">
        <w:rPr>
          <w:rFonts w:ascii="Verdana" w:hAnsi="Verdana"/>
          <w:i/>
          <w:sz w:val="20"/>
          <w:szCs w:val="20"/>
        </w:rPr>
        <w:t>persona</w:t>
      </w:r>
      <w:r>
        <w:rPr>
          <w:rFonts w:ascii="Verdana" w:hAnsi="Verdana"/>
          <w:sz w:val="20"/>
          <w:szCs w:val="20"/>
        </w:rPr>
        <w:t xml:space="preserve">. Esto se debe a que </w:t>
      </w:r>
      <w:r w:rsidRPr="00E274DB">
        <w:rPr>
          <w:rFonts w:ascii="Verdana" w:hAnsi="Verdana"/>
          <w:sz w:val="20"/>
          <w:szCs w:val="20"/>
        </w:rPr>
        <w:t xml:space="preserve">el principio </w:t>
      </w:r>
      <w:r w:rsidRPr="00E274DB">
        <w:rPr>
          <w:rFonts w:ascii="Verdana" w:hAnsi="Verdana"/>
          <w:i/>
          <w:sz w:val="20"/>
          <w:szCs w:val="20"/>
        </w:rPr>
        <w:t xml:space="preserve">pro </w:t>
      </w:r>
      <w:r w:rsidR="008E1172">
        <w:rPr>
          <w:rFonts w:ascii="Verdana" w:hAnsi="Verdana"/>
          <w:i/>
          <w:sz w:val="20"/>
          <w:szCs w:val="20"/>
        </w:rPr>
        <w:t>persona</w:t>
      </w:r>
      <w:r w:rsidRPr="00E274DB">
        <w:rPr>
          <w:rFonts w:ascii="Verdana" w:hAnsi="Verdana"/>
          <w:sz w:val="20"/>
          <w:szCs w:val="20"/>
        </w:rPr>
        <w:t xml:space="preserve"> debe ser aplicado cuando la Corte se encuentre frente a dos posibles interpretaciones válidas </w:t>
      </w:r>
      <w:r>
        <w:rPr>
          <w:rFonts w:ascii="Verdana" w:hAnsi="Verdana"/>
          <w:sz w:val="20"/>
          <w:szCs w:val="20"/>
        </w:rPr>
        <w:t>y ciertas. Justamente, lo que he</w:t>
      </w:r>
      <w:r w:rsidRPr="00E274DB">
        <w:rPr>
          <w:rFonts w:ascii="Verdana" w:hAnsi="Verdana"/>
          <w:sz w:val="20"/>
          <w:szCs w:val="20"/>
        </w:rPr>
        <w:t xml:space="preserve"> demostrado es que la </w:t>
      </w:r>
      <w:proofErr w:type="spellStart"/>
      <w:r w:rsidRPr="00E274DB">
        <w:rPr>
          <w:rFonts w:ascii="Verdana" w:hAnsi="Verdana"/>
          <w:sz w:val="20"/>
          <w:szCs w:val="20"/>
        </w:rPr>
        <w:t>justiciabilidad</w:t>
      </w:r>
      <w:proofErr w:type="spellEnd"/>
      <w:r w:rsidRPr="00E274DB">
        <w:rPr>
          <w:rFonts w:ascii="Verdana" w:hAnsi="Verdana"/>
          <w:sz w:val="20"/>
          <w:szCs w:val="20"/>
        </w:rPr>
        <w:t xml:space="preserve"> directa de los DESC a partir del artículo 26 de la Convención no es </w:t>
      </w:r>
      <w:r>
        <w:rPr>
          <w:rFonts w:ascii="Verdana" w:hAnsi="Verdana"/>
          <w:sz w:val="20"/>
          <w:szCs w:val="20"/>
        </w:rPr>
        <w:t xml:space="preserve">una </w:t>
      </w:r>
      <w:r w:rsidRPr="00E274DB">
        <w:rPr>
          <w:rFonts w:ascii="Verdana" w:hAnsi="Verdana"/>
          <w:sz w:val="20"/>
          <w:szCs w:val="20"/>
        </w:rPr>
        <w:t>interpr</w:t>
      </w:r>
      <w:r>
        <w:rPr>
          <w:rFonts w:ascii="Verdana" w:hAnsi="Verdana"/>
          <w:sz w:val="20"/>
          <w:szCs w:val="20"/>
        </w:rPr>
        <w:t>etación vá</w:t>
      </w:r>
      <w:r w:rsidRPr="00E274DB">
        <w:rPr>
          <w:rFonts w:ascii="Verdana" w:hAnsi="Verdana"/>
          <w:sz w:val="20"/>
          <w:szCs w:val="20"/>
        </w:rPr>
        <w:t>lida, dado que lo que se está intentando es derivar un enunciado normativo que no corresponde a la norma</w:t>
      </w:r>
      <w:r>
        <w:rPr>
          <w:rStyle w:val="FootnoteReference"/>
          <w:rFonts w:ascii="Verdana" w:hAnsi="Verdana"/>
          <w:sz w:val="20"/>
          <w:szCs w:val="20"/>
        </w:rPr>
        <w:footnoteReference w:id="14"/>
      </w:r>
      <w:r w:rsidRPr="00E274DB">
        <w:rPr>
          <w:rFonts w:ascii="Verdana" w:hAnsi="Verdana"/>
          <w:sz w:val="20"/>
          <w:szCs w:val="20"/>
        </w:rPr>
        <w:t>.</w:t>
      </w:r>
      <w:r w:rsidR="003A65D1">
        <w:rPr>
          <w:rFonts w:ascii="Verdana" w:hAnsi="Verdana"/>
          <w:sz w:val="20"/>
          <w:szCs w:val="20"/>
        </w:rPr>
        <w:t xml:space="preserve"> Dicho de otra forma, el principio </w:t>
      </w:r>
      <w:r w:rsidR="003A65D1">
        <w:rPr>
          <w:rFonts w:ascii="Verdana" w:hAnsi="Verdana"/>
          <w:i/>
          <w:sz w:val="20"/>
          <w:szCs w:val="20"/>
        </w:rPr>
        <w:t xml:space="preserve">pro </w:t>
      </w:r>
      <w:r w:rsidR="008E1172">
        <w:rPr>
          <w:rFonts w:ascii="Verdana" w:hAnsi="Verdana"/>
          <w:i/>
          <w:sz w:val="20"/>
          <w:szCs w:val="20"/>
        </w:rPr>
        <w:t xml:space="preserve">persona </w:t>
      </w:r>
      <w:r w:rsidR="003A65D1">
        <w:rPr>
          <w:rFonts w:ascii="Verdana" w:hAnsi="Verdana"/>
          <w:sz w:val="20"/>
          <w:szCs w:val="20"/>
        </w:rPr>
        <w:t>no puede ser utilizado para validar una opción interpretativa que no se desprende de la norma y que por el contrario implica una modificación de la misma.</w:t>
      </w:r>
    </w:p>
    <w:p w14:paraId="73A51DE2" w14:textId="77777777" w:rsidR="00BF128B" w:rsidRPr="000D3FFA" w:rsidRDefault="00BF128B" w:rsidP="006B6FDF">
      <w:pPr>
        <w:spacing w:after="0" w:line="240" w:lineRule="auto"/>
        <w:jc w:val="both"/>
        <w:rPr>
          <w:rFonts w:ascii="Verdana" w:hAnsi="Verdana" w:cs="Arial"/>
          <w:sz w:val="20"/>
          <w:szCs w:val="20"/>
        </w:rPr>
      </w:pPr>
    </w:p>
    <w:p w14:paraId="7AAEAA36" w14:textId="1E47A5CA" w:rsidR="001612F6" w:rsidRPr="003A65D1" w:rsidRDefault="001612F6" w:rsidP="003A65D1">
      <w:pPr>
        <w:pStyle w:val="ListParagraph"/>
        <w:numPr>
          <w:ilvl w:val="0"/>
          <w:numId w:val="11"/>
        </w:numPr>
        <w:spacing w:after="0" w:line="240" w:lineRule="auto"/>
        <w:jc w:val="both"/>
        <w:rPr>
          <w:rFonts w:ascii="Verdana" w:hAnsi="Verdana" w:cs="Arial"/>
          <w:b/>
          <w:sz w:val="20"/>
          <w:szCs w:val="20"/>
        </w:rPr>
      </w:pPr>
      <w:r w:rsidRPr="003A65D1">
        <w:rPr>
          <w:rFonts w:ascii="Verdana" w:hAnsi="Verdana" w:cs="Arial"/>
          <w:b/>
          <w:sz w:val="20"/>
          <w:szCs w:val="20"/>
        </w:rPr>
        <w:t>IMPERTINENCIA DEL CASO</w:t>
      </w:r>
      <w:r w:rsidR="003A65D1">
        <w:rPr>
          <w:rFonts w:ascii="Verdana" w:hAnsi="Verdana" w:cs="Arial"/>
          <w:b/>
          <w:sz w:val="20"/>
          <w:szCs w:val="20"/>
        </w:rPr>
        <w:t xml:space="preserve"> CONCRETO</w:t>
      </w:r>
    </w:p>
    <w:p w14:paraId="009ABAF2" w14:textId="77777777" w:rsidR="003A65D1" w:rsidRPr="006532EF" w:rsidRDefault="003A65D1" w:rsidP="003A65D1">
      <w:pPr>
        <w:spacing w:after="0" w:line="240" w:lineRule="auto"/>
        <w:jc w:val="both"/>
        <w:rPr>
          <w:rFonts w:ascii="Verdana" w:hAnsi="Verdana"/>
          <w:sz w:val="20"/>
          <w:szCs w:val="20"/>
        </w:rPr>
      </w:pPr>
    </w:p>
    <w:p w14:paraId="4B027CF4" w14:textId="3EAA9140" w:rsidR="003A65D1" w:rsidRDefault="003A65D1" w:rsidP="003A65D1">
      <w:pPr>
        <w:pStyle w:val="ListParagraph"/>
        <w:numPr>
          <w:ilvl w:val="0"/>
          <w:numId w:val="12"/>
        </w:numPr>
        <w:spacing w:after="0" w:line="240" w:lineRule="auto"/>
        <w:ind w:left="0" w:firstLine="0"/>
        <w:jc w:val="both"/>
        <w:rPr>
          <w:rFonts w:ascii="Verdana" w:hAnsi="Verdana"/>
          <w:sz w:val="20"/>
          <w:szCs w:val="20"/>
        </w:rPr>
      </w:pPr>
      <w:r>
        <w:rPr>
          <w:rFonts w:ascii="Verdana" w:hAnsi="Verdana"/>
          <w:sz w:val="20"/>
          <w:szCs w:val="20"/>
        </w:rPr>
        <w:t xml:space="preserve">Una vez </w:t>
      </w:r>
      <w:r w:rsidR="00233348">
        <w:rPr>
          <w:rFonts w:ascii="Verdana" w:hAnsi="Verdana"/>
          <w:sz w:val="20"/>
          <w:szCs w:val="20"/>
        </w:rPr>
        <w:t xml:space="preserve">expuestos mis argumentos generales sobre la materia, procederé a </w:t>
      </w:r>
      <w:r w:rsidR="0053634B">
        <w:rPr>
          <w:rFonts w:ascii="Verdana" w:hAnsi="Verdana"/>
          <w:sz w:val="20"/>
          <w:szCs w:val="20"/>
        </w:rPr>
        <w:t>presentar las razones por las cuales consideró que este caso en particular presentaba diversas complejidades que</w:t>
      </w:r>
      <w:r w:rsidR="00A603A6">
        <w:rPr>
          <w:rFonts w:ascii="Verdana" w:hAnsi="Verdana"/>
          <w:sz w:val="20"/>
          <w:szCs w:val="20"/>
        </w:rPr>
        <w:t xml:space="preserve"> hacían que no </w:t>
      </w:r>
      <w:r w:rsidR="000F5A5E">
        <w:rPr>
          <w:rFonts w:ascii="Verdana" w:hAnsi="Verdana"/>
          <w:sz w:val="20"/>
          <w:szCs w:val="20"/>
        </w:rPr>
        <w:t>permitía</w:t>
      </w:r>
      <w:r w:rsidR="0053634B">
        <w:rPr>
          <w:rFonts w:ascii="Verdana" w:hAnsi="Verdana"/>
          <w:sz w:val="20"/>
          <w:szCs w:val="20"/>
        </w:rPr>
        <w:t xml:space="preserve"> entrar a este debate y mucho menos para arribar a la conclusión que llegó la mayoría de la Corte IDH.</w:t>
      </w:r>
    </w:p>
    <w:p w14:paraId="57C8DF9A" w14:textId="77777777" w:rsidR="00233348" w:rsidRDefault="00233348" w:rsidP="00233348">
      <w:pPr>
        <w:pStyle w:val="ListParagraph"/>
        <w:spacing w:after="0" w:line="240" w:lineRule="auto"/>
        <w:ind w:left="0"/>
        <w:jc w:val="both"/>
        <w:rPr>
          <w:rFonts w:ascii="Verdana" w:hAnsi="Verdana"/>
          <w:sz w:val="20"/>
          <w:szCs w:val="20"/>
        </w:rPr>
      </w:pPr>
    </w:p>
    <w:p w14:paraId="7D65BE96" w14:textId="184C3AA4" w:rsidR="00A8332C" w:rsidRPr="00A8332C" w:rsidRDefault="0053634B" w:rsidP="001612F6">
      <w:pPr>
        <w:pStyle w:val="ListParagraph"/>
        <w:numPr>
          <w:ilvl w:val="0"/>
          <w:numId w:val="12"/>
        </w:numPr>
        <w:spacing w:after="0" w:line="240" w:lineRule="auto"/>
        <w:ind w:left="0" w:firstLine="0"/>
        <w:jc w:val="both"/>
        <w:rPr>
          <w:rFonts w:ascii="Verdana" w:hAnsi="Verdana"/>
          <w:sz w:val="20"/>
          <w:szCs w:val="20"/>
        </w:rPr>
      </w:pPr>
      <w:r>
        <w:rPr>
          <w:rFonts w:ascii="Verdana" w:hAnsi="Verdana"/>
          <w:sz w:val="20"/>
          <w:szCs w:val="20"/>
        </w:rPr>
        <w:t>En primer lugar, consid</w:t>
      </w:r>
      <w:r w:rsidRPr="00A8332C">
        <w:rPr>
          <w:rFonts w:ascii="Verdana" w:hAnsi="Verdana"/>
          <w:sz w:val="20"/>
          <w:szCs w:val="20"/>
        </w:rPr>
        <w:t xml:space="preserve">ero sumamente </w:t>
      </w:r>
      <w:r w:rsidR="001570A2">
        <w:rPr>
          <w:rFonts w:ascii="Verdana" w:hAnsi="Verdana"/>
          <w:sz w:val="20"/>
          <w:szCs w:val="20"/>
        </w:rPr>
        <w:t xml:space="preserve">atrevido </w:t>
      </w:r>
      <w:r w:rsidR="0074713D" w:rsidRPr="00A8332C">
        <w:rPr>
          <w:rFonts w:ascii="Verdana" w:hAnsi="Verdana"/>
          <w:sz w:val="20"/>
          <w:szCs w:val="20"/>
        </w:rPr>
        <w:t xml:space="preserve">hacer uso del principio </w:t>
      </w:r>
      <w:proofErr w:type="spellStart"/>
      <w:r w:rsidR="0074713D" w:rsidRPr="00A8332C">
        <w:rPr>
          <w:rFonts w:ascii="Verdana" w:hAnsi="Verdana"/>
          <w:i/>
          <w:sz w:val="20"/>
          <w:szCs w:val="20"/>
        </w:rPr>
        <w:t>iura</w:t>
      </w:r>
      <w:proofErr w:type="spellEnd"/>
      <w:r w:rsidR="0074713D" w:rsidRPr="00A8332C">
        <w:rPr>
          <w:rFonts w:ascii="Verdana" w:hAnsi="Verdana"/>
          <w:i/>
          <w:sz w:val="20"/>
          <w:szCs w:val="20"/>
        </w:rPr>
        <w:t xml:space="preserve"> </w:t>
      </w:r>
      <w:proofErr w:type="spellStart"/>
      <w:r w:rsidR="0074713D" w:rsidRPr="00A8332C">
        <w:rPr>
          <w:rFonts w:ascii="Verdana" w:hAnsi="Verdana"/>
          <w:i/>
          <w:sz w:val="20"/>
          <w:szCs w:val="20"/>
        </w:rPr>
        <w:t>novit</w:t>
      </w:r>
      <w:proofErr w:type="spellEnd"/>
      <w:r w:rsidR="0074713D" w:rsidRPr="00A8332C">
        <w:rPr>
          <w:rFonts w:ascii="Verdana" w:hAnsi="Verdana"/>
          <w:i/>
          <w:sz w:val="20"/>
          <w:szCs w:val="20"/>
        </w:rPr>
        <w:t xml:space="preserve"> curia</w:t>
      </w:r>
      <w:r w:rsidR="0074713D" w:rsidRPr="00A8332C">
        <w:rPr>
          <w:rFonts w:ascii="Verdana" w:hAnsi="Verdana"/>
          <w:sz w:val="20"/>
          <w:szCs w:val="20"/>
        </w:rPr>
        <w:t xml:space="preserve"> en el presente caso. Como es de conocimiento</w:t>
      </w:r>
      <w:r w:rsidR="00A8332C" w:rsidRPr="00A8332C">
        <w:rPr>
          <w:rFonts w:ascii="Verdana" w:hAnsi="Verdana"/>
          <w:sz w:val="20"/>
          <w:szCs w:val="20"/>
        </w:rPr>
        <w:t xml:space="preserve"> general</w:t>
      </w:r>
      <w:r w:rsidR="0074713D" w:rsidRPr="00A8332C">
        <w:rPr>
          <w:rFonts w:ascii="Verdana" w:hAnsi="Verdana"/>
          <w:sz w:val="20"/>
          <w:szCs w:val="20"/>
        </w:rPr>
        <w:t>, este principio ha sido utilizado desde sus primeras sentencias</w:t>
      </w:r>
      <w:r w:rsidR="0074713D" w:rsidRPr="00A8332C">
        <w:rPr>
          <w:rStyle w:val="FootnoteReference"/>
          <w:rFonts w:ascii="Verdana" w:hAnsi="Verdana"/>
          <w:sz w:val="20"/>
          <w:szCs w:val="20"/>
        </w:rPr>
        <w:footnoteReference w:id="15"/>
      </w:r>
      <w:r w:rsidR="0074713D" w:rsidRPr="00A8332C">
        <w:rPr>
          <w:rFonts w:ascii="Verdana" w:hAnsi="Verdana"/>
          <w:sz w:val="20"/>
          <w:szCs w:val="20"/>
        </w:rPr>
        <w:t xml:space="preserve"> por la Corte IDH</w:t>
      </w:r>
      <w:r w:rsidR="008E1172">
        <w:rPr>
          <w:rFonts w:ascii="Verdana" w:hAnsi="Verdana"/>
          <w:sz w:val="20"/>
          <w:szCs w:val="20"/>
        </w:rPr>
        <w:t xml:space="preserve">, la cual lo ha definido como </w:t>
      </w:r>
      <w:r w:rsidR="00B2596A" w:rsidRPr="00A8332C">
        <w:rPr>
          <w:rFonts w:ascii="Verdana" w:hAnsi="Verdana"/>
          <w:sz w:val="20"/>
          <w:szCs w:val="20"/>
        </w:rPr>
        <w:t>“</w:t>
      </w:r>
      <w:r w:rsidR="00A8332C" w:rsidRPr="00A8332C">
        <w:rPr>
          <w:rFonts w:ascii="Verdana" w:eastAsia="Times New Roman" w:hAnsi="Verdana" w:cs="Times New Roman"/>
          <w:sz w:val="20"/>
          <w:szCs w:val="20"/>
          <w:lang w:val="es-ES_tradnl" w:eastAsia="es-ES_tradnl"/>
        </w:rPr>
        <w:t xml:space="preserve">la facultad e inclusive el deber </w:t>
      </w:r>
      <w:r w:rsidR="008E1172">
        <w:rPr>
          <w:rFonts w:ascii="Verdana" w:eastAsia="Times New Roman" w:hAnsi="Verdana" w:cs="Times New Roman"/>
          <w:sz w:val="20"/>
          <w:szCs w:val="20"/>
          <w:lang w:val="es-ES_tradnl" w:eastAsia="es-ES_tradnl"/>
        </w:rPr>
        <w:t xml:space="preserve">[que posee el juzgador] </w:t>
      </w:r>
      <w:r w:rsidR="00A8332C" w:rsidRPr="00A8332C">
        <w:rPr>
          <w:rFonts w:ascii="Verdana" w:eastAsia="Times New Roman" w:hAnsi="Verdana" w:cs="Times New Roman"/>
          <w:sz w:val="20"/>
          <w:szCs w:val="20"/>
          <w:lang w:val="es-ES_tradnl" w:eastAsia="es-ES_tradnl"/>
        </w:rPr>
        <w:t>de aplicar</w:t>
      </w:r>
      <w:r w:rsidR="008E1172">
        <w:rPr>
          <w:rFonts w:ascii="Verdana" w:eastAsia="Times New Roman" w:hAnsi="Verdana" w:cs="Times New Roman"/>
          <w:sz w:val="20"/>
          <w:szCs w:val="20"/>
          <w:lang w:val="es-ES_tradnl" w:eastAsia="es-ES_tradnl"/>
        </w:rPr>
        <w:t xml:space="preserve"> </w:t>
      </w:r>
      <w:r w:rsidR="00A8332C" w:rsidRPr="00A8332C">
        <w:rPr>
          <w:rFonts w:ascii="Verdana" w:eastAsia="Times New Roman" w:hAnsi="Verdana" w:cs="Times New Roman"/>
          <w:sz w:val="20"/>
          <w:szCs w:val="20"/>
          <w:lang w:val="es-ES_tradnl" w:eastAsia="es-ES_tradnl"/>
        </w:rPr>
        <w:t>las disposiciones jurídicas pertinentes en una causa, aun cuando las partes no las invoquen expresamente”</w:t>
      </w:r>
      <w:r w:rsidR="00A8332C">
        <w:rPr>
          <w:rStyle w:val="FootnoteReference"/>
          <w:rFonts w:ascii="Verdana" w:eastAsia="Times New Roman" w:hAnsi="Verdana" w:cs="Times New Roman"/>
          <w:sz w:val="20"/>
          <w:szCs w:val="20"/>
          <w:lang w:val="es-ES_tradnl" w:eastAsia="es-ES_tradnl"/>
        </w:rPr>
        <w:footnoteReference w:id="16"/>
      </w:r>
      <w:r w:rsidR="008B2A50">
        <w:rPr>
          <w:rFonts w:ascii="Verdana" w:eastAsia="Times New Roman" w:hAnsi="Verdana" w:cs="Times New Roman"/>
          <w:sz w:val="20"/>
          <w:szCs w:val="20"/>
          <w:lang w:val="es-ES_tradnl" w:eastAsia="es-ES_tradnl"/>
        </w:rPr>
        <w:t xml:space="preserve">. De manera que este principio </w:t>
      </w:r>
      <w:r w:rsidR="008E1172">
        <w:rPr>
          <w:rFonts w:ascii="Verdana" w:eastAsia="Times New Roman" w:hAnsi="Verdana" w:cs="Times New Roman"/>
          <w:sz w:val="20"/>
          <w:szCs w:val="20"/>
          <w:lang w:val="es-ES_tradnl" w:eastAsia="es-ES_tradnl"/>
        </w:rPr>
        <w:t>implica</w:t>
      </w:r>
      <w:r w:rsidR="008B2A50">
        <w:rPr>
          <w:rFonts w:ascii="Verdana" w:eastAsia="Times New Roman" w:hAnsi="Verdana" w:cs="Times New Roman"/>
          <w:sz w:val="20"/>
          <w:szCs w:val="20"/>
          <w:lang w:val="es-ES_tradnl" w:eastAsia="es-ES_tradnl"/>
        </w:rPr>
        <w:t>, como su nombre lo indica, que el juez interamericano pueda</w:t>
      </w:r>
      <w:r w:rsidR="0068102B">
        <w:rPr>
          <w:rFonts w:ascii="Verdana" w:eastAsia="Times New Roman" w:hAnsi="Verdana" w:cs="Times New Roman"/>
          <w:sz w:val="20"/>
          <w:szCs w:val="20"/>
          <w:lang w:val="es-ES_tradnl" w:eastAsia="es-ES_tradnl"/>
        </w:rPr>
        <w:t xml:space="preserve"> aplicar una norma que no ha sido alegada por la Comisió</w:t>
      </w:r>
      <w:r w:rsidR="002F5EEF">
        <w:rPr>
          <w:rFonts w:ascii="Verdana" w:eastAsia="Times New Roman" w:hAnsi="Verdana" w:cs="Times New Roman"/>
          <w:sz w:val="20"/>
          <w:szCs w:val="20"/>
          <w:lang w:val="es-ES_tradnl" w:eastAsia="es-ES_tradnl"/>
        </w:rPr>
        <w:t>n o las partes, pues é</w:t>
      </w:r>
      <w:r w:rsidR="0068102B">
        <w:rPr>
          <w:rFonts w:ascii="Verdana" w:eastAsia="Times New Roman" w:hAnsi="Verdana" w:cs="Times New Roman"/>
          <w:sz w:val="20"/>
          <w:szCs w:val="20"/>
          <w:lang w:val="es-ES_tradnl" w:eastAsia="es-ES_tradnl"/>
        </w:rPr>
        <w:t xml:space="preserve">ste </w:t>
      </w:r>
      <w:r w:rsidR="002F5EEF">
        <w:rPr>
          <w:rFonts w:ascii="Verdana" w:eastAsia="Times New Roman" w:hAnsi="Verdana" w:cs="Times New Roman"/>
          <w:sz w:val="20"/>
          <w:szCs w:val="20"/>
          <w:lang w:val="es-ES_tradnl" w:eastAsia="es-ES_tradnl"/>
        </w:rPr>
        <w:t xml:space="preserve">se encuentra en mejor posición para determinar </w:t>
      </w:r>
      <w:r w:rsidR="002F5EEF">
        <w:rPr>
          <w:rFonts w:ascii="Verdana" w:eastAsia="Times New Roman" w:hAnsi="Verdana" w:cs="Times New Roman"/>
          <w:sz w:val="20"/>
          <w:szCs w:val="20"/>
          <w:lang w:val="es-ES_tradnl" w:eastAsia="es-ES_tradnl"/>
        </w:rPr>
        <w:lastRenderedPageBreak/>
        <w:t xml:space="preserve">cuál es el derecho aplicable al caso. En otras palabras, el sistema interamericano no es justicia rogada, en el sentido que no </w:t>
      </w:r>
      <w:r w:rsidR="00463F9D">
        <w:rPr>
          <w:rFonts w:ascii="Verdana" w:eastAsia="Times New Roman" w:hAnsi="Verdana" w:cs="Times New Roman"/>
          <w:sz w:val="20"/>
          <w:szCs w:val="20"/>
          <w:lang w:val="es-ES_tradnl" w:eastAsia="es-ES_tradnl"/>
        </w:rPr>
        <w:t xml:space="preserve">se traba la </w:t>
      </w:r>
      <w:proofErr w:type="spellStart"/>
      <w:r w:rsidR="008E1172" w:rsidRPr="00681FB5">
        <w:rPr>
          <w:rFonts w:ascii="Verdana" w:eastAsia="Times New Roman" w:hAnsi="Verdana" w:cs="Times New Roman"/>
          <w:i/>
          <w:sz w:val="20"/>
          <w:szCs w:val="20"/>
          <w:lang w:val="es-ES_tradnl" w:eastAsia="es-ES_tradnl"/>
        </w:rPr>
        <w:t>l</w:t>
      </w:r>
      <w:r w:rsidR="00463F9D" w:rsidRPr="00681FB5">
        <w:rPr>
          <w:rFonts w:ascii="Verdana" w:eastAsia="Times New Roman" w:hAnsi="Verdana" w:cs="Times New Roman"/>
          <w:i/>
          <w:sz w:val="20"/>
          <w:szCs w:val="20"/>
          <w:lang w:val="es-ES_tradnl" w:eastAsia="es-ES_tradnl"/>
        </w:rPr>
        <w:t>itis</w:t>
      </w:r>
      <w:proofErr w:type="spellEnd"/>
      <w:r w:rsidR="00463F9D">
        <w:rPr>
          <w:rFonts w:ascii="Verdana" w:eastAsia="Times New Roman" w:hAnsi="Verdana" w:cs="Times New Roman"/>
          <w:sz w:val="20"/>
          <w:szCs w:val="20"/>
          <w:lang w:val="es-ES_tradnl" w:eastAsia="es-ES_tradnl"/>
        </w:rPr>
        <w:t xml:space="preserve"> a partir de las normas alegadas por la CIDH o las partes.</w:t>
      </w:r>
    </w:p>
    <w:p w14:paraId="5AB39426" w14:textId="77777777" w:rsidR="00A8332C" w:rsidRPr="00A8332C" w:rsidRDefault="00A8332C" w:rsidP="00A8332C">
      <w:pPr>
        <w:spacing w:after="0" w:line="240" w:lineRule="auto"/>
        <w:jc w:val="both"/>
        <w:rPr>
          <w:rFonts w:ascii="Verdana" w:hAnsi="Verdana"/>
          <w:sz w:val="20"/>
          <w:szCs w:val="20"/>
        </w:rPr>
      </w:pPr>
    </w:p>
    <w:p w14:paraId="1B318CFE" w14:textId="7610D6FF" w:rsidR="00475FAC" w:rsidRDefault="006A093F" w:rsidP="001612F6">
      <w:pPr>
        <w:pStyle w:val="ListParagraph"/>
        <w:numPr>
          <w:ilvl w:val="0"/>
          <w:numId w:val="12"/>
        </w:numPr>
        <w:spacing w:after="0" w:line="240" w:lineRule="auto"/>
        <w:ind w:left="0" w:firstLine="0"/>
        <w:jc w:val="both"/>
        <w:rPr>
          <w:rFonts w:ascii="Verdana" w:hAnsi="Verdana"/>
          <w:sz w:val="20"/>
          <w:szCs w:val="20"/>
        </w:rPr>
      </w:pPr>
      <w:r>
        <w:rPr>
          <w:rFonts w:ascii="Verdana" w:hAnsi="Verdana"/>
          <w:sz w:val="20"/>
          <w:szCs w:val="20"/>
        </w:rPr>
        <w:t>Dado esto por sentado, estimo que</w:t>
      </w:r>
      <w:r w:rsidR="00371B8F">
        <w:rPr>
          <w:rFonts w:ascii="Verdana" w:hAnsi="Verdana"/>
          <w:sz w:val="20"/>
          <w:szCs w:val="20"/>
        </w:rPr>
        <w:t>,</w:t>
      </w:r>
      <w:r>
        <w:rPr>
          <w:rFonts w:ascii="Verdana" w:hAnsi="Verdana"/>
          <w:sz w:val="20"/>
          <w:szCs w:val="20"/>
        </w:rPr>
        <w:t xml:space="preserve"> </w:t>
      </w:r>
      <w:r w:rsidR="00A25074">
        <w:rPr>
          <w:rFonts w:ascii="Verdana" w:hAnsi="Verdana"/>
          <w:sz w:val="20"/>
          <w:szCs w:val="20"/>
        </w:rPr>
        <w:t>si bien esta es una facultad reconocida</w:t>
      </w:r>
      <w:r w:rsidR="00234CA9">
        <w:rPr>
          <w:rFonts w:ascii="Verdana" w:hAnsi="Verdana"/>
          <w:sz w:val="20"/>
          <w:szCs w:val="20"/>
        </w:rPr>
        <w:t xml:space="preserve"> para</w:t>
      </w:r>
      <w:r w:rsidR="00A8332C">
        <w:rPr>
          <w:rFonts w:ascii="Verdana" w:hAnsi="Verdana"/>
          <w:sz w:val="20"/>
          <w:szCs w:val="20"/>
        </w:rPr>
        <w:t xml:space="preserve"> los jueces</w:t>
      </w:r>
      <w:r w:rsidR="00A25074">
        <w:rPr>
          <w:rFonts w:ascii="Verdana" w:hAnsi="Verdana"/>
          <w:sz w:val="20"/>
          <w:szCs w:val="20"/>
        </w:rPr>
        <w:t xml:space="preserve"> interamericanos,</w:t>
      </w:r>
      <w:r w:rsidR="00A8332C">
        <w:rPr>
          <w:rFonts w:ascii="Verdana" w:hAnsi="Verdana"/>
          <w:sz w:val="20"/>
          <w:szCs w:val="20"/>
        </w:rPr>
        <w:t xml:space="preserve"> no </w:t>
      </w:r>
      <w:r w:rsidR="002D14F0">
        <w:rPr>
          <w:rFonts w:ascii="Verdana" w:hAnsi="Verdana"/>
          <w:sz w:val="20"/>
          <w:szCs w:val="20"/>
        </w:rPr>
        <w:t>puede ser usada</w:t>
      </w:r>
      <w:r w:rsidR="00234CA9">
        <w:rPr>
          <w:rFonts w:ascii="Verdana" w:hAnsi="Verdana"/>
          <w:sz w:val="20"/>
          <w:szCs w:val="20"/>
        </w:rPr>
        <w:t xml:space="preserve"> </w:t>
      </w:r>
      <w:r w:rsidR="00A8332C">
        <w:rPr>
          <w:rFonts w:ascii="Verdana" w:hAnsi="Verdana"/>
          <w:sz w:val="20"/>
          <w:szCs w:val="20"/>
        </w:rPr>
        <w:t xml:space="preserve">bajo </w:t>
      </w:r>
      <w:r w:rsidR="00A25074">
        <w:rPr>
          <w:rFonts w:ascii="Verdana" w:hAnsi="Verdana"/>
          <w:sz w:val="20"/>
          <w:szCs w:val="20"/>
        </w:rPr>
        <w:t xml:space="preserve">cualquier circunstancia y sin acudir a ciertos </w:t>
      </w:r>
      <w:r w:rsidR="00A8332C">
        <w:rPr>
          <w:rFonts w:ascii="Verdana" w:hAnsi="Verdana"/>
          <w:sz w:val="20"/>
          <w:szCs w:val="20"/>
        </w:rPr>
        <w:t>criterios de razonabilidad y pertinencia.</w:t>
      </w:r>
      <w:r w:rsidR="005A7DDA">
        <w:rPr>
          <w:rFonts w:ascii="Verdana" w:hAnsi="Verdana"/>
          <w:sz w:val="20"/>
          <w:szCs w:val="20"/>
        </w:rPr>
        <w:t xml:space="preserve"> </w:t>
      </w:r>
      <w:r w:rsidR="00475FAC">
        <w:rPr>
          <w:rFonts w:ascii="Verdana" w:hAnsi="Verdana"/>
          <w:sz w:val="20"/>
          <w:szCs w:val="20"/>
        </w:rPr>
        <w:t>En efecto, considero que el mencionado principio puede ser utilizado cuando sea manifiesta la violación</w:t>
      </w:r>
      <w:r w:rsidR="006E6724">
        <w:rPr>
          <w:rFonts w:ascii="Verdana" w:hAnsi="Verdana"/>
          <w:sz w:val="20"/>
          <w:szCs w:val="20"/>
        </w:rPr>
        <w:t xml:space="preserve"> de derechos humanos</w:t>
      </w:r>
      <w:r w:rsidR="00475FAC">
        <w:rPr>
          <w:rFonts w:ascii="Verdana" w:hAnsi="Verdana"/>
          <w:sz w:val="20"/>
          <w:szCs w:val="20"/>
        </w:rPr>
        <w:t xml:space="preserve"> o cuando los representantes o la Comisión ha</w:t>
      </w:r>
      <w:r w:rsidR="00607ABD">
        <w:rPr>
          <w:rFonts w:ascii="Verdana" w:hAnsi="Verdana"/>
          <w:sz w:val="20"/>
          <w:szCs w:val="20"/>
        </w:rPr>
        <w:t>ya</w:t>
      </w:r>
      <w:r w:rsidR="00475FAC">
        <w:rPr>
          <w:rFonts w:ascii="Verdana" w:hAnsi="Verdana"/>
          <w:sz w:val="20"/>
          <w:szCs w:val="20"/>
        </w:rPr>
        <w:t xml:space="preserve">n incurrido en un grave olvido o error, </w:t>
      </w:r>
      <w:r w:rsidR="006E6724">
        <w:rPr>
          <w:rFonts w:ascii="Verdana" w:hAnsi="Verdana"/>
          <w:sz w:val="20"/>
          <w:szCs w:val="20"/>
        </w:rPr>
        <w:t xml:space="preserve">de manera que la Corte subsane una posible injusticia, </w:t>
      </w:r>
      <w:r w:rsidR="00475FAC">
        <w:rPr>
          <w:rFonts w:ascii="Verdana" w:hAnsi="Verdana"/>
          <w:sz w:val="20"/>
          <w:szCs w:val="20"/>
        </w:rPr>
        <w:t xml:space="preserve">pero </w:t>
      </w:r>
      <w:r w:rsidR="006E6724">
        <w:rPr>
          <w:rFonts w:ascii="Verdana" w:hAnsi="Verdana"/>
          <w:sz w:val="20"/>
          <w:szCs w:val="20"/>
        </w:rPr>
        <w:t>dicho principio no debe utilizarse</w:t>
      </w:r>
      <w:r w:rsidR="00475FAC">
        <w:rPr>
          <w:rFonts w:ascii="Verdana" w:hAnsi="Verdana"/>
          <w:sz w:val="20"/>
          <w:szCs w:val="20"/>
        </w:rPr>
        <w:t xml:space="preserve"> para sorprender a un Estado con una violación que no preveía en lo más mínimo y que no tuvo la oportunidad de controvertir ni siquiera en los hechos.</w:t>
      </w:r>
    </w:p>
    <w:p w14:paraId="69398A20" w14:textId="77777777" w:rsidR="00475FAC" w:rsidRPr="00475FAC" w:rsidRDefault="00475FAC" w:rsidP="00475FAC">
      <w:pPr>
        <w:spacing w:after="0" w:line="240" w:lineRule="auto"/>
        <w:jc w:val="both"/>
        <w:rPr>
          <w:rFonts w:ascii="Verdana" w:hAnsi="Verdana"/>
          <w:sz w:val="20"/>
          <w:szCs w:val="20"/>
        </w:rPr>
      </w:pPr>
    </w:p>
    <w:p w14:paraId="28D050AC" w14:textId="785DE1CB" w:rsidR="00A8332C" w:rsidRDefault="005A7DDA" w:rsidP="001612F6">
      <w:pPr>
        <w:pStyle w:val="ListParagraph"/>
        <w:numPr>
          <w:ilvl w:val="0"/>
          <w:numId w:val="12"/>
        </w:numPr>
        <w:spacing w:after="0" w:line="240" w:lineRule="auto"/>
        <w:ind w:left="0" w:firstLine="0"/>
        <w:jc w:val="both"/>
        <w:rPr>
          <w:rFonts w:ascii="Verdana" w:hAnsi="Verdana"/>
          <w:sz w:val="20"/>
          <w:szCs w:val="20"/>
        </w:rPr>
      </w:pPr>
      <w:r>
        <w:rPr>
          <w:rFonts w:ascii="Verdana" w:hAnsi="Verdana"/>
          <w:sz w:val="20"/>
          <w:szCs w:val="20"/>
        </w:rPr>
        <w:t xml:space="preserve">En el presente caso, se indicó en la Sentencia </w:t>
      </w:r>
      <w:r w:rsidR="003F577B">
        <w:rPr>
          <w:rFonts w:ascii="Verdana" w:hAnsi="Verdana"/>
          <w:sz w:val="20"/>
          <w:szCs w:val="20"/>
        </w:rPr>
        <w:t xml:space="preserve">que el peticionario argumentó </w:t>
      </w:r>
      <w:r w:rsidR="00F64356">
        <w:rPr>
          <w:rFonts w:ascii="Verdana" w:hAnsi="Verdana"/>
          <w:sz w:val="20"/>
          <w:szCs w:val="20"/>
        </w:rPr>
        <w:t>en la primera etapa d</w:t>
      </w:r>
      <w:r w:rsidR="003F577B">
        <w:rPr>
          <w:rFonts w:ascii="Verdana" w:hAnsi="Verdana"/>
          <w:sz w:val="20"/>
          <w:szCs w:val="20"/>
        </w:rPr>
        <w:t>el proceso ante la Comisión Interamericana la presunta vulneración del derecho al trabajo</w:t>
      </w:r>
      <w:r w:rsidR="003951F6">
        <w:rPr>
          <w:rStyle w:val="FootnoteReference"/>
          <w:rFonts w:ascii="Verdana" w:hAnsi="Verdana"/>
          <w:sz w:val="20"/>
          <w:szCs w:val="20"/>
        </w:rPr>
        <w:footnoteReference w:id="17"/>
      </w:r>
      <w:r w:rsidR="003F577B">
        <w:rPr>
          <w:rFonts w:ascii="Verdana" w:hAnsi="Verdana"/>
          <w:sz w:val="20"/>
          <w:szCs w:val="20"/>
        </w:rPr>
        <w:t xml:space="preserve">. </w:t>
      </w:r>
      <w:r w:rsidR="003951F6">
        <w:rPr>
          <w:rFonts w:ascii="Verdana" w:hAnsi="Verdana"/>
          <w:sz w:val="20"/>
          <w:szCs w:val="20"/>
        </w:rPr>
        <w:t>Lo anterior se tomó como base para concluir que el Estado había conocido desde el principio los hechos</w:t>
      </w:r>
      <w:r w:rsidR="00857CD1">
        <w:rPr>
          <w:rStyle w:val="FootnoteReference"/>
          <w:rFonts w:ascii="Verdana" w:hAnsi="Verdana"/>
          <w:sz w:val="20"/>
          <w:szCs w:val="20"/>
        </w:rPr>
        <w:footnoteReference w:id="18"/>
      </w:r>
      <w:r w:rsidR="003951F6">
        <w:rPr>
          <w:rFonts w:ascii="Verdana" w:hAnsi="Verdana"/>
          <w:sz w:val="20"/>
          <w:szCs w:val="20"/>
        </w:rPr>
        <w:t xml:space="preserve"> y que “las partes </w:t>
      </w:r>
      <w:proofErr w:type="gramStart"/>
      <w:r w:rsidR="003951F6">
        <w:rPr>
          <w:rFonts w:ascii="Verdana" w:hAnsi="Verdana"/>
          <w:sz w:val="20"/>
          <w:szCs w:val="20"/>
        </w:rPr>
        <w:t>ha[</w:t>
      </w:r>
      <w:proofErr w:type="spellStart"/>
      <w:proofErr w:type="gramEnd"/>
      <w:r w:rsidR="003951F6">
        <w:rPr>
          <w:rFonts w:ascii="Verdana" w:hAnsi="Verdana"/>
          <w:sz w:val="20"/>
          <w:szCs w:val="20"/>
        </w:rPr>
        <w:t>bían</w:t>
      </w:r>
      <w:proofErr w:type="spellEnd"/>
      <w:r w:rsidR="003951F6">
        <w:rPr>
          <w:rFonts w:ascii="Verdana" w:hAnsi="Verdana"/>
          <w:sz w:val="20"/>
          <w:szCs w:val="20"/>
        </w:rPr>
        <w:t>] tenido amplia posibilidad de hacer referencia al alcance de los derechos que involucran los hechos analizados”</w:t>
      </w:r>
      <w:r w:rsidR="003951F6">
        <w:rPr>
          <w:rStyle w:val="FootnoteReference"/>
          <w:rFonts w:ascii="Verdana" w:hAnsi="Verdana"/>
          <w:sz w:val="20"/>
          <w:szCs w:val="20"/>
        </w:rPr>
        <w:footnoteReference w:id="19"/>
      </w:r>
      <w:r w:rsidR="003951F6">
        <w:rPr>
          <w:rFonts w:ascii="Verdana" w:hAnsi="Verdana"/>
          <w:sz w:val="20"/>
          <w:szCs w:val="20"/>
        </w:rPr>
        <w:t>.</w:t>
      </w:r>
    </w:p>
    <w:p w14:paraId="711C49A3" w14:textId="77777777" w:rsidR="00F64356" w:rsidRPr="00F64356" w:rsidRDefault="00F64356" w:rsidP="00F64356">
      <w:pPr>
        <w:spacing w:after="0" w:line="240" w:lineRule="auto"/>
        <w:jc w:val="both"/>
        <w:rPr>
          <w:rFonts w:ascii="Verdana" w:hAnsi="Verdana"/>
          <w:sz w:val="20"/>
          <w:szCs w:val="20"/>
        </w:rPr>
      </w:pPr>
    </w:p>
    <w:p w14:paraId="33E885BB" w14:textId="58379523" w:rsidR="000E4B5D" w:rsidRDefault="00806ABF" w:rsidP="001612F6">
      <w:pPr>
        <w:pStyle w:val="ListParagraph"/>
        <w:numPr>
          <w:ilvl w:val="0"/>
          <w:numId w:val="12"/>
        </w:numPr>
        <w:spacing w:after="0" w:line="240" w:lineRule="auto"/>
        <w:ind w:left="0" w:firstLine="0"/>
        <w:jc w:val="both"/>
        <w:rPr>
          <w:rFonts w:ascii="Verdana" w:hAnsi="Verdana"/>
          <w:sz w:val="20"/>
          <w:szCs w:val="20"/>
        </w:rPr>
      </w:pPr>
      <w:r>
        <w:rPr>
          <w:rFonts w:ascii="Verdana" w:hAnsi="Verdana"/>
          <w:sz w:val="20"/>
          <w:szCs w:val="20"/>
        </w:rPr>
        <w:t xml:space="preserve">La conclusión a la que arriba la Corte puede ser considerada </w:t>
      </w:r>
      <w:r w:rsidR="00607ABD">
        <w:rPr>
          <w:rFonts w:ascii="Verdana" w:hAnsi="Verdana"/>
          <w:sz w:val="20"/>
          <w:szCs w:val="20"/>
        </w:rPr>
        <w:t>como</w:t>
      </w:r>
      <w:r>
        <w:rPr>
          <w:rFonts w:ascii="Verdana" w:hAnsi="Verdana"/>
          <w:sz w:val="20"/>
          <w:szCs w:val="20"/>
        </w:rPr>
        <w:t xml:space="preserve"> ligera</w:t>
      </w:r>
      <w:r w:rsidR="00607ABD">
        <w:rPr>
          <w:rFonts w:ascii="Verdana" w:hAnsi="Verdana"/>
          <w:sz w:val="20"/>
          <w:szCs w:val="20"/>
        </w:rPr>
        <w:t xml:space="preserve"> o apresurada</w:t>
      </w:r>
      <w:r>
        <w:rPr>
          <w:rFonts w:ascii="Verdana" w:hAnsi="Verdana"/>
          <w:sz w:val="20"/>
          <w:szCs w:val="20"/>
        </w:rPr>
        <w:t>, pues afirmar que el Estado tuvo una amplia posibilidad de defenderse frente a la vulneración del artículo 26 de la Convención Americana</w:t>
      </w:r>
      <w:r w:rsidR="00260A51">
        <w:rPr>
          <w:rFonts w:ascii="Verdana" w:hAnsi="Verdana"/>
          <w:sz w:val="20"/>
          <w:szCs w:val="20"/>
        </w:rPr>
        <w:t xml:space="preserve">, no tiene en cuenta el arduo debate que se ha dado al interior de la Corte Interamericana en torno a este artículo. </w:t>
      </w:r>
      <w:r w:rsidR="000E4B5D">
        <w:rPr>
          <w:rFonts w:ascii="Verdana" w:hAnsi="Verdana"/>
          <w:sz w:val="20"/>
          <w:szCs w:val="20"/>
        </w:rPr>
        <w:t xml:space="preserve">En efecto, al declarar la vulneración del artículo 26 de la CADH en este caso, no se está simplemente discutiendo si el despido del señor Lagos estuvo o no justificado, sino que detrás hay toda una disertación acerca del alcance de un artículo que no ha sido </w:t>
      </w:r>
      <w:r w:rsidR="00607ABD">
        <w:rPr>
          <w:rFonts w:ascii="Verdana" w:hAnsi="Verdana"/>
          <w:sz w:val="20"/>
          <w:szCs w:val="20"/>
        </w:rPr>
        <w:t>pacífico</w:t>
      </w:r>
      <w:r w:rsidR="000E4B5D">
        <w:rPr>
          <w:rFonts w:ascii="Verdana" w:hAnsi="Verdana"/>
          <w:sz w:val="20"/>
          <w:szCs w:val="20"/>
        </w:rPr>
        <w:t xml:space="preserve"> y que los Estados han sido </w:t>
      </w:r>
      <w:r w:rsidR="00607ABD">
        <w:rPr>
          <w:rFonts w:ascii="Verdana" w:hAnsi="Verdana"/>
          <w:sz w:val="20"/>
          <w:szCs w:val="20"/>
        </w:rPr>
        <w:t>enfáticos</w:t>
      </w:r>
      <w:r w:rsidR="000E4B5D">
        <w:rPr>
          <w:rFonts w:ascii="Verdana" w:hAnsi="Verdana"/>
          <w:sz w:val="20"/>
          <w:szCs w:val="20"/>
        </w:rPr>
        <w:t xml:space="preserve"> en rechazar. De manera que no es suficiente con decir que una mención en los alegatos presentados antes del informe de admisibilidad de la Comisión podían hacer </w:t>
      </w:r>
      <w:r w:rsidR="00607ABD">
        <w:rPr>
          <w:rFonts w:ascii="Verdana" w:hAnsi="Verdana"/>
          <w:sz w:val="20"/>
          <w:szCs w:val="20"/>
        </w:rPr>
        <w:t>prever</w:t>
      </w:r>
      <w:r w:rsidR="000E4B5D">
        <w:rPr>
          <w:rFonts w:ascii="Verdana" w:hAnsi="Verdana"/>
          <w:sz w:val="20"/>
          <w:szCs w:val="20"/>
        </w:rPr>
        <w:t xml:space="preserve"> al Estado del Perú que fuese posible que la Corte Interamericana entrará a declarar la vulneración de dicho derecho en un caso que se presentó como la presunta violación de los artículos 8 y 13 de la CADH.</w:t>
      </w:r>
    </w:p>
    <w:p w14:paraId="2C839FC8" w14:textId="77777777" w:rsidR="000E4B5D" w:rsidRPr="000E4B5D" w:rsidRDefault="000E4B5D" w:rsidP="000E4B5D">
      <w:pPr>
        <w:spacing w:after="0" w:line="240" w:lineRule="auto"/>
        <w:jc w:val="both"/>
        <w:rPr>
          <w:rFonts w:ascii="Verdana" w:hAnsi="Verdana"/>
          <w:sz w:val="20"/>
          <w:szCs w:val="20"/>
        </w:rPr>
      </w:pPr>
    </w:p>
    <w:p w14:paraId="774208F8" w14:textId="496C580B" w:rsidR="00CF1E18" w:rsidRDefault="000E4B5D" w:rsidP="00857CD1">
      <w:pPr>
        <w:pStyle w:val="ListParagraph"/>
        <w:numPr>
          <w:ilvl w:val="0"/>
          <w:numId w:val="12"/>
        </w:numPr>
        <w:spacing w:after="0" w:line="240" w:lineRule="auto"/>
        <w:ind w:left="0" w:firstLine="0"/>
        <w:jc w:val="both"/>
        <w:rPr>
          <w:rFonts w:ascii="Verdana" w:hAnsi="Verdana"/>
          <w:sz w:val="20"/>
          <w:szCs w:val="20"/>
        </w:rPr>
      </w:pPr>
      <w:r>
        <w:rPr>
          <w:rFonts w:ascii="Verdana" w:hAnsi="Verdana"/>
          <w:sz w:val="20"/>
          <w:szCs w:val="20"/>
        </w:rPr>
        <w:t xml:space="preserve">Al respecto, considero que dadas las complejidades del debate del artículo 26 de la CADH y las implicaciones que esto puede generar no sólo frente al caso en particular, sino como precedente a futuro de la Corte IDH, lo mínimo es que se permitiera un debate público y abierto sobre las posibles interpretaciones y alcances en discusión. </w:t>
      </w:r>
      <w:r w:rsidR="007E48B5">
        <w:rPr>
          <w:rFonts w:ascii="Verdana" w:hAnsi="Verdana"/>
          <w:sz w:val="20"/>
          <w:szCs w:val="20"/>
        </w:rPr>
        <w:t xml:space="preserve">De hecho, si se hubiese arribado a esta conclusión en un caso como </w:t>
      </w:r>
      <w:r w:rsidR="007E48B5" w:rsidRPr="00C24C47">
        <w:rPr>
          <w:rFonts w:ascii="Verdana" w:hAnsi="Verdana"/>
          <w:i/>
          <w:sz w:val="20"/>
          <w:szCs w:val="20"/>
        </w:rPr>
        <w:t xml:space="preserve">Gonzalez </w:t>
      </w:r>
      <w:proofErr w:type="spellStart"/>
      <w:r w:rsidR="007E48B5" w:rsidRPr="00C24C47">
        <w:rPr>
          <w:rFonts w:ascii="Verdana" w:hAnsi="Verdana"/>
          <w:i/>
          <w:sz w:val="20"/>
          <w:szCs w:val="20"/>
        </w:rPr>
        <w:t>Lluy</w:t>
      </w:r>
      <w:proofErr w:type="spellEnd"/>
      <w:r w:rsidR="007E48B5" w:rsidRPr="00C24C47">
        <w:rPr>
          <w:rFonts w:ascii="Verdana" w:hAnsi="Verdana"/>
          <w:i/>
          <w:sz w:val="20"/>
          <w:szCs w:val="20"/>
        </w:rPr>
        <w:t xml:space="preserve"> Vs. Ecuador</w:t>
      </w:r>
      <w:r w:rsidR="007E48B5">
        <w:rPr>
          <w:rFonts w:ascii="Verdana" w:hAnsi="Verdana"/>
          <w:sz w:val="20"/>
          <w:szCs w:val="20"/>
        </w:rPr>
        <w:t xml:space="preserve">, en el cual se dio el debate entre los representantes y el Estado en la audiencia pública y en los diversos </w:t>
      </w:r>
      <w:r w:rsidR="00857CD1">
        <w:rPr>
          <w:rFonts w:ascii="Verdana" w:hAnsi="Verdana"/>
          <w:sz w:val="20"/>
          <w:szCs w:val="20"/>
        </w:rPr>
        <w:t xml:space="preserve">escritos </w:t>
      </w:r>
      <w:r w:rsidR="007E48B5">
        <w:rPr>
          <w:rFonts w:ascii="Verdana" w:hAnsi="Verdana"/>
          <w:sz w:val="20"/>
          <w:szCs w:val="20"/>
        </w:rPr>
        <w:t xml:space="preserve">principales, no me parecería </w:t>
      </w:r>
      <w:r w:rsidR="00DB676C">
        <w:rPr>
          <w:rFonts w:ascii="Verdana" w:hAnsi="Verdana"/>
          <w:sz w:val="20"/>
          <w:szCs w:val="20"/>
        </w:rPr>
        <w:t xml:space="preserve">tan impertinente </w:t>
      </w:r>
      <w:r w:rsidR="00A603A6">
        <w:rPr>
          <w:rFonts w:ascii="Verdana" w:hAnsi="Verdana"/>
          <w:sz w:val="20"/>
          <w:szCs w:val="20"/>
        </w:rPr>
        <w:t xml:space="preserve">(desde una perspectiva procesal) </w:t>
      </w:r>
      <w:r w:rsidR="00DB676C">
        <w:rPr>
          <w:rFonts w:ascii="Verdana" w:hAnsi="Verdana"/>
          <w:sz w:val="20"/>
          <w:szCs w:val="20"/>
        </w:rPr>
        <w:t xml:space="preserve">la declaración, puesto que el Estado tuvo en su momento </w:t>
      </w:r>
      <w:r w:rsidR="00544C3D">
        <w:rPr>
          <w:rFonts w:ascii="Verdana" w:hAnsi="Verdana"/>
          <w:sz w:val="20"/>
          <w:szCs w:val="20"/>
        </w:rPr>
        <w:t xml:space="preserve">la oportunidad </w:t>
      </w:r>
      <w:r w:rsidR="00DB676C">
        <w:rPr>
          <w:rFonts w:ascii="Verdana" w:hAnsi="Verdana"/>
          <w:sz w:val="20"/>
          <w:szCs w:val="20"/>
        </w:rPr>
        <w:t>de presentar su posición sobre el tema.</w:t>
      </w:r>
      <w:r w:rsidR="00857CD1">
        <w:rPr>
          <w:rFonts w:ascii="Verdana" w:hAnsi="Verdana"/>
          <w:sz w:val="20"/>
          <w:szCs w:val="20"/>
        </w:rPr>
        <w:t xml:space="preserve"> Sin embargo, arribar a la conclusión de esta Sentencia sin el debido debate entre las partes, puede ser visto por los Estados como una decisión arbitraria y precipitada del Tribunal, lo cual pone en grave riesgo la legitimidad del mismo. </w:t>
      </w:r>
    </w:p>
    <w:p w14:paraId="167F6D34" w14:textId="77777777" w:rsidR="007457AD" w:rsidRPr="007457AD" w:rsidRDefault="007457AD" w:rsidP="007457AD">
      <w:pPr>
        <w:pStyle w:val="ListParagraph"/>
        <w:rPr>
          <w:rFonts w:ascii="Verdana" w:hAnsi="Verdana"/>
          <w:sz w:val="20"/>
          <w:szCs w:val="20"/>
        </w:rPr>
      </w:pPr>
    </w:p>
    <w:p w14:paraId="34E68897" w14:textId="76330EAE" w:rsidR="007457AD" w:rsidRDefault="007457AD" w:rsidP="007457AD">
      <w:pPr>
        <w:pStyle w:val="ListParagraph"/>
        <w:numPr>
          <w:ilvl w:val="0"/>
          <w:numId w:val="12"/>
        </w:numPr>
        <w:spacing w:after="0" w:line="240" w:lineRule="auto"/>
        <w:ind w:left="0" w:firstLine="0"/>
        <w:jc w:val="both"/>
        <w:rPr>
          <w:rFonts w:ascii="Verdana" w:hAnsi="Verdana" w:cs="Arial"/>
          <w:sz w:val="20"/>
          <w:szCs w:val="20"/>
        </w:rPr>
      </w:pPr>
      <w:r>
        <w:rPr>
          <w:rFonts w:ascii="Verdana" w:hAnsi="Verdana" w:cs="Arial"/>
          <w:sz w:val="20"/>
          <w:szCs w:val="20"/>
        </w:rPr>
        <w:lastRenderedPageBreak/>
        <w:t xml:space="preserve">El debido respeto y acatamiento de las decisiones de la Corte es indispensable para lograr que las sentencias condenatorias de los Estados por desconocimiento de derecho humanos se conviertan no solo en un mecanismo de reparación de las víctimas, sino que además sirvan como catalizador positivo de transformaciones estructurales en la sociedad y en el aparato estatal.  Las decisiones judiciales por un tribunal internacional sobre la utilización y distribución adecuada de recursos económicos, escasos por definición, conlleva una intervención particularmente intensa en los asuntos internos </w:t>
      </w:r>
      <w:r w:rsidR="00234CA9">
        <w:rPr>
          <w:rFonts w:ascii="Verdana" w:hAnsi="Verdana" w:cs="Arial"/>
          <w:sz w:val="20"/>
          <w:szCs w:val="20"/>
        </w:rPr>
        <w:t xml:space="preserve">y por esto </w:t>
      </w:r>
      <w:r>
        <w:rPr>
          <w:rFonts w:ascii="Verdana" w:hAnsi="Verdana" w:cs="Arial"/>
          <w:sz w:val="20"/>
          <w:szCs w:val="20"/>
        </w:rPr>
        <w:t>requieren una legitimidad que solo podría derivarse de una manifestación explicita.</w:t>
      </w:r>
    </w:p>
    <w:p w14:paraId="1D54504A" w14:textId="77777777" w:rsidR="007457AD" w:rsidRPr="007457AD" w:rsidRDefault="007457AD" w:rsidP="007457AD">
      <w:pPr>
        <w:pStyle w:val="ListParagraph"/>
        <w:rPr>
          <w:rFonts w:ascii="Verdana" w:hAnsi="Verdana" w:cs="Arial"/>
          <w:sz w:val="20"/>
          <w:szCs w:val="20"/>
        </w:rPr>
      </w:pPr>
    </w:p>
    <w:p w14:paraId="11F1E1D2" w14:textId="16AA99DC" w:rsidR="00F80470" w:rsidRPr="002D14F0" w:rsidRDefault="002D14F0" w:rsidP="002D14F0">
      <w:pPr>
        <w:pStyle w:val="ListParagraph"/>
        <w:numPr>
          <w:ilvl w:val="0"/>
          <w:numId w:val="12"/>
        </w:numPr>
        <w:spacing w:after="0" w:line="240" w:lineRule="auto"/>
        <w:ind w:left="0" w:firstLine="0"/>
        <w:jc w:val="both"/>
        <w:rPr>
          <w:rFonts w:ascii="Verdana" w:hAnsi="Verdana"/>
          <w:sz w:val="20"/>
          <w:szCs w:val="20"/>
        </w:rPr>
      </w:pPr>
      <w:r>
        <w:rPr>
          <w:rFonts w:ascii="Verdana" w:hAnsi="Verdana" w:cs="Arial"/>
          <w:sz w:val="20"/>
          <w:szCs w:val="20"/>
        </w:rPr>
        <w:t xml:space="preserve">Al declarar </w:t>
      </w:r>
      <w:r w:rsidR="00F80470" w:rsidRPr="00F80470">
        <w:rPr>
          <w:rFonts w:ascii="Verdana" w:hAnsi="Verdana" w:cs="Arial"/>
          <w:sz w:val="20"/>
          <w:szCs w:val="20"/>
        </w:rPr>
        <w:t xml:space="preserve">violado el </w:t>
      </w:r>
      <w:r w:rsidRPr="00F80470">
        <w:rPr>
          <w:rFonts w:ascii="Verdana" w:hAnsi="Verdana" w:cs="Arial"/>
          <w:sz w:val="20"/>
          <w:szCs w:val="20"/>
        </w:rPr>
        <w:t>artículo</w:t>
      </w:r>
      <w:r w:rsidR="00F80470" w:rsidRPr="00F80470">
        <w:rPr>
          <w:rFonts w:ascii="Verdana" w:hAnsi="Verdana" w:cs="Arial"/>
          <w:sz w:val="20"/>
          <w:szCs w:val="20"/>
        </w:rPr>
        <w:t xml:space="preserve"> 26 </w:t>
      </w:r>
      <w:r>
        <w:rPr>
          <w:rFonts w:ascii="Verdana" w:hAnsi="Verdana" w:cs="Arial"/>
          <w:sz w:val="20"/>
          <w:szCs w:val="20"/>
        </w:rPr>
        <w:t xml:space="preserve">las sentencias </w:t>
      </w:r>
      <w:r w:rsidR="00234CA9">
        <w:rPr>
          <w:rFonts w:ascii="Verdana" w:hAnsi="Verdana" w:cs="Arial"/>
          <w:sz w:val="20"/>
          <w:szCs w:val="20"/>
        </w:rPr>
        <w:t xml:space="preserve">podrán, y en ocasiones deberán, </w:t>
      </w:r>
      <w:r>
        <w:rPr>
          <w:rFonts w:ascii="Verdana" w:hAnsi="Verdana" w:cs="Arial"/>
          <w:sz w:val="20"/>
          <w:szCs w:val="20"/>
        </w:rPr>
        <w:t xml:space="preserve">establecer </w:t>
      </w:r>
      <w:r w:rsidR="00F80470">
        <w:rPr>
          <w:rFonts w:ascii="Verdana" w:hAnsi="Verdana" w:cs="Arial"/>
          <w:sz w:val="20"/>
          <w:szCs w:val="20"/>
        </w:rPr>
        <w:t xml:space="preserve"> reparaci</w:t>
      </w:r>
      <w:r>
        <w:rPr>
          <w:rFonts w:ascii="Verdana" w:hAnsi="Verdana" w:cs="Arial"/>
          <w:sz w:val="20"/>
          <w:szCs w:val="20"/>
        </w:rPr>
        <w:t>ones</w:t>
      </w:r>
      <w:r w:rsidR="00F80470">
        <w:rPr>
          <w:rFonts w:ascii="Verdana" w:hAnsi="Verdana" w:cs="Arial"/>
          <w:sz w:val="20"/>
          <w:szCs w:val="20"/>
        </w:rPr>
        <w:t xml:space="preserve"> que ten</w:t>
      </w:r>
      <w:r>
        <w:rPr>
          <w:rFonts w:ascii="Verdana" w:hAnsi="Verdana" w:cs="Arial"/>
          <w:sz w:val="20"/>
          <w:szCs w:val="20"/>
        </w:rPr>
        <w:t>drán</w:t>
      </w:r>
      <w:r w:rsidR="00F80470">
        <w:rPr>
          <w:rFonts w:ascii="Verdana" w:hAnsi="Verdana" w:cs="Arial"/>
          <w:sz w:val="20"/>
          <w:szCs w:val="20"/>
        </w:rPr>
        <w:t xml:space="preserve"> </w:t>
      </w:r>
      <w:r>
        <w:rPr>
          <w:rFonts w:ascii="Verdana" w:hAnsi="Verdana" w:cs="Arial"/>
          <w:sz w:val="20"/>
          <w:szCs w:val="20"/>
        </w:rPr>
        <w:t>incidencia</w:t>
      </w:r>
      <w:r w:rsidR="00F80470">
        <w:rPr>
          <w:rFonts w:ascii="Verdana" w:hAnsi="Verdana" w:cs="Arial"/>
          <w:sz w:val="20"/>
          <w:szCs w:val="20"/>
        </w:rPr>
        <w:t xml:space="preserve"> en materia de políticas públicas </w:t>
      </w:r>
      <w:r>
        <w:rPr>
          <w:rFonts w:ascii="Verdana" w:hAnsi="Verdana" w:cs="Arial"/>
          <w:sz w:val="20"/>
          <w:szCs w:val="20"/>
        </w:rPr>
        <w:t xml:space="preserve">de forma </w:t>
      </w:r>
      <w:r w:rsidR="00F80470">
        <w:rPr>
          <w:rFonts w:ascii="Verdana" w:hAnsi="Verdana" w:cs="Arial"/>
          <w:sz w:val="20"/>
          <w:szCs w:val="20"/>
        </w:rPr>
        <w:t>m</w:t>
      </w:r>
      <w:r>
        <w:rPr>
          <w:rFonts w:ascii="Verdana" w:hAnsi="Verdana" w:cs="Arial"/>
          <w:sz w:val="20"/>
          <w:szCs w:val="20"/>
        </w:rPr>
        <w:t>á</w:t>
      </w:r>
      <w:r w:rsidR="00F80470">
        <w:rPr>
          <w:rFonts w:ascii="Verdana" w:hAnsi="Verdana" w:cs="Arial"/>
          <w:sz w:val="20"/>
          <w:szCs w:val="20"/>
        </w:rPr>
        <w:t xml:space="preserve">s acentuada que las hasta ahora tomadas por este tribunal, </w:t>
      </w:r>
      <w:r>
        <w:rPr>
          <w:rFonts w:ascii="Verdana" w:hAnsi="Verdana" w:cs="Arial"/>
          <w:sz w:val="20"/>
          <w:szCs w:val="20"/>
        </w:rPr>
        <w:t>por lo tanto</w:t>
      </w:r>
      <w:r w:rsidR="00F80470">
        <w:rPr>
          <w:rFonts w:ascii="Verdana" w:hAnsi="Verdana" w:cs="Arial"/>
          <w:sz w:val="20"/>
          <w:szCs w:val="20"/>
        </w:rPr>
        <w:t xml:space="preserve"> será necesario que en contextos de precariedad</w:t>
      </w:r>
      <w:r>
        <w:rPr>
          <w:rFonts w:ascii="Verdana" w:hAnsi="Verdana" w:cs="Arial"/>
          <w:sz w:val="20"/>
          <w:szCs w:val="20"/>
        </w:rPr>
        <w:t xml:space="preserve"> y de restricciones presupuestarias</w:t>
      </w:r>
      <w:r w:rsidR="00F80470" w:rsidRPr="002D14F0">
        <w:rPr>
          <w:rFonts w:ascii="Verdana" w:hAnsi="Verdana" w:cs="Arial"/>
          <w:sz w:val="20"/>
          <w:szCs w:val="20"/>
        </w:rPr>
        <w:t>, propios de la mayor parte de nuestros Estados</w:t>
      </w:r>
      <w:r>
        <w:rPr>
          <w:rFonts w:ascii="Verdana" w:hAnsi="Verdana" w:cs="Arial"/>
          <w:sz w:val="20"/>
          <w:szCs w:val="20"/>
        </w:rPr>
        <w:t>,</w:t>
      </w:r>
      <w:r w:rsidR="00F80470" w:rsidRPr="002D14F0">
        <w:rPr>
          <w:rFonts w:ascii="Verdana" w:hAnsi="Verdana" w:cs="Arial"/>
          <w:sz w:val="20"/>
          <w:szCs w:val="20"/>
        </w:rPr>
        <w:t xml:space="preserve"> se establezca relaciones de disponibilidad económica que permitan reorientar las prioridades de inversión de recursos escasos. En este orden de ideas, no es irrelevante la manera como se fundamenta y legitima la competencia de la Corte Interamericana.</w:t>
      </w:r>
    </w:p>
    <w:p w14:paraId="207868CE" w14:textId="77777777" w:rsidR="00BF128B" w:rsidRPr="00CF1E18" w:rsidRDefault="00BF128B" w:rsidP="00CF1E18">
      <w:pPr>
        <w:spacing w:after="0" w:line="240" w:lineRule="auto"/>
        <w:jc w:val="both"/>
        <w:rPr>
          <w:rFonts w:ascii="Verdana" w:hAnsi="Verdana" w:cs="Arial"/>
          <w:sz w:val="20"/>
          <w:szCs w:val="20"/>
        </w:rPr>
      </w:pPr>
    </w:p>
    <w:p w14:paraId="021F958C" w14:textId="4F1521DA" w:rsidR="001612F6" w:rsidRPr="00857CD1" w:rsidRDefault="001612F6" w:rsidP="00857CD1">
      <w:pPr>
        <w:pStyle w:val="ListParagraph"/>
        <w:numPr>
          <w:ilvl w:val="0"/>
          <w:numId w:val="11"/>
        </w:numPr>
        <w:spacing w:after="0" w:line="240" w:lineRule="auto"/>
        <w:jc w:val="both"/>
        <w:rPr>
          <w:rFonts w:ascii="Verdana" w:hAnsi="Verdana" w:cs="Arial"/>
          <w:b/>
          <w:sz w:val="20"/>
          <w:szCs w:val="20"/>
        </w:rPr>
      </w:pPr>
      <w:r w:rsidRPr="00857CD1">
        <w:rPr>
          <w:rFonts w:ascii="Verdana" w:hAnsi="Verdana" w:cs="Arial"/>
          <w:b/>
          <w:sz w:val="20"/>
          <w:szCs w:val="20"/>
        </w:rPr>
        <w:t>FAL</w:t>
      </w:r>
      <w:r w:rsidR="00F31EBF">
        <w:rPr>
          <w:rFonts w:ascii="Verdana" w:hAnsi="Verdana" w:cs="Arial"/>
          <w:b/>
          <w:sz w:val="20"/>
          <w:szCs w:val="20"/>
        </w:rPr>
        <w:t xml:space="preserve">ENCIAS ARGUMENTATIVAS DE LA SENTENCIA </w:t>
      </w:r>
    </w:p>
    <w:p w14:paraId="238F38BC" w14:textId="77777777" w:rsidR="00544C3D" w:rsidRPr="000E4B5D" w:rsidRDefault="00544C3D" w:rsidP="00544C3D">
      <w:pPr>
        <w:spacing w:after="0" w:line="240" w:lineRule="auto"/>
        <w:jc w:val="both"/>
        <w:rPr>
          <w:rFonts w:ascii="Verdana" w:hAnsi="Verdana"/>
          <w:sz w:val="20"/>
          <w:szCs w:val="20"/>
        </w:rPr>
      </w:pPr>
    </w:p>
    <w:p w14:paraId="3CF45F7B" w14:textId="263A961B" w:rsidR="001612F6" w:rsidRDefault="00594D19" w:rsidP="00544C3D">
      <w:pPr>
        <w:pStyle w:val="ListParagraph"/>
        <w:numPr>
          <w:ilvl w:val="0"/>
          <w:numId w:val="12"/>
        </w:numPr>
        <w:spacing w:after="0" w:line="240" w:lineRule="auto"/>
        <w:ind w:left="0" w:firstLine="0"/>
        <w:jc w:val="both"/>
        <w:rPr>
          <w:rFonts w:ascii="Verdana" w:hAnsi="Verdana" w:cs="Arial"/>
          <w:sz w:val="20"/>
          <w:szCs w:val="20"/>
        </w:rPr>
      </w:pPr>
      <w:r w:rsidRPr="008E47DC">
        <w:rPr>
          <w:rFonts w:ascii="Verdana" w:hAnsi="Verdana" w:cs="Arial"/>
          <w:sz w:val="20"/>
          <w:szCs w:val="20"/>
        </w:rPr>
        <w:t xml:space="preserve">Además </w:t>
      </w:r>
      <w:r w:rsidR="00544C3D">
        <w:rPr>
          <w:rFonts w:ascii="Verdana" w:hAnsi="Verdana" w:cs="Arial"/>
          <w:sz w:val="20"/>
          <w:szCs w:val="20"/>
        </w:rPr>
        <w:t xml:space="preserve">de </w:t>
      </w:r>
      <w:r w:rsidR="00F31EBF">
        <w:rPr>
          <w:rFonts w:ascii="Verdana" w:hAnsi="Verdana" w:cs="Arial"/>
          <w:sz w:val="20"/>
          <w:szCs w:val="20"/>
        </w:rPr>
        <w:t>las razones que he expuesto</w:t>
      </w:r>
      <w:r w:rsidR="00544C3D">
        <w:rPr>
          <w:rFonts w:ascii="Verdana" w:hAnsi="Verdana" w:cs="Arial"/>
          <w:sz w:val="20"/>
          <w:szCs w:val="20"/>
        </w:rPr>
        <w:t xml:space="preserve">, me parece necesario </w:t>
      </w:r>
      <w:r w:rsidR="00B902BF">
        <w:rPr>
          <w:rFonts w:ascii="Verdana" w:hAnsi="Verdana" w:cs="Arial"/>
          <w:sz w:val="20"/>
          <w:szCs w:val="20"/>
        </w:rPr>
        <w:t xml:space="preserve">evidenciar las fallas argumentativas de la presente Sentencia, pues ello muestra que la decisión </w:t>
      </w:r>
      <w:r w:rsidR="00F31EBF">
        <w:rPr>
          <w:rFonts w:ascii="Verdana" w:hAnsi="Verdana" w:cs="Arial"/>
          <w:sz w:val="20"/>
          <w:szCs w:val="20"/>
        </w:rPr>
        <w:t>relacionada con la vulneración del artículo 26 no fue objeto del exhaustivo análisis que requería</w:t>
      </w:r>
      <w:r w:rsidR="00B902BF">
        <w:rPr>
          <w:rFonts w:ascii="Verdana" w:hAnsi="Verdana" w:cs="Arial"/>
          <w:sz w:val="20"/>
          <w:szCs w:val="20"/>
        </w:rPr>
        <w:t xml:space="preserve">. Para ello, haré referencia a </w:t>
      </w:r>
      <w:r w:rsidR="00346F34">
        <w:rPr>
          <w:rFonts w:ascii="Verdana" w:hAnsi="Verdana" w:cs="Arial"/>
          <w:sz w:val="20"/>
          <w:szCs w:val="20"/>
        </w:rPr>
        <w:t>tres</w:t>
      </w:r>
      <w:r w:rsidR="00B902BF">
        <w:rPr>
          <w:rFonts w:ascii="Verdana" w:hAnsi="Verdana" w:cs="Arial"/>
          <w:sz w:val="20"/>
          <w:szCs w:val="20"/>
        </w:rPr>
        <w:t xml:space="preserve"> problemas principales</w:t>
      </w:r>
      <w:r w:rsidR="00AF792A">
        <w:rPr>
          <w:rFonts w:ascii="Verdana" w:hAnsi="Verdana" w:cs="Arial"/>
          <w:sz w:val="20"/>
          <w:szCs w:val="20"/>
        </w:rPr>
        <w:t>, como lo son</w:t>
      </w:r>
      <w:r w:rsidR="00346F34">
        <w:rPr>
          <w:rFonts w:ascii="Verdana" w:hAnsi="Verdana" w:cs="Arial"/>
          <w:sz w:val="20"/>
          <w:szCs w:val="20"/>
        </w:rPr>
        <w:t>: i)</w:t>
      </w:r>
      <w:r w:rsidR="00AF792A">
        <w:rPr>
          <w:rFonts w:ascii="Verdana" w:hAnsi="Verdana" w:cs="Arial"/>
          <w:sz w:val="20"/>
          <w:szCs w:val="20"/>
        </w:rPr>
        <w:t xml:space="preserve"> la falta de motivación expresa para argumentar el cambio jurisprudencial </w:t>
      </w:r>
      <w:r w:rsidR="00595AF2">
        <w:rPr>
          <w:rFonts w:ascii="Verdana" w:hAnsi="Verdana" w:cs="Arial"/>
          <w:sz w:val="20"/>
          <w:szCs w:val="20"/>
        </w:rPr>
        <w:t>realizado</w:t>
      </w:r>
      <w:r w:rsidR="00346F34">
        <w:rPr>
          <w:rFonts w:ascii="Verdana" w:hAnsi="Verdana" w:cs="Arial"/>
          <w:sz w:val="20"/>
          <w:szCs w:val="20"/>
        </w:rPr>
        <w:t>; ii)</w:t>
      </w:r>
      <w:r w:rsidR="00595AF2">
        <w:rPr>
          <w:rFonts w:ascii="Verdana" w:hAnsi="Verdana" w:cs="Arial"/>
          <w:sz w:val="20"/>
          <w:szCs w:val="20"/>
        </w:rPr>
        <w:t xml:space="preserve"> la utilización de un solo de método de interpretación para arribar a la decisión</w:t>
      </w:r>
      <w:r w:rsidR="00346F34">
        <w:rPr>
          <w:rFonts w:ascii="Verdana" w:hAnsi="Verdana" w:cs="Arial"/>
          <w:sz w:val="20"/>
          <w:szCs w:val="20"/>
        </w:rPr>
        <w:t>, y iii) la confusión entre existencia del derecho y competencia de la Corte IDH</w:t>
      </w:r>
      <w:r w:rsidR="00595AF2">
        <w:rPr>
          <w:rFonts w:ascii="Verdana" w:hAnsi="Verdana" w:cs="Arial"/>
          <w:sz w:val="20"/>
          <w:szCs w:val="20"/>
        </w:rPr>
        <w:t>.</w:t>
      </w:r>
    </w:p>
    <w:p w14:paraId="7CD0A19A" w14:textId="77777777" w:rsidR="00BF128B" w:rsidRDefault="00BF128B" w:rsidP="00595AF2">
      <w:pPr>
        <w:pStyle w:val="ListParagraph"/>
        <w:spacing w:after="0" w:line="240" w:lineRule="auto"/>
        <w:ind w:left="0"/>
        <w:jc w:val="both"/>
        <w:rPr>
          <w:rFonts w:ascii="Verdana" w:hAnsi="Verdana" w:cs="Arial"/>
          <w:sz w:val="20"/>
          <w:szCs w:val="20"/>
        </w:rPr>
      </w:pPr>
    </w:p>
    <w:p w14:paraId="06C2DE13" w14:textId="5566331C" w:rsidR="00BF128B" w:rsidRPr="00BF128B" w:rsidRDefault="00BF128B" w:rsidP="00BF128B">
      <w:pPr>
        <w:pStyle w:val="ListParagraph"/>
        <w:numPr>
          <w:ilvl w:val="0"/>
          <w:numId w:val="14"/>
        </w:numPr>
        <w:spacing w:after="0" w:line="240" w:lineRule="auto"/>
        <w:jc w:val="both"/>
        <w:rPr>
          <w:rFonts w:ascii="Verdana" w:hAnsi="Verdana" w:cs="Arial"/>
          <w:b/>
          <w:sz w:val="20"/>
          <w:szCs w:val="20"/>
        </w:rPr>
      </w:pPr>
      <w:r w:rsidRPr="00BF128B">
        <w:rPr>
          <w:rFonts w:ascii="Verdana" w:hAnsi="Verdana" w:cs="Arial"/>
          <w:b/>
          <w:sz w:val="20"/>
          <w:szCs w:val="20"/>
        </w:rPr>
        <w:t>falta de motivación expresa para argumentar el cambio jurisprudencial realizado</w:t>
      </w:r>
    </w:p>
    <w:p w14:paraId="4CC3A957" w14:textId="77777777" w:rsidR="00BF128B" w:rsidRPr="00BF128B" w:rsidRDefault="00BF128B" w:rsidP="00BF128B">
      <w:pPr>
        <w:pStyle w:val="ListParagraph"/>
        <w:spacing w:after="0" w:line="240" w:lineRule="auto"/>
        <w:jc w:val="both"/>
        <w:rPr>
          <w:rFonts w:ascii="Verdana" w:hAnsi="Verdana" w:cs="Arial"/>
          <w:b/>
          <w:sz w:val="20"/>
          <w:szCs w:val="20"/>
        </w:rPr>
      </w:pPr>
    </w:p>
    <w:p w14:paraId="52EC3CCA" w14:textId="4EAB0F1E" w:rsidR="00CA603D" w:rsidRDefault="00595AF2" w:rsidP="006A676B">
      <w:pPr>
        <w:pStyle w:val="ListParagraph"/>
        <w:numPr>
          <w:ilvl w:val="0"/>
          <w:numId w:val="12"/>
        </w:numPr>
        <w:spacing w:after="0" w:line="240" w:lineRule="auto"/>
        <w:ind w:left="0" w:firstLine="0"/>
        <w:jc w:val="both"/>
        <w:rPr>
          <w:rFonts w:ascii="Verdana" w:hAnsi="Verdana" w:cs="Arial"/>
          <w:sz w:val="20"/>
          <w:szCs w:val="20"/>
        </w:rPr>
      </w:pPr>
      <w:r>
        <w:rPr>
          <w:rFonts w:ascii="Verdana" w:hAnsi="Verdana" w:cs="Arial"/>
          <w:sz w:val="20"/>
          <w:szCs w:val="20"/>
        </w:rPr>
        <w:t xml:space="preserve">En primer lugar, debo indicar que la Sentencia omite por completo </w:t>
      </w:r>
      <w:r w:rsidR="00AB3479">
        <w:rPr>
          <w:rFonts w:ascii="Verdana" w:hAnsi="Verdana" w:cs="Arial"/>
          <w:sz w:val="20"/>
          <w:szCs w:val="20"/>
        </w:rPr>
        <w:t xml:space="preserve">explicar el cambio de precedente, pues </w:t>
      </w:r>
      <w:r w:rsidR="00941E19">
        <w:rPr>
          <w:rFonts w:ascii="Verdana" w:hAnsi="Verdana" w:cs="Arial"/>
          <w:sz w:val="20"/>
          <w:szCs w:val="20"/>
        </w:rPr>
        <w:t>actúa</w:t>
      </w:r>
      <w:r w:rsidR="00AB3479">
        <w:rPr>
          <w:rFonts w:ascii="Verdana" w:hAnsi="Verdana" w:cs="Arial"/>
          <w:sz w:val="20"/>
          <w:szCs w:val="20"/>
        </w:rPr>
        <w:t xml:space="preserve"> como s</w:t>
      </w:r>
      <w:r w:rsidR="00A603A6">
        <w:rPr>
          <w:rFonts w:ascii="Verdana" w:hAnsi="Verdana" w:cs="Arial"/>
          <w:sz w:val="20"/>
          <w:szCs w:val="20"/>
        </w:rPr>
        <w:t>i</w:t>
      </w:r>
      <w:r w:rsidR="00AB3479">
        <w:rPr>
          <w:rFonts w:ascii="Verdana" w:hAnsi="Verdana" w:cs="Arial"/>
          <w:sz w:val="20"/>
          <w:szCs w:val="20"/>
        </w:rPr>
        <w:t xml:space="preserve"> estuviese reiterando jurisprudencia, lo cual es absolutamente falaz. </w:t>
      </w:r>
      <w:r w:rsidR="00CA603D">
        <w:rPr>
          <w:rFonts w:ascii="Verdana" w:hAnsi="Verdana" w:cs="Arial"/>
          <w:sz w:val="20"/>
          <w:szCs w:val="20"/>
        </w:rPr>
        <w:t xml:space="preserve">Esto genera </w:t>
      </w:r>
      <w:r w:rsidR="00346F34">
        <w:rPr>
          <w:rFonts w:ascii="Verdana" w:hAnsi="Verdana" w:cs="Arial"/>
          <w:sz w:val="20"/>
          <w:szCs w:val="20"/>
        </w:rPr>
        <w:t>dos</w:t>
      </w:r>
      <w:r w:rsidR="00CA603D">
        <w:rPr>
          <w:rFonts w:ascii="Verdana" w:hAnsi="Verdana" w:cs="Arial"/>
          <w:sz w:val="20"/>
          <w:szCs w:val="20"/>
        </w:rPr>
        <w:t xml:space="preserve"> fallas argumentativas diferenciadas. La primera es la omisión argumentativa que muestre las razones por las cuales la Corte IDH decidió hacer un cambio de precedente. El segundo es darle el valor de precedente a una decisión judicial en particular, con el fin de ocultar que lo que realmente se está frente una nueva posición judicial.</w:t>
      </w:r>
    </w:p>
    <w:p w14:paraId="2A5CC1A5" w14:textId="77777777" w:rsidR="00CA603D" w:rsidRPr="00CA603D" w:rsidRDefault="00CA603D" w:rsidP="00CA603D">
      <w:pPr>
        <w:spacing w:after="0" w:line="240" w:lineRule="auto"/>
        <w:jc w:val="both"/>
        <w:rPr>
          <w:rFonts w:ascii="Verdana" w:hAnsi="Verdana" w:cs="Arial"/>
          <w:sz w:val="20"/>
          <w:szCs w:val="20"/>
        </w:rPr>
      </w:pPr>
    </w:p>
    <w:p w14:paraId="157289B8" w14:textId="2B6C2E56" w:rsidR="00943EEC" w:rsidRDefault="00CA603D" w:rsidP="006A676B">
      <w:pPr>
        <w:pStyle w:val="ListParagraph"/>
        <w:numPr>
          <w:ilvl w:val="0"/>
          <w:numId w:val="12"/>
        </w:numPr>
        <w:spacing w:after="0" w:line="240" w:lineRule="auto"/>
        <w:ind w:left="0" w:firstLine="0"/>
        <w:jc w:val="both"/>
        <w:rPr>
          <w:rFonts w:ascii="Verdana" w:hAnsi="Verdana" w:cs="Arial"/>
          <w:sz w:val="20"/>
          <w:szCs w:val="20"/>
        </w:rPr>
      </w:pPr>
      <w:r>
        <w:rPr>
          <w:rFonts w:ascii="Verdana" w:hAnsi="Verdana" w:cs="Arial"/>
          <w:sz w:val="20"/>
          <w:szCs w:val="20"/>
        </w:rPr>
        <w:t>Respecto al primer punto</w:t>
      </w:r>
      <w:r w:rsidR="00F92972">
        <w:rPr>
          <w:rFonts w:ascii="Verdana" w:hAnsi="Verdana" w:cs="Arial"/>
          <w:sz w:val="20"/>
          <w:szCs w:val="20"/>
        </w:rPr>
        <w:t xml:space="preserve">, es claro que los tribunales deben ser consistentes con sus decisiones previas, esta es una de las exigencias básicas no sólo desde la perspectiva de la teoría de argumentación jurídica, sino también es un elemento indispensable para garantizar la seguridad jurídica y la efectiva aplicación del principio de igualdad a los destinatarios de sus decisiones. Los cambios súbitos e injustificados de jurisprudencia, resultan arbitrarios y minan la legitimidad de los órganos judiciales. </w:t>
      </w:r>
    </w:p>
    <w:p w14:paraId="09044676" w14:textId="1F9BE924" w:rsidR="00CA603D" w:rsidRPr="00CA603D" w:rsidRDefault="00CA603D" w:rsidP="0031374E">
      <w:pPr>
        <w:pStyle w:val="ListParagraph"/>
        <w:spacing w:after="0" w:line="240" w:lineRule="auto"/>
        <w:ind w:left="0"/>
        <w:jc w:val="both"/>
        <w:rPr>
          <w:rFonts w:ascii="Verdana" w:hAnsi="Verdana" w:cs="Arial"/>
          <w:sz w:val="20"/>
          <w:szCs w:val="20"/>
        </w:rPr>
      </w:pPr>
    </w:p>
    <w:p w14:paraId="03671685" w14:textId="59D4EBEC" w:rsidR="00A17F47" w:rsidRPr="00C7635F" w:rsidRDefault="007905F2" w:rsidP="007905F2">
      <w:pPr>
        <w:pStyle w:val="ListParagraph"/>
        <w:numPr>
          <w:ilvl w:val="0"/>
          <w:numId w:val="12"/>
        </w:numPr>
        <w:spacing w:after="0" w:line="240" w:lineRule="auto"/>
        <w:ind w:left="0" w:firstLine="0"/>
        <w:jc w:val="both"/>
        <w:rPr>
          <w:rFonts w:ascii="Verdana" w:hAnsi="Verdana" w:cs="Arial"/>
          <w:sz w:val="20"/>
          <w:szCs w:val="20"/>
        </w:rPr>
      </w:pPr>
      <w:r>
        <w:rPr>
          <w:rFonts w:ascii="Verdana" w:hAnsi="Verdana" w:cs="Arial"/>
          <w:sz w:val="20"/>
          <w:szCs w:val="20"/>
        </w:rPr>
        <w:t xml:space="preserve">Lo anterior implica que en la presente Sentencia era imperante que se reconociera que se estaba realizando un cambio jurisprudencial, que se alejaba de la posición de las decisiones anteriores que al respecto </w:t>
      </w:r>
      <w:r w:rsidR="00941E19">
        <w:rPr>
          <w:rFonts w:ascii="Verdana" w:hAnsi="Verdana" w:cs="Arial"/>
          <w:sz w:val="20"/>
          <w:szCs w:val="20"/>
        </w:rPr>
        <w:t>h</w:t>
      </w:r>
      <w:r>
        <w:rPr>
          <w:rFonts w:ascii="Verdana" w:hAnsi="Verdana" w:cs="Arial"/>
          <w:sz w:val="20"/>
          <w:szCs w:val="20"/>
        </w:rPr>
        <w:t xml:space="preserve">a tomado la Corte IDH y explicara con </w:t>
      </w:r>
      <w:r w:rsidR="00941E19">
        <w:rPr>
          <w:rFonts w:ascii="Verdana" w:hAnsi="Verdana" w:cs="Arial"/>
          <w:sz w:val="20"/>
          <w:szCs w:val="20"/>
        </w:rPr>
        <w:t>fundamentos</w:t>
      </w:r>
      <w:r w:rsidR="00A17F47">
        <w:rPr>
          <w:rFonts w:ascii="Verdana" w:hAnsi="Verdana" w:cs="Arial"/>
          <w:sz w:val="20"/>
          <w:szCs w:val="20"/>
        </w:rPr>
        <w:t xml:space="preserve"> </w:t>
      </w:r>
      <w:r>
        <w:rPr>
          <w:rFonts w:ascii="Verdana" w:hAnsi="Verdana" w:cs="Arial"/>
          <w:sz w:val="20"/>
          <w:szCs w:val="20"/>
        </w:rPr>
        <w:t xml:space="preserve">de mucho peso las razones por las cuales consideraba necesario realizar dicho cambio. </w:t>
      </w:r>
      <w:r w:rsidR="00F92972">
        <w:rPr>
          <w:rFonts w:ascii="Verdana" w:hAnsi="Verdana" w:cs="Arial"/>
          <w:sz w:val="20"/>
          <w:szCs w:val="20"/>
        </w:rPr>
        <w:t>L</w:t>
      </w:r>
      <w:r>
        <w:rPr>
          <w:rFonts w:ascii="Verdana" w:hAnsi="Verdana" w:cs="Arial"/>
          <w:sz w:val="20"/>
          <w:szCs w:val="20"/>
        </w:rPr>
        <w:t xml:space="preserve">os valores en juego son la seguridad jurídica y el derecho a la igualdad, por lo que </w:t>
      </w:r>
      <w:r w:rsidR="00A17F47">
        <w:rPr>
          <w:rFonts w:ascii="Verdana" w:hAnsi="Verdana" w:cs="Arial"/>
          <w:sz w:val="20"/>
          <w:szCs w:val="20"/>
        </w:rPr>
        <w:t xml:space="preserve">los Estados y todas las personas sujetas a la </w:t>
      </w:r>
      <w:r w:rsidR="00A17F47">
        <w:rPr>
          <w:rFonts w:ascii="Verdana" w:hAnsi="Verdana" w:cs="Arial"/>
          <w:sz w:val="20"/>
          <w:szCs w:val="20"/>
        </w:rPr>
        <w:lastRenderedPageBreak/>
        <w:t xml:space="preserve">jurisdicción de la Convención Americana deben entender las razones de mucho peso que tuvo el Tribunal para variar su precedente. </w:t>
      </w:r>
      <w:r w:rsidR="00C7635F">
        <w:rPr>
          <w:rFonts w:ascii="Verdana" w:hAnsi="Verdana" w:cs="Arial"/>
          <w:sz w:val="20"/>
          <w:szCs w:val="20"/>
        </w:rPr>
        <w:t xml:space="preserve">Más si se tiene en cuenta que este no es un simple cambio jurisprudencial, pues </w:t>
      </w:r>
      <w:r w:rsidR="00A17F47" w:rsidRPr="00C7635F">
        <w:rPr>
          <w:rFonts w:ascii="Verdana" w:hAnsi="Verdana" w:cs="Arial"/>
          <w:sz w:val="20"/>
          <w:szCs w:val="20"/>
        </w:rPr>
        <w:t xml:space="preserve">en el fondo lo que se hace </w:t>
      </w:r>
      <w:r w:rsidR="00C7635F" w:rsidRPr="00C7635F">
        <w:rPr>
          <w:rFonts w:ascii="Verdana" w:hAnsi="Verdana" w:cs="Arial"/>
          <w:sz w:val="20"/>
          <w:szCs w:val="20"/>
        </w:rPr>
        <w:t xml:space="preserve">en esta Sentencia </w:t>
      </w:r>
      <w:r w:rsidR="00A17F47" w:rsidRPr="00C7635F">
        <w:rPr>
          <w:rFonts w:ascii="Verdana" w:hAnsi="Verdana" w:cs="Arial"/>
          <w:sz w:val="20"/>
          <w:szCs w:val="20"/>
        </w:rPr>
        <w:t>es una mutació</w:t>
      </w:r>
      <w:r w:rsidR="00C7635F" w:rsidRPr="00C7635F">
        <w:rPr>
          <w:rFonts w:ascii="Verdana" w:hAnsi="Verdana" w:cs="Arial"/>
          <w:sz w:val="20"/>
          <w:szCs w:val="20"/>
        </w:rPr>
        <w:t>n de la C</w:t>
      </w:r>
      <w:r w:rsidR="00A17F47" w:rsidRPr="00C7635F">
        <w:rPr>
          <w:rFonts w:ascii="Verdana" w:hAnsi="Verdana" w:cs="Arial"/>
          <w:sz w:val="20"/>
          <w:szCs w:val="20"/>
        </w:rPr>
        <w:t xml:space="preserve">onvención </w:t>
      </w:r>
      <w:r w:rsidR="00C7635F" w:rsidRPr="00C7635F">
        <w:rPr>
          <w:rFonts w:ascii="Verdana" w:hAnsi="Verdana" w:cs="Arial"/>
          <w:sz w:val="20"/>
          <w:szCs w:val="20"/>
        </w:rPr>
        <w:t xml:space="preserve">Americana </w:t>
      </w:r>
      <w:r w:rsidR="00A17F47" w:rsidRPr="00C7635F">
        <w:rPr>
          <w:rFonts w:ascii="Verdana" w:hAnsi="Verdana" w:cs="Arial"/>
          <w:sz w:val="20"/>
          <w:szCs w:val="20"/>
        </w:rPr>
        <w:t>y</w:t>
      </w:r>
      <w:r w:rsidR="00C7635F" w:rsidRPr="00C7635F">
        <w:rPr>
          <w:rFonts w:ascii="Verdana" w:hAnsi="Verdana" w:cs="Arial"/>
          <w:sz w:val="20"/>
          <w:szCs w:val="20"/>
        </w:rPr>
        <w:t>,</w:t>
      </w:r>
      <w:r w:rsidR="00A17F47" w:rsidRPr="00C7635F">
        <w:rPr>
          <w:rFonts w:ascii="Verdana" w:hAnsi="Verdana" w:cs="Arial"/>
          <w:sz w:val="20"/>
          <w:szCs w:val="20"/>
        </w:rPr>
        <w:t xml:space="preserve"> por esta </w:t>
      </w:r>
      <w:r w:rsidR="00941E19" w:rsidRPr="00C7635F">
        <w:rPr>
          <w:rFonts w:ascii="Verdana" w:hAnsi="Verdana" w:cs="Arial"/>
          <w:sz w:val="20"/>
          <w:szCs w:val="20"/>
        </w:rPr>
        <w:t>vía</w:t>
      </w:r>
      <w:r w:rsidR="00A17F47" w:rsidRPr="00C7635F">
        <w:rPr>
          <w:rFonts w:ascii="Verdana" w:hAnsi="Verdana" w:cs="Arial"/>
          <w:sz w:val="20"/>
          <w:szCs w:val="20"/>
        </w:rPr>
        <w:t>, una transformación esencial del sistema de justicia interamericana.</w:t>
      </w:r>
    </w:p>
    <w:p w14:paraId="677C8F62" w14:textId="77777777" w:rsidR="00941E19" w:rsidRPr="00BF128B" w:rsidRDefault="00941E19" w:rsidP="00BF128B">
      <w:pPr>
        <w:pStyle w:val="ListParagraph"/>
        <w:spacing w:after="0" w:line="240" w:lineRule="auto"/>
        <w:jc w:val="both"/>
        <w:rPr>
          <w:rFonts w:ascii="Verdana" w:hAnsi="Verdana" w:cs="Arial"/>
          <w:b/>
          <w:sz w:val="20"/>
          <w:szCs w:val="20"/>
        </w:rPr>
      </w:pPr>
    </w:p>
    <w:p w14:paraId="0473C716" w14:textId="45E27419" w:rsidR="006A676B" w:rsidRDefault="00346F34" w:rsidP="006A676B">
      <w:pPr>
        <w:pStyle w:val="ListParagraph"/>
        <w:numPr>
          <w:ilvl w:val="0"/>
          <w:numId w:val="12"/>
        </w:numPr>
        <w:spacing w:after="0" w:line="240" w:lineRule="auto"/>
        <w:ind w:left="0" w:firstLine="0"/>
        <w:jc w:val="both"/>
        <w:rPr>
          <w:rFonts w:ascii="Verdana" w:hAnsi="Verdana" w:cs="Arial"/>
          <w:sz w:val="20"/>
          <w:szCs w:val="20"/>
        </w:rPr>
      </w:pPr>
      <w:r>
        <w:rPr>
          <w:rFonts w:ascii="Verdana" w:hAnsi="Verdana" w:cs="Arial"/>
          <w:sz w:val="20"/>
          <w:szCs w:val="20"/>
        </w:rPr>
        <w:t>Con relación al segundo punto</w:t>
      </w:r>
      <w:r w:rsidR="006A676B">
        <w:rPr>
          <w:rFonts w:ascii="Verdana" w:hAnsi="Verdana" w:cs="Arial"/>
          <w:sz w:val="20"/>
          <w:szCs w:val="20"/>
        </w:rPr>
        <w:t>,</w:t>
      </w:r>
      <w:r w:rsidR="00A17F47">
        <w:rPr>
          <w:rFonts w:ascii="Verdana" w:hAnsi="Verdana" w:cs="Arial"/>
          <w:sz w:val="20"/>
          <w:szCs w:val="20"/>
        </w:rPr>
        <w:t xml:space="preserve"> </w:t>
      </w:r>
      <w:r w:rsidR="00DF00FF">
        <w:rPr>
          <w:rFonts w:ascii="Verdana" w:hAnsi="Verdana" w:cs="Arial"/>
          <w:sz w:val="20"/>
          <w:szCs w:val="20"/>
        </w:rPr>
        <w:t>la Sentencia no sólo, no realiza un</w:t>
      </w:r>
      <w:r w:rsidR="00A17F47">
        <w:rPr>
          <w:rFonts w:ascii="Verdana" w:hAnsi="Verdana" w:cs="Arial"/>
          <w:sz w:val="20"/>
          <w:szCs w:val="20"/>
        </w:rPr>
        <w:t xml:space="preserve"> cambio jurisprudencial, sino que además pretende hacer creer al lector que lo que está realizando es una reiteración jurisprude</w:t>
      </w:r>
      <w:r w:rsidR="00941E19">
        <w:rPr>
          <w:rFonts w:ascii="Verdana" w:hAnsi="Verdana" w:cs="Arial"/>
          <w:sz w:val="20"/>
          <w:szCs w:val="20"/>
        </w:rPr>
        <w:t>n</w:t>
      </w:r>
      <w:r w:rsidR="00A17F47">
        <w:rPr>
          <w:rFonts w:ascii="Verdana" w:hAnsi="Verdana" w:cs="Arial"/>
          <w:sz w:val="20"/>
          <w:szCs w:val="20"/>
        </w:rPr>
        <w:t>cial. Al respecto,</w:t>
      </w:r>
      <w:r w:rsidR="006A676B">
        <w:rPr>
          <w:rFonts w:ascii="Verdana" w:hAnsi="Verdana" w:cs="Arial"/>
          <w:sz w:val="20"/>
          <w:szCs w:val="20"/>
        </w:rPr>
        <w:t xml:space="preserve"> a partir del </w:t>
      </w:r>
      <w:r w:rsidR="00941E19">
        <w:rPr>
          <w:rFonts w:ascii="Verdana" w:hAnsi="Verdana" w:cs="Arial"/>
          <w:sz w:val="20"/>
          <w:szCs w:val="20"/>
        </w:rPr>
        <w:t>párrafo</w:t>
      </w:r>
      <w:r w:rsidR="006A676B">
        <w:rPr>
          <w:rFonts w:ascii="Verdana" w:hAnsi="Verdana" w:cs="Arial"/>
          <w:sz w:val="20"/>
          <w:szCs w:val="20"/>
        </w:rPr>
        <w:t xml:space="preserve"> 141 de la Sentencia se empieza afirmando que se reitera la jurisprudencia de la Corte, en casos como Acevedo Buendía, que como es de conocimiento público no es un caso en el que se haya arribado a la conclusión de la vulneración del artículo 26 de la CADH.</w:t>
      </w:r>
    </w:p>
    <w:p w14:paraId="42ABC2FB" w14:textId="77777777" w:rsidR="006A676B" w:rsidRPr="006A676B" w:rsidRDefault="006A676B" w:rsidP="006A676B">
      <w:pPr>
        <w:spacing w:after="0" w:line="240" w:lineRule="auto"/>
        <w:jc w:val="both"/>
        <w:rPr>
          <w:rFonts w:ascii="Verdana" w:hAnsi="Verdana"/>
          <w:sz w:val="20"/>
          <w:szCs w:val="20"/>
        </w:rPr>
      </w:pPr>
    </w:p>
    <w:p w14:paraId="2B981E16" w14:textId="586BB30C" w:rsidR="006A676B" w:rsidRPr="008C0050" w:rsidRDefault="0041103B" w:rsidP="006A676B">
      <w:pPr>
        <w:pStyle w:val="ListParagraph"/>
        <w:numPr>
          <w:ilvl w:val="0"/>
          <w:numId w:val="12"/>
        </w:numPr>
        <w:spacing w:after="0" w:line="240" w:lineRule="auto"/>
        <w:ind w:left="0" w:firstLine="0"/>
        <w:jc w:val="both"/>
        <w:rPr>
          <w:rFonts w:ascii="Verdana" w:hAnsi="Verdana" w:cs="Arial"/>
          <w:sz w:val="20"/>
          <w:szCs w:val="20"/>
        </w:rPr>
      </w:pPr>
      <w:r>
        <w:rPr>
          <w:rFonts w:ascii="Verdana" w:hAnsi="Verdana"/>
          <w:sz w:val="20"/>
          <w:szCs w:val="20"/>
        </w:rPr>
        <w:t>Respecto al</w:t>
      </w:r>
      <w:r w:rsidR="006A676B" w:rsidRPr="006A676B">
        <w:rPr>
          <w:rFonts w:ascii="Verdana" w:hAnsi="Verdana"/>
          <w:sz w:val="20"/>
          <w:szCs w:val="20"/>
        </w:rPr>
        <w:t xml:space="preserve"> caso </w:t>
      </w:r>
      <w:r w:rsidR="006A676B" w:rsidRPr="006A676B">
        <w:rPr>
          <w:rFonts w:ascii="Verdana" w:hAnsi="Verdana"/>
          <w:i/>
          <w:sz w:val="20"/>
          <w:szCs w:val="20"/>
        </w:rPr>
        <w:t>Acevedo Buendía y otros Vs. Perú</w:t>
      </w:r>
      <w:r w:rsidR="006A676B" w:rsidRPr="006A676B">
        <w:rPr>
          <w:rFonts w:ascii="Verdana" w:hAnsi="Verdana"/>
          <w:sz w:val="20"/>
          <w:szCs w:val="20"/>
        </w:rPr>
        <w:t xml:space="preserve"> </w:t>
      </w:r>
      <w:r>
        <w:rPr>
          <w:rFonts w:ascii="Verdana" w:hAnsi="Verdana"/>
          <w:sz w:val="20"/>
          <w:szCs w:val="20"/>
        </w:rPr>
        <w:t>reitero que, e</w:t>
      </w:r>
      <w:r w:rsidR="006A676B" w:rsidRPr="006A676B">
        <w:rPr>
          <w:rFonts w:ascii="Verdana" w:hAnsi="Verdana"/>
          <w:sz w:val="20"/>
          <w:szCs w:val="20"/>
        </w:rPr>
        <w:t xml:space="preserve">n mi opinión, el alcance que se le </w:t>
      </w:r>
      <w:r w:rsidR="000D6440">
        <w:rPr>
          <w:rFonts w:ascii="Verdana" w:hAnsi="Verdana"/>
          <w:sz w:val="20"/>
          <w:szCs w:val="20"/>
        </w:rPr>
        <w:t xml:space="preserve">ha intentado </w:t>
      </w:r>
      <w:r w:rsidR="006A676B" w:rsidRPr="006A676B">
        <w:rPr>
          <w:rFonts w:ascii="Verdana" w:hAnsi="Verdana"/>
          <w:sz w:val="20"/>
          <w:szCs w:val="20"/>
        </w:rPr>
        <w:t>dar a esta Sentencia es excesivo. En primer luga</w:t>
      </w:r>
      <w:r w:rsidR="000D6440">
        <w:rPr>
          <w:rFonts w:ascii="Verdana" w:hAnsi="Verdana"/>
          <w:sz w:val="20"/>
          <w:szCs w:val="20"/>
        </w:rPr>
        <w:t>r, en la Sentencia no se declaró</w:t>
      </w:r>
      <w:r w:rsidR="006A676B" w:rsidRPr="006A676B">
        <w:rPr>
          <w:rFonts w:ascii="Verdana" w:hAnsi="Verdana"/>
          <w:sz w:val="20"/>
          <w:szCs w:val="20"/>
        </w:rPr>
        <w:t xml:space="preserve"> la violación del artícul</w:t>
      </w:r>
      <w:r w:rsidR="000D6440">
        <w:rPr>
          <w:rFonts w:ascii="Verdana" w:hAnsi="Verdana"/>
          <w:sz w:val="20"/>
          <w:szCs w:val="20"/>
        </w:rPr>
        <w:t>o 26 y el estudio que se realizó</w:t>
      </w:r>
      <w:r w:rsidR="006A676B" w:rsidRPr="006A676B">
        <w:rPr>
          <w:rFonts w:ascii="Verdana" w:hAnsi="Verdana"/>
          <w:sz w:val="20"/>
          <w:szCs w:val="20"/>
        </w:rPr>
        <w:t xml:space="preserve"> es precisamente en torno a la obligación de desarrollo progresivo y no respecto a una exigibilidad directa de algún derecho en particular. En segundo lugar, la Sentencia no </w:t>
      </w:r>
      <w:r w:rsidR="000D6440">
        <w:rPr>
          <w:rFonts w:ascii="Verdana" w:hAnsi="Verdana"/>
          <w:sz w:val="20"/>
          <w:szCs w:val="20"/>
        </w:rPr>
        <w:t>definió ni aclaró</w:t>
      </w:r>
      <w:r w:rsidR="006A676B" w:rsidRPr="006A676B">
        <w:rPr>
          <w:rFonts w:ascii="Verdana" w:hAnsi="Verdana"/>
          <w:sz w:val="20"/>
          <w:szCs w:val="20"/>
        </w:rPr>
        <w:t xml:space="preserve"> cuál sería el DESC que se estaría tutelando, ni su alcance o contenido mínimo. En tercer lugar, incluso si se quisiera derivar algún tipo de </w:t>
      </w:r>
      <w:proofErr w:type="spellStart"/>
      <w:r w:rsidR="006A676B" w:rsidRPr="006A676B">
        <w:rPr>
          <w:rFonts w:ascii="Verdana" w:hAnsi="Verdana"/>
          <w:sz w:val="20"/>
          <w:szCs w:val="20"/>
        </w:rPr>
        <w:t>justiciabilidad</w:t>
      </w:r>
      <w:proofErr w:type="spellEnd"/>
      <w:r w:rsidR="006A676B" w:rsidRPr="006A676B">
        <w:rPr>
          <w:rFonts w:ascii="Verdana" w:hAnsi="Verdana"/>
          <w:sz w:val="20"/>
          <w:szCs w:val="20"/>
        </w:rPr>
        <w:t xml:space="preserve"> directa de la afirmación de que las obligaciones de respeto y garantía son aplicables al artículo 26 de la Convención, cabe recalcar que estas afirmaciones son un </w:t>
      </w:r>
      <w:proofErr w:type="spellStart"/>
      <w:r w:rsidR="006A676B" w:rsidRPr="006A676B">
        <w:rPr>
          <w:rFonts w:ascii="Verdana" w:hAnsi="Verdana"/>
          <w:i/>
          <w:sz w:val="20"/>
          <w:szCs w:val="20"/>
        </w:rPr>
        <w:t>obiter</w:t>
      </w:r>
      <w:proofErr w:type="spellEnd"/>
      <w:r w:rsidR="006A676B" w:rsidRPr="006A676B">
        <w:rPr>
          <w:rFonts w:ascii="Verdana" w:hAnsi="Verdana"/>
          <w:i/>
          <w:sz w:val="20"/>
          <w:szCs w:val="20"/>
        </w:rPr>
        <w:t xml:space="preserve"> </w:t>
      </w:r>
      <w:proofErr w:type="spellStart"/>
      <w:r w:rsidR="006A676B" w:rsidRPr="006A676B">
        <w:rPr>
          <w:rFonts w:ascii="Verdana" w:hAnsi="Verdana"/>
          <w:i/>
          <w:sz w:val="20"/>
          <w:szCs w:val="20"/>
        </w:rPr>
        <w:t>dictum</w:t>
      </w:r>
      <w:proofErr w:type="spellEnd"/>
      <w:r w:rsidR="006A676B" w:rsidRPr="006A676B">
        <w:rPr>
          <w:rFonts w:ascii="Verdana" w:hAnsi="Verdana"/>
          <w:sz w:val="20"/>
          <w:szCs w:val="20"/>
        </w:rPr>
        <w:t xml:space="preserve"> de la Sentencia, por cuanto no tienen relación directa con la decisión final que fue la de no declarar violado el artículo 26</w:t>
      </w:r>
      <w:r w:rsidR="006A676B" w:rsidRPr="00767B7F">
        <w:rPr>
          <w:rStyle w:val="FootnoteReference"/>
          <w:rFonts w:ascii="Verdana" w:hAnsi="Verdana"/>
          <w:sz w:val="20"/>
          <w:szCs w:val="20"/>
        </w:rPr>
        <w:footnoteReference w:id="20"/>
      </w:r>
      <w:r w:rsidR="006A676B" w:rsidRPr="006A676B">
        <w:rPr>
          <w:rFonts w:ascii="Verdana" w:hAnsi="Verdana"/>
          <w:sz w:val="20"/>
          <w:szCs w:val="20"/>
        </w:rPr>
        <w:t>. Además, este punto de la Sentencia no</w:t>
      </w:r>
      <w:r w:rsidR="000D6440">
        <w:rPr>
          <w:rFonts w:ascii="Verdana" w:hAnsi="Verdana"/>
          <w:sz w:val="20"/>
          <w:szCs w:val="20"/>
        </w:rPr>
        <w:t xml:space="preserve"> había sido </w:t>
      </w:r>
      <w:r w:rsidR="006A676B" w:rsidRPr="006A676B">
        <w:rPr>
          <w:rFonts w:ascii="Verdana" w:hAnsi="Verdana"/>
          <w:sz w:val="20"/>
          <w:szCs w:val="20"/>
        </w:rPr>
        <w:t>reiterada en la jurisprudencia posterior de la Corte</w:t>
      </w:r>
      <w:r w:rsidR="000D6440">
        <w:rPr>
          <w:rFonts w:ascii="Verdana" w:hAnsi="Verdana"/>
          <w:sz w:val="20"/>
          <w:szCs w:val="20"/>
        </w:rPr>
        <w:t>, hasta el presente caso,</w:t>
      </w:r>
      <w:r w:rsidR="006A676B" w:rsidRPr="006A676B">
        <w:rPr>
          <w:rFonts w:ascii="Verdana" w:hAnsi="Verdana"/>
          <w:sz w:val="20"/>
          <w:szCs w:val="20"/>
        </w:rPr>
        <w:t xml:space="preserve"> </w:t>
      </w:r>
      <w:r w:rsidR="000D6440">
        <w:rPr>
          <w:rFonts w:ascii="Verdana" w:hAnsi="Verdana"/>
          <w:sz w:val="20"/>
          <w:szCs w:val="20"/>
        </w:rPr>
        <w:t>por lo que no podía ser considera como un precedente a reiterar</w:t>
      </w:r>
      <w:r w:rsidR="006A676B" w:rsidRPr="006A676B">
        <w:rPr>
          <w:rFonts w:ascii="Verdana" w:hAnsi="Verdana"/>
          <w:sz w:val="20"/>
          <w:szCs w:val="20"/>
        </w:rPr>
        <w:t xml:space="preserve">. </w:t>
      </w:r>
    </w:p>
    <w:p w14:paraId="33EF40D2" w14:textId="77777777" w:rsidR="008C0050" w:rsidRDefault="008C0050" w:rsidP="008C0050">
      <w:pPr>
        <w:pStyle w:val="ListParagraph"/>
        <w:spacing w:after="0" w:line="240" w:lineRule="auto"/>
        <w:ind w:left="0"/>
        <w:jc w:val="both"/>
        <w:rPr>
          <w:rFonts w:ascii="Verdana" w:hAnsi="Verdana" w:cs="Arial"/>
          <w:sz w:val="20"/>
          <w:szCs w:val="20"/>
        </w:rPr>
      </w:pPr>
    </w:p>
    <w:p w14:paraId="72638641" w14:textId="63B6A220" w:rsidR="00941E19" w:rsidRPr="00941E19" w:rsidRDefault="009C3283" w:rsidP="00941E19">
      <w:pPr>
        <w:pStyle w:val="ListParagraph"/>
        <w:numPr>
          <w:ilvl w:val="0"/>
          <w:numId w:val="14"/>
        </w:numPr>
        <w:spacing w:after="0" w:line="240" w:lineRule="auto"/>
        <w:jc w:val="both"/>
        <w:rPr>
          <w:rFonts w:ascii="Verdana" w:hAnsi="Verdana" w:cs="Arial"/>
          <w:b/>
          <w:sz w:val="20"/>
          <w:szCs w:val="20"/>
        </w:rPr>
      </w:pPr>
      <w:r>
        <w:rPr>
          <w:rFonts w:ascii="Verdana" w:hAnsi="Verdana" w:cs="Arial"/>
          <w:b/>
          <w:sz w:val="20"/>
          <w:szCs w:val="20"/>
        </w:rPr>
        <w:t>u</w:t>
      </w:r>
      <w:r w:rsidR="00941E19" w:rsidRPr="00941E19">
        <w:rPr>
          <w:rFonts w:ascii="Verdana" w:hAnsi="Verdana" w:cs="Arial"/>
          <w:b/>
          <w:sz w:val="20"/>
          <w:szCs w:val="20"/>
        </w:rPr>
        <w:t>tilización de un solo de método de interpretación para arribar a la decisión</w:t>
      </w:r>
    </w:p>
    <w:p w14:paraId="30958030" w14:textId="77777777" w:rsidR="00941E19" w:rsidRPr="008C0050" w:rsidRDefault="00941E19" w:rsidP="008C0050">
      <w:pPr>
        <w:pStyle w:val="ListParagraph"/>
        <w:spacing w:after="0" w:line="240" w:lineRule="auto"/>
        <w:ind w:left="0"/>
        <w:jc w:val="both"/>
        <w:rPr>
          <w:rFonts w:ascii="Verdana" w:hAnsi="Verdana" w:cs="Arial"/>
          <w:sz w:val="20"/>
          <w:szCs w:val="20"/>
        </w:rPr>
      </w:pPr>
    </w:p>
    <w:p w14:paraId="033D518C" w14:textId="606D3351" w:rsidR="00211707" w:rsidRPr="00F41A17" w:rsidRDefault="00346F34" w:rsidP="005910DC">
      <w:pPr>
        <w:pStyle w:val="ListParagraph"/>
        <w:numPr>
          <w:ilvl w:val="0"/>
          <w:numId w:val="12"/>
        </w:numPr>
        <w:spacing w:after="0" w:line="240" w:lineRule="auto"/>
        <w:ind w:left="0" w:firstLine="0"/>
        <w:jc w:val="both"/>
        <w:rPr>
          <w:rFonts w:ascii="Verdana" w:hAnsi="Verdana" w:cs="Arial"/>
          <w:sz w:val="20"/>
          <w:szCs w:val="20"/>
        </w:rPr>
      </w:pPr>
      <w:r w:rsidRPr="0023149D">
        <w:rPr>
          <w:rFonts w:ascii="Verdana" w:hAnsi="Verdana" w:cs="Arial"/>
          <w:sz w:val="20"/>
          <w:szCs w:val="20"/>
        </w:rPr>
        <w:t>Ahora bien, la segunda falencia argumentativa se centra en la utilización de un solo método interpretativo para arribar a una interpretación del tratado.</w:t>
      </w:r>
      <w:r w:rsidR="00211707" w:rsidRPr="0023149D">
        <w:rPr>
          <w:rFonts w:ascii="Verdana" w:hAnsi="Verdana" w:cs="Arial"/>
          <w:sz w:val="20"/>
          <w:szCs w:val="20"/>
        </w:rPr>
        <w:t xml:space="preserve"> Como se mencionó anteriormente en el presente voto, la utilización </w:t>
      </w:r>
      <w:r w:rsidR="0023149D" w:rsidRPr="0023149D">
        <w:rPr>
          <w:rFonts w:ascii="Verdana" w:hAnsi="Verdana" w:cs="Arial"/>
          <w:sz w:val="20"/>
          <w:szCs w:val="20"/>
        </w:rPr>
        <w:t>exclusiva de la “interpretación evolutiva” desconoce que para realizar una interpretación conforme al tratado y que no sea arbitraria</w:t>
      </w:r>
      <w:r w:rsidR="002E7D3E">
        <w:rPr>
          <w:rFonts w:ascii="Verdana" w:hAnsi="Verdana" w:cs="Arial"/>
          <w:sz w:val="20"/>
          <w:szCs w:val="20"/>
        </w:rPr>
        <w:t>,</w:t>
      </w:r>
      <w:r w:rsidR="0023149D" w:rsidRPr="0023149D">
        <w:rPr>
          <w:rFonts w:ascii="Verdana" w:hAnsi="Verdana" w:cs="Arial"/>
          <w:sz w:val="20"/>
          <w:szCs w:val="20"/>
        </w:rPr>
        <w:t xml:space="preserve"> </w:t>
      </w:r>
      <w:r w:rsidR="0023149D" w:rsidRPr="00F41A17">
        <w:rPr>
          <w:rFonts w:ascii="Verdana" w:hAnsi="Verdana" w:cs="Arial"/>
          <w:sz w:val="20"/>
          <w:szCs w:val="20"/>
        </w:rPr>
        <w:t xml:space="preserve">deben aplicarse de manera </w:t>
      </w:r>
      <w:r w:rsidR="00941E19" w:rsidRPr="00F41A17">
        <w:rPr>
          <w:rFonts w:ascii="Verdana" w:hAnsi="Verdana" w:cs="Arial"/>
          <w:sz w:val="20"/>
          <w:szCs w:val="20"/>
        </w:rPr>
        <w:t>simultánea</w:t>
      </w:r>
      <w:r w:rsidR="0023149D" w:rsidRPr="00F41A17">
        <w:rPr>
          <w:rFonts w:ascii="Verdana" w:hAnsi="Verdana" w:cs="Arial"/>
          <w:sz w:val="20"/>
          <w:szCs w:val="20"/>
        </w:rPr>
        <w:t xml:space="preserve"> todos los métodos de interpretación señalados en los artículos 31 y 32 de la Convención de Viena.</w:t>
      </w:r>
      <w:r w:rsidR="00802AA2">
        <w:rPr>
          <w:rFonts w:ascii="Verdana" w:hAnsi="Verdana" w:cs="Arial"/>
          <w:sz w:val="20"/>
          <w:szCs w:val="20"/>
        </w:rPr>
        <w:t xml:space="preserve"> Por ello, esta simple omisión, que se aleja del tipo de análisis que el Tribunal Interamericano regularmente realiza cuando se ve enfrentada a la necesidad de interpretar la Convención Americana, constituye por </w:t>
      </w:r>
      <w:r w:rsidR="00941E19">
        <w:rPr>
          <w:rFonts w:ascii="Verdana" w:hAnsi="Verdana" w:cs="Arial"/>
          <w:sz w:val="20"/>
          <w:szCs w:val="20"/>
        </w:rPr>
        <w:t>sí</w:t>
      </w:r>
      <w:r w:rsidR="00802AA2">
        <w:rPr>
          <w:rFonts w:ascii="Verdana" w:hAnsi="Verdana" w:cs="Arial"/>
          <w:sz w:val="20"/>
          <w:szCs w:val="20"/>
        </w:rPr>
        <w:t xml:space="preserve"> sola un error argumentativo inexcusable. </w:t>
      </w:r>
    </w:p>
    <w:p w14:paraId="3B95B76B" w14:textId="77777777" w:rsidR="00A35003" w:rsidRPr="00F41A17" w:rsidRDefault="00A35003" w:rsidP="00A35003">
      <w:pPr>
        <w:pStyle w:val="ListParagraph"/>
        <w:spacing w:after="0" w:line="240" w:lineRule="auto"/>
        <w:ind w:left="0"/>
        <w:jc w:val="both"/>
        <w:rPr>
          <w:rFonts w:ascii="Verdana" w:hAnsi="Verdana" w:cs="Arial"/>
          <w:sz w:val="20"/>
          <w:szCs w:val="20"/>
        </w:rPr>
      </w:pPr>
    </w:p>
    <w:p w14:paraId="4FA92771" w14:textId="17AA7BBF" w:rsidR="005910DC" w:rsidRPr="005910DC" w:rsidRDefault="00802AA2" w:rsidP="005910DC">
      <w:pPr>
        <w:pStyle w:val="ListParagraph"/>
        <w:numPr>
          <w:ilvl w:val="0"/>
          <w:numId w:val="12"/>
        </w:numPr>
        <w:spacing w:after="0" w:line="240" w:lineRule="auto"/>
        <w:ind w:left="0" w:firstLine="0"/>
        <w:jc w:val="both"/>
        <w:rPr>
          <w:rFonts w:ascii="Verdana" w:hAnsi="Verdana" w:cs="Arial"/>
          <w:sz w:val="20"/>
          <w:szCs w:val="20"/>
        </w:rPr>
      </w:pPr>
      <w:r>
        <w:rPr>
          <w:rFonts w:ascii="Verdana" w:hAnsi="Verdana"/>
          <w:sz w:val="20"/>
          <w:szCs w:val="20"/>
          <w:lang w:val="es-CR" w:eastAsia="de-DE"/>
        </w:rPr>
        <w:t>Por otra parte y r</w:t>
      </w:r>
      <w:r w:rsidR="002D1E71">
        <w:rPr>
          <w:rFonts w:ascii="Verdana" w:hAnsi="Verdana"/>
          <w:sz w:val="20"/>
          <w:szCs w:val="20"/>
          <w:lang w:val="es-CR" w:eastAsia="de-DE"/>
        </w:rPr>
        <w:t>especto a la definición de la interpretación evolutiva, la Corte Interamericana ha señalado en diversas</w:t>
      </w:r>
      <w:r w:rsidR="00F41A17" w:rsidRPr="00F41A17">
        <w:rPr>
          <w:rFonts w:ascii="Verdana" w:hAnsi="Verdana"/>
          <w:sz w:val="20"/>
          <w:szCs w:val="20"/>
          <w:lang w:val="es-CR" w:eastAsia="de-DE"/>
        </w:rPr>
        <w:t xml:space="preserve"> oportunidades</w:t>
      </w:r>
      <w:r w:rsidR="00F41A17" w:rsidRPr="00F41A17">
        <w:rPr>
          <w:rFonts w:ascii="Verdana" w:eastAsia="Calibri" w:hAnsi="Verdana"/>
          <w:sz w:val="20"/>
          <w:szCs w:val="20"/>
          <w:vertAlign w:val="superscript"/>
          <w:lang w:eastAsia="de-DE"/>
        </w:rPr>
        <w:footnoteReference w:id="21"/>
      </w:r>
      <w:r w:rsidR="00F41A17" w:rsidRPr="00F41A17">
        <w:rPr>
          <w:rFonts w:ascii="Verdana" w:hAnsi="Verdana"/>
          <w:sz w:val="20"/>
          <w:szCs w:val="20"/>
          <w:lang w:val="es-CR" w:eastAsia="de-DE"/>
        </w:rPr>
        <w:t xml:space="preserve"> que los tratados de derechos </w:t>
      </w:r>
      <w:r w:rsidR="00F41A17" w:rsidRPr="00F41A17">
        <w:rPr>
          <w:rFonts w:ascii="Verdana" w:hAnsi="Verdana"/>
          <w:sz w:val="20"/>
          <w:szCs w:val="20"/>
          <w:lang w:val="es-CR" w:eastAsia="de-DE"/>
        </w:rPr>
        <w:lastRenderedPageBreak/>
        <w:t xml:space="preserve">humanos son instrumentos vivos, cuya interpretación tiene que acompañar la evolución de los tiempos y las condiciones de vida actuales. </w:t>
      </w:r>
      <w:r w:rsidR="005910DC">
        <w:rPr>
          <w:rFonts w:ascii="Verdana" w:hAnsi="Verdana"/>
          <w:sz w:val="20"/>
          <w:szCs w:val="20"/>
          <w:lang w:val="es-CR" w:eastAsia="de-DE"/>
        </w:rPr>
        <w:t>También ha manifestado que t</w:t>
      </w:r>
      <w:r w:rsidR="00F41A17" w:rsidRPr="00F41A17">
        <w:rPr>
          <w:rFonts w:ascii="Verdana" w:hAnsi="Verdana"/>
          <w:sz w:val="20"/>
          <w:szCs w:val="20"/>
          <w:lang w:val="es-CR" w:eastAsia="de-DE"/>
        </w:rPr>
        <w:t>al interpretación evolutiva es consecuente con las reglas generales de interpretación establecidas en el artículo 29 de la Convención Americana, así como en la Convención</w:t>
      </w:r>
      <w:r w:rsidR="00F41A17" w:rsidRPr="00F41A17">
        <w:rPr>
          <w:rFonts w:ascii="Verdana" w:hAnsi="Verdana"/>
          <w:i/>
          <w:sz w:val="20"/>
          <w:szCs w:val="20"/>
          <w:lang w:val="es-CR" w:eastAsia="de-DE"/>
        </w:rPr>
        <w:t xml:space="preserve"> </w:t>
      </w:r>
      <w:r w:rsidR="00F41A17" w:rsidRPr="00F41A17">
        <w:rPr>
          <w:rFonts w:ascii="Verdana" w:hAnsi="Verdana"/>
          <w:sz w:val="20"/>
          <w:szCs w:val="20"/>
          <w:lang w:val="es-CR" w:eastAsia="de-DE"/>
        </w:rPr>
        <w:t>de Viena sobre el Derecho de los Tratados</w:t>
      </w:r>
      <w:r w:rsidR="00F41A17" w:rsidRPr="00F41A17">
        <w:rPr>
          <w:rFonts w:ascii="Verdana" w:eastAsia="Calibri" w:hAnsi="Verdana"/>
          <w:sz w:val="20"/>
          <w:szCs w:val="20"/>
          <w:vertAlign w:val="superscript"/>
          <w:lang w:eastAsia="de-DE"/>
        </w:rPr>
        <w:footnoteReference w:id="22"/>
      </w:r>
      <w:r w:rsidR="00F41A17" w:rsidRPr="00F41A17">
        <w:rPr>
          <w:rFonts w:ascii="Verdana" w:hAnsi="Verdana"/>
          <w:sz w:val="20"/>
          <w:szCs w:val="20"/>
          <w:lang w:val="es-CR" w:eastAsia="de-DE"/>
        </w:rPr>
        <w:t>.</w:t>
      </w:r>
      <w:r w:rsidR="005910DC">
        <w:rPr>
          <w:rFonts w:ascii="Verdana" w:hAnsi="Verdana"/>
          <w:sz w:val="20"/>
          <w:szCs w:val="20"/>
          <w:lang w:val="es-CR" w:eastAsia="de-DE"/>
        </w:rPr>
        <w:t xml:space="preserve"> En este sentido, </w:t>
      </w:r>
      <w:r w:rsidR="005910DC" w:rsidRPr="005910DC">
        <w:rPr>
          <w:rFonts w:ascii="Verdana" w:hAnsi="Verdana" w:cs="Arial"/>
          <w:sz w:val="20"/>
          <w:szCs w:val="20"/>
        </w:rPr>
        <w:t xml:space="preserve">la “interpretación evolutiva” </w:t>
      </w:r>
      <w:r w:rsidR="005910DC">
        <w:rPr>
          <w:rFonts w:ascii="Verdana" w:hAnsi="Verdana" w:cs="Arial"/>
          <w:sz w:val="20"/>
          <w:szCs w:val="20"/>
        </w:rPr>
        <w:t xml:space="preserve">puede ser </w:t>
      </w:r>
      <w:r w:rsidR="005910DC" w:rsidRPr="005910DC">
        <w:rPr>
          <w:rFonts w:ascii="Verdana" w:hAnsi="Verdana" w:cs="Arial"/>
          <w:sz w:val="20"/>
          <w:szCs w:val="20"/>
        </w:rPr>
        <w:t>entendida como la construcción y determinación de</w:t>
      </w:r>
      <w:r w:rsidR="005910DC">
        <w:rPr>
          <w:rFonts w:ascii="Verdana" w:hAnsi="Verdana" w:cs="Arial"/>
          <w:sz w:val="20"/>
          <w:szCs w:val="20"/>
        </w:rPr>
        <w:t>l significado de las</w:t>
      </w:r>
      <w:r w:rsidR="005910DC" w:rsidRPr="005910DC">
        <w:rPr>
          <w:rFonts w:ascii="Verdana" w:hAnsi="Verdana" w:cs="Arial"/>
          <w:sz w:val="20"/>
          <w:szCs w:val="20"/>
        </w:rPr>
        <w:t xml:space="preserve"> normas derivadas de preceptos convencionales que originalmente no se </w:t>
      </w:r>
      <w:r w:rsidR="002D3430">
        <w:rPr>
          <w:rFonts w:ascii="Verdana" w:hAnsi="Verdana" w:cs="Arial"/>
          <w:sz w:val="20"/>
          <w:szCs w:val="20"/>
        </w:rPr>
        <w:t>encontraban</w:t>
      </w:r>
      <w:r w:rsidR="005910DC" w:rsidRPr="005910DC">
        <w:rPr>
          <w:rFonts w:ascii="Verdana" w:hAnsi="Verdana" w:cs="Arial"/>
          <w:sz w:val="20"/>
          <w:szCs w:val="20"/>
        </w:rPr>
        <w:t xml:space="preserve"> en la voluntad de los países que participaron en su elaboración, pero que, hoy, debido a los cambios en la realidad social y política, encuentran pleno sentido. Los textos convencionales originalmente no se hicieron pensando en hechos y circunstancias que hoy sí se encuentran dentro de los supuestos convencionales. </w:t>
      </w:r>
    </w:p>
    <w:p w14:paraId="5B61BD54" w14:textId="77777777" w:rsidR="005910DC" w:rsidRPr="00F41A17" w:rsidRDefault="005910DC" w:rsidP="00F41A17">
      <w:pPr>
        <w:spacing w:after="0" w:line="240" w:lineRule="auto"/>
        <w:jc w:val="both"/>
        <w:rPr>
          <w:rFonts w:ascii="Verdana" w:hAnsi="Verdana" w:cs="Arial"/>
          <w:sz w:val="20"/>
          <w:szCs w:val="20"/>
        </w:rPr>
      </w:pPr>
    </w:p>
    <w:p w14:paraId="76B0740A" w14:textId="585684CA" w:rsidR="0058208A" w:rsidRPr="00CE5C0E" w:rsidRDefault="002D3430" w:rsidP="00CE5C0E">
      <w:pPr>
        <w:pStyle w:val="ListParagraph"/>
        <w:numPr>
          <w:ilvl w:val="0"/>
          <w:numId w:val="12"/>
        </w:numPr>
        <w:spacing w:after="0" w:line="240" w:lineRule="auto"/>
        <w:ind w:left="0" w:firstLine="0"/>
        <w:jc w:val="both"/>
        <w:rPr>
          <w:rFonts w:ascii="Verdana" w:hAnsi="Verdana" w:cs="Arial"/>
          <w:sz w:val="20"/>
          <w:szCs w:val="20"/>
        </w:rPr>
      </w:pPr>
      <w:r>
        <w:rPr>
          <w:rFonts w:ascii="Verdana" w:hAnsi="Verdana" w:cs="Arial"/>
          <w:sz w:val="20"/>
          <w:szCs w:val="20"/>
        </w:rPr>
        <w:t>De manera que este método interpretativo tiene una función importante y es el de ir actualizando las normas convencionales a las necesidades de los nuevos tiempos. No obstante lo anterior</w:t>
      </w:r>
      <w:r w:rsidR="00F41A17" w:rsidRPr="00F41A17">
        <w:rPr>
          <w:rFonts w:ascii="Verdana" w:hAnsi="Verdana" w:cs="Arial"/>
          <w:sz w:val="20"/>
          <w:szCs w:val="20"/>
        </w:rPr>
        <w:t xml:space="preserve">, </w:t>
      </w:r>
      <w:r>
        <w:rPr>
          <w:rFonts w:ascii="Verdana" w:hAnsi="Verdana" w:cs="Arial"/>
          <w:sz w:val="20"/>
          <w:szCs w:val="20"/>
        </w:rPr>
        <w:t>otro de los</w:t>
      </w:r>
      <w:r w:rsidR="001612F6" w:rsidRPr="00F41A17">
        <w:rPr>
          <w:rFonts w:ascii="Verdana" w:hAnsi="Verdana" w:cs="Arial"/>
          <w:sz w:val="20"/>
          <w:szCs w:val="20"/>
        </w:rPr>
        <w:t xml:space="preserve"> error</w:t>
      </w:r>
      <w:r>
        <w:rPr>
          <w:rFonts w:ascii="Verdana" w:hAnsi="Verdana" w:cs="Arial"/>
          <w:sz w:val="20"/>
          <w:szCs w:val="20"/>
        </w:rPr>
        <w:t>es de la Sentencia</w:t>
      </w:r>
      <w:r w:rsidR="001612F6" w:rsidRPr="00F41A17">
        <w:rPr>
          <w:rFonts w:ascii="Verdana" w:hAnsi="Verdana" w:cs="Arial"/>
          <w:sz w:val="20"/>
          <w:szCs w:val="20"/>
        </w:rPr>
        <w:t xml:space="preserve"> </w:t>
      </w:r>
      <w:r w:rsidR="00F41A17" w:rsidRPr="00F41A17">
        <w:rPr>
          <w:rFonts w:ascii="Verdana" w:hAnsi="Verdana" w:cs="Arial"/>
          <w:sz w:val="20"/>
          <w:szCs w:val="20"/>
        </w:rPr>
        <w:t>estriba</w:t>
      </w:r>
      <w:r w:rsidR="00F41A17">
        <w:rPr>
          <w:rFonts w:ascii="Verdana" w:hAnsi="Verdana" w:cs="Arial"/>
          <w:sz w:val="20"/>
          <w:szCs w:val="20"/>
        </w:rPr>
        <w:t xml:space="preserve"> en que se </w:t>
      </w:r>
      <w:r w:rsidR="00802AA2">
        <w:rPr>
          <w:rFonts w:ascii="Verdana" w:hAnsi="Verdana" w:cs="Arial"/>
          <w:sz w:val="20"/>
          <w:szCs w:val="20"/>
        </w:rPr>
        <w:t xml:space="preserve">utiliza la </w:t>
      </w:r>
      <w:r>
        <w:rPr>
          <w:rFonts w:ascii="Verdana" w:hAnsi="Verdana" w:cs="Arial"/>
          <w:sz w:val="20"/>
          <w:szCs w:val="20"/>
        </w:rPr>
        <w:t>“interpretación</w:t>
      </w:r>
      <w:r w:rsidR="00802AA2">
        <w:rPr>
          <w:rFonts w:ascii="Verdana" w:hAnsi="Verdana" w:cs="Arial"/>
          <w:sz w:val="20"/>
          <w:szCs w:val="20"/>
        </w:rPr>
        <w:t xml:space="preserve"> evolutiva</w:t>
      </w:r>
      <w:r>
        <w:rPr>
          <w:rFonts w:ascii="Verdana" w:hAnsi="Verdana" w:cs="Arial"/>
          <w:sz w:val="20"/>
          <w:szCs w:val="20"/>
        </w:rPr>
        <w:t>”</w:t>
      </w:r>
      <w:r w:rsidR="00802AA2">
        <w:rPr>
          <w:rFonts w:ascii="Verdana" w:hAnsi="Verdana" w:cs="Arial"/>
          <w:sz w:val="20"/>
          <w:szCs w:val="20"/>
        </w:rPr>
        <w:t xml:space="preserve"> para camuflar una </w:t>
      </w:r>
      <w:r w:rsidR="00802AA2" w:rsidRPr="0058208A">
        <w:rPr>
          <w:rFonts w:ascii="Verdana" w:hAnsi="Verdana" w:cs="Arial"/>
          <w:sz w:val="20"/>
          <w:szCs w:val="20"/>
        </w:rPr>
        <w:t>“mutación convencional”.</w:t>
      </w:r>
      <w:r w:rsidR="00CE5C0E">
        <w:rPr>
          <w:rFonts w:ascii="Verdana" w:hAnsi="Verdana" w:cs="Arial"/>
          <w:sz w:val="20"/>
          <w:szCs w:val="20"/>
        </w:rPr>
        <w:t xml:space="preserve"> Este tipo de modificación implica un cambio sustancial al texto de la C</w:t>
      </w:r>
      <w:r w:rsidR="001612F6" w:rsidRPr="00CE5C0E">
        <w:rPr>
          <w:rFonts w:ascii="Verdana" w:hAnsi="Verdana" w:cs="Arial"/>
          <w:sz w:val="20"/>
          <w:szCs w:val="20"/>
        </w:rPr>
        <w:t xml:space="preserve">onvención </w:t>
      </w:r>
      <w:r w:rsidR="00CE5C0E">
        <w:rPr>
          <w:rFonts w:ascii="Verdana" w:hAnsi="Verdana" w:cs="Arial"/>
          <w:sz w:val="20"/>
          <w:szCs w:val="20"/>
        </w:rPr>
        <w:t xml:space="preserve">Americana </w:t>
      </w:r>
      <w:r w:rsidR="001612F6" w:rsidRPr="00CE5C0E">
        <w:rPr>
          <w:rFonts w:ascii="Verdana" w:hAnsi="Verdana" w:cs="Arial"/>
          <w:sz w:val="20"/>
          <w:szCs w:val="20"/>
        </w:rPr>
        <w:t xml:space="preserve">a través de unas “interpretaciones” contrarias a la dicción del texto convencional. Por </w:t>
      </w:r>
      <w:r w:rsidR="00EB5196">
        <w:rPr>
          <w:rFonts w:ascii="Verdana" w:hAnsi="Verdana" w:cs="Arial"/>
          <w:sz w:val="20"/>
          <w:szCs w:val="20"/>
        </w:rPr>
        <w:t xml:space="preserve">esta </w:t>
      </w:r>
      <w:r w:rsidR="001612F6" w:rsidRPr="00CE5C0E">
        <w:rPr>
          <w:rFonts w:ascii="Verdana" w:hAnsi="Verdana" w:cs="Arial"/>
          <w:sz w:val="20"/>
          <w:szCs w:val="20"/>
        </w:rPr>
        <w:t>vía, con el pretexto de inte</w:t>
      </w:r>
      <w:r w:rsidR="00EB5196">
        <w:rPr>
          <w:rFonts w:ascii="Verdana" w:hAnsi="Verdana" w:cs="Arial"/>
          <w:sz w:val="20"/>
          <w:szCs w:val="20"/>
        </w:rPr>
        <w:t>rpretar la C</w:t>
      </w:r>
      <w:r w:rsidR="001612F6" w:rsidRPr="00CE5C0E">
        <w:rPr>
          <w:rFonts w:ascii="Verdana" w:hAnsi="Verdana" w:cs="Arial"/>
          <w:sz w:val="20"/>
          <w:szCs w:val="20"/>
        </w:rPr>
        <w:t xml:space="preserve">onvención se llega a unas condiciones que son contrarias al texto </w:t>
      </w:r>
      <w:r w:rsidR="00EB5196">
        <w:rPr>
          <w:rFonts w:ascii="Verdana" w:hAnsi="Verdana" w:cs="Arial"/>
          <w:sz w:val="20"/>
          <w:szCs w:val="20"/>
        </w:rPr>
        <w:t xml:space="preserve">o a la interpretación conforme </w:t>
      </w:r>
      <w:r w:rsidR="001612F6" w:rsidRPr="00CE5C0E">
        <w:rPr>
          <w:rFonts w:ascii="Verdana" w:hAnsi="Verdana" w:cs="Arial"/>
          <w:sz w:val="20"/>
          <w:szCs w:val="20"/>
        </w:rPr>
        <w:t>de la misma. La mutación convencional obedece a la misma lógica de la figura que la doctrina constitucional denomina como mutación constitucional</w:t>
      </w:r>
      <w:r w:rsidR="00817659">
        <w:rPr>
          <w:rStyle w:val="FootnoteReference"/>
          <w:rFonts w:ascii="Verdana" w:hAnsi="Verdana" w:cs="Arial"/>
          <w:sz w:val="20"/>
          <w:szCs w:val="20"/>
        </w:rPr>
        <w:footnoteReference w:id="23"/>
      </w:r>
      <w:r w:rsidR="001612F6" w:rsidRPr="00CE5C0E">
        <w:rPr>
          <w:rFonts w:ascii="Verdana" w:hAnsi="Verdana" w:cs="Arial"/>
          <w:sz w:val="20"/>
          <w:szCs w:val="20"/>
        </w:rPr>
        <w:t>.</w:t>
      </w:r>
    </w:p>
    <w:p w14:paraId="147508CA" w14:textId="77777777" w:rsidR="0058208A" w:rsidRPr="0058208A" w:rsidRDefault="0058208A" w:rsidP="0058208A">
      <w:pPr>
        <w:spacing w:after="0" w:line="240" w:lineRule="auto"/>
        <w:jc w:val="both"/>
        <w:rPr>
          <w:rFonts w:ascii="Verdana" w:hAnsi="Verdana" w:cs="Arial"/>
          <w:sz w:val="20"/>
          <w:szCs w:val="20"/>
        </w:rPr>
      </w:pPr>
    </w:p>
    <w:p w14:paraId="5D13E3FD" w14:textId="72552258" w:rsidR="001612F6" w:rsidRDefault="005C36F3" w:rsidP="0058208A">
      <w:pPr>
        <w:pStyle w:val="ListParagraph"/>
        <w:numPr>
          <w:ilvl w:val="0"/>
          <w:numId w:val="12"/>
        </w:numPr>
        <w:spacing w:after="0" w:line="240" w:lineRule="auto"/>
        <w:ind w:left="0" w:firstLine="0"/>
        <w:jc w:val="both"/>
        <w:rPr>
          <w:rFonts w:ascii="Verdana" w:hAnsi="Verdana" w:cs="Arial"/>
          <w:sz w:val="20"/>
          <w:szCs w:val="20"/>
        </w:rPr>
      </w:pPr>
      <w:r>
        <w:rPr>
          <w:rFonts w:ascii="Verdana" w:hAnsi="Verdana" w:cs="Arial"/>
          <w:sz w:val="20"/>
          <w:szCs w:val="20"/>
        </w:rPr>
        <w:t>E</w:t>
      </w:r>
      <w:r w:rsidR="006A2EBE">
        <w:rPr>
          <w:rFonts w:ascii="Verdana" w:hAnsi="Verdana" w:cs="Arial"/>
          <w:sz w:val="20"/>
          <w:szCs w:val="20"/>
        </w:rPr>
        <w:t>n este sentido, ya se estableció</w:t>
      </w:r>
      <w:r>
        <w:rPr>
          <w:rFonts w:ascii="Verdana" w:hAnsi="Verdana" w:cs="Arial"/>
          <w:sz w:val="20"/>
          <w:szCs w:val="20"/>
        </w:rPr>
        <w:t xml:space="preserve"> que cuando se utilizan todos los métodos de interpretación se llega a la conclusión de que una interpretación extensiva del </w:t>
      </w:r>
      <w:r w:rsidR="00941E19">
        <w:rPr>
          <w:rFonts w:ascii="Verdana" w:hAnsi="Verdana" w:cs="Arial"/>
          <w:sz w:val="20"/>
          <w:szCs w:val="20"/>
        </w:rPr>
        <w:t>artículo</w:t>
      </w:r>
      <w:r>
        <w:rPr>
          <w:rFonts w:ascii="Verdana" w:hAnsi="Verdana" w:cs="Arial"/>
          <w:sz w:val="20"/>
          <w:szCs w:val="20"/>
        </w:rPr>
        <w:t xml:space="preserve"> 26 de la Convención Americana no puede venir a derogar lo que soberanamente decidieron los Estados al momento de firmar y ratificar el Protocolo de San Salvador. Por lo que puedo afirmar sin temor a equivocarme que en la presente Sentencia no se realizó una </w:t>
      </w:r>
      <w:r w:rsidR="001612F6" w:rsidRPr="0058208A">
        <w:rPr>
          <w:rFonts w:ascii="Verdana" w:hAnsi="Verdana" w:cs="Arial"/>
          <w:sz w:val="20"/>
          <w:szCs w:val="20"/>
        </w:rPr>
        <w:t>interpretación evolutiva,</w:t>
      </w:r>
      <w:r>
        <w:rPr>
          <w:rFonts w:ascii="Verdana" w:hAnsi="Verdana" w:cs="Arial"/>
          <w:sz w:val="20"/>
          <w:szCs w:val="20"/>
        </w:rPr>
        <w:t xml:space="preserve"> puesto que</w:t>
      </w:r>
      <w:r w:rsidR="001612F6" w:rsidRPr="0058208A">
        <w:rPr>
          <w:rFonts w:ascii="Verdana" w:hAnsi="Verdana" w:cs="Arial"/>
          <w:sz w:val="20"/>
          <w:szCs w:val="20"/>
        </w:rPr>
        <w:t xml:space="preserve"> la evolución n</w:t>
      </w:r>
      <w:r w:rsidR="004D002C">
        <w:rPr>
          <w:rFonts w:ascii="Verdana" w:hAnsi="Verdana" w:cs="Arial"/>
          <w:sz w:val="20"/>
          <w:szCs w:val="20"/>
        </w:rPr>
        <w:t>o puede llevar a contrariar la C</w:t>
      </w:r>
      <w:r w:rsidR="001612F6" w:rsidRPr="0058208A">
        <w:rPr>
          <w:rFonts w:ascii="Verdana" w:hAnsi="Verdana" w:cs="Arial"/>
          <w:sz w:val="20"/>
          <w:szCs w:val="20"/>
        </w:rPr>
        <w:t>onvención. Una cosa es resolver asuntos novedosos no advertidos por los creadores de la norma y otra diferente, cambiarlas.</w:t>
      </w:r>
    </w:p>
    <w:p w14:paraId="4CCDD2E7" w14:textId="77777777" w:rsidR="005E07F2" w:rsidRDefault="005E07F2" w:rsidP="005E07F2">
      <w:pPr>
        <w:spacing w:after="0" w:line="240" w:lineRule="auto"/>
        <w:jc w:val="both"/>
        <w:rPr>
          <w:rFonts w:ascii="Verdana" w:hAnsi="Verdana" w:cs="Arial"/>
          <w:sz w:val="20"/>
          <w:szCs w:val="20"/>
        </w:rPr>
      </w:pPr>
    </w:p>
    <w:p w14:paraId="24B021D3" w14:textId="1AE89745" w:rsidR="00BF128B" w:rsidRDefault="00A567D2" w:rsidP="00941E19">
      <w:pPr>
        <w:pStyle w:val="ListParagraph"/>
        <w:numPr>
          <w:ilvl w:val="0"/>
          <w:numId w:val="14"/>
        </w:numPr>
        <w:spacing w:after="0" w:line="240" w:lineRule="auto"/>
        <w:jc w:val="both"/>
        <w:rPr>
          <w:rFonts w:ascii="Verdana" w:hAnsi="Verdana" w:cs="Arial"/>
          <w:b/>
          <w:sz w:val="20"/>
          <w:szCs w:val="20"/>
        </w:rPr>
      </w:pPr>
      <w:r>
        <w:rPr>
          <w:rFonts w:ascii="Verdana" w:hAnsi="Verdana" w:cs="Arial"/>
          <w:b/>
          <w:sz w:val="20"/>
          <w:szCs w:val="20"/>
        </w:rPr>
        <w:t>c</w:t>
      </w:r>
      <w:r w:rsidR="00BF128B" w:rsidRPr="00BF128B">
        <w:rPr>
          <w:rFonts w:ascii="Verdana" w:hAnsi="Verdana" w:cs="Arial"/>
          <w:b/>
          <w:sz w:val="20"/>
          <w:szCs w:val="20"/>
        </w:rPr>
        <w:t>onfusión entre existencia del derecho y competencia de la Corte IDH</w:t>
      </w:r>
    </w:p>
    <w:p w14:paraId="7E12EBA6" w14:textId="77777777" w:rsidR="00BF128B" w:rsidRPr="00BF128B" w:rsidRDefault="00BF128B" w:rsidP="00BF128B">
      <w:pPr>
        <w:pStyle w:val="ListParagraph"/>
        <w:spacing w:after="0" w:line="240" w:lineRule="auto"/>
        <w:jc w:val="both"/>
        <w:rPr>
          <w:rFonts w:ascii="Verdana" w:hAnsi="Verdana" w:cs="Arial"/>
          <w:b/>
          <w:sz w:val="20"/>
          <w:szCs w:val="20"/>
        </w:rPr>
      </w:pPr>
    </w:p>
    <w:p w14:paraId="0068BAAB" w14:textId="7076A141" w:rsidR="005E07F2" w:rsidRDefault="005E07F2" w:rsidP="0058208A">
      <w:pPr>
        <w:pStyle w:val="ListParagraph"/>
        <w:numPr>
          <w:ilvl w:val="0"/>
          <w:numId w:val="12"/>
        </w:numPr>
        <w:spacing w:after="0" w:line="240" w:lineRule="auto"/>
        <w:ind w:left="0" w:firstLine="0"/>
        <w:jc w:val="both"/>
        <w:rPr>
          <w:rFonts w:ascii="Verdana" w:hAnsi="Verdana" w:cs="Arial"/>
          <w:sz w:val="20"/>
          <w:szCs w:val="20"/>
        </w:rPr>
      </w:pPr>
      <w:r>
        <w:rPr>
          <w:rFonts w:ascii="Verdana" w:hAnsi="Verdana" w:cs="Arial"/>
          <w:sz w:val="20"/>
          <w:szCs w:val="20"/>
        </w:rPr>
        <w:t xml:space="preserve">En tercer lugar, </w:t>
      </w:r>
      <w:r w:rsidR="00253765">
        <w:rPr>
          <w:rFonts w:ascii="Verdana" w:hAnsi="Verdana" w:cs="Arial"/>
          <w:sz w:val="20"/>
          <w:szCs w:val="20"/>
        </w:rPr>
        <w:t>la Sentencia</w:t>
      </w:r>
      <w:r w:rsidR="008E231D">
        <w:rPr>
          <w:rFonts w:ascii="Verdana" w:hAnsi="Verdana" w:cs="Arial"/>
          <w:sz w:val="20"/>
          <w:szCs w:val="20"/>
        </w:rPr>
        <w:t xml:space="preserve"> no enfrenta los problemas de competencia, pues centra su argumentación a la comprobación de la existencia del derecho al trabajo o a la estabilidad laboral, pero no hace mención alguna al artículo 19 del Protocolo de San Salvador. </w:t>
      </w:r>
      <w:r w:rsidR="008E231D" w:rsidRPr="0002261B">
        <w:rPr>
          <w:rFonts w:ascii="Verdana" w:hAnsi="Verdana" w:cs="Arial"/>
          <w:sz w:val="20"/>
          <w:szCs w:val="20"/>
        </w:rPr>
        <w:t>La única mención sobre la competencia se realiza al final del análisis argumentativo, en el párrafo 1</w:t>
      </w:r>
      <w:r w:rsidR="0002261B" w:rsidRPr="00C24C47">
        <w:rPr>
          <w:rFonts w:ascii="Verdana" w:hAnsi="Verdana" w:cs="Arial"/>
          <w:sz w:val="20"/>
          <w:szCs w:val="20"/>
        </w:rPr>
        <w:t>54</w:t>
      </w:r>
      <w:r w:rsidR="008E231D" w:rsidRPr="0002261B">
        <w:rPr>
          <w:rFonts w:ascii="Verdana" w:hAnsi="Verdana" w:cs="Arial"/>
          <w:sz w:val="20"/>
          <w:szCs w:val="20"/>
        </w:rPr>
        <w:t xml:space="preserve"> de la Sentencia, en el que nuevamente se vuelve a intentar decir que en </w:t>
      </w:r>
      <w:r w:rsidR="00234CA9" w:rsidRPr="00064313">
        <w:rPr>
          <w:rFonts w:ascii="Verdana" w:hAnsi="Verdana" w:cs="Arial"/>
          <w:sz w:val="20"/>
          <w:szCs w:val="20"/>
        </w:rPr>
        <w:t>el</w:t>
      </w:r>
      <w:r w:rsidR="008E231D" w:rsidRPr="00064313">
        <w:rPr>
          <w:rFonts w:ascii="Verdana" w:hAnsi="Verdana" w:cs="Arial"/>
          <w:sz w:val="20"/>
          <w:szCs w:val="20"/>
        </w:rPr>
        <w:t xml:space="preserve"> caso </w:t>
      </w:r>
      <w:r w:rsidR="008E231D" w:rsidRPr="00C24C47">
        <w:rPr>
          <w:rFonts w:ascii="Verdana" w:hAnsi="Verdana" w:cs="Arial"/>
          <w:i/>
          <w:sz w:val="20"/>
          <w:szCs w:val="20"/>
        </w:rPr>
        <w:t>Acevedo Buendía</w:t>
      </w:r>
      <w:r w:rsidR="008E231D" w:rsidRPr="0002261B">
        <w:rPr>
          <w:rFonts w:ascii="Verdana" w:hAnsi="Verdana" w:cs="Arial"/>
          <w:sz w:val="20"/>
          <w:szCs w:val="20"/>
        </w:rPr>
        <w:t xml:space="preserve"> ya se había saldado la discusión sobre la competencia de la Corte, cuando como se explicó anteriormente esta afirmación </w:t>
      </w:r>
      <w:r w:rsidR="00DF00FF" w:rsidRPr="00064313">
        <w:rPr>
          <w:rFonts w:ascii="Verdana" w:hAnsi="Verdana" w:cs="Arial"/>
          <w:sz w:val="20"/>
          <w:szCs w:val="20"/>
        </w:rPr>
        <w:t>es ajena a la verdad</w:t>
      </w:r>
      <w:r w:rsidR="008E231D" w:rsidRPr="00064313">
        <w:rPr>
          <w:rFonts w:ascii="Verdana" w:hAnsi="Verdana" w:cs="Arial"/>
          <w:sz w:val="20"/>
          <w:szCs w:val="20"/>
        </w:rPr>
        <w:t>.</w:t>
      </w:r>
    </w:p>
    <w:p w14:paraId="41EE0BBF" w14:textId="77777777" w:rsidR="00940F92" w:rsidRDefault="00940F92" w:rsidP="00940F92">
      <w:pPr>
        <w:pStyle w:val="ListParagraph"/>
        <w:spacing w:after="0" w:line="240" w:lineRule="auto"/>
        <w:ind w:left="0"/>
        <w:jc w:val="both"/>
        <w:rPr>
          <w:rFonts w:ascii="Verdana" w:hAnsi="Verdana" w:cs="Arial"/>
          <w:sz w:val="20"/>
          <w:szCs w:val="20"/>
        </w:rPr>
      </w:pPr>
    </w:p>
    <w:p w14:paraId="7BBB4A76" w14:textId="12152F94" w:rsidR="00D81F2C" w:rsidRDefault="00940F92" w:rsidP="00D81F2C">
      <w:pPr>
        <w:pStyle w:val="ListParagraph"/>
        <w:numPr>
          <w:ilvl w:val="0"/>
          <w:numId w:val="12"/>
        </w:numPr>
        <w:spacing w:after="0" w:line="240" w:lineRule="auto"/>
        <w:ind w:left="0" w:firstLine="0"/>
        <w:jc w:val="both"/>
        <w:rPr>
          <w:rFonts w:ascii="Verdana" w:hAnsi="Verdana" w:cs="Arial"/>
          <w:sz w:val="20"/>
          <w:szCs w:val="20"/>
        </w:rPr>
      </w:pPr>
      <w:r w:rsidRPr="00940F92">
        <w:rPr>
          <w:rFonts w:ascii="Verdana" w:hAnsi="Verdana" w:cs="Arial"/>
          <w:sz w:val="20"/>
          <w:szCs w:val="20"/>
        </w:rPr>
        <w:t>En mi opinión</w:t>
      </w:r>
      <w:r>
        <w:rPr>
          <w:rFonts w:ascii="Verdana" w:hAnsi="Verdana" w:cs="Arial"/>
          <w:sz w:val="20"/>
          <w:szCs w:val="20"/>
        </w:rPr>
        <w:t>, esta confusió</w:t>
      </w:r>
      <w:r w:rsidR="00DB39DA">
        <w:rPr>
          <w:rFonts w:ascii="Verdana" w:hAnsi="Verdana" w:cs="Arial"/>
          <w:sz w:val="20"/>
          <w:szCs w:val="20"/>
        </w:rPr>
        <w:t xml:space="preserve">n responde al </w:t>
      </w:r>
      <w:r w:rsidR="00941E19">
        <w:rPr>
          <w:rFonts w:ascii="Verdana" w:hAnsi="Verdana" w:cs="Arial"/>
          <w:sz w:val="20"/>
          <w:szCs w:val="20"/>
        </w:rPr>
        <w:t>propósito</w:t>
      </w:r>
      <w:r w:rsidR="00DB39DA">
        <w:rPr>
          <w:rFonts w:ascii="Verdana" w:hAnsi="Verdana" w:cs="Arial"/>
          <w:sz w:val="20"/>
          <w:szCs w:val="20"/>
        </w:rPr>
        <w:t xml:space="preserve"> claro de querer a toda costa subsanar lo que </w:t>
      </w:r>
      <w:r w:rsidR="00234CA9">
        <w:rPr>
          <w:rFonts w:ascii="Verdana" w:hAnsi="Verdana" w:cs="Arial"/>
          <w:sz w:val="20"/>
          <w:szCs w:val="20"/>
        </w:rPr>
        <w:t>“</w:t>
      </w:r>
      <w:r w:rsidR="00752BD9">
        <w:rPr>
          <w:rFonts w:ascii="Verdana" w:hAnsi="Verdana" w:cs="Arial"/>
          <w:sz w:val="20"/>
          <w:szCs w:val="20"/>
        </w:rPr>
        <w:t>algunos</w:t>
      </w:r>
      <w:r w:rsidR="00014500">
        <w:rPr>
          <w:rFonts w:ascii="Verdana" w:hAnsi="Verdana" w:cs="Arial"/>
          <w:sz w:val="20"/>
          <w:szCs w:val="20"/>
        </w:rPr>
        <w:t>”</w:t>
      </w:r>
      <w:r w:rsidR="00752BD9">
        <w:rPr>
          <w:rFonts w:ascii="Verdana" w:hAnsi="Verdana" w:cs="Arial"/>
          <w:sz w:val="20"/>
          <w:szCs w:val="20"/>
        </w:rPr>
        <w:t xml:space="preserve"> </w:t>
      </w:r>
      <w:r w:rsidR="00DB39DA">
        <w:rPr>
          <w:rFonts w:ascii="Verdana" w:hAnsi="Verdana" w:cs="Arial"/>
          <w:sz w:val="20"/>
          <w:szCs w:val="20"/>
        </w:rPr>
        <w:t>considera</w:t>
      </w:r>
      <w:r w:rsidR="00752BD9">
        <w:rPr>
          <w:rFonts w:ascii="Verdana" w:hAnsi="Verdana" w:cs="Arial"/>
          <w:sz w:val="20"/>
          <w:szCs w:val="20"/>
        </w:rPr>
        <w:t>n</w:t>
      </w:r>
      <w:r w:rsidR="00DB39DA">
        <w:rPr>
          <w:rFonts w:ascii="Verdana" w:hAnsi="Verdana" w:cs="Arial"/>
          <w:sz w:val="20"/>
          <w:szCs w:val="20"/>
        </w:rPr>
        <w:t xml:space="preserve"> un error del Protocolo</w:t>
      </w:r>
      <w:r w:rsidR="00752BD9">
        <w:rPr>
          <w:rFonts w:ascii="Verdana" w:hAnsi="Verdana" w:cs="Arial"/>
          <w:sz w:val="20"/>
          <w:szCs w:val="20"/>
        </w:rPr>
        <w:t xml:space="preserve"> de San Salvador</w:t>
      </w:r>
      <w:r w:rsidR="00DB39DA">
        <w:rPr>
          <w:rFonts w:ascii="Verdana" w:hAnsi="Verdana" w:cs="Arial"/>
          <w:sz w:val="20"/>
          <w:szCs w:val="20"/>
        </w:rPr>
        <w:t xml:space="preserve"> cuando limitó la </w:t>
      </w:r>
      <w:proofErr w:type="spellStart"/>
      <w:r w:rsidR="00DB39DA">
        <w:rPr>
          <w:rFonts w:ascii="Verdana" w:hAnsi="Verdana" w:cs="Arial"/>
          <w:sz w:val="20"/>
          <w:szCs w:val="20"/>
        </w:rPr>
        <w:t>justiciabilidad</w:t>
      </w:r>
      <w:proofErr w:type="spellEnd"/>
      <w:r w:rsidR="00DB39DA">
        <w:rPr>
          <w:rFonts w:ascii="Verdana" w:hAnsi="Verdana" w:cs="Arial"/>
          <w:sz w:val="20"/>
          <w:szCs w:val="20"/>
        </w:rPr>
        <w:t xml:space="preserve"> de los DESC establecidos en </w:t>
      </w:r>
      <w:r w:rsidR="00752BD9">
        <w:rPr>
          <w:rFonts w:ascii="Verdana" w:hAnsi="Verdana" w:cs="Arial"/>
          <w:sz w:val="20"/>
          <w:szCs w:val="20"/>
        </w:rPr>
        <w:t>el mismo</w:t>
      </w:r>
      <w:r w:rsidR="00DB39DA">
        <w:rPr>
          <w:rFonts w:ascii="Verdana" w:hAnsi="Verdana" w:cs="Arial"/>
          <w:sz w:val="20"/>
          <w:szCs w:val="20"/>
        </w:rPr>
        <w:t xml:space="preserve">. </w:t>
      </w:r>
      <w:r w:rsidR="00752BD9">
        <w:rPr>
          <w:rFonts w:ascii="Verdana" w:hAnsi="Verdana" w:cs="Arial"/>
          <w:sz w:val="20"/>
          <w:szCs w:val="20"/>
        </w:rPr>
        <w:t xml:space="preserve">Bajo este entendido, </w:t>
      </w:r>
      <w:r w:rsidR="00752BD9">
        <w:rPr>
          <w:rFonts w:ascii="Verdana" w:hAnsi="Verdana" w:cs="Arial"/>
          <w:sz w:val="20"/>
          <w:szCs w:val="20"/>
        </w:rPr>
        <w:lastRenderedPageBreak/>
        <w:t>estimo que se debe d</w:t>
      </w:r>
      <w:r w:rsidR="00DF00FF">
        <w:rPr>
          <w:rFonts w:ascii="Verdana" w:hAnsi="Verdana" w:cs="Arial"/>
          <w:sz w:val="20"/>
          <w:szCs w:val="20"/>
        </w:rPr>
        <w:t>istinguir</w:t>
      </w:r>
      <w:r w:rsidR="00752BD9" w:rsidRPr="00752BD9">
        <w:rPr>
          <w:rFonts w:ascii="Verdana" w:hAnsi="Verdana" w:cs="Arial"/>
          <w:sz w:val="20"/>
          <w:szCs w:val="20"/>
        </w:rPr>
        <w:t xml:space="preserve"> </w:t>
      </w:r>
      <w:r w:rsidR="00752BD9">
        <w:rPr>
          <w:rFonts w:ascii="Verdana" w:hAnsi="Verdana" w:cs="Arial"/>
          <w:sz w:val="20"/>
          <w:szCs w:val="20"/>
        </w:rPr>
        <w:t>entre</w:t>
      </w:r>
      <w:r w:rsidR="00752BD9" w:rsidRPr="00752BD9">
        <w:rPr>
          <w:rFonts w:ascii="Verdana" w:hAnsi="Verdana" w:cs="Arial"/>
          <w:sz w:val="20"/>
          <w:szCs w:val="20"/>
        </w:rPr>
        <w:t xml:space="preserve"> las ventajas que se derivan de la </w:t>
      </w:r>
      <w:proofErr w:type="spellStart"/>
      <w:r w:rsidR="00752BD9" w:rsidRPr="00752BD9">
        <w:rPr>
          <w:rFonts w:ascii="Verdana" w:hAnsi="Verdana" w:cs="Arial"/>
          <w:sz w:val="20"/>
          <w:szCs w:val="20"/>
        </w:rPr>
        <w:t>justiciabilidad</w:t>
      </w:r>
      <w:proofErr w:type="spellEnd"/>
      <w:r w:rsidR="00752BD9" w:rsidRPr="00752BD9">
        <w:rPr>
          <w:rFonts w:ascii="Verdana" w:hAnsi="Verdana" w:cs="Arial"/>
          <w:sz w:val="20"/>
          <w:szCs w:val="20"/>
        </w:rPr>
        <w:t xml:space="preserve"> de los DES</w:t>
      </w:r>
      <w:r w:rsidR="00752BD9">
        <w:rPr>
          <w:rFonts w:ascii="Verdana" w:hAnsi="Verdana" w:cs="Arial"/>
          <w:sz w:val="20"/>
          <w:szCs w:val="20"/>
        </w:rPr>
        <w:t>C</w:t>
      </w:r>
      <w:r w:rsidR="00752BD9" w:rsidRPr="00752BD9">
        <w:rPr>
          <w:rFonts w:ascii="Verdana" w:hAnsi="Verdana" w:cs="Arial"/>
          <w:sz w:val="20"/>
          <w:szCs w:val="20"/>
        </w:rPr>
        <w:t xml:space="preserve"> y la determinación jurídica sobre la competencia de la Corte sobre el tema.</w:t>
      </w:r>
    </w:p>
    <w:p w14:paraId="2120FC6E" w14:textId="77777777" w:rsidR="00D81F2C" w:rsidRPr="00D81F2C" w:rsidRDefault="00D81F2C" w:rsidP="00D81F2C">
      <w:pPr>
        <w:spacing w:after="0" w:line="240" w:lineRule="auto"/>
        <w:jc w:val="both"/>
        <w:rPr>
          <w:rFonts w:ascii="Verdana" w:hAnsi="Verdana" w:cs="Arial"/>
          <w:sz w:val="20"/>
          <w:szCs w:val="20"/>
        </w:rPr>
      </w:pPr>
    </w:p>
    <w:p w14:paraId="16D41CB7" w14:textId="0C66D55D" w:rsidR="00875275" w:rsidRPr="00871166" w:rsidRDefault="00D81F2C" w:rsidP="00871166">
      <w:pPr>
        <w:pStyle w:val="ListParagraph"/>
        <w:numPr>
          <w:ilvl w:val="0"/>
          <w:numId w:val="12"/>
        </w:numPr>
        <w:spacing w:after="0" w:line="240" w:lineRule="auto"/>
        <w:ind w:left="0" w:firstLine="0"/>
        <w:jc w:val="both"/>
        <w:rPr>
          <w:rFonts w:ascii="Verdana" w:hAnsi="Verdana" w:cs="Arial"/>
          <w:sz w:val="20"/>
          <w:szCs w:val="20"/>
        </w:rPr>
      </w:pPr>
      <w:r>
        <w:rPr>
          <w:rFonts w:ascii="Verdana" w:hAnsi="Verdana" w:cs="Arial"/>
          <w:sz w:val="20"/>
          <w:szCs w:val="20"/>
        </w:rPr>
        <w:t xml:space="preserve">Tal y como lo he expresado en otras oportunidades, </w:t>
      </w:r>
      <w:r w:rsidRPr="00D81F2C">
        <w:rPr>
          <w:rFonts w:ascii="Verdana" w:hAnsi="Verdana" w:cs="Arial"/>
          <w:sz w:val="20"/>
          <w:szCs w:val="20"/>
        </w:rPr>
        <w:t>la Corte IDH ya ha decidido indirectamente sobre DESC,</w:t>
      </w:r>
      <w:r>
        <w:rPr>
          <w:rFonts w:ascii="Verdana" w:hAnsi="Verdana" w:cs="Arial"/>
          <w:sz w:val="20"/>
          <w:szCs w:val="20"/>
        </w:rPr>
        <w:t xml:space="preserve"> generalmente por medio del uso de la conexidad,</w:t>
      </w:r>
      <w:r w:rsidR="00410605">
        <w:rPr>
          <w:rFonts w:ascii="Verdana" w:hAnsi="Verdana" w:cs="Arial"/>
          <w:sz w:val="20"/>
          <w:szCs w:val="20"/>
        </w:rPr>
        <w:t xml:space="preserve"> lo cual es una metodología menos</w:t>
      </w:r>
      <w:r w:rsidR="00AE23EF">
        <w:rPr>
          <w:rFonts w:ascii="Verdana" w:hAnsi="Verdana" w:cs="Arial"/>
          <w:sz w:val="20"/>
          <w:szCs w:val="20"/>
        </w:rPr>
        <w:t xml:space="preserve"> </w:t>
      </w:r>
      <w:r w:rsidR="00941E19">
        <w:rPr>
          <w:rFonts w:ascii="Verdana" w:hAnsi="Verdana" w:cs="Arial"/>
          <w:sz w:val="20"/>
          <w:szCs w:val="20"/>
        </w:rPr>
        <w:t>polémica</w:t>
      </w:r>
      <w:r w:rsidR="00AE23EF">
        <w:rPr>
          <w:rFonts w:ascii="Verdana" w:hAnsi="Verdana" w:cs="Arial"/>
          <w:sz w:val="20"/>
          <w:szCs w:val="20"/>
        </w:rPr>
        <w:t xml:space="preserve">, pero sobre todo más respetuosa de </w:t>
      </w:r>
      <w:r w:rsidR="00C669C0">
        <w:rPr>
          <w:rFonts w:ascii="Verdana" w:hAnsi="Verdana" w:cs="Arial"/>
          <w:sz w:val="20"/>
          <w:szCs w:val="20"/>
        </w:rPr>
        <w:t xml:space="preserve">la </w:t>
      </w:r>
      <w:r w:rsidR="00941E19">
        <w:rPr>
          <w:rFonts w:ascii="Verdana" w:hAnsi="Verdana" w:cs="Arial"/>
          <w:sz w:val="20"/>
          <w:szCs w:val="20"/>
        </w:rPr>
        <w:t>voluntad</w:t>
      </w:r>
      <w:r w:rsidR="00C669C0">
        <w:rPr>
          <w:rFonts w:ascii="Verdana" w:hAnsi="Verdana" w:cs="Arial"/>
          <w:sz w:val="20"/>
          <w:szCs w:val="20"/>
        </w:rPr>
        <w:t xml:space="preserve"> de los Estados expresada en </w:t>
      </w:r>
      <w:r w:rsidR="00AE23EF">
        <w:rPr>
          <w:rFonts w:ascii="Verdana" w:hAnsi="Verdana" w:cs="Arial"/>
          <w:sz w:val="20"/>
          <w:szCs w:val="20"/>
        </w:rPr>
        <w:t>la Convención Americana y de su Protocolo</w:t>
      </w:r>
      <w:r w:rsidRPr="00D81F2C">
        <w:rPr>
          <w:rFonts w:ascii="Verdana" w:hAnsi="Verdana" w:cs="Arial"/>
          <w:sz w:val="20"/>
          <w:szCs w:val="20"/>
        </w:rPr>
        <w:t>.</w:t>
      </w:r>
      <w:r w:rsidR="00AE23EF">
        <w:rPr>
          <w:rFonts w:ascii="Verdana" w:hAnsi="Verdana" w:cs="Arial"/>
          <w:sz w:val="20"/>
          <w:szCs w:val="20"/>
        </w:rPr>
        <w:t xml:space="preserve"> </w:t>
      </w:r>
      <w:r w:rsidR="00C669C0">
        <w:rPr>
          <w:rFonts w:ascii="Verdana" w:hAnsi="Verdana" w:cs="Arial"/>
          <w:sz w:val="20"/>
          <w:szCs w:val="20"/>
        </w:rPr>
        <w:t>No se debe dejar de lado que cualquier</w:t>
      </w:r>
      <w:r w:rsidR="00363C7A">
        <w:rPr>
          <w:rFonts w:ascii="Verdana" w:hAnsi="Verdana" w:cs="Arial"/>
          <w:sz w:val="20"/>
          <w:szCs w:val="20"/>
        </w:rPr>
        <w:t xml:space="preserve"> actuación por fuera de la C</w:t>
      </w:r>
      <w:r w:rsidR="00AE23EF" w:rsidRPr="0058208A">
        <w:rPr>
          <w:rFonts w:ascii="Verdana" w:hAnsi="Verdana" w:cs="Arial"/>
          <w:sz w:val="20"/>
          <w:szCs w:val="20"/>
        </w:rPr>
        <w:t xml:space="preserve">onvención </w:t>
      </w:r>
      <w:r w:rsidR="00363C7A">
        <w:rPr>
          <w:rFonts w:ascii="Verdana" w:hAnsi="Verdana" w:cs="Arial"/>
          <w:sz w:val="20"/>
          <w:szCs w:val="20"/>
        </w:rPr>
        <w:t>Americana será arbitraria aunque</w:t>
      </w:r>
      <w:r w:rsidR="00AE23EF" w:rsidRPr="0058208A">
        <w:rPr>
          <w:rFonts w:ascii="Verdana" w:hAnsi="Verdana" w:cs="Arial"/>
          <w:sz w:val="20"/>
          <w:szCs w:val="20"/>
        </w:rPr>
        <w:t xml:space="preserve"> se </w:t>
      </w:r>
      <w:r w:rsidR="00363C7A">
        <w:rPr>
          <w:rFonts w:ascii="Verdana" w:hAnsi="Verdana" w:cs="Arial"/>
          <w:sz w:val="20"/>
          <w:szCs w:val="20"/>
        </w:rPr>
        <w:t>derive de</w:t>
      </w:r>
      <w:r w:rsidR="00AE23EF" w:rsidRPr="0058208A">
        <w:rPr>
          <w:rFonts w:ascii="Verdana" w:hAnsi="Verdana" w:cs="Arial"/>
          <w:sz w:val="20"/>
          <w:szCs w:val="20"/>
        </w:rPr>
        <w:t xml:space="preserve"> buenas intenciones</w:t>
      </w:r>
      <w:r w:rsidR="00014500">
        <w:rPr>
          <w:rFonts w:ascii="Verdana" w:hAnsi="Verdana" w:cs="Arial"/>
          <w:sz w:val="20"/>
          <w:szCs w:val="20"/>
        </w:rPr>
        <w:t>.</w:t>
      </w:r>
    </w:p>
    <w:p w14:paraId="5F7353B3" w14:textId="77777777" w:rsidR="00EE19CF" w:rsidRPr="008E47DC" w:rsidRDefault="00EE19CF" w:rsidP="008E47DC">
      <w:pPr>
        <w:pStyle w:val="ListParagraph"/>
        <w:spacing w:after="0" w:line="240" w:lineRule="auto"/>
        <w:jc w:val="both"/>
        <w:rPr>
          <w:rFonts w:ascii="Verdana" w:hAnsi="Verdana" w:cs="Arial"/>
          <w:sz w:val="20"/>
          <w:szCs w:val="20"/>
        </w:rPr>
      </w:pPr>
    </w:p>
    <w:p w14:paraId="6D66EE45" w14:textId="45253E7D" w:rsidR="00B27BDC" w:rsidRDefault="000B76AB" w:rsidP="000B76AB">
      <w:pPr>
        <w:pStyle w:val="ListParagraph"/>
        <w:numPr>
          <w:ilvl w:val="0"/>
          <w:numId w:val="11"/>
        </w:numPr>
        <w:spacing w:after="0" w:line="240" w:lineRule="auto"/>
        <w:jc w:val="both"/>
        <w:rPr>
          <w:rFonts w:ascii="Verdana" w:hAnsi="Verdana" w:cs="Arial"/>
          <w:b/>
          <w:sz w:val="20"/>
          <w:szCs w:val="20"/>
        </w:rPr>
      </w:pPr>
      <w:r>
        <w:rPr>
          <w:rFonts w:ascii="Verdana" w:hAnsi="Verdana" w:cs="Arial"/>
          <w:b/>
          <w:sz w:val="20"/>
          <w:szCs w:val="20"/>
        </w:rPr>
        <w:t>CONCLUSIÓN GENERAL</w:t>
      </w:r>
    </w:p>
    <w:p w14:paraId="1CB3105D" w14:textId="77777777" w:rsidR="000B76AB" w:rsidRPr="00D81F2C" w:rsidRDefault="000B76AB" w:rsidP="000B76AB">
      <w:pPr>
        <w:spacing w:after="0" w:line="240" w:lineRule="auto"/>
        <w:jc w:val="both"/>
        <w:rPr>
          <w:rFonts w:ascii="Verdana" w:hAnsi="Verdana" w:cs="Arial"/>
          <w:sz w:val="20"/>
          <w:szCs w:val="20"/>
        </w:rPr>
      </w:pPr>
    </w:p>
    <w:p w14:paraId="0F8AAAC6" w14:textId="5CC18F2C" w:rsidR="00365715" w:rsidRDefault="000B76AB" w:rsidP="00AF792A">
      <w:pPr>
        <w:pStyle w:val="ListParagraph"/>
        <w:numPr>
          <w:ilvl w:val="0"/>
          <w:numId w:val="12"/>
        </w:numPr>
        <w:spacing w:after="0" w:line="240" w:lineRule="auto"/>
        <w:ind w:left="0" w:firstLine="0"/>
        <w:jc w:val="both"/>
        <w:rPr>
          <w:rFonts w:ascii="Verdana" w:hAnsi="Verdana" w:cs="Arial"/>
          <w:sz w:val="20"/>
          <w:szCs w:val="20"/>
        </w:rPr>
      </w:pPr>
      <w:r>
        <w:rPr>
          <w:rFonts w:ascii="Verdana" w:hAnsi="Verdana" w:cs="Arial"/>
          <w:sz w:val="20"/>
          <w:szCs w:val="20"/>
        </w:rPr>
        <w:t xml:space="preserve">De forma general, </w:t>
      </w:r>
      <w:r w:rsidR="00B27BDC" w:rsidRPr="000B76AB">
        <w:rPr>
          <w:rFonts w:ascii="Verdana" w:hAnsi="Verdana" w:cs="Arial"/>
          <w:sz w:val="20"/>
          <w:szCs w:val="20"/>
        </w:rPr>
        <w:t xml:space="preserve">considero que </w:t>
      </w:r>
      <w:r w:rsidR="00941E19">
        <w:rPr>
          <w:rFonts w:ascii="Verdana" w:hAnsi="Verdana" w:cs="Arial"/>
          <w:sz w:val="20"/>
          <w:szCs w:val="20"/>
        </w:rPr>
        <w:t>una S</w:t>
      </w:r>
      <w:r w:rsidR="0083150F" w:rsidRPr="000B76AB">
        <w:rPr>
          <w:rFonts w:ascii="Verdana" w:hAnsi="Verdana" w:cs="Arial"/>
          <w:sz w:val="20"/>
          <w:szCs w:val="20"/>
        </w:rPr>
        <w:t xml:space="preserve">entencia que </w:t>
      </w:r>
      <w:r w:rsidR="00431A15">
        <w:rPr>
          <w:rFonts w:ascii="Verdana" w:hAnsi="Verdana" w:cs="Arial"/>
          <w:sz w:val="20"/>
          <w:szCs w:val="20"/>
        </w:rPr>
        <w:t>declara internacionalmente responsable a un</w:t>
      </w:r>
      <w:r w:rsidR="00014500">
        <w:rPr>
          <w:rFonts w:ascii="Verdana" w:hAnsi="Verdana" w:cs="Arial"/>
          <w:sz w:val="20"/>
          <w:szCs w:val="20"/>
        </w:rPr>
        <w:t xml:space="preserve"> </w:t>
      </w:r>
      <w:r w:rsidR="0083150F" w:rsidRPr="000B76AB">
        <w:rPr>
          <w:rFonts w:ascii="Verdana" w:hAnsi="Verdana" w:cs="Arial"/>
          <w:sz w:val="20"/>
          <w:szCs w:val="20"/>
        </w:rPr>
        <w:t xml:space="preserve">Estado </w:t>
      </w:r>
      <w:r w:rsidR="00F92972">
        <w:rPr>
          <w:rFonts w:ascii="Verdana" w:hAnsi="Verdana" w:cs="Arial"/>
          <w:sz w:val="20"/>
          <w:szCs w:val="20"/>
        </w:rPr>
        <w:t xml:space="preserve">no puede incurrir en falencias </w:t>
      </w:r>
      <w:r w:rsidR="0083150F" w:rsidRPr="000B76AB">
        <w:rPr>
          <w:rFonts w:ascii="Verdana" w:hAnsi="Verdana" w:cs="Arial"/>
          <w:sz w:val="20"/>
          <w:szCs w:val="20"/>
        </w:rPr>
        <w:t>argumentativas</w:t>
      </w:r>
      <w:r w:rsidR="00F92972">
        <w:rPr>
          <w:rFonts w:ascii="Verdana" w:hAnsi="Verdana" w:cs="Arial"/>
          <w:sz w:val="20"/>
          <w:szCs w:val="20"/>
        </w:rPr>
        <w:t xml:space="preserve"> de la magnitud </w:t>
      </w:r>
      <w:r w:rsidR="00431A15">
        <w:rPr>
          <w:rFonts w:ascii="Verdana" w:hAnsi="Verdana" w:cs="Arial"/>
          <w:sz w:val="20"/>
          <w:szCs w:val="20"/>
        </w:rPr>
        <w:t xml:space="preserve">previamente </w:t>
      </w:r>
      <w:r w:rsidR="00F92972">
        <w:rPr>
          <w:rFonts w:ascii="Verdana" w:hAnsi="Verdana" w:cs="Arial"/>
          <w:sz w:val="20"/>
          <w:szCs w:val="20"/>
        </w:rPr>
        <w:t>expuesta</w:t>
      </w:r>
      <w:r w:rsidR="0083150F" w:rsidRPr="000B76AB">
        <w:rPr>
          <w:rFonts w:ascii="Verdana" w:hAnsi="Verdana" w:cs="Arial"/>
          <w:sz w:val="20"/>
          <w:szCs w:val="20"/>
        </w:rPr>
        <w:t xml:space="preserve">. Si el Tribunal </w:t>
      </w:r>
      <w:r w:rsidR="00365715">
        <w:rPr>
          <w:rFonts w:ascii="Verdana" w:hAnsi="Verdana" w:cs="Arial"/>
          <w:sz w:val="20"/>
          <w:szCs w:val="20"/>
        </w:rPr>
        <w:t xml:space="preserve">pretende </w:t>
      </w:r>
      <w:r w:rsidR="0083150F" w:rsidRPr="000B76AB">
        <w:rPr>
          <w:rFonts w:ascii="Verdana" w:hAnsi="Verdana" w:cs="Arial"/>
          <w:sz w:val="20"/>
          <w:szCs w:val="20"/>
        </w:rPr>
        <w:t>mantener un estándar de motivación tan alto para los tribunales internos</w:t>
      </w:r>
      <w:r w:rsidR="00365715">
        <w:rPr>
          <w:rFonts w:ascii="Verdana" w:hAnsi="Verdana" w:cs="Arial"/>
          <w:sz w:val="20"/>
          <w:szCs w:val="20"/>
        </w:rPr>
        <w:t xml:space="preserve"> como el que se estableció</w:t>
      </w:r>
      <w:r w:rsidR="00431A15">
        <w:rPr>
          <w:rFonts w:ascii="Verdana" w:hAnsi="Verdana" w:cs="Arial"/>
          <w:sz w:val="20"/>
          <w:szCs w:val="20"/>
        </w:rPr>
        <w:t xml:space="preserve"> </w:t>
      </w:r>
      <w:r w:rsidR="00365715">
        <w:rPr>
          <w:rFonts w:ascii="Verdana" w:hAnsi="Verdana" w:cs="Arial"/>
          <w:sz w:val="20"/>
          <w:szCs w:val="20"/>
        </w:rPr>
        <w:t>en la presente Sentencia</w:t>
      </w:r>
      <w:r w:rsidR="0083150F" w:rsidRPr="000B76AB">
        <w:rPr>
          <w:rFonts w:ascii="Verdana" w:hAnsi="Verdana" w:cs="Arial"/>
          <w:sz w:val="20"/>
          <w:szCs w:val="20"/>
        </w:rPr>
        <w:t>, lo mínimo</w:t>
      </w:r>
      <w:r w:rsidR="00431A15">
        <w:rPr>
          <w:rFonts w:ascii="Verdana" w:hAnsi="Verdana" w:cs="Arial"/>
          <w:sz w:val="20"/>
          <w:szCs w:val="20"/>
        </w:rPr>
        <w:t xml:space="preserve"> exigible</w:t>
      </w:r>
      <w:r w:rsidR="0083150F" w:rsidRPr="000B76AB">
        <w:rPr>
          <w:rFonts w:ascii="Verdana" w:hAnsi="Verdana" w:cs="Arial"/>
          <w:sz w:val="20"/>
          <w:szCs w:val="20"/>
        </w:rPr>
        <w:t xml:space="preserve"> es </w:t>
      </w:r>
      <w:r w:rsidR="003A4209" w:rsidRPr="000B76AB">
        <w:rPr>
          <w:rFonts w:ascii="Verdana" w:hAnsi="Verdana" w:cs="Arial"/>
          <w:sz w:val="20"/>
          <w:szCs w:val="20"/>
        </w:rPr>
        <w:t xml:space="preserve">que </w:t>
      </w:r>
      <w:r w:rsidR="0083150F" w:rsidRPr="000B76AB">
        <w:rPr>
          <w:rFonts w:ascii="Verdana" w:hAnsi="Verdana" w:cs="Arial"/>
          <w:sz w:val="20"/>
          <w:szCs w:val="20"/>
        </w:rPr>
        <w:t xml:space="preserve">use el mismo racero para sus decisiones, pues de lo contrario se corre el riesgo de afectar fuertemente la </w:t>
      </w:r>
      <w:r w:rsidR="00941E19" w:rsidRPr="000B76AB">
        <w:rPr>
          <w:rFonts w:ascii="Verdana" w:hAnsi="Verdana" w:cs="Arial"/>
          <w:sz w:val="20"/>
          <w:szCs w:val="20"/>
        </w:rPr>
        <w:t>legitimidad</w:t>
      </w:r>
      <w:r w:rsidR="0083150F" w:rsidRPr="000B76AB">
        <w:rPr>
          <w:rFonts w:ascii="Verdana" w:hAnsi="Verdana" w:cs="Arial"/>
          <w:sz w:val="20"/>
          <w:szCs w:val="20"/>
        </w:rPr>
        <w:t xml:space="preserve"> de</w:t>
      </w:r>
      <w:r w:rsidR="00F92972">
        <w:rPr>
          <w:rFonts w:ascii="Verdana" w:hAnsi="Verdana" w:cs="Arial"/>
          <w:sz w:val="20"/>
          <w:szCs w:val="20"/>
        </w:rPr>
        <w:t xml:space="preserve"> </w:t>
      </w:r>
      <w:r w:rsidR="0083150F" w:rsidRPr="000B76AB">
        <w:rPr>
          <w:rFonts w:ascii="Verdana" w:hAnsi="Verdana" w:cs="Arial"/>
          <w:sz w:val="20"/>
          <w:szCs w:val="20"/>
        </w:rPr>
        <w:t>l</w:t>
      </w:r>
      <w:r w:rsidR="00F92972">
        <w:rPr>
          <w:rFonts w:ascii="Verdana" w:hAnsi="Verdana" w:cs="Arial"/>
          <w:sz w:val="20"/>
          <w:szCs w:val="20"/>
        </w:rPr>
        <w:t>a</w:t>
      </w:r>
      <w:r w:rsidR="0083150F" w:rsidRPr="000B76AB">
        <w:rPr>
          <w:rFonts w:ascii="Verdana" w:hAnsi="Verdana" w:cs="Arial"/>
          <w:sz w:val="20"/>
          <w:szCs w:val="20"/>
        </w:rPr>
        <w:t xml:space="preserve"> </w:t>
      </w:r>
      <w:r w:rsidR="00F92972">
        <w:rPr>
          <w:rFonts w:ascii="Verdana" w:hAnsi="Verdana" w:cs="Arial"/>
          <w:sz w:val="20"/>
          <w:szCs w:val="20"/>
        </w:rPr>
        <w:t>Corte IDH</w:t>
      </w:r>
      <w:r w:rsidR="0083150F" w:rsidRPr="000B76AB">
        <w:rPr>
          <w:rFonts w:ascii="Verdana" w:hAnsi="Verdana" w:cs="Arial"/>
          <w:sz w:val="20"/>
          <w:szCs w:val="20"/>
        </w:rPr>
        <w:t xml:space="preserve"> frente a </w:t>
      </w:r>
      <w:r w:rsidR="00B27BDC" w:rsidRPr="000B76AB">
        <w:rPr>
          <w:rFonts w:ascii="Verdana" w:hAnsi="Verdana" w:cs="Arial"/>
          <w:sz w:val="20"/>
          <w:szCs w:val="20"/>
        </w:rPr>
        <w:t xml:space="preserve">nuestros </w:t>
      </w:r>
      <w:r w:rsidR="0083150F" w:rsidRPr="000B76AB">
        <w:rPr>
          <w:rFonts w:ascii="Verdana" w:hAnsi="Verdana" w:cs="Arial"/>
          <w:sz w:val="20"/>
          <w:szCs w:val="20"/>
        </w:rPr>
        <w:t xml:space="preserve">colegas de ejercicio jurisdiccional. </w:t>
      </w:r>
    </w:p>
    <w:p w14:paraId="2BA373F9" w14:textId="77777777" w:rsidR="00365715" w:rsidRDefault="00365715" w:rsidP="00365715">
      <w:pPr>
        <w:pStyle w:val="ListParagraph"/>
        <w:spacing w:after="0" w:line="240" w:lineRule="auto"/>
        <w:ind w:left="0"/>
        <w:jc w:val="both"/>
        <w:rPr>
          <w:rFonts w:ascii="Verdana" w:hAnsi="Verdana" w:cs="Arial"/>
          <w:sz w:val="20"/>
          <w:szCs w:val="20"/>
        </w:rPr>
      </w:pPr>
    </w:p>
    <w:p w14:paraId="06ED06DE" w14:textId="1CA814EE" w:rsidR="00B27BDC" w:rsidRDefault="0048185A" w:rsidP="00AF792A">
      <w:pPr>
        <w:pStyle w:val="ListParagraph"/>
        <w:numPr>
          <w:ilvl w:val="0"/>
          <w:numId w:val="12"/>
        </w:numPr>
        <w:spacing w:after="0" w:line="240" w:lineRule="auto"/>
        <w:ind w:left="0" w:firstLine="0"/>
        <w:jc w:val="both"/>
        <w:rPr>
          <w:rFonts w:ascii="Verdana" w:hAnsi="Verdana" w:cs="Arial"/>
          <w:sz w:val="20"/>
          <w:szCs w:val="20"/>
        </w:rPr>
      </w:pPr>
      <w:r>
        <w:rPr>
          <w:rFonts w:ascii="Verdana" w:hAnsi="Verdana" w:cs="Arial"/>
          <w:sz w:val="20"/>
          <w:szCs w:val="20"/>
        </w:rPr>
        <w:t>Efectivamente, la legitimidad de la C</w:t>
      </w:r>
      <w:r w:rsidR="00B27BDC" w:rsidRPr="00365715">
        <w:rPr>
          <w:rFonts w:ascii="Verdana" w:hAnsi="Verdana" w:cs="Arial"/>
          <w:sz w:val="20"/>
          <w:szCs w:val="20"/>
        </w:rPr>
        <w:t xml:space="preserve">orte </w:t>
      </w:r>
      <w:r>
        <w:rPr>
          <w:rFonts w:ascii="Verdana" w:hAnsi="Verdana" w:cs="Arial"/>
          <w:sz w:val="20"/>
          <w:szCs w:val="20"/>
        </w:rPr>
        <w:t>Interamericana se deriva de la solidez de</w:t>
      </w:r>
      <w:r w:rsidR="00B27BDC" w:rsidRPr="00365715">
        <w:rPr>
          <w:rFonts w:ascii="Verdana" w:hAnsi="Verdana" w:cs="Arial"/>
          <w:sz w:val="20"/>
          <w:szCs w:val="20"/>
        </w:rPr>
        <w:t xml:space="preserve"> </w:t>
      </w:r>
      <w:r w:rsidR="00063277">
        <w:rPr>
          <w:rFonts w:ascii="Verdana" w:hAnsi="Verdana" w:cs="Arial"/>
          <w:sz w:val="20"/>
          <w:szCs w:val="20"/>
        </w:rPr>
        <w:t xml:space="preserve">sus argumentos y de sus construcciones jurídicas, así como </w:t>
      </w:r>
      <w:r w:rsidR="00B27BDC" w:rsidRPr="00365715">
        <w:rPr>
          <w:rFonts w:ascii="Verdana" w:hAnsi="Verdana" w:cs="Arial"/>
          <w:sz w:val="20"/>
          <w:szCs w:val="20"/>
        </w:rPr>
        <w:t>de la justicia</w:t>
      </w:r>
      <w:r w:rsidR="005C0E68">
        <w:rPr>
          <w:rFonts w:ascii="Verdana" w:hAnsi="Verdana" w:cs="Arial"/>
          <w:sz w:val="20"/>
          <w:szCs w:val="20"/>
        </w:rPr>
        <w:t xml:space="preserve"> que se alcance a través</w:t>
      </w:r>
      <w:r w:rsidR="00B27BDC" w:rsidRPr="00365715">
        <w:rPr>
          <w:rFonts w:ascii="Verdana" w:hAnsi="Verdana" w:cs="Arial"/>
          <w:sz w:val="20"/>
          <w:szCs w:val="20"/>
        </w:rPr>
        <w:t xml:space="preserve"> de su</w:t>
      </w:r>
      <w:r w:rsidR="005C0E68">
        <w:rPr>
          <w:rFonts w:ascii="Verdana" w:hAnsi="Verdana" w:cs="Arial"/>
          <w:sz w:val="20"/>
          <w:szCs w:val="20"/>
        </w:rPr>
        <w:t>s decisiones</w:t>
      </w:r>
      <w:r w:rsidR="00B27BDC" w:rsidRPr="00365715">
        <w:rPr>
          <w:rFonts w:ascii="Verdana" w:hAnsi="Verdana" w:cs="Arial"/>
          <w:sz w:val="20"/>
          <w:szCs w:val="20"/>
        </w:rPr>
        <w:t xml:space="preserve">. </w:t>
      </w:r>
      <w:r w:rsidR="00494A06">
        <w:rPr>
          <w:rFonts w:ascii="Verdana" w:hAnsi="Verdana" w:cs="Arial"/>
          <w:sz w:val="20"/>
          <w:szCs w:val="20"/>
        </w:rPr>
        <w:t>Por ello, e</w:t>
      </w:r>
      <w:r w:rsidR="00B27BDC" w:rsidRPr="00365715">
        <w:rPr>
          <w:rFonts w:ascii="Verdana" w:hAnsi="Verdana" w:cs="Arial"/>
          <w:sz w:val="20"/>
          <w:szCs w:val="20"/>
        </w:rPr>
        <w:t xml:space="preserve">l propósito de </w:t>
      </w:r>
      <w:r w:rsidR="006855EF">
        <w:rPr>
          <w:rFonts w:ascii="Verdana" w:hAnsi="Verdana" w:cs="Arial"/>
          <w:sz w:val="20"/>
          <w:szCs w:val="20"/>
        </w:rPr>
        <w:t xml:space="preserve">querer </w:t>
      </w:r>
      <w:r w:rsidR="00B27BDC" w:rsidRPr="00365715">
        <w:rPr>
          <w:rFonts w:ascii="Verdana" w:hAnsi="Verdana" w:cs="Arial"/>
          <w:sz w:val="20"/>
          <w:szCs w:val="20"/>
        </w:rPr>
        <w:t>acertar</w:t>
      </w:r>
      <w:r w:rsidR="006855EF">
        <w:rPr>
          <w:rFonts w:ascii="Verdana" w:hAnsi="Verdana" w:cs="Arial"/>
          <w:sz w:val="20"/>
          <w:szCs w:val="20"/>
        </w:rPr>
        <w:t>,</w:t>
      </w:r>
      <w:r w:rsidR="00B27BDC" w:rsidRPr="00365715">
        <w:rPr>
          <w:rFonts w:ascii="Verdana" w:hAnsi="Verdana" w:cs="Arial"/>
          <w:sz w:val="20"/>
          <w:szCs w:val="20"/>
        </w:rPr>
        <w:t xml:space="preserve"> no basta, es insuficiente, </w:t>
      </w:r>
      <w:r w:rsidR="006855EF">
        <w:rPr>
          <w:rFonts w:ascii="Verdana" w:hAnsi="Verdana" w:cs="Arial"/>
          <w:sz w:val="20"/>
          <w:szCs w:val="20"/>
        </w:rPr>
        <w:t xml:space="preserve">pues lo que </w:t>
      </w:r>
      <w:r w:rsidR="00B27BDC" w:rsidRPr="00365715">
        <w:rPr>
          <w:rFonts w:ascii="Verdana" w:hAnsi="Verdana" w:cs="Arial"/>
          <w:sz w:val="20"/>
          <w:szCs w:val="20"/>
        </w:rPr>
        <w:t xml:space="preserve">puede generar </w:t>
      </w:r>
      <w:r w:rsidR="00B8330E">
        <w:rPr>
          <w:rFonts w:ascii="Verdana" w:hAnsi="Verdana" w:cs="Arial"/>
          <w:sz w:val="20"/>
          <w:szCs w:val="20"/>
        </w:rPr>
        <w:t xml:space="preserve">es </w:t>
      </w:r>
      <w:r w:rsidR="00B27BDC" w:rsidRPr="00365715">
        <w:rPr>
          <w:rFonts w:ascii="Verdana" w:hAnsi="Verdana" w:cs="Arial"/>
          <w:sz w:val="20"/>
          <w:szCs w:val="20"/>
        </w:rPr>
        <w:t>un importante factor de deslegitimación</w:t>
      </w:r>
      <w:r w:rsidR="006C00B3">
        <w:rPr>
          <w:rFonts w:ascii="Verdana" w:hAnsi="Verdana" w:cs="Arial"/>
          <w:sz w:val="20"/>
          <w:szCs w:val="20"/>
        </w:rPr>
        <w:t xml:space="preserve"> del Tribunal</w:t>
      </w:r>
      <w:r w:rsidR="00B27BDC" w:rsidRPr="00365715">
        <w:rPr>
          <w:rFonts w:ascii="Verdana" w:hAnsi="Verdana" w:cs="Arial"/>
          <w:sz w:val="20"/>
          <w:szCs w:val="20"/>
        </w:rPr>
        <w:t xml:space="preserve">. De hecho, decisiones como esta, en ultimas plantean una </w:t>
      </w:r>
      <w:r w:rsidR="00941E19" w:rsidRPr="00365715">
        <w:rPr>
          <w:rFonts w:ascii="Verdana" w:hAnsi="Verdana" w:cs="Arial"/>
          <w:sz w:val="20"/>
          <w:szCs w:val="20"/>
        </w:rPr>
        <w:t>visión</w:t>
      </w:r>
      <w:r w:rsidR="00B27BDC" w:rsidRPr="00365715">
        <w:rPr>
          <w:rFonts w:ascii="Verdana" w:hAnsi="Verdana" w:cs="Arial"/>
          <w:sz w:val="20"/>
          <w:szCs w:val="20"/>
        </w:rPr>
        <w:t xml:space="preserve">, un proyecto de </w:t>
      </w:r>
      <w:r w:rsidR="00DF00FF">
        <w:rPr>
          <w:rFonts w:ascii="Verdana" w:hAnsi="Verdana" w:cs="Arial"/>
          <w:sz w:val="20"/>
          <w:szCs w:val="20"/>
        </w:rPr>
        <w:t xml:space="preserve">integración y </w:t>
      </w:r>
      <w:r w:rsidR="00B27BDC" w:rsidRPr="00365715">
        <w:rPr>
          <w:rFonts w:ascii="Verdana" w:hAnsi="Verdana" w:cs="Arial"/>
          <w:sz w:val="20"/>
          <w:szCs w:val="20"/>
        </w:rPr>
        <w:t>transformaciones orientadas autónomamente desde los órganos del SIDH</w:t>
      </w:r>
      <w:r w:rsidR="006C00B3">
        <w:rPr>
          <w:rFonts w:ascii="Verdana" w:hAnsi="Verdana" w:cs="Arial"/>
          <w:sz w:val="20"/>
          <w:szCs w:val="20"/>
        </w:rPr>
        <w:t xml:space="preserve">, </w:t>
      </w:r>
      <w:r w:rsidR="003612C7">
        <w:rPr>
          <w:rFonts w:ascii="Verdana" w:hAnsi="Verdana" w:cs="Arial"/>
          <w:sz w:val="20"/>
          <w:szCs w:val="20"/>
        </w:rPr>
        <w:t>alejándose</w:t>
      </w:r>
      <w:r w:rsidR="006C00B3">
        <w:rPr>
          <w:rFonts w:ascii="Verdana" w:hAnsi="Verdana" w:cs="Arial"/>
          <w:sz w:val="20"/>
          <w:szCs w:val="20"/>
        </w:rPr>
        <w:t xml:space="preserve"> de la función principal de la C</w:t>
      </w:r>
      <w:r w:rsidR="00B27BDC" w:rsidRPr="00365715">
        <w:rPr>
          <w:rFonts w:ascii="Verdana" w:hAnsi="Verdana" w:cs="Arial"/>
          <w:sz w:val="20"/>
          <w:szCs w:val="20"/>
        </w:rPr>
        <w:t>orte</w:t>
      </w:r>
      <w:r w:rsidR="006C00B3">
        <w:rPr>
          <w:rFonts w:ascii="Verdana" w:hAnsi="Verdana" w:cs="Arial"/>
          <w:sz w:val="20"/>
          <w:szCs w:val="20"/>
        </w:rPr>
        <w:t xml:space="preserve"> IDH, la cual es la de administrar justicia, garantizando la pro</w:t>
      </w:r>
      <w:r w:rsidR="003612C7">
        <w:rPr>
          <w:rFonts w:ascii="Verdana" w:hAnsi="Verdana" w:cs="Arial"/>
          <w:sz w:val="20"/>
          <w:szCs w:val="20"/>
        </w:rPr>
        <w:t>tección de los derechos humanos</w:t>
      </w:r>
      <w:r w:rsidR="006C00B3">
        <w:rPr>
          <w:rFonts w:ascii="Verdana" w:hAnsi="Verdana" w:cs="Arial"/>
          <w:sz w:val="20"/>
          <w:szCs w:val="20"/>
        </w:rPr>
        <w:t xml:space="preserve"> bajo la</w:t>
      </w:r>
      <w:r w:rsidR="003612C7">
        <w:rPr>
          <w:rFonts w:ascii="Verdana" w:hAnsi="Verdana" w:cs="Arial"/>
          <w:sz w:val="20"/>
          <w:szCs w:val="20"/>
        </w:rPr>
        <w:t xml:space="preserve"> estricta</w:t>
      </w:r>
      <w:r w:rsidR="006C00B3">
        <w:rPr>
          <w:rFonts w:ascii="Verdana" w:hAnsi="Verdana" w:cs="Arial"/>
          <w:sz w:val="20"/>
          <w:szCs w:val="20"/>
        </w:rPr>
        <w:t xml:space="preserve"> observancia de su competencia</w:t>
      </w:r>
      <w:r w:rsidR="00B27BDC" w:rsidRPr="00365715">
        <w:rPr>
          <w:rFonts w:ascii="Verdana" w:hAnsi="Verdana" w:cs="Arial"/>
          <w:sz w:val="20"/>
          <w:szCs w:val="20"/>
        </w:rPr>
        <w:t xml:space="preserve">. </w:t>
      </w:r>
      <w:r w:rsidR="006C00B3">
        <w:rPr>
          <w:rFonts w:ascii="Verdana" w:hAnsi="Verdana" w:cs="Arial"/>
          <w:sz w:val="20"/>
          <w:szCs w:val="20"/>
        </w:rPr>
        <w:t>De hecho, n</w:t>
      </w:r>
      <w:r w:rsidR="00B27BDC" w:rsidRPr="00365715">
        <w:rPr>
          <w:rFonts w:ascii="Verdana" w:hAnsi="Verdana" w:cs="Arial"/>
          <w:sz w:val="20"/>
          <w:szCs w:val="20"/>
        </w:rPr>
        <w:t xml:space="preserve">o puede hacerse derecho transformador </w:t>
      </w:r>
      <w:r w:rsidR="006C00B3">
        <w:rPr>
          <w:rFonts w:ascii="Verdana" w:hAnsi="Verdana" w:cs="Arial"/>
          <w:sz w:val="20"/>
          <w:szCs w:val="20"/>
        </w:rPr>
        <w:t xml:space="preserve">en </w:t>
      </w:r>
      <w:r w:rsidR="00B27BDC" w:rsidRPr="00365715">
        <w:rPr>
          <w:rFonts w:ascii="Verdana" w:hAnsi="Verdana" w:cs="Arial"/>
          <w:sz w:val="20"/>
          <w:szCs w:val="20"/>
        </w:rPr>
        <w:t>contra</w:t>
      </w:r>
      <w:r w:rsidR="006C00B3">
        <w:rPr>
          <w:rFonts w:ascii="Verdana" w:hAnsi="Verdana" w:cs="Arial"/>
          <w:sz w:val="20"/>
          <w:szCs w:val="20"/>
        </w:rPr>
        <w:t xml:space="preserve"> vía</w:t>
      </w:r>
      <w:r w:rsidR="00B27BDC" w:rsidRPr="00365715">
        <w:rPr>
          <w:rFonts w:ascii="Verdana" w:hAnsi="Verdana" w:cs="Arial"/>
          <w:sz w:val="20"/>
          <w:szCs w:val="20"/>
        </w:rPr>
        <w:t xml:space="preserve"> </w:t>
      </w:r>
      <w:r w:rsidR="006C00B3">
        <w:rPr>
          <w:rFonts w:ascii="Verdana" w:hAnsi="Verdana" w:cs="Arial"/>
          <w:sz w:val="20"/>
          <w:szCs w:val="20"/>
        </w:rPr>
        <w:t>d</w:t>
      </w:r>
      <w:r w:rsidR="00B27BDC" w:rsidRPr="00365715">
        <w:rPr>
          <w:rFonts w:ascii="Verdana" w:hAnsi="Verdana" w:cs="Arial"/>
          <w:sz w:val="20"/>
          <w:szCs w:val="20"/>
        </w:rPr>
        <w:t>el derecho vigente.</w:t>
      </w:r>
    </w:p>
    <w:p w14:paraId="422C6BE9" w14:textId="77777777" w:rsidR="006C00B3" w:rsidRPr="006C00B3" w:rsidRDefault="006C00B3" w:rsidP="006C00B3">
      <w:pPr>
        <w:spacing w:after="0" w:line="240" w:lineRule="auto"/>
        <w:jc w:val="both"/>
        <w:rPr>
          <w:rFonts w:ascii="Verdana" w:hAnsi="Verdana" w:cs="Arial"/>
          <w:sz w:val="20"/>
          <w:szCs w:val="20"/>
        </w:rPr>
      </w:pPr>
    </w:p>
    <w:p w14:paraId="480D52C0" w14:textId="498247CB" w:rsidR="006C00B3" w:rsidRDefault="00015D98" w:rsidP="00AF792A">
      <w:pPr>
        <w:pStyle w:val="ListParagraph"/>
        <w:numPr>
          <w:ilvl w:val="0"/>
          <w:numId w:val="12"/>
        </w:numPr>
        <w:spacing w:after="0" w:line="240" w:lineRule="auto"/>
        <w:ind w:left="0" w:firstLine="0"/>
        <w:jc w:val="both"/>
        <w:rPr>
          <w:rFonts w:ascii="Verdana" w:hAnsi="Verdana" w:cs="Arial"/>
          <w:sz w:val="20"/>
          <w:szCs w:val="20"/>
        </w:rPr>
      </w:pPr>
      <w:bookmarkStart w:id="0" w:name="_GoBack"/>
      <w:bookmarkEnd w:id="0"/>
      <w:r>
        <w:rPr>
          <w:rFonts w:ascii="Verdana" w:hAnsi="Verdana" w:cs="Arial"/>
          <w:sz w:val="20"/>
          <w:szCs w:val="20"/>
        </w:rPr>
        <w:t>Fina</w:t>
      </w:r>
      <w:r w:rsidR="008613AB">
        <w:rPr>
          <w:rFonts w:ascii="Verdana" w:hAnsi="Verdana" w:cs="Arial"/>
          <w:sz w:val="20"/>
          <w:szCs w:val="20"/>
        </w:rPr>
        <w:t>lmente, espero que el presente V</w:t>
      </w:r>
      <w:r>
        <w:rPr>
          <w:rFonts w:ascii="Verdana" w:hAnsi="Verdana" w:cs="Arial"/>
          <w:sz w:val="20"/>
          <w:szCs w:val="20"/>
        </w:rPr>
        <w:t>oto contribuya</w:t>
      </w:r>
      <w:r w:rsidR="00E979DE">
        <w:rPr>
          <w:rFonts w:ascii="Verdana" w:hAnsi="Verdana" w:cs="Arial"/>
          <w:sz w:val="20"/>
          <w:szCs w:val="20"/>
        </w:rPr>
        <w:t xml:space="preserve"> como reflexión para entender la </w:t>
      </w:r>
      <w:r w:rsidR="00E979DE" w:rsidRPr="005A7D73">
        <w:rPr>
          <w:rFonts w:ascii="Verdana" w:hAnsi="Verdana" w:cs="Arial"/>
          <w:sz w:val="20"/>
          <w:szCs w:val="20"/>
        </w:rPr>
        <w:t>dimensión de la decisión que la mayoría de la Corte IDH adoptó en este caso,</w:t>
      </w:r>
      <w:r w:rsidR="00014500">
        <w:rPr>
          <w:rFonts w:ascii="Verdana" w:hAnsi="Verdana" w:cs="Arial"/>
          <w:sz w:val="20"/>
          <w:szCs w:val="20"/>
        </w:rPr>
        <w:t xml:space="preserve"> y</w:t>
      </w:r>
      <w:r w:rsidR="00E979DE" w:rsidRPr="005A7D73">
        <w:rPr>
          <w:rFonts w:ascii="Verdana" w:hAnsi="Verdana" w:cs="Arial"/>
          <w:sz w:val="20"/>
          <w:szCs w:val="20"/>
        </w:rPr>
        <w:t xml:space="preserve"> se visibilicen las principales </w:t>
      </w:r>
      <w:r w:rsidR="003612C7" w:rsidRPr="005A7D73">
        <w:rPr>
          <w:rFonts w:ascii="Verdana" w:hAnsi="Verdana" w:cs="Arial"/>
          <w:sz w:val="20"/>
          <w:szCs w:val="20"/>
        </w:rPr>
        <w:t>problemáticas</w:t>
      </w:r>
      <w:r w:rsidR="00E979DE" w:rsidRPr="005A7D73">
        <w:rPr>
          <w:rFonts w:ascii="Verdana" w:hAnsi="Verdana" w:cs="Arial"/>
          <w:sz w:val="20"/>
          <w:szCs w:val="20"/>
        </w:rPr>
        <w:t xml:space="preserve"> que se generan a partir de la misma</w:t>
      </w:r>
      <w:r w:rsidR="00014500">
        <w:rPr>
          <w:rFonts w:ascii="Verdana" w:hAnsi="Verdana" w:cs="Arial"/>
          <w:sz w:val="20"/>
          <w:szCs w:val="20"/>
        </w:rPr>
        <w:t>.</w:t>
      </w:r>
      <w:r w:rsidR="00E979DE" w:rsidRPr="005A7D73">
        <w:rPr>
          <w:rFonts w:ascii="Verdana" w:hAnsi="Verdana" w:cs="Arial"/>
          <w:sz w:val="20"/>
          <w:szCs w:val="20"/>
        </w:rPr>
        <w:t xml:space="preserve"> </w:t>
      </w:r>
      <w:r w:rsidR="00014500">
        <w:rPr>
          <w:rFonts w:ascii="Verdana" w:hAnsi="Verdana" w:cs="Arial"/>
          <w:sz w:val="20"/>
          <w:szCs w:val="20"/>
        </w:rPr>
        <w:t xml:space="preserve">Solo la crítica sincera </w:t>
      </w:r>
      <w:r w:rsidR="00E979DE" w:rsidRPr="005A7D73">
        <w:rPr>
          <w:rFonts w:ascii="Verdana" w:hAnsi="Verdana" w:cs="Arial"/>
          <w:sz w:val="20"/>
          <w:szCs w:val="20"/>
        </w:rPr>
        <w:t xml:space="preserve">y </w:t>
      </w:r>
      <w:r w:rsidR="008613AB" w:rsidRPr="005A7D73">
        <w:rPr>
          <w:rFonts w:ascii="Verdana" w:hAnsi="Verdana" w:cs="Arial"/>
          <w:sz w:val="20"/>
          <w:szCs w:val="20"/>
        </w:rPr>
        <w:t xml:space="preserve">el debate abierto y público </w:t>
      </w:r>
      <w:r w:rsidR="00014500">
        <w:rPr>
          <w:rFonts w:ascii="Verdana" w:hAnsi="Verdana" w:cs="Arial"/>
          <w:sz w:val="20"/>
          <w:szCs w:val="20"/>
        </w:rPr>
        <w:t>puede</w:t>
      </w:r>
      <w:r w:rsidR="008613AB" w:rsidRPr="005A7D73">
        <w:rPr>
          <w:rFonts w:ascii="Verdana" w:hAnsi="Verdana" w:cs="Arial"/>
          <w:sz w:val="20"/>
          <w:szCs w:val="20"/>
        </w:rPr>
        <w:t xml:space="preserve"> ayud</w:t>
      </w:r>
      <w:r w:rsidR="00014500">
        <w:rPr>
          <w:rFonts w:ascii="Verdana" w:hAnsi="Verdana" w:cs="Arial"/>
          <w:sz w:val="20"/>
          <w:szCs w:val="20"/>
        </w:rPr>
        <w:t>ar</w:t>
      </w:r>
      <w:r w:rsidR="008613AB" w:rsidRPr="005A7D73">
        <w:rPr>
          <w:rFonts w:ascii="Verdana" w:hAnsi="Verdana" w:cs="Arial"/>
          <w:sz w:val="20"/>
          <w:szCs w:val="20"/>
        </w:rPr>
        <w:t xml:space="preserve"> a mitigar</w:t>
      </w:r>
      <w:r w:rsidR="00E979DE" w:rsidRPr="005A7D73">
        <w:rPr>
          <w:rFonts w:ascii="Verdana" w:hAnsi="Verdana" w:cs="Arial"/>
          <w:sz w:val="20"/>
          <w:szCs w:val="20"/>
        </w:rPr>
        <w:t>,</w:t>
      </w:r>
      <w:r w:rsidR="00014500">
        <w:rPr>
          <w:rFonts w:ascii="Verdana" w:hAnsi="Verdana" w:cs="Arial"/>
          <w:sz w:val="20"/>
          <w:szCs w:val="20"/>
        </w:rPr>
        <w:t xml:space="preserve"> </w:t>
      </w:r>
      <w:r w:rsidR="00E979DE" w:rsidRPr="005A7D73">
        <w:rPr>
          <w:rFonts w:ascii="Verdana" w:hAnsi="Verdana" w:cs="Arial"/>
          <w:sz w:val="20"/>
          <w:szCs w:val="20"/>
        </w:rPr>
        <w:t>hasta cierto punto, los rie</w:t>
      </w:r>
      <w:r w:rsidR="00DF00FF">
        <w:rPr>
          <w:rFonts w:ascii="Verdana" w:hAnsi="Verdana" w:cs="Arial"/>
          <w:sz w:val="20"/>
          <w:szCs w:val="20"/>
        </w:rPr>
        <w:t xml:space="preserve">sgos de legitimidad </w:t>
      </w:r>
      <w:r w:rsidR="00014500">
        <w:rPr>
          <w:rFonts w:ascii="Verdana" w:hAnsi="Verdana" w:cs="Arial"/>
          <w:sz w:val="20"/>
          <w:szCs w:val="20"/>
        </w:rPr>
        <w:t>y</w:t>
      </w:r>
      <w:r w:rsidR="00DF00FF">
        <w:rPr>
          <w:rFonts w:ascii="Verdana" w:hAnsi="Verdana" w:cs="Arial"/>
          <w:sz w:val="20"/>
          <w:szCs w:val="20"/>
        </w:rPr>
        <w:t xml:space="preserve"> d</w:t>
      </w:r>
      <w:r w:rsidR="00E979DE" w:rsidRPr="005A7D73">
        <w:rPr>
          <w:rFonts w:ascii="Verdana" w:hAnsi="Verdana" w:cs="Arial"/>
          <w:sz w:val="20"/>
          <w:szCs w:val="20"/>
        </w:rPr>
        <w:t xml:space="preserve">e inseguridad jurídica que se puedan desprender de </w:t>
      </w:r>
      <w:r w:rsidR="008613AB" w:rsidRPr="005A7D73">
        <w:rPr>
          <w:rFonts w:ascii="Verdana" w:hAnsi="Verdana" w:cs="Arial"/>
          <w:sz w:val="20"/>
          <w:szCs w:val="20"/>
        </w:rPr>
        <w:t xml:space="preserve">esta </w:t>
      </w:r>
      <w:r w:rsidR="00E979DE" w:rsidRPr="005A7D73">
        <w:rPr>
          <w:rFonts w:ascii="Verdana" w:hAnsi="Verdana" w:cs="Arial"/>
          <w:sz w:val="20"/>
          <w:szCs w:val="20"/>
        </w:rPr>
        <w:t>Sentencia.</w:t>
      </w:r>
    </w:p>
    <w:p w14:paraId="22E5CECB" w14:textId="77777777" w:rsidR="005A7D73" w:rsidRPr="005A7D73" w:rsidRDefault="005A7D73" w:rsidP="005A7D73">
      <w:pPr>
        <w:pStyle w:val="NormalWeb"/>
        <w:spacing w:before="0" w:beforeAutospacing="0" w:after="0" w:afterAutospacing="0"/>
        <w:ind w:left="3600" w:right="96" w:firstLine="720"/>
        <w:jc w:val="center"/>
        <w:rPr>
          <w:rFonts w:ascii="Verdana" w:eastAsia="Calibri" w:hAnsi="Verdana"/>
          <w:sz w:val="20"/>
          <w:szCs w:val="20"/>
          <w:lang w:eastAsia="en-US"/>
        </w:rPr>
      </w:pPr>
    </w:p>
    <w:p w14:paraId="653AF4D8" w14:textId="119984A4" w:rsidR="005A7D73" w:rsidRDefault="005A7D73" w:rsidP="005A7D73">
      <w:pPr>
        <w:pStyle w:val="NormalWeb"/>
        <w:spacing w:before="0" w:beforeAutospacing="0" w:after="0" w:afterAutospacing="0"/>
        <w:ind w:left="3600" w:right="96" w:firstLine="720"/>
        <w:jc w:val="center"/>
        <w:rPr>
          <w:rFonts w:ascii="Verdana" w:eastAsia="Calibri" w:hAnsi="Verdana"/>
          <w:sz w:val="20"/>
          <w:szCs w:val="20"/>
          <w:lang w:eastAsia="en-US"/>
        </w:rPr>
      </w:pPr>
    </w:p>
    <w:p w14:paraId="09504B9B" w14:textId="253E1477" w:rsidR="005A7D73" w:rsidRPr="005A7D73" w:rsidRDefault="005A7D73" w:rsidP="005A7D73">
      <w:pPr>
        <w:pStyle w:val="NormalWeb"/>
        <w:spacing w:before="0" w:beforeAutospacing="0" w:after="0" w:afterAutospacing="0"/>
        <w:ind w:left="3600" w:right="96" w:firstLine="720"/>
        <w:jc w:val="center"/>
        <w:rPr>
          <w:rFonts w:ascii="Verdana" w:eastAsia="Calibri" w:hAnsi="Verdana"/>
          <w:sz w:val="20"/>
          <w:szCs w:val="20"/>
          <w:lang w:eastAsia="en-US"/>
        </w:rPr>
      </w:pPr>
    </w:p>
    <w:p w14:paraId="21CFFE07" w14:textId="75500A70" w:rsidR="005A7D73" w:rsidRPr="005A7D73" w:rsidRDefault="005A7D73" w:rsidP="00681FB5">
      <w:pPr>
        <w:pStyle w:val="NormalWeb"/>
        <w:spacing w:before="0" w:beforeAutospacing="0" w:after="0" w:afterAutospacing="0"/>
        <w:ind w:left="3600" w:right="96" w:firstLine="720"/>
        <w:rPr>
          <w:rFonts w:ascii="Verdana" w:eastAsia="Calibri" w:hAnsi="Verdana"/>
          <w:sz w:val="20"/>
          <w:szCs w:val="20"/>
          <w:lang w:eastAsia="en-US"/>
        </w:rPr>
      </w:pPr>
    </w:p>
    <w:p w14:paraId="43511A2D" w14:textId="5DC2E780" w:rsidR="005A7D73" w:rsidRPr="005A7D73" w:rsidRDefault="0018469B" w:rsidP="00D01BB6">
      <w:pPr>
        <w:pStyle w:val="NormalWeb"/>
        <w:spacing w:before="0" w:beforeAutospacing="0" w:after="0" w:afterAutospacing="0"/>
        <w:ind w:left="2124" w:right="96" w:firstLine="708"/>
        <w:jc w:val="right"/>
        <w:rPr>
          <w:rFonts w:ascii="Verdana" w:eastAsia="Calibri" w:hAnsi="Verdana"/>
          <w:sz w:val="20"/>
          <w:szCs w:val="20"/>
          <w:lang w:eastAsia="en-US"/>
        </w:rPr>
      </w:pPr>
      <w:r>
        <w:rPr>
          <w:rFonts w:ascii="Verdana" w:eastAsia="Calibri" w:hAnsi="Verdana"/>
          <w:sz w:val="20"/>
          <w:szCs w:val="20"/>
          <w:lang w:eastAsia="en-US"/>
        </w:rPr>
        <w:t>Humberto A.</w:t>
      </w:r>
      <w:r w:rsidR="005A7D73" w:rsidRPr="005A7D73">
        <w:rPr>
          <w:rFonts w:ascii="Verdana" w:eastAsia="Calibri" w:hAnsi="Verdana"/>
          <w:sz w:val="20"/>
          <w:szCs w:val="20"/>
          <w:lang w:eastAsia="en-US"/>
        </w:rPr>
        <w:t xml:space="preserve"> Sierra Porto</w:t>
      </w:r>
    </w:p>
    <w:p w14:paraId="171CF043" w14:textId="680FE6F4" w:rsidR="005A7D73" w:rsidRPr="00DA4C3C" w:rsidRDefault="005A7D73" w:rsidP="00DA4C3C">
      <w:pPr>
        <w:pStyle w:val="NormalWeb"/>
        <w:spacing w:before="0" w:beforeAutospacing="0" w:after="0" w:afterAutospacing="0"/>
        <w:ind w:left="3540" w:right="1548" w:firstLine="708"/>
        <w:jc w:val="right"/>
        <w:rPr>
          <w:rFonts w:ascii="Verdana" w:eastAsia="Calibri" w:hAnsi="Verdana"/>
          <w:sz w:val="20"/>
          <w:szCs w:val="20"/>
          <w:lang w:eastAsia="en-US"/>
        </w:rPr>
      </w:pPr>
      <w:r w:rsidRPr="005A7D73">
        <w:rPr>
          <w:rFonts w:ascii="Verdana" w:eastAsia="Calibri" w:hAnsi="Verdana"/>
          <w:sz w:val="20"/>
          <w:szCs w:val="20"/>
          <w:lang w:eastAsia="en-US"/>
        </w:rPr>
        <w:t>Juez</w:t>
      </w:r>
    </w:p>
    <w:p w14:paraId="4C3A0258" w14:textId="288B855B" w:rsidR="005A7D73" w:rsidRDefault="005A7D73" w:rsidP="00DA4C3C">
      <w:pPr>
        <w:spacing w:after="0" w:line="240" w:lineRule="auto"/>
        <w:rPr>
          <w:rFonts w:ascii="Verdana" w:hAnsi="Verdana"/>
          <w:sz w:val="20"/>
          <w:szCs w:val="20"/>
          <w:lang w:val="es-CR"/>
        </w:rPr>
      </w:pPr>
    </w:p>
    <w:p w14:paraId="4D92F830" w14:textId="77777777" w:rsidR="00DA4C3C" w:rsidRDefault="00DA4C3C" w:rsidP="00DA4C3C">
      <w:pPr>
        <w:spacing w:after="0" w:line="240" w:lineRule="auto"/>
        <w:rPr>
          <w:rFonts w:ascii="Verdana" w:hAnsi="Verdana"/>
          <w:sz w:val="20"/>
          <w:szCs w:val="20"/>
          <w:lang w:val="es-CR"/>
        </w:rPr>
      </w:pPr>
    </w:p>
    <w:p w14:paraId="1FA76157" w14:textId="77777777" w:rsidR="005A7D73" w:rsidRPr="005A7D73" w:rsidRDefault="005A7D73" w:rsidP="00D01BB6">
      <w:pPr>
        <w:spacing w:after="0" w:line="240" w:lineRule="auto"/>
        <w:rPr>
          <w:rFonts w:ascii="Verdana" w:hAnsi="Verdana"/>
          <w:sz w:val="20"/>
          <w:szCs w:val="20"/>
          <w:lang w:val="es-CR"/>
        </w:rPr>
      </w:pPr>
      <w:r w:rsidRPr="005A7D73">
        <w:rPr>
          <w:rFonts w:ascii="Verdana" w:hAnsi="Verdana"/>
          <w:sz w:val="20"/>
          <w:szCs w:val="20"/>
          <w:lang w:val="es-CR"/>
        </w:rPr>
        <w:t>Pablo Saavedra Alessandri</w:t>
      </w:r>
    </w:p>
    <w:p w14:paraId="7900BB50" w14:textId="49A0E22F" w:rsidR="00D81F2C" w:rsidRPr="008E47DC" w:rsidRDefault="00D01BB6" w:rsidP="00D01BB6">
      <w:pPr>
        <w:spacing w:after="0" w:line="240" w:lineRule="auto"/>
        <w:rPr>
          <w:rFonts w:ascii="Verdana" w:hAnsi="Verdana" w:cs="Arial"/>
          <w:sz w:val="20"/>
          <w:szCs w:val="20"/>
        </w:rPr>
      </w:pPr>
      <w:r>
        <w:rPr>
          <w:rFonts w:ascii="Verdana" w:hAnsi="Verdana"/>
          <w:sz w:val="20"/>
          <w:szCs w:val="20"/>
          <w:lang w:val="es-CR"/>
        </w:rPr>
        <w:tab/>
        <w:t xml:space="preserve">  </w:t>
      </w:r>
      <w:r w:rsidR="005A7D73" w:rsidRPr="005A7D73">
        <w:rPr>
          <w:rFonts w:ascii="Verdana" w:hAnsi="Verdana"/>
          <w:sz w:val="20"/>
          <w:szCs w:val="20"/>
          <w:lang w:val="es-CR"/>
        </w:rPr>
        <w:t>Secretario</w:t>
      </w:r>
    </w:p>
    <w:sectPr w:rsidR="00D81F2C" w:rsidRPr="008E47DC" w:rsidSect="00404559">
      <w:footerReference w:type="even" r:id="rId12"/>
      <w:footerReference w:type="default" r:id="rId13"/>
      <w:footerReference w:type="first" r:id="rId14"/>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10C701" w14:textId="77777777" w:rsidR="009C3283" w:rsidRDefault="009C3283" w:rsidP="00C67BDF">
      <w:pPr>
        <w:spacing w:after="0" w:line="240" w:lineRule="auto"/>
      </w:pPr>
      <w:r>
        <w:separator/>
      </w:r>
    </w:p>
  </w:endnote>
  <w:endnote w:type="continuationSeparator" w:id="0">
    <w:p w14:paraId="05F1C2A1" w14:textId="77777777" w:rsidR="009C3283" w:rsidRDefault="009C3283" w:rsidP="00C67B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Bold">
    <w:altName w:val="Times New Roman"/>
    <w:charset w:val="00"/>
    <w:family w:val="auto"/>
    <w:pitch w:val="variable"/>
    <w:sig w:usb0="00000001" w:usb1="4000205B" w:usb2="00000010" w:usb3="00000000" w:csb0="0000019F" w:csb1="00000000"/>
  </w:font>
  <w:font w:name="MinionPro-Semibold">
    <w:panose1 w:val="00000000000000000000"/>
    <w:charset w:val="00"/>
    <w:family w:val="auto"/>
    <w:notTrueType/>
    <w:pitch w:val="default"/>
    <w:sig w:usb0="00000003" w:usb1="00000000" w:usb2="00000000" w:usb3="00000000" w:csb0="00000001" w:csb1="00000000"/>
  </w:font>
  <w:font w:name="MinionPro-Regular">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CDD6E5" w14:textId="77777777" w:rsidR="009C3283" w:rsidRDefault="009C3283" w:rsidP="007457A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FE19995" w14:textId="77777777" w:rsidR="009C3283" w:rsidRDefault="009C3283" w:rsidP="004A052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6861379"/>
      <w:docPartObj>
        <w:docPartGallery w:val="Page Numbers (Bottom of Page)"/>
        <w:docPartUnique/>
      </w:docPartObj>
    </w:sdtPr>
    <w:sdtEndPr>
      <w:rPr>
        <w:rFonts w:ascii="Verdana" w:hAnsi="Verdana"/>
        <w:noProof/>
        <w:sz w:val="20"/>
        <w:szCs w:val="20"/>
      </w:rPr>
    </w:sdtEndPr>
    <w:sdtContent>
      <w:p w14:paraId="662BFC15" w14:textId="08E3E3A9" w:rsidR="00404559" w:rsidRPr="00404559" w:rsidRDefault="00404559">
        <w:pPr>
          <w:pStyle w:val="Footer"/>
          <w:jc w:val="center"/>
          <w:rPr>
            <w:rFonts w:ascii="Verdana" w:hAnsi="Verdana"/>
            <w:sz w:val="20"/>
            <w:szCs w:val="20"/>
          </w:rPr>
        </w:pPr>
        <w:r w:rsidRPr="00404559">
          <w:rPr>
            <w:rFonts w:ascii="Verdana" w:hAnsi="Verdana"/>
            <w:sz w:val="20"/>
            <w:szCs w:val="20"/>
          </w:rPr>
          <w:fldChar w:fldCharType="begin"/>
        </w:r>
        <w:r w:rsidRPr="00404559">
          <w:rPr>
            <w:rFonts w:ascii="Verdana" w:hAnsi="Verdana"/>
            <w:sz w:val="20"/>
            <w:szCs w:val="20"/>
          </w:rPr>
          <w:instrText xml:space="preserve"> PAGE   \* MERGEFORMAT </w:instrText>
        </w:r>
        <w:r w:rsidRPr="00404559">
          <w:rPr>
            <w:rFonts w:ascii="Verdana" w:hAnsi="Verdana"/>
            <w:sz w:val="20"/>
            <w:szCs w:val="20"/>
          </w:rPr>
          <w:fldChar w:fldCharType="separate"/>
        </w:r>
        <w:r w:rsidR="003536CC">
          <w:rPr>
            <w:rFonts w:ascii="Verdana" w:hAnsi="Verdana"/>
            <w:noProof/>
            <w:sz w:val="20"/>
            <w:szCs w:val="20"/>
          </w:rPr>
          <w:t>11</w:t>
        </w:r>
        <w:r w:rsidRPr="00404559">
          <w:rPr>
            <w:rFonts w:ascii="Verdana" w:hAnsi="Verdana"/>
            <w:noProof/>
            <w:sz w:val="20"/>
            <w:szCs w:val="20"/>
          </w:rPr>
          <w:fldChar w:fldCharType="end"/>
        </w:r>
      </w:p>
    </w:sdtContent>
  </w:sdt>
  <w:p w14:paraId="1085C083" w14:textId="77777777" w:rsidR="009C3283" w:rsidRDefault="009C3283" w:rsidP="004F024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C9AF50" w14:textId="3680BCB1" w:rsidR="00404559" w:rsidRDefault="00404559" w:rsidP="00404559">
    <w:pPr>
      <w:pStyle w:val="Footer"/>
    </w:pPr>
  </w:p>
  <w:p w14:paraId="5C35C6F9" w14:textId="77777777" w:rsidR="00D01BB6" w:rsidRDefault="00D01B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84D17F" w14:textId="77777777" w:rsidR="009C3283" w:rsidRDefault="009C3283" w:rsidP="00C67BDF">
      <w:pPr>
        <w:spacing w:after="0" w:line="240" w:lineRule="auto"/>
      </w:pPr>
      <w:r>
        <w:separator/>
      </w:r>
    </w:p>
  </w:footnote>
  <w:footnote w:type="continuationSeparator" w:id="0">
    <w:p w14:paraId="235B5131" w14:textId="77777777" w:rsidR="009C3283" w:rsidRDefault="009C3283" w:rsidP="00C67BDF">
      <w:pPr>
        <w:spacing w:after="0" w:line="240" w:lineRule="auto"/>
      </w:pPr>
      <w:r>
        <w:continuationSeparator/>
      </w:r>
    </w:p>
  </w:footnote>
  <w:footnote w:id="1">
    <w:p w14:paraId="50C83DE4" w14:textId="3C924313" w:rsidR="009C3283" w:rsidRPr="00C24C47" w:rsidRDefault="009C3283" w:rsidP="00817659">
      <w:pPr>
        <w:pStyle w:val="FootnoteText"/>
        <w:jc w:val="both"/>
        <w:rPr>
          <w:rFonts w:ascii="Verdana" w:hAnsi="Verdana"/>
          <w:sz w:val="16"/>
          <w:szCs w:val="16"/>
        </w:rPr>
      </w:pPr>
      <w:r w:rsidRPr="00817659">
        <w:rPr>
          <w:rStyle w:val="FootnoteReference"/>
          <w:rFonts w:ascii="Verdana" w:hAnsi="Verdana"/>
          <w:sz w:val="16"/>
          <w:szCs w:val="16"/>
        </w:rPr>
        <w:footnoteRef/>
      </w:r>
      <w:r w:rsidRPr="00817659">
        <w:rPr>
          <w:rFonts w:ascii="Verdana" w:hAnsi="Verdana"/>
          <w:sz w:val="16"/>
          <w:szCs w:val="16"/>
        </w:rPr>
        <w:t xml:space="preserve"> Al respecto, ver línea jurisprudencial de la Corte Constitucional de Colombia sobre transmutación de los DESC. Por ejemplo, T- 1079 de 2007. Disponible en: http://www.corteconstitucional.gov.co/relatoria/2007/T-1079-07.htm</w:t>
      </w:r>
    </w:p>
  </w:footnote>
  <w:footnote w:id="2">
    <w:p w14:paraId="55A2E8E6" w14:textId="57F887E5" w:rsidR="009C3283" w:rsidRPr="00817659" w:rsidRDefault="009C3283" w:rsidP="00817659">
      <w:pPr>
        <w:pStyle w:val="FootnoteText"/>
        <w:jc w:val="both"/>
        <w:rPr>
          <w:rFonts w:ascii="Verdana" w:hAnsi="Verdana"/>
          <w:sz w:val="16"/>
          <w:szCs w:val="16"/>
          <w:lang w:val="es-ES"/>
        </w:rPr>
      </w:pPr>
      <w:r w:rsidRPr="00817659">
        <w:rPr>
          <w:rStyle w:val="FootnoteReference"/>
          <w:rFonts w:ascii="Verdana" w:hAnsi="Verdana"/>
          <w:sz w:val="16"/>
          <w:szCs w:val="16"/>
        </w:rPr>
        <w:footnoteRef/>
      </w:r>
      <w:r w:rsidRPr="00817659">
        <w:rPr>
          <w:rFonts w:ascii="Verdana" w:hAnsi="Verdana"/>
          <w:sz w:val="16"/>
          <w:szCs w:val="16"/>
        </w:rPr>
        <w:t xml:space="preserve"> </w:t>
      </w:r>
      <w:r w:rsidRPr="00817659">
        <w:rPr>
          <w:rFonts w:ascii="Verdana" w:hAnsi="Verdana"/>
          <w:sz w:val="16"/>
          <w:szCs w:val="16"/>
          <w:lang w:val="es-ES"/>
        </w:rPr>
        <w:t xml:space="preserve">En este sentido, ver por ejemplo: </w:t>
      </w:r>
      <w:r w:rsidRPr="00312AAF">
        <w:rPr>
          <w:rFonts w:ascii="Verdana" w:hAnsi="Verdana"/>
          <w:sz w:val="16"/>
          <w:szCs w:val="16"/>
          <w:lang w:val="es-ES"/>
        </w:rPr>
        <w:t xml:space="preserve">Oswaldo Ruiz Chiriboga, </w:t>
      </w:r>
      <w:proofErr w:type="spellStart"/>
      <w:r w:rsidRPr="00C24C47">
        <w:rPr>
          <w:rFonts w:ascii="Verdana" w:hAnsi="Verdana" w:cs="MinionPro-Semibold"/>
          <w:i/>
          <w:sz w:val="16"/>
          <w:szCs w:val="16"/>
          <w:lang w:val="es-ES"/>
        </w:rPr>
        <w:t>The</w:t>
      </w:r>
      <w:proofErr w:type="spellEnd"/>
      <w:r w:rsidRPr="00C24C47">
        <w:rPr>
          <w:rFonts w:ascii="Verdana" w:hAnsi="Verdana" w:cs="MinionPro-Semibold"/>
          <w:i/>
          <w:sz w:val="16"/>
          <w:szCs w:val="16"/>
          <w:lang w:val="es-ES"/>
        </w:rPr>
        <w:t xml:space="preserve"> American </w:t>
      </w:r>
      <w:proofErr w:type="spellStart"/>
      <w:r w:rsidRPr="00C24C47">
        <w:rPr>
          <w:rFonts w:ascii="Verdana" w:hAnsi="Verdana" w:cs="MinionPro-Semibold"/>
          <w:i/>
          <w:sz w:val="16"/>
          <w:szCs w:val="16"/>
          <w:lang w:val="es-ES"/>
        </w:rPr>
        <w:t>Convention</w:t>
      </w:r>
      <w:proofErr w:type="spellEnd"/>
      <w:r w:rsidRPr="00C24C47">
        <w:rPr>
          <w:rFonts w:ascii="Verdana" w:hAnsi="Verdana" w:cs="MinionPro-Semibold"/>
          <w:i/>
          <w:sz w:val="16"/>
          <w:szCs w:val="16"/>
          <w:lang w:val="es-ES"/>
        </w:rPr>
        <w:t xml:space="preserve"> and </w:t>
      </w:r>
      <w:proofErr w:type="spellStart"/>
      <w:r w:rsidRPr="00C24C47">
        <w:rPr>
          <w:rFonts w:ascii="Verdana" w:hAnsi="Verdana" w:cs="MinionPro-Semibold"/>
          <w:i/>
          <w:sz w:val="16"/>
          <w:szCs w:val="16"/>
          <w:lang w:val="es-ES"/>
        </w:rPr>
        <w:t>The</w:t>
      </w:r>
      <w:proofErr w:type="spellEnd"/>
      <w:r w:rsidRPr="00C24C47">
        <w:rPr>
          <w:rFonts w:ascii="Verdana" w:hAnsi="Verdana" w:cs="MinionPro-Semibold"/>
          <w:i/>
          <w:sz w:val="16"/>
          <w:szCs w:val="16"/>
          <w:lang w:val="es-ES"/>
        </w:rPr>
        <w:t xml:space="preserve"> </w:t>
      </w:r>
      <w:proofErr w:type="spellStart"/>
      <w:r w:rsidRPr="00C24C47">
        <w:rPr>
          <w:rFonts w:ascii="Verdana" w:hAnsi="Verdana" w:cs="MinionPro-Semibold"/>
          <w:i/>
          <w:sz w:val="16"/>
          <w:szCs w:val="16"/>
          <w:lang w:val="es-ES"/>
        </w:rPr>
        <w:t>Protocol</w:t>
      </w:r>
      <w:proofErr w:type="spellEnd"/>
      <w:r w:rsidRPr="00C24C47">
        <w:rPr>
          <w:rFonts w:ascii="Verdana" w:hAnsi="Verdana" w:cs="MinionPro-Semibold"/>
          <w:i/>
          <w:sz w:val="16"/>
          <w:szCs w:val="16"/>
          <w:lang w:val="es-ES"/>
        </w:rPr>
        <w:t xml:space="preserve"> Of San Salvador: </w:t>
      </w:r>
      <w:proofErr w:type="spellStart"/>
      <w:r w:rsidRPr="00C24C47">
        <w:rPr>
          <w:rFonts w:ascii="Verdana" w:hAnsi="Verdana" w:cs="MinionPro-Semibold"/>
          <w:i/>
          <w:sz w:val="16"/>
          <w:szCs w:val="16"/>
          <w:lang w:val="es-ES"/>
        </w:rPr>
        <w:t>Two</w:t>
      </w:r>
      <w:proofErr w:type="spellEnd"/>
      <w:r w:rsidRPr="00C24C47">
        <w:rPr>
          <w:rFonts w:ascii="Verdana" w:hAnsi="Verdana" w:cs="MinionPro-Semibold"/>
          <w:i/>
          <w:sz w:val="16"/>
          <w:szCs w:val="16"/>
          <w:lang w:val="es-ES"/>
        </w:rPr>
        <w:t xml:space="preserve"> </w:t>
      </w:r>
      <w:proofErr w:type="spellStart"/>
      <w:r w:rsidRPr="00C24C47">
        <w:rPr>
          <w:rFonts w:ascii="Verdana" w:hAnsi="Verdana" w:cs="MinionPro-Semibold"/>
          <w:i/>
          <w:sz w:val="16"/>
          <w:szCs w:val="16"/>
          <w:lang w:val="es-ES"/>
        </w:rPr>
        <w:t>Intertwined</w:t>
      </w:r>
      <w:proofErr w:type="spellEnd"/>
      <w:r w:rsidRPr="00C24C47">
        <w:rPr>
          <w:rFonts w:ascii="Verdana" w:hAnsi="Verdana" w:cs="MinionPro-Semibold"/>
          <w:i/>
          <w:sz w:val="16"/>
          <w:szCs w:val="16"/>
          <w:lang w:val="es-ES"/>
        </w:rPr>
        <w:t xml:space="preserve"> </w:t>
      </w:r>
      <w:proofErr w:type="spellStart"/>
      <w:r w:rsidRPr="00C24C47">
        <w:rPr>
          <w:rFonts w:ascii="Verdana" w:hAnsi="Verdana" w:cs="MinionPro-Semibold"/>
          <w:i/>
          <w:sz w:val="16"/>
          <w:szCs w:val="16"/>
          <w:lang w:val="es-ES"/>
        </w:rPr>
        <w:t>Treaties</w:t>
      </w:r>
      <w:proofErr w:type="spellEnd"/>
      <w:r w:rsidRPr="00C24C47">
        <w:rPr>
          <w:rFonts w:ascii="Verdana" w:hAnsi="Verdana" w:cs="MinionPro-Semibold"/>
          <w:i/>
          <w:sz w:val="16"/>
          <w:szCs w:val="16"/>
          <w:lang w:val="es-ES"/>
        </w:rPr>
        <w:t xml:space="preserve"> </w:t>
      </w:r>
      <w:r w:rsidRPr="00C24C47">
        <w:rPr>
          <w:rFonts w:ascii="Verdana" w:hAnsi="Verdana" w:cs="MinionPro-Regular"/>
          <w:i/>
          <w:sz w:val="16"/>
          <w:szCs w:val="16"/>
          <w:lang w:val="es-ES"/>
        </w:rPr>
        <w:t>Non-</w:t>
      </w:r>
      <w:proofErr w:type="spellStart"/>
      <w:r w:rsidRPr="00C24C47">
        <w:rPr>
          <w:rFonts w:ascii="Verdana" w:hAnsi="Verdana" w:cs="MinionPro-Regular"/>
          <w:i/>
          <w:sz w:val="16"/>
          <w:szCs w:val="16"/>
          <w:lang w:val="es-ES"/>
        </w:rPr>
        <w:t>Enforceability</w:t>
      </w:r>
      <w:proofErr w:type="spellEnd"/>
      <w:r w:rsidRPr="00C24C47">
        <w:rPr>
          <w:rFonts w:ascii="Verdana" w:hAnsi="Verdana" w:cs="MinionPro-Regular"/>
          <w:i/>
          <w:sz w:val="16"/>
          <w:szCs w:val="16"/>
          <w:lang w:val="es-ES"/>
        </w:rPr>
        <w:t xml:space="preserve"> Of </w:t>
      </w:r>
      <w:proofErr w:type="spellStart"/>
      <w:r w:rsidRPr="00C24C47">
        <w:rPr>
          <w:rFonts w:ascii="Verdana" w:hAnsi="Verdana" w:cs="MinionPro-Regular"/>
          <w:i/>
          <w:sz w:val="16"/>
          <w:szCs w:val="16"/>
          <w:lang w:val="es-ES"/>
        </w:rPr>
        <w:t>Economic</w:t>
      </w:r>
      <w:proofErr w:type="spellEnd"/>
      <w:r w:rsidRPr="00C24C47">
        <w:rPr>
          <w:rFonts w:ascii="Verdana" w:hAnsi="Verdana" w:cs="MinionPro-Regular"/>
          <w:i/>
          <w:sz w:val="16"/>
          <w:szCs w:val="16"/>
          <w:lang w:val="es-ES"/>
        </w:rPr>
        <w:t xml:space="preserve">, Social And Cultural </w:t>
      </w:r>
      <w:proofErr w:type="spellStart"/>
      <w:r w:rsidRPr="00C24C47">
        <w:rPr>
          <w:rFonts w:ascii="Verdana" w:hAnsi="Verdana" w:cs="MinionPro-Regular"/>
          <w:i/>
          <w:sz w:val="16"/>
          <w:szCs w:val="16"/>
          <w:lang w:val="es-ES"/>
        </w:rPr>
        <w:t>Rights</w:t>
      </w:r>
      <w:proofErr w:type="spellEnd"/>
      <w:r w:rsidRPr="00C24C47">
        <w:rPr>
          <w:rFonts w:ascii="Verdana" w:hAnsi="Verdana" w:cs="MinionPro-Regular"/>
          <w:i/>
          <w:sz w:val="16"/>
          <w:szCs w:val="16"/>
          <w:lang w:val="es-ES"/>
        </w:rPr>
        <w:t xml:space="preserve"> In </w:t>
      </w:r>
      <w:proofErr w:type="spellStart"/>
      <w:r w:rsidRPr="00C24C47">
        <w:rPr>
          <w:rFonts w:ascii="Verdana" w:hAnsi="Verdana" w:cs="MinionPro-Regular"/>
          <w:i/>
          <w:sz w:val="16"/>
          <w:szCs w:val="16"/>
          <w:lang w:val="es-ES"/>
        </w:rPr>
        <w:t>The</w:t>
      </w:r>
      <w:proofErr w:type="spellEnd"/>
      <w:r w:rsidRPr="00C24C47">
        <w:rPr>
          <w:rFonts w:ascii="Verdana" w:hAnsi="Verdana" w:cs="MinionPro-Regular"/>
          <w:i/>
          <w:sz w:val="16"/>
          <w:szCs w:val="16"/>
          <w:lang w:val="es-ES"/>
        </w:rPr>
        <w:t xml:space="preserve"> Inter-American </w:t>
      </w:r>
      <w:proofErr w:type="spellStart"/>
      <w:r w:rsidRPr="00C24C47">
        <w:rPr>
          <w:rFonts w:ascii="Verdana" w:hAnsi="Verdana" w:cs="MinionPro-Regular"/>
          <w:i/>
          <w:sz w:val="16"/>
          <w:szCs w:val="16"/>
          <w:lang w:val="es-ES"/>
        </w:rPr>
        <w:t>System</w:t>
      </w:r>
      <w:proofErr w:type="spellEnd"/>
      <w:r w:rsidRPr="00312AAF">
        <w:rPr>
          <w:rFonts w:ascii="Verdana" w:hAnsi="Verdana" w:cs="MinionPro-Regular"/>
          <w:sz w:val="16"/>
          <w:szCs w:val="16"/>
          <w:lang w:val="es-ES"/>
        </w:rPr>
        <w:t xml:space="preserve">, </w:t>
      </w:r>
      <w:proofErr w:type="spellStart"/>
      <w:r w:rsidRPr="00312AAF">
        <w:rPr>
          <w:rFonts w:ascii="Verdana" w:hAnsi="Verdana" w:cs="MinionPro-Regular"/>
          <w:sz w:val="16"/>
          <w:szCs w:val="16"/>
          <w:lang w:val="es-ES"/>
        </w:rPr>
        <w:t>Netherlands</w:t>
      </w:r>
      <w:proofErr w:type="spellEnd"/>
      <w:r w:rsidRPr="00312AAF">
        <w:rPr>
          <w:rFonts w:ascii="Verdana" w:hAnsi="Verdana" w:cs="MinionPro-Regular"/>
          <w:sz w:val="16"/>
          <w:szCs w:val="16"/>
          <w:lang w:val="es-ES"/>
        </w:rPr>
        <w:t xml:space="preserve"> </w:t>
      </w:r>
      <w:proofErr w:type="spellStart"/>
      <w:r w:rsidRPr="00312AAF">
        <w:rPr>
          <w:rFonts w:ascii="Verdana" w:hAnsi="Verdana" w:cs="MinionPro-Regular"/>
          <w:sz w:val="16"/>
          <w:szCs w:val="16"/>
          <w:lang w:val="es-ES"/>
        </w:rPr>
        <w:t>Quarterly</w:t>
      </w:r>
      <w:proofErr w:type="spellEnd"/>
      <w:r w:rsidRPr="00312AAF">
        <w:rPr>
          <w:rFonts w:ascii="Verdana" w:hAnsi="Verdana" w:cs="MinionPro-Regular"/>
          <w:sz w:val="16"/>
          <w:szCs w:val="16"/>
          <w:lang w:val="es-ES"/>
        </w:rPr>
        <w:t xml:space="preserve"> of Human </w:t>
      </w:r>
      <w:proofErr w:type="spellStart"/>
      <w:r w:rsidRPr="00312AAF">
        <w:rPr>
          <w:rFonts w:ascii="Verdana" w:hAnsi="Verdana" w:cs="MinionPro-Regular"/>
          <w:sz w:val="16"/>
          <w:szCs w:val="16"/>
          <w:lang w:val="es-ES"/>
        </w:rPr>
        <w:t>Rights</w:t>
      </w:r>
      <w:proofErr w:type="spellEnd"/>
      <w:r w:rsidRPr="00312AAF">
        <w:rPr>
          <w:rFonts w:ascii="Verdana" w:hAnsi="Verdana" w:cs="MinionPro-Regular"/>
          <w:sz w:val="16"/>
          <w:szCs w:val="16"/>
          <w:lang w:val="es-ES"/>
        </w:rPr>
        <w:t xml:space="preserve">, Vol. 31/2 (2013); </w:t>
      </w:r>
      <w:proofErr w:type="spellStart"/>
      <w:r w:rsidRPr="00817659">
        <w:rPr>
          <w:rFonts w:ascii="Verdana" w:hAnsi="Verdana"/>
          <w:sz w:val="16"/>
          <w:szCs w:val="16"/>
          <w:lang w:val="es-CO"/>
        </w:rPr>
        <w:t>Abramovich</w:t>
      </w:r>
      <w:proofErr w:type="spellEnd"/>
      <w:r w:rsidRPr="00817659">
        <w:rPr>
          <w:rFonts w:ascii="Verdana" w:hAnsi="Verdana"/>
          <w:sz w:val="16"/>
          <w:szCs w:val="16"/>
          <w:lang w:val="es-CO"/>
        </w:rPr>
        <w:t xml:space="preserve">, V. and </w:t>
      </w:r>
      <w:proofErr w:type="spellStart"/>
      <w:r w:rsidRPr="00817659">
        <w:rPr>
          <w:rFonts w:ascii="Verdana" w:hAnsi="Verdana"/>
          <w:sz w:val="16"/>
          <w:szCs w:val="16"/>
          <w:lang w:val="es-CO"/>
        </w:rPr>
        <w:t>Rossi</w:t>
      </w:r>
      <w:proofErr w:type="spellEnd"/>
      <w:r w:rsidRPr="00817659">
        <w:rPr>
          <w:rFonts w:ascii="Verdana" w:hAnsi="Verdana"/>
          <w:sz w:val="16"/>
          <w:szCs w:val="16"/>
          <w:lang w:val="es-CO"/>
        </w:rPr>
        <w:t>, J., ‘</w:t>
      </w:r>
      <w:r w:rsidRPr="00C24C47">
        <w:rPr>
          <w:rFonts w:ascii="Verdana" w:hAnsi="Verdana"/>
          <w:i/>
          <w:sz w:val="16"/>
          <w:szCs w:val="16"/>
          <w:lang w:val="es-CO"/>
        </w:rPr>
        <w:t>La Tutela de los Derechos Económicos, Sociales y Culturales en el Artículo 26 de la Convención Americana sobre Derechos Humanos’</w:t>
      </w:r>
      <w:r w:rsidRPr="00817659">
        <w:rPr>
          <w:rFonts w:ascii="Verdana" w:hAnsi="Verdana"/>
          <w:sz w:val="16"/>
          <w:szCs w:val="16"/>
          <w:lang w:val="es-CO"/>
        </w:rPr>
        <w:t xml:space="preserve">, Estudios Socio-Jurídicos, Vol. 9, 2007; Oscar Parra Vera, </w:t>
      </w:r>
      <w:proofErr w:type="spellStart"/>
      <w:r w:rsidRPr="00C24C47">
        <w:rPr>
          <w:rFonts w:ascii="Verdana" w:hAnsi="Verdana"/>
          <w:i/>
          <w:sz w:val="16"/>
          <w:szCs w:val="16"/>
          <w:lang w:val="es-CO"/>
        </w:rPr>
        <w:t>Justiciabilidad</w:t>
      </w:r>
      <w:proofErr w:type="spellEnd"/>
      <w:r w:rsidRPr="00C24C47">
        <w:rPr>
          <w:rFonts w:ascii="Verdana" w:hAnsi="Verdana"/>
          <w:i/>
          <w:sz w:val="16"/>
          <w:szCs w:val="16"/>
          <w:lang w:val="es-CO"/>
        </w:rPr>
        <w:t xml:space="preserve"> de los derechos económicos, sociales y culturales ante el sistema interamericano</w:t>
      </w:r>
      <w:r w:rsidRPr="00817659">
        <w:rPr>
          <w:rFonts w:ascii="Verdana" w:hAnsi="Verdana"/>
          <w:sz w:val="16"/>
          <w:szCs w:val="16"/>
          <w:lang w:val="es-CO"/>
        </w:rPr>
        <w:t xml:space="preserve">, Comisión Nacional de los Derechos Humanos México, 2011. </w:t>
      </w:r>
    </w:p>
  </w:footnote>
  <w:footnote w:id="3">
    <w:p w14:paraId="37F3106E" w14:textId="4439ED3D" w:rsidR="009C3283" w:rsidRPr="00817659" w:rsidRDefault="009C3283" w:rsidP="00817659">
      <w:pPr>
        <w:pStyle w:val="FootnoteText"/>
        <w:jc w:val="both"/>
        <w:rPr>
          <w:rFonts w:ascii="Verdana" w:hAnsi="Verdana"/>
          <w:sz w:val="16"/>
          <w:szCs w:val="16"/>
          <w:lang w:val="es-ES"/>
        </w:rPr>
      </w:pPr>
      <w:r w:rsidRPr="00817659">
        <w:rPr>
          <w:rStyle w:val="FootnoteReference"/>
          <w:rFonts w:ascii="Verdana" w:hAnsi="Verdana"/>
          <w:sz w:val="16"/>
          <w:szCs w:val="16"/>
        </w:rPr>
        <w:footnoteRef/>
      </w:r>
      <w:r w:rsidRPr="00817659">
        <w:rPr>
          <w:rFonts w:ascii="Verdana" w:hAnsi="Verdana"/>
          <w:sz w:val="16"/>
          <w:szCs w:val="16"/>
        </w:rPr>
        <w:t xml:space="preserve"> </w:t>
      </w:r>
      <w:r w:rsidRPr="00817659">
        <w:rPr>
          <w:rFonts w:ascii="Verdana" w:hAnsi="Verdana"/>
          <w:sz w:val="16"/>
          <w:szCs w:val="16"/>
          <w:lang w:val="es-ES"/>
        </w:rPr>
        <w:t xml:space="preserve">Ver voto disidente del Juez Ferrar </w:t>
      </w:r>
      <w:proofErr w:type="spellStart"/>
      <w:r w:rsidRPr="00817659">
        <w:rPr>
          <w:rFonts w:ascii="Verdana" w:hAnsi="Verdana"/>
          <w:sz w:val="16"/>
          <w:szCs w:val="16"/>
          <w:lang w:val="es-ES"/>
        </w:rPr>
        <w:t>McGregor</w:t>
      </w:r>
      <w:proofErr w:type="spellEnd"/>
      <w:r w:rsidRPr="00817659">
        <w:rPr>
          <w:rFonts w:ascii="Verdana" w:hAnsi="Verdana"/>
          <w:sz w:val="16"/>
          <w:szCs w:val="16"/>
          <w:lang w:val="es-ES"/>
        </w:rPr>
        <w:t xml:space="preserve"> en el </w:t>
      </w:r>
      <w:r>
        <w:rPr>
          <w:rFonts w:ascii="Verdana" w:hAnsi="Verdana"/>
          <w:i/>
          <w:sz w:val="16"/>
          <w:szCs w:val="16"/>
          <w:lang w:val="es-ES"/>
        </w:rPr>
        <w:t>C</w:t>
      </w:r>
      <w:r w:rsidRPr="00C24C47">
        <w:rPr>
          <w:rFonts w:ascii="Verdana" w:hAnsi="Verdana"/>
          <w:i/>
          <w:sz w:val="16"/>
          <w:szCs w:val="16"/>
          <w:lang w:val="es-ES"/>
        </w:rPr>
        <w:t xml:space="preserve">aso González </w:t>
      </w:r>
      <w:proofErr w:type="spellStart"/>
      <w:r w:rsidRPr="00C24C47">
        <w:rPr>
          <w:rFonts w:ascii="Verdana" w:hAnsi="Verdana"/>
          <w:i/>
          <w:sz w:val="16"/>
          <w:szCs w:val="16"/>
          <w:lang w:val="es-ES"/>
        </w:rPr>
        <w:t>Lluy</w:t>
      </w:r>
      <w:proofErr w:type="spellEnd"/>
      <w:r w:rsidRPr="00C24C47">
        <w:rPr>
          <w:rFonts w:ascii="Verdana" w:hAnsi="Verdana"/>
          <w:i/>
          <w:sz w:val="16"/>
          <w:szCs w:val="16"/>
          <w:lang w:val="es-ES"/>
        </w:rPr>
        <w:t xml:space="preserve"> y otros Vs. Ecuador</w:t>
      </w:r>
      <w:r w:rsidRPr="00817659">
        <w:rPr>
          <w:rFonts w:ascii="Verdana" w:hAnsi="Verdana"/>
          <w:sz w:val="16"/>
          <w:szCs w:val="16"/>
          <w:lang w:val="es-ES"/>
        </w:rPr>
        <w:t xml:space="preserve"> o voto de los jueces Caldas y Ferrer </w:t>
      </w:r>
      <w:proofErr w:type="spellStart"/>
      <w:r w:rsidRPr="00817659">
        <w:rPr>
          <w:rFonts w:ascii="Verdana" w:hAnsi="Verdana"/>
          <w:sz w:val="16"/>
          <w:szCs w:val="16"/>
          <w:lang w:val="es-ES"/>
        </w:rPr>
        <w:t>McGregor</w:t>
      </w:r>
      <w:proofErr w:type="spellEnd"/>
      <w:r w:rsidRPr="00817659">
        <w:rPr>
          <w:rFonts w:ascii="Verdana" w:hAnsi="Verdana"/>
          <w:sz w:val="16"/>
          <w:szCs w:val="16"/>
          <w:lang w:val="es-ES"/>
        </w:rPr>
        <w:t xml:space="preserve"> en el </w:t>
      </w:r>
      <w:r>
        <w:rPr>
          <w:rFonts w:ascii="Verdana" w:hAnsi="Verdana"/>
          <w:i/>
          <w:sz w:val="16"/>
          <w:szCs w:val="16"/>
          <w:lang w:val="es-ES"/>
        </w:rPr>
        <w:t>C</w:t>
      </w:r>
      <w:r w:rsidRPr="00C24C47">
        <w:rPr>
          <w:rFonts w:ascii="Verdana" w:hAnsi="Verdana"/>
          <w:i/>
          <w:sz w:val="16"/>
          <w:szCs w:val="16"/>
          <w:lang w:val="es-ES"/>
        </w:rPr>
        <w:t xml:space="preserve">aso Canales </w:t>
      </w:r>
      <w:proofErr w:type="spellStart"/>
      <w:r w:rsidRPr="00C24C47">
        <w:rPr>
          <w:rFonts w:ascii="Verdana" w:hAnsi="Verdana"/>
          <w:i/>
          <w:sz w:val="16"/>
          <w:szCs w:val="16"/>
          <w:lang w:val="es-ES"/>
        </w:rPr>
        <w:t>Huapaya</w:t>
      </w:r>
      <w:proofErr w:type="spellEnd"/>
      <w:r w:rsidRPr="00C24C47">
        <w:rPr>
          <w:rFonts w:ascii="Verdana" w:hAnsi="Verdana"/>
          <w:i/>
          <w:sz w:val="16"/>
          <w:szCs w:val="16"/>
          <w:lang w:val="es-ES"/>
        </w:rPr>
        <w:t xml:space="preserve"> y otros Vs. Perú.</w:t>
      </w:r>
      <w:r w:rsidRPr="00817659">
        <w:rPr>
          <w:rFonts w:ascii="Verdana" w:hAnsi="Verdana"/>
          <w:sz w:val="16"/>
          <w:szCs w:val="16"/>
          <w:lang w:val="es-ES"/>
        </w:rPr>
        <w:t xml:space="preserve"> </w:t>
      </w:r>
    </w:p>
  </w:footnote>
  <w:footnote w:id="4">
    <w:p w14:paraId="75867211" w14:textId="7D4F2130" w:rsidR="009C3283" w:rsidRPr="00817659" w:rsidRDefault="009C3283" w:rsidP="00817659">
      <w:pPr>
        <w:pStyle w:val="FootnoteText"/>
        <w:jc w:val="both"/>
        <w:rPr>
          <w:rFonts w:ascii="Verdana" w:hAnsi="Verdana"/>
          <w:sz w:val="16"/>
          <w:szCs w:val="16"/>
          <w:lang w:val="es-ES"/>
        </w:rPr>
      </w:pPr>
      <w:r w:rsidRPr="00817659">
        <w:rPr>
          <w:rStyle w:val="FootnoteReference"/>
          <w:rFonts w:ascii="Verdana" w:hAnsi="Verdana"/>
          <w:sz w:val="16"/>
          <w:szCs w:val="16"/>
        </w:rPr>
        <w:footnoteRef/>
      </w:r>
      <w:r w:rsidRPr="00817659">
        <w:rPr>
          <w:rFonts w:ascii="Verdana" w:hAnsi="Verdana"/>
          <w:sz w:val="16"/>
          <w:szCs w:val="16"/>
        </w:rPr>
        <w:t xml:space="preserve"> </w:t>
      </w:r>
      <w:r w:rsidRPr="00817659">
        <w:rPr>
          <w:rFonts w:ascii="Verdana" w:hAnsi="Verdana"/>
          <w:sz w:val="16"/>
          <w:szCs w:val="16"/>
          <w:lang w:val="es-ES"/>
        </w:rPr>
        <w:t xml:space="preserve">Al respecto, voto concurrente </w:t>
      </w:r>
      <w:r>
        <w:rPr>
          <w:rFonts w:ascii="Verdana" w:hAnsi="Verdana"/>
          <w:i/>
          <w:sz w:val="16"/>
          <w:szCs w:val="16"/>
          <w:lang w:val="es-ES"/>
        </w:rPr>
        <w:t>C</w:t>
      </w:r>
      <w:r w:rsidRPr="00C24C47">
        <w:rPr>
          <w:rFonts w:ascii="Verdana" w:hAnsi="Verdana"/>
          <w:i/>
          <w:sz w:val="16"/>
          <w:szCs w:val="16"/>
          <w:lang w:val="es-ES"/>
        </w:rPr>
        <w:t xml:space="preserve">aso González </w:t>
      </w:r>
      <w:proofErr w:type="spellStart"/>
      <w:r w:rsidRPr="00C24C47">
        <w:rPr>
          <w:rFonts w:ascii="Verdana" w:hAnsi="Verdana"/>
          <w:i/>
          <w:sz w:val="16"/>
          <w:szCs w:val="16"/>
          <w:lang w:val="es-ES"/>
        </w:rPr>
        <w:t>Lluy</w:t>
      </w:r>
      <w:proofErr w:type="spellEnd"/>
      <w:r w:rsidRPr="00C24C47">
        <w:rPr>
          <w:rFonts w:ascii="Verdana" w:hAnsi="Verdana"/>
          <w:i/>
          <w:sz w:val="16"/>
          <w:szCs w:val="16"/>
          <w:lang w:val="es-ES"/>
        </w:rPr>
        <w:t xml:space="preserve"> y otros Vs. Ecuador</w:t>
      </w:r>
      <w:r w:rsidRPr="00817659">
        <w:rPr>
          <w:rFonts w:ascii="Verdana" w:hAnsi="Verdana"/>
          <w:sz w:val="16"/>
          <w:szCs w:val="16"/>
          <w:lang w:val="es-ES"/>
        </w:rPr>
        <w:t xml:space="preserve">, </w:t>
      </w:r>
      <w:proofErr w:type="spellStart"/>
      <w:r w:rsidRPr="00817659">
        <w:rPr>
          <w:rFonts w:ascii="Verdana" w:hAnsi="Verdana"/>
          <w:sz w:val="16"/>
          <w:szCs w:val="16"/>
          <w:lang w:val="es-ES"/>
        </w:rPr>
        <w:t>párrs</w:t>
      </w:r>
      <w:proofErr w:type="spellEnd"/>
      <w:r w:rsidRPr="00817659">
        <w:rPr>
          <w:rFonts w:ascii="Verdana" w:hAnsi="Verdana"/>
          <w:sz w:val="16"/>
          <w:szCs w:val="16"/>
          <w:lang w:val="es-ES"/>
        </w:rPr>
        <w:t xml:space="preserve">. 7 a 11. </w:t>
      </w:r>
    </w:p>
  </w:footnote>
  <w:footnote w:id="5">
    <w:p w14:paraId="356AFBD8" w14:textId="5B50DD01" w:rsidR="009C3283" w:rsidRPr="00817659" w:rsidRDefault="009C3283" w:rsidP="00C24C47">
      <w:pPr>
        <w:pStyle w:val="NormalWeb"/>
        <w:tabs>
          <w:tab w:val="left" w:pos="709"/>
        </w:tabs>
        <w:spacing w:before="0" w:beforeAutospacing="0" w:after="0" w:afterAutospacing="0"/>
        <w:ind w:right="333"/>
        <w:jc w:val="both"/>
        <w:rPr>
          <w:rFonts w:ascii="Verdana" w:hAnsi="Verdana" w:cs="Tahoma"/>
          <w:color w:val="000000"/>
          <w:sz w:val="16"/>
          <w:szCs w:val="16"/>
        </w:rPr>
      </w:pPr>
      <w:r w:rsidRPr="00817659">
        <w:rPr>
          <w:rStyle w:val="FootnoteReference"/>
          <w:rFonts w:ascii="Verdana" w:hAnsi="Verdana"/>
          <w:sz w:val="16"/>
          <w:szCs w:val="16"/>
        </w:rPr>
        <w:footnoteRef/>
      </w:r>
      <w:r w:rsidRPr="00817659">
        <w:rPr>
          <w:rFonts w:ascii="Verdana" w:hAnsi="Verdana"/>
          <w:sz w:val="16"/>
          <w:szCs w:val="16"/>
        </w:rPr>
        <w:t xml:space="preserve"> </w:t>
      </w:r>
      <w:r w:rsidRPr="00817659">
        <w:rPr>
          <w:rFonts w:ascii="Verdana" w:hAnsi="Verdana" w:cs="Tahoma"/>
          <w:bCs/>
          <w:color w:val="000000"/>
          <w:sz w:val="16"/>
          <w:szCs w:val="16"/>
        </w:rPr>
        <w:t>CAPITULO III</w:t>
      </w:r>
      <w:r w:rsidR="00064313">
        <w:rPr>
          <w:rFonts w:ascii="Verdana" w:hAnsi="Verdana" w:cs="Tahoma"/>
          <w:bCs/>
          <w:color w:val="000000"/>
          <w:sz w:val="16"/>
          <w:szCs w:val="16"/>
        </w:rPr>
        <w:t xml:space="preserve">. </w:t>
      </w:r>
      <w:r w:rsidRPr="00817659">
        <w:rPr>
          <w:rFonts w:ascii="Verdana" w:hAnsi="Verdana" w:cs="Tahoma"/>
          <w:bCs/>
          <w:color w:val="000000"/>
          <w:sz w:val="16"/>
          <w:szCs w:val="16"/>
        </w:rPr>
        <w:t>DERECHOS ECONOMICOS, SOCIALES Y CULTURALES</w:t>
      </w:r>
      <w:r w:rsidR="00064313">
        <w:rPr>
          <w:rFonts w:ascii="Verdana" w:hAnsi="Verdana" w:cs="Tahoma"/>
          <w:bCs/>
          <w:color w:val="000000"/>
          <w:sz w:val="16"/>
          <w:szCs w:val="16"/>
        </w:rPr>
        <w:t xml:space="preserve">. </w:t>
      </w:r>
      <w:r w:rsidRPr="00817659">
        <w:rPr>
          <w:rFonts w:ascii="Verdana" w:hAnsi="Verdana" w:cs="Tahoma"/>
          <w:bCs/>
          <w:color w:val="000000"/>
          <w:sz w:val="16"/>
          <w:szCs w:val="16"/>
        </w:rPr>
        <w:t>Artículo 26.  Desarrollo Progresivo</w:t>
      </w:r>
    </w:p>
    <w:p w14:paraId="0F074975" w14:textId="505F44B5" w:rsidR="009C3283" w:rsidRPr="00817659" w:rsidRDefault="009C3283" w:rsidP="00817659">
      <w:pPr>
        <w:pStyle w:val="NormalWeb"/>
        <w:tabs>
          <w:tab w:val="left" w:pos="709"/>
        </w:tabs>
        <w:spacing w:before="0" w:beforeAutospacing="0" w:after="0" w:afterAutospacing="0"/>
        <w:ind w:right="49"/>
        <w:jc w:val="both"/>
        <w:rPr>
          <w:rFonts w:ascii="Verdana" w:hAnsi="Verdana" w:cs="Tahoma"/>
          <w:color w:val="000000"/>
          <w:sz w:val="16"/>
          <w:szCs w:val="16"/>
        </w:rPr>
      </w:pPr>
      <w:r w:rsidRPr="00817659">
        <w:rPr>
          <w:rFonts w:ascii="Verdana" w:hAnsi="Verdana" w:cs="Tahoma"/>
          <w:color w:val="000000"/>
          <w:sz w:val="16"/>
          <w:szCs w:val="16"/>
        </w:rPr>
        <w:t xml:space="preserve">Los Estados Partes se comprometen a adoptar providencias, tanto a nivel interno como mediante la cooperación internacional, especialmente económica y técnica, para lograr </w:t>
      </w:r>
      <w:r w:rsidRPr="00817659">
        <w:rPr>
          <w:rFonts w:ascii="Verdana" w:hAnsi="Verdana" w:cs="Tahoma"/>
          <w:color w:val="000000"/>
          <w:sz w:val="16"/>
          <w:szCs w:val="16"/>
          <w:u w:val="single"/>
        </w:rPr>
        <w:t>progresivamente la plena efectividad de los derechos que se derivan de las normas económicas, sociales y sobre educación, ciencia y cultura, contenidas en la Carta de la Organización de los Estados Americanos</w:t>
      </w:r>
      <w:r w:rsidRPr="00817659">
        <w:rPr>
          <w:rFonts w:ascii="Verdana" w:hAnsi="Verdana" w:cs="Tahoma"/>
          <w:color w:val="000000"/>
          <w:sz w:val="16"/>
          <w:szCs w:val="16"/>
        </w:rPr>
        <w:t>, reformada por el Protocolo de Buenos Aires, en la medida de los recursos disponibles, por vía legislativa u otros medios apropiados. (Subrayado fuera del texto)</w:t>
      </w:r>
      <w:r w:rsidR="00064313">
        <w:rPr>
          <w:rFonts w:ascii="Verdana" w:hAnsi="Verdana" w:cs="Tahoma"/>
          <w:color w:val="000000"/>
          <w:sz w:val="16"/>
          <w:szCs w:val="16"/>
        </w:rPr>
        <w:t>.</w:t>
      </w:r>
    </w:p>
  </w:footnote>
  <w:footnote w:id="6">
    <w:p w14:paraId="016F7A79" w14:textId="7CC69B17" w:rsidR="009C3283" w:rsidRPr="00817659" w:rsidRDefault="009C3283" w:rsidP="00817659">
      <w:pPr>
        <w:pStyle w:val="FootnoteText"/>
        <w:jc w:val="both"/>
        <w:rPr>
          <w:rFonts w:ascii="Verdana" w:hAnsi="Verdana"/>
          <w:sz w:val="16"/>
          <w:szCs w:val="16"/>
          <w:lang w:val="es-CR"/>
        </w:rPr>
      </w:pPr>
      <w:r w:rsidRPr="00817659">
        <w:rPr>
          <w:rStyle w:val="FootnoteReference"/>
          <w:rFonts w:ascii="Verdana" w:hAnsi="Verdana"/>
          <w:sz w:val="16"/>
          <w:szCs w:val="16"/>
        </w:rPr>
        <w:footnoteRef/>
      </w:r>
      <w:r w:rsidRPr="00817659">
        <w:rPr>
          <w:rFonts w:ascii="Verdana" w:hAnsi="Verdana"/>
          <w:sz w:val="16"/>
          <w:szCs w:val="16"/>
        </w:rPr>
        <w:t xml:space="preserve"> </w:t>
      </w:r>
      <w:r w:rsidRPr="00817659">
        <w:rPr>
          <w:rFonts w:ascii="Verdana" w:hAnsi="Verdana"/>
          <w:sz w:val="16"/>
          <w:szCs w:val="16"/>
          <w:lang w:val="es-CR"/>
        </w:rPr>
        <w:t xml:space="preserve">A manera de ejemplo, el artículo XI establece que: </w:t>
      </w:r>
      <w:r w:rsidRPr="00817659">
        <w:rPr>
          <w:rFonts w:ascii="Verdana" w:hAnsi="Verdana"/>
          <w:sz w:val="16"/>
          <w:szCs w:val="16"/>
        </w:rPr>
        <w:t>Toda persona tiene derecho a que su salud sea preservada por medidas sanitarias y sociales, relativas a la alimentación, el vestido, la vivienda y la asistencia médica, correspondientes al nivel que permitan los recursos públicos y los de la comunidad.</w:t>
      </w:r>
    </w:p>
  </w:footnote>
  <w:footnote w:id="7">
    <w:p w14:paraId="2CBA1394" w14:textId="1AF6C446" w:rsidR="009C3283" w:rsidRPr="00817659" w:rsidRDefault="009C3283" w:rsidP="00817659">
      <w:pPr>
        <w:pStyle w:val="FootnoteText"/>
        <w:jc w:val="both"/>
        <w:rPr>
          <w:rFonts w:ascii="Verdana" w:hAnsi="Verdana"/>
          <w:sz w:val="16"/>
          <w:szCs w:val="16"/>
        </w:rPr>
      </w:pPr>
      <w:r w:rsidRPr="00817659">
        <w:rPr>
          <w:rStyle w:val="FootnoteReference"/>
          <w:rFonts w:ascii="Verdana" w:hAnsi="Verdana"/>
          <w:sz w:val="16"/>
          <w:szCs w:val="16"/>
        </w:rPr>
        <w:footnoteRef/>
      </w:r>
      <w:r w:rsidRPr="00817659">
        <w:rPr>
          <w:rFonts w:ascii="Verdana" w:hAnsi="Verdana"/>
          <w:sz w:val="16"/>
          <w:szCs w:val="16"/>
        </w:rPr>
        <w:t xml:space="preserve"> Al respecto, </w:t>
      </w:r>
      <w:r w:rsidRPr="00817659">
        <w:rPr>
          <w:rFonts w:ascii="Verdana" w:hAnsi="Verdana"/>
          <w:caps/>
          <w:sz w:val="16"/>
          <w:szCs w:val="16"/>
          <w:lang w:val="es-CO"/>
        </w:rPr>
        <w:t>“</w:t>
      </w:r>
      <w:r w:rsidRPr="00817659">
        <w:rPr>
          <w:rFonts w:ascii="Verdana" w:hAnsi="Verdana"/>
          <w:sz w:val="16"/>
          <w:szCs w:val="16"/>
          <w:lang w:val="es-CO"/>
        </w:rPr>
        <w:t>en el camino que debe seguirse para determinar si un derecho se encuentra implícito en la Carta es necesario, a nuestro entender, evitar el atajo de apelar directamente a la Declaración Americana como instrumento que informa el contenido de los derechos humanos consagrados en la Carta. [Esto teniendo en cuenta que] el artículo 26 habla de los derechos que se derivan de las normas económicas, sociales, y sobre educación, ciencia y cultura de la Carta y no remite a la Declaración</w:t>
      </w:r>
      <w:r w:rsidRPr="00817659">
        <w:rPr>
          <w:rFonts w:ascii="Verdana" w:hAnsi="Verdana"/>
          <w:caps/>
          <w:sz w:val="16"/>
          <w:szCs w:val="16"/>
          <w:lang w:val="es-CO"/>
        </w:rPr>
        <w:t xml:space="preserve">”. </w:t>
      </w:r>
      <w:proofErr w:type="spellStart"/>
      <w:r w:rsidRPr="00817659">
        <w:rPr>
          <w:rFonts w:ascii="Verdana" w:hAnsi="Verdana"/>
          <w:sz w:val="16"/>
          <w:szCs w:val="16"/>
          <w:lang w:val="es-CO"/>
        </w:rPr>
        <w:t>Abramovich</w:t>
      </w:r>
      <w:proofErr w:type="spellEnd"/>
      <w:r w:rsidRPr="00817659">
        <w:rPr>
          <w:rFonts w:ascii="Verdana" w:hAnsi="Verdana"/>
          <w:sz w:val="16"/>
          <w:szCs w:val="16"/>
          <w:lang w:val="es-CO"/>
        </w:rPr>
        <w:t xml:space="preserve">, V. and </w:t>
      </w:r>
      <w:proofErr w:type="spellStart"/>
      <w:r w:rsidRPr="00817659">
        <w:rPr>
          <w:rFonts w:ascii="Verdana" w:hAnsi="Verdana"/>
          <w:sz w:val="16"/>
          <w:szCs w:val="16"/>
          <w:lang w:val="es-CO"/>
        </w:rPr>
        <w:t>Rossi</w:t>
      </w:r>
      <w:proofErr w:type="spellEnd"/>
      <w:r w:rsidRPr="00817659">
        <w:rPr>
          <w:rFonts w:ascii="Verdana" w:hAnsi="Verdana"/>
          <w:sz w:val="16"/>
          <w:szCs w:val="16"/>
          <w:lang w:val="es-CO"/>
        </w:rPr>
        <w:t>, J., ‘</w:t>
      </w:r>
      <w:r w:rsidRPr="00C24C47">
        <w:rPr>
          <w:rFonts w:ascii="Verdana" w:hAnsi="Verdana"/>
          <w:i/>
          <w:sz w:val="16"/>
          <w:szCs w:val="16"/>
          <w:lang w:val="es-CO"/>
        </w:rPr>
        <w:t>La Tutela de los Derechos Económicos, Sociales y Culturales en el Artículo 26 de la Convención Americana sobre Derechos Humanos’</w:t>
      </w:r>
      <w:r w:rsidRPr="00817659">
        <w:rPr>
          <w:rFonts w:ascii="Verdana" w:hAnsi="Verdana"/>
          <w:sz w:val="16"/>
          <w:szCs w:val="16"/>
          <w:lang w:val="es-CO"/>
        </w:rPr>
        <w:t>, Estudios Socio-Jurídicos, Vol. 9, 2007, pp. 47.</w:t>
      </w:r>
    </w:p>
  </w:footnote>
  <w:footnote w:id="8">
    <w:p w14:paraId="3525E315" w14:textId="19598F42" w:rsidR="009C3283" w:rsidRPr="00817659" w:rsidRDefault="009C3283" w:rsidP="00817659">
      <w:pPr>
        <w:pStyle w:val="FootnoteText"/>
        <w:jc w:val="both"/>
        <w:rPr>
          <w:rFonts w:ascii="Verdana" w:hAnsi="Verdana"/>
          <w:sz w:val="16"/>
          <w:szCs w:val="16"/>
          <w:lang w:val="es-CR"/>
        </w:rPr>
      </w:pPr>
      <w:r w:rsidRPr="00817659">
        <w:rPr>
          <w:rStyle w:val="FootnoteReference"/>
          <w:rFonts w:ascii="Verdana" w:hAnsi="Verdana"/>
          <w:sz w:val="16"/>
          <w:szCs w:val="16"/>
        </w:rPr>
        <w:footnoteRef/>
      </w:r>
      <w:r w:rsidRPr="00817659">
        <w:rPr>
          <w:rFonts w:ascii="Verdana" w:hAnsi="Verdana"/>
          <w:sz w:val="16"/>
          <w:szCs w:val="16"/>
        </w:rPr>
        <w:t xml:space="preserve"> Por ejemplo, el </w:t>
      </w:r>
      <w:r w:rsidRPr="00817659">
        <w:rPr>
          <w:rFonts w:ascii="Verdana" w:hAnsi="Verdana"/>
          <w:sz w:val="16"/>
          <w:szCs w:val="16"/>
          <w:lang w:val="es-CR"/>
        </w:rPr>
        <w:t>artículo 45.b de la Carta establece que: “</w:t>
      </w:r>
      <w:r w:rsidRPr="00817659">
        <w:rPr>
          <w:rFonts w:ascii="Verdana" w:hAnsi="Verdana" w:cs="Tahoma"/>
          <w:color w:val="000000"/>
          <w:sz w:val="16"/>
          <w:szCs w:val="16"/>
        </w:rPr>
        <w:t>El trabajo es un derecho y un deber social, otorga dignidad a quien lo realiza y debe prestarse en condiciones que, incluyendo un régimen de salarios justos, aseguren la vida, la salud y un nivel económico decoroso para el trabajador y su familia, tanto en sus años de trabajo como en su vejez, o cuando cualquier circunstancia lo prive de la posibilidad de trabajar</w:t>
      </w:r>
      <w:r w:rsidRPr="00817659">
        <w:rPr>
          <w:rFonts w:ascii="Verdana" w:hAnsi="Verdana"/>
          <w:sz w:val="16"/>
          <w:szCs w:val="16"/>
          <w:lang w:val="es-CR"/>
        </w:rPr>
        <w:t>”.</w:t>
      </w:r>
    </w:p>
  </w:footnote>
  <w:footnote w:id="9">
    <w:p w14:paraId="3F1F89CB" w14:textId="79302095" w:rsidR="009C3283" w:rsidRPr="00817659" w:rsidRDefault="009C3283" w:rsidP="00817659">
      <w:pPr>
        <w:pStyle w:val="FootnoteText"/>
        <w:jc w:val="both"/>
        <w:rPr>
          <w:rFonts w:ascii="Verdana" w:hAnsi="Verdana"/>
          <w:sz w:val="16"/>
          <w:szCs w:val="16"/>
          <w:lang w:val="es-ES"/>
        </w:rPr>
      </w:pPr>
      <w:r w:rsidRPr="00817659">
        <w:rPr>
          <w:rStyle w:val="FootnoteReference"/>
          <w:rFonts w:ascii="Verdana" w:hAnsi="Verdana"/>
          <w:sz w:val="16"/>
          <w:szCs w:val="16"/>
        </w:rPr>
        <w:footnoteRef/>
      </w:r>
      <w:r w:rsidRPr="00817659">
        <w:rPr>
          <w:rFonts w:ascii="Verdana" w:hAnsi="Verdana"/>
          <w:sz w:val="16"/>
          <w:szCs w:val="16"/>
        </w:rPr>
        <w:t xml:space="preserve"> La discusión sobre cuáles son las fuentes de derecho internacional que pueden ser utilizadas por la Corte IDH para establecer los alcances de obligaciones y derechos exigibles a los Estados no es la materia principal del presente voto, pero deseo manifestar mi preocupación por la utilización de documentos tales como la Agenda de 2030 de la As</w:t>
      </w:r>
      <w:r>
        <w:rPr>
          <w:rFonts w:ascii="Verdana" w:hAnsi="Verdana"/>
          <w:sz w:val="16"/>
          <w:szCs w:val="16"/>
        </w:rPr>
        <w:t>amblea de Naciones Unidas (metas</w:t>
      </w:r>
      <w:r w:rsidRPr="00817659">
        <w:rPr>
          <w:rFonts w:ascii="Verdana" w:hAnsi="Verdana"/>
          <w:sz w:val="16"/>
          <w:szCs w:val="16"/>
        </w:rPr>
        <w:t xml:space="preserve"> del milenio) como fuente vinculante para el sistema interamericano. </w:t>
      </w:r>
    </w:p>
  </w:footnote>
  <w:footnote w:id="10">
    <w:p w14:paraId="3B242B72" w14:textId="465EDA2E" w:rsidR="009C3283" w:rsidRPr="00817659" w:rsidRDefault="009C3283" w:rsidP="00817659">
      <w:pPr>
        <w:pStyle w:val="FootnoteText"/>
        <w:jc w:val="both"/>
        <w:rPr>
          <w:rFonts w:ascii="Verdana" w:hAnsi="Verdana"/>
          <w:sz w:val="16"/>
          <w:szCs w:val="16"/>
          <w:lang w:val="es-ES"/>
        </w:rPr>
      </w:pPr>
      <w:r w:rsidRPr="00817659">
        <w:rPr>
          <w:rStyle w:val="FootnoteReference"/>
          <w:rFonts w:ascii="Verdana" w:hAnsi="Verdana"/>
          <w:sz w:val="16"/>
          <w:szCs w:val="16"/>
        </w:rPr>
        <w:footnoteRef/>
      </w:r>
      <w:r w:rsidRPr="00817659">
        <w:rPr>
          <w:rFonts w:ascii="Verdana" w:hAnsi="Verdana"/>
          <w:sz w:val="16"/>
          <w:szCs w:val="16"/>
        </w:rPr>
        <w:t xml:space="preserve"> </w:t>
      </w:r>
      <w:r w:rsidRPr="00817659">
        <w:rPr>
          <w:rFonts w:ascii="Verdana" w:hAnsi="Verdana"/>
          <w:sz w:val="16"/>
          <w:szCs w:val="16"/>
          <w:lang w:val="es-ES"/>
        </w:rPr>
        <w:t xml:space="preserve">Sentencia </w:t>
      </w:r>
      <w:r w:rsidRPr="00C24C47">
        <w:rPr>
          <w:rFonts w:ascii="Verdana" w:hAnsi="Verdana"/>
          <w:i/>
          <w:sz w:val="16"/>
          <w:szCs w:val="16"/>
          <w:lang w:val="es-ES"/>
        </w:rPr>
        <w:t>Lagos del Campo Vs. Perú</w:t>
      </w:r>
      <w:r w:rsidRPr="00817659">
        <w:rPr>
          <w:rFonts w:ascii="Verdana" w:hAnsi="Verdana"/>
          <w:sz w:val="16"/>
          <w:szCs w:val="16"/>
          <w:lang w:val="es-ES"/>
        </w:rPr>
        <w:t>, párr. 145</w:t>
      </w:r>
      <w:r>
        <w:rPr>
          <w:rFonts w:ascii="Verdana" w:hAnsi="Verdana"/>
          <w:sz w:val="16"/>
          <w:szCs w:val="16"/>
          <w:lang w:val="es-ES"/>
        </w:rPr>
        <w:t>.</w:t>
      </w:r>
    </w:p>
  </w:footnote>
  <w:footnote w:id="11">
    <w:p w14:paraId="383FA854" w14:textId="483B4A2D" w:rsidR="009C3283" w:rsidRPr="00817659" w:rsidRDefault="009C3283" w:rsidP="00817659">
      <w:pPr>
        <w:pStyle w:val="FootnoteText"/>
        <w:jc w:val="both"/>
        <w:rPr>
          <w:rFonts w:ascii="Verdana" w:hAnsi="Verdana"/>
          <w:sz w:val="16"/>
          <w:szCs w:val="16"/>
          <w:lang w:val="es-ES"/>
        </w:rPr>
      </w:pPr>
      <w:r w:rsidRPr="00817659">
        <w:rPr>
          <w:rStyle w:val="FootnoteReference"/>
          <w:rFonts w:ascii="Verdana" w:hAnsi="Verdana"/>
          <w:sz w:val="16"/>
          <w:szCs w:val="16"/>
        </w:rPr>
        <w:footnoteRef/>
      </w:r>
      <w:r w:rsidRPr="00817659">
        <w:rPr>
          <w:rFonts w:ascii="Verdana" w:hAnsi="Verdana"/>
          <w:sz w:val="16"/>
          <w:szCs w:val="16"/>
        </w:rPr>
        <w:t xml:space="preserve"> </w:t>
      </w:r>
      <w:r w:rsidRPr="00817659">
        <w:rPr>
          <w:rFonts w:ascii="Verdana" w:hAnsi="Verdana"/>
          <w:sz w:val="16"/>
          <w:szCs w:val="16"/>
          <w:lang w:val="es-ES"/>
        </w:rPr>
        <w:t xml:space="preserve">Al respecto, voto concurrente </w:t>
      </w:r>
      <w:r>
        <w:rPr>
          <w:rFonts w:ascii="Verdana" w:hAnsi="Verdana"/>
          <w:i/>
          <w:sz w:val="16"/>
          <w:szCs w:val="16"/>
          <w:lang w:val="es-ES"/>
        </w:rPr>
        <w:t>C</w:t>
      </w:r>
      <w:r w:rsidRPr="00C24C47">
        <w:rPr>
          <w:rFonts w:ascii="Verdana" w:hAnsi="Verdana"/>
          <w:i/>
          <w:sz w:val="16"/>
          <w:szCs w:val="16"/>
          <w:lang w:val="es-ES"/>
        </w:rPr>
        <w:t xml:space="preserve">aso González </w:t>
      </w:r>
      <w:proofErr w:type="spellStart"/>
      <w:r w:rsidRPr="00C24C47">
        <w:rPr>
          <w:rFonts w:ascii="Verdana" w:hAnsi="Verdana"/>
          <w:i/>
          <w:sz w:val="16"/>
          <w:szCs w:val="16"/>
          <w:lang w:val="es-ES"/>
        </w:rPr>
        <w:t>Lluy</w:t>
      </w:r>
      <w:proofErr w:type="spellEnd"/>
      <w:r w:rsidRPr="00C24C47">
        <w:rPr>
          <w:rFonts w:ascii="Verdana" w:hAnsi="Verdana"/>
          <w:i/>
          <w:sz w:val="16"/>
          <w:szCs w:val="16"/>
          <w:lang w:val="es-ES"/>
        </w:rPr>
        <w:t xml:space="preserve"> y otros Vs. Ecuador</w:t>
      </w:r>
      <w:r w:rsidRPr="00817659">
        <w:rPr>
          <w:rFonts w:ascii="Verdana" w:hAnsi="Verdana"/>
          <w:sz w:val="16"/>
          <w:szCs w:val="16"/>
          <w:lang w:val="es-ES"/>
        </w:rPr>
        <w:t xml:space="preserve">, </w:t>
      </w:r>
      <w:proofErr w:type="spellStart"/>
      <w:r w:rsidRPr="00817659">
        <w:rPr>
          <w:rFonts w:ascii="Verdana" w:hAnsi="Verdana"/>
          <w:sz w:val="16"/>
          <w:szCs w:val="16"/>
          <w:lang w:val="es-ES"/>
        </w:rPr>
        <w:t>párrs</w:t>
      </w:r>
      <w:proofErr w:type="spellEnd"/>
      <w:r w:rsidRPr="00817659">
        <w:rPr>
          <w:rFonts w:ascii="Verdana" w:hAnsi="Verdana"/>
          <w:sz w:val="16"/>
          <w:szCs w:val="16"/>
          <w:lang w:val="es-ES"/>
        </w:rPr>
        <w:t>. 12 a 19.</w:t>
      </w:r>
    </w:p>
  </w:footnote>
  <w:footnote w:id="12">
    <w:p w14:paraId="21C9135A" w14:textId="6FA13F60" w:rsidR="009C3283" w:rsidRPr="00817659" w:rsidRDefault="009C3283" w:rsidP="00817659">
      <w:pPr>
        <w:spacing w:after="0" w:line="240" w:lineRule="auto"/>
        <w:jc w:val="both"/>
        <w:rPr>
          <w:rFonts w:ascii="Verdana" w:eastAsia="Times New Roman" w:hAnsi="Verdana" w:cs="Times New Roman"/>
          <w:sz w:val="16"/>
          <w:szCs w:val="16"/>
          <w:lang w:val="es-ES_tradnl" w:eastAsia="es-ES_tradnl"/>
        </w:rPr>
      </w:pPr>
      <w:r w:rsidRPr="00817659">
        <w:rPr>
          <w:rStyle w:val="FootnoteReference"/>
          <w:rFonts w:ascii="Verdana" w:hAnsi="Verdana"/>
          <w:sz w:val="16"/>
          <w:szCs w:val="16"/>
        </w:rPr>
        <w:footnoteRef/>
      </w:r>
      <w:r w:rsidRPr="00817659">
        <w:rPr>
          <w:rFonts w:ascii="Verdana" w:hAnsi="Verdana"/>
          <w:sz w:val="16"/>
          <w:szCs w:val="16"/>
        </w:rPr>
        <w:t xml:space="preserve"> </w:t>
      </w:r>
      <w:r w:rsidRPr="00817659">
        <w:rPr>
          <w:rFonts w:ascii="Verdana" w:hAnsi="Verdana"/>
          <w:sz w:val="16"/>
          <w:szCs w:val="16"/>
          <w:lang w:val="es-ES"/>
        </w:rPr>
        <w:t xml:space="preserve">Un buen ejemplo de la correcta utilización de los métodos de interpretación de los tratados se puede encontrar en la Opinión Consultiva No. 21 respecto a la </w:t>
      </w:r>
      <w:r w:rsidRPr="00817659">
        <w:rPr>
          <w:rFonts w:ascii="Verdana" w:eastAsia="Times New Roman" w:hAnsi="Verdana" w:cs="Times New Roman"/>
          <w:bCs/>
          <w:color w:val="000000"/>
          <w:sz w:val="16"/>
          <w:szCs w:val="16"/>
          <w:shd w:val="clear" w:color="auto" w:fill="FFFFFF"/>
          <w:lang w:val="es-ES_tradnl" w:eastAsia="es-ES_tradnl"/>
        </w:rPr>
        <w:t>Titularidad de derechos de las personas jurídicas en el sistema interamericano de derechos humanos.</w:t>
      </w:r>
    </w:p>
  </w:footnote>
  <w:footnote w:id="13">
    <w:p w14:paraId="7F8A07DA" w14:textId="25997FE2" w:rsidR="009C3283" w:rsidRPr="00817659" w:rsidRDefault="009C3283" w:rsidP="00817659">
      <w:pPr>
        <w:pStyle w:val="FootnoteText"/>
        <w:jc w:val="both"/>
        <w:rPr>
          <w:rFonts w:ascii="Verdana" w:hAnsi="Verdana"/>
          <w:sz w:val="16"/>
          <w:szCs w:val="16"/>
          <w:lang w:val="es-ES"/>
        </w:rPr>
      </w:pPr>
      <w:r w:rsidRPr="00817659">
        <w:rPr>
          <w:rStyle w:val="FootnoteReference"/>
          <w:rFonts w:ascii="Verdana" w:hAnsi="Verdana"/>
          <w:sz w:val="16"/>
          <w:szCs w:val="16"/>
        </w:rPr>
        <w:footnoteRef/>
      </w:r>
      <w:r w:rsidRPr="00817659">
        <w:rPr>
          <w:rFonts w:ascii="Verdana" w:hAnsi="Verdana"/>
          <w:sz w:val="16"/>
          <w:szCs w:val="16"/>
        </w:rPr>
        <w:t xml:space="preserve"> Al respecto,</w:t>
      </w:r>
      <w:r w:rsidRPr="00817659">
        <w:rPr>
          <w:rFonts w:ascii="Verdana" w:hAnsi="Verdana"/>
          <w:sz w:val="16"/>
          <w:szCs w:val="16"/>
          <w:lang w:val="es-ES"/>
        </w:rPr>
        <w:t xml:space="preserve"> voto concurrente </w:t>
      </w:r>
      <w:r w:rsidRPr="00C24C47">
        <w:rPr>
          <w:rFonts w:ascii="Verdana" w:hAnsi="Verdana"/>
          <w:i/>
          <w:sz w:val="16"/>
          <w:szCs w:val="16"/>
          <w:lang w:val="es-ES"/>
        </w:rPr>
        <w:t xml:space="preserve">Caso González </w:t>
      </w:r>
      <w:proofErr w:type="spellStart"/>
      <w:r w:rsidRPr="00C24C47">
        <w:rPr>
          <w:rFonts w:ascii="Verdana" w:hAnsi="Verdana"/>
          <w:i/>
          <w:sz w:val="16"/>
          <w:szCs w:val="16"/>
          <w:lang w:val="es-ES"/>
        </w:rPr>
        <w:t>Lluy</w:t>
      </w:r>
      <w:proofErr w:type="spellEnd"/>
      <w:r w:rsidRPr="00C24C47">
        <w:rPr>
          <w:rFonts w:ascii="Verdana" w:hAnsi="Verdana"/>
          <w:i/>
          <w:sz w:val="16"/>
          <w:szCs w:val="16"/>
          <w:lang w:val="es-ES"/>
        </w:rPr>
        <w:t xml:space="preserve"> y otros Vs. Ecuador</w:t>
      </w:r>
      <w:r w:rsidRPr="00817659">
        <w:rPr>
          <w:rFonts w:ascii="Verdana" w:hAnsi="Verdana"/>
          <w:sz w:val="16"/>
          <w:szCs w:val="16"/>
          <w:lang w:val="es-ES"/>
        </w:rPr>
        <w:t xml:space="preserve">, </w:t>
      </w:r>
      <w:proofErr w:type="spellStart"/>
      <w:r w:rsidRPr="00817659">
        <w:rPr>
          <w:rFonts w:ascii="Verdana" w:hAnsi="Verdana"/>
          <w:sz w:val="16"/>
          <w:szCs w:val="16"/>
          <w:lang w:val="es-ES"/>
        </w:rPr>
        <w:t>párrs</w:t>
      </w:r>
      <w:proofErr w:type="spellEnd"/>
      <w:r w:rsidRPr="00817659">
        <w:rPr>
          <w:rFonts w:ascii="Verdana" w:hAnsi="Verdana"/>
          <w:sz w:val="16"/>
          <w:szCs w:val="16"/>
          <w:lang w:val="es-ES"/>
        </w:rPr>
        <w:t>. 23 a 28.</w:t>
      </w:r>
    </w:p>
  </w:footnote>
  <w:footnote w:id="14">
    <w:p w14:paraId="5947183D" w14:textId="3256FF72" w:rsidR="009C3283" w:rsidRPr="00817659" w:rsidRDefault="009C3283" w:rsidP="00817659">
      <w:pPr>
        <w:pStyle w:val="FootnoteText"/>
        <w:jc w:val="both"/>
        <w:rPr>
          <w:rFonts w:ascii="Verdana" w:hAnsi="Verdana"/>
          <w:sz w:val="16"/>
          <w:szCs w:val="16"/>
          <w:lang w:val="es-CR"/>
        </w:rPr>
      </w:pPr>
      <w:r w:rsidRPr="00817659">
        <w:rPr>
          <w:rStyle w:val="FootnoteReference"/>
          <w:rFonts w:ascii="Verdana" w:hAnsi="Verdana"/>
          <w:sz w:val="16"/>
          <w:szCs w:val="16"/>
        </w:rPr>
        <w:footnoteRef/>
      </w:r>
      <w:r w:rsidRPr="00817659">
        <w:rPr>
          <w:rFonts w:ascii="Verdana" w:hAnsi="Verdana"/>
          <w:sz w:val="16"/>
          <w:szCs w:val="16"/>
        </w:rPr>
        <w:t xml:space="preserve"> </w:t>
      </w:r>
      <w:r w:rsidRPr="00817659">
        <w:rPr>
          <w:rFonts w:ascii="Verdana" w:hAnsi="Verdana"/>
          <w:sz w:val="16"/>
          <w:szCs w:val="16"/>
          <w:lang w:val="es-CR"/>
        </w:rPr>
        <w:t xml:space="preserve">En el mismo sentido, ver: </w:t>
      </w:r>
      <w:r w:rsidRPr="00C24C47">
        <w:rPr>
          <w:rFonts w:ascii="Verdana" w:hAnsi="Verdana"/>
          <w:bCs/>
          <w:i/>
          <w:sz w:val="16"/>
          <w:szCs w:val="16"/>
          <w:lang w:val="es-CR"/>
        </w:rPr>
        <w:t xml:space="preserve">Caso González y otras (“Campo Algodonero”) Vs. México. </w:t>
      </w:r>
      <w:r w:rsidRPr="00C24C47">
        <w:rPr>
          <w:rFonts w:ascii="Verdana" w:hAnsi="Verdana"/>
          <w:i/>
          <w:sz w:val="16"/>
          <w:szCs w:val="16"/>
          <w:lang w:val="es-CR"/>
        </w:rPr>
        <w:t>Excepción Preliminar, Fondo, Reparaciones y Costas</w:t>
      </w:r>
      <w:r w:rsidRPr="00817659">
        <w:rPr>
          <w:rFonts w:ascii="Verdana" w:hAnsi="Verdana"/>
          <w:sz w:val="16"/>
          <w:szCs w:val="16"/>
          <w:lang w:val="es-CR"/>
        </w:rPr>
        <w:t>. Sentencia de 16 de noviembre de 2009. Serie C No. 205, párr. 78.</w:t>
      </w:r>
    </w:p>
  </w:footnote>
  <w:footnote w:id="15">
    <w:p w14:paraId="2DBBD14A" w14:textId="4D97D4ED" w:rsidR="009C3283" w:rsidRPr="00817659" w:rsidRDefault="009C3283" w:rsidP="00817659">
      <w:pPr>
        <w:spacing w:after="0" w:line="240" w:lineRule="auto"/>
        <w:jc w:val="both"/>
        <w:rPr>
          <w:rFonts w:ascii="Verdana" w:eastAsia="Times New Roman" w:hAnsi="Verdana" w:cs="Times New Roman"/>
          <w:sz w:val="16"/>
          <w:szCs w:val="16"/>
          <w:lang w:val="es-ES_tradnl" w:eastAsia="es-ES_tradnl"/>
        </w:rPr>
      </w:pPr>
      <w:r w:rsidRPr="00817659">
        <w:rPr>
          <w:rStyle w:val="FootnoteReference"/>
          <w:rFonts w:ascii="Verdana" w:hAnsi="Verdana"/>
          <w:sz w:val="16"/>
          <w:szCs w:val="16"/>
        </w:rPr>
        <w:footnoteRef/>
      </w:r>
      <w:r w:rsidRPr="00817659">
        <w:rPr>
          <w:rFonts w:ascii="Verdana" w:hAnsi="Verdana"/>
          <w:sz w:val="16"/>
          <w:szCs w:val="16"/>
        </w:rPr>
        <w:t xml:space="preserve"> </w:t>
      </w:r>
      <w:r w:rsidRPr="00C24C47">
        <w:rPr>
          <w:rFonts w:ascii="Verdana" w:eastAsia="Times New Roman" w:hAnsi="Verdana" w:cs="Times New Roman"/>
          <w:i/>
          <w:sz w:val="16"/>
          <w:szCs w:val="16"/>
          <w:lang w:val="es-ES_tradnl" w:eastAsia="es-ES_tradnl"/>
        </w:rPr>
        <w:t>Caso Velásquez Rodríguez vs. Honduras</w:t>
      </w:r>
      <w:r w:rsidRPr="00817659">
        <w:rPr>
          <w:rFonts w:ascii="Verdana" w:eastAsia="Times New Roman" w:hAnsi="Verdana" w:cs="Times New Roman"/>
          <w:sz w:val="16"/>
          <w:szCs w:val="16"/>
          <w:lang w:val="es-ES_tradnl" w:eastAsia="es-ES_tradnl"/>
        </w:rPr>
        <w:t xml:space="preserve">, Sentencia de 29 de julio de 1988 (Fondo), Serie C No. 4, </w:t>
      </w:r>
      <w:proofErr w:type="spellStart"/>
      <w:r w:rsidRPr="00817659">
        <w:rPr>
          <w:rFonts w:ascii="Verdana" w:eastAsia="Times New Roman" w:hAnsi="Verdana" w:cs="Times New Roman"/>
          <w:sz w:val="16"/>
          <w:szCs w:val="16"/>
          <w:lang w:val="es-ES_tradnl" w:eastAsia="es-ES_tradnl"/>
        </w:rPr>
        <w:t>párrs</w:t>
      </w:r>
      <w:proofErr w:type="spellEnd"/>
      <w:r w:rsidRPr="00817659">
        <w:rPr>
          <w:rFonts w:ascii="Verdana" w:eastAsia="Times New Roman" w:hAnsi="Verdana" w:cs="Times New Roman"/>
          <w:sz w:val="16"/>
          <w:szCs w:val="16"/>
          <w:lang w:val="es-ES_tradnl" w:eastAsia="es-ES_tradnl"/>
        </w:rPr>
        <w:t>. 163 a 166.</w:t>
      </w:r>
    </w:p>
  </w:footnote>
  <w:footnote w:id="16">
    <w:p w14:paraId="3D9BB342" w14:textId="0C4AC245" w:rsidR="009C3283" w:rsidRPr="00817659" w:rsidRDefault="009C3283" w:rsidP="00817659">
      <w:pPr>
        <w:spacing w:after="0" w:line="240" w:lineRule="auto"/>
        <w:jc w:val="both"/>
        <w:rPr>
          <w:rFonts w:ascii="Verdana" w:eastAsia="Times New Roman" w:hAnsi="Verdana" w:cs="Times New Roman"/>
          <w:sz w:val="16"/>
          <w:szCs w:val="16"/>
          <w:lang w:val="es-ES_tradnl" w:eastAsia="es-ES_tradnl"/>
        </w:rPr>
      </w:pPr>
      <w:r w:rsidRPr="00817659">
        <w:rPr>
          <w:rStyle w:val="FootnoteReference"/>
          <w:rFonts w:ascii="Verdana" w:hAnsi="Verdana"/>
          <w:sz w:val="16"/>
          <w:szCs w:val="16"/>
        </w:rPr>
        <w:footnoteRef/>
      </w:r>
      <w:r w:rsidRPr="00817659">
        <w:rPr>
          <w:rFonts w:ascii="Verdana" w:hAnsi="Verdana"/>
          <w:sz w:val="16"/>
          <w:szCs w:val="16"/>
        </w:rPr>
        <w:t xml:space="preserve"> </w:t>
      </w:r>
      <w:r w:rsidRPr="00C24C47">
        <w:rPr>
          <w:rFonts w:ascii="Verdana" w:eastAsia="Times New Roman" w:hAnsi="Verdana" w:cs="Times New Roman"/>
          <w:i/>
          <w:sz w:val="16"/>
          <w:szCs w:val="16"/>
          <w:lang w:val="es-ES_tradnl" w:eastAsia="es-ES_tradnl"/>
        </w:rPr>
        <w:t xml:space="preserve">Caso </w:t>
      </w:r>
      <w:proofErr w:type="spellStart"/>
      <w:r w:rsidRPr="00C24C47">
        <w:rPr>
          <w:rFonts w:ascii="Verdana" w:eastAsia="Times New Roman" w:hAnsi="Verdana" w:cs="Times New Roman"/>
          <w:i/>
          <w:sz w:val="16"/>
          <w:szCs w:val="16"/>
          <w:lang w:val="es-ES_tradnl" w:eastAsia="es-ES_tradnl"/>
        </w:rPr>
        <w:t>Hilaire</w:t>
      </w:r>
      <w:proofErr w:type="spellEnd"/>
      <w:r w:rsidRPr="00C24C47">
        <w:rPr>
          <w:rFonts w:ascii="Verdana" w:eastAsia="Times New Roman" w:hAnsi="Verdana" w:cs="Times New Roman"/>
          <w:i/>
          <w:sz w:val="16"/>
          <w:szCs w:val="16"/>
          <w:lang w:val="es-ES_tradnl" w:eastAsia="es-ES_tradnl"/>
        </w:rPr>
        <w:t xml:space="preserve">, </w:t>
      </w:r>
      <w:proofErr w:type="spellStart"/>
      <w:r w:rsidRPr="00C24C47">
        <w:rPr>
          <w:rFonts w:ascii="Verdana" w:eastAsia="Times New Roman" w:hAnsi="Verdana" w:cs="Times New Roman"/>
          <w:i/>
          <w:sz w:val="16"/>
          <w:szCs w:val="16"/>
          <w:lang w:val="es-ES_tradnl" w:eastAsia="es-ES_tradnl"/>
        </w:rPr>
        <w:t>Constantine</w:t>
      </w:r>
      <w:proofErr w:type="spellEnd"/>
      <w:r w:rsidRPr="00C24C47">
        <w:rPr>
          <w:rFonts w:ascii="Verdana" w:eastAsia="Times New Roman" w:hAnsi="Verdana" w:cs="Times New Roman"/>
          <w:i/>
          <w:sz w:val="16"/>
          <w:szCs w:val="16"/>
          <w:lang w:val="es-ES_tradnl" w:eastAsia="es-ES_tradnl"/>
        </w:rPr>
        <w:t xml:space="preserve"> y </w:t>
      </w:r>
      <w:proofErr w:type="spellStart"/>
      <w:r w:rsidRPr="00C24C47">
        <w:rPr>
          <w:rFonts w:ascii="Verdana" w:eastAsia="Times New Roman" w:hAnsi="Verdana" w:cs="Times New Roman"/>
          <w:i/>
          <w:sz w:val="16"/>
          <w:szCs w:val="16"/>
          <w:lang w:val="es-ES_tradnl" w:eastAsia="es-ES_tradnl"/>
        </w:rPr>
        <w:t>Benjamin</w:t>
      </w:r>
      <w:proofErr w:type="spellEnd"/>
      <w:r w:rsidRPr="00C24C47">
        <w:rPr>
          <w:rFonts w:ascii="Verdana" w:eastAsia="Times New Roman" w:hAnsi="Verdana" w:cs="Times New Roman"/>
          <w:i/>
          <w:sz w:val="16"/>
          <w:szCs w:val="16"/>
          <w:lang w:val="es-ES_tradnl" w:eastAsia="es-ES_tradnl"/>
        </w:rPr>
        <w:t xml:space="preserve"> y otros Vs. Trinidad y Tobago</w:t>
      </w:r>
      <w:r w:rsidRPr="00817659">
        <w:rPr>
          <w:rFonts w:ascii="Verdana" w:eastAsia="Times New Roman" w:hAnsi="Verdana" w:cs="Times New Roman"/>
          <w:sz w:val="16"/>
          <w:szCs w:val="16"/>
          <w:lang w:val="es-ES_tradnl" w:eastAsia="es-ES_tradnl"/>
        </w:rPr>
        <w:t xml:space="preserve">, Sentencia de 21 de junio de 2002, (Fondo, Reparaciones y Costas), pár. 107. </w:t>
      </w:r>
    </w:p>
  </w:footnote>
  <w:footnote w:id="17">
    <w:p w14:paraId="33420063" w14:textId="486D5C3E" w:rsidR="009C3283" w:rsidRPr="00817659" w:rsidRDefault="009C3283" w:rsidP="00817659">
      <w:pPr>
        <w:pStyle w:val="FootnoteText"/>
        <w:jc w:val="both"/>
        <w:rPr>
          <w:rFonts w:ascii="Verdana" w:hAnsi="Verdana"/>
          <w:sz w:val="16"/>
          <w:szCs w:val="16"/>
          <w:lang w:val="es-ES"/>
        </w:rPr>
      </w:pPr>
      <w:r w:rsidRPr="00817659">
        <w:rPr>
          <w:rStyle w:val="FootnoteReference"/>
          <w:rFonts w:ascii="Verdana" w:hAnsi="Verdana"/>
          <w:sz w:val="16"/>
          <w:szCs w:val="16"/>
        </w:rPr>
        <w:footnoteRef/>
      </w:r>
      <w:r w:rsidRPr="00817659">
        <w:rPr>
          <w:rFonts w:ascii="Verdana" w:hAnsi="Verdana"/>
          <w:sz w:val="16"/>
          <w:szCs w:val="16"/>
        </w:rPr>
        <w:t xml:space="preserve"> </w:t>
      </w:r>
      <w:r w:rsidRPr="00817659">
        <w:rPr>
          <w:rFonts w:ascii="Verdana" w:hAnsi="Verdana"/>
          <w:sz w:val="16"/>
          <w:szCs w:val="16"/>
          <w:lang w:val="es-ES"/>
        </w:rPr>
        <w:t xml:space="preserve">Sentencia </w:t>
      </w:r>
      <w:r w:rsidRPr="00C24C47">
        <w:rPr>
          <w:rFonts w:ascii="Verdana" w:hAnsi="Verdana"/>
          <w:i/>
          <w:sz w:val="16"/>
          <w:szCs w:val="16"/>
          <w:lang w:val="es-ES"/>
        </w:rPr>
        <w:t>Lagos del Campo Vs. Perú</w:t>
      </w:r>
      <w:r w:rsidRPr="00817659">
        <w:rPr>
          <w:rFonts w:ascii="Verdana" w:hAnsi="Verdana"/>
          <w:sz w:val="16"/>
          <w:szCs w:val="16"/>
          <w:lang w:val="es-ES"/>
        </w:rPr>
        <w:t xml:space="preserve">, </w:t>
      </w:r>
      <w:proofErr w:type="spellStart"/>
      <w:r w:rsidRPr="00817659">
        <w:rPr>
          <w:rFonts w:ascii="Verdana" w:hAnsi="Verdana"/>
          <w:sz w:val="16"/>
          <w:szCs w:val="16"/>
          <w:lang w:val="es-ES"/>
        </w:rPr>
        <w:t>párrs</w:t>
      </w:r>
      <w:proofErr w:type="spellEnd"/>
      <w:r w:rsidRPr="00817659">
        <w:rPr>
          <w:rFonts w:ascii="Verdana" w:hAnsi="Verdana"/>
          <w:sz w:val="16"/>
          <w:szCs w:val="16"/>
          <w:lang w:val="es-ES"/>
        </w:rPr>
        <w:t>. 133 a 139.</w:t>
      </w:r>
    </w:p>
  </w:footnote>
  <w:footnote w:id="18">
    <w:p w14:paraId="44AC16AA" w14:textId="01425C42" w:rsidR="009C3283" w:rsidRPr="00817659" w:rsidRDefault="009C3283" w:rsidP="00817659">
      <w:pPr>
        <w:pStyle w:val="FootnoteText"/>
        <w:jc w:val="both"/>
        <w:rPr>
          <w:rFonts w:ascii="Verdana" w:hAnsi="Verdana"/>
          <w:sz w:val="16"/>
          <w:szCs w:val="16"/>
          <w:lang w:val="es-ES"/>
        </w:rPr>
      </w:pPr>
      <w:r w:rsidRPr="00064313">
        <w:rPr>
          <w:rStyle w:val="FootnoteReference"/>
          <w:rFonts w:ascii="Verdana" w:hAnsi="Verdana"/>
          <w:sz w:val="16"/>
          <w:szCs w:val="16"/>
        </w:rPr>
        <w:footnoteRef/>
      </w:r>
      <w:r w:rsidRPr="00064313">
        <w:rPr>
          <w:rFonts w:ascii="Verdana" w:hAnsi="Verdana"/>
          <w:sz w:val="16"/>
          <w:szCs w:val="16"/>
        </w:rPr>
        <w:t xml:space="preserve"> </w:t>
      </w:r>
      <w:r w:rsidRPr="00064313">
        <w:rPr>
          <w:rFonts w:ascii="Verdana" w:hAnsi="Verdana"/>
          <w:sz w:val="16"/>
          <w:szCs w:val="16"/>
          <w:lang w:val="es-ES"/>
        </w:rPr>
        <w:t>Cabe recalcar que se dice que el Estado peruano conocía los hechos, pero al leer la nota al pie No. 1</w:t>
      </w:r>
      <w:r w:rsidRPr="00C24C47">
        <w:rPr>
          <w:rFonts w:ascii="Verdana" w:hAnsi="Verdana"/>
          <w:sz w:val="16"/>
          <w:szCs w:val="16"/>
          <w:lang w:val="es-ES"/>
        </w:rPr>
        <w:t>83</w:t>
      </w:r>
      <w:r w:rsidRPr="00064313">
        <w:rPr>
          <w:rFonts w:ascii="Verdana" w:hAnsi="Verdana"/>
          <w:sz w:val="16"/>
          <w:szCs w:val="16"/>
          <w:lang w:val="es-ES"/>
        </w:rPr>
        <w:t xml:space="preserve"> que remite a esa afirmación, se lee una cita que hace referencia a un alegato a un derecho al trabajo, no a un hecho en concreto.</w:t>
      </w:r>
    </w:p>
  </w:footnote>
  <w:footnote w:id="19">
    <w:p w14:paraId="11131568" w14:textId="78570F20" w:rsidR="009C3283" w:rsidRPr="00817659" w:rsidRDefault="009C3283" w:rsidP="00817659">
      <w:pPr>
        <w:pStyle w:val="FootnoteText"/>
        <w:jc w:val="both"/>
        <w:rPr>
          <w:rFonts w:ascii="Verdana" w:hAnsi="Verdana"/>
          <w:sz w:val="16"/>
          <w:szCs w:val="16"/>
          <w:lang w:val="es-ES"/>
        </w:rPr>
      </w:pPr>
      <w:r w:rsidRPr="00817659">
        <w:rPr>
          <w:rStyle w:val="FootnoteReference"/>
          <w:rFonts w:ascii="Verdana" w:hAnsi="Verdana"/>
          <w:sz w:val="16"/>
          <w:szCs w:val="16"/>
        </w:rPr>
        <w:footnoteRef/>
      </w:r>
      <w:r w:rsidRPr="00817659">
        <w:rPr>
          <w:rFonts w:ascii="Verdana" w:hAnsi="Verdana"/>
          <w:sz w:val="16"/>
          <w:szCs w:val="16"/>
        </w:rPr>
        <w:t xml:space="preserve"> </w:t>
      </w:r>
      <w:r w:rsidRPr="00817659">
        <w:rPr>
          <w:rFonts w:ascii="Verdana" w:hAnsi="Verdana"/>
          <w:sz w:val="16"/>
          <w:szCs w:val="16"/>
          <w:lang w:val="es-ES"/>
        </w:rPr>
        <w:t xml:space="preserve">Sentencia </w:t>
      </w:r>
      <w:r w:rsidRPr="00C24C47">
        <w:rPr>
          <w:rFonts w:ascii="Verdana" w:hAnsi="Verdana"/>
          <w:i/>
          <w:sz w:val="16"/>
          <w:szCs w:val="16"/>
          <w:lang w:val="es-ES"/>
        </w:rPr>
        <w:t>Lagos del Campo Vs. Perú</w:t>
      </w:r>
      <w:r w:rsidRPr="00817659">
        <w:rPr>
          <w:rFonts w:ascii="Verdana" w:hAnsi="Verdana"/>
          <w:sz w:val="16"/>
          <w:szCs w:val="16"/>
          <w:lang w:val="es-ES"/>
        </w:rPr>
        <w:t>, párr. 137.</w:t>
      </w:r>
    </w:p>
  </w:footnote>
  <w:footnote w:id="20">
    <w:p w14:paraId="05C6FC2D" w14:textId="296C940F" w:rsidR="009C3283" w:rsidRPr="00817659" w:rsidRDefault="009C3283" w:rsidP="00817659">
      <w:pPr>
        <w:spacing w:after="0" w:line="240" w:lineRule="auto"/>
        <w:jc w:val="both"/>
        <w:rPr>
          <w:rFonts w:ascii="Verdana" w:hAnsi="Verdana"/>
          <w:sz w:val="16"/>
          <w:szCs w:val="16"/>
        </w:rPr>
      </w:pPr>
      <w:r w:rsidRPr="00817659">
        <w:rPr>
          <w:rStyle w:val="FootnoteReference"/>
          <w:rFonts w:ascii="Verdana" w:hAnsi="Verdana"/>
          <w:sz w:val="16"/>
          <w:szCs w:val="16"/>
        </w:rPr>
        <w:footnoteRef/>
      </w:r>
      <w:r w:rsidRPr="00817659">
        <w:rPr>
          <w:rFonts w:ascii="Verdana" w:hAnsi="Verdana"/>
          <w:sz w:val="16"/>
          <w:szCs w:val="16"/>
        </w:rPr>
        <w:t xml:space="preserve"> En efecto, la razón por la cual la Sentencia decide que no hay violación es que “teniendo en cuenta que lo que está bajo análisis no es alguna providencia adoptada por el Estado que haya impedido el desarrollo progresivo del derecho a una pensión, sino más bien el incumplimiento estatal del pago ordenado por sus órganos judiciales, el Tribunal considera que los derechos afectados son aquellos protegidos en los artículos 25 y 21 de la Convención y no encuentra motivo para declarar adicionalmente el incumplimiento del artículo 26 de dicho instrumento”. </w:t>
      </w:r>
      <w:r w:rsidRPr="00817659">
        <w:rPr>
          <w:rStyle w:val="Strong"/>
          <w:rFonts w:ascii="Verdana" w:hAnsi="Verdana"/>
          <w:b w:val="0"/>
          <w:i/>
          <w:sz w:val="16"/>
          <w:szCs w:val="16"/>
          <w:shd w:val="clear" w:color="auto" w:fill="FFFFFF"/>
        </w:rPr>
        <w:t>Caso Acevedo Buendía y otros (“Cesantes y Jubilados de la Contraloría”) Vs. Perú</w:t>
      </w:r>
      <w:r w:rsidRPr="00817659">
        <w:rPr>
          <w:rStyle w:val="Strong"/>
          <w:rFonts w:ascii="Verdana" w:hAnsi="Verdana"/>
          <w:b w:val="0"/>
          <w:sz w:val="16"/>
          <w:szCs w:val="16"/>
          <w:shd w:val="clear" w:color="auto" w:fill="FFFFFF"/>
        </w:rPr>
        <w:t>, párr. 106.</w:t>
      </w:r>
    </w:p>
  </w:footnote>
  <w:footnote w:id="21">
    <w:p w14:paraId="0C5A1479" w14:textId="47FC5AFF" w:rsidR="009C3283" w:rsidRPr="00817659" w:rsidRDefault="009C3283" w:rsidP="00064313">
      <w:pPr>
        <w:pStyle w:val="NormalWeb"/>
        <w:shd w:val="clear" w:color="auto" w:fill="FFFFFF"/>
        <w:tabs>
          <w:tab w:val="left" w:pos="567"/>
        </w:tabs>
        <w:spacing w:before="0" w:beforeAutospacing="0" w:after="0" w:afterAutospacing="0"/>
        <w:jc w:val="both"/>
        <w:rPr>
          <w:rFonts w:ascii="Verdana" w:hAnsi="Verdana" w:cs="Tahoma"/>
          <w:sz w:val="16"/>
          <w:szCs w:val="16"/>
        </w:rPr>
      </w:pPr>
      <w:r w:rsidRPr="00817659">
        <w:rPr>
          <w:rStyle w:val="FootnoteReference"/>
          <w:rFonts w:ascii="Verdana" w:hAnsi="Verdana"/>
          <w:sz w:val="16"/>
          <w:szCs w:val="16"/>
        </w:rPr>
        <w:footnoteRef/>
      </w:r>
      <w:r w:rsidRPr="00817659">
        <w:rPr>
          <w:rFonts w:ascii="Verdana" w:hAnsi="Verdana"/>
          <w:sz w:val="16"/>
          <w:szCs w:val="16"/>
        </w:rPr>
        <w:t xml:space="preserve"> </w:t>
      </w:r>
      <w:r w:rsidRPr="00817659">
        <w:rPr>
          <w:rFonts w:ascii="Verdana" w:eastAsia="Calibri" w:hAnsi="Verdana"/>
          <w:i/>
          <w:sz w:val="16"/>
          <w:szCs w:val="16"/>
        </w:rPr>
        <w:t xml:space="preserve">Cfr. </w:t>
      </w:r>
      <w:r w:rsidRPr="00817659">
        <w:rPr>
          <w:rFonts w:ascii="Verdana" w:hAnsi="Verdana"/>
          <w:sz w:val="16"/>
          <w:szCs w:val="16"/>
        </w:rPr>
        <w:t xml:space="preserve">Opinión Consultiva OC-16/99, párr. 114; </w:t>
      </w:r>
      <w:r w:rsidRPr="00817659">
        <w:rPr>
          <w:rStyle w:val="Strong"/>
          <w:rFonts w:ascii="Verdana" w:hAnsi="Verdana"/>
          <w:b w:val="0"/>
          <w:i/>
          <w:sz w:val="16"/>
          <w:szCs w:val="16"/>
          <w:shd w:val="clear" w:color="auto" w:fill="FFFFFF"/>
        </w:rPr>
        <w:t xml:space="preserve">Caso </w:t>
      </w:r>
      <w:proofErr w:type="spellStart"/>
      <w:r w:rsidRPr="00817659">
        <w:rPr>
          <w:rStyle w:val="Strong"/>
          <w:rFonts w:ascii="Verdana" w:hAnsi="Verdana"/>
          <w:b w:val="0"/>
          <w:i/>
          <w:sz w:val="16"/>
          <w:szCs w:val="16"/>
          <w:shd w:val="clear" w:color="auto" w:fill="FFFFFF"/>
        </w:rPr>
        <w:t>Atala</w:t>
      </w:r>
      <w:proofErr w:type="spellEnd"/>
      <w:r w:rsidRPr="00817659">
        <w:rPr>
          <w:rStyle w:val="Strong"/>
          <w:rFonts w:ascii="Verdana" w:hAnsi="Verdana"/>
          <w:b w:val="0"/>
          <w:i/>
          <w:sz w:val="16"/>
          <w:szCs w:val="16"/>
          <w:shd w:val="clear" w:color="auto" w:fill="FFFFFF"/>
        </w:rPr>
        <w:t xml:space="preserve"> </w:t>
      </w:r>
      <w:proofErr w:type="spellStart"/>
      <w:r w:rsidRPr="00817659">
        <w:rPr>
          <w:rStyle w:val="Strong"/>
          <w:rFonts w:ascii="Verdana" w:hAnsi="Verdana"/>
          <w:b w:val="0"/>
          <w:i/>
          <w:sz w:val="16"/>
          <w:szCs w:val="16"/>
          <w:shd w:val="clear" w:color="auto" w:fill="FFFFFF"/>
        </w:rPr>
        <w:t>Riffo</w:t>
      </w:r>
      <w:proofErr w:type="spellEnd"/>
      <w:r w:rsidRPr="00817659">
        <w:rPr>
          <w:rStyle w:val="Strong"/>
          <w:rFonts w:ascii="Verdana" w:hAnsi="Verdana"/>
          <w:b w:val="0"/>
          <w:i/>
          <w:sz w:val="16"/>
          <w:szCs w:val="16"/>
          <w:shd w:val="clear" w:color="auto" w:fill="FFFFFF"/>
        </w:rPr>
        <w:t xml:space="preserve"> y Niñas Vs. Chile. Fondo, Reparaciones y Costas</w:t>
      </w:r>
      <w:r w:rsidRPr="00817659">
        <w:rPr>
          <w:rStyle w:val="Strong"/>
          <w:rFonts w:ascii="Verdana" w:hAnsi="Verdana"/>
          <w:b w:val="0"/>
          <w:sz w:val="16"/>
          <w:szCs w:val="16"/>
          <w:shd w:val="clear" w:color="auto" w:fill="FFFFFF"/>
        </w:rPr>
        <w:t xml:space="preserve">. Sentencia del 24 de febrero de 2012. Serie C No. 239, párr. 83; </w:t>
      </w:r>
      <w:r w:rsidRPr="00817659">
        <w:rPr>
          <w:rStyle w:val="Strong"/>
          <w:rFonts w:ascii="Verdana" w:hAnsi="Verdana"/>
          <w:b w:val="0"/>
          <w:i/>
          <w:sz w:val="16"/>
          <w:szCs w:val="16"/>
          <w:shd w:val="clear" w:color="auto" w:fill="FFFFFF"/>
        </w:rPr>
        <w:t xml:space="preserve">Caso </w:t>
      </w:r>
      <w:proofErr w:type="spellStart"/>
      <w:r w:rsidRPr="00817659">
        <w:rPr>
          <w:rStyle w:val="Strong"/>
          <w:rFonts w:ascii="Verdana" w:hAnsi="Verdana"/>
          <w:b w:val="0"/>
          <w:i/>
          <w:sz w:val="16"/>
          <w:szCs w:val="16"/>
          <w:shd w:val="clear" w:color="auto" w:fill="FFFFFF"/>
        </w:rPr>
        <w:t>Artavia</w:t>
      </w:r>
      <w:proofErr w:type="spellEnd"/>
      <w:r w:rsidRPr="00817659">
        <w:rPr>
          <w:rStyle w:val="Strong"/>
          <w:rFonts w:ascii="Verdana" w:hAnsi="Verdana"/>
          <w:b w:val="0"/>
          <w:i/>
          <w:sz w:val="16"/>
          <w:szCs w:val="16"/>
          <w:shd w:val="clear" w:color="auto" w:fill="FFFFFF"/>
        </w:rPr>
        <w:t xml:space="preserve"> Murillo y otros (Fecundación in vitro) Vs. Costa Rica</w:t>
      </w:r>
      <w:r w:rsidRPr="00817659">
        <w:rPr>
          <w:rStyle w:val="Strong"/>
          <w:rFonts w:ascii="Verdana" w:hAnsi="Verdana"/>
          <w:b w:val="0"/>
          <w:sz w:val="16"/>
          <w:szCs w:val="16"/>
          <w:shd w:val="clear" w:color="auto" w:fill="FFFFFF"/>
        </w:rPr>
        <w:t>, párr. 245,</w:t>
      </w:r>
      <w:r w:rsidRPr="00817659">
        <w:rPr>
          <w:rFonts w:ascii="Verdana" w:hAnsi="Verdana"/>
          <w:b/>
          <w:sz w:val="16"/>
          <w:szCs w:val="16"/>
        </w:rPr>
        <w:t xml:space="preserve"> </w:t>
      </w:r>
      <w:r w:rsidRPr="00817659">
        <w:rPr>
          <w:rFonts w:ascii="Verdana" w:hAnsi="Verdana"/>
          <w:sz w:val="16"/>
          <w:szCs w:val="16"/>
        </w:rPr>
        <w:t>y</w:t>
      </w:r>
      <w:r w:rsidRPr="00817659">
        <w:rPr>
          <w:rFonts w:ascii="Verdana" w:hAnsi="Verdana"/>
          <w:b/>
          <w:sz w:val="16"/>
          <w:szCs w:val="16"/>
        </w:rPr>
        <w:t xml:space="preserve"> </w:t>
      </w:r>
      <w:r w:rsidRPr="00817659">
        <w:rPr>
          <w:rStyle w:val="Strong"/>
          <w:rFonts w:ascii="Verdana" w:hAnsi="Verdana"/>
          <w:b w:val="0"/>
          <w:sz w:val="16"/>
          <w:szCs w:val="16"/>
          <w:shd w:val="clear" w:color="auto" w:fill="FFFFFF"/>
        </w:rPr>
        <w:t>Opinión Consultiva OC-21/14, párr. 55</w:t>
      </w:r>
      <w:r w:rsidRPr="00817659">
        <w:rPr>
          <w:rFonts w:ascii="Verdana" w:hAnsi="Verdana"/>
          <w:sz w:val="16"/>
          <w:szCs w:val="16"/>
        </w:rPr>
        <w:t>. En similar sentido, el Preámbulo de la Declaración Americana de los Derechos y Deberes del Hombre indica: “</w:t>
      </w:r>
      <w:r w:rsidRPr="00817659">
        <w:rPr>
          <w:rFonts w:ascii="Verdana" w:hAnsi="Verdana" w:cs="Tahoma"/>
          <w:sz w:val="16"/>
          <w:szCs w:val="16"/>
        </w:rPr>
        <w:t>[q]</w:t>
      </w:r>
      <w:proofErr w:type="spellStart"/>
      <w:r w:rsidRPr="00817659">
        <w:rPr>
          <w:rFonts w:ascii="Verdana" w:hAnsi="Verdana" w:cs="Tahoma"/>
          <w:sz w:val="16"/>
          <w:szCs w:val="16"/>
        </w:rPr>
        <w:t>ue</w:t>
      </w:r>
      <w:proofErr w:type="spellEnd"/>
      <w:r w:rsidRPr="00817659">
        <w:rPr>
          <w:rFonts w:ascii="Verdana" w:hAnsi="Verdana" w:cs="Tahoma"/>
          <w:sz w:val="16"/>
          <w:szCs w:val="16"/>
        </w:rPr>
        <w:t xml:space="preserve"> la protección internacional de los derechos del hombre debe ser guía principalísima del derecho americano en evolución</w:t>
      </w:r>
      <w:r w:rsidRPr="00817659">
        <w:rPr>
          <w:rFonts w:ascii="Verdana" w:hAnsi="Verdana"/>
          <w:sz w:val="16"/>
          <w:szCs w:val="16"/>
        </w:rPr>
        <w:t>”.</w:t>
      </w:r>
    </w:p>
  </w:footnote>
  <w:footnote w:id="22">
    <w:p w14:paraId="76D02737" w14:textId="09A67F3F" w:rsidR="009C3283" w:rsidRPr="00817659" w:rsidRDefault="009C3283" w:rsidP="00C24C47">
      <w:pPr>
        <w:tabs>
          <w:tab w:val="left" w:pos="567"/>
        </w:tabs>
        <w:spacing w:after="0" w:line="240" w:lineRule="auto"/>
        <w:jc w:val="both"/>
        <w:rPr>
          <w:rFonts w:ascii="Verdana" w:hAnsi="Verdana"/>
          <w:sz w:val="16"/>
          <w:szCs w:val="16"/>
          <w:lang w:val="es-CR"/>
        </w:rPr>
      </w:pPr>
      <w:r w:rsidRPr="00817659">
        <w:rPr>
          <w:rStyle w:val="FootnoteReference"/>
          <w:rFonts w:ascii="Verdana" w:hAnsi="Verdana"/>
          <w:sz w:val="16"/>
          <w:szCs w:val="16"/>
          <w:lang w:val="es-CR"/>
        </w:rPr>
        <w:footnoteRef/>
      </w:r>
      <w:r w:rsidRPr="00817659">
        <w:rPr>
          <w:rFonts w:ascii="Verdana" w:hAnsi="Verdana"/>
          <w:sz w:val="16"/>
          <w:szCs w:val="16"/>
          <w:lang w:val="es-CR"/>
        </w:rPr>
        <w:t xml:space="preserve"> </w:t>
      </w:r>
      <w:r w:rsidRPr="00817659">
        <w:rPr>
          <w:rFonts w:ascii="Verdana" w:eastAsia="Calibri" w:hAnsi="Verdana"/>
          <w:i/>
          <w:sz w:val="16"/>
          <w:szCs w:val="16"/>
          <w:lang w:val="es-CR"/>
        </w:rPr>
        <w:t xml:space="preserve">Cfr. </w:t>
      </w:r>
      <w:r w:rsidRPr="00817659">
        <w:rPr>
          <w:rFonts w:ascii="Verdana" w:hAnsi="Verdana"/>
          <w:sz w:val="16"/>
          <w:szCs w:val="16"/>
          <w:lang w:val="es-CR"/>
        </w:rPr>
        <w:t xml:space="preserve">Opinión Consultiva OC-16/99, </w:t>
      </w:r>
      <w:r w:rsidRPr="00817659">
        <w:rPr>
          <w:rFonts w:ascii="Verdana" w:eastAsia="Calibri" w:hAnsi="Verdana"/>
          <w:sz w:val="16"/>
          <w:szCs w:val="16"/>
          <w:lang w:val="es-CR"/>
        </w:rPr>
        <w:t>párr. 114</w:t>
      </w:r>
      <w:r w:rsidRPr="00817659">
        <w:rPr>
          <w:rFonts w:ascii="Verdana" w:hAnsi="Verdana"/>
          <w:sz w:val="16"/>
          <w:szCs w:val="16"/>
          <w:lang w:val="es-CR"/>
        </w:rPr>
        <w:t xml:space="preserve">, y </w:t>
      </w:r>
      <w:r w:rsidRPr="00817659">
        <w:rPr>
          <w:rStyle w:val="Strong"/>
          <w:rFonts w:ascii="Verdana" w:hAnsi="Verdana"/>
          <w:b w:val="0"/>
          <w:sz w:val="16"/>
          <w:szCs w:val="16"/>
          <w:shd w:val="clear" w:color="auto" w:fill="FFFFFF"/>
          <w:lang w:val="es-CR"/>
        </w:rPr>
        <w:t>Opinión Consultiva OC-21/14, párr. 55</w:t>
      </w:r>
      <w:r w:rsidRPr="00817659">
        <w:rPr>
          <w:rFonts w:ascii="Verdana" w:hAnsi="Verdana"/>
          <w:sz w:val="16"/>
          <w:szCs w:val="16"/>
          <w:lang w:val="es-CR"/>
        </w:rPr>
        <w:t>.</w:t>
      </w:r>
    </w:p>
  </w:footnote>
  <w:footnote w:id="23">
    <w:p w14:paraId="2EC1EFA0" w14:textId="094A6628" w:rsidR="009C3283" w:rsidRPr="00817659" w:rsidRDefault="009C3283" w:rsidP="00064313">
      <w:pPr>
        <w:pStyle w:val="FootnoteText"/>
        <w:jc w:val="both"/>
        <w:rPr>
          <w:rFonts w:ascii="Verdana" w:hAnsi="Verdana"/>
          <w:sz w:val="16"/>
          <w:szCs w:val="16"/>
          <w:lang w:val="es-ES"/>
        </w:rPr>
      </w:pPr>
      <w:r w:rsidRPr="00817659">
        <w:rPr>
          <w:rStyle w:val="FootnoteReference"/>
          <w:rFonts w:ascii="Verdana" w:hAnsi="Verdana"/>
          <w:sz w:val="16"/>
          <w:szCs w:val="16"/>
        </w:rPr>
        <w:footnoteRef/>
      </w:r>
      <w:r w:rsidRPr="00817659">
        <w:rPr>
          <w:rFonts w:ascii="Verdana" w:hAnsi="Verdana"/>
          <w:sz w:val="16"/>
          <w:szCs w:val="16"/>
        </w:rPr>
        <w:t xml:space="preserve"> </w:t>
      </w:r>
      <w:r w:rsidRPr="00817659">
        <w:rPr>
          <w:rFonts w:ascii="Verdana" w:hAnsi="Verdana"/>
          <w:sz w:val="16"/>
          <w:szCs w:val="16"/>
          <w:lang w:val="es-ES"/>
        </w:rPr>
        <w:t xml:space="preserve">Al respecto, la mutación constitucional hace referencia a “la transformación o modificación de un principio o precepto constitucional”. Humberto Sierra Porto, </w:t>
      </w:r>
      <w:r w:rsidRPr="00C24C47">
        <w:rPr>
          <w:rFonts w:ascii="Verdana" w:hAnsi="Verdana"/>
          <w:i/>
          <w:sz w:val="16"/>
          <w:szCs w:val="16"/>
          <w:lang w:val="es-ES"/>
        </w:rPr>
        <w:t>La reforma de la Constitución</w:t>
      </w:r>
      <w:r w:rsidRPr="00817659">
        <w:rPr>
          <w:rFonts w:ascii="Verdana" w:hAnsi="Verdana"/>
          <w:sz w:val="16"/>
          <w:szCs w:val="16"/>
          <w:lang w:val="es-ES"/>
        </w:rPr>
        <w:t>, Bogotá, Instituto de Estudios Constitucionales Carlos Restrepo Piedrahita, 1998, p. 33.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F3EA2"/>
    <w:multiLevelType w:val="hybridMultilevel"/>
    <w:tmpl w:val="D00E4DA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nsid w:val="145C3678"/>
    <w:multiLevelType w:val="hybridMultilevel"/>
    <w:tmpl w:val="AED814EE"/>
    <w:lvl w:ilvl="0" w:tplc="6804DF0E">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
    <w:nsid w:val="17F11BDB"/>
    <w:multiLevelType w:val="hybridMultilevel"/>
    <w:tmpl w:val="41D8623C"/>
    <w:lvl w:ilvl="0" w:tplc="0008A65A">
      <w:start w:val="1"/>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18552CD4"/>
    <w:multiLevelType w:val="hybridMultilevel"/>
    <w:tmpl w:val="619C319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197D7732"/>
    <w:multiLevelType w:val="hybridMultilevel"/>
    <w:tmpl w:val="7EAE6BCA"/>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nsid w:val="2DE31C3E"/>
    <w:multiLevelType w:val="hybridMultilevel"/>
    <w:tmpl w:val="DBEA5CB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32522554"/>
    <w:multiLevelType w:val="hybridMultilevel"/>
    <w:tmpl w:val="8A2A16CE"/>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7">
    <w:nsid w:val="37C00C97"/>
    <w:multiLevelType w:val="hybridMultilevel"/>
    <w:tmpl w:val="BF5A83F6"/>
    <w:lvl w:ilvl="0" w:tplc="7FECE2E4">
      <w:start w:val="1"/>
      <w:numFmt w:val="lowerLetter"/>
      <w:lvlText w:val="%1)"/>
      <w:lvlJc w:val="left"/>
      <w:pPr>
        <w:ind w:left="720" w:hanging="360"/>
      </w:pPr>
      <w:rPr>
        <w:rFonts w:cs="Arial"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nsid w:val="41C2035A"/>
    <w:multiLevelType w:val="hybridMultilevel"/>
    <w:tmpl w:val="A554FE56"/>
    <w:lvl w:ilvl="0" w:tplc="040A0015">
      <w:start w:val="1"/>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nsid w:val="503D70FF"/>
    <w:multiLevelType w:val="hybridMultilevel"/>
    <w:tmpl w:val="272C298E"/>
    <w:lvl w:ilvl="0" w:tplc="140A0015">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nsid w:val="53552C4B"/>
    <w:multiLevelType w:val="hybridMultilevel"/>
    <w:tmpl w:val="7EAE6BCA"/>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nsid w:val="58D357AA"/>
    <w:multiLevelType w:val="hybridMultilevel"/>
    <w:tmpl w:val="272C298E"/>
    <w:lvl w:ilvl="0" w:tplc="140A0015">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nsid w:val="7A1B238C"/>
    <w:multiLevelType w:val="hybridMultilevel"/>
    <w:tmpl w:val="AAC6DE50"/>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3">
    <w:nsid w:val="7AC369FF"/>
    <w:multiLevelType w:val="hybridMultilevel"/>
    <w:tmpl w:val="46F4788C"/>
    <w:lvl w:ilvl="0" w:tplc="9F701216">
      <w:start w:val="1"/>
      <w:numFmt w:val="decimal"/>
      <w:lvlText w:val="%1."/>
      <w:lvlJc w:val="left"/>
      <w:pPr>
        <w:ind w:left="1065" w:hanging="705"/>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nsid w:val="7C4A6625"/>
    <w:multiLevelType w:val="hybridMultilevel"/>
    <w:tmpl w:val="0C020AD2"/>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3"/>
  </w:num>
  <w:num w:numId="2">
    <w:abstractNumId w:val="5"/>
  </w:num>
  <w:num w:numId="3">
    <w:abstractNumId w:val="6"/>
  </w:num>
  <w:num w:numId="4">
    <w:abstractNumId w:val="1"/>
  </w:num>
  <w:num w:numId="5">
    <w:abstractNumId w:val="2"/>
  </w:num>
  <w:num w:numId="6">
    <w:abstractNumId w:val="12"/>
  </w:num>
  <w:num w:numId="7">
    <w:abstractNumId w:val="9"/>
  </w:num>
  <w:num w:numId="8">
    <w:abstractNumId w:val="13"/>
  </w:num>
  <w:num w:numId="9">
    <w:abstractNumId w:val="11"/>
  </w:num>
  <w:num w:numId="10">
    <w:abstractNumId w:val="14"/>
  </w:num>
  <w:num w:numId="11">
    <w:abstractNumId w:val="8"/>
  </w:num>
  <w:num w:numId="12">
    <w:abstractNumId w:val="0"/>
  </w:num>
  <w:num w:numId="13">
    <w:abstractNumId w:val="7"/>
  </w:num>
  <w:num w:numId="14">
    <w:abstractNumId w:val="10"/>
  </w:num>
  <w:num w:numId="1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mberto Antonio Sierra Porto">
    <w15:presenceInfo w15:providerId="Windows Live" w15:userId="31274b1d1720f6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838"/>
    <w:rsid w:val="00000A14"/>
    <w:rsid w:val="0001108A"/>
    <w:rsid w:val="00014500"/>
    <w:rsid w:val="00015D98"/>
    <w:rsid w:val="000224C1"/>
    <w:rsid w:val="0002261B"/>
    <w:rsid w:val="00022EF1"/>
    <w:rsid w:val="00047DC2"/>
    <w:rsid w:val="000524B9"/>
    <w:rsid w:val="000524C1"/>
    <w:rsid w:val="00063036"/>
    <w:rsid w:val="00063277"/>
    <w:rsid w:val="00064313"/>
    <w:rsid w:val="00065CA7"/>
    <w:rsid w:val="00093474"/>
    <w:rsid w:val="000B76AB"/>
    <w:rsid w:val="000C2523"/>
    <w:rsid w:val="000C5838"/>
    <w:rsid w:val="000D11E2"/>
    <w:rsid w:val="000D3FFA"/>
    <w:rsid w:val="000D6440"/>
    <w:rsid w:val="000E4B5D"/>
    <w:rsid w:val="000E5AE6"/>
    <w:rsid w:val="000E70EC"/>
    <w:rsid w:val="000F1334"/>
    <w:rsid w:val="000F20B9"/>
    <w:rsid w:val="000F22D0"/>
    <w:rsid w:val="000F5A5E"/>
    <w:rsid w:val="00112EB6"/>
    <w:rsid w:val="00113A4A"/>
    <w:rsid w:val="001570A2"/>
    <w:rsid w:val="00160965"/>
    <w:rsid w:val="001612F6"/>
    <w:rsid w:val="0017280B"/>
    <w:rsid w:val="0018201A"/>
    <w:rsid w:val="0018469B"/>
    <w:rsid w:val="00184D12"/>
    <w:rsid w:val="001871AB"/>
    <w:rsid w:val="0019088E"/>
    <w:rsid w:val="001965B1"/>
    <w:rsid w:val="001A1B6E"/>
    <w:rsid w:val="001A5B91"/>
    <w:rsid w:val="001F785D"/>
    <w:rsid w:val="00211707"/>
    <w:rsid w:val="00223415"/>
    <w:rsid w:val="0023149D"/>
    <w:rsid w:val="00233348"/>
    <w:rsid w:val="00234CA9"/>
    <w:rsid w:val="00246ED3"/>
    <w:rsid w:val="00253765"/>
    <w:rsid w:val="002544AA"/>
    <w:rsid w:val="00257BB6"/>
    <w:rsid w:val="00260A51"/>
    <w:rsid w:val="00266EBE"/>
    <w:rsid w:val="002725EF"/>
    <w:rsid w:val="00274C0B"/>
    <w:rsid w:val="002A57F6"/>
    <w:rsid w:val="002C41FE"/>
    <w:rsid w:val="002D14F0"/>
    <w:rsid w:val="002D1E71"/>
    <w:rsid w:val="002D3430"/>
    <w:rsid w:val="002E07F1"/>
    <w:rsid w:val="002E3667"/>
    <w:rsid w:val="002E7D3E"/>
    <w:rsid w:val="002F4F0B"/>
    <w:rsid w:val="002F5EEF"/>
    <w:rsid w:val="002F7C8D"/>
    <w:rsid w:val="002F7FAA"/>
    <w:rsid w:val="00301409"/>
    <w:rsid w:val="003052A4"/>
    <w:rsid w:val="00307100"/>
    <w:rsid w:val="00312AAF"/>
    <w:rsid w:val="0031374E"/>
    <w:rsid w:val="00313CAB"/>
    <w:rsid w:val="00330091"/>
    <w:rsid w:val="00330FD9"/>
    <w:rsid w:val="00337C5A"/>
    <w:rsid w:val="00345512"/>
    <w:rsid w:val="00346F34"/>
    <w:rsid w:val="003536CC"/>
    <w:rsid w:val="003612C7"/>
    <w:rsid w:val="00362AA9"/>
    <w:rsid w:val="00363C7A"/>
    <w:rsid w:val="00365715"/>
    <w:rsid w:val="00371B8F"/>
    <w:rsid w:val="00394541"/>
    <w:rsid w:val="003948F8"/>
    <w:rsid w:val="003951F6"/>
    <w:rsid w:val="003A4209"/>
    <w:rsid w:val="003A5F07"/>
    <w:rsid w:val="003A65D1"/>
    <w:rsid w:val="003B3982"/>
    <w:rsid w:val="003B6EF2"/>
    <w:rsid w:val="003C41D6"/>
    <w:rsid w:val="003C52A6"/>
    <w:rsid w:val="003D368C"/>
    <w:rsid w:val="003D59DD"/>
    <w:rsid w:val="003F577B"/>
    <w:rsid w:val="003F7B3E"/>
    <w:rsid w:val="004003D7"/>
    <w:rsid w:val="00404559"/>
    <w:rsid w:val="004066BD"/>
    <w:rsid w:val="00410605"/>
    <w:rsid w:val="0041103B"/>
    <w:rsid w:val="00421375"/>
    <w:rsid w:val="00431A15"/>
    <w:rsid w:val="00432097"/>
    <w:rsid w:val="00463F9D"/>
    <w:rsid w:val="00466C14"/>
    <w:rsid w:val="0047061E"/>
    <w:rsid w:val="00475FAC"/>
    <w:rsid w:val="0048185A"/>
    <w:rsid w:val="004831E0"/>
    <w:rsid w:val="00494A06"/>
    <w:rsid w:val="004A052B"/>
    <w:rsid w:val="004A24FF"/>
    <w:rsid w:val="004A7961"/>
    <w:rsid w:val="004D002C"/>
    <w:rsid w:val="004D391C"/>
    <w:rsid w:val="004F024E"/>
    <w:rsid w:val="004F6DCD"/>
    <w:rsid w:val="005041B6"/>
    <w:rsid w:val="0050517E"/>
    <w:rsid w:val="0053634B"/>
    <w:rsid w:val="00541E09"/>
    <w:rsid w:val="00544C3D"/>
    <w:rsid w:val="0055172E"/>
    <w:rsid w:val="0055180C"/>
    <w:rsid w:val="0058208A"/>
    <w:rsid w:val="005834FA"/>
    <w:rsid w:val="005910DC"/>
    <w:rsid w:val="00594D19"/>
    <w:rsid w:val="00595AF2"/>
    <w:rsid w:val="005A23A6"/>
    <w:rsid w:val="005A5289"/>
    <w:rsid w:val="005A7D73"/>
    <w:rsid w:val="005A7DDA"/>
    <w:rsid w:val="005A7F3E"/>
    <w:rsid w:val="005B157E"/>
    <w:rsid w:val="005C05E4"/>
    <w:rsid w:val="005C0E68"/>
    <w:rsid w:val="005C36F3"/>
    <w:rsid w:val="005D00FF"/>
    <w:rsid w:val="005D34B0"/>
    <w:rsid w:val="005D6C2C"/>
    <w:rsid w:val="005E07F2"/>
    <w:rsid w:val="005F3B15"/>
    <w:rsid w:val="005F74E2"/>
    <w:rsid w:val="00602958"/>
    <w:rsid w:val="00607ABD"/>
    <w:rsid w:val="00614B3B"/>
    <w:rsid w:val="006218C4"/>
    <w:rsid w:val="006414EC"/>
    <w:rsid w:val="00647F7C"/>
    <w:rsid w:val="006532EF"/>
    <w:rsid w:val="00660D63"/>
    <w:rsid w:val="00666AD9"/>
    <w:rsid w:val="0067476B"/>
    <w:rsid w:val="00680904"/>
    <w:rsid w:val="0068102B"/>
    <w:rsid w:val="00681FB5"/>
    <w:rsid w:val="00684104"/>
    <w:rsid w:val="006855EF"/>
    <w:rsid w:val="006A093F"/>
    <w:rsid w:val="006A2EBE"/>
    <w:rsid w:val="006A676B"/>
    <w:rsid w:val="006B0270"/>
    <w:rsid w:val="006B6FDF"/>
    <w:rsid w:val="006C00B3"/>
    <w:rsid w:val="006D031D"/>
    <w:rsid w:val="006D19A7"/>
    <w:rsid w:val="006D6349"/>
    <w:rsid w:val="006E6724"/>
    <w:rsid w:val="00704A92"/>
    <w:rsid w:val="00706B97"/>
    <w:rsid w:val="0071013C"/>
    <w:rsid w:val="007153F5"/>
    <w:rsid w:val="0073641D"/>
    <w:rsid w:val="007457AD"/>
    <w:rsid w:val="0074713D"/>
    <w:rsid w:val="00752BD9"/>
    <w:rsid w:val="00760EF6"/>
    <w:rsid w:val="00761BB3"/>
    <w:rsid w:val="00766FD5"/>
    <w:rsid w:val="00767458"/>
    <w:rsid w:val="0077529A"/>
    <w:rsid w:val="00776D3E"/>
    <w:rsid w:val="00777A0E"/>
    <w:rsid w:val="007905F2"/>
    <w:rsid w:val="00795E80"/>
    <w:rsid w:val="007A0CA8"/>
    <w:rsid w:val="007A7C22"/>
    <w:rsid w:val="007B4FCF"/>
    <w:rsid w:val="007C2A46"/>
    <w:rsid w:val="007C44A8"/>
    <w:rsid w:val="007D77EB"/>
    <w:rsid w:val="007D7DF3"/>
    <w:rsid w:val="007E0397"/>
    <w:rsid w:val="007E0F89"/>
    <w:rsid w:val="007E48B5"/>
    <w:rsid w:val="007F4197"/>
    <w:rsid w:val="00802AA2"/>
    <w:rsid w:val="008043CA"/>
    <w:rsid w:val="0080612E"/>
    <w:rsid w:val="00806ABF"/>
    <w:rsid w:val="00814E87"/>
    <w:rsid w:val="00817659"/>
    <w:rsid w:val="008248A6"/>
    <w:rsid w:val="00831122"/>
    <w:rsid w:val="0083150F"/>
    <w:rsid w:val="008333D3"/>
    <w:rsid w:val="0084165F"/>
    <w:rsid w:val="00857CD1"/>
    <w:rsid w:val="008613AB"/>
    <w:rsid w:val="008650FE"/>
    <w:rsid w:val="00870D74"/>
    <w:rsid w:val="00871166"/>
    <w:rsid w:val="00875275"/>
    <w:rsid w:val="00875853"/>
    <w:rsid w:val="0087654E"/>
    <w:rsid w:val="00880C20"/>
    <w:rsid w:val="00883977"/>
    <w:rsid w:val="00892DFE"/>
    <w:rsid w:val="008A1105"/>
    <w:rsid w:val="008B2A50"/>
    <w:rsid w:val="008C0050"/>
    <w:rsid w:val="008C4355"/>
    <w:rsid w:val="008C6799"/>
    <w:rsid w:val="008E0CE6"/>
    <w:rsid w:val="008E1172"/>
    <w:rsid w:val="008E231D"/>
    <w:rsid w:val="008E3AE0"/>
    <w:rsid w:val="008E47DC"/>
    <w:rsid w:val="009012C2"/>
    <w:rsid w:val="00920931"/>
    <w:rsid w:val="00933264"/>
    <w:rsid w:val="00940F92"/>
    <w:rsid w:val="00941E19"/>
    <w:rsid w:val="00943EEC"/>
    <w:rsid w:val="009602BC"/>
    <w:rsid w:val="00961A8C"/>
    <w:rsid w:val="00966D31"/>
    <w:rsid w:val="00997420"/>
    <w:rsid w:val="009C3283"/>
    <w:rsid w:val="009E281B"/>
    <w:rsid w:val="009E5E69"/>
    <w:rsid w:val="00A17F47"/>
    <w:rsid w:val="00A25074"/>
    <w:rsid w:val="00A32606"/>
    <w:rsid w:val="00A35003"/>
    <w:rsid w:val="00A40E42"/>
    <w:rsid w:val="00A45283"/>
    <w:rsid w:val="00A46D63"/>
    <w:rsid w:val="00A55123"/>
    <w:rsid w:val="00A567D2"/>
    <w:rsid w:val="00A603A6"/>
    <w:rsid w:val="00A71050"/>
    <w:rsid w:val="00A73E82"/>
    <w:rsid w:val="00A82983"/>
    <w:rsid w:val="00A8332C"/>
    <w:rsid w:val="00AA3297"/>
    <w:rsid w:val="00AB09C7"/>
    <w:rsid w:val="00AB3479"/>
    <w:rsid w:val="00AB625F"/>
    <w:rsid w:val="00AC4D06"/>
    <w:rsid w:val="00AE23EF"/>
    <w:rsid w:val="00AF792A"/>
    <w:rsid w:val="00B2596A"/>
    <w:rsid w:val="00B27BDC"/>
    <w:rsid w:val="00B53DC5"/>
    <w:rsid w:val="00B54B55"/>
    <w:rsid w:val="00B74D55"/>
    <w:rsid w:val="00B8330E"/>
    <w:rsid w:val="00B902BF"/>
    <w:rsid w:val="00B911A3"/>
    <w:rsid w:val="00BA3F18"/>
    <w:rsid w:val="00BA5E4D"/>
    <w:rsid w:val="00BC3822"/>
    <w:rsid w:val="00BC550B"/>
    <w:rsid w:val="00BD4DCB"/>
    <w:rsid w:val="00BD765E"/>
    <w:rsid w:val="00BE212E"/>
    <w:rsid w:val="00BE2E6F"/>
    <w:rsid w:val="00BF128B"/>
    <w:rsid w:val="00C06104"/>
    <w:rsid w:val="00C24C47"/>
    <w:rsid w:val="00C27444"/>
    <w:rsid w:val="00C65418"/>
    <w:rsid w:val="00C669C0"/>
    <w:rsid w:val="00C67BDF"/>
    <w:rsid w:val="00C7635F"/>
    <w:rsid w:val="00C91C2E"/>
    <w:rsid w:val="00C92E0D"/>
    <w:rsid w:val="00CA2D27"/>
    <w:rsid w:val="00CA603D"/>
    <w:rsid w:val="00CB346A"/>
    <w:rsid w:val="00CB59B1"/>
    <w:rsid w:val="00CD5D87"/>
    <w:rsid w:val="00CE5C0E"/>
    <w:rsid w:val="00CF1E18"/>
    <w:rsid w:val="00D01BB6"/>
    <w:rsid w:val="00D13963"/>
    <w:rsid w:val="00D14453"/>
    <w:rsid w:val="00D309D6"/>
    <w:rsid w:val="00D656D0"/>
    <w:rsid w:val="00D81F2C"/>
    <w:rsid w:val="00D8788A"/>
    <w:rsid w:val="00D96A65"/>
    <w:rsid w:val="00DA4C3C"/>
    <w:rsid w:val="00DB39DA"/>
    <w:rsid w:val="00DB5A33"/>
    <w:rsid w:val="00DB676C"/>
    <w:rsid w:val="00DD0DB6"/>
    <w:rsid w:val="00DD3D1D"/>
    <w:rsid w:val="00DE548D"/>
    <w:rsid w:val="00DF00FF"/>
    <w:rsid w:val="00DF10A7"/>
    <w:rsid w:val="00DF5002"/>
    <w:rsid w:val="00E34030"/>
    <w:rsid w:val="00E543F3"/>
    <w:rsid w:val="00E72339"/>
    <w:rsid w:val="00E979DE"/>
    <w:rsid w:val="00EA4677"/>
    <w:rsid w:val="00EA55CB"/>
    <w:rsid w:val="00EB5196"/>
    <w:rsid w:val="00EE19CF"/>
    <w:rsid w:val="00EF031C"/>
    <w:rsid w:val="00F034BC"/>
    <w:rsid w:val="00F31EBF"/>
    <w:rsid w:val="00F418AE"/>
    <w:rsid w:val="00F41A17"/>
    <w:rsid w:val="00F4288D"/>
    <w:rsid w:val="00F64356"/>
    <w:rsid w:val="00F72D9C"/>
    <w:rsid w:val="00F80470"/>
    <w:rsid w:val="00F90620"/>
    <w:rsid w:val="00F92972"/>
    <w:rsid w:val="00FA4BB3"/>
    <w:rsid w:val="00FD2798"/>
    <w:rsid w:val="00FE4EA8"/>
    <w:rsid w:val="00FE68DC"/>
    <w:rsid w:val="00FF21C0"/>
    <w:rsid w:val="00FF32E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21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5838"/>
    <w:pPr>
      <w:ind w:left="720"/>
      <w:contextualSpacing/>
    </w:pPr>
  </w:style>
  <w:style w:type="paragraph" w:styleId="FootnoteText">
    <w:name w:val="footnote text"/>
    <w:aliases w:val="Footnote Text Char Char Char Char Char,Footnote Text Char Char Char Char,Footnote reference,FA Fu,Footnote Text Char Char Char,Footnote Text Cha,FA Fußnotentext,FA Fuﬂnotentext,Footnote Text Char Char,FA Fu?notente,Ca,FA Fu?notentext,C,ft"/>
    <w:basedOn w:val="Normal"/>
    <w:link w:val="FootnoteTextChar"/>
    <w:unhideWhenUsed/>
    <w:qFormat/>
    <w:rsid w:val="00C67BDF"/>
    <w:pPr>
      <w:spacing w:after="0" w:line="240" w:lineRule="auto"/>
    </w:pPr>
    <w:rPr>
      <w:sz w:val="20"/>
      <w:szCs w:val="20"/>
      <w:lang w:val="es-MX"/>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C Char"/>
    <w:basedOn w:val="DefaultParagraphFont"/>
    <w:link w:val="FootnoteText"/>
    <w:uiPriority w:val="99"/>
    <w:rsid w:val="00C67BDF"/>
    <w:rPr>
      <w:sz w:val="20"/>
      <w:szCs w:val="20"/>
      <w:lang w:val="es-MX"/>
    </w:rPr>
  </w:style>
  <w:style w:type="character" w:styleId="FootnoteReference">
    <w:name w:val="footnote reference"/>
    <w:aliases w:val="Appel note de bas de page,Footnotes refss,Footnote number,referencia nota al pie,BVI fnr,f,4_G,16 Point,Superscript 6 Point,Texto nota al pie,Footnote Reference Char3,Footnote Reference Char1 Char,Ref. de nota al,Ref. de nota al pi"/>
    <w:basedOn w:val="DefaultParagraphFont"/>
    <w:uiPriority w:val="99"/>
    <w:unhideWhenUsed/>
    <w:qFormat/>
    <w:rsid w:val="00C67BDF"/>
    <w:rPr>
      <w:vertAlign w:val="superscript"/>
    </w:rPr>
  </w:style>
  <w:style w:type="character" w:styleId="Strong">
    <w:name w:val="Strong"/>
    <w:uiPriority w:val="22"/>
    <w:qFormat/>
    <w:rsid w:val="00C67BDF"/>
    <w:rPr>
      <w:b/>
      <w:bCs/>
    </w:rPr>
  </w:style>
  <w:style w:type="paragraph" w:styleId="NormalWeb">
    <w:name w:val="Normal (Web)"/>
    <w:aliases w:val="Normal (Web) Char1,Normal (Web) Char Char,Normal (Web) Char1 Char,Normal (Web) Char Char Char"/>
    <w:basedOn w:val="Normal"/>
    <w:uiPriority w:val="99"/>
    <w:unhideWhenUsed/>
    <w:rsid w:val="00BE212E"/>
    <w:pPr>
      <w:spacing w:before="100" w:beforeAutospacing="1" w:after="100" w:afterAutospacing="1" w:line="240" w:lineRule="auto"/>
    </w:pPr>
    <w:rPr>
      <w:rFonts w:ascii="Times New Roman" w:eastAsia="Times New Roman" w:hAnsi="Times New Roman" w:cs="Times New Roman"/>
      <w:sz w:val="24"/>
      <w:szCs w:val="24"/>
      <w:lang w:val="es-CR" w:eastAsia="es-CR"/>
    </w:rPr>
  </w:style>
  <w:style w:type="character" w:customStyle="1" w:styleId="apple-converted-space">
    <w:name w:val="apple-converted-space"/>
    <w:basedOn w:val="DefaultParagraphFont"/>
    <w:rsid w:val="00943EEC"/>
  </w:style>
  <w:style w:type="paragraph" w:styleId="Footer">
    <w:name w:val="footer"/>
    <w:basedOn w:val="Normal"/>
    <w:link w:val="FooterChar"/>
    <w:uiPriority w:val="99"/>
    <w:unhideWhenUsed/>
    <w:rsid w:val="004A052B"/>
    <w:pPr>
      <w:tabs>
        <w:tab w:val="center" w:pos="4252"/>
        <w:tab w:val="right" w:pos="8504"/>
      </w:tabs>
      <w:spacing w:after="0" w:line="240" w:lineRule="auto"/>
    </w:pPr>
  </w:style>
  <w:style w:type="character" w:customStyle="1" w:styleId="FooterChar">
    <w:name w:val="Footer Char"/>
    <w:basedOn w:val="DefaultParagraphFont"/>
    <w:link w:val="Footer"/>
    <w:uiPriority w:val="99"/>
    <w:rsid w:val="004A052B"/>
  </w:style>
  <w:style w:type="character" w:styleId="PageNumber">
    <w:name w:val="page number"/>
    <w:basedOn w:val="DefaultParagraphFont"/>
    <w:uiPriority w:val="99"/>
    <w:semiHidden/>
    <w:unhideWhenUsed/>
    <w:rsid w:val="004A052B"/>
  </w:style>
  <w:style w:type="character" w:styleId="CommentReference">
    <w:name w:val="annotation reference"/>
    <w:basedOn w:val="DefaultParagraphFont"/>
    <w:uiPriority w:val="99"/>
    <w:semiHidden/>
    <w:unhideWhenUsed/>
    <w:rsid w:val="00997420"/>
    <w:rPr>
      <w:sz w:val="16"/>
      <w:szCs w:val="16"/>
    </w:rPr>
  </w:style>
  <w:style w:type="paragraph" w:styleId="CommentText">
    <w:name w:val="annotation text"/>
    <w:basedOn w:val="Normal"/>
    <w:link w:val="CommentTextChar"/>
    <w:uiPriority w:val="99"/>
    <w:semiHidden/>
    <w:unhideWhenUsed/>
    <w:rsid w:val="00997420"/>
    <w:pPr>
      <w:spacing w:line="240" w:lineRule="auto"/>
    </w:pPr>
    <w:rPr>
      <w:sz w:val="20"/>
      <w:szCs w:val="20"/>
    </w:rPr>
  </w:style>
  <w:style w:type="character" w:customStyle="1" w:styleId="CommentTextChar">
    <w:name w:val="Comment Text Char"/>
    <w:basedOn w:val="DefaultParagraphFont"/>
    <w:link w:val="CommentText"/>
    <w:uiPriority w:val="99"/>
    <w:semiHidden/>
    <w:rsid w:val="00997420"/>
    <w:rPr>
      <w:sz w:val="20"/>
      <w:szCs w:val="20"/>
    </w:rPr>
  </w:style>
  <w:style w:type="paragraph" w:styleId="CommentSubject">
    <w:name w:val="annotation subject"/>
    <w:basedOn w:val="CommentText"/>
    <w:next w:val="CommentText"/>
    <w:link w:val="CommentSubjectChar"/>
    <w:uiPriority w:val="99"/>
    <w:semiHidden/>
    <w:unhideWhenUsed/>
    <w:rsid w:val="00997420"/>
    <w:rPr>
      <w:b/>
      <w:bCs/>
    </w:rPr>
  </w:style>
  <w:style w:type="character" w:customStyle="1" w:styleId="CommentSubjectChar">
    <w:name w:val="Comment Subject Char"/>
    <w:basedOn w:val="CommentTextChar"/>
    <w:link w:val="CommentSubject"/>
    <w:uiPriority w:val="99"/>
    <w:semiHidden/>
    <w:rsid w:val="00997420"/>
    <w:rPr>
      <w:b/>
      <w:bCs/>
      <w:sz w:val="20"/>
      <w:szCs w:val="20"/>
    </w:rPr>
  </w:style>
  <w:style w:type="paragraph" w:styleId="BalloonText">
    <w:name w:val="Balloon Text"/>
    <w:basedOn w:val="Normal"/>
    <w:link w:val="BalloonTextChar"/>
    <w:uiPriority w:val="99"/>
    <w:semiHidden/>
    <w:unhideWhenUsed/>
    <w:rsid w:val="009974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7420"/>
    <w:rPr>
      <w:rFonts w:ascii="Segoe UI" w:hAnsi="Segoe UI" w:cs="Segoe UI"/>
      <w:sz w:val="18"/>
      <w:szCs w:val="18"/>
    </w:rPr>
  </w:style>
  <w:style w:type="character" w:styleId="Hyperlink">
    <w:name w:val="Hyperlink"/>
    <w:basedOn w:val="DefaultParagraphFont"/>
    <w:uiPriority w:val="99"/>
    <w:unhideWhenUsed/>
    <w:rsid w:val="00B74D55"/>
    <w:rPr>
      <w:color w:val="0000FF" w:themeColor="hyperlink"/>
      <w:u w:val="single"/>
    </w:rPr>
  </w:style>
  <w:style w:type="character" w:styleId="FollowedHyperlink">
    <w:name w:val="FollowedHyperlink"/>
    <w:basedOn w:val="DefaultParagraphFont"/>
    <w:uiPriority w:val="99"/>
    <w:semiHidden/>
    <w:unhideWhenUsed/>
    <w:rsid w:val="00B74D55"/>
    <w:rPr>
      <w:color w:val="800080" w:themeColor="followedHyperlink"/>
      <w:u w:val="single"/>
    </w:rPr>
  </w:style>
  <w:style w:type="paragraph" w:styleId="Header">
    <w:name w:val="header"/>
    <w:basedOn w:val="Normal"/>
    <w:link w:val="HeaderChar"/>
    <w:uiPriority w:val="99"/>
    <w:unhideWhenUsed/>
    <w:rsid w:val="004F024E"/>
    <w:pPr>
      <w:tabs>
        <w:tab w:val="center" w:pos="4419"/>
        <w:tab w:val="right" w:pos="8838"/>
      </w:tabs>
      <w:spacing w:after="0" w:line="240" w:lineRule="auto"/>
    </w:pPr>
  </w:style>
  <w:style w:type="character" w:customStyle="1" w:styleId="HeaderChar">
    <w:name w:val="Header Char"/>
    <w:basedOn w:val="DefaultParagraphFont"/>
    <w:link w:val="Header"/>
    <w:uiPriority w:val="99"/>
    <w:rsid w:val="004F02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5838"/>
    <w:pPr>
      <w:ind w:left="720"/>
      <w:contextualSpacing/>
    </w:pPr>
  </w:style>
  <w:style w:type="paragraph" w:styleId="FootnoteText">
    <w:name w:val="footnote text"/>
    <w:aliases w:val="Footnote Text Char Char Char Char Char,Footnote Text Char Char Char Char,Footnote reference,FA Fu,Footnote Text Char Char Char,Footnote Text Cha,FA Fußnotentext,FA Fuﬂnotentext,Footnote Text Char Char,FA Fu?notente,Ca,FA Fu?notentext,C,ft"/>
    <w:basedOn w:val="Normal"/>
    <w:link w:val="FootnoteTextChar"/>
    <w:unhideWhenUsed/>
    <w:qFormat/>
    <w:rsid w:val="00C67BDF"/>
    <w:pPr>
      <w:spacing w:after="0" w:line="240" w:lineRule="auto"/>
    </w:pPr>
    <w:rPr>
      <w:sz w:val="20"/>
      <w:szCs w:val="20"/>
      <w:lang w:val="es-MX"/>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C Char"/>
    <w:basedOn w:val="DefaultParagraphFont"/>
    <w:link w:val="FootnoteText"/>
    <w:uiPriority w:val="99"/>
    <w:rsid w:val="00C67BDF"/>
    <w:rPr>
      <w:sz w:val="20"/>
      <w:szCs w:val="20"/>
      <w:lang w:val="es-MX"/>
    </w:rPr>
  </w:style>
  <w:style w:type="character" w:styleId="FootnoteReference">
    <w:name w:val="footnote reference"/>
    <w:aliases w:val="Appel note de bas de page,Footnotes refss,Footnote number,referencia nota al pie,BVI fnr,f,4_G,16 Point,Superscript 6 Point,Texto nota al pie,Footnote Reference Char3,Footnote Reference Char1 Char,Ref. de nota al,Ref. de nota al pi"/>
    <w:basedOn w:val="DefaultParagraphFont"/>
    <w:uiPriority w:val="99"/>
    <w:unhideWhenUsed/>
    <w:qFormat/>
    <w:rsid w:val="00C67BDF"/>
    <w:rPr>
      <w:vertAlign w:val="superscript"/>
    </w:rPr>
  </w:style>
  <w:style w:type="character" w:styleId="Strong">
    <w:name w:val="Strong"/>
    <w:uiPriority w:val="22"/>
    <w:qFormat/>
    <w:rsid w:val="00C67BDF"/>
    <w:rPr>
      <w:b/>
      <w:bCs/>
    </w:rPr>
  </w:style>
  <w:style w:type="paragraph" w:styleId="NormalWeb">
    <w:name w:val="Normal (Web)"/>
    <w:aliases w:val="Normal (Web) Char1,Normal (Web) Char Char,Normal (Web) Char1 Char,Normal (Web) Char Char Char"/>
    <w:basedOn w:val="Normal"/>
    <w:uiPriority w:val="99"/>
    <w:unhideWhenUsed/>
    <w:rsid w:val="00BE212E"/>
    <w:pPr>
      <w:spacing w:before="100" w:beforeAutospacing="1" w:after="100" w:afterAutospacing="1" w:line="240" w:lineRule="auto"/>
    </w:pPr>
    <w:rPr>
      <w:rFonts w:ascii="Times New Roman" w:eastAsia="Times New Roman" w:hAnsi="Times New Roman" w:cs="Times New Roman"/>
      <w:sz w:val="24"/>
      <w:szCs w:val="24"/>
      <w:lang w:val="es-CR" w:eastAsia="es-CR"/>
    </w:rPr>
  </w:style>
  <w:style w:type="character" w:customStyle="1" w:styleId="apple-converted-space">
    <w:name w:val="apple-converted-space"/>
    <w:basedOn w:val="DefaultParagraphFont"/>
    <w:rsid w:val="00943EEC"/>
  </w:style>
  <w:style w:type="paragraph" w:styleId="Footer">
    <w:name w:val="footer"/>
    <w:basedOn w:val="Normal"/>
    <w:link w:val="FooterChar"/>
    <w:uiPriority w:val="99"/>
    <w:unhideWhenUsed/>
    <w:rsid w:val="004A052B"/>
    <w:pPr>
      <w:tabs>
        <w:tab w:val="center" w:pos="4252"/>
        <w:tab w:val="right" w:pos="8504"/>
      </w:tabs>
      <w:spacing w:after="0" w:line="240" w:lineRule="auto"/>
    </w:pPr>
  </w:style>
  <w:style w:type="character" w:customStyle="1" w:styleId="FooterChar">
    <w:name w:val="Footer Char"/>
    <w:basedOn w:val="DefaultParagraphFont"/>
    <w:link w:val="Footer"/>
    <w:uiPriority w:val="99"/>
    <w:rsid w:val="004A052B"/>
  </w:style>
  <w:style w:type="character" w:styleId="PageNumber">
    <w:name w:val="page number"/>
    <w:basedOn w:val="DefaultParagraphFont"/>
    <w:uiPriority w:val="99"/>
    <w:semiHidden/>
    <w:unhideWhenUsed/>
    <w:rsid w:val="004A052B"/>
  </w:style>
  <w:style w:type="character" w:styleId="CommentReference">
    <w:name w:val="annotation reference"/>
    <w:basedOn w:val="DefaultParagraphFont"/>
    <w:uiPriority w:val="99"/>
    <w:semiHidden/>
    <w:unhideWhenUsed/>
    <w:rsid w:val="00997420"/>
    <w:rPr>
      <w:sz w:val="16"/>
      <w:szCs w:val="16"/>
    </w:rPr>
  </w:style>
  <w:style w:type="paragraph" w:styleId="CommentText">
    <w:name w:val="annotation text"/>
    <w:basedOn w:val="Normal"/>
    <w:link w:val="CommentTextChar"/>
    <w:uiPriority w:val="99"/>
    <w:semiHidden/>
    <w:unhideWhenUsed/>
    <w:rsid w:val="00997420"/>
    <w:pPr>
      <w:spacing w:line="240" w:lineRule="auto"/>
    </w:pPr>
    <w:rPr>
      <w:sz w:val="20"/>
      <w:szCs w:val="20"/>
    </w:rPr>
  </w:style>
  <w:style w:type="character" w:customStyle="1" w:styleId="CommentTextChar">
    <w:name w:val="Comment Text Char"/>
    <w:basedOn w:val="DefaultParagraphFont"/>
    <w:link w:val="CommentText"/>
    <w:uiPriority w:val="99"/>
    <w:semiHidden/>
    <w:rsid w:val="00997420"/>
    <w:rPr>
      <w:sz w:val="20"/>
      <w:szCs w:val="20"/>
    </w:rPr>
  </w:style>
  <w:style w:type="paragraph" w:styleId="CommentSubject">
    <w:name w:val="annotation subject"/>
    <w:basedOn w:val="CommentText"/>
    <w:next w:val="CommentText"/>
    <w:link w:val="CommentSubjectChar"/>
    <w:uiPriority w:val="99"/>
    <w:semiHidden/>
    <w:unhideWhenUsed/>
    <w:rsid w:val="00997420"/>
    <w:rPr>
      <w:b/>
      <w:bCs/>
    </w:rPr>
  </w:style>
  <w:style w:type="character" w:customStyle="1" w:styleId="CommentSubjectChar">
    <w:name w:val="Comment Subject Char"/>
    <w:basedOn w:val="CommentTextChar"/>
    <w:link w:val="CommentSubject"/>
    <w:uiPriority w:val="99"/>
    <w:semiHidden/>
    <w:rsid w:val="00997420"/>
    <w:rPr>
      <w:b/>
      <w:bCs/>
      <w:sz w:val="20"/>
      <w:szCs w:val="20"/>
    </w:rPr>
  </w:style>
  <w:style w:type="paragraph" w:styleId="BalloonText">
    <w:name w:val="Balloon Text"/>
    <w:basedOn w:val="Normal"/>
    <w:link w:val="BalloonTextChar"/>
    <w:uiPriority w:val="99"/>
    <w:semiHidden/>
    <w:unhideWhenUsed/>
    <w:rsid w:val="009974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7420"/>
    <w:rPr>
      <w:rFonts w:ascii="Segoe UI" w:hAnsi="Segoe UI" w:cs="Segoe UI"/>
      <w:sz w:val="18"/>
      <w:szCs w:val="18"/>
    </w:rPr>
  </w:style>
  <w:style w:type="character" w:styleId="Hyperlink">
    <w:name w:val="Hyperlink"/>
    <w:basedOn w:val="DefaultParagraphFont"/>
    <w:uiPriority w:val="99"/>
    <w:unhideWhenUsed/>
    <w:rsid w:val="00B74D55"/>
    <w:rPr>
      <w:color w:val="0000FF" w:themeColor="hyperlink"/>
      <w:u w:val="single"/>
    </w:rPr>
  </w:style>
  <w:style w:type="character" w:styleId="FollowedHyperlink">
    <w:name w:val="FollowedHyperlink"/>
    <w:basedOn w:val="DefaultParagraphFont"/>
    <w:uiPriority w:val="99"/>
    <w:semiHidden/>
    <w:unhideWhenUsed/>
    <w:rsid w:val="00B74D55"/>
    <w:rPr>
      <w:color w:val="800080" w:themeColor="followedHyperlink"/>
      <w:u w:val="single"/>
    </w:rPr>
  </w:style>
  <w:style w:type="paragraph" w:styleId="Header">
    <w:name w:val="header"/>
    <w:basedOn w:val="Normal"/>
    <w:link w:val="HeaderChar"/>
    <w:uiPriority w:val="99"/>
    <w:unhideWhenUsed/>
    <w:rsid w:val="004F024E"/>
    <w:pPr>
      <w:tabs>
        <w:tab w:val="center" w:pos="4419"/>
        <w:tab w:val="right" w:pos="8838"/>
      </w:tabs>
      <w:spacing w:after="0" w:line="240" w:lineRule="auto"/>
    </w:pPr>
  </w:style>
  <w:style w:type="character" w:customStyle="1" w:styleId="HeaderChar">
    <w:name w:val="Header Char"/>
    <w:basedOn w:val="DefaultParagraphFont"/>
    <w:link w:val="Header"/>
    <w:uiPriority w:val="99"/>
    <w:rsid w:val="004F02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878473">
      <w:bodyDiv w:val="1"/>
      <w:marLeft w:val="0"/>
      <w:marRight w:val="0"/>
      <w:marTop w:val="0"/>
      <w:marBottom w:val="0"/>
      <w:divBdr>
        <w:top w:val="none" w:sz="0" w:space="0" w:color="auto"/>
        <w:left w:val="none" w:sz="0" w:space="0" w:color="auto"/>
        <w:bottom w:val="none" w:sz="0" w:space="0" w:color="auto"/>
        <w:right w:val="none" w:sz="0" w:space="0" w:color="auto"/>
      </w:divBdr>
    </w:div>
    <w:div w:id="856040658">
      <w:bodyDiv w:val="1"/>
      <w:marLeft w:val="0"/>
      <w:marRight w:val="0"/>
      <w:marTop w:val="0"/>
      <w:marBottom w:val="0"/>
      <w:divBdr>
        <w:top w:val="none" w:sz="0" w:space="0" w:color="auto"/>
        <w:left w:val="none" w:sz="0" w:space="0" w:color="auto"/>
        <w:bottom w:val="none" w:sz="0" w:space="0" w:color="auto"/>
        <w:right w:val="none" w:sz="0" w:space="0" w:color="auto"/>
      </w:divBdr>
    </w:div>
    <w:div w:id="1667437083">
      <w:bodyDiv w:val="1"/>
      <w:marLeft w:val="0"/>
      <w:marRight w:val="0"/>
      <w:marTop w:val="0"/>
      <w:marBottom w:val="0"/>
      <w:divBdr>
        <w:top w:val="none" w:sz="0" w:space="0" w:color="auto"/>
        <w:left w:val="none" w:sz="0" w:space="0" w:color="auto"/>
        <w:bottom w:val="none" w:sz="0" w:space="0" w:color="auto"/>
        <w:right w:val="none" w:sz="0" w:space="0" w:color="auto"/>
      </w:divBdr>
    </w:div>
    <w:div w:id="1945845858">
      <w:bodyDiv w:val="1"/>
      <w:marLeft w:val="0"/>
      <w:marRight w:val="0"/>
      <w:marTop w:val="0"/>
      <w:marBottom w:val="0"/>
      <w:divBdr>
        <w:top w:val="none" w:sz="0" w:space="0" w:color="auto"/>
        <w:left w:val="none" w:sz="0" w:space="0" w:color="auto"/>
        <w:bottom w:val="none" w:sz="0" w:space="0" w:color="auto"/>
        <w:right w:val="none" w:sz="0" w:space="0" w:color="auto"/>
      </w:divBdr>
    </w:div>
    <w:div w:id="1987471580">
      <w:bodyDiv w:val="1"/>
      <w:marLeft w:val="0"/>
      <w:marRight w:val="0"/>
      <w:marTop w:val="0"/>
      <w:marBottom w:val="0"/>
      <w:divBdr>
        <w:top w:val="none" w:sz="0" w:space="0" w:color="auto"/>
        <w:left w:val="none" w:sz="0" w:space="0" w:color="auto"/>
        <w:bottom w:val="none" w:sz="0" w:space="0" w:color="auto"/>
        <w:right w:val="none" w:sz="0" w:space="0" w:color="auto"/>
      </w:divBdr>
    </w:div>
    <w:div w:id="2087870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15BEBE2BF87F40A76A9C926EBECC0C" ma:contentTypeVersion="0" ma:contentTypeDescription="Create a new document." ma:contentTypeScope="" ma:versionID="ad8069bb81a7b5dc5c766ad6aa2648bb">
  <xsd:schema xmlns:xsd="http://www.w3.org/2001/XMLSchema" xmlns:xs="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918334D-C3D1-4386-9FBE-F122F509C2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EEBAC62-0FD6-4947-AFCB-88F57AEA5564}">
  <ds:schemaRefs>
    <ds:schemaRef ds:uri="http://schemas.microsoft.com/sharepoint/v3/contenttype/forms"/>
  </ds:schemaRefs>
</ds:datastoreItem>
</file>

<file path=customXml/itemProps3.xml><?xml version="1.0" encoding="utf-8"?>
<ds:datastoreItem xmlns:ds="http://schemas.openxmlformats.org/officeDocument/2006/customXml" ds:itemID="{0FE24B4A-B7AB-4461-9C50-E6B2FF8527B2}">
  <ds:schemaRefs>
    <ds:schemaRef ds:uri="http://purl.org/dc/elements/1.1/"/>
    <ds:schemaRef ds:uri="http://schemas.microsoft.com/office/2006/metadata/properties"/>
    <ds:schemaRef ds:uri="http://schemas.microsoft.com/office/infopath/2007/PartnerControls"/>
    <ds:schemaRef ds:uri="http://schemas.microsoft.com/office/2006/documentManagement/types"/>
    <ds:schemaRef ds:uri="http://purl.org/dc/dcmitype/"/>
    <ds:schemaRef ds:uri="http://purl.org/dc/term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0027299C-1B93-4DE9-894F-EC4DBE76D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5348</Words>
  <Characters>27811</Characters>
  <Application>Microsoft Office Word</Application>
  <DocSecurity>0</DocSecurity>
  <Lines>479</Lines>
  <Paragraphs>90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33069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Ana Rita Ramirez</cp:lastModifiedBy>
  <cp:revision>3</cp:revision>
  <cp:lastPrinted>2017-11-13T21:12:00Z</cp:lastPrinted>
  <dcterms:created xsi:type="dcterms:W3CDTF">2017-11-14T22:19:00Z</dcterms:created>
  <dcterms:modified xsi:type="dcterms:W3CDTF">2017-11-15T00:38:00Z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0x010100D015BEBE2BF87F40A76A9C926EBECC0C</vt:lpwstr>
  </property>
</Properties>
</file>