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E3E28" w14:textId="77777777" w:rsidR="001B3B0A" w:rsidRDefault="001B3B0A" w:rsidP="00017D5A">
      <w:pPr>
        <w:jc w:val="center"/>
        <w:rPr>
          <w:rFonts w:ascii="Verdana" w:hAnsi="Verdana"/>
          <w:b/>
        </w:rPr>
      </w:pPr>
    </w:p>
    <w:p w14:paraId="3E9357B4" w14:textId="77777777" w:rsidR="001B3B0A" w:rsidRDefault="001B3B0A" w:rsidP="00017D5A">
      <w:pPr>
        <w:jc w:val="center"/>
        <w:rPr>
          <w:rFonts w:ascii="Verdana" w:hAnsi="Verdana"/>
          <w:b/>
        </w:rPr>
      </w:pPr>
    </w:p>
    <w:p w14:paraId="35985FB2" w14:textId="77777777" w:rsidR="001B3B0A" w:rsidRDefault="001B3B0A" w:rsidP="00017D5A">
      <w:pPr>
        <w:jc w:val="center"/>
        <w:rPr>
          <w:rFonts w:ascii="Verdana" w:hAnsi="Verdana"/>
          <w:b/>
        </w:rPr>
      </w:pPr>
    </w:p>
    <w:p w14:paraId="319BF832" w14:textId="77777777" w:rsidR="001B3B0A" w:rsidRDefault="001B3B0A" w:rsidP="00017D5A">
      <w:pPr>
        <w:jc w:val="center"/>
        <w:rPr>
          <w:rFonts w:ascii="Verdana" w:hAnsi="Verdana"/>
          <w:b/>
        </w:rPr>
      </w:pPr>
    </w:p>
    <w:p w14:paraId="478D6969" w14:textId="77777777" w:rsidR="001B3B0A" w:rsidRDefault="001B3B0A" w:rsidP="00017D5A">
      <w:pPr>
        <w:jc w:val="center"/>
        <w:rPr>
          <w:rFonts w:ascii="Verdana" w:hAnsi="Verdana"/>
          <w:b/>
        </w:rPr>
      </w:pPr>
    </w:p>
    <w:p w14:paraId="1711B36B" w14:textId="77777777" w:rsidR="001B3B0A" w:rsidRDefault="001B3B0A" w:rsidP="00017D5A">
      <w:pPr>
        <w:jc w:val="center"/>
        <w:rPr>
          <w:rFonts w:ascii="Verdana" w:hAnsi="Verdana"/>
          <w:b/>
        </w:rPr>
      </w:pPr>
    </w:p>
    <w:p w14:paraId="1D1CD448" w14:textId="77777777" w:rsidR="001B3B0A" w:rsidRDefault="001B3B0A" w:rsidP="00017D5A">
      <w:pPr>
        <w:jc w:val="center"/>
        <w:rPr>
          <w:rFonts w:ascii="Verdana" w:hAnsi="Verdana"/>
          <w:b/>
        </w:rPr>
      </w:pPr>
    </w:p>
    <w:p w14:paraId="09D5C222" w14:textId="44C96513" w:rsidR="00017D5A" w:rsidRDefault="00017D5A" w:rsidP="00017D5A">
      <w:pPr>
        <w:jc w:val="center"/>
        <w:rPr>
          <w:rFonts w:ascii="Verdana" w:hAnsi="Verdana"/>
          <w:b/>
        </w:rPr>
      </w:pPr>
      <w:r>
        <w:rPr>
          <w:rFonts w:ascii="Verdana" w:hAnsi="Verdana"/>
          <w:b/>
        </w:rPr>
        <w:t xml:space="preserve">VOTO PARCIALMENTE DISIDENTE DEL JUEZ HUMBERTO ANTONIO SIERRA PORTO </w:t>
      </w:r>
    </w:p>
    <w:p w14:paraId="688547A0" w14:textId="77777777" w:rsidR="00017D5A" w:rsidRDefault="00017D5A" w:rsidP="00017D5A">
      <w:pPr>
        <w:jc w:val="center"/>
        <w:rPr>
          <w:rFonts w:ascii="Verdana" w:hAnsi="Verdana"/>
          <w:b/>
        </w:rPr>
      </w:pPr>
    </w:p>
    <w:p w14:paraId="5C19A495" w14:textId="77777777" w:rsidR="00017D5A" w:rsidRDefault="00017D5A" w:rsidP="00017D5A">
      <w:pPr>
        <w:jc w:val="center"/>
        <w:rPr>
          <w:rFonts w:ascii="Verdana" w:hAnsi="Verdana"/>
          <w:b/>
        </w:rPr>
      </w:pPr>
      <w:r>
        <w:rPr>
          <w:rFonts w:ascii="Verdana" w:hAnsi="Verdana"/>
          <w:b/>
        </w:rPr>
        <w:t xml:space="preserve">A LA SENTENCIA DE </w:t>
      </w:r>
      <w:r w:rsidR="00DC4940">
        <w:rPr>
          <w:rFonts w:ascii="Verdana" w:hAnsi="Verdana"/>
          <w:b/>
        </w:rPr>
        <w:t>23</w:t>
      </w:r>
      <w:r>
        <w:rPr>
          <w:rFonts w:ascii="Verdana" w:hAnsi="Verdana"/>
          <w:b/>
        </w:rPr>
        <w:t xml:space="preserve"> DE </w:t>
      </w:r>
      <w:r w:rsidR="00DC4940">
        <w:rPr>
          <w:rFonts w:ascii="Verdana" w:hAnsi="Verdana"/>
          <w:b/>
        </w:rPr>
        <w:t>NOVIEMBRE</w:t>
      </w:r>
      <w:r>
        <w:rPr>
          <w:rFonts w:ascii="Verdana" w:hAnsi="Verdana"/>
          <w:b/>
        </w:rPr>
        <w:t xml:space="preserve"> DE </w:t>
      </w:r>
      <w:r w:rsidR="00DC4940">
        <w:rPr>
          <w:rFonts w:ascii="Verdana" w:hAnsi="Verdana"/>
          <w:b/>
        </w:rPr>
        <w:t>2017</w:t>
      </w:r>
    </w:p>
    <w:p w14:paraId="5ECBD1B4" w14:textId="77777777" w:rsidR="00017D5A" w:rsidRDefault="00017D5A" w:rsidP="009C7158">
      <w:pPr>
        <w:jc w:val="center"/>
        <w:outlineLvl w:val="0"/>
        <w:rPr>
          <w:rFonts w:ascii="Verdana" w:hAnsi="Verdana"/>
          <w:b/>
        </w:rPr>
      </w:pPr>
      <w:r>
        <w:rPr>
          <w:rFonts w:ascii="Verdana" w:hAnsi="Verdana"/>
          <w:b/>
        </w:rPr>
        <w:t>DE LA CORTE INTERAMERICANA DE DERECHOS HUMANOS</w:t>
      </w:r>
    </w:p>
    <w:p w14:paraId="4C38BD9B" w14:textId="77777777" w:rsidR="00017D5A" w:rsidRDefault="00017D5A" w:rsidP="00017D5A">
      <w:pPr>
        <w:jc w:val="center"/>
        <w:rPr>
          <w:rFonts w:ascii="Verdana" w:hAnsi="Verdana"/>
          <w:b/>
        </w:rPr>
      </w:pPr>
    </w:p>
    <w:p w14:paraId="37CECDA2" w14:textId="77777777" w:rsidR="00017D5A" w:rsidRDefault="00017D5A" w:rsidP="009C7158">
      <w:pPr>
        <w:jc w:val="center"/>
        <w:outlineLvl w:val="0"/>
        <w:rPr>
          <w:rFonts w:ascii="Verdana" w:hAnsi="Verdana"/>
          <w:b/>
        </w:rPr>
      </w:pPr>
      <w:r>
        <w:rPr>
          <w:rFonts w:ascii="Verdana" w:hAnsi="Verdana"/>
          <w:b/>
        </w:rPr>
        <w:t xml:space="preserve">EN EL CASO DE </w:t>
      </w:r>
      <w:r w:rsidR="00DC4940">
        <w:rPr>
          <w:rFonts w:ascii="Verdana" w:hAnsi="Verdana"/>
          <w:b/>
        </w:rPr>
        <w:t>TRABAJADORES CESADOS DE PETROPERÚ Y OTROS</w:t>
      </w:r>
      <w:r>
        <w:rPr>
          <w:rFonts w:ascii="Verdana" w:hAnsi="Verdana"/>
          <w:b/>
        </w:rPr>
        <w:t xml:space="preserve"> VS. </w:t>
      </w:r>
      <w:r w:rsidR="00DC4940">
        <w:rPr>
          <w:rFonts w:ascii="Verdana" w:hAnsi="Verdana"/>
          <w:b/>
        </w:rPr>
        <w:t>PERÚ</w:t>
      </w:r>
    </w:p>
    <w:p w14:paraId="21DD79C0" w14:textId="07F1D8C9" w:rsidR="00242F3A" w:rsidRDefault="00242F3A" w:rsidP="003552CE">
      <w:pPr>
        <w:rPr>
          <w:rFonts w:ascii="Verdana" w:hAnsi="Verdana"/>
          <w:b/>
        </w:rPr>
      </w:pPr>
    </w:p>
    <w:p w14:paraId="00D0B8DD" w14:textId="643E9434" w:rsidR="00765E46" w:rsidRPr="009D7294" w:rsidRDefault="00765E46" w:rsidP="003552CE">
      <w:pPr>
        <w:rPr>
          <w:rFonts w:ascii="Verdana" w:hAnsi="Verdana"/>
          <w:b/>
          <w:i/>
        </w:rPr>
      </w:pPr>
      <w:r>
        <w:rPr>
          <w:rFonts w:ascii="Verdana" w:hAnsi="Verdana"/>
          <w:b/>
          <w:i/>
        </w:rPr>
        <w:t>I. Introducción</w:t>
      </w:r>
    </w:p>
    <w:p w14:paraId="0EB8E43A" w14:textId="77777777" w:rsidR="00765E46" w:rsidRPr="003552CE" w:rsidRDefault="00765E46" w:rsidP="003552CE">
      <w:pPr>
        <w:rPr>
          <w:rFonts w:ascii="Verdana" w:hAnsi="Verdana"/>
          <w:b/>
        </w:rPr>
      </w:pPr>
    </w:p>
    <w:p w14:paraId="78900063" w14:textId="60360C8B" w:rsidR="00CF4689" w:rsidRDefault="00A41285" w:rsidP="00CF4689">
      <w:pPr>
        <w:pStyle w:val="ListParagraph"/>
        <w:numPr>
          <w:ilvl w:val="0"/>
          <w:numId w:val="10"/>
        </w:numPr>
        <w:ind w:left="0" w:firstLine="0"/>
        <w:jc w:val="both"/>
        <w:rPr>
          <w:rFonts w:ascii="Verdana" w:hAnsi="Verdana"/>
          <w:sz w:val="20"/>
          <w:szCs w:val="20"/>
          <w:lang w:val="es-CR"/>
        </w:rPr>
      </w:pPr>
      <w:r w:rsidRPr="009D7294">
        <w:rPr>
          <w:rFonts w:ascii="Verdana" w:hAnsi="Verdana"/>
          <w:sz w:val="20"/>
          <w:szCs w:val="20"/>
          <w:lang w:val="es-CR"/>
        </w:rPr>
        <w:t xml:space="preserve">Con el acostumbrado </w:t>
      </w:r>
      <w:r w:rsidR="00DF47DF" w:rsidRPr="003552CE">
        <w:rPr>
          <w:rFonts w:ascii="Verdana" w:hAnsi="Verdana"/>
          <w:sz w:val="20"/>
          <w:szCs w:val="20"/>
          <w:lang w:val="es-CR"/>
        </w:rPr>
        <w:t xml:space="preserve">respeto por las decisiones de </w:t>
      </w:r>
      <w:r w:rsidR="003552CE">
        <w:rPr>
          <w:rFonts w:ascii="Verdana" w:hAnsi="Verdana"/>
          <w:sz w:val="20"/>
          <w:szCs w:val="20"/>
          <w:lang w:val="es-CR"/>
        </w:rPr>
        <w:t>la</w:t>
      </w:r>
      <w:r w:rsidRPr="009D7294">
        <w:rPr>
          <w:rFonts w:ascii="Verdana" w:hAnsi="Verdana"/>
          <w:sz w:val="20"/>
          <w:szCs w:val="20"/>
          <w:lang w:val="es-CR"/>
        </w:rPr>
        <w:t xml:space="preserve"> Corte, </w:t>
      </w:r>
      <w:r w:rsidR="00301260" w:rsidRPr="003552CE">
        <w:rPr>
          <w:rFonts w:ascii="Verdana" w:hAnsi="Verdana"/>
          <w:sz w:val="20"/>
          <w:szCs w:val="20"/>
          <w:lang w:val="es-CR"/>
        </w:rPr>
        <w:t xml:space="preserve">y </w:t>
      </w:r>
      <w:r w:rsidR="004307DA" w:rsidRPr="003552CE">
        <w:rPr>
          <w:rFonts w:ascii="Verdana" w:hAnsi="Verdana"/>
          <w:sz w:val="20"/>
          <w:szCs w:val="20"/>
          <w:lang w:val="es-CR"/>
        </w:rPr>
        <w:t xml:space="preserve">precisando </w:t>
      </w:r>
      <w:r w:rsidR="00301260" w:rsidRPr="003552CE">
        <w:rPr>
          <w:rFonts w:ascii="Verdana" w:hAnsi="Verdana"/>
          <w:sz w:val="20"/>
          <w:szCs w:val="20"/>
          <w:lang w:val="es-CR"/>
        </w:rPr>
        <w:t xml:space="preserve">que comparto </w:t>
      </w:r>
      <w:r w:rsidR="00B066B1" w:rsidRPr="003552CE">
        <w:rPr>
          <w:rFonts w:ascii="Verdana" w:hAnsi="Verdana"/>
          <w:sz w:val="20"/>
          <w:szCs w:val="20"/>
          <w:lang w:val="es-CR"/>
        </w:rPr>
        <w:t>en su mayoría</w:t>
      </w:r>
      <w:r w:rsidR="00E10F62" w:rsidRPr="003552CE">
        <w:rPr>
          <w:rFonts w:ascii="Verdana" w:hAnsi="Verdana"/>
          <w:sz w:val="20"/>
          <w:szCs w:val="20"/>
          <w:lang w:val="es-CR"/>
        </w:rPr>
        <w:t xml:space="preserve"> las consideraciones que </w:t>
      </w:r>
      <w:r w:rsidR="00D54AF4" w:rsidRPr="003552CE">
        <w:rPr>
          <w:rFonts w:ascii="Verdana" w:hAnsi="Verdana"/>
          <w:sz w:val="20"/>
          <w:szCs w:val="20"/>
          <w:lang w:val="es-CR"/>
        </w:rPr>
        <w:t xml:space="preserve">sustentan </w:t>
      </w:r>
      <w:r w:rsidR="00CF4689">
        <w:rPr>
          <w:rFonts w:ascii="Verdana" w:hAnsi="Verdana"/>
          <w:sz w:val="20"/>
          <w:szCs w:val="20"/>
          <w:lang w:val="es-CR"/>
        </w:rPr>
        <w:t>la Sentencia</w:t>
      </w:r>
      <w:r w:rsidR="00F74654" w:rsidRPr="003552CE">
        <w:rPr>
          <w:rFonts w:ascii="Verdana" w:hAnsi="Verdana"/>
          <w:sz w:val="20"/>
          <w:szCs w:val="20"/>
          <w:lang w:val="es-CR"/>
        </w:rPr>
        <w:t>,</w:t>
      </w:r>
      <w:r w:rsidR="00F90CD8" w:rsidRPr="003552CE">
        <w:rPr>
          <w:rFonts w:ascii="Verdana" w:hAnsi="Verdana"/>
          <w:sz w:val="20"/>
          <w:szCs w:val="20"/>
          <w:lang w:val="es-CR"/>
        </w:rPr>
        <w:t xml:space="preserve"> </w:t>
      </w:r>
      <w:r w:rsidRPr="009D7294">
        <w:rPr>
          <w:rFonts w:ascii="Verdana" w:hAnsi="Verdana"/>
          <w:sz w:val="20"/>
          <w:szCs w:val="20"/>
          <w:lang w:val="es-CR"/>
        </w:rPr>
        <w:t xml:space="preserve">me permito </w:t>
      </w:r>
      <w:r w:rsidR="00A11B6E" w:rsidRPr="003552CE">
        <w:rPr>
          <w:rFonts w:ascii="Verdana" w:hAnsi="Verdana"/>
          <w:sz w:val="20"/>
          <w:szCs w:val="20"/>
          <w:lang w:val="es-CR"/>
        </w:rPr>
        <w:t xml:space="preserve">formular </w:t>
      </w:r>
      <w:r w:rsidRPr="009D7294">
        <w:rPr>
          <w:rFonts w:ascii="Verdana" w:hAnsi="Verdana"/>
          <w:sz w:val="20"/>
          <w:szCs w:val="20"/>
          <w:lang w:val="es-CR"/>
        </w:rPr>
        <w:t xml:space="preserve">el presente voto parcialmente disidente. </w:t>
      </w:r>
      <w:r w:rsidR="00CF4689">
        <w:rPr>
          <w:rFonts w:ascii="Verdana" w:hAnsi="Verdana"/>
          <w:sz w:val="20"/>
          <w:szCs w:val="20"/>
          <w:lang w:val="es-CR"/>
        </w:rPr>
        <w:t>E</w:t>
      </w:r>
      <w:r w:rsidR="00843764">
        <w:rPr>
          <w:rFonts w:ascii="Verdana" w:hAnsi="Verdana"/>
          <w:sz w:val="20"/>
          <w:szCs w:val="20"/>
          <w:lang w:val="es-CR"/>
        </w:rPr>
        <w:t>l voto tiene dos partes</w:t>
      </w:r>
      <w:r w:rsidR="00CF4689">
        <w:rPr>
          <w:rFonts w:ascii="Verdana" w:hAnsi="Verdana"/>
          <w:sz w:val="20"/>
          <w:szCs w:val="20"/>
          <w:lang w:val="es-CR"/>
        </w:rPr>
        <w:t>:</w:t>
      </w:r>
      <w:r w:rsidR="00B24EC8">
        <w:rPr>
          <w:rFonts w:ascii="Verdana" w:hAnsi="Verdana"/>
          <w:sz w:val="20"/>
          <w:szCs w:val="20"/>
          <w:lang w:val="es-CR"/>
        </w:rPr>
        <w:t xml:space="preserve"> </w:t>
      </w:r>
      <w:r w:rsidR="00843764">
        <w:rPr>
          <w:rFonts w:ascii="Verdana" w:hAnsi="Verdana"/>
          <w:sz w:val="20"/>
          <w:szCs w:val="20"/>
          <w:lang w:val="es-CR"/>
        </w:rPr>
        <w:t>la primera se refiere</w:t>
      </w:r>
      <w:r w:rsidR="003C562D">
        <w:rPr>
          <w:rFonts w:ascii="Verdana" w:hAnsi="Verdana"/>
          <w:sz w:val="20"/>
          <w:szCs w:val="20"/>
          <w:lang w:val="es-CR"/>
        </w:rPr>
        <w:t xml:space="preserve"> </w:t>
      </w:r>
      <w:r w:rsidR="00843764">
        <w:rPr>
          <w:rFonts w:ascii="Verdana" w:hAnsi="Verdana"/>
          <w:sz w:val="20"/>
          <w:szCs w:val="20"/>
          <w:lang w:val="es-CR"/>
        </w:rPr>
        <w:t>a</w:t>
      </w:r>
      <w:r w:rsidR="003C562D">
        <w:rPr>
          <w:rFonts w:ascii="Verdana" w:hAnsi="Verdana"/>
          <w:sz w:val="20"/>
          <w:szCs w:val="20"/>
          <w:lang w:val="es-CR"/>
        </w:rPr>
        <w:t xml:space="preserve">l tratamiento que la mayoría dio a la excepción preliminar del Estado por falta de agotamiento de los recursos internos, la cual, a mi parecer, </w:t>
      </w:r>
      <w:r w:rsidR="00CF4689">
        <w:rPr>
          <w:rFonts w:ascii="Verdana" w:hAnsi="Verdana"/>
          <w:sz w:val="20"/>
          <w:szCs w:val="20"/>
          <w:lang w:val="es-CR"/>
        </w:rPr>
        <w:t xml:space="preserve">debió ser acogida por la Corte; </w:t>
      </w:r>
      <w:r w:rsidR="00C5564A">
        <w:rPr>
          <w:rFonts w:ascii="Verdana" w:hAnsi="Verdana"/>
          <w:sz w:val="20"/>
          <w:szCs w:val="20"/>
          <w:lang w:val="es-CR"/>
        </w:rPr>
        <w:t>la segunda reflexiona</w:t>
      </w:r>
      <w:r w:rsidR="003C562D">
        <w:rPr>
          <w:rFonts w:ascii="Verdana" w:hAnsi="Verdana"/>
          <w:sz w:val="20"/>
          <w:szCs w:val="20"/>
          <w:lang w:val="es-CR"/>
        </w:rPr>
        <w:t xml:space="preserve"> respecto de la declaración de responsabilidad internacional del Estado por la violación al derecho al trabajo</w:t>
      </w:r>
      <w:r w:rsidR="005F0EFF">
        <w:rPr>
          <w:rFonts w:ascii="Verdana" w:hAnsi="Verdana"/>
          <w:sz w:val="20"/>
          <w:szCs w:val="20"/>
          <w:lang w:val="es-CR"/>
        </w:rPr>
        <w:t xml:space="preserve"> en relación con el deber de respetar y garantizar los derechos</w:t>
      </w:r>
      <w:r w:rsidR="003C562D">
        <w:rPr>
          <w:rFonts w:ascii="Verdana" w:hAnsi="Verdana"/>
          <w:sz w:val="20"/>
          <w:szCs w:val="20"/>
          <w:lang w:val="es-CR"/>
        </w:rPr>
        <w:t>. En relación con la segunda cuestión, advierto que mis reflexiones complementan lo ya expresado</w:t>
      </w:r>
      <w:r w:rsidR="00C5564A">
        <w:rPr>
          <w:rFonts w:ascii="Verdana" w:hAnsi="Verdana"/>
          <w:sz w:val="20"/>
          <w:szCs w:val="20"/>
          <w:lang w:val="es-CR"/>
        </w:rPr>
        <w:t xml:space="preserve"> al respecto</w:t>
      </w:r>
      <w:r w:rsidR="003C562D">
        <w:rPr>
          <w:rFonts w:ascii="Verdana" w:hAnsi="Verdana"/>
          <w:sz w:val="20"/>
          <w:szCs w:val="20"/>
          <w:lang w:val="es-CR"/>
        </w:rPr>
        <w:t xml:space="preserve"> en mi voto disidente del caso </w:t>
      </w:r>
      <w:r w:rsidR="003C562D">
        <w:rPr>
          <w:rFonts w:ascii="Verdana" w:hAnsi="Verdana"/>
          <w:i/>
          <w:sz w:val="20"/>
          <w:szCs w:val="20"/>
          <w:lang w:val="es-CR"/>
        </w:rPr>
        <w:t>Lagos del Campo Vs. Perú</w:t>
      </w:r>
      <w:r w:rsidR="00C5564A" w:rsidRPr="005F6D97">
        <w:rPr>
          <w:rStyle w:val="FootnoteReference"/>
          <w:rFonts w:ascii="Verdana" w:hAnsi="Verdana"/>
          <w:sz w:val="20"/>
          <w:szCs w:val="20"/>
          <w:lang w:val="es-CR"/>
        </w:rPr>
        <w:footnoteReference w:id="1"/>
      </w:r>
      <w:r w:rsidR="008910BB" w:rsidRPr="005F6D97">
        <w:rPr>
          <w:rFonts w:ascii="Verdana" w:hAnsi="Verdana"/>
          <w:sz w:val="20"/>
          <w:szCs w:val="20"/>
          <w:lang w:val="es-CR"/>
        </w:rPr>
        <w:t xml:space="preserve"> </w:t>
      </w:r>
      <w:r w:rsidR="008910BB">
        <w:rPr>
          <w:rFonts w:ascii="Verdana" w:hAnsi="Verdana"/>
          <w:sz w:val="20"/>
          <w:szCs w:val="20"/>
          <w:lang w:val="es-CR"/>
        </w:rPr>
        <w:t xml:space="preserve">y en mi voto concurrente del caso </w:t>
      </w:r>
      <w:r w:rsidR="008910BB">
        <w:rPr>
          <w:rFonts w:ascii="Verdana" w:hAnsi="Verdana"/>
          <w:i/>
          <w:sz w:val="20"/>
          <w:szCs w:val="20"/>
          <w:lang w:val="es-CR"/>
        </w:rPr>
        <w:t xml:space="preserve">Gonzales </w:t>
      </w:r>
      <w:proofErr w:type="spellStart"/>
      <w:r w:rsidR="008910BB">
        <w:rPr>
          <w:rFonts w:ascii="Verdana" w:hAnsi="Verdana"/>
          <w:i/>
          <w:sz w:val="20"/>
          <w:szCs w:val="20"/>
          <w:lang w:val="es-CR"/>
        </w:rPr>
        <w:t>Lluy</w:t>
      </w:r>
      <w:proofErr w:type="spellEnd"/>
      <w:r w:rsidR="008910BB">
        <w:rPr>
          <w:rFonts w:ascii="Verdana" w:hAnsi="Verdana"/>
          <w:i/>
          <w:sz w:val="20"/>
          <w:szCs w:val="20"/>
          <w:lang w:val="es-CR"/>
        </w:rPr>
        <w:t xml:space="preserve"> y otros Vs. Ecuador</w:t>
      </w:r>
      <w:r w:rsidR="00C5564A" w:rsidRPr="005F6D97">
        <w:rPr>
          <w:rStyle w:val="FootnoteReference"/>
          <w:rFonts w:ascii="Verdana" w:hAnsi="Verdana"/>
          <w:sz w:val="20"/>
          <w:szCs w:val="20"/>
          <w:lang w:val="es-CR"/>
        </w:rPr>
        <w:footnoteReference w:id="2"/>
      </w:r>
      <w:r w:rsidR="003C562D">
        <w:rPr>
          <w:rFonts w:ascii="Verdana" w:hAnsi="Verdana"/>
          <w:sz w:val="20"/>
          <w:szCs w:val="20"/>
          <w:lang w:val="es-CR"/>
        </w:rPr>
        <w:t xml:space="preserve">. </w:t>
      </w:r>
    </w:p>
    <w:p w14:paraId="0E79D993" w14:textId="77777777" w:rsidR="00CF4689" w:rsidRDefault="00CF4689" w:rsidP="009D7294">
      <w:pPr>
        <w:pStyle w:val="ListParagraph"/>
        <w:ind w:left="0"/>
        <w:jc w:val="both"/>
        <w:rPr>
          <w:rFonts w:ascii="Verdana" w:hAnsi="Verdana"/>
          <w:sz w:val="20"/>
          <w:szCs w:val="20"/>
          <w:lang w:val="es-CR"/>
        </w:rPr>
      </w:pPr>
    </w:p>
    <w:p w14:paraId="583019E6" w14:textId="3602FDC1" w:rsidR="00C0565D" w:rsidRPr="00C0565D" w:rsidRDefault="003C562D" w:rsidP="00C0565D">
      <w:pPr>
        <w:jc w:val="both"/>
        <w:rPr>
          <w:rFonts w:ascii="Verdana" w:hAnsi="Verdana"/>
          <w:b/>
          <w:i/>
        </w:rPr>
      </w:pPr>
      <w:r>
        <w:rPr>
          <w:rFonts w:ascii="Verdana" w:hAnsi="Verdana"/>
          <w:b/>
          <w:i/>
        </w:rPr>
        <w:t xml:space="preserve">II. </w:t>
      </w:r>
      <w:r w:rsidR="00C0565D" w:rsidRPr="00C0565D">
        <w:rPr>
          <w:rFonts w:ascii="Verdana" w:hAnsi="Verdana"/>
          <w:b/>
          <w:i/>
        </w:rPr>
        <w:t xml:space="preserve">Respecto </w:t>
      </w:r>
      <w:r w:rsidR="00C0565D">
        <w:rPr>
          <w:rFonts w:ascii="Verdana" w:hAnsi="Verdana"/>
          <w:b/>
          <w:i/>
        </w:rPr>
        <w:t>de</w:t>
      </w:r>
      <w:r w:rsidR="00C0565D" w:rsidRPr="00C0565D">
        <w:rPr>
          <w:rFonts w:ascii="Verdana" w:hAnsi="Verdana"/>
          <w:b/>
          <w:i/>
        </w:rPr>
        <w:t xml:space="preserve"> la excepción preliminar por falta de agotamiento de los recursos internos de los trabajadores de Petroperú</w:t>
      </w:r>
    </w:p>
    <w:p w14:paraId="485E78AD" w14:textId="77777777" w:rsidR="00C0565D" w:rsidRDefault="00C0565D" w:rsidP="00C0565D">
      <w:pPr>
        <w:pStyle w:val="ListParagraph"/>
        <w:ind w:left="0"/>
        <w:jc w:val="both"/>
        <w:rPr>
          <w:rFonts w:ascii="Verdana" w:hAnsi="Verdana"/>
          <w:sz w:val="20"/>
          <w:szCs w:val="20"/>
          <w:lang w:val="es-CR"/>
        </w:rPr>
      </w:pPr>
    </w:p>
    <w:p w14:paraId="6B4862CE" w14:textId="40E0A2BC" w:rsidR="00017D5A" w:rsidRDefault="00017D5A" w:rsidP="009D7294">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En esta sentencia</w:t>
      </w:r>
      <w:r w:rsidR="00A77B34">
        <w:rPr>
          <w:rFonts w:ascii="Verdana" w:hAnsi="Verdana"/>
          <w:sz w:val="20"/>
          <w:szCs w:val="20"/>
          <w:lang w:val="es-CR"/>
        </w:rPr>
        <w:t>,</w:t>
      </w:r>
      <w:r>
        <w:rPr>
          <w:rFonts w:ascii="Verdana" w:hAnsi="Verdana"/>
          <w:sz w:val="20"/>
          <w:szCs w:val="20"/>
          <w:lang w:val="es-CR"/>
        </w:rPr>
        <w:t xml:space="preserve"> la Corte </w:t>
      </w:r>
      <w:r w:rsidR="00C25E38">
        <w:rPr>
          <w:rFonts w:ascii="Verdana" w:hAnsi="Verdana"/>
          <w:sz w:val="20"/>
          <w:szCs w:val="20"/>
          <w:lang w:val="es-CR"/>
        </w:rPr>
        <w:t>c</w:t>
      </w:r>
      <w:r w:rsidR="009D6A1D">
        <w:rPr>
          <w:rFonts w:ascii="Verdana" w:hAnsi="Verdana"/>
          <w:sz w:val="20"/>
          <w:szCs w:val="20"/>
          <w:lang w:val="es-CR"/>
        </w:rPr>
        <w:t>oncluyó</w:t>
      </w:r>
      <w:r>
        <w:rPr>
          <w:rFonts w:ascii="Verdana" w:hAnsi="Verdana"/>
          <w:sz w:val="20"/>
          <w:szCs w:val="20"/>
          <w:lang w:val="es-CR"/>
        </w:rPr>
        <w:t xml:space="preserve"> </w:t>
      </w:r>
      <w:r w:rsidR="00951167">
        <w:rPr>
          <w:rFonts w:ascii="Verdana" w:hAnsi="Verdana"/>
          <w:sz w:val="20"/>
          <w:szCs w:val="20"/>
          <w:lang w:val="es-CR"/>
        </w:rPr>
        <w:t>que los trabajadores de Petroperú no estaban obligados a agotar el recurso extraordinario ante el Tribunal Constitucional</w:t>
      </w:r>
      <w:r w:rsidR="00C0565D">
        <w:rPr>
          <w:rFonts w:ascii="Verdana" w:hAnsi="Verdana"/>
          <w:sz w:val="20"/>
          <w:szCs w:val="20"/>
          <w:lang w:val="es-CR"/>
        </w:rPr>
        <w:t xml:space="preserve"> antes de </w:t>
      </w:r>
      <w:r w:rsidR="006D4CBF">
        <w:rPr>
          <w:rFonts w:ascii="Verdana" w:hAnsi="Verdana"/>
          <w:sz w:val="20"/>
          <w:szCs w:val="20"/>
          <w:lang w:val="es-CR"/>
        </w:rPr>
        <w:t>presentar una pet</w:t>
      </w:r>
      <w:r w:rsidR="00381481">
        <w:rPr>
          <w:rFonts w:ascii="Verdana" w:hAnsi="Verdana"/>
          <w:sz w:val="20"/>
          <w:szCs w:val="20"/>
          <w:lang w:val="es-CR"/>
        </w:rPr>
        <w:t xml:space="preserve">ición </w:t>
      </w:r>
      <w:r w:rsidR="00C0565D">
        <w:rPr>
          <w:rFonts w:ascii="Verdana" w:hAnsi="Verdana"/>
          <w:sz w:val="20"/>
          <w:szCs w:val="20"/>
          <w:lang w:val="es-CR"/>
        </w:rPr>
        <w:t>ante la Comisión Interamericana</w:t>
      </w:r>
      <w:r w:rsidR="00C25E38">
        <w:rPr>
          <w:rFonts w:ascii="Verdana" w:hAnsi="Verdana"/>
          <w:sz w:val="20"/>
          <w:szCs w:val="20"/>
          <w:lang w:val="es-CR"/>
        </w:rPr>
        <w:t xml:space="preserve">, por lo que rechazó la excepción preliminar por falta de agotamiento de los recursos internos </w:t>
      </w:r>
      <w:r w:rsidR="00A77B34">
        <w:rPr>
          <w:rFonts w:ascii="Verdana" w:hAnsi="Verdana"/>
          <w:sz w:val="20"/>
          <w:szCs w:val="20"/>
          <w:lang w:val="es-CR"/>
        </w:rPr>
        <w:t>presentada</w:t>
      </w:r>
      <w:r w:rsidR="00C25E38">
        <w:rPr>
          <w:rFonts w:ascii="Verdana" w:hAnsi="Verdana"/>
          <w:sz w:val="20"/>
          <w:szCs w:val="20"/>
          <w:lang w:val="es-CR"/>
        </w:rPr>
        <w:t xml:space="preserve"> por el Estado </w:t>
      </w:r>
      <w:r w:rsidR="00381481">
        <w:rPr>
          <w:rFonts w:ascii="Verdana" w:hAnsi="Verdana"/>
          <w:sz w:val="20"/>
          <w:szCs w:val="20"/>
          <w:lang w:val="es-CR"/>
        </w:rPr>
        <w:t>(</w:t>
      </w:r>
      <w:r w:rsidR="00381481" w:rsidRPr="009D7294">
        <w:rPr>
          <w:rFonts w:ascii="Verdana" w:hAnsi="Verdana"/>
          <w:i/>
          <w:sz w:val="20"/>
          <w:szCs w:val="20"/>
          <w:lang w:val="es-CR"/>
        </w:rPr>
        <w:t>supra</w:t>
      </w:r>
      <w:r w:rsidR="00381481">
        <w:rPr>
          <w:rFonts w:ascii="Verdana" w:hAnsi="Verdana"/>
          <w:sz w:val="20"/>
          <w:szCs w:val="20"/>
          <w:lang w:val="es-CR"/>
        </w:rPr>
        <w:t xml:space="preserve"> párr.</w:t>
      </w:r>
      <w:r w:rsidR="00E76831">
        <w:rPr>
          <w:rFonts w:ascii="Verdana" w:hAnsi="Verdana"/>
          <w:sz w:val="20"/>
          <w:szCs w:val="20"/>
          <w:lang w:val="es-CR"/>
        </w:rPr>
        <w:t xml:space="preserve"> 44</w:t>
      </w:r>
      <w:r w:rsidR="00381481">
        <w:rPr>
          <w:rFonts w:ascii="Verdana" w:hAnsi="Verdana"/>
          <w:sz w:val="20"/>
          <w:szCs w:val="20"/>
          <w:lang w:val="es-CR"/>
        </w:rPr>
        <w:t>)</w:t>
      </w:r>
      <w:r w:rsidR="00C0565D">
        <w:rPr>
          <w:rFonts w:ascii="Verdana" w:hAnsi="Verdana"/>
          <w:sz w:val="20"/>
          <w:szCs w:val="20"/>
          <w:lang w:val="es-CR"/>
        </w:rPr>
        <w:t xml:space="preserve">. La </w:t>
      </w:r>
      <w:r w:rsidR="00C25E38">
        <w:rPr>
          <w:rFonts w:ascii="Verdana" w:hAnsi="Verdana"/>
          <w:sz w:val="20"/>
          <w:szCs w:val="20"/>
          <w:lang w:val="es-CR"/>
        </w:rPr>
        <w:t>sentencia sostiene</w:t>
      </w:r>
      <w:r w:rsidR="00C0565D">
        <w:rPr>
          <w:rFonts w:ascii="Verdana" w:hAnsi="Verdana"/>
          <w:sz w:val="20"/>
          <w:szCs w:val="20"/>
          <w:lang w:val="es-CR"/>
        </w:rPr>
        <w:t xml:space="preserve"> que el agotamiento material de la jurisdicción interna debe evaluarse como una posibilidad</w:t>
      </w:r>
      <w:r w:rsidR="00776368">
        <w:rPr>
          <w:rFonts w:ascii="Verdana" w:hAnsi="Verdana"/>
          <w:sz w:val="20"/>
          <w:szCs w:val="20"/>
          <w:lang w:val="es-CR"/>
        </w:rPr>
        <w:t xml:space="preserve"> </w:t>
      </w:r>
      <w:r w:rsidR="00C0565D">
        <w:rPr>
          <w:rFonts w:ascii="Verdana" w:hAnsi="Verdana"/>
          <w:sz w:val="20"/>
          <w:szCs w:val="20"/>
          <w:lang w:val="es-CR"/>
        </w:rPr>
        <w:t>real y eficaz</w:t>
      </w:r>
      <w:r w:rsidR="001F3C71">
        <w:rPr>
          <w:rFonts w:ascii="Verdana" w:hAnsi="Verdana"/>
          <w:sz w:val="20"/>
          <w:szCs w:val="20"/>
          <w:lang w:val="es-CR"/>
        </w:rPr>
        <w:t xml:space="preserve"> de</w:t>
      </w:r>
      <w:r w:rsidR="00757258">
        <w:rPr>
          <w:rFonts w:ascii="Verdana" w:hAnsi="Verdana"/>
          <w:sz w:val="20"/>
          <w:szCs w:val="20"/>
          <w:lang w:val="es-CR"/>
        </w:rPr>
        <w:t xml:space="preserve"> </w:t>
      </w:r>
      <w:r w:rsidR="002F1577">
        <w:rPr>
          <w:rFonts w:ascii="Verdana" w:hAnsi="Verdana"/>
          <w:sz w:val="20"/>
          <w:szCs w:val="20"/>
          <w:lang w:val="es-CR"/>
        </w:rPr>
        <w:t>obtener</w:t>
      </w:r>
      <w:r w:rsidR="00537664">
        <w:rPr>
          <w:rFonts w:ascii="Verdana" w:hAnsi="Verdana"/>
          <w:sz w:val="20"/>
          <w:szCs w:val="20"/>
          <w:lang w:val="es-CR"/>
        </w:rPr>
        <w:t xml:space="preserve"> </w:t>
      </w:r>
      <w:r w:rsidR="00C0565D">
        <w:rPr>
          <w:rFonts w:ascii="Verdana" w:hAnsi="Verdana"/>
          <w:sz w:val="20"/>
          <w:szCs w:val="20"/>
          <w:lang w:val="es-CR"/>
        </w:rPr>
        <w:t>una decisión adecuada por parte de los tribunales nacionales, situación que no ocurría en el presente caso</w:t>
      </w:r>
      <w:r w:rsidR="00381481">
        <w:rPr>
          <w:rFonts w:ascii="Verdana" w:hAnsi="Verdana"/>
          <w:sz w:val="20"/>
          <w:szCs w:val="20"/>
          <w:lang w:val="es-CR"/>
        </w:rPr>
        <w:t xml:space="preserve"> (</w:t>
      </w:r>
      <w:r w:rsidR="00381481" w:rsidRPr="009D7294">
        <w:rPr>
          <w:rFonts w:ascii="Verdana" w:hAnsi="Verdana"/>
          <w:i/>
          <w:sz w:val="20"/>
          <w:szCs w:val="20"/>
          <w:lang w:val="es-CR"/>
        </w:rPr>
        <w:t>supra</w:t>
      </w:r>
      <w:r w:rsidR="00381481">
        <w:rPr>
          <w:rFonts w:ascii="Verdana" w:hAnsi="Verdana"/>
          <w:sz w:val="20"/>
          <w:szCs w:val="20"/>
          <w:lang w:val="es-CR"/>
        </w:rPr>
        <w:t xml:space="preserve"> párr.</w:t>
      </w:r>
      <w:r w:rsidR="006564D7">
        <w:rPr>
          <w:rFonts w:ascii="Verdana" w:hAnsi="Verdana"/>
          <w:sz w:val="20"/>
          <w:szCs w:val="20"/>
          <w:lang w:val="es-CR"/>
        </w:rPr>
        <w:t xml:space="preserve"> 43</w:t>
      </w:r>
      <w:r w:rsidR="00381481">
        <w:rPr>
          <w:rFonts w:ascii="Verdana" w:hAnsi="Verdana"/>
          <w:sz w:val="20"/>
          <w:szCs w:val="20"/>
          <w:lang w:val="es-CR"/>
        </w:rPr>
        <w:t>)</w:t>
      </w:r>
      <w:r w:rsidR="00C25E38">
        <w:rPr>
          <w:rFonts w:ascii="Verdana" w:hAnsi="Verdana"/>
          <w:sz w:val="20"/>
          <w:szCs w:val="20"/>
          <w:lang w:val="es-CR"/>
        </w:rPr>
        <w:t>. P</w:t>
      </w:r>
      <w:r w:rsidR="00C0565D">
        <w:rPr>
          <w:rFonts w:ascii="Verdana" w:hAnsi="Verdana"/>
          <w:sz w:val="20"/>
          <w:szCs w:val="20"/>
          <w:lang w:val="es-CR"/>
        </w:rPr>
        <w:t>or el</w:t>
      </w:r>
      <w:r w:rsidR="00C25E38">
        <w:rPr>
          <w:rFonts w:ascii="Verdana" w:hAnsi="Verdana"/>
          <w:sz w:val="20"/>
          <w:szCs w:val="20"/>
          <w:lang w:val="es-CR"/>
        </w:rPr>
        <w:t xml:space="preserve"> contrario, la mayor</w:t>
      </w:r>
      <w:r w:rsidR="00381481">
        <w:rPr>
          <w:rFonts w:ascii="Verdana" w:hAnsi="Verdana"/>
          <w:sz w:val="20"/>
          <w:szCs w:val="20"/>
          <w:lang w:val="es-CR"/>
        </w:rPr>
        <w:t>ía</w:t>
      </w:r>
      <w:r w:rsidR="00FF7CCA">
        <w:rPr>
          <w:rFonts w:ascii="Verdana" w:hAnsi="Verdana"/>
          <w:sz w:val="20"/>
          <w:szCs w:val="20"/>
          <w:lang w:val="es-CR"/>
        </w:rPr>
        <w:t xml:space="preserve"> sostuvo</w:t>
      </w:r>
      <w:r w:rsidR="00381481">
        <w:rPr>
          <w:rFonts w:ascii="Verdana" w:hAnsi="Verdana"/>
          <w:sz w:val="20"/>
          <w:szCs w:val="20"/>
          <w:lang w:val="es-CR"/>
        </w:rPr>
        <w:t>,</w:t>
      </w:r>
      <w:r w:rsidR="00770552">
        <w:rPr>
          <w:rFonts w:ascii="Verdana" w:hAnsi="Verdana"/>
          <w:sz w:val="20"/>
          <w:szCs w:val="20"/>
          <w:lang w:val="es-CR"/>
        </w:rPr>
        <w:t xml:space="preserve"> </w:t>
      </w:r>
      <w:r w:rsidR="00381481">
        <w:rPr>
          <w:rFonts w:ascii="Verdana" w:hAnsi="Verdana"/>
          <w:sz w:val="20"/>
          <w:szCs w:val="20"/>
          <w:lang w:val="es-CR"/>
        </w:rPr>
        <w:t>dado que existía un</w:t>
      </w:r>
      <w:r w:rsidR="00C0565D">
        <w:rPr>
          <w:rFonts w:ascii="Verdana" w:hAnsi="Verdana"/>
          <w:sz w:val="20"/>
          <w:szCs w:val="20"/>
          <w:lang w:val="es-CR"/>
        </w:rPr>
        <w:t xml:space="preserve"> evidente estado de conflictividad entre el Poder Ejecutivo y el Tribunal Constitucional en la época </w:t>
      </w:r>
      <w:r w:rsidR="00C25E38">
        <w:rPr>
          <w:rFonts w:ascii="Verdana" w:hAnsi="Verdana"/>
          <w:sz w:val="20"/>
          <w:szCs w:val="20"/>
          <w:lang w:val="es-CR"/>
        </w:rPr>
        <w:t>de los hechos</w:t>
      </w:r>
      <w:r w:rsidR="00C0565D">
        <w:rPr>
          <w:rFonts w:ascii="Verdana" w:hAnsi="Verdana"/>
          <w:sz w:val="20"/>
          <w:szCs w:val="20"/>
          <w:lang w:val="es-CR"/>
        </w:rPr>
        <w:t>, lo cual se confirmó con la destitución de tres magistrados de dicho Tribunal</w:t>
      </w:r>
      <w:r w:rsidR="00554D8B">
        <w:rPr>
          <w:rFonts w:ascii="Verdana" w:hAnsi="Verdana"/>
          <w:sz w:val="20"/>
          <w:szCs w:val="20"/>
          <w:lang w:val="es-CR"/>
        </w:rPr>
        <w:t>,</w:t>
      </w:r>
      <w:r w:rsidR="00C25E38">
        <w:rPr>
          <w:rFonts w:ascii="Verdana" w:hAnsi="Verdana"/>
          <w:sz w:val="20"/>
          <w:szCs w:val="20"/>
          <w:lang w:val="es-CR"/>
        </w:rPr>
        <w:t xml:space="preserve"> ocurrida</w:t>
      </w:r>
      <w:r w:rsidR="00381481">
        <w:rPr>
          <w:rFonts w:ascii="Verdana" w:hAnsi="Verdana"/>
          <w:sz w:val="20"/>
          <w:szCs w:val="20"/>
          <w:lang w:val="es-CR"/>
        </w:rPr>
        <w:t xml:space="preserve"> algunos</w:t>
      </w:r>
      <w:r w:rsidR="00C25E38">
        <w:rPr>
          <w:rFonts w:ascii="Verdana" w:hAnsi="Verdana"/>
          <w:sz w:val="20"/>
          <w:szCs w:val="20"/>
          <w:lang w:val="es-CR"/>
        </w:rPr>
        <w:t xml:space="preserve"> meses después, </w:t>
      </w:r>
      <w:r w:rsidR="00770552">
        <w:rPr>
          <w:rFonts w:ascii="Verdana" w:hAnsi="Verdana"/>
          <w:sz w:val="20"/>
          <w:szCs w:val="20"/>
          <w:lang w:val="es-CR"/>
        </w:rPr>
        <w:t xml:space="preserve">que </w:t>
      </w:r>
      <w:r w:rsidR="00381481">
        <w:rPr>
          <w:rFonts w:ascii="Verdana" w:hAnsi="Verdana"/>
          <w:sz w:val="20"/>
          <w:szCs w:val="20"/>
          <w:lang w:val="es-CR"/>
        </w:rPr>
        <w:t>era</w:t>
      </w:r>
      <w:r w:rsidR="006D4CBF">
        <w:rPr>
          <w:rFonts w:ascii="Verdana" w:hAnsi="Verdana"/>
          <w:sz w:val="20"/>
          <w:szCs w:val="20"/>
          <w:lang w:val="es-CR"/>
        </w:rPr>
        <w:t xml:space="preserve"> “nula la posibilidad de que ese Tribunal hiciera lugar a un eventual recurso de los peticionarios, </w:t>
      </w:r>
      <w:r w:rsidR="006D4CBF">
        <w:rPr>
          <w:rFonts w:ascii="Verdana" w:hAnsi="Verdana"/>
          <w:sz w:val="20"/>
          <w:szCs w:val="20"/>
          <w:lang w:val="es-CR"/>
        </w:rPr>
        <w:lastRenderedPageBreak/>
        <w:t xml:space="preserve">en una </w:t>
      </w:r>
      <w:r w:rsidR="00381481">
        <w:rPr>
          <w:rFonts w:ascii="Verdana" w:hAnsi="Verdana"/>
          <w:sz w:val="20"/>
          <w:szCs w:val="20"/>
          <w:lang w:val="es-CR"/>
        </w:rPr>
        <w:t>materia vital para el proyecto económico del oficialismo, considerando que una decisión de esa naturaleza no hubiese hecho más que precipitar lo sucedido pocos meses más tarde” (</w:t>
      </w:r>
      <w:r w:rsidR="00381481" w:rsidRPr="009D7294">
        <w:rPr>
          <w:rFonts w:ascii="Verdana" w:hAnsi="Verdana"/>
          <w:i/>
          <w:sz w:val="20"/>
          <w:szCs w:val="20"/>
          <w:lang w:val="es-CR"/>
        </w:rPr>
        <w:t>supra</w:t>
      </w:r>
      <w:r w:rsidR="00381481">
        <w:rPr>
          <w:rFonts w:ascii="Verdana" w:hAnsi="Verdana"/>
          <w:sz w:val="20"/>
          <w:szCs w:val="20"/>
          <w:lang w:val="es-CR"/>
        </w:rPr>
        <w:t xml:space="preserve"> párr.</w:t>
      </w:r>
      <w:r w:rsidR="006564D7">
        <w:rPr>
          <w:rFonts w:ascii="Verdana" w:hAnsi="Verdana"/>
          <w:sz w:val="20"/>
          <w:szCs w:val="20"/>
          <w:lang w:val="es-CR"/>
        </w:rPr>
        <w:t xml:space="preserve"> 43</w:t>
      </w:r>
      <w:r w:rsidR="00381481">
        <w:rPr>
          <w:rFonts w:ascii="Verdana" w:hAnsi="Verdana"/>
          <w:sz w:val="20"/>
          <w:szCs w:val="20"/>
          <w:lang w:val="es-CR"/>
        </w:rPr>
        <w:t>).</w:t>
      </w:r>
    </w:p>
    <w:p w14:paraId="5303707F" w14:textId="77777777" w:rsidR="00381481" w:rsidRDefault="00381481" w:rsidP="00381481">
      <w:pPr>
        <w:pStyle w:val="ListParagraph"/>
        <w:ind w:left="0"/>
        <w:jc w:val="both"/>
        <w:rPr>
          <w:rFonts w:ascii="Verdana" w:hAnsi="Verdana"/>
          <w:sz w:val="20"/>
          <w:szCs w:val="20"/>
          <w:lang w:val="es-CR"/>
        </w:rPr>
      </w:pPr>
    </w:p>
    <w:p w14:paraId="45FF951F" w14:textId="61941391" w:rsidR="00381481" w:rsidRDefault="00AF77A2" w:rsidP="009D7294">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Este criterio, sin duda benéfico para los intereses de los trabajadores de Petroperú,</w:t>
      </w:r>
      <w:r w:rsidR="000E41F9">
        <w:rPr>
          <w:rFonts w:ascii="Verdana" w:hAnsi="Verdana"/>
          <w:sz w:val="20"/>
          <w:szCs w:val="20"/>
          <w:lang w:val="es-CR"/>
        </w:rPr>
        <w:t xml:space="preserve"> quienes fueron </w:t>
      </w:r>
      <w:r w:rsidR="00692594">
        <w:rPr>
          <w:rFonts w:ascii="Verdana" w:hAnsi="Verdana"/>
          <w:sz w:val="20"/>
          <w:szCs w:val="20"/>
          <w:lang w:val="es-CR"/>
        </w:rPr>
        <w:t>calificados</w:t>
      </w:r>
      <w:r w:rsidR="000E41F9">
        <w:rPr>
          <w:rFonts w:ascii="Verdana" w:hAnsi="Verdana"/>
          <w:sz w:val="20"/>
          <w:szCs w:val="20"/>
          <w:lang w:val="es-CR"/>
        </w:rPr>
        <w:t xml:space="preserve"> como víctimas en el presente caso,</w:t>
      </w:r>
      <w:r>
        <w:rPr>
          <w:rFonts w:ascii="Verdana" w:hAnsi="Verdana"/>
          <w:sz w:val="20"/>
          <w:szCs w:val="20"/>
          <w:lang w:val="es-CR"/>
        </w:rPr>
        <w:t xml:space="preserve"> adolece de dos </w:t>
      </w:r>
      <w:r w:rsidR="00D8767A">
        <w:rPr>
          <w:rFonts w:ascii="Verdana" w:hAnsi="Verdana"/>
          <w:sz w:val="20"/>
          <w:szCs w:val="20"/>
          <w:lang w:val="es-CR"/>
        </w:rPr>
        <w:t>falencias</w:t>
      </w:r>
      <w:r>
        <w:rPr>
          <w:rFonts w:ascii="Verdana" w:hAnsi="Verdana"/>
          <w:sz w:val="20"/>
          <w:szCs w:val="20"/>
          <w:lang w:val="es-CR"/>
        </w:rPr>
        <w:t xml:space="preserve">. Por un lado, </w:t>
      </w:r>
      <w:r w:rsidR="00FD3BEC">
        <w:rPr>
          <w:rFonts w:ascii="Verdana" w:hAnsi="Verdana"/>
          <w:sz w:val="20"/>
          <w:szCs w:val="20"/>
          <w:lang w:val="es-CR"/>
        </w:rPr>
        <w:t>se aparta de</w:t>
      </w:r>
      <w:r>
        <w:rPr>
          <w:rFonts w:ascii="Verdana" w:hAnsi="Verdana"/>
          <w:sz w:val="20"/>
          <w:szCs w:val="20"/>
          <w:lang w:val="es-CR"/>
        </w:rPr>
        <w:t xml:space="preserve"> los precedentes de la Corte </w:t>
      </w:r>
      <w:r w:rsidR="000E41F9">
        <w:rPr>
          <w:rFonts w:ascii="Verdana" w:hAnsi="Verdana"/>
          <w:sz w:val="20"/>
          <w:szCs w:val="20"/>
          <w:lang w:val="es-CR"/>
        </w:rPr>
        <w:t xml:space="preserve">en lo que respecta </w:t>
      </w:r>
      <w:r w:rsidR="00FD3BEC">
        <w:rPr>
          <w:rFonts w:ascii="Verdana" w:hAnsi="Verdana"/>
          <w:sz w:val="20"/>
          <w:szCs w:val="20"/>
          <w:lang w:val="es-CR"/>
        </w:rPr>
        <w:t>a la temporalidad</w:t>
      </w:r>
      <w:r w:rsidR="009B33CF">
        <w:rPr>
          <w:rFonts w:ascii="Verdana" w:hAnsi="Verdana"/>
          <w:sz w:val="20"/>
          <w:szCs w:val="20"/>
          <w:lang w:val="es-CR"/>
        </w:rPr>
        <w:t xml:space="preserve"> de</w:t>
      </w:r>
      <w:r w:rsidR="000E41F9">
        <w:rPr>
          <w:rFonts w:ascii="Verdana" w:hAnsi="Verdana"/>
          <w:sz w:val="20"/>
          <w:szCs w:val="20"/>
          <w:lang w:val="es-CR"/>
        </w:rPr>
        <w:t xml:space="preserve"> falta de independencia e imparcialidad </w:t>
      </w:r>
      <w:r w:rsidR="009B33CF">
        <w:rPr>
          <w:rFonts w:ascii="Verdana" w:hAnsi="Verdana"/>
          <w:sz w:val="20"/>
          <w:szCs w:val="20"/>
          <w:lang w:val="es-CR"/>
        </w:rPr>
        <w:t xml:space="preserve">del Tribunal Constitucional </w:t>
      </w:r>
      <w:r w:rsidR="000E6A83">
        <w:rPr>
          <w:rFonts w:ascii="Verdana" w:hAnsi="Verdana"/>
          <w:sz w:val="20"/>
          <w:szCs w:val="20"/>
          <w:lang w:val="es-CR"/>
        </w:rPr>
        <w:t>p</w:t>
      </w:r>
      <w:r w:rsidR="009B33CF">
        <w:rPr>
          <w:rFonts w:ascii="Verdana" w:hAnsi="Verdana"/>
          <w:sz w:val="20"/>
          <w:szCs w:val="20"/>
          <w:lang w:val="es-CR"/>
        </w:rPr>
        <w:t>eruano en la d</w:t>
      </w:r>
      <w:r w:rsidR="001C4CB6">
        <w:rPr>
          <w:rFonts w:ascii="Verdana" w:hAnsi="Verdana"/>
          <w:sz w:val="20"/>
          <w:szCs w:val="20"/>
          <w:lang w:val="es-CR"/>
        </w:rPr>
        <w:t>écada de los noventa</w:t>
      </w:r>
      <w:r w:rsidR="009B33CF">
        <w:rPr>
          <w:rFonts w:ascii="Verdana" w:hAnsi="Verdana"/>
          <w:sz w:val="20"/>
          <w:szCs w:val="20"/>
          <w:lang w:val="es-CR"/>
        </w:rPr>
        <w:t>. Al respecto, la Corte determinó</w:t>
      </w:r>
      <w:r w:rsidR="00692594">
        <w:rPr>
          <w:rFonts w:ascii="Verdana" w:hAnsi="Verdana"/>
          <w:sz w:val="20"/>
          <w:szCs w:val="20"/>
          <w:lang w:val="es-CR"/>
        </w:rPr>
        <w:t>,</w:t>
      </w:r>
      <w:r w:rsidR="009B33CF">
        <w:rPr>
          <w:rFonts w:ascii="Verdana" w:hAnsi="Verdana"/>
          <w:sz w:val="20"/>
          <w:szCs w:val="20"/>
          <w:lang w:val="es-CR"/>
        </w:rPr>
        <w:t xml:space="preserve"> en los casos de </w:t>
      </w:r>
      <w:r w:rsidR="00833E90">
        <w:rPr>
          <w:rFonts w:ascii="Verdana" w:hAnsi="Verdana"/>
          <w:i/>
          <w:sz w:val="20"/>
          <w:szCs w:val="20"/>
          <w:lang w:val="es-CR"/>
        </w:rPr>
        <w:t xml:space="preserve">Tribunal Constitucional, </w:t>
      </w:r>
      <w:r w:rsidR="00413D13">
        <w:rPr>
          <w:rFonts w:ascii="Verdana" w:hAnsi="Verdana"/>
          <w:i/>
          <w:sz w:val="20"/>
          <w:szCs w:val="20"/>
          <w:lang w:val="es-CR"/>
        </w:rPr>
        <w:t>Aguado Alfaro y otros</w:t>
      </w:r>
      <w:r w:rsidR="009B33CF">
        <w:rPr>
          <w:rFonts w:ascii="Verdana" w:hAnsi="Verdana"/>
          <w:i/>
          <w:sz w:val="20"/>
          <w:szCs w:val="20"/>
          <w:lang w:val="es-CR"/>
        </w:rPr>
        <w:t xml:space="preserve"> </w:t>
      </w:r>
      <w:r w:rsidR="009B33CF">
        <w:rPr>
          <w:rFonts w:ascii="Verdana" w:hAnsi="Verdana"/>
          <w:sz w:val="20"/>
          <w:szCs w:val="20"/>
          <w:lang w:val="es-CR"/>
        </w:rPr>
        <w:t xml:space="preserve">y </w:t>
      </w:r>
      <w:r w:rsidR="009B33CF">
        <w:rPr>
          <w:rFonts w:ascii="Verdana" w:hAnsi="Verdana"/>
          <w:i/>
          <w:sz w:val="20"/>
          <w:szCs w:val="20"/>
          <w:lang w:val="es-CR"/>
        </w:rPr>
        <w:t xml:space="preserve">Canales </w:t>
      </w:r>
      <w:proofErr w:type="spellStart"/>
      <w:r w:rsidR="009B33CF">
        <w:rPr>
          <w:rFonts w:ascii="Verdana" w:hAnsi="Verdana"/>
          <w:i/>
          <w:sz w:val="20"/>
          <w:szCs w:val="20"/>
          <w:lang w:val="es-CR"/>
        </w:rPr>
        <w:t>Huapaya</w:t>
      </w:r>
      <w:proofErr w:type="spellEnd"/>
      <w:r w:rsidR="009B33CF">
        <w:rPr>
          <w:rFonts w:ascii="Verdana" w:hAnsi="Verdana"/>
          <w:i/>
          <w:sz w:val="20"/>
          <w:szCs w:val="20"/>
          <w:lang w:val="es-CR"/>
        </w:rPr>
        <w:t xml:space="preserve"> y otros</w:t>
      </w:r>
      <w:r w:rsidR="00692594">
        <w:rPr>
          <w:rFonts w:ascii="Verdana" w:hAnsi="Verdana"/>
          <w:sz w:val="20"/>
          <w:szCs w:val="20"/>
          <w:lang w:val="es-CR"/>
        </w:rPr>
        <w:t>,</w:t>
      </w:r>
      <w:r w:rsidR="009B33CF">
        <w:rPr>
          <w:rFonts w:ascii="Verdana" w:hAnsi="Verdana"/>
          <w:i/>
          <w:sz w:val="20"/>
          <w:szCs w:val="20"/>
          <w:lang w:val="es-CR"/>
        </w:rPr>
        <w:t xml:space="preserve"> </w:t>
      </w:r>
      <w:r w:rsidR="009B33CF">
        <w:rPr>
          <w:rFonts w:ascii="Verdana" w:hAnsi="Verdana"/>
          <w:sz w:val="20"/>
          <w:szCs w:val="20"/>
          <w:lang w:val="es-CR"/>
        </w:rPr>
        <w:t>que</w:t>
      </w:r>
      <w:r w:rsidR="00275002">
        <w:rPr>
          <w:rFonts w:ascii="Verdana" w:hAnsi="Verdana"/>
          <w:sz w:val="20"/>
          <w:szCs w:val="20"/>
          <w:lang w:val="es-CR"/>
        </w:rPr>
        <w:t>:</w:t>
      </w:r>
      <w:r w:rsidR="009B33CF">
        <w:rPr>
          <w:rFonts w:ascii="Verdana" w:hAnsi="Verdana"/>
          <w:sz w:val="20"/>
          <w:szCs w:val="20"/>
          <w:lang w:val="es-CR"/>
        </w:rPr>
        <w:t xml:space="preserve"> “ha quedado demostrado</w:t>
      </w:r>
      <w:r w:rsidR="001C4CB6">
        <w:rPr>
          <w:rFonts w:ascii="Verdana" w:hAnsi="Verdana"/>
          <w:sz w:val="20"/>
          <w:szCs w:val="20"/>
          <w:lang w:val="es-CR"/>
        </w:rPr>
        <w:t xml:space="preserve"> […]</w:t>
      </w:r>
      <w:r w:rsidR="009B33CF">
        <w:rPr>
          <w:rFonts w:ascii="Verdana" w:hAnsi="Verdana"/>
          <w:sz w:val="20"/>
          <w:szCs w:val="20"/>
          <w:lang w:val="es-CR"/>
        </w:rPr>
        <w:t xml:space="preserve"> que la independencia e imparcialidad </w:t>
      </w:r>
      <w:r w:rsidR="001C4CB6">
        <w:rPr>
          <w:rFonts w:ascii="Verdana" w:hAnsi="Verdana"/>
          <w:sz w:val="20"/>
          <w:szCs w:val="20"/>
          <w:lang w:val="es-CR"/>
        </w:rPr>
        <w:t xml:space="preserve">del Tribunal Constitucional, como una de las instituciones democráticas que garantizan el estado de derecho, se vieron coartadas con la destitución de algunos de sus magistrados, lo que conculcó </w:t>
      </w:r>
      <w:r w:rsidR="001C4CB6">
        <w:rPr>
          <w:rFonts w:ascii="Verdana" w:hAnsi="Verdana"/>
          <w:i/>
          <w:sz w:val="20"/>
          <w:szCs w:val="20"/>
          <w:lang w:val="es-CR"/>
        </w:rPr>
        <w:t>erga omnes</w:t>
      </w:r>
      <w:r w:rsidR="001C4CB6">
        <w:rPr>
          <w:rFonts w:ascii="Verdana" w:hAnsi="Verdana"/>
          <w:sz w:val="20"/>
          <w:szCs w:val="20"/>
          <w:lang w:val="es-CR"/>
        </w:rPr>
        <w:t xml:space="preserve"> la posibilidad de ejercer el control de constitucionalidad y el consecuente examen de la adecuación de la conducta del Estado a la Constitución”</w:t>
      </w:r>
      <w:r w:rsidR="001C4CB6">
        <w:rPr>
          <w:rStyle w:val="FootnoteReference"/>
          <w:rFonts w:ascii="Verdana" w:hAnsi="Verdana"/>
          <w:sz w:val="20"/>
          <w:szCs w:val="20"/>
          <w:lang w:val="es-CR"/>
        </w:rPr>
        <w:footnoteReference w:id="3"/>
      </w:r>
      <w:r w:rsidR="001C4CB6">
        <w:rPr>
          <w:rFonts w:ascii="Verdana" w:hAnsi="Verdana"/>
          <w:sz w:val="20"/>
          <w:szCs w:val="20"/>
          <w:lang w:val="es-CR"/>
        </w:rPr>
        <w:t xml:space="preserve">. De </w:t>
      </w:r>
      <w:r w:rsidR="005D3827">
        <w:rPr>
          <w:rFonts w:ascii="Verdana" w:hAnsi="Verdana"/>
          <w:sz w:val="20"/>
          <w:szCs w:val="20"/>
          <w:lang w:val="es-CR"/>
        </w:rPr>
        <w:t>lo anterior</w:t>
      </w:r>
      <w:r w:rsidR="001C4CB6">
        <w:rPr>
          <w:rFonts w:ascii="Verdana" w:hAnsi="Verdana"/>
          <w:sz w:val="20"/>
          <w:szCs w:val="20"/>
          <w:lang w:val="es-CR"/>
        </w:rPr>
        <w:t xml:space="preserve"> se desprende que, en el marco temporal en que algunos de los magistrados del Tribunal Constitucional estuvieron cesados, es decir del 28 de mayo de 1997 al 17 de noviembre de 2000</w:t>
      </w:r>
      <w:r w:rsidR="001C4CB6">
        <w:rPr>
          <w:rStyle w:val="FootnoteReference"/>
          <w:rFonts w:ascii="Verdana" w:hAnsi="Verdana"/>
          <w:sz w:val="20"/>
          <w:szCs w:val="20"/>
          <w:lang w:val="es-CR"/>
        </w:rPr>
        <w:footnoteReference w:id="4"/>
      </w:r>
      <w:r w:rsidR="001C4CB6">
        <w:rPr>
          <w:rFonts w:ascii="Verdana" w:hAnsi="Verdana"/>
          <w:sz w:val="20"/>
          <w:szCs w:val="20"/>
          <w:lang w:val="es-CR"/>
        </w:rPr>
        <w:t>, el mismo carecía de independencia e imparcialidad, y por lo tanto los recursos intentados ante él carecían de efectividad</w:t>
      </w:r>
      <w:r w:rsidR="001C4CB6">
        <w:rPr>
          <w:rStyle w:val="FootnoteReference"/>
          <w:rFonts w:ascii="Verdana" w:hAnsi="Verdana"/>
          <w:sz w:val="20"/>
          <w:szCs w:val="20"/>
          <w:lang w:val="es-CR"/>
        </w:rPr>
        <w:footnoteReference w:id="5"/>
      </w:r>
      <w:r w:rsidR="001C4CB6">
        <w:rPr>
          <w:rFonts w:ascii="Verdana" w:hAnsi="Verdana"/>
          <w:sz w:val="20"/>
          <w:szCs w:val="20"/>
          <w:lang w:val="es-CR"/>
        </w:rPr>
        <w:t>.</w:t>
      </w:r>
    </w:p>
    <w:p w14:paraId="7908B00F" w14:textId="77777777" w:rsidR="001C4CB6" w:rsidRDefault="001C4CB6" w:rsidP="003C562D">
      <w:pPr>
        <w:pStyle w:val="ListParagraph"/>
        <w:ind w:left="0"/>
        <w:jc w:val="both"/>
        <w:rPr>
          <w:rFonts w:ascii="Verdana" w:hAnsi="Verdana"/>
          <w:sz w:val="20"/>
          <w:szCs w:val="20"/>
          <w:lang w:val="es-CR"/>
        </w:rPr>
      </w:pPr>
    </w:p>
    <w:p w14:paraId="0357652B" w14:textId="177BA2C0" w:rsidR="004865DD" w:rsidRPr="00512CF0" w:rsidRDefault="00DE755C" w:rsidP="009D7294">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 xml:space="preserve">Si bien </w:t>
      </w:r>
      <w:r w:rsidR="008B35FA">
        <w:rPr>
          <w:rFonts w:ascii="Verdana" w:hAnsi="Verdana"/>
          <w:sz w:val="20"/>
          <w:szCs w:val="20"/>
          <w:lang w:val="es-CR"/>
        </w:rPr>
        <w:t xml:space="preserve">comparto </w:t>
      </w:r>
      <w:r w:rsidR="00D66E1C">
        <w:rPr>
          <w:rFonts w:ascii="Verdana" w:hAnsi="Verdana"/>
          <w:sz w:val="20"/>
          <w:szCs w:val="20"/>
          <w:lang w:val="es-CR"/>
        </w:rPr>
        <w:t xml:space="preserve">el criterio </w:t>
      </w:r>
      <w:r w:rsidR="004A17DA">
        <w:rPr>
          <w:rFonts w:ascii="Verdana" w:hAnsi="Verdana"/>
          <w:sz w:val="20"/>
          <w:szCs w:val="20"/>
          <w:lang w:val="es-CR"/>
        </w:rPr>
        <w:t xml:space="preserve">sostenido en </w:t>
      </w:r>
      <w:r w:rsidR="00154E11">
        <w:rPr>
          <w:rFonts w:ascii="Verdana" w:hAnsi="Verdana"/>
          <w:sz w:val="20"/>
          <w:szCs w:val="20"/>
          <w:lang w:val="es-CR"/>
        </w:rPr>
        <w:t xml:space="preserve">los precedentes </w:t>
      </w:r>
      <w:r w:rsidR="0065089D">
        <w:rPr>
          <w:rFonts w:ascii="Verdana" w:hAnsi="Verdana"/>
          <w:sz w:val="20"/>
          <w:szCs w:val="20"/>
          <w:lang w:val="es-CR"/>
        </w:rPr>
        <w:t xml:space="preserve">previamente </w:t>
      </w:r>
      <w:r w:rsidR="00154E11">
        <w:rPr>
          <w:rFonts w:ascii="Verdana" w:hAnsi="Verdana"/>
          <w:sz w:val="20"/>
          <w:szCs w:val="20"/>
          <w:lang w:val="es-CR"/>
        </w:rPr>
        <w:t>señalados</w:t>
      </w:r>
      <w:r w:rsidR="0028146C">
        <w:rPr>
          <w:rFonts w:ascii="Verdana" w:hAnsi="Verdana"/>
          <w:sz w:val="20"/>
          <w:szCs w:val="20"/>
          <w:lang w:val="es-CR"/>
        </w:rPr>
        <w:t xml:space="preserve">, </w:t>
      </w:r>
      <w:r>
        <w:rPr>
          <w:rFonts w:ascii="Verdana" w:hAnsi="Verdana"/>
          <w:sz w:val="20"/>
          <w:szCs w:val="20"/>
          <w:lang w:val="es-CR"/>
        </w:rPr>
        <w:t xml:space="preserve">disiento de lo considerado </w:t>
      </w:r>
      <w:r w:rsidR="003304BE">
        <w:rPr>
          <w:rFonts w:ascii="Verdana" w:hAnsi="Verdana"/>
          <w:sz w:val="20"/>
          <w:szCs w:val="20"/>
          <w:lang w:val="es-CR"/>
        </w:rPr>
        <w:t>por la mayoría</w:t>
      </w:r>
      <w:r w:rsidR="00901F46">
        <w:rPr>
          <w:rFonts w:ascii="Verdana" w:hAnsi="Verdana"/>
          <w:sz w:val="20"/>
          <w:szCs w:val="20"/>
          <w:lang w:val="es-CR"/>
        </w:rPr>
        <w:t xml:space="preserve"> en esta Sentencia</w:t>
      </w:r>
      <w:r w:rsidR="008A2522">
        <w:rPr>
          <w:rFonts w:ascii="Verdana" w:hAnsi="Verdana"/>
          <w:sz w:val="20"/>
          <w:szCs w:val="20"/>
          <w:lang w:val="es-CR"/>
        </w:rPr>
        <w:t>,</w:t>
      </w:r>
      <w:r w:rsidR="00D035E0">
        <w:rPr>
          <w:rFonts w:ascii="Verdana" w:hAnsi="Verdana"/>
          <w:sz w:val="20"/>
          <w:szCs w:val="20"/>
          <w:lang w:val="es-CR"/>
        </w:rPr>
        <w:t xml:space="preserve"> </w:t>
      </w:r>
      <w:r w:rsidR="00FC4E28">
        <w:rPr>
          <w:rFonts w:ascii="Verdana" w:hAnsi="Verdana"/>
          <w:sz w:val="20"/>
          <w:szCs w:val="20"/>
          <w:lang w:val="es-CR"/>
        </w:rPr>
        <w:t>pues</w:t>
      </w:r>
      <w:r w:rsidR="00907352">
        <w:rPr>
          <w:rFonts w:ascii="Verdana" w:hAnsi="Verdana"/>
          <w:sz w:val="20"/>
          <w:szCs w:val="20"/>
          <w:lang w:val="es-CR"/>
        </w:rPr>
        <w:t xml:space="preserve"> </w:t>
      </w:r>
      <w:r w:rsidR="00154E11">
        <w:rPr>
          <w:rFonts w:ascii="Verdana" w:hAnsi="Verdana"/>
          <w:sz w:val="20"/>
          <w:szCs w:val="20"/>
          <w:lang w:val="es-CR"/>
        </w:rPr>
        <w:t>e</w:t>
      </w:r>
      <w:r w:rsidR="00D86D55">
        <w:rPr>
          <w:rFonts w:ascii="Verdana" w:hAnsi="Verdana"/>
          <w:sz w:val="20"/>
          <w:szCs w:val="20"/>
          <w:lang w:val="es-CR"/>
        </w:rPr>
        <w:t xml:space="preserve">xtiende en forma desproporcionada </w:t>
      </w:r>
      <w:r w:rsidR="001C4CB6" w:rsidRPr="009C7158">
        <w:rPr>
          <w:rFonts w:ascii="Verdana" w:hAnsi="Verdana"/>
          <w:sz w:val="20"/>
          <w:szCs w:val="20"/>
          <w:lang w:val="es-CR"/>
        </w:rPr>
        <w:t>el marco temporal en que los recursos intentados ante el Tribunal Constitucional carecían de efectividad</w:t>
      </w:r>
      <w:r w:rsidR="00FC4E28">
        <w:rPr>
          <w:rFonts w:ascii="Verdana" w:hAnsi="Verdana"/>
          <w:sz w:val="20"/>
          <w:szCs w:val="20"/>
          <w:lang w:val="es-CR"/>
        </w:rPr>
        <w:t>. En el presente caso</w:t>
      </w:r>
      <w:r w:rsidR="00512CF0">
        <w:rPr>
          <w:rFonts w:ascii="Verdana" w:hAnsi="Verdana"/>
          <w:sz w:val="20"/>
          <w:szCs w:val="20"/>
          <w:lang w:val="es-CR"/>
        </w:rPr>
        <w:t xml:space="preserve"> </w:t>
      </w:r>
      <w:r w:rsidR="00FC4E28">
        <w:rPr>
          <w:rFonts w:ascii="Verdana" w:hAnsi="Verdana"/>
          <w:sz w:val="20"/>
          <w:szCs w:val="20"/>
          <w:lang w:val="es-CR"/>
        </w:rPr>
        <w:t xml:space="preserve">no existen elementos que permitan concluir que </w:t>
      </w:r>
      <w:r w:rsidR="00D34A78" w:rsidRPr="00512CF0">
        <w:rPr>
          <w:rFonts w:ascii="Verdana" w:hAnsi="Verdana"/>
          <w:sz w:val="20"/>
          <w:szCs w:val="20"/>
          <w:lang w:val="es-CR"/>
        </w:rPr>
        <w:t xml:space="preserve">a </w:t>
      </w:r>
      <w:r w:rsidR="00572021" w:rsidRPr="00512CF0">
        <w:rPr>
          <w:rFonts w:ascii="Verdana" w:hAnsi="Verdana"/>
          <w:sz w:val="20"/>
          <w:szCs w:val="20"/>
          <w:lang w:val="es-CR"/>
        </w:rPr>
        <w:t>la fecha</w:t>
      </w:r>
      <w:r w:rsidR="003745BA" w:rsidRPr="00512CF0">
        <w:rPr>
          <w:rFonts w:ascii="Verdana" w:hAnsi="Verdana"/>
          <w:sz w:val="20"/>
          <w:szCs w:val="20"/>
          <w:lang w:val="es-CR"/>
        </w:rPr>
        <w:t xml:space="preserve"> </w:t>
      </w:r>
      <w:r w:rsidR="0005000C" w:rsidRPr="00512CF0">
        <w:rPr>
          <w:rFonts w:ascii="Verdana" w:hAnsi="Verdana"/>
          <w:sz w:val="20"/>
          <w:szCs w:val="20"/>
          <w:lang w:val="es-CR"/>
        </w:rPr>
        <w:t>de</w:t>
      </w:r>
      <w:r w:rsidR="00380DD7">
        <w:rPr>
          <w:rFonts w:ascii="Verdana" w:hAnsi="Verdana"/>
          <w:sz w:val="20"/>
          <w:szCs w:val="20"/>
          <w:lang w:val="es-CR"/>
        </w:rPr>
        <w:t xml:space="preserve"> inicio</w:t>
      </w:r>
      <w:r w:rsidR="0083569E" w:rsidRPr="00512CF0">
        <w:rPr>
          <w:rFonts w:ascii="Verdana" w:hAnsi="Verdana"/>
          <w:sz w:val="20"/>
          <w:szCs w:val="20"/>
          <w:lang w:val="es-CR"/>
        </w:rPr>
        <w:t xml:space="preserve"> </w:t>
      </w:r>
      <w:r w:rsidR="00C25EAA">
        <w:rPr>
          <w:rFonts w:ascii="Verdana" w:hAnsi="Verdana"/>
          <w:sz w:val="20"/>
          <w:szCs w:val="20"/>
          <w:lang w:val="es-CR"/>
        </w:rPr>
        <w:t xml:space="preserve">del cómputo </w:t>
      </w:r>
      <w:r w:rsidR="008A7DB3" w:rsidRPr="00512CF0">
        <w:rPr>
          <w:rFonts w:ascii="Verdana" w:hAnsi="Verdana"/>
          <w:sz w:val="20"/>
          <w:szCs w:val="20"/>
          <w:lang w:val="es-CR"/>
        </w:rPr>
        <w:t>d</w:t>
      </w:r>
      <w:r w:rsidR="00983CD2" w:rsidRPr="00512CF0">
        <w:rPr>
          <w:rFonts w:ascii="Verdana" w:hAnsi="Verdana"/>
          <w:sz w:val="20"/>
          <w:szCs w:val="20"/>
          <w:lang w:val="es-CR"/>
        </w:rPr>
        <w:t xml:space="preserve">el plazo para </w:t>
      </w:r>
      <w:r w:rsidR="00891352" w:rsidRPr="00512CF0">
        <w:rPr>
          <w:rFonts w:ascii="Verdana" w:hAnsi="Verdana"/>
          <w:sz w:val="20"/>
          <w:szCs w:val="20"/>
          <w:lang w:val="es-CR"/>
        </w:rPr>
        <w:t xml:space="preserve">la interposición </w:t>
      </w:r>
      <w:r w:rsidR="00572021" w:rsidRPr="00512CF0">
        <w:rPr>
          <w:rFonts w:ascii="Verdana" w:hAnsi="Verdana"/>
          <w:sz w:val="20"/>
          <w:szCs w:val="20"/>
          <w:lang w:val="es-CR"/>
        </w:rPr>
        <w:t>del recurso extraordinario</w:t>
      </w:r>
      <w:r w:rsidR="00131163" w:rsidRPr="00512CF0">
        <w:rPr>
          <w:rFonts w:ascii="Verdana" w:hAnsi="Verdana"/>
          <w:sz w:val="20"/>
          <w:szCs w:val="20"/>
          <w:lang w:val="es-CR"/>
        </w:rPr>
        <w:t xml:space="preserve">, </w:t>
      </w:r>
      <w:r w:rsidR="00FB3E85" w:rsidRPr="00512CF0">
        <w:rPr>
          <w:rFonts w:ascii="Verdana" w:hAnsi="Verdana"/>
          <w:sz w:val="20"/>
          <w:szCs w:val="20"/>
          <w:lang w:val="es-CR"/>
        </w:rPr>
        <w:t xml:space="preserve">que </w:t>
      </w:r>
      <w:r w:rsidR="00344223" w:rsidRPr="00512CF0">
        <w:rPr>
          <w:rFonts w:ascii="Verdana" w:hAnsi="Verdana"/>
          <w:sz w:val="20"/>
          <w:szCs w:val="20"/>
          <w:lang w:val="es-CR"/>
        </w:rPr>
        <w:t>h</w:t>
      </w:r>
      <w:r w:rsidR="005011A4">
        <w:rPr>
          <w:rFonts w:ascii="Verdana" w:hAnsi="Verdana"/>
          <w:sz w:val="20"/>
          <w:szCs w:val="20"/>
          <w:lang w:val="es-CR"/>
        </w:rPr>
        <w:t>ubiese agotado</w:t>
      </w:r>
      <w:r w:rsidR="00344223" w:rsidRPr="00512CF0">
        <w:rPr>
          <w:rFonts w:ascii="Verdana" w:hAnsi="Verdana"/>
          <w:sz w:val="20"/>
          <w:szCs w:val="20"/>
          <w:lang w:val="es-CR"/>
        </w:rPr>
        <w:t xml:space="preserve"> los recursos </w:t>
      </w:r>
      <w:r w:rsidR="009B25F9">
        <w:rPr>
          <w:rFonts w:ascii="Verdana" w:hAnsi="Verdana"/>
          <w:sz w:val="20"/>
          <w:szCs w:val="20"/>
          <w:lang w:val="es-CR"/>
        </w:rPr>
        <w:t xml:space="preserve">de la jurisdicción interna </w:t>
      </w:r>
      <w:r w:rsidR="00B95831" w:rsidRPr="00512CF0">
        <w:rPr>
          <w:rFonts w:ascii="Verdana" w:hAnsi="Verdana"/>
          <w:sz w:val="20"/>
          <w:szCs w:val="20"/>
          <w:lang w:val="es-CR"/>
        </w:rPr>
        <w:t xml:space="preserve">por parte </w:t>
      </w:r>
      <w:r w:rsidR="00970962" w:rsidRPr="00512CF0">
        <w:rPr>
          <w:rFonts w:ascii="Verdana" w:hAnsi="Verdana"/>
          <w:sz w:val="20"/>
          <w:szCs w:val="20"/>
          <w:lang w:val="es-CR"/>
        </w:rPr>
        <w:t xml:space="preserve">de </w:t>
      </w:r>
      <w:r w:rsidR="00FF45B5" w:rsidRPr="00512CF0">
        <w:rPr>
          <w:rFonts w:ascii="Verdana" w:hAnsi="Verdana"/>
          <w:sz w:val="20"/>
          <w:szCs w:val="20"/>
          <w:lang w:val="es-CR"/>
        </w:rPr>
        <w:t xml:space="preserve">los </w:t>
      </w:r>
      <w:r w:rsidR="00AC354D" w:rsidRPr="00512CF0">
        <w:rPr>
          <w:rFonts w:ascii="Verdana" w:hAnsi="Verdana"/>
          <w:sz w:val="20"/>
          <w:szCs w:val="20"/>
          <w:lang w:val="es-CR"/>
        </w:rPr>
        <w:t>trabajadores</w:t>
      </w:r>
      <w:r w:rsidR="00923B0F" w:rsidRPr="00512CF0">
        <w:rPr>
          <w:rFonts w:ascii="Verdana" w:hAnsi="Verdana"/>
          <w:sz w:val="20"/>
          <w:szCs w:val="20"/>
          <w:lang w:val="es-CR"/>
        </w:rPr>
        <w:t xml:space="preserve"> </w:t>
      </w:r>
      <w:r w:rsidR="00970962" w:rsidRPr="00512CF0">
        <w:rPr>
          <w:rFonts w:ascii="Verdana" w:hAnsi="Verdana"/>
          <w:sz w:val="20"/>
          <w:szCs w:val="20"/>
          <w:lang w:val="es-CR"/>
        </w:rPr>
        <w:t>de Petroperú</w:t>
      </w:r>
      <w:r w:rsidR="00344223" w:rsidRPr="00512CF0">
        <w:rPr>
          <w:rFonts w:ascii="Verdana" w:hAnsi="Verdana"/>
          <w:sz w:val="20"/>
          <w:szCs w:val="20"/>
          <w:lang w:val="es-CR"/>
        </w:rPr>
        <w:t>,</w:t>
      </w:r>
      <w:r w:rsidR="003745BA" w:rsidRPr="00512CF0">
        <w:rPr>
          <w:rFonts w:ascii="Verdana" w:hAnsi="Verdana"/>
          <w:sz w:val="20"/>
          <w:szCs w:val="20"/>
          <w:lang w:val="es-CR"/>
        </w:rPr>
        <w:t xml:space="preserve"> </w:t>
      </w:r>
      <w:r w:rsidR="00344223" w:rsidRPr="00512CF0">
        <w:rPr>
          <w:rFonts w:ascii="Verdana" w:hAnsi="Verdana"/>
          <w:sz w:val="20"/>
          <w:szCs w:val="20"/>
          <w:lang w:val="es-CR"/>
        </w:rPr>
        <w:t xml:space="preserve">el Tribunal Constitucional </w:t>
      </w:r>
      <w:r w:rsidR="00A36ADD">
        <w:rPr>
          <w:rFonts w:ascii="Verdana" w:hAnsi="Verdana"/>
          <w:sz w:val="20"/>
          <w:szCs w:val="20"/>
          <w:lang w:val="es-CR"/>
        </w:rPr>
        <w:t xml:space="preserve">peruano </w:t>
      </w:r>
      <w:r w:rsidR="00FC4E28">
        <w:rPr>
          <w:rFonts w:ascii="Verdana" w:hAnsi="Verdana"/>
          <w:sz w:val="20"/>
          <w:szCs w:val="20"/>
          <w:lang w:val="es-CR"/>
        </w:rPr>
        <w:t xml:space="preserve">no </w:t>
      </w:r>
      <w:r w:rsidR="00344223" w:rsidRPr="00512CF0">
        <w:rPr>
          <w:rFonts w:ascii="Verdana" w:hAnsi="Verdana"/>
          <w:sz w:val="20"/>
          <w:szCs w:val="20"/>
          <w:lang w:val="es-CR"/>
        </w:rPr>
        <w:t>se encontr</w:t>
      </w:r>
      <w:r w:rsidR="00FC4E28">
        <w:rPr>
          <w:rFonts w:ascii="Verdana" w:hAnsi="Verdana"/>
          <w:sz w:val="20"/>
          <w:szCs w:val="20"/>
          <w:lang w:val="es-CR"/>
        </w:rPr>
        <w:t>ara</w:t>
      </w:r>
      <w:r w:rsidR="00344223" w:rsidRPr="00512CF0">
        <w:rPr>
          <w:rFonts w:ascii="Verdana" w:hAnsi="Verdana"/>
          <w:sz w:val="20"/>
          <w:szCs w:val="20"/>
          <w:lang w:val="es-CR"/>
        </w:rPr>
        <w:t xml:space="preserve"> </w:t>
      </w:r>
      <w:r w:rsidR="00F07FD6" w:rsidRPr="00512CF0">
        <w:rPr>
          <w:rFonts w:ascii="Verdana" w:hAnsi="Verdana"/>
          <w:sz w:val="20"/>
          <w:szCs w:val="20"/>
          <w:lang w:val="es-CR"/>
        </w:rPr>
        <w:t xml:space="preserve">constituido conforme a </w:t>
      </w:r>
      <w:r w:rsidR="0050293C" w:rsidRPr="00512CF0">
        <w:rPr>
          <w:rFonts w:ascii="Verdana" w:hAnsi="Verdana"/>
          <w:sz w:val="20"/>
          <w:szCs w:val="20"/>
          <w:lang w:val="es-CR"/>
        </w:rPr>
        <w:t xml:space="preserve">derecho </w:t>
      </w:r>
      <w:r w:rsidR="00CA46D1" w:rsidRPr="00512CF0">
        <w:rPr>
          <w:rFonts w:ascii="Verdana" w:hAnsi="Verdana"/>
          <w:sz w:val="20"/>
          <w:szCs w:val="20"/>
          <w:lang w:val="es-CR"/>
        </w:rPr>
        <w:t>y</w:t>
      </w:r>
      <w:r w:rsidR="00FC4E28">
        <w:rPr>
          <w:rFonts w:ascii="Verdana" w:hAnsi="Verdana"/>
          <w:sz w:val="20"/>
          <w:szCs w:val="20"/>
          <w:lang w:val="es-CR"/>
        </w:rPr>
        <w:t xml:space="preserve"> que no</w:t>
      </w:r>
      <w:r w:rsidR="00CA46D1" w:rsidRPr="00512CF0">
        <w:rPr>
          <w:rFonts w:ascii="Verdana" w:hAnsi="Verdana"/>
          <w:sz w:val="20"/>
          <w:szCs w:val="20"/>
          <w:lang w:val="es-CR"/>
        </w:rPr>
        <w:t xml:space="preserve"> </w:t>
      </w:r>
      <w:r w:rsidR="00FC4E28" w:rsidRPr="00512CF0">
        <w:rPr>
          <w:rFonts w:ascii="Verdana" w:hAnsi="Verdana"/>
          <w:sz w:val="20"/>
          <w:szCs w:val="20"/>
          <w:lang w:val="es-CR"/>
        </w:rPr>
        <w:t xml:space="preserve">se encontraba </w:t>
      </w:r>
      <w:r w:rsidR="00FC4E28">
        <w:rPr>
          <w:rFonts w:ascii="Verdana" w:hAnsi="Verdana"/>
          <w:sz w:val="20"/>
          <w:szCs w:val="20"/>
          <w:lang w:val="es-CR"/>
        </w:rPr>
        <w:t xml:space="preserve">en funciones e impartía justicia en </w:t>
      </w:r>
      <w:r w:rsidR="00FC4E28" w:rsidRPr="00512CF0">
        <w:rPr>
          <w:rFonts w:ascii="Verdana" w:hAnsi="Verdana"/>
          <w:sz w:val="20"/>
          <w:szCs w:val="20"/>
          <w:lang w:val="es-CR"/>
        </w:rPr>
        <w:t>plenitud de jurisdicción</w:t>
      </w:r>
      <w:r w:rsidR="00FC4E28">
        <w:rPr>
          <w:rFonts w:ascii="Verdana" w:hAnsi="Verdana"/>
          <w:sz w:val="20"/>
          <w:szCs w:val="20"/>
          <w:lang w:val="es-CR"/>
        </w:rPr>
        <w:t>.</w:t>
      </w:r>
      <w:r w:rsidR="0094720D" w:rsidRPr="00512CF0">
        <w:rPr>
          <w:rFonts w:ascii="Verdana" w:hAnsi="Verdana"/>
          <w:sz w:val="20"/>
          <w:szCs w:val="20"/>
          <w:lang w:val="es-CR"/>
        </w:rPr>
        <w:t xml:space="preserve"> </w:t>
      </w:r>
      <w:r w:rsidR="00901F46">
        <w:rPr>
          <w:rFonts w:ascii="Verdana" w:hAnsi="Verdana"/>
          <w:sz w:val="20"/>
          <w:szCs w:val="20"/>
          <w:lang w:val="es-CR"/>
        </w:rPr>
        <w:t>M</w:t>
      </w:r>
      <w:r w:rsidR="00FC4709">
        <w:rPr>
          <w:rFonts w:ascii="Verdana" w:hAnsi="Verdana"/>
          <w:sz w:val="20"/>
          <w:szCs w:val="20"/>
          <w:lang w:val="es-CR"/>
        </w:rPr>
        <w:t>á</w:t>
      </w:r>
      <w:r w:rsidR="00464B3B">
        <w:rPr>
          <w:rFonts w:ascii="Verdana" w:hAnsi="Verdana"/>
          <w:sz w:val="20"/>
          <w:szCs w:val="20"/>
          <w:lang w:val="es-CR"/>
        </w:rPr>
        <w:t>s allá</w:t>
      </w:r>
      <w:r w:rsidR="00FC4709">
        <w:rPr>
          <w:rFonts w:ascii="Verdana" w:hAnsi="Verdana"/>
          <w:sz w:val="20"/>
          <w:szCs w:val="20"/>
          <w:lang w:val="es-CR"/>
        </w:rPr>
        <w:t xml:space="preserve"> de los alegatos </w:t>
      </w:r>
      <w:r w:rsidR="00901F46">
        <w:rPr>
          <w:rFonts w:ascii="Verdana" w:hAnsi="Verdana"/>
          <w:sz w:val="20"/>
          <w:szCs w:val="20"/>
          <w:lang w:val="es-CR"/>
        </w:rPr>
        <w:t>formulados</w:t>
      </w:r>
      <w:r w:rsidR="00442971">
        <w:rPr>
          <w:rFonts w:ascii="Verdana" w:hAnsi="Verdana"/>
          <w:sz w:val="20"/>
          <w:szCs w:val="20"/>
          <w:lang w:val="es-CR"/>
        </w:rPr>
        <w:t xml:space="preserve"> por los peticionarios, </w:t>
      </w:r>
      <w:r w:rsidR="001849CB">
        <w:rPr>
          <w:rFonts w:ascii="Verdana" w:hAnsi="Verdana"/>
          <w:sz w:val="20"/>
          <w:szCs w:val="20"/>
          <w:lang w:val="es-CR"/>
        </w:rPr>
        <w:t xml:space="preserve">no se advierte la existencia de </w:t>
      </w:r>
      <w:r w:rsidR="0078735D" w:rsidRPr="00512CF0">
        <w:rPr>
          <w:rFonts w:ascii="Verdana" w:hAnsi="Verdana"/>
          <w:sz w:val="20"/>
          <w:szCs w:val="20"/>
          <w:lang w:val="es-CR"/>
        </w:rPr>
        <w:t xml:space="preserve">pruebas </w:t>
      </w:r>
      <w:r w:rsidR="00D1525F">
        <w:rPr>
          <w:rFonts w:ascii="Verdana" w:hAnsi="Verdana"/>
          <w:sz w:val="20"/>
          <w:szCs w:val="20"/>
          <w:lang w:val="es-CR"/>
        </w:rPr>
        <w:t>que demuestren</w:t>
      </w:r>
      <w:r w:rsidR="0078735D" w:rsidRPr="00512CF0">
        <w:rPr>
          <w:rFonts w:ascii="Verdana" w:hAnsi="Verdana"/>
          <w:sz w:val="20"/>
          <w:szCs w:val="20"/>
          <w:lang w:val="es-CR"/>
        </w:rPr>
        <w:t xml:space="preserve"> la</w:t>
      </w:r>
      <w:r w:rsidR="007840E1">
        <w:rPr>
          <w:rFonts w:ascii="Verdana" w:hAnsi="Verdana"/>
          <w:sz w:val="20"/>
          <w:szCs w:val="20"/>
          <w:lang w:val="es-CR"/>
        </w:rPr>
        <w:t xml:space="preserve"> ausencia</w:t>
      </w:r>
      <w:r w:rsidR="00AD21D6">
        <w:rPr>
          <w:rFonts w:ascii="Verdana" w:hAnsi="Verdana"/>
          <w:sz w:val="20"/>
          <w:szCs w:val="20"/>
          <w:lang w:val="es-CR"/>
        </w:rPr>
        <w:t xml:space="preserve"> de </w:t>
      </w:r>
      <w:r w:rsidR="00F149A7">
        <w:rPr>
          <w:rFonts w:ascii="Verdana" w:hAnsi="Verdana"/>
          <w:sz w:val="20"/>
          <w:szCs w:val="20"/>
          <w:lang w:val="es-CR"/>
        </w:rPr>
        <w:t xml:space="preserve">garantías judiciales </w:t>
      </w:r>
      <w:r w:rsidR="007A36CE">
        <w:rPr>
          <w:rFonts w:ascii="Verdana" w:hAnsi="Verdana"/>
          <w:sz w:val="20"/>
          <w:szCs w:val="20"/>
          <w:lang w:val="es-CR"/>
        </w:rPr>
        <w:t xml:space="preserve">que </w:t>
      </w:r>
      <w:r w:rsidR="000946EF">
        <w:rPr>
          <w:rFonts w:ascii="Verdana" w:hAnsi="Verdana"/>
          <w:sz w:val="20"/>
          <w:szCs w:val="20"/>
          <w:lang w:val="es-CR"/>
        </w:rPr>
        <w:t>tornara</w:t>
      </w:r>
      <w:r w:rsidR="007A36CE">
        <w:rPr>
          <w:rFonts w:ascii="Verdana" w:hAnsi="Verdana"/>
          <w:sz w:val="20"/>
          <w:szCs w:val="20"/>
          <w:lang w:val="es-CR"/>
        </w:rPr>
        <w:t xml:space="preserve"> innecesario el agotamiento del recurso extraordinario </w:t>
      </w:r>
      <w:r w:rsidR="000E4097">
        <w:rPr>
          <w:rFonts w:ascii="Verdana" w:hAnsi="Verdana"/>
          <w:sz w:val="20"/>
          <w:szCs w:val="20"/>
          <w:lang w:val="es-CR"/>
        </w:rPr>
        <w:t>ante el</w:t>
      </w:r>
      <w:r w:rsidR="0078735D" w:rsidRPr="00512CF0">
        <w:rPr>
          <w:rFonts w:ascii="Verdana" w:hAnsi="Verdana"/>
          <w:sz w:val="20"/>
          <w:szCs w:val="20"/>
          <w:lang w:val="es-CR"/>
        </w:rPr>
        <w:t xml:space="preserve"> Tribunal Constitucional al momento en que los trabajadores estuvieron en posibilidad de ejerci</w:t>
      </w:r>
      <w:r w:rsidR="008B5D12">
        <w:rPr>
          <w:rFonts w:ascii="Verdana" w:hAnsi="Verdana"/>
          <w:sz w:val="20"/>
          <w:szCs w:val="20"/>
          <w:lang w:val="es-CR"/>
        </w:rPr>
        <w:t>tar su derecho de acción, pues</w:t>
      </w:r>
      <w:r w:rsidR="0078735D" w:rsidRPr="00512CF0">
        <w:rPr>
          <w:rFonts w:ascii="Verdana" w:hAnsi="Verdana"/>
          <w:sz w:val="20"/>
          <w:szCs w:val="20"/>
          <w:lang w:val="es-CR"/>
        </w:rPr>
        <w:t xml:space="preserve"> </w:t>
      </w:r>
      <w:r w:rsidR="008C0AC0">
        <w:rPr>
          <w:rFonts w:ascii="Verdana" w:hAnsi="Verdana"/>
          <w:sz w:val="20"/>
          <w:szCs w:val="20"/>
          <w:lang w:val="es-CR"/>
        </w:rPr>
        <w:t xml:space="preserve">tal y </w:t>
      </w:r>
      <w:r w:rsidR="00E42BE4">
        <w:rPr>
          <w:rFonts w:ascii="Verdana" w:hAnsi="Verdana"/>
          <w:sz w:val="20"/>
          <w:szCs w:val="20"/>
          <w:lang w:val="es-CR"/>
        </w:rPr>
        <w:t>como</w:t>
      </w:r>
      <w:r w:rsidR="00C62E91">
        <w:rPr>
          <w:rFonts w:ascii="Verdana" w:hAnsi="Verdana"/>
          <w:sz w:val="20"/>
          <w:szCs w:val="20"/>
          <w:lang w:val="es-CR"/>
        </w:rPr>
        <w:t xml:space="preserve"> </w:t>
      </w:r>
      <w:r w:rsidR="00E15574">
        <w:rPr>
          <w:rFonts w:ascii="Verdana" w:hAnsi="Verdana"/>
          <w:sz w:val="20"/>
          <w:szCs w:val="20"/>
          <w:lang w:val="es-CR"/>
        </w:rPr>
        <w:t xml:space="preserve">se desprende de las decisiones de la Corte </w:t>
      </w:r>
      <w:r w:rsidR="00413D13">
        <w:rPr>
          <w:rFonts w:ascii="Verdana" w:hAnsi="Verdana"/>
          <w:sz w:val="20"/>
          <w:szCs w:val="20"/>
          <w:lang w:val="es-CR"/>
        </w:rPr>
        <w:t xml:space="preserve">en los casos de </w:t>
      </w:r>
      <w:r w:rsidR="00413D13">
        <w:rPr>
          <w:rFonts w:ascii="Verdana" w:hAnsi="Verdana"/>
          <w:i/>
          <w:sz w:val="20"/>
          <w:szCs w:val="20"/>
          <w:lang w:val="es-CR"/>
        </w:rPr>
        <w:t xml:space="preserve">Tribunal </w:t>
      </w:r>
      <w:proofErr w:type="spellStart"/>
      <w:r w:rsidR="00413D13">
        <w:rPr>
          <w:rFonts w:ascii="Verdana" w:hAnsi="Verdana"/>
          <w:i/>
          <w:sz w:val="20"/>
          <w:szCs w:val="20"/>
          <w:lang w:val="es-CR"/>
        </w:rPr>
        <w:t>Constituciona</w:t>
      </w:r>
      <w:proofErr w:type="spellEnd"/>
      <w:r w:rsidR="00413D13">
        <w:rPr>
          <w:rFonts w:ascii="Verdana" w:hAnsi="Verdana"/>
          <w:i/>
          <w:sz w:val="20"/>
          <w:szCs w:val="20"/>
          <w:lang w:val="es-CR"/>
        </w:rPr>
        <w:t xml:space="preserve">, Aguado Alfaro y otros </w:t>
      </w:r>
      <w:r w:rsidR="00413D13">
        <w:rPr>
          <w:rFonts w:ascii="Verdana" w:hAnsi="Verdana"/>
          <w:sz w:val="20"/>
          <w:szCs w:val="20"/>
          <w:lang w:val="es-CR"/>
        </w:rPr>
        <w:t xml:space="preserve">y </w:t>
      </w:r>
      <w:r w:rsidR="00413D13">
        <w:rPr>
          <w:rFonts w:ascii="Verdana" w:hAnsi="Verdana"/>
          <w:i/>
          <w:sz w:val="20"/>
          <w:szCs w:val="20"/>
          <w:lang w:val="es-CR"/>
        </w:rPr>
        <w:t xml:space="preserve">Canales </w:t>
      </w:r>
      <w:proofErr w:type="spellStart"/>
      <w:r w:rsidR="00413D13">
        <w:rPr>
          <w:rFonts w:ascii="Verdana" w:hAnsi="Verdana"/>
          <w:i/>
          <w:sz w:val="20"/>
          <w:szCs w:val="20"/>
          <w:lang w:val="es-CR"/>
        </w:rPr>
        <w:t>Huapaya</w:t>
      </w:r>
      <w:proofErr w:type="spellEnd"/>
      <w:r w:rsidR="00413D13">
        <w:rPr>
          <w:rFonts w:ascii="Verdana" w:hAnsi="Verdana"/>
          <w:i/>
          <w:sz w:val="20"/>
          <w:szCs w:val="20"/>
          <w:lang w:val="es-CR"/>
        </w:rPr>
        <w:t xml:space="preserve"> y otros</w:t>
      </w:r>
      <w:r w:rsidR="0078735D" w:rsidRPr="00512CF0">
        <w:rPr>
          <w:rFonts w:ascii="Verdana" w:hAnsi="Verdana"/>
          <w:sz w:val="20"/>
          <w:szCs w:val="20"/>
          <w:lang w:val="es-CR"/>
        </w:rPr>
        <w:t>, la época de conflictividad y la consecuente destitución de los miembros del Tribunal Constitucional ocurrió casi un año después</w:t>
      </w:r>
      <w:r w:rsidR="00A55680">
        <w:rPr>
          <w:rFonts w:ascii="Verdana" w:hAnsi="Verdana"/>
          <w:sz w:val="20"/>
          <w:szCs w:val="20"/>
          <w:lang w:val="es-CR"/>
        </w:rPr>
        <w:t xml:space="preserve"> </w:t>
      </w:r>
      <w:r w:rsidR="00FC16AF">
        <w:rPr>
          <w:rFonts w:ascii="Verdana" w:hAnsi="Verdana"/>
          <w:sz w:val="20"/>
          <w:szCs w:val="20"/>
          <w:lang w:val="es-CR"/>
        </w:rPr>
        <w:t xml:space="preserve">de </w:t>
      </w:r>
      <w:r w:rsidR="00910EA5">
        <w:rPr>
          <w:rFonts w:ascii="Verdana" w:hAnsi="Verdana"/>
          <w:sz w:val="20"/>
          <w:szCs w:val="20"/>
          <w:lang w:val="es-CR"/>
        </w:rPr>
        <w:t>dich</w:t>
      </w:r>
      <w:r w:rsidR="00A03A72">
        <w:rPr>
          <w:rFonts w:ascii="Verdana" w:hAnsi="Verdana"/>
          <w:sz w:val="20"/>
          <w:szCs w:val="20"/>
          <w:lang w:val="es-CR"/>
        </w:rPr>
        <w:t xml:space="preserve">o momento </w:t>
      </w:r>
      <w:r w:rsidR="00A55680">
        <w:rPr>
          <w:rFonts w:ascii="Verdana" w:hAnsi="Verdana"/>
          <w:sz w:val="20"/>
          <w:szCs w:val="20"/>
          <w:lang w:val="es-CR"/>
        </w:rPr>
        <w:t>procesal.</w:t>
      </w:r>
    </w:p>
    <w:p w14:paraId="478A3C13" w14:textId="77777777" w:rsidR="004865DD" w:rsidRPr="009D7294" w:rsidRDefault="004865DD" w:rsidP="009D7294">
      <w:pPr>
        <w:jc w:val="both"/>
        <w:rPr>
          <w:rFonts w:ascii="Verdana" w:hAnsi="Verdana"/>
          <w:lang w:val="es-CR"/>
        </w:rPr>
      </w:pPr>
    </w:p>
    <w:p w14:paraId="6206A191" w14:textId="37105B00" w:rsidR="00E15574" w:rsidRDefault="00E15574" w:rsidP="009D7294">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P</w:t>
      </w:r>
      <w:r w:rsidR="00F2068E" w:rsidRPr="00E15574">
        <w:rPr>
          <w:rFonts w:ascii="Verdana" w:hAnsi="Verdana"/>
          <w:sz w:val="20"/>
          <w:szCs w:val="20"/>
          <w:lang w:val="es-CR"/>
        </w:rPr>
        <w:t>ara la mayoría</w:t>
      </w:r>
      <w:r w:rsidR="00B2157B" w:rsidRPr="00E15574">
        <w:rPr>
          <w:rFonts w:ascii="Verdana" w:hAnsi="Verdana"/>
          <w:sz w:val="20"/>
          <w:szCs w:val="20"/>
          <w:lang w:val="es-CR"/>
        </w:rPr>
        <w:t>,</w:t>
      </w:r>
      <w:r w:rsidR="008A2522">
        <w:rPr>
          <w:rFonts w:ascii="Verdana" w:hAnsi="Verdana"/>
          <w:sz w:val="20"/>
          <w:szCs w:val="20"/>
          <w:lang w:val="es-CR"/>
        </w:rPr>
        <w:t xml:space="preserve"> </w:t>
      </w:r>
      <w:r w:rsidR="00F2068E" w:rsidRPr="00E15574">
        <w:rPr>
          <w:rFonts w:ascii="Verdana" w:hAnsi="Verdana"/>
          <w:sz w:val="20"/>
          <w:szCs w:val="20"/>
          <w:lang w:val="es-CR"/>
        </w:rPr>
        <w:t xml:space="preserve">la conflictividad entre el Poder Ejecutivo </w:t>
      </w:r>
      <w:r w:rsidR="00C15665" w:rsidRPr="002F6EA7">
        <w:rPr>
          <w:rFonts w:ascii="Verdana" w:hAnsi="Verdana"/>
          <w:sz w:val="20"/>
          <w:szCs w:val="20"/>
          <w:lang w:val="es-CR"/>
        </w:rPr>
        <w:t>y el Tribunal Constitucional, la</w:t>
      </w:r>
      <w:r w:rsidR="00F2068E" w:rsidRPr="002F6EA7">
        <w:rPr>
          <w:rFonts w:ascii="Verdana" w:hAnsi="Verdana"/>
          <w:sz w:val="20"/>
          <w:szCs w:val="20"/>
          <w:lang w:val="es-CR"/>
        </w:rPr>
        <w:t xml:space="preserve"> cual </w:t>
      </w:r>
      <w:r w:rsidR="001C77D6" w:rsidRPr="002F6EA7">
        <w:rPr>
          <w:rFonts w:ascii="Verdana" w:hAnsi="Verdana"/>
          <w:sz w:val="20"/>
          <w:szCs w:val="20"/>
          <w:lang w:val="es-CR"/>
        </w:rPr>
        <w:t xml:space="preserve">debió ocurrir previo a </w:t>
      </w:r>
      <w:r w:rsidR="00F2068E" w:rsidRPr="002F6EA7">
        <w:rPr>
          <w:rFonts w:ascii="Verdana" w:hAnsi="Verdana"/>
          <w:sz w:val="20"/>
          <w:szCs w:val="20"/>
          <w:lang w:val="es-CR"/>
        </w:rPr>
        <w:t>la destitución de los magistrados</w:t>
      </w:r>
      <w:r w:rsidR="005A18B7" w:rsidRPr="002F6EA7">
        <w:rPr>
          <w:rFonts w:ascii="Verdana" w:hAnsi="Verdana"/>
          <w:sz w:val="20"/>
          <w:szCs w:val="20"/>
          <w:lang w:val="es-CR"/>
        </w:rPr>
        <w:t xml:space="preserve"> el 28 de </w:t>
      </w:r>
      <w:r w:rsidR="005A18B7" w:rsidRPr="002F6EA7">
        <w:rPr>
          <w:rFonts w:ascii="Verdana" w:hAnsi="Verdana"/>
          <w:sz w:val="20"/>
          <w:szCs w:val="20"/>
          <w:lang w:val="es-CR"/>
        </w:rPr>
        <w:lastRenderedPageBreak/>
        <w:t>mayo de 1997</w:t>
      </w:r>
      <w:r w:rsidR="00F2068E" w:rsidRPr="002F6EA7">
        <w:rPr>
          <w:rFonts w:ascii="Verdana" w:hAnsi="Verdana"/>
          <w:sz w:val="20"/>
          <w:szCs w:val="20"/>
          <w:lang w:val="es-CR"/>
        </w:rPr>
        <w:t xml:space="preserve">, </w:t>
      </w:r>
      <w:r w:rsidR="002715DD" w:rsidRPr="002F6EA7">
        <w:rPr>
          <w:rFonts w:ascii="Verdana" w:hAnsi="Verdana"/>
          <w:sz w:val="20"/>
          <w:szCs w:val="20"/>
          <w:lang w:val="es-CR"/>
        </w:rPr>
        <w:t>afectó</w:t>
      </w:r>
      <w:r w:rsidR="0063628D" w:rsidRPr="002F6EA7">
        <w:rPr>
          <w:rFonts w:ascii="Verdana" w:hAnsi="Verdana"/>
          <w:sz w:val="20"/>
          <w:szCs w:val="20"/>
          <w:lang w:val="es-CR"/>
        </w:rPr>
        <w:t xml:space="preserve"> </w:t>
      </w:r>
      <w:r w:rsidR="00F2068E" w:rsidRPr="002F6EA7">
        <w:rPr>
          <w:rFonts w:ascii="Verdana" w:hAnsi="Verdana"/>
          <w:sz w:val="20"/>
          <w:szCs w:val="20"/>
          <w:lang w:val="es-CR"/>
        </w:rPr>
        <w:t>la independencia e imparcialidad de dicho Tribunal</w:t>
      </w:r>
      <w:r w:rsidR="00413D13" w:rsidRPr="002F6EA7">
        <w:rPr>
          <w:rFonts w:ascii="Verdana" w:hAnsi="Verdana"/>
          <w:sz w:val="20"/>
          <w:szCs w:val="20"/>
          <w:lang w:val="es-CR"/>
        </w:rPr>
        <w:t>, por lo que</w:t>
      </w:r>
      <w:r w:rsidR="002715DD" w:rsidRPr="002F6EA7">
        <w:rPr>
          <w:rFonts w:ascii="Verdana" w:hAnsi="Verdana"/>
          <w:sz w:val="20"/>
          <w:szCs w:val="20"/>
          <w:lang w:val="es-CR"/>
        </w:rPr>
        <w:t xml:space="preserve"> era</w:t>
      </w:r>
      <w:r w:rsidR="00413D13" w:rsidRPr="002F6EA7">
        <w:rPr>
          <w:rFonts w:ascii="Verdana" w:hAnsi="Verdana"/>
          <w:sz w:val="20"/>
          <w:szCs w:val="20"/>
          <w:lang w:val="es-CR"/>
        </w:rPr>
        <w:t xml:space="preserve"> “nula la posibilidad de que este Tribunal hiciera lugar a un eventual recurso de los peticionarios” (</w:t>
      </w:r>
      <w:r w:rsidR="00413D13" w:rsidRPr="002F6EA7">
        <w:rPr>
          <w:rFonts w:ascii="Verdana" w:hAnsi="Verdana"/>
          <w:i/>
          <w:sz w:val="20"/>
          <w:szCs w:val="20"/>
          <w:lang w:val="es-CR"/>
        </w:rPr>
        <w:t xml:space="preserve">supra </w:t>
      </w:r>
      <w:r w:rsidR="00413D13" w:rsidRPr="002F6EA7">
        <w:rPr>
          <w:rFonts w:ascii="Verdana" w:hAnsi="Verdana"/>
          <w:sz w:val="20"/>
          <w:szCs w:val="20"/>
          <w:lang w:val="es-CR"/>
        </w:rPr>
        <w:t>párr. 43)</w:t>
      </w:r>
      <w:r w:rsidR="00F2068E" w:rsidRPr="002F6EA7">
        <w:rPr>
          <w:rFonts w:ascii="Verdana" w:hAnsi="Verdana"/>
          <w:sz w:val="20"/>
          <w:szCs w:val="20"/>
          <w:lang w:val="es-CR"/>
        </w:rPr>
        <w:t xml:space="preserve">. </w:t>
      </w:r>
      <w:r w:rsidR="009D6A1D" w:rsidRPr="002F6EA7">
        <w:rPr>
          <w:rFonts w:ascii="Verdana" w:hAnsi="Verdana"/>
          <w:sz w:val="20"/>
          <w:szCs w:val="20"/>
          <w:lang w:val="es-CR"/>
        </w:rPr>
        <w:t>Sin embargo, e</w:t>
      </w:r>
      <w:r w:rsidR="00F2068E" w:rsidRPr="002F6EA7">
        <w:rPr>
          <w:rFonts w:ascii="Verdana" w:hAnsi="Verdana"/>
          <w:sz w:val="20"/>
          <w:szCs w:val="20"/>
          <w:lang w:val="es-CR"/>
        </w:rPr>
        <w:t>sta posición, aunque</w:t>
      </w:r>
      <w:r w:rsidR="009D6A1D" w:rsidRPr="002F6EA7">
        <w:rPr>
          <w:rFonts w:ascii="Verdana" w:hAnsi="Verdana"/>
          <w:sz w:val="20"/>
          <w:szCs w:val="20"/>
          <w:lang w:val="es-CR"/>
        </w:rPr>
        <w:t xml:space="preserve"> quizás</w:t>
      </w:r>
      <w:r w:rsidR="00F2068E" w:rsidRPr="002F6EA7">
        <w:rPr>
          <w:rFonts w:ascii="Verdana" w:hAnsi="Verdana"/>
          <w:sz w:val="20"/>
          <w:szCs w:val="20"/>
          <w:lang w:val="es-CR"/>
        </w:rPr>
        <w:t xml:space="preserve"> lógica</w:t>
      </w:r>
      <w:r w:rsidR="00307B2C" w:rsidRPr="002F6EA7">
        <w:rPr>
          <w:rFonts w:ascii="Verdana" w:hAnsi="Verdana"/>
          <w:sz w:val="20"/>
          <w:szCs w:val="20"/>
          <w:lang w:val="es-CR"/>
        </w:rPr>
        <w:t xml:space="preserve"> conforme al conocimiento que</w:t>
      </w:r>
      <w:r w:rsidR="00BD2A6F" w:rsidRPr="002F6EA7">
        <w:rPr>
          <w:rFonts w:ascii="Verdana" w:hAnsi="Verdana"/>
          <w:sz w:val="20"/>
          <w:szCs w:val="20"/>
          <w:lang w:val="es-CR"/>
        </w:rPr>
        <w:t xml:space="preserve"> actualmente</w:t>
      </w:r>
      <w:r w:rsidR="00307B2C" w:rsidRPr="002F6EA7">
        <w:rPr>
          <w:rFonts w:ascii="Verdana" w:hAnsi="Verdana"/>
          <w:sz w:val="20"/>
          <w:szCs w:val="20"/>
          <w:lang w:val="es-CR"/>
        </w:rPr>
        <w:t xml:space="preserve"> tenemos de la crisis institucional en Perú en los años noventa</w:t>
      </w:r>
      <w:r w:rsidR="00F2068E" w:rsidRPr="002F6EA7">
        <w:rPr>
          <w:rFonts w:ascii="Verdana" w:hAnsi="Verdana"/>
          <w:sz w:val="20"/>
          <w:szCs w:val="20"/>
          <w:lang w:val="es-CR"/>
        </w:rPr>
        <w:t>,</w:t>
      </w:r>
      <w:r w:rsidR="00A0562B" w:rsidRPr="002F6EA7">
        <w:rPr>
          <w:rFonts w:ascii="Verdana" w:hAnsi="Verdana"/>
          <w:sz w:val="20"/>
          <w:szCs w:val="20"/>
          <w:lang w:val="es-CR"/>
        </w:rPr>
        <w:t xml:space="preserve"> no parece encontrar asidero más allá </w:t>
      </w:r>
      <w:r w:rsidR="001C77D6" w:rsidRPr="002F6EA7">
        <w:rPr>
          <w:rFonts w:ascii="Verdana" w:hAnsi="Verdana"/>
          <w:sz w:val="20"/>
          <w:szCs w:val="20"/>
          <w:lang w:val="es-CR"/>
        </w:rPr>
        <w:t xml:space="preserve">de </w:t>
      </w:r>
      <w:r w:rsidR="00A0562B" w:rsidRPr="002F6EA7">
        <w:rPr>
          <w:rFonts w:ascii="Verdana" w:hAnsi="Verdana"/>
          <w:sz w:val="20"/>
          <w:szCs w:val="20"/>
          <w:lang w:val="es-CR"/>
        </w:rPr>
        <w:t xml:space="preserve">un análisis político </w:t>
      </w:r>
      <w:r w:rsidR="00307B2C" w:rsidRPr="002F6EA7">
        <w:rPr>
          <w:rFonts w:ascii="Verdana" w:hAnsi="Verdana"/>
          <w:i/>
          <w:sz w:val="20"/>
          <w:szCs w:val="20"/>
          <w:lang w:val="es-CR"/>
        </w:rPr>
        <w:t>ex post facto</w:t>
      </w:r>
      <w:r w:rsidR="00A0562B" w:rsidRPr="002F6EA7">
        <w:rPr>
          <w:rFonts w:ascii="Verdana" w:hAnsi="Verdana"/>
          <w:sz w:val="20"/>
          <w:szCs w:val="20"/>
          <w:lang w:val="es-CR"/>
        </w:rPr>
        <w:t xml:space="preserve">. </w:t>
      </w:r>
      <w:r w:rsidR="00BD2A6F" w:rsidRPr="002F6EA7">
        <w:rPr>
          <w:rFonts w:ascii="Verdana" w:hAnsi="Verdana"/>
          <w:sz w:val="20"/>
          <w:szCs w:val="20"/>
          <w:lang w:val="es-CR"/>
        </w:rPr>
        <w:t>Se trata de una posición</w:t>
      </w:r>
      <w:r w:rsidR="00F2068E" w:rsidRPr="002F6EA7">
        <w:rPr>
          <w:rFonts w:ascii="Verdana" w:hAnsi="Verdana"/>
          <w:sz w:val="20"/>
          <w:szCs w:val="20"/>
          <w:lang w:val="es-CR"/>
        </w:rPr>
        <w:t xml:space="preserve"> basada en una serie de suposiciones</w:t>
      </w:r>
      <w:r w:rsidR="00FD3BEC" w:rsidRPr="002F6EA7">
        <w:rPr>
          <w:rFonts w:ascii="Verdana" w:hAnsi="Verdana"/>
          <w:sz w:val="20"/>
          <w:szCs w:val="20"/>
          <w:lang w:val="es-CR"/>
        </w:rPr>
        <w:t xml:space="preserve"> acerca de la</w:t>
      </w:r>
      <w:r w:rsidR="005A18B7" w:rsidRPr="002F6EA7">
        <w:rPr>
          <w:rFonts w:ascii="Verdana" w:hAnsi="Verdana"/>
          <w:sz w:val="20"/>
          <w:szCs w:val="20"/>
          <w:lang w:val="es-CR"/>
        </w:rPr>
        <w:t xml:space="preserve"> forma y niveles de</w:t>
      </w:r>
      <w:r w:rsidR="00FD3BEC" w:rsidRPr="002F6EA7">
        <w:rPr>
          <w:rFonts w:ascii="Verdana" w:hAnsi="Verdana"/>
          <w:sz w:val="20"/>
          <w:szCs w:val="20"/>
          <w:lang w:val="es-CR"/>
        </w:rPr>
        <w:t xml:space="preserve"> conflictividad</w:t>
      </w:r>
      <w:r w:rsidR="00BD2A6F" w:rsidRPr="002F6EA7">
        <w:rPr>
          <w:rFonts w:ascii="Verdana" w:hAnsi="Verdana"/>
          <w:sz w:val="20"/>
          <w:szCs w:val="20"/>
          <w:lang w:val="es-CR"/>
        </w:rPr>
        <w:t xml:space="preserve"> específica</w:t>
      </w:r>
      <w:r w:rsidR="00FD3BEC" w:rsidRPr="002F6EA7">
        <w:rPr>
          <w:rFonts w:ascii="Verdana" w:hAnsi="Verdana"/>
          <w:sz w:val="20"/>
          <w:szCs w:val="20"/>
          <w:lang w:val="es-CR"/>
        </w:rPr>
        <w:t xml:space="preserve"> entre</w:t>
      </w:r>
      <w:r w:rsidR="00BD2A6F" w:rsidRPr="002F6EA7">
        <w:rPr>
          <w:rFonts w:ascii="Verdana" w:hAnsi="Verdana"/>
          <w:sz w:val="20"/>
          <w:szCs w:val="20"/>
          <w:lang w:val="es-CR"/>
        </w:rPr>
        <w:t xml:space="preserve"> el Poder Ejecutivo y el Tribunal Constitucional</w:t>
      </w:r>
      <w:r w:rsidR="00FD3BEC" w:rsidRPr="002F6EA7">
        <w:rPr>
          <w:rFonts w:ascii="Verdana" w:hAnsi="Verdana"/>
          <w:sz w:val="20"/>
          <w:szCs w:val="20"/>
          <w:lang w:val="es-CR"/>
        </w:rPr>
        <w:t xml:space="preserve"> en la época de los hechos, </w:t>
      </w:r>
      <w:r w:rsidR="005A18B7" w:rsidRPr="002F6EA7">
        <w:rPr>
          <w:rFonts w:ascii="Verdana" w:hAnsi="Verdana"/>
          <w:sz w:val="20"/>
          <w:szCs w:val="20"/>
          <w:lang w:val="es-CR"/>
        </w:rPr>
        <w:t>así como de</w:t>
      </w:r>
      <w:r w:rsidR="00FD3BEC" w:rsidRPr="002F6EA7">
        <w:rPr>
          <w:rFonts w:ascii="Verdana" w:hAnsi="Verdana"/>
          <w:sz w:val="20"/>
          <w:szCs w:val="20"/>
          <w:lang w:val="es-CR"/>
        </w:rPr>
        <w:t xml:space="preserve"> </w:t>
      </w:r>
      <w:r w:rsidR="005A18B7" w:rsidRPr="002F6EA7">
        <w:rPr>
          <w:rFonts w:ascii="Verdana" w:hAnsi="Verdana"/>
          <w:sz w:val="20"/>
          <w:szCs w:val="20"/>
          <w:lang w:val="es-CR"/>
        </w:rPr>
        <w:t>los efectos que dicha</w:t>
      </w:r>
      <w:r w:rsidR="00FD3BEC" w:rsidRPr="002F6EA7">
        <w:rPr>
          <w:rFonts w:ascii="Verdana" w:hAnsi="Verdana"/>
          <w:sz w:val="20"/>
          <w:szCs w:val="20"/>
          <w:lang w:val="es-CR"/>
        </w:rPr>
        <w:t xml:space="preserve"> </w:t>
      </w:r>
      <w:r w:rsidR="00EB437A" w:rsidRPr="002F6EA7">
        <w:rPr>
          <w:rFonts w:ascii="Verdana" w:hAnsi="Verdana"/>
          <w:sz w:val="20"/>
          <w:szCs w:val="20"/>
          <w:lang w:val="es-CR"/>
        </w:rPr>
        <w:t xml:space="preserve">disputa </w:t>
      </w:r>
      <w:r w:rsidR="005A18B7" w:rsidRPr="002F6EA7">
        <w:rPr>
          <w:rFonts w:ascii="Verdana" w:hAnsi="Verdana"/>
          <w:sz w:val="20"/>
          <w:szCs w:val="20"/>
          <w:lang w:val="es-CR"/>
        </w:rPr>
        <w:t xml:space="preserve">pudo tener en la </w:t>
      </w:r>
      <w:r w:rsidR="00FD3BEC" w:rsidRPr="002F6EA7">
        <w:rPr>
          <w:rFonts w:ascii="Verdana" w:hAnsi="Verdana"/>
          <w:sz w:val="20"/>
          <w:szCs w:val="20"/>
          <w:lang w:val="es-CR"/>
        </w:rPr>
        <w:t xml:space="preserve">efectividad de los recursos </w:t>
      </w:r>
      <w:r w:rsidR="00BD2A6F" w:rsidRPr="002F6EA7">
        <w:rPr>
          <w:rFonts w:ascii="Verdana" w:hAnsi="Verdana"/>
          <w:sz w:val="20"/>
          <w:szCs w:val="20"/>
          <w:lang w:val="es-CR"/>
        </w:rPr>
        <w:t>no intentados por los trabajadores de Petroperú</w:t>
      </w:r>
      <w:r w:rsidR="005A18B7" w:rsidRPr="002F6EA7">
        <w:rPr>
          <w:rFonts w:ascii="Verdana" w:hAnsi="Verdana"/>
          <w:sz w:val="20"/>
          <w:szCs w:val="20"/>
          <w:lang w:val="es-CR"/>
        </w:rPr>
        <w:t>.</w:t>
      </w:r>
    </w:p>
    <w:p w14:paraId="1699A585" w14:textId="77777777" w:rsidR="00E15574" w:rsidRDefault="00E15574" w:rsidP="009D7294">
      <w:pPr>
        <w:pStyle w:val="ListParagraph"/>
        <w:ind w:left="0"/>
        <w:jc w:val="both"/>
        <w:rPr>
          <w:rFonts w:ascii="Verdana" w:hAnsi="Verdana"/>
          <w:sz w:val="20"/>
          <w:szCs w:val="20"/>
          <w:lang w:val="es-CR"/>
        </w:rPr>
      </w:pPr>
    </w:p>
    <w:p w14:paraId="5D571B92" w14:textId="454251F8" w:rsidR="00A0562B" w:rsidRPr="00E15574" w:rsidRDefault="00E15574" w:rsidP="009D7294">
      <w:pPr>
        <w:pStyle w:val="ListParagraph"/>
        <w:numPr>
          <w:ilvl w:val="0"/>
          <w:numId w:val="10"/>
        </w:numPr>
        <w:ind w:left="0" w:firstLine="0"/>
        <w:jc w:val="both"/>
        <w:rPr>
          <w:rFonts w:ascii="Verdana" w:hAnsi="Verdana"/>
          <w:sz w:val="20"/>
          <w:szCs w:val="20"/>
          <w:lang w:val="es-CR"/>
        </w:rPr>
      </w:pPr>
      <w:r>
        <w:rPr>
          <w:rFonts w:ascii="Verdana" w:hAnsi="Verdana"/>
          <w:sz w:val="20"/>
          <w:szCs w:val="20"/>
          <w:lang w:val="es-CR"/>
        </w:rPr>
        <w:t xml:space="preserve">Adicionalmente, en relación con este punto, cabe destacar que la posición de la Comisión y de la Corte es contradictoria si se le observa en relación con los criterios de admisibilidad que sí fueron considerados para los grupos de trabajadores de </w:t>
      </w:r>
      <w:proofErr w:type="spellStart"/>
      <w:r>
        <w:rPr>
          <w:rFonts w:ascii="Verdana" w:hAnsi="Verdana"/>
          <w:sz w:val="20"/>
          <w:szCs w:val="20"/>
          <w:lang w:val="es-CR"/>
        </w:rPr>
        <w:t>Enapu</w:t>
      </w:r>
      <w:proofErr w:type="spellEnd"/>
      <w:r>
        <w:rPr>
          <w:rFonts w:ascii="Verdana" w:hAnsi="Verdana"/>
          <w:sz w:val="20"/>
          <w:szCs w:val="20"/>
          <w:lang w:val="es-CR"/>
        </w:rPr>
        <w:t xml:space="preserve">, MEF y </w:t>
      </w:r>
      <w:proofErr w:type="spellStart"/>
      <w:r>
        <w:rPr>
          <w:rFonts w:ascii="Verdana" w:hAnsi="Verdana"/>
          <w:sz w:val="20"/>
          <w:szCs w:val="20"/>
          <w:lang w:val="es-CR"/>
        </w:rPr>
        <w:t>Minedu</w:t>
      </w:r>
      <w:proofErr w:type="spellEnd"/>
      <w:r>
        <w:rPr>
          <w:rFonts w:ascii="Verdana" w:hAnsi="Verdana"/>
          <w:sz w:val="20"/>
          <w:szCs w:val="20"/>
          <w:lang w:val="es-CR"/>
        </w:rPr>
        <w:t>. En estos casos, la Comisión calificó que las sentencias emitidas por el Tribunal Constitucional habían agotado los recursos internos que debían intentarse conforme a la Convención. Sin embargo, en el caso de Petroperú, la Comisión consideró que los trabajadores no debían acudir ante el Tribunal Constitucional, aplicando así un doble rasero entre distintos grupos de trabajadores. Esta contradicción fue convalidada por la Corte</w:t>
      </w:r>
      <w:r w:rsidR="002F6EA7">
        <w:rPr>
          <w:rFonts w:ascii="Verdana" w:hAnsi="Verdana"/>
          <w:sz w:val="20"/>
          <w:szCs w:val="20"/>
          <w:lang w:val="es-CR"/>
        </w:rPr>
        <w:t xml:space="preserve"> en la presente sentencia</w:t>
      </w:r>
      <w:r>
        <w:rPr>
          <w:rFonts w:ascii="Verdana" w:hAnsi="Verdana"/>
          <w:sz w:val="20"/>
          <w:szCs w:val="20"/>
          <w:lang w:val="es-CR"/>
        </w:rPr>
        <w:t xml:space="preserve">, sin ofrecer </w:t>
      </w:r>
      <w:r w:rsidR="002F6EA7">
        <w:rPr>
          <w:rFonts w:ascii="Verdana" w:hAnsi="Verdana"/>
          <w:sz w:val="20"/>
          <w:szCs w:val="20"/>
          <w:lang w:val="es-CR"/>
        </w:rPr>
        <w:t>una</w:t>
      </w:r>
      <w:r>
        <w:rPr>
          <w:rFonts w:ascii="Verdana" w:hAnsi="Verdana"/>
          <w:sz w:val="20"/>
          <w:szCs w:val="20"/>
          <w:lang w:val="es-CR"/>
        </w:rPr>
        <w:t xml:space="preserve"> explicación jurídica</w:t>
      </w:r>
      <w:r w:rsidR="002F6EA7">
        <w:rPr>
          <w:rFonts w:ascii="Verdana" w:hAnsi="Verdana"/>
          <w:sz w:val="20"/>
          <w:szCs w:val="20"/>
          <w:lang w:val="es-CR"/>
        </w:rPr>
        <w:t xml:space="preserve"> satisfactoria</w:t>
      </w:r>
      <w:r>
        <w:rPr>
          <w:rFonts w:ascii="Verdana" w:hAnsi="Verdana"/>
          <w:sz w:val="20"/>
          <w:szCs w:val="20"/>
          <w:lang w:val="es-CR"/>
        </w:rPr>
        <w:t>, al rechazar la excepción preliminar planteada por el Estado.</w:t>
      </w:r>
    </w:p>
    <w:p w14:paraId="71C98E12" w14:textId="77777777" w:rsidR="009D6A1D" w:rsidRPr="009D6A1D" w:rsidRDefault="009D6A1D" w:rsidP="00CC27DB">
      <w:pPr>
        <w:pStyle w:val="ListParagraph"/>
        <w:ind w:left="0"/>
        <w:rPr>
          <w:rFonts w:ascii="Verdana" w:hAnsi="Verdana"/>
          <w:sz w:val="20"/>
          <w:szCs w:val="20"/>
          <w:lang w:val="es-CR"/>
        </w:rPr>
      </w:pPr>
    </w:p>
    <w:p w14:paraId="77D7A70A" w14:textId="5DB1F577" w:rsidR="009E6550" w:rsidRPr="004F1B5F" w:rsidRDefault="005A18B7" w:rsidP="009D7294">
      <w:pPr>
        <w:pStyle w:val="ListParagraph"/>
        <w:numPr>
          <w:ilvl w:val="0"/>
          <w:numId w:val="10"/>
        </w:numPr>
        <w:ind w:left="0" w:firstLine="0"/>
        <w:jc w:val="both"/>
        <w:rPr>
          <w:rFonts w:ascii="Verdana" w:hAnsi="Verdana"/>
          <w:sz w:val="20"/>
          <w:szCs w:val="20"/>
          <w:lang w:val="es-CR"/>
        </w:rPr>
      </w:pPr>
      <w:r w:rsidRPr="005654C2">
        <w:rPr>
          <w:rFonts w:ascii="Verdana" w:hAnsi="Verdana"/>
          <w:sz w:val="20"/>
          <w:szCs w:val="20"/>
          <w:lang w:val="es-CR"/>
        </w:rPr>
        <w:t>En ese sentido</w:t>
      </w:r>
      <w:r w:rsidR="009D6A1D" w:rsidRPr="005654C2">
        <w:rPr>
          <w:rFonts w:ascii="Verdana" w:hAnsi="Verdana"/>
          <w:sz w:val="20"/>
          <w:szCs w:val="20"/>
          <w:lang w:val="es-CR"/>
        </w:rPr>
        <w:t xml:space="preserve">, y en </w:t>
      </w:r>
      <w:r w:rsidRPr="005654C2">
        <w:rPr>
          <w:rFonts w:ascii="Verdana" w:hAnsi="Verdana"/>
          <w:sz w:val="20"/>
          <w:szCs w:val="20"/>
          <w:lang w:val="es-CR"/>
        </w:rPr>
        <w:t xml:space="preserve">estrecha </w:t>
      </w:r>
      <w:r w:rsidR="009D6A1D" w:rsidRPr="005654C2">
        <w:rPr>
          <w:rFonts w:ascii="Verdana" w:hAnsi="Verdana"/>
          <w:sz w:val="20"/>
          <w:szCs w:val="20"/>
          <w:lang w:val="es-CR"/>
        </w:rPr>
        <w:t xml:space="preserve">relación con lo anterior, la sentencia se aparta del criterio adoptado por la Corte en el caso </w:t>
      </w:r>
      <w:proofErr w:type="spellStart"/>
      <w:r w:rsidR="009D6A1D" w:rsidRPr="005654C2">
        <w:rPr>
          <w:rFonts w:ascii="Verdana" w:hAnsi="Verdana"/>
          <w:i/>
          <w:sz w:val="20"/>
          <w:szCs w:val="20"/>
          <w:lang w:val="es-CR"/>
        </w:rPr>
        <w:t>Brewer</w:t>
      </w:r>
      <w:proofErr w:type="spellEnd"/>
      <w:r w:rsidR="009D6A1D" w:rsidRPr="005654C2">
        <w:rPr>
          <w:rFonts w:ascii="Verdana" w:hAnsi="Verdana"/>
          <w:i/>
          <w:sz w:val="20"/>
          <w:szCs w:val="20"/>
          <w:lang w:val="es-CR"/>
        </w:rPr>
        <w:t xml:space="preserve"> Car</w:t>
      </w:r>
      <w:r w:rsidR="00D3483B" w:rsidRPr="005654C2">
        <w:rPr>
          <w:rFonts w:ascii="Verdana" w:hAnsi="Verdana"/>
          <w:i/>
          <w:sz w:val="20"/>
          <w:szCs w:val="20"/>
          <w:lang w:val="es-CR"/>
        </w:rPr>
        <w:t>í</w:t>
      </w:r>
      <w:r w:rsidR="009D6A1D" w:rsidRPr="005654C2">
        <w:rPr>
          <w:rFonts w:ascii="Verdana" w:hAnsi="Verdana"/>
          <w:i/>
          <w:sz w:val="20"/>
          <w:szCs w:val="20"/>
          <w:lang w:val="es-CR"/>
        </w:rPr>
        <w:t xml:space="preserve">as </w:t>
      </w:r>
      <w:r w:rsidR="000F3071" w:rsidRPr="005654C2">
        <w:rPr>
          <w:rFonts w:ascii="Verdana" w:hAnsi="Verdana"/>
          <w:i/>
          <w:sz w:val="20"/>
          <w:szCs w:val="20"/>
          <w:lang w:val="es-CR"/>
        </w:rPr>
        <w:t>Vs.</w:t>
      </w:r>
      <w:r w:rsidR="009D6A1D" w:rsidRPr="005654C2">
        <w:rPr>
          <w:rFonts w:ascii="Verdana" w:hAnsi="Verdana"/>
          <w:i/>
          <w:sz w:val="20"/>
          <w:szCs w:val="20"/>
          <w:lang w:val="es-CR"/>
        </w:rPr>
        <w:t xml:space="preserve"> </w:t>
      </w:r>
      <w:r w:rsidR="00FD3BEC" w:rsidRPr="005654C2">
        <w:rPr>
          <w:rFonts w:ascii="Verdana" w:hAnsi="Verdana"/>
          <w:i/>
          <w:sz w:val="20"/>
          <w:szCs w:val="20"/>
          <w:lang w:val="es-CR"/>
        </w:rPr>
        <w:t xml:space="preserve">Venezuela. </w:t>
      </w:r>
      <w:r w:rsidR="00FD3BEC" w:rsidRPr="005654C2">
        <w:rPr>
          <w:rFonts w:ascii="Verdana" w:hAnsi="Verdana"/>
          <w:sz w:val="20"/>
          <w:szCs w:val="20"/>
          <w:lang w:val="es-CR"/>
        </w:rPr>
        <w:t>En este caso la Corte</w:t>
      </w:r>
      <w:r w:rsidR="00A27A3A" w:rsidRPr="005654C2">
        <w:rPr>
          <w:rFonts w:ascii="Verdana" w:hAnsi="Verdana"/>
          <w:sz w:val="20"/>
          <w:szCs w:val="20"/>
          <w:lang w:val="es-CR"/>
        </w:rPr>
        <w:t xml:space="preserve"> consideró que</w:t>
      </w:r>
      <w:r w:rsidR="005F621B" w:rsidRPr="005654C2">
        <w:rPr>
          <w:rFonts w:ascii="Verdana" w:hAnsi="Verdana"/>
          <w:sz w:val="20"/>
          <w:szCs w:val="20"/>
          <w:lang w:val="es-CR"/>
        </w:rPr>
        <w:t xml:space="preserve">, </w:t>
      </w:r>
      <w:r w:rsidR="00A27A3A" w:rsidRPr="005654C2">
        <w:rPr>
          <w:rFonts w:ascii="Verdana" w:hAnsi="Verdana"/>
          <w:sz w:val="20"/>
          <w:szCs w:val="20"/>
          <w:lang w:val="es-CR"/>
        </w:rPr>
        <w:t>de un alegado contexto</w:t>
      </w:r>
      <w:r w:rsidR="00C15665" w:rsidRPr="005654C2">
        <w:rPr>
          <w:rFonts w:ascii="Verdana" w:hAnsi="Verdana"/>
          <w:sz w:val="20"/>
          <w:szCs w:val="20"/>
          <w:lang w:val="es-CR"/>
        </w:rPr>
        <w:t xml:space="preserve"> </w:t>
      </w:r>
      <w:r w:rsidR="00CC739A" w:rsidRPr="005654C2">
        <w:rPr>
          <w:rFonts w:ascii="Verdana" w:hAnsi="Verdana"/>
          <w:sz w:val="20"/>
          <w:szCs w:val="20"/>
          <w:lang w:val="es-CR"/>
        </w:rPr>
        <w:t>que afecte la efectividad de un recurso</w:t>
      </w:r>
      <w:r w:rsidR="00C15665" w:rsidRPr="005654C2">
        <w:rPr>
          <w:rFonts w:ascii="Verdana" w:hAnsi="Verdana"/>
          <w:sz w:val="20"/>
          <w:szCs w:val="20"/>
          <w:lang w:val="es-CR"/>
        </w:rPr>
        <w:t>,</w:t>
      </w:r>
      <w:r w:rsidR="00A27A3A" w:rsidRPr="005654C2">
        <w:rPr>
          <w:rFonts w:ascii="Verdana" w:hAnsi="Verdana"/>
          <w:sz w:val="20"/>
          <w:szCs w:val="20"/>
          <w:lang w:val="es-CR"/>
        </w:rPr>
        <w:t xml:space="preserve"> no se puede derivar la aplicación directa de la excepción prevista en el artículo 46.2.a de la Convención Americana</w:t>
      </w:r>
      <w:r w:rsidR="00B2157B">
        <w:rPr>
          <w:rStyle w:val="FootnoteReference"/>
          <w:rFonts w:ascii="Verdana" w:hAnsi="Verdana"/>
          <w:sz w:val="20"/>
          <w:szCs w:val="20"/>
          <w:lang w:val="es-CR"/>
        </w:rPr>
        <w:footnoteReference w:id="6"/>
      </w:r>
      <w:r w:rsidR="000F3071" w:rsidRPr="005654C2">
        <w:rPr>
          <w:rFonts w:ascii="Verdana" w:hAnsi="Verdana"/>
          <w:sz w:val="20"/>
          <w:szCs w:val="20"/>
          <w:lang w:val="es-CR"/>
        </w:rPr>
        <w:t>,</w:t>
      </w:r>
      <w:r w:rsidR="00B2157B" w:rsidRPr="005654C2">
        <w:rPr>
          <w:rStyle w:val="FootnoteReference"/>
          <w:rFonts w:ascii="Verdana" w:hAnsi="Verdana"/>
          <w:sz w:val="20"/>
          <w:szCs w:val="20"/>
          <w:lang w:val="es-CR"/>
        </w:rPr>
        <w:t xml:space="preserve"> </w:t>
      </w:r>
      <w:r w:rsidR="005F621B" w:rsidRPr="005654C2">
        <w:rPr>
          <w:rFonts w:ascii="Verdana" w:hAnsi="Verdana"/>
          <w:sz w:val="20"/>
          <w:szCs w:val="20"/>
          <w:lang w:val="es-CR"/>
        </w:rPr>
        <w:t>pue</w:t>
      </w:r>
      <w:r w:rsidR="00855E64" w:rsidRPr="005654C2">
        <w:rPr>
          <w:rFonts w:ascii="Verdana" w:hAnsi="Verdana"/>
          <w:sz w:val="20"/>
          <w:szCs w:val="20"/>
          <w:lang w:val="es-CR"/>
        </w:rPr>
        <w:t>s</w:t>
      </w:r>
      <w:r w:rsidR="002024FC" w:rsidRPr="005654C2">
        <w:rPr>
          <w:rFonts w:ascii="Verdana" w:hAnsi="Verdana"/>
          <w:sz w:val="20"/>
          <w:szCs w:val="20"/>
          <w:lang w:val="es-CR"/>
        </w:rPr>
        <w:t xml:space="preserve"> lo contrario</w:t>
      </w:r>
      <w:r w:rsidR="00A27A3A" w:rsidRPr="005654C2">
        <w:rPr>
          <w:rFonts w:ascii="Verdana" w:hAnsi="Verdana"/>
          <w:sz w:val="20"/>
          <w:szCs w:val="20"/>
          <w:lang w:val="es-CR"/>
        </w:rPr>
        <w:t xml:space="preserve"> </w:t>
      </w:r>
      <w:r w:rsidR="002024FC" w:rsidRPr="005654C2">
        <w:rPr>
          <w:rFonts w:ascii="Verdana" w:hAnsi="Verdana"/>
          <w:sz w:val="20"/>
          <w:szCs w:val="20"/>
          <w:lang w:val="es-CR"/>
        </w:rPr>
        <w:t xml:space="preserve">conllevaría a </w:t>
      </w:r>
      <w:r w:rsidR="006628F7" w:rsidRPr="005654C2">
        <w:rPr>
          <w:rFonts w:ascii="Verdana" w:hAnsi="Verdana"/>
          <w:sz w:val="20"/>
          <w:szCs w:val="20"/>
          <w:lang w:val="es-CR"/>
        </w:rPr>
        <w:t>“</w:t>
      </w:r>
      <w:r w:rsidR="002024FC" w:rsidRPr="005654C2">
        <w:rPr>
          <w:rFonts w:ascii="Verdana" w:hAnsi="Verdana"/>
          <w:sz w:val="20"/>
          <w:szCs w:val="20"/>
          <w:lang w:val="es-CR"/>
        </w:rPr>
        <w:t xml:space="preserve">que </w:t>
      </w:r>
      <w:r w:rsidR="00D3483B" w:rsidRPr="005654C2">
        <w:rPr>
          <w:rFonts w:ascii="Verdana" w:hAnsi="Verdana"/>
          <w:sz w:val="20"/>
          <w:szCs w:val="20"/>
          <w:lang w:val="es-CR"/>
        </w:rPr>
        <w:t xml:space="preserve">a partir </w:t>
      </w:r>
      <w:r w:rsidR="006628F7" w:rsidRPr="005654C2">
        <w:rPr>
          <w:rFonts w:ascii="Verdana" w:hAnsi="Verdana"/>
          <w:sz w:val="20"/>
          <w:szCs w:val="20"/>
          <w:lang w:val="es-CR"/>
        </w:rPr>
        <w:t>de una argumentación de tipo general sobre la falta de independencia o imparcialidad del poder judicial no fuera necesario cumplir con el requisito del previo agotamiento de los recursos internos</w:t>
      </w:r>
      <w:r w:rsidR="00CC1A56" w:rsidRPr="005654C2">
        <w:rPr>
          <w:rFonts w:ascii="Verdana" w:hAnsi="Verdana"/>
          <w:sz w:val="20"/>
          <w:szCs w:val="20"/>
          <w:lang w:val="es-CR"/>
        </w:rPr>
        <w:t>”</w:t>
      </w:r>
      <w:r w:rsidR="006628F7" w:rsidRPr="00C15665">
        <w:rPr>
          <w:rStyle w:val="FootnoteReference"/>
          <w:rFonts w:ascii="Verdana" w:hAnsi="Verdana"/>
          <w:sz w:val="20"/>
          <w:szCs w:val="20"/>
          <w:lang w:val="es-CR"/>
        </w:rPr>
        <w:footnoteReference w:id="7"/>
      </w:r>
      <w:r w:rsidR="00CC1A56" w:rsidRPr="005654C2">
        <w:rPr>
          <w:rFonts w:ascii="Verdana" w:hAnsi="Verdana"/>
          <w:sz w:val="20"/>
          <w:szCs w:val="20"/>
          <w:lang w:val="es-CR"/>
        </w:rPr>
        <w:t>.</w:t>
      </w:r>
      <w:r w:rsidR="006628F7" w:rsidRPr="005654C2">
        <w:rPr>
          <w:rFonts w:ascii="Verdana" w:hAnsi="Verdana"/>
          <w:sz w:val="20"/>
          <w:szCs w:val="20"/>
          <w:lang w:val="es-CR"/>
        </w:rPr>
        <w:t xml:space="preserve"> </w:t>
      </w:r>
    </w:p>
    <w:p w14:paraId="7C80D5BA" w14:textId="77777777" w:rsidR="009E6550" w:rsidRPr="009D7294" w:rsidRDefault="009E6550" w:rsidP="009D7294">
      <w:pPr>
        <w:jc w:val="both"/>
        <w:rPr>
          <w:rFonts w:ascii="Verdana" w:hAnsi="Verdana"/>
          <w:lang w:val="es-CR"/>
        </w:rPr>
      </w:pPr>
    </w:p>
    <w:p w14:paraId="4E55DE1A" w14:textId="2C505A50" w:rsidR="006628F7" w:rsidRPr="003B5597" w:rsidRDefault="005E6EE2" w:rsidP="009D7294">
      <w:pPr>
        <w:pStyle w:val="ListParagraph"/>
        <w:numPr>
          <w:ilvl w:val="0"/>
          <w:numId w:val="10"/>
        </w:numPr>
        <w:ind w:left="0" w:firstLine="0"/>
        <w:jc w:val="both"/>
        <w:rPr>
          <w:rFonts w:ascii="Verdana" w:hAnsi="Verdana"/>
          <w:sz w:val="20"/>
          <w:szCs w:val="20"/>
          <w:lang w:val="es-CR"/>
        </w:rPr>
      </w:pPr>
      <w:r w:rsidRPr="005654C2">
        <w:rPr>
          <w:rFonts w:ascii="Verdana" w:hAnsi="Verdana"/>
          <w:sz w:val="20"/>
          <w:szCs w:val="20"/>
          <w:lang w:val="es-CR"/>
        </w:rPr>
        <w:t>Asimismo, citando</w:t>
      </w:r>
      <w:r w:rsidR="00B94395" w:rsidRPr="005654C2">
        <w:rPr>
          <w:rFonts w:ascii="Verdana" w:hAnsi="Verdana"/>
          <w:sz w:val="20"/>
          <w:szCs w:val="20"/>
          <w:lang w:val="es-CR"/>
        </w:rPr>
        <w:t xml:space="preserve"> </w:t>
      </w:r>
      <w:r w:rsidRPr="005654C2">
        <w:rPr>
          <w:rFonts w:ascii="Verdana" w:hAnsi="Verdana"/>
          <w:sz w:val="20"/>
          <w:szCs w:val="20"/>
          <w:lang w:val="es-CR"/>
        </w:rPr>
        <w:t>lo expuesto en el informe de fondo</w:t>
      </w:r>
      <w:r w:rsidR="00855E64" w:rsidRPr="005654C2">
        <w:rPr>
          <w:rFonts w:ascii="Verdana" w:hAnsi="Verdana"/>
          <w:sz w:val="20"/>
          <w:szCs w:val="20"/>
          <w:lang w:val="es-CR"/>
        </w:rPr>
        <w:t xml:space="preserve"> </w:t>
      </w:r>
      <w:r w:rsidR="00A429F6" w:rsidRPr="005654C2">
        <w:rPr>
          <w:rFonts w:ascii="Verdana" w:hAnsi="Verdana"/>
          <w:sz w:val="20"/>
          <w:szCs w:val="20"/>
          <w:lang w:val="es-CR"/>
        </w:rPr>
        <w:t xml:space="preserve">de </w:t>
      </w:r>
      <w:r w:rsidRPr="005654C2">
        <w:rPr>
          <w:rFonts w:ascii="Verdana" w:hAnsi="Verdana"/>
          <w:sz w:val="20"/>
          <w:szCs w:val="20"/>
          <w:lang w:val="es-CR"/>
        </w:rPr>
        <w:t>la Comisión</w:t>
      </w:r>
      <w:r w:rsidR="008A2522">
        <w:rPr>
          <w:rFonts w:ascii="Verdana" w:hAnsi="Verdana"/>
          <w:sz w:val="20"/>
          <w:szCs w:val="20"/>
          <w:lang w:val="es-CR"/>
        </w:rPr>
        <w:t>,</w:t>
      </w:r>
      <w:r w:rsidR="00A429F6" w:rsidRPr="005654C2">
        <w:rPr>
          <w:rFonts w:ascii="Verdana" w:hAnsi="Verdana"/>
          <w:sz w:val="20"/>
          <w:szCs w:val="20"/>
          <w:lang w:val="es-CR"/>
        </w:rPr>
        <w:t xml:space="preserve"> en dicho caso</w:t>
      </w:r>
      <w:r w:rsidRPr="005654C2">
        <w:rPr>
          <w:rFonts w:ascii="Verdana" w:hAnsi="Verdana"/>
          <w:sz w:val="20"/>
          <w:szCs w:val="20"/>
          <w:lang w:val="es-CR"/>
        </w:rPr>
        <w:t xml:space="preserve"> la Corte</w:t>
      </w:r>
      <w:r w:rsidR="00B94395" w:rsidRPr="005654C2">
        <w:rPr>
          <w:rFonts w:ascii="Verdana" w:hAnsi="Verdana"/>
          <w:sz w:val="20"/>
          <w:szCs w:val="20"/>
          <w:lang w:val="es-CR"/>
        </w:rPr>
        <w:t xml:space="preserve"> sostuvo</w:t>
      </w:r>
      <w:r w:rsidRPr="005654C2">
        <w:rPr>
          <w:rFonts w:ascii="Verdana" w:hAnsi="Verdana"/>
          <w:sz w:val="20"/>
          <w:szCs w:val="20"/>
          <w:lang w:val="es-CR"/>
        </w:rPr>
        <w:t xml:space="preserve"> que “el ten</w:t>
      </w:r>
      <w:r w:rsidR="006B32F0" w:rsidRPr="005654C2">
        <w:rPr>
          <w:rFonts w:ascii="Verdana" w:hAnsi="Verdana"/>
          <w:sz w:val="20"/>
          <w:szCs w:val="20"/>
          <w:lang w:val="es-CR"/>
        </w:rPr>
        <w:t>or de los procedimientos contenciosos exige que los peticionarios presenten argumentos concretos sobre el impacto en el proceso judicial relacionado al reclamo</w:t>
      </w:r>
      <w:r w:rsidR="00331745" w:rsidRPr="005654C2">
        <w:rPr>
          <w:rFonts w:ascii="Verdana" w:hAnsi="Verdana"/>
          <w:i/>
          <w:sz w:val="20"/>
          <w:szCs w:val="20"/>
          <w:lang w:val="es-CR"/>
        </w:rPr>
        <w:t>"</w:t>
      </w:r>
      <w:r w:rsidR="006B32F0" w:rsidRPr="005654C2">
        <w:rPr>
          <w:rFonts w:ascii="Verdana" w:hAnsi="Verdana"/>
          <w:sz w:val="20"/>
          <w:szCs w:val="20"/>
          <w:lang w:val="es-CR"/>
        </w:rPr>
        <w:t xml:space="preserve"> y</w:t>
      </w:r>
      <w:r w:rsidR="002024FC" w:rsidRPr="005654C2">
        <w:rPr>
          <w:rFonts w:ascii="Verdana" w:hAnsi="Verdana"/>
          <w:sz w:val="20"/>
          <w:szCs w:val="20"/>
          <w:lang w:val="es-CR"/>
        </w:rPr>
        <w:t>,</w:t>
      </w:r>
      <w:r w:rsidR="00A27A3A" w:rsidRPr="005654C2">
        <w:rPr>
          <w:rFonts w:ascii="Verdana" w:hAnsi="Verdana"/>
          <w:sz w:val="20"/>
          <w:szCs w:val="20"/>
          <w:lang w:val="es-CR"/>
        </w:rPr>
        <w:t xml:space="preserve"> </w:t>
      </w:r>
      <w:r w:rsidR="006B32F0" w:rsidRPr="005654C2">
        <w:rPr>
          <w:rFonts w:ascii="Verdana" w:hAnsi="Verdana"/>
          <w:sz w:val="20"/>
          <w:szCs w:val="20"/>
          <w:lang w:val="es-CR"/>
        </w:rPr>
        <w:t>por lo tanto</w:t>
      </w:r>
      <w:r w:rsidR="008A2522">
        <w:rPr>
          <w:rFonts w:ascii="Verdana" w:hAnsi="Verdana"/>
          <w:sz w:val="20"/>
          <w:szCs w:val="20"/>
          <w:lang w:val="es-CR"/>
        </w:rPr>
        <w:t>,</w:t>
      </w:r>
      <w:r w:rsidR="00C15665" w:rsidRPr="005654C2">
        <w:rPr>
          <w:rFonts w:ascii="Verdana" w:hAnsi="Verdana"/>
          <w:sz w:val="20"/>
          <w:szCs w:val="20"/>
          <w:lang w:val="es-CR"/>
        </w:rPr>
        <w:t xml:space="preserve"> que</w:t>
      </w:r>
      <w:r w:rsidR="006B32F0" w:rsidRPr="005654C2">
        <w:rPr>
          <w:rFonts w:ascii="Verdana" w:hAnsi="Verdana"/>
          <w:sz w:val="20"/>
          <w:szCs w:val="20"/>
          <w:lang w:val="es-CR"/>
        </w:rPr>
        <w:t xml:space="preserve"> “</w:t>
      </w:r>
      <w:r w:rsidR="006B0410">
        <w:rPr>
          <w:rFonts w:ascii="Verdana" w:hAnsi="Verdana"/>
          <w:sz w:val="20"/>
          <w:szCs w:val="20"/>
          <w:lang w:val="es-CR"/>
        </w:rPr>
        <w:t>[</w:t>
      </w:r>
      <w:r w:rsidR="006B32F0" w:rsidRPr="005654C2">
        <w:rPr>
          <w:rFonts w:ascii="Verdana" w:hAnsi="Verdana"/>
          <w:sz w:val="20"/>
          <w:szCs w:val="20"/>
          <w:lang w:val="es-CR"/>
        </w:rPr>
        <w:t>l</w:t>
      </w:r>
      <w:r w:rsidR="006B0410">
        <w:rPr>
          <w:rFonts w:ascii="Verdana" w:hAnsi="Verdana"/>
          <w:sz w:val="20"/>
          <w:szCs w:val="20"/>
          <w:lang w:val="es-CR"/>
        </w:rPr>
        <w:t>]</w:t>
      </w:r>
      <w:r w:rsidR="006B32F0" w:rsidRPr="005654C2">
        <w:rPr>
          <w:rFonts w:ascii="Verdana" w:hAnsi="Verdana"/>
          <w:sz w:val="20"/>
          <w:szCs w:val="20"/>
          <w:lang w:val="es-CR"/>
        </w:rPr>
        <w:t xml:space="preserve">as menciones genéricas al contexto no son suficientes </w:t>
      </w:r>
      <w:r w:rsidR="006B32F0" w:rsidRPr="005654C2">
        <w:rPr>
          <w:rFonts w:ascii="Verdana" w:hAnsi="Verdana"/>
          <w:i/>
          <w:sz w:val="20"/>
          <w:szCs w:val="20"/>
          <w:lang w:val="es-CR"/>
        </w:rPr>
        <w:t>per se</w:t>
      </w:r>
      <w:r w:rsidR="006B32F0" w:rsidRPr="005654C2">
        <w:rPr>
          <w:rFonts w:ascii="Verdana" w:hAnsi="Verdana"/>
          <w:sz w:val="20"/>
          <w:szCs w:val="20"/>
          <w:lang w:val="es-CR"/>
        </w:rPr>
        <w:t xml:space="preserve"> para justificar la invocación de dicha excepción</w:t>
      </w:r>
      <w:r w:rsidR="00CC1A56" w:rsidRPr="005654C2">
        <w:rPr>
          <w:rFonts w:ascii="Verdana" w:hAnsi="Verdana"/>
          <w:sz w:val="20"/>
          <w:szCs w:val="20"/>
          <w:lang w:val="es-CR"/>
        </w:rPr>
        <w:t>”</w:t>
      </w:r>
      <w:r w:rsidR="006B5B81" w:rsidRPr="00C15665">
        <w:rPr>
          <w:rStyle w:val="FootnoteReference"/>
          <w:rFonts w:ascii="Verdana" w:hAnsi="Verdana"/>
          <w:sz w:val="20"/>
          <w:szCs w:val="20"/>
          <w:lang w:val="es-CR"/>
        </w:rPr>
        <w:footnoteReference w:id="8"/>
      </w:r>
      <w:r w:rsidR="00CC1A56" w:rsidRPr="005654C2">
        <w:rPr>
          <w:rFonts w:ascii="Verdana" w:hAnsi="Verdana"/>
          <w:sz w:val="20"/>
          <w:szCs w:val="20"/>
          <w:lang w:val="es-CR"/>
        </w:rPr>
        <w:t>.</w:t>
      </w:r>
      <w:r w:rsidR="009E6550">
        <w:rPr>
          <w:rFonts w:ascii="Verdana" w:hAnsi="Verdana"/>
          <w:sz w:val="20"/>
          <w:szCs w:val="20"/>
          <w:lang w:val="es-CR"/>
        </w:rPr>
        <w:t xml:space="preserve"> </w:t>
      </w:r>
      <w:r w:rsidR="007B072C" w:rsidRPr="00FF6210">
        <w:rPr>
          <w:rFonts w:ascii="Verdana" w:hAnsi="Verdana"/>
          <w:sz w:val="20"/>
          <w:szCs w:val="20"/>
          <w:lang w:val="es-CR"/>
        </w:rPr>
        <w:t>Tomando en consideración lo anterior</w:t>
      </w:r>
      <w:r w:rsidR="00A27A3A" w:rsidRPr="009E6550">
        <w:rPr>
          <w:rFonts w:ascii="Verdana" w:hAnsi="Verdana"/>
          <w:sz w:val="20"/>
          <w:szCs w:val="20"/>
          <w:lang w:val="es-CR"/>
        </w:rPr>
        <w:t>,</w:t>
      </w:r>
      <w:r w:rsidR="006B32F0" w:rsidRPr="009E6550">
        <w:rPr>
          <w:rFonts w:ascii="Verdana" w:hAnsi="Verdana"/>
          <w:sz w:val="20"/>
          <w:szCs w:val="20"/>
          <w:lang w:val="es-CR"/>
        </w:rPr>
        <w:t xml:space="preserve"> </w:t>
      </w:r>
      <w:r w:rsidR="00B52D43" w:rsidRPr="009E6550">
        <w:rPr>
          <w:rFonts w:ascii="Verdana" w:hAnsi="Verdana"/>
          <w:sz w:val="20"/>
          <w:szCs w:val="20"/>
          <w:lang w:val="es-CR"/>
        </w:rPr>
        <w:t xml:space="preserve">cabe recordar que, como lo ha dicho la Corte, </w:t>
      </w:r>
      <w:r w:rsidR="00A27A3A" w:rsidRPr="009E6550">
        <w:rPr>
          <w:rFonts w:ascii="Verdana" w:hAnsi="Verdana"/>
          <w:i/>
          <w:sz w:val="20"/>
          <w:szCs w:val="20"/>
          <w:lang w:val="es-CR"/>
        </w:rPr>
        <w:t>"</w:t>
      </w:r>
      <w:r w:rsidR="00A27A3A" w:rsidRPr="009E6550">
        <w:rPr>
          <w:rFonts w:ascii="Verdana" w:hAnsi="Verdana"/>
          <w:sz w:val="20"/>
          <w:szCs w:val="20"/>
          <w:lang w:val="es-CR"/>
        </w:rPr>
        <w:t>[c]</w:t>
      </w:r>
      <w:proofErr w:type="spellStart"/>
      <w:r w:rsidR="00A27A3A" w:rsidRPr="009E6550">
        <w:rPr>
          <w:rFonts w:ascii="Verdana" w:hAnsi="Verdana"/>
          <w:sz w:val="20"/>
          <w:szCs w:val="20"/>
          <w:lang w:val="es-CR"/>
        </w:rPr>
        <w:t>uando</w:t>
      </w:r>
      <w:proofErr w:type="spellEnd"/>
      <w:r w:rsidR="00A27A3A" w:rsidRPr="009E6550">
        <w:rPr>
          <w:rFonts w:ascii="Verdana" w:hAnsi="Verdana"/>
          <w:sz w:val="20"/>
          <w:szCs w:val="20"/>
          <w:lang w:val="es-CR"/>
        </w:rPr>
        <w:t xml:space="preserve"> un específico procedimiento cuenta con etapas en las que se puede llegar a corregir o subsanar cierto tipo de irregularidades, los Estados deben poder disponer de dichas etapas procesales para remediar las alegadas irregularidades en el ámbito interno</w:t>
      </w:r>
      <w:r w:rsidR="007F157B" w:rsidRPr="009E6550">
        <w:rPr>
          <w:rFonts w:ascii="Verdana" w:hAnsi="Verdana"/>
          <w:sz w:val="20"/>
          <w:szCs w:val="20"/>
          <w:lang w:val="es-CR"/>
        </w:rPr>
        <w:t>"</w:t>
      </w:r>
      <w:r w:rsidR="00D81CC5" w:rsidRPr="00C15665">
        <w:rPr>
          <w:rStyle w:val="FootnoteReference"/>
          <w:rFonts w:ascii="Verdana" w:hAnsi="Verdana"/>
          <w:sz w:val="20"/>
          <w:szCs w:val="20"/>
          <w:lang w:val="es-CR"/>
        </w:rPr>
        <w:footnoteReference w:id="9"/>
      </w:r>
      <w:r w:rsidR="00D17D39" w:rsidRPr="00FF6210">
        <w:rPr>
          <w:rFonts w:ascii="Verdana" w:hAnsi="Verdana"/>
          <w:sz w:val="20"/>
          <w:szCs w:val="20"/>
          <w:lang w:val="es-CR"/>
        </w:rPr>
        <w:t>.</w:t>
      </w:r>
      <w:r w:rsidR="00940AF7" w:rsidRPr="00FF6210">
        <w:rPr>
          <w:rFonts w:ascii="Verdana" w:hAnsi="Verdana"/>
          <w:sz w:val="20"/>
          <w:szCs w:val="20"/>
          <w:lang w:val="es-CR"/>
        </w:rPr>
        <w:t xml:space="preserve"> </w:t>
      </w:r>
    </w:p>
    <w:p w14:paraId="4F366E33" w14:textId="77777777" w:rsidR="006628F7" w:rsidRPr="00D17D39" w:rsidRDefault="006628F7" w:rsidP="00CC27DB">
      <w:pPr>
        <w:rPr>
          <w:rFonts w:ascii="Verdana" w:hAnsi="Verdana"/>
          <w:highlight w:val="cyan"/>
        </w:rPr>
      </w:pPr>
    </w:p>
    <w:p w14:paraId="759FD45D" w14:textId="5B7F60DA" w:rsidR="002F6EA7" w:rsidRDefault="00B94395" w:rsidP="009D7294">
      <w:pPr>
        <w:pStyle w:val="ListParagraph"/>
        <w:numPr>
          <w:ilvl w:val="0"/>
          <w:numId w:val="10"/>
        </w:numPr>
        <w:ind w:left="0" w:firstLine="0"/>
        <w:jc w:val="both"/>
        <w:rPr>
          <w:rFonts w:ascii="Verdana" w:hAnsi="Verdana"/>
          <w:sz w:val="20"/>
          <w:szCs w:val="20"/>
          <w:lang w:val="es-CR"/>
        </w:rPr>
      </w:pPr>
      <w:r w:rsidRPr="00B52D43">
        <w:rPr>
          <w:rFonts w:ascii="Verdana" w:hAnsi="Verdana"/>
          <w:sz w:val="20"/>
          <w:szCs w:val="20"/>
          <w:lang w:val="es-CR"/>
        </w:rPr>
        <w:t>En el caso concreto,</w:t>
      </w:r>
      <w:r w:rsidR="00B52D43" w:rsidRPr="00B52D43">
        <w:rPr>
          <w:rFonts w:ascii="Verdana" w:hAnsi="Verdana"/>
          <w:sz w:val="20"/>
          <w:szCs w:val="20"/>
          <w:lang w:val="es-CR"/>
        </w:rPr>
        <w:t xml:space="preserve"> y en atención al precedente antes mencionado,</w:t>
      </w:r>
      <w:r w:rsidRPr="00B52D43">
        <w:rPr>
          <w:rFonts w:ascii="Verdana" w:hAnsi="Verdana"/>
          <w:sz w:val="20"/>
          <w:szCs w:val="20"/>
          <w:lang w:val="es-CR"/>
        </w:rPr>
        <w:t xml:space="preserve"> </w:t>
      </w:r>
      <w:r w:rsidR="004403A0" w:rsidRPr="00B52D43">
        <w:rPr>
          <w:rFonts w:ascii="Verdana" w:hAnsi="Verdana"/>
          <w:sz w:val="20"/>
          <w:szCs w:val="20"/>
          <w:lang w:val="es-CR"/>
        </w:rPr>
        <w:t xml:space="preserve">los </w:t>
      </w:r>
      <w:r w:rsidR="00B52D43">
        <w:rPr>
          <w:rFonts w:ascii="Verdana" w:hAnsi="Verdana"/>
          <w:sz w:val="20"/>
          <w:szCs w:val="20"/>
          <w:lang w:val="es-CR"/>
        </w:rPr>
        <w:t>trabajadores</w:t>
      </w:r>
      <w:r w:rsidRPr="00B52D43">
        <w:rPr>
          <w:rFonts w:ascii="Verdana" w:hAnsi="Verdana"/>
          <w:sz w:val="20"/>
          <w:szCs w:val="20"/>
          <w:lang w:val="es-CR"/>
        </w:rPr>
        <w:t xml:space="preserve"> de Petroperú</w:t>
      </w:r>
      <w:r w:rsidR="00CC1A56" w:rsidRPr="00B52D43">
        <w:rPr>
          <w:rFonts w:ascii="Verdana" w:hAnsi="Verdana"/>
          <w:sz w:val="20"/>
          <w:szCs w:val="20"/>
          <w:lang w:val="es-CR"/>
        </w:rPr>
        <w:t xml:space="preserve"> </w:t>
      </w:r>
      <w:r w:rsidR="0030218B" w:rsidRPr="00B52D43">
        <w:rPr>
          <w:rFonts w:ascii="Verdana" w:hAnsi="Verdana"/>
          <w:sz w:val="20"/>
          <w:szCs w:val="20"/>
          <w:lang w:val="es-CR"/>
        </w:rPr>
        <w:t xml:space="preserve">se encontraban obligados a presentar los medios </w:t>
      </w:r>
      <w:r w:rsidR="00B52D43">
        <w:rPr>
          <w:rFonts w:ascii="Verdana" w:hAnsi="Verdana"/>
          <w:sz w:val="20"/>
          <w:szCs w:val="20"/>
          <w:lang w:val="es-CR"/>
        </w:rPr>
        <w:t xml:space="preserve">de </w:t>
      </w:r>
      <w:r w:rsidR="0030218B" w:rsidRPr="00B52D43">
        <w:rPr>
          <w:rFonts w:ascii="Verdana" w:hAnsi="Verdana"/>
          <w:sz w:val="20"/>
          <w:szCs w:val="20"/>
          <w:lang w:val="es-CR"/>
        </w:rPr>
        <w:t>p</w:t>
      </w:r>
      <w:r w:rsidR="00B52D43">
        <w:rPr>
          <w:rFonts w:ascii="Verdana" w:hAnsi="Verdana"/>
          <w:sz w:val="20"/>
          <w:szCs w:val="20"/>
          <w:lang w:val="es-CR"/>
        </w:rPr>
        <w:t xml:space="preserve">rueba </w:t>
      </w:r>
      <w:r w:rsidR="00B52D43">
        <w:rPr>
          <w:rFonts w:ascii="Verdana" w:hAnsi="Verdana"/>
          <w:sz w:val="20"/>
          <w:szCs w:val="20"/>
          <w:lang w:val="es-CR"/>
        </w:rPr>
        <w:lastRenderedPageBreak/>
        <w:t>que estimaran pertinentes</w:t>
      </w:r>
      <w:r w:rsidR="0030218B" w:rsidRPr="00B52D43">
        <w:rPr>
          <w:rFonts w:ascii="Verdana" w:hAnsi="Verdana"/>
          <w:sz w:val="20"/>
          <w:szCs w:val="20"/>
          <w:lang w:val="es-CR"/>
        </w:rPr>
        <w:t xml:space="preserve"> para demostrar la falta de imparcialidad</w:t>
      </w:r>
      <w:r w:rsidR="00CC1A56" w:rsidRPr="00B52D43">
        <w:rPr>
          <w:rFonts w:ascii="Verdana" w:hAnsi="Verdana"/>
          <w:sz w:val="20"/>
          <w:szCs w:val="20"/>
          <w:lang w:val="es-CR"/>
        </w:rPr>
        <w:t>, autonomía e</w:t>
      </w:r>
      <w:r w:rsidR="0030218B" w:rsidRPr="00B52D43">
        <w:rPr>
          <w:rFonts w:ascii="Verdana" w:hAnsi="Verdana"/>
          <w:sz w:val="20"/>
          <w:szCs w:val="20"/>
          <w:lang w:val="es-CR"/>
        </w:rPr>
        <w:t xml:space="preserve"> independencia del Tribunal Constitucional, previo a la destitución de tres de sus miembros</w:t>
      </w:r>
      <w:r w:rsidR="00B52D43">
        <w:rPr>
          <w:rFonts w:ascii="Verdana" w:hAnsi="Verdana"/>
          <w:sz w:val="20"/>
          <w:szCs w:val="20"/>
          <w:lang w:val="es-CR"/>
        </w:rPr>
        <w:t>.</w:t>
      </w:r>
      <w:r w:rsidR="003E4646" w:rsidRPr="00B52D43">
        <w:rPr>
          <w:rFonts w:ascii="Verdana" w:hAnsi="Verdana"/>
          <w:sz w:val="20"/>
          <w:szCs w:val="20"/>
          <w:lang w:val="es-CR"/>
        </w:rPr>
        <w:t xml:space="preserve"> </w:t>
      </w:r>
      <w:r w:rsidR="008A2522">
        <w:rPr>
          <w:rFonts w:ascii="Verdana" w:hAnsi="Verdana"/>
          <w:sz w:val="20"/>
          <w:szCs w:val="20"/>
          <w:lang w:val="es-CR"/>
        </w:rPr>
        <w:t>En ese sentido</w:t>
      </w:r>
      <w:r w:rsidR="002F6253" w:rsidRPr="00B52D43">
        <w:rPr>
          <w:rFonts w:ascii="Verdana" w:hAnsi="Verdana"/>
          <w:sz w:val="20"/>
          <w:szCs w:val="20"/>
          <w:lang w:val="es-CR"/>
        </w:rPr>
        <w:t xml:space="preserve"> </w:t>
      </w:r>
      <w:r w:rsidR="0054547A">
        <w:rPr>
          <w:rFonts w:ascii="Verdana" w:hAnsi="Verdana"/>
          <w:sz w:val="20"/>
          <w:szCs w:val="20"/>
          <w:lang w:val="es-CR"/>
        </w:rPr>
        <w:t>estimo que</w:t>
      </w:r>
      <w:r w:rsidR="002F6EA7">
        <w:rPr>
          <w:rFonts w:ascii="Verdana" w:hAnsi="Verdana"/>
          <w:sz w:val="20"/>
          <w:szCs w:val="20"/>
          <w:lang w:val="es-CR"/>
        </w:rPr>
        <w:t>,</w:t>
      </w:r>
      <w:r w:rsidR="0054547A">
        <w:rPr>
          <w:rFonts w:ascii="Verdana" w:hAnsi="Verdana"/>
          <w:sz w:val="20"/>
          <w:szCs w:val="20"/>
          <w:lang w:val="es-CR"/>
        </w:rPr>
        <w:t xml:space="preserve"> </w:t>
      </w:r>
      <w:r w:rsidR="00CC1A56" w:rsidRPr="00B52D43">
        <w:rPr>
          <w:rFonts w:ascii="Verdana" w:hAnsi="Verdana"/>
          <w:sz w:val="20"/>
          <w:szCs w:val="20"/>
          <w:lang w:val="es-CR"/>
        </w:rPr>
        <w:t>cont</w:t>
      </w:r>
      <w:r w:rsidR="0054547A">
        <w:rPr>
          <w:rFonts w:ascii="Verdana" w:hAnsi="Verdana"/>
          <w:sz w:val="20"/>
          <w:szCs w:val="20"/>
          <w:lang w:val="es-CR"/>
        </w:rPr>
        <w:t>r</w:t>
      </w:r>
      <w:r w:rsidR="00CC1A56" w:rsidRPr="00B52D43">
        <w:rPr>
          <w:rFonts w:ascii="Verdana" w:hAnsi="Verdana"/>
          <w:sz w:val="20"/>
          <w:szCs w:val="20"/>
          <w:lang w:val="es-CR"/>
        </w:rPr>
        <w:t xml:space="preserve">ario a lo considerado por la mayoría, </w:t>
      </w:r>
      <w:r w:rsidR="00B52D43">
        <w:rPr>
          <w:rFonts w:ascii="Verdana" w:hAnsi="Verdana"/>
          <w:sz w:val="20"/>
          <w:szCs w:val="20"/>
          <w:lang w:val="es-CR"/>
        </w:rPr>
        <w:t>los alegatos de los trabajadores</w:t>
      </w:r>
      <w:r w:rsidR="0030218B" w:rsidRPr="00B52D43">
        <w:rPr>
          <w:rFonts w:ascii="Verdana" w:hAnsi="Verdana"/>
          <w:sz w:val="20"/>
          <w:szCs w:val="20"/>
          <w:lang w:val="es-CR"/>
        </w:rPr>
        <w:t xml:space="preserve"> </w:t>
      </w:r>
      <w:r w:rsidR="00022C9C">
        <w:rPr>
          <w:rFonts w:ascii="Verdana" w:hAnsi="Verdana"/>
          <w:sz w:val="20"/>
          <w:szCs w:val="20"/>
          <w:lang w:val="es-CR"/>
        </w:rPr>
        <w:t xml:space="preserve">son </w:t>
      </w:r>
      <w:r w:rsidR="006D7999">
        <w:rPr>
          <w:rFonts w:ascii="Verdana" w:hAnsi="Verdana"/>
          <w:sz w:val="20"/>
          <w:szCs w:val="20"/>
          <w:lang w:val="es-CR"/>
        </w:rPr>
        <w:t>in</w:t>
      </w:r>
      <w:r w:rsidR="00B52D43">
        <w:rPr>
          <w:rFonts w:ascii="Verdana" w:hAnsi="Verdana"/>
          <w:sz w:val="20"/>
          <w:szCs w:val="20"/>
          <w:lang w:val="es-CR"/>
        </w:rPr>
        <w:t>suficientes</w:t>
      </w:r>
      <w:r w:rsidRPr="00B52D43">
        <w:rPr>
          <w:rFonts w:ascii="Verdana" w:hAnsi="Verdana"/>
          <w:sz w:val="20"/>
          <w:szCs w:val="20"/>
          <w:lang w:val="es-CR"/>
        </w:rPr>
        <w:t xml:space="preserve"> para demostrar </w:t>
      </w:r>
      <w:r w:rsidR="0030218B" w:rsidRPr="00B52D43">
        <w:rPr>
          <w:rFonts w:ascii="Verdana" w:hAnsi="Verdana"/>
          <w:sz w:val="20"/>
          <w:szCs w:val="20"/>
          <w:lang w:val="es-CR"/>
        </w:rPr>
        <w:t>el extremo</w:t>
      </w:r>
      <w:r w:rsidR="00377105">
        <w:rPr>
          <w:rFonts w:ascii="Verdana" w:hAnsi="Verdana"/>
          <w:sz w:val="20"/>
          <w:szCs w:val="20"/>
          <w:lang w:val="es-CR"/>
        </w:rPr>
        <w:t xml:space="preserve"> </w:t>
      </w:r>
      <w:r w:rsidR="0030218B" w:rsidRPr="00B52D43">
        <w:rPr>
          <w:rFonts w:ascii="Verdana" w:hAnsi="Verdana"/>
          <w:sz w:val="20"/>
          <w:szCs w:val="20"/>
          <w:lang w:val="es-CR"/>
        </w:rPr>
        <w:t xml:space="preserve">de </w:t>
      </w:r>
      <w:r w:rsidR="00D6604B">
        <w:rPr>
          <w:rFonts w:ascii="Verdana" w:hAnsi="Verdana"/>
          <w:sz w:val="20"/>
          <w:szCs w:val="20"/>
          <w:lang w:val="es-CR"/>
        </w:rPr>
        <w:t>su pretensión</w:t>
      </w:r>
      <w:r w:rsidR="004E46FD">
        <w:rPr>
          <w:rFonts w:ascii="Verdana" w:hAnsi="Verdana"/>
          <w:sz w:val="20"/>
          <w:szCs w:val="20"/>
          <w:lang w:val="es-CR"/>
        </w:rPr>
        <w:t xml:space="preserve">, </w:t>
      </w:r>
      <w:r w:rsidR="00CC1A56" w:rsidRPr="00B52D43">
        <w:rPr>
          <w:rFonts w:ascii="Verdana" w:hAnsi="Verdana"/>
          <w:sz w:val="20"/>
          <w:szCs w:val="20"/>
          <w:lang w:val="es-CR"/>
        </w:rPr>
        <w:t>aunado a que no fueron aportados</w:t>
      </w:r>
      <w:r w:rsidR="004403A0" w:rsidRPr="00B52D43">
        <w:rPr>
          <w:rFonts w:ascii="Verdana" w:hAnsi="Verdana"/>
          <w:sz w:val="20"/>
          <w:szCs w:val="20"/>
          <w:lang w:val="es-CR"/>
        </w:rPr>
        <w:t xml:space="preserve"> </w:t>
      </w:r>
      <w:r w:rsidRPr="00B52D43">
        <w:rPr>
          <w:rFonts w:ascii="Verdana" w:hAnsi="Verdana"/>
          <w:sz w:val="20"/>
          <w:szCs w:val="20"/>
          <w:lang w:val="es-CR"/>
        </w:rPr>
        <w:t>elemento</w:t>
      </w:r>
      <w:r w:rsidR="004403A0" w:rsidRPr="00B52D43">
        <w:rPr>
          <w:rFonts w:ascii="Verdana" w:hAnsi="Verdana"/>
          <w:sz w:val="20"/>
          <w:szCs w:val="20"/>
          <w:lang w:val="es-CR"/>
        </w:rPr>
        <w:t>s</w:t>
      </w:r>
      <w:r w:rsidRPr="00B52D43">
        <w:rPr>
          <w:rFonts w:ascii="Verdana" w:hAnsi="Verdana"/>
          <w:sz w:val="20"/>
          <w:szCs w:val="20"/>
          <w:lang w:val="es-CR"/>
        </w:rPr>
        <w:t xml:space="preserve"> </w:t>
      </w:r>
      <w:r w:rsidR="0030218B" w:rsidRPr="00B52D43">
        <w:rPr>
          <w:rFonts w:ascii="Verdana" w:hAnsi="Verdana"/>
          <w:sz w:val="20"/>
          <w:szCs w:val="20"/>
          <w:lang w:val="es-CR"/>
        </w:rPr>
        <w:t>probatorios</w:t>
      </w:r>
      <w:r w:rsidR="00637D8D" w:rsidRPr="00B52D43">
        <w:rPr>
          <w:rFonts w:ascii="Verdana" w:hAnsi="Verdana"/>
          <w:sz w:val="20"/>
          <w:szCs w:val="20"/>
          <w:lang w:val="es-CR"/>
        </w:rPr>
        <w:t xml:space="preserve"> </w:t>
      </w:r>
      <w:r w:rsidR="004403A0" w:rsidRPr="00B52D43">
        <w:rPr>
          <w:rFonts w:ascii="Verdana" w:hAnsi="Verdana"/>
          <w:sz w:val="20"/>
          <w:szCs w:val="20"/>
          <w:lang w:val="es-CR"/>
        </w:rPr>
        <w:t>de los cuales</w:t>
      </w:r>
      <w:r w:rsidR="002F6253" w:rsidRPr="00B52D43">
        <w:rPr>
          <w:rFonts w:ascii="Verdana" w:hAnsi="Verdana"/>
          <w:sz w:val="20"/>
          <w:szCs w:val="20"/>
          <w:lang w:val="es-CR"/>
        </w:rPr>
        <w:t xml:space="preserve"> se </w:t>
      </w:r>
      <w:r w:rsidR="00E75D90" w:rsidRPr="00B52D43">
        <w:rPr>
          <w:rFonts w:ascii="Verdana" w:hAnsi="Verdana"/>
          <w:sz w:val="20"/>
          <w:szCs w:val="20"/>
          <w:lang w:val="es-CR"/>
        </w:rPr>
        <w:t>desprenda</w:t>
      </w:r>
      <w:r w:rsidR="004403A0" w:rsidRPr="00B52D43">
        <w:rPr>
          <w:rFonts w:ascii="Verdana" w:hAnsi="Verdana"/>
          <w:sz w:val="20"/>
          <w:szCs w:val="20"/>
          <w:lang w:val="es-CR"/>
        </w:rPr>
        <w:t xml:space="preserve"> una justificación</w:t>
      </w:r>
      <w:r w:rsidR="00CC2ABD" w:rsidRPr="00B52D43">
        <w:rPr>
          <w:rFonts w:ascii="Verdana" w:hAnsi="Verdana"/>
          <w:sz w:val="20"/>
          <w:szCs w:val="20"/>
          <w:lang w:val="es-CR"/>
        </w:rPr>
        <w:t xml:space="preserve"> o motivo suficiente</w:t>
      </w:r>
      <w:r w:rsidR="004403A0" w:rsidRPr="00B52D43">
        <w:rPr>
          <w:rFonts w:ascii="Verdana" w:hAnsi="Verdana"/>
          <w:sz w:val="20"/>
          <w:szCs w:val="20"/>
          <w:lang w:val="es-CR"/>
        </w:rPr>
        <w:t xml:space="preserve"> para</w:t>
      </w:r>
      <w:r w:rsidR="00843F17" w:rsidRPr="00B52D43">
        <w:rPr>
          <w:rFonts w:ascii="Verdana" w:hAnsi="Verdana"/>
          <w:sz w:val="20"/>
          <w:szCs w:val="20"/>
          <w:lang w:val="es-CR"/>
        </w:rPr>
        <w:t xml:space="preserve"> </w:t>
      </w:r>
      <w:r w:rsidR="0020083B">
        <w:rPr>
          <w:rFonts w:ascii="Verdana" w:hAnsi="Verdana"/>
          <w:sz w:val="20"/>
          <w:szCs w:val="20"/>
          <w:lang w:val="es-CR"/>
        </w:rPr>
        <w:t>eximir</w:t>
      </w:r>
      <w:r w:rsidR="00637D8D" w:rsidRPr="00B52D43">
        <w:rPr>
          <w:rFonts w:ascii="Verdana" w:hAnsi="Verdana"/>
          <w:sz w:val="20"/>
          <w:szCs w:val="20"/>
          <w:lang w:val="es-CR"/>
        </w:rPr>
        <w:t xml:space="preserve"> a</w:t>
      </w:r>
      <w:r w:rsidR="004403A0" w:rsidRPr="00B52D43">
        <w:rPr>
          <w:rFonts w:ascii="Verdana" w:hAnsi="Verdana"/>
          <w:sz w:val="20"/>
          <w:szCs w:val="20"/>
          <w:lang w:val="es-CR"/>
        </w:rPr>
        <w:t xml:space="preserve"> </w:t>
      </w:r>
      <w:r w:rsidR="0030218B" w:rsidRPr="00B52D43">
        <w:rPr>
          <w:rFonts w:ascii="Verdana" w:hAnsi="Verdana"/>
          <w:sz w:val="20"/>
          <w:szCs w:val="20"/>
          <w:lang w:val="es-CR"/>
        </w:rPr>
        <w:t xml:space="preserve">los trabajadores de Petroperú </w:t>
      </w:r>
      <w:r w:rsidR="00637D8D" w:rsidRPr="00B52D43">
        <w:rPr>
          <w:rFonts w:ascii="Verdana" w:hAnsi="Verdana"/>
          <w:sz w:val="20"/>
          <w:szCs w:val="20"/>
          <w:lang w:val="es-CR"/>
        </w:rPr>
        <w:t xml:space="preserve">de agotar </w:t>
      </w:r>
      <w:r w:rsidR="004403A0" w:rsidRPr="00B52D43">
        <w:rPr>
          <w:rFonts w:ascii="Verdana" w:hAnsi="Verdana"/>
          <w:sz w:val="20"/>
          <w:szCs w:val="20"/>
          <w:lang w:val="es-CR"/>
        </w:rPr>
        <w:t>el recurso extraor</w:t>
      </w:r>
      <w:r w:rsidR="0030218B" w:rsidRPr="00B52D43">
        <w:rPr>
          <w:rFonts w:ascii="Verdana" w:hAnsi="Verdana"/>
          <w:sz w:val="20"/>
          <w:szCs w:val="20"/>
          <w:lang w:val="es-CR"/>
        </w:rPr>
        <w:t>dinario ante</w:t>
      </w:r>
      <w:r w:rsidR="002C151B">
        <w:rPr>
          <w:rFonts w:ascii="Verdana" w:hAnsi="Verdana"/>
          <w:sz w:val="20"/>
          <w:szCs w:val="20"/>
          <w:lang w:val="es-CR"/>
        </w:rPr>
        <w:t xml:space="preserve"> </w:t>
      </w:r>
      <w:r w:rsidR="00137E21">
        <w:rPr>
          <w:rFonts w:ascii="Verdana" w:hAnsi="Verdana"/>
          <w:sz w:val="20"/>
          <w:szCs w:val="20"/>
          <w:lang w:val="es-CR"/>
        </w:rPr>
        <w:t>el Tribunal Constitucional</w:t>
      </w:r>
      <w:r w:rsidR="00CC2ABD" w:rsidRPr="00B52D43">
        <w:rPr>
          <w:rFonts w:ascii="Verdana" w:hAnsi="Verdana"/>
          <w:sz w:val="20"/>
          <w:szCs w:val="20"/>
          <w:lang w:val="es-CR"/>
        </w:rPr>
        <w:t>.</w:t>
      </w:r>
      <w:r w:rsidR="0030218B" w:rsidRPr="00B52D43">
        <w:rPr>
          <w:rFonts w:ascii="Verdana" w:hAnsi="Verdana"/>
          <w:sz w:val="20"/>
          <w:szCs w:val="20"/>
          <w:lang w:val="es-CR"/>
        </w:rPr>
        <w:t xml:space="preserve"> </w:t>
      </w:r>
      <w:r w:rsidRPr="00B52D43">
        <w:rPr>
          <w:rFonts w:ascii="Verdana" w:hAnsi="Verdana"/>
          <w:sz w:val="20"/>
          <w:szCs w:val="20"/>
          <w:lang w:val="es-CR"/>
        </w:rPr>
        <w:t>P</w:t>
      </w:r>
      <w:r w:rsidR="004403A0" w:rsidRPr="00B52D43">
        <w:rPr>
          <w:rFonts w:ascii="Verdana" w:hAnsi="Verdana"/>
          <w:sz w:val="20"/>
          <w:szCs w:val="20"/>
          <w:lang w:val="es-CR"/>
        </w:rPr>
        <w:t xml:space="preserve">or </w:t>
      </w:r>
      <w:r w:rsidR="0030218B" w:rsidRPr="00B52D43">
        <w:rPr>
          <w:rFonts w:ascii="Verdana" w:hAnsi="Verdana"/>
          <w:sz w:val="20"/>
          <w:szCs w:val="20"/>
          <w:lang w:val="es-CR"/>
        </w:rPr>
        <w:t>lo tanto</w:t>
      </w:r>
      <w:r w:rsidR="004403A0" w:rsidRPr="00B52D43">
        <w:rPr>
          <w:rFonts w:ascii="Verdana" w:hAnsi="Verdana"/>
          <w:sz w:val="20"/>
          <w:szCs w:val="20"/>
          <w:lang w:val="es-CR"/>
        </w:rPr>
        <w:t xml:space="preserve">, </w:t>
      </w:r>
      <w:r w:rsidR="00CC2ABD" w:rsidRPr="00B52D43">
        <w:rPr>
          <w:rFonts w:ascii="Verdana" w:hAnsi="Verdana"/>
          <w:sz w:val="20"/>
          <w:szCs w:val="20"/>
          <w:lang w:val="es-CR"/>
        </w:rPr>
        <w:t xml:space="preserve">ante la falta de elementos para acreditar la falta de imparcialidad, autonomía e independencia del </w:t>
      </w:r>
      <w:r w:rsidR="002825C2" w:rsidRPr="00B52D43">
        <w:rPr>
          <w:rFonts w:ascii="Verdana" w:hAnsi="Verdana"/>
          <w:sz w:val="20"/>
          <w:szCs w:val="20"/>
          <w:lang w:val="es-CR"/>
        </w:rPr>
        <w:t>Tribunal Constitucional</w:t>
      </w:r>
      <w:r w:rsidR="00CC2ABD" w:rsidRPr="00B52D43">
        <w:rPr>
          <w:rFonts w:ascii="Verdana" w:hAnsi="Verdana"/>
          <w:sz w:val="20"/>
          <w:szCs w:val="20"/>
          <w:lang w:val="es-CR"/>
        </w:rPr>
        <w:t xml:space="preserve">, </w:t>
      </w:r>
      <w:r w:rsidR="002825C2" w:rsidRPr="00B52D43">
        <w:rPr>
          <w:rFonts w:ascii="Verdana" w:hAnsi="Verdana"/>
          <w:sz w:val="20"/>
          <w:szCs w:val="20"/>
          <w:lang w:val="es-CR"/>
        </w:rPr>
        <w:t xml:space="preserve">considero que esta Corte debió </w:t>
      </w:r>
      <w:r w:rsidR="004D1C42" w:rsidRPr="00B52D43">
        <w:rPr>
          <w:rFonts w:ascii="Verdana" w:hAnsi="Verdana"/>
          <w:sz w:val="20"/>
          <w:szCs w:val="20"/>
          <w:lang w:val="es-CR"/>
        </w:rPr>
        <w:t>declarar fundada</w:t>
      </w:r>
      <w:r w:rsidR="002825C2" w:rsidRPr="00B52D43">
        <w:rPr>
          <w:rFonts w:ascii="Verdana" w:hAnsi="Verdana"/>
          <w:sz w:val="20"/>
          <w:szCs w:val="20"/>
          <w:lang w:val="es-CR"/>
        </w:rPr>
        <w:t xml:space="preserve"> </w:t>
      </w:r>
      <w:r w:rsidR="00A27A3A" w:rsidRPr="00B52D43">
        <w:rPr>
          <w:rFonts w:ascii="Verdana" w:hAnsi="Verdana"/>
          <w:sz w:val="20"/>
          <w:szCs w:val="20"/>
          <w:lang w:val="es-CR"/>
        </w:rPr>
        <w:t xml:space="preserve">la excepción </w:t>
      </w:r>
      <w:r w:rsidR="0047419E" w:rsidRPr="00B52D43">
        <w:rPr>
          <w:rFonts w:ascii="Verdana" w:hAnsi="Verdana"/>
          <w:sz w:val="20"/>
          <w:szCs w:val="20"/>
          <w:lang w:val="es-CR"/>
        </w:rPr>
        <w:t xml:space="preserve">de falta de agotamiento de los recursos internos </w:t>
      </w:r>
      <w:r w:rsidR="00A27A3A" w:rsidRPr="00B52D43">
        <w:rPr>
          <w:rFonts w:ascii="Verdana" w:hAnsi="Verdana"/>
          <w:sz w:val="20"/>
          <w:szCs w:val="20"/>
          <w:lang w:val="es-CR"/>
        </w:rPr>
        <w:t>hecha valer por el Estado</w:t>
      </w:r>
      <w:r w:rsidR="00465AE6">
        <w:rPr>
          <w:rFonts w:ascii="Verdana" w:hAnsi="Verdana"/>
          <w:sz w:val="20"/>
          <w:szCs w:val="20"/>
          <w:lang w:val="es-CR"/>
        </w:rPr>
        <w:t xml:space="preserve">. </w:t>
      </w:r>
    </w:p>
    <w:p w14:paraId="78071335" w14:textId="77777777" w:rsidR="002F6EA7" w:rsidRDefault="002F6EA7" w:rsidP="009D7294">
      <w:pPr>
        <w:rPr>
          <w:rFonts w:ascii="Verdana" w:hAnsi="Verdana"/>
          <w:lang w:val="es-CR"/>
        </w:rPr>
      </w:pPr>
    </w:p>
    <w:p w14:paraId="6BED673B" w14:textId="56B68F46" w:rsidR="000C3A89" w:rsidRPr="008F2B34" w:rsidRDefault="002F6EA7" w:rsidP="008F2B34">
      <w:pPr>
        <w:pStyle w:val="ListParagraph"/>
        <w:numPr>
          <w:ilvl w:val="0"/>
          <w:numId w:val="10"/>
        </w:numPr>
        <w:ind w:left="0" w:firstLine="0"/>
        <w:jc w:val="both"/>
        <w:rPr>
          <w:rFonts w:ascii="Verdana" w:hAnsi="Verdana"/>
          <w:sz w:val="20"/>
          <w:szCs w:val="20"/>
          <w:lang w:val="es-CR"/>
        </w:rPr>
      </w:pPr>
      <w:r w:rsidRPr="008F2B34">
        <w:rPr>
          <w:rFonts w:ascii="Verdana" w:hAnsi="Verdana"/>
          <w:sz w:val="20"/>
          <w:szCs w:val="20"/>
          <w:lang w:val="es-CR"/>
        </w:rPr>
        <w:t xml:space="preserve">Finalmente, en relación con lo anterior, destaco que la consecuencia de aceptar argumentaciones genéricas para determinar la ausencia generalizada de objetividad de las instancias jurisdiccionales en el Perú durante el gobierno de Alberto Fujimori, trae aparejada la aceptación de que deberán ser admitidas por la Comisión todas las peticiones que se encuentren en dicho intervalo temporal, no obstante se </w:t>
      </w:r>
      <w:r w:rsidR="002E7E26" w:rsidRPr="008F2B34">
        <w:rPr>
          <w:rFonts w:ascii="Verdana" w:hAnsi="Verdana"/>
          <w:sz w:val="20"/>
          <w:szCs w:val="20"/>
          <w:lang w:val="es-CR"/>
        </w:rPr>
        <w:t>soslaye</w:t>
      </w:r>
      <w:r w:rsidRPr="008F2B34">
        <w:rPr>
          <w:rFonts w:ascii="Verdana" w:hAnsi="Verdana"/>
          <w:sz w:val="20"/>
          <w:szCs w:val="20"/>
          <w:lang w:val="es-CR"/>
        </w:rPr>
        <w:t xml:space="preserve"> el cumplimiento de los requisitos de </w:t>
      </w:r>
      <w:proofErr w:type="spellStart"/>
      <w:r w:rsidRPr="008F2B34">
        <w:rPr>
          <w:rFonts w:ascii="Verdana" w:hAnsi="Verdana"/>
          <w:sz w:val="20"/>
          <w:szCs w:val="20"/>
          <w:lang w:val="es-CR"/>
        </w:rPr>
        <w:t>procedibilidad</w:t>
      </w:r>
      <w:proofErr w:type="spellEnd"/>
      <w:r w:rsidRPr="008F2B34">
        <w:rPr>
          <w:rFonts w:ascii="Verdana" w:hAnsi="Verdana"/>
          <w:sz w:val="20"/>
          <w:szCs w:val="20"/>
          <w:lang w:val="es-CR"/>
        </w:rPr>
        <w:t xml:space="preserve"> previstos por la Convención Americana,</w:t>
      </w:r>
      <w:r w:rsidR="00036F42" w:rsidRPr="008F2B34">
        <w:rPr>
          <w:rFonts w:ascii="Verdana" w:hAnsi="Verdana"/>
          <w:sz w:val="20"/>
          <w:szCs w:val="20"/>
          <w:lang w:val="es-CR"/>
        </w:rPr>
        <w:t xml:space="preserve"> y el Estado acredite el incumplimiento del requisito de agotar los recursos de la jurisdicción interna,</w:t>
      </w:r>
      <w:r w:rsidR="007C105A" w:rsidRPr="008F2B34">
        <w:rPr>
          <w:rFonts w:ascii="Verdana" w:hAnsi="Verdana"/>
          <w:sz w:val="20"/>
          <w:szCs w:val="20"/>
          <w:lang w:val="es-CR"/>
        </w:rPr>
        <w:t xml:space="preserve"> lo cual podría resultar </w:t>
      </w:r>
      <w:r w:rsidR="00B37179" w:rsidRPr="008F2B34">
        <w:rPr>
          <w:rFonts w:ascii="Verdana" w:hAnsi="Verdana"/>
          <w:sz w:val="20"/>
          <w:szCs w:val="20"/>
          <w:lang w:val="es-CR"/>
        </w:rPr>
        <w:t>en una franca contradicción</w:t>
      </w:r>
      <w:r w:rsidR="007C105A" w:rsidRPr="008F2B34">
        <w:rPr>
          <w:rFonts w:ascii="Verdana" w:hAnsi="Verdana"/>
          <w:sz w:val="20"/>
          <w:szCs w:val="20"/>
          <w:lang w:val="es-CR"/>
        </w:rPr>
        <w:t xml:space="preserve"> con el artículo </w:t>
      </w:r>
      <w:r w:rsidR="005F0EFF" w:rsidRPr="008F2B34">
        <w:rPr>
          <w:rFonts w:ascii="Verdana" w:hAnsi="Verdana"/>
          <w:sz w:val="20"/>
          <w:szCs w:val="20"/>
          <w:lang w:val="es-CR"/>
        </w:rPr>
        <w:t>46</w:t>
      </w:r>
      <w:r w:rsidR="007C105A" w:rsidRPr="008F2B34">
        <w:rPr>
          <w:rFonts w:ascii="Verdana" w:hAnsi="Verdana"/>
          <w:sz w:val="20"/>
          <w:szCs w:val="20"/>
          <w:lang w:val="es-CR"/>
        </w:rPr>
        <w:t xml:space="preserve"> de la Convención</w:t>
      </w:r>
      <w:r w:rsidR="005F0EFF" w:rsidRPr="008F2B34">
        <w:rPr>
          <w:rStyle w:val="FootnoteReference"/>
          <w:rFonts w:ascii="Verdana" w:hAnsi="Verdana"/>
          <w:sz w:val="20"/>
          <w:szCs w:val="20"/>
          <w:lang w:val="es-CR"/>
        </w:rPr>
        <w:footnoteReference w:id="10"/>
      </w:r>
      <w:r w:rsidR="007C105A" w:rsidRPr="008F2B34">
        <w:rPr>
          <w:rFonts w:ascii="Verdana" w:hAnsi="Verdana"/>
          <w:sz w:val="20"/>
          <w:szCs w:val="20"/>
          <w:lang w:val="es-CR"/>
        </w:rPr>
        <w:t>.</w:t>
      </w:r>
    </w:p>
    <w:p w14:paraId="2ED5BF4C" w14:textId="65778169" w:rsidR="00CC2ABD" w:rsidRPr="00EC354D" w:rsidRDefault="00CC2ABD" w:rsidP="009D7294">
      <w:pPr>
        <w:ind w:left="142"/>
        <w:jc w:val="both"/>
        <w:rPr>
          <w:rFonts w:ascii="Verdana" w:hAnsi="Verdana"/>
          <w:lang w:val="es-CR"/>
        </w:rPr>
      </w:pPr>
    </w:p>
    <w:p w14:paraId="6B17198B" w14:textId="77777777" w:rsidR="009D6A1D" w:rsidRPr="00C0565D" w:rsidRDefault="009D6A1D" w:rsidP="009D6A1D">
      <w:pPr>
        <w:jc w:val="both"/>
        <w:rPr>
          <w:rFonts w:ascii="Verdana" w:hAnsi="Verdana"/>
          <w:b/>
          <w:i/>
        </w:rPr>
      </w:pPr>
      <w:r>
        <w:rPr>
          <w:rFonts w:ascii="Verdana" w:hAnsi="Verdana"/>
          <w:b/>
          <w:i/>
        </w:rPr>
        <w:t>II</w:t>
      </w:r>
      <w:r w:rsidRPr="00C0565D">
        <w:rPr>
          <w:rFonts w:ascii="Verdana" w:hAnsi="Verdana"/>
          <w:b/>
          <w:i/>
        </w:rPr>
        <w:t xml:space="preserve">. </w:t>
      </w:r>
      <w:r>
        <w:rPr>
          <w:rFonts w:ascii="Verdana" w:hAnsi="Verdana"/>
          <w:b/>
          <w:i/>
        </w:rPr>
        <w:tab/>
      </w:r>
      <w:r w:rsidRPr="00C0565D">
        <w:rPr>
          <w:rFonts w:ascii="Verdana" w:hAnsi="Verdana"/>
          <w:b/>
          <w:i/>
        </w:rPr>
        <w:t xml:space="preserve">Respecto </w:t>
      </w:r>
      <w:r>
        <w:rPr>
          <w:rFonts w:ascii="Verdana" w:hAnsi="Verdana"/>
          <w:b/>
          <w:i/>
        </w:rPr>
        <w:t>de</w:t>
      </w:r>
      <w:r w:rsidRPr="00C0565D">
        <w:rPr>
          <w:rFonts w:ascii="Verdana" w:hAnsi="Verdana"/>
          <w:b/>
          <w:i/>
        </w:rPr>
        <w:t xml:space="preserve"> la </w:t>
      </w:r>
      <w:r>
        <w:rPr>
          <w:rFonts w:ascii="Verdana" w:hAnsi="Verdana"/>
          <w:b/>
          <w:i/>
        </w:rPr>
        <w:t>violación al derecho al trabajo en relación con las obligaciones de respetar y garantizar los derechos</w:t>
      </w:r>
    </w:p>
    <w:p w14:paraId="703BE679" w14:textId="77777777" w:rsidR="00381481" w:rsidRDefault="00381481" w:rsidP="00381481">
      <w:pPr>
        <w:jc w:val="both"/>
        <w:rPr>
          <w:rFonts w:ascii="Verdana" w:hAnsi="Verdana"/>
        </w:rPr>
      </w:pPr>
    </w:p>
    <w:p w14:paraId="4505AF43" w14:textId="34AC784E" w:rsidR="00381481" w:rsidRPr="005B5B2D" w:rsidRDefault="000F514F" w:rsidP="009D7294">
      <w:pPr>
        <w:pStyle w:val="ListParagraph"/>
        <w:numPr>
          <w:ilvl w:val="0"/>
          <w:numId w:val="10"/>
        </w:numPr>
        <w:ind w:left="0" w:firstLine="0"/>
        <w:jc w:val="both"/>
        <w:rPr>
          <w:rFonts w:ascii="Verdana" w:hAnsi="Verdana"/>
          <w:sz w:val="20"/>
          <w:szCs w:val="20"/>
          <w:lang w:val="es-CR"/>
        </w:rPr>
      </w:pPr>
      <w:r w:rsidRPr="003C562D">
        <w:rPr>
          <w:rFonts w:ascii="Verdana" w:hAnsi="Verdana"/>
          <w:sz w:val="20"/>
          <w:szCs w:val="20"/>
          <w:lang w:val="es-CR"/>
        </w:rPr>
        <w:t xml:space="preserve">La sentencia también señaló que el Estado es responsable de la violación al derecho al trabajo de los trabajadores de Petroperú, </w:t>
      </w:r>
      <w:proofErr w:type="spellStart"/>
      <w:r w:rsidRPr="003C562D">
        <w:rPr>
          <w:rFonts w:ascii="Verdana" w:hAnsi="Verdana"/>
          <w:sz w:val="20"/>
          <w:szCs w:val="20"/>
          <w:lang w:val="es-CR"/>
        </w:rPr>
        <w:t>Enapu</w:t>
      </w:r>
      <w:proofErr w:type="spellEnd"/>
      <w:r w:rsidRPr="003C562D">
        <w:rPr>
          <w:rFonts w:ascii="Verdana" w:hAnsi="Verdana"/>
          <w:sz w:val="20"/>
          <w:szCs w:val="20"/>
          <w:lang w:val="es-CR"/>
        </w:rPr>
        <w:t xml:space="preserve">, </w:t>
      </w:r>
      <w:proofErr w:type="spellStart"/>
      <w:r w:rsidRPr="003C562D">
        <w:rPr>
          <w:rFonts w:ascii="Verdana" w:hAnsi="Verdana"/>
          <w:sz w:val="20"/>
          <w:szCs w:val="20"/>
          <w:lang w:val="es-CR"/>
        </w:rPr>
        <w:t>Minedu</w:t>
      </w:r>
      <w:proofErr w:type="spellEnd"/>
      <w:r w:rsidRPr="003C562D">
        <w:rPr>
          <w:rFonts w:ascii="Verdana" w:hAnsi="Verdana"/>
          <w:sz w:val="20"/>
          <w:szCs w:val="20"/>
          <w:lang w:val="es-CR"/>
        </w:rPr>
        <w:t xml:space="preserve"> y el MEF, en tanto no gozaron de acceso a la justicia y a la tutela judicial efectiva en el ámbito de </w:t>
      </w:r>
      <w:r w:rsidR="00024D7D" w:rsidRPr="003C562D">
        <w:rPr>
          <w:rFonts w:ascii="Verdana" w:hAnsi="Verdana"/>
          <w:sz w:val="20"/>
          <w:szCs w:val="20"/>
          <w:lang w:val="es-CR"/>
        </w:rPr>
        <w:t>sus</w:t>
      </w:r>
      <w:r w:rsidRPr="003C562D">
        <w:rPr>
          <w:rFonts w:ascii="Verdana" w:hAnsi="Verdana"/>
          <w:sz w:val="20"/>
          <w:szCs w:val="20"/>
          <w:lang w:val="es-CR"/>
        </w:rPr>
        <w:t xml:space="preserve"> relaciones laborales</w:t>
      </w:r>
      <w:r w:rsidR="00024D7D" w:rsidRPr="003C562D">
        <w:rPr>
          <w:rFonts w:ascii="Verdana" w:hAnsi="Verdana"/>
          <w:sz w:val="20"/>
          <w:szCs w:val="20"/>
          <w:lang w:val="es-CR"/>
        </w:rPr>
        <w:t xml:space="preserve"> (</w:t>
      </w:r>
      <w:r w:rsidR="00024D7D" w:rsidRPr="003C562D">
        <w:rPr>
          <w:rFonts w:ascii="Verdana" w:hAnsi="Verdana"/>
          <w:i/>
          <w:sz w:val="20"/>
          <w:szCs w:val="20"/>
          <w:lang w:val="es-CR"/>
        </w:rPr>
        <w:t>supra</w:t>
      </w:r>
      <w:r w:rsidR="00024D7D" w:rsidRPr="003C562D">
        <w:rPr>
          <w:rFonts w:ascii="Verdana" w:hAnsi="Verdana"/>
          <w:sz w:val="20"/>
          <w:szCs w:val="20"/>
          <w:lang w:val="es-CR"/>
        </w:rPr>
        <w:t xml:space="preserve"> párr.</w:t>
      </w:r>
      <w:r w:rsidR="00194271">
        <w:rPr>
          <w:rFonts w:ascii="Verdana" w:hAnsi="Verdana"/>
          <w:sz w:val="20"/>
          <w:szCs w:val="20"/>
          <w:lang w:val="es-CR"/>
        </w:rPr>
        <w:t xml:space="preserve"> 196</w:t>
      </w:r>
      <w:r w:rsidR="00024D7D" w:rsidRPr="003C562D">
        <w:rPr>
          <w:rFonts w:ascii="Verdana" w:hAnsi="Verdana"/>
          <w:sz w:val="20"/>
          <w:szCs w:val="20"/>
          <w:lang w:val="es-CR"/>
        </w:rPr>
        <w:t>)</w:t>
      </w:r>
      <w:r w:rsidRPr="003C562D">
        <w:rPr>
          <w:rFonts w:ascii="Verdana" w:hAnsi="Verdana"/>
          <w:sz w:val="20"/>
          <w:szCs w:val="20"/>
          <w:lang w:val="es-CR"/>
        </w:rPr>
        <w:t xml:space="preserve">. </w:t>
      </w:r>
      <w:r w:rsidRPr="005B5B2D">
        <w:rPr>
          <w:rFonts w:ascii="Verdana" w:hAnsi="Verdana"/>
          <w:sz w:val="20"/>
          <w:szCs w:val="20"/>
          <w:lang w:val="es-CR"/>
        </w:rPr>
        <w:t xml:space="preserve">En virtud de ello, la mayoría </w:t>
      </w:r>
      <w:r w:rsidR="00951821" w:rsidRPr="005B5B2D">
        <w:rPr>
          <w:rFonts w:ascii="Verdana" w:hAnsi="Verdana"/>
          <w:sz w:val="20"/>
          <w:szCs w:val="20"/>
          <w:lang w:val="es-CR"/>
        </w:rPr>
        <w:t>votó</w:t>
      </w:r>
      <w:r w:rsidRPr="005B5B2D">
        <w:rPr>
          <w:rFonts w:ascii="Verdana" w:hAnsi="Verdana"/>
          <w:sz w:val="20"/>
          <w:szCs w:val="20"/>
          <w:lang w:val="es-CR"/>
        </w:rPr>
        <w:t xml:space="preserve"> que existió una violación al artículo 26 de la Convención, en relación con el artículo 1.1 del mismo instrumento. </w:t>
      </w:r>
      <w:r w:rsidRPr="003C562D">
        <w:rPr>
          <w:rFonts w:ascii="Verdana" w:hAnsi="Verdana"/>
          <w:sz w:val="20"/>
          <w:szCs w:val="20"/>
          <w:lang w:val="es-CR"/>
        </w:rPr>
        <w:t xml:space="preserve">Esta conclusión se basó en el precedente del caso </w:t>
      </w:r>
      <w:r w:rsidRPr="003C562D">
        <w:rPr>
          <w:rFonts w:ascii="Verdana" w:hAnsi="Verdana"/>
          <w:i/>
          <w:sz w:val="20"/>
          <w:szCs w:val="20"/>
          <w:lang w:val="es-CR"/>
        </w:rPr>
        <w:t xml:space="preserve">Lagos del Campo </w:t>
      </w:r>
      <w:r w:rsidR="00245C36" w:rsidRPr="003C562D">
        <w:rPr>
          <w:rFonts w:ascii="Verdana" w:hAnsi="Verdana"/>
          <w:i/>
          <w:sz w:val="20"/>
          <w:szCs w:val="20"/>
          <w:lang w:val="es-CR"/>
        </w:rPr>
        <w:t>Vs</w:t>
      </w:r>
      <w:r w:rsidRPr="003C562D">
        <w:rPr>
          <w:rFonts w:ascii="Verdana" w:hAnsi="Verdana"/>
          <w:i/>
          <w:sz w:val="20"/>
          <w:szCs w:val="20"/>
          <w:lang w:val="es-CR"/>
        </w:rPr>
        <w:t xml:space="preserve">. </w:t>
      </w:r>
      <w:r w:rsidRPr="005B5B2D">
        <w:rPr>
          <w:rFonts w:ascii="Verdana" w:hAnsi="Verdana"/>
          <w:i/>
          <w:sz w:val="20"/>
          <w:szCs w:val="20"/>
          <w:lang w:val="es-CR"/>
        </w:rPr>
        <w:t>Perú</w:t>
      </w:r>
      <w:r w:rsidRPr="005B5B2D">
        <w:rPr>
          <w:rFonts w:ascii="Verdana" w:hAnsi="Verdana"/>
          <w:sz w:val="20"/>
          <w:szCs w:val="20"/>
          <w:lang w:val="es-CR"/>
        </w:rPr>
        <w:t>, donde la Corte reafirmó su “competencia para conocer y resolver controversias relativas al artículo 26 de la Convención</w:t>
      </w:r>
      <w:r w:rsidR="00024D7D" w:rsidRPr="005B5B2D">
        <w:rPr>
          <w:rFonts w:ascii="Verdana" w:hAnsi="Verdana"/>
          <w:sz w:val="20"/>
          <w:szCs w:val="20"/>
          <w:lang w:val="es-CR"/>
        </w:rPr>
        <w:t xml:space="preserve"> Americana</w:t>
      </w:r>
      <w:r w:rsidRPr="005B5B2D">
        <w:rPr>
          <w:rFonts w:ascii="Verdana" w:hAnsi="Verdana"/>
          <w:sz w:val="20"/>
          <w:szCs w:val="20"/>
          <w:lang w:val="es-CR"/>
        </w:rPr>
        <w:t xml:space="preserve">, como </w:t>
      </w:r>
      <w:r w:rsidR="00024D7D" w:rsidRPr="005B5B2D">
        <w:rPr>
          <w:rFonts w:ascii="Verdana" w:hAnsi="Verdana"/>
          <w:sz w:val="20"/>
          <w:szCs w:val="20"/>
          <w:lang w:val="es-CR"/>
        </w:rPr>
        <w:t>parte integrante de los derechos enumerados en la misma, respecto de los cuales el artículo 1.1 confiere obligaciones generales de respeto y garantía</w:t>
      </w:r>
      <w:r w:rsidR="00A31110">
        <w:rPr>
          <w:rFonts w:ascii="Verdana" w:hAnsi="Verdana"/>
          <w:sz w:val="20"/>
          <w:szCs w:val="20"/>
          <w:lang w:val="es-CR"/>
        </w:rPr>
        <w:t xml:space="preserve"> a los Estados</w:t>
      </w:r>
      <w:r w:rsidR="00024D7D" w:rsidRPr="005B5B2D">
        <w:rPr>
          <w:rFonts w:ascii="Verdana" w:hAnsi="Verdana"/>
          <w:sz w:val="20"/>
          <w:szCs w:val="20"/>
          <w:lang w:val="es-CR"/>
        </w:rPr>
        <w:t>”</w:t>
      </w:r>
      <w:r w:rsidR="00024D7D" w:rsidRPr="003C562D">
        <w:rPr>
          <w:rStyle w:val="FootnoteReference"/>
          <w:rFonts w:ascii="Verdana" w:hAnsi="Verdana"/>
          <w:sz w:val="20"/>
          <w:szCs w:val="20"/>
        </w:rPr>
        <w:footnoteReference w:id="11"/>
      </w:r>
      <w:r w:rsidR="00024D7D" w:rsidRPr="005B5B2D">
        <w:rPr>
          <w:rFonts w:ascii="Verdana" w:hAnsi="Verdana"/>
          <w:sz w:val="20"/>
          <w:szCs w:val="20"/>
          <w:lang w:val="es-CR"/>
        </w:rPr>
        <w:t xml:space="preserve">. En efecto, en </w:t>
      </w:r>
      <w:r w:rsidR="00951821" w:rsidRPr="005B5B2D">
        <w:rPr>
          <w:rFonts w:ascii="Verdana" w:hAnsi="Verdana"/>
          <w:sz w:val="20"/>
          <w:szCs w:val="20"/>
          <w:lang w:val="es-CR"/>
        </w:rPr>
        <w:t>el caso antes mencionado</w:t>
      </w:r>
      <w:r w:rsidR="005F0EFF">
        <w:rPr>
          <w:rFonts w:ascii="Verdana" w:hAnsi="Verdana"/>
          <w:sz w:val="20"/>
          <w:szCs w:val="20"/>
          <w:lang w:val="es-CR"/>
        </w:rPr>
        <w:t>,</w:t>
      </w:r>
      <w:r w:rsidR="00951821" w:rsidRPr="005B5B2D">
        <w:rPr>
          <w:rFonts w:ascii="Verdana" w:hAnsi="Verdana"/>
          <w:sz w:val="20"/>
          <w:szCs w:val="20"/>
          <w:lang w:val="es-CR"/>
        </w:rPr>
        <w:t xml:space="preserve"> </w:t>
      </w:r>
      <w:r w:rsidR="00024D7D" w:rsidRPr="005B5B2D">
        <w:rPr>
          <w:rFonts w:ascii="Verdana" w:hAnsi="Verdana"/>
          <w:sz w:val="20"/>
          <w:szCs w:val="20"/>
          <w:lang w:val="es-CR"/>
        </w:rPr>
        <w:t>la Corte concluyó que los derechos laborales específicos protegidos por el artículo 26 son aquellos que se “derivan” de las normas económicas, sociales y sobre educación, ciencia y cultura contenidas en la Carta de la OEA, interpretada a la luz de la Declaración Americana y el artículo 29 de la propia Convención</w:t>
      </w:r>
      <w:r w:rsidR="00951821" w:rsidRPr="005B5B2D">
        <w:rPr>
          <w:rFonts w:ascii="Verdana" w:hAnsi="Verdana"/>
          <w:sz w:val="20"/>
          <w:szCs w:val="20"/>
          <w:lang w:val="es-CR"/>
        </w:rPr>
        <w:t xml:space="preserve"> Americana</w:t>
      </w:r>
      <w:r w:rsidR="00024D7D" w:rsidRPr="005B5B2D">
        <w:rPr>
          <w:rFonts w:ascii="Verdana" w:hAnsi="Verdana"/>
          <w:sz w:val="20"/>
          <w:szCs w:val="20"/>
          <w:lang w:val="es-CR"/>
        </w:rPr>
        <w:t xml:space="preserve">. </w:t>
      </w:r>
    </w:p>
    <w:p w14:paraId="06216832" w14:textId="77777777" w:rsidR="00017D5A" w:rsidRPr="003C562D" w:rsidRDefault="00017D5A" w:rsidP="00CC27DB">
      <w:pPr>
        <w:pStyle w:val="ListParagraph"/>
        <w:ind w:left="0"/>
        <w:jc w:val="both"/>
        <w:rPr>
          <w:rFonts w:ascii="Verdana" w:hAnsi="Verdana"/>
          <w:sz w:val="20"/>
          <w:szCs w:val="20"/>
          <w:lang w:val="es-CR"/>
        </w:rPr>
      </w:pPr>
    </w:p>
    <w:p w14:paraId="4AA70B3F" w14:textId="77777777" w:rsidR="00017D5A" w:rsidRPr="003C562D" w:rsidRDefault="00017D5A" w:rsidP="009D7294">
      <w:pPr>
        <w:pStyle w:val="ListParagraph"/>
        <w:numPr>
          <w:ilvl w:val="0"/>
          <w:numId w:val="10"/>
        </w:numPr>
        <w:ind w:left="0" w:firstLine="0"/>
        <w:jc w:val="both"/>
        <w:rPr>
          <w:rFonts w:ascii="Verdana" w:hAnsi="Verdana"/>
          <w:sz w:val="20"/>
          <w:szCs w:val="20"/>
          <w:lang w:val="es-CR"/>
        </w:rPr>
      </w:pPr>
      <w:r w:rsidRPr="003C562D">
        <w:rPr>
          <w:rFonts w:ascii="Verdana" w:hAnsi="Verdana"/>
          <w:sz w:val="20"/>
          <w:szCs w:val="20"/>
          <w:lang w:val="es-CR"/>
        </w:rPr>
        <w:lastRenderedPageBreak/>
        <w:t xml:space="preserve">Esta interpretación, con la cual </w:t>
      </w:r>
      <w:r w:rsidR="00D94349" w:rsidRPr="003C562D">
        <w:rPr>
          <w:rFonts w:ascii="Verdana" w:hAnsi="Verdana"/>
          <w:sz w:val="20"/>
          <w:szCs w:val="20"/>
          <w:lang w:val="es-CR"/>
        </w:rPr>
        <w:t>disiento</w:t>
      </w:r>
      <w:r w:rsidRPr="003C562D">
        <w:rPr>
          <w:rFonts w:ascii="Verdana" w:hAnsi="Verdana"/>
          <w:sz w:val="20"/>
          <w:szCs w:val="20"/>
          <w:lang w:val="es-CR"/>
        </w:rPr>
        <w:t>, tanto en sus fundamentos, como en sus efectos, invita a reflexionar</w:t>
      </w:r>
      <w:r w:rsidR="00D94349" w:rsidRPr="003C562D">
        <w:rPr>
          <w:rFonts w:ascii="Verdana" w:hAnsi="Verdana"/>
          <w:sz w:val="20"/>
          <w:szCs w:val="20"/>
          <w:lang w:val="es-CR"/>
        </w:rPr>
        <w:t xml:space="preserve"> </w:t>
      </w:r>
      <w:r w:rsidRPr="003C562D">
        <w:rPr>
          <w:rFonts w:ascii="Verdana" w:hAnsi="Verdana"/>
          <w:sz w:val="20"/>
          <w:szCs w:val="20"/>
          <w:lang w:val="es-CR"/>
        </w:rPr>
        <w:t>sobre las reglas y principios que la Corte utiliza para interpretar la Convención Americana y otros tratados sobre los que tiene competencia. Se trata de un tema de especial relevancia en la teoría y la práctica internacional, en la medida en que impacta transversalmente la argumentación que la Corte desarrolla para resolver casos contenciosos u opiniones consultivas sujetas a su conocimiento, la validez de las conclusiones de derecho a las que arriba, y el contenido de los criterios que podrían ser utilizados por los Estados a través del control de convencionalidad u otros medios de implementación de las sentencias de la Corte. Se trata de una cuestión que, de no tomarse con seriedad en el futuro, puede conducir a la Corte a justificar cualquier decisión</w:t>
      </w:r>
      <w:r w:rsidR="00951821" w:rsidRPr="003C562D">
        <w:rPr>
          <w:rFonts w:ascii="Verdana" w:hAnsi="Verdana"/>
          <w:sz w:val="20"/>
          <w:szCs w:val="20"/>
          <w:lang w:val="es-CR"/>
        </w:rPr>
        <w:t>,</w:t>
      </w:r>
      <w:r w:rsidRPr="003C562D">
        <w:rPr>
          <w:rFonts w:ascii="Verdana" w:hAnsi="Verdana"/>
          <w:sz w:val="20"/>
          <w:szCs w:val="20"/>
          <w:lang w:val="es-CR"/>
        </w:rPr>
        <w:t xml:space="preserve"> como la de este caso</w:t>
      </w:r>
      <w:r w:rsidR="00951821" w:rsidRPr="003C562D">
        <w:rPr>
          <w:rFonts w:ascii="Verdana" w:hAnsi="Verdana"/>
          <w:sz w:val="20"/>
          <w:szCs w:val="20"/>
          <w:lang w:val="es-CR"/>
        </w:rPr>
        <w:t>,</w:t>
      </w:r>
      <w:r w:rsidRPr="003C562D">
        <w:rPr>
          <w:rFonts w:ascii="Verdana" w:hAnsi="Verdana"/>
          <w:sz w:val="20"/>
          <w:szCs w:val="20"/>
          <w:lang w:val="es-CR"/>
        </w:rPr>
        <w:t xml:space="preserve"> en </w:t>
      </w:r>
      <w:r w:rsidR="00D94349" w:rsidRPr="003C562D">
        <w:rPr>
          <w:rFonts w:ascii="Verdana" w:hAnsi="Verdana"/>
          <w:sz w:val="20"/>
          <w:szCs w:val="20"/>
          <w:lang w:val="es-CR"/>
        </w:rPr>
        <w:t xml:space="preserve">relación con la </w:t>
      </w:r>
      <w:proofErr w:type="spellStart"/>
      <w:r w:rsidR="00D94349" w:rsidRPr="003C562D">
        <w:rPr>
          <w:rFonts w:ascii="Verdana" w:hAnsi="Verdana"/>
          <w:sz w:val="20"/>
          <w:szCs w:val="20"/>
          <w:lang w:val="es-CR"/>
        </w:rPr>
        <w:t>justiciabilidad</w:t>
      </w:r>
      <w:proofErr w:type="spellEnd"/>
      <w:r w:rsidR="00D94349" w:rsidRPr="003C562D">
        <w:rPr>
          <w:rFonts w:ascii="Verdana" w:hAnsi="Verdana"/>
          <w:sz w:val="20"/>
          <w:szCs w:val="20"/>
          <w:lang w:val="es-CR"/>
        </w:rPr>
        <w:t xml:space="preserve"> del art</w:t>
      </w:r>
      <w:r w:rsidR="00951821" w:rsidRPr="003C562D">
        <w:rPr>
          <w:rFonts w:ascii="Verdana" w:hAnsi="Verdana"/>
          <w:sz w:val="20"/>
          <w:szCs w:val="20"/>
          <w:lang w:val="es-CR"/>
        </w:rPr>
        <w:t>ículo 26</w:t>
      </w:r>
      <w:r w:rsidRPr="003C562D">
        <w:rPr>
          <w:rFonts w:ascii="Verdana" w:hAnsi="Verdana"/>
          <w:sz w:val="20"/>
          <w:szCs w:val="20"/>
          <w:lang w:val="es-CR"/>
        </w:rPr>
        <w:t>, sin importar su validez lógica o normativa a la luz del derecho internacional.</w:t>
      </w:r>
      <w:r w:rsidR="00951821" w:rsidRPr="003C562D">
        <w:rPr>
          <w:rFonts w:ascii="Verdana" w:hAnsi="Verdana"/>
          <w:sz w:val="20"/>
          <w:szCs w:val="20"/>
          <w:lang w:val="es-CR"/>
        </w:rPr>
        <w:t xml:space="preserve"> </w:t>
      </w:r>
    </w:p>
    <w:p w14:paraId="05675BDD" w14:textId="77777777" w:rsidR="00017D5A" w:rsidRDefault="00017D5A" w:rsidP="006818B4">
      <w:pPr>
        <w:jc w:val="both"/>
        <w:rPr>
          <w:rFonts w:ascii="Verdana" w:hAnsi="Verdana"/>
          <w:b/>
          <w:i/>
        </w:rPr>
      </w:pPr>
    </w:p>
    <w:p w14:paraId="693BD6F1" w14:textId="4BA4CC0C" w:rsidR="006818B4" w:rsidRPr="004676F5" w:rsidRDefault="00B37D20" w:rsidP="009C7158">
      <w:pPr>
        <w:pStyle w:val="ListParagraph"/>
        <w:tabs>
          <w:tab w:val="left" w:pos="567"/>
        </w:tabs>
        <w:ind w:left="0"/>
        <w:jc w:val="both"/>
        <w:outlineLvl w:val="0"/>
        <w:rPr>
          <w:rFonts w:ascii="Verdana" w:hAnsi="Verdana"/>
          <w:i/>
          <w:sz w:val="20"/>
          <w:szCs w:val="20"/>
          <w:lang w:val="es-CR"/>
        </w:rPr>
      </w:pPr>
      <w:r>
        <w:rPr>
          <w:rFonts w:ascii="Verdana" w:hAnsi="Verdana"/>
          <w:b/>
          <w:i/>
          <w:sz w:val="20"/>
          <w:szCs w:val="20"/>
          <w:lang w:val="es-CR"/>
        </w:rPr>
        <w:t xml:space="preserve">A. </w:t>
      </w:r>
      <w:r w:rsidR="006818B4" w:rsidRPr="006818B4">
        <w:rPr>
          <w:rFonts w:ascii="Verdana" w:hAnsi="Verdana"/>
          <w:b/>
          <w:i/>
          <w:sz w:val="20"/>
          <w:szCs w:val="20"/>
          <w:lang w:val="es-CR"/>
        </w:rPr>
        <w:t>Normas generales de interpretación</w:t>
      </w:r>
    </w:p>
    <w:p w14:paraId="37B1DB74" w14:textId="77777777" w:rsidR="004676F5" w:rsidRDefault="004676F5" w:rsidP="004676F5">
      <w:pPr>
        <w:pStyle w:val="ListParagraph"/>
        <w:tabs>
          <w:tab w:val="left" w:pos="567"/>
        </w:tabs>
        <w:ind w:left="0"/>
        <w:jc w:val="both"/>
        <w:rPr>
          <w:rFonts w:ascii="Verdana" w:hAnsi="Verdana"/>
          <w:i/>
          <w:sz w:val="20"/>
          <w:szCs w:val="20"/>
          <w:lang w:val="es-CR"/>
        </w:rPr>
      </w:pPr>
    </w:p>
    <w:p w14:paraId="3D3CCD4E" w14:textId="0FD80A9E" w:rsidR="003D1128" w:rsidRPr="00914700" w:rsidRDefault="00A36C5E" w:rsidP="009D7294">
      <w:pPr>
        <w:pStyle w:val="ListParagraph"/>
        <w:numPr>
          <w:ilvl w:val="0"/>
          <w:numId w:val="10"/>
        </w:numPr>
        <w:tabs>
          <w:tab w:val="left" w:pos="284"/>
          <w:tab w:val="left" w:pos="567"/>
        </w:tabs>
        <w:ind w:left="0" w:firstLine="0"/>
        <w:jc w:val="both"/>
        <w:rPr>
          <w:rFonts w:ascii="Verdana" w:hAnsi="Verdana"/>
          <w:sz w:val="20"/>
          <w:szCs w:val="20"/>
          <w:lang w:val="es-CR"/>
        </w:rPr>
      </w:pPr>
      <w:r w:rsidRPr="00914700">
        <w:rPr>
          <w:rFonts w:ascii="Verdana" w:hAnsi="Verdana"/>
          <w:sz w:val="20"/>
          <w:szCs w:val="20"/>
          <w:lang w:val="es-CR"/>
        </w:rPr>
        <w:t>Desde sus primeras deci</w:t>
      </w:r>
      <w:r w:rsidR="00CD29C6" w:rsidRPr="00914700">
        <w:rPr>
          <w:rFonts w:ascii="Verdana" w:hAnsi="Verdana"/>
          <w:sz w:val="20"/>
          <w:szCs w:val="20"/>
          <w:lang w:val="es-CR"/>
        </w:rPr>
        <w:t xml:space="preserve">siones, la Corte </w:t>
      </w:r>
      <w:r w:rsidR="004B49D1" w:rsidRPr="00914700">
        <w:rPr>
          <w:rFonts w:ascii="Verdana" w:hAnsi="Verdana"/>
          <w:sz w:val="20"/>
          <w:szCs w:val="20"/>
          <w:lang w:val="es-CR"/>
        </w:rPr>
        <w:t>ha utilizado</w:t>
      </w:r>
      <w:r w:rsidR="00CD29C6" w:rsidRPr="00914700">
        <w:rPr>
          <w:rFonts w:ascii="Verdana" w:hAnsi="Verdana"/>
          <w:sz w:val="20"/>
          <w:szCs w:val="20"/>
          <w:lang w:val="es-CR"/>
        </w:rPr>
        <w:t xml:space="preserve"> los métodos tradicionales de interpretación del derecho internacional establecidos en los artículos 31 y 32 de la Convención de Viena sobre el Derecho de los Tratados</w:t>
      </w:r>
      <w:r w:rsidR="00700512" w:rsidRPr="00914700">
        <w:rPr>
          <w:rFonts w:ascii="Verdana" w:hAnsi="Verdana"/>
          <w:sz w:val="20"/>
          <w:szCs w:val="20"/>
          <w:lang w:val="es-CR"/>
        </w:rPr>
        <w:t xml:space="preserve"> (de aquí en adelante “CVDT”)</w:t>
      </w:r>
      <w:r w:rsidR="00CD29C6" w:rsidRPr="00914700">
        <w:rPr>
          <w:rFonts w:ascii="Verdana" w:hAnsi="Verdana"/>
          <w:sz w:val="20"/>
          <w:szCs w:val="20"/>
          <w:lang w:val="es-CR"/>
        </w:rPr>
        <w:t>, l</w:t>
      </w:r>
      <w:r w:rsidR="00633131">
        <w:rPr>
          <w:rFonts w:ascii="Verdana" w:hAnsi="Verdana"/>
          <w:sz w:val="20"/>
          <w:szCs w:val="20"/>
          <w:lang w:val="es-CR"/>
        </w:rPr>
        <w:t>o</w:t>
      </w:r>
      <w:r w:rsidR="00CD29C6" w:rsidRPr="00914700">
        <w:rPr>
          <w:rFonts w:ascii="Verdana" w:hAnsi="Verdana"/>
          <w:sz w:val="20"/>
          <w:szCs w:val="20"/>
          <w:lang w:val="es-CR"/>
        </w:rPr>
        <w:t>s cuales fueron considerad</w:t>
      </w:r>
      <w:r w:rsidR="00633131">
        <w:rPr>
          <w:rFonts w:ascii="Verdana" w:hAnsi="Verdana"/>
          <w:sz w:val="20"/>
          <w:szCs w:val="20"/>
          <w:lang w:val="es-CR"/>
        </w:rPr>
        <w:t>o</w:t>
      </w:r>
      <w:r w:rsidR="00CD29C6" w:rsidRPr="00914700">
        <w:rPr>
          <w:rFonts w:ascii="Verdana" w:hAnsi="Verdana"/>
          <w:sz w:val="20"/>
          <w:szCs w:val="20"/>
          <w:lang w:val="es-CR"/>
        </w:rPr>
        <w:t>s como “reglas generales de derecho internacional sobre el tema”</w:t>
      </w:r>
      <w:r w:rsidR="00CD29C6" w:rsidRPr="00914700">
        <w:rPr>
          <w:rStyle w:val="FootnoteReference"/>
          <w:rFonts w:ascii="Verdana" w:hAnsi="Verdana"/>
          <w:sz w:val="20"/>
          <w:szCs w:val="20"/>
          <w:lang w:val="es-CR"/>
        </w:rPr>
        <w:footnoteReference w:id="12"/>
      </w:r>
      <w:r w:rsidR="00CD29C6" w:rsidRPr="00914700">
        <w:rPr>
          <w:rFonts w:ascii="Verdana" w:hAnsi="Verdana"/>
          <w:sz w:val="20"/>
          <w:szCs w:val="20"/>
          <w:lang w:val="es-CR"/>
        </w:rPr>
        <w:t xml:space="preserve">. </w:t>
      </w:r>
      <w:r w:rsidR="00881276" w:rsidRPr="00914700">
        <w:rPr>
          <w:rFonts w:ascii="Verdana" w:hAnsi="Verdana"/>
          <w:sz w:val="20"/>
          <w:szCs w:val="20"/>
          <w:lang w:val="es-CR"/>
        </w:rPr>
        <w:t xml:space="preserve">Asimismo, </w:t>
      </w:r>
      <w:r w:rsidR="009D7294">
        <w:rPr>
          <w:rFonts w:ascii="Verdana" w:hAnsi="Verdana"/>
          <w:sz w:val="20"/>
          <w:szCs w:val="20"/>
          <w:lang w:val="es-CR"/>
        </w:rPr>
        <w:t>el</w:t>
      </w:r>
      <w:r w:rsidR="002D5C8F" w:rsidRPr="00914700">
        <w:rPr>
          <w:rFonts w:ascii="Verdana" w:hAnsi="Verdana"/>
          <w:sz w:val="20"/>
          <w:szCs w:val="20"/>
          <w:lang w:val="es-CR"/>
        </w:rPr>
        <w:t xml:space="preserve"> </w:t>
      </w:r>
      <w:r w:rsidR="00704AFE" w:rsidRPr="00914700">
        <w:rPr>
          <w:rFonts w:ascii="Verdana" w:hAnsi="Verdana"/>
          <w:sz w:val="20"/>
          <w:szCs w:val="20"/>
          <w:lang w:val="es-CR"/>
        </w:rPr>
        <w:t>artículo 29</w:t>
      </w:r>
      <w:r w:rsidR="005F0EFF">
        <w:rPr>
          <w:rStyle w:val="FootnoteReference"/>
          <w:rFonts w:ascii="Verdana" w:hAnsi="Verdana"/>
          <w:sz w:val="20"/>
          <w:szCs w:val="20"/>
          <w:lang w:val="es-CR"/>
        </w:rPr>
        <w:footnoteReference w:id="13"/>
      </w:r>
      <w:r w:rsidR="003D1128" w:rsidRPr="00914700">
        <w:rPr>
          <w:rFonts w:ascii="Verdana" w:hAnsi="Verdana"/>
          <w:sz w:val="20"/>
          <w:szCs w:val="20"/>
          <w:lang w:val="es-CR"/>
        </w:rPr>
        <w:t xml:space="preserve"> </w:t>
      </w:r>
      <w:r w:rsidR="00704AFE" w:rsidRPr="00914700">
        <w:rPr>
          <w:rFonts w:ascii="Verdana" w:hAnsi="Verdana"/>
          <w:sz w:val="20"/>
          <w:szCs w:val="20"/>
          <w:lang w:val="es-CR"/>
        </w:rPr>
        <w:t>de la Convención</w:t>
      </w:r>
      <w:r w:rsidR="004B49D1" w:rsidRPr="00914700">
        <w:rPr>
          <w:rFonts w:ascii="Verdana" w:hAnsi="Verdana"/>
          <w:sz w:val="20"/>
          <w:szCs w:val="20"/>
          <w:lang w:val="es-CR"/>
        </w:rPr>
        <w:t xml:space="preserve"> Americana</w:t>
      </w:r>
      <w:r w:rsidR="00106868">
        <w:rPr>
          <w:rFonts w:ascii="Verdana" w:hAnsi="Verdana"/>
          <w:sz w:val="20"/>
          <w:szCs w:val="20"/>
          <w:lang w:val="es-CR"/>
        </w:rPr>
        <w:t xml:space="preserve"> </w:t>
      </w:r>
      <w:r w:rsidR="00704AFE" w:rsidRPr="00914700">
        <w:rPr>
          <w:rFonts w:ascii="Verdana" w:hAnsi="Verdana"/>
          <w:sz w:val="20"/>
          <w:szCs w:val="20"/>
          <w:lang w:val="es-CR"/>
        </w:rPr>
        <w:t>contiene normas específicas de interpretación, las cuales deben ser tomadas en cuenta para la determinación del alcance de las cláusulas de la Convención</w:t>
      </w:r>
      <w:r w:rsidR="003D1128" w:rsidRPr="00914700">
        <w:rPr>
          <w:rStyle w:val="FootnoteReference"/>
          <w:rFonts w:ascii="Verdana" w:hAnsi="Verdana"/>
          <w:sz w:val="20"/>
          <w:szCs w:val="20"/>
          <w:lang w:val="es-CR"/>
        </w:rPr>
        <w:footnoteReference w:id="14"/>
      </w:r>
      <w:r w:rsidR="00F22CC2" w:rsidRPr="00914700">
        <w:rPr>
          <w:rFonts w:ascii="Verdana" w:hAnsi="Verdana"/>
          <w:sz w:val="20"/>
          <w:szCs w:val="20"/>
          <w:lang w:val="es-CR"/>
        </w:rPr>
        <w:t>. Existe</w:t>
      </w:r>
      <w:r w:rsidR="009659CF" w:rsidRPr="00914700">
        <w:rPr>
          <w:rFonts w:ascii="Verdana" w:hAnsi="Verdana"/>
          <w:sz w:val="20"/>
          <w:szCs w:val="20"/>
          <w:lang w:val="es-CR"/>
        </w:rPr>
        <w:t>,</w:t>
      </w:r>
      <w:r w:rsidR="00F22CC2" w:rsidRPr="00914700">
        <w:rPr>
          <w:rFonts w:ascii="Verdana" w:hAnsi="Verdana"/>
          <w:sz w:val="20"/>
          <w:szCs w:val="20"/>
          <w:lang w:val="es-CR"/>
        </w:rPr>
        <w:t xml:space="preserve"> por tanto</w:t>
      </w:r>
      <w:r w:rsidR="009659CF" w:rsidRPr="00914700">
        <w:rPr>
          <w:rFonts w:ascii="Verdana" w:hAnsi="Verdana"/>
          <w:sz w:val="20"/>
          <w:szCs w:val="20"/>
          <w:lang w:val="es-CR"/>
        </w:rPr>
        <w:t>,</w:t>
      </w:r>
      <w:r w:rsidR="00F22CC2" w:rsidRPr="00914700">
        <w:rPr>
          <w:rFonts w:ascii="Verdana" w:hAnsi="Verdana"/>
          <w:sz w:val="20"/>
          <w:szCs w:val="20"/>
          <w:lang w:val="es-CR"/>
        </w:rPr>
        <w:t xml:space="preserve"> una convergencia</w:t>
      </w:r>
      <w:r w:rsidR="00374D99" w:rsidRPr="00914700">
        <w:rPr>
          <w:rFonts w:ascii="Verdana" w:hAnsi="Verdana"/>
          <w:sz w:val="20"/>
          <w:szCs w:val="20"/>
          <w:lang w:val="es-CR"/>
        </w:rPr>
        <w:t xml:space="preserve"> en materia interpretativa</w:t>
      </w:r>
      <w:r w:rsidR="00F22CC2" w:rsidRPr="00914700">
        <w:rPr>
          <w:rFonts w:ascii="Verdana" w:hAnsi="Verdana"/>
          <w:sz w:val="20"/>
          <w:szCs w:val="20"/>
          <w:lang w:val="es-CR"/>
        </w:rPr>
        <w:t xml:space="preserve"> </w:t>
      </w:r>
      <w:r w:rsidR="009B07D7" w:rsidRPr="00914700">
        <w:rPr>
          <w:rFonts w:ascii="Verdana" w:hAnsi="Verdana"/>
          <w:sz w:val="20"/>
          <w:szCs w:val="20"/>
          <w:lang w:val="es-CR"/>
        </w:rPr>
        <w:t>–por supuesto</w:t>
      </w:r>
      <w:r w:rsidR="009659CF" w:rsidRPr="00914700">
        <w:rPr>
          <w:rFonts w:ascii="Verdana" w:hAnsi="Verdana"/>
          <w:sz w:val="20"/>
          <w:szCs w:val="20"/>
          <w:lang w:val="es-CR"/>
        </w:rPr>
        <w:t>,</w:t>
      </w:r>
      <w:r w:rsidR="009B07D7" w:rsidRPr="00914700">
        <w:rPr>
          <w:rFonts w:ascii="Verdana" w:hAnsi="Verdana"/>
          <w:sz w:val="20"/>
          <w:szCs w:val="20"/>
          <w:lang w:val="es-CR"/>
        </w:rPr>
        <w:t xml:space="preserve"> no siempre libre de tensiones– </w:t>
      </w:r>
      <w:r w:rsidR="00F22CC2" w:rsidRPr="00914700">
        <w:rPr>
          <w:rFonts w:ascii="Verdana" w:hAnsi="Verdana"/>
          <w:sz w:val="20"/>
          <w:szCs w:val="20"/>
          <w:lang w:val="es-CR"/>
        </w:rPr>
        <w:t>entre el derecho internacional</w:t>
      </w:r>
      <w:r w:rsidR="00BA59E7" w:rsidRPr="00914700">
        <w:rPr>
          <w:rFonts w:ascii="Verdana" w:hAnsi="Verdana"/>
          <w:sz w:val="20"/>
          <w:szCs w:val="20"/>
          <w:lang w:val="es-CR"/>
        </w:rPr>
        <w:t>,</w:t>
      </w:r>
      <w:r w:rsidR="00F22CC2" w:rsidRPr="00914700">
        <w:rPr>
          <w:rFonts w:ascii="Verdana" w:hAnsi="Verdana"/>
          <w:sz w:val="20"/>
          <w:szCs w:val="20"/>
          <w:lang w:val="es-CR"/>
        </w:rPr>
        <w:t xml:space="preserve"> y la especificidad propia del derecho internacional de los derechos humanos</w:t>
      </w:r>
      <w:r w:rsidR="0011537D" w:rsidRPr="00914700">
        <w:rPr>
          <w:rFonts w:ascii="Verdana" w:hAnsi="Verdana"/>
          <w:sz w:val="20"/>
          <w:szCs w:val="20"/>
          <w:lang w:val="es-CR"/>
        </w:rPr>
        <w:t xml:space="preserve"> (DIDH)</w:t>
      </w:r>
      <w:r w:rsidR="00BA59E7" w:rsidRPr="00914700">
        <w:rPr>
          <w:rFonts w:ascii="Verdana" w:hAnsi="Verdana"/>
          <w:sz w:val="20"/>
          <w:szCs w:val="20"/>
          <w:lang w:val="es-CR"/>
        </w:rPr>
        <w:t xml:space="preserve"> </w:t>
      </w:r>
      <w:r w:rsidR="009659CF" w:rsidRPr="00914700">
        <w:rPr>
          <w:rFonts w:ascii="Verdana" w:hAnsi="Verdana"/>
          <w:sz w:val="20"/>
          <w:szCs w:val="20"/>
          <w:lang w:val="es-CR"/>
        </w:rPr>
        <w:t>y del sistema interamericano</w:t>
      </w:r>
      <w:r w:rsidR="00864154" w:rsidRPr="00914700">
        <w:rPr>
          <w:rFonts w:ascii="Verdana" w:hAnsi="Verdana"/>
          <w:sz w:val="20"/>
          <w:szCs w:val="20"/>
          <w:lang w:val="es-CR"/>
        </w:rPr>
        <w:t xml:space="preserve"> (SIDH)</w:t>
      </w:r>
      <w:r w:rsidR="00F22CC2" w:rsidRPr="00914700">
        <w:rPr>
          <w:rFonts w:ascii="Verdana" w:hAnsi="Verdana"/>
          <w:sz w:val="20"/>
          <w:szCs w:val="20"/>
          <w:lang w:val="es-CR"/>
        </w:rPr>
        <w:t>.</w:t>
      </w:r>
    </w:p>
    <w:p w14:paraId="609CECD8" w14:textId="77777777" w:rsidR="003D1128" w:rsidRPr="003D1128" w:rsidRDefault="003D1128" w:rsidP="00CC27DB">
      <w:pPr>
        <w:pStyle w:val="ListParagraph"/>
        <w:tabs>
          <w:tab w:val="left" w:pos="284"/>
        </w:tabs>
        <w:ind w:left="0"/>
        <w:rPr>
          <w:rFonts w:ascii="Verdana" w:hAnsi="Verdana"/>
          <w:sz w:val="20"/>
          <w:szCs w:val="20"/>
          <w:lang w:val="es-CR"/>
        </w:rPr>
      </w:pPr>
    </w:p>
    <w:p w14:paraId="7F370D8E" w14:textId="43B10CAA" w:rsidR="00E42E67" w:rsidRDefault="004B47F2" w:rsidP="009D7294">
      <w:pPr>
        <w:pStyle w:val="ListParagraph"/>
        <w:numPr>
          <w:ilvl w:val="0"/>
          <w:numId w:val="10"/>
        </w:numPr>
        <w:tabs>
          <w:tab w:val="left" w:pos="284"/>
          <w:tab w:val="left" w:pos="567"/>
        </w:tabs>
        <w:ind w:left="0" w:firstLine="0"/>
        <w:jc w:val="both"/>
        <w:rPr>
          <w:rFonts w:ascii="Verdana" w:hAnsi="Verdana"/>
          <w:sz w:val="20"/>
          <w:szCs w:val="20"/>
          <w:lang w:val="es-CR"/>
        </w:rPr>
      </w:pPr>
      <w:r>
        <w:rPr>
          <w:rFonts w:ascii="Verdana" w:hAnsi="Verdana"/>
          <w:sz w:val="20"/>
          <w:szCs w:val="20"/>
          <w:lang w:val="es-CR"/>
        </w:rPr>
        <w:t>De lo anterior se desprende que la interpretación de la Convención debe ser realizada</w:t>
      </w:r>
      <w:r w:rsidR="004B6907">
        <w:rPr>
          <w:rFonts w:ascii="Verdana" w:hAnsi="Verdana"/>
          <w:sz w:val="20"/>
          <w:szCs w:val="20"/>
          <w:lang w:val="es-CR"/>
        </w:rPr>
        <w:t xml:space="preserve"> a la luz del sentido corriente de </w:t>
      </w:r>
      <w:r w:rsidR="00E42E67">
        <w:rPr>
          <w:rFonts w:ascii="Verdana" w:hAnsi="Verdana"/>
          <w:sz w:val="20"/>
          <w:szCs w:val="20"/>
          <w:lang w:val="es-CR"/>
        </w:rPr>
        <w:t>los</w:t>
      </w:r>
      <w:r w:rsidR="004B6907">
        <w:rPr>
          <w:rFonts w:ascii="Verdana" w:hAnsi="Verdana"/>
          <w:sz w:val="20"/>
          <w:szCs w:val="20"/>
          <w:lang w:val="es-CR"/>
        </w:rPr>
        <w:t xml:space="preserve"> términos</w:t>
      </w:r>
      <w:r w:rsidR="00E42E67">
        <w:rPr>
          <w:rFonts w:ascii="Verdana" w:hAnsi="Verdana"/>
          <w:sz w:val="20"/>
          <w:szCs w:val="20"/>
          <w:lang w:val="es-CR"/>
        </w:rPr>
        <w:t xml:space="preserve"> de la Convención</w:t>
      </w:r>
      <w:r w:rsidR="00374D99">
        <w:rPr>
          <w:rFonts w:ascii="Verdana" w:hAnsi="Verdana"/>
          <w:sz w:val="20"/>
          <w:szCs w:val="20"/>
          <w:lang w:val="es-CR"/>
        </w:rPr>
        <w:t xml:space="preserve">, entendidas </w:t>
      </w:r>
      <w:r w:rsidR="00E42E67">
        <w:rPr>
          <w:rFonts w:ascii="Verdana" w:hAnsi="Verdana"/>
          <w:sz w:val="20"/>
          <w:szCs w:val="20"/>
          <w:lang w:val="es-CR"/>
        </w:rPr>
        <w:t>sus cláusulas</w:t>
      </w:r>
      <w:r w:rsidR="004B6907">
        <w:rPr>
          <w:rFonts w:ascii="Verdana" w:hAnsi="Verdana"/>
          <w:sz w:val="20"/>
          <w:szCs w:val="20"/>
          <w:lang w:val="es-CR"/>
        </w:rPr>
        <w:t xml:space="preserve"> dentro del </w:t>
      </w:r>
      <w:r w:rsidR="00E42E67">
        <w:rPr>
          <w:rFonts w:ascii="Verdana" w:hAnsi="Verdana"/>
          <w:sz w:val="20"/>
          <w:szCs w:val="20"/>
          <w:lang w:val="es-CR"/>
        </w:rPr>
        <w:t>contexto y el objeto y fin del T</w:t>
      </w:r>
      <w:r w:rsidR="004B6907">
        <w:rPr>
          <w:rFonts w:ascii="Verdana" w:hAnsi="Verdana"/>
          <w:sz w:val="20"/>
          <w:szCs w:val="20"/>
          <w:lang w:val="es-CR"/>
        </w:rPr>
        <w:t>ratado</w:t>
      </w:r>
      <w:r w:rsidR="00E8266E">
        <w:rPr>
          <w:rFonts w:ascii="Verdana" w:hAnsi="Verdana"/>
          <w:sz w:val="20"/>
          <w:szCs w:val="20"/>
          <w:lang w:val="es-CR"/>
        </w:rPr>
        <w:t>, tal y como lo establece</w:t>
      </w:r>
      <w:r w:rsidR="00E8266E" w:rsidRPr="00E8266E">
        <w:rPr>
          <w:rFonts w:ascii="Verdana" w:hAnsi="Verdana"/>
          <w:sz w:val="20"/>
          <w:szCs w:val="20"/>
          <w:lang w:val="es-CR"/>
        </w:rPr>
        <w:t xml:space="preserve"> </w:t>
      </w:r>
      <w:r w:rsidR="00E8266E">
        <w:rPr>
          <w:rFonts w:ascii="Verdana" w:hAnsi="Verdana"/>
          <w:sz w:val="20"/>
          <w:szCs w:val="20"/>
          <w:lang w:val="es-CR"/>
        </w:rPr>
        <w:t>el artículo 31 de la CVDT</w:t>
      </w:r>
      <w:r w:rsidR="004B6907">
        <w:rPr>
          <w:rStyle w:val="FootnoteReference"/>
          <w:rFonts w:ascii="Verdana" w:hAnsi="Verdana"/>
          <w:sz w:val="20"/>
          <w:szCs w:val="20"/>
          <w:lang w:val="es-CR"/>
        </w:rPr>
        <w:footnoteReference w:id="15"/>
      </w:r>
      <w:r w:rsidR="004B6907">
        <w:rPr>
          <w:rFonts w:ascii="Verdana" w:hAnsi="Verdana"/>
          <w:sz w:val="20"/>
          <w:szCs w:val="20"/>
          <w:lang w:val="es-CR"/>
        </w:rPr>
        <w:t>.</w:t>
      </w:r>
      <w:r w:rsidR="00E8266E">
        <w:rPr>
          <w:rFonts w:ascii="Verdana" w:hAnsi="Verdana"/>
          <w:sz w:val="20"/>
          <w:szCs w:val="20"/>
          <w:lang w:val="es-CR"/>
        </w:rPr>
        <w:t xml:space="preserve"> De esta </w:t>
      </w:r>
      <w:r w:rsidR="0025265F">
        <w:rPr>
          <w:rFonts w:ascii="Verdana" w:hAnsi="Verdana"/>
          <w:sz w:val="20"/>
          <w:szCs w:val="20"/>
          <w:lang w:val="es-CR"/>
        </w:rPr>
        <w:t>manera,</w:t>
      </w:r>
      <w:r w:rsidR="004B6907">
        <w:rPr>
          <w:rFonts w:ascii="Verdana" w:hAnsi="Verdana"/>
          <w:sz w:val="20"/>
          <w:szCs w:val="20"/>
          <w:lang w:val="es-CR"/>
        </w:rPr>
        <w:t xml:space="preserve"> </w:t>
      </w:r>
      <w:r w:rsidR="0025265F">
        <w:rPr>
          <w:rFonts w:ascii="Verdana" w:hAnsi="Verdana"/>
          <w:sz w:val="20"/>
          <w:szCs w:val="20"/>
          <w:lang w:val="es-CR"/>
        </w:rPr>
        <w:t>l</w:t>
      </w:r>
      <w:r w:rsidR="00164684">
        <w:rPr>
          <w:rFonts w:ascii="Verdana" w:hAnsi="Verdana"/>
          <w:sz w:val="20"/>
          <w:szCs w:val="20"/>
          <w:lang w:val="es-CR"/>
        </w:rPr>
        <w:t xml:space="preserve">os medios complementarios de </w:t>
      </w:r>
      <w:r w:rsidR="00164684">
        <w:rPr>
          <w:rFonts w:ascii="Verdana" w:hAnsi="Verdana"/>
          <w:sz w:val="20"/>
          <w:szCs w:val="20"/>
          <w:lang w:val="es-CR"/>
        </w:rPr>
        <w:lastRenderedPageBreak/>
        <w:t>interpretación, es decir</w:t>
      </w:r>
      <w:r w:rsidR="006B0410">
        <w:rPr>
          <w:rFonts w:ascii="Verdana" w:hAnsi="Verdana"/>
          <w:sz w:val="20"/>
          <w:szCs w:val="20"/>
          <w:lang w:val="es-CR"/>
        </w:rPr>
        <w:t>,</w:t>
      </w:r>
      <w:r w:rsidR="00164684">
        <w:rPr>
          <w:rFonts w:ascii="Verdana" w:hAnsi="Verdana"/>
          <w:sz w:val="20"/>
          <w:szCs w:val="20"/>
          <w:lang w:val="es-CR"/>
        </w:rPr>
        <w:t xml:space="preserve"> l</w:t>
      </w:r>
      <w:r w:rsidR="006455DB">
        <w:rPr>
          <w:rFonts w:ascii="Verdana" w:hAnsi="Verdana"/>
          <w:sz w:val="20"/>
          <w:szCs w:val="20"/>
          <w:lang w:val="es-CR"/>
        </w:rPr>
        <w:t>os trabajos</w:t>
      </w:r>
      <w:r w:rsidR="006B0410">
        <w:rPr>
          <w:rFonts w:ascii="Verdana" w:hAnsi="Verdana"/>
          <w:sz w:val="20"/>
          <w:szCs w:val="20"/>
          <w:lang w:val="es-CR"/>
        </w:rPr>
        <w:t xml:space="preserve"> preparatorios de la Convención</w:t>
      </w:r>
      <w:r w:rsidR="00E42E67">
        <w:rPr>
          <w:rFonts w:ascii="Verdana" w:hAnsi="Verdana"/>
          <w:sz w:val="20"/>
          <w:szCs w:val="20"/>
          <w:lang w:val="es-CR"/>
        </w:rPr>
        <w:t xml:space="preserve"> </w:t>
      </w:r>
      <w:r w:rsidR="00164684">
        <w:rPr>
          <w:rFonts w:ascii="Verdana" w:hAnsi="Verdana"/>
          <w:sz w:val="20"/>
          <w:szCs w:val="20"/>
          <w:lang w:val="es-CR"/>
        </w:rPr>
        <w:t>y las circunstancias de su celebración, tal y como lo prevé el artículo 32 de la CVDT</w:t>
      </w:r>
      <w:r w:rsidR="00ED2718">
        <w:rPr>
          <w:rStyle w:val="FootnoteReference"/>
          <w:rFonts w:ascii="Verdana" w:hAnsi="Verdana"/>
          <w:sz w:val="20"/>
          <w:szCs w:val="20"/>
          <w:lang w:val="es-CR"/>
        </w:rPr>
        <w:footnoteReference w:id="16"/>
      </w:r>
      <w:r w:rsidR="00164684">
        <w:rPr>
          <w:rFonts w:ascii="Verdana" w:hAnsi="Verdana"/>
          <w:sz w:val="20"/>
          <w:szCs w:val="20"/>
          <w:lang w:val="es-CR"/>
        </w:rPr>
        <w:t xml:space="preserve">, sirven para confirmar el sentido resultante de la aplicación del artículo 31. Este método de interpretación acoge el principio de primacía del texto, por lo que </w:t>
      </w:r>
      <w:r w:rsidR="00A70005">
        <w:rPr>
          <w:rFonts w:ascii="Verdana" w:hAnsi="Verdana"/>
          <w:sz w:val="20"/>
          <w:szCs w:val="20"/>
          <w:lang w:val="es-CR"/>
        </w:rPr>
        <w:t>privilegia criterios de interpretación objetiva, vinculada a los valores y bienes protegidos por la Convención, frente a aquellos criterios que privilegian elementos subjetivos de interpretación, como lo es la inten</w:t>
      </w:r>
      <w:r w:rsidR="00B16FF6">
        <w:rPr>
          <w:rFonts w:ascii="Verdana" w:hAnsi="Verdana"/>
          <w:sz w:val="20"/>
          <w:szCs w:val="20"/>
          <w:lang w:val="es-CR"/>
        </w:rPr>
        <w:t>c</w:t>
      </w:r>
      <w:r w:rsidR="00A70005">
        <w:rPr>
          <w:rFonts w:ascii="Verdana" w:hAnsi="Verdana"/>
          <w:sz w:val="20"/>
          <w:szCs w:val="20"/>
          <w:lang w:val="es-CR"/>
        </w:rPr>
        <w:t>ión de las partes</w:t>
      </w:r>
      <w:r w:rsidR="00A70005">
        <w:rPr>
          <w:rStyle w:val="FootnoteReference"/>
          <w:rFonts w:ascii="Verdana" w:hAnsi="Verdana"/>
          <w:sz w:val="20"/>
          <w:szCs w:val="20"/>
          <w:lang w:val="es-CR"/>
        </w:rPr>
        <w:footnoteReference w:id="17"/>
      </w:r>
      <w:r w:rsidR="00A70005">
        <w:rPr>
          <w:rFonts w:ascii="Verdana" w:hAnsi="Verdana"/>
          <w:sz w:val="20"/>
          <w:szCs w:val="20"/>
          <w:lang w:val="es-CR"/>
        </w:rPr>
        <w:t xml:space="preserve">. </w:t>
      </w:r>
    </w:p>
    <w:p w14:paraId="7E1000C9" w14:textId="77777777" w:rsidR="00E42E67" w:rsidRPr="00E42E67" w:rsidRDefault="00E42E67" w:rsidP="00CC27DB">
      <w:pPr>
        <w:pStyle w:val="ListParagraph"/>
        <w:tabs>
          <w:tab w:val="left" w:pos="284"/>
        </w:tabs>
        <w:ind w:left="0"/>
        <w:rPr>
          <w:rFonts w:ascii="Verdana" w:hAnsi="Verdana"/>
          <w:sz w:val="20"/>
          <w:szCs w:val="20"/>
          <w:lang w:val="es-CR"/>
        </w:rPr>
      </w:pPr>
    </w:p>
    <w:p w14:paraId="2236E440" w14:textId="77777777" w:rsidR="0035740E" w:rsidRDefault="00E42E67" w:rsidP="0035740E">
      <w:pPr>
        <w:pStyle w:val="ListParagraph"/>
        <w:numPr>
          <w:ilvl w:val="0"/>
          <w:numId w:val="10"/>
        </w:numPr>
        <w:tabs>
          <w:tab w:val="left" w:pos="284"/>
          <w:tab w:val="left" w:pos="567"/>
        </w:tabs>
        <w:ind w:left="0" w:firstLine="0"/>
        <w:jc w:val="both"/>
        <w:rPr>
          <w:rFonts w:ascii="Verdana" w:hAnsi="Verdana"/>
          <w:sz w:val="20"/>
          <w:szCs w:val="20"/>
          <w:lang w:val="es-CR"/>
        </w:rPr>
      </w:pPr>
      <w:r>
        <w:rPr>
          <w:rFonts w:ascii="Verdana" w:hAnsi="Verdana"/>
          <w:sz w:val="20"/>
          <w:szCs w:val="20"/>
          <w:lang w:val="es-CR"/>
        </w:rPr>
        <w:t>La razón por la que</w:t>
      </w:r>
      <w:r w:rsidR="00A70005">
        <w:rPr>
          <w:rFonts w:ascii="Verdana" w:hAnsi="Verdana"/>
          <w:sz w:val="20"/>
          <w:szCs w:val="20"/>
          <w:lang w:val="es-CR"/>
        </w:rPr>
        <w:t xml:space="preserve"> </w:t>
      </w:r>
      <w:r>
        <w:rPr>
          <w:rFonts w:ascii="Verdana" w:hAnsi="Verdana"/>
          <w:sz w:val="20"/>
          <w:szCs w:val="20"/>
          <w:lang w:val="es-CR"/>
        </w:rPr>
        <w:t xml:space="preserve">la Convención debe ser interpretada sobre la base de criterios objetivos, alejándose así de una lógica </w:t>
      </w:r>
      <w:r w:rsidR="00E972C6">
        <w:rPr>
          <w:rFonts w:ascii="Verdana" w:hAnsi="Verdana"/>
          <w:sz w:val="20"/>
          <w:szCs w:val="20"/>
          <w:lang w:val="es-CR"/>
        </w:rPr>
        <w:t xml:space="preserve">formalista o </w:t>
      </w:r>
      <w:r>
        <w:rPr>
          <w:rFonts w:ascii="Verdana" w:hAnsi="Verdana"/>
          <w:sz w:val="20"/>
          <w:szCs w:val="20"/>
          <w:lang w:val="es-CR"/>
        </w:rPr>
        <w:t>positivista</w:t>
      </w:r>
      <w:r w:rsidR="006567EF">
        <w:rPr>
          <w:rFonts w:ascii="Verdana" w:hAnsi="Verdana"/>
          <w:sz w:val="20"/>
          <w:szCs w:val="20"/>
          <w:lang w:val="es-CR"/>
        </w:rPr>
        <w:t>,</w:t>
      </w:r>
      <w:r>
        <w:rPr>
          <w:rFonts w:ascii="Verdana" w:hAnsi="Verdana"/>
          <w:sz w:val="20"/>
          <w:szCs w:val="20"/>
          <w:lang w:val="es-CR"/>
        </w:rPr>
        <w:t xml:space="preserve"> que </w:t>
      </w:r>
      <w:r w:rsidR="006567EF">
        <w:rPr>
          <w:rFonts w:ascii="Verdana" w:hAnsi="Verdana"/>
          <w:sz w:val="20"/>
          <w:szCs w:val="20"/>
          <w:lang w:val="es-CR"/>
        </w:rPr>
        <w:t>d</w:t>
      </w:r>
      <w:r w:rsidR="003C562D">
        <w:rPr>
          <w:rFonts w:ascii="Verdana" w:hAnsi="Verdana"/>
          <w:sz w:val="20"/>
          <w:szCs w:val="20"/>
          <w:lang w:val="es-CR"/>
        </w:rPr>
        <w:t>e</w:t>
      </w:r>
      <w:r w:rsidR="006567EF">
        <w:rPr>
          <w:rFonts w:ascii="Verdana" w:hAnsi="Verdana"/>
          <w:sz w:val="20"/>
          <w:szCs w:val="20"/>
          <w:lang w:val="es-CR"/>
        </w:rPr>
        <w:t xml:space="preserve"> primacía a</w:t>
      </w:r>
      <w:r>
        <w:rPr>
          <w:rFonts w:ascii="Verdana" w:hAnsi="Verdana"/>
          <w:sz w:val="20"/>
          <w:szCs w:val="20"/>
          <w:lang w:val="es-CR"/>
        </w:rPr>
        <w:t xml:space="preserve"> la inten</w:t>
      </w:r>
      <w:r w:rsidR="000D54B4">
        <w:rPr>
          <w:rFonts w:ascii="Verdana" w:hAnsi="Verdana"/>
          <w:sz w:val="20"/>
          <w:szCs w:val="20"/>
          <w:lang w:val="es-CR"/>
        </w:rPr>
        <w:t>c</w:t>
      </w:r>
      <w:r w:rsidR="000C1F1F">
        <w:rPr>
          <w:rFonts w:ascii="Verdana" w:hAnsi="Verdana"/>
          <w:sz w:val="20"/>
          <w:szCs w:val="20"/>
          <w:lang w:val="es-CR"/>
        </w:rPr>
        <w:t>i</w:t>
      </w:r>
      <w:r>
        <w:rPr>
          <w:rFonts w:ascii="Verdana" w:hAnsi="Verdana"/>
          <w:sz w:val="20"/>
          <w:szCs w:val="20"/>
          <w:lang w:val="es-CR"/>
        </w:rPr>
        <w:t>ón de las partes contratantes</w:t>
      </w:r>
      <w:r w:rsidR="006567EF">
        <w:rPr>
          <w:rFonts w:ascii="Verdana" w:hAnsi="Verdana"/>
          <w:sz w:val="20"/>
          <w:szCs w:val="20"/>
          <w:lang w:val="es-CR"/>
        </w:rPr>
        <w:t xml:space="preserve"> y al</w:t>
      </w:r>
      <w:r>
        <w:rPr>
          <w:rFonts w:ascii="Verdana" w:hAnsi="Verdana"/>
          <w:sz w:val="20"/>
          <w:szCs w:val="20"/>
          <w:lang w:val="es-CR"/>
        </w:rPr>
        <w:t xml:space="preserve"> principio de soberanía, </w:t>
      </w:r>
      <w:r w:rsidR="00E972C6">
        <w:rPr>
          <w:rFonts w:ascii="Verdana" w:hAnsi="Verdana"/>
          <w:sz w:val="20"/>
          <w:szCs w:val="20"/>
          <w:lang w:val="es-CR"/>
        </w:rPr>
        <w:t>radica en</w:t>
      </w:r>
      <w:r>
        <w:rPr>
          <w:rFonts w:ascii="Verdana" w:hAnsi="Verdana"/>
          <w:sz w:val="20"/>
          <w:szCs w:val="20"/>
          <w:lang w:val="es-CR"/>
        </w:rPr>
        <w:t xml:space="preserve"> que los tratados de derechos humanos</w:t>
      </w:r>
      <w:r w:rsidR="00A70005">
        <w:rPr>
          <w:rFonts w:ascii="Verdana" w:hAnsi="Verdana"/>
          <w:sz w:val="20"/>
          <w:szCs w:val="20"/>
          <w:lang w:val="es-CR"/>
        </w:rPr>
        <w:t xml:space="preserve"> “</w:t>
      </w:r>
      <w:r w:rsidR="00A70005" w:rsidRPr="00D449D6">
        <w:rPr>
          <w:rFonts w:ascii="Verdana" w:hAnsi="Verdana"/>
          <w:sz w:val="20"/>
          <w:szCs w:val="20"/>
          <w:lang w:val="es-CR"/>
        </w:rPr>
        <w:t>no son tratados multilaterales del tipo tradicional, concluidos en función de un intercambio recíproco de derechos, para el beneficio mut</w:t>
      </w:r>
      <w:r w:rsidR="00F4786D">
        <w:rPr>
          <w:rFonts w:ascii="Verdana" w:hAnsi="Verdana"/>
          <w:sz w:val="20"/>
          <w:szCs w:val="20"/>
          <w:lang w:val="es-CR"/>
        </w:rPr>
        <w:t>uo de los Estados contratantes”, sino que “</w:t>
      </w:r>
      <w:r w:rsidR="00A70005" w:rsidRPr="00D449D6">
        <w:rPr>
          <w:rFonts w:ascii="Verdana" w:hAnsi="Verdana"/>
          <w:sz w:val="20"/>
          <w:szCs w:val="20"/>
          <w:lang w:val="es-CR"/>
        </w:rPr>
        <w:t xml:space="preserve">su objeto y fin son la protección de los derechos fundamentales de los seres humanos, independientemente de su nacionalidad, tanto frente a su propio Estado como frente a </w:t>
      </w:r>
      <w:r w:rsidR="00A70005">
        <w:rPr>
          <w:rFonts w:ascii="Verdana" w:hAnsi="Verdana"/>
          <w:sz w:val="20"/>
          <w:szCs w:val="20"/>
          <w:lang w:val="es-CR"/>
        </w:rPr>
        <w:t>los otros Estados contratantes”</w:t>
      </w:r>
      <w:r w:rsidR="00E614E4">
        <w:rPr>
          <w:rStyle w:val="FootnoteReference"/>
          <w:rFonts w:ascii="Verdana" w:hAnsi="Verdana"/>
          <w:sz w:val="20"/>
          <w:szCs w:val="20"/>
          <w:lang w:val="es-CR"/>
        </w:rPr>
        <w:footnoteReference w:id="18"/>
      </w:r>
      <w:r w:rsidR="00A70005">
        <w:rPr>
          <w:rFonts w:ascii="Verdana" w:hAnsi="Verdana"/>
          <w:sz w:val="20"/>
          <w:szCs w:val="20"/>
          <w:lang w:val="es-CR"/>
        </w:rPr>
        <w:t>.</w:t>
      </w:r>
      <w:r w:rsidR="006567EF">
        <w:rPr>
          <w:rFonts w:ascii="Verdana" w:hAnsi="Verdana"/>
          <w:sz w:val="20"/>
          <w:szCs w:val="20"/>
          <w:lang w:val="es-CR"/>
        </w:rPr>
        <w:t xml:space="preserve"> Este criterio</w:t>
      </w:r>
      <w:r w:rsidR="004B47F2">
        <w:rPr>
          <w:rFonts w:ascii="Verdana" w:hAnsi="Verdana"/>
          <w:sz w:val="20"/>
          <w:szCs w:val="20"/>
          <w:lang w:val="es-CR"/>
        </w:rPr>
        <w:t>, que reconoce la especificidad de las normas de derechos humanos,</w:t>
      </w:r>
      <w:r w:rsidR="006567EF">
        <w:rPr>
          <w:rFonts w:ascii="Verdana" w:hAnsi="Verdana"/>
          <w:sz w:val="20"/>
          <w:szCs w:val="20"/>
          <w:lang w:val="es-CR"/>
        </w:rPr>
        <w:t xml:space="preserve"> no es </w:t>
      </w:r>
      <w:r w:rsidR="00EA1526">
        <w:rPr>
          <w:rFonts w:ascii="Verdana" w:hAnsi="Verdana"/>
          <w:sz w:val="20"/>
          <w:szCs w:val="20"/>
          <w:lang w:val="es-CR"/>
        </w:rPr>
        <w:t>exclusivo</w:t>
      </w:r>
      <w:r w:rsidR="006567EF">
        <w:rPr>
          <w:rFonts w:ascii="Verdana" w:hAnsi="Verdana"/>
          <w:sz w:val="20"/>
          <w:szCs w:val="20"/>
          <w:lang w:val="es-CR"/>
        </w:rPr>
        <w:t xml:space="preserve"> </w:t>
      </w:r>
      <w:r w:rsidR="00EA1526">
        <w:rPr>
          <w:rFonts w:ascii="Verdana" w:hAnsi="Verdana"/>
          <w:sz w:val="20"/>
          <w:szCs w:val="20"/>
          <w:lang w:val="es-CR"/>
        </w:rPr>
        <w:t>d</w:t>
      </w:r>
      <w:r w:rsidR="006567EF">
        <w:rPr>
          <w:rFonts w:ascii="Verdana" w:hAnsi="Verdana"/>
          <w:sz w:val="20"/>
          <w:szCs w:val="20"/>
          <w:lang w:val="es-CR"/>
        </w:rPr>
        <w:t>el sistema interamericano</w:t>
      </w:r>
      <w:r>
        <w:rPr>
          <w:rFonts w:ascii="Verdana" w:hAnsi="Verdana"/>
          <w:sz w:val="20"/>
          <w:szCs w:val="20"/>
          <w:lang w:val="es-CR"/>
        </w:rPr>
        <w:t>, sino que encuentra eco en la práctica de</w:t>
      </w:r>
      <w:r w:rsidR="00E972C6">
        <w:rPr>
          <w:rFonts w:ascii="Verdana" w:hAnsi="Verdana"/>
          <w:sz w:val="20"/>
          <w:szCs w:val="20"/>
          <w:lang w:val="es-CR"/>
        </w:rPr>
        <w:t xml:space="preserve"> diversos organismos internacionales</w:t>
      </w:r>
      <w:r>
        <w:rPr>
          <w:rFonts w:ascii="Verdana" w:hAnsi="Verdana"/>
          <w:sz w:val="20"/>
          <w:szCs w:val="20"/>
          <w:lang w:val="es-CR"/>
        </w:rPr>
        <w:t>.</w:t>
      </w:r>
      <w:r w:rsidR="0075291F">
        <w:rPr>
          <w:rFonts w:ascii="Verdana" w:hAnsi="Verdana"/>
          <w:sz w:val="20"/>
          <w:szCs w:val="20"/>
          <w:lang w:val="es-CR"/>
        </w:rPr>
        <w:t xml:space="preserve"> </w:t>
      </w:r>
    </w:p>
    <w:p w14:paraId="44FA6595" w14:textId="77777777" w:rsidR="0035740E" w:rsidRPr="0035740E" w:rsidRDefault="0035740E" w:rsidP="0035740E">
      <w:pPr>
        <w:pStyle w:val="ListParagraph"/>
        <w:rPr>
          <w:rFonts w:ascii="Verdana" w:hAnsi="Verdana"/>
          <w:sz w:val="20"/>
          <w:szCs w:val="20"/>
          <w:lang w:val="es-CR"/>
        </w:rPr>
      </w:pPr>
    </w:p>
    <w:p w14:paraId="59E2594E" w14:textId="2EDF3B80" w:rsidR="0036594F" w:rsidRPr="0035740E" w:rsidRDefault="0075291F" w:rsidP="0035740E">
      <w:pPr>
        <w:pStyle w:val="ListParagraph"/>
        <w:numPr>
          <w:ilvl w:val="0"/>
          <w:numId w:val="10"/>
        </w:numPr>
        <w:tabs>
          <w:tab w:val="left" w:pos="284"/>
          <w:tab w:val="left" w:pos="567"/>
        </w:tabs>
        <w:ind w:left="0" w:firstLine="0"/>
        <w:jc w:val="both"/>
        <w:rPr>
          <w:rFonts w:ascii="Verdana" w:hAnsi="Verdana"/>
          <w:sz w:val="20"/>
          <w:szCs w:val="20"/>
          <w:lang w:val="es-CR"/>
        </w:rPr>
      </w:pPr>
      <w:r w:rsidRPr="0035740E">
        <w:rPr>
          <w:rFonts w:ascii="Verdana" w:hAnsi="Verdana"/>
          <w:sz w:val="20"/>
          <w:szCs w:val="20"/>
          <w:lang w:val="es-CR"/>
        </w:rPr>
        <w:t xml:space="preserve">Al respecto, cabe recordar que la </w:t>
      </w:r>
      <w:r w:rsidR="006B0410" w:rsidRPr="0035740E">
        <w:rPr>
          <w:rFonts w:ascii="Verdana" w:hAnsi="Verdana"/>
          <w:sz w:val="20"/>
          <w:szCs w:val="20"/>
          <w:lang w:val="es-CR"/>
        </w:rPr>
        <w:t>Corte Internacional de Justicia</w:t>
      </w:r>
      <w:r w:rsidR="00ED79E8" w:rsidRPr="0035740E">
        <w:rPr>
          <w:rFonts w:ascii="Verdana" w:hAnsi="Verdana"/>
          <w:sz w:val="20"/>
          <w:szCs w:val="20"/>
          <w:lang w:val="es-CR"/>
        </w:rPr>
        <w:t xml:space="preserve"> (en adelante también “CIJ”),</w:t>
      </w:r>
      <w:r w:rsidRPr="0035740E">
        <w:rPr>
          <w:rFonts w:ascii="Verdana" w:hAnsi="Verdana"/>
          <w:sz w:val="20"/>
          <w:szCs w:val="20"/>
          <w:lang w:val="es-CR"/>
        </w:rPr>
        <w:t xml:space="preserve"> en el caso</w:t>
      </w:r>
      <w:r w:rsidR="00BF42CA" w:rsidRPr="0035740E">
        <w:rPr>
          <w:rFonts w:ascii="Verdana" w:hAnsi="Verdana"/>
          <w:sz w:val="20"/>
          <w:szCs w:val="20"/>
          <w:lang w:val="es-CR"/>
        </w:rPr>
        <w:t xml:space="preserve"> Sentencia arbitral del 31 de julio de 1989 (Guinea-Bissau v. Senegal)</w:t>
      </w:r>
      <w:r w:rsidR="00EC71E7" w:rsidRPr="0035740E">
        <w:rPr>
          <w:rFonts w:ascii="Verdana" w:hAnsi="Verdana"/>
          <w:sz w:val="20"/>
          <w:szCs w:val="20"/>
          <w:lang w:val="es-CR"/>
        </w:rPr>
        <w:t>,</w:t>
      </w:r>
      <w:r w:rsidRPr="0035740E">
        <w:rPr>
          <w:rFonts w:ascii="Verdana" w:hAnsi="Verdana"/>
          <w:sz w:val="20"/>
          <w:szCs w:val="20"/>
          <w:lang w:val="es-CR"/>
        </w:rPr>
        <w:t xml:space="preserve"> </w:t>
      </w:r>
      <w:r w:rsidR="00BF42CA" w:rsidRPr="0035740E">
        <w:rPr>
          <w:rFonts w:ascii="Verdana" w:hAnsi="Verdana"/>
          <w:sz w:val="20"/>
          <w:szCs w:val="20"/>
          <w:lang w:val="es-CR"/>
        </w:rPr>
        <w:t xml:space="preserve">haciendo referencia al caso South West África (Etiopia v. </w:t>
      </w:r>
      <w:r w:rsidR="00AF3C03" w:rsidRPr="0035740E">
        <w:rPr>
          <w:rFonts w:ascii="Verdana" w:hAnsi="Verdana"/>
          <w:sz w:val="20"/>
          <w:szCs w:val="20"/>
          <w:lang w:val="es-CR"/>
        </w:rPr>
        <w:t>Sudáfrica)</w:t>
      </w:r>
      <w:r w:rsidR="00EC71E7" w:rsidRPr="0035740E">
        <w:rPr>
          <w:rFonts w:ascii="Verdana" w:hAnsi="Verdana"/>
          <w:sz w:val="20"/>
          <w:szCs w:val="20"/>
          <w:lang w:val="es-CR"/>
        </w:rPr>
        <w:t>,</w:t>
      </w:r>
      <w:r w:rsidR="00ED79E8" w:rsidRPr="0035740E">
        <w:rPr>
          <w:rFonts w:ascii="Verdana" w:hAnsi="Verdana"/>
          <w:sz w:val="20"/>
          <w:szCs w:val="20"/>
          <w:lang w:val="es-CR"/>
        </w:rPr>
        <w:t xml:space="preserve"> estableció</w:t>
      </w:r>
      <w:r w:rsidR="00BF42CA" w:rsidRPr="0035740E">
        <w:rPr>
          <w:rFonts w:ascii="Verdana" w:hAnsi="Verdana"/>
          <w:sz w:val="20"/>
          <w:szCs w:val="20"/>
          <w:lang w:val="es-CR"/>
        </w:rPr>
        <w:t xml:space="preserve"> </w:t>
      </w:r>
      <w:r w:rsidRPr="0035740E">
        <w:rPr>
          <w:rFonts w:ascii="Verdana" w:hAnsi="Verdana"/>
          <w:sz w:val="20"/>
          <w:szCs w:val="20"/>
          <w:lang w:val="es-CR"/>
        </w:rPr>
        <w:t>lo siguiente:</w:t>
      </w:r>
      <w:r w:rsidR="00EC71E7" w:rsidRPr="0035740E">
        <w:rPr>
          <w:rFonts w:ascii="Verdana" w:hAnsi="Verdana"/>
          <w:sz w:val="20"/>
          <w:szCs w:val="20"/>
          <w:lang w:val="es-CR"/>
        </w:rPr>
        <w:t xml:space="preserve"> “l</w:t>
      </w:r>
      <w:r w:rsidR="00AF3C03" w:rsidRPr="0035740E">
        <w:rPr>
          <w:rFonts w:ascii="Verdana" w:hAnsi="Verdana"/>
          <w:sz w:val="20"/>
          <w:szCs w:val="20"/>
          <w:lang w:val="es-CR"/>
        </w:rPr>
        <w:t>a regla de interpretación acorde al sentido natural y ordinario de las palabras utilizadas</w:t>
      </w:r>
      <w:r w:rsidR="00EC71E7" w:rsidRPr="0035740E">
        <w:rPr>
          <w:rFonts w:ascii="Verdana" w:hAnsi="Verdana"/>
          <w:sz w:val="20"/>
          <w:szCs w:val="20"/>
          <w:lang w:val="es-CR"/>
        </w:rPr>
        <w:t xml:space="preserve"> </w:t>
      </w:r>
      <w:r w:rsidR="0036594F" w:rsidRPr="0035740E">
        <w:rPr>
          <w:rFonts w:ascii="Verdana" w:hAnsi="Verdana"/>
          <w:sz w:val="20"/>
          <w:szCs w:val="20"/>
          <w:lang w:val="es-CR"/>
        </w:rPr>
        <w:t>no es absoluta. Cuando ese método de interpretación resulta incompatible con el espíritu, propósito y contexto de la cláusula o instrumento en donde están contenidas las palabras, no se puede confiar válidamente en él</w:t>
      </w:r>
      <w:r w:rsidR="00EC71E7" w:rsidRPr="0035740E">
        <w:rPr>
          <w:rFonts w:ascii="Verdana" w:hAnsi="Verdana"/>
          <w:sz w:val="20"/>
          <w:szCs w:val="20"/>
          <w:lang w:val="es-CR"/>
        </w:rPr>
        <w:t>”.</w:t>
      </w:r>
      <w:r w:rsidR="0036594F" w:rsidRPr="005B5B2D">
        <w:rPr>
          <w:rStyle w:val="FootnoteReference"/>
          <w:rFonts w:ascii="Verdana" w:hAnsi="Verdana"/>
          <w:sz w:val="20"/>
          <w:szCs w:val="20"/>
        </w:rPr>
        <w:footnoteReference w:id="19"/>
      </w:r>
      <w:r w:rsidR="00E83FEB" w:rsidRPr="0035740E">
        <w:rPr>
          <w:rFonts w:ascii="Verdana" w:hAnsi="Verdana"/>
          <w:sz w:val="20"/>
          <w:szCs w:val="20"/>
          <w:lang w:val="es-CR"/>
        </w:rPr>
        <w:t xml:space="preserve"> </w:t>
      </w:r>
    </w:p>
    <w:p w14:paraId="5B88F3B4" w14:textId="77777777" w:rsidR="009F7EB9" w:rsidRPr="009F7EB9" w:rsidRDefault="00146DB0" w:rsidP="00CC27DB">
      <w:pPr>
        <w:pStyle w:val="ListParagraph"/>
        <w:tabs>
          <w:tab w:val="left" w:pos="284"/>
          <w:tab w:val="left" w:pos="567"/>
        </w:tabs>
        <w:ind w:left="0"/>
        <w:jc w:val="both"/>
        <w:rPr>
          <w:rFonts w:ascii="Verdana" w:hAnsi="Verdana"/>
          <w:sz w:val="20"/>
          <w:szCs w:val="20"/>
          <w:lang w:val="es-CR"/>
        </w:rPr>
      </w:pPr>
      <w:r>
        <w:rPr>
          <w:rFonts w:ascii="Verdana" w:hAnsi="Verdana"/>
          <w:sz w:val="20"/>
          <w:szCs w:val="20"/>
          <w:lang w:val="es-CR"/>
        </w:rPr>
        <w:t xml:space="preserve"> </w:t>
      </w:r>
    </w:p>
    <w:p w14:paraId="2FFA2F96" w14:textId="77777777" w:rsidR="00107681" w:rsidRDefault="008552F0" w:rsidP="009D7294">
      <w:pPr>
        <w:pStyle w:val="ListParagraph"/>
        <w:numPr>
          <w:ilvl w:val="0"/>
          <w:numId w:val="10"/>
        </w:numPr>
        <w:tabs>
          <w:tab w:val="left" w:pos="284"/>
          <w:tab w:val="left" w:pos="567"/>
        </w:tabs>
        <w:ind w:left="0" w:firstLine="0"/>
        <w:jc w:val="both"/>
        <w:rPr>
          <w:rFonts w:ascii="Verdana" w:hAnsi="Verdana"/>
          <w:sz w:val="20"/>
          <w:szCs w:val="20"/>
          <w:lang w:val="es-CR"/>
        </w:rPr>
      </w:pPr>
      <w:r w:rsidRPr="00107681">
        <w:rPr>
          <w:rFonts w:ascii="Verdana" w:hAnsi="Verdana"/>
          <w:sz w:val="20"/>
          <w:szCs w:val="20"/>
          <w:lang w:val="es-CR"/>
        </w:rPr>
        <w:t xml:space="preserve">La propia Convención Americana tiene principios y reglas </w:t>
      </w:r>
      <w:r w:rsidR="00EC71E7">
        <w:rPr>
          <w:rFonts w:ascii="Verdana" w:hAnsi="Verdana"/>
          <w:sz w:val="20"/>
          <w:szCs w:val="20"/>
          <w:lang w:val="es-CR"/>
        </w:rPr>
        <w:t xml:space="preserve">de interpretación </w:t>
      </w:r>
      <w:r w:rsidRPr="00107681">
        <w:rPr>
          <w:rFonts w:ascii="Verdana" w:hAnsi="Verdana"/>
          <w:sz w:val="20"/>
          <w:szCs w:val="20"/>
          <w:lang w:val="es-CR"/>
        </w:rPr>
        <w:t xml:space="preserve">que </w:t>
      </w:r>
      <w:r w:rsidR="00EC71E7">
        <w:rPr>
          <w:rFonts w:ascii="Verdana" w:hAnsi="Verdana"/>
          <w:sz w:val="20"/>
          <w:szCs w:val="20"/>
          <w:lang w:val="es-CR"/>
        </w:rPr>
        <w:t>reflejan</w:t>
      </w:r>
      <w:r w:rsidRPr="00107681">
        <w:rPr>
          <w:rFonts w:ascii="Verdana" w:hAnsi="Verdana"/>
          <w:sz w:val="20"/>
          <w:szCs w:val="20"/>
          <w:lang w:val="es-CR"/>
        </w:rPr>
        <w:t xml:space="preserve"> su carácter específico</w:t>
      </w:r>
      <w:r w:rsidR="00EC71E7">
        <w:rPr>
          <w:rFonts w:ascii="Verdana" w:hAnsi="Verdana"/>
          <w:sz w:val="20"/>
          <w:szCs w:val="20"/>
          <w:lang w:val="es-CR"/>
        </w:rPr>
        <w:t>, es decir que lo diferencian de la interpretación que se puede hacer de otros tratados</w:t>
      </w:r>
      <w:r w:rsidRPr="00107681">
        <w:rPr>
          <w:rFonts w:ascii="Verdana" w:hAnsi="Verdana"/>
          <w:sz w:val="20"/>
          <w:szCs w:val="20"/>
          <w:lang w:val="es-CR"/>
        </w:rPr>
        <w:t xml:space="preserve">. </w:t>
      </w:r>
      <w:r w:rsidR="00EA1526">
        <w:rPr>
          <w:rFonts w:ascii="Verdana" w:hAnsi="Verdana"/>
          <w:sz w:val="20"/>
          <w:szCs w:val="20"/>
          <w:lang w:val="es-CR"/>
        </w:rPr>
        <w:t>En este sentido,</w:t>
      </w:r>
      <w:r w:rsidRPr="00107681">
        <w:rPr>
          <w:rFonts w:ascii="Verdana" w:hAnsi="Verdana"/>
          <w:sz w:val="20"/>
          <w:szCs w:val="20"/>
          <w:lang w:val="es-CR"/>
        </w:rPr>
        <w:t xml:space="preserve"> cabe recordar que el Preámbulo de la Convención establece que </w:t>
      </w:r>
      <w:r w:rsidR="007029A8" w:rsidRPr="00107681">
        <w:rPr>
          <w:rFonts w:ascii="Verdana" w:hAnsi="Verdana"/>
          <w:sz w:val="20"/>
          <w:szCs w:val="20"/>
          <w:lang w:val="es-CR"/>
        </w:rPr>
        <w:t xml:space="preserve">la justificación de la existencia de una protección internacional se </w:t>
      </w:r>
      <w:r w:rsidR="00107681" w:rsidRPr="00107681">
        <w:rPr>
          <w:rFonts w:ascii="Verdana" w:hAnsi="Verdana"/>
          <w:sz w:val="20"/>
          <w:szCs w:val="20"/>
          <w:lang w:val="es-CR"/>
        </w:rPr>
        <w:t xml:space="preserve">basa en el reconocimiento de que “los derechos esenciales del hombre </w:t>
      </w:r>
      <w:r w:rsidR="00107681" w:rsidRPr="00107681">
        <w:rPr>
          <w:rFonts w:ascii="Verdana" w:hAnsi="Verdana"/>
          <w:sz w:val="20"/>
          <w:szCs w:val="20"/>
          <w:lang w:val="es-CR"/>
        </w:rPr>
        <w:lastRenderedPageBreak/>
        <w:t xml:space="preserve">no nacen del hecho de ser nacional de determinado Estado, sino que tienen como fundamento los atributos de la persona humana”, y que el artículo 29 de la Convención </w:t>
      </w:r>
      <w:r w:rsidR="006567EF" w:rsidRPr="00107681">
        <w:rPr>
          <w:rFonts w:ascii="Verdana" w:hAnsi="Verdana"/>
          <w:sz w:val="20"/>
          <w:szCs w:val="20"/>
          <w:lang w:val="es-CR"/>
        </w:rPr>
        <w:t xml:space="preserve">prevé que la interpretación de </w:t>
      </w:r>
      <w:r w:rsidR="00107681">
        <w:rPr>
          <w:rFonts w:ascii="Verdana" w:hAnsi="Verdana"/>
          <w:sz w:val="20"/>
          <w:szCs w:val="20"/>
          <w:lang w:val="es-CR"/>
        </w:rPr>
        <w:t>las cláusulas</w:t>
      </w:r>
      <w:r w:rsidR="00583F35" w:rsidRPr="00107681">
        <w:rPr>
          <w:rFonts w:ascii="Verdana" w:hAnsi="Verdana"/>
          <w:sz w:val="20"/>
          <w:szCs w:val="20"/>
          <w:lang w:val="es-CR"/>
        </w:rPr>
        <w:t xml:space="preserve"> </w:t>
      </w:r>
      <w:r w:rsidR="006567EF" w:rsidRPr="00107681">
        <w:rPr>
          <w:rFonts w:ascii="Verdana" w:hAnsi="Verdana"/>
          <w:sz w:val="20"/>
          <w:szCs w:val="20"/>
          <w:lang w:val="es-CR"/>
        </w:rPr>
        <w:t>se realice</w:t>
      </w:r>
      <w:r w:rsidR="00247707" w:rsidRPr="00107681">
        <w:rPr>
          <w:rFonts w:ascii="Verdana" w:hAnsi="Verdana"/>
          <w:sz w:val="20"/>
          <w:szCs w:val="20"/>
          <w:lang w:val="es-CR"/>
        </w:rPr>
        <w:t xml:space="preserve"> </w:t>
      </w:r>
      <w:r w:rsidR="00117968" w:rsidRPr="00107681">
        <w:rPr>
          <w:rFonts w:ascii="Verdana" w:hAnsi="Verdana"/>
          <w:sz w:val="20"/>
          <w:szCs w:val="20"/>
          <w:lang w:val="es-CR"/>
        </w:rPr>
        <w:t>de forma tal que no implique una conclusión que suprima el goce o ejercicio de los derechos y libertades reconocidos en la Convención</w:t>
      </w:r>
      <w:r w:rsidR="001B6D12" w:rsidRPr="00107681">
        <w:rPr>
          <w:rFonts w:ascii="Verdana" w:hAnsi="Verdana"/>
          <w:sz w:val="20"/>
          <w:szCs w:val="20"/>
          <w:lang w:val="es-CR"/>
        </w:rPr>
        <w:t>,</w:t>
      </w:r>
      <w:r w:rsidR="00117968" w:rsidRPr="00107681">
        <w:rPr>
          <w:rFonts w:ascii="Verdana" w:hAnsi="Verdana"/>
          <w:sz w:val="20"/>
          <w:szCs w:val="20"/>
          <w:lang w:val="es-CR"/>
        </w:rPr>
        <w:t xml:space="preserve"> o</w:t>
      </w:r>
      <w:r w:rsidR="00EC71E7">
        <w:rPr>
          <w:rFonts w:ascii="Verdana" w:hAnsi="Verdana"/>
          <w:sz w:val="20"/>
          <w:szCs w:val="20"/>
          <w:lang w:val="es-CR"/>
        </w:rPr>
        <w:t xml:space="preserve"> que</w:t>
      </w:r>
      <w:r w:rsidR="00117968" w:rsidRPr="00107681">
        <w:rPr>
          <w:rFonts w:ascii="Verdana" w:hAnsi="Verdana"/>
          <w:sz w:val="20"/>
          <w:szCs w:val="20"/>
          <w:lang w:val="es-CR"/>
        </w:rPr>
        <w:t xml:space="preserve"> los limite en mayor medida que la prevista en ella</w:t>
      </w:r>
      <w:r w:rsidR="00117968" w:rsidRPr="0017735B">
        <w:rPr>
          <w:rStyle w:val="FootnoteReference"/>
          <w:rFonts w:ascii="Verdana" w:hAnsi="Verdana"/>
          <w:sz w:val="20"/>
          <w:szCs w:val="20"/>
          <w:lang w:val="es-CR"/>
        </w:rPr>
        <w:footnoteReference w:id="20"/>
      </w:r>
      <w:r w:rsidR="006567EF" w:rsidRPr="0017735B">
        <w:rPr>
          <w:rFonts w:ascii="Verdana" w:hAnsi="Verdana"/>
          <w:sz w:val="20"/>
          <w:szCs w:val="20"/>
          <w:lang w:val="es-CR"/>
        </w:rPr>
        <w:t>,</w:t>
      </w:r>
      <w:r w:rsidR="006567EF" w:rsidRPr="00107681">
        <w:rPr>
          <w:rFonts w:ascii="Verdana" w:hAnsi="Verdana"/>
          <w:sz w:val="20"/>
          <w:szCs w:val="20"/>
          <w:lang w:val="es-CR"/>
        </w:rPr>
        <w:t xml:space="preserve"> o bien que excluya o limite</w:t>
      </w:r>
      <w:r w:rsidR="007A59B4" w:rsidRPr="00107681">
        <w:rPr>
          <w:rFonts w:ascii="Verdana" w:hAnsi="Verdana"/>
          <w:sz w:val="20"/>
          <w:szCs w:val="20"/>
          <w:lang w:val="es-CR"/>
        </w:rPr>
        <w:t xml:space="preserve"> el efecto que puedan producir la Declaración Americana de los</w:t>
      </w:r>
      <w:r w:rsidR="006567EF" w:rsidRPr="00107681">
        <w:rPr>
          <w:rFonts w:ascii="Verdana" w:hAnsi="Verdana"/>
          <w:sz w:val="20"/>
          <w:szCs w:val="20"/>
          <w:lang w:val="es-CR"/>
        </w:rPr>
        <w:t xml:space="preserve"> Derechos y Deberes del Hombre</w:t>
      </w:r>
      <w:r w:rsidR="008E694C">
        <w:rPr>
          <w:rFonts w:ascii="Verdana" w:hAnsi="Verdana"/>
          <w:sz w:val="20"/>
          <w:szCs w:val="20"/>
          <w:lang w:val="es-CR"/>
        </w:rPr>
        <w:t xml:space="preserve"> </w:t>
      </w:r>
      <w:r w:rsidR="006567EF" w:rsidRPr="00107681">
        <w:rPr>
          <w:rFonts w:ascii="Verdana" w:hAnsi="Verdana"/>
          <w:sz w:val="20"/>
          <w:szCs w:val="20"/>
          <w:lang w:val="es-CR"/>
        </w:rPr>
        <w:t>u</w:t>
      </w:r>
      <w:r w:rsidR="007A59B4" w:rsidRPr="00107681">
        <w:rPr>
          <w:rFonts w:ascii="Verdana" w:hAnsi="Verdana"/>
          <w:sz w:val="20"/>
          <w:szCs w:val="20"/>
          <w:lang w:val="es-CR"/>
        </w:rPr>
        <w:t xml:space="preserve"> otros instrumentos internacionales de la misma naturaleza</w:t>
      </w:r>
      <w:r w:rsidR="007A59B4">
        <w:rPr>
          <w:rStyle w:val="FootnoteReference"/>
          <w:rFonts w:ascii="Verdana" w:hAnsi="Verdana"/>
          <w:sz w:val="20"/>
          <w:szCs w:val="20"/>
          <w:lang w:val="es-CR"/>
        </w:rPr>
        <w:footnoteReference w:id="21"/>
      </w:r>
      <w:r w:rsidR="00117968" w:rsidRPr="00107681">
        <w:rPr>
          <w:rFonts w:ascii="Verdana" w:hAnsi="Verdana"/>
          <w:sz w:val="20"/>
          <w:szCs w:val="20"/>
          <w:lang w:val="es-CR"/>
        </w:rPr>
        <w:t>.</w:t>
      </w:r>
      <w:r w:rsidR="006567EF" w:rsidRPr="00107681">
        <w:rPr>
          <w:rFonts w:ascii="Verdana" w:hAnsi="Verdana"/>
          <w:sz w:val="20"/>
          <w:szCs w:val="20"/>
          <w:lang w:val="es-CR"/>
        </w:rPr>
        <w:t xml:space="preserve"> </w:t>
      </w:r>
    </w:p>
    <w:p w14:paraId="2C005640" w14:textId="77777777" w:rsidR="00107681" w:rsidRPr="00107681" w:rsidRDefault="00107681" w:rsidP="00CC27DB">
      <w:pPr>
        <w:pStyle w:val="ListParagraph"/>
        <w:tabs>
          <w:tab w:val="left" w:pos="284"/>
        </w:tabs>
        <w:ind w:left="0"/>
        <w:rPr>
          <w:rFonts w:ascii="Verdana" w:hAnsi="Verdana"/>
          <w:sz w:val="20"/>
          <w:szCs w:val="20"/>
          <w:lang w:val="es-CR"/>
        </w:rPr>
      </w:pPr>
    </w:p>
    <w:p w14:paraId="23F9970A" w14:textId="538A3C8C" w:rsidR="005535B5" w:rsidRPr="00714293" w:rsidRDefault="00107681" w:rsidP="009D7294">
      <w:pPr>
        <w:pStyle w:val="ListParagraph"/>
        <w:numPr>
          <w:ilvl w:val="0"/>
          <w:numId w:val="10"/>
        </w:numPr>
        <w:tabs>
          <w:tab w:val="left" w:pos="284"/>
          <w:tab w:val="left" w:pos="567"/>
        </w:tabs>
        <w:ind w:left="0" w:firstLine="0"/>
        <w:jc w:val="both"/>
        <w:rPr>
          <w:rFonts w:ascii="Verdana" w:hAnsi="Verdana"/>
          <w:sz w:val="20"/>
          <w:szCs w:val="20"/>
          <w:lang w:val="es-CR"/>
        </w:rPr>
      </w:pPr>
      <w:r w:rsidRPr="00107681">
        <w:rPr>
          <w:rFonts w:ascii="Verdana" w:hAnsi="Verdana"/>
          <w:sz w:val="20"/>
          <w:szCs w:val="20"/>
          <w:lang w:val="es-CR"/>
        </w:rPr>
        <w:t>Tanto</w:t>
      </w:r>
      <w:r w:rsidR="00AA26E5" w:rsidRPr="00107681">
        <w:rPr>
          <w:rFonts w:ascii="Verdana" w:hAnsi="Verdana"/>
          <w:sz w:val="20"/>
          <w:szCs w:val="20"/>
          <w:lang w:val="es-CR"/>
        </w:rPr>
        <w:t xml:space="preserve"> el Preámbulo de la Convención</w:t>
      </w:r>
      <w:r w:rsidR="00ED79E8">
        <w:rPr>
          <w:rFonts w:ascii="Verdana" w:hAnsi="Verdana"/>
          <w:sz w:val="20"/>
          <w:szCs w:val="20"/>
          <w:lang w:val="es-CR"/>
        </w:rPr>
        <w:t>,</w:t>
      </w:r>
      <w:r w:rsidRPr="00107681">
        <w:rPr>
          <w:rFonts w:ascii="Verdana" w:hAnsi="Verdana"/>
          <w:sz w:val="20"/>
          <w:szCs w:val="20"/>
          <w:lang w:val="es-CR"/>
        </w:rPr>
        <w:t xml:space="preserve"> como el artículo 29</w:t>
      </w:r>
      <w:r w:rsidR="00ED79E8">
        <w:rPr>
          <w:rFonts w:ascii="Verdana" w:hAnsi="Verdana"/>
          <w:sz w:val="20"/>
          <w:szCs w:val="20"/>
          <w:lang w:val="es-CR"/>
        </w:rPr>
        <w:t>,</w:t>
      </w:r>
      <w:r w:rsidR="00AA26E5" w:rsidRPr="00107681">
        <w:rPr>
          <w:rFonts w:ascii="Verdana" w:hAnsi="Verdana"/>
          <w:sz w:val="20"/>
          <w:szCs w:val="20"/>
          <w:lang w:val="es-CR"/>
        </w:rPr>
        <w:t xml:space="preserve"> reflejan</w:t>
      </w:r>
      <w:r w:rsidR="001B6D12" w:rsidRPr="00107681">
        <w:rPr>
          <w:rFonts w:ascii="Verdana" w:hAnsi="Verdana"/>
          <w:sz w:val="20"/>
          <w:szCs w:val="20"/>
          <w:lang w:val="es-CR"/>
        </w:rPr>
        <w:t xml:space="preserve"> </w:t>
      </w:r>
      <w:r w:rsidR="00834D4B" w:rsidRPr="00107681">
        <w:rPr>
          <w:rFonts w:ascii="Verdana" w:hAnsi="Verdana"/>
          <w:sz w:val="20"/>
          <w:szCs w:val="20"/>
          <w:lang w:val="es-CR"/>
        </w:rPr>
        <w:t xml:space="preserve">la lógica integracionista que el </w:t>
      </w:r>
      <w:r w:rsidR="00FE691F">
        <w:rPr>
          <w:rFonts w:ascii="Verdana" w:hAnsi="Verdana"/>
          <w:sz w:val="20"/>
          <w:szCs w:val="20"/>
          <w:lang w:val="es-CR"/>
        </w:rPr>
        <w:t>sistema</w:t>
      </w:r>
      <w:r w:rsidR="00834D4B" w:rsidRPr="00107681">
        <w:rPr>
          <w:rFonts w:ascii="Verdana" w:hAnsi="Verdana"/>
          <w:sz w:val="20"/>
          <w:szCs w:val="20"/>
          <w:lang w:val="es-CR"/>
        </w:rPr>
        <w:t xml:space="preserve"> interamericano reconoce en relación con </w:t>
      </w:r>
      <w:r w:rsidR="00864154">
        <w:rPr>
          <w:rFonts w:ascii="Verdana" w:hAnsi="Verdana"/>
          <w:sz w:val="20"/>
          <w:szCs w:val="20"/>
          <w:lang w:val="es-CR"/>
        </w:rPr>
        <w:t xml:space="preserve">el </w:t>
      </w:r>
      <w:r w:rsidR="00ED79E8">
        <w:rPr>
          <w:rFonts w:ascii="Verdana" w:hAnsi="Verdana"/>
          <w:sz w:val="20"/>
          <w:szCs w:val="20"/>
          <w:lang w:val="es-CR"/>
        </w:rPr>
        <w:t>derecho internacional de los derechos humanos (en adelante también “DIDH”)</w:t>
      </w:r>
      <w:r w:rsidR="00834D4B" w:rsidRPr="00107681">
        <w:rPr>
          <w:rFonts w:ascii="Verdana" w:hAnsi="Verdana"/>
          <w:sz w:val="20"/>
          <w:szCs w:val="20"/>
          <w:lang w:val="es-CR"/>
        </w:rPr>
        <w:t>.</w:t>
      </w:r>
      <w:r w:rsidR="0032152D">
        <w:rPr>
          <w:rStyle w:val="FootnoteReference"/>
          <w:rFonts w:ascii="Verdana" w:hAnsi="Verdana"/>
          <w:sz w:val="20"/>
          <w:szCs w:val="20"/>
          <w:lang w:val="es-CR"/>
        </w:rPr>
        <w:footnoteReference w:id="22"/>
      </w:r>
      <w:r w:rsidR="0025249A" w:rsidRPr="00107681">
        <w:rPr>
          <w:rFonts w:ascii="Verdana" w:hAnsi="Verdana"/>
          <w:sz w:val="20"/>
          <w:szCs w:val="20"/>
          <w:lang w:val="es-CR"/>
        </w:rPr>
        <w:t xml:space="preserve"> </w:t>
      </w:r>
      <w:r w:rsidR="003510CA">
        <w:rPr>
          <w:rFonts w:ascii="Verdana" w:hAnsi="Verdana"/>
          <w:sz w:val="20"/>
          <w:szCs w:val="20"/>
          <w:lang w:val="es-CR"/>
        </w:rPr>
        <w:t>De esta forma</w:t>
      </w:r>
      <w:r w:rsidR="005535B5" w:rsidRPr="00107681">
        <w:rPr>
          <w:rFonts w:ascii="Verdana" w:hAnsi="Verdana"/>
          <w:sz w:val="20"/>
          <w:szCs w:val="20"/>
          <w:lang w:val="es-CR"/>
        </w:rPr>
        <w:t xml:space="preserve">, en ciertas ocasiones resulta </w:t>
      </w:r>
      <w:r w:rsidR="0011537D">
        <w:rPr>
          <w:rFonts w:ascii="Verdana" w:hAnsi="Verdana"/>
          <w:sz w:val="20"/>
          <w:szCs w:val="20"/>
          <w:lang w:val="es-CR"/>
        </w:rPr>
        <w:t>pertinente</w:t>
      </w:r>
      <w:r w:rsidR="005535B5" w:rsidRPr="00107681">
        <w:rPr>
          <w:rFonts w:ascii="Verdana" w:hAnsi="Verdana"/>
          <w:sz w:val="20"/>
          <w:szCs w:val="20"/>
          <w:lang w:val="es-CR"/>
        </w:rPr>
        <w:t xml:space="preserve"> </w:t>
      </w:r>
      <w:r w:rsidR="0011537D">
        <w:rPr>
          <w:rFonts w:ascii="Verdana" w:hAnsi="Verdana"/>
          <w:sz w:val="20"/>
          <w:szCs w:val="20"/>
          <w:lang w:val="es-CR"/>
        </w:rPr>
        <w:t>interpretar la</w:t>
      </w:r>
      <w:r w:rsidR="00864154">
        <w:rPr>
          <w:rFonts w:ascii="Verdana" w:hAnsi="Verdana"/>
          <w:sz w:val="20"/>
          <w:szCs w:val="20"/>
          <w:lang w:val="es-CR"/>
        </w:rPr>
        <w:t>s cláusulas de la</w:t>
      </w:r>
      <w:r w:rsidR="0011537D">
        <w:rPr>
          <w:rFonts w:ascii="Verdana" w:hAnsi="Verdana"/>
          <w:sz w:val="20"/>
          <w:szCs w:val="20"/>
          <w:lang w:val="es-CR"/>
        </w:rPr>
        <w:t xml:space="preserve"> Convención </w:t>
      </w:r>
      <w:r w:rsidR="00DB1806" w:rsidRPr="00107681">
        <w:rPr>
          <w:rFonts w:ascii="Verdana" w:hAnsi="Verdana"/>
          <w:sz w:val="20"/>
          <w:szCs w:val="20"/>
          <w:lang w:val="es-CR"/>
        </w:rPr>
        <w:t>a la luz de otros instrumentos internacionales</w:t>
      </w:r>
      <w:r w:rsidR="00EC71E7">
        <w:rPr>
          <w:rFonts w:ascii="Verdana" w:hAnsi="Verdana"/>
          <w:sz w:val="20"/>
          <w:szCs w:val="20"/>
          <w:lang w:val="es-CR"/>
        </w:rPr>
        <w:t xml:space="preserve"> en materia de derechos humanos</w:t>
      </w:r>
      <w:r w:rsidR="00CB5B83" w:rsidRPr="00107681">
        <w:rPr>
          <w:rFonts w:ascii="Verdana" w:hAnsi="Verdana"/>
          <w:sz w:val="20"/>
          <w:szCs w:val="20"/>
          <w:lang w:val="es-CR"/>
        </w:rPr>
        <w:t>.</w:t>
      </w:r>
      <w:r w:rsidR="00EC71E7">
        <w:rPr>
          <w:rFonts w:ascii="Verdana" w:hAnsi="Verdana"/>
          <w:sz w:val="20"/>
          <w:szCs w:val="20"/>
          <w:lang w:val="es-CR"/>
        </w:rPr>
        <w:t xml:space="preserve"> </w:t>
      </w:r>
      <w:r w:rsidR="0011537D">
        <w:rPr>
          <w:rFonts w:ascii="Verdana" w:hAnsi="Verdana"/>
          <w:sz w:val="20"/>
          <w:szCs w:val="20"/>
          <w:lang w:val="es-CR"/>
        </w:rPr>
        <w:t>Esta aproximación interpretativa</w:t>
      </w:r>
      <w:r w:rsidR="00CB5B83">
        <w:rPr>
          <w:rFonts w:ascii="Verdana" w:hAnsi="Verdana"/>
          <w:sz w:val="20"/>
          <w:szCs w:val="20"/>
          <w:lang w:val="es-CR"/>
        </w:rPr>
        <w:t xml:space="preserve"> también</w:t>
      </w:r>
      <w:r w:rsidR="00DB1806" w:rsidRPr="00107681">
        <w:rPr>
          <w:rFonts w:ascii="Verdana" w:hAnsi="Verdana"/>
          <w:sz w:val="20"/>
          <w:szCs w:val="20"/>
          <w:lang w:val="es-CR"/>
        </w:rPr>
        <w:t xml:space="preserve"> </w:t>
      </w:r>
      <w:r w:rsidR="0011537D">
        <w:rPr>
          <w:rFonts w:ascii="Verdana" w:hAnsi="Verdana"/>
          <w:sz w:val="20"/>
          <w:szCs w:val="20"/>
          <w:lang w:val="es-CR"/>
        </w:rPr>
        <w:t>permite que exista</w:t>
      </w:r>
      <w:r w:rsidR="00DB1806" w:rsidRPr="00107681">
        <w:rPr>
          <w:rFonts w:ascii="Verdana" w:hAnsi="Verdana"/>
          <w:sz w:val="20"/>
          <w:szCs w:val="20"/>
          <w:lang w:val="es-CR"/>
        </w:rPr>
        <w:t xml:space="preserve"> coherenc</w:t>
      </w:r>
      <w:r w:rsidR="00DB1806" w:rsidRPr="00714293">
        <w:rPr>
          <w:rFonts w:ascii="Verdana" w:hAnsi="Verdana"/>
          <w:sz w:val="20"/>
          <w:szCs w:val="20"/>
          <w:lang w:val="es-CR"/>
        </w:rPr>
        <w:t>ia entre</w:t>
      </w:r>
      <w:r w:rsidR="00CB5B83" w:rsidRPr="00714293">
        <w:rPr>
          <w:rFonts w:ascii="Verdana" w:hAnsi="Verdana"/>
          <w:sz w:val="20"/>
          <w:szCs w:val="20"/>
          <w:lang w:val="es-CR"/>
        </w:rPr>
        <w:t xml:space="preserve"> las conclusiones a las que arriba la Corte Interamericana en la resolución de casos concretos</w:t>
      </w:r>
      <w:r w:rsidR="00B33FD0" w:rsidRPr="00714293">
        <w:rPr>
          <w:rFonts w:ascii="Verdana" w:hAnsi="Verdana"/>
          <w:sz w:val="20"/>
          <w:szCs w:val="20"/>
          <w:lang w:val="es-CR"/>
        </w:rPr>
        <w:t xml:space="preserve"> o en la emisión de opiniones consultivas</w:t>
      </w:r>
      <w:r w:rsidR="00CB5B83" w:rsidRPr="00714293">
        <w:rPr>
          <w:rFonts w:ascii="Verdana" w:hAnsi="Verdana"/>
          <w:sz w:val="20"/>
          <w:szCs w:val="20"/>
          <w:lang w:val="es-CR"/>
        </w:rPr>
        <w:t>, y</w:t>
      </w:r>
      <w:r w:rsidR="00DB1806" w:rsidRPr="00714293">
        <w:rPr>
          <w:rFonts w:ascii="Verdana" w:hAnsi="Verdana"/>
          <w:sz w:val="20"/>
          <w:szCs w:val="20"/>
          <w:lang w:val="es-CR"/>
        </w:rPr>
        <w:t xml:space="preserve"> los </w:t>
      </w:r>
      <w:r w:rsidR="00CB5B83" w:rsidRPr="00714293">
        <w:rPr>
          <w:rFonts w:ascii="Verdana" w:hAnsi="Verdana"/>
          <w:sz w:val="20"/>
          <w:szCs w:val="20"/>
          <w:lang w:val="es-CR"/>
        </w:rPr>
        <w:t>desarrollos que ocurren en el DIDH</w:t>
      </w:r>
      <w:r w:rsidR="00E01C7C" w:rsidRPr="00714293">
        <w:rPr>
          <w:rFonts w:ascii="Verdana" w:hAnsi="Verdana"/>
          <w:sz w:val="20"/>
          <w:szCs w:val="20"/>
          <w:lang w:val="es-CR"/>
        </w:rPr>
        <w:t>.</w:t>
      </w:r>
      <w:r w:rsidR="00CB5B83" w:rsidRPr="00714293">
        <w:rPr>
          <w:rFonts w:ascii="Verdana" w:hAnsi="Verdana"/>
          <w:sz w:val="20"/>
          <w:szCs w:val="20"/>
          <w:lang w:val="es-CR"/>
        </w:rPr>
        <w:t xml:space="preserve"> </w:t>
      </w:r>
      <w:r w:rsidR="00FD47FE">
        <w:rPr>
          <w:rFonts w:ascii="Verdana" w:hAnsi="Verdana"/>
          <w:sz w:val="20"/>
          <w:szCs w:val="20"/>
          <w:lang w:val="es-CR"/>
        </w:rPr>
        <w:t>R</w:t>
      </w:r>
      <w:r w:rsidR="00CB5B83" w:rsidRPr="00714293">
        <w:rPr>
          <w:rFonts w:ascii="Verdana" w:hAnsi="Verdana"/>
          <w:sz w:val="20"/>
          <w:szCs w:val="20"/>
          <w:lang w:val="es-CR"/>
        </w:rPr>
        <w:t xml:space="preserve">esultan de particular importancia la utilización de </w:t>
      </w:r>
      <w:r w:rsidR="00B33FD0" w:rsidRPr="00714293">
        <w:rPr>
          <w:rFonts w:ascii="Verdana" w:hAnsi="Verdana"/>
          <w:sz w:val="20"/>
          <w:szCs w:val="20"/>
          <w:lang w:val="es-CR"/>
        </w:rPr>
        <w:t>tratados internacionales como el Pacto de Derechos Civiles y Políticos</w:t>
      </w:r>
      <w:r w:rsidR="00A364EA">
        <w:rPr>
          <w:rStyle w:val="FootnoteReference"/>
          <w:rFonts w:ascii="Verdana" w:hAnsi="Verdana"/>
          <w:sz w:val="20"/>
          <w:szCs w:val="20"/>
          <w:lang w:val="es-CR"/>
        </w:rPr>
        <w:footnoteReference w:id="23"/>
      </w:r>
      <w:r w:rsidR="00EC71E7">
        <w:rPr>
          <w:rFonts w:ascii="Verdana" w:hAnsi="Verdana"/>
          <w:sz w:val="20"/>
          <w:szCs w:val="20"/>
          <w:lang w:val="es-CR"/>
        </w:rPr>
        <w:t>,</w:t>
      </w:r>
      <w:r w:rsidR="00CB5B83" w:rsidRPr="00714293">
        <w:rPr>
          <w:rFonts w:ascii="Verdana" w:hAnsi="Verdana"/>
          <w:sz w:val="20"/>
          <w:szCs w:val="20"/>
          <w:lang w:val="es-CR"/>
        </w:rPr>
        <w:t xml:space="preserve"> y</w:t>
      </w:r>
      <w:r w:rsidR="00B33FD0" w:rsidRPr="00714293">
        <w:rPr>
          <w:rFonts w:ascii="Verdana" w:hAnsi="Verdana"/>
          <w:sz w:val="20"/>
          <w:szCs w:val="20"/>
          <w:lang w:val="es-CR"/>
        </w:rPr>
        <w:t xml:space="preserve"> de los</w:t>
      </w:r>
      <w:r w:rsidR="00CB5B83" w:rsidRPr="00714293">
        <w:rPr>
          <w:rFonts w:ascii="Verdana" w:hAnsi="Verdana"/>
          <w:sz w:val="20"/>
          <w:szCs w:val="20"/>
          <w:lang w:val="es-CR"/>
        </w:rPr>
        <w:t xml:space="preserve"> criterios em</w:t>
      </w:r>
      <w:r w:rsidR="00B33FD0" w:rsidRPr="00714293">
        <w:rPr>
          <w:rFonts w:ascii="Verdana" w:hAnsi="Verdana"/>
          <w:sz w:val="20"/>
          <w:szCs w:val="20"/>
          <w:lang w:val="es-CR"/>
        </w:rPr>
        <w:t>anados de</w:t>
      </w:r>
      <w:r w:rsidR="00CB5B83" w:rsidRPr="00714293">
        <w:rPr>
          <w:rFonts w:ascii="Verdana" w:hAnsi="Verdana"/>
          <w:sz w:val="20"/>
          <w:szCs w:val="20"/>
          <w:lang w:val="es-CR"/>
        </w:rPr>
        <w:t xml:space="preserve"> organismos especializados como </w:t>
      </w:r>
      <w:r w:rsidR="00CF469B" w:rsidRPr="00714293">
        <w:rPr>
          <w:rFonts w:ascii="Verdana" w:hAnsi="Verdana"/>
          <w:sz w:val="20"/>
          <w:szCs w:val="20"/>
          <w:lang w:val="es-CR"/>
        </w:rPr>
        <w:t>los Comités de Naciones Unidas</w:t>
      </w:r>
      <w:r w:rsidR="00A06F94">
        <w:rPr>
          <w:rStyle w:val="FootnoteReference"/>
          <w:rFonts w:ascii="Verdana" w:hAnsi="Verdana"/>
          <w:sz w:val="20"/>
          <w:szCs w:val="20"/>
          <w:lang w:val="es-CR"/>
        </w:rPr>
        <w:footnoteReference w:id="24"/>
      </w:r>
      <w:r w:rsidR="00EC71E7">
        <w:rPr>
          <w:rFonts w:ascii="Verdana" w:hAnsi="Verdana"/>
          <w:sz w:val="20"/>
          <w:szCs w:val="20"/>
          <w:lang w:val="es-CR"/>
        </w:rPr>
        <w:t xml:space="preserve">, por mencionar </w:t>
      </w:r>
      <w:r w:rsidR="00FD47FE">
        <w:rPr>
          <w:rFonts w:ascii="Verdana" w:hAnsi="Verdana"/>
          <w:sz w:val="20"/>
          <w:szCs w:val="20"/>
          <w:lang w:val="es-CR"/>
        </w:rPr>
        <w:t>dos ejemplos</w:t>
      </w:r>
      <w:r w:rsidR="00CB5B83" w:rsidRPr="00714293">
        <w:rPr>
          <w:rFonts w:ascii="Verdana" w:hAnsi="Verdana"/>
          <w:sz w:val="20"/>
          <w:szCs w:val="20"/>
          <w:lang w:val="es-CR"/>
        </w:rPr>
        <w:t>.</w:t>
      </w:r>
      <w:r w:rsidR="00E01C7C" w:rsidRPr="00714293">
        <w:rPr>
          <w:rFonts w:ascii="Verdana" w:hAnsi="Verdana"/>
          <w:sz w:val="20"/>
          <w:szCs w:val="20"/>
          <w:lang w:val="es-CR"/>
        </w:rPr>
        <w:t xml:space="preserve"> </w:t>
      </w:r>
    </w:p>
    <w:p w14:paraId="3924208B" w14:textId="77777777" w:rsidR="005535B5" w:rsidRPr="005535B5" w:rsidRDefault="005535B5" w:rsidP="00CC27DB">
      <w:pPr>
        <w:pStyle w:val="ListParagraph"/>
        <w:tabs>
          <w:tab w:val="left" w:pos="284"/>
        </w:tabs>
        <w:ind w:left="0"/>
        <w:rPr>
          <w:rFonts w:ascii="Verdana" w:hAnsi="Verdana"/>
          <w:sz w:val="20"/>
          <w:szCs w:val="20"/>
          <w:lang w:val="es-CR"/>
        </w:rPr>
      </w:pPr>
    </w:p>
    <w:p w14:paraId="3A013A08" w14:textId="77777777" w:rsidR="0094502B" w:rsidRPr="00132C6E" w:rsidRDefault="005535B5" w:rsidP="009D7294">
      <w:pPr>
        <w:pStyle w:val="ListParagraph"/>
        <w:numPr>
          <w:ilvl w:val="0"/>
          <w:numId w:val="10"/>
        </w:numPr>
        <w:tabs>
          <w:tab w:val="left" w:pos="284"/>
          <w:tab w:val="left" w:pos="567"/>
        </w:tabs>
        <w:ind w:left="0" w:firstLine="0"/>
        <w:jc w:val="both"/>
        <w:rPr>
          <w:rFonts w:ascii="Verdana" w:hAnsi="Verdana"/>
          <w:sz w:val="20"/>
          <w:szCs w:val="20"/>
          <w:lang w:val="es-CR"/>
        </w:rPr>
      </w:pPr>
      <w:r>
        <w:rPr>
          <w:rFonts w:ascii="Verdana" w:hAnsi="Verdana"/>
          <w:sz w:val="20"/>
          <w:szCs w:val="20"/>
          <w:lang w:val="es-CR"/>
        </w:rPr>
        <w:t xml:space="preserve"> </w:t>
      </w:r>
      <w:r w:rsidR="00AA26E5" w:rsidRPr="00132C6E">
        <w:rPr>
          <w:rFonts w:ascii="Verdana" w:hAnsi="Verdana"/>
          <w:sz w:val="20"/>
          <w:szCs w:val="20"/>
          <w:lang w:val="es-CR"/>
        </w:rPr>
        <w:t xml:space="preserve">Los factores antes mencionados –a saber, la existencia de un régimen que privilegia la interpretación objetiva de los derechos humanos, </w:t>
      </w:r>
      <w:r w:rsidR="005C3394" w:rsidRPr="00132C6E">
        <w:rPr>
          <w:rFonts w:ascii="Verdana" w:hAnsi="Verdana"/>
          <w:sz w:val="20"/>
          <w:szCs w:val="20"/>
          <w:lang w:val="es-CR"/>
        </w:rPr>
        <w:t>el reconocimiento d</w:t>
      </w:r>
      <w:r w:rsidR="00AA26E5" w:rsidRPr="00132C6E">
        <w:rPr>
          <w:rFonts w:ascii="Verdana" w:hAnsi="Verdana"/>
          <w:sz w:val="20"/>
          <w:szCs w:val="20"/>
          <w:lang w:val="es-CR"/>
        </w:rPr>
        <w:t xml:space="preserve">el principio </w:t>
      </w:r>
      <w:r w:rsidR="00AA26E5" w:rsidRPr="00132C6E">
        <w:rPr>
          <w:rFonts w:ascii="Verdana" w:hAnsi="Verdana"/>
          <w:i/>
          <w:sz w:val="20"/>
          <w:szCs w:val="20"/>
          <w:lang w:val="es-CR"/>
        </w:rPr>
        <w:t xml:space="preserve">pro </w:t>
      </w:r>
      <w:proofErr w:type="spellStart"/>
      <w:r w:rsidR="00AA26E5" w:rsidRPr="00132C6E">
        <w:rPr>
          <w:rFonts w:ascii="Verdana" w:hAnsi="Verdana"/>
          <w:i/>
          <w:sz w:val="20"/>
          <w:szCs w:val="20"/>
          <w:lang w:val="es-CR"/>
        </w:rPr>
        <w:t>personae</w:t>
      </w:r>
      <w:proofErr w:type="spellEnd"/>
      <w:r w:rsidR="005C3394" w:rsidRPr="00132C6E">
        <w:rPr>
          <w:rFonts w:ascii="Verdana" w:hAnsi="Verdana"/>
          <w:i/>
          <w:sz w:val="20"/>
          <w:szCs w:val="20"/>
          <w:lang w:val="es-CR"/>
        </w:rPr>
        <w:t xml:space="preserve"> </w:t>
      </w:r>
      <w:r w:rsidR="005C3394" w:rsidRPr="00132C6E">
        <w:rPr>
          <w:rFonts w:ascii="Verdana" w:hAnsi="Verdana"/>
          <w:sz w:val="20"/>
          <w:szCs w:val="20"/>
          <w:lang w:val="es-CR"/>
        </w:rPr>
        <w:t>como pauta interpretativa</w:t>
      </w:r>
      <w:r w:rsidR="00AA26E5" w:rsidRPr="00132C6E">
        <w:rPr>
          <w:rFonts w:ascii="Verdana" w:hAnsi="Verdana"/>
          <w:sz w:val="20"/>
          <w:szCs w:val="20"/>
          <w:lang w:val="es-CR"/>
        </w:rPr>
        <w:t>, y la lógica integracionista del régimen interamericano– permiten que el</w:t>
      </w:r>
      <w:r w:rsidR="0025249A" w:rsidRPr="00132C6E">
        <w:rPr>
          <w:rFonts w:ascii="Verdana" w:hAnsi="Verdana"/>
          <w:sz w:val="20"/>
          <w:szCs w:val="20"/>
          <w:lang w:val="es-CR"/>
        </w:rPr>
        <w:t xml:space="preserve"> contenido de la Convención </w:t>
      </w:r>
      <w:r w:rsidR="00AA26E5" w:rsidRPr="00132C6E">
        <w:rPr>
          <w:rFonts w:ascii="Verdana" w:hAnsi="Verdana"/>
          <w:sz w:val="20"/>
          <w:szCs w:val="20"/>
          <w:lang w:val="es-CR"/>
        </w:rPr>
        <w:t>evolucione</w:t>
      </w:r>
      <w:r w:rsidR="0025249A" w:rsidRPr="00132C6E">
        <w:rPr>
          <w:rFonts w:ascii="Verdana" w:hAnsi="Verdana"/>
          <w:sz w:val="20"/>
          <w:szCs w:val="20"/>
          <w:lang w:val="es-CR"/>
        </w:rPr>
        <w:t xml:space="preserve"> a partir de los desarrollos que existen en otros sistemas </w:t>
      </w:r>
      <w:r w:rsidR="004B1740" w:rsidRPr="00132C6E">
        <w:rPr>
          <w:rFonts w:ascii="Verdana" w:hAnsi="Verdana"/>
          <w:sz w:val="20"/>
          <w:szCs w:val="20"/>
          <w:lang w:val="es-CR"/>
        </w:rPr>
        <w:t>de protección de derechos</w:t>
      </w:r>
      <w:r w:rsidR="003757B0" w:rsidRPr="00132C6E">
        <w:rPr>
          <w:rStyle w:val="FootnoteReference"/>
          <w:rFonts w:ascii="Verdana" w:hAnsi="Verdana"/>
          <w:sz w:val="20"/>
          <w:szCs w:val="20"/>
          <w:lang w:val="es-CR"/>
        </w:rPr>
        <w:footnoteReference w:id="25"/>
      </w:r>
      <w:r w:rsidR="0025249A" w:rsidRPr="00132C6E">
        <w:rPr>
          <w:rFonts w:ascii="Verdana" w:hAnsi="Verdana"/>
          <w:sz w:val="20"/>
          <w:szCs w:val="20"/>
          <w:lang w:val="es-CR"/>
        </w:rPr>
        <w:t>. Se trata de un reconocimiento a</w:t>
      </w:r>
      <w:r w:rsidR="004B1740" w:rsidRPr="00132C6E">
        <w:rPr>
          <w:rFonts w:ascii="Verdana" w:hAnsi="Verdana"/>
          <w:sz w:val="20"/>
          <w:szCs w:val="20"/>
          <w:lang w:val="es-CR"/>
        </w:rPr>
        <w:t>cerca de que</w:t>
      </w:r>
      <w:r w:rsidR="0025249A" w:rsidRPr="00132C6E">
        <w:rPr>
          <w:rFonts w:ascii="Verdana" w:hAnsi="Verdana"/>
          <w:sz w:val="20"/>
          <w:szCs w:val="20"/>
          <w:lang w:val="es-CR"/>
        </w:rPr>
        <w:t xml:space="preserve"> la dignidad intrínseca de los seres humanos </w:t>
      </w:r>
      <w:r w:rsidR="004B1740" w:rsidRPr="00132C6E">
        <w:rPr>
          <w:rFonts w:ascii="Verdana" w:hAnsi="Verdana"/>
          <w:sz w:val="20"/>
          <w:szCs w:val="20"/>
          <w:lang w:val="es-CR"/>
        </w:rPr>
        <w:t>se debe encuadrar en</w:t>
      </w:r>
      <w:r w:rsidR="0025249A" w:rsidRPr="00132C6E">
        <w:rPr>
          <w:rFonts w:ascii="Verdana" w:hAnsi="Verdana"/>
          <w:sz w:val="20"/>
          <w:szCs w:val="20"/>
          <w:lang w:val="es-CR"/>
        </w:rPr>
        <w:t xml:space="preserve"> una lógica universalista</w:t>
      </w:r>
      <w:r w:rsidR="00BD1AE0" w:rsidRPr="00132C6E">
        <w:rPr>
          <w:rFonts w:ascii="Verdana" w:hAnsi="Verdana"/>
          <w:sz w:val="20"/>
          <w:szCs w:val="20"/>
          <w:lang w:val="es-CR"/>
        </w:rPr>
        <w:t xml:space="preserve"> y evolutiva</w:t>
      </w:r>
      <w:r w:rsidR="0032152D" w:rsidRPr="00132C6E">
        <w:rPr>
          <w:rFonts w:ascii="Verdana" w:hAnsi="Verdana"/>
          <w:sz w:val="20"/>
          <w:szCs w:val="20"/>
          <w:lang w:val="es-CR"/>
        </w:rPr>
        <w:t xml:space="preserve">, que tiende a permitir que el </w:t>
      </w:r>
      <w:r w:rsidR="0032152D" w:rsidRPr="00132C6E">
        <w:rPr>
          <w:rFonts w:ascii="Verdana" w:hAnsi="Verdana"/>
          <w:sz w:val="20"/>
          <w:szCs w:val="20"/>
          <w:lang w:val="es-CR"/>
        </w:rPr>
        <w:lastRenderedPageBreak/>
        <w:t>régimen de protección convencional</w:t>
      </w:r>
      <w:r w:rsidR="00BD1AE0" w:rsidRPr="00132C6E">
        <w:rPr>
          <w:rFonts w:ascii="Verdana" w:hAnsi="Verdana"/>
          <w:sz w:val="20"/>
          <w:szCs w:val="20"/>
          <w:lang w:val="es-CR"/>
        </w:rPr>
        <w:t xml:space="preserve"> se desarrolle y</w:t>
      </w:r>
      <w:r w:rsidR="0032152D" w:rsidRPr="00132C6E">
        <w:rPr>
          <w:rFonts w:ascii="Verdana" w:hAnsi="Verdana"/>
          <w:sz w:val="20"/>
          <w:szCs w:val="20"/>
          <w:lang w:val="es-CR"/>
        </w:rPr>
        <w:t xml:space="preserve"> adquiera todo su efecto útil</w:t>
      </w:r>
      <w:r w:rsidR="0032152D" w:rsidRPr="00132C6E">
        <w:rPr>
          <w:rStyle w:val="FootnoteReference"/>
          <w:rFonts w:ascii="Verdana" w:hAnsi="Verdana"/>
          <w:sz w:val="20"/>
          <w:szCs w:val="20"/>
          <w:lang w:val="es-CR"/>
        </w:rPr>
        <w:footnoteReference w:id="26"/>
      </w:r>
      <w:r w:rsidR="0025249A" w:rsidRPr="00132C6E">
        <w:rPr>
          <w:rFonts w:ascii="Verdana" w:hAnsi="Verdana"/>
          <w:sz w:val="20"/>
          <w:szCs w:val="20"/>
          <w:lang w:val="es-CR"/>
        </w:rPr>
        <w:t>.</w:t>
      </w:r>
      <w:r w:rsidR="0032152D" w:rsidRPr="00132C6E">
        <w:rPr>
          <w:rFonts w:ascii="Verdana" w:hAnsi="Verdana"/>
          <w:sz w:val="20"/>
          <w:szCs w:val="20"/>
          <w:lang w:val="es-CR"/>
        </w:rPr>
        <w:t xml:space="preserve"> </w:t>
      </w:r>
      <w:r w:rsidR="00CB5B83" w:rsidRPr="00132C6E">
        <w:rPr>
          <w:rFonts w:ascii="Verdana" w:hAnsi="Verdana"/>
          <w:sz w:val="20"/>
          <w:szCs w:val="20"/>
          <w:lang w:val="es-CR"/>
        </w:rPr>
        <w:t>Es en este sentido que l</w:t>
      </w:r>
      <w:r w:rsidR="0032152D" w:rsidRPr="00132C6E">
        <w:rPr>
          <w:rFonts w:ascii="Verdana" w:hAnsi="Verdana"/>
          <w:sz w:val="20"/>
          <w:szCs w:val="20"/>
          <w:lang w:val="es-CR"/>
        </w:rPr>
        <w:t>a Corte</w:t>
      </w:r>
      <w:r w:rsidR="00CB5B83" w:rsidRPr="00132C6E">
        <w:rPr>
          <w:rFonts w:ascii="Verdana" w:hAnsi="Verdana"/>
          <w:sz w:val="20"/>
          <w:szCs w:val="20"/>
          <w:lang w:val="es-CR"/>
        </w:rPr>
        <w:t xml:space="preserve"> Interamericana</w:t>
      </w:r>
      <w:r w:rsidR="0032152D" w:rsidRPr="00132C6E">
        <w:rPr>
          <w:rFonts w:ascii="Verdana" w:hAnsi="Verdana"/>
          <w:sz w:val="20"/>
          <w:szCs w:val="20"/>
          <w:lang w:val="es-CR"/>
        </w:rPr>
        <w:t xml:space="preserve"> ha señalado que “los tratados de derechos humanos son instrumentos vivos, cuya interpretación tiene que acompañar la evolución de los tiempos y las condiciones de vida actuales.”</w:t>
      </w:r>
      <w:r w:rsidR="0032152D" w:rsidRPr="00132C6E">
        <w:rPr>
          <w:rStyle w:val="FootnoteReference"/>
          <w:rFonts w:ascii="Verdana" w:hAnsi="Verdana"/>
          <w:sz w:val="20"/>
          <w:szCs w:val="20"/>
          <w:lang w:val="es-CR"/>
        </w:rPr>
        <w:footnoteReference w:id="27"/>
      </w:r>
    </w:p>
    <w:p w14:paraId="5C1C0DF6" w14:textId="77777777" w:rsidR="00BD1AE0" w:rsidRPr="00BD1AE0" w:rsidRDefault="00BD1AE0" w:rsidP="00CC27DB">
      <w:pPr>
        <w:pStyle w:val="ListParagraph"/>
        <w:tabs>
          <w:tab w:val="left" w:pos="284"/>
        </w:tabs>
        <w:ind w:left="0"/>
        <w:rPr>
          <w:rFonts w:ascii="Verdana" w:hAnsi="Verdana"/>
          <w:sz w:val="20"/>
          <w:szCs w:val="20"/>
          <w:lang w:val="es-CR"/>
        </w:rPr>
      </w:pPr>
    </w:p>
    <w:p w14:paraId="3B507407" w14:textId="5F67204C" w:rsidR="00BD1AE0" w:rsidRPr="00BD1AE0" w:rsidRDefault="00BD1AE0" w:rsidP="009D7294">
      <w:pPr>
        <w:pStyle w:val="ListParagraph"/>
        <w:numPr>
          <w:ilvl w:val="0"/>
          <w:numId w:val="10"/>
        </w:numPr>
        <w:tabs>
          <w:tab w:val="left" w:pos="284"/>
          <w:tab w:val="left" w:pos="567"/>
        </w:tabs>
        <w:ind w:left="0" w:firstLine="0"/>
        <w:jc w:val="both"/>
        <w:rPr>
          <w:rFonts w:ascii="Verdana" w:hAnsi="Verdana"/>
          <w:sz w:val="20"/>
          <w:szCs w:val="20"/>
          <w:lang w:val="es-CR"/>
        </w:rPr>
      </w:pPr>
      <w:r>
        <w:rPr>
          <w:rFonts w:ascii="Verdana" w:hAnsi="Verdana"/>
          <w:sz w:val="20"/>
          <w:szCs w:val="20"/>
          <w:lang w:val="es-CR"/>
        </w:rPr>
        <w:t>El método de interpretación evolutivo permite</w:t>
      </w:r>
      <w:r w:rsidR="00ED79E8">
        <w:rPr>
          <w:rFonts w:ascii="Verdana" w:hAnsi="Verdana"/>
          <w:sz w:val="20"/>
          <w:szCs w:val="20"/>
          <w:lang w:val="es-CR"/>
        </w:rPr>
        <w:t xml:space="preserve"> </w:t>
      </w:r>
      <w:r>
        <w:rPr>
          <w:rFonts w:ascii="Verdana" w:hAnsi="Verdana"/>
          <w:sz w:val="20"/>
          <w:szCs w:val="20"/>
          <w:lang w:val="es-CR"/>
        </w:rPr>
        <w:t>–cuando es realizado con prudencia y objetividad</w:t>
      </w:r>
      <w:r w:rsidRPr="009D7294">
        <w:rPr>
          <w:rFonts w:ascii="Verdana" w:hAnsi="Verdana"/>
          <w:sz w:val="20"/>
          <w:szCs w:val="20"/>
          <w:lang w:val="es-CR"/>
        </w:rPr>
        <w:t xml:space="preserve">– </w:t>
      </w:r>
      <w:r w:rsidR="00ED79E8">
        <w:rPr>
          <w:rFonts w:ascii="Verdana" w:hAnsi="Verdana"/>
          <w:sz w:val="20"/>
          <w:szCs w:val="20"/>
          <w:lang w:val="es-CR"/>
        </w:rPr>
        <w:t xml:space="preserve">que </w:t>
      </w:r>
      <w:r w:rsidRPr="009D7294">
        <w:rPr>
          <w:rFonts w:ascii="Verdana" w:hAnsi="Verdana"/>
          <w:sz w:val="20"/>
          <w:szCs w:val="20"/>
          <w:lang w:val="es-CR"/>
        </w:rPr>
        <w:t>la</w:t>
      </w:r>
      <w:r>
        <w:rPr>
          <w:rFonts w:ascii="Verdana" w:hAnsi="Verdana"/>
          <w:sz w:val="20"/>
          <w:szCs w:val="20"/>
          <w:lang w:val="es-CR"/>
        </w:rPr>
        <w:t xml:space="preserve"> Convención se mantenga como un “instrumento vivo”,</w:t>
      </w:r>
      <w:r w:rsidR="00CA0189">
        <w:rPr>
          <w:rFonts w:ascii="Verdana" w:hAnsi="Verdana"/>
          <w:sz w:val="20"/>
          <w:szCs w:val="20"/>
          <w:lang w:val="es-CR"/>
        </w:rPr>
        <w:t xml:space="preserve"> y en consecuencia</w:t>
      </w:r>
      <w:r>
        <w:rPr>
          <w:rFonts w:ascii="Verdana" w:hAnsi="Verdana"/>
          <w:sz w:val="20"/>
          <w:szCs w:val="20"/>
          <w:lang w:val="es-CR"/>
        </w:rPr>
        <w:t xml:space="preserve"> </w:t>
      </w:r>
      <w:r w:rsidR="001662ED">
        <w:rPr>
          <w:rFonts w:ascii="Verdana" w:hAnsi="Verdana"/>
          <w:sz w:val="20"/>
          <w:szCs w:val="20"/>
          <w:lang w:val="es-CR"/>
        </w:rPr>
        <w:t>s</w:t>
      </w:r>
      <w:r>
        <w:rPr>
          <w:rFonts w:ascii="Verdana" w:hAnsi="Verdana"/>
          <w:sz w:val="20"/>
          <w:szCs w:val="20"/>
          <w:lang w:val="es-CR"/>
        </w:rPr>
        <w:t>e incremente la protección de los derechos humanos en los países de la región. Sin embargo, es importante recordar que la utilización de normas externas a la Convención para su interpretación debe operar sobre una serie de presupuestos respecto al valor normativo que tienen tanto las normas y principios que son interpretadas</w:t>
      </w:r>
      <w:r w:rsidR="00EC71E7">
        <w:rPr>
          <w:rFonts w:ascii="Verdana" w:hAnsi="Verdana"/>
          <w:sz w:val="20"/>
          <w:szCs w:val="20"/>
          <w:lang w:val="es-CR"/>
        </w:rPr>
        <w:t xml:space="preserve"> (por ejemplo, la Convención)</w:t>
      </w:r>
      <w:r>
        <w:rPr>
          <w:rFonts w:ascii="Verdana" w:hAnsi="Verdana"/>
          <w:sz w:val="20"/>
          <w:szCs w:val="20"/>
          <w:lang w:val="es-CR"/>
        </w:rPr>
        <w:t>, como aquellas que se utilizan como parámetros de interpretación</w:t>
      </w:r>
      <w:r w:rsidR="00EC71E7">
        <w:rPr>
          <w:rFonts w:ascii="Verdana" w:hAnsi="Verdana"/>
          <w:sz w:val="20"/>
          <w:szCs w:val="20"/>
          <w:lang w:val="es-CR"/>
        </w:rPr>
        <w:t xml:space="preserve"> (por ejemplo, la Declaración Americana)</w:t>
      </w:r>
      <w:r>
        <w:rPr>
          <w:rStyle w:val="FootnoteReference"/>
          <w:rFonts w:ascii="Verdana" w:hAnsi="Verdana"/>
          <w:sz w:val="20"/>
          <w:szCs w:val="20"/>
          <w:lang w:val="es-CR"/>
        </w:rPr>
        <w:footnoteReference w:id="28"/>
      </w:r>
      <w:r>
        <w:rPr>
          <w:rFonts w:ascii="Verdana" w:hAnsi="Verdana"/>
          <w:sz w:val="20"/>
          <w:szCs w:val="20"/>
          <w:lang w:val="es-CR"/>
        </w:rPr>
        <w:t xml:space="preserve">. Es decir, la interpretación que hace la Corte no es –ni debe ser– </w:t>
      </w:r>
      <w:r w:rsidR="00B33FD0">
        <w:rPr>
          <w:rFonts w:ascii="Verdana" w:hAnsi="Verdana"/>
          <w:sz w:val="20"/>
          <w:szCs w:val="20"/>
          <w:lang w:val="es-CR"/>
        </w:rPr>
        <w:t xml:space="preserve">absolutamente </w:t>
      </w:r>
      <w:r>
        <w:rPr>
          <w:rFonts w:ascii="Verdana" w:hAnsi="Verdana"/>
          <w:sz w:val="20"/>
          <w:szCs w:val="20"/>
          <w:lang w:val="es-CR"/>
        </w:rPr>
        <w:t>libre, sino que se debe realizar en el marco de</w:t>
      </w:r>
      <w:r w:rsidR="00B33FD0">
        <w:rPr>
          <w:rFonts w:ascii="Verdana" w:hAnsi="Verdana"/>
          <w:sz w:val="20"/>
          <w:szCs w:val="20"/>
          <w:lang w:val="es-CR"/>
        </w:rPr>
        <w:t xml:space="preserve"> lo previsto por</w:t>
      </w:r>
      <w:r>
        <w:rPr>
          <w:rFonts w:ascii="Verdana" w:hAnsi="Verdana"/>
          <w:sz w:val="20"/>
          <w:szCs w:val="20"/>
          <w:lang w:val="es-CR"/>
        </w:rPr>
        <w:t xml:space="preserve"> reglas secundarias de derecho internacional que determinan el valor normativo de las fuentes del derecho</w:t>
      </w:r>
      <w:r w:rsidR="00FD47FE">
        <w:rPr>
          <w:rFonts w:ascii="Verdana" w:hAnsi="Verdana"/>
          <w:sz w:val="20"/>
          <w:szCs w:val="20"/>
          <w:lang w:val="es-CR"/>
        </w:rPr>
        <w:t xml:space="preserve"> y la manera en que estas deben ser interpretadas</w:t>
      </w:r>
      <w:r w:rsidR="00B33FD0">
        <w:rPr>
          <w:rFonts w:ascii="Verdana" w:hAnsi="Verdana"/>
          <w:sz w:val="20"/>
          <w:szCs w:val="20"/>
          <w:lang w:val="es-CR"/>
        </w:rPr>
        <w:t xml:space="preserve"> (como lo es el artículo 38 del Estatuto de la CIJ o la propia CVDT)</w:t>
      </w:r>
      <w:r>
        <w:rPr>
          <w:rFonts w:ascii="Verdana" w:hAnsi="Verdana"/>
          <w:sz w:val="20"/>
          <w:szCs w:val="20"/>
          <w:lang w:val="es-CR"/>
        </w:rPr>
        <w:t>. La Corte Interamerica</w:t>
      </w:r>
      <w:r w:rsidR="00ED79E8">
        <w:rPr>
          <w:rFonts w:ascii="Verdana" w:hAnsi="Verdana"/>
          <w:sz w:val="20"/>
          <w:szCs w:val="20"/>
          <w:lang w:val="es-CR"/>
        </w:rPr>
        <w:t>na es un tribunal internacional</w:t>
      </w:r>
      <w:r>
        <w:rPr>
          <w:rFonts w:ascii="Verdana" w:hAnsi="Verdana"/>
          <w:sz w:val="20"/>
          <w:szCs w:val="20"/>
          <w:lang w:val="es-CR"/>
        </w:rPr>
        <w:t xml:space="preserve"> y</w:t>
      </w:r>
      <w:r w:rsidR="00ED79E8">
        <w:rPr>
          <w:rFonts w:ascii="Verdana" w:hAnsi="Verdana"/>
          <w:sz w:val="20"/>
          <w:szCs w:val="20"/>
          <w:lang w:val="es-CR"/>
        </w:rPr>
        <w:t>,</w:t>
      </w:r>
      <w:r>
        <w:rPr>
          <w:rFonts w:ascii="Verdana" w:hAnsi="Verdana"/>
          <w:sz w:val="20"/>
          <w:szCs w:val="20"/>
          <w:lang w:val="es-CR"/>
        </w:rPr>
        <w:t xml:space="preserve"> por tanto</w:t>
      </w:r>
      <w:r w:rsidR="00ED79E8">
        <w:rPr>
          <w:rFonts w:ascii="Verdana" w:hAnsi="Verdana"/>
          <w:sz w:val="20"/>
          <w:szCs w:val="20"/>
          <w:lang w:val="es-CR"/>
        </w:rPr>
        <w:t>,</w:t>
      </w:r>
      <w:r>
        <w:rPr>
          <w:rFonts w:ascii="Verdana" w:hAnsi="Verdana"/>
          <w:sz w:val="20"/>
          <w:szCs w:val="20"/>
          <w:lang w:val="es-CR"/>
        </w:rPr>
        <w:t xml:space="preserve"> es razonable asumir que se comporte como tal. </w:t>
      </w:r>
    </w:p>
    <w:p w14:paraId="18800C55" w14:textId="77777777" w:rsidR="00247707" w:rsidRPr="00247707" w:rsidRDefault="00247707" w:rsidP="00CC27DB">
      <w:pPr>
        <w:pStyle w:val="ListParagraph"/>
        <w:tabs>
          <w:tab w:val="left" w:pos="284"/>
        </w:tabs>
        <w:ind w:left="0"/>
        <w:rPr>
          <w:rFonts w:ascii="Verdana" w:hAnsi="Verdana"/>
          <w:sz w:val="20"/>
          <w:szCs w:val="20"/>
          <w:lang w:val="es-CR"/>
        </w:rPr>
      </w:pPr>
    </w:p>
    <w:p w14:paraId="0365DFEA" w14:textId="3A1D74D2" w:rsidR="00247707" w:rsidRPr="00CA0F83" w:rsidRDefault="00BB011E" w:rsidP="009D7294">
      <w:pPr>
        <w:pStyle w:val="ListParagraph"/>
        <w:numPr>
          <w:ilvl w:val="0"/>
          <w:numId w:val="10"/>
        </w:numPr>
        <w:tabs>
          <w:tab w:val="left" w:pos="284"/>
          <w:tab w:val="left" w:pos="567"/>
        </w:tabs>
        <w:ind w:left="0" w:firstLine="0"/>
        <w:jc w:val="both"/>
        <w:rPr>
          <w:rFonts w:ascii="Verdana" w:hAnsi="Verdana"/>
          <w:sz w:val="20"/>
          <w:szCs w:val="20"/>
          <w:lang w:val="es-CR"/>
        </w:rPr>
      </w:pPr>
      <w:r w:rsidRPr="00CA0F83">
        <w:rPr>
          <w:rFonts w:ascii="Verdana" w:hAnsi="Verdana"/>
          <w:sz w:val="20"/>
          <w:szCs w:val="20"/>
          <w:lang w:val="es-CR"/>
        </w:rPr>
        <w:t>En este punto es pertinente</w:t>
      </w:r>
      <w:r w:rsidR="00CB5B83" w:rsidRPr="00CA0F83">
        <w:rPr>
          <w:rFonts w:ascii="Verdana" w:hAnsi="Verdana"/>
          <w:sz w:val="20"/>
          <w:szCs w:val="20"/>
          <w:lang w:val="es-CR"/>
        </w:rPr>
        <w:t xml:space="preserve"> cuestionarse </w:t>
      </w:r>
      <w:r w:rsidRPr="00CA0F83">
        <w:rPr>
          <w:rFonts w:ascii="Verdana" w:hAnsi="Verdana"/>
          <w:sz w:val="20"/>
          <w:szCs w:val="20"/>
          <w:lang w:val="es-CR"/>
        </w:rPr>
        <w:t>sobre los</w:t>
      </w:r>
      <w:r w:rsidR="00BD1AE0" w:rsidRPr="00CA0F83">
        <w:rPr>
          <w:rFonts w:ascii="Verdana" w:hAnsi="Verdana"/>
          <w:sz w:val="20"/>
          <w:szCs w:val="20"/>
          <w:lang w:val="es-CR"/>
        </w:rPr>
        <w:t xml:space="preserve"> </w:t>
      </w:r>
      <w:r w:rsidR="004B1740" w:rsidRPr="00CA0F83">
        <w:rPr>
          <w:rFonts w:ascii="Verdana" w:hAnsi="Verdana"/>
          <w:sz w:val="20"/>
          <w:szCs w:val="20"/>
          <w:lang w:val="es-CR"/>
        </w:rPr>
        <w:t>aspectos normativos</w:t>
      </w:r>
      <w:r w:rsidR="00AE42E2">
        <w:rPr>
          <w:rFonts w:ascii="Verdana" w:hAnsi="Verdana"/>
          <w:sz w:val="20"/>
          <w:szCs w:val="20"/>
          <w:lang w:val="es-CR"/>
        </w:rPr>
        <w:t xml:space="preserve"> que</w:t>
      </w:r>
      <w:r w:rsidR="004B1740" w:rsidRPr="00CA0F83">
        <w:rPr>
          <w:rFonts w:ascii="Verdana" w:hAnsi="Verdana"/>
          <w:sz w:val="20"/>
          <w:szCs w:val="20"/>
          <w:lang w:val="es-CR"/>
        </w:rPr>
        <w:t xml:space="preserve"> </w:t>
      </w:r>
      <w:r w:rsidR="00CB5B83" w:rsidRPr="00CA0F83">
        <w:rPr>
          <w:rFonts w:ascii="Verdana" w:hAnsi="Verdana"/>
          <w:sz w:val="20"/>
          <w:szCs w:val="20"/>
          <w:lang w:val="es-CR"/>
        </w:rPr>
        <w:t>deben servir</w:t>
      </w:r>
      <w:r w:rsidR="004B1740" w:rsidRPr="00CA0F83">
        <w:rPr>
          <w:rFonts w:ascii="Verdana" w:hAnsi="Verdana"/>
          <w:sz w:val="20"/>
          <w:szCs w:val="20"/>
          <w:lang w:val="es-CR"/>
        </w:rPr>
        <w:t xml:space="preserve"> para </w:t>
      </w:r>
      <w:r w:rsidR="00BD1AE0" w:rsidRPr="00CA0F83">
        <w:rPr>
          <w:rFonts w:ascii="Verdana" w:hAnsi="Verdana"/>
          <w:sz w:val="20"/>
          <w:szCs w:val="20"/>
          <w:lang w:val="es-CR"/>
        </w:rPr>
        <w:t>permitir la</w:t>
      </w:r>
      <w:r w:rsidR="004B1740" w:rsidRPr="00CA0F83">
        <w:rPr>
          <w:rFonts w:ascii="Verdana" w:hAnsi="Verdana"/>
          <w:sz w:val="20"/>
          <w:szCs w:val="20"/>
          <w:lang w:val="es-CR"/>
        </w:rPr>
        <w:t xml:space="preserve"> evolución del régimen de protección </w:t>
      </w:r>
      <w:r w:rsidR="00CB5B83" w:rsidRPr="00CA0F83">
        <w:rPr>
          <w:rFonts w:ascii="Verdana" w:hAnsi="Verdana"/>
          <w:sz w:val="20"/>
          <w:szCs w:val="20"/>
          <w:lang w:val="es-CR"/>
        </w:rPr>
        <w:t>previsto por la Convención Americana</w:t>
      </w:r>
      <w:r w:rsidR="004B1740" w:rsidRPr="00CA0F83">
        <w:rPr>
          <w:rFonts w:ascii="Verdana" w:hAnsi="Verdana"/>
          <w:sz w:val="20"/>
          <w:szCs w:val="20"/>
          <w:lang w:val="es-CR"/>
        </w:rPr>
        <w:t>.</w:t>
      </w:r>
      <w:r w:rsidRPr="00CA0F83">
        <w:rPr>
          <w:rFonts w:ascii="Verdana" w:hAnsi="Verdana"/>
          <w:sz w:val="20"/>
          <w:szCs w:val="20"/>
          <w:lang w:val="es-CR"/>
        </w:rPr>
        <w:t xml:space="preserve"> Los</w:t>
      </w:r>
      <w:r w:rsidR="004B1740" w:rsidRPr="00CA0F83">
        <w:rPr>
          <w:rFonts w:ascii="Verdana" w:hAnsi="Verdana"/>
          <w:sz w:val="20"/>
          <w:szCs w:val="20"/>
          <w:lang w:val="es-CR"/>
        </w:rPr>
        <w:t xml:space="preserve"> más importante</w:t>
      </w:r>
      <w:r w:rsidRPr="00CA0F83">
        <w:rPr>
          <w:rFonts w:ascii="Verdana" w:hAnsi="Verdana"/>
          <w:sz w:val="20"/>
          <w:szCs w:val="20"/>
          <w:lang w:val="es-CR"/>
        </w:rPr>
        <w:t>s son</w:t>
      </w:r>
      <w:r w:rsidR="004B1740" w:rsidRPr="00CA0F83">
        <w:rPr>
          <w:rFonts w:ascii="Verdana" w:hAnsi="Verdana"/>
          <w:sz w:val="20"/>
          <w:szCs w:val="20"/>
          <w:lang w:val="es-CR"/>
        </w:rPr>
        <w:t xml:space="preserve"> </w:t>
      </w:r>
      <w:r w:rsidRPr="00CA0F83">
        <w:rPr>
          <w:rFonts w:ascii="Verdana" w:hAnsi="Verdana"/>
          <w:sz w:val="20"/>
          <w:szCs w:val="20"/>
          <w:lang w:val="es-CR"/>
        </w:rPr>
        <w:t>aquellos</w:t>
      </w:r>
      <w:r w:rsidR="004B1740" w:rsidRPr="00CA0F83">
        <w:rPr>
          <w:rFonts w:ascii="Verdana" w:hAnsi="Verdana"/>
          <w:sz w:val="20"/>
          <w:szCs w:val="20"/>
          <w:lang w:val="es-CR"/>
        </w:rPr>
        <w:t xml:space="preserve"> instrumentos internacionales de protección</w:t>
      </w:r>
      <w:r w:rsidRPr="00CA0F83">
        <w:rPr>
          <w:rFonts w:ascii="Verdana" w:hAnsi="Verdana"/>
          <w:sz w:val="20"/>
          <w:szCs w:val="20"/>
          <w:lang w:val="es-CR"/>
        </w:rPr>
        <w:t xml:space="preserve"> adoptados</w:t>
      </w:r>
      <w:r w:rsidR="004B1740" w:rsidRPr="00CA0F83">
        <w:rPr>
          <w:rFonts w:ascii="Verdana" w:hAnsi="Verdana"/>
          <w:sz w:val="20"/>
          <w:szCs w:val="20"/>
          <w:lang w:val="es-CR"/>
        </w:rPr>
        <w:t xml:space="preserve"> </w:t>
      </w:r>
      <w:r w:rsidRPr="00CA0F83">
        <w:rPr>
          <w:rFonts w:ascii="Verdana" w:hAnsi="Verdana"/>
          <w:sz w:val="20"/>
          <w:szCs w:val="20"/>
          <w:lang w:val="es-CR"/>
        </w:rPr>
        <w:t>en el seno de la Organización de Estados Americanos</w:t>
      </w:r>
      <w:r w:rsidR="00ED79E8">
        <w:rPr>
          <w:rFonts w:ascii="Verdana" w:hAnsi="Verdana"/>
          <w:sz w:val="20"/>
          <w:szCs w:val="20"/>
          <w:lang w:val="es-CR"/>
        </w:rPr>
        <w:t xml:space="preserve"> (en adelante también “OEA”)</w:t>
      </w:r>
      <w:r w:rsidR="00EC71E7" w:rsidRPr="00CA0F83">
        <w:rPr>
          <w:rFonts w:ascii="Verdana" w:hAnsi="Verdana"/>
          <w:sz w:val="20"/>
          <w:szCs w:val="20"/>
          <w:lang w:val="es-CR"/>
        </w:rPr>
        <w:t>,</w:t>
      </w:r>
      <w:r w:rsidR="00573180" w:rsidRPr="00CA0F83">
        <w:rPr>
          <w:rFonts w:ascii="Verdana" w:hAnsi="Verdana"/>
          <w:sz w:val="20"/>
          <w:szCs w:val="20"/>
          <w:lang w:val="es-CR"/>
        </w:rPr>
        <w:t xml:space="preserve"> al ser instrumentos que se enmarcan en el mismo sistema de la Convención</w:t>
      </w:r>
      <w:r w:rsidR="00573180" w:rsidRPr="00CA0F83">
        <w:rPr>
          <w:rStyle w:val="FootnoteReference"/>
          <w:rFonts w:ascii="Verdana" w:hAnsi="Verdana"/>
          <w:sz w:val="20"/>
          <w:szCs w:val="20"/>
          <w:lang w:val="es-CR"/>
        </w:rPr>
        <w:footnoteReference w:id="29"/>
      </w:r>
      <w:r w:rsidR="004B1740" w:rsidRPr="00CA0F83">
        <w:rPr>
          <w:rFonts w:ascii="Verdana" w:hAnsi="Verdana"/>
          <w:sz w:val="20"/>
          <w:szCs w:val="20"/>
          <w:lang w:val="es-CR"/>
        </w:rPr>
        <w:t>.</w:t>
      </w:r>
      <w:r w:rsidRPr="00CA0F83">
        <w:rPr>
          <w:rFonts w:ascii="Verdana" w:hAnsi="Verdana"/>
          <w:sz w:val="20"/>
          <w:szCs w:val="20"/>
          <w:lang w:val="es-CR"/>
        </w:rPr>
        <w:t xml:space="preserve"> Estos instrumentos son una manifestación de los compromisos esta</w:t>
      </w:r>
      <w:r w:rsidR="00B33FD0" w:rsidRPr="00CA0F83">
        <w:rPr>
          <w:rFonts w:ascii="Verdana" w:hAnsi="Verdana"/>
          <w:sz w:val="20"/>
          <w:szCs w:val="20"/>
          <w:lang w:val="es-CR"/>
        </w:rPr>
        <w:t xml:space="preserve">tales en materias prioritarias: </w:t>
      </w:r>
      <w:r w:rsidRPr="00CA0F83">
        <w:rPr>
          <w:rFonts w:ascii="Verdana" w:hAnsi="Verdana"/>
          <w:sz w:val="20"/>
          <w:szCs w:val="20"/>
          <w:lang w:val="es-CR"/>
        </w:rPr>
        <w:t xml:space="preserve">tortura, mujeres, personas con discapacidad, </w:t>
      </w:r>
      <w:r w:rsidR="00B33FD0" w:rsidRPr="00CA0F83">
        <w:rPr>
          <w:rFonts w:ascii="Verdana" w:hAnsi="Verdana"/>
          <w:sz w:val="20"/>
          <w:szCs w:val="20"/>
          <w:lang w:val="es-CR"/>
        </w:rPr>
        <w:t>etc</w:t>
      </w:r>
      <w:r w:rsidRPr="00CA0F83">
        <w:rPr>
          <w:rFonts w:ascii="Verdana" w:hAnsi="Verdana"/>
          <w:sz w:val="20"/>
          <w:szCs w:val="20"/>
          <w:lang w:val="es-CR"/>
        </w:rPr>
        <w:t>.</w:t>
      </w:r>
      <w:r w:rsidR="00CB5B83" w:rsidRPr="00CA0F83">
        <w:rPr>
          <w:rFonts w:ascii="Verdana" w:hAnsi="Verdana"/>
          <w:sz w:val="20"/>
          <w:szCs w:val="20"/>
          <w:lang w:val="es-CR"/>
        </w:rPr>
        <w:t xml:space="preserve"> </w:t>
      </w:r>
      <w:r w:rsidRPr="00CA0F83">
        <w:rPr>
          <w:rFonts w:ascii="Verdana" w:hAnsi="Verdana"/>
          <w:sz w:val="20"/>
          <w:szCs w:val="20"/>
          <w:lang w:val="es-CR"/>
        </w:rPr>
        <w:t>T</w:t>
      </w:r>
      <w:r w:rsidR="00CB5B83" w:rsidRPr="00CA0F83">
        <w:rPr>
          <w:rFonts w:ascii="Verdana" w:hAnsi="Verdana"/>
          <w:sz w:val="20"/>
          <w:szCs w:val="20"/>
          <w:lang w:val="es-CR"/>
        </w:rPr>
        <w:t>ambién es relevante</w:t>
      </w:r>
      <w:r w:rsidR="00F33BEB" w:rsidRPr="00CA0F83">
        <w:rPr>
          <w:rFonts w:ascii="Verdana" w:hAnsi="Verdana"/>
          <w:sz w:val="20"/>
          <w:szCs w:val="20"/>
          <w:lang w:val="es-CR"/>
        </w:rPr>
        <w:t xml:space="preserve"> </w:t>
      </w:r>
      <w:r w:rsidR="00CB5B83" w:rsidRPr="00CA0F83">
        <w:rPr>
          <w:rFonts w:ascii="Verdana" w:hAnsi="Verdana"/>
          <w:sz w:val="20"/>
          <w:szCs w:val="20"/>
          <w:lang w:val="es-CR"/>
        </w:rPr>
        <w:t>tomar</w:t>
      </w:r>
      <w:r w:rsidR="00F33BEB" w:rsidRPr="00CA0F83">
        <w:rPr>
          <w:rFonts w:ascii="Verdana" w:hAnsi="Verdana"/>
          <w:sz w:val="20"/>
          <w:szCs w:val="20"/>
          <w:lang w:val="es-CR"/>
        </w:rPr>
        <w:t xml:space="preserve"> en cuenta otros tratados internacionales especializados</w:t>
      </w:r>
      <w:r w:rsidR="00CB5B83" w:rsidRPr="00CA0F83">
        <w:rPr>
          <w:rFonts w:ascii="Verdana" w:hAnsi="Verdana"/>
          <w:sz w:val="20"/>
          <w:szCs w:val="20"/>
          <w:lang w:val="es-CR"/>
        </w:rPr>
        <w:t xml:space="preserve"> en materia de derechos humanos</w:t>
      </w:r>
      <w:r w:rsidR="00CF469B" w:rsidRPr="00CA0F83">
        <w:rPr>
          <w:rFonts w:ascii="Verdana" w:hAnsi="Verdana"/>
          <w:sz w:val="20"/>
          <w:szCs w:val="20"/>
          <w:lang w:val="es-CR"/>
        </w:rPr>
        <w:t xml:space="preserve"> adoptados fuera de la OEA</w:t>
      </w:r>
      <w:r w:rsidR="00F33BEB" w:rsidRPr="00CA0F83">
        <w:rPr>
          <w:rFonts w:ascii="Verdana" w:hAnsi="Verdana"/>
          <w:sz w:val="20"/>
          <w:szCs w:val="20"/>
          <w:lang w:val="es-CR"/>
        </w:rPr>
        <w:t>, así como las interpretaciones que de esos tratados han hecho los organismos facultados para</w:t>
      </w:r>
      <w:r w:rsidR="00CB5B83" w:rsidRPr="00CA0F83">
        <w:rPr>
          <w:rFonts w:ascii="Verdana" w:hAnsi="Verdana"/>
          <w:sz w:val="20"/>
          <w:szCs w:val="20"/>
          <w:lang w:val="es-CR"/>
        </w:rPr>
        <w:t xml:space="preserve"> ello</w:t>
      </w:r>
      <w:r w:rsidR="00573180" w:rsidRPr="00CA0F83">
        <w:rPr>
          <w:rStyle w:val="FootnoteReference"/>
          <w:rFonts w:ascii="Verdana" w:hAnsi="Verdana"/>
          <w:sz w:val="20"/>
          <w:szCs w:val="20"/>
          <w:lang w:val="es-CR"/>
        </w:rPr>
        <w:footnoteReference w:id="30"/>
      </w:r>
      <w:r w:rsidR="00F33BEB" w:rsidRPr="00CA0F83">
        <w:rPr>
          <w:rFonts w:ascii="Verdana" w:hAnsi="Verdana"/>
          <w:sz w:val="20"/>
          <w:szCs w:val="20"/>
          <w:lang w:val="es-CR"/>
        </w:rPr>
        <w:t>.</w:t>
      </w:r>
      <w:r w:rsidR="004B1740" w:rsidRPr="00CA0F83">
        <w:rPr>
          <w:rFonts w:ascii="Verdana" w:hAnsi="Verdana"/>
          <w:sz w:val="20"/>
          <w:szCs w:val="20"/>
          <w:lang w:val="es-CR"/>
        </w:rPr>
        <w:t xml:space="preserve"> </w:t>
      </w:r>
      <w:r w:rsidR="00CB5B83" w:rsidRPr="00CA0F83">
        <w:rPr>
          <w:rFonts w:ascii="Verdana" w:hAnsi="Verdana"/>
          <w:sz w:val="20"/>
          <w:szCs w:val="20"/>
          <w:lang w:val="es-CR"/>
        </w:rPr>
        <w:t>En esa misma lógica,</w:t>
      </w:r>
      <w:r w:rsidR="007A59B4" w:rsidRPr="00CA0F83">
        <w:rPr>
          <w:rFonts w:ascii="Verdana" w:hAnsi="Verdana"/>
          <w:sz w:val="20"/>
          <w:szCs w:val="20"/>
          <w:lang w:val="es-CR"/>
        </w:rPr>
        <w:t xml:space="preserve"> </w:t>
      </w:r>
      <w:r w:rsidR="00924DAA" w:rsidRPr="00CA0F83">
        <w:rPr>
          <w:rFonts w:ascii="Verdana" w:hAnsi="Verdana"/>
          <w:sz w:val="20"/>
          <w:szCs w:val="20"/>
          <w:lang w:val="es-CR"/>
        </w:rPr>
        <w:t xml:space="preserve">puede también ser </w:t>
      </w:r>
      <w:r w:rsidR="00CB5B83" w:rsidRPr="00CA0F83">
        <w:rPr>
          <w:rFonts w:ascii="Verdana" w:hAnsi="Verdana"/>
          <w:sz w:val="20"/>
          <w:szCs w:val="20"/>
          <w:lang w:val="es-CR"/>
        </w:rPr>
        <w:t>relevante tomar</w:t>
      </w:r>
      <w:r w:rsidR="007A59B4" w:rsidRPr="00CA0F83">
        <w:rPr>
          <w:rFonts w:ascii="Verdana" w:hAnsi="Verdana"/>
          <w:sz w:val="20"/>
          <w:szCs w:val="20"/>
          <w:lang w:val="es-CR"/>
        </w:rPr>
        <w:t xml:space="preserve"> en consideración la práctica </w:t>
      </w:r>
      <w:r w:rsidR="004B1740" w:rsidRPr="00CA0F83">
        <w:rPr>
          <w:rFonts w:ascii="Verdana" w:hAnsi="Verdana"/>
          <w:sz w:val="20"/>
          <w:szCs w:val="20"/>
          <w:lang w:val="es-CR"/>
        </w:rPr>
        <w:t>de otros tribunales internacional</w:t>
      </w:r>
      <w:r w:rsidR="00CB5B83" w:rsidRPr="00CA0F83">
        <w:rPr>
          <w:rFonts w:ascii="Verdana" w:hAnsi="Verdana"/>
          <w:sz w:val="20"/>
          <w:szCs w:val="20"/>
          <w:lang w:val="es-CR"/>
        </w:rPr>
        <w:t xml:space="preserve">es, especialmente del </w:t>
      </w:r>
      <w:r w:rsidR="00ED79E8">
        <w:rPr>
          <w:rFonts w:ascii="Verdana" w:hAnsi="Verdana"/>
          <w:sz w:val="20"/>
          <w:szCs w:val="20"/>
          <w:lang w:val="es-CR"/>
        </w:rPr>
        <w:t>Tribunal Europeo de Derechos Humanos</w:t>
      </w:r>
      <w:r w:rsidR="00CB5B83" w:rsidRPr="00CA0F83">
        <w:rPr>
          <w:rFonts w:ascii="Verdana" w:hAnsi="Verdana"/>
          <w:sz w:val="20"/>
          <w:szCs w:val="20"/>
          <w:lang w:val="es-CR"/>
        </w:rPr>
        <w:t xml:space="preserve"> y</w:t>
      </w:r>
      <w:r w:rsidR="00ED79E8">
        <w:rPr>
          <w:rFonts w:ascii="Verdana" w:hAnsi="Verdana"/>
          <w:sz w:val="20"/>
          <w:szCs w:val="20"/>
          <w:lang w:val="es-CR"/>
        </w:rPr>
        <w:t xml:space="preserve"> la CIJ</w:t>
      </w:r>
      <w:r w:rsidR="00BD1AE0" w:rsidRPr="00CA0F83">
        <w:rPr>
          <w:rFonts w:ascii="Verdana" w:hAnsi="Verdana"/>
          <w:sz w:val="20"/>
          <w:szCs w:val="20"/>
          <w:lang w:val="es-CR"/>
        </w:rPr>
        <w:t>, o incluso de tribunales nacionales</w:t>
      </w:r>
      <w:r w:rsidR="00B33FD0" w:rsidRPr="00CA0F83">
        <w:rPr>
          <w:rFonts w:ascii="Verdana" w:hAnsi="Verdana"/>
          <w:sz w:val="20"/>
          <w:szCs w:val="20"/>
          <w:lang w:val="es-CR"/>
        </w:rPr>
        <w:t xml:space="preserve"> de la región</w:t>
      </w:r>
      <w:r w:rsidR="00BD1AE0" w:rsidRPr="00CA0F83">
        <w:rPr>
          <w:rFonts w:ascii="Verdana" w:hAnsi="Verdana"/>
          <w:sz w:val="20"/>
          <w:szCs w:val="20"/>
          <w:lang w:val="es-CR"/>
        </w:rPr>
        <w:t>, como ha sido la práctica de la Corte Interamericana desde hace algunos años</w:t>
      </w:r>
      <w:r w:rsidR="00A52115" w:rsidRPr="00CA0F83">
        <w:rPr>
          <w:rFonts w:ascii="Verdana" w:hAnsi="Verdana"/>
          <w:sz w:val="20"/>
          <w:szCs w:val="20"/>
          <w:lang w:val="es-CR"/>
        </w:rPr>
        <w:t>.</w:t>
      </w:r>
      <w:r w:rsidR="00F33BEB" w:rsidRPr="00CA0F83">
        <w:rPr>
          <w:rStyle w:val="FootnoteReference"/>
          <w:rFonts w:ascii="Verdana" w:hAnsi="Verdana"/>
          <w:sz w:val="20"/>
          <w:szCs w:val="20"/>
          <w:lang w:val="es-CR"/>
        </w:rPr>
        <w:footnoteReference w:id="31"/>
      </w:r>
    </w:p>
    <w:p w14:paraId="764BCEF9" w14:textId="77777777" w:rsidR="00534A72" w:rsidRPr="00534A72" w:rsidRDefault="00534A72" w:rsidP="001B3B0A">
      <w:pPr>
        <w:pStyle w:val="ListParagraph"/>
        <w:tabs>
          <w:tab w:val="left" w:pos="284"/>
        </w:tabs>
        <w:spacing w:after="120"/>
        <w:ind w:left="0"/>
        <w:rPr>
          <w:rFonts w:ascii="Verdana" w:hAnsi="Verdana"/>
          <w:sz w:val="20"/>
          <w:szCs w:val="20"/>
          <w:lang w:val="es-CR"/>
        </w:rPr>
      </w:pPr>
    </w:p>
    <w:p w14:paraId="555024C9" w14:textId="3156CD73" w:rsidR="00924DAA" w:rsidRDefault="00CF469B" w:rsidP="001B3B0A">
      <w:pPr>
        <w:pStyle w:val="ListParagraph"/>
        <w:numPr>
          <w:ilvl w:val="0"/>
          <w:numId w:val="10"/>
        </w:numPr>
        <w:tabs>
          <w:tab w:val="left" w:pos="284"/>
          <w:tab w:val="left" w:pos="567"/>
        </w:tabs>
        <w:spacing w:after="120"/>
        <w:ind w:left="0" w:firstLine="0"/>
        <w:jc w:val="both"/>
        <w:rPr>
          <w:rFonts w:ascii="Verdana" w:hAnsi="Verdana"/>
          <w:sz w:val="20"/>
          <w:szCs w:val="20"/>
          <w:lang w:val="es-CR"/>
        </w:rPr>
      </w:pPr>
      <w:r>
        <w:rPr>
          <w:rFonts w:ascii="Verdana" w:hAnsi="Verdana"/>
          <w:sz w:val="20"/>
          <w:szCs w:val="20"/>
          <w:lang w:val="es-CR"/>
        </w:rPr>
        <w:t>La utilización de una pluralidad de fuen</w:t>
      </w:r>
      <w:r w:rsidR="00FE691F">
        <w:rPr>
          <w:rFonts w:ascii="Verdana" w:hAnsi="Verdana"/>
          <w:sz w:val="20"/>
          <w:szCs w:val="20"/>
          <w:lang w:val="es-CR"/>
        </w:rPr>
        <w:t>tes del DIDH sin duda enriquece</w:t>
      </w:r>
      <w:r>
        <w:rPr>
          <w:rFonts w:ascii="Verdana" w:hAnsi="Verdana"/>
          <w:sz w:val="20"/>
          <w:szCs w:val="20"/>
          <w:lang w:val="es-CR"/>
        </w:rPr>
        <w:t xml:space="preserve"> el contenido de la Convención, pero hay que tener en cuenta las diferencias que existen entre estas fuentes</w:t>
      </w:r>
      <w:r w:rsidR="00924DAA">
        <w:rPr>
          <w:rFonts w:ascii="Verdana" w:hAnsi="Verdana"/>
          <w:sz w:val="20"/>
          <w:szCs w:val="20"/>
          <w:lang w:val="es-CR"/>
        </w:rPr>
        <w:t xml:space="preserve"> para </w:t>
      </w:r>
      <w:r w:rsidR="00FE691F">
        <w:rPr>
          <w:rFonts w:ascii="Verdana" w:hAnsi="Verdana"/>
          <w:sz w:val="20"/>
          <w:szCs w:val="20"/>
          <w:lang w:val="es-CR"/>
        </w:rPr>
        <w:t>evitar</w:t>
      </w:r>
      <w:r w:rsidR="00924DAA">
        <w:rPr>
          <w:rFonts w:ascii="Verdana" w:hAnsi="Verdana"/>
          <w:sz w:val="20"/>
          <w:szCs w:val="20"/>
          <w:lang w:val="es-CR"/>
        </w:rPr>
        <w:t xml:space="preserve"> una práctica selectiva</w:t>
      </w:r>
      <w:r w:rsidR="00FE691F">
        <w:rPr>
          <w:rFonts w:ascii="Verdana" w:hAnsi="Verdana"/>
          <w:sz w:val="20"/>
          <w:szCs w:val="20"/>
          <w:lang w:val="es-CR"/>
        </w:rPr>
        <w:t xml:space="preserve"> y arbitraria</w:t>
      </w:r>
      <w:r w:rsidR="00924DAA">
        <w:rPr>
          <w:rFonts w:ascii="Verdana" w:hAnsi="Verdana"/>
          <w:sz w:val="20"/>
          <w:szCs w:val="20"/>
          <w:lang w:val="es-CR"/>
        </w:rPr>
        <w:t xml:space="preserve"> que “transforme” cualquier criterio establecido en el vasto mundo del DIDH en una obligación para los Estados parte de la Convención</w:t>
      </w:r>
      <w:r w:rsidR="00534A72">
        <w:rPr>
          <w:rFonts w:ascii="Verdana" w:hAnsi="Verdana"/>
          <w:sz w:val="20"/>
          <w:szCs w:val="20"/>
          <w:lang w:val="es-CR"/>
        </w:rPr>
        <w:t xml:space="preserve">. </w:t>
      </w:r>
      <w:r>
        <w:rPr>
          <w:rFonts w:ascii="Verdana" w:hAnsi="Verdana"/>
          <w:sz w:val="20"/>
          <w:szCs w:val="20"/>
          <w:lang w:val="es-CR"/>
        </w:rPr>
        <w:t xml:space="preserve">Pues no es lo mismo determinar la evolución de una </w:t>
      </w:r>
      <w:r w:rsidR="00924DAA">
        <w:rPr>
          <w:rFonts w:ascii="Verdana" w:hAnsi="Verdana"/>
          <w:sz w:val="20"/>
          <w:szCs w:val="20"/>
          <w:lang w:val="es-CR"/>
        </w:rPr>
        <w:t>cláusula</w:t>
      </w:r>
      <w:r>
        <w:rPr>
          <w:rFonts w:ascii="Verdana" w:hAnsi="Verdana"/>
          <w:sz w:val="20"/>
          <w:szCs w:val="20"/>
          <w:lang w:val="es-CR"/>
        </w:rPr>
        <w:t xml:space="preserve"> de la Convención</w:t>
      </w:r>
      <w:r w:rsidR="00924DAA">
        <w:rPr>
          <w:rFonts w:ascii="Verdana" w:hAnsi="Verdana"/>
          <w:sz w:val="20"/>
          <w:szCs w:val="20"/>
          <w:lang w:val="es-CR"/>
        </w:rPr>
        <w:t xml:space="preserve"> que p</w:t>
      </w:r>
      <w:r w:rsidR="00FE691F">
        <w:rPr>
          <w:rFonts w:ascii="Verdana" w:hAnsi="Verdana"/>
          <w:sz w:val="20"/>
          <w:szCs w:val="20"/>
          <w:lang w:val="es-CR"/>
        </w:rPr>
        <w:t>rotege un derecho humano</w:t>
      </w:r>
      <w:r w:rsidR="00924DAA">
        <w:rPr>
          <w:rFonts w:ascii="Verdana" w:hAnsi="Verdana"/>
          <w:sz w:val="20"/>
          <w:szCs w:val="20"/>
          <w:lang w:val="es-CR"/>
        </w:rPr>
        <w:t xml:space="preserve"> (como podría ser el artículo 22.7 que protege el derecho de buscar y recibir asilo)</w:t>
      </w:r>
      <w:r>
        <w:rPr>
          <w:rFonts w:ascii="Verdana" w:hAnsi="Verdana"/>
          <w:sz w:val="20"/>
          <w:szCs w:val="20"/>
          <w:lang w:val="es-CR"/>
        </w:rPr>
        <w:t xml:space="preserve"> </w:t>
      </w:r>
      <w:r w:rsidR="00924DAA">
        <w:rPr>
          <w:rFonts w:ascii="Verdana" w:hAnsi="Verdana"/>
          <w:sz w:val="20"/>
          <w:szCs w:val="20"/>
          <w:lang w:val="es-CR"/>
        </w:rPr>
        <w:t>sobre la base</w:t>
      </w:r>
      <w:r>
        <w:rPr>
          <w:rFonts w:ascii="Verdana" w:hAnsi="Verdana"/>
          <w:sz w:val="20"/>
          <w:szCs w:val="20"/>
          <w:lang w:val="es-CR"/>
        </w:rPr>
        <w:t xml:space="preserve"> de un cuerpo de normas especializadas en determinada materia</w:t>
      </w:r>
      <w:r w:rsidR="00924DAA">
        <w:rPr>
          <w:rFonts w:ascii="Verdana" w:hAnsi="Verdana"/>
          <w:sz w:val="20"/>
          <w:szCs w:val="20"/>
          <w:lang w:val="es-CR"/>
        </w:rPr>
        <w:t xml:space="preserve"> (como sucede por ejemplo con las normas en materia de refugio y asilo desarrolladas por ACNUR)</w:t>
      </w:r>
      <w:r>
        <w:rPr>
          <w:rFonts w:ascii="Verdana" w:hAnsi="Verdana"/>
          <w:sz w:val="20"/>
          <w:szCs w:val="20"/>
          <w:lang w:val="es-CR"/>
        </w:rPr>
        <w:t>, que el Estado ha reconocido como vinculantes, y que gozan de cierta aceptación universal</w:t>
      </w:r>
      <w:r w:rsidR="00A31D06">
        <w:rPr>
          <w:rStyle w:val="FootnoteReference"/>
          <w:rFonts w:ascii="Verdana" w:hAnsi="Verdana"/>
          <w:sz w:val="20"/>
          <w:szCs w:val="20"/>
          <w:lang w:val="es-CR"/>
        </w:rPr>
        <w:footnoteReference w:id="32"/>
      </w:r>
      <w:r w:rsidR="00914700">
        <w:rPr>
          <w:rFonts w:ascii="Verdana" w:hAnsi="Verdana"/>
          <w:sz w:val="20"/>
          <w:szCs w:val="20"/>
          <w:lang w:val="es-CR"/>
        </w:rPr>
        <w:t>,</w:t>
      </w:r>
      <w:r>
        <w:rPr>
          <w:rFonts w:ascii="Verdana" w:hAnsi="Verdana"/>
          <w:sz w:val="20"/>
          <w:szCs w:val="20"/>
          <w:lang w:val="es-CR"/>
        </w:rPr>
        <w:t xml:space="preserve"> que determinar dicha evolución </w:t>
      </w:r>
      <w:r w:rsidR="00924DAA">
        <w:rPr>
          <w:rFonts w:ascii="Verdana" w:hAnsi="Verdana"/>
          <w:sz w:val="20"/>
          <w:szCs w:val="20"/>
          <w:lang w:val="es-CR"/>
        </w:rPr>
        <w:t>t</w:t>
      </w:r>
      <w:r>
        <w:rPr>
          <w:rFonts w:ascii="Verdana" w:hAnsi="Verdana"/>
          <w:sz w:val="20"/>
          <w:szCs w:val="20"/>
          <w:lang w:val="es-CR"/>
        </w:rPr>
        <w:t>omando en consideración</w:t>
      </w:r>
      <w:r w:rsidR="00924DAA">
        <w:rPr>
          <w:rFonts w:ascii="Verdana" w:hAnsi="Verdana"/>
          <w:sz w:val="20"/>
          <w:szCs w:val="20"/>
          <w:lang w:val="es-CR"/>
        </w:rPr>
        <w:t xml:space="preserve"> derechos que no han sido expresamente reconocidos en la Convención, </w:t>
      </w:r>
      <w:r w:rsidR="00FE691F">
        <w:rPr>
          <w:rFonts w:ascii="Verdana" w:hAnsi="Verdana"/>
          <w:sz w:val="20"/>
          <w:szCs w:val="20"/>
          <w:lang w:val="es-CR"/>
        </w:rPr>
        <w:t>con sustento</w:t>
      </w:r>
      <w:r w:rsidR="00924DAA">
        <w:rPr>
          <w:rFonts w:ascii="Verdana" w:hAnsi="Verdana"/>
          <w:sz w:val="20"/>
          <w:szCs w:val="20"/>
          <w:lang w:val="es-CR"/>
        </w:rPr>
        <w:t xml:space="preserve"> en</w:t>
      </w:r>
      <w:r>
        <w:rPr>
          <w:rFonts w:ascii="Verdana" w:hAnsi="Verdana"/>
          <w:sz w:val="20"/>
          <w:szCs w:val="20"/>
          <w:lang w:val="es-CR"/>
        </w:rPr>
        <w:t xml:space="preserve"> normas </w:t>
      </w:r>
      <w:r w:rsidR="00924DAA">
        <w:rPr>
          <w:rFonts w:ascii="Verdana" w:hAnsi="Verdana"/>
          <w:sz w:val="20"/>
          <w:szCs w:val="20"/>
          <w:lang w:val="es-CR"/>
        </w:rPr>
        <w:t xml:space="preserve">o criterios </w:t>
      </w:r>
      <w:r w:rsidR="00FE691F">
        <w:rPr>
          <w:rFonts w:ascii="Verdana" w:hAnsi="Verdana"/>
          <w:sz w:val="20"/>
          <w:szCs w:val="20"/>
          <w:lang w:val="es-CR"/>
        </w:rPr>
        <w:t>que no han sido aceptadas por los</w:t>
      </w:r>
      <w:r>
        <w:rPr>
          <w:rFonts w:ascii="Verdana" w:hAnsi="Verdana"/>
          <w:sz w:val="20"/>
          <w:szCs w:val="20"/>
          <w:lang w:val="es-CR"/>
        </w:rPr>
        <w:t xml:space="preserve"> Estado</w:t>
      </w:r>
      <w:r w:rsidR="00FE691F">
        <w:rPr>
          <w:rFonts w:ascii="Verdana" w:hAnsi="Verdana"/>
          <w:sz w:val="20"/>
          <w:szCs w:val="20"/>
          <w:lang w:val="es-CR"/>
        </w:rPr>
        <w:t>s</w:t>
      </w:r>
      <w:r>
        <w:rPr>
          <w:rFonts w:ascii="Verdana" w:hAnsi="Verdana"/>
          <w:sz w:val="20"/>
          <w:szCs w:val="20"/>
          <w:lang w:val="es-CR"/>
        </w:rPr>
        <w:t xml:space="preserve"> como vinculantes</w:t>
      </w:r>
      <w:r w:rsidR="00924DAA">
        <w:rPr>
          <w:rFonts w:ascii="Verdana" w:hAnsi="Verdana"/>
          <w:sz w:val="20"/>
          <w:szCs w:val="20"/>
          <w:lang w:val="es-CR"/>
        </w:rPr>
        <w:t>,</w:t>
      </w:r>
      <w:r>
        <w:rPr>
          <w:rFonts w:ascii="Verdana" w:hAnsi="Verdana"/>
          <w:sz w:val="20"/>
          <w:szCs w:val="20"/>
          <w:lang w:val="es-CR"/>
        </w:rPr>
        <w:t xml:space="preserve"> </w:t>
      </w:r>
      <w:r w:rsidR="00B33FD0">
        <w:rPr>
          <w:rFonts w:ascii="Verdana" w:hAnsi="Verdana"/>
          <w:sz w:val="20"/>
          <w:szCs w:val="20"/>
          <w:lang w:val="es-CR"/>
        </w:rPr>
        <w:t>o</w:t>
      </w:r>
      <w:r>
        <w:rPr>
          <w:rFonts w:ascii="Verdana" w:hAnsi="Verdana"/>
          <w:sz w:val="20"/>
          <w:szCs w:val="20"/>
          <w:lang w:val="es-CR"/>
        </w:rPr>
        <w:t xml:space="preserve"> que no gozan de un desarrollo sólido en el derecho internacional</w:t>
      </w:r>
      <w:r w:rsidR="009F2211">
        <w:rPr>
          <w:rStyle w:val="FootnoteReference"/>
          <w:rFonts w:ascii="Verdana" w:hAnsi="Verdana"/>
          <w:sz w:val="20"/>
          <w:szCs w:val="20"/>
          <w:lang w:val="es-CR"/>
        </w:rPr>
        <w:footnoteReference w:id="33"/>
      </w:r>
      <w:r>
        <w:rPr>
          <w:rFonts w:ascii="Verdana" w:hAnsi="Verdana"/>
          <w:sz w:val="20"/>
          <w:szCs w:val="20"/>
          <w:lang w:val="es-CR"/>
        </w:rPr>
        <w:t>.</w:t>
      </w:r>
    </w:p>
    <w:p w14:paraId="7EA01672" w14:textId="77777777" w:rsidR="00924DAA" w:rsidRPr="00924DAA" w:rsidRDefault="00924DAA" w:rsidP="001B3B0A">
      <w:pPr>
        <w:pStyle w:val="ListParagraph"/>
        <w:tabs>
          <w:tab w:val="left" w:pos="284"/>
        </w:tabs>
        <w:spacing w:after="120"/>
        <w:ind w:left="0"/>
        <w:rPr>
          <w:rFonts w:ascii="Verdana" w:hAnsi="Verdana"/>
          <w:sz w:val="20"/>
          <w:szCs w:val="20"/>
          <w:lang w:val="es-CR"/>
        </w:rPr>
      </w:pPr>
    </w:p>
    <w:p w14:paraId="5E8A150A" w14:textId="0FA62441" w:rsidR="005F3495" w:rsidRDefault="00FE691F" w:rsidP="001B3B0A">
      <w:pPr>
        <w:pStyle w:val="ListParagraph"/>
        <w:numPr>
          <w:ilvl w:val="0"/>
          <w:numId w:val="10"/>
        </w:numPr>
        <w:tabs>
          <w:tab w:val="left" w:pos="284"/>
          <w:tab w:val="left" w:pos="567"/>
        </w:tabs>
        <w:spacing w:after="120"/>
        <w:ind w:left="0" w:firstLine="0"/>
        <w:jc w:val="both"/>
        <w:rPr>
          <w:rFonts w:ascii="Verdana" w:hAnsi="Verdana"/>
          <w:sz w:val="20"/>
          <w:szCs w:val="20"/>
          <w:lang w:val="es-CR"/>
        </w:rPr>
      </w:pPr>
      <w:r>
        <w:rPr>
          <w:rFonts w:ascii="Verdana" w:hAnsi="Verdana"/>
          <w:sz w:val="20"/>
          <w:szCs w:val="20"/>
          <w:lang w:val="es-CR"/>
        </w:rPr>
        <w:t xml:space="preserve">En el presente caso, </w:t>
      </w:r>
      <w:r w:rsidR="001215F6">
        <w:rPr>
          <w:rFonts w:ascii="Verdana" w:hAnsi="Verdana"/>
          <w:sz w:val="20"/>
          <w:szCs w:val="20"/>
          <w:lang w:val="es-CR"/>
        </w:rPr>
        <w:t>en lo que respecta a la violación al derecho al trabajo</w:t>
      </w:r>
      <w:r w:rsidR="00924DAA">
        <w:rPr>
          <w:rFonts w:ascii="Verdana" w:hAnsi="Verdana"/>
          <w:sz w:val="20"/>
          <w:szCs w:val="20"/>
          <w:lang w:val="es-CR"/>
        </w:rPr>
        <w:t xml:space="preserve">, </w:t>
      </w:r>
      <w:r w:rsidR="002D63DC">
        <w:rPr>
          <w:rFonts w:ascii="Verdana" w:hAnsi="Verdana"/>
          <w:sz w:val="20"/>
          <w:szCs w:val="20"/>
          <w:lang w:val="es-CR"/>
        </w:rPr>
        <w:t xml:space="preserve">la interpretación adoptada por la mayoría </w:t>
      </w:r>
      <w:r>
        <w:rPr>
          <w:rFonts w:ascii="Verdana" w:hAnsi="Verdana"/>
          <w:sz w:val="20"/>
          <w:szCs w:val="20"/>
          <w:lang w:val="es-CR"/>
        </w:rPr>
        <w:t>considera</w:t>
      </w:r>
      <w:r w:rsidR="00924DAA">
        <w:rPr>
          <w:rFonts w:ascii="Verdana" w:hAnsi="Verdana"/>
          <w:sz w:val="20"/>
          <w:szCs w:val="20"/>
          <w:lang w:val="es-CR"/>
        </w:rPr>
        <w:t xml:space="preserve"> que se ha violado la Convención Americana sobre un derecho que no está previsto por el propio tratado</w:t>
      </w:r>
      <w:r w:rsidR="001215F6">
        <w:rPr>
          <w:rFonts w:ascii="Verdana" w:hAnsi="Verdana"/>
          <w:sz w:val="20"/>
          <w:szCs w:val="20"/>
          <w:lang w:val="es-CR"/>
        </w:rPr>
        <w:t xml:space="preserve"> </w:t>
      </w:r>
      <w:r w:rsidR="001215F6" w:rsidRPr="002D63DC">
        <w:rPr>
          <w:rFonts w:ascii="Verdana" w:hAnsi="Verdana"/>
          <w:sz w:val="20"/>
          <w:szCs w:val="20"/>
          <w:lang w:val="es-CR"/>
        </w:rPr>
        <w:t>(el derecho al trabajo no se encuentra regulado en artículo alguno de la Convención Americana</w:t>
      </w:r>
      <w:r w:rsidR="001215F6" w:rsidRPr="009A063C">
        <w:rPr>
          <w:rFonts w:ascii="Verdana" w:hAnsi="Verdana"/>
          <w:color w:val="auto"/>
          <w:sz w:val="20"/>
          <w:szCs w:val="20"/>
          <w:lang w:val="es-CR"/>
        </w:rPr>
        <w:t>); se remite a un tratado sobre el cual la Corte Interamericana no tiene competencia</w:t>
      </w:r>
      <w:r w:rsidR="009D7294" w:rsidRPr="009A063C">
        <w:rPr>
          <w:rFonts w:ascii="Verdana" w:hAnsi="Verdana"/>
          <w:color w:val="auto"/>
          <w:sz w:val="20"/>
          <w:szCs w:val="20"/>
          <w:lang w:val="es-CR"/>
        </w:rPr>
        <w:t xml:space="preserve"> para conocer sobre peticiones individuales</w:t>
      </w:r>
      <w:r w:rsidR="001215F6" w:rsidRPr="009A063C">
        <w:rPr>
          <w:rFonts w:ascii="Verdana" w:hAnsi="Verdana"/>
          <w:color w:val="auto"/>
          <w:sz w:val="20"/>
          <w:szCs w:val="20"/>
          <w:lang w:val="es-CR"/>
        </w:rPr>
        <w:t xml:space="preserve"> (la Carta de la OEA); </w:t>
      </w:r>
      <w:r w:rsidR="001215F6">
        <w:rPr>
          <w:rFonts w:ascii="Verdana" w:hAnsi="Verdana"/>
          <w:sz w:val="20"/>
          <w:szCs w:val="20"/>
          <w:lang w:val="es-CR"/>
        </w:rPr>
        <w:t>el aspecto específico del derecho que se declara violado (es decir el derecho a un recurso judicial efectivo en caso de un despido improcedente) se inspira en el Convenio 158 de la Organización Internacional del Trabajo, del cual el Estado de Perú no es parte; y el contenido específico del derecho al trabajo no se encuentra definido con claridad en el Sistema Interamericano</w:t>
      </w:r>
      <w:r w:rsidR="00914700">
        <w:rPr>
          <w:rFonts w:ascii="Verdana" w:hAnsi="Verdana"/>
          <w:sz w:val="20"/>
          <w:szCs w:val="20"/>
          <w:lang w:val="es-CR"/>
        </w:rPr>
        <w:t>,</w:t>
      </w:r>
      <w:r w:rsidR="001215F6">
        <w:rPr>
          <w:rFonts w:ascii="Verdana" w:hAnsi="Verdana"/>
          <w:sz w:val="20"/>
          <w:szCs w:val="20"/>
          <w:lang w:val="es-CR"/>
        </w:rPr>
        <w:t xml:space="preserve"> y en todo caso es la propia Corte Interamericana la que determinó su contenido en el caso </w:t>
      </w:r>
      <w:r w:rsidR="001215F6">
        <w:rPr>
          <w:rFonts w:ascii="Verdana" w:hAnsi="Verdana"/>
          <w:i/>
          <w:sz w:val="20"/>
          <w:szCs w:val="20"/>
          <w:lang w:val="es-CR"/>
        </w:rPr>
        <w:t>Lagos del Campo</w:t>
      </w:r>
      <w:r w:rsidR="001215F6">
        <w:rPr>
          <w:rFonts w:ascii="Verdana" w:hAnsi="Verdana"/>
          <w:sz w:val="20"/>
          <w:szCs w:val="20"/>
          <w:lang w:val="es-CR"/>
        </w:rPr>
        <w:t xml:space="preserve">. </w:t>
      </w:r>
      <w:r w:rsidR="00912EA4">
        <w:rPr>
          <w:rFonts w:ascii="Verdana" w:hAnsi="Verdana"/>
          <w:sz w:val="20"/>
          <w:szCs w:val="20"/>
          <w:lang w:val="es-CR"/>
        </w:rPr>
        <w:t xml:space="preserve">Es decir, </w:t>
      </w:r>
      <w:r w:rsidR="00914700">
        <w:rPr>
          <w:rFonts w:ascii="Verdana" w:hAnsi="Verdana"/>
          <w:sz w:val="20"/>
          <w:szCs w:val="20"/>
          <w:lang w:val="es-CR"/>
        </w:rPr>
        <w:t xml:space="preserve">pareciera que </w:t>
      </w:r>
      <w:r w:rsidR="00912EA4">
        <w:rPr>
          <w:rFonts w:ascii="Verdana" w:hAnsi="Verdana"/>
          <w:sz w:val="20"/>
          <w:szCs w:val="20"/>
          <w:lang w:val="es-CR"/>
        </w:rPr>
        <w:t xml:space="preserve">la Corte ha tratado </w:t>
      </w:r>
      <w:r w:rsidR="001215F6">
        <w:rPr>
          <w:rFonts w:ascii="Verdana" w:hAnsi="Verdana"/>
          <w:sz w:val="20"/>
          <w:szCs w:val="20"/>
          <w:lang w:val="es-CR"/>
        </w:rPr>
        <w:t xml:space="preserve">al artículo 26 como una norma de remisión a todo el cuerpo de normas nacionales e internacionales en materia de </w:t>
      </w:r>
      <w:r w:rsidR="00912EA4">
        <w:rPr>
          <w:rFonts w:ascii="Verdana" w:hAnsi="Verdana"/>
          <w:sz w:val="20"/>
          <w:szCs w:val="20"/>
          <w:lang w:val="es-CR"/>
        </w:rPr>
        <w:t>derechos económicos, sociales y culturales</w:t>
      </w:r>
      <w:r w:rsidR="001215F6">
        <w:rPr>
          <w:rFonts w:ascii="Verdana" w:hAnsi="Verdana"/>
          <w:sz w:val="20"/>
          <w:szCs w:val="20"/>
          <w:lang w:val="es-CR"/>
        </w:rPr>
        <w:t>, abriendo así la puerta a un activ</w:t>
      </w:r>
      <w:r w:rsidR="00912EA4">
        <w:rPr>
          <w:rFonts w:ascii="Verdana" w:hAnsi="Verdana"/>
          <w:sz w:val="20"/>
          <w:szCs w:val="20"/>
          <w:lang w:val="es-CR"/>
        </w:rPr>
        <w:t>ismo judicial que puede lesionar severamente el derecho a la defensa de los Estados y la legitimidad de las sentencias de la Corte.</w:t>
      </w:r>
    </w:p>
    <w:p w14:paraId="725603C3" w14:textId="77777777" w:rsidR="000E3112" w:rsidRPr="000E3112" w:rsidRDefault="000E3112" w:rsidP="001B3B0A">
      <w:pPr>
        <w:pStyle w:val="ListParagraph"/>
        <w:tabs>
          <w:tab w:val="left" w:pos="567"/>
        </w:tabs>
        <w:spacing w:after="120"/>
        <w:ind w:left="0"/>
        <w:jc w:val="both"/>
        <w:rPr>
          <w:rFonts w:ascii="Verdana" w:hAnsi="Verdana"/>
          <w:b/>
          <w:i/>
          <w:sz w:val="20"/>
          <w:szCs w:val="20"/>
          <w:lang w:val="es-CR"/>
        </w:rPr>
      </w:pPr>
    </w:p>
    <w:p w14:paraId="68DB3597" w14:textId="3DDB12AA" w:rsidR="006818B4" w:rsidRPr="006818B4" w:rsidRDefault="00B37D20" w:rsidP="001B3B0A">
      <w:pPr>
        <w:pStyle w:val="ListParagraph"/>
        <w:tabs>
          <w:tab w:val="left" w:pos="567"/>
        </w:tabs>
        <w:spacing w:after="120"/>
        <w:ind w:left="0"/>
        <w:jc w:val="both"/>
        <w:rPr>
          <w:rFonts w:ascii="Verdana" w:hAnsi="Verdana"/>
          <w:b/>
          <w:i/>
          <w:sz w:val="20"/>
          <w:szCs w:val="20"/>
          <w:lang w:val="es-CR"/>
        </w:rPr>
      </w:pPr>
      <w:r>
        <w:rPr>
          <w:rFonts w:ascii="Verdana" w:hAnsi="Verdana"/>
          <w:b/>
          <w:i/>
          <w:sz w:val="20"/>
          <w:szCs w:val="20"/>
          <w:lang w:val="es-CR"/>
        </w:rPr>
        <w:t xml:space="preserve">B. </w:t>
      </w:r>
      <w:r w:rsidR="006818B4">
        <w:rPr>
          <w:rFonts w:ascii="Verdana" w:hAnsi="Verdana"/>
          <w:b/>
          <w:i/>
          <w:sz w:val="20"/>
          <w:szCs w:val="20"/>
          <w:lang w:val="es-CR"/>
        </w:rPr>
        <w:t xml:space="preserve">La </w:t>
      </w:r>
      <w:r w:rsidR="00592283">
        <w:rPr>
          <w:rFonts w:ascii="Verdana" w:hAnsi="Verdana"/>
          <w:b/>
          <w:i/>
          <w:sz w:val="20"/>
          <w:szCs w:val="20"/>
          <w:lang w:val="es-CR"/>
        </w:rPr>
        <w:t>implementación</w:t>
      </w:r>
      <w:r w:rsidR="006818B4">
        <w:rPr>
          <w:rFonts w:ascii="Verdana" w:hAnsi="Verdana"/>
          <w:b/>
          <w:i/>
          <w:sz w:val="20"/>
          <w:szCs w:val="20"/>
          <w:lang w:val="es-CR"/>
        </w:rPr>
        <w:t xml:space="preserve"> de la Convención en el ámbito nacional</w:t>
      </w:r>
    </w:p>
    <w:p w14:paraId="3CA3D578" w14:textId="77777777" w:rsidR="00C523EB" w:rsidRDefault="00C523EB" w:rsidP="001B3B0A">
      <w:pPr>
        <w:spacing w:after="120"/>
      </w:pPr>
      <w:bookmarkStart w:id="0" w:name="_GoBack"/>
      <w:bookmarkEnd w:id="0"/>
    </w:p>
    <w:p w14:paraId="744140D8" w14:textId="0D080EAB" w:rsidR="00334F26" w:rsidRPr="00035BF0" w:rsidRDefault="00334F26" w:rsidP="00035BF0">
      <w:pPr>
        <w:pStyle w:val="ListParagraph"/>
        <w:numPr>
          <w:ilvl w:val="0"/>
          <w:numId w:val="10"/>
        </w:numPr>
        <w:tabs>
          <w:tab w:val="left" w:pos="567"/>
        </w:tabs>
        <w:spacing w:after="120"/>
        <w:ind w:left="0" w:firstLine="0"/>
        <w:jc w:val="both"/>
        <w:rPr>
          <w:rFonts w:ascii="Verdana" w:hAnsi="Verdana"/>
          <w:sz w:val="20"/>
          <w:szCs w:val="20"/>
          <w:lang w:val="es-CR"/>
        </w:rPr>
      </w:pPr>
      <w:r>
        <w:rPr>
          <w:rFonts w:ascii="Verdana" w:hAnsi="Verdana"/>
          <w:sz w:val="20"/>
          <w:szCs w:val="20"/>
          <w:lang w:val="es-CR"/>
        </w:rPr>
        <w:t>E</w:t>
      </w:r>
      <w:r w:rsidR="00912EA4">
        <w:rPr>
          <w:rFonts w:ascii="Verdana" w:hAnsi="Verdana"/>
          <w:sz w:val="20"/>
          <w:szCs w:val="20"/>
          <w:lang w:val="es-CR"/>
        </w:rPr>
        <w:t>n este contexto</w:t>
      </w:r>
      <w:r w:rsidR="00ED79E8">
        <w:rPr>
          <w:rFonts w:ascii="Verdana" w:hAnsi="Verdana"/>
          <w:sz w:val="20"/>
          <w:szCs w:val="20"/>
          <w:lang w:val="es-CR"/>
        </w:rPr>
        <w:t>,</w:t>
      </w:r>
      <w:r>
        <w:rPr>
          <w:rFonts w:ascii="Verdana" w:hAnsi="Verdana"/>
          <w:sz w:val="20"/>
          <w:szCs w:val="20"/>
          <w:lang w:val="es-CR"/>
        </w:rPr>
        <w:t xml:space="preserve"> también</w:t>
      </w:r>
      <w:r w:rsidR="00ED79E8">
        <w:rPr>
          <w:rFonts w:ascii="Verdana" w:hAnsi="Verdana"/>
          <w:sz w:val="20"/>
          <w:szCs w:val="20"/>
          <w:lang w:val="es-CR"/>
        </w:rPr>
        <w:t xml:space="preserve"> es</w:t>
      </w:r>
      <w:r>
        <w:rPr>
          <w:rFonts w:ascii="Verdana" w:hAnsi="Verdana"/>
          <w:sz w:val="20"/>
          <w:szCs w:val="20"/>
          <w:lang w:val="es-CR"/>
        </w:rPr>
        <w:t xml:space="preserve"> relevante reflexionar en torno a la manera en que la interpretación de la Convención se debe llev</w:t>
      </w:r>
      <w:r w:rsidR="00912EA4">
        <w:rPr>
          <w:rFonts w:ascii="Verdana" w:hAnsi="Verdana"/>
          <w:sz w:val="20"/>
          <w:szCs w:val="20"/>
          <w:lang w:val="es-CR"/>
        </w:rPr>
        <w:t>ar a cabo en el ámbito nacional</w:t>
      </w:r>
      <w:r>
        <w:rPr>
          <w:rFonts w:ascii="Verdana" w:hAnsi="Verdana"/>
          <w:sz w:val="20"/>
          <w:szCs w:val="20"/>
          <w:lang w:val="es-CR"/>
        </w:rPr>
        <w:t xml:space="preserve"> pues</w:t>
      </w:r>
      <w:r w:rsidR="00FA4FBE">
        <w:rPr>
          <w:rFonts w:ascii="Verdana" w:hAnsi="Verdana"/>
          <w:sz w:val="20"/>
          <w:szCs w:val="20"/>
          <w:lang w:val="es-CR"/>
        </w:rPr>
        <w:t>,</w:t>
      </w:r>
      <w:r>
        <w:rPr>
          <w:rFonts w:ascii="Verdana" w:hAnsi="Verdana"/>
          <w:sz w:val="20"/>
          <w:szCs w:val="20"/>
          <w:lang w:val="es-CR"/>
        </w:rPr>
        <w:t xml:space="preserve"> como es sabido</w:t>
      </w:r>
      <w:r w:rsidR="00FA4FBE">
        <w:rPr>
          <w:rFonts w:ascii="Verdana" w:hAnsi="Verdana"/>
          <w:sz w:val="20"/>
          <w:szCs w:val="20"/>
          <w:lang w:val="es-CR"/>
        </w:rPr>
        <w:t>,</w:t>
      </w:r>
      <w:r>
        <w:rPr>
          <w:rFonts w:ascii="Verdana" w:hAnsi="Verdana"/>
          <w:sz w:val="20"/>
          <w:szCs w:val="20"/>
          <w:lang w:val="es-CR"/>
        </w:rPr>
        <w:t xml:space="preserve"> los tribunales nacionales operan bajo reglas y principios de </w:t>
      </w:r>
      <w:r w:rsidRPr="00035BF0">
        <w:rPr>
          <w:rFonts w:ascii="Verdana" w:hAnsi="Verdana"/>
          <w:sz w:val="20"/>
          <w:szCs w:val="20"/>
          <w:lang w:val="es-CR"/>
        </w:rPr>
        <w:t xml:space="preserve">interpretación distintos a aquellos previstos por el derecho internacional. Los tratados </w:t>
      </w:r>
      <w:r w:rsidRPr="00035BF0">
        <w:rPr>
          <w:rFonts w:ascii="Verdana" w:hAnsi="Verdana"/>
          <w:sz w:val="20"/>
          <w:szCs w:val="20"/>
          <w:lang w:val="es-CR"/>
        </w:rPr>
        <w:lastRenderedPageBreak/>
        <w:t>internacionales –y en general las fuentes de derecho internacional– adquieren distintos niveles de obligatoriedad en el ámbito nacional a la luz de diversas reglas de derecho constitucional</w:t>
      </w:r>
      <w:r w:rsidR="00C40C50" w:rsidRPr="00035BF0">
        <w:rPr>
          <w:rStyle w:val="FootnoteReference"/>
          <w:rFonts w:ascii="Verdana" w:hAnsi="Verdana"/>
          <w:sz w:val="20"/>
          <w:szCs w:val="20"/>
          <w:lang w:val="es-CR"/>
        </w:rPr>
        <w:footnoteReference w:id="34"/>
      </w:r>
      <w:r w:rsidRPr="00035BF0">
        <w:rPr>
          <w:rFonts w:ascii="Verdana" w:hAnsi="Verdana"/>
          <w:sz w:val="20"/>
          <w:szCs w:val="20"/>
          <w:lang w:val="es-CR"/>
        </w:rPr>
        <w:t>. Estas reglas incluyen aquellas que determinan la jerarquía de los tratados interna</w:t>
      </w:r>
      <w:r w:rsidR="00ED79E8" w:rsidRPr="00035BF0">
        <w:rPr>
          <w:rFonts w:ascii="Verdana" w:hAnsi="Verdana"/>
          <w:sz w:val="20"/>
          <w:szCs w:val="20"/>
          <w:lang w:val="es-CR"/>
        </w:rPr>
        <w:t>cionales en el derecho nacional, que</w:t>
      </w:r>
      <w:r w:rsidRPr="00035BF0">
        <w:rPr>
          <w:rFonts w:ascii="Verdana" w:hAnsi="Verdana"/>
          <w:sz w:val="20"/>
          <w:szCs w:val="20"/>
          <w:lang w:val="es-CR"/>
        </w:rPr>
        <w:t xml:space="preserve"> en algunos casos adquieren rango constitucional, pero en otros no. Algo parecido sucede con las cláusulas de interpretación que el propio derecho interno prevé, y que en algunas ocasiones incluyen el principio de interpretación conforme y el principio </w:t>
      </w:r>
      <w:proofErr w:type="spellStart"/>
      <w:r w:rsidRPr="00035BF0">
        <w:rPr>
          <w:rFonts w:ascii="Verdana" w:hAnsi="Verdana"/>
          <w:i/>
          <w:sz w:val="20"/>
          <w:szCs w:val="20"/>
          <w:lang w:val="es-CR"/>
        </w:rPr>
        <w:t>pro</w:t>
      </w:r>
      <w:proofErr w:type="spellEnd"/>
      <w:r w:rsidRPr="00035BF0">
        <w:rPr>
          <w:rFonts w:ascii="Verdana" w:hAnsi="Verdana"/>
          <w:i/>
          <w:sz w:val="20"/>
          <w:szCs w:val="20"/>
          <w:lang w:val="es-CR"/>
        </w:rPr>
        <w:t xml:space="preserve"> persona</w:t>
      </w:r>
      <w:r w:rsidRPr="00035BF0">
        <w:rPr>
          <w:rFonts w:ascii="Verdana" w:hAnsi="Verdana"/>
          <w:sz w:val="20"/>
          <w:szCs w:val="20"/>
          <w:lang w:val="es-CR"/>
        </w:rPr>
        <w:t xml:space="preserve"> en casos de conflictos entre normas nacionales e internacionales</w:t>
      </w:r>
      <w:r w:rsidR="00B33FD0" w:rsidRPr="00035BF0">
        <w:rPr>
          <w:rFonts w:ascii="Verdana" w:hAnsi="Verdana"/>
          <w:sz w:val="20"/>
          <w:szCs w:val="20"/>
          <w:lang w:val="es-CR"/>
        </w:rPr>
        <w:t>, pero en otros no</w:t>
      </w:r>
      <w:r w:rsidR="00965833" w:rsidRPr="00035BF0">
        <w:rPr>
          <w:rStyle w:val="FootnoteReference"/>
          <w:rFonts w:ascii="Verdana" w:hAnsi="Verdana"/>
          <w:sz w:val="20"/>
          <w:szCs w:val="20"/>
          <w:lang w:val="es-CR"/>
        </w:rPr>
        <w:footnoteReference w:id="35"/>
      </w:r>
      <w:r w:rsidRPr="00035BF0">
        <w:rPr>
          <w:rFonts w:ascii="Verdana" w:hAnsi="Verdana"/>
          <w:sz w:val="20"/>
          <w:szCs w:val="20"/>
          <w:lang w:val="es-CR"/>
        </w:rPr>
        <w:t>.</w:t>
      </w:r>
    </w:p>
    <w:p w14:paraId="0661A006" w14:textId="77777777" w:rsidR="00334F26" w:rsidRPr="00035BF0" w:rsidRDefault="00334F26" w:rsidP="00035BF0">
      <w:pPr>
        <w:pStyle w:val="ListParagraph"/>
        <w:tabs>
          <w:tab w:val="left" w:pos="567"/>
        </w:tabs>
        <w:spacing w:after="120"/>
        <w:ind w:left="0"/>
        <w:jc w:val="both"/>
        <w:rPr>
          <w:rFonts w:ascii="Verdana" w:hAnsi="Verdana"/>
          <w:sz w:val="20"/>
          <w:szCs w:val="20"/>
          <w:lang w:val="es-CR"/>
        </w:rPr>
      </w:pPr>
    </w:p>
    <w:p w14:paraId="6A44BBE7" w14:textId="0D4CEC8E" w:rsidR="008E694C" w:rsidRPr="00035BF0" w:rsidRDefault="00334F26" w:rsidP="00035BF0">
      <w:pPr>
        <w:pStyle w:val="ListParagraph"/>
        <w:numPr>
          <w:ilvl w:val="0"/>
          <w:numId w:val="10"/>
        </w:numPr>
        <w:tabs>
          <w:tab w:val="left" w:pos="567"/>
        </w:tabs>
        <w:spacing w:after="120"/>
        <w:ind w:left="0" w:firstLine="0"/>
        <w:jc w:val="both"/>
        <w:rPr>
          <w:rFonts w:ascii="Verdana" w:hAnsi="Verdana"/>
          <w:sz w:val="20"/>
          <w:szCs w:val="20"/>
          <w:lang w:val="es-CR"/>
        </w:rPr>
      </w:pPr>
      <w:r w:rsidRPr="00035BF0">
        <w:rPr>
          <w:rFonts w:ascii="Verdana" w:hAnsi="Verdana"/>
          <w:sz w:val="20"/>
          <w:szCs w:val="20"/>
          <w:lang w:val="es-CR"/>
        </w:rPr>
        <w:t xml:space="preserve">Esta apreciación </w:t>
      </w:r>
      <w:r w:rsidR="008E694C" w:rsidRPr="00035BF0">
        <w:rPr>
          <w:rFonts w:ascii="Verdana" w:hAnsi="Verdana"/>
          <w:sz w:val="20"/>
          <w:szCs w:val="20"/>
          <w:lang w:val="es-CR"/>
        </w:rPr>
        <w:t>permite recordar</w:t>
      </w:r>
      <w:r w:rsidRPr="00035BF0">
        <w:rPr>
          <w:rFonts w:ascii="Verdana" w:hAnsi="Verdana"/>
          <w:sz w:val="20"/>
          <w:szCs w:val="20"/>
          <w:lang w:val="es-CR"/>
        </w:rPr>
        <w:t xml:space="preserve"> dos </w:t>
      </w:r>
      <w:r w:rsidR="008E694C" w:rsidRPr="00035BF0">
        <w:rPr>
          <w:rFonts w:ascii="Verdana" w:hAnsi="Verdana"/>
          <w:sz w:val="20"/>
          <w:szCs w:val="20"/>
          <w:lang w:val="es-CR"/>
        </w:rPr>
        <w:t>cuestiones importantes</w:t>
      </w:r>
      <w:r w:rsidRPr="00035BF0">
        <w:rPr>
          <w:rFonts w:ascii="Verdana" w:hAnsi="Verdana"/>
          <w:sz w:val="20"/>
          <w:szCs w:val="20"/>
          <w:lang w:val="es-CR"/>
        </w:rPr>
        <w:t>. La primera, que la aplicabilidad de las normas internacionales en el ámbito interno</w:t>
      </w:r>
      <w:r w:rsidR="00FE691F" w:rsidRPr="00035BF0">
        <w:rPr>
          <w:rFonts w:ascii="Verdana" w:hAnsi="Verdana"/>
          <w:sz w:val="20"/>
          <w:szCs w:val="20"/>
          <w:lang w:val="es-CR"/>
        </w:rPr>
        <w:t xml:space="preserve"> depende</w:t>
      </w:r>
      <w:r w:rsidRPr="00035BF0">
        <w:rPr>
          <w:rFonts w:ascii="Verdana" w:hAnsi="Verdana"/>
          <w:sz w:val="20"/>
          <w:szCs w:val="20"/>
          <w:lang w:val="es-CR"/>
        </w:rPr>
        <w:t xml:space="preserve"> no sólo de su obligatoriedad como instrumentos internacionales, sino también </w:t>
      </w:r>
      <w:r w:rsidR="00FE691F" w:rsidRPr="00035BF0">
        <w:rPr>
          <w:rFonts w:ascii="Verdana" w:hAnsi="Verdana"/>
          <w:sz w:val="20"/>
          <w:szCs w:val="20"/>
          <w:lang w:val="es-CR"/>
        </w:rPr>
        <w:t>del</w:t>
      </w:r>
      <w:r w:rsidRPr="00035BF0">
        <w:rPr>
          <w:rFonts w:ascii="Verdana" w:hAnsi="Verdana"/>
          <w:sz w:val="20"/>
          <w:szCs w:val="20"/>
          <w:lang w:val="es-CR"/>
        </w:rPr>
        <w:t xml:space="preserve"> reconocimiento que el </w:t>
      </w:r>
      <w:r w:rsidR="008E694C" w:rsidRPr="00035BF0">
        <w:rPr>
          <w:rFonts w:ascii="Verdana" w:hAnsi="Verdana"/>
          <w:sz w:val="20"/>
          <w:szCs w:val="20"/>
          <w:lang w:val="es-CR"/>
        </w:rPr>
        <w:t xml:space="preserve">propio </w:t>
      </w:r>
      <w:r w:rsidRPr="00035BF0">
        <w:rPr>
          <w:rFonts w:ascii="Verdana" w:hAnsi="Verdana"/>
          <w:sz w:val="20"/>
          <w:szCs w:val="20"/>
          <w:lang w:val="es-CR"/>
        </w:rPr>
        <w:t>derecho nacional haga de estos instrumentos como derecho interno</w:t>
      </w:r>
      <w:r w:rsidR="006B2186" w:rsidRPr="00035BF0">
        <w:rPr>
          <w:rStyle w:val="FootnoteReference"/>
          <w:rFonts w:ascii="Verdana" w:hAnsi="Verdana"/>
          <w:sz w:val="20"/>
          <w:szCs w:val="20"/>
          <w:lang w:val="es-CR"/>
        </w:rPr>
        <w:footnoteReference w:id="36"/>
      </w:r>
      <w:r w:rsidR="00ED79E8" w:rsidRPr="00035BF0">
        <w:rPr>
          <w:rFonts w:ascii="Verdana" w:hAnsi="Verdana"/>
          <w:sz w:val="20"/>
          <w:szCs w:val="20"/>
          <w:lang w:val="es-CR"/>
        </w:rPr>
        <w:t>. La segunda</w:t>
      </w:r>
      <w:r w:rsidRPr="00035BF0">
        <w:rPr>
          <w:rFonts w:ascii="Verdana" w:hAnsi="Verdana"/>
          <w:sz w:val="20"/>
          <w:szCs w:val="20"/>
          <w:lang w:val="es-CR"/>
        </w:rPr>
        <w:t xml:space="preserve">, </w:t>
      </w:r>
      <w:r w:rsidR="008E694C" w:rsidRPr="00035BF0">
        <w:rPr>
          <w:rFonts w:ascii="Verdana" w:hAnsi="Verdana"/>
          <w:sz w:val="20"/>
          <w:szCs w:val="20"/>
          <w:lang w:val="es-CR"/>
        </w:rPr>
        <w:t xml:space="preserve">que la incorporación de las normas internacionales y las interpretaciones que de ellas se hagan por organismos internacionales (como lo es la Corte Interamericana) convive con reglas </w:t>
      </w:r>
      <w:r w:rsidR="00391226" w:rsidRPr="00035BF0">
        <w:rPr>
          <w:rFonts w:ascii="Verdana" w:hAnsi="Verdana"/>
          <w:sz w:val="20"/>
          <w:szCs w:val="20"/>
          <w:lang w:val="es-CR"/>
        </w:rPr>
        <w:t xml:space="preserve">establecidas en </w:t>
      </w:r>
      <w:r w:rsidR="008E694C" w:rsidRPr="00035BF0">
        <w:rPr>
          <w:rFonts w:ascii="Verdana" w:hAnsi="Verdana"/>
          <w:sz w:val="20"/>
          <w:szCs w:val="20"/>
          <w:lang w:val="es-CR"/>
        </w:rPr>
        <w:t xml:space="preserve">el derecho nacional. Por lo que, en este complejo universo de interacción entre lo nacional y lo internacional, es fundamental que las interpretaciones </w:t>
      </w:r>
      <w:r w:rsidR="00B33FD0" w:rsidRPr="00035BF0">
        <w:rPr>
          <w:rFonts w:ascii="Verdana" w:hAnsi="Verdana"/>
          <w:sz w:val="20"/>
          <w:szCs w:val="20"/>
          <w:lang w:val="es-CR"/>
        </w:rPr>
        <w:t>desarrolladas</w:t>
      </w:r>
      <w:r w:rsidR="008E694C" w:rsidRPr="00035BF0">
        <w:rPr>
          <w:rFonts w:ascii="Verdana" w:hAnsi="Verdana"/>
          <w:sz w:val="20"/>
          <w:szCs w:val="20"/>
          <w:lang w:val="es-CR"/>
        </w:rPr>
        <w:t xml:space="preserve"> por la Corte gocen de la mayor legitimidad posible. De ello dependerá que su incorporación sea </w:t>
      </w:r>
      <w:r w:rsidR="003724BE" w:rsidRPr="00035BF0">
        <w:rPr>
          <w:rFonts w:ascii="Verdana" w:hAnsi="Verdana"/>
          <w:sz w:val="20"/>
          <w:szCs w:val="20"/>
          <w:lang w:val="es-CR"/>
        </w:rPr>
        <w:t>llevada a cabo</w:t>
      </w:r>
      <w:r w:rsidR="008E694C" w:rsidRPr="00035BF0">
        <w:rPr>
          <w:rFonts w:ascii="Verdana" w:hAnsi="Verdana"/>
          <w:sz w:val="20"/>
          <w:szCs w:val="20"/>
          <w:lang w:val="es-CR"/>
        </w:rPr>
        <w:t xml:space="preserve"> por las propias autoridades estatales, lo cual es aún más importante a la luz del desarrollo de la doctrina del control de convencionalidad</w:t>
      </w:r>
      <w:r w:rsidR="006B2186" w:rsidRPr="00035BF0">
        <w:rPr>
          <w:rStyle w:val="FootnoteReference"/>
          <w:rFonts w:ascii="Verdana" w:hAnsi="Verdana"/>
          <w:sz w:val="20"/>
          <w:szCs w:val="20"/>
          <w:lang w:val="es-CR"/>
        </w:rPr>
        <w:footnoteReference w:id="37"/>
      </w:r>
      <w:r w:rsidR="008E694C" w:rsidRPr="00035BF0">
        <w:rPr>
          <w:rFonts w:ascii="Verdana" w:hAnsi="Verdana"/>
          <w:sz w:val="20"/>
          <w:szCs w:val="20"/>
          <w:lang w:val="es-CR"/>
        </w:rPr>
        <w:t>.</w:t>
      </w:r>
    </w:p>
    <w:p w14:paraId="69E96FD2" w14:textId="77777777" w:rsidR="008E694C" w:rsidRPr="00035BF0" w:rsidRDefault="008E694C" w:rsidP="00035BF0">
      <w:pPr>
        <w:pStyle w:val="ListParagraph"/>
        <w:spacing w:after="120"/>
        <w:ind w:left="0"/>
        <w:jc w:val="both"/>
        <w:rPr>
          <w:rFonts w:ascii="Verdana" w:hAnsi="Verdana"/>
          <w:sz w:val="20"/>
          <w:szCs w:val="20"/>
          <w:lang w:val="es-CR"/>
        </w:rPr>
      </w:pPr>
    </w:p>
    <w:p w14:paraId="3B73C280" w14:textId="27B6A890" w:rsidR="001B3B0A" w:rsidRPr="00035BF0" w:rsidRDefault="008E694C" w:rsidP="00035BF0">
      <w:pPr>
        <w:pStyle w:val="ListParagraph"/>
        <w:numPr>
          <w:ilvl w:val="0"/>
          <w:numId w:val="10"/>
        </w:numPr>
        <w:tabs>
          <w:tab w:val="left" w:pos="567"/>
        </w:tabs>
        <w:spacing w:after="120"/>
        <w:ind w:left="0" w:firstLine="0"/>
        <w:jc w:val="both"/>
        <w:rPr>
          <w:rFonts w:ascii="Verdana" w:hAnsi="Verdana"/>
          <w:sz w:val="20"/>
          <w:szCs w:val="20"/>
          <w:lang w:val="es-CR"/>
        </w:rPr>
      </w:pPr>
      <w:r w:rsidRPr="00035BF0">
        <w:rPr>
          <w:rFonts w:ascii="Verdana" w:hAnsi="Verdana"/>
          <w:sz w:val="20"/>
          <w:szCs w:val="20"/>
          <w:lang w:val="es-CR"/>
        </w:rPr>
        <w:t>El abuso de</w:t>
      </w:r>
      <w:r w:rsidR="00FE691F" w:rsidRPr="00035BF0">
        <w:rPr>
          <w:rFonts w:ascii="Verdana" w:hAnsi="Verdana"/>
          <w:sz w:val="20"/>
          <w:szCs w:val="20"/>
          <w:lang w:val="es-CR"/>
        </w:rPr>
        <w:t xml:space="preserve">l principio </w:t>
      </w:r>
      <w:r w:rsidR="00FE691F" w:rsidRPr="00035BF0">
        <w:rPr>
          <w:rFonts w:ascii="Verdana" w:hAnsi="Verdana"/>
          <w:i/>
          <w:sz w:val="20"/>
          <w:szCs w:val="20"/>
          <w:lang w:val="es-CR"/>
        </w:rPr>
        <w:t xml:space="preserve">pro </w:t>
      </w:r>
      <w:proofErr w:type="spellStart"/>
      <w:r w:rsidR="00FE691F" w:rsidRPr="00035BF0">
        <w:rPr>
          <w:rFonts w:ascii="Verdana" w:hAnsi="Verdana"/>
          <w:i/>
          <w:sz w:val="20"/>
          <w:szCs w:val="20"/>
          <w:lang w:val="es-CR"/>
        </w:rPr>
        <w:t>personae</w:t>
      </w:r>
      <w:proofErr w:type="spellEnd"/>
      <w:r w:rsidR="00FE691F" w:rsidRPr="00035BF0">
        <w:rPr>
          <w:rFonts w:ascii="Verdana" w:hAnsi="Verdana"/>
          <w:sz w:val="20"/>
          <w:szCs w:val="20"/>
          <w:lang w:val="es-CR"/>
        </w:rPr>
        <w:t xml:space="preserve"> y de</w:t>
      </w:r>
      <w:r w:rsidRPr="00035BF0">
        <w:rPr>
          <w:rFonts w:ascii="Verdana" w:hAnsi="Verdana"/>
          <w:sz w:val="20"/>
          <w:szCs w:val="20"/>
          <w:lang w:val="es-CR"/>
        </w:rPr>
        <w:t xml:space="preserve"> la interpretación evolutiva –que no toma debida consideración de los aspectos normativos del derecho internacional que determinan el alcance de las </w:t>
      </w:r>
      <w:r w:rsidR="00CA0F83" w:rsidRPr="00035BF0">
        <w:rPr>
          <w:rFonts w:ascii="Verdana" w:hAnsi="Verdana"/>
          <w:sz w:val="20"/>
          <w:szCs w:val="20"/>
          <w:lang w:val="es-CR"/>
        </w:rPr>
        <w:t>cláusulas de la Convención</w:t>
      </w:r>
      <w:r w:rsidRPr="00035BF0">
        <w:rPr>
          <w:rFonts w:ascii="Verdana" w:hAnsi="Verdana"/>
          <w:sz w:val="20"/>
          <w:szCs w:val="20"/>
          <w:lang w:val="es-CR"/>
        </w:rPr>
        <w:t>–</w:t>
      </w:r>
      <w:r w:rsidR="00334F26" w:rsidRPr="00035BF0">
        <w:rPr>
          <w:rFonts w:ascii="Verdana" w:hAnsi="Verdana"/>
          <w:sz w:val="20"/>
          <w:szCs w:val="20"/>
          <w:lang w:val="es-CR"/>
        </w:rPr>
        <w:t xml:space="preserve"> </w:t>
      </w:r>
      <w:r w:rsidRPr="00035BF0">
        <w:rPr>
          <w:rFonts w:ascii="Verdana" w:hAnsi="Verdana"/>
          <w:sz w:val="20"/>
          <w:szCs w:val="20"/>
          <w:lang w:val="es-CR"/>
        </w:rPr>
        <w:t xml:space="preserve">puede afectar no sólo la legitimidad de las sentencias en los casos concretos, sino también su implementación en el futuro como criterios hermenéuticos relevantes en </w:t>
      </w:r>
      <w:r w:rsidR="00B33FD0" w:rsidRPr="00035BF0">
        <w:rPr>
          <w:rFonts w:ascii="Verdana" w:hAnsi="Verdana"/>
          <w:sz w:val="20"/>
          <w:szCs w:val="20"/>
          <w:lang w:val="es-CR"/>
        </w:rPr>
        <w:t>la resolución de controversias en el</w:t>
      </w:r>
      <w:r w:rsidRPr="00035BF0">
        <w:rPr>
          <w:rFonts w:ascii="Verdana" w:hAnsi="Verdana"/>
          <w:sz w:val="20"/>
          <w:szCs w:val="20"/>
          <w:lang w:val="es-CR"/>
        </w:rPr>
        <w:t xml:space="preserve"> ámbito nacional.</w:t>
      </w:r>
    </w:p>
    <w:p w14:paraId="256D6C6A" w14:textId="77777777" w:rsidR="001B3B0A" w:rsidRPr="00035BF0" w:rsidRDefault="001B3B0A" w:rsidP="00035BF0">
      <w:pPr>
        <w:jc w:val="center"/>
        <w:rPr>
          <w:rFonts w:ascii="Verdana" w:eastAsia="Cambria" w:hAnsi="Verdana" w:cs="Cambria"/>
          <w:color w:val="000000"/>
          <w:u w:color="000000"/>
          <w:lang w:val="es-CR" w:eastAsia="es-ES"/>
        </w:rPr>
      </w:pPr>
      <w:r w:rsidRPr="00035BF0">
        <w:rPr>
          <w:rFonts w:ascii="Verdana" w:hAnsi="Verdana"/>
          <w:lang w:val="es-CR"/>
        </w:rPr>
        <w:br w:type="page"/>
      </w:r>
    </w:p>
    <w:p w14:paraId="7588F30C" w14:textId="43A8EA9A" w:rsidR="00035BF0" w:rsidRPr="00035BF0" w:rsidRDefault="00035BF0" w:rsidP="00035BF0">
      <w:pPr>
        <w:pStyle w:val="ListParagraph"/>
        <w:jc w:val="center"/>
        <w:rPr>
          <w:rFonts w:ascii="Verdana" w:hAnsi="Verdana"/>
          <w:sz w:val="20"/>
          <w:szCs w:val="20"/>
          <w:lang w:val="es-ES"/>
        </w:rPr>
      </w:pPr>
    </w:p>
    <w:p w14:paraId="33F96C3F" w14:textId="0D4022C1" w:rsidR="00035BF0" w:rsidRDefault="00035BF0" w:rsidP="00035BF0">
      <w:pPr>
        <w:spacing w:after="120"/>
        <w:jc w:val="center"/>
        <w:rPr>
          <w:rFonts w:ascii="Verdana" w:hAnsi="Verdana"/>
          <w:lang w:val="es-ES"/>
        </w:rPr>
      </w:pPr>
    </w:p>
    <w:p w14:paraId="02BA7905" w14:textId="27EE0499" w:rsidR="00035BF0" w:rsidRDefault="00035BF0" w:rsidP="00035BF0">
      <w:pPr>
        <w:spacing w:after="120"/>
        <w:jc w:val="center"/>
        <w:rPr>
          <w:rFonts w:ascii="Verdana" w:hAnsi="Verdana"/>
          <w:lang w:val="es-ES"/>
        </w:rPr>
      </w:pPr>
    </w:p>
    <w:p w14:paraId="46C156E9" w14:textId="77777777" w:rsidR="00035BF0" w:rsidRDefault="00035BF0" w:rsidP="00035BF0">
      <w:pPr>
        <w:spacing w:after="120"/>
        <w:jc w:val="center"/>
        <w:rPr>
          <w:rFonts w:ascii="Verdana" w:hAnsi="Verdana"/>
          <w:lang w:val="es-ES"/>
        </w:rPr>
      </w:pPr>
    </w:p>
    <w:p w14:paraId="022FF4EE" w14:textId="77777777" w:rsidR="00035BF0" w:rsidRDefault="00035BF0" w:rsidP="00035BF0">
      <w:pPr>
        <w:spacing w:after="120"/>
        <w:jc w:val="center"/>
        <w:rPr>
          <w:rFonts w:ascii="Verdana" w:hAnsi="Verdana"/>
          <w:lang w:val="es-ES"/>
        </w:rPr>
      </w:pPr>
    </w:p>
    <w:p w14:paraId="04D3EF22" w14:textId="77777777" w:rsidR="00035BF0" w:rsidRDefault="00035BF0" w:rsidP="00035BF0">
      <w:pPr>
        <w:spacing w:after="120"/>
        <w:jc w:val="center"/>
        <w:rPr>
          <w:rFonts w:ascii="Verdana" w:hAnsi="Verdana"/>
          <w:lang w:val="es-ES"/>
        </w:rPr>
      </w:pPr>
    </w:p>
    <w:p w14:paraId="21E10AA6" w14:textId="259E4424" w:rsidR="00035BF0" w:rsidRPr="00035BF0" w:rsidRDefault="00035BF0" w:rsidP="00035BF0">
      <w:pPr>
        <w:spacing w:after="120"/>
        <w:jc w:val="center"/>
        <w:rPr>
          <w:rFonts w:ascii="Verdana" w:hAnsi="Verdana"/>
          <w:lang w:val="es-ES"/>
        </w:rPr>
      </w:pPr>
    </w:p>
    <w:p w14:paraId="51623C60" w14:textId="33545CC7" w:rsidR="00035BF0" w:rsidRPr="00035BF0" w:rsidRDefault="00035BF0" w:rsidP="00035BF0">
      <w:pPr>
        <w:jc w:val="center"/>
        <w:rPr>
          <w:rFonts w:ascii="Verdana" w:hAnsi="Verdana"/>
          <w:lang w:val="es-CR"/>
        </w:rPr>
      </w:pPr>
    </w:p>
    <w:p w14:paraId="5CF1AD7A" w14:textId="5B1BAEF8" w:rsidR="00035BF0" w:rsidRPr="00035BF0" w:rsidRDefault="00035BF0" w:rsidP="00035BF0">
      <w:pPr>
        <w:ind w:left="4248"/>
        <w:jc w:val="center"/>
        <w:rPr>
          <w:rFonts w:ascii="Verdana" w:hAnsi="Verdana"/>
          <w:lang w:val="es-CR"/>
        </w:rPr>
      </w:pPr>
      <w:r w:rsidRPr="00035BF0">
        <w:rPr>
          <w:rFonts w:ascii="Verdana" w:hAnsi="Verdana"/>
          <w:lang w:val="pt-BR"/>
        </w:rPr>
        <w:t>Humberto Antonio Sierra Porto</w:t>
      </w:r>
    </w:p>
    <w:p w14:paraId="2E11D549" w14:textId="3E98F71D" w:rsidR="00035BF0" w:rsidRPr="00035BF0" w:rsidRDefault="00035BF0" w:rsidP="00035BF0">
      <w:pPr>
        <w:ind w:left="4248"/>
        <w:jc w:val="center"/>
        <w:rPr>
          <w:rFonts w:ascii="Verdana" w:hAnsi="Verdana"/>
          <w:lang w:val="es-CR"/>
        </w:rPr>
      </w:pPr>
      <w:r w:rsidRPr="00035BF0">
        <w:rPr>
          <w:rFonts w:ascii="Verdana" w:hAnsi="Verdana"/>
          <w:lang w:val="es-CR"/>
        </w:rPr>
        <w:t>Juez</w:t>
      </w:r>
    </w:p>
    <w:p w14:paraId="7D301A59" w14:textId="77777777" w:rsidR="00035BF0" w:rsidRPr="00035BF0" w:rsidRDefault="00035BF0" w:rsidP="00035BF0">
      <w:pPr>
        <w:tabs>
          <w:tab w:val="left" w:pos="1440"/>
        </w:tabs>
        <w:jc w:val="center"/>
        <w:rPr>
          <w:rFonts w:ascii="Verdana" w:hAnsi="Verdana"/>
          <w:lang w:val="es-CR"/>
        </w:rPr>
      </w:pPr>
    </w:p>
    <w:p w14:paraId="396FB774" w14:textId="77777777" w:rsidR="00035BF0" w:rsidRPr="00035BF0" w:rsidRDefault="00035BF0" w:rsidP="00035BF0">
      <w:pPr>
        <w:tabs>
          <w:tab w:val="left" w:pos="1440"/>
        </w:tabs>
        <w:jc w:val="center"/>
        <w:rPr>
          <w:rFonts w:ascii="Verdana" w:hAnsi="Verdana"/>
          <w:lang w:val="es-CR"/>
        </w:rPr>
      </w:pPr>
    </w:p>
    <w:p w14:paraId="0DDD9F02" w14:textId="77777777" w:rsidR="00035BF0" w:rsidRPr="00035BF0" w:rsidRDefault="00035BF0" w:rsidP="00035BF0">
      <w:pPr>
        <w:tabs>
          <w:tab w:val="left" w:pos="1440"/>
        </w:tabs>
        <w:jc w:val="center"/>
        <w:rPr>
          <w:rFonts w:ascii="Verdana" w:hAnsi="Verdana"/>
          <w:lang w:val="es-CR"/>
        </w:rPr>
      </w:pPr>
    </w:p>
    <w:p w14:paraId="0A29B63E" w14:textId="77777777" w:rsidR="00035BF0" w:rsidRPr="00035BF0" w:rsidRDefault="00035BF0" w:rsidP="00035BF0">
      <w:pPr>
        <w:tabs>
          <w:tab w:val="left" w:pos="1440"/>
        </w:tabs>
        <w:rPr>
          <w:rFonts w:ascii="Verdana" w:hAnsi="Verdana"/>
          <w:lang w:val="es-CR"/>
        </w:rPr>
      </w:pPr>
    </w:p>
    <w:p w14:paraId="7D4129EF" w14:textId="77777777" w:rsidR="00035BF0" w:rsidRPr="00035BF0" w:rsidRDefault="00035BF0" w:rsidP="00035BF0">
      <w:pPr>
        <w:tabs>
          <w:tab w:val="left" w:pos="1440"/>
        </w:tabs>
        <w:rPr>
          <w:rFonts w:ascii="Verdana" w:hAnsi="Verdana"/>
          <w:lang w:val="es-CR"/>
        </w:rPr>
      </w:pPr>
      <w:r w:rsidRPr="00035BF0">
        <w:rPr>
          <w:rFonts w:ascii="Verdana" w:hAnsi="Verdana"/>
          <w:lang w:val="es-CR"/>
        </w:rPr>
        <w:t>Pablo Saavedra Alessandri</w:t>
      </w:r>
    </w:p>
    <w:p w14:paraId="47F2A59E" w14:textId="5189A652" w:rsidR="00035BF0" w:rsidRPr="00035BF0" w:rsidRDefault="00035BF0" w:rsidP="00035BF0">
      <w:pPr>
        <w:tabs>
          <w:tab w:val="left" w:pos="1440"/>
        </w:tabs>
        <w:rPr>
          <w:rFonts w:ascii="Verdana" w:hAnsi="Verdana"/>
        </w:rPr>
      </w:pPr>
      <w:r>
        <w:rPr>
          <w:rFonts w:ascii="Verdana" w:hAnsi="Verdana"/>
        </w:rPr>
        <w:t xml:space="preserve">          </w:t>
      </w:r>
      <w:r w:rsidRPr="00035BF0">
        <w:rPr>
          <w:rFonts w:ascii="Verdana" w:hAnsi="Verdana"/>
        </w:rPr>
        <w:t>Secretario</w:t>
      </w:r>
    </w:p>
    <w:p w14:paraId="7F20C872" w14:textId="77777777" w:rsidR="00924DAA" w:rsidRPr="00912EA4" w:rsidRDefault="00924DAA" w:rsidP="001B3B0A">
      <w:pPr>
        <w:pStyle w:val="ListParagraph"/>
        <w:tabs>
          <w:tab w:val="left" w:pos="567"/>
        </w:tabs>
        <w:spacing w:after="120"/>
        <w:ind w:left="0"/>
        <w:jc w:val="both"/>
        <w:rPr>
          <w:lang w:val="es-CR"/>
        </w:rPr>
      </w:pPr>
    </w:p>
    <w:sectPr w:rsidR="00924DAA" w:rsidRPr="00912EA4" w:rsidSect="00FF2C63">
      <w:headerReference w:type="default" r:id="rId9"/>
      <w:footerReference w:type="default" r:id="rId10"/>
      <w:pgSz w:w="12240" w:h="15840"/>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3CE3C" w15:done="0"/>
  <w15:commentEx w15:paraId="0405936D" w15:done="0"/>
  <w15:commentEx w15:paraId="5392D2C2" w15:done="0"/>
  <w15:commentEx w15:paraId="0E87BFA4" w15:done="0"/>
  <w15:commentEx w15:paraId="0BBCCE1E" w15:done="0"/>
  <w15:commentEx w15:paraId="45FBC89E" w15:done="0"/>
  <w15:commentEx w15:paraId="5BFE5990" w15:done="0"/>
  <w15:commentEx w15:paraId="365E6B8A" w15:done="0"/>
  <w15:commentEx w15:paraId="7DDCC18E" w15:done="0"/>
  <w15:commentEx w15:paraId="7EDD6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E701E" w16cid:durableId="1DDB9626"/>
  <w16cid:commentId w16cid:paraId="4123CE3C" w16cid:durableId="1DDB8C9D"/>
  <w16cid:commentId w16cid:paraId="0405936D" w16cid:durableId="1DDB8C7A"/>
  <w16cid:commentId w16cid:paraId="5392D2C2" w16cid:durableId="1DDB8D01"/>
  <w16cid:commentId w16cid:paraId="0E87BFA4" w16cid:durableId="1DDB8D37"/>
  <w16cid:commentId w16cid:paraId="0BBCCE1E" w16cid:durableId="1DDB88F0"/>
  <w16cid:commentId w16cid:paraId="45FBC89E" w16cid:durableId="1DDB8DAD"/>
  <w16cid:commentId w16cid:paraId="5BFE5990" w16cid:durableId="1DDB887D"/>
  <w16cid:commentId w16cid:paraId="365E6B8A" w16cid:durableId="1DDB8D98"/>
  <w16cid:commentId w16cid:paraId="7DDCC18E" w16cid:durableId="1DDB8E9C"/>
  <w16cid:commentId w16cid:paraId="7EDD635E" w16cid:durableId="1DDB94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A1F4A" w14:textId="77777777" w:rsidR="00FB1B9E" w:rsidRDefault="00FB1B9E" w:rsidP="00CD29C6">
      <w:r>
        <w:separator/>
      </w:r>
    </w:p>
  </w:endnote>
  <w:endnote w:type="continuationSeparator" w:id="0">
    <w:p w14:paraId="3476DF42" w14:textId="77777777" w:rsidR="00FB1B9E" w:rsidRDefault="00FB1B9E" w:rsidP="00CD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Bold">
    <w:altName w:val="Times New Roman"/>
    <w:panose1 w:val="020B0804030504040204"/>
    <w:charset w:val="00"/>
    <w:family w:val="auto"/>
    <w:pitch w:val="variable"/>
    <w:sig w:usb0="00000001"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4EC7" w14:textId="170C8DF6" w:rsidR="000F5EF1" w:rsidRDefault="000F5EF1">
    <w:pPr>
      <w:pStyle w:val="Footer"/>
      <w:jc w:val="right"/>
    </w:pPr>
  </w:p>
  <w:p w14:paraId="22C62BF2" w14:textId="77777777" w:rsidR="000F5EF1" w:rsidRDefault="000F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5F0E7" w14:textId="77777777" w:rsidR="00FB1B9E" w:rsidRDefault="00FB1B9E" w:rsidP="00CD29C6">
      <w:r>
        <w:separator/>
      </w:r>
    </w:p>
  </w:footnote>
  <w:footnote w:type="continuationSeparator" w:id="0">
    <w:p w14:paraId="19872FBE" w14:textId="77777777" w:rsidR="00FB1B9E" w:rsidRDefault="00FB1B9E" w:rsidP="00CD29C6">
      <w:r>
        <w:continuationSeparator/>
      </w:r>
    </w:p>
  </w:footnote>
  <w:footnote w:id="1">
    <w:p w14:paraId="2D7ADA44" w14:textId="45764F23" w:rsidR="00C5564A" w:rsidRPr="006B0410" w:rsidRDefault="00C5564A" w:rsidP="005F6D97">
      <w:pPr>
        <w:pStyle w:val="FootnoteText"/>
        <w:spacing w:before="120" w:after="120"/>
        <w:jc w:val="both"/>
        <w:rPr>
          <w:rFonts w:ascii="Verdana" w:eastAsia="Calibri" w:hAnsi="Verdana"/>
          <w:bCs/>
          <w:color w:val="000000"/>
          <w:sz w:val="16"/>
          <w:szCs w:val="16"/>
          <w:shd w:val="clear" w:color="auto" w:fill="FFFFFF"/>
          <w:lang w:val="es-ES_tradnl"/>
        </w:rPr>
      </w:pPr>
      <w:r w:rsidRPr="009D7294">
        <w:rPr>
          <w:rStyle w:val="FootnoteReference"/>
          <w:rFonts w:ascii="Verdana" w:hAnsi="Verdana"/>
          <w:sz w:val="16"/>
          <w:szCs w:val="16"/>
        </w:rPr>
        <w:footnoteRef/>
      </w:r>
      <w:r w:rsidRPr="009D7294">
        <w:rPr>
          <w:rFonts w:ascii="Verdana" w:hAnsi="Verdana"/>
          <w:sz w:val="16"/>
          <w:szCs w:val="16"/>
        </w:rPr>
        <w:t xml:space="preserve"> </w:t>
      </w:r>
      <w:r>
        <w:rPr>
          <w:rFonts w:ascii="Verdana" w:hAnsi="Verdana"/>
          <w:sz w:val="16"/>
          <w:szCs w:val="16"/>
        </w:rPr>
        <w:tab/>
      </w:r>
      <w:r>
        <w:rPr>
          <w:rFonts w:ascii="Verdana" w:hAnsi="Verdana"/>
          <w:i/>
          <w:sz w:val="16"/>
          <w:szCs w:val="16"/>
        </w:rPr>
        <w:t>Cfr.</w:t>
      </w:r>
      <w:r w:rsidRPr="00C5564A">
        <w:rPr>
          <w:rFonts w:ascii="Verdana" w:hAnsi="Verdana"/>
          <w:i/>
          <w:sz w:val="16"/>
          <w:szCs w:val="16"/>
        </w:rPr>
        <w:t xml:space="preserve"> </w:t>
      </w:r>
      <w:r w:rsidRPr="009D7294">
        <w:rPr>
          <w:rStyle w:val="Strong"/>
          <w:rFonts w:ascii="Verdana" w:hAnsi="Verdana"/>
          <w:b w:val="0"/>
          <w:i/>
          <w:color w:val="000000"/>
          <w:sz w:val="16"/>
          <w:szCs w:val="16"/>
          <w:shd w:val="clear" w:color="auto" w:fill="FFFFFF"/>
        </w:rPr>
        <w:t>Caso Lagos del Campo Vs. Perú. Excepciones Preliminares, Fondo, Reparaciones y Costas</w:t>
      </w:r>
      <w:r w:rsidRPr="009D7294">
        <w:rPr>
          <w:rStyle w:val="Strong"/>
          <w:rFonts w:ascii="Verdana" w:hAnsi="Verdana"/>
          <w:b w:val="0"/>
          <w:color w:val="000000"/>
          <w:sz w:val="16"/>
          <w:szCs w:val="16"/>
          <w:shd w:val="clear" w:color="auto" w:fill="FFFFFF"/>
        </w:rPr>
        <w:t>. Sentencia de 31 de agosto de 2017. Serie C No. 340</w:t>
      </w:r>
      <w:r>
        <w:rPr>
          <w:rStyle w:val="Strong"/>
          <w:rFonts w:ascii="Verdana" w:hAnsi="Verdana"/>
          <w:b w:val="0"/>
          <w:color w:val="000000"/>
          <w:sz w:val="16"/>
          <w:szCs w:val="16"/>
          <w:shd w:val="clear" w:color="auto" w:fill="FFFFFF"/>
        </w:rPr>
        <w:t xml:space="preserve">. Voto parcialmente disidente del Juez Antonio Humberto Sierra Porto. En este voto se trataron las siguientes cuestiones: A. Introducción. B. Argumentos principales en contra de la </w:t>
      </w:r>
      <w:proofErr w:type="spellStart"/>
      <w:r>
        <w:rPr>
          <w:rStyle w:val="Strong"/>
          <w:rFonts w:ascii="Verdana" w:hAnsi="Verdana"/>
          <w:b w:val="0"/>
          <w:color w:val="000000"/>
          <w:sz w:val="16"/>
          <w:szCs w:val="16"/>
          <w:shd w:val="clear" w:color="auto" w:fill="FFFFFF"/>
        </w:rPr>
        <w:t>justiciabilidad</w:t>
      </w:r>
      <w:proofErr w:type="spellEnd"/>
      <w:r>
        <w:rPr>
          <w:rStyle w:val="Strong"/>
          <w:rFonts w:ascii="Verdana" w:hAnsi="Verdana"/>
          <w:b w:val="0"/>
          <w:color w:val="000000"/>
          <w:sz w:val="16"/>
          <w:szCs w:val="16"/>
          <w:shd w:val="clear" w:color="auto" w:fill="FFFFFF"/>
        </w:rPr>
        <w:t xml:space="preserve"> directa de los DESC a partir del artículo 26 de la CADH. C. Impertinencia del caso concreto. D. Falencias argumentativas de las sentencias. E. Conclusión general.</w:t>
      </w:r>
    </w:p>
  </w:footnote>
  <w:footnote w:id="2">
    <w:p w14:paraId="10B2450F" w14:textId="294DEC9C" w:rsidR="00C5564A" w:rsidRPr="008A2522" w:rsidRDefault="00C5564A" w:rsidP="005F6D97">
      <w:pPr>
        <w:pStyle w:val="FootnoteText"/>
        <w:spacing w:before="120" w:after="120"/>
        <w:jc w:val="both"/>
        <w:rPr>
          <w:rFonts w:ascii="Verdana" w:hAnsi="Verdana"/>
          <w:sz w:val="16"/>
          <w:szCs w:val="16"/>
          <w:lang w:val="es-CR"/>
        </w:rPr>
      </w:pPr>
      <w:r w:rsidRPr="008A2522">
        <w:rPr>
          <w:rStyle w:val="FootnoteReference"/>
          <w:rFonts w:ascii="Verdana" w:hAnsi="Verdana"/>
          <w:sz w:val="16"/>
          <w:szCs w:val="16"/>
        </w:rPr>
        <w:footnoteRef/>
      </w:r>
      <w:r w:rsidRPr="008A2522">
        <w:rPr>
          <w:rFonts w:ascii="Verdana" w:hAnsi="Verdana"/>
          <w:sz w:val="16"/>
          <w:szCs w:val="16"/>
        </w:rPr>
        <w:t xml:space="preserve"> </w:t>
      </w:r>
      <w:r w:rsidRPr="008A2522">
        <w:rPr>
          <w:rFonts w:ascii="Verdana" w:hAnsi="Verdana"/>
          <w:sz w:val="16"/>
          <w:szCs w:val="16"/>
          <w:lang w:val="es-CR"/>
        </w:rPr>
        <w:tab/>
      </w:r>
      <w:r w:rsidRPr="008A2522">
        <w:rPr>
          <w:rFonts w:ascii="Verdana" w:hAnsi="Verdana"/>
          <w:i/>
          <w:sz w:val="16"/>
          <w:szCs w:val="16"/>
          <w:lang w:val="es-CR"/>
        </w:rPr>
        <w:t xml:space="preserve">Cfr. </w:t>
      </w:r>
      <w:r w:rsidRPr="008A2522">
        <w:rPr>
          <w:rStyle w:val="Strong"/>
          <w:rFonts w:ascii="Verdana" w:hAnsi="Verdana"/>
          <w:b w:val="0"/>
          <w:i/>
          <w:color w:val="000000"/>
          <w:sz w:val="16"/>
          <w:szCs w:val="16"/>
          <w:shd w:val="clear" w:color="auto" w:fill="FFFFFF"/>
        </w:rPr>
        <w:t xml:space="preserve">Caso Gonzales </w:t>
      </w:r>
      <w:proofErr w:type="spellStart"/>
      <w:r w:rsidRPr="008A2522">
        <w:rPr>
          <w:rStyle w:val="Strong"/>
          <w:rFonts w:ascii="Verdana" w:hAnsi="Verdana"/>
          <w:b w:val="0"/>
          <w:i/>
          <w:color w:val="000000"/>
          <w:sz w:val="16"/>
          <w:szCs w:val="16"/>
          <w:shd w:val="clear" w:color="auto" w:fill="FFFFFF"/>
        </w:rPr>
        <w:t>Lluy</w:t>
      </w:r>
      <w:proofErr w:type="spellEnd"/>
      <w:r w:rsidRPr="008A2522">
        <w:rPr>
          <w:rStyle w:val="Strong"/>
          <w:rFonts w:ascii="Verdana" w:hAnsi="Verdana"/>
          <w:b w:val="0"/>
          <w:i/>
          <w:color w:val="000000"/>
          <w:sz w:val="16"/>
          <w:szCs w:val="16"/>
          <w:shd w:val="clear" w:color="auto" w:fill="FFFFFF"/>
        </w:rPr>
        <w:t xml:space="preserve"> y otros Vs. Ecuador. Excepciones Preliminares, Fondo, Reparaciones y Costas.</w:t>
      </w:r>
      <w:r w:rsidRPr="008A2522">
        <w:rPr>
          <w:rStyle w:val="Strong"/>
          <w:rFonts w:ascii="Verdana" w:hAnsi="Verdana"/>
          <w:b w:val="0"/>
          <w:color w:val="000000"/>
          <w:sz w:val="16"/>
          <w:szCs w:val="16"/>
          <w:shd w:val="clear" w:color="auto" w:fill="FFFFFF"/>
        </w:rPr>
        <w:t xml:space="preserve"> Sentencia de 1 de septiembre de 2015. Serie C No. 298. Voto Concurrente del Juez Humberto Antonio Sierra Porto.</w:t>
      </w:r>
    </w:p>
  </w:footnote>
  <w:footnote w:id="3">
    <w:p w14:paraId="2E59114D" w14:textId="67318B9B" w:rsidR="001C4CB6" w:rsidRPr="008910BB" w:rsidRDefault="001C4CB6" w:rsidP="005F6D97">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00855854" w:rsidRPr="008910BB">
        <w:rPr>
          <w:rFonts w:ascii="Verdana" w:hAnsi="Verdana"/>
          <w:iCs/>
          <w:sz w:val="16"/>
          <w:szCs w:val="16"/>
        </w:rPr>
        <w:t xml:space="preserve"> </w:t>
      </w:r>
      <w:r w:rsidR="00477E06">
        <w:rPr>
          <w:rFonts w:ascii="Verdana" w:hAnsi="Verdana"/>
          <w:iCs/>
          <w:sz w:val="16"/>
          <w:szCs w:val="16"/>
        </w:rPr>
        <w:tab/>
      </w:r>
      <w:r w:rsidR="0033292C">
        <w:rPr>
          <w:rFonts w:ascii="Verdana" w:hAnsi="Verdana"/>
          <w:i/>
          <w:iCs/>
          <w:sz w:val="16"/>
          <w:szCs w:val="16"/>
        </w:rPr>
        <w:t>C</w:t>
      </w:r>
      <w:r w:rsidR="00480A31">
        <w:rPr>
          <w:rFonts w:ascii="Verdana" w:hAnsi="Verdana"/>
          <w:i/>
          <w:iCs/>
          <w:sz w:val="16"/>
          <w:szCs w:val="16"/>
        </w:rPr>
        <w:t>f</w:t>
      </w:r>
      <w:r w:rsidR="0033292C">
        <w:rPr>
          <w:rFonts w:ascii="Verdana" w:hAnsi="Verdana"/>
          <w:i/>
          <w:iCs/>
          <w:sz w:val="16"/>
          <w:szCs w:val="16"/>
        </w:rPr>
        <w:t xml:space="preserve">r. </w:t>
      </w:r>
      <w:r w:rsidR="00855854" w:rsidRPr="008910BB">
        <w:rPr>
          <w:rFonts w:ascii="Verdana" w:hAnsi="Verdana"/>
          <w:iCs/>
          <w:sz w:val="16"/>
          <w:szCs w:val="16"/>
        </w:rPr>
        <w:t>Caso</w:t>
      </w:r>
      <w:r w:rsidR="00855854" w:rsidRPr="008910BB">
        <w:rPr>
          <w:rFonts w:ascii="Verdana" w:hAnsi="Verdana"/>
          <w:i/>
          <w:iCs/>
          <w:sz w:val="16"/>
          <w:szCs w:val="16"/>
        </w:rPr>
        <w:t xml:space="preserve"> del Tribunal Constitucional</w:t>
      </w:r>
      <w:r w:rsidR="00045802" w:rsidRPr="008910BB">
        <w:rPr>
          <w:rFonts w:ascii="Verdana" w:hAnsi="Verdana"/>
          <w:i/>
          <w:iCs/>
          <w:sz w:val="16"/>
          <w:szCs w:val="16"/>
        </w:rPr>
        <w:t xml:space="preserve"> Vs. Perú</w:t>
      </w:r>
      <w:r w:rsidR="00855854" w:rsidRPr="008910BB">
        <w:rPr>
          <w:rFonts w:ascii="Verdana" w:hAnsi="Verdana"/>
          <w:iCs/>
          <w:sz w:val="16"/>
          <w:szCs w:val="16"/>
        </w:rPr>
        <w:t>.</w:t>
      </w:r>
      <w:r w:rsidR="00045802" w:rsidRPr="008910BB">
        <w:rPr>
          <w:rFonts w:ascii="Verdana" w:hAnsi="Verdana"/>
          <w:i/>
          <w:iCs/>
          <w:sz w:val="16"/>
          <w:szCs w:val="16"/>
        </w:rPr>
        <w:t xml:space="preserve"> Fondo, </w:t>
      </w:r>
      <w:r w:rsidR="00E60BC5">
        <w:rPr>
          <w:rFonts w:ascii="Verdana" w:hAnsi="Verdana"/>
          <w:i/>
          <w:iCs/>
          <w:sz w:val="16"/>
          <w:szCs w:val="16"/>
        </w:rPr>
        <w:t>R</w:t>
      </w:r>
      <w:r w:rsidR="00045802" w:rsidRPr="008910BB">
        <w:rPr>
          <w:rFonts w:ascii="Verdana" w:hAnsi="Verdana"/>
          <w:i/>
          <w:iCs/>
          <w:sz w:val="16"/>
          <w:szCs w:val="16"/>
        </w:rPr>
        <w:t xml:space="preserve">eparaciones y </w:t>
      </w:r>
      <w:r w:rsidR="00E60BC5">
        <w:rPr>
          <w:rFonts w:ascii="Verdana" w:hAnsi="Verdana"/>
          <w:i/>
          <w:iCs/>
          <w:sz w:val="16"/>
          <w:szCs w:val="16"/>
        </w:rPr>
        <w:t>C</w:t>
      </w:r>
      <w:r w:rsidR="00045802" w:rsidRPr="008910BB">
        <w:rPr>
          <w:rFonts w:ascii="Verdana" w:hAnsi="Verdana"/>
          <w:i/>
          <w:iCs/>
          <w:sz w:val="16"/>
          <w:szCs w:val="16"/>
        </w:rPr>
        <w:t>ostas.</w:t>
      </w:r>
      <w:r w:rsidR="00855854" w:rsidRPr="008910BB">
        <w:rPr>
          <w:rFonts w:ascii="Verdana" w:hAnsi="Verdana"/>
          <w:iCs/>
          <w:sz w:val="16"/>
          <w:szCs w:val="16"/>
        </w:rPr>
        <w:t xml:space="preserve"> </w:t>
      </w:r>
      <w:r w:rsidR="00855854" w:rsidRPr="008910BB">
        <w:rPr>
          <w:rFonts w:ascii="Verdana" w:hAnsi="Verdana"/>
          <w:sz w:val="16"/>
          <w:szCs w:val="16"/>
        </w:rPr>
        <w:t>Sentencia de 31 de enero de 2001. Serie C No. 71</w:t>
      </w:r>
      <w:r w:rsidR="00E60BC5">
        <w:rPr>
          <w:rFonts w:ascii="Verdana" w:hAnsi="Verdana"/>
          <w:sz w:val="16"/>
          <w:szCs w:val="16"/>
        </w:rPr>
        <w:t>, p</w:t>
      </w:r>
      <w:r w:rsidR="00855854" w:rsidRPr="008910BB">
        <w:rPr>
          <w:rFonts w:ascii="Verdana" w:hAnsi="Verdana"/>
          <w:sz w:val="16"/>
          <w:szCs w:val="16"/>
        </w:rPr>
        <w:t>árr. 112</w:t>
      </w:r>
      <w:r w:rsidR="00833E90">
        <w:rPr>
          <w:rFonts w:ascii="Verdana" w:hAnsi="Verdana"/>
          <w:sz w:val="16"/>
          <w:szCs w:val="16"/>
        </w:rPr>
        <w:t xml:space="preserve">, </w:t>
      </w:r>
      <w:r w:rsidR="00833E90" w:rsidRPr="009D7294">
        <w:rPr>
          <w:rFonts w:ascii="Verdana" w:hAnsi="Verdana"/>
          <w:sz w:val="16"/>
          <w:szCs w:val="16"/>
        </w:rPr>
        <w:t xml:space="preserve">Caso </w:t>
      </w:r>
      <w:r w:rsidR="00833E90">
        <w:rPr>
          <w:rFonts w:ascii="Verdana" w:hAnsi="Verdana"/>
          <w:i/>
          <w:sz w:val="16"/>
          <w:szCs w:val="16"/>
        </w:rPr>
        <w:t xml:space="preserve">Trabajadores Cesados del Congreso (Aguado Alfaro y otros) Vs. Perú. Excepciones Preliminares, Fondo, Reparaciones y Costas. </w:t>
      </w:r>
      <w:r w:rsidR="00833E90">
        <w:rPr>
          <w:rFonts w:ascii="Verdana" w:hAnsi="Verdana"/>
          <w:sz w:val="16"/>
          <w:szCs w:val="16"/>
        </w:rPr>
        <w:t>Sentencia de 24 de noviembre de 2006</w:t>
      </w:r>
      <w:r w:rsidR="00F937A7">
        <w:rPr>
          <w:rFonts w:ascii="Verdana" w:hAnsi="Verdana"/>
          <w:sz w:val="16"/>
          <w:szCs w:val="16"/>
        </w:rPr>
        <w:t>. Serie C No. 158, párr. 109, y</w:t>
      </w:r>
      <w:r w:rsidR="00045802" w:rsidRPr="008910BB">
        <w:rPr>
          <w:rFonts w:ascii="Verdana" w:hAnsi="Verdana"/>
          <w:sz w:val="16"/>
          <w:szCs w:val="16"/>
        </w:rPr>
        <w:t xml:space="preserve"> Caso </w:t>
      </w:r>
      <w:r w:rsidR="00045802" w:rsidRPr="008910BB">
        <w:rPr>
          <w:rFonts w:ascii="Verdana" w:hAnsi="Verdana"/>
          <w:i/>
          <w:sz w:val="16"/>
          <w:szCs w:val="16"/>
        </w:rPr>
        <w:t xml:space="preserve">Canales </w:t>
      </w:r>
      <w:proofErr w:type="spellStart"/>
      <w:r w:rsidR="00045802" w:rsidRPr="008910BB">
        <w:rPr>
          <w:rFonts w:ascii="Verdana" w:hAnsi="Verdana"/>
          <w:i/>
          <w:sz w:val="16"/>
          <w:szCs w:val="16"/>
        </w:rPr>
        <w:t>Huapaya</w:t>
      </w:r>
      <w:proofErr w:type="spellEnd"/>
      <w:r w:rsidR="00045802" w:rsidRPr="008910BB">
        <w:rPr>
          <w:rFonts w:ascii="Verdana" w:hAnsi="Verdana"/>
          <w:i/>
          <w:sz w:val="16"/>
          <w:szCs w:val="16"/>
        </w:rPr>
        <w:t xml:space="preserve"> y otros Vs. Perú. Excepciones </w:t>
      </w:r>
      <w:r w:rsidR="002263EC">
        <w:rPr>
          <w:rFonts w:ascii="Verdana" w:hAnsi="Verdana"/>
          <w:i/>
          <w:sz w:val="16"/>
          <w:szCs w:val="16"/>
        </w:rPr>
        <w:t>P</w:t>
      </w:r>
      <w:r w:rsidR="00045802" w:rsidRPr="008910BB">
        <w:rPr>
          <w:rFonts w:ascii="Verdana" w:hAnsi="Verdana"/>
          <w:i/>
          <w:sz w:val="16"/>
          <w:szCs w:val="16"/>
        </w:rPr>
        <w:t xml:space="preserve">reliminares, </w:t>
      </w:r>
      <w:r w:rsidR="002263EC">
        <w:rPr>
          <w:rFonts w:ascii="Verdana" w:hAnsi="Verdana"/>
          <w:i/>
          <w:sz w:val="16"/>
          <w:szCs w:val="16"/>
        </w:rPr>
        <w:t>Fondo, R</w:t>
      </w:r>
      <w:r w:rsidR="00045802" w:rsidRPr="008910BB">
        <w:rPr>
          <w:rFonts w:ascii="Verdana" w:hAnsi="Verdana"/>
          <w:i/>
          <w:sz w:val="16"/>
          <w:szCs w:val="16"/>
        </w:rPr>
        <w:t xml:space="preserve">eparaciones y </w:t>
      </w:r>
      <w:r w:rsidR="002263EC">
        <w:rPr>
          <w:rFonts w:ascii="Verdana" w:hAnsi="Verdana"/>
          <w:i/>
          <w:sz w:val="16"/>
          <w:szCs w:val="16"/>
        </w:rPr>
        <w:t>C</w:t>
      </w:r>
      <w:r w:rsidR="00045802" w:rsidRPr="008910BB">
        <w:rPr>
          <w:rFonts w:ascii="Verdana" w:hAnsi="Verdana"/>
          <w:i/>
          <w:sz w:val="16"/>
          <w:szCs w:val="16"/>
        </w:rPr>
        <w:t xml:space="preserve">ostas. </w:t>
      </w:r>
      <w:r w:rsidR="00045802" w:rsidRPr="008910BB">
        <w:rPr>
          <w:rFonts w:ascii="Verdana" w:hAnsi="Verdana"/>
          <w:sz w:val="16"/>
          <w:szCs w:val="16"/>
        </w:rPr>
        <w:t xml:space="preserve">Sentencia del 24 de junio de 2015. Serie C No. </w:t>
      </w:r>
      <w:r w:rsidR="006B0410">
        <w:rPr>
          <w:rFonts w:ascii="Verdana" w:hAnsi="Verdana"/>
          <w:sz w:val="16"/>
          <w:szCs w:val="16"/>
        </w:rPr>
        <w:t>296</w:t>
      </w:r>
      <w:r w:rsidR="00D3483B" w:rsidRPr="008910BB">
        <w:rPr>
          <w:rFonts w:ascii="Verdana" w:hAnsi="Verdana"/>
          <w:sz w:val="16"/>
          <w:szCs w:val="16"/>
        </w:rPr>
        <w:t>, p</w:t>
      </w:r>
      <w:r w:rsidR="00045802" w:rsidRPr="008910BB">
        <w:rPr>
          <w:rFonts w:ascii="Verdana" w:hAnsi="Verdana"/>
          <w:sz w:val="16"/>
          <w:szCs w:val="16"/>
        </w:rPr>
        <w:t>árr. 10</w:t>
      </w:r>
      <w:r w:rsidR="00F937A7">
        <w:rPr>
          <w:rFonts w:ascii="Verdana" w:hAnsi="Verdana"/>
          <w:sz w:val="16"/>
          <w:szCs w:val="16"/>
        </w:rPr>
        <w:t>7</w:t>
      </w:r>
      <w:r w:rsidR="00045802" w:rsidRPr="008910BB">
        <w:rPr>
          <w:rFonts w:ascii="Verdana" w:hAnsi="Verdana"/>
          <w:sz w:val="16"/>
          <w:szCs w:val="16"/>
        </w:rPr>
        <w:t>.</w:t>
      </w:r>
    </w:p>
  </w:footnote>
  <w:footnote w:id="4">
    <w:p w14:paraId="29F97AA2" w14:textId="7826EFD8" w:rsidR="001C4CB6" w:rsidRPr="008910BB" w:rsidRDefault="001C4CB6" w:rsidP="005F6D97">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Pr="008910BB">
        <w:rPr>
          <w:rFonts w:ascii="Verdana" w:hAnsi="Verdana"/>
          <w:sz w:val="16"/>
          <w:szCs w:val="16"/>
        </w:rPr>
        <w:t xml:space="preserve"> </w:t>
      </w:r>
      <w:r w:rsidR="00477E06">
        <w:rPr>
          <w:rFonts w:ascii="Verdana" w:hAnsi="Verdana"/>
          <w:sz w:val="16"/>
          <w:szCs w:val="16"/>
        </w:rPr>
        <w:tab/>
      </w:r>
      <w:r w:rsidR="006313EE" w:rsidRPr="008910BB">
        <w:rPr>
          <w:rFonts w:ascii="Verdana" w:hAnsi="Verdana"/>
          <w:i/>
          <w:iCs/>
          <w:sz w:val="16"/>
          <w:szCs w:val="16"/>
        </w:rPr>
        <w:t>Cfr</w:t>
      </w:r>
      <w:r w:rsidR="000F5B47">
        <w:rPr>
          <w:rFonts w:ascii="Verdana" w:hAnsi="Verdana"/>
          <w:i/>
          <w:iCs/>
          <w:sz w:val="16"/>
          <w:szCs w:val="16"/>
        </w:rPr>
        <w:t>.</w:t>
      </w:r>
      <w:r w:rsidR="006313EE" w:rsidRPr="008910BB">
        <w:rPr>
          <w:rFonts w:ascii="Verdana" w:hAnsi="Verdana"/>
          <w:sz w:val="16"/>
          <w:szCs w:val="16"/>
        </w:rPr>
        <w:t xml:space="preserve"> </w:t>
      </w:r>
      <w:r w:rsidR="00045802" w:rsidRPr="008910BB">
        <w:rPr>
          <w:rFonts w:ascii="Verdana" w:hAnsi="Verdana"/>
          <w:iCs/>
          <w:sz w:val="16"/>
          <w:szCs w:val="16"/>
          <w:lang w:val="es-CR"/>
        </w:rPr>
        <w:t>Caso</w:t>
      </w:r>
      <w:r w:rsidR="00045802" w:rsidRPr="008910BB">
        <w:rPr>
          <w:rFonts w:ascii="Verdana" w:hAnsi="Verdana"/>
          <w:i/>
          <w:iCs/>
          <w:sz w:val="16"/>
          <w:szCs w:val="16"/>
          <w:lang w:val="es-CR"/>
        </w:rPr>
        <w:t xml:space="preserve"> del Tribunal Constitucional Vs. Perú, </w:t>
      </w:r>
      <w:proofErr w:type="spellStart"/>
      <w:r w:rsidR="00D3483B" w:rsidRPr="008910BB">
        <w:rPr>
          <w:rFonts w:ascii="Verdana" w:hAnsi="Verdana"/>
          <w:sz w:val="16"/>
          <w:szCs w:val="16"/>
          <w:lang w:val="es-CR"/>
        </w:rPr>
        <w:t>p</w:t>
      </w:r>
      <w:r w:rsidR="00045802" w:rsidRPr="008910BB">
        <w:rPr>
          <w:rFonts w:ascii="Verdana" w:hAnsi="Verdana"/>
          <w:sz w:val="16"/>
          <w:szCs w:val="16"/>
          <w:lang w:val="es-CR"/>
        </w:rPr>
        <w:t>árr</w:t>
      </w:r>
      <w:r w:rsidR="00A11A70">
        <w:rPr>
          <w:rFonts w:ascii="Verdana" w:hAnsi="Verdana"/>
          <w:sz w:val="16"/>
          <w:szCs w:val="16"/>
          <w:lang w:val="es-CR"/>
        </w:rPr>
        <w:t>s</w:t>
      </w:r>
      <w:proofErr w:type="spellEnd"/>
      <w:r w:rsidR="00045802" w:rsidRPr="008910BB">
        <w:rPr>
          <w:rFonts w:ascii="Verdana" w:hAnsi="Verdana"/>
          <w:sz w:val="16"/>
          <w:szCs w:val="16"/>
          <w:lang w:val="es-CR"/>
        </w:rPr>
        <w:t>. 56.25 y 56.30</w:t>
      </w:r>
      <w:r w:rsidR="00BE5CB6">
        <w:rPr>
          <w:rFonts w:ascii="Verdana" w:hAnsi="Verdana"/>
          <w:sz w:val="16"/>
          <w:szCs w:val="16"/>
          <w:lang w:val="es-CR"/>
        </w:rPr>
        <w:t>.</w:t>
      </w:r>
    </w:p>
  </w:footnote>
  <w:footnote w:id="5">
    <w:p w14:paraId="3DE73B31" w14:textId="30AF9E6D" w:rsidR="00497DD4" w:rsidRPr="008910BB" w:rsidRDefault="001C4CB6" w:rsidP="005F6D97">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Pr="008910BB">
        <w:rPr>
          <w:rFonts w:ascii="Verdana" w:hAnsi="Verdana"/>
          <w:sz w:val="16"/>
          <w:szCs w:val="16"/>
        </w:rPr>
        <w:t xml:space="preserve"> </w:t>
      </w:r>
      <w:r w:rsidR="00477E06">
        <w:rPr>
          <w:rFonts w:ascii="Verdana" w:hAnsi="Verdana"/>
          <w:sz w:val="16"/>
          <w:szCs w:val="16"/>
        </w:rPr>
        <w:tab/>
      </w:r>
      <w:r w:rsidR="00071B30" w:rsidRPr="008910BB">
        <w:rPr>
          <w:rFonts w:ascii="Verdana" w:hAnsi="Verdana"/>
          <w:sz w:val="16"/>
          <w:szCs w:val="16"/>
        </w:rPr>
        <w:t>La Corte</w:t>
      </w:r>
      <w:r w:rsidR="00901F46">
        <w:rPr>
          <w:rFonts w:ascii="Verdana" w:hAnsi="Verdana"/>
          <w:sz w:val="16"/>
          <w:szCs w:val="16"/>
        </w:rPr>
        <w:t>,</w:t>
      </w:r>
      <w:r w:rsidR="00071B30" w:rsidRPr="008910BB">
        <w:rPr>
          <w:rFonts w:ascii="Verdana" w:hAnsi="Verdana"/>
          <w:sz w:val="16"/>
          <w:szCs w:val="16"/>
        </w:rPr>
        <w:t xml:space="preserve"> haciendo referencia al caso </w:t>
      </w:r>
      <w:r w:rsidR="00901F46">
        <w:rPr>
          <w:rFonts w:ascii="Verdana" w:hAnsi="Verdana"/>
          <w:i/>
          <w:sz w:val="16"/>
          <w:szCs w:val="16"/>
        </w:rPr>
        <w:t>Aguado Alfaro y otros</w:t>
      </w:r>
      <w:r w:rsidR="00901F46">
        <w:rPr>
          <w:rFonts w:ascii="Verdana" w:hAnsi="Verdana"/>
          <w:sz w:val="16"/>
          <w:szCs w:val="16"/>
        </w:rPr>
        <w:t>,</w:t>
      </w:r>
      <w:r w:rsidR="00071B30" w:rsidRPr="008910BB">
        <w:rPr>
          <w:rFonts w:ascii="Verdana" w:hAnsi="Verdana"/>
          <w:i/>
          <w:sz w:val="16"/>
          <w:szCs w:val="16"/>
        </w:rPr>
        <w:t xml:space="preserve"> </w:t>
      </w:r>
      <w:r w:rsidR="00901F46">
        <w:rPr>
          <w:rFonts w:ascii="Verdana" w:hAnsi="Verdana"/>
          <w:sz w:val="16"/>
          <w:szCs w:val="16"/>
        </w:rPr>
        <w:t>determinó</w:t>
      </w:r>
      <w:r w:rsidR="000F3071" w:rsidRPr="008910BB">
        <w:rPr>
          <w:rFonts w:ascii="Verdana" w:hAnsi="Verdana"/>
          <w:sz w:val="16"/>
          <w:szCs w:val="16"/>
        </w:rPr>
        <w:t xml:space="preserve"> que: “</w:t>
      </w:r>
      <w:r w:rsidR="000F3071" w:rsidRPr="008910BB">
        <w:rPr>
          <w:rFonts w:ascii="Verdana" w:hAnsi="Verdana"/>
          <w:sz w:val="16"/>
          <w:szCs w:val="16"/>
          <w:lang w:val="es-CR"/>
        </w:rPr>
        <w:t>este caso ocurrió en un contexto de impedimentos normativos y prácticos para asegurar un acceso real a la justicia y de una situación generalizada de ausencia de garantías e ineficacia de las instituciones judiciales para afrontar hechos como los del presente caso</w:t>
      </w:r>
      <w:r w:rsidR="000270C2">
        <w:rPr>
          <w:rFonts w:ascii="Verdana" w:hAnsi="Verdana"/>
          <w:sz w:val="16"/>
          <w:szCs w:val="16"/>
          <w:lang w:val="es-CR"/>
        </w:rPr>
        <w:t xml:space="preserve"> [...]</w:t>
      </w:r>
      <w:r w:rsidR="000F3071" w:rsidRPr="008910BB">
        <w:rPr>
          <w:rFonts w:ascii="Verdana" w:hAnsi="Verdana"/>
          <w:sz w:val="16"/>
          <w:szCs w:val="16"/>
          <w:lang w:val="es-CR"/>
        </w:rPr>
        <w:t xml:space="preserve"> En el presente caso, los recursos internos existentes no fueron efectivos, ni individual ni en conjunto, para los efectos de una adecuada y efectiva garantía del derecho de acceso a la justicia de las presuntas víctimas cesadas del Congreso peruano, en los términos de la Convención Americana”. </w:t>
      </w:r>
      <w:r w:rsidR="000F3071" w:rsidRPr="008910BB">
        <w:rPr>
          <w:rFonts w:ascii="Verdana" w:hAnsi="Verdana"/>
          <w:i/>
          <w:sz w:val="16"/>
          <w:szCs w:val="16"/>
          <w:lang w:val="es-CR"/>
        </w:rPr>
        <w:t xml:space="preserve">Cfr. </w:t>
      </w:r>
      <w:r w:rsidR="000F3071" w:rsidRPr="008910BB">
        <w:rPr>
          <w:rFonts w:ascii="Verdana" w:hAnsi="Verdana"/>
          <w:sz w:val="16"/>
          <w:szCs w:val="16"/>
          <w:lang w:val="es-CR"/>
        </w:rPr>
        <w:t xml:space="preserve">Caso </w:t>
      </w:r>
      <w:r w:rsidR="000F3071" w:rsidRPr="008910BB">
        <w:rPr>
          <w:rFonts w:ascii="Verdana" w:hAnsi="Verdana"/>
          <w:i/>
          <w:sz w:val="16"/>
          <w:szCs w:val="16"/>
          <w:lang w:val="es-CR"/>
        </w:rPr>
        <w:t xml:space="preserve">Canales </w:t>
      </w:r>
      <w:proofErr w:type="spellStart"/>
      <w:r w:rsidR="000F3071" w:rsidRPr="008910BB">
        <w:rPr>
          <w:rFonts w:ascii="Verdana" w:hAnsi="Verdana"/>
          <w:i/>
          <w:sz w:val="16"/>
          <w:szCs w:val="16"/>
          <w:lang w:val="es-CR"/>
        </w:rPr>
        <w:t>Huapa</w:t>
      </w:r>
      <w:r w:rsidR="00A11A70">
        <w:rPr>
          <w:rFonts w:ascii="Verdana" w:hAnsi="Verdana"/>
          <w:i/>
          <w:sz w:val="16"/>
          <w:szCs w:val="16"/>
          <w:lang w:val="es-CR"/>
        </w:rPr>
        <w:t>ya</w:t>
      </w:r>
      <w:proofErr w:type="spellEnd"/>
      <w:r w:rsidR="00A11A70">
        <w:rPr>
          <w:rFonts w:ascii="Verdana" w:hAnsi="Verdana"/>
          <w:i/>
          <w:sz w:val="16"/>
          <w:szCs w:val="16"/>
          <w:lang w:val="es-CR"/>
        </w:rPr>
        <w:t xml:space="preserve"> y otros Vs. Perú</w:t>
      </w:r>
      <w:r w:rsidR="00D3483B" w:rsidRPr="008910BB">
        <w:rPr>
          <w:rFonts w:ascii="Verdana" w:hAnsi="Verdana"/>
          <w:sz w:val="16"/>
          <w:szCs w:val="16"/>
          <w:lang w:val="es-CR"/>
        </w:rPr>
        <w:t>,</w:t>
      </w:r>
      <w:r w:rsidR="000F3071" w:rsidRPr="008910BB">
        <w:rPr>
          <w:rFonts w:ascii="Verdana" w:hAnsi="Verdana"/>
          <w:sz w:val="16"/>
          <w:szCs w:val="16"/>
          <w:lang w:val="es-CR"/>
        </w:rPr>
        <w:t xml:space="preserve"> </w:t>
      </w:r>
      <w:r w:rsidR="00D3483B" w:rsidRPr="008910BB">
        <w:rPr>
          <w:rFonts w:ascii="Verdana" w:hAnsi="Verdana"/>
          <w:sz w:val="16"/>
          <w:szCs w:val="16"/>
          <w:lang w:val="es-CR"/>
        </w:rPr>
        <w:t>p</w:t>
      </w:r>
      <w:r w:rsidR="000F3071" w:rsidRPr="008910BB">
        <w:rPr>
          <w:rFonts w:ascii="Verdana" w:hAnsi="Verdana"/>
          <w:sz w:val="16"/>
          <w:szCs w:val="16"/>
          <w:lang w:val="es-CR"/>
        </w:rPr>
        <w:t>árr. 1</w:t>
      </w:r>
      <w:r w:rsidR="0091643E">
        <w:rPr>
          <w:rFonts w:ascii="Verdana" w:hAnsi="Verdana"/>
          <w:sz w:val="16"/>
          <w:szCs w:val="16"/>
          <w:lang w:val="es-CR"/>
        </w:rPr>
        <w:t>05</w:t>
      </w:r>
      <w:r w:rsidR="00F717F0">
        <w:rPr>
          <w:rFonts w:ascii="Verdana" w:hAnsi="Verdana"/>
          <w:sz w:val="16"/>
          <w:szCs w:val="16"/>
          <w:lang w:val="es-CR"/>
        </w:rPr>
        <w:t>.</w:t>
      </w:r>
    </w:p>
  </w:footnote>
  <w:footnote w:id="6">
    <w:p w14:paraId="72D9C223" w14:textId="75F6E5DC" w:rsidR="00E26B67" w:rsidRPr="005F6D97" w:rsidRDefault="00B2157B" w:rsidP="005F6D97">
      <w:pPr>
        <w:pStyle w:val="FootnoteText"/>
        <w:spacing w:before="120" w:after="120"/>
        <w:jc w:val="both"/>
        <w:rPr>
          <w:rFonts w:ascii="Verdana" w:hAnsi="Verdana"/>
          <w:sz w:val="16"/>
          <w:szCs w:val="16"/>
          <w:lang w:val="es-ES_tradnl"/>
        </w:rPr>
      </w:pPr>
      <w:r w:rsidRPr="005F6D97">
        <w:rPr>
          <w:rStyle w:val="FootnoteReference"/>
          <w:rFonts w:ascii="Verdana" w:hAnsi="Verdana"/>
          <w:sz w:val="16"/>
          <w:szCs w:val="16"/>
          <w:lang w:val="es-ES_tradnl"/>
        </w:rPr>
        <w:footnoteRef/>
      </w:r>
      <w:r w:rsidRPr="005F6D97">
        <w:rPr>
          <w:rFonts w:ascii="Verdana" w:hAnsi="Verdana"/>
          <w:sz w:val="16"/>
          <w:szCs w:val="16"/>
          <w:lang w:val="es-ES_tradnl"/>
        </w:rPr>
        <w:t xml:space="preserve"> </w:t>
      </w:r>
      <w:r w:rsidR="005F0EFF" w:rsidRPr="005F6D97">
        <w:rPr>
          <w:rFonts w:ascii="Verdana" w:hAnsi="Verdana"/>
          <w:sz w:val="16"/>
          <w:szCs w:val="16"/>
          <w:lang w:val="es-ES_tradnl"/>
        </w:rPr>
        <w:tab/>
        <w:t xml:space="preserve">El artículo </w:t>
      </w:r>
      <w:r w:rsidRPr="005F6D97">
        <w:rPr>
          <w:rFonts w:ascii="Verdana" w:hAnsi="Verdana"/>
          <w:sz w:val="16"/>
          <w:szCs w:val="16"/>
          <w:lang w:val="es-ES_tradnl"/>
        </w:rPr>
        <w:t>46.2</w:t>
      </w:r>
      <w:r w:rsidR="00AF14B6" w:rsidRPr="005F6D97">
        <w:rPr>
          <w:rFonts w:ascii="Verdana" w:hAnsi="Verdana"/>
          <w:sz w:val="16"/>
          <w:szCs w:val="16"/>
          <w:lang w:val="es-ES_tradnl"/>
        </w:rPr>
        <w:t>a</w:t>
      </w:r>
      <w:r w:rsidR="005F0EFF" w:rsidRPr="005F6D97">
        <w:rPr>
          <w:rFonts w:ascii="Verdana" w:hAnsi="Verdana"/>
          <w:sz w:val="16"/>
          <w:szCs w:val="16"/>
          <w:lang w:val="es-ES_tradnl"/>
        </w:rPr>
        <w:t xml:space="preserve"> de la Convención Americana establece lo siguiente: </w:t>
      </w:r>
      <w:r w:rsidR="005F6D97" w:rsidRPr="005F6D97">
        <w:rPr>
          <w:rFonts w:ascii="Verdana" w:hAnsi="Verdana" w:cs="Tahoma"/>
          <w:color w:val="000000"/>
          <w:sz w:val="16"/>
          <w:szCs w:val="16"/>
        </w:rPr>
        <w:t xml:space="preserve">1. Para que una petición o comunicación presentada conforme a los artículos 44 </w:t>
      </w:r>
      <w:proofErr w:type="spellStart"/>
      <w:r w:rsidR="005F6D97" w:rsidRPr="005F6D97">
        <w:rPr>
          <w:rFonts w:ascii="Verdana" w:hAnsi="Verdana" w:cs="Tahoma"/>
          <w:color w:val="000000"/>
          <w:sz w:val="16"/>
          <w:szCs w:val="16"/>
        </w:rPr>
        <w:t>ó</w:t>
      </w:r>
      <w:proofErr w:type="spellEnd"/>
      <w:r w:rsidR="005F6D97" w:rsidRPr="005F6D97">
        <w:rPr>
          <w:rFonts w:ascii="Verdana" w:hAnsi="Verdana" w:cs="Tahoma"/>
          <w:color w:val="000000"/>
          <w:sz w:val="16"/>
          <w:szCs w:val="16"/>
        </w:rPr>
        <w:t xml:space="preserve"> 45 sea admitida por la Comisión, se requerirá: a) que se hayan interpuesto y agotado los recursos de jurisdicción interna, conforme a los principios del Derecho Internacional generalmente reconocidos.</w:t>
      </w:r>
    </w:p>
  </w:footnote>
  <w:footnote w:id="7">
    <w:p w14:paraId="35DC859F" w14:textId="58B265C3" w:rsidR="00497DD4" w:rsidRPr="008910BB" w:rsidRDefault="006628F7" w:rsidP="005F6D97">
      <w:pPr>
        <w:pStyle w:val="FootnoteText"/>
        <w:spacing w:before="120" w:after="120"/>
        <w:jc w:val="both"/>
        <w:rPr>
          <w:rFonts w:ascii="Verdana" w:hAnsi="Verdana"/>
          <w:sz w:val="16"/>
          <w:szCs w:val="16"/>
          <w:lang w:val="es-ES"/>
        </w:rPr>
      </w:pPr>
      <w:r w:rsidRPr="008910BB">
        <w:rPr>
          <w:rStyle w:val="FootnoteReference"/>
          <w:rFonts w:ascii="Verdana" w:hAnsi="Verdana"/>
          <w:sz w:val="16"/>
          <w:szCs w:val="16"/>
        </w:rPr>
        <w:footnoteRef/>
      </w:r>
      <w:r w:rsidRPr="008910BB">
        <w:rPr>
          <w:rFonts w:ascii="Verdana" w:hAnsi="Verdana"/>
          <w:sz w:val="16"/>
          <w:szCs w:val="16"/>
          <w:lang w:val="es-ES"/>
        </w:rPr>
        <w:t xml:space="preserve"> </w:t>
      </w:r>
      <w:r w:rsidR="00CC27DB">
        <w:rPr>
          <w:rFonts w:ascii="Verdana" w:hAnsi="Verdana"/>
          <w:sz w:val="16"/>
          <w:szCs w:val="16"/>
          <w:lang w:val="es-ES"/>
        </w:rPr>
        <w:tab/>
      </w:r>
      <w:r w:rsidR="00FF128E" w:rsidRPr="008910BB">
        <w:rPr>
          <w:rFonts w:ascii="Verdana" w:hAnsi="Verdana"/>
          <w:sz w:val="16"/>
          <w:szCs w:val="16"/>
          <w:lang w:val="es-ES"/>
        </w:rPr>
        <w:t>Caso</w:t>
      </w:r>
      <w:r w:rsidR="00FF128E" w:rsidRPr="008910BB">
        <w:rPr>
          <w:rFonts w:ascii="Verdana" w:hAnsi="Verdana"/>
          <w:i/>
          <w:sz w:val="16"/>
          <w:szCs w:val="16"/>
          <w:lang w:val="es-ES"/>
        </w:rPr>
        <w:t xml:space="preserve"> </w:t>
      </w:r>
      <w:proofErr w:type="spellStart"/>
      <w:r w:rsidR="00FF128E" w:rsidRPr="008910BB">
        <w:rPr>
          <w:rFonts w:ascii="Verdana" w:hAnsi="Verdana"/>
          <w:i/>
          <w:sz w:val="16"/>
          <w:szCs w:val="16"/>
          <w:lang w:val="es-ES"/>
        </w:rPr>
        <w:t>Brewer</w:t>
      </w:r>
      <w:proofErr w:type="spellEnd"/>
      <w:r w:rsidR="00FF128E" w:rsidRPr="008910BB">
        <w:rPr>
          <w:rFonts w:ascii="Verdana" w:hAnsi="Verdana"/>
          <w:i/>
          <w:sz w:val="16"/>
          <w:szCs w:val="16"/>
          <w:lang w:val="es-ES"/>
        </w:rPr>
        <w:t xml:space="preserve"> Carías Vs. Venezuela</w:t>
      </w:r>
      <w:r w:rsidR="00FF128E" w:rsidRPr="008910BB">
        <w:rPr>
          <w:rFonts w:ascii="Verdana" w:hAnsi="Verdana"/>
          <w:sz w:val="16"/>
          <w:szCs w:val="16"/>
          <w:lang w:val="es-ES"/>
        </w:rPr>
        <w:t xml:space="preserve">. </w:t>
      </w:r>
      <w:r w:rsidR="00FF128E" w:rsidRPr="008910BB">
        <w:rPr>
          <w:rFonts w:ascii="Verdana" w:hAnsi="Verdana"/>
          <w:i/>
          <w:sz w:val="16"/>
          <w:szCs w:val="16"/>
          <w:lang w:val="es-ES"/>
        </w:rPr>
        <w:t>Excepciones Preliminares</w:t>
      </w:r>
      <w:r w:rsidR="00FF128E" w:rsidRPr="008910BB">
        <w:rPr>
          <w:rFonts w:ascii="Verdana" w:hAnsi="Verdana"/>
          <w:sz w:val="16"/>
          <w:szCs w:val="16"/>
          <w:lang w:val="es-ES"/>
        </w:rPr>
        <w:t>. Sentencia de 26 de mayo de 2014. Serie C No. 278</w:t>
      </w:r>
      <w:r w:rsidR="00710135">
        <w:rPr>
          <w:rFonts w:ascii="Verdana" w:hAnsi="Verdana"/>
          <w:sz w:val="16"/>
          <w:szCs w:val="16"/>
          <w:lang w:val="es-ES"/>
        </w:rPr>
        <w:t>.</w:t>
      </w:r>
      <w:r w:rsidR="00FF128E" w:rsidRPr="008910BB">
        <w:rPr>
          <w:rFonts w:ascii="Verdana" w:hAnsi="Verdana"/>
          <w:sz w:val="16"/>
          <w:szCs w:val="16"/>
          <w:lang w:val="es-ES"/>
        </w:rPr>
        <w:t xml:space="preserve">, párr. </w:t>
      </w:r>
      <w:r w:rsidR="005E6EE2" w:rsidRPr="008910BB">
        <w:rPr>
          <w:rFonts w:ascii="Verdana" w:hAnsi="Verdana"/>
          <w:sz w:val="16"/>
          <w:szCs w:val="16"/>
          <w:lang w:val="es-ES"/>
        </w:rPr>
        <w:t xml:space="preserve">105. </w:t>
      </w:r>
    </w:p>
  </w:footnote>
  <w:footnote w:id="8">
    <w:p w14:paraId="57247A85" w14:textId="0A38E8FD" w:rsidR="00497DD4" w:rsidRPr="008910BB" w:rsidRDefault="006B5B81" w:rsidP="005F6D97">
      <w:pPr>
        <w:pStyle w:val="FootnoteText"/>
        <w:spacing w:before="120" w:after="120"/>
        <w:jc w:val="both"/>
        <w:rPr>
          <w:rFonts w:ascii="Verdana" w:hAnsi="Verdana"/>
          <w:sz w:val="16"/>
          <w:szCs w:val="16"/>
        </w:rPr>
      </w:pPr>
      <w:r w:rsidRPr="005F6D97">
        <w:rPr>
          <w:rStyle w:val="FootnoteReference"/>
          <w:rFonts w:ascii="Verdana" w:hAnsi="Verdana"/>
          <w:sz w:val="16"/>
          <w:szCs w:val="16"/>
        </w:rPr>
        <w:footnoteRef/>
      </w:r>
      <w:r w:rsidRPr="005F6D97">
        <w:rPr>
          <w:rFonts w:ascii="Verdana" w:hAnsi="Verdana"/>
          <w:sz w:val="16"/>
          <w:szCs w:val="16"/>
        </w:rPr>
        <w:t xml:space="preserve"> </w:t>
      </w:r>
      <w:r w:rsidR="00CC27DB" w:rsidRPr="005F6D97">
        <w:rPr>
          <w:rFonts w:ascii="Verdana" w:hAnsi="Verdana"/>
          <w:sz w:val="16"/>
          <w:szCs w:val="16"/>
        </w:rPr>
        <w:tab/>
      </w:r>
      <w:r w:rsidR="00CC27DB" w:rsidRPr="005F6D97">
        <w:rPr>
          <w:rFonts w:ascii="Verdana" w:hAnsi="Verdana"/>
          <w:sz w:val="16"/>
          <w:szCs w:val="16"/>
          <w:lang w:val="es-ES"/>
        </w:rPr>
        <w:t>Caso</w:t>
      </w:r>
      <w:r w:rsidR="00CC27DB" w:rsidRPr="005F6D97">
        <w:rPr>
          <w:rFonts w:ascii="Verdana" w:hAnsi="Verdana"/>
          <w:i/>
          <w:sz w:val="16"/>
          <w:szCs w:val="16"/>
          <w:lang w:val="es-ES"/>
        </w:rPr>
        <w:t xml:space="preserve"> </w:t>
      </w:r>
      <w:proofErr w:type="spellStart"/>
      <w:r w:rsidR="00CC27DB" w:rsidRPr="005F6D97">
        <w:rPr>
          <w:rFonts w:ascii="Verdana" w:hAnsi="Verdana"/>
          <w:i/>
          <w:sz w:val="16"/>
          <w:szCs w:val="16"/>
          <w:lang w:val="es-ES"/>
        </w:rPr>
        <w:t>Brewer</w:t>
      </w:r>
      <w:proofErr w:type="spellEnd"/>
      <w:r w:rsidR="00CC27DB" w:rsidRPr="005F6D97">
        <w:rPr>
          <w:rFonts w:ascii="Verdana" w:hAnsi="Verdana"/>
          <w:i/>
          <w:sz w:val="16"/>
          <w:szCs w:val="16"/>
          <w:lang w:val="es-ES"/>
        </w:rPr>
        <w:t xml:space="preserve"> Carías Vs. Venezuela</w:t>
      </w:r>
      <w:r w:rsidR="00CC27DB" w:rsidRPr="005F6D97">
        <w:rPr>
          <w:rFonts w:ascii="Verdana" w:hAnsi="Verdana"/>
          <w:sz w:val="16"/>
          <w:szCs w:val="16"/>
          <w:lang w:val="es-ES"/>
        </w:rPr>
        <w:t xml:space="preserve">. </w:t>
      </w:r>
      <w:r w:rsidR="00CC27DB" w:rsidRPr="005F6D97">
        <w:rPr>
          <w:rFonts w:ascii="Verdana" w:hAnsi="Verdana"/>
          <w:i/>
          <w:sz w:val="16"/>
          <w:szCs w:val="16"/>
          <w:lang w:val="es-ES"/>
        </w:rPr>
        <w:t>Excepciones Preliminares</w:t>
      </w:r>
      <w:r w:rsidR="00CC27DB" w:rsidRPr="005F6D97">
        <w:rPr>
          <w:rFonts w:ascii="Verdana" w:hAnsi="Verdana"/>
          <w:sz w:val="16"/>
          <w:szCs w:val="16"/>
          <w:lang w:val="es-ES"/>
        </w:rPr>
        <w:t>, párr. 10</w:t>
      </w:r>
      <w:r w:rsidR="008347D6" w:rsidRPr="005F6D97">
        <w:rPr>
          <w:rFonts w:ascii="Verdana" w:hAnsi="Verdana"/>
          <w:sz w:val="16"/>
          <w:szCs w:val="16"/>
          <w:lang w:val="es-ES"/>
        </w:rPr>
        <w:t>4</w:t>
      </w:r>
      <w:r w:rsidR="00CC27DB" w:rsidRPr="005F6D97">
        <w:rPr>
          <w:rFonts w:ascii="Verdana" w:hAnsi="Verdana"/>
          <w:sz w:val="16"/>
          <w:szCs w:val="16"/>
          <w:lang w:val="es-ES"/>
        </w:rPr>
        <w:t>.</w:t>
      </w:r>
    </w:p>
  </w:footnote>
  <w:footnote w:id="9">
    <w:p w14:paraId="3146D7E5" w14:textId="444EE815" w:rsidR="00497DD4" w:rsidRPr="008910BB" w:rsidRDefault="00D81CC5" w:rsidP="005F6D97">
      <w:pPr>
        <w:pStyle w:val="FootnoteText"/>
        <w:spacing w:before="120" w:after="120"/>
        <w:jc w:val="both"/>
        <w:rPr>
          <w:rFonts w:ascii="Verdana" w:hAnsi="Verdana"/>
          <w:sz w:val="16"/>
          <w:szCs w:val="16"/>
          <w:lang w:val="es-ES"/>
        </w:rPr>
      </w:pPr>
      <w:r w:rsidRPr="008910BB">
        <w:rPr>
          <w:rStyle w:val="FootnoteReference"/>
          <w:rFonts w:ascii="Verdana" w:hAnsi="Verdana"/>
          <w:sz w:val="16"/>
          <w:szCs w:val="16"/>
        </w:rPr>
        <w:footnoteRef/>
      </w:r>
      <w:r w:rsidRPr="008910BB">
        <w:rPr>
          <w:rFonts w:ascii="Verdana" w:hAnsi="Verdana"/>
          <w:sz w:val="16"/>
          <w:szCs w:val="16"/>
        </w:rPr>
        <w:t xml:space="preserve"> </w:t>
      </w:r>
      <w:r w:rsidR="00CC27DB">
        <w:rPr>
          <w:rFonts w:ascii="Verdana" w:hAnsi="Verdana"/>
          <w:sz w:val="16"/>
          <w:szCs w:val="16"/>
          <w:lang w:val="es-ES"/>
        </w:rPr>
        <w:tab/>
      </w:r>
      <w:r w:rsidR="00AB2026" w:rsidRPr="008910BB">
        <w:rPr>
          <w:rFonts w:ascii="Verdana" w:hAnsi="Verdana"/>
          <w:i/>
          <w:sz w:val="16"/>
          <w:szCs w:val="16"/>
          <w:lang w:val="es-ES"/>
        </w:rPr>
        <w:t xml:space="preserve">Caso </w:t>
      </w:r>
      <w:proofErr w:type="spellStart"/>
      <w:r w:rsidR="00AB2026" w:rsidRPr="008910BB">
        <w:rPr>
          <w:rFonts w:ascii="Verdana" w:hAnsi="Verdana"/>
          <w:i/>
          <w:sz w:val="16"/>
          <w:szCs w:val="16"/>
          <w:lang w:val="es-ES"/>
        </w:rPr>
        <w:t>Brewer</w:t>
      </w:r>
      <w:proofErr w:type="spellEnd"/>
      <w:r w:rsidR="00AB2026" w:rsidRPr="008910BB">
        <w:rPr>
          <w:rFonts w:ascii="Verdana" w:hAnsi="Verdana"/>
          <w:i/>
          <w:sz w:val="16"/>
          <w:szCs w:val="16"/>
          <w:lang w:val="es-ES"/>
        </w:rPr>
        <w:t xml:space="preserve"> Carías Vs. Venezuela</w:t>
      </w:r>
      <w:r w:rsidR="00245C36" w:rsidRPr="008910BB">
        <w:rPr>
          <w:rFonts w:ascii="Verdana" w:hAnsi="Verdana"/>
          <w:sz w:val="16"/>
          <w:szCs w:val="16"/>
          <w:lang w:val="es-ES"/>
        </w:rPr>
        <w:t xml:space="preserve">. </w:t>
      </w:r>
      <w:r w:rsidR="00245C36" w:rsidRPr="008910BB">
        <w:rPr>
          <w:rFonts w:ascii="Verdana" w:hAnsi="Verdana"/>
          <w:i/>
          <w:sz w:val="16"/>
          <w:szCs w:val="16"/>
          <w:lang w:val="es-ES"/>
        </w:rPr>
        <w:t xml:space="preserve">Excepciones </w:t>
      </w:r>
      <w:r w:rsidR="00E24DA8">
        <w:rPr>
          <w:rFonts w:ascii="Verdana" w:hAnsi="Verdana"/>
          <w:i/>
          <w:sz w:val="16"/>
          <w:szCs w:val="16"/>
          <w:lang w:val="es-ES"/>
        </w:rPr>
        <w:t>P</w:t>
      </w:r>
      <w:r w:rsidR="00AB2026" w:rsidRPr="008910BB">
        <w:rPr>
          <w:rFonts w:ascii="Verdana" w:hAnsi="Verdana"/>
          <w:i/>
          <w:sz w:val="16"/>
          <w:szCs w:val="16"/>
          <w:lang w:val="es-ES"/>
        </w:rPr>
        <w:t>reliminares</w:t>
      </w:r>
      <w:r w:rsidR="00AB2026" w:rsidRPr="008910BB">
        <w:rPr>
          <w:rFonts w:ascii="Verdana" w:hAnsi="Verdana"/>
          <w:sz w:val="16"/>
          <w:szCs w:val="16"/>
          <w:lang w:val="es-ES"/>
        </w:rPr>
        <w:t>, párr.</w:t>
      </w:r>
      <w:r w:rsidR="00E24DA8">
        <w:rPr>
          <w:rFonts w:ascii="Verdana" w:hAnsi="Verdana"/>
          <w:sz w:val="16"/>
          <w:szCs w:val="16"/>
          <w:lang w:val="es-ES"/>
        </w:rPr>
        <w:t xml:space="preserve"> </w:t>
      </w:r>
      <w:r w:rsidR="00AB2026" w:rsidRPr="008910BB">
        <w:rPr>
          <w:rFonts w:ascii="Verdana" w:hAnsi="Verdana"/>
          <w:sz w:val="16"/>
          <w:szCs w:val="16"/>
          <w:lang w:val="es-ES"/>
        </w:rPr>
        <w:t>98</w:t>
      </w:r>
      <w:r w:rsidR="00E24DA8">
        <w:rPr>
          <w:rFonts w:ascii="Verdana" w:hAnsi="Verdana"/>
          <w:sz w:val="16"/>
          <w:szCs w:val="16"/>
          <w:lang w:val="es-ES"/>
        </w:rPr>
        <w:t>.</w:t>
      </w:r>
    </w:p>
  </w:footnote>
  <w:footnote w:id="10">
    <w:p w14:paraId="5D307F8D" w14:textId="6D1B43C1" w:rsidR="005F6D97" w:rsidRPr="005F6D97" w:rsidRDefault="005F0EFF" w:rsidP="005F6D97">
      <w:pPr>
        <w:pStyle w:val="NormalWeb"/>
        <w:spacing w:before="120" w:beforeAutospacing="0" w:after="120" w:afterAutospacing="0"/>
        <w:ind w:right="75"/>
        <w:jc w:val="both"/>
        <w:rPr>
          <w:rFonts w:ascii="Verdana" w:hAnsi="Verdana" w:cs="Tahoma"/>
          <w:color w:val="000000"/>
          <w:sz w:val="16"/>
          <w:szCs w:val="16"/>
          <w:lang w:val="es-CR"/>
        </w:rPr>
      </w:pPr>
      <w:r w:rsidRPr="005F6D97">
        <w:rPr>
          <w:rStyle w:val="FootnoteReference"/>
          <w:rFonts w:ascii="Verdana" w:hAnsi="Verdana"/>
          <w:sz w:val="16"/>
          <w:szCs w:val="16"/>
        </w:rPr>
        <w:footnoteRef/>
      </w:r>
      <w:r w:rsidRPr="005F6D97">
        <w:rPr>
          <w:rFonts w:ascii="Verdana" w:hAnsi="Verdana"/>
          <w:sz w:val="16"/>
          <w:szCs w:val="16"/>
          <w:lang w:val="es-CR"/>
        </w:rPr>
        <w:t xml:space="preserve"> </w:t>
      </w:r>
      <w:r w:rsidRPr="005F6D97">
        <w:rPr>
          <w:rFonts w:ascii="Verdana" w:hAnsi="Verdana"/>
          <w:i/>
          <w:sz w:val="16"/>
          <w:szCs w:val="16"/>
          <w:lang w:val="es-ES"/>
        </w:rPr>
        <w:tab/>
      </w:r>
      <w:r w:rsidRPr="005F6D97">
        <w:rPr>
          <w:rFonts w:ascii="Verdana" w:hAnsi="Verdana" w:cs="Tahoma"/>
          <w:color w:val="000000"/>
          <w:sz w:val="16"/>
          <w:szCs w:val="16"/>
          <w:lang w:val="es-CR"/>
        </w:rPr>
        <w:t xml:space="preserve">El artículo 46 de la Convención Americana establece lo siguiente: 1. Para que una petición o comunicación presentada conforme a los artículos 44 </w:t>
      </w:r>
      <w:proofErr w:type="spellStart"/>
      <w:r w:rsidRPr="005F6D97">
        <w:rPr>
          <w:rFonts w:ascii="Verdana" w:hAnsi="Verdana" w:cs="Tahoma"/>
          <w:color w:val="000000"/>
          <w:sz w:val="16"/>
          <w:szCs w:val="16"/>
          <w:lang w:val="es-CR"/>
        </w:rPr>
        <w:t>ó</w:t>
      </w:r>
      <w:proofErr w:type="spellEnd"/>
      <w:r w:rsidRPr="005F6D97">
        <w:rPr>
          <w:rFonts w:ascii="Verdana" w:hAnsi="Verdana" w:cs="Tahoma"/>
          <w:color w:val="000000"/>
          <w:sz w:val="16"/>
          <w:szCs w:val="16"/>
          <w:lang w:val="es-CR"/>
        </w:rPr>
        <w:t xml:space="preserve"> 45 sea admitida por la Comisión, se requerirá: a) que se hayan interpuesto y agotado los recursos de jurisdicción interna, conforme a los principios del Derecho Internacional generalmente reconocidos; b) que sea presentada dentro del plazo de seis meses, a partir de la fecha en que el presunto lesionado en sus derechos haya sido notificado de la decisión definitiva; c) que la materia de la petición o comunicación no esté pendiente de otro procedimiento de arreglo internacional, y d) que en el caso del artículo 44 la petición contenga el nombre, la nacionalidad, la profesión, el domicilio y la firma de la persona o personas o del representante legal de la entidad que somete la petición. 2. Las disposiciones de los incisos 1.a. y 1.b. del presente artículo no se aplicarán cuando: a) no exista en la legislación interna del Estado de que se trata el debido proceso legal para la protección del derecho o derechos que se alega han sido violados; b) no se haya permitido al presunto lesionado en sus derechos el acceso a los recursos de la jurisdicción interna, o haya sido impedido de agotarlos, y c) haya retardo injustificado en la decisión sobre los mencionados recursos.</w:t>
      </w:r>
    </w:p>
  </w:footnote>
  <w:footnote w:id="11">
    <w:p w14:paraId="2476608D" w14:textId="562D46A6" w:rsidR="00024D7D" w:rsidRPr="008910BB" w:rsidRDefault="00024D7D" w:rsidP="00B328AA">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Pr="008910BB">
        <w:rPr>
          <w:rFonts w:ascii="Verdana" w:hAnsi="Verdana"/>
          <w:sz w:val="16"/>
          <w:szCs w:val="16"/>
        </w:rPr>
        <w:t xml:space="preserve"> </w:t>
      </w:r>
      <w:r w:rsidR="005F0EFF">
        <w:rPr>
          <w:rFonts w:ascii="Verdana" w:hAnsi="Verdana"/>
          <w:sz w:val="16"/>
          <w:szCs w:val="16"/>
        </w:rPr>
        <w:tab/>
      </w:r>
      <w:r w:rsidR="00582FDB" w:rsidRPr="009D7294">
        <w:rPr>
          <w:rFonts w:ascii="Verdana" w:hAnsi="Verdana"/>
          <w:i/>
          <w:sz w:val="16"/>
          <w:szCs w:val="16"/>
        </w:rPr>
        <w:t>Cfr.</w:t>
      </w:r>
      <w:r w:rsidR="00582FDB">
        <w:rPr>
          <w:rFonts w:ascii="Verdana" w:hAnsi="Verdana"/>
          <w:sz w:val="16"/>
          <w:szCs w:val="16"/>
        </w:rPr>
        <w:t xml:space="preserve"> </w:t>
      </w:r>
      <w:r w:rsidR="00245C36" w:rsidRPr="008910BB">
        <w:rPr>
          <w:rFonts w:ascii="Verdana" w:hAnsi="Verdana"/>
          <w:sz w:val="16"/>
          <w:szCs w:val="16"/>
        </w:rPr>
        <w:t xml:space="preserve">Caso </w:t>
      </w:r>
      <w:r w:rsidR="00A11A70">
        <w:rPr>
          <w:rFonts w:ascii="Verdana" w:hAnsi="Verdana"/>
          <w:i/>
          <w:sz w:val="16"/>
          <w:szCs w:val="16"/>
        </w:rPr>
        <w:t>Lagos del Campo Vs. Perú</w:t>
      </w:r>
      <w:r w:rsidR="00245C36" w:rsidRPr="008910BB">
        <w:rPr>
          <w:rFonts w:ascii="Verdana" w:hAnsi="Verdana"/>
          <w:sz w:val="16"/>
          <w:szCs w:val="16"/>
        </w:rPr>
        <w:t>, párr.</w:t>
      </w:r>
      <w:r w:rsidR="00243034">
        <w:rPr>
          <w:rFonts w:ascii="Verdana" w:hAnsi="Verdana"/>
          <w:sz w:val="16"/>
          <w:szCs w:val="16"/>
        </w:rPr>
        <w:t xml:space="preserve"> </w:t>
      </w:r>
      <w:r w:rsidR="00245C36" w:rsidRPr="008910BB">
        <w:rPr>
          <w:rFonts w:ascii="Verdana" w:hAnsi="Verdana"/>
          <w:sz w:val="16"/>
          <w:szCs w:val="16"/>
        </w:rPr>
        <w:t>154</w:t>
      </w:r>
      <w:r w:rsidR="00013E01">
        <w:rPr>
          <w:rFonts w:ascii="Verdana" w:hAnsi="Verdana"/>
          <w:sz w:val="16"/>
          <w:szCs w:val="16"/>
        </w:rPr>
        <w:t>.</w:t>
      </w:r>
    </w:p>
  </w:footnote>
  <w:footnote w:id="12">
    <w:p w14:paraId="6C62D3A4" w14:textId="1EFE3C52" w:rsidR="006A17BE" w:rsidRPr="001C3BD2" w:rsidRDefault="00CD29C6" w:rsidP="005F6D97">
      <w:pPr>
        <w:pStyle w:val="FootnoteText"/>
        <w:spacing w:before="120" w:after="120"/>
        <w:jc w:val="both"/>
        <w:rPr>
          <w:rFonts w:ascii="Verdana" w:hAnsi="Verdana"/>
          <w:bCs/>
          <w:color w:val="000000"/>
          <w:sz w:val="16"/>
          <w:szCs w:val="16"/>
          <w:shd w:val="clear" w:color="auto" w:fill="FFFFFF"/>
        </w:rPr>
      </w:pPr>
      <w:r w:rsidRPr="008910BB">
        <w:rPr>
          <w:rStyle w:val="FootnoteReference"/>
          <w:rFonts w:ascii="Verdana" w:hAnsi="Verdana"/>
          <w:sz w:val="16"/>
          <w:szCs w:val="16"/>
        </w:rPr>
        <w:footnoteRef/>
      </w:r>
      <w:r w:rsidR="00582FDB">
        <w:rPr>
          <w:rFonts w:ascii="Verdana" w:hAnsi="Verdana"/>
          <w:sz w:val="16"/>
          <w:szCs w:val="16"/>
        </w:rPr>
        <w:t xml:space="preserve"> </w:t>
      </w:r>
      <w:r w:rsidR="005F0EFF">
        <w:rPr>
          <w:rFonts w:ascii="Verdana" w:hAnsi="Verdana"/>
          <w:sz w:val="16"/>
          <w:szCs w:val="16"/>
        </w:rPr>
        <w:tab/>
      </w:r>
      <w:r w:rsidR="003F145B">
        <w:rPr>
          <w:rFonts w:ascii="Verdana" w:hAnsi="Verdana"/>
          <w:i/>
          <w:sz w:val="16"/>
          <w:szCs w:val="16"/>
        </w:rPr>
        <w:t xml:space="preserve">Cfr. </w:t>
      </w:r>
      <w:r w:rsidR="00102F6A" w:rsidRPr="008910BB">
        <w:rPr>
          <w:rFonts w:ascii="Verdana" w:hAnsi="Verdana"/>
          <w:sz w:val="16"/>
          <w:szCs w:val="16"/>
        </w:rPr>
        <w:t>Caso</w:t>
      </w:r>
      <w:r w:rsidRPr="008910BB">
        <w:rPr>
          <w:rFonts w:ascii="Verdana" w:hAnsi="Verdana"/>
          <w:sz w:val="16"/>
          <w:szCs w:val="16"/>
        </w:rPr>
        <w:t xml:space="preserve"> </w:t>
      </w:r>
      <w:r w:rsidR="00294008" w:rsidRPr="008910BB">
        <w:rPr>
          <w:rFonts w:ascii="Verdana" w:hAnsi="Verdana"/>
          <w:i/>
          <w:sz w:val="16"/>
          <w:szCs w:val="16"/>
        </w:rPr>
        <w:t>“</w:t>
      </w:r>
      <w:r w:rsidRPr="008910BB">
        <w:rPr>
          <w:rStyle w:val="Strong"/>
          <w:rFonts w:ascii="Verdana" w:hAnsi="Verdana"/>
          <w:b w:val="0"/>
          <w:i/>
          <w:color w:val="000000"/>
          <w:sz w:val="16"/>
          <w:szCs w:val="16"/>
          <w:shd w:val="clear" w:color="auto" w:fill="FFFFFF"/>
        </w:rPr>
        <w:t xml:space="preserve">Otros tratados" objeto de la función consultiva </w:t>
      </w:r>
      <w:r w:rsidR="00B328AA">
        <w:rPr>
          <w:rStyle w:val="Strong"/>
          <w:rFonts w:ascii="Verdana" w:hAnsi="Verdana"/>
          <w:b w:val="0"/>
          <w:i/>
          <w:color w:val="000000"/>
          <w:sz w:val="16"/>
          <w:szCs w:val="16"/>
          <w:shd w:val="clear" w:color="auto" w:fill="FFFFFF"/>
        </w:rPr>
        <w:t>de la Corte (Art. 64 Convención</w:t>
      </w:r>
      <w:r w:rsidR="001C3BD2">
        <w:rPr>
          <w:rStyle w:val="Strong"/>
          <w:rFonts w:ascii="Verdana" w:hAnsi="Verdana"/>
          <w:b w:val="0"/>
          <w:i/>
          <w:color w:val="000000"/>
          <w:sz w:val="16"/>
          <w:szCs w:val="16"/>
          <w:shd w:val="clear" w:color="auto" w:fill="FFFFFF"/>
        </w:rPr>
        <w:t xml:space="preserve"> </w:t>
      </w:r>
      <w:r w:rsidRPr="008910BB">
        <w:rPr>
          <w:rStyle w:val="Strong"/>
          <w:rFonts w:ascii="Verdana" w:hAnsi="Verdana"/>
          <w:b w:val="0"/>
          <w:i/>
          <w:color w:val="000000"/>
          <w:sz w:val="16"/>
          <w:szCs w:val="16"/>
          <w:shd w:val="clear" w:color="auto" w:fill="FFFFFF"/>
        </w:rPr>
        <w:t>Americana sobre Derechos Humanos).</w:t>
      </w:r>
      <w:r w:rsidRPr="008910BB">
        <w:rPr>
          <w:rStyle w:val="Strong"/>
          <w:rFonts w:ascii="Verdana" w:hAnsi="Verdana"/>
          <w:b w:val="0"/>
          <w:color w:val="000000"/>
          <w:sz w:val="16"/>
          <w:szCs w:val="16"/>
          <w:shd w:val="clear" w:color="auto" w:fill="FFFFFF"/>
        </w:rPr>
        <w:t xml:space="preserve"> </w:t>
      </w:r>
      <w:r w:rsidRPr="00B328AA">
        <w:rPr>
          <w:rStyle w:val="Strong"/>
          <w:rFonts w:ascii="Verdana" w:hAnsi="Verdana"/>
          <w:b w:val="0"/>
          <w:i/>
          <w:color w:val="000000"/>
          <w:sz w:val="16"/>
          <w:szCs w:val="16"/>
          <w:shd w:val="clear" w:color="auto" w:fill="FFFFFF"/>
        </w:rPr>
        <w:t>Opinión Consultiva OC-1/82 de 24 de septiembre de 1982.</w:t>
      </w:r>
      <w:r w:rsidR="00A11A70">
        <w:rPr>
          <w:rStyle w:val="Strong"/>
          <w:rFonts w:ascii="Verdana" w:hAnsi="Verdana"/>
          <w:b w:val="0"/>
          <w:color w:val="000000"/>
          <w:sz w:val="16"/>
          <w:szCs w:val="16"/>
          <w:shd w:val="clear" w:color="auto" w:fill="FFFFFF"/>
        </w:rPr>
        <w:t xml:space="preserve"> Serie A No. 1</w:t>
      </w:r>
      <w:r w:rsidRPr="008910BB">
        <w:rPr>
          <w:rStyle w:val="Strong"/>
          <w:rFonts w:ascii="Verdana" w:hAnsi="Verdana"/>
          <w:b w:val="0"/>
          <w:color w:val="000000"/>
          <w:sz w:val="16"/>
          <w:szCs w:val="16"/>
          <w:shd w:val="clear" w:color="auto" w:fill="FFFFFF"/>
        </w:rPr>
        <w:t xml:space="preserve">, párr. 33, y </w:t>
      </w:r>
      <w:r w:rsidRPr="008910BB">
        <w:rPr>
          <w:rStyle w:val="Strong"/>
          <w:rFonts w:ascii="Verdana" w:hAnsi="Verdana"/>
          <w:b w:val="0"/>
          <w:i/>
          <w:color w:val="000000"/>
          <w:sz w:val="16"/>
          <w:szCs w:val="16"/>
          <w:shd w:val="clear" w:color="auto" w:fill="FFFFFF"/>
        </w:rPr>
        <w:t xml:space="preserve"> Restricciones a la pena de muerte (Arts. 4.2 y 4.4 Convención Americana sobre Derechos </w:t>
      </w:r>
      <w:r w:rsidRPr="001C3BD2">
        <w:rPr>
          <w:rStyle w:val="Strong"/>
          <w:rFonts w:ascii="Verdana" w:hAnsi="Verdana"/>
          <w:b w:val="0"/>
          <w:i/>
          <w:color w:val="000000"/>
          <w:sz w:val="16"/>
          <w:szCs w:val="16"/>
          <w:shd w:val="clear" w:color="auto" w:fill="FFFFFF"/>
        </w:rPr>
        <w:t>Humanos).</w:t>
      </w:r>
      <w:r w:rsidR="008910BB" w:rsidRPr="001C3BD2">
        <w:rPr>
          <w:rStyle w:val="Strong"/>
          <w:rFonts w:ascii="Verdana" w:hAnsi="Verdana"/>
          <w:b w:val="0"/>
          <w:color w:val="000000"/>
          <w:sz w:val="16"/>
          <w:szCs w:val="16"/>
          <w:shd w:val="clear" w:color="auto" w:fill="FFFFFF"/>
        </w:rPr>
        <w:t xml:space="preserve"> Opinión Consul</w:t>
      </w:r>
      <w:r w:rsidRPr="001C3BD2">
        <w:rPr>
          <w:rStyle w:val="Strong"/>
          <w:rFonts w:ascii="Verdana" w:hAnsi="Verdana"/>
          <w:b w:val="0"/>
          <w:color w:val="000000"/>
          <w:sz w:val="16"/>
          <w:szCs w:val="16"/>
          <w:shd w:val="clear" w:color="auto" w:fill="FFFFFF"/>
        </w:rPr>
        <w:t>tiva OC-3/83 de 8 de se</w:t>
      </w:r>
      <w:r w:rsidR="00A11A70">
        <w:rPr>
          <w:rStyle w:val="Strong"/>
          <w:rFonts w:ascii="Verdana" w:hAnsi="Verdana"/>
          <w:b w:val="0"/>
          <w:color w:val="000000"/>
          <w:sz w:val="16"/>
          <w:szCs w:val="16"/>
          <w:shd w:val="clear" w:color="auto" w:fill="FFFFFF"/>
        </w:rPr>
        <w:t>ptiembre de 1983. Serie A No. 3</w:t>
      </w:r>
      <w:r w:rsidRPr="001C3BD2">
        <w:rPr>
          <w:rStyle w:val="Strong"/>
          <w:rFonts w:ascii="Verdana" w:hAnsi="Verdana"/>
          <w:b w:val="0"/>
          <w:color w:val="000000"/>
          <w:sz w:val="16"/>
          <w:szCs w:val="16"/>
          <w:shd w:val="clear" w:color="auto" w:fill="FFFFFF"/>
        </w:rPr>
        <w:t xml:space="preserve">, </w:t>
      </w:r>
      <w:proofErr w:type="spellStart"/>
      <w:r w:rsidRPr="001C3BD2">
        <w:rPr>
          <w:rStyle w:val="Strong"/>
          <w:rFonts w:ascii="Verdana" w:hAnsi="Verdana"/>
          <w:b w:val="0"/>
          <w:color w:val="000000"/>
          <w:sz w:val="16"/>
          <w:szCs w:val="16"/>
          <w:shd w:val="clear" w:color="auto" w:fill="FFFFFF"/>
        </w:rPr>
        <w:t>párr</w:t>
      </w:r>
      <w:r w:rsidR="006B0410">
        <w:rPr>
          <w:rStyle w:val="Strong"/>
          <w:rFonts w:ascii="Verdana" w:hAnsi="Verdana"/>
          <w:b w:val="0"/>
          <w:color w:val="000000"/>
          <w:sz w:val="16"/>
          <w:szCs w:val="16"/>
          <w:shd w:val="clear" w:color="auto" w:fill="FFFFFF"/>
        </w:rPr>
        <w:t>s</w:t>
      </w:r>
      <w:proofErr w:type="spellEnd"/>
      <w:r w:rsidRPr="001C3BD2">
        <w:rPr>
          <w:rStyle w:val="Strong"/>
          <w:rFonts w:ascii="Verdana" w:hAnsi="Verdana"/>
          <w:b w:val="0"/>
          <w:color w:val="000000"/>
          <w:sz w:val="16"/>
          <w:szCs w:val="16"/>
          <w:shd w:val="clear" w:color="auto" w:fill="FFFFFF"/>
        </w:rPr>
        <w:t>. 48</w:t>
      </w:r>
      <w:r w:rsidR="002645C3" w:rsidRPr="001C3BD2">
        <w:rPr>
          <w:rStyle w:val="Strong"/>
          <w:rFonts w:ascii="Verdana" w:hAnsi="Verdana"/>
          <w:b w:val="0"/>
          <w:color w:val="000000"/>
          <w:sz w:val="16"/>
          <w:szCs w:val="16"/>
          <w:shd w:val="clear" w:color="auto" w:fill="FFFFFF"/>
        </w:rPr>
        <w:t xml:space="preserve"> </w:t>
      </w:r>
      <w:r w:rsidR="005F0EFF" w:rsidRPr="001C3BD2">
        <w:rPr>
          <w:rStyle w:val="Strong"/>
          <w:rFonts w:ascii="Verdana" w:hAnsi="Verdana"/>
          <w:b w:val="0"/>
          <w:color w:val="000000"/>
          <w:sz w:val="16"/>
          <w:szCs w:val="16"/>
          <w:shd w:val="clear" w:color="auto" w:fill="FFFFFF"/>
        </w:rPr>
        <w:t>y</w:t>
      </w:r>
      <w:r w:rsidR="002645C3" w:rsidRPr="001C3BD2">
        <w:rPr>
          <w:rStyle w:val="Strong"/>
          <w:rFonts w:ascii="Verdana" w:hAnsi="Verdana"/>
          <w:b w:val="0"/>
          <w:color w:val="000000"/>
          <w:sz w:val="16"/>
          <w:szCs w:val="16"/>
          <w:shd w:val="clear" w:color="auto" w:fill="FFFFFF"/>
        </w:rPr>
        <w:t xml:space="preserve"> 49</w:t>
      </w:r>
      <w:r w:rsidRPr="001C3BD2">
        <w:rPr>
          <w:rStyle w:val="Strong"/>
          <w:rFonts w:ascii="Verdana" w:hAnsi="Verdana"/>
          <w:b w:val="0"/>
          <w:color w:val="000000"/>
          <w:sz w:val="16"/>
          <w:szCs w:val="16"/>
          <w:shd w:val="clear" w:color="auto" w:fill="FFFFFF"/>
        </w:rPr>
        <w:t>.</w:t>
      </w:r>
    </w:p>
  </w:footnote>
  <w:footnote w:id="13">
    <w:p w14:paraId="4325C325" w14:textId="0A079EF3" w:rsidR="005F0EFF" w:rsidRPr="00B328AA" w:rsidRDefault="005F0EFF" w:rsidP="00B328AA">
      <w:pPr>
        <w:pStyle w:val="NormalWeb"/>
        <w:spacing w:before="120" w:beforeAutospacing="0" w:after="120" w:afterAutospacing="0"/>
        <w:ind w:right="74"/>
        <w:jc w:val="both"/>
        <w:rPr>
          <w:rFonts w:ascii="Verdana" w:hAnsi="Verdana" w:cs="Tahoma"/>
          <w:color w:val="000000"/>
          <w:sz w:val="16"/>
          <w:szCs w:val="16"/>
          <w:lang w:val="es-CR"/>
        </w:rPr>
      </w:pPr>
      <w:r w:rsidRPr="00B328AA">
        <w:rPr>
          <w:rStyle w:val="FootnoteReference"/>
          <w:rFonts w:ascii="Verdana" w:hAnsi="Verdana"/>
          <w:sz w:val="16"/>
          <w:szCs w:val="16"/>
          <w:lang w:val="es-MX" w:eastAsia="es-CR"/>
        </w:rPr>
        <w:footnoteRef/>
      </w:r>
      <w:r w:rsidRPr="00B328AA">
        <w:rPr>
          <w:rStyle w:val="FootnoteReference"/>
          <w:sz w:val="16"/>
          <w:szCs w:val="16"/>
          <w:lang w:val="es-MX" w:eastAsia="es-CR"/>
        </w:rPr>
        <w:t xml:space="preserve"> </w:t>
      </w:r>
      <w:r w:rsidRPr="00B328AA">
        <w:rPr>
          <w:rFonts w:ascii="Verdana" w:hAnsi="Verdana"/>
          <w:lang w:val="es-CR"/>
        </w:rPr>
        <w:tab/>
      </w:r>
      <w:r w:rsidRPr="00B328AA">
        <w:rPr>
          <w:rFonts w:ascii="Verdana" w:hAnsi="Verdana"/>
          <w:sz w:val="16"/>
          <w:szCs w:val="16"/>
          <w:lang w:val="es-CR"/>
        </w:rPr>
        <w:t>El artículo 29</w:t>
      </w:r>
      <w:r w:rsidR="00B37179" w:rsidRPr="00B328AA">
        <w:rPr>
          <w:rFonts w:ascii="Verdana" w:hAnsi="Verdana"/>
          <w:sz w:val="16"/>
          <w:szCs w:val="16"/>
          <w:lang w:val="es-CR"/>
        </w:rPr>
        <w:t xml:space="preserve"> de la Convención Americana</w:t>
      </w:r>
      <w:r w:rsidRPr="00B328AA">
        <w:rPr>
          <w:rFonts w:ascii="Verdana" w:hAnsi="Verdana"/>
          <w:sz w:val="16"/>
          <w:szCs w:val="16"/>
          <w:lang w:val="es-CR"/>
        </w:rPr>
        <w:t xml:space="preserve"> establece lo siguiente: </w:t>
      </w:r>
      <w:r w:rsidRPr="00B328AA">
        <w:rPr>
          <w:rFonts w:ascii="Verdana" w:hAnsi="Verdana" w:cs="Tahoma"/>
          <w:color w:val="000000"/>
          <w:sz w:val="16"/>
          <w:szCs w:val="16"/>
          <w:lang w:val="es-CR"/>
        </w:rPr>
        <w:t>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r w:rsidRPr="009D7294">
        <w:rPr>
          <w:rFonts w:ascii="Verdana" w:hAnsi="Verdana" w:cs="Tahoma"/>
          <w:color w:val="000000"/>
          <w:sz w:val="16"/>
          <w:szCs w:val="16"/>
          <w:lang w:val="es-CR"/>
        </w:rPr>
        <w:t xml:space="preserve"> </w:t>
      </w:r>
    </w:p>
  </w:footnote>
  <w:footnote w:id="14">
    <w:p w14:paraId="265E334A" w14:textId="375C3CB6" w:rsidR="006A17BE" w:rsidRPr="00D6255B" w:rsidRDefault="003D1128" w:rsidP="005F6D97">
      <w:pPr>
        <w:pStyle w:val="FootnoteText"/>
        <w:spacing w:before="120" w:after="120"/>
        <w:jc w:val="both"/>
        <w:rPr>
          <w:rFonts w:ascii="Verdana" w:eastAsia="Batang" w:hAnsi="Verdana"/>
          <w:bCs/>
          <w:color w:val="000000"/>
          <w:sz w:val="16"/>
          <w:szCs w:val="16"/>
          <w:shd w:val="clear" w:color="auto" w:fill="FFFFFF"/>
        </w:rPr>
      </w:pPr>
      <w:r w:rsidRPr="00B328AA">
        <w:rPr>
          <w:rStyle w:val="FootnoteReference"/>
          <w:rFonts w:ascii="Verdana" w:hAnsi="Verdana"/>
          <w:sz w:val="16"/>
          <w:szCs w:val="16"/>
        </w:rPr>
        <w:footnoteRef/>
      </w:r>
      <w:r w:rsidRPr="00B328AA">
        <w:rPr>
          <w:rFonts w:ascii="Verdana" w:hAnsi="Verdana"/>
          <w:sz w:val="16"/>
          <w:szCs w:val="16"/>
        </w:rPr>
        <w:t xml:space="preserve"> </w:t>
      </w:r>
      <w:r w:rsidR="005F0EFF" w:rsidRPr="00B328AA">
        <w:rPr>
          <w:rFonts w:ascii="Verdana" w:hAnsi="Verdana"/>
          <w:sz w:val="16"/>
          <w:szCs w:val="16"/>
        </w:rPr>
        <w:tab/>
      </w:r>
      <w:r w:rsidR="00EC71E7" w:rsidRPr="00B328AA">
        <w:rPr>
          <w:rFonts w:ascii="Verdana" w:hAnsi="Verdana"/>
          <w:i/>
          <w:sz w:val="16"/>
          <w:szCs w:val="16"/>
        </w:rPr>
        <w:t xml:space="preserve">Cfr. </w:t>
      </w:r>
      <w:r w:rsidR="00D95E11" w:rsidRPr="00B328AA">
        <w:rPr>
          <w:rFonts w:ascii="Verdana" w:hAnsi="Verdana"/>
          <w:i/>
          <w:sz w:val="16"/>
          <w:szCs w:val="16"/>
        </w:rPr>
        <w:t>Propuesta de Modificación a la Constitución P</w:t>
      </w:r>
      <w:r w:rsidR="004A12AB" w:rsidRPr="00B328AA">
        <w:rPr>
          <w:rFonts w:ascii="Verdana" w:hAnsi="Verdana"/>
          <w:i/>
          <w:sz w:val="16"/>
          <w:szCs w:val="16"/>
        </w:rPr>
        <w:t>olítica de Costa Rica relacionada con la naturalización.</w:t>
      </w:r>
      <w:r w:rsidR="004A12AB" w:rsidRPr="00B328AA">
        <w:rPr>
          <w:rFonts w:ascii="Verdana" w:hAnsi="Verdana"/>
          <w:sz w:val="16"/>
          <w:szCs w:val="16"/>
        </w:rPr>
        <w:t xml:space="preserve"> Opinión Consultiva OC-</w:t>
      </w:r>
      <w:r w:rsidR="008F45AF" w:rsidRPr="00B328AA">
        <w:rPr>
          <w:rFonts w:ascii="Verdana" w:hAnsi="Verdana"/>
          <w:sz w:val="16"/>
          <w:szCs w:val="16"/>
        </w:rPr>
        <w:t xml:space="preserve">4/84. Serie A No. 4, párr. 20, y </w:t>
      </w:r>
      <w:r w:rsidR="008F45AF" w:rsidRPr="00B328AA">
        <w:rPr>
          <w:rFonts w:ascii="Verdana" w:hAnsi="Verdana"/>
          <w:bCs/>
          <w:i/>
          <w:sz w:val="16"/>
          <w:szCs w:val="16"/>
          <w:lang w:val="es-CR"/>
        </w:rPr>
        <w:t>Derechos y garantías de niñas y niños en el contexto de la migración</w:t>
      </w:r>
      <w:r w:rsidR="002F16AB" w:rsidRPr="00B328AA">
        <w:rPr>
          <w:rFonts w:ascii="Verdana" w:hAnsi="Verdana"/>
          <w:bCs/>
          <w:i/>
          <w:sz w:val="16"/>
          <w:szCs w:val="16"/>
          <w:lang w:val="es-CR"/>
        </w:rPr>
        <w:t xml:space="preserve"> y/o en necesidad de protección internacional. </w:t>
      </w:r>
      <w:r w:rsidR="002F16AB" w:rsidRPr="00B328AA">
        <w:rPr>
          <w:rFonts w:ascii="Verdana" w:hAnsi="Verdana"/>
          <w:bCs/>
          <w:sz w:val="16"/>
          <w:szCs w:val="16"/>
          <w:lang w:val="es-CR"/>
        </w:rPr>
        <w:t>Opinión Consultiva OC-21/14</w:t>
      </w:r>
      <w:r w:rsidR="008416AE" w:rsidRPr="00B328AA">
        <w:rPr>
          <w:rFonts w:ascii="Verdana" w:hAnsi="Verdana"/>
          <w:bCs/>
          <w:sz w:val="16"/>
          <w:szCs w:val="16"/>
          <w:lang w:val="es-CR"/>
        </w:rPr>
        <w:t>. Serie A No. 21, párr. 54.</w:t>
      </w:r>
    </w:p>
  </w:footnote>
  <w:footnote w:id="15">
    <w:p w14:paraId="36EFDEB6" w14:textId="25DF6C95" w:rsidR="004B6907" w:rsidRPr="008910BB" w:rsidRDefault="004B6907" w:rsidP="005F6D97">
      <w:pPr>
        <w:tabs>
          <w:tab w:val="left" w:pos="450"/>
          <w:tab w:val="left" w:pos="709"/>
        </w:tabs>
        <w:spacing w:before="120" w:after="120"/>
        <w:jc w:val="both"/>
        <w:rPr>
          <w:rFonts w:ascii="Verdana" w:eastAsiaTheme="minorHAnsi" w:hAnsi="Verdana" w:cstheme="minorBidi"/>
          <w:b/>
          <w:sz w:val="16"/>
          <w:szCs w:val="16"/>
          <w:lang w:eastAsia="en-US"/>
        </w:rPr>
      </w:pPr>
      <w:r w:rsidRPr="008910BB">
        <w:rPr>
          <w:rStyle w:val="FootnoteReference"/>
          <w:rFonts w:ascii="Verdana" w:hAnsi="Verdana"/>
          <w:sz w:val="16"/>
          <w:szCs w:val="16"/>
        </w:rPr>
        <w:footnoteRef/>
      </w:r>
      <w:r w:rsidR="005F0EFF">
        <w:rPr>
          <w:rFonts w:ascii="Verdana" w:hAnsi="Verdana"/>
          <w:sz w:val="16"/>
          <w:szCs w:val="16"/>
        </w:rPr>
        <w:t xml:space="preserve"> </w:t>
      </w:r>
      <w:r w:rsidR="005F0EFF">
        <w:rPr>
          <w:rFonts w:ascii="Verdana" w:hAnsi="Verdana"/>
          <w:sz w:val="16"/>
          <w:szCs w:val="16"/>
        </w:rPr>
        <w:tab/>
      </w:r>
      <w:r w:rsidR="005F0EFF">
        <w:rPr>
          <w:rFonts w:ascii="Verdana" w:hAnsi="Verdana"/>
          <w:sz w:val="16"/>
          <w:szCs w:val="16"/>
        </w:rPr>
        <w:tab/>
        <w:t>El a</w:t>
      </w:r>
      <w:r w:rsidR="0078090D" w:rsidRPr="00687001">
        <w:rPr>
          <w:rFonts w:ascii="Verdana" w:hAnsi="Verdana" w:cs="Tahoma"/>
          <w:sz w:val="16"/>
          <w:szCs w:val="16"/>
        </w:rPr>
        <w:t>rtículo 31</w:t>
      </w:r>
      <w:r w:rsidR="005F0EFF">
        <w:rPr>
          <w:rFonts w:ascii="Verdana" w:hAnsi="Verdana" w:cs="Tahoma"/>
          <w:sz w:val="16"/>
          <w:szCs w:val="16"/>
        </w:rPr>
        <w:t xml:space="preserve"> de la </w:t>
      </w:r>
      <w:r w:rsidR="00B37179">
        <w:rPr>
          <w:rFonts w:ascii="Verdana" w:hAnsi="Verdana" w:cs="Tahoma"/>
          <w:sz w:val="16"/>
          <w:szCs w:val="16"/>
        </w:rPr>
        <w:t>CVDT</w:t>
      </w:r>
      <w:r w:rsidR="005F0EFF">
        <w:rPr>
          <w:rFonts w:ascii="Verdana" w:hAnsi="Verdana" w:cs="Tahoma"/>
          <w:sz w:val="16"/>
          <w:szCs w:val="16"/>
        </w:rPr>
        <w:t xml:space="preserve"> establece lo siguiente:</w:t>
      </w:r>
      <w:r w:rsidR="0078090D" w:rsidRPr="00687001">
        <w:rPr>
          <w:rFonts w:ascii="Verdana" w:hAnsi="Verdana" w:cs="Tahoma"/>
          <w:sz w:val="16"/>
          <w:szCs w:val="16"/>
        </w:rPr>
        <w:t xml:space="preserve"> Regla general de interpretación. I. Un tratado deberá interpretarse de buena fe conforme al sentido corriente que haya de atribuirse a los términos del tratado en el contexto de estos y teniendo en cuenta su objeto y fin. 2. Para los efectos de la interpretación de un tratado. El contexto comprenderá, además del texto, incluidos su preámbulo y anexos: 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4. Se dará a un término un sentido especial si consta que tal fue la intención de las partes</w:t>
      </w:r>
      <w:r w:rsidR="005F0EFF">
        <w:rPr>
          <w:rFonts w:ascii="Verdana" w:hAnsi="Verdana" w:cs="Tahoma"/>
          <w:sz w:val="16"/>
          <w:szCs w:val="16"/>
        </w:rPr>
        <w:t>.</w:t>
      </w:r>
    </w:p>
  </w:footnote>
  <w:footnote w:id="16">
    <w:p w14:paraId="5AFCF825" w14:textId="07556088" w:rsidR="00A65CC5" w:rsidRPr="00B328AA" w:rsidRDefault="00ED2718" w:rsidP="005F6D97">
      <w:pPr>
        <w:pStyle w:val="FootnoteText"/>
        <w:spacing w:before="120" w:after="120"/>
        <w:jc w:val="both"/>
        <w:rPr>
          <w:rFonts w:ascii="Verdana" w:hAnsi="Verdana" w:cs="Tahoma"/>
          <w:sz w:val="16"/>
          <w:szCs w:val="16"/>
          <w:lang w:val="es-ES_tradnl"/>
        </w:rPr>
      </w:pPr>
      <w:r w:rsidRPr="009D7294">
        <w:rPr>
          <w:rStyle w:val="FootnoteReference"/>
          <w:rFonts w:ascii="Verdana" w:hAnsi="Verdana"/>
          <w:sz w:val="16"/>
          <w:szCs w:val="16"/>
          <w:lang w:val="es-ES_tradnl"/>
        </w:rPr>
        <w:footnoteRef/>
      </w:r>
      <w:r w:rsidRPr="009D7294">
        <w:rPr>
          <w:rFonts w:ascii="Verdana" w:hAnsi="Verdana"/>
          <w:sz w:val="16"/>
          <w:szCs w:val="16"/>
          <w:lang w:val="es-ES_tradnl"/>
        </w:rPr>
        <w:t xml:space="preserve"> </w:t>
      </w:r>
      <w:r w:rsidR="005F0EFF">
        <w:rPr>
          <w:rFonts w:ascii="Verdana" w:hAnsi="Verdana" w:cs="Tahoma"/>
          <w:sz w:val="16"/>
          <w:szCs w:val="16"/>
          <w:lang w:val="es-ES_tradnl"/>
        </w:rPr>
        <w:tab/>
        <w:t>El a</w:t>
      </w:r>
      <w:r w:rsidR="00224C7A" w:rsidRPr="009D7294">
        <w:rPr>
          <w:rFonts w:ascii="Verdana" w:hAnsi="Verdana" w:cs="Tahoma"/>
          <w:sz w:val="16"/>
          <w:szCs w:val="16"/>
          <w:lang w:val="es-ES_tradnl"/>
        </w:rPr>
        <w:t>rtículo 32</w:t>
      </w:r>
      <w:r w:rsidR="005F0EFF">
        <w:rPr>
          <w:rFonts w:ascii="Verdana" w:hAnsi="Verdana" w:cs="Tahoma"/>
          <w:sz w:val="16"/>
          <w:szCs w:val="16"/>
          <w:lang w:val="es-ES_tradnl"/>
        </w:rPr>
        <w:t xml:space="preserve"> de la CVDT establece lo siguiente:</w:t>
      </w:r>
      <w:r w:rsidR="00ED3963" w:rsidRPr="001C3BD2">
        <w:rPr>
          <w:rFonts w:ascii="Verdana" w:hAnsi="Verdana" w:cs="Tahoma"/>
          <w:sz w:val="16"/>
          <w:szCs w:val="16"/>
          <w:lang w:val="es-ES_tradnl"/>
        </w:rPr>
        <w:t xml:space="preserve"> </w:t>
      </w:r>
      <w:r w:rsidR="00942075">
        <w:rPr>
          <w:rFonts w:ascii="Verdana" w:hAnsi="Verdana" w:cs="Tahoma"/>
          <w:sz w:val="16"/>
          <w:szCs w:val="16"/>
          <w:lang w:val="es-ES_tradnl"/>
        </w:rPr>
        <w:t>"</w:t>
      </w:r>
      <w:r w:rsidR="00224C7A" w:rsidRPr="009D7294">
        <w:rPr>
          <w:rFonts w:ascii="Verdana" w:hAnsi="Verdana" w:cs="Tahoma"/>
          <w:sz w:val="16"/>
          <w:szCs w:val="16"/>
          <w:lang w:val="es-ES_tradnl"/>
        </w:rPr>
        <w:t>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w:t>
      </w:r>
      <w:r w:rsidR="00942075">
        <w:rPr>
          <w:rFonts w:ascii="Verdana" w:hAnsi="Verdana" w:cs="Tahoma"/>
          <w:sz w:val="16"/>
          <w:szCs w:val="16"/>
          <w:lang w:val="es-ES_tradnl"/>
        </w:rPr>
        <w:t>"</w:t>
      </w:r>
    </w:p>
  </w:footnote>
  <w:footnote w:id="17">
    <w:p w14:paraId="2B3FB71F" w14:textId="1C4AEB4A" w:rsidR="00A70005" w:rsidRPr="008910BB" w:rsidRDefault="00A70005" w:rsidP="005F6D97">
      <w:pPr>
        <w:pStyle w:val="FootnoteText"/>
        <w:spacing w:before="120" w:after="120"/>
        <w:jc w:val="both"/>
        <w:rPr>
          <w:rFonts w:ascii="Verdana" w:hAnsi="Verdana"/>
          <w:b/>
          <w:sz w:val="16"/>
          <w:szCs w:val="16"/>
        </w:rPr>
      </w:pPr>
      <w:r w:rsidRPr="008910BB">
        <w:rPr>
          <w:rStyle w:val="FootnoteReference"/>
          <w:rFonts w:ascii="Verdana" w:hAnsi="Verdana"/>
          <w:sz w:val="16"/>
          <w:szCs w:val="16"/>
        </w:rPr>
        <w:footnoteRef/>
      </w:r>
      <w:r w:rsidR="007B105D" w:rsidRPr="008910BB">
        <w:rPr>
          <w:rFonts w:ascii="Verdana" w:hAnsi="Verdana"/>
          <w:sz w:val="16"/>
          <w:szCs w:val="16"/>
        </w:rPr>
        <w:t xml:space="preserve"> </w:t>
      </w:r>
      <w:r w:rsidR="00605318">
        <w:rPr>
          <w:rFonts w:ascii="Verdana" w:hAnsi="Verdana"/>
          <w:sz w:val="16"/>
          <w:szCs w:val="16"/>
        </w:rPr>
        <w:tab/>
      </w:r>
      <w:r w:rsidR="003724BE" w:rsidRPr="008910BB">
        <w:rPr>
          <w:rFonts w:ascii="Verdana" w:hAnsi="Verdana"/>
          <w:i/>
          <w:sz w:val="16"/>
          <w:szCs w:val="16"/>
        </w:rPr>
        <w:t xml:space="preserve">Cfr. </w:t>
      </w:r>
      <w:r w:rsidRPr="008910BB">
        <w:rPr>
          <w:rFonts w:ascii="Verdana" w:hAnsi="Verdana"/>
          <w:bCs/>
          <w:i/>
          <w:sz w:val="16"/>
          <w:szCs w:val="16"/>
          <w:lang w:val="es-CR"/>
        </w:rPr>
        <w:t>Restricciones a la pena de muerte (Arts. 4.2 y 4.4 Convención Am</w:t>
      </w:r>
      <w:r w:rsidR="001A14B2" w:rsidRPr="008910BB">
        <w:rPr>
          <w:rFonts w:ascii="Verdana" w:hAnsi="Verdana"/>
          <w:bCs/>
          <w:i/>
          <w:sz w:val="16"/>
          <w:szCs w:val="16"/>
          <w:lang w:val="es-CR"/>
        </w:rPr>
        <w:t>ericana sobre Derechos Humanos)</w:t>
      </w:r>
      <w:r w:rsidR="00A11A70">
        <w:rPr>
          <w:rFonts w:ascii="Verdana" w:hAnsi="Verdana"/>
          <w:bCs/>
          <w:i/>
          <w:sz w:val="16"/>
          <w:szCs w:val="16"/>
          <w:lang w:val="es-CR"/>
        </w:rPr>
        <w:t>,</w:t>
      </w:r>
      <w:r w:rsidR="001A14B2" w:rsidRPr="008910BB">
        <w:rPr>
          <w:rFonts w:ascii="Verdana" w:hAnsi="Verdana"/>
          <w:bCs/>
          <w:i/>
          <w:sz w:val="16"/>
          <w:szCs w:val="16"/>
          <w:lang w:val="es-CR"/>
        </w:rPr>
        <w:t xml:space="preserve"> </w:t>
      </w:r>
      <w:r w:rsidR="003031B7" w:rsidRPr="00B328AA">
        <w:rPr>
          <w:rStyle w:val="Strong"/>
          <w:rFonts w:ascii="Verdana" w:hAnsi="Verdana"/>
          <w:b w:val="0"/>
          <w:color w:val="000000"/>
          <w:sz w:val="16"/>
          <w:szCs w:val="16"/>
          <w:shd w:val="clear" w:color="auto" w:fill="FFFFFF"/>
        </w:rPr>
        <w:t>Opinión Consultiva OC-3/83</w:t>
      </w:r>
      <w:r w:rsidR="001A14B2" w:rsidRPr="00B328AA">
        <w:rPr>
          <w:rFonts w:ascii="Verdana" w:hAnsi="Verdana"/>
          <w:bCs/>
          <w:i/>
          <w:sz w:val="16"/>
          <w:szCs w:val="16"/>
          <w:lang w:val="es-CR"/>
        </w:rPr>
        <w:t xml:space="preserve">, </w:t>
      </w:r>
      <w:r w:rsidRPr="00B328AA">
        <w:rPr>
          <w:rFonts w:ascii="Verdana" w:hAnsi="Verdana"/>
          <w:bCs/>
          <w:sz w:val="16"/>
          <w:szCs w:val="16"/>
          <w:lang w:val="es-CR"/>
        </w:rPr>
        <w:t>párr.</w:t>
      </w:r>
      <w:r w:rsidR="007B105D" w:rsidRPr="00B328AA">
        <w:rPr>
          <w:rFonts w:ascii="Verdana" w:hAnsi="Verdana"/>
          <w:bCs/>
          <w:sz w:val="16"/>
          <w:szCs w:val="16"/>
          <w:lang w:val="es-CR"/>
        </w:rPr>
        <w:t xml:space="preserve"> 50</w:t>
      </w:r>
      <w:r w:rsidR="00133387" w:rsidRPr="00B328AA">
        <w:rPr>
          <w:rFonts w:ascii="Verdana" w:hAnsi="Verdana"/>
          <w:bCs/>
          <w:sz w:val="16"/>
          <w:szCs w:val="16"/>
          <w:lang w:val="es-CR"/>
        </w:rPr>
        <w:t xml:space="preserve">, y </w:t>
      </w:r>
      <w:r w:rsidR="00133387" w:rsidRPr="00B328AA">
        <w:rPr>
          <w:rFonts w:ascii="Verdana" w:hAnsi="Verdana"/>
          <w:bCs/>
          <w:i/>
          <w:sz w:val="16"/>
          <w:szCs w:val="16"/>
          <w:lang w:val="es-CR"/>
        </w:rPr>
        <w:t xml:space="preserve">Artículo 55 de la Convención Americana sobre Derechos Humanos. </w:t>
      </w:r>
      <w:r w:rsidR="00133387" w:rsidRPr="00B328AA">
        <w:rPr>
          <w:rFonts w:ascii="Verdana" w:hAnsi="Verdana"/>
          <w:bCs/>
          <w:sz w:val="16"/>
          <w:szCs w:val="16"/>
          <w:lang w:val="es-CR"/>
        </w:rPr>
        <w:t>Opinión Consultiva OC-20/09 de 29 de septiembre de 2001. Serie A No. 20, pá</w:t>
      </w:r>
      <w:r w:rsidR="002228C1" w:rsidRPr="00B328AA">
        <w:rPr>
          <w:rFonts w:ascii="Verdana" w:hAnsi="Verdana"/>
          <w:bCs/>
          <w:sz w:val="16"/>
          <w:szCs w:val="16"/>
          <w:lang w:val="es-CR"/>
        </w:rPr>
        <w:t>rr. 41.</w:t>
      </w:r>
    </w:p>
  </w:footnote>
  <w:footnote w:id="18">
    <w:p w14:paraId="4660F348" w14:textId="434E37DF" w:rsidR="00D03609" w:rsidRPr="008910BB" w:rsidRDefault="00E614E4" w:rsidP="005F6D97">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00D03609" w:rsidRPr="008910BB">
        <w:rPr>
          <w:rFonts w:ascii="Verdana" w:hAnsi="Verdana"/>
          <w:sz w:val="16"/>
          <w:szCs w:val="16"/>
        </w:rPr>
        <w:t xml:space="preserve"> </w:t>
      </w:r>
      <w:r w:rsidR="00605318">
        <w:rPr>
          <w:rStyle w:val="Strong"/>
          <w:rFonts w:ascii="Verdana" w:hAnsi="Verdana"/>
          <w:b w:val="0"/>
          <w:color w:val="000000"/>
          <w:sz w:val="16"/>
          <w:szCs w:val="16"/>
          <w:shd w:val="clear" w:color="auto" w:fill="FFFFFF"/>
        </w:rPr>
        <w:tab/>
      </w:r>
      <w:r w:rsidR="003724BE" w:rsidRPr="008910BB">
        <w:rPr>
          <w:rStyle w:val="Strong"/>
          <w:rFonts w:ascii="Verdana" w:hAnsi="Verdana"/>
          <w:b w:val="0"/>
          <w:i/>
          <w:color w:val="000000"/>
          <w:sz w:val="16"/>
          <w:szCs w:val="16"/>
          <w:shd w:val="clear" w:color="auto" w:fill="FFFFFF"/>
        </w:rPr>
        <w:t>Cfr.</w:t>
      </w:r>
      <w:r w:rsidR="003724BE" w:rsidRPr="008910BB">
        <w:rPr>
          <w:rStyle w:val="Strong"/>
          <w:rFonts w:ascii="Verdana" w:hAnsi="Verdana"/>
          <w:b w:val="0"/>
          <w:color w:val="000000"/>
          <w:sz w:val="16"/>
          <w:szCs w:val="16"/>
          <w:shd w:val="clear" w:color="auto" w:fill="FFFFFF"/>
        </w:rPr>
        <w:t xml:space="preserve"> </w:t>
      </w:r>
      <w:r w:rsidR="00D03609" w:rsidRPr="008910BB">
        <w:rPr>
          <w:rStyle w:val="Strong"/>
          <w:rFonts w:ascii="Verdana" w:hAnsi="Verdana"/>
          <w:b w:val="0"/>
          <w:i/>
          <w:color w:val="000000"/>
          <w:sz w:val="16"/>
          <w:szCs w:val="16"/>
          <w:shd w:val="clear" w:color="auto" w:fill="FFFFFF"/>
        </w:rPr>
        <w:t>El efecto de las reservas sobre la entrada en vigencia de la Convención Americana sobre Derechos Humanos</w:t>
      </w:r>
      <w:r w:rsidR="00D03609" w:rsidRPr="008910BB">
        <w:rPr>
          <w:rStyle w:val="Strong"/>
          <w:rFonts w:ascii="Verdana" w:hAnsi="Verdana"/>
          <w:b w:val="0"/>
          <w:color w:val="000000"/>
          <w:sz w:val="16"/>
          <w:szCs w:val="16"/>
          <w:shd w:val="clear" w:color="auto" w:fill="FFFFFF"/>
        </w:rPr>
        <w:t>. Opinión Consultiva OC-2/82 de 24 de septiembre de 1982. Serie A No. 2, párr.</w:t>
      </w:r>
      <w:r w:rsidR="008D48D8" w:rsidRPr="008910BB">
        <w:rPr>
          <w:rFonts w:ascii="Verdana" w:hAnsi="Verdana"/>
          <w:sz w:val="16"/>
          <w:szCs w:val="16"/>
        </w:rPr>
        <w:t xml:space="preserve"> 29</w:t>
      </w:r>
      <w:r w:rsidR="00B328AA">
        <w:rPr>
          <w:rFonts w:ascii="Verdana" w:hAnsi="Verdana"/>
          <w:sz w:val="16"/>
          <w:szCs w:val="16"/>
        </w:rPr>
        <w:t>,</w:t>
      </w:r>
      <w:r w:rsidR="008D48D8" w:rsidRPr="008910BB">
        <w:rPr>
          <w:rFonts w:ascii="Verdana" w:hAnsi="Verdana"/>
          <w:sz w:val="16"/>
          <w:szCs w:val="16"/>
        </w:rPr>
        <w:t xml:space="preserve"> y </w:t>
      </w:r>
      <w:r w:rsidR="008D48D8" w:rsidRPr="008910BB">
        <w:rPr>
          <w:rStyle w:val="Strong"/>
          <w:rFonts w:ascii="Verdana" w:eastAsia="Batang" w:hAnsi="Verdana"/>
          <w:b w:val="0"/>
          <w:i/>
          <w:color w:val="000000"/>
          <w:sz w:val="16"/>
          <w:szCs w:val="16"/>
          <w:shd w:val="clear" w:color="auto" w:fill="FFFFFF"/>
          <w:lang w:val="es-CR"/>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008D48D8" w:rsidRPr="008910BB">
        <w:rPr>
          <w:rStyle w:val="Strong"/>
          <w:rFonts w:ascii="Verdana" w:eastAsia="Batang" w:hAnsi="Verdana"/>
          <w:b w:val="0"/>
          <w:color w:val="000000"/>
          <w:sz w:val="16"/>
          <w:szCs w:val="16"/>
          <w:shd w:val="clear" w:color="auto" w:fill="FFFFFF"/>
          <w:lang w:val="es-CR"/>
        </w:rPr>
        <w:t xml:space="preserve"> Opinión Consultiva OC-22/16 de 26 de febrero de 2016. Serie A No. 22, párr. 43.</w:t>
      </w:r>
    </w:p>
  </w:footnote>
  <w:footnote w:id="19">
    <w:p w14:paraId="1061F4E4" w14:textId="08CC234A" w:rsidR="0036594F" w:rsidRPr="008910BB" w:rsidRDefault="0036594F" w:rsidP="005F6D97">
      <w:pPr>
        <w:pStyle w:val="FootnoteText"/>
        <w:spacing w:before="120" w:after="120"/>
        <w:jc w:val="both"/>
        <w:rPr>
          <w:rFonts w:ascii="Verdana" w:hAnsi="Verdana"/>
          <w:i/>
          <w:sz w:val="16"/>
          <w:szCs w:val="16"/>
          <w:lang w:val="es-CR"/>
        </w:rPr>
      </w:pPr>
      <w:r w:rsidRPr="008910BB">
        <w:rPr>
          <w:rStyle w:val="FootnoteReference"/>
          <w:rFonts w:ascii="Verdana" w:hAnsi="Verdana"/>
          <w:sz w:val="16"/>
          <w:szCs w:val="16"/>
        </w:rPr>
        <w:footnoteRef/>
      </w:r>
      <w:r w:rsidR="00576F74" w:rsidRPr="008910BB">
        <w:rPr>
          <w:rFonts w:ascii="Verdana" w:hAnsi="Verdana"/>
          <w:i/>
          <w:sz w:val="16"/>
          <w:szCs w:val="16"/>
        </w:rPr>
        <w:t xml:space="preserve"> </w:t>
      </w:r>
      <w:r w:rsidR="00605318">
        <w:rPr>
          <w:rFonts w:ascii="Verdana" w:hAnsi="Verdana"/>
          <w:i/>
          <w:sz w:val="16"/>
          <w:szCs w:val="16"/>
        </w:rPr>
        <w:tab/>
      </w:r>
      <w:r w:rsidR="007E22DC">
        <w:rPr>
          <w:rFonts w:ascii="Verdana" w:hAnsi="Verdana"/>
          <w:i/>
          <w:sz w:val="16"/>
          <w:szCs w:val="16"/>
        </w:rPr>
        <w:t xml:space="preserve">Cfr. </w:t>
      </w:r>
      <w:r w:rsidRPr="008910BB">
        <w:rPr>
          <w:rFonts w:ascii="Verdana" w:hAnsi="Verdana"/>
          <w:i/>
          <w:sz w:val="16"/>
          <w:szCs w:val="16"/>
        </w:rPr>
        <w:t>Sentencia arbitral del 31 de julio de 1989 (Guinea-Bissau v. Senegal).</w:t>
      </w:r>
      <w:r w:rsidR="00751313">
        <w:rPr>
          <w:rFonts w:ascii="Verdana" w:hAnsi="Verdana"/>
          <w:i/>
          <w:sz w:val="16"/>
          <w:szCs w:val="16"/>
        </w:rPr>
        <w:t xml:space="preserve"> </w:t>
      </w:r>
      <w:r w:rsidR="00ED79E8">
        <w:rPr>
          <w:rFonts w:ascii="Verdana" w:hAnsi="Verdana"/>
          <w:sz w:val="16"/>
          <w:szCs w:val="16"/>
        </w:rPr>
        <w:t>Corte Internacional de Justicia, fallo</w:t>
      </w:r>
      <w:r w:rsidR="00576F74" w:rsidRPr="008910BB">
        <w:rPr>
          <w:rFonts w:ascii="Verdana" w:hAnsi="Verdana"/>
          <w:sz w:val="16"/>
          <w:szCs w:val="16"/>
        </w:rPr>
        <w:t xml:space="preserve"> del</w:t>
      </w:r>
      <w:r w:rsidRPr="008910BB">
        <w:rPr>
          <w:rFonts w:ascii="Verdana" w:hAnsi="Verdana"/>
          <w:i/>
          <w:sz w:val="16"/>
          <w:szCs w:val="16"/>
        </w:rPr>
        <w:t xml:space="preserve"> </w:t>
      </w:r>
      <w:r w:rsidRPr="008910BB">
        <w:rPr>
          <w:rFonts w:ascii="Verdana" w:hAnsi="Verdana"/>
          <w:sz w:val="16"/>
          <w:szCs w:val="16"/>
        </w:rPr>
        <w:t>12 de noviembre de 1991</w:t>
      </w:r>
      <w:r w:rsidR="00E85F5A" w:rsidRPr="009D7294">
        <w:rPr>
          <w:rFonts w:ascii="Verdana" w:hAnsi="Verdana"/>
          <w:sz w:val="16"/>
          <w:szCs w:val="16"/>
          <w:lang w:val="es-CR"/>
        </w:rPr>
        <w:t>, p</w:t>
      </w:r>
      <w:r w:rsidRPr="009D7294">
        <w:rPr>
          <w:rFonts w:ascii="Verdana" w:hAnsi="Verdana"/>
          <w:sz w:val="16"/>
          <w:szCs w:val="16"/>
          <w:lang w:val="es-CR"/>
        </w:rPr>
        <w:t>árr. 48</w:t>
      </w:r>
      <w:r w:rsidR="00405B09" w:rsidRPr="009D7294">
        <w:rPr>
          <w:rFonts w:ascii="Verdana" w:hAnsi="Verdana"/>
          <w:sz w:val="16"/>
          <w:szCs w:val="16"/>
        </w:rPr>
        <w:t>.</w:t>
      </w:r>
      <w:r w:rsidR="00B85640" w:rsidRPr="009D7294">
        <w:rPr>
          <w:rFonts w:ascii="Verdana" w:hAnsi="Verdana"/>
          <w:sz w:val="16"/>
          <w:szCs w:val="16"/>
        </w:rPr>
        <w:t xml:space="preserve"> </w:t>
      </w:r>
      <w:r w:rsidR="00B85640" w:rsidRPr="009D7294">
        <w:rPr>
          <w:rFonts w:ascii="Verdana" w:hAnsi="Verdana"/>
          <w:sz w:val="16"/>
          <w:szCs w:val="16"/>
          <w:lang w:val="es-CR"/>
        </w:rPr>
        <w:t>Traducción propia.</w:t>
      </w:r>
    </w:p>
  </w:footnote>
  <w:footnote w:id="20">
    <w:p w14:paraId="18FC793E" w14:textId="198EFD6C" w:rsidR="00400D98" w:rsidRPr="007E355F" w:rsidRDefault="00117968" w:rsidP="005F6D97">
      <w:pPr>
        <w:pStyle w:val="FootnoteText"/>
        <w:spacing w:before="120" w:after="120"/>
        <w:jc w:val="both"/>
        <w:rPr>
          <w:rFonts w:ascii="Verdana" w:eastAsia="Batang" w:hAnsi="Verdana"/>
          <w:bCs/>
          <w:color w:val="000000"/>
          <w:sz w:val="16"/>
          <w:szCs w:val="16"/>
          <w:shd w:val="clear" w:color="auto" w:fill="FFFFFF"/>
          <w:lang w:val="es-CR"/>
        </w:rPr>
      </w:pPr>
      <w:r w:rsidRPr="008910BB">
        <w:rPr>
          <w:rStyle w:val="FootnoteReference"/>
          <w:rFonts w:ascii="Verdana" w:hAnsi="Verdana"/>
          <w:sz w:val="16"/>
          <w:szCs w:val="16"/>
        </w:rPr>
        <w:footnoteRef/>
      </w:r>
      <w:r w:rsidRPr="008910BB">
        <w:rPr>
          <w:rFonts w:ascii="Verdana" w:hAnsi="Verdana"/>
          <w:sz w:val="16"/>
          <w:szCs w:val="16"/>
          <w:vertAlign w:val="superscript"/>
        </w:rPr>
        <w:t xml:space="preserve"> </w:t>
      </w:r>
      <w:r w:rsidRPr="008910BB">
        <w:rPr>
          <w:rFonts w:ascii="Verdana" w:hAnsi="Verdana"/>
          <w:b/>
          <w:i/>
          <w:sz w:val="16"/>
          <w:szCs w:val="16"/>
        </w:rPr>
        <w:t xml:space="preserve"> </w:t>
      </w:r>
      <w:r w:rsidR="00605318">
        <w:rPr>
          <w:rFonts w:ascii="Verdana" w:hAnsi="Verdana"/>
          <w:b/>
          <w:i/>
          <w:sz w:val="16"/>
          <w:szCs w:val="16"/>
        </w:rPr>
        <w:tab/>
      </w:r>
      <w:r w:rsidR="003724BE" w:rsidRPr="008910BB">
        <w:rPr>
          <w:rFonts w:ascii="Verdana" w:hAnsi="Verdana"/>
          <w:i/>
          <w:sz w:val="16"/>
          <w:szCs w:val="16"/>
        </w:rPr>
        <w:t>Cfr.</w:t>
      </w:r>
      <w:r w:rsidR="003724BE" w:rsidRPr="008910BB">
        <w:rPr>
          <w:rFonts w:ascii="Verdana" w:hAnsi="Verdana"/>
          <w:b/>
          <w:i/>
          <w:sz w:val="16"/>
          <w:szCs w:val="16"/>
        </w:rPr>
        <w:t xml:space="preserve"> </w:t>
      </w:r>
      <w:r w:rsidRPr="008910BB">
        <w:rPr>
          <w:rStyle w:val="Strong"/>
          <w:rFonts w:ascii="Verdana" w:eastAsia="Batang" w:hAnsi="Verdana"/>
          <w:b w:val="0"/>
          <w:i/>
          <w:color w:val="000000"/>
          <w:sz w:val="16"/>
          <w:szCs w:val="16"/>
          <w:shd w:val="clear" w:color="auto" w:fill="FFFFFF"/>
          <w:lang w:val="es-CR"/>
        </w:rPr>
        <w:t xml:space="preserve">El hábeas corpus bajo suspensión de garantías (Arts. 27.2, 25.1 y 7.6 Convención Americana sobre Derechos Humanos). </w:t>
      </w:r>
      <w:r w:rsidRPr="008910BB">
        <w:rPr>
          <w:rStyle w:val="Strong"/>
          <w:rFonts w:ascii="Verdana" w:eastAsia="Batang" w:hAnsi="Verdana"/>
          <w:b w:val="0"/>
          <w:color w:val="000000"/>
          <w:sz w:val="16"/>
          <w:szCs w:val="16"/>
          <w:shd w:val="clear" w:color="auto" w:fill="FFFFFF"/>
          <w:lang w:val="es-CR"/>
        </w:rPr>
        <w:t>Opinión Consultiva OC-8/87 de 30 de enero de 1987. Serie A No. 8.</w:t>
      </w:r>
      <w:r w:rsidR="00247707" w:rsidRPr="008910BB">
        <w:rPr>
          <w:rStyle w:val="Strong"/>
          <w:rFonts w:ascii="Verdana" w:eastAsia="Batang" w:hAnsi="Verdana"/>
          <w:b w:val="0"/>
          <w:color w:val="000000"/>
          <w:sz w:val="16"/>
          <w:szCs w:val="16"/>
          <w:shd w:val="clear" w:color="auto" w:fill="FFFFFF"/>
          <w:lang w:val="es-CR"/>
        </w:rPr>
        <w:t>, párr. 16,</w:t>
      </w:r>
      <w:r w:rsidR="0080415F">
        <w:rPr>
          <w:rStyle w:val="Strong"/>
          <w:rFonts w:ascii="Verdana" w:eastAsia="Batang" w:hAnsi="Verdana"/>
          <w:b w:val="0"/>
          <w:color w:val="000000"/>
          <w:sz w:val="16"/>
          <w:szCs w:val="16"/>
          <w:shd w:val="clear" w:color="auto" w:fill="FFFFFF"/>
          <w:lang w:val="es-CR"/>
        </w:rPr>
        <w:t xml:space="preserve"> y</w:t>
      </w:r>
      <w:r w:rsidR="00247707" w:rsidRPr="008910BB">
        <w:rPr>
          <w:rStyle w:val="Strong"/>
          <w:rFonts w:ascii="Verdana" w:eastAsia="Batang" w:hAnsi="Verdana"/>
          <w:b w:val="0"/>
          <w:color w:val="000000"/>
          <w:sz w:val="16"/>
          <w:szCs w:val="16"/>
          <w:shd w:val="clear" w:color="auto" w:fill="FFFFFF"/>
          <w:lang w:val="es-CR"/>
        </w:rPr>
        <w:t xml:space="preserve"> </w:t>
      </w:r>
      <w:r w:rsidR="00247707" w:rsidRPr="008910BB">
        <w:rPr>
          <w:rStyle w:val="Strong"/>
          <w:rFonts w:ascii="Verdana" w:eastAsia="Batang" w:hAnsi="Verdana"/>
          <w:b w:val="0"/>
          <w:i/>
          <w:color w:val="000000"/>
          <w:sz w:val="16"/>
          <w:szCs w:val="16"/>
          <w:shd w:val="clear" w:color="auto" w:fill="FFFFFF"/>
          <w:lang w:val="es-CR"/>
        </w:rPr>
        <w:t>Derechos y garantías de niñas y niños en el contexto de la migración y/o en necesi</w:t>
      </w:r>
      <w:r w:rsidR="00A11A70">
        <w:rPr>
          <w:rStyle w:val="Strong"/>
          <w:rFonts w:ascii="Verdana" w:eastAsia="Batang" w:hAnsi="Verdana"/>
          <w:b w:val="0"/>
          <w:i/>
          <w:color w:val="000000"/>
          <w:sz w:val="16"/>
          <w:szCs w:val="16"/>
          <w:shd w:val="clear" w:color="auto" w:fill="FFFFFF"/>
          <w:lang w:val="es-CR"/>
        </w:rPr>
        <w:t>dad de protección internacional,</w:t>
      </w:r>
      <w:r w:rsidR="00247707" w:rsidRPr="008910BB">
        <w:rPr>
          <w:rStyle w:val="Strong"/>
          <w:rFonts w:ascii="Verdana" w:eastAsia="Batang" w:hAnsi="Verdana"/>
          <w:b w:val="0"/>
          <w:color w:val="000000"/>
          <w:sz w:val="16"/>
          <w:szCs w:val="16"/>
          <w:shd w:val="clear" w:color="auto" w:fill="FFFFFF"/>
          <w:lang w:val="es-CR"/>
        </w:rPr>
        <w:t xml:space="preserve"> Opinión Consultiva OC-21/14, párr. 54.</w:t>
      </w:r>
    </w:p>
  </w:footnote>
  <w:footnote w:id="21">
    <w:p w14:paraId="28C3EBA8" w14:textId="7E9BA80B" w:rsidR="00387D0B" w:rsidRPr="008910BB" w:rsidRDefault="007A59B4" w:rsidP="005F6D97">
      <w:pPr>
        <w:pStyle w:val="FootnoteText"/>
        <w:spacing w:before="120" w:after="120"/>
        <w:jc w:val="both"/>
        <w:rPr>
          <w:rFonts w:ascii="Verdana" w:eastAsia="Batang" w:hAnsi="Verdana"/>
          <w:bCs/>
          <w:color w:val="000000"/>
          <w:sz w:val="16"/>
          <w:szCs w:val="16"/>
          <w:shd w:val="clear" w:color="auto" w:fill="FFFFFF"/>
          <w:lang w:val="es-CR"/>
        </w:rPr>
      </w:pPr>
      <w:r w:rsidRPr="00B328AA">
        <w:rPr>
          <w:rStyle w:val="FootnoteReference"/>
          <w:rFonts w:ascii="Verdana" w:hAnsi="Verdana"/>
          <w:sz w:val="16"/>
          <w:szCs w:val="16"/>
        </w:rPr>
        <w:footnoteRef/>
      </w:r>
      <w:r w:rsidR="00EB4274" w:rsidRPr="00B328AA">
        <w:rPr>
          <w:rFonts w:ascii="Verdana" w:eastAsia="Batang" w:hAnsi="Verdana"/>
          <w:bCs/>
          <w:i/>
          <w:color w:val="000000"/>
          <w:sz w:val="16"/>
          <w:szCs w:val="16"/>
          <w:shd w:val="clear" w:color="auto" w:fill="FFFFFF"/>
          <w:lang w:val="es-CR"/>
        </w:rPr>
        <w:t xml:space="preserve"> </w:t>
      </w:r>
      <w:r w:rsidR="00605318" w:rsidRPr="00B328AA">
        <w:rPr>
          <w:rFonts w:ascii="Verdana" w:eastAsia="Batang" w:hAnsi="Verdana"/>
          <w:bCs/>
          <w:i/>
          <w:color w:val="000000"/>
          <w:sz w:val="16"/>
          <w:szCs w:val="16"/>
          <w:shd w:val="clear" w:color="auto" w:fill="FFFFFF"/>
          <w:lang w:val="es-CR"/>
        </w:rPr>
        <w:tab/>
      </w:r>
      <w:r w:rsidR="00EB4274" w:rsidRPr="00B328AA">
        <w:rPr>
          <w:rFonts w:ascii="Verdana" w:eastAsia="Batang" w:hAnsi="Verdana"/>
          <w:bCs/>
          <w:i/>
          <w:color w:val="000000"/>
          <w:sz w:val="16"/>
          <w:szCs w:val="16"/>
          <w:shd w:val="clear" w:color="auto" w:fill="FFFFFF"/>
          <w:lang w:val="es-CR"/>
        </w:rPr>
        <w:t>Cfr.</w:t>
      </w:r>
      <w:r w:rsidR="006C35DD" w:rsidRPr="00B328AA">
        <w:rPr>
          <w:rFonts w:ascii="Verdana" w:eastAsia="Batang" w:hAnsi="Verdana"/>
          <w:bCs/>
          <w:color w:val="000000"/>
          <w:sz w:val="16"/>
          <w:szCs w:val="16"/>
          <w:shd w:val="clear" w:color="auto" w:fill="FFFFFF"/>
          <w:lang w:val="es-CR"/>
        </w:rPr>
        <w:t xml:space="preserve"> </w:t>
      </w:r>
      <w:r w:rsidR="00EC207E" w:rsidRPr="00B328AA">
        <w:rPr>
          <w:rFonts w:ascii="Verdana" w:eastAsia="Batang" w:hAnsi="Verdana"/>
          <w:bCs/>
          <w:i/>
          <w:color w:val="000000"/>
          <w:sz w:val="16"/>
          <w:szCs w:val="16"/>
          <w:shd w:val="clear" w:color="auto" w:fill="FFFFFF"/>
          <w:lang w:val="es-CR"/>
        </w:rPr>
        <w:t xml:space="preserve">La Colegiación obligatoria de periodistas (Arts. 13 y 29 Convención Americana Sobre Derechos Humanos. </w:t>
      </w:r>
      <w:r w:rsidR="00EC207E" w:rsidRPr="00B328AA">
        <w:rPr>
          <w:rFonts w:ascii="Verdana" w:eastAsia="Batang" w:hAnsi="Verdana"/>
          <w:bCs/>
          <w:color w:val="000000"/>
          <w:sz w:val="16"/>
          <w:szCs w:val="16"/>
          <w:shd w:val="clear" w:color="auto" w:fill="FFFFFF"/>
          <w:lang w:val="es-CR"/>
        </w:rPr>
        <w:t>Opinión Consultiva OC-5/85 de 13 de noviembre d</w:t>
      </w:r>
      <w:r w:rsidR="00B328AA">
        <w:rPr>
          <w:rFonts w:ascii="Verdana" w:eastAsia="Batang" w:hAnsi="Verdana"/>
          <w:bCs/>
          <w:color w:val="000000"/>
          <w:sz w:val="16"/>
          <w:szCs w:val="16"/>
          <w:shd w:val="clear" w:color="auto" w:fill="FFFFFF"/>
          <w:lang w:val="es-CR"/>
        </w:rPr>
        <w:t>e 1985. Serie A No. 5, párr. 41, y</w:t>
      </w:r>
      <w:r w:rsidR="00EC207E" w:rsidRPr="00B328AA">
        <w:rPr>
          <w:rFonts w:ascii="Verdana" w:eastAsia="Batang" w:hAnsi="Verdana"/>
          <w:bCs/>
          <w:color w:val="000000"/>
          <w:sz w:val="16"/>
          <w:szCs w:val="16"/>
          <w:shd w:val="clear" w:color="auto" w:fill="FFFFFF"/>
          <w:lang w:val="es-CR"/>
        </w:rPr>
        <w:t xml:space="preserve"> </w:t>
      </w:r>
      <w:r w:rsidRPr="00B328AA">
        <w:rPr>
          <w:rStyle w:val="Strong"/>
          <w:rFonts w:ascii="Verdana" w:eastAsia="Batang" w:hAnsi="Verdana"/>
          <w:b w:val="0"/>
          <w:i/>
          <w:color w:val="000000"/>
          <w:sz w:val="16"/>
          <w:szCs w:val="16"/>
          <w:shd w:val="clear" w:color="auto" w:fill="FFFFFF"/>
          <w:lang w:val="es-CR"/>
        </w:rPr>
        <w:t xml:space="preserve">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w:t>
      </w:r>
      <w:r w:rsidR="00B328AA">
        <w:rPr>
          <w:rStyle w:val="Strong"/>
          <w:rFonts w:ascii="Verdana" w:eastAsia="Batang" w:hAnsi="Verdana"/>
          <w:b w:val="0"/>
          <w:i/>
          <w:color w:val="000000"/>
          <w:sz w:val="16"/>
          <w:szCs w:val="16"/>
          <w:shd w:val="clear" w:color="auto" w:fill="FFFFFF"/>
          <w:lang w:val="es-CR"/>
        </w:rPr>
        <w:t>B</w:t>
      </w:r>
      <w:r w:rsidR="003F7458">
        <w:rPr>
          <w:rStyle w:val="Strong"/>
          <w:rFonts w:ascii="Verdana" w:eastAsia="Batang" w:hAnsi="Verdana"/>
          <w:b w:val="0"/>
          <w:i/>
          <w:color w:val="000000"/>
          <w:sz w:val="16"/>
          <w:szCs w:val="16"/>
          <w:shd w:val="clear" w:color="auto" w:fill="FFFFFF"/>
          <w:lang w:val="es-CR"/>
        </w:rPr>
        <w:t xml:space="preserve"> del Protocolo de San Salvador),</w:t>
      </w:r>
      <w:r w:rsidR="001A14B2" w:rsidRPr="00B328AA">
        <w:rPr>
          <w:rStyle w:val="Strong"/>
          <w:rFonts w:ascii="Verdana" w:eastAsia="Batang" w:hAnsi="Verdana"/>
          <w:b w:val="0"/>
          <w:i/>
          <w:color w:val="000000"/>
          <w:sz w:val="16"/>
          <w:szCs w:val="16"/>
          <w:shd w:val="clear" w:color="auto" w:fill="FFFFFF"/>
          <w:lang w:val="es-CR"/>
        </w:rPr>
        <w:t xml:space="preserve"> </w:t>
      </w:r>
      <w:r w:rsidR="003E6144" w:rsidRPr="00B328AA">
        <w:rPr>
          <w:rStyle w:val="Strong"/>
          <w:rFonts w:ascii="Verdana" w:eastAsia="Batang" w:hAnsi="Verdana"/>
          <w:b w:val="0"/>
          <w:color w:val="000000"/>
          <w:sz w:val="16"/>
          <w:szCs w:val="16"/>
          <w:shd w:val="clear" w:color="auto" w:fill="FFFFFF"/>
          <w:lang w:val="es-CR"/>
        </w:rPr>
        <w:t>Opinión Consultiva OC-22/16</w:t>
      </w:r>
      <w:r w:rsidR="001A14B2" w:rsidRPr="00B328AA">
        <w:rPr>
          <w:rStyle w:val="Strong"/>
          <w:rFonts w:ascii="Verdana" w:eastAsia="Batang" w:hAnsi="Verdana"/>
          <w:b w:val="0"/>
          <w:i/>
          <w:color w:val="000000"/>
          <w:sz w:val="16"/>
          <w:szCs w:val="16"/>
          <w:shd w:val="clear" w:color="auto" w:fill="FFFFFF"/>
          <w:lang w:val="es-CR"/>
        </w:rPr>
        <w:t>,</w:t>
      </w:r>
      <w:r w:rsidRPr="00B328AA">
        <w:rPr>
          <w:rStyle w:val="Strong"/>
          <w:rFonts w:ascii="Verdana" w:eastAsia="Batang" w:hAnsi="Verdana"/>
          <w:b w:val="0"/>
          <w:color w:val="000000"/>
          <w:sz w:val="16"/>
          <w:szCs w:val="16"/>
          <w:shd w:val="clear" w:color="auto" w:fill="FFFFFF"/>
          <w:lang w:val="es-CR"/>
        </w:rPr>
        <w:t xml:space="preserve"> párr. 42.</w:t>
      </w:r>
    </w:p>
  </w:footnote>
  <w:footnote w:id="22">
    <w:p w14:paraId="7F346558" w14:textId="369622E7" w:rsidR="0032152D" w:rsidRPr="00C80FB0" w:rsidRDefault="0032152D" w:rsidP="005F6D97">
      <w:pPr>
        <w:pStyle w:val="FootnoteText"/>
        <w:spacing w:before="120" w:after="120"/>
        <w:jc w:val="both"/>
        <w:rPr>
          <w:rFonts w:ascii="Verdana" w:hAnsi="Verdana"/>
          <w:sz w:val="16"/>
          <w:szCs w:val="16"/>
        </w:rPr>
      </w:pPr>
      <w:r w:rsidRPr="00B328AA">
        <w:rPr>
          <w:rStyle w:val="FootnoteReference"/>
          <w:rFonts w:ascii="Verdana" w:hAnsi="Verdana"/>
          <w:sz w:val="16"/>
          <w:szCs w:val="16"/>
        </w:rPr>
        <w:footnoteRef/>
      </w:r>
      <w:r w:rsidR="00387D0B" w:rsidRPr="00B328AA">
        <w:rPr>
          <w:rFonts w:ascii="Verdana" w:hAnsi="Verdana"/>
          <w:sz w:val="16"/>
          <w:szCs w:val="16"/>
        </w:rPr>
        <w:t xml:space="preserve"> </w:t>
      </w:r>
      <w:r w:rsidR="00605318" w:rsidRPr="00B328AA">
        <w:rPr>
          <w:rFonts w:ascii="Verdana" w:hAnsi="Verdana"/>
          <w:sz w:val="16"/>
          <w:szCs w:val="16"/>
        </w:rPr>
        <w:tab/>
      </w:r>
      <w:r w:rsidR="003724BE" w:rsidRPr="00B328AA">
        <w:rPr>
          <w:rFonts w:ascii="Verdana" w:hAnsi="Verdana"/>
          <w:i/>
          <w:sz w:val="16"/>
          <w:szCs w:val="16"/>
        </w:rPr>
        <w:t>Cfr.</w:t>
      </w:r>
      <w:r w:rsidR="003724BE" w:rsidRPr="00B328AA">
        <w:rPr>
          <w:rFonts w:ascii="Verdana" w:hAnsi="Verdana"/>
          <w:sz w:val="16"/>
          <w:szCs w:val="16"/>
        </w:rPr>
        <w:t xml:space="preserve"> </w:t>
      </w:r>
      <w:r w:rsidR="000D3448" w:rsidRPr="00B328AA">
        <w:rPr>
          <w:rFonts w:ascii="Verdana" w:hAnsi="Verdana"/>
          <w:i/>
          <w:sz w:val="16"/>
          <w:szCs w:val="16"/>
        </w:rPr>
        <w:t>"</w:t>
      </w:r>
      <w:r w:rsidR="008F22CD" w:rsidRPr="00B328AA">
        <w:rPr>
          <w:rStyle w:val="Strong"/>
          <w:rFonts w:ascii="Verdana" w:eastAsia="Batang" w:hAnsi="Verdana"/>
          <w:b w:val="0"/>
          <w:i/>
          <w:color w:val="000000"/>
          <w:sz w:val="16"/>
          <w:szCs w:val="16"/>
          <w:shd w:val="clear" w:color="auto" w:fill="FFFFFF"/>
          <w:lang w:val="es-CR"/>
        </w:rPr>
        <w:t>Otros tratados</w:t>
      </w:r>
      <w:r w:rsidR="000D3448" w:rsidRPr="00B328AA">
        <w:rPr>
          <w:rStyle w:val="Strong"/>
          <w:rFonts w:ascii="Verdana" w:eastAsia="Batang" w:hAnsi="Verdana"/>
          <w:b w:val="0"/>
          <w:i/>
          <w:color w:val="000000"/>
          <w:sz w:val="16"/>
          <w:szCs w:val="16"/>
          <w:shd w:val="clear" w:color="auto" w:fill="FFFFFF"/>
          <w:lang w:val="es-CR"/>
        </w:rPr>
        <w:t>"</w:t>
      </w:r>
      <w:r w:rsidR="008F22CD" w:rsidRPr="00B328AA">
        <w:rPr>
          <w:rStyle w:val="Strong"/>
          <w:rFonts w:ascii="Verdana" w:eastAsia="Batang" w:hAnsi="Verdana"/>
          <w:b w:val="0"/>
          <w:i/>
          <w:color w:val="000000"/>
          <w:sz w:val="16"/>
          <w:szCs w:val="16"/>
          <w:shd w:val="clear" w:color="auto" w:fill="FFFFFF"/>
          <w:lang w:val="es-CR"/>
        </w:rPr>
        <w:t xml:space="preserve"> objeto de la función consultiva de la Corte (art</w:t>
      </w:r>
      <w:r w:rsidR="00C80FB0" w:rsidRPr="00B328AA">
        <w:rPr>
          <w:rStyle w:val="Strong"/>
          <w:rFonts w:ascii="Verdana" w:eastAsia="Batang" w:hAnsi="Verdana"/>
          <w:b w:val="0"/>
          <w:i/>
          <w:color w:val="000000"/>
          <w:sz w:val="16"/>
          <w:szCs w:val="16"/>
          <w:shd w:val="clear" w:color="auto" w:fill="FFFFFF"/>
          <w:lang w:val="es-CR"/>
        </w:rPr>
        <w:t>. 64 Convenció</w:t>
      </w:r>
      <w:r w:rsidR="00A11A70">
        <w:rPr>
          <w:rStyle w:val="Strong"/>
          <w:rFonts w:ascii="Verdana" w:eastAsia="Batang" w:hAnsi="Verdana"/>
          <w:b w:val="0"/>
          <w:i/>
          <w:color w:val="000000"/>
          <w:sz w:val="16"/>
          <w:szCs w:val="16"/>
          <w:shd w:val="clear" w:color="auto" w:fill="FFFFFF"/>
          <w:lang w:val="es-CR"/>
        </w:rPr>
        <w:t>n Americana de Derechos Humanos,</w:t>
      </w:r>
      <w:r w:rsidR="00C80FB0" w:rsidRPr="00B328AA">
        <w:rPr>
          <w:rStyle w:val="Strong"/>
          <w:rFonts w:ascii="Verdana" w:eastAsia="Batang" w:hAnsi="Verdana"/>
          <w:b w:val="0"/>
          <w:i/>
          <w:color w:val="000000"/>
          <w:sz w:val="16"/>
          <w:szCs w:val="16"/>
          <w:shd w:val="clear" w:color="auto" w:fill="FFFFFF"/>
          <w:lang w:val="es-CR"/>
        </w:rPr>
        <w:t xml:space="preserve"> </w:t>
      </w:r>
      <w:r w:rsidR="00C80FB0" w:rsidRPr="00B328AA">
        <w:rPr>
          <w:rStyle w:val="Strong"/>
          <w:rFonts w:ascii="Verdana" w:eastAsia="Batang" w:hAnsi="Verdana"/>
          <w:b w:val="0"/>
          <w:color w:val="000000"/>
          <w:sz w:val="16"/>
          <w:szCs w:val="16"/>
          <w:shd w:val="clear" w:color="auto" w:fill="FFFFFF"/>
          <w:lang w:val="es-CR"/>
        </w:rPr>
        <w:t xml:space="preserve">Opinión Consultiva OC-1/82, </w:t>
      </w:r>
      <w:proofErr w:type="spellStart"/>
      <w:r w:rsidR="00C80FB0" w:rsidRPr="00B328AA">
        <w:rPr>
          <w:rStyle w:val="Strong"/>
          <w:rFonts w:ascii="Verdana" w:eastAsia="Batang" w:hAnsi="Verdana"/>
          <w:b w:val="0"/>
          <w:color w:val="000000"/>
          <w:sz w:val="16"/>
          <w:szCs w:val="16"/>
          <w:shd w:val="clear" w:color="auto" w:fill="FFFFFF"/>
          <w:lang w:val="es-CR"/>
        </w:rPr>
        <w:t>párr</w:t>
      </w:r>
      <w:r w:rsidR="00ED79E8">
        <w:rPr>
          <w:rStyle w:val="Strong"/>
          <w:rFonts w:ascii="Verdana" w:eastAsia="Batang" w:hAnsi="Verdana"/>
          <w:b w:val="0"/>
          <w:color w:val="000000"/>
          <w:sz w:val="16"/>
          <w:szCs w:val="16"/>
          <w:shd w:val="clear" w:color="auto" w:fill="FFFFFF"/>
          <w:lang w:val="es-CR"/>
        </w:rPr>
        <w:t>s</w:t>
      </w:r>
      <w:proofErr w:type="spellEnd"/>
      <w:r w:rsidR="00C80FB0" w:rsidRPr="00B328AA">
        <w:rPr>
          <w:rStyle w:val="Strong"/>
          <w:rFonts w:ascii="Verdana" w:eastAsia="Batang" w:hAnsi="Verdana"/>
          <w:b w:val="0"/>
          <w:color w:val="000000"/>
          <w:sz w:val="16"/>
          <w:szCs w:val="16"/>
          <w:shd w:val="clear" w:color="auto" w:fill="FFFFFF"/>
          <w:lang w:val="es-CR"/>
        </w:rPr>
        <w:t xml:space="preserve">. </w:t>
      </w:r>
      <w:r w:rsidR="006740C4" w:rsidRPr="00B328AA">
        <w:rPr>
          <w:rStyle w:val="Strong"/>
          <w:rFonts w:ascii="Verdana" w:eastAsia="Batang" w:hAnsi="Verdana"/>
          <w:b w:val="0"/>
          <w:color w:val="000000"/>
          <w:sz w:val="16"/>
          <w:szCs w:val="16"/>
          <w:shd w:val="clear" w:color="auto" w:fill="FFFFFF"/>
          <w:lang w:val="es-CR"/>
        </w:rPr>
        <w:t xml:space="preserve">41 al </w:t>
      </w:r>
      <w:r w:rsidR="00C80FB0" w:rsidRPr="00B328AA">
        <w:rPr>
          <w:rStyle w:val="Strong"/>
          <w:rFonts w:ascii="Verdana" w:eastAsia="Batang" w:hAnsi="Verdana"/>
          <w:b w:val="0"/>
          <w:color w:val="000000"/>
          <w:sz w:val="16"/>
          <w:szCs w:val="16"/>
          <w:shd w:val="clear" w:color="auto" w:fill="FFFFFF"/>
          <w:lang w:val="es-CR"/>
        </w:rPr>
        <w:t>43</w:t>
      </w:r>
      <w:r w:rsidR="00B328AA" w:rsidRPr="00B328AA">
        <w:rPr>
          <w:rStyle w:val="Strong"/>
          <w:rFonts w:ascii="Verdana" w:eastAsia="Batang" w:hAnsi="Verdana"/>
          <w:b w:val="0"/>
          <w:color w:val="000000"/>
          <w:sz w:val="16"/>
          <w:szCs w:val="16"/>
          <w:shd w:val="clear" w:color="auto" w:fill="FFFFFF"/>
          <w:lang w:val="es-CR"/>
        </w:rPr>
        <w:t>,</w:t>
      </w:r>
      <w:r w:rsidR="00C80FB0" w:rsidRPr="00B328AA">
        <w:rPr>
          <w:rStyle w:val="Strong"/>
          <w:rFonts w:ascii="Verdana" w:eastAsia="Batang" w:hAnsi="Verdana"/>
          <w:b w:val="0"/>
          <w:color w:val="000000"/>
          <w:sz w:val="16"/>
          <w:szCs w:val="16"/>
          <w:shd w:val="clear" w:color="auto" w:fill="FFFFFF"/>
          <w:lang w:val="es-CR"/>
        </w:rPr>
        <w:t xml:space="preserve"> y </w:t>
      </w:r>
      <w:r w:rsidR="008A20EF" w:rsidRPr="00B328AA">
        <w:rPr>
          <w:rStyle w:val="Strong"/>
          <w:rFonts w:ascii="Verdana" w:eastAsia="Batang" w:hAnsi="Verdana"/>
          <w:b w:val="0"/>
          <w:i/>
          <w:color w:val="000000"/>
          <w:sz w:val="16"/>
          <w:szCs w:val="16"/>
          <w:shd w:val="clear" w:color="auto" w:fill="FFFFFF"/>
          <w:lang w:val="es-CR"/>
        </w:rPr>
        <w:t xml:space="preserve">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w:t>
      </w:r>
      <w:r w:rsidR="008A20EF" w:rsidRPr="00B328AA">
        <w:rPr>
          <w:rStyle w:val="Strong"/>
          <w:rFonts w:ascii="Verdana" w:eastAsia="Batang" w:hAnsi="Verdana"/>
          <w:b w:val="0"/>
          <w:color w:val="000000"/>
          <w:sz w:val="16"/>
          <w:szCs w:val="16"/>
          <w:shd w:val="clear" w:color="auto" w:fill="FFFFFF"/>
          <w:lang w:val="es-CR"/>
        </w:rPr>
        <w:t>Opinión Consultiva OC-22/16 de 26 de febrero de 2016. Serie A No. 22.</w:t>
      </w:r>
      <w:r w:rsidR="008A20EF" w:rsidRPr="00B328AA">
        <w:rPr>
          <w:rStyle w:val="Strong"/>
          <w:rFonts w:ascii="Verdana" w:eastAsia="Batang" w:hAnsi="Verdana"/>
          <w:b w:val="0"/>
          <w:i/>
          <w:color w:val="000000"/>
          <w:sz w:val="16"/>
          <w:szCs w:val="16"/>
          <w:shd w:val="clear" w:color="auto" w:fill="FFFFFF"/>
          <w:lang w:val="es-CR"/>
        </w:rPr>
        <w:t>,</w:t>
      </w:r>
      <w:r w:rsidR="008A20EF" w:rsidRPr="00B328AA">
        <w:rPr>
          <w:rStyle w:val="Strong"/>
          <w:rFonts w:ascii="Verdana" w:eastAsia="Batang" w:hAnsi="Verdana"/>
          <w:b w:val="0"/>
          <w:color w:val="000000"/>
          <w:sz w:val="16"/>
          <w:szCs w:val="16"/>
          <w:shd w:val="clear" w:color="auto" w:fill="FFFFFF"/>
          <w:lang w:val="es-CR"/>
        </w:rPr>
        <w:t xml:space="preserve"> párr. 45.</w:t>
      </w:r>
    </w:p>
  </w:footnote>
  <w:footnote w:id="23">
    <w:p w14:paraId="1820CE97" w14:textId="08232093" w:rsidR="00A364EA" w:rsidRPr="008910BB" w:rsidRDefault="00A364EA" w:rsidP="005F6D97">
      <w:pPr>
        <w:tabs>
          <w:tab w:val="left" w:pos="450"/>
          <w:tab w:val="left" w:pos="990"/>
        </w:tabs>
        <w:spacing w:before="120" w:after="120"/>
        <w:contextualSpacing/>
        <w:jc w:val="both"/>
        <w:rPr>
          <w:rFonts w:ascii="Verdana" w:eastAsiaTheme="minorHAnsi" w:hAnsi="Verdana" w:cstheme="minorBidi"/>
          <w:b/>
          <w:bCs/>
          <w:color w:val="000000"/>
          <w:sz w:val="16"/>
          <w:szCs w:val="16"/>
          <w:shd w:val="clear" w:color="auto" w:fill="FFFFFF"/>
          <w:lang w:eastAsia="en-US"/>
        </w:rPr>
      </w:pPr>
      <w:r w:rsidRPr="008910BB">
        <w:rPr>
          <w:rStyle w:val="FootnoteReference"/>
          <w:rFonts w:ascii="Verdana" w:hAnsi="Verdana" w:cs="Arial"/>
          <w:sz w:val="16"/>
          <w:szCs w:val="16"/>
        </w:rPr>
        <w:footnoteRef/>
      </w:r>
      <w:r w:rsidRPr="008910BB">
        <w:rPr>
          <w:rFonts w:ascii="Verdana" w:hAnsi="Verdana"/>
          <w:sz w:val="16"/>
          <w:szCs w:val="16"/>
        </w:rPr>
        <w:t xml:space="preserve"> </w:t>
      </w:r>
      <w:r w:rsidR="00605318">
        <w:rPr>
          <w:rFonts w:ascii="Verdana" w:hAnsi="Verdana"/>
          <w:sz w:val="16"/>
          <w:szCs w:val="16"/>
        </w:rPr>
        <w:tab/>
      </w:r>
      <w:r w:rsidR="003724BE" w:rsidRPr="008910BB">
        <w:rPr>
          <w:rFonts w:ascii="Verdana" w:hAnsi="Verdana"/>
          <w:i/>
          <w:sz w:val="16"/>
          <w:szCs w:val="16"/>
        </w:rPr>
        <w:t xml:space="preserve">Cfr. </w:t>
      </w:r>
      <w:r w:rsidRPr="008910BB">
        <w:rPr>
          <w:rFonts w:ascii="Verdana" w:eastAsia="Times New Roman" w:hAnsi="Verdana"/>
          <w:bCs/>
          <w:i/>
          <w:sz w:val="16"/>
          <w:szCs w:val="16"/>
        </w:rPr>
        <w:t>El derecho a la información sobre la asistencia consular en el marco de las garantías del debido proceso legal</w:t>
      </w:r>
      <w:r w:rsidR="003724BE" w:rsidRPr="008910BB">
        <w:rPr>
          <w:rFonts w:ascii="Verdana" w:eastAsia="Times New Roman" w:hAnsi="Verdana"/>
          <w:bCs/>
          <w:sz w:val="16"/>
          <w:szCs w:val="16"/>
        </w:rPr>
        <w:t>.</w:t>
      </w:r>
      <w:r w:rsidRPr="008910BB">
        <w:rPr>
          <w:rFonts w:ascii="Verdana" w:eastAsia="Times New Roman" w:hAnsi="Verdana"/>
          <w:bCs/>
          <w:sz w:val="16"/>
          <w:szCs w:val="16"/>
        </w:rPr>
        <w:t xml:space="preserve"> Opinión Consultiva OC-16/99 de 1 de octubre de 1999. Serie A No. 16</w:t>
      </w:r>
      <w:r w:rsidR="00D00F8E" w:rsidRPr="00A11A70">
        <w:rPr>
          <w:rFonts w:ascii="Verdana" w:eastAsia="Times New Roman" w:hAnsi="Verdana"/>
          <w:bCs/>
          <w:sz w:val="16"/>
          <w:szCs w:val="16"/>
        </w:rPr>
        <w:t>,</w:t>
      </w:r>
      <w:r w:rsidR="00D00F8E">
        <w:rPr>
          <w:rFonts w:ascii="Verdana" w:eastAsia="Times New Roman" w:hAnsi="Verdana"/>
          <w:b/>
          <w:bCs/>
          <w:sz w:val="16"/>
          <w:szCs w:val="16"/>
        </w:rPr>
        <w:t xml:space="preserve"> </w:t>
      </w:r>
      <w:proofErr w:type="spellStart"/>
      <w:r w:rsidR="00D00F8E" w:rsidRPr="009D7294">
        <w:rPr>
          <w:rFonts w:ascii="Verdana" w:eastAsia="Times New Roman" w:hAnsi="Verdana"/>
          <w:bCs/>
          <w:sz w:val="16"/>
          <w:szCs w:val="16"/>
        </w:rPr>
        <w:t>parr</w:t>
      </w:r>
      <w:proofErr w:type="spellEnd"/>
      <w:r w:rsidR="00D00F8E" w:rsidRPr="009D7294">
        <w:rPr>
          <w:rFonts w:ascii="Verdana" w:eastAsia="Times New Roman" w:hAnsi="Verdana"/>
          <w:bCs/>
          <w:sz w:val="16"/>
          <w:szCs w:val="16"/>
        </w:rPr>
        <w:t xml:space="preserve">. </w:t>
      </w:r>
      <w:r w:rsidR="00BF3B1A" w:rsidRPr="009D7294">
        <w:rPr>
          <w:rFonts w:ascii="Verdana" w:eastAsia="Times New Roman" w:hAnsi="Verdana"/>
          <w:bCs/>
          <w:sz w:val="16"/>
          <w:szCs w:val="16"/>
        </w:rPr>
        <w:t>42.</w:t>
      </w:r>
      <w:r w:rsidR="00A06F94" w:rsidRPr="008910BB">
        <w:rPr>
          <w:rFonts w:ascii="Verdana" w:hAnsi="Verdana"/>
          <w:b/>
          <w:bCs/>
          <w:sz w:val="16"/>
          <w:szCs w:val="16"/>
        </w:rPr>
        <w:t xml:space="preserve"> </w:t>
      </w:r>
    </w:p>
  </w:footnote>
  <w:footnote w:id="24">
    <w:p w14:paraId="3DA246CE" w14:textId="2157D010" w:rsidR="00A06F94" w:rsidRPr="008910BB" w:rsidRDefault="00A06F94" w:rsidP="005F6D97">
      <w:pPr>
        <w:pStyle w:val="FootnoteText"/>
        <w:spacing w:before="120" w:after="120"/>
        <w:jc w:val="both"/>
        <w:rPr>
          <w:rFonts w:ascii="Verdana" w:hAnsi="Verdana"/>
          <w:bCs/>
          <w:sz w:val="16"/>
          <w:szCs w:val="16"/>
          <w:lang w:val="es-CR"/>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003724BE" w:rsidRPr="008910BB">
        <w:rPr>
          <w:rFonts w:ascii="Verdana" w:hAnsi="Verdana"/>
          <w:i/>
          <w:sz w:val="16"/>
          <w:szCs w:val="16"/>
        </w:rPr>
        <w:t xml:space="preserve">Cfr. </w:t>
      </w:r>
      <w:r w:rsidRPr="008910BB">
        <w:rPr>
          <w:rFonts w:ascii="Verdana" w:hAnsi="Verdana"/>
          <w:bCs/>
          <w:sz w:val="16"/>
          <w:szCs w:val="16"/>
          <w:lang w:val="es-CR"/>
        </w:rPr>
        <w:t>Caso I</w:t>
      </w:r>
      <w:r w:rsidRPr="008910BB">
        <w:rPr>
          <w:rFonts w:ascii="Verdana" w:hAnsi="Verdana"/>
          <w:bCs/>
          <w:i/>
          <w:sz w:val="16"/>
          <w:szCs w:val="16"/>
          <w:lang w:val="es-CR"/>
        </w:rPr>
        <w:t>.V. Vs. Bolivia</w:t>
      </w:r>
      <w:r w:rsidR="004E3AAF">
        <w:rPr>
          <w:rFonts w:ascii="Verdana" w:hAnsi="Verdana"/>
          <w:bCs/>
          <w:i/>
          <w:sz w:val="16"/>
          <w:szCs w:val="16"/>
          <w:lang w:val="es-CR"/>
        </w:rPr>
        <w:t>. Excepciones Preliminares, Fondo, Reparaciones y Costas</w:t>
      </w:r>
      <w:r w:rsidR="004E3AAF">
        <w:rPr>
          <w:rFonts w:ascii="Verdana" w:hAnsi="Verdana"/>
          <w:bCs/>
          <w:sz w:val="16"/>
          <w:szCs w:val="16"/>
          <w:lang w:val="es-CR"/>
        </w:rPr>
        <w:t xml:space="preserve">. </w:t>
      </w:r>
      <w:r w:rsidR="004E3AAF" w:rsidRPr="009D7294">
        <w:rPr>
          <w:rFonts w:ascii="Verdana" w:hAnsi="Verdana"/>
          <w:bCs/>
          <w:sz w:val="16"/>
          <w:szCs w:val="16"/>
          <w:lang w:val="es-CR"/>
        </w:rPr>
        <w:t>Sentencia</w:t>
      </w:r>
      <w:r w:rsidR="004E3AAF">
        <w:rPr>
          <w:rFonts w:ascii="Verdana" w:hAnsi="Verdana"/>
          <w:bCs/>
          <w:i/>
          <w:sz w:val="16"/>
          <w:szCs w:val="16"/>
          <w:lang w:val="es-CR"/>
        </w:rPr>
        <w:t xml:space="preserve"> </w:t>
      </w:r>
      <w:r w:rsidR="004E3AAF">
        <w:rPr>
          <w:rFonts w:ascii="Verdana" w:hAnsi="Verdana"/>
          <w:bCs/>
          <w:sz w:val="16"/>
          <w:szCs w:val="16"/>
          <w:lang w:val="es-CR"/>
        </w:rPr>
        <w:t xml:space="preserve">de </w:t>
      </w:r>
      <w:r w:rsidR="009E4C25">
        <w:rPr>
          <w:rFonts w:ascii="Verdana" w:hAnsi="Verdana"/>
          <w:bCs/>
          <w:sz w:val="16"/>
          <w:szCs w:val="16"/>
          <w:lang w:val="es-CR"/>
        </w:rPr>
        <w:t>30 de noviembre de 2016. Serie C</w:t>
      </w:r>
      <w:r w:rsidR="00B328AA">
        <w:rPr>
          <w:rFonts w:ascii="Verdana" w:hAnsi="Verdana"/>
          <w:bCs/>
          <w:sz w:val="16"/>
          <w:szCs w:val="16"/>
          <w:lang w:val="es-CR"/>
        </w:rPr>
        <w:t xml:space="preserve"> No. 329</w:t>
      </w:r>
      <w:r w:rsidR="009E4C25">
        <w:rPr>
          <w:rFonts w:ascii="Verdana" w:hAnsi="Verdana"/>
          <w:bCs/>
          <w:sz w:val="16"/>
          <w:szCs w:val="16"/>
          <w:lang w:val="es-CR"/>
        </w:rPr>
        <w:t>,</w:t>
      </w:r>
      <w:r w:rsidR="000B30D0" w:rsidRPr="008910BB">
        <w:rPr>
          <w:rFonts w:ascii="Verdana" w:hAnsi="Verdana"/>
          <w:bCs/>
          <w:sz w:val="16"/>
          <w:szCs w:val="16"/>
          <w:lang w:val="es-CR"/>
        </w:rPr>
        <w:t xml:space="preserve"> </w:t>
      </w:r>
      <w:r w:rsidRPr="008910BB">
        <w:rPr>
          <w:rFonts w:ascii="Verdana" w:hAnsi="Verdana"/>
          <w:bCs/>
          <w:sz w:val="16"/>
          <w:szCs w:val="16"/>
          <w:lang w:val="es-CR"/>
        </w:rPr>
        <w:t xml:space="preserve">párr. 168. </w:t>
      </w:r>
    </w:p>
  </w:footnote>
  <w:footnote w:id="25">
    <w:p w14:paraId="15831F69" w14:textId="6917B0AD" w:rsidR="00A06F94" w:rsidRPr="009D7294" w:rsidRDefault="003757B0" w:rsidP="005F6D97">
      <w:pPr>
        <w:pStyle w:val="FootnoteText"/>
        <w:spacing w:before="120" w:after="120"/>
        <w:jc w:val="both"/>
        <w:rPr>
          <w:rFonts w:ascii="Verdana" w:hAnsi="Verdana"/>
          <w:bCs/>
          <w:i/>
          <w:color w:val="000000"/>
          <w:sz w:val="16"/>
          <w:szCs w:val="16"/>
          <w:shd w:val="clear" w:color="auto" w:fill="FFFFFF"/>
        </w:rPr>
      </w:pPr>
      <w:r w:rsidRPr="00B328AA">
        <w:rPr>
          <w:rStyle w:val="FootnoteReference"/>
          <w:rFonts w:ascii="Verdana" w:hAnsi="Verdana"/>
          <w:sz w:val="16"/>
          <w:szCs w:val="16"/>
        </w:rPr>
        <w:footnoteRef/>
      </w:r>
      <w:r w:rsidR="00A06F94" w:rsidRPr="00B328AA">
        <w:rPr>
          <w:rFonts w:ascii="Verdana" w:hAnsi="Verdana"/>
          <w:sz w:val="16"/>
          <w:szCs w:val="16"/>
        </w:rPr>
        <w:t xml:space="preserve"> </w:t>
      </w:r>
      <w:r w:rsidR="00605318" w:rsidRPr="00B328AA">
        <w:rPr>
          <w:rFonts w:ascii="Verdana" w:hAnsi="Verdana"/>
          <w:sz w:val="16"/>
          <w:szCs w:val="16"/>
        </w:rPr>
        <w:tab/>
      </w:r>
      <w:r w:rsidR="003724BE" w:rsidRPr="00B328AA">
        <w:rPr>
          <w:rFonts w:ascii="Verdana" w:hAnsi="Verdana"/>
          <w:i/>
          <w:sz w:val="16"/>
          <w:szCs w:val="16"/>
        </w:rPr>
        <w:t xml:space="preserve">Cfr. </w:t>
      </w:r>
      <w:r w:rsidRPr="00B328AA">
        <w:rPr>
          <w:rStyle w:val="Strong"/>
          <w:rFonts w:ascii="Verdana" w:hAnsi="Verdana"/>
          <w:b w:val="0"/>
          <w:i/>
          <w:color w:val="000000"/>
          <w:sz w:val="16"/>
          <w:szCs w:val="16"/>
          <w:shd w:val="clear" w:color="auto" w:fill="FFFFFF"/>
        </w:rPr>
        <w:t>El derecho a la información sobre la asistencia consular en el marco de las garantías del debido proceso legal</w:t>
      </w:r>
      <w:r w:rsidR="000B30D0" w:rsidRPr="00B328AA">
        <w:rPr>
          <w:rStyle w:val="Strong"/>
          <w:rFonts w:ascii="Verdana" w:hAnsi="Verdana"/>
          <w:b w:val="0"/>
          <w:i/>
          <w:color w:val="000000"/>
          <w:sz w:val="16"/>
          <w:szCs w:val="16"/>
          <w:shd w:val="clear" w:color="auto" w:fill="FFFFFF"/>
        </w:rPr>
        <w:t xml:space="preserve">, </w:t>
      </w:r>
      <w:r w:rsidR="00816CC6" w:rsidRPr="00B328AA">
        <w:rPr>
          <w:rFonts w:ascii="Verdana" w:hAnsi="Verdana"/>
          <w:bCs/>
          <w:sz w:val="16"/>
          <w:szCs w:val="16"/>
        </w:rPr>
        <w:t>Opinión Consultiva OC-16/99</w:t>
      </w:r>
      <w:r w:rsidRPr="00B328AA">
        <w:rPr>
          <w:rStyle w:val="Strong"/>
          <w:rFonts w:ascii="Verdana" w:hAnsi="Verdana"/>
          <w:b w:val="0"/>
          <w:color w:val="000000"/>
          <w:sz w:val="16"/>
          <w:szCs w:val="16"/>
          <w:shd w:val="clear" w:color="auto" w:fill="FFFFFF"/>
        </w:rPr>
        <w:t>, párr. 114</w:t>
      </w:r>
      <w:r w:rsidR="00B328AA" w:rsidRPr="00B328AA">
        <w:rPr>
          <w:rStyle w:val="Strong"/>
          <w:rFonts w:ascii="Verdana" w:hAnsi="Verdana"/>
          <w:b w:val="0"/>
          <w:color w:val="000000"/>
          <w:sz w:val="16"/>
          <w:szCs w:val="16"/>
          <w:shd w:val="clear" w:color="auto" w:fill="FFFFFF"/>
        </w:rPr>
        <w:t>,</w:t>
      </w:r>
      <w:r w:rsidR="00EA7C59" w:rsidRPr="00B328AA">
        <w:rPr>
          <w:rStyle w:val="Strong"/>
          <w:rFonts w:ascii="Verdana" w:hAnsi="Verdana"/>
          <w:b w:val="0"/>
          <w:color w:val="000000"/>
          <w:sz w:val="16"/>
          <w:szCs w:val="16"/>
          <w:shd w:val="clear" w:color="auto" w:fill="FFFFFF"/>
        </w:rPr>
        <w:t xml:space="preserve"> y </w:t>
      </w:r>
      <w:r w:rsidR="00EA7C59" w:rsidRPr="00B328AA">
        <w:rPr>
          <w:rStyle w:val="Strong"/>
          <w:rFonts w:ascii="Verdana" w:hAnsi="Verdana"/>
          <w:b w:val="0"/>
          <w:i/>
          <w:color w:val="000000"/>
          <w:sz w:val="16"/>
          <w:szCs w:val="16"/>
          <w:shd w:val="clear" w:color="auto" w:fill="FFFFFF"/>
        </w:rPr>
        <w:t xml:space="preserve">Caso Trabajadores de la Hacienda Brasil Verde Vs. Brasil. Excepciones Preliminares, Fondo, Reparaciones y Costas. </w:t>
      </w:r>
      <w:r w:rsidR="00EA7C59" w:rsidRPr="00B328AA">
        <w:rPr>
          <w:rStyle w:val="Strong"/>
          <w:rFonts w:ascii="Verdana" w:hAnsi="Verdana"/>
          <w:b w:val="0"/>
          <w:color w:val="000000"/>
          <w:sz w:val="16"/>
          <w:szCs w:val="16"/>
          <w:shd w:val="clear" w:color="auto" w:fill="FFFFFF"/>
        </w:rPr>
        <w:t>Sentencia de 20 de octubre de 2016. Serie C No. 318., párr. 245</w:t>
      </w:r>
      <w:r w:rsidR="003D31C8" w:rsidRPr="00B328AA">
        <w:rPr>
          <w:rStyle w:val="Strong"/>
          <w:rFonts w:ascii="Verdana" w:hAnsi="Verdana"/>
          <w:b w:val="0"/>
          <w:color w:val="000000"/>
          <w:sz w:val="16"/>
          <w:szCs w:val="16"/>
          <w:shd w:val="clear" w:color="auto" w:fill="FFFFFF"/>
        </w:rPr>
        <w:t>.</w:t>
      </w:r>
    </w:p>
  </w:footnote>
  <w:footnote w:id="26">
    <w:p w14:paraId="6258B910" w14:textId="0564D892" w:rsidR="00A06F94" w:rsidRPr="008910BB" w:rsidRDefault="0032152D" w:rsidP="005F6D97">
      <w:pPr>
        <w:pStyle w:val="FootnoteText"/>
        <w:spacing w:before="120" w:after="120"/>
        <w:jc w:val="both"/>
        <w:rPr>
          <w:rFonts w:ascii="Verdana" w:eastAsia="Batang" w:hAnsi="Verdana"/>
          <w:bCs/>
          <w:color w:val="000000"/>
          <w:sz w:val="16"/>
          <w:szCs w:val="16"/>
          <w:shd w:val="clear" w:color="auto" w:fill="FFFFFF"/>
          <w:lang w:val="es-CR"/>
        </w:rPr>
      </w:pPr>
      <w:r w:rsidRPr="00B328AA">
        <w:rPr>
          <w:rStyle w:val="FootnoteReference"/>
          <w:rFonts w:ascii="Verdana" w:hAnsi="Verdana"/>
          <w:sz w:val="16"/>
          <w:szCs w:val="16"/>
        </w:rPr>
        <w:footnoteRef/>
      </w:r>
      <w:r w:rsidRPr="00B328AA">
        <w:rPr>
          <w:rFonts w:ascii="Verdana" w:hAnsi="Verdana"/>
          <w:i/>
          <w:sz w:val="16"/>
          <w:szCs w:val="16"/>
        </w:rPr>
        <w:t xml:space="preserve"> </w:t>
      </w:r>
      <w:r w:rsidR="00605318" w:rsidRPr="00B328AA">
        <w:rPr>
          <w:rFonts w:ascii="Verdana" w:hAnsi="Verdana"/>
          <w:i/>
          <w:sz w:val="16"/>
          <w:szCs w:val="16"/>
        </w:rPr>
        <w:tab/>
      </w:r>
      <w:r w:rsidR="003724BE" w:rsidRPr="00B328AA">
        <w:rPr>
          <w:rFonts w:ascii="Verdana" w:hAnsi="Verdana"/>
          <w:i/>
          <w:sz w:val="16"/>
          <w:szCs w:val="16"/>
        </w:rPr>
        <w:t xml:space="preserve">Cfr. </w:t>
      </w:r>
      <w:r w:rsidR="000D3448" w:rsidRPr="00B328AA">
        <w:rPr>
          <w:rFonts w:ascii="Verdana" w:hAnsi="Verdana"/>
          <w:i/>
          <w:sz w:val="16"/>
          <w:szCs w:val="16"/>
        </w:rPr>
        <w:t>"</w:t>
      </w:r>
      <w:r w:rsidR="003E274C" w:rsidRPr="00B328AA">
        <w:rPr>
          <w:rStyle w:val="Strong"/>
          <w:rFonts w:ascii="Verdana" w:eastAsia="Batang" w:hAnsi="Verdana"/>
          <w:b w:val="0"/>
          <w:i/>
          <w:color w:val="000000"/>
          <w:sz w:val="16"/>
          <w:szCs w:val="16"/>
          <w:shd w:val="clear" w:color="auto" w:fill="FFFFFF"/>
          <w:lang w:val="es-CR"/>
        </w:rPr>
        <w:t>Otros tratados</w:t>
      </w:r>
      <w:r w:rsidR="000D3448" w:rsidRPr="00B328AA">
        <w:rPr>
          <w:rStyle w:val="Strong"/>
          <w:rFonts w:ascii="Verdana" w:eastAsia="Batang" w:hAnsi="Verdana"/>
          <w:b w:val="0"/>
          <w:i/>
          <w:color w:val="000000"/>
          <w:sz w:val="16"/>
          <w:szCs w:val="16"/>
          <w:shd w:val="clear" w:color="auto" w:fill="FFFFFF"/>
          <w:lang w:val="es-CR"/>
        </w:rPr>
        <w:t>"</w:t>
      </w:r>
      <w:r w:rsidR="003E274C" w:rsidRPr="00B328AA">
        <w:rPr>
          <w:rStyle w:val="Strong"/>
          <w:rFonts w:ascii="Verdana" w:eastAsia="Batang" w:hAnsi="Verdana"/>
          <w:b w:val="0"/>
          <w:i/>
          <w:color w:val="000000"/>
          <w:sz w:val="16"/>
          <w:szCs w:val="16"/>
          <w:shd w:val="clear" w:color="auto" w:fill="FFFFFF"/>
          <w:lang w:val="es-CR"/>
        </w:rPr>
        <w:t xml:space="preserve"> objeto de la función consultiva de la Corte (art. 64 Convenció</w:t>
      </w:r>
      <w:r w:rsidR="00A11A70">
        <w:rPr>
          <w:rStyle w:val="Strong"/>
          <w:rFonts w:ascii="Verdana" w:eastAsia="Batang" w:hAnsi="Verdana"/>
          <w:b w:val="0"/>
          <w:i/>
          <w:color w:val="000000"/>
          <w:sz w:val="16"/>
          <w:szCs w:val="16"/>
          <w:shd w:val="clear" w:color="auto" w:fill="FFFFFF"/>
          <w:lang w:val="es-CR"/>
        </w:rPr>
        <w:t>n Americana de Derechos Humanos,</w:t>
      </w:r>
      <w:r w:rsidR="003E274C" w:rsidRPr="00B328AA">
        <w:rPr>
          <w:rStyle w:val="Strong"/>
          <w:rFonts w:ascii="Verdana" w:eastAsia="Batang" w:hAnsi="Verdana"/>
          <w:b w:val="0"/>
          <w:i/>
          <w:color w:val="000000"/>
          <w:sz w:val="16"/>
          <w:szCs w:val="16"/>
          <w:shd w:val="clear" w:color="auto" w:fill="FFFFFF"/>
          <w:lang w:val="es-CR"/>
        </w:rPr>
        <w:t xml:space="preserve"> </w:t>
      </w:r>
      <w:r w:rsidR="003E274C" w:rsidRPr="00B328AA">
        <w:rPr>
          <w:rStyle w:val="Strong"/>
          <w:rFonts w:ascii="Verdana" w:eastAsia="Batang" w:hAnsi="Verdana"/>
          <w:b w:val="0"/>
          <w:color w:val="000000"/>
          <w:sz w:val="16"/>
          <w:szCs w:val="16"/>
          <w:shd w:val="clear" w:color="auto" w:fill="FFFFFF"/>
          <w:lang w:val="es-CR"/>
        </w:rPr>
        <w:t>Opinión Consultiva OC-1/82</w:t>
      </w:r>
      <w:r w:rsidR="00623CD3" w:rsidRPr="00B328AA">
        <w:rPr>
          <w:rStyle w:val="Strong"/>
          <w:rFonts w:ascii="Verdana" w:eastAsia="Batang" w:hAnsi="Verdana"/>
          <w:b w:val="0"/>
          <w:color w:val="000000"/>
          <w:sz w:val="16"/>
          <w:szCs w:val="16"/>
          <w:shd w:val="clear" w:color="auto" w:fill="FFFFFF"/>
          <w:lang w:val="es-CR"/>
        </w:rPr>
        <w:t xml:space="preserve">, </w:t>
      </w:r>
      <w:proofErr w:type="spellStart"/>
      <w:r w:rsidR="00A11A70">
        <w:rPr>
          <w:rStyle w:val="Strong"/>
          <w:rFonts w:ascii="Verdana" w:eastAsia="Batang" w:hAnsi="Verdana"/>
          <w:b w:val="0"/>
          <w:color w:val="000000"/>
          <w:sz w:val="16"/>
          <w:szCs w:val="16"/>
          <w:shd w:val="clear" w:color="auto" w:fill="FFFFFF"/>
          <w:lang w:val="es-CR"/>
        </w:rPr>
        <w:t>párrs</w:t>
      </w:r>
      <w:proofErr w:type="spellEnd"/>
      <w:r w:rsidR="00A11A70">
        <w:rPr>
          <w:rStyle w:val="Strong"/>
          <w:rFonts w:ascii="Verdana" w:eastAsia="Batang" w:hAnsi="Verdana"/>
          <w:b w:val="0"/>
          <w:color w:val="000000"/>
          <w:sz w:val="16"/>
          <w:szCs w:val="16"/>
          <w:shd w:val="clear" w:color="auto" w:fill="FFFFFF"/>
          <w:lang w:val="es-CR"/>
        </w:rPr>
        <w:t xml:space="preserve">. </w:t>
      </w:r>
      <w:r w:rsidR="00E056D2" w:rsidRPr="00B328AA">
        <w:rPr>
          <w:rStyle w:val="Strong"/>
          <w:rFonts w:ascii="Verdana" w:eastAsia="Batang" w:hAnsi="Verdana"/>
          <w:b w:val="0"/>
          <w:color w:val="000000"/>
          <w:sz w:val="16"/>
          <w:szCs w:val="16"/>
          <w:shd w:val="clear" w:color="auto" w:fill="FFFFFF"/>
          <w:lang w:val="es-CR"/>
        </w:rPr>
        <w:t xml:space="preserve">41 al 43, </w:t>
      </w:r>
      <w:r w:rsidR="00623CD3" w:rsidRPr="00B328AA">
        <w:rPr>
          <w:rStyle w:val="Strong"/>
          <w:rFonts w:ascii="Verdana" w:eastAsia="Batang" w:hAnsi="Verdana"/>
          <w:b w:val="0"/>
          <w:color w:val="000000"/>
          <w:sz w:val="16"/>
          <w:szCs w:val="16"/>
          <w:shd w:val="clear" w:color="auto" w:fill="FFFFFF"/>
          <w:lang w:val="es-CR"/>
        </w:rPr>
        <w:t>e</w:t>
      </w:r>
      <w:r w:rsidR="003E274C" w:rsidRPr="00B328AA">
        <w:rPr>
          <w:rStyle w:val="Strong"/>
          <w:rFonts w:ascii="Verdana" w:eastAsia="Batang" w:hAnsi="Verdana"/>
          <w:b w:val="0"/>
          <w:color w:val="000000"/>
          <w:sz w:val="16"/>
          <w:szCs w:val="16"/>
          <w:shd w:val="clear" w:color="auto" w:fill="FFFFFF"/>
          <w:lang w:val="es-CR"/>
        </w:rPr>
        <w:t xml:space="preserve"> </w:t>
      </w:r>
      <w:r w:rsidRPr="00B328AA">
        <w:rPr>
          <w:rStyle w:val="Strong"/>
          <w:rFonts w:ascii="Verdana" w:eastAsia="Batang" w:hAnsi="Verdana"/>
          <w:b w:val="0"/>
          <w:i/>
          <w:color w:val="000000"/>
          <w:sz w:val="16"/>
          <w:szCs w:val="16"/>
          <w:shd w:val="clear" w:color="auto" w:fill="FFFFFF"/>
          <w:lang w:val="es-CR"/>
        </w:rPr>
        <w:t>Informes de la Comisión Interamericana de Derechos Humanos (Art. 51 Convención Americana sobre Derechos Humanos).</w:t>
      </w:r>
      <w:r w:rsidRPr="00B328AA">
        <w:rPr>
          <w:rStyle w:val="Strong"/>
          <w:rFonts w:ascii="Verdana" w:eastAsia="Batang" w:hAnsi="Verdana"/>
          <w:b w:val="0"/>
          <w:color w:val="000000"/>
          <w:sz w:val="16"/>
          <w:szCs w:val="16"/>
          <w:shd w:val="clear" w:color="auto" w:fill="FFFFFF"/>
          <w:lang w:val="es-CR"/>
        </w:rPr>
        <w:t xml:space="preserve"> Opinión Consultiva OC-15/97 de 14 de noviembre de 1997. Serie A No. 15., párr. </w:t>
      </w:r>
      <w:r w:rsidR="008F06BE" w:rsidRPr="00B328AA">
        <w:rPr>
          <w:rStyle w:val="Strong"/>
          <w:rFonts w:ascii="Verdana" w:eastAsia="Batang" w:hAnsi="Verdana"/>
          <w:b w:val="0"/>
          <w:color w:val="000000"/>
          <w:sz w:val="16"/>
          <w:szCs w:val="16"/>
          <w:shd w:val="clear" w:color="auto" w:fill="FFFFFF"/>
          <w:lang w:val="es-CR"/>
        </w:rPr>
        <w:t>29</w:t>
      </w:r>
      <w:r w:rsidRPr="00B328AA">
        <w:rPr>
          <w:rStyle w:val="Strong"/>
          <w:rFonts w:ascii="Verdana" w:eastAsia="Batang" w:hAnsi="Verdana"/>
          <w:b w:val="0"/>
          <w:color w:val="000000"/>
          <w:sz w:val="16"/>
          <w:szCs w:val="16"/>
          <w:shd w:val="clear" w:color="auto" w:fill="FFFFFF"/>
          <w:lang w:val="es-CR"/>
        </w:rPr>
        <w:t>.</w:t>
      </w:r>
    </w:p>
  </w:footnote>
  <w:footnote w:id="27">
    <w:p w14:paraId="00C08451" w14:textId="16C5CD5A" w:rsidR="0032152D" w:rsidRPr="008910BB" w:rsidRDefault="0032152D" w:rsidP="005F6D97">
      <w:pPr>
        <w:pStyle w:val="FootnoteText"/>
        <w:spacing w:before="120" w:after="120"/>
        <w:jc w:val="both"/>
        <w:rPr>
          <w:rFonts w:ascii="Verdana" w:hAnsi="Verdana"/>
          <w:sz w:val="16"/>
          <w:szCs w:val="16"/>
          <w:lang w:val="es-CR"/>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003724BE" w:rsidRPr="008910BB">
        <w:rPr>
          <w:rFonts w:ascii="Verdana" w:hAnsi="Verdana"/>
          <w:i/>
          <w:sz w:val="16"/>
          <w:szCs w:val="16"/>
        </w:rPr>
        <w:t xml:space="preserve">Cfr. </w:t>
      </w:r>
      <w:r w:rsidRPr="008910BB">
        <w:rPr>
          <w:rStyle w:val="Strong"/>
          <w:rFonts w:ascii="Verdana" w:eastAsia="Batang" w:hAnsi="Verdana"/>
          <w:b w:val="0"/>
          <w:i/>
          <w:color w:val="000000"/>
          <w:sz w:val="16"/>
          <w:szCs w:val="16"/>
          <w:shd w:val="clear" w:color="auto" w:fill="FFFFFF"/>
          <w:lang w:val="es-CR"/>
        </w:rPr>
        <w:t>El derecho a la información sobre la asistencia consular en el marco de las garantías del debido proces</w:t>
      </w:r>
      <w:r w:rsidR="000B30D0" w:rsidRPr="008910BB">
        <w:rPr>
          <w:rStyle w:val="Strong"/>
          <w:rFonts w:ascii="Verdana" w:eastAsia="Batang" w:hAnsi="Verdana"/>
          <w:b w:val="0"/>
          <w:i/>
          <w:color w:val="000000"/>
          <w:sz w:val="16"/>
          <w:szCs w:val="16"/>
          <w:shd w:val="clear" w:color="auto" w:fill="FFFFFF"/>
          <w:lang w:val="es-CR"/>
        </w:rPr>
        <w:t xml:space="preserve">o legal, </w:t>
      </w:r>
      <w:r w:rsidR="00ED79E8" w:rsidRPr="00626528">
        <w:rPr>
          <w:rStyle w:val="Strong"/>
          <w:rFonts w:ascii="Verdana" w:eastAsia="Batang" w:hAnsi="Verdana"/>
          <w:b w:val="0"/>
          <w:color w:val="000000"/>
          <w:sz w:val="16"/>
          <w:szCs w:val="16"/>
          <w:shd w:val="clear" w:color="auto" w:fill="FFFFFF"/>
          <w:lang w:val="es-CR"/>
        </w:rPr>
        <w:t>Opini</w:t>
      </w:r>
      <w:r w:rsidR="00ED79E8" w:rsidRPr="002230BC">
        <w:rPr>
          <w:rStyle w:val="Strong"/>
          <w:rFonts w:ascii="Verdana" w:eastAsia="Batang" w:hAnsi="Verdana"/>
          <w:b w:val="0"/>
          <w:color w:val="000000"/>
          <w:sz w:val="16"/>
          <w:szCs w:val="16"/>
          <w:shd w:val="clear" w:color="auto" w:fill="FFFFFF"/>
          <w:lang w:val="es-CR"/>
        </w:rPr>
        <w:t xml:space="preserve">ón </w:t>
      </w:r>
      <w:r w:rsidR="00ED79E8">
        <w:rPr>
          <w:rStyle w:val="Strong"/>
          <w:rFonts w:ascii="Verdana" w:eastAsia="Batang" w:hAnsi="Verdana"/>
          <w:b w:val="0"/>
          <w:color w:val="000000"/>
          <w:sz w:val="16"/>
          <w:szCs w:val="16"/>
          <w:shd w:val="clear" w:color="auto" w:fill="FFFFFF"/>
          <w:lang w:val="es-CR"/>
        </w:rPr>
        <w:t>C</w:t>
      </w:r>
      <w:r w:rsidR="00ED79E8" w:rsidRPr="00626528">
        <w:rPr>
          <w:rStyle w:val="Strong"/>
          <w:rFonts w:ascii="Verdana" w:eastAsia="Batang" w:hAnsi="Verdana"/>
          <w:b w:val="0"/>
          <w:color w:val="000000"/>
          <w:sz w:val="16"/>
          <w:szCs w:val="16"/>
          <w:shd w:val="clear" w:color="auto" w:fill="FFFFFF"/>
          <w:lang w:val="es-CR"/>
        </w:rPr>
        <w:t>onsultiva OC-16/99</w:t>
      </w:r>
      <w:r w:rsidR="000B30D0" w:rsidRPr="008910BB">
        <w:rPr>
          <w:rStyle w:val="Strong"/>
          <w:rFonts w:ascii="Verdana" w:eastAsia="Batang" w:hAnsi="Verdana"/>
          <w:b w:val="0"/>
          <w:color w:val="000000"/>
          <w:sz w:val="16"/>
          <w:szCs w:val="16"/>
          <w:shd w:val="clear" w:color="auto" w:fill="FFFFFF"/>
          <w:lang w:val="es-CR"/>
        </w:rPr>
        <w:t xml:space="preserve">, </w:t>
      </w:r>
      <w:r w:rsidR="009623DF" w:rsidRPr="008910BB">
        <w:rPr>
          <w:rStyle w:val="Strong"/>
          <w:rFonts w:ascii="Verdana" w:eastAsia="Batang" w:hAnsi="Verdana"/>
          <w:b w:val="0"/>
          <w:color w:val="000000"/>
          <w:sz w:val="16"/>
          <w:szCs w:val="16"/>
          <w:shd w:val="clear" w:color="auto" w:fill="FFFFFF"/>
          <w:lang w:val="es-CR"/>
        </w:rPr>
        <w:t>párr. 114</w:t>
      </w:r>
      <w:r w:rsidR="00B328AA">
        <w:rPr>
          <w:rStyle w:val="Strong"/>
          <w:rFonts w:ascii="Verdana" w:eastAsia="Batang" w:hAnsi="Verdana"/>
          <w:b w:val="0"/>
          <w:color w:val="000000"/>
          <w:sz w:val="16"/>
          <w:szCs w:val="16"/>
          <w:shd w:val="clear" w:color="auto" w:fill="FFFFFF"/>
          <w:lang w:val="es-CR"/>
        </w:rPr>
        <w:t>,</w:t>
      </w:r>
      <w:r w:rsidR="009623DF" w:rsidRPr="008910BB">
        <w:rPr>
          <w:rStyle w:val="Strong"/>
          <w:rFonts w:ascii="Verdana" w:eastAsia="Batang" w:hAnsi="Verdana"/>
          <w:b w:val="0"/>
          <w:color w:val="000000"/>
          <w:sz w:val="16"/>
          <w:szCs w:val="16"/>
          <w:shd w:val="clear" w:color="auto" w:fill="FFFFFF"/>
          <w:lang w:val="es-CR"/>
        </w:rPr>
        <w:t xml:space="preserve"> y </w:t>
      </w:r>
      <w:r w:rsidR="009623DF" w:rsidRPr="008910BB">
        <w:rPr>
          <w:rStyle w:val="Strong"/>
          <w:rFonts w:ascii="Verdana" w:eastAsia="Batang" w:hAnsi="Verdana"/>
          <w:b w:val="0"/>
          <w:i/>
          <w:color w:val="000000"/>
          <w:sz w:val="16"/>
          <w:szCs w:val="16"/>
          <w:shd w:val="clear" w:color="auto" w:fill="FFFFFF"/>
          <w:lang w:val="es-CR"/>
        </w:rPr>
        <w:t>Caso Trabajadores de la Hacienda Brasil Verde Vs. Brasil</w:t>
      </w:r>
      <w:r w:rsidR="009623DF" w:rsidRPr="008910BB">
        <w:rPr>
          <w:rStyle w:val="Strong"/>
          <w:rFonts w:ascii="Verdana" w:eastAsia="Batang" w:hAnsi="Verdana"/>
          <w:b w:val="0"/>
          <w:color w:val="000000"/>
          <w:sz w:val="16"/>
          <w:szCs w:val="16"/>
          <w:shd w:val="clear" w:color="auto" w:fill="FFFFFF"/>
          <w:lang w:val="es-CR"/>
        </w:rPr>
        <w:t xml:space="preserve">, párr. 245. </w:t>
      </w:r>
    </w:p>
  </w:footnote>
  <w:footnote w:id="28">
    <w:p w14:paraId="74A0C14F" w14:textId="0B9FFECD" w:rsidR="00573180" w:rsidRPr="008910BB" w:rsidRDefault="00BD1AE0" w:rsidP="005F6D97">
      <w:pPr>
        <w:pStyle w:val="FootnoteText"/>
        <w:spacing w:before="120" w:after="120"/>
        <w:jc w:val="both"/>
        <w:rPr>
          <w:rFonts w:ascii="Verdana" w:hAnsi="Verdana"/>
          <w:bCs/>
          <w:sz w:val="16"/>
          <w:szCs w:val="16"/>
          <w:lang w:val="es-CR"/>
        </w:rPr>
      </w:pPr>
      <w:r w:rsidRPr="009D7294">
        <w:rPr>
          <w:rStyle w:val="FootnoteReference"/>
          <w:rFonts w:ascii="Verdana" w:hAnsi="Verdana"/>
          <w:sz w:val="16"/>
          <w:szCs w:val="16"/>
          <w:lang w:val="es-ES_tradnl"/>
        </w:rPr>
        <w:footnoteRef/>
      </w:r>
      <w:r w:rsidR="009623DF" w:rsidRPr="009D7294">
        <w:rPr>
          <w:rFonts w:ascii="Verdana" w:hAnsi="Verdana"/>
          <w:sz w:val="16"/>
          <w:szCs w:val="16"/>
          <w:lang w:val="es-ES_tradnl"/>
        </w:rPr>
        <w:t xml:space="preserve"> </w:t>
      </w:r>
      <w:r w:rsidR="00605318">
        <w:rPr>
          <w:rFonts w:ascii="Verdana" w:hAnsi="Verdana"/>
          <w:i/>
          <w:sz w:val="16"/>
          <w:szCs w:val="16"/>
          <w:lang w:val="es-ES_tradnl"/>
        </w:rPr>
        <w:tab/>
      </w:r>
      <w:r w:rsidR="003724BE" w:rsidRPr="009D7294">
        <w:rPr>
          <w:rFonts w:ascii="Verdana" w:hAnsi="Verdana"/>
          <w:i/>
          <w:sz w:val="16"/>
          <w:szCs w:val="16"/>
          <w:lang w:val="es-ES_tradnl"/>
        </w:rPr>
        <w:t>Cfr.</w:t>
      </w:r>
      <w:r w:rsidR="00ED79E8">
        <w:rPr>
          <w:rFonts w:ascii="Verdana" w:hAnsi="Verdana"/>
          <w:i/>
          <w:sz w:val="16"/>
          <w:szCs w:val="16"/>
          <w:lang w:val="es-ES_tradnl"/>
        </w:rPr>
        <w:t xml:space="preserve"> El d</w:t>
      </w:r>
      <w:r w:rsidR="00E60823" w:rsidRPr="009D7294">
        <w:rPr>
          <w:rFonts w:ascii="Verdana" w:hAnsi="Verdana"/>
          <w:i/>
          <w:sz w:val="16"/>
          <w:szCs w:val="16"/>
          <w:lang w:val="es-ES_tradnl"/>
        </w:rPr>
        <w:t xml:space="preserve">erecho a la </w:t>
      </w:r>
      <w:r w:rsidR="001E3AF8" w:rsidRPr="001E3AF8">
        <w:rPr>
          <w:rFonts w:ascii="Verdana" w:hAnsi="Verdana"/>
          <w:i/>
          <w:sz w:val="16"/>
          <w:szCs w:val="16"/>
          <w:lang w:val="es-ES_tradnl"/>
        </w:rPr>
        <w:t>Información</w:t>
      </w:r>
      <w:r w:rsidR="00ED79E8">
        <w:rPr>
          <w:rFonts w:ascii="Verdana" w:hAnsi="Verdana"/>
          <w:i/>
          <w:sz w:val="16"/>
          <w:szCs w:val="16"/>
          <w:lang w:val="es-ES_tradnl"/>
        </w:rPr>
        <w:t xml:space="preserve"> sobre la asistencia c</w:t>
      </w:r>
      <w:r w:rsidR="00E60823" w:rsidRPr="009D7294">
        <w:rPr>
          <w:rFonts w:ascii="Verdana" w:hAnsi="Verdana"/>
          <w:i/>
          <w:sz w:val="16"/>
          <w:szCs w:val="16"/>
          <w:lang w:val="es-ES_tradnl"/>
        </w:rPr>
        <w:t xml:space="preserve">onsular en el marco de las </w:t>
      </w:r>
      <w:r w:rsidR="001E3AF8" w:rsidRPr="001E3AF8">
        <w:rPr>
          <w:rFonts w:ascii="Verdana" w:hAnsi="Verdana"/>
          <w:i/>
          <w:sz w:val="16"/>
          <w:szCs w:val="16"/>
          <w:lang w:val="es-ES_tradnl"/>
        </w:rPr>
        <w:t>garantías</w:t>
      </w:r>
      <w:r w:rsidR="00E60823" w:rsidRPr="009D7294">
        <w:rPr>
          <w:rFonts w:ascii="Verdana" w:hAnsi="Verdana"/>
          <w:i/>
          <w:sz w:val="16"/>
          <w:szCs w:val="16"/>
          <w:lang w:val="es-ES_tradnl"/>
        </w:rPr>
        <w:t xml:space="preserve"> del debido proceso legal. </w:t>
      </w:r>
      <w:r w:rsidR="001E3AF8" w:rsidRPr="001E3AF8">
        <w:rPr>
          <w:rFonts w:ascii="Verdana" w:hAnsi="Verdana"/>
          <w:sz w:val="16"/>
          <w:szCs w:val="16"/>
          <w:lang w:val="es-ES_tradnl"/>
        </w:rPr>
        <w:t>Opinión</w:t>
      </w:r>
      <w:r w:rsidR="00E60823" w:rsidRPr="009D7294">
        <w:rPr>
          <w:rFonts w:ascii="Verdana" w:hAnsi="Verdana"/>
          <w:sz w:val="16"/>
          <w:szCs w:val="16"/>
          <w:lang w:val="es-ES_tradnl"/>
        </w:rPr>
        <w:t xml:space="preserve"> Consultiva OC-16/99, </w:t>
      </w:r>
      <w:proofErr w:type="spellStart"/>
      <w:r w:rsidR="00E60823" w:rsidRPr="009D7294">
        <w:rPr>
          <w:rFonts w:ascii="Verdana" w:hAnsi="Verdana"/>
          <w:sz w:val="16"/>
          <w:szCs w:val="16"/>
          <w:lang w:val="es-ES_tradnl"/>
        </w:rPr>
        <w:t>párr</w:t>
      </w:r>
      <w:proofErr w:type="spellEnd"/>
      <w:r w:rsidR="00E60823" w:rsidRPr="009D7294">
        <w:rPr>
          <w:rFonts w:ascii="Verdana" w:hAnsi="Verdana"/>
          <w:sz w:val="16"/>
          <w:szCs w:val="16"/>
          <w:lang w:val="es-ES_tradnl"/>
        </w:rPr>
        <w:t>. 114</w:t>
      </w:r>
      <w:r w:rsidR="00E60823" w:rsidRPr="009D7294">
        <w:rPr>
          <w:rFonts w:ascii="Verdana" w:hAnsi="Verdana"/>
          <w:i/>
          <w:sz w:val="16"/>
          <w:szCs w:val="16"/>
          <w:lang w:val="es-ES_tradnl"/>
        </w:rPr>
        <w:t>, y</w:t>
      </w:r>
      <w:r w:rsidR="003724BE" w:rsidRPr="009D7294">
        <w:rPr>
          <w:rFonts w:ascii="Verdana" w:hAnsi="Verdana"/>
          <w:i/>
          <w:sz w:val="16"/>
          <w:szCs w:val="16"/>
          <w:lang w:val="es-ES_tradnl"/>
        </w:rPr>
        <w:t xml:space="preserve"> </w:t>
      </w:r>
      <w:r w:rsidRPr="009D7294">
        <w:rPr>
          <w:rFonts w:ascii="Verdana" w:hAnsi="Verdana"/>
          <w:bCs/>
          <w:i/>
          <w:sz w:val="16"/>
          <w:szCs w:val="16"/>
          <w:lang w:val="es-ES_tradnl"/>
        </w:rPr>
        <w:t>Titularidad</w:t>
      </w:r>
      <w:r w:rsidRPr="008910BB">
        <w:rPr>
          <w:rFonts w:ascii="Verdana" w:hAnsi="Verdana"/>
          <w:bCs/>
          <w:i/>
          <w:sz w:val="16"/>
          <w:szCs w:val="16"/>
          <w:lang w:val="es-CR"/>
        </w:rPr>
        <w:t xml:space="preserve">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w:t>
      </w:r>
      <w:r w:rsidR="000B30D0" w:rsidRPr="008910BB">
        <w:rPr>
          <w:rFonts w:ascii="Verdana" w:hAnsi="Verdana"/>
          <w:bCs/>
          <w:i/>
          <w:sz w:val="16"/>
          <w:szCs w:val="16"/>
          <w:lang w:val="es-CR"/>
        </w:rPr>
        <w:t xml:space="preserve"> del Protocolo de San Salvador), </w:t>
      </w:r>
      <w:r w:rsidR="00A91767" w:rsidRPr="008910BB">
        <w:rPr>
          <w:rStyle w:val="Strong"/>
          <w:rFonts w:ascii="Verdana" w:eastAsia="Batang" w:hAnsi="Verdana"/>
          <w:b w:val="0"/>
          <w:color w:val="000000"/>
          <w:sz w:val="16"/>
          <w:szCs w:val="16"/>
          <w:shd w:val="clear" w:color="auto" w:fill="FFFFFF"/>
          <w:lang w:val="es-CR"/>
        </w:rPr>
        <w:t>Opinión Consultiva OC-22/16</w:t>
      </w:r>
      <w:r w:rsidRPr="008910BB">
        <w:rPr>
          <w:rFonts w:ascii="Verdana" w:hAnsi="Verdana"/>
          <w:bCs/>
          <w:sz w:val="16"/>
          <w:szCs w:val="16"/>
          <w:lang w:val="es-CR"/>
        </w:rPr>
        <w:t>, párr. 49</w:t>
      </w:r>
      <w:r w:rsidR="00E60823">
        <w:rPr>
          <w:rFonts w:ascii="Verdana" w:hAnsi="Verdana"/>
          <w:bCs/>
          <w:sz w:val="16"/>
          <w:szCs w:val="16"/>
          <w:lang w:val="es-CR"/>
        </w:rPr>
        <w:t>.</w:t>
      </w:r>
    </w:p>
  </w:footnote>
  <w:footnote w:id="29">
    <w:p w14:paraId="5624E225" w14:textId="3F025D5B" w:rsidR="00573180" w:rsidRPr="008910BB" w:rsidRDefault="00573180" w:rsidP="005F6D97">
      <w:pPr>
        <w:pStyle w:val="FootnoteText"/>
        <w:spacing w:before="120" w:after="120"/>
        <w:jc w:val="both"/>
        <w:rPr>
          <w:rFonts w:ascii="Verdana" w:hAnsi="Verdana"/>
          <w:bCs/>
          <w:sz w:val="16"/>
          <w:szCs w:val="16"/>
          <w:lang w:val="es-CR"/>
        </w:rPr>
      </w:pPr>
      <w:r w:rsidRPr="00B328AA">
        <w:rPr>
          <w:rStyle w:val="FootnoteReference"/>
          <w:rFonts w:ascii="Verdana" w:hAnsi="Verdana"/>
          <w:sz w:val="16"/>
          <w:szCs w:val="16"/>
        </w:rPr>
        <w:footnoteRef/>
      </w:r>
      <w:r w:rsidRPr="00B328AA">
        <w:rPr>
          <w:rFonts w:ascii="Verdana" w:hAnsi="Verdana"/>
          <w:sz w:val="16"/>
          <w:szCs w:val="16"/>
        </w:rPr>
        <w:t xml:space="preserve"> </w:t>
      </w:r>
      <w:r w:rsidR="00605318" w:rsidRPr="00B328AA">
        <w:rPr>
          <w:rFonts w:ascii="Verdana" w:hAnsi="Verdana"/>
          <w:sz w:val="16"/>
          <w:szCs w:val="16"/>
        </w:rPr>
        <w:tab/>
      </w:r>
      <w:r w:rsidR="003724BE" w:rsidRPr="00B328AA">
        <w:rPr>
          <w:rFonts w:ascii="Verdana" w:hAnsi="Verdana"/>
          <w:i/>
          <w:sz w:val="16"/>
          <w:szCs w:val="16"/>
        </w:rPr>
        <w:t xml:space="preserve">Cfr. </w:t>
      </w:r>
      <w:r w:rsidR="008F102B" w:rsidRPr="00B328AA">
        <w:rPr>
          <w:rFonts w:ascii="Verdana" w:hAnsi="Verdana"/>
          <w:i/>
          <w:sz w:val="16"/>
          <w:szCs w:val="16"/>
        </w:rPr>
        <w:t xml:space="preserve">El Derecho a la información sobres asistencia consular en el marco de las garantías del debido proceso legal. </w:t>
      </w:r>
      <w:r w:rsidR="00AE49EC" w:rsidRPr="00B328AA">
        <w:rPr>
          <w:rFonts w:ascii="Verdana" w:hAnsi="Verdana"/>
          <w:sz w:val="16"/>
          <w:szCs w:val="16"/>
        </w:rPr>
        <w:t xml:space="preserve">Opinión Consultiva OC-16/99 de 1 de octubre de 1999. Serie A No. 16, párr. 113, y </w:t>
      </w:r>
      <w:r w:rsidRPr="00B328AA">
        <w:rPr>
          <w:rFonts w:ascii="Verdana" w:hAnsi="Verdana"/>
          <w:bCs/>
          <w:i/>
          <w:sz w:val="16"/>
          <w:szCs w:val="16"/>
          <w:lang w:val="es-CR"/>
        </w:rPr>
        <w:t>Caso</w:t>
      </w:r>
      <w:r w:rsidRPr="00B328AA">
        <w:rPr>
          <w:rFonts w:ascii="Verdana" w:hAnsi="Verdana"/>
          <w:bCs/>
          <w:sz w:val="16"/>
          <w:szCs w:val="16"/>
          <w:lang w:val="es-CR"/>
        </w:rPr>
        <w:t xml:space="preserve"> </w:t>
      </w:r>
      <w:r w:rsidRPr="00B328AA">
        <w:rPr>
          <w:rFonts w:ascii="Verdana" w:hAnsi="Verdana"/>
          <w:bCs/>
          <w:i/>
          <w:sz w:val="16"/>
          <w:szCs w:val="16"/>
          <w:lang w:val="es-CR"/>
        </w:rPr>
        <w:t xml:space="preserve">Pueblo Indígena </w:t>
      </w:r>
      <w:proofErr w:type="spellStart"/>
      <w:r w:rsidRPr="00B328AA">
        <w:rPr>
          <w:rFonts w:ascii="Verdana" w:hAnsi="Verdana"/>
          <w:bCs/>
          <w:i/>
          <w:sz w:val="16"/>
          <w:szCs w:val="16"/>
          <w:lang w:val="es-CR"/>
        </w:rPr>
        <w:t>Kichwa</w:t>
      </w:r>
      <w:proofErr w:type="spellEnd"/>
      <w:r w:rsidRPr="00B328AA">
        <w:rPr>
          <w:rFonts w:ascii="Verdana" w:hAnsi="Verdana"/>
          <w:bCs/>
          <w:i/>
          <w:sz w:val="16"/>
          <w:szCs w:val="16"/>
          <w:lang w:val="es-CR"/>
        </w:rPr>
        <w:t xml:space="preserve"> de </w:t>
      </w:r>
      <w:proofErr w:type="spellStart"/>
      <w:r w:rsidRPr="00B328AA">
        <w:rPr>
          <w:rFonts w:ascii="Verdana" w:hAnsi="Verdana"/>
          <w:bCs/>
          <w:i/>
          <w:sz w:val="16"/>
          <w:szCs w:val="16"/>
          <w:lang w:val="es-CR"/>
        </w:rPr>
        <w:t>Sarayaku</w:t>
      </w:r>
      <w:proofErr w:type="spellEnd"/>
      <w:r w:rsidRPr="00B328AA">
        <w:rPr>
          <w:rFonts w:ascii="Verdana" w:hAnsi="Verdana"/>
          <w:bCs/>
          <w:i/>
          <w:sz w:val="16"/>
          <w:szCs w:val="16"/>
          <w:lang w:val="es-CR"/>
        </w:rPr>
        <w:t xml:space="preserve"> Vs. Ecuador</w:t>
      </w:r>
      <w:r w:rsidRPr="00B328AA">
        <w:rPr>
          <w:rFonts w:ascii="Verdana" w:hAnsi="Verdana"/>
          <w:bCs/>
          <w:sz w:val="16"/>
          <w:szCs w:val="16"/>
          <w:lang w:val="es-CR"/>
        </w:rPr>
        <w:t>. Fondo y reparaciones. Sentencia de 27 de junio de 2012. Serie C No. 245, párr. 161.</w:t>
      </w:r>
      <w:r w:rsidRPr="008910BB">
        <w:rPr>
          <w:rFonts w:ascii="Verdana" w:hAnsi="Verdana"/>
          <w:bCs/>
          <w:sz w:val="16"/>
          <w:szCs w:val="16"/>
          <w:lang w:val="es-CR"/>
        </w:rPr>
        <w:t xml:space="preserve"> </w:t>
      </w:r>
    </w:p>
  </w:footnote>
  <w:footnote w:id="30">
    <w:p w14:paraId="600480C7" w14:textId="6C82BAB3" w:rsidR="00573180" w:rsidRPr="008910BB" w:rsidRDefault="00573180" w:rsidP="005F6D97">
      <w:pPr>
        <w:pStyle w:val="FootnoteText"/>
        <w:spacing w:before="120" w:after="120"/>
        <w:jc w:val="both"/>
        <w:rPr>
          <w:rFonts w:ascii="Verdana" w:hAnsi="Verdana"/>
          <w:b/>
          <w:bCs/>
          <w:sz w:val="16"/>
          <w:szCs w:val="16"/>
          <w:lang w:val="es-CR"/>
        </w:rPr>
      </w:pPr>
      <w:r w:rsidRPr="00ED79E8">
        <w:rPr>
          <w:rStyle w:val="FootnoteReference"/>
          <w:rFonts w:ascii="Verdana" w:hAnsi="Verdana"/>
          <w:sz w:val="16"/>
          <w:szCs w:val="16"/>
        </w:rPr>
        <w:footnoteRef/>
      </w:r>
      <w:r w:rsidRPr="00ED79E8">
        <w:rPr>
          <w:rFonts w:ascii="Verdana" w:hAnsi="Verdana"/>
          <w:sz w:val="16"/>
          <w:szCs w:val="16"/>
        </w:rPr>
        <w:t xml:space="preserve"> </w:t>
      </w:r>
      <w:r w:rsidR="00605318" w:rsidRPr="00ED79E8">
        <w:rPr>
          <w:rFonts w:ascii="Verdana" w:hAnsi="Verdana"/>
          <w:sz w:val="16"/>
          <w:szCs w:val="16"/>
        </w:rPr>
        <w:tab/>
      </w:r>
      <w:r w:rsidR="00ED79E8" w:rsidRPr="00ED79E8">
        <w:rPr>
          <w:rFonts w:ascii="Verdana" w:hAnsi="Verdana"/>
          <w:i/>
          <w:sz w:val="16"/>
          <w:szCs w:val="16"/>
        </w:rPr>
        <w:t xml:space="preserve">Cfr. </w:t>
      </w:r>
      <w:r w:rsidR="00ED79E8" w:rsidRPr="00ED79E8">
        <w:rPr>
          <w:rFonts w:ascii="Verdana" w:hAnsi="Verdana"/>
          <w:bCs/>
          <w:sz w:val="16"/>
          <w:szCs w:val="16"/>
          <w:lang w:val="es-CR"/>
        </w:rPr>
        <w:t xml:space="preserve">Caso </w:t>
      </w:r>
      <w:r w:rsidR="00ED79E8" w:rsidRPr="00ED79E8">
        <w:rPr>
          <w:rFonts w:ascii="Verdana" w:hAnsi="Verdana"/>
          <w:bCs/>
          <w:i/>
          <w:sz w:val="16"/>
          <w:szCs w:val="16"/>
          <w:lang w:val="es-CR"/>
        </w:rPr>
        <w:t>I.V. Vs. Bolivia</w:t>
      </w:r>
      <w:r w:rsidR="00ED79E8" w:rsidRPr="00ED79E8">
        <w:rPr>
          <w:rFonts w:ascii="Verdana" w:hAnsi="Verdana"/>
          <w:bCs/>
          <w:sz w:val="16"/>
          <w:szCs w:val="16"/>
          <w:lang w:val="es-CR"/>
        </w:rPr>
        <w:t>, párr. 168.</w:t>
      </w:r>
      <w:r w:rsidR="005F63D1" w:rsidRPr="008910BB">
        <w:rPr>
          <w:rFonts w:ascii="Verdana" w:hAnsi="Verdana"/>
          <w:b/>
          <w:bCs/>
          <w:sz w:val="16"/>
          <w:szCs w:val="16"/>
          <w:lang w:val="es-CR"/>
        </w:rPr>
        <w:t xml:space="preserve"> </w:t>
      </w:r>
    </w:p>
  </w:footnote>
  <w:footnote w:id="31">
    <w:p w14:paraId="27CD3C3E" w14:textId="53B5CF77" w:rsidR="00A31D06" w:rsidRPr="008910BB" w:rsidRDefault="00F33BEB" w:rsidP="005F6D97">
      <w:pPr>
        <w:pStyle w:val="FootnoteText"/>
        <w:spacing w:before="120" w:after="120"/>
        <w:jc w:val="both"/>
        <w:rPr>
          <w:rFonts w:ascii="Verdana" w:hAnsi="Verdana"/>
          <w:bCs/>
          <w:color w:val="000000"/>
          <w:sz w:val="16"/>
          <w:szCs w:val="16"/>
          <w:shd w:val="clear" w:color="auto" w:fill="FFFFFF"/>
        </w:rPr>
      </w:pPr>
      <w:r w:rsidRPr="00ED79E8">
        <w:rPr>
          <w:rStyle w:val="FootnoteReference"/>
          <w:rFonts w:ascii="Verdana" w:hAnsi="Verdana"/>
          <w:sz w:val="16"/>
          <w:szCs w:val="16"/>
        </w:rPr>
        <w:footnoteRef/>
      </w:r>
      <w:r w:rsidR="005F63D1" w:rsidRPr="00ED79E8">
        <w:rPr>
          <w:rFonts w:ascii="Verdana" w:hAnsi="Verdana"/>
          <w:sz w:val="16"/>
          <w:szCs w:val="16"/>
        </w:rPr>
        <w:t xml:space="preserve"> </w:t>
      </w:r>
      <w:r w:rsidR="00605318" w:rsidRPr="00ED79E8">
        <w:rPr>
          <w:rFonts w:ascii="Verdana" w:hAnsi="Verdana"/>
          <w:i/>
          <w:sz w:val="16"/>
          <w:szCs w:val="16"/>
        </w:rPr>
        <w:tab/>
      </w:r>
      <w:r w:rsidR="00CC27DB" w:rsidRPr="00ED79E8">
        <w:rPr>
          <w:rFonts w:ascii="Verdana" w:hAnsi="Verdana"/>
          <w:bCs/>
          <w:noProof/>
          <w:color w:val="000000"/>
          <w:sz w:val="16"/>
          <w:szCs w:val="16"/>
          <w:shd w:val="clear" w:color="auto" w:fill="FFFFFF"/>
          <w:lang w:val="es-ES_tradnl"/>
        </w:rPr>
        <w:t xml:space="preserve">En los casos </w:t>
      </w:r>
      <w:r w:rsidR="00CC27DB" w:rsidRPr="00ED79E8">
        <w:rPr>
          <w:rFonts w:ascii="Verdana" w:hAnsi="Verdana"/>
          <w:bCs/>
          <w:i/>
          <w:iCs/>
          <w:noProof/>
          <w:color w:val="000000"/>
          <w:sz w:val="16"/>
          <w:szCs w:val="16"/>
          <w:shd w:val="clear" w:color="auto" w:fill="FFFFFF"/>
          <w:lang w:val="es-ES_tradnl"/>
        </w:rPr>
        <w:t xml:space="preserve">Heliodoro Portugal Vs. Panamá </w:t>
      </w:r>
      <w:r w:rsidR="00CC27DB" w:rsidRPr="00ED79E8">
        <w:rPr>
          <w:rFonts w:ascii="Verdana" w:hAnsi="Verdana"/>
          <w:bCs/>
          <w:noProof/>
          <w:color w:val="000000"/>
          <w:sz w:val="16"/>
          <w:szCs w:val="16"/>
          <w:shd w:val="clear" w:color="auto" w:fill="FFFFFF"/>
          <w:lang w:val="es-ES_tradnl"/>
        </w:rPr>
        <w:t xml:space="preserve">y </w:t>
      </w:r>
      <w:r w:rsidR="00CC27DB" w:rsidRPr="00ED79E8">
        <w:rPr>
          <w:rFonts w:ascii="Verdana" w:hAnsi="Verdana"/>
          <w:bCs/>
          <w:i/>
          <w:iCs/>
          <w:noProof/>
          <w:color w:val="000000"/>
          <w:sz w:val="16"/>
          <w:szCs w:val="16"/>
          <w:shd w:val="clear" w:color="auto" w:fill="FFFFFF"/>
          <w:lang w:val="es-ES_tradnl"/>
        </w:rPr>
        <w:t>Tiu Tojín Vs. Guatemala</w:t>
      </w:r>
      <w:r w:rsidR="00CC27DB" w:rsidRPr="00ED79E8">
        <w:rPr>
          <w:rFonts w:ascii="Verdana" w:hAnsi="Verdana"/>
          <w:bCs/>
          <w:noProof/>
          <w:color w:val="000000"/>
          <w:sz w:val="16"/>
          <w:szCs w:val="16"/>
          <w:shd w:val="clear" w:color="auto" w:fill="FFFFFF"/>
          <w:lang w:val="es-ES_tradnl"/>
        </w:rPr>
        <w:t xml:space="preserve">, la Corte tuvo en cuenta sentencias de tribunales internos de Bolivia, Colombia, México, Panamá, Perú, y Venezuela sobre la imprescriptibilidad de delitos permanentes como la desaparición forzada. Además, en el Caso </w:t>
      </w:r>
      <w:r w:rsidR="00CC27DB" w:rsidRPr="00ED79E8">
        <w:rPr>
          <w:rFonts w:ascii="Verdana" w:hAnsi="Verdana"/>
          <w:bCs/>
          <w:i/>
          <w:iCs/>
          <w:noProof/>
          <w:color w:val="000000"/>
          <w:sz w:val="16"/>
          <w:szCs w:val="16"/>
          <w:shd w:val="clear" w:color="auto" w:fill="FFFFFF"/>
          <w:lang w:val="es-ES_tradnl"/>
        </w:rPr>
        <w:t>Anzualdo Castro Vs. Perú</w:t>
      </w:r>
      <w:r w:rsidR="00CC27DB" w:rsidRPr="00ED79E8">
        <w:rPr>
          <w:rFonts w:ascii="Verdana" w:hAnsi="Verdana"/>
          <w:bCs/>
          <w:noProof/>
          <w:color w:val="000000"/>
          <w:sz w:val="16"/>
          <w:szCs w:val="16"/>
          <w:shd w:val="clear" w:color="auto" w:fill="FFFFFF"/>
          <w:lang w:val="es-ES_tradnl"/>
        </w:rPr>
        <w:t xml:space="preserve">, la Corte utilizó pronunciamientos de tribunales constitucionales de países americanos para apoyar la delimitación que ha realizado al concepto de desaparición forzada. Otros ejemplos son los casos </w:t>
      </w:r>
      <w:r w:rsidR="00CC27DB" w:rsidRPr="00ED79E8">
        <w:rPr>
          <w:rFonts w:ascii="Verdana" w:hAnsi="Verdana"/>
          <w:bCs/>
          <w:i/>
          <w:iCs/>
          <w:noProof/>
          <w:color w:val="000000"/>
          <w:sz w:val="16"/>
          <w:szCs w:val="16"/>
          <w:shd w:val="clear" w:color="auto" w:fill="FFFFFF"/>
          <w:lang w:val="es-ES_tradnl"/>
        </w:rPr>
        <w:t xml:space="preserve">Atala Riffo y Niñas Vs. Chile </w:t>
      </w:r>
      <w:r w:rsidR="00CC27DB" w:rsidRPr="00ED79E8">
        <w:rPr>
          <w:rFonts w:ascii="Verdana" w:hAnsi="Verdana"/>
          <w:bCs/>
          <w:noProof/>
          <w:color w:val="000000"/>
          <w:sz w:val="16"/>
          <w:szCs w:val="16"/>
          <w:shd w:val="clear" w:color="auto" w:fill="FFFFFF"/>
          <w:lang w:val="es-ES_tradnl"/>
        </w:rPr>
        <w:t xml:space="preserve">y el </w:t>
      </w:r>
      <w:r w:rsidR="00CC27DB" w:rsidRPr="00ED79E8">
        <w:rPr>
          <w:rFonts w:ascii="Verdana" w:hAnsi="Verdana"/>
          <w:bCs/>
          <w:i/>
          <w:iCs/>
          <w:noProof/>
          <w:color w:val="000000"/>
          <w:sz w:val="16"/>
          <w:szCs w:val="16"/>
          <w:shd w:val="clear" w:color="auto" w:fill="FFFFFF"/>
          <w:lang w:val="es-ES_tradnl"/>
        </w:rPr>
        <w:t>Caso Pueblo Indígena Kichwa de Sarayaku Vs. Ecuador</w:t>
      </w:r>
      <w:r w:rsidR="00CC27DB" w:rsidRPr="00ED79E8">
        <w:rPr>
          <w:rFonts w:ascii="Verdana" w:hAnsi="Verdana"/>
          <w:bCs/>
          <w:noProof/>
          <w:color w:val="000000"/>
          <w:sz w:val="16"/>
          <w:szCs w:val="16"/>
          <w:shd w:val="clear" w:color="auto" w:fill="FFFFFF"/>
          <w:lang w:val="es-ES_tradnl"/>
        </w:rPr>
        <w:t>.</w:t>
      </w:r>
    </w:p>
  </w:footnote>
  <w:footnote w:id="32">
    <w:p w14:paraId="078CEA39" w14:textId="13FEB2DA" w:rsidR="00670F5A" w:rsidRPr="008910BB" w:rsidRDefault="00A31D06" w:rsidP="005F6D97">
      <w:pPr>
        <w:pStyle w:val="FootnoteText"/>
        <w:spacing w:before="120" w:after="120"/>
        <w:jc w:val="both"/>
        <w:rPr>
          <w:rFonts w:ascii="Verdana" w:hAnsi="Verdana"/>
          <w:bCs/>
          <w:sz w:val="16"/>
          <w:szCs w:val="16"/>
          <w:lang w:val="es-CR"/>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003724BE" w:rsidRPr="008910BB">
        <w:rPr>
          <w:rFonts w:ascii="Verdana" w:hAnsi="Verdana"/>
          <w:i/>
          <w:sz w:val="16"/>
          <w:szCs w:val="16"/>
        </w:rPr>
        <w:t xml:space="preserve">Cfr. </w:t>
      </w:r>
      <w:r w:rsidR="00A50D43" w:rsidRPr="008910BB">
        <w:rPr>
          <w:rFonts w:ascii="Verdana" w:hAnsi="Verdana"/>
          <w:bCs/>
          <w:i/>
          <w:sz w:val="16"/>
          <w:szCs w:val="16"/>
          <w:lang w:val="es-CR"/>
        </w:rPr>
        <w:t>El derecho a la información sobre la asistencia consular en el marco de las garantías del debido proceso lega</w:t>
      </w:r>
      <w:r w:rsidR="00A50D43" w:rsidRPr="008910BB">
        <w:rPr>
          <w:rFonts w:ascii="Verdana" w:hAnsi="Verdana"/>
          <w:bCs/>
          <w:sz w:val="16"/>
          <w:szCs w:val="16"/>
          <w:lang w:val="es-CR"/>
        </w:rPr>
        <w:t>l</w:t>
      </w:r>
      <w:r w:rsidR="000B30D0" w:rsidRPr="008910BB">
        <w:rPr>
          <w:rFonts w:ascii="Verdana" w:hAnsi="Verdana"/>
          <w:bCs/>
          <w:sz w:val="16"/>
          <w:szCs w:val="16"/>
          <w:lang w:val="es-CR"/>
        </w:rPr>
        <w:t xml:space="preserve">, </w:t>
      </w:r>
      <w:r w:rsidR="00ED79E8" w:rsidRPr="00ED79E8">
        <w:rPr>
          <w:rStyle w:val="Strong"/>
          <w:rFonts w:ascii="Verdana" w:eastAsia="Batang" w:hAnsi="Verdana"/>
          <w:b w:val="0"/>
          <w:i/>
          <w:color w:val="000000"/>
          <w:sz w:val="16"/>
          <w:szCs w:val="16"/>
          <w:shd w:val="clear" w:color="auto" w:fill="FFFFFF"/>
          <w:lang w:val="es-CR"/>
        </w:rPr>
        <w:t>Opinión Consultiva OC-16/99</w:t>
      </w:r>
      <w:r w:rsidR="000B30D0" w:rsidRPr="008910BB">
        <w:rPr>
          <w:rFonts w:ascii="Verdana" w:hAnsi="Verdana"/>
          <w:bCs/>
          <w:sz w:val="16"/>
          <w:szCs w:val="16"/>
          <w:lang w:val="es-CR"/>
        </w:rPr>
        <w:t xml:space="preserve">, </w:t>
      </w:r>
      <w:r w:rsidR="00B328AA">
        <w:rPr>
          <w:rFonts w:ascii="Verdana" w:hAnsi="Verdana"/>
          <w:bCs/>
          <w:sz w:val="16"/>
          <w:szCs w:val="16"/>
          <w:lang w:val="es-CR"/>
        </w:rPr>
        <w:t>párr. 115</w:t>
      </w:r>
      <w:r w:rsidR="00ED79E8">
        <w:rPr>
          <w:rFonts w:ascii="Verdana" w:hAnsi="Verdana"/>
          <w:bCs/>
          <w:sz w:val="16"/>
          <w:szCs w:val="16"/>
          <w:lang w:val="es-CR"/>
        </w:rPr>
        <w:t>,</w:t>
      </w:r>
      <w:r w:rsidR="00B328AA">
        <w:rPr>
          <w:rFonts w:ascii="Verdana" w:hAnsi="Verdana"/>
          <w:bCs/>
          <w:sz w:val="16"/>
          <w:szCs w:val="16"/>
          <w:lang w:val="es-CR"/>
        </w:rPr>
        <w:t xml:space="preserve"> y </w:t>
      </w:r>
      <w:r w:rsidR="00B328AA" w:rsidRPr="00B328AA">
        <w:rPr>
          <w:rFonts w:ascii="Verdana" w:hAnsi="Verdana"/>
          <w:bCs/>
          <w:i/>
          <w:sz w:val="16"/>
          <w:szCs w:val="16"/>
          <w:lang w:val="es-CR"/>
        </w:rPr>
        <w:t>C</w:t>
      </w:r>
      <w:r w:rsidRPr="00B328AA">
        <w:rPr>
          <w:rFonts w:ascii="Verdana" w:hAnsi="Verdana"/>
          <w:bCs/>
          <w:i/>
          <w:sz w:val="16"/>
          <w:szCs w:val="16"/>
          <w:lang w:val="es-CR"/>
        </w:rPr>
        <w:t>aso</w:t>
      </w:r>
      <w:r w:rsidRPr="008910BB">
        <w:rPr>
          <w:rFonts w:ascii="Verdana" w:hAnsi="Verdana"/>
          <w:bCs/>
          <w:sz w:val="16"/>
          <w:szCs w:val="16"/>
          <w:lang w:val="es-CR"/>
        </w:rPr>
        <w:t xml:space="preserve"> </w:t>
      </w:r>
      <w:r w:rsidRPr="008910BB">
        <w:rPr>
          <w:rFonts w:ascii="Verdana" w:hAnsi="Verdana"/>
          <w:bCs/>
          <w:i/>
          <w:sz w:val="16"/>
          <w:szCs w:val="16"/>
          <w:lang w:val="es-CR"/>
        </w:rPr>
        <w:t>familia Pacheco Tineo Vs. Bolivia</w:t>
      </w:r>
      <w:r w:rsidRPr="00ED79E8">
        <w:rPr>
          <w:rFonts w:ascii="Verdana" w:hAnsi="Verdana"/>
          <w:bCs/>
          <w:i/>
          <w:sz w:val="16"/>
          <w:szCs w:val="16"/>
          <w:lang w:val="es-CR"/>
        </w:rPr>
        <w:t>. Excepciones Preliminares, Fondo, Reparaciones y Costas.</w:t>
      </w:r>
      <w:r w:rsidRPr="008910BB">
        <w:rPr>
          <w:rFonts w:ascii="Verdana" w:hAnsi="Verdana"/>
          <w:bCs/>
          <w:sz w:val="16"/>
          <w:szCs w:val="16"/>
          <w:lang w:val="es-CR"/>
        </w:rPr>
        <w:t xml:space="preserve"> Sentencia de 25 de noviembre de 2013. Serie C No. 272, párr. 143. </w:t>
      </w:r>
    </w:p>
  </w:footnote>
  <w:footnote w:id="33">
    <w:p w14:paraId="44023C10" w14:textId="04ECD110" w:rsidR="00670F5A" w:rsidRPr="008910BB" w:rsidRDefault="009F2211" w:rsidP="005F6D97">
      <w:pPr>
        <w:pStyle w:val="FootnoteText"/>
        <w:spacing w:before="120" w:after="120"/>
        <w:jc w:val="both"/>
        <w:rPr>
          <w:rFonts w:ascii="Verdana" w:hAnsi="Verdana"/>
          <w:bCs/>
          <w:sz w:val="16"/>
          <w:szCs w:val="16"/>
          <w:lang w:val="es-CR"/>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003724BE" w:rsidRPr="008910BB">
        <w:rPr>
          <w:rFonts w:ascii="Verdana" w:hAnsi="Verdana"/>
          <w:i/>
          <w:sz w:val="16"/>
          <w:szCs w:val="16"/>
        </w:rPr>
        <w:t xml:space="preserve">Cfr. </w:t>
      </w:r>
      <w:r w:rsidRPr="008910BB">
        <w:rPr>
          <w:rFonts w:ascii="Verdana" w:hAnsi="Verdana"/>
          <w:bCs/>
          <w:i/>
          <w:sz w:val="16"/>
          <w:szCs w:val="16"/>
          <w:lang w:val="es-CR"/>
        </w:rPr>
        <w:t>Caso</w:t>
      </w:r>
      <w:r w:rsidRPr="008910BB">
        <w:rPr>
          <w:rFonts w:ascii="Verdana" w:hAnsi="Verdana"/>
          <w:bCs/>
          <w:sz w:val="16"/>
          <w:szCs w:val="16"/>
          <w:lang w:val="es-CR"/>
        </w:rPr>
        <w:t xml:space="preserve"> </w:t>
      </w:r>
      <w:r w:rsidRPr="008910BB">
        <w:rPr>
          <w:rFonts w:ascii="Verdana" w:hAnsi="Verdana"/>
          <w:bCs/>
          <w:i/>
          <w:sz w:val="16"/>
          <w:szCs w:val="16"/>
          <w:lang w:val="es-CR"/>
        </w:rPr>
        <w:t>Vásquez Durand y otros Vs. Ecuador</w:t>
      </w:r>
      <w:r w:rsidRPr="008910BB">
        <w:rPr>
          <w:rFonts w:ascii="Verdana" w:hAnsi="Verdana"/>
          <w:bCs/>
          <w:sz w:val="16"/>
          <w:szCs w:val="16"/>
          <w:lang w:val="es-CR"/>
        </w:rPr>
        <w:t xml:space="preserve">. Excepciones Preliminares, Fondo, Reparaciones y Costas. Sentencia de 15 de febrero de </w:t>
      </w:r>
      <w:r w:rsidR="00B328AA">
        <w:rPr>
          <w:rFonts w:ascii="Verdana" w:hAnsi="Verdana"/>
          <w:bCs/>
          <w:sz w:val="16"/>
          <w:szCs w:val="16"/>
          <w:lang w:val="es-CR"/>
        </w:rPr>
        <w:t xml:space="preserve">2017. Serie C No. 332, </w:t>
      </w:r>
      <w:proofErr w:type="spellStart"/>
      <w:r w:rsidR="00B328AA">
        <w:rPr>
          <w:rFonts w:ascii="Verdana" w:hAnsi="Verdana"/>
          <w:bCs/>
          <w:sz w:val="16"/>
          <w:szCs w:val="16"/>
          <w:lang w:val="es-CR"/>
        </w:rPr>
        <w:t>párrs</w:t>
      </w:r>
      <w:proofErr w:type="spellEnd"/>
      <w:r w:rsidR="00B328AA">
        <w:rPr>
          <w:rFonts w:ascii="Verdana" w:hAnsi="Verdana"/>
          <w:bCs/>
          <w:sz w:val="16"/>
          <w:szCs w:val="16"/>
          <w:lang w:val="es-CR"/>
        </w:rPr>
        <w:t xml:space="preserve">. 30 a </w:t>
      </w:r>
      <w:r w:rsidRPr="008910BB">
        <w:rPr>
          <w:rFonts w:ascii="Verdana" w:hAnsi="Verdana"/>
          <w:bCs/>
          <w:sz w:val="16"/>
          <w:szCs w:val="16"/>
          <w:lang w:val="es-CR"/>
        </w:rPr>
        <w:t xml:space="preserve">32. </w:t>
      </w:r>
    </w:p>
  </w:footnote>
  <w:footnote w:id="34">
    <w:p w14:paraId="24C703DC" w14:textId="1AADE1B3" w:rsidR="00C40C50" w:rsidRPr="008910BB" w:rsidRDefault="00C40C50" w:rsidP="005F6D97">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Pr="008910BB">
        <w:rPr>
          <w:rFonts w:ascii="Verdana" w:hAnsi="Verdana"/>
          <w:sz w:val="16"/>
          <w:szCs w:val="16"/>
        </w:rPr>
        <w:t>Por ejemplo, en Colombia el artículo 93</w:t>
      </w:r>
      <w:r w:rsidR="00391226">
        <w:rPr>
          <w:rFonts w:ascii="Verdana" w:hAnsi="Verdana"/>
          <w:sz w:val="16"/>
          <w:szCs w:val="16"/>
        </w:rPr>
        <w:t xml:space="preserve"> de la Constitución Política de 1993</w:t>
      </w:r>
      <w:r w:rsidRPr="008910BB">
        <w:rPr>
          <w:rFonts w:ascii="Verdana" w:hAnsi="Verdana"/>
          <w:sz w:val="16"/>
          <w:szCs w:val="16"/>
        </w:rPr>
        <w:t xml:space="preserve"> establece que los tratados de Derechos Humanos, prevalecen en el orden interno</w:t>
      </w:r>
      <w:r w:rsidR="00B328AA">
        <w:rPr>
          <w:rFonts w:ascii="Verdana" w:hAnsi="Verdana"/>
          <w:sz w:val="16"/>
          <w:szCs w:val="16"/>
        </w:rPr>
        <w:t>,</w:t>
      </w:r>
      <w:r w:rsidRPr="008910BB">
        <w:rPr>
          <w:rFonts w:ascii="Verdana" w:hAnsi="Verdana"/>
          <w:sz w:val="16"/>
          <w:szCs w:val="16"/>
        </w:rPr>
        <w:t xml:space="preserve"> formando así el llamado </w:t>
      </w:r>
      <w:r w:rsidR="00391226">
        <w:rPr>
          <w:rFonts w:ascii="Verdana" w:hAnsi="Verdana"/>
          <w:sz w:val="16"/>
          <w:szCs w:val="16"/>
        </w:rPr>
        <w:t>“</w:t>
      </w:r>
      <w:r w:rsidRPr="008910BB">
        <w:rPr>
          <w:rFonts w:ascii="Verdana" w:hAnsi="Verdana"/>
          <w:sz w:val="16"/>
          <w:szCs w:val="16"/>
        </w:rPr>
        <w:t>bloque de constitucionalidad</w:t>
      </w:r>
      <w:r w:rsidR="00391226">
        <w:rPr>
          <w:rFonts w:ascii="Verdana" w:hAnsi="Verdana"/>
          <w:sz w:val="16"/>
          <w:szCs w:val="16"/>
        </w:rPr>
        <w:t>”</w:t>
      </w:r>
      <w:r w:rsidRPr="008910BB">
        <w:rPr>
          <w:rFonts w:ascii="Verdana" w:hAnsi="Verdana"/>
          <w:sz w:val="16"/>
          <w:szCs w:val="16"/>
        </w:rPr>
        <w:t>; mientras que en Ecuador</w:t>
      </w:r>
      <w:r w:rsidR="00B328AA">
        <w:rPr>
          <w:rFonts w:ascii="Verdana" w:hAnsi="Verdana"/>
          <w:sz w:val="16"/>
          <w:szCs w:val="16"/>
        </w:rPr>
        <w:t>,</w:t>
      </w:r>
      <w:r w:rsidRPr="008910BB">
        <w:rPr>
          <w:rFonts w:ascii="Verdana" w:hAnsi="Verdana"/>
          <w:sz w:val="16"/>
          <w:szCs w:val="16"/>
        </w:rPr>
        <w:t xml:space="preserve"> el artículo 417 de la Constitución Política del 2008 establece que los tratados internacionales, incluso de</w:t>
      </w:r>
      <w:r w:rsidR="00391226">
        <w:rPr>
          <w:rFonts w:ascii="Verdana" w:hAnsi="Verdana"/>
          <w:sz w:val="16"/>
          <w:szCs w:val="16"/>
        </w:rPr>
        <w:t xml:space="preserve"> materia de</w:t>
      </w:r>
      <w:r w:rsidRPr="008910BB">
        <w:rPr>
          <w:rFonts w:ascii="Verdana" w:hAnsi="Verdana"/>
          <w:sz w:val="16"/>
          <w:szCs w:val="16"/>
        </w:rPr>
        <w:t xml:space="preserve"> Derechos Humanos, se deben subordinar a lo dicho por la Constitución y no adquieren el mismo rango que ésta. </w:t>
      </w:r>
    </w:p>
  </w:footnote>
  <w:footnote w:id="35">
    <w:p w14:paraId="51B4F95D" w14:textId="2064685D" w:rsidR="006B2186" w:rsidRPr="008910BB" w:rsidRDefault="00965833" w:rsidP="005F6D97">
      <w:pPr>
        <w:pStyle w:val="FootnoteText"/>
        <w:spacing w:before="120" w:after="120"/>
        <w:jc w:val="both"/>
        <w:rPr>
          <w:rFonts w:ascii="Verdana" w:hAnsi="Verdana"/>
          <w:i/>
          <w:sz w:val="16"/>
          <w:szCs w:val="16"/>
          <w:lang w:val="es-CR"/>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Pr="008910BB">
        <w:rPr>
          <w:rFonts w:ascii="Verdana" w:hAnsi="Verdana"/>
          <w:sz w:val="16"/>
          <w:szCs w:val="16"/>
          <w:lang w:val="es-CR"/>
        </w:rPr>
        <w:t>En Ecuador</w:t>
      </w:r>
      <w:r w:rsidR="00B328AA">
        <w:rPr>
          <w:rFonts w:ascii="Verdana" w:hAnsi="Verdana"/>
          <w:sz w:val="16"/>
          <w:szCs w:val="16"/>
          <w:lang w:val="es-CR"/>
        </w:rPr>
        <w:t>,</w:t>
      </w:r>
      <w:r w:rsidRPr="008910BB">
        <w:rPr>
          <w:rFonts w:ascii="Verdana" w:hAnsi="Verdana"/>
          <w:sz w:val="16"/>
          <w:szCs w:val="16"/>
          <w:lang w:val="es-CR"/>
        </w:rPr>
        <w:t xml:space="preserve"> el artículo 417 de la Constitución Política del 2008 establece que los tratados internacionales, incluso de Derechos Humanos, se deben subordinar a lo dicho por la Constitución y no adquieren el mismo rango que ésta, pero prevé que la interpretación de las normas debe hacerse con base en el principio </w:t>
      </w:r>
      <w:r w:rsidRPr="008910BB">
        <w:rPr>
          <w:rFonts w:ascii="Verdana" w:hAnsi="Verdana"/>
          <w:i/>
          <w:sz w:val="16"/>
          <w:szCs w:val="16"/>
          <w:lang w:val="es-CR"/>
        </w:rPr>
        <w:t xml:space="preserve">pro </w:t>
      </w:r>
      <w:proofErr w:type="spellStart"/>
      <w:r w:rsidRPr="008910BB">
        <w:rPr>
          <w:rFonts w:ascii="Verdana" w:hAnsi="Verdana"/>
          <w:i/>
          <w:sz w:val="16"/>
          <w:szCs w:val="16"/>
          <w:lang w:val="es-CR"/>
        </w:rPr>
        <w:t>personae</w:t>
      </w:r>
      <w:proofErr w:type="spellEnd"/>
      <w:r w:rsidRPr="008910BB">
        <w:rPr>
          <w:rFonts w:ascii="Verdana" w:hAnsi="Verdana"/>
          <w:i/>
          <w:sz w:val="16"/>
          <w:szCs w:val="16"/>
          <w:lang w:val="es-CR"/>
        </w:rPr>
        <w:t xml:space="preserve">. </w:t>
      </w:r>
      <w:r w:rsidRPr="008910BB">
        <w:rPr>
          <w:rFonts w:ascii="Verdana" w:hAnsi="Verdana"/>
          <w:sz w:val="16"/>
          <w:szCs w:val="16"/>
          <w:lang w:val="es-CR"/>
        </w:rPr>
        <w:t>En cambio en la Constitución Nacional de Paraguay, en su artículo 145</w:t>
      </w:r>
      <w:r w:rsidR="00B328AA">
        <w:rPr>
          <w:rFonts w:ascii="Verdana" w:hAnsi="Verdana"/>
          <w:sz w:val="16"/>
          <w:szCs w:val="16"/>
          <w:lang w:val="es-CR"/>
        </w:rPr>
        <w:t>,</w:t>
      </w:r>
      <w:r w:rsidRPr="008910BB">
        <w:rPr>
          <w:rFonts w:ascii="Verdana" w:hAnsi="Verdana"/>
          <w:sz w:val="16"/>
          <w:szCs w:val="16"/>
          <w:lang w:val="es-CR"/>
        </w:rPr>
        <w:t xml:space="preserve"> establece que los tratados de Derechos Humanos hacen parte de un orden jurídico supranacional, pero no prevé una interpretación </w:t>
      </w:r>
      <w:r w:rsidRPr="008910BB">
        <w:rPr>
          <w:rFonts w:ascii="Verdana" w:hAnsi="Verdana"/>
          <w:i/>
          <w:sz w:val="16"/>
          <w:szCs w:val="16"/>
          <w:lang w:val="es-CR"/>
        </w:rPr>
        <w:t xml:space="preserve">pro </w:t>
      </w:r>
      <w:proofErr w:type="spellStart"/>
      <w:r w:rsidRPr="008910BB">
        <w:rPr>
          <w:rFonts w:ascii="Verdana" w:hAnsi="Verdana"/>
          <w:i/>
          <w:sz w:val="16"/>
          <w:szCs w:val="16"/>
          <w:lang w:val="es-CR"/>
        </w:rPr>
        <w:t>personae</w:t>
      </w:r>
      <w:proofErr w:type="spellEnd"/>
      <w:r w:rsidRPr="008910BB">
        <w:rPr>
          <w:rFonts w:ascii="Verdana" w:hAnsi="Verdana"/>
          <w:i/>
          <w:sz w:val="16"/>
          <w:szCs w:val="16"/>
          <w:lang w:val="es-CR"/>
        </w:rPr>
        <w:t xml:space="preserve">. </w:t>
      </w:r>
    </w:p>
  </w:footnote>
  <w:footnote w:id="36">
    <w:p w14:paraId="26CF58C7" w14:textId="2A3D605A" w:rsidR="006B2186" w:rsidRPr="008910BB" w:rsidRDefault="006B2186" w:rsidP="005F6D97">
      <w:pPr>
        <w:pStyle w:val="FootnoteText"/>
        <w:spacing w:before="120" w:after="120"/>
        <w:jc w:val="both"/>
        <w:rPr>
          <w:rFonts w:ascii="Verdana" w:hAnsi="Verdana"/>
          <w:sz w:val="16"/>
          <w:szCs w:val="16"/>
          <w:lang w:val="es-CR"/>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00391226">
        <w:rPr>
          <w:rFonts w:ascii="Verdana" w:hAnsi="Verdana"/>
          <w:sz w:val="16"/>
          <w:szCs w:val="16"/>
        </w:rPr>
        <w:t>El artículo 55 de la Constitución Política del Perú</w:t>
      </w:r>
      <w:r w:rsidR="00AE42E2" w:rsidRPr="008910BB">
        <w:rPr>
          <w:rFonts w:ascii="Verdana" w:hAnsi="Verdana"/>
          <w:sz w:val="16"/>
          <w:szCs w:val="16"/>
        </w:rPr>
        <w:t xml:space="preserve"> establece que los Tratados Internacionales hacen parte del Derecho Nacional</w:t>
      </w:r>
      <w:r w:rsidR="00391226">
        <w:rPr>
          <w:rFonts w:ascii="Verdana" w:hAnsi="Verdana"/>
          <w:sz w:val="16"/>
          <w:szCs w:val="16"/>
        </w:rPr>
        <w:t>,</w:t>
      </w:r>
      <w:r w:rsidR="00AE42E2" w:rsidRPr="008910BB">
        <w:rPr>
          <w:rFonts w:ascii="Verdana" w:hAnsi="Verdana"/>
          <w:sz w:val="16"/>
          <w:szCs w:val="16"/>
        </w:rPr>
        <w:t xml:space="preserve"> y en principio no le da un rango especial a los Tratados de D</w:t>
      </w:r>
      <w:r w:rsidR="00AE42E2">
        <w:rPr>
          <w:rFonts w:ascii="Verdana" w:hAnsi="Verdana"/>
          <w:sz w:val="16"/>
          <w:szCs w:val="16"/>
        </w:rPr>
        <w:t>erechos Humanos.</w:t>
      </w:r>
      <w:r w:rsidR="00AE42E2" w:rsidRPr="008910BB">
        <w:rPr>
          <w:rFonts w:ascii="Verdana" w:hAnsi="Verdana"/>
          <w:sz w:val="16"/>
          <w:szCs w:val="16"/>
        </w:rPr>
        <w:t xml:space="preserve"> Sin embargo, vía jurisprudencia a través de la sentencia del </w:t>
      </w:r>
      <w:proofErr w:type="spellStart"/>
      <w:r w:rsidR="00AE42E2">
        <w:rPr>
          <w:rFonts w:ascii="Verdana" w:hAnsi="Verdana"/>
          <w:sz w:val="16"/>
          <w:szCs w:val="16"/>
          <w:lang w:val="es-CR"/>
        </w:rPr>
        <w:t>Exp</w:t>
      </w:r>
      <w:proofErr w:type="spellEnd"/>
      <w:r w:rsidR="00AE42E2">
        <w:rPr>
          <w:rFonts w:ascii="Verdana" w:hAnsi="Verdana"/>
          <w:sz w:val="16"/>
          <w:szCs w:val="16"/>
          <w:lang w:val="es-CR"/>
        </w:rPr>
        <w:t>. No. 0025-2005-Pl/TC y 0026-2005</w:t>
      </w:r>
      <w:r w:rsidR="00AE42E2" w:rsidRPr="008910BB">
        <w:rPr>
          <w:rFonts w:ascii="Verdana" w:hAnsi="Verdana"/>
          <w:sz w:val="16"/>
          <w:szCs w:val="16"/>
          <w:lang w:val="es-CR"/>
        </w:rPr>
        <w:t>-PI/TC, el Tribunal Constitucional le otorga rango constitucional a los tratados sobre Derechos Humanos.</w:t>
      </w:r>
      <w:r w:rsidR="000A0CA2" w:rsidRPr="008910BB">
        <w:rPr>
          <w:rFonts w:ascii="Verdana" w:hAnsi="Verdana"/>
          <w:sz w:val="16"/>
          <w:szCs w:val="16"/>
          <w:lang w:val="es-CR"/>
        </w:rPr>
        <w:t xml:space="preserve"> </w:t>
      </w:r>
    </w:p>
  </w:footnote>
  <w:footnote w:id="37">
    <w:p w14:paraId="7B8D9BA9" w14:textId="1A116CF3" w:rsidR="006B2186" w:rsidRPr="008910BB" w:rsidRDefault="006B2186" w:rsidP="005F6D97">
      <w:pPr>
        <w:pStyle w:val="FootnoteText"/>
        <w:spacing w:before="120" w:after="120"/>
        <w:jc w:val="both"/>
        <w:rPr>
          <w:rFonts w:ascii="Verdana" w:hAnsi="Verdana"/>
          <w:sz w:val="16"/>
          <w:szCs w:val="16"/>
          <w:lang w:val="es-CR"/>
        </w:rPr>
      </w:pPr>
      <w:r w:rsidRPr="008910BB">
        <w:rPr>
          <w:rStyle w:val="FootnoteReference"/>
          <w:rFonts w:ascii="Verdana" w:hAnsi="Verdana"/>
          <w:sz w:val="16"/>
          <w:szCs w:val="16"/>
        </w:rPr>
        <w:footnoteRef/>
      </w:r>
      <w:r w:rsidRPr="008910BB">
        <w:rPr>
          <w:rFonts w:ascii="Verdana" w:hAnsi="Verdana"/>
          <w:sz w:val="16"/>
          <w:szCs w:val="16"/>
        </w:rPr>
        <w:t xml:space="preserve"> </w:t>
      </w:r>
      <w:r w:rsidR="00605318">
        <w:rPr>
          <w:rFonts w:ascii="Verdana" w:hAnsi="Verdana"/>
          <w:sz w:val="16"/>
          <w:szCs w:val="16"/>
        </w:rPr>
        <w:tab/>
      </w:r>
      <w:r w:rsidR="003724BE" w:rsidRPr="008910BB">
        <w:rPr>
          <w:rFonts w:ascii="Verdana" w:hAnsi="Verdana"/>
          <w:i/>
          <w:sz w:val="16"/>
          <w:szCs w:val="16"/>
        </w:rPr>
        <w:t xml:space="preserve">Cfr. </w:t>
      </w:r>
      <w:r w:rsidR="003724BE" w:rsidRPr="008910BB">
        <w:rPr>
          <w:rStyle w:val="Strong"/>
          <w:rFonts w:ascii="Verdana" w:hAnsi="Verdana"/>
          <w:b w:val="0"/>
          <w:i/>
          <w:color w:val="000000"/>
          <w:sz w:val="16"/>
          <w:szCs w:val="16"/>
          <w:shd w:val="clear" w:color="auto" w:fill="FFFFFF"/>
        </w:rPr>
        <w:t xml:space="preserve">Caso </w:t>
      </w:r>
      <w:proofErr w:type="spellStart"/>
      <w:r w:rsidR="003724BE" w:rsidRPr="008910BB">
        <w:rPr>
          <w:rStyle w:val="Strong"/>
          <w:rFonts w:ascii="Verdana" w:hAnsi="Verdana"/>
          <w:b w:val="0"/>
          <w:i/>
          <w:color w:val="000000"/>
          <w:sz w:val="16"/>
          <w:szCs w:val="16"/>
          <w:shd w:val="clear" w:color="auto" w:fill="FFFFFF"/>
        </w:rPr>
        <w:t>Almonacid</w:t>
      </w:r>
      <w:proofErr w:type="spellEnd"/>
      <w:r w:rsidR="003724BE" w:rsidRPr="008910BB">
        <w:rPr>
          <w:rStyle w:val="Strong"/>
          <w:rFonts w:ascii="Verdana" w:hAnsi="Verdana"/>
          <w:b w:val="0"/>
          <w:i/>
          <w:color w:val="000000"/>
          <w:sz w:val="16"/>
          <w:szCs w:val="16"/>
          <w:shd w:val="clear" w:color="auto" w:fill="FFFFFF"/>
        </w:rPr>
        <w:t xml:space="preserve"> Arellano y otros Vs. Chile. Excepciones Preliminares, Fondo, Reparaciones y Costas.</w:t>
      </w:r>
      <w:r w:rsidR="003724BE" w:rsidRPr="008910BB">
        <w:rPr>
          <w:rStyle w:val="Strong"/>
          <w:rFonts w:ascii="Verdana" w:hAnsi="Verdana"/>
          <w:b w:val="0"/>
          <w:color w:val="000000"/>
          <w:sz w:val="16"/>
          <w:szCs w:val="16"/>
          <w:shd w:val="clear" w:color="auto" w:fill="FFFFFF"/>
        </w:rPr>
        <w:t xml:space="preserve"> Sentencia de 26 de septiembre de 2006. Serie C No. 154., párr. 12</w:t>
      </w:r>
      <w:r w:rsidR="00CC27DB">
        <w:rPr>
          <w:rStyle w:val="Strong"/>
          <w:rFonts w:ascii="Verdana" w:hAnsi="Verdana"/>
          <w:b w:val="0"/>
          <w:color w:val="000000"/>
          <w:sz w:val="16"/>
          <w:szCs w:val="16"/>
          <w:shd w:val="clear" w:color="auto" w:fill="FFFFFF"/>
        </w:rPr>
        <w:t>4</w:t>
      </w:r>
      <w:r w:rsidR="003724BE" w:rsidRPr="008910BB">
        <w:rPr>
          <w:rStyle w:val="Strong"/>
          <w:rFonts w:ascii="Verdana" w:hAnsi="Verdana"/>
          <w:b w:val="0"/>
          <w:color w:val="000000"/>
          <w:sz w:val="16"/>
          <w:szCs w:val="16"/>
          <w:shd w:val="clear" w:color="auto" w:fill="FFFFFF"/>
        </w:rPr>
        <w:t xml:space="preserve">, y </w:t>
      </w:r>
      <w:r w:rsidR="003724BE" w:rsidRPr="008910BB">
        <w:rPr>
          <w:rStyle w:val="Strong"/>
          <w:rFonts w:ascii="Verdana" w:hAnsi="Verdana"/>
          <w:b w:val="0"/>
          <w:i/>
          <w:color w:val="000000"/>
          <w:sz w:val="16"/>
          <w:szCs w:val="16"/>
          <w:shd w:val="clear" w:color="auto" w:fill="FFFFFF"/>
        </w:rPr>
        <w:t>Caso Andrade Salmón Vs. Bolivia. Fondo, Reparaciones y Costas.</w:t>
      </w:r>
      <w:r w:rsidR="003724BE" w:rsidRPr="008910BB">
        <w:rPr>
          <w:rStyle w:val="Strong"/>
          <w:rFonts w:ascii="Verdana" w:hAnsi="Verdana"/>
          <w:b w:val="0"/>
          <w:color w:val="000000"/>
          <w:sz w:val="16"/>
          <w:szCs w:val="16"/>
          <w:shd w:val="clear" w:color="auto" w:fill="FFFFFF"/>
        </w:rPr>
        <w:t xml:space="preserve"> Sentencia de 1 de diciembre de 2016. Serie C No. 330., párr.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820299137"/>
      <w:docPartObj>
        <w:docPartGallery w:val="Page Numbers (Top of Page)"/>
        <w:docPartUnique/>
      </w:docPartObj>
    </w:sdtPr>
    <w:sdtEndPr>
      <w:rPr>
        <w:noProof/>
      </w:rPr>
    </w:sdtEndPr>
    <w:sdtContent>
      <w:p w14:paraId="68F8149E" w14:textId="34FB20BC" w:rsidR="008F2B34" w:rsidRPr="008F2B34" w:rsidRDefault="008F2B34">
        <w:pPr>
          <w:pStyle w:val="Header"/>
          <w:jc w:val="center"/>
          <w:rPr>
            <w:rFonts w:ascii="Verdana" w:hAnsi="Verdana"/>
          </w:rPr>
        </w:pPr>
        <w:r>
          <w:rPr>
            <w:rFonts w:ascii="Verdana" w:hAnsi="Verdana"/>
          </w:rPr>
          <w:t>-</w:t>
        </w:r>
        <w:r w:rsidRPr="008F2B34">
          <w:rPr>
            <w:rFonts w:ascii="Verdana" w:hAnsi="Verdana"/>
          </w:rPr>
          <w:fldChar w:fldCharType="begin"/>
        </w:r>
        <w:r w:rsidRPr="008F2B34">
          <w:rPr>
            <w:rFonts w:ascii="Verdana" w:hAnsi="Verdana"/>
          </w:rPr>
          <w:instrText xml:space="preserve"> PAGE   \* MERGEFORMAT </w:instrText>
        </w:r>
        <w:r w:rsidRPr="008F2B34">
          <w:rPr>
            <w:rFonts w:ascii="Verdana" w:hAnsi="Verdana"/>
          </w:rPr>
          <w:fldChar w:fldCharType="separate"/>
        </w:r>
        <w:r w:rsidR="00FF2C63">
          <w:rPr>
            <w:rFonts w:ascii="Verdana" w:hAnsi="Verdana"/>
            <w:noProof/>
          </w:rPr>
          <w:t>2</w:t>
        </w:r>
        <w:r w:rsidRPr="008F2B34">
          <w:rPr>
            <w:rFonts w:ascii="Verdana" w:hAnsi="Verdana"/>
            <w:noProof/>
          </w:rPr>
          <w:fldChar w:fldCharType="end"/>
        </w:r>
        <w:r>
          <w:rPr>
            <w:rFonts w:ascii="Verdana" w:hAnsi="Verdana"/>
            <w:noProof/>
          </w:rPr>
          <w:t>-</w:t>
        </w:r>
      </w:p>
    </w:sdtContent>
  </w:sdt>
  <w:p w14:paraId="3EACBD53" w14:textId="77777777" w:rsidR="008F2B34" w:rsidRDefault="008F2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E2293B"/>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40412F1"/>
    <w:multiLevelType w:val="hybridMultilevel"/>
    <w:tmpl w:val="E16EE408"/>
    <w:lvl w:ilvl="0" w:tplc="5674135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7456DE5"/>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7460567"/>
    <w:multiLevelType w:val="hybridMultilevel"/>
    <w:tmpl w:val="B14AF2B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641546F7"/>
    <w:multiLevelType w:val="hybridMultilevel"/>
    <w:tmpl w:val="11320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A9646C8"/>
    <w:multiLevelType w:val="hybridMultilevel"/>
    <w:tmpl w:val="5FB4E9D0"/>
    <w:lvl w:ilvl="0" w:tplc="B7C0BCB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B4F0C5E"/>
    <w:multiLevelType w:val="hybridMultilevel"/>
    <w:tmpl w:val="41C6A6CA"/>
    <w:lvl w:ilvl="0" w:tplc="77264A14">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369FF"/>
    <w:multiLevelType w:val="hybridMultilevel"/>
    <w:tmpl w:val="88F24608"/>
    <w:lvl w:ilvl="0" w:tplc="9F701216">
      <w:start w:val="1"/>
      <w:numFmt w:val="decimal"/>
      <w:lvlText w:val="%1."/>
      <w:lvlJc w:val="left"/>
      <w:pPr>
        <w:ind w:left="847" w:hanging="705"/>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8"/>
  </w:num>
  <w:num w:numId="6">
    <w:abstractNumId w:val="3"/>
  </w:num>
  <w:num w:numId="7">
    <w:abstractNumId w:val="9"/>
  </w:num>
  <w:num w:numId="8">
    <w:abstractNumId w:val="0"/>
  </w:num>
  <w:num w:numId="9">
    <w:abstractNumId w:val="6"/>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S. Beristain">
    <w15:presenceInfo w15:providerId="None" w15:userId="Diego S. Beristain"/>
  </w15:person>
  <w15:person w15:author="Humberto Antonio Sierra Porto">
    <w15:presenceInfo w15:providerId="Windows Live" w15:userId="31274b1d1720f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8C"/>
    <w:rsid w:val="000043D0"/>
    <w:rsid w:val="00005018"/>
    <w:rsid w:val="00007F81"/>
    <w:rsid w:val="00010C33"/>
    <w:rsid w:val="00011C11"/>
    <w:rsid w:val="00012C79"/>
    <w:rsid w:val="00013E01"/>
    <w:rsid w:val="00017D5A"/>
    <w:rsid w:val="00022C9C"/>
    <w:rsid w:val="00024D7D"/>
    <w:rsid w:val="00026D51"/>
    <w:rsid w:val="000270C2"/>
    <w:rsid w:val="0003001B"/>
    <w:rsid w:val="00035BF0"/>
    <w:rsid w:val="00035DDC"/>
    <w:rsid w:val="00036F42"/>
    <w:rsid w:val="00041A3D"/>
    <w:rsid w:val="00041E39"/>
    <w:rsid w:val="000430AE"/>
    <w:rsid w:val="000436C0"/>
    <w:rsid w:val="00045802"/>
    <w:rsid w:val="0004598E"/>
    <w:rsid w:val="0005000C"/>
    <w:rsid w:val="00050933"/>
    <w:rsid w:val="00061374"/>
    <w:rsid w:val="000614D5"/>
    <w:rsid w:val="00061CB4"/>
    <w:rsid w:val="00062F21"/>
    <w:rsid w:val="00065330"/>
    <w:rsid w:val="0006539A"/>
    <w:rsid w:val="00071B30"/>
    <w:rsid w:val="000869CF"/>
    <w:rsid w:val="000911C1"/>
    <w:rsid w:val="00093971"/>
    <w:rsid w:val="000946EF"/>
    <w:rsid w:val="00095950"/>
    <w:rsid w:val="000A0CA2"/>
    <w:rsid w:val="000A2705"/>
    <w:rsid w:val="000A59F7"/>
    <w:rsid w:val="000A7D15"/>
    <w:rsid w:val="000B30D0"/>
    <w:rsid w:val="000B6BD9"/>
    <w:rsid w:val="000C18A8"/>
    <w:rsid w:val="000C1F1F"/>
    <w:rsid w:val="000C2A97"/>
    <w:rsid w:val="000C3A89"/>
    <w:rsid w:val="000C5016"/>
    <w:rsid w:val="000D162A"/>
    <w:rsid w:val="000D3448"/>
    <w:rsid w:val="000D34D5"/>
    <w:rsid w:val="000D54B4"/>
    <w:rsid w:val="000D7159"/>
    <w:rsid w:val="000E3112"/>
    <w:rsid w:val="000E4097"/>
    <w:rsid w:val="000E41F9"/>
    <w:rsid w:val="000E4BB4"/>
    <w:rsid w:val="000E6A83"/>
    <w:rsid w:val="000E6B75"/>
    <w:rsid w:val="000F3071"/>
    <w:rsid w:val="000F514F"/>
    <w:rsid w:val="000F5B47"/>
    <w:rsid w:val="000F5EF1"/>
    <w:rsid w:val="000F791E"/>
    <w:rsid w:val="00101421"/>
    <w:rsid w:val="00101A8E"/>
    <w:rsid w:val="00102F6A"/>
    <w:rsid w:val="00106868"/>
    <w:rsid w:val="00107681"/>
    <w:rsid w:val="00107B18"/>
    <w:rsid w:val="00112414"/>
    <w:rsid w:val="0011537D"/>
    <w:rsid w:val="0011730F"/>
    <w:rsid w:val="00117968"/>
    <w:rsid w:val="001215F6"/>
    <w:rsid w:val="001218F2"/>
    <w:rsid w:val="00121DF2"/>
    <w:rsid w:val="00125AA9"/>
    <w:rsid w:val="00125FED"/>
    <w:rsid w:val="00131163"/>
    <w:rsid w:val="00132199"/>
    <w:rsid w:val="00132C6E"/>
    <w:rsid w:val="00133387"/>
    <w:rsid w:val="001351CB"/>
    <w:rsid w:val="00137E21"/>
    <w:rsid w:val="00142A8E"/>
    <w:rsid w:val="001430F6"/>
    <w:rsid w:val="00146DB0"/>
    <w:rsid w:val="00147835"/>
    <w:rsid w:val="00147B36"/>
    <w:rsid w:val="00151EE0"/>
    <w:rsid w:val="00154E11"/>
    <w:rsid w:val="0016266D"/>
    <w:rsid w:val="001644E0"/>
    <w:rsid w:val="00164684"/>
    <w:rsid w:val="0016563B"/>
    <w:rsid w:val="001662ED"/>
    <w:rsid w:val="001725EB"/>
    <w:rsid w:val="00172F42"/>
    <w:rsid w:val="00174935"/>
    <w:rsid w:val="00176117"/>
    <w:rsid w:val="00176790"/>
    <w:rsid w:val="0017735B"/>
    <w:rsid w:val="001849CB"/>
    <w:rsid w:val="00186E87"/>
    <w:rsid w:val="00187C8F"/>
    <w:rsid w:val="00190CA2"/>
    <w:rsid w:val="00193EBA"/>
    <w:rsid w:val="00194271"/>
    <w:rsid w:val="001A14B2"/>
    <w:rsid w:val="001B0859"/>
    <w:rsid w:val="001B3B0A"/>
    <w:rsid w:val="001B6D12"/>
    <w:rsid w:val="001C3BA1"/>
    <w:rsid w:val="001C3BD2"/>
    <w:rsid w:val="001C3BFA"/>
    <w:rsid w:val="001C4CB6"/>
    <w:rsid w:val="001C77D6"/>
    <w:rsid w:val="001C79BD"/>
    <w:rsid w:val="001C7BD1"/>
    <w:rsid w:val="001D3E71"/>
    <w:rsid w:val="001E09E0"/>
    <w:rsid w:val="001E3AF8"/>
    <w:rsid w:val="001E4202"/>
    <w:rsid w:val="001E71EC"/>
    <w:rsid w:val="001E7A95"/>
    <w:rsid w:val="001F158C"/>
    <w:rsid w:val="001F2249"/>
    <w:rsid w:val="001F3C71"/>
    <w:rsid w:val="0020083B"/>
    <w:rsid w:val="002024FC"/>
    <w:rsid w:val="00204679"/>
    <w:rsid w:val="002064E9"/>
    <w:rsid w:val="00206631"/>
    <w:rsid w:val="0021036B"/>
    <w:rsid w:val="00212873"/>
    <w:rsid w:val="002143F0"/>
    <w:rsid w:val="00215856"/>
    <w:rsid w:val="002222F1"/>
    <w:rsid w:val="002228C1"/>
    <w:rsid w:val="00224C7A"/>
    <w:rsid w:val="002263EC"/>
    <w:rsid w:val="00231CF8"/>
    <w:rsid w:val="002351B4"/>
    <w:rsid w:val="0023579E"/>
    <w:rsid w:val="00240EF5"/>
    <w:rsid w:val="00242F3A"/>
    <w:rsid w:val="00243034"/>
    <w:rsid w:val="00245C36"/>
    <w:rsid w:val="00247707"/>
    <w:rsid w:val="00250DD3"/>
    <w:rsid w:val="00250F19"/>
    <w:rsid w:val="0025249A"/>
    <w:rsid w:val="0025265F"/>
    <w:rsid w:val="002550DB"/>
    <w:rsid w:val="00255259"/>
    <w:rsid w:val="00256ED2"/>
    <w:rsid w:val="00260830"/>
    <w:rsid w:val="002645C3"/>
    <w:rsid w:val="0026663C"/>
    <w:rsid w:val="002715DD"/>
    <w:rsid w:val="00271FA9"/>
    <w:rsid w:val="00272FA2"/>
    <w:rsid w:val="00275002"/>
    <w:rsid w:val="00275B44"/>
    <w:rsid w:val="0028146C"/>
    <w:rsid w:val="002825C2"/>
    <w:rsid w:val="00286B7B"/>
    <w:rsid w:val="002900A3"/>
    <w:rsid w:val="00290917"/>
    <w:rsid w:val="00293F88"/>
    <w:rsid w:val="00294008"/>
    <w:rsid w:val="00294C0B"/>
    <w:rsid w:val="00297C21"/>
    <w:rsid w:val="002A4E21"/>
    <w:rsid w:val="002B204C"/>
    <w:rsid w:val="002C151B"/>
    <w:rsid w:val="002C37BB"/>
    <w:rsid w:val="002C4350"/>
    <w:rsid w:val="002C5FC8"/>
    <w:rsid w:val="002C7299"/>
    <w:rsid w:val="002D2898"/>
    <w:rsid w:val="002D3855"/>
    <w:rsid w:val="002D5C8F"/>
    <w:rsid w:val="002D63DC"/>
    <w:rsid w:val="002D7664"/>
    <w:rsid w:val="002E13E2"/>
    <w:rsid w:val="002E1C3A"/>
    <w:rsid w:val="002E24AC"/>
    <w:rsid w:val="002E3870"/>
    <w:rsid w:val="002E5BEA"/>
    <w:rsid w:val="002E7E26"/>
    <w:rsid w:val="002F1577"/>
    <w:rsid w:val="002F16AB"/>
    <w:rsid w:val="002F522E"/>
    <w:rsid w:val="002F6253"/>
    <w:rsid w:val="002F6EA7"/>
    <w:rsid w:val="002F6FC8"/>
    <w:rsid w:val="00301260"/>
    <w:rsid w:val="0030218B"/>
    <w:rsid w:val="003031B7"/>
    <w:rsid w:val="00303A4C"/>
    <w:rsid w:val="00306CA2"/>
    <w:rsid w:val="00307B2C"/>
    <w:rsid w:val="0031346D"/>
    <w:rsid w:val="0032152D"/>
    <w:rsid w:val="00322DB5"/>
    <w:rsid w:val="003304BE"/>
    <w:rsid w:val="00331745"/>
    <w:rsid w:val="00332918"/>
    <w:rsid w:val="0033292C"/>
    <w:rsid w:val="00334F26"/>
    <w:rsid w:val="00336D40"/>
    <w:rsid w:val="00344223"/>
    <w:rsid w:val="0034488C"/>
    <w:rsid w:val="0034705D"/>
    <w:rsid w:val="003510CA"/>
    <w:rsid w:val="00351C0C"/>
    <w:rsid w:val="003552CE"/>
    <w:rsid w:val="0035634C"/>
    <w:rsid w:val="0035740E"/>
    <w:rsid w:val="00360215"/>
    <w:rsid w:val="003602BC"/>
    <w:rsid w:val="00364AB1"/>
    <w:rsid w:val="0036594F"/>
    <w:rsid w:val="003724BE"/>
    <w:rsid w:val="003745BA"/>
    <w:rsid w:val="00374D99"/>
    <w:rsid w:val="003757B0"/>
    <w:rsid w:val="00377105"/>
    <w:rsid w:val="00380DD7"/>
    <w:rsid w:val="00381481"/>
    <w:rsid w:val="003831F9"/>
    <w:rsid w:val="00384C01"/>
    <w:rsid w:val="00385159"/>
    <w:rsid w:val="00387D0B"/>
    <w:rsid w:val="00391226"/>
    <w:rsid w:val="003A247E"/>
    <w:rsid w:val="003B5597"/>
    <w:rsid w:val="003B71E5"/>
    <w:rsid w:val="003B7330"/>
    <w:rsid w:val="003B78BB"/>
    <w:rsid w:val="003C0318"/>
    <w:rsid w:val="003C562D"/>
    <w:rsid w:val="003C5DFA"/>
    <w:rsid w:val="003D1033"/>
    <w:rsid w:val="003D1128"/>
    <w:rsid w:val="003D31C8"/>
    <w:rsid w:val="003D589E"/>
    <w:rsid w:val="003D6B78"/>
    <w:rsid w:val="003E0BDF"/>
    <w:rsid w:val="003E143F"/>
    <w:rsid w:val="003E274C"/>
    <w:rsid w:val="003E3C14"/>
    <w:rsid w:val="003E4646"/>
    <w:rsid w:val="003E5360"/>
    <w:rsid w:val="003E5386"/>
    <w:rsid w:val="003E570C"/>
    <w:rsid w:val="003E6144"/>
    <w:rsid w:val="003F0BAA"/>
    <w:rsid w:val="003F145B"/>
    <w:rsid w:val="003F225B"/>
    <w:rsid w:val="003F2C14"/>
    <w:rsid w:val="003F4017"/>
    <w:rsid w:val="003F5C57"/>
    <w:rsid w:val="003F7458"/>
    <w:rsid w:val="00400D98"/>
    <w:rsid w:val="00401881"/>
    <w:rsid w:val="004024B7"/>
    <w:rsid w:val="00403728"/>
    <w:rsid w:val="00405B09"/>
    <w:rsid w:val="00405F85"/>
    <w:rsid w:val="00413D13"/>
    <w:rsid w:val="0041764D"/>
    <w:rsid w:val="004307DA"/>
    <w:rsid w:val="00431751"/>
    <w:rsid w:val="00431C9F"/>
    <w:rsid w:val="004403A0"/>
    <w:rsid w:val="00441D26"/>
    <w:rsid w:val="00442971"/>
    <w:rsid w:val="0045329E"/>
    <w:rsid w:val="00454DF2"/>
    <w:rsid w:val="00457663"/>
    <w:rsid w:val="00461EBA"/>
    <w:rsid w:val="0046250F"/>
    <w:rsid w:val="004628E1"/>
    <w:rsid w:val="00464B3B"/>
    <w:rsid w:val="00465AE6"/>
    <w:rsid w:val="004676F5"/>
    <w:rsid w:val="004732AB"/>
    <w:rsid w:val="0047419E"/>
    <w:rsid w:val="004756C2"/>
    <w:rsid w:val="00475E73"/>
    <w:rsid w:val="00477E06"/>
    <w:rsid w:val="004803C8"/>
    <w:rsid w:val="00480A31"/>
    <w:rsid w:val="004823A6"/>
    <w:rsid w:val="00482A2D"/>
    <w:rsid w:val="004865DD"/>
    <w:rsid w:val="004913F8"/>
    <w:rsid w:val="004978D2"/>
    <w:rsid w:val="00497DD4"/>
    <w:rsid w:val="004A0F52"/>
    <w:rsid w:val="004A10F2"/>
    <w:rsid w:val="004A12AB"/>
    <w:rsid w:val="004A17DA"/>
    <w:rsid w:val="004A2223"/>
    <w:rsid w:val="004A5458"/>
    <w:rsid w:val="004A7FCF"/>
    <w:rsid w:val="004B1740"/>
    <w:rsid w:val="004B4230"/>
    <w:rsid w:val="004B47F2"/>
    <w:rsid w:val="004B49D1"/>
    <w:rsid w:val="004B6907"/>
    <w:rsid w:val="004C1F81"/>
    <w:rsid w:val="004C535E"/>
    <w:rsid w:val="004D059F"/>
    <w:rsid w:val="004D0C02"/>
    <w:rsid w:val="004D1C42"/>
    <w:rsid w:val="004D3D5F"/>
    <w:rsid w:val="004E3AAF"/>
    <w:rsid w:val="004E46FD"/>
    <w:rsid w:val="004F1B5F"/>
    <w:rsid w:val="004F71EE"/>
    <w:rsid w:val="004F7781"/>
    <w:rsid w:val="004F7CD0"/>
    <w:rsid w:val="005011A4"/>
    <w:rsid w:val="0050293C"/>
    <w:rsid w:val="00505478"/>
    <w:rsid w:val="00505BC3"/>
    <w:rsid w:val="00512CF0"/>
    <w:rsid w:val="00514B8F"/>
    <w:rsid w:val="00515FC7"/>
    <w:rsid w:val="00534A72"/>
    <w:rsid w:val="00537664"/>
    <w:rsid w:val="00544E05"/>
    <w:rsid w:val="0054547A"/>
    <w:rsid w:val="0054576D"/>
    <w:rsid w:val="00546057"/>
    <w:rsid w:val="00551189"/>
    <w:rsid w:val="005535B5"/>
    <w:rsid w:val="00554D8B"/>
    <w:rsid w:val="00554D9D"/>
    <w:rsid w:val="00555773"/>
    <w:rsid w:val="00563CE1"/>
    <w:rsid w:val="005654C2"/>
    <w:rsid w:val="00566ECE"/>
    <w:rsid w:val="00572021"/>
    <w:rsid w:val="00573180"/>
    <w:rsid w:val="005751DE"/>
    <w:rsid w:val="00576B53"/>
    <w:rsid w:val="00576F74"/>
    <w:rsid w:val="0058069E"/>
    <w:rsid w:val="00582FDB"/>
    <w:rsid w:val="005835BB"/>
    <w:rsid w:val="00583F35"/>
    <w:rsid w:val="00587D1B"/>
    <w:rsid w:val="0059093E"/>
    <w:rsid w:val="00590D35"/>
    <w:rsid w:val="00592283"/>
    <w:rsid w:val="00593E77"/>
    <w:rsid w:val="00595E4B"/>
    <w:rsid w:val="0059714F"/>
    <w:rsid w:val="00597B03"/>
    <w:rsid w:val="00597BEA"/>
    <w:rsid w:val="00597FFE"/>
    <w:rsid w:val="005A18B7"/>
    <w:rsid w:val="005A41F8"/>
    <w:rsid w:val="005B05E5"/>
    <w:rsid w:val="005B2B3B"/>
    <w:rsid w:val="005B5B2D"/>
    <w:rsid w:val="005C3394"/>
    <w:rsid w:val="005C4BD4"/>
    <w:rsid w:val="005D13A5"/>
    <w:rsid w:val="005D3377"/>
    <w:rsid w:val="005D3827"/>
    <w:rsid w:val="005D5CF9"/>
    <w:rsid w:val="005D62E0"/>
    <w:rsid w:val="005D76F1"/>
    <w:rsid w:val="005D7798"/>
    <w:rsid w:val="005E626B"/>
    <w:rsid w:val="005E6EE2"/>
    <w:rsid w:val="005F0EFF"/>
    <w:rsid w:val="005F1CCC"/>
    <w:rsid w:val="005F3495"/>
    <w:rsid w:val="005F41BA"/>
    <w:rsid w:val="005F4BA4"/>
    <w:rsid w:val="005F621B"/>
    <w:rsid w:val="005F631D"/>
    <w:rsid w:val="005F63D1"/>
    <w:rsid w:val="005F66E7"/>
    <w:rsid w:val="005F6D6D"/>
    <w:rsid w:val="005F6D97"/>
    <w:rsid w:val="005F6DFC"/>
    <w:rsid w:val="005F7938"/>
    <w:rsid w:val="00600C5D"/>
    <w:rsid w:val="00602D1D"/>
    <w:rsid w:val="00605318"/>
    <w:rsid w:val="006110D2"/>
    <w:rsid w:val="0061270E"/>
    <w:rsid w:val="00622343"/>
    <w:rsid w:val="00623CD3"/>
    <w:rsid w:val="006240DF"/>
    <w:rsid w:val="006313EE"/>
    <w:rsid w:val="00632991"/>
    <w:rsid w:val="00633131"/>
    <w:rsid w:val="00635E83"/>
    <w:rsid w:val="0063628D"/>
    <w:rsid w:val="00637D8D"/>
    <w:rsid w:val="006405A5"/>
    <w:rsid w:val="00643347"/>
    <w:rsid w:val="006455DB"/>
    <w:rsid w:val="00647D8B"/>
    <w:rsid w:val="0065089D"/>
    <w:rsid w:val="00650957"/>
    <w:rsid w:val="006510CE"/>
    <w:rsid w:val="00652CA3"/>
    <w:rsid w:val="006532FA"/>
    <w:rsid w:val="00653402"/>
    <w:rsid w:val="006546BE"/>
    <w:rsid w:val="00654B21"/>
    <w:rsid w:val="006564D7"/>
    <w:rsid w:val="006567EF"/>
    <w:rsid w:val="00657E30"/>
    <w:rsid w:val="006603F2"/>
    <w:rsid w:val="00661903"/>
    <w:rsid w:val="006628F7"/>
    <w:rsid w:val="00663CC0"/>
    <w:rsid w:val="00663D97"/>
    <w:rsid w:val="00665759"/>
    <w:rsid w:val="00666674"/>
    <w:rsid w:val="00670F5A"/>
    <w:rsid w:val="00671DD0"/>
    <w:rsid w:val="00673A02"/>
    <w:rsid w:val="00673CEF"/>
    <w:rsid w:val="006740C4"/>
    <w:rsid w:val="00674A12"/>
    <w:rsid w:val="006818B4"/>
    <w:rsid w:val="00692594"/>
    <w:rsid w:val="00693D2D"/>
    <w:rsid w:val="00694484"/>
    <w:rsid w:val="00695E06"/>
    <w:rsid w:val="00696FB7"/>
    <w:rsid w:val="006A06E2"/>
    <w:rsid w:val="006A15E6"/>
    <w:rsid w:val="006A17BE"/>
    <w:rsid w:val="006A4D4C"/>
    <w:rsid w:val="006A7820"/>
    <w:rsid w:val="006B0410"/>
    <w:rsid w:val="006B2186"/>
    <w:rsid w:val="006B32F0"/>
    <w:rsid w:val="006B5B81"/>
    <w:rsid w:val="006C28A8"/>
    <w:rsid w:val="006C35DD"/>
    <w:rsid w:val="006C5F84"/>
    <w:rsid w:val="006C6C0C"/>
    <w:rsid w:val="006D4CBF"/>
    <w:rsid w:val="006D565F"/>
    <w:rsid w:val="006D7999"/>
    <w:rsid w:val="006D7F7E"/>
    <w:rsid w:val="006E4BA8"/>
    <w:rsid w:val="006F003E"/>
    <w:rsid w:val="006F6316"/>
    <w:rsid w:val="006F67F7"/>
    <w:rsid w:val="00700512"/>
    <w:rsid w:val="007029A8"/>
    <w:rsid w:val="007041EC"/>
    <w:rsid w:val="00704AFE"/>
    <w:rsid w:val="00704FF0"/>
    <w:rsid w:val="00710135"/>
    <w:rsid w:val="0071182F"/>
    <w:rsid w:val="00714293"/>
    <w:rsid w:val="0071780D"/>
    <w:rsid w:val="00720D91"/>
    <w:rsid w:val="00722FEA"/>
    <w:rsid w:val="00724AFA"/>
    <w:rsid w:val="00725065"/>
    <w:rsid w:val="00735836"/>
    <w:rsid w:val="00742E8E"/>
    <w:rsid w:val="00747D54"/>
    <w:rsid w:val="00751313"/>
    <w:rsid w:val="0075291F"/>
    <w:rsid w:val="00752ECD"/>
    <w:rsid w:val="00757258"/>
    <w:rsid w:val="00760612"/>
    <w:rsid w:val="00765E46"/>
    <w:rsid w:val="00766097"/>
    <w:rsid w:val="00766501"/>
    <w:rsid w:val="00767715"/>
    <w:rsid w:val="00770235"/>
    <w:rsid w:val="00770552"/>
    <w:rsid w:val="00771854"/>
    <w:rsid w:val="00772CB3"/>
    <w:rsid w:val="007749CD"/>
    <w:rsid w:val="00776368"/>
    <w:rsid w:val="0078090D"/>
    <w:rsid w:val="007840E1"/>
    <w:rsid w:val="0078726C"/>
    <w:rsid w:val="0078735D"/>
    <w:rsid w:val="00787D32"/>
    <w:rsid w:val="00790B55"/>
    <w:rsid w:val="00794371"/>
    <w:rsid w:val="00795EF8"/>
    <w:rsid w:val="007A36CE"/>
    <w:rsid w:val="007A59B4"/>
    <w:rsid w:val="007A7285"/>
    <w:rsid w:val="007A7979"/>
    <w:rsid w:val="007B072C"/>
    <w:rsid w:val="007B105D"/>
    <w:rsid w:val="007B3D37"/>
    <w:rsid w:val="007C105A"/>
    <w:rsid w:val="007C1384"/>
    <w:rsid w:val="007C511D"/>
    <w:rsid w:val="007C60F2"/>
    <w:rsid w:val="007C7F89"/>
    <w:rsid w:val="007D3850"/>
    <w:rsid w:val="007D4385"/>
    <w:rsid w:val="007D4E5B"/>
    <w:rsid w:val="007D6800"/>
    <w:rsid w:val="007E1F3B"/>
    <w:rsid w:val="007E22DC"/>
    <w:rsid w:val="007E355F"/>
    <w:rsid w:val="007E56A6"/>
    <w:rsid w:val="007F157B"/>
    <w:rsid w:val="007F5161"/>
    <w:rsid w:val="007F7472"/>
    <w:rsid w:val="007F7CBC"/>
    <w:rsid w:val="007F7D40"/>
    <w:rsid w:val="00801319"/>
    <w:rsid w:val="00803DE6"/>
    <w:rsid w:val="0080415F"/>
    <w:rsid w:val="0081037A"/>
    <w:rsid w:val="00810C93"/>
    <w:rsid w:val="008156C4"/>
    <w:rsid w:val="00816CC6"/>
    <w:rsid w:val="008214F2"/>
    <w:rsid w:val="00831E89"/>
    <w:rsid w:val="008335D3"/>
    <w:rsid w:val="00833E90"/>
    <w:rsid w:val="008347D6"/>
    <w:rsid w:val="00834D4B"/>
    <w:rsid w:val="0083569E"/>
    <w:rsid w:val="008416AE"/>
    <w:rsid w:val="00843764"/>
    <w:rsid w:val="00843F17"/>
    <w:rsid w:val="00844342"/>
    <w:rsid w:val="00844F6F"/>
    <w:rsid w:val="00851B3A"/>
    <w:rsid w:val="00851F1C"/>
    <w:rsid w:val="00854FC8"/>
    <w:rsid w:val="008552F0"/>
    <w:rsid w:val="00855854"/>
    <w:rsid w:val="00855E64"/>
    <w:rsid w:val="00861132"/>
    <w:rsid w:val="00864154"/>
    <w:rsid w:val="008706BD"/>
    <w:rsid w:val="00870861"/>
    <w:rsid w:val="00871EAF"/>
    <w:rsid w:val="008773EE"/>
    <w:rsid w:val="008776D7"/>
    <w:rsid w:val="00881276"/>
    <w:rsid w:val="00885B6E"/>
    <w:rsid w:val="00886FE7"/>
    <w:rsid w:val="00887ABC"/>
    <w:rsid w:val="008910BB"/>
    <w:rsid w:val="00891352"/>
    <w:rsid w:val="008928DF"/>
    <w:rsid w:val="00895DCB"/>
    <w:rsid w:val="00897A4C"/>
    <w:rsid w:val="008A0FDF"/>
    <w:rsid w:val="008A20EF"/>
    <w:rsid w:val="008A2522"/>
    <w:rsid w:val="008A7DB3"/>
    <w:rsid w:val="008B35FA"/>
    <w:rsid w:val="008B4956"/>
    <w:rsid w:val="008B5AFB"/>
    <w:rsid w:val="008B5D12"/>
    <w:rsid w:val="008B6C90"/>
    <w:rsid w:val="008C07E7"/>
    <w:rsid w:val="008C0AC0"/>
    <w:rsid w:val="008C313B"/>
    <w:rsid w:val="008C6881"/>
    <w:rsid w:val="008D0005"/>
    <w:rsid w:val="008D48D8"/>
    <w:rsid w:val="008E021E"/>
    <w:rsid w:val="008E2D9A"/>
    <w:rsid w:val="008E4D0C"/>
    <w:rsid w:val="008E5D93"/>
    <w:rsid w:val="008E694C"/>
    <w:rsid w:val="008F06BE"/>
    <w:rsid w:val="008F102B"/>
    <w:rsid w:val="008F22CD"/>
    <w:rsid w:val="008F2B34"/>
    <w:rsid w:val="008F45AF"/>
    <w:rsid w:val="00901A05"/>
    <w:rsid w:val="00901F46"/>
    <w:rsid w:val="00904288"/>
    <w:rsid w:val="00907352"/>
    <w:rsid w:val="00910EA5"/>
    <w:rsid w:val="00912C1C"/>
    <w:rsid w:val="00912EA4"/>
    <w:rsid w:val="009144DB"/>
    <w:rsid w:val="00914700"/>
    <w:rsid w:val="0091643E"/>
    <w:rsid w:val="00923B0F"/>
    <w:rsid w:val="00924DAA"/>
    <w:rsid w:val="00926E2F"/>
    <w:rsid w:val="009338C8"/>
    <w:rsid w:val="009376C2"/>
    <w:rsid w:val="00937A8E"/>
    <w:rsid w:val="00940AF7"/>
    <w:rsid w:val="00942075"/>
    <w:rsid w:val="00942668"/>
    <w:rsid w:val="0094502B"/>
    <w:rsid w:val="0094720D"/>
    <w:rsid w:val="00951167"/>
    <w:rsid w:val="00951821"/>
    <w:rsid w:val="009525B0"/>
    <w:rsid w:val="00956C7A"/>
    <w:rsid w:val="009570CC"/>
    <w:rsid w:val="009615A2"/>
    <w:rsid w:val="009623DF"/>
    <w:rsid w:val="00962F83"/>
    <w:rsid w:val="00965833"/>
    <w:rsid w:val="009659CF"/>
    <w:rsid w:val="00967BD8"/>
    <w:rsid w:val="00970962"/>
    <w:rsid w:val="00971AF2"/>
    <w:rsid w:val="00976C79"/>
    <w:rsid w:val="00983CD2"/>
    <w:rsid w:val="009841F1"/>
    <w:rsid w:val="00993173"/>
    <w:rsid w:val="009A063C"/>
    <w:rsid w:val="009A358C"/>
    <w:rsid w:val="009A5DBB"/>
    <w:rsid w:val="009B07D7"/>
    <w:rsid w:val="009B25F9"/>
    <w:rsid w:val="009B33CF"/>
    <w:rsid w:val="009C7158"/>
    <w:rsid w:val="009C7CED"/>
    <w:rsid w:val="009D6A1D"/>
    <w:rsid w:val="009D7294"/>
    <w:rsid w:val="009D73B1"/>
    <w:rsid w:val="009E4C25"/>
    <w:rsid w:val="009E6550"/>
    <w:rsid w:val="009E6556"/>
    <w:rsid w:val="009F2211"/>
    <w:rsid w:val="009F6682"/>
    <w:rsid w:val="009F6E82"/>
    <w:rsid w:val="009F7EB9"/>
    <w:rsid w:val="00A002AA"/>
    <w:rsid w:val="00A0330C"/>
    <w:rsid w:val="00A03A72"/>
    <w:rsid w:val="00A04E6E"/>
    <w:rsid w:val="00A0562B"/>
    <w:rsid w:val="00A06F94"/>
    <w:rsid w:val="00A06FF8"/>
    <w:rsid w:val="00A11A70"/>
    <w:rsid w:val="00A11B6E"/>
    <w:rsid w:val="00A136A4"/>
    <w:rsid w:val="00A1410C"/>
    <w:rsid w:val="00A15F46"/>
    <w:rsid w:val="00A27772"/>
    <w:rsid w:val="00A27A3A"/>
    <w:rsid w:val="00A31110"/>
    <w:rsid w:val="00A31D06"/>
    <w:rsid w:val="00A364EA"/>
    <w:rsid w:val="00A36ADD"/>
    <w:rsid w:val="00A36C5E"/>
    <w:rsid w:val="00A41285"/>
    <w:rsid w:val="00A429F6"/>
    <w:rsid w:val="00A439FC"/>
    <w:rsid w:val="00A50D43"/>
    <w:rsid w:val="00A52115"/>
    <w:rsid w:val="00A55680"/>
    <w:rsid w:val="00A56639"/>
    <w:rsid w:val="00A601D3"/>
    <w:rsid w:val="00A6441D"/>
    <w:rsid w:val="00A652A1"/>
    <w:rsid w:val="00A656B4"/>
    <w:rsid w:val="00A65CC5"/>
    <w:rsid w:val="00A70005"/>
    <w:rsid w:val="00A701CF"/>
    <w:rsid w:val="00A75CA8"/>
    <w:rsid w:val="00A77B34"/>
    <w:rsid w:val="00A878AA"/>
    <w:rsid w:val="00A878F4"/>
    <w:rsid w:val="00A91767"/>
    <w:rsid w:val="00A946A2"/>
    <w:rsid w:val="00A95C52"/>
    <w:rsid w:val="00AA0907"/>
    <w:rsid w:val="00AA26E5"/>
    <w:rsid w:val="00AA3259"/>
    <w:rsid w:val="00AA3A6A"/>
    <w:rsid w:val="00AA4941"/>
    <w:rsid w:val="00AA4B5C"/>
    <w:rsid w:val="00AA6594"/>
    <w:rsid w:val="00AB0C39"/>
    <w:rsid w:val="00AB2026"/>
    <w:rsid w:val="00AB286E"/>
    <w:rsid w:val="00AC354D"/>
    <w:rsid w:val="00AD21D6"/>
    <w:rsid w:val="00AD7A61"/>
    <w:rsid w:val="00AE1192"/>
    <w:rsid w:val="00AE42E2"/>
    <w:rsid w:val="00AE49EC"/>
    <w:rsid w:val="00AE6A82"/>
    <w:rsid w:val="00AE78FA"/>
    <w:rsid w:val="00AF14B6"/>
    <w:rsid w:val="00AF3C03"/>
    <w:rsid w:val="00AF44E9"/>
    <w:rsid w:val="00AF5A6F"/>
    <w:rsid w:val="00AF77A2"/>
    <w:rsid w:val="00AF77D7"/>
    <w:rsid w:val="00B02847"/>
    <w:rsid w:val="00B03A1A"/>
    <w:rsid w:val="00B066B1"/>
    <w:rsid w:val="00B12EEB"/>
    <w:rsid w:val="00B16CD5"/>
    <w:rsid w:val="00B16E30"/>
    <w:rsid w:val="00B16FF6"/>
    <w:rsid w:val="00B2157B"/>
    <w:rsid w:val="00B24EC8"/>
    <w:rsid w:val="00B24F8D"/>
    <w:rsid w:val="00B3252F"/>
    <w:rsid w:val="00B328AA"/>
    <w:rsid w:val="00B33FD0"/>
    <w:rsid w:val="00B37076"/>
    <w:rsid w:val="00B37179"/>
    <w:rsid w:val="00B37D20"/>
    <w:rsid w:val="00B4197C"/>
    <w:rsid w:val="00B42923"/>
    <w:rsid w:val="00B460B0"/>
    <w:rsid w:val="00B462E9"/>
    <w:rsid w:val="00B52D43"/>
    <w:rsid w:val="00B54C14"/>
    <w:rsid w:val="00B55586"/>
    <w:rsid w:val="00B638B5"/>
    <w:rsid w:val="00B677FB"/>
    <w:rsid w:val="00B72222"/>
    <w:rsid w:val="00B74F32"/>
    <w:rsid w:val="00B76299"/>
    <w:rsid w:val="00B801E6"/>
    <w:rsid w:val="00B85640"/>
    <w:rsid w:val="00B8697A"/>
    <w:rsid w:val="00B90E96"/>
    <w:rsid w:val="00B94395"/>
    <w:rsid w:val="00B957AD"/>
    <w:rsid w:val="00B95831"/>
    <w:rsid w:val="00B95AE0"/>
    <w:rsid w:val="00B96922"/>
    <w:rsid w:val="00BA59E7"/>
    <w:rsid w:val="00BA6602"/>
    <w:rsid w:val="00BA69AE"/>
    <w:rsid w:val="00BB011E"/>
    <w:rsid w:val="00BB1497"/>
    <w:rsid w:val="00BB24D2"/>
    <w:rsid w:val="00BB3039"/>
    <w:rsid w:val="00BB4634"/>
    <w:rsid w:val="00BC157C"/>
    <w:rsid w:val="00BC2309"/>
    <w:rsid w:val="00BC5B46"/>
    <w:rsid w:val="00BD193F"/>
    <w:rsid w:val="00BD1AE0"/>
    <w:rsid w:val="00BD1CB8"/>
    <w:rsid w:val="00BD2A6F"/>
    <w:rsid w:val="00BE5CB6"/>
    <w:rsid w:val="00BE768D"/>
    <w:rsid w:val="00BF0346"/>
    <w:rsid w:val="00BF0BB0"/>
    <w:rsid w:val="00BF36BB"/>
    <w:rsid w:val="00BF3B1A"/>
    <w:rsid w:val="00BF42CA"/>
    <w:rsid w:val="00BF716F"/>
    <w:rsid w:val="00C054F0"/>
    <w:rsid w:val="00C0565D"/>
    <w:rsid w:val="00C12C9D"/>
    <w:rsid w:val="00C15665"/>
    <w:rsid w:val="00C1795B"/>
    <w:rsid w:val="00C24AB5"/>
    <w:rsid w:val="00C25E38"/>
    <w:rsid w:val="00C25EAA"/>
    <w:rsid w:val="00C31BC9"/>
    <w:rsid w:val="00C33FE2"/>
    <w:rsid w:val="00C34123"/>
    <w:rsid w:val="00C40C50"/>
    <w:rsid w:val="00C41A57"/>
    <w:rsid w:val="00C43814"/>
    <w:rsid w:val="00C501A6"/>
    <w:rsid w:val="00C523EB"/>
    <w:rsid w:val="00C54E73"/>
    <w:rsid w:val="00C5564A"/>
    <w:rsid w:val="00C62E91"/>
    <w:rsid w:val="00C66EB5"/>
    <w:rsid w:val="00C701E0"/>
    <w:rsid w:val="00C80C2E"/>
    <w:rsid w:val="00C80FB0"/>
    <w:rsid w:val="00C84884"/>
    <w:rsid w:val="00C86124"/>
    <w:rsid w:val="00CA0189"/>
    <w:rsid w:val="00CA0F83"/>
    <w:rsid w:val="00CA46D1"/>
    <w:rsid w:val="00CA4C29"/>
    <w:rsid w:val="00CA7E29"/>
    <w:rsid w:val="00CB47A4"/>
    <w:rsid w:val="00CB4CD8"/>
    <w:rsid w:val="00CB5B83"/>
    <w:rsid w:val="00CC0F50"/>
    <w:rsid w:val="00CC17A0"/>
    <w:rsid w:val="00CC1A56"/>
    <w:rsid w:val="00CC27DB"/>
    <w:rsid w:val="00CC2ABD"/>
    <w:rsid w:val="00CC3B17"/>
    <w:rsid w:val="00CC6588"/>
    <w:rsid w:val="00CC739A"/>
    <w:rsid w:val="00CD00E5"/>
    <w:rsid w:val="00CD29C6"/>
    <w:rsid w:val="00CD3773"/>
    <w:rsid w:val="00CD462A"/>
    <w:rsid w:val="00CE0242"/>
    <w:rsid w:val="00CE049D"/>
    <w:rsid w:val="00CE1D23"/>
    <w:rsid w:val="00CE3E96"/>
    <w:rsid w:val="00CE7912"/>
    <w:rsid w:val="00CF4689"/>
    <w:rsid w:val="00CF469B"/>
    <w:rsid w:val="00D00F8E"/>
    <w:rsid w:val="00D01C0E"/>
    <w:rsid w:val="00D01C9B"/>
    <w:rsid w:val="00D035E0"/>
    <w:rsid w:val="00D03609"/>
    <w:rsid w:val="00D07EC8"/>
    <w:rsid w:val="00D12331"/>
    <w:rsid w:val="00D1525F"/>
    <w:rsid w:val="00D17D39"/>
    <w:rsid w:val="00D3483B"/>
    <w:rsid w:val="00D34A78"/>
    <w:rsid w:val="00D42C56"/>
    <w:rsid w:val="00D43177"/>
    <w:rsid w:val="00D43C27"/>
    <w:rsid w:val="00D44E22"/>
    <w:rsid w:val="00D45BC8"/>
    <w:rsid w:val="00D50908"/>
    <w:rsid w:val="00D514B6"/>
    <w:rsid w:val="00D528F4"/>
    <w:rsid w:val="00D54AF4"/>
    <w:rsid w:val="00D6160F"/>
    <w:rsid w:val="00D6255B"/>
    <w:rsid w:val="00D636FC"/>
    <w:rsid w:val="00D65F66"/>
    <w:rsid w:val="00D6604B"/>
    <w:rsid w:val="00D66E1C"/>
    <w:rsid w:val="00D71088"/>
    <w:rsid w:val="00D72E78"/>
    <w:rsid w:val="00D81CC5"/>
    <w:rsid w:val="00D82833"/>
    <w:rsid w:val="00D84B33"/>
    <w:rsid w:val="00D86D55"/>
    <w:rsid w:val="00D86F92"/>
    <w:rsid w:val="00D8767A"/>
    <w:rsid w:val="00D87BD6"/>
    <w:rsid w:val="00D9022A"/>
    <w:rsid w:val="00D93E74"/>
    <w:rsid w:val="00D94349"/>
    <w:rsid w:val="00D955D1"/>
    <w:rsid w:val="00D95E11"/>
    <w:rsid w:val="00DA4EB8"/>
    <w:rsid w:val="00DA7371"/>
    <w:rsid w:val="00DB1806"/>
    <w:rsid w:val="00DC0233"/>
    <w:rsid w:val="00DC4940"/>
    <w:rsid w:val="00DC5207"/>
    <w:rsid w:val="00DC7A29"/>
    <w:rsid w:val="00DD333D"/>
    <w:rsid w:val="00DE32F5"/>
    <w:rsid w:val="00DE755C"/>
    <w:rsid w:val="00DF47DF"/>
    <w:rsid w:val="00E01C7C"/>
    <w:rsid w:val="00E02487"/>
    <w:rsid w:val="00E0475F"/>
    <w:rsid w:val="00E056D2"/>
    <w:rsid w:val="00E07DD3"/>
    <w:rsid w:val="00E10F62"/>
    <w:rsid w:val="00E15574"/>
    <w:rsid w:val="00E164E4"/>
    <w:rsid w:val="00E177F3"/>
    <w:rsid w:val="00E2064F"/>
    <w:rsid w:val="00E21611"/>
    <w:rsid w:val="00E23831"/>
    <w:rsid w:val="00E24A20"/>
    <w:rsid w:val="00E24DA8"/>
    <w:rsid w:val="00E26B67"/>
    <w:rsid w:val="00E303BD"/>
    <w:rsid w:val="00E305A0"/>
    <w:rsid w:val="00E32EF7"/>
    <w:rsid w:val="00E36951"/>
    <w:rsid w:val="00E37986"/>
    <w:rsid w:val="00E42BE4"/>
    <w:rsid w:val="00E42E67"/>
    <w:rsid w:val="00E452BF"/>
    <w:rsid w:val="00E53691"/>
    <w:rsid w:val="00E552A1"/>
    <w:rsid w:val="00E57E3D"/>
    <w:rsid w:val="00E60823"/>
    <w:rsid w:val="00E60BC5"/>
    <w:rsid w:val="00E614E4"/>
    <w:rsid w:val="00E61743"/>
    <w:rsid w:val="00E64505"/>
    <w:rsid w:val="00E66349"/>
    <w:rsid w:val="00E733B2"/>
    <w:rsid w:val="00E74BEB"/>
    <w:rsid w:val="00E75D90"/>
    <w:rsid w:val="00E76831"/>
    <w:rsid w:val="00E8266E"/>
    <w:rsid w:val="00E82844"/>
    <w:rsid w:val="00E83FEB"/>
    <w:rsid w:val="00E85F5A"/>
    <w:rsid w:val="00E860C6"/>
    <w:rsid w:val="00E879C6"/>
    <w:rsid w:val="00E92824"/>
    <w:rsid w:val="00E972C6"/>
    <w:rsid w:val="00EA1526"/>
    <w:rsid w:val="00EA278C"/>
    <w:rsid w:val="00EA405B"/>
    <w:rsid w:val="00EA45F1"/>
    <w:rsid w:val="00EA7C59"/>
    <w:rsid w:val="00EB07FB"/>
    <w:rsid w:val="00EB4274"/>
    <w:rsid w:val="00EB437A"/>
    <w:rsid w:val="00EB6451"/>
    <w:rsid w:val="00EB7727"/>
    <w:rsid w:val="00EC1678"/>
    <w:rsid w:val="00EC207E"/>
    <w:rsid w:val="00EC2A30"/>
    <w:rsid w:val="00EC354D"/>
    <w:rsid w:val="00EC63C7"/>
    <w:rsid w:val="00EC71E7"/>
    <w:rsid w:val="00ED2718"/>
    <w:rsid w:val="00ED35BC"/>
    <w:rsid w:val="00ED3963"/>
    <w:rsid w:val="00ED6549"/>
    <w:rsid w:val="00ED79E8"/>
    <w:rsid w:val="00EE4E73"/>
    <w:rsid w:val="00F00E7D"/>
    <w:rsid w:val="00F03434"/>
    <w:rsid w:val="00F07F9F"/>
    <w:rsid w:val="00F07FD6"/>
    <w:rsid w:val="00F101B8"/>
    <w:rsid w:val="00F124E5"/>
    <w:rsid w:val="00F149A7"/>
    <w:rsid w:val="00F14BD3"/>
    <w:rsid w:val="00F17C34"/>
    <w:rsid w:val="00F2068E"/>
    <w:rsid w:val="00F22CC2"/>
    <w:rsid w:val="00F238F2"/>
    <w:rsid w:val="00F315DF"/>
    <w:rsid w:val="00F3214E"/>
    <w:rsid w:val="00F33BEB"/>
    <w:rsid w:val="00F34292"/>
    <w:rsid w:val="00F41657"/>
    <w:rsid w:val="00F42979"/>
    <w:rsid w:val="00F44364"/>
    <w:rsid w:val="00F470ED"/>
    <w:rsid w:val="00F4786D"/>
    <w:rsid w:val="00F507A9"/>
    <w:rsid w:val="00F5228A"/>
    <w:rsid w:val="00F52FB8"/>
    <w:rsid w:val="00F55C37"/>
    <w:rsid w:val="00F55EA9"/>
    <w:rsid w:val="00F571AD"/>
    <w:rsid w:val="00F576AA"/>
    <w:rsid w:val="00F61754"/>
    <w:rsid w:val="00F62867"/>
    <w:rsid w:val="00F640DB"/>
    <w:rsid w:val="00F66F42"/>
    <w:rsid w:val="00F67F45"/>
    <w:rsid w:val="00F717F0"/>
    <w:rsid w:val="00F71951"/>
    <w:rsid w:val="00F74654"/>
    <w:rsid w:val="00F80397"/>
    <w:rsid w:val="00F81BE2"/>
    <w:rsid w:val="00F861D5"/>
    <w:rsid w:val="00F874ED"/>
    <w:rsid w:val="00F90CD8"/>
    <w:rsid w:val="00F937A7"/>
    <w:rsid w:val="00F96346"/>
    <w:rsid w:val="00FA054F"/>
    <w:rsid w:val="00FA4FBE"/>
    <w:rsid w:val="00FA5A74"/>
    <w:rsid w:val="00FB08E9"/>
    <w:rsid w:val="00FB0EF2"/>
    <w:rsid w:val="00FB1B9E"/>
    <w:rsid w:val="00FB3E85"/>
    <w:rsid w:val="00FC16AF"/>
    <w:rsid w:val="00FC31B0"/>
    <w:rsid w:val="00FC4709"/>
    <w:rsid w:val="00FC4D63"/>
    <w:rsid w:val="00FC4E28"/>
    <w:rsid w:val="00FC57E8"/>
    <w:rsid w:val="00FC5D1F"/>
    <w:rsid w:val="00FC6FE2"/>
    <w:rsid w:val="00FC73D6"/>
    <w:rsid w:val="00FD0BA9"/>
    <w:rsid w:val="00FD2A04"/>
    <w:rsid w:val="00FD3A0D"/>
    <w:rsid w:val="00FD3BEC"/>
    <w:rsid w:val="00FD3EF1"/>
    <w:rsid w:val="00FD47FE"/>
    <w:rsid w:val="00FD575C"/>
    <w:rsid w:val="00FD6F33"/>
    <w:rsid w:val="00FE691F"/>
    <w:rsid w:val="00FE71F1"/>
    <w:rsid w:val="00FF128E"/>
    <w:rsid w:val="00FF1696"/>
    <w:rsid w:val="00FF17A1"/>
    <w:rsid w:val="00FF2C63"/>
    <w:rsid w:val="00FF45B5"/>
    <w:rsid w:val="00FF5886"/>
    <w:rsid w:val="00FF6210"/>
    <w:rsid w:val="00FF7C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uiPriority w:val="34"/>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uiPriority w:val="34"/>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838">
      <w:bodyDiv w:val="1"/>
      <w:marLeft w:val="0"/>
      <w:marRight w:val="0"/>
      <w:marTop w:val="0"/>
      <w:marBottom w:val="0"/>
      <w:divBdr>
        <w:top w:val="none" w:sz="0" w:space="0" w:color="auto"/>
        <w:left w:val="none" w:sz="0" w:space="0" w:color="auto"/>
        <w:bottom w:val="none" w:sz="0" w:space="0" w:color="auto"/>
        <w:right w:val="none" w:sz="0" w:space="0" w:color="auto"/>
      </w:divBdr>
      <w:divsChild>
        <w:div w:id="83889797">
          <w:marLeft w:val="0"/>
          <w:marRight w:val="0"/>
          <w:marTop w:val="0"/>
          <w:marBottom w:val="0"/>
          <w:divBdr>
            <w:top w:val="none" w:sz="0" w:space="0" w:color="auto"/>
            <w:left w:val="none" w:sz="0" w:space="0" w:color="auto"/>
            <w:bottom w:val="none" w:sz="0" w:space="0" w:color="auto"/>
            <w:right w:val="none" w:sz="0" w:space="0" w:color="auto"/>
          </w:divBdr>
          <w:divsChild>
            <w:div w:id="1248539688">
              <w:marLeft w:val="0"/>
              <w:marRight w:val="0"/>
              <w:marTop w:val="0"/>
              <w:marBottom w:val="0"/>
              <w:divBdr>
                <w:top w:val="none" w:sz="0" w:space="0" w:color="auto"/>
                <w:left w:val="none" w:sz="0" w:space="0" w:color="auto"/>
                <w:bottom w:val="none" w:sz="0" w:space="0" w:color="auto"/>
                <w:right w:val="none" w:sz="0" w:space="0" w:color="auto"/>
              </w:divBdr>
              <w:divsChild>
                <w:div w:id="15381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5248">
      <w:bodyDiv w:val="1"/>
      <w:marLeft w:val="0"/>
      <w:marRight w:val="0"/>
      <w:marTop w:val="0"/>
      <w:marBottom w:val="0"/>
      <w:divBdr>
        <w:top w:val="none" w:sz="0" w:space="0" w:color="auto"/>
        <w:left w:val="none" w:sz="0" w:space="0" w:color="auto"/>
        <w:bottom w:val="none" w:sz="0" w:space="0" w:color="auto"/>
        <w:right w:val="none" w:sz="0" w:space="0" w:color="auto"/>
      </w:divBdr>
      <w:divsChild>
        <w:div w:id="824859781">
          <w:marLeft w:val="0"/>
          <w:marRight w:val="0"/>
          <w:marTop w:val="0"/>
          <w:marBottom w:val="0"/>
          <w:divBdr>
            <w:top w:val="none" w:sz="0" w:space="0" w:color="auto"/>
            <w:left w:val="none" w:sz="0" w:space="0" w:color="auto"/>
            <w:bottom w:val="none" w:sz="0" w:space="0" w:color="auto"/>
            <w:right w:val="none" w:sz="0" w:space="0" w:color="auto"/>
          </w:divBdr>
          <w:divsChild>
            <w:div w:id="841242651">
              <w:marLeft w:val="0"/>
              <w:marRight w:val="0"/>
              <w:marTop w:val="0"/>
              <w:marBottom w:val="0"/>
              <w:divBdr>
                <w:top w:val="none" w:sz="0" w:space="0" w:color="auto"/>
                <w:left w:val="none" w:sz="0" w:space="0" w:color="auto"/>
                <w:bottom w:val="none" w:sz="0" w:space="0" w:color="auto"/>
                <w:right w:val="none" w:sz="0" w:space="0" w:color="auto"/>
              </w:divBdr>
              <w:divsChild>
                <w:div w:id="103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5532">
      <w:bodyDiv w:val="1"/>
      <w:marLeft w:val="0"/>
      <w:marRight w:val="0"/>
      <w:marTop w:val="0"/>
      <w:marBottom w:val="0"/>
      <w:divBdr>
        <w:top w:val="none" w:sz="0" w:space="0" w:color="auto"/>
        <w:left w:val="none" w:sz="0" w:space="0" w:color="auto"/>
        <w:bottom w:val="none" w:sz="0" w:space="0" w:color="auto"/>
        <w:right w:val="none" w:sz="0" w:space="0" w:color="auto"/>
      </w:divBdr>
      <w:divsChild>
        <w:div w:id="2015298928">
          <w:marLeft w:val="0"/>
          <w:marRight w:val="0"/>
          <w:marTop w:val="0"/>
          <w:marBottom w:val="0"/>
          <w:divBdr>
            <w:top w:val="none" w:sz="0" w:space="0" w:color="auto"/>
            <w:left w:val="none" w:sz="0" w:space="0" w:color="auto"/>
            <w:bottom w:val="none" w:sz="0" w:space="0" w:color="auto"/>
            <w:right w:val="none" w:sz="0" w:space="0" w:color="auto"/>
          </w:divBdr>
          <w:divsChild>
            <w:div w:id="658463220">
              <w:marLeft w:val="0"/>
              <w:marRight w:val="0"/>
              <w:marTop w:val="0"/>
              <w:marBottom w:val="0"/>
              <w:divBdr>
                <w:top w:val="none" w:sz="0" w:space="0" w:color="auto"/>
                <w:left w:val="none" w:sz="0" w:space="0" w:color="auto"/>
                <w:bottom w:val="none" w:sz="0" w:space="0" w:color="auto"/>
                <w:right w:val="none" w:sz="0" w:space="0" w:color="auto"/>
              </w:divBdr>
              <w:divsChild>
                <w:div w:id="1775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4232">
      <w:bodyDiv w:val="1"/>
      <w:marLeft w:val="0"/>
      <w:marRight w:val="0"/>
      <w:marTop w:val="0"/>
      <w:marBottom w:val="0"/>
      <w:divBdr>
        <w:top w:val="none" w:sz="0" w:space="0" w:color="auto"/>
        <w:left w:val="none" w:sz="0" w:space="0" w:color="auto"/>
        <w:bottom w:val="none" w:sz="0" w:space="0" w:color="auto"/>
        <w:right w:val="none" w:sz="0" w:space="0" w:color="auto"/>
      </w:divBdr>
    </w:div>
    <w:div w:id="1784299228">
      <w:bodyDiv w:val="1"/>
      <w:marLeft w:val="0"/>
      <w:marRight w:val="0"/>
      <w:marTop w:val="0"/>
      <w:marBottom w:val="0"/>
      <w:divBdr>
        <w:top w:val="none" w:sz="0" w:space="0" w:color="auto"/>
        <w:left w:val="none" w:sz="0" w:space="0" w:color="auto"/>
        <w:bottom w:val="none" w:sz="0" w:space="0" w:color="auto"/>
        <w:right w:val="none" w:sz="0" w:space="0" w:color="auto"/>
      </w:divBdr>
    </w:div>
    <w:div w:id="2012833334">
      <w:bodyDiv w:val="1"/>
      <w:marLeft w:val="0"/>
      <w:marRight w:val="0"/>
      <w:marTop w:val="0"/>
      <w:marBottom w:val="0"/>
      <w:divBdr>
        <w:top w:val="none" w:sz="0" w:space="0" w:color="auto"/>
        <w:left w:val="none" w:sz="0" w:space="0" w:color="auto"/>
        <w:bottom w:val="none" w:sz="0" w:space="0" w:color="auto"/>
        <w:right w:val="none" w:sz="0" w:space="0" w:color="auto"/>
      </w:divBdr>
      <w:divsChild>
        <w:div w:id="1468157307">
          <w:marLeft w:val="0"/>
          <w:marRight w:val="0"/>
          <w:marTop w:val="0"/>
          <w:marBottom w:val="0"/>
          <w:divBdr>
            <w:top w:val="none" w:sz="0" w:space="0" w:color="auto"/>
            <w:left w:val="none" w:sz="0" w:space="0" w:color="auto"/>
            <w:bottom w:val="none" w:sz="0" w:space="0" w:color="auto"/>
            <w:right w:val="none" w:sz="0" w:space="0" w:color="auto"/>
          </w:divBdr>
          <w:divsChild>
            <w:div w:id="1754014541">
              <w:marLeft w:val="0"/>
              <w:marRight w:val="0"/>
              <w:marTop w:val="0"/>
              <w:marBottom w:val="0"/>
              <w:divBdr>
                <w:top w:val="none" w:sz="0" w:space="0" w:color="auto"/>
                <w:left w:val="none" w:sz="0" w:space="0" w:color="auto"/>
                <w:bottom w:val="none" w:sz="0" w:space="0" w:color="auto"/>
                <w:right w:val="none" w:sz="0" w:space="0" w:color="auto"/>
              </w:divBdr>
              <w:divsChild>
                <w:div w:id="1208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717D-4ED0-4AE3-A224-D7476E54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4085</Words>
  <Characters>21407</Characters>
  <Application>Microsoft Office Word</Application>
  <DocSecurity>0</DocSecurity>
  <Lines>403</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2017-12-20T23:58:00Z</cp:lastPrinted>
  <dcterms:created xsi:type="dcterms:W3CDTF">2017-12-21T00:18:00Z</dcterms:created>
  <dcterms:modified xsi:type="dcterms:W3CDTF">2017-12-21T00:45:00Z</dcterms:modified>
</cp:coreProperties>
</file>