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EF3C" w14:textId="77777777" w:rsidR="00193144" w:rsidRDefault="00193144" w:rsidP="00193144">
      <w:pPr>
        <w:tabs>
          <w:tab w:val="left" w:pos="709"/>
        </w:tabs>
        <w:jc w:val="center"/>
        <w:rPr>
          <w:b/>
          <w:szCs w:val="20"/>
          <w:lang w:val="es-CR"/>
        </w:rPr>
      </w:pPr>
      <w:bookmarkStart w:id="0" w:name="_GoBack"/>
      <w:bookmarkEnd w:id="0"/>
    </w:p>
    <w:p w14:paraId="46D242FD" w14:textId="77777777" w:rsidR="004E6C4D" w:rsidRDefault="004E6C4D" w:rsidP="00193144">
      <w:pPr>
        <w:tabs>
          <w:tab w:val="left" w:pos="709"/>
        </w:tabs>
        <w:jc w:val="center"/>
        <w:rPr>
          <w:b/>
          <w:szCs w:val="20"/>
          <w:lang w:val="es-CR"/>
        </w:rPr>
      </w:pPr>
    </w:p>
    <w:p w14:paraId="0B60BBF4" w14:textId="77777777" w:rsidR="004E6C4D" w:rsidRDefault="004E6C4D" w:rsidP="00193144">
      <w:pPr>
        <w:tabs>
          <w:tab w:val="left" w:pos="709"/>
        </w:tabs>
        <w:jc w:val="center"/>
        <w:rPr>
          <w:b/>
          <w:szCs w:val="20"/>
          <w:lang w:val="es-CR"/>
        </w:rPr>
      </w:pPr>
    </w:p>
    <w:p w14:paraId="19174387" w14:textId="77777777" w:rsidR="004E6C4D" w:rsidRDefault="004E6C4D" w:rsidP="00193144">
      <w:pPr>
        <w:tabs>
          <w:tab w:val="left" w:pos="709"/>
        </w:tabs>
        <w:jc w:val="center"/>
        <w:rPr>
          <w:b/>
          <w:szCs w:val="20"/>
          <w:lang w:val="es-CR"/>
        </w:rPr>
      </w:pPr>
    </w:p>
    <w:p w14:paraId="2C865B40" w14:textId="77777777" w:rsidR="004E6C4D" w:rsidRDefault="004E6C4D" w:rsidP="00193144">
      <w:pPr>
        <w:tabs>
          <w:tab w:val="left" w:pos="709"/>
        </w:tabs>
        <w:jc w:val="center"/>
        <w:rPr>
          <w:b/>
          <w:szCs w:val="20"/>
          <w:lang w:val="es-CR"/>
        </w:rPr>
      </w:pPr>
    </w:p>
    <w:p w14:paraId="39676B7C" w14:textId="77777777" w:rsidR="004E6C4D" w:rsidRDefault="004E6C4D" w:rsidP="00193144">
      <w:pPr>
        <w:tabs>
          <w:tab w:val="left" w:pos="709"/>
        </w:tabs>
        <w:jc w:val="center"/>
        <w:rPr>
          <w:b/>
          <w:szCs w:val="20"/>
          <w:lang w:val="es-CR"/>
        </w:rPr>
      </w:pPr>
    </w:p>
    <w:p w14:paraId="7F4D4669" w14:textId="77777777" w:rsidR="001C1A87" w:rsidRPr="0000666D" w:rsidRDefault="001C1A87" w:rsidP="001C1A87">
      <w:pPr>
        <w:tabs>
          <w:tab w:val="left" w:pos="709"/>
        </w:tabs>
        <w:jc w:val="center"/>
        <w:rPr>
          <w:b/>
          <w:szCs w:val="20"/>
          <w:lang w:val="es-CR"/>
        </w:rPr>
      </w:pPr>
      <w:r w:rsidRPr="0000666D">
        <w:rPr>
          <w:b/>
          <w:szCs w:val="20"/>
          <w:lang w:val="es-CR"/>
        </w:rPr>
        <w:t xml:space="preserve">VOTO PARCIALMENTE DISIDENTE DEL </w:t>
      </w:r>
    </w:p>
    <w:p w14:paraId="529331B0" w14:textId="77777777" w:rsidR="001C1A87" w:rsidRPr="0000666D" w:rsidRDefault="001C1A87" w:rsidP="001C1A87">
      <w:pPr>
        <w:tabs>
          <w:tab w:val="left" w:pos="709"/>
        </w:tabs>
        <w:jc w:val="center"/>
        <w:rPr>
          <w:b/>
          <w:szCs w:val="20"/>
          <w:lang w:val="es-CR"/>
        </w:rPr>
      </w:pPr>
      <w:r w:rsidRPr="0000666D">
        <w:rPr>
          <w:b/>
          <w:szCs w:val="20"/>
          <w:lang w:val="es-CR"/>
        </w:rPr>
        <w:t>JUEZ HUMBERTO ANTONIO SIERRA PORTO</w:t>
      </w:r>
    </w:p>
    <w:p w14:paraId="73E61D67" w14:textId="77777777" w:rsidR="001C1A87" w:rsidRPr="0000666D" w:rsidRDefault="001C1A87" w:rsidP="001C1A87">
      <w:pPr>
        <w:tabs>
          <w:tab w:val="left" w:pos="709"/>
        </w:tabs>
        <w:jc w:val="center"/>
        <w:rPr>
          <w:b/>
          <w:szCs w:val="20"/>
          <w:lang w:val="es-CR"/>
        </w:rPr>
      </w:pPr>
    </w:p>
    <w:p w14:paraId="5E02EAE8" w14:textId="77777777" w:rsidR="001C1A87" w:rsidRPr="0000666D" w:rsidRDefault="001C1A87" w:rsidP="001C1A87">
      <w:pPr>
        <w:jc w:val="center"/>
        <w:outlineLvl w:val="0"/>
        <w:rPr>
          <w:rFonts w:eastAsia="MS Mincho" w:cs="Times New Roman"/>
          <w:b/>
          <w:i/>
          <w:szCs w:val="20"/>
          <w:u w:val="single"/>
          <w:lang w:val="es-ES_tradnl" w:eastAsia="es-ES"/>
        </w:rPr>
      </w:pPr>
      <w:r w:rsidRPr="0000666D">
        <w:rPr>
          <w:rFonts w:eastAsia="MS Mincho" w:cs="Times New Roman"/>
          <w:b/>
          <w:i/>
          <w:szCs w:val="20"/>
          <w:u w:val="single"/>
          <w:lang w:val="es-ES_tradnl" w:eastAsia="es-ES"/>
        </w:rPr>
        <w:t>CASO MUELLES FLORES VS. PERÚ</w:t>
      </w:r>
    </w:p>
    <w:p w14:paraId="30FAB51A" w14:textId="77777777" w:rsidR="001C1A87" w:rsidRPr="0000666D" w:rsidRDefault="001C1A87" w:rsidP="001C1A87">
      <w:pPr>
        <w:jc w:val="center"/>
        <w:rPr>
          <w:rFonts w:eastAsia="MS Mincho" w:cs="Times New Roman"/>
          <w:b/>
          <w:szCs w:val="20"/>
          <w:lang w:val="es-ES_tradnl" w:eastAsia="es-ES"/>
        </w:rPr>
      </w:pPr>
    </w:p>
    <w:p w14:paraId="1D0272BA" w14:textId="41BC4EC2" w:rsidR="001C1A87" w:rsidRPr="0000666D" w:rsidRDefault="00AE5F1E" w:rsidP="001C1A87">
      <w:pPr>
        <w:jc w:val="center"/>
        <w:outlineLvl w:val="0"/>
        <w:rPr>
          <w:rFonts w:eastAsia="MS Mincho" w:cs="Times New Roman"/>
          <w:b/>
          <w:sz w:val="18"/>
          <w:szCs w:val="18"/>
          <w:lang w:val="es-ES_tradnl" w:eastAsia="es-ES"/>
        </w:rPr>
      </w:pPr>
      <w:r w:rsidRPr="0000666D">
        <w:rPr>
          <w:rFonts w:eastAsia="MS Mincho" w:cs="Times New Roman"/>
          <w:b/>
          <w:sz w:val="18"/>
          <w:szCs w:val="18"/>
          <w:lang w:val="es-ES_tradnl" w:eastAsia="es-ES"/>
        </w:rPr>
        <w:t xml:space="preserve">SENTENCIA DE </w:t>
      </w:r>
      <w:r w:rsidR="00BE57DC">
        <w:rPr>
          <w:rFonts w:eastAsia="MS Mincho" w:cs="Times New Roman"/>
          <w:b/>
          <w:sz w:val="18"/>
          <w:szCs w:val="18"/>
          <w:lang w:val="es-ES_tradnl" w:eastAsia="es-ES"/>
        </w:rPr>
        <w:t>6</w:t>
      </w:r>
      <w:r w:rsidR="001C1A87" w:rsidRPr="0000666D">
        <w:rPr>
          <w:rFonts w:eastAsia="MS Mincho" w:cs="Times New Roman"/>
          <w:b/>
          <w:sz w:val="18"/>
          <w:szCs w:val="18"/>
          <w:lang w:val="es-ES_tradnl" w:eastAsia="es-ES"/>
        </w:rPr>
        <w:t xml:space="preserve"> DE MARZO DE 2019</w:t>
      </w:r>
    </w:p>
    <w:p w14:paraId="01F7F99A" w14:textId="77777777" w:rsidR="001C1A87" w:rsidRPr="0000666D" w:rsidRDefault="001C1A87" w:rsidP="001C1A87">
      <w:pPr>
        <w:numPr>
          <w:ilvl w:val="1"/>
          <w:numId w:val="0"/>
        </w:numPr>
        <w:ind w:right="48"/>
        <w:jc w:val="center"/>
        <w:outlineLvl w:val="0"/>
        <w:rPr>
          <w:rFonts w:eastAsia="Times New Roman" w:cs="Times New Roman"/>
          <w:b/>
          <w:i/>
          <w:iCs/>
          <w:spacing w:val="15"/>
          <w:sz w:val="18"/>
          <w:szCs w:val="18"/>
          <w:lang w:val="es-ES_tradnl"/>
        </w:rPr>
      </w:pPr>
      <w:r w:rsidRPr="0000666D">
        <w:rPr>
          <w:rFonts w:eastAsia="Times New Roman" w:cs="Times New Roman"/>
          <w:b/>
          <w:i/>
          <w:iCs/>
          <w:spacing w:val="15"/>
          <w:sz w:val="18"/>
          <w:szCs w:val="18"/>
          <w:lang w:val="es-ES_tradnl"/>
        </w:rPr>
        <w:t>(Excepción Preliminar, Fondo, Reparaciones y Costas)</w:t>
      </w:r>
    </w:p>
    <w:p w14:paraId="212F4CFB" w14:textId="77777777" w:rsidR="001C1A87" w:rsidRPr="0000666D" w:rsidRDefault="001C1A87" w:rsidP="001C1A87">
      <w:pPr>
        <w:rPr>
          <w:lang w:val="es-AR"/>
        </w:rPr>
      </w:pPr>
    </w:p>
    <w:p w14:paraId="2EA91054" w14:textId="5C44D2F7" w:rsidR="001C1A87" w:rsidRPr="0000666D" w:rsidRDefault="001C1A87" w:rsidP="001C1A87">
      <w:pPr>
        <w:pStyle w:val="Prrafodelista"/>
        <w:widowControl/>
        <w:numPr>
          <w:ilvl w:val="0"/>
          <w:numId w:val="85"/>
        </w:numPr>
        <w:autoSpaceDE/>
        <w:autoSpaceDN/>
        <w:adjustRightInd/>
        <w:ind w:left="0" w:right="0" w:firstLine="0"/>
        <w:rPr>
          <w:lang w:val="es-CR"/>
        </w:rPr>
      </w:pPr>
      <w:r w:rsidRPr="0000666D">
        <w:rPr>
          <w:lang w:val="es-CR"/>
        </w:rPr>
        <w:t xml:space="preserve">Con el </w:t>
      </w:r>
      <w:r w:rsidR="00D776A3" w:rsidRPr="0000666D">
        <w:rPr>
          <w:lang w:val="es-CR"/>
        </w:rPr>
        <w:t>reiterado</w:t>
      </w:r>
      <w:r w:rsidRPr="0000666D">
        <w:rPr>
          <w:lang w:val="es-CR"/>
        </w:rPr>
        <w:t xml:space="preserve"> respeto por las decisiones de la Corte Interamericana de Derechos Humanos (en adelante, también “la Corte” o “el Tribunal”), me permito formular el presente voto parcialmente disidente. El voto se centra en el análisis de fondo que realizó la Corte acerca de la responsabilidad internacional del Estado (en adelante “el Estado”, “República del Perú” o “Perú”) por la violación al derecho a </w:t>
      </w:r>
      <w:r w:rsidR="00042E67" w:rsidRPr="0000666D">
        <w:rPr>
          <w:lang w:val="es-CR"/>
        </w:rPr>
        <w:t>la seguridad social</w:t>
      </w:r>
      <w:r w:rsidRPr="0000666D">
        <w:rPr>
          <w:lang w:val="es-CR"/>
        </w:rPr>
        <w:t xml:space="preserve"> y al principio de progresividad. En concreto, explicaré mi </w:t>
      </w:r>
      <w:r w:rsidRPr="0000666D">
        <w:rPr>
          <w:snapToGrid w:val="0"/>
          <w:lang w:val="es-CR"/>
        </w:rPr>
        <w:t xml:space="preserve">discrepancia respecto de la posición que se ha adoptado relacionada con los puntos resolutivos </w:t>
      </w:r>
      <w:r w:rsidR="002323EB" w:rsidRPr="002323EB">
        <w:rPr>
          <w:snapToGrid w:val="0"/>
          <w:lang w:val="es-CR"/>
        </w:rPr>
        <w:t>1, 5 y 6</w:t>
      </w:r>
      <w:r w:rsidRPr="0000666D">
        <w:rPr>
          <w:snapToGrid w:val="0"/>
          <w:lang w:val="es-CR"/>
        </w:rPr>
        <w:t xml:space="preserve"> en los que se determinó que esos derechos habían sido violados en el presente caso.</w:t>
      </w:r>
      <w:r w:rsidRPr="0000666D">
        <w:rPr>
          <w:lang w:val="es-CR"/>
        </w:rPr>
        <w:t xml:space="preserve"> En ese sentido, advierto que mis reflexiones complementan lo ya expresado en mis votos parcialmente disidentes de los casos </w:t>
      </w:r>
      <w:r w:rsidRPr="0000666D">
        <w:rPr>
          <w:i/>
          <w:lang w:val="es-CR"/>
        </w:rPr>
        <w:t>Lagos del Campo Vs. Perú</w:t>
      </w:r>
      <w:r w:rsidRPr="0000666D">
        <w:rPr>
          <w:rStyle w:val="Refdenotaalpie"/>
          <w:lang w:val="es-CR"/>
        </w:rPr>
        <w:footnoteReference w:id="1"/>
      </w:r>
      <w:r w:rsidRPr="0000666D">
        <w:rPr>
          <w:lang w:val="es-CR"/>
        </w:rPr>
        <w:t xml:space="preserve">, </w:t>
      </w:r>
      <w:r w:rsidRPr="0000666D">
        <w:rPr>
          <w:i/>
          <w:lang w:val="es-CR"/>
        </w:rPr>
        <w:t>Trabajadores Cesados de Petroperú y otros Vs. Perú</w:t>
      </w:r>
      <w:r w:rsidRPr="0000666D">
        <w:rPr>
          <w:rStyle w:val="Refdenotaalpie"/>
          <w:lang w:val="es-CR"/>
        </w:rPr>
        <w:footnoteReference w:id="2"/>
      </w:r>
      <w:r w:rsidRPr="0000666D">
        <w:rPr>
          <w:lang w:val="es-CR"/>
        </w:rPr>
        <w:t xml:space="preserve">, y </w:t>
      </w:r>
      <w:r w:rsidRPr="0000666D">
        <w:rPr>
          <w:i/>
          <w:lang w:val="es-CR"/>
        </w:rPr>
        <w:t>San Miguel Sosa y otras Vs. Venezuela</w:t>
      </w:r>
      <w:r w:rsidRPr="0000666D">
        <w:rPr>
          <w:rStyle w:val="Refdenotaalpie"/>
          <w:lang w:val="es-CR"/>
        </w:rPr>
        <w:footnoteReference w:id="3"/>
      </w:r>
      <w:r w:rsidRPr="0000666D">
        <w:rPr>
          <w:lang w:val="es-CR"/>
        </w:rPr>
        <w:t xml:space="preserve">; así como en mis votos concurrentes de los casos </w:t>
      </w:r>
      <w:r w:rsidRPr="0000666D">
        <w:rPr>
          <w:i/>
          <w:lang w:val="es-CR"/>
        </w:rPr>
        <w:t xml:space="preserve">Gonzales </w:t>
      </w:r>
      <w:proofErr w:type="spellStart"/>
      <w:r w:rsidRPr="0000666D">
        <w:rPr>
          <w:i/>
          <w:lang w:val="es-CR"/>
        </w:rPr>
        <w:t>Lluy</w:t>
      </w:r>
      <w:proofErr w:type="spellEnd"/>
      <w:r w:rsidRPr="0000666D">
        <w:rPr>
          <w:i/>
          <w:lang w:val="es-CR"/>
        </w:rPr>
        <w:t xml:space="preserve"> y otros Vs. Ecuador</w:t>
      </w:r>
      <w:r w:rsidRPr="0000666D">
        <w:rPr>
          <w:rStyle w:val="Refdenotaalpie"/>
          <w:lang w:val="es-CR"/>
        </w:rPr>
        <w:footnoteReference w:id="4"/>
      </w:r>
      <w:r w:rsidR="00AE5F1E" w:rsidRPr="0000666D">
        <w:rPr>
          <w:i/>
          <w:lang w:val="es-CR"/>
        </w:rPr>
        <w:t>,</w:t>
      </w:r>
      <w:r w:rsidRPr="0000666D">
        <w:rPr>
          <w:i/>
          <w:lang w:val="es-CR"/>
        </w:rPr>
        <w:t xml:space="preserve"> Poblete Vilches y Otros Vs. Chile</w:t>
      </w:r>
      <w:r w:rsidRPr="0000666D">
        <w:rPr>
          <w:rStyle w:val="Refdenotaalpie"/>
          <w:lang w:val="es-CR"/>
        </w:rPr>
        <w:footnoteReference w:id="5"/>
      </w:r>
      <w:r w:rsidR="00AE5F1E" w:rsidRPr="0000666D">
        <w:rPr>
          <w:i/>
          <w:lang w:val="es-CR"/>
        </w:rPr>
        <w:t xml:space="preserve">y </w:t>
      </w:r>
      <w:proofErr w:type="spellStart"/>
      <w:r w:rsidR="00AE5F1E" w:rsidRPr="0000666D">
        <w:rPr>
          <w:rStyle w:val="Textoennegrita"/>
          <w:b w:val="0"/>
          <w:i/>
          <w:color w:val="000000"/>
          <w:shd w:val="clear" w:color="auto" w:fill="FFFFFF"/>
          <w:lang w:val="es-CR"/>
        </w:rPr>
        <w:t>Cuscul</w:t>
      </w:r>
      <w:proofErr w:type="spellEnd"/>
      <w:r w:rsidR="00AE5F1E" w:rsidRPr="0000666D">
        <w:rPr>
          <w:rStyle w:val="Textoennegrita"/>
          <w:b w:val="0"/>
          <w:i/>
          <w:color w:val="000000"/>
          <w:shd w:val="clear" w:color="auto" w:fill="FFFFFF"/>
          <w:lang w:val="es-CR"/>
        </w:rPr>
        <w:t xml:space="preserve"> Pivaral y otros Vs. Guatemala</w:t>
      </w:r>
      <w:r w:rsidR="002C71D9">
        <w:rPr>
          <w:rStyle w:val="Refdenotaalpie"/>
          <w:bCs/>
          <w:i/>
          <w:color w:val="000000"/>
          <w:shd w:val="clear" w:color="auto" w:fill="FFFFFF"/>
          <w:lang w:val="es-CR"/>
        </w:rPr>
        <w:footnoteReference w:id="6"/>
      </w:r>
      <w:r w:rsidRPr="0000666D">
        <w:rPr>
          <w:lang w:val="es-CR"/>
        </w:rPr>
        <w:t xml:space="preserve">. </w:t>
      </w:r>
      <w:r w:rsidRPr="0000666D">
        <w:rPr>
          <w:rFonts w:cs="Arial"/>
          <w:lang w:val="es-CR"/>
        </w:rPr>
        <w:t xml:space="preserve">Para llevar a cabo el referido análisis, se seguirá el siguiente orden: A. </w:t>
      </w:r>
      <w:bookmarkStart w:id="1" w:name="_Toc533178756"/>
      <w:r w:rsidRPr="0000666D">
        <w:rPr>
          <w:lang w:val="es-PE"/>
        </w:rPr>
        <w:t>Excepción sobre la alegada falta de competencia en razón de la materia</w:t>
      </w:r>
      <w:bookmarkEnd w:id="1"/>
      <w:r w:rsidRPr="0000666D">
        <w:rPr>
          <w:rFonts w:cs="Arial"/>
          <w:lang w:val="es-CR"/>
        </w:rPr>
        <w:t xml:space="preserve">, y B. </w:t>
      </w:r>
      <w:proofErr w:type="spellStart"/>
      <w:r w:rsidRPr="0000666D">
        <w:rPr>
          <w:lang w:val="es-PE"/>
        </w:rPr>
        <w:t>Justiciabilidad</w:t>
      </w:r>
      <w:proofErr w:type="spellEnd"/>
      <w:r w:rsidRPr="0000666D">
        <w:rPr>
          <w:lang w:val="es-PE"/>
        </w:rPr>
        <w:t xml:space="preserve"> directa del artículo 26 de la Convención</w:t>
      </w:r>
      <w:r w:rsidRPr="0000666D">
        <w:rPr>
          <w:lang w:val="es-CR"/>
        </w:rPr>
        <w:t xml:space="preserve"> </w:t>
      </w:r>
      <w:r w:rsidRPr="0000666D">
        <w:rPr>
          <w:rFonts w:cs="Arial"/>
          <w:lang w:val="es-CR"/>
        </w:rPr>
        <w:t>Americana sobre Derechos Humanos (en adelante “la Convención Americana” o “la Convención”).</w:t>
      </w:r>
    </w:p>
    <w:p w14:paraId="26E43A83" w14:textId="77777777" w:rsidR="001C1A87" w:rsidRPr="0000666D" w:rsidRDefault="001C1A87" w:rsidP="001C1A87">
      <w:pPr>
        <w:pStyle w:val="Prrafodelista"/>
        <w:numPr>
          <w:ilvl w:val="0"/>
          <w:numId w:val="0"/>
        </w:numPr>
        <w:ind w:left="720"/>
        <w:contextualSpacing/>
        <w:outlineLvl w:val="0"/>
        <w:rPr>
          <w:rFonts w:cstheme="minorBidi"/>
          <w:szCs w:val="22"/>
          <w:lang w:val="es-CR"/>
        </w:rPr>
      </w:pPr>
    </w:p>
    <w:p w14:paraId="1CA57ED2" w14:textId="77777777" w:rsidR="001C1A87" w:rsidRPr="0000666D" w:rsidRDefault="001C1A87" w:rsidP="001C1A87">
      <w:pPr>
        <w:pStyle w:val="Prrafodelista"/>
        <w:numPr>
          <w:ilvl w:val="0"/>
          <w:numId w:val="103"/>
        </w:numPr>
        <w:contextualSpacing/>
        <w:outlineLvl w:val="0"/>
        <w:rPr>
          <w:rFonts w:cs="Arial"/>
          <w:b/>
          <w:lang w:val="es-AR"/>
        </w:rPr>
      </w:pPr>
      <w:r w:rsidRPr="0000666D">
        <w:rPr>
          <w:b/>
          <w:lang w:val="es-PE"/>
        </w:rPr>
        <w:t>EXCEPCIÓN SOBRE LA ALEGADA FALTA DE COMPETENCIA EN RAZÓN DE LA MATERIA</w:t>
      </w:r>
    </w:p>
    <w:p w14:paraId="726FD735" w14:textId="77777777" w:rsidR="001C1A87" w:rsidRPr="0000666D" w:rsidRDefault="001C1A87" w:rsidP="001C1A87">
      <w:pPr>
        <w:pStyle w:val="Numberedparagraphs"/>
        <w:numPr>
          <w:ilvl w:val="0"/>
          <w:numId w:val="0"/>
        </w:numPr>
        <w:rPr>
          <w:rFonts w:eastAsia="Times" w:cs="Arial"/>
          <w:i/>
          <w:lang w:val="es-PE"/>
        </w:rPr>
      </w:pPr>
    </w:p>
    <w:p w14:paraId="479FFA8C" w14:textId="25B6193D" w:rsidR="001C1A87" w:rsidRPr="0000666D" w:rsidRDefault="00D776A3" w:rsidP="001C1A87">
      <w:pPr>
        <w:pStyle w:val="Numberedparagraphs"/>
        <w:numPr>
          <w:ilvl w:val="0"/>
          <w:numId w:val="85"/>
        </w:numPr>
        <w:ind w:left="0" w:firstLine="0"/>
      </w:pPr>
      <w:r w:rsidRPr="0000666D">
        <w:rPr>
          <w:lang w:val="es-AR"/>
        </w:rPr>
        <w:t>En el presente caso, e</w:t>
      </w:r>
      <w:r w:rsidR="001C1A87" w:rsidRPr="0000666D">
        <w:rPr>
          <w:lang w:val="es-AR"/>
        </w:rPr>
        <w:t xml:space="preserve">l </w:t>
      </w:r>
      <w:r w:rsidR="001C1A87" w:rsidRPr="0000666D">
        <w:rPr>
          <w:i/>
          <w:lang w:val="es-AR"/>
        </w:rPr>
        <w:t>Estado</w:t>
      </w:r>
      <w:r w:rsidR="001C1A87" w:rsidRPr="0000666D">
        <w:rPr>
          <w:lang w:val="es-AR"/>
        </w:rPr>
        <w:t xml:space="preserve"> señaló que las representantes no pretendían la </w:t>
      </w:r>
      <w:proofErr w:type="spellStart"/>
      <w:r w:rsidR="001C1A87" w:rsidRPr="0000666D">
        <w:rPr>
          <w:lang w:val="es-AR"/>
        </w:rPr>
        <w:t>justiciabilidad</w:t>
      </w:r>
      <w:proofErr w:type="spellEnd"/>
      <w:r w:rsidR="001C1A87" w:rsidRPr="0000666D">
        <w:rPr>
          <w:lang w:val="es-AR"/>
        </w:rPr>
        <w:t xml:space="preserve"> de los derechos de la Convención, sino la de los derechos económicos, sociales, culturales y ambientales (en adelante “DESCA”), específicamente del derecho a la seguridad </w:t>
      </w:r>
      <w:r w:rsidR="001C1A87" w:rsidRPr="0000666D">
        <w:rPr>
          <w:lang w:val="es-AR"/>
        </w:rPr>
        <w:lastRenderedPageBreak/>
        <w:t xml:space="preserve">social. El Estado alegó que el artículo 19.6 del Protocolo Adicional a la Convención Americana sobre Derechos Humanos en Materia de Derechos Económicos, Sociales y Culturales “Protocolo de San Salvador” (en adelante “Protocolo de San Salvador”), delimitaba claramente la competencia de la Comisión y de la Corte en relación con la temática, estableciendo que solo podían ser objeto de análisis, por medio del mecanismo de peticiones ante el sistema interamericano, la protección de los derechos a la libertad sindical y el derecho a la educación, pero no respecto al derecho a la seguridad social Consideró que no resultaba atendible que se pueda vaciar de contenido a lo establecido por el artículo 19.6 del Protocolo de San Salvador, que era una norma de competencia vinculante para los órganos del sistema, y que el principio </w:t>
      </w:r>
      <w:r w:rsidR="001C1A87" w:rsidRPr="0000666D">
        <w:rPr>
          <w:i/>
          <w:lang w:val="es-AR"/>
        </w:rPr>
        <w:t>pro persona</w:t>
      </w:r>
      <w:r w:rsidR="001C1A87" w:rsidRPr="0000666D">
        <w:rPr>
          <w:lang w:val="es-AR"/>
        </w:rPr>
        <w:t xml:space="preserve"> solo sería aplicable cuando se estuviere dentro del marco de competencias establecido en el orden interamericano.</w:t>
      </w:r>
    </w:p>
    <w:p w14:paraId="5F5BB515" w14:textId="77777777" w:rsidR="001C1A87" w:rsidRPr="0000666D" w:rsidRDefault="001C1A87" w:rsidP="001C1A87">
      <w:pPr>
        <w:pStyle w:val="Numberedparagraphs"/>
        <w:numPr>
          <w:ilvl w:val="0"/>
          <w:numId w:val="0"/>
        </w:numPr>
      </w:pPr>
    </w:p>
    <w:p w14:paraId="5C3ED9DE" w14:textId="154546FC" w:rsidR="001C1A87" w:rsidRPr="0000666D" w:rsidRDefault="00D776A3" w:rsidP="001C1A87">
      <w:pPr>
        <w:pStyle w:val="Numberedparagraphs"/>
        <w:numPr>
          <w:ilvl w:val="0"/>
          <w:numId w:val="85"/>
        </w:numPr>
        <w:ind w:left="0" w:firstLine="0"/>
      </w:pPr>
      <w:r w:rsidRPr="0000666D">
        <w:rPr>
          <w:lang w:val="es-AR"/>
        </w:rPr>
        <w:t>Asimismo,</w:t>
      </w:r>
      <w:r w:rsidR="001C1A87" w:rsidRPr="0000666D">
        <w:rPr>
          <w:lang w:val="es-AR"/>
        </w:rPr>
        <w:t xml:space="preserve"> resaltó las posiciones opuestas a la </w:t>
      </w:r>
      <w:proofErr w:type="spellStart"/>
      <w:r w:rsidR="001C1A87" w:rsidRPr="0000666D">
        <w:rPr>
          <w:lang w:val="es-AR"/>
        </w:rPr>
        <w:t>justiciabilidad</w:t>
      </w:r>
      <w:proofErr w:type="spellEnd"/>
      <w:r w:rsidR="001C1A87" w:rsidRPr="0000666D">
        <w:rPr>
          <w:lang w:val="es-AR"/>
        </w:rPr>
        <w:t xml:space="preserve"> directa de los DESCA de algunos de los Jueces de la Corte, con las cuales manifestó coincidir en todos sus extremos. A este respecto, destacó que los derechos incluidos en el régimen de protección de la Convención eran los establecidos hasta el artículo 25, y que si bien podían existir otros derechos y libertades, estos debían ser incluidos en dicho régimen de protección a través de los mecanismos previstos en los artículos 31, 76 y 77 de la Convención. En este sentido, destacó que añadir derechos no era competencia de la Corte, sino de los Estados</w:t>
      </w:r>
      <w:r w:rsidR="007E6104" w:rsidRPr="0000666D">
        <w:rPr>
          <w:b/>
          <w:lang w:val="es-AR"/>
        </w:rPr>
        <w:t>.</w:t>
      </w:r>
      <w:r w:rsidR="001C1A87" w:rsidRPr="0000666D">
        <w:rPr>
          <w:b/>
          <w:lang w:val="es-AR"/>
        </w:rPr>
        <w:t xml:space="preserve"> </w:t>
      </w:r>
      <w:r w:rsidR="001C1A87" w:rsidRPr="0000666D">
        <w:rPr>
          <w:lang w:val="es-AR"/>
        </w:rPr>
        <w:t xml:space="preserve"> Sostuvo que la </w:t>
      </w:r>
      <w:proofErr w:type="spellStart"/>
      <w:r w:rsidR="001C1A87" w:rsidRPr="0000666D">
        <w:rPr>
          <w:lang w:val="es-AR"/>
        </w:rPr>
        <w:t>justiciabilidad</w:t>
      </w:r>
      <w:proofErr w:type="spellEnd"/>
      <w:r w:rsidR="001C1A87" w:rsidRPr="0000666D">
        <w:rPr>
          <w:lang w:val="es-AR"/>
        </w:rPr>
        <w:t xml:space="preserve"> de los DESCA no debía realizarse por medio de la aplicación directa del artículo 26 de la Convención, debido a que el citado artículo no enumeraba un catálogo de derechos, ni reconocía o consagraba a los DESCA, sino que establecía el compromiso de los Estados de lograr progresivamente la plena efectividad de los derechos que se pudieran derivar de la Carta de la Organización de Estados Americanos, en la medida de los recursos disponibles. En este sentido, </w:t>
      </w:r>
      <w:r w:rsidR="000F67FA">
        <w:rPr>
          <w:lang w:val="es-AR"/>
        </w:rPr>
        <w:t xml:space="preserve">argumento que </w:t>
      </w:r>
      <w:r w:rsidR="001C1A87" w:rsidRPr="0000666D">
        <w:rPr>
          <w:lang w:val="es-AR"/>
        </w:rPr>
        <w:t xml:space="preserve">la obligación derivada del artículo 26 que podía ser supervisada de manera directa </w:t>
      </w:r>
      <w:r w:rsidR="000F67FA">
        <w:rPr>
          <w:lang w:val="es-AR"/>
        </w:rPr>
        <w:t xml:space="preserve">por la Corte </w:t>
      </w:r>
      <w:r w:rsidR="001C1A87" w:rsidRPr="0000666D">
        <w:rPr>
          <w:lang w:val="es-AR"/>
        </w:rPr>
        <w:t>era el cumplimiento de la obligación de desarrollo progresivo y el deber de no regres</w:t>
      </w:r>
      <w:r w:rsidR="00E3181B" w:rsidRPr="0000666D">
        <w:rPr>
          <w:lang w:val="es-AR"/>
        </w:rPr>
        <w:t>ividad;</w:t>
      </w:r>
      <w:r w:rsidR="001C1A87" w:rsidRPr="0000666D">
        <w:rPr>
          <w:lang w:val="es-AR"/>
        </w:rPr>
        <w:t xml:space="preserve"> por lo que</w:t>
      </w:r>
      <w:r w:rsidR="00E3181B" w:rsidRPr="0000666D">
        <w:rPr>
          <w:lang w:val="es-AR"/>
        </w:rPr>
        <w:t>,</w:t>
      </w:r>
      <w:r w:rsidR="001C1A87" w:rsidRPr="0000666D">
        <w:rPr>
          <w:lang w:val="es-AR"/>
        </w:rPr>
        <w:t xml:space="preserve"> no se podía sostener que se podía someter a </w:t>
      </w:r>
      <w:r w:rsidR="000F67FA">
        <w:rPr>
          <w:lang w:val="es-AR"/>
        </w:rPr>
        <w:t>este Tribunal</w:t>
      </w:r>
      <w:r w:rsidR="001C1A87" w:rsidRPr="0000666D">
        <w:rPr>
          <w:lang w:val="es-AR"/>
        </w:rPr>
        <w:t xml:space="preserve"> un caso atingente a la presunta violación de algunos de los derechos a que se remite </w:t>
      </w:r>
      <w:r w:rsidR="000F67FA">
        <w:rPr>
          <w:lang w:val="es-AR"/>
        </w:rPr>
        <w:t>el artículo 26. Reiteró que</w:t>
      </w:r>
      <w:r w:rsidR="001C1A87" w:rsidRPr="0000666D">
        <w:rPr>
          <w:lang w:val="es-AR"/>
        </w:rPr>
        <w:t xml:space="preserve"> </w:t>
      </w:r>
      <w:r w:rsidR="008C12B0" w:rsidRPr="0000666D">
        <w:rPr>
          <w:lang w:val="es-AR"/>
        </w:rPr>
        <w:t>d</w:t>
      </w:r>
      <w:r w:rsidR="001C1A87" w:rsidRPr="0000666D">
        <w:rPr>
          <w:lang w:val="es-AR"/>
        </w:rPr>
        <w:t xml:space="preserve">icha falta de competencia fue confirmada a través del Protocolo de San Salvador, en donde los Estados decidieron la </w:t>
      </w:r>
      <w:proofErr w:type="spellStart"/>
      <w:r w:rsidR="001C1A87" w:rsidRPr="0000666D">
        <w:rPr>
          <w:lang w:val="es-AR"/>
        </w:rPr>
        <w:t>justiciabilidad</w:t>
      </w:r>
      <w:proofErr w:type="spellEnd"/>
      <w:r w:rsidR="001C1A87" w:rsidRPr="0000666D">
        <w:rPr>
          <w:lang w:val="es-AR"/>
        </w:rPr>
        <w:t xml:space="preserve"> solo en dos casos, lo cual constituía un acuerdo y práctica ulterior entre los</w:t>
      </w:r>
      <w:r w:rsidR="002C71D9">
        <w:rPr>
          <w:lang w:val="es-AR"/>
        </w:rPr>
        <w:t xml:space="preserve"> Estados partes. Asimi</w:t>
      </w:r>
      <w:r w:rsidR="000F67FA">
        <w:rPr>
          <w:lang w:val="es-AR"/>
        </w:rPr>
        <w:t>s</w:t>
      </w:r>
      <w:r w:rsidR="002C71D9">
        <w:rPr>
          <w:lang w:val="es-AR"/>
        </w:rPr>
        <w:t>mo</w:t>
      </w:r>
      <w:r w:rsidR="001C1A87" w:rsidRPr="0000666D">
        <w:rPr>
          <w:lang w:val="es-AR"/>
        </w:rPr>
        <w:t>, el Estado se adhirió al criterio que señalaba que la Corte no podía arrogarse competencia respecto de la presunta violación de un derecho o libertad “no incluido ni por la Convención ni por el Protocolo de San Salvador” y que no era posible invocar el principio de interpretación progresiva de los instrumentos internacionales para añadir derechos al régimen de protección</w:t>
      </w:r>
      <w:r w:rsidR="000F67FA">
        <w:rPr>
          <w:lang w:val="es-AR"/>
        </w:rPr>
        <w:t xml:space="preserve"> de la Convención</w:t>
      </w:r>
      <w:r w:rsidR="001C1A87" w:rsidRPr="0000666D">
        <w:rPr>
          <w:lang w:val="es-AR"/>
        </w:rPr>
        <w:t>; ya que, aquel se aplicaba para atribuirle a un derecho ya existente e incluido en dicho régimen, un sentido distinto y generalmente más amplio al originalmente dado.</w:t>
      </w:r>
    </w:p>
    <w:p w14:paraId="7239016C" w14:textId="77777777" w:rsidR="001C1A87" w:rsidRPr="0000666D" w:rsidRDefault="001C1A87" w:rsidP="001C1A87">
      <w:pPr>
        <w:pStyle w:val="Numberedparagraphs"/>
        <w:numPr>
          <w:ilvl w:val="0"/>
          <w:numId w:val="0"/>
        </w:numPr>
      </w:pPr>
    </w:p>
    <w:p w14:paraId="0FF87C08" w14:textId="7FC832B4" w:rsidR="001C1A87" w:rsidRPr="0000666D" w:rsidRDefault="00D776A3" w:rsidP="001C1A87">
      <w:pPr>
        <w:pStyle w:val="Numberedparagraphs"/>
        <w:numPr>
          <w:ilvl w:val="0"/>
          <w:numId w:val="85"/>
        </w:numPr>
        <w:ind w:left="0" w:firstLine="0"/>
      </w:pPr>
      <w:r w:rsidRPr="0000666D">
        <w:rPr>
          <w:lang w:val="es-AR"/>
        </w:rPr>
        <w:t>Por su parte, l</w:t>
      </w:r>
      <w:r w:rsidR="001C1A87" w:rsidRPr="0000666D">
        <w:rPr>
          <w:lang w:val="es-AR"/>
        </w:rPr>
        <w:t xml:space="preserve">a </w:t>
      </w:r>
      <w:r w:rsidR="001C1A87" w:rsidRPr="0000666D">
        <w:rPr>
          <w:i/>
          <w:lang w:val="es-AR"/>
        </w:rPr>
        <w:t>Comisión</w:t>
      </w:r>
      <w:r w:rsidR="001C1A87" w:rsidRPr="0000666D">
        <w:rPr>
          <w:lang w:val="es-AR"/>
        </w:rPr>
        <w:t xml:space="preserve"> alegó que el sometimiento del presente caso ante la Corte se produjo con anterioridad a los avances jurisprudenciales en torno al artículo 26 de la Convención Americana. En tal sentido, consideró que el análisis del derecho a la seguridad social en el marco del referido artículo 26, además de los derechos ya invocados, “contribuiría a insertarlo precisamente en esta evolución interamericana y a una compresión más integral del alcance de la responsabilidad internacional”.</w:t>
      </w:r>
    </w:p>
    <w:p w14:paraId="4ABAF2AE" w14:textId="77777777" w:rsidR="001C1A87" w:rsidRPr="0000666D" w:rsidRDefault="001C1A87" w:rsidP="001C1A87">
      <w:pPr>
        <w:pStyle w:val="Prrafodelista"/>
        <w:numPr>
          <w:ilvl w:val="0"/>
          <w:numId w:val="0"/>
        </w:numPr>
        <w:ind w:left="1440"/>
        <w:rPr>
          <w:lang w:val="es-AR"/>
        </w:rPr>
      </w:pPr>
    </w:p>
    <w:p w14:paraId="3885F9D8" w14:textId="35E9FB73" w:rsidR="001122FC" w:rsidRPr="0000666D" w:rsidRDefault="001C1A87" w:rsidP="00AE5F1E">
      <w:pPr>
        <w:pStyle w:val="Numberedparagraphs"/>
        <w:numPr>
          <w:ilvl w:val="0"/>
          <w:numId w:val="85"/>
        </w:numPr>
        <w:ind w:left="0" w:firstLine="0"/>
      </w:pPr>
      <w:r w:rsidRPr="0000666D">
        <w:rPr>
          <w:lang w:val="es-AR"/>
        </w:rPr>
        <w:t xml:space="preserve">Las </w:t>
      </w:r>
      <w:r w:rsidRPr="0000666D">
        <w:rPr>
          <w:i/>
          <w:lang w:val="es-AR"/>
        </w:rPr>
        <w:t>representantes</w:t>
      </w:r>
      <w:r w:rsidRPr="0000666D">
        <w:rPr>
          <w:lang w:val="es-AR"/>
        </w:rPr>
        <w:t xml:space="preserve"> argumentaron que el artículo 26 de la Convención debía ser justiciable con base al artículo 62.3 de la Convención que establece la competencia de la Corte para conocer de cualquier caso relativo a la interpretación y aplicación de las disposiciones de la Convención que le sea sometido, y que el referido dispositivo era parte del tratado. Asimismo, indicaron que no había sido invocada la violación al Protocolo de San Salvador, sino que su mención fue a manera ilustrativa; ya que, el mismo hacía parte del </w:t>
      </w:r>
      <w:r w:rsidRPr="0000666D">
        <w:rPr>
          <w:i/>
          <w:lang w:val="es-AR"/>
        </w:rPr>
        <w:t xml:space="preserve">corpus </w:t>
      </w:r>
      <w:proofErr w:type="spellStart"/>
      <w:r w:rsidRPr="0000666D">
        <w:rPr>
          <w:i/>
          <w:lang w:val="es-AR"/>
        </w:rPr>
        <w:t>juris</w:t>
      </w:r>
      <w:proofErr w:type="spellEnd"/>
      <w:r w:rsidRPr="0000666D">
        <w:rPr>
          <w:lang w:val="es-AR"/>
        </w:rPr>
        <w:t xml:space="preserve"> interamericano que podía ser utilizado como parámetro de interpretación de la Convención.</w:t>
      </w:r>
      <w:r w:rsidRPr="0000666D">
        <w:rPr>
          <w:b/>
          <w:lang w:val="es-AR"/>
        </w:rPr>
        <w:t xml:space="preserve"> </w:t>
      </w:r>
      <w:r w:rsidRPr="0000666D">
        <w:rPr>
          <w:lang w:val="es-AR"/>
        </w:rPr>
        <w:t>Finalmente, concluyeron que “el derecho a la seguridad social era un derecho humano protegido por el derecho internacional e implícitamente contenido en el artículo 26 de la CADH”.</w:t>
      </w:r>
    </w:p>
    <w:p w14:paraId="4527C854" w14:textId="77777777" w:rsidR="001C1A87" w:rsidRPr="0000666D" w:rsidRDefault="001C1A87" w:rsidP="00AE5F1E">
      <w:pPr>
        <w:pStyle w:val="Numberedparagraphs"/>
        <w:numPr>
          <w:ilvl w:val="0"/>
          <w:numId w:val="0"/>
        </w:numPr>
      </w:pPr>
    </w:p>
    <w:p w14:paraId="223D07AF" w14:textId="44BD7396" w:rsidR="001C1A87" w:rsidRPr="0000666D" w:rsidRDefault="00D776A3" w:rsidP="001C1A87">
      <w:pPr>
        <w:pStyle w:val="Numberedparagraphs"/>
        <w:numPr>
          <w:ilvl w:val="0"/>
          <w:numId w:val="85"/>
        </w:numPr>
        <w:ind w:left="0" w:firstLine="0"/>
      </w:pPr>
      <w:r w:rsidRPr="0000666D">
        <w:t>Al respecto, se recuerda que</w:t>
      </w:r>
      <w:r w:rsidR="001C1A87" w:rsidRPr="0000666D">
        <w:rPr>
          <w:lang w:val="es-CR"/>
        </w:rPr>
        <w:t xml:space="preserve"> las excepciones preliminares son objeciones a la admisibilidad de una demanda o a la competencia del Tribunal para conocer de un determinado caso o de alguno de sus aspectos, ya sea en razón de la persona, materia, tiempo o lugar, siempre y cuando dichos planteamientos tengan el carácter de preliminares</w:t>
      </w:r>
      <w:r w:rsidR="001C1A87" w:rsidRPr="0000666D">
        <w:rPr>
          <w:rFonts w:eastAsia="Verdana"/>
          <w:vertAlign w:val="superscript"/>
        </w:rPr>
        <w:footnoteReference w:id="7"/>
      </w:r>
      <w:r w:rsidR="001C1A87" w:rsidRPr="0000666D">
        <w:rPr>
          <w:lang w:val="es-CR"/>
        </w:rPr>
        <w:t xml:space="preserve">. </w:t>
      </w:r>
      <w:r w:rsidR="001C1A87" w:rsidRPr="0000666D">
        <w:rPr>
          <w:lang w:val="es-ES"/>
        </w:rPr>
        <w:t>Si estos planteamientos no pudieran ser considerados sin entrar a analizar previamente el fondo de un caso, no pueden ser analizados mediante una excepción preliminar</w:t>
      </w:r>
      <w:r w:rsidR="001C1A87" w:rsidRPr="0000666D">
        <w:rPr>
          <w:vertAlign w:val="superscript"/>
          <w:lang w:val="es-ES"/>
        </w:rPr>
        <w:footnoteReference w:id="8"/>
      </w:r>
      <w:r w:rsidR="001C1A87" w:rsidRPr="0000666D">
        <w:rPr>
          <w:lang w:val="es-ES"/>
        </w:rPr>
        <w:t>.</w:t>
      </w:r>
      <w:r w:rsidR="001C1A87" w:rsidRPr="0000666D">
        <w:rPr>
          <w:rFonts w:eastAsia="Batang" w:cs="Arial"/>
          <w:b/>
          <w:iCs/>
          <w:lang w:val="es-ES"/>
        </w:rPr>
        <w:t xml:space="preserve"> </w:t>
      </w:r>
      <w:r w:rsidR="001C1A87" w:rsidRPr="0000666D">
        <w:rPr>
          <w:lang w:val="es-CR"/>
        </w:rPr>
        <w:t>Por ello, independientemente de la denominación que sea dada por el Estado en sus escritos, si al analizar los planteamientos se determinara que tienen la naturaleza de excepción preliminar, es decir que objeten la admisibilidad de la demanda o la competencia de la Corte para conocer del caso o de alguno de sus aspectos, entonces deberán ser resueltos como tal</w:t>
      </w:r>
      <w:r w:rsidR="001C1A87" w:rsidRPr="0000666D">
        <w:rPr>
          <w:rFonts w:eastAsia="Verdana"/>
          <w:vertAlign w:val="superscript"/>
        </w:rPr>
        <w:footnoteReference w:id="9"/>
      </w:r>
      <w:r w:rsidR="001C1A87" w:rsidRPr="0000666D">
        <w:rPr>
          <w:lang w:val="es-CR"/>
        </w:rPr>
        <w:t>.</w:t>
      </w:r>
    </w:p>
    <w:p w14:paraId="1A5C828B" w14:textId="77777777" w:rsidR="001C1A87" w:rsidRPr="0000666D" w:rsidRDefault="001C1A87" w:rsidP="001C1A87">
      <w:pPr>
        <w:pStyle w:val="Numberedparagraphs"/>
        <w:numPr>
          <w:ilvl w:val="0"/>
          <w:numId w:val="0"/>
        </w:numPr>
      </w:pPr>
    </w:p>
    <w:p w14:paraId="6A08CA49" w14:textId="36D0FDAF" w:rsidR="001C1A87" w:rsidRPr="0000666D" w:rsidRDefault="001C1A87" w:rsidP="001C1A87">
      <w:pPr>
        <w:pStyle w:val="Numberedparagraphs"/>
        <w:numPr>
          <w:ilvl w:val="0"/>
          <w:numId w:val="85"/>
        </w:numPr>
        <w:ind w:left="0" w:firstLine="0"/>
      </w:pPr>
      <w:r w:rsidRPr="0000666D">
        <w:rPr>
          <w:rFonts w:eastAsia="Batang" w:cs="Arial"/>
          <w:iCs/>
          <w:lang w:val="es-ES"/>
        </w:rPr>
        <w:t>Con base en lo señalado anteriormente, y a</w:t>
      </w:r>
      <w:r w:rsidRPr="0000666D">
        <w:rPr>
          <w:lang w:val="es-CR"/>
        </w:rPr>
        <w:t xml:space="preserve">tendiendo a la naturaleza diversa de los argumentos formulados por el Estado, dirigida a argumentar que la Corte no tiene competencia para la justiciabilidad directa del derecho a la seguridad social a partir de la interpretación del artículo 26 de la Convención, </w:t>
      </w:r>
      <w:r w:rsidR="00D776A3" w:rsidRPr="0000666D">
        <w:rPr>
          <w:lang w:val="es-CR"/>
        </w:rPr>
        <w:t>co</w:t>
      </w:r>
      <w:r w:rsidR="000F67FA">
        <w:rPr>
          <w:lang w:val="es-CR"/>
        </w:rPr>
        <w:t>n</w:t>
      </w:r>
      <w:r w:rsidR="00D776A3" w:rsidRPr="0000666D">
        <w:rPr>
          <w:lang w:val="es-CR"/>
        </w:rPr>
        <w:t>sidero que la Corte</w:t>
      </w:r>
      <w:r w:rsidR="00D62329" w:rsidRPr="0000666D">
        <w:rPr>
          <w:lang w:val="es-CR"/>
        </w:rPr>
        <w:t xml:space="preserve"> debió decidir</w:t>
      </w:r>
      <w:r w:rsidRPr="0000666D">
        <w:rPr>
          <w:lang w:val="es-CR"/>
        </w:rPr>
        <w:t xml:space="preserve"> darle el tratamiento de una excepción preliminar. Es preciso destacar que en el caso en el caso </w:t>
      </w:r>
      <w:r w:rsidRPr="0000666D">
        <w:rPr>
          <w:i/>
          <w:lang w:val="es-CR"/>
        </w:rPr>
        <w:t>Acevedo Buendía y otros (“Cesantes y Jubilados de la Contraloría”) Vs. Perú</w:t>
      </w:r>
      <w:r w:rsidRPr="0000666D">
        <w:rPr>
          <w:lang w:val="es-CR"/>
        </w:rPr>
        <w:t>, la Corte</w:t>
      </w:r>
      <w:r w:rsidR="00D62329" w:rsidRPr="0000666D">
        <w:rPr>
          <w:lang w:val="es-CR"/>
        </w:rPr>
        <w:t xml:space="preserve"> ya había </w:t>
      </w:r>
      <w:proofErr w:type="spellStart"/>
      <w:r w:rsidR="00D62329" w:rsidRPr="0000666D">
        <w:rPr>
          <w:lang w:val="es-CR"/>
        </w:rPr>
        <w:t>anlizado</w:t>
      </w:r>
      <w:proofErr w:type="spellEnd"/>
      <w:r w:rsidRPr="0000666D">
        <w:rPr>
          <w:lang w:val="es-CR"/>
        </w:rPr>
        <w:t xml:space="preserve"> alegatos de esta naturaleza a través de una excepción preliminar por razón de la materia</w:t>
      </w:r>
      <w:r w:rsidRPr="0000666D">
        <w:rPr>
          <w:rStyle w:val="Refdenotaalpie"/>
          <w:lang w:val="es-CR"/>
        </w:rPr>
        <w:footnoteReference w:id="10"/>
      </w:r>
      <w:r w:rsidRPr="0000666D">
        <w:rPr>
          <w:lang w:val="es-CR"/>
        </w:rPr>
        <w:t>.</w:t>
      </w:r>
    </w:p>
    <w:p w14:paraId="6E4550C5" w14:textId="77777777" w:rsidR="001C1A87" w:rsidRPr="0000666D" w:rsidRDefault="001C1A87" w:rsidP="001C1A87">
      <w:pPr>
        <w:pStyle w:val="Prrafodelista"/>
        <w:numPr>
          <w:ilvl w:val="0"/>
          <w:numId w:val="0"/>
        </w:numPr>
        <w:ind w:left="1440"/>
        <w:rPr>
          <w:rFonts w:eastAsia="Batang" w:cs="Arial"/>
          <w:iCs/>
          <w:lang w:val="es-ES"/>
        </w:rPr>
      </w:pPr>
    </w:p>
    <w:p w14:paraId="7438983D" w14:textId="2156A960" w:rsidR="001C1A87" w:rsidRPr="0000666D" w:rsidRDefault="00D62329" w:rsidP="001C1A87">
      <w:pPr>
        <w:pStyle w:val="Numberedparagraphs"/>
        <w:numPr>
          <w:ilvl w:val="0"/>
          <w:numId w:val="85"/>
        </w:numPr>
        <w:ind w:left="0" w:firstLine="0"/>
      </w:pPr>
      <w:r w:rsidRPr="0000666D">
        <w:rPr>
          <w:rFonts w:cs="Verdana"/>
          <w:bCs/>
          <w:iCs/>
          <w:noProof/>
          <w:lang w:val="es-ES"/>
        </w:rPr>
        <w:t>E</w:t>
      </w:r>
      <w:r w:rsidR="001C1A87" w:rsidRPr="0000666D">
        <w:rPr>
          <w:rFonts w:cs="Verdana"/>
          <w:bCs/>
          <w:iCs/>
          <w:noProof/>
          <w:lang w:val="es-PE"/>
        </w:rPr>
        <w:t>n el presente caso, no se ha alegado una violación del Protocolo de San Salvador, sino que la solicitud de las representantes está centrada en la aplicación del artículo 26 de la Convención en cuanto al derecho a la seguridad social. En este sentido, le correspond</w:t>
      </w:r>
      <w:r w:rsidRPr="0000666D">
        <w:rPr>
          <w:rFonts w:cs="Verdana"/>
          <w:bCs/>
          <w:iCs/>
          <w:noProof/>
          <w:lang w:val="es-PE"/>
        </w:rPr>
        <w:t>ía</w:t>
      </w:r>
      <w:r w:rsidR="002C71D9">
        <w:rPr>
          <w:rFonts w:cs="Verdana"/>
          <w:bCs/>
          <w:iCs/>
          <w:noProof/>
          <w:lang w:val="es-PE"/>
        </w:rPr>
        <w:t xml:space="preserve"> a la Corte determinar si tenía</w:t>
      </w:r>
      <w:r w:rsidR="001C1A87" w:rsidRPr="0000666D">
        <w:rPr>
          <w:rFonts w:cs="Verdana"/>
          <w:bCs/>
          <w:iCs/>
          <w:noProof/>
          <w:lang w:val="es-PE"/>
        </w:rPr>
        <w:t xml:space="preserve"> competencia para analizar de manera directa, la alegada violación del derecho a la seguridad social con base en el artículo 26 de la Convención. </w:t>
      </w:r>
    </w:p>
    <w:p w14:paraId="3A3553F9" w14:textId="77777777" w:rsidR="001C1A87" w:rsidRPr="0000666D" w:rsidRDefault="001C1A87" w:rsidP="001C1A87">
      <w:pPr>
        <w:pStyle w:val="Prrafodelista"/>
        <w:numPr>
          <w:ilvl w:val="0"/>
          <w:numId w:val="0"/>
        </w:numPr>
        <w:ind w:left="1440"/>
        <w:rPr>
          <w:lang w:val="es-ES"/>
        </w:rPr>
      </w:pPr>
    </w:p>
    <w:p w14:paraId="2AE33C05" w14:textId="1E47F55C" w:rsidR="001C1A87" w:rsidRPr="0000666D" w:rsidRDefault="00D62329" w:rsidP="001C1A87">
      <w:pPr>
        <w:pStyle w:val="Numberedparagraphs"/>
        <w:numPr>
          <w:ilvl w:val="0"/>
          <w:numId w:val="85"/>
        </w:numPr>
        <w:ind w:left="0" w:firstLine="0"/>
      </w:pPr>
      <w:r w:rsidRPr="0000666D">
        <w:rPr>
          <w:lang w:val="es-ES"/>
        </w:rPr>
        <w:t>E</w:t>
      </w:r>
      <w:r w:rsidR="001C1A87" w:rsidRPr="0000666D">
        <w:rPr>
          <w:lang w:val="es-ES"/>
        </w:rPr>
        <w:t xml:space="preserve">n los casos </w:t>
      </w:r>
      <w:r w:rsidR="001C1A87" w:rsidRPr="0000666D">
        <w:rPr>
          <w:i/>
          <w:lang w:val="es-ES"/>
        </w:rPr>
        <w:t xml:space="preserve">“Cinco Pensionistas” Vs. Perú </w:t>
      </w:r>
      <w:r w:rsidR="001C1A87" w:rsidRPr="0000666D">
        <w:rPr>
          <w:lang w:val="es-ES"/>
        </w:rPr>
        <w:t xml:space="preserve">y </w:t>
      </w:r>
      <w:r w:rsidR="001C1A87" w:rsidRPr="0000666D">
        <w:rPr>
          <w:i/>
          <w:lang w:val="es-ES"/>
        </w:rPr>
        <w:t>Acevedo Buendía y otros (“Cesantes y Jubilados de la Contraloría”) Vs. Perú</w:t>
      </w:r>
      <w:r w:rsidR="001C1A87" w:rsidRPr="0000666D">
        <w:rPr>
          <w:lang w:val="es-ES"/>
        </w:rPr>
        <w:t>, este Tribunal resolvió pretensiones en relación con la violación del artículo 26 de la Convención. Si bien en ninguno de estos casos se declaró una violación a dicho artículo y no se analizó a fondo la obligación de desarrollo progresivo y el deber de no regresividad de los Estados, las consideraciones que la Corte se realizaron en torno a dicha obligación, concluyendo que “la regresividad resulta justiciable cuando de derechos económicos, sociales y culturales se trate”</w:t>
      </w:r>
      <w:r w:rsidR="001C1A87" w:rsidRPr="0000666D">
        <w:rPr>
          <w:rStyle w:val="Refdenotaalpie"/>
          <w:lang w:val="es-ES"/>
        </w:rPr>
        <w:footnoteReference w:id="11"/>
      </w:r>
      <w:r w:rsidR="001C1A87" w:rsidRPr="0000666D">
        <w:rPr>
          <w:lang w:val="es-ES"/>
        </w:rPr>
        <w:t>. El Tribunal no realizó un estudio respecto a la violación de algún derecho de contenido económico, social, cultural o ambiental en su dimensión individual, es decir aplicable a un caso concreto, sino que se basó en la dimensión colectiva del derecho</w:t>
      </w:r>
      <w:r w:rsidR="001C1A87" w:rsidRPr="0000666D">
        <w:rPr>
          <w:rStyle w:val="Refdenotaalpie"/>
          <w:lang w:val="es-ES"/>
        </w:rPr>
        <w:footnoteReference w:id="12"/>
      </w:r>
      <w:r w:rsidR="001C1A87" w:rsidRPr="0000666D">
        <w:rPr>
          <w:lang w:val="es-ES"/>
        </w:rPr>
        <w:t xml:space="preserve">. En efecto, en el caso </w:t>
      </w:r>
      <w:r w:rsidR="001C1A87" w:rsidRPr="0000666D">
        <w:rPr>
          <w:i/>
          <w:lang w:val="es-ES"/>
        </w:rPr>
        <w:t>“Cinco Pensionistas”</w:t>
      </w:r>
      <w:r w:rsidR="001C1A87" w:rsidRPr="0000666D">
        <w:rPr>
          <w:lang w:val="es-ES"/>
        </w:rPr>
        <w:t xml:space="preserve"> la Corte </w:t>
      </w:r>
      <w:r w:rsidR="001C1A87" w:rsidRPr="0000666D">
        <w:rPr>
          <w:lang w:val="es-PE"/>
        </w:rPr>
        <w:t>estableció que “los derechos económicos, sociales y culturales tienen una dimensión tanto individual como colectiva</w:t>
      </w:r>
      <w:r w:rsidR="001C1A87" w:rsidRPr="0000666D">
        <w:rPr>
          <w:rStyle w:val="Refdenotaalpie"/>
          <w:lang w:val="es-PE"/>
        </w:rPr>
        <w:footnoteReference w:id="13"/>
      </w:r>
      <w:r w:rsidR="001C1A87" w:rsidRPr="0000666D">
        <w:rPr>
          <w:lang w:val="es-PE"/>
        </w:rPr>
        <w:t>. En este sentido,</w:t>
      </w:r>
      <w:r w:rsidRPr="0000666D">
        <w:rPr>
          <w:lang w:val="es-PE"/>
        </w:rPr>
        <w:t xml:space="preserve"> se</w:t>
      </w:r>
      <w:r w:rsidR="001C1A87" w:rsidRPr="0000666D">
        <w:rPr>
          <w:lang w:val="es-PE"/>
        </w:rPr>
        <w:t xml:space="preserve"> entiende que la dimensión colectiva de los DESCA es la que se recoge en el artículo 26 de la Convención, a través de la obligación de progresividad. Por ello, para mayor claridad en la exposición de los argumentos,</w:t>
      </w:r>
      <w:r w:rsidRPr="0000666D">
        <w:rPr>
          <w:lang w:val="es-PE"/>
        </w:rPr>
        <w:t xml:space="preserve"> me referiré</w:t>
      </w:r>
      <w:r w:rsidR="001C1A87" w:rsidRPr="0000666D">
        <w:rPr>
          <w:lang w:val="es-PE"/>
        </w:rPr>
        <w:t xml:space="preserve"> a la dimensión individual de los DESCA cuando aluda a la exigibilidad </w:t>
      </w:r>
      <w:r w:rsidR="001C1A87" w:rsidRPr="0000666D">
        <w:rPr>
          <w:lang w:val="es-PE"/>
        </w:rPr>
        <w:lastRenderedPageBreak/>
        <w:t xml:space="preserve">directa de algún derecho en particular de esta naturaleza, aplicable a un caso concreto, como por ejemplo el derecho a la pensión de la víctima, y </w:t>
      </w:r>
      <w:r w:rsidRPr="0000666D">
        <w:rPr>
          <w:lang w:val="es-PE"/>
        </w:rPr>
        <w:t>me referiré</w:t>
      </w:r>
      <w:r w:rsidR="001C1A87" w:rsidRPr="0000666D">
        <w:rPr>
          <w:lang w:val="es-PE"/>
        </w:rPr>
        <w:t xml:space="preserve"> a la dimensión progresiva de los DESCA cuando aluda a la obligación del Estado de desarrollo progresivo y no regresividad.</w:t>
      </w:r>
    </w:p>
    <w:p w14:paraId="6A824702" w14:textId="77777777" w:rsidR="001C1A87" w:rsidRPr="0000666D" w:rsidRDefault="001C1A87" w:rsidP="001C1A87">
      <w:pPr>
        <w:pStyle w:val="Numberedparagraphs"/>
        <w:numPr>
          <w:ilvl w:val="0"/>
          <w:numId w:val="0"/>
        </w:numPr>
      </w:pPr>
    </w:p>
    <w:p w14:paraId="22EB0499" w14:textId="77777777" w:rsidR="001C1A87" w:rsidRPr="0000666D" w:rsidRDefault="001C1A87" w:rsidP="001C1A87">
      <w:pPr>
        <w:pStyle w:val="Numberedparagraphs"/>
        <w:numPr>
          <w:ilvl w:val="0"/>
          <w:numId w:val="85"/>
        </w:numPr>
        <w:ind w:left="0" w:firstLine="0"/>
      </w:pPr>
      <w:r w:rsidRPr="0000666D">
        <w:rPr>
          <w:rFonts w:eastAsia="Batang" w:cs="Arial"/>
          <w:iCs/>
          <w:lang w:val="es-ES"/>
        </w:rPr>
        <w:t xml:space="preserve">Desde la Sentencia dictada en el caso </w:t>
      </w:r>
      <w:r w:rsidRPr="0000666D">
        <w:rPr>
          <w:rFonts w:eastAsia="Batang" w:cs="Arial"/>
          <w:i/>
          <w:iCs/>
          <w:lang w:val="es-ES"/>
        </w:rPr>
        <w:t>Lagos del Campo Vs. Perú</w:t>
      </w:r>
      <w:r w:rsidRPr="0000666D">
        <w:rPr>
          <w:rFonts w:eastAsia="Batang" w:cs="Arial"/>
          <w:iCs/>
          <w:lang w:val="es-ES"/>
        </w:rPr>
        <w:t xml:space="preserve">, este Tribunal ha adoptado una postura jurisprudencial importante, al interpretar la </w:t>
      </w:r>
      <w:proofErr w:type="spellStart"/>
      <w:r w:rsidRPr="0000666D">
        <w:rPr>
          <w:rFonts w:eastAsia="Batang" w:cs="Arial"/>
          <w:iCs/>
          <w:lang w:val="es-ES"/>
        </w:rPr>
        <w:t>justiciabilidad</w:t>
      </w:r>
      <w:proofErr w:type="spellEnd"/>
      <w:r w:rsidRPr="0000666D">
        <w:rPr>
          <w:rFonts w:eastAsia="Batang" w:cs="Arial"/>
          <w:iCs/>
          <w:lang w:val="es-ES"/>
        </w:rPr>
        <w:t xml:space="preserve"> directa del artículo 26 de la Convención en su dimensión individual y establecer, por primera vez, una condena específica, para un caso concreto, por la violación de dicho artículo (estabilidad laboral), debido al despido del señor Lagos del Campo, quien era representante de los trabajadores, con motivo de las manifestaciones vertidas en una entrevista publicada en una revista en contra de la empresa para la cual laboró. La postura jurisprudencial adoptada ha sido reiterada en posteriores Sentencias de este Tribunal, a través de las cuales, la posición mayoritaria de la Corte consideró que la </w:t>
      </w:r>
      <w:proofErr w:type="spellStart"/>
      <w:r w:rsidRPr="0000666D">
        <w:rPr>
          <w:rFonts w:eastAsia="Batang" w:cs="Arial"/>
          <w:iCs/>
          <w:lang w:val="es-ES"/>
        </w:rPr>
        <w:t>justiciabilidad</w:t>
      </w:r>
      <w:proofErr w:type="spellEnd"/>
      <w:r w:rsidRPr="0000666D">
        <w:rPr>
          <w:rFonts w:eastAsia="Batang" w:cs="Arial"/>
          <w:iCs/>
          <w:lang w:val="es-ES"/>
        </w:rPr>
        <w:t xml:space="preserve"> directa de determinados derechos económicos sociales y culturales (el derecho al trabajo y el derecho a la salud) en su dimensión individual, era posible a partir del artículo 26 de la Convención.</w:t>
      </w:r>
    </w:p>
    <w:p w14:paraId="2D1C3880" w14:textId="77777777" w:rsidR="001C1A87" w:rsidRPr="0000666D" w:rsidRDefault="001C1A87" w:rsidP="001C1A87">
      <w:pPr>
        <w:pStyle w:val="Prrafodelista"/>
        <w:numPr>
          <w:ilvl w:val="0"/>
          <w:numId w:val="0"/>
        </w:numPr>
        <w:ind w:left="1440"/>
        <w:rPr>
          <w:rFonts w:eastAsia="Batang" w:cs="Arial"/>
          <w:iCs/>
          <w:lang w:val="es-ES"/>
        </w:rPr>
      </w:pPr>
    </w:p>
    <w:p w14:paraId="2EB054F4" w14:textId="50AE4AF7" w:rsidR="001C1A87" w:rsidRPr="0000666D" w:rsidRDefault="001C1A87" w:rsidP="001C1A87">
      <w:pPr>
        <w:pStyle w:val="Numberedparagraphs"/>
        <w:numPr>
          <w:ilvl w:val="0"/>
          <w:numId w:val="85"/>
        </w:numPr>
        <w:ind w:left="0" w:firstLine="0"/>
      </w:pPr>
      <w:r w:rsidRPr="0000666D">
        <w:rPr>
          <w:rFonts w:eastAsia="Batang" w:cs="Arial"/>
          <w:iCs/>
          <w:lang w:val="es-ES"/>
        </w:rPr>
        <w:t>Sin embargo, estim</w:t>
      </w:r>
      <w:r w:rsidR="0000666D" w:rsidRPr="0000666D">
        <w:rPr>
          <w:rFonts w:eastAsia="Batang" w:cs="Arial"/>
          <w:iCs/>
          <w:lang w:val="es-ES"/>
        </w:rPr>
        <w:t>o</w:t>
      </w:r>
      <w:r w:rsidRPr="0000666D">
        <w:rPr>
          <w:rFonts w:eastAsia="Batang" w:cs="Arial"/>
          <w:iCs/>
          <w:lang w:val="es-ES"/>
        </w:rPr>
        <w:t xml:space="preserve"> pertinente apartar</w:t>
      </w:r>
      <w:r w:rsidR="00D62329" w:rsidRPr="0000666D">
        <w:rPr>
          <w:rFonts w:eastAsia="Batang" w:cs="Arial"/>
          <w:iCs/>
          <w:lang w:val="es-ES"/>
        </w:rPr>
        <w:t>me</w:t>
      </w:r>
      <w:r w:rsidRPr="0000666D">
        <w:rPr>
          <w:rFonts w:eastAsia="Batang" w:cs="Arial"/>
          <w:iCs/>
          <w:lang w:val="es-ES"/>
        </w:rPr>
        <w:t xml:space="preserve"> del criterio jurisprudencial adoptado hasta ahora; debido a que, consider</w:t>
      </w:r>
      <w:r w:rsidR="00D62329" w:rsidRPr="0000666D">
        <w:rPr>
          <w:rFonts w:eastAsia="Batang" w:cs="Arial"/>
          <w:iCs/>
          <w:lang w:val="es-ES"/>
        </w:rPr>
        <w:t>o</w:t>
      </w:r>
      <w:r w:rsidRPr="0000666D">
        <w:rPr>
          <w:rFonts w:eastAsia="Batang" w:cs="Arial"/>
          <w:iCs/>
          <w:lang w:val="es-ES"/>
        </w:rPr>
        <w:t xml:space="preserve"> que la interpretación realizada anteriormente expande la competencia de la Corte, desconociendo la voluntad de los Estados, manifestada no solo a través de la forma en cómo el artículo 26 de la Convención Americana fue redactado, sino también a través de la competencia establecida en el artículo 19.6 del Protocolo de San Salvador. Este último, estableció claramente los derechos económicos, sociales, culturales y ambientales que podrían analizarse bajo el sistema interamericano de protección. </w:t>
      </w:r>
    </w:p>
    <w:p w14:paraId="3DB7CEEF" w14:textId="77777777" w:rsidR="001C1A87" w:rsidRPr="0000666D" w:rsidRDefault="001C1A87" w:rsidP="001C1A87">
      <w:pPr>
        <w:pStyle w:val="Prrafodelista"/>
        <w:numPr>
          <w:ilvl w:val="0"/>
          <w:numId w:val="0"/>
        </w:numPr>
        <w:ind w:left="1440"/>
        <w:rPr>
          <w:rFonts w:eastAsia="Batang" w:cs="Arial"/>
          <w:iCs/>
          <w:lang w:val="es-ES"/>
        </w:rPr>
      </w:pPr>
    </w:p>
    <w:p w14:paraId="4F8A8CCD" w14:textId="39FF7E39" w:rsidR="001C1A87" w:rsidRPr="0000666D" w:rsidRDefault="001C1A87" w:rsidP="001C1A87">
      <w:pPr>
        <w:pStyle w:val="Numberedparagraphs"/>
        <w:numPr>
          <w:ilvl w:val="0"/>
          <w:numId w:val="85"/>
        </w:numPr>
        <w:ind w:left="0" w:firstLine="0"/>
      </w:pPr>
      <w:r w:rsidRPr="0000666D">
        <w:rPr>
          <w:rFonts w:eastAsia="Batang" w:cs="Arial"/>
          <w:iCs/>
          <w:lang w:val="es-ES"/>
        </w:rPr>
        <w:t xml:space="preserve">El presente análisis no niega la interdependencia e indivisibilidad de los derechos civiles, políticos, económicos, sociales, culturales y ambientales, ni desconoce las obligaciones que se derivan del Protocolo de San Salvador, para aquellos países que lo ratificaron. Tampoco significa que la Corte considere que los DESCA, en su dimensión individual, no deberían ser protegidos o justiciables directamente mediante otras vías, como las jurisdicciones internas; por ejemplo, o inclusive ante la propia Corte, siempre y cuando su </w:t>
      </w:r>
      <w:proofErr w:type="spellStart"/>
      <w:r w:rsidRPr="0000666D">
        <w:rPr>
          <w:rFonts w:eastAsia="Batang" w:cs="Arial"/>
          <w:iCs/>
          <w:lang w:val="es-ES"/>
        </w:rPr>
        <w:t>justiciabilidad</w:t>
      </w:r>
      <w:proofErr w:type="spellEnd"/>
      <w:r w:rsidRPr="0000666D">
        <w:rPr>
          <w:rFonts w:eastAsia="Batang" w:cs="Arial"/>
          <w:iCs/>
          <w:lang w:val="es-ES"/>
        </w:rPr>
        <w:t xml:space="preserve"> se realice por la vía de la conexidad con derechos reconocidos en la Convención, como el Tribunal lo ha hecho en diversas oportunidades, anteriormente. El </w:t>
      </w:r>
      <w:r w:rsidR="00D6222C">
        <w:rPr>
          <w:rFonts w:eastAsia="Batang" w:cs="Arial"/>
          <w:iCs/>
          <w:lang w:val="es-ES"/>
        </w:rPr>
        <w:t xml:space="preserve">presente voto parcialmente disidente </w:t>
      </w:r>
      <w:r w:rsidRPr="0000666D">
        <w:rPr>
          <w:rFonts w:eastAsia="Batang" w:cs="Arial"/>
          <w:iCs/>
          <w:lang w:val="es-ES"/>
        </w:rPr>
        <w:t xml:space="preserve">tiene como propósito </w:t>
      </w:r>
      <w:r w:rsidR="00D6222C">
        <w:rPr>
          <w:rFonts w:eastAsia="Batang" w:cs="Arial"/>
          <w:iCs/>
          <w:lang w:val="es-ES"/>
        </w:rPr>
        <w:t xml:space="preserve">analizar </w:t>
      </w:r>
      <w:r w:rsidRPr="0000666D">
        <w:rPr>
          <w:rFonts w:eastAsia="Batang" w:cs="Arial"/>
          <w:iCs/>
          <w:lang w:val="es-ES"/>
        </w:rPr>
        <w:t xml:space="preserve">la competencia que tiene la Convención Americana respecto a estos temas y la forma en que se alcanza esa </w:t>
      </w:r>
      <w:proofErr w:type="spellStart"/>
      <w:r w:rsidRPr="0000666D">
        <w:rPr>
          <w:rFonts w:eastAsia="Batang" w:cs="Arial"/>
          <w:iCs/>
          <w:lang w:val="es-ES"/>
        </w:rPr>
        <w:t>justiciabilidad</w:t>
      </w:r>
      <w:proofErr w:type="spellEnd"/>
      <w:r w:rsidRPr="0000666D">
        <w:rPr>
          <w:rFonts w:eastAsia="Batang" w:cs="Arial"/>
          <w:iCs/>
          <w:lang w:val="es-ES"/>
        </w:rPr>
        <w:t xml:space="preserve"> en el sistema interamericano, </w:t>
      </w:r>
      <w:r w:rsidR="00D6222C">
        <w:rPr>
          <w:rFonts w:eastAsia="Batang" w:cs="Arial"/>
          <w:iCs/>
          <w:lang w:val="es-ES"/>
        </w:rPr>
        <w:t xml:space="preserve">la </w:t>
      </w:r>
      <w:r w:rsidRPr="0000666D">
        <w:rPr>
          <w:rFonts w:eastAsia="Batang" w:cs="Arial"/>
          <w:iCs/>
          <w:lang w:val="es-ES"/>
        </w:rPr>
        <w:t>cual es distint</w:t>
      </w:r>
      <w:r w:rsidR="00D6222C">
        <w:rPr>
          <w:rFonts w:eastAsia="Batang" w:cs="Arial"/>
          <w:iCs/>
          <w:lang w:val="es-ES"/>
        </w:rPr>
        <w:t>a</w:t>
      </w:r>
      <w:r w:rsidRPr="0000666D">
        <w:rPr>
          <w:rFonts w:eastAsia="Batang" w:cs="Arial"/>
          <w:iCs/>
          <w:lang w:val="es-ES"/>
        </w:rPr>
        <w:t xml:space="preserve"> a </w:t>
      </w:r>
      <w:r w:rsidR="00D6222C">
        <w:rPr>
          <w:rFonts w:eastAsia="Batang" w:cs="Arial"/>
          <w:iCs/>
          <w:lang w:val="es-ES"/>
        </w:rPr>
        <w:t xml:space="preserve">la que opera en </w:t>
      </w:r>
      <w:r w:rsidRPr="0000666D">
        <w:rPr>
          <w:rFonts w:eastAsia="Batang" w:cs="Arial"/>
          <w:iCs/>
          <w:lang w:val="es-ES"/>
        </w:rPr>
        <w:t xml:space="preserve">los sistemas internos de cada Estado. </w:t>
      </w:r>
    </w:p>
    <w:p w14:paraId="1148767B" w14:textId="77777777" w:rsidR="001C1A87" w:rsidRPr="0000666D" w:rsidRDefault="001C1A87" w:rsidP="001C1A87">
      <w:pPr>
        <w:pStyle w:val="Prrafodelista"/>
        <w:numPr>
          <w:ilvl w:val="0"/>
          <w:numId w:val="0"/>
        </w:numPr>
        <w:ind w:left="1440"/>
        <w:rPr>
          <w:rFonts w:eastAsia="Batang" w:cs="Arial"/>
          <w:iCs/>
          <w:lang w:val="es-ES"/>
        </w:rPr>
      </w:pPr>
    </w:p>
    <w:p w14:paraId="56340943" w14:textId="04A9AA68" w:rsidR="001C1A87" w:rsidRPr="0000666D" w:rsidRDefault="00F239B9" w:rsidP="00532F1A">
      <w:pPr>
        <w:pStyle w:val="Numberedparagraphs"/>
        <w:numPr>
          <w:ilvl w:val="0"/>
          <w:numId w:val="85"/>
        </w:numPr>
        <w:ind w:left="0" w:firstLine="0"/>
      </w:pPr>
      <w:r w:rsidRPr="0000666D">
        <w:rPr>
          <w:rFonts w:eastAsia="Verdana"/>
          <w:bCs/>
          <w:lang w:val="es-ES" w:eastAsia="x-none"/>
        </w:rPr>
        <w:t>Una interpretación correcta de</w:t>
      </w:r>
      <w:r w:rsidR="001C1A87" w:rsidRPr="0000666D">
        <w:rPr>
          <w:rFonts w:eastAsia="Verdana"/>
          <w:bCs/>
          <w:lang w:val="es-MX" w:eastAsia="x-none"/>
        </w:rPr>
        <w:t>l artículo 26 de la Convención y su relación con los artículos 1.1, 2, 62 y 63 de la Convención Americana,</w:t>
      </w:r>
      <w:r w:rsidRPr="0000666D">
        <w:rPr>
          <w:rFonts w:eastAsia="Verdana"/>
          <w:bCs/>
          <w:lang w:val="es-MX" w:eastAsia="x-none"/>
        </w:rPr>
        <w:t xml:space="preserve"> debe apuntar a </w:t>
      </w:r>
      <w:r w:rsidR="001C1A87" w:rsidRPr="0000666D">
        <w:rPr>
          <w:rFonts w:eastAsia="Verdana"/>
          <w:bCs/>
          <w:lang w:val="es-MX" w:eastAsia="x-none"/>
        </w:rPr>
        <w:t xml:space="preserve">determinar </w:t>
      </w:r>
      <w:r w:rsidR="00D6222C">
        <w:rPr>
          <w:rFonts w:eastAsia="Verdana"/>
          <w:bCs/>
          <w:lang w:val="es-MX" w:eastAsia="x-none"/>
        </w:rPr>
        <w:t>la</w:t>
      </w:r>
      <w:r w:rsidR="001C1A87" w:rsidRPr="0000666D">
        <w:rPr>
          <w:rFonts w:eastAsia="Verdana"/>
          <w:bCs/>
          <w:lang w:val="es-MX" w:eastAsia="x-none"/>
        </w:rPr>
        <w:t xml:space="preserve"> competencia </w:t>
      </w:r>
      <w:r w:rsidR="00D6222C">
        <w:rPr>
          <w:rFonts w:eastAsia="Verdana"/>
          <w:bCs/>
          <w:lang w:val="es-MX" w:eastAsia="x-none"/>
        </w:rPr>
        <w:t xml:space="preserve">de la Corte </w:t>
      </w:r>
      <w:r w:rsidR="001C1A87" w:rsidRPr="0000666D">
        <w:rPr>
          <w:rFonts w:eastAsia="Verdana"/>
          <w:bCs/>
          <w:lang w:val="es-MX" w:eastAsia="x-none"/>
        </w:rPr>
        <w:t xml:space="preserve">en relación con dicho artículo y el alcance de las obligaciones para los Estados derivadas del mismo. Para ello, </w:t>
      </w:r>
      <w:r w:rsidRPr="0000666D">
        <w:rPr>
          <w:rFonts w:eastAsia="Verdana"/>
          <w:bCs/>
          <w:lang w:val="es-MX" w:eastAsia="x-none"/>
        </w:rPr>
        <w:t>debemos</w:t>
      </w:r>
      <w:r w:rsidR="001C1A87" w:rsidRPr="0000666D">
        <w:rPr>
          <w:rFonts w:eastAsia="Verdana"/>
          <w:bCs/>
          <w:lang w:val="es-MX" w:eastAsia="x-none"/>
        </w:rPr>
        <w:t xml:space="preserve"> </w:t>
      </w:r>
      <w:r w:rsidR="001C1A87" w:rsidRPr="0000666D">
        <w:rPr>
          <w:rFonts w:eastAsia="Verdana"/>
          <w:bCs/>
          <w:lang w:val="es-CR" w:eastAsia="x-none"/>
        </w:rPr>
        <w:t>recurri</w:t>
      </w:r>
      <w:r w:rsidRPr="0000666D">
        <w:rPr>
          <w:rFonts w:eastAsia="Verdana"/>
          <w:bCs/>
          <w:lang w:val="es-CR" w:eastAsia="x-none"/>
        </w:rPr>
        <w:t>r</w:t>
      </w:r>
      <w:r w:rsidR="001C1A87" w:rsidRPr="0000666D">
        <w:rPr>
          <w:rFonts w:eastAsia="Verdana"/>
          <w:bCs/>
          <w:lang w:val="es-CR" w:eastAsia="x-none"/>
        </w:rPr>
        <w:t xml:space="preserve"> a la Convención de Viena sobre el Derecho de los Tratados (en adelante también “Convención de Viena”), la cual recoge la regla general y consuetudinaria de interpretación de los tratados internacionales, que implica la aplicación simultánea y conjunta de la buena fe, el sentido corriente de los términos empleados en el tratado de que se trate, el contexto de estos y el objeto y fin de aquel. Por ello, como es su jurisprudencia constante, la Corte</w:t>
      </w:r>
      <w:r w:rsidRPr="0000666D">
        <w:rPr>
          <w:rFonts w:eastAsia="Verdana"/>
          <w:bCs/>
          <w:lang w:val="es-CR" w:eastAsia="x-none"/>
        </w:rPr>
        <w:t xml:space="preserve"> debe</w:t>
      </w:r>
      <w:r w:rsidR="00D6222C">
        <w:rPr>
          <w:rFonts w:eastAsia="Verdana"/>
          <w:bCs/>
          <w:lang w:val="es-CR" w:eastAsia="x-none"/>
        </w:rPr>
        <w:t xml:space="preserve"> </w:t>
      </w:r>
      <w:r w:rsidRPr="0000666D">
        <w:rPr>
          <w:rFonts w:eastAsia="Verdana"/>
          <w:bCs/>
          <w:lang w:val="es-CR" w:eastAsia="x-none"/>
        </w:rPr>
        <w:t>apelar al</w:t>
      </w:r>
      <w:r w:rsidR="001C1A87" w:rsidRPr="0000666D">
        <w:rPr>
          <w:rFonts w:eastAsia="Verdana"/>
          <w:bCs/>
          <w:lang w:val="es-CR" w:eastAsia="x-none"/>
        </w:rPr>
        <w:t xml:space="preserve"> uso de los métodos estipulados en los artículos 31 y 32 de la Convención de Viena para llevar a cabo dicha interpretación</w:t>
      </w:r>
      <w:r w:rsidR="001C1A87" w:rsidRPr="0000666D">
        <w:rPr>
          <w:rStyle w:val="Refdenotaalpie"/>
          <w:rFonts w:eastAsia="Verdana"/>
          <w:lang w:val="es-CR" w:eastAsia="x-none"/>
        </w:rPr>
        <w:footnoteReference w:id="14"/>
      </w:r>
      <w:r w:rsidR="001C1A87" w:rsidRPr="0000666D">
        <w:rPr>
          <w:rFonts w:eastAsia="Verdana"/>
          <w:bCs/>
          <w:lang w:val="es-CR" w:eastAsia="x-none"/>
        </w:rPr>
        <w:t xml:space="preserve"> </w:t>
      </w:r>
      <w:r w:rsidR="001C1A87" w:rsidRPr="0000666D">
        <w:rPr>
          <w:lang w:val="es-PE"/>
        </w:rPr>
        <w:t>(</w:t>
      </w:r>
      <w:r w:rsidR="001C1A87" w:rsidRPr="0000666D">
        <w:rPr>
          <w:lang w:val="es-CR"/>
        </w:rPr>
        <w:t>interpretación literal, sistemática y teleológica)</w:t>
      </w:r>
      <w:r w:rsidR="001C1A87" w:rsidRPr="0000666D">
        <w:rPr>
          <w:rFonts w:eastAsia="Verdana"/>
          <w:bCs/>
          <w:lang w:val="es-CR" w:eastAsia="x-none"/>
        </w:rPr>
        <w:t xml:space="preserve">. </w:t>
      </w:r>
      <w:r w:rsidR="001C1A87" w:rsidRPr="0000666D">
        <w:rPr>
          <w:rFonts w:eastAsia="Verdana"/>
          <w:bCs/>
          <w:lang w:val="es-CR" w:eastAsia="x-none"/>
        </w:rPr>
        <w:lastRenderedPageBreak/>
        <w:t xml:space="preserve">Asimismo, </w:t>
      </w:r>
      <w:r w:rsidRPr="0000666D">
        <w:rPr>
          <w:rFonts w:eastAsia="Verdana"/>
          <w:bCs/>
          <w:lang w:val="es-CR" w:eastAsia="x-none"/>
        </w:rPr>
        <w:t xml:space="preserve"> se debe utilizar</w:t>
      </w:r>
      <w:r w:rsidR="001C1A87" w:rsidRPr="0000666D">
        <w:rPr>
          <w:rFonts w:eastAsia="Verdana"/>
          <w:bCs/>
          <w:lang w:val="es-CR" w:eastAsia="x-none"/>
        </w:rPr>
        <w:t>, en lo pertinente, las normas de interpretación que se desprenden del artículo 29 de la Convención Americana</w:t>
      </w:r>
      <w:r w:rsidR="001C1A87" w:rsidRPr="0000666D">
        <w:rPr>
          <w:rStyle w:val="Refdenotaalpie"/>
          <w:rFonts w:eastAsia="Verdana"/>
          <w:lang w:val="es-CR" w:eastAsia="x-none"/>
        </w:rPr>
        <w:footnoteReference w:id="15"/>
      </w:r>
      <w:r w:rsidR="001C1A87" w:rsidRPr="0000666D">
        <w:rPr>
          <w:rFonts w:eastAsia="Verdana"/>
          <w:bCs/>
          <w:lang w:val="es-CR" w:eastAsia="x-none"/>
        </w:rPr>
        <w:t>.</w:t>
      </w:r>
    </w:p>
    <w:p w14:paraId="2554413C" w14:textId="77777777" w:rsidR="001C1A87" w:rsidRPr="0000666D" w:rsidRDefault="001C1A87" w:rsidP="00532F1A">
      <w:pPr>
        <w:contextualSpacing/>
        <w:outlineLvl w:val="0"/>
        <w:rPr>
          <w:lang w:val="es-CR"/>
        </w:rPr>
      </w:pPr>
    </w:p>
    <w:p w14:paraId="2C5751DF" w14:textId="7BFB19A4" w:rsidR="001C1A87" w:rsidRPr="0000666D" w:rsidRDefault="001C1A87" w:rsidP="001C1A87">
      <w:pPr>
        <w:pStyle w:val="Prrafodelista"/>
        <w:numPr>
          <w:ilvl w:val="0"/>
          <w:numId w:val="103"/>
        </w:numPr>
        <w:contextualSpacing/>
        <w:outlineLvl w:val="0"/>
        <w:rPr>
          <w:rFonts w:cs="Arial"/>
          <w:b/>
          <w:lang w:val="es-AR"/>
        </w:rPr>
      </w:pPr>
      <w:r w:rsidRPr="0000666D">
        <w:rPr>
          <w:b/>
          <w:lang w:val="es-PE"/>
        </w:rPr>
        <w:t xml:space="preserve">JUSTICIABILIDAD DIRECTA DEL ARTÍCULO 26 DE LA CONVENCIÓN AMERICANA SOBRE DERECHOS HUMANOS </w:t>
      </w:r>
    </w:p>
    <w:p w14:paraId="2CEC9EE5" w14:textId="77777777" w:rsidR="001C1A87" w:rsidRPr="0000666D" w:rsidRDefault="001C1A87" w:rsidP="001C1A87">
      <w:pPr>
        <w:contextualSpacing/>
        <w:outlineLvl w:val="0"/>
        <w:rPr>
          <w:rFonts w:cs="Arial"/>
          <w:b/>
          <w:lang w:val="es-AR"/>
        </w:rPr>
      </w:pPr>
    </w:p>
    <w:p w14:paraId="0C988A97" w14:textId="77777777" w:rsidR="001C1A87" w:rsidRPr="0000666D" w:rsidRDefault="001C1A87" w:rsidP="001C1A87">
      <w:pPr>
        <w:pStyle w:val="Prrafodelista"/>
        <w:numPr>
          <w:ilvl w:val="0"/>
          <w:numId w:val="0"/>
        </w:numPr>
        <w:ind w:left="1440"/>
        <w:contextualSpacing/>
        <w:outlineLvl w:val="0"/>
        <w:rPr>
          <w:b/>
          <w:lang w:val="es-PE"/>
        </w:rPr>
      </w:pPr>
      <w:r w:rsidRPr="0000666D">
        <w:rPr>
          <w:b/>
          <w:lang w:val="es-AR"/>
        </w:rPr>
        <w:t>B</w:t>
      </w:r>
      <w:r w:rsidRPr="0000666D">
        <w:rPr>
          <w:b/>
          <w:lang w:val="es-PE"/>
        </w:rPr>
        <w:t>.1 Interpretación Literal</w:t>
      </w:r>
    </w:p>
    <w:p w14:paraId="53097CB3" w14:textId="77777777" w:rsidR="001C1A87" w:rsidRPr="0000666D" w:rsidRDefault="001C1A87" w:rsidP="001C1A87">
      <w:pPr>
        <w:pStyle w:val="Prrafodelista"/>
        <w:numPr>
          <w:ilvl w:val="0"/>
          <w:numId w:val="0"/>
        </w:numPr>
        <w:ind w:left="1440"/>
        <w:rPr>
          <w:rFonts w:eastAsia="Batang" w:cs="Arial"/>
          <w:iCs/>
          <w:lang w:val="es-PE"/>
        </w:rPr>
      </w:pPr>
    </w:p>
    <w:p w14:paraId="2E01C18F" w14:textId="77777777" w:rsidR="001C1A87" w:rsidRPr="0000666D" w:rsidRDefault="001C1A87" w:rsidP="001C1A87">
      <w:pPr>
        <w:pStyle w:val="Numberedparagraphs"/>
        <w:numPr>
          <w:ilvl w:val="0"/>
          <w:numId w:val="85"/>
        </w:numPr>
        <w:ind w:left="0" w:firstLine="0"/>
      </w:pPr>
      <w:r w:rsidRPr="0000666D">
        <w:rPr>
          <w:rFonts w:eastAsia="Batang" w:cs="Arial"/>
          <w:iCs/>
          <w:lang w:val="es-ES"/>
        </w:rPr>
        <w:t>El artículo 26 de la Convención Americana establece lo siguiente:</w:t>
      </w:r>
    </w:p>
    <w:p w14:paraId="146B5F52" w14:textId="77777777" w:rsidR="001C1A87" w:rsidRPr="0000666D" w:rsidRDefault="001C1A87" w:rsidP="001C1A87">
      <w:pPr>
        <w:pStyle w:val="Prrafodelista"/>
        <w:numPr>
          <w:ilvl w:val="0"/>
          <w:numId w:val="0"/>
        </w:numPr>
        <w:rPr>
          <w:rFonts w:eastAsia="Batang" w:cs="Arial"/>
          <w:iCs/>
          <w:lang w:val="es-ES"/>
        </w:rPr>
      </w:pPr>
    </w:p>
    <w:p w14:paraId="7634947E" w14:textId="77777777" w:rsidR="001C1A87" w:rsidRPr="0000666D" w:rsidRDefault="001C1A87" w:rsidP="001C1A87">
      <w:pPr>
        <w:pStyle w:val="NormalWeb"/>
        <w:tabs>
          <w:tab w:val="left" w:pos="709"/>
        </w:tabs>
        <w:spacing w:before="0"/>
        <w:ind w:left="426" w:right="333"/>
        <w:jc w:val="center"/>
        <w:rPr>
          <w:rFonts w:ascii="Verdana" w:hAnsi="Verdana" w:cs="Tahoma"/>
          <w:color w:val="auto"/>
          <w:sz w:val="20"/>
          <w:szCs w:val="20"/>
        </w:rPr>
      </w:pPr>
      <w:r w:rsidRPr="0000666D">
        <w:rPr>
          <w:rFonts w:ascii="Verdana" w:hAnsi="Verdana" w:cs="Tahoma"/>
          <w:color w:val="auto"/>
          <w:sz w:val="20"/>
          <w:szCs w:val="20"/>
        </w:rPr>
        <w:t>CAPITULO III</w:t>
      </w:r>
    </w:p>
    <w:p w14:paraId="5A319F75" w14:textId="77777777" w:rsidR="001C1A87" w:rsidRPr="0000666D" w:rsidRDefault="001C1A87" w:rsidP="001C1A87">
      <w:pPr>
        <w:pStyle w:val="NormalWeb"/>
        <w:tabs>
          <w:tab w:val="left" w:pos="709"/>
        </w:tabs>
        <w:spacing w:before="0"/>
        <w:ind w:left="426" w:right="333"/>
        <w:jc w:val="center"/>
        <w:rPr>
          <w:rFonts w:ascii="Verdana" w:hAnsi="Verdana" w:cs="Tahoma"/>
          <w:bCs w:val="0"/>
          <w:color w:val="auto"/>
          <w:sz w:val="20"/>
          <w:szCs w:val="20"/>
        </w:rPr>
      </w:pPr>
      <w:r w:rsidRPr="0000666D">
        <w:rPr>
          <w:rFonts w:ascii="Verdana" w:hAnsi="Verdana" w:cs="Tahoma"/>
          <w:color w:val="auto"/>
          <w:sz w:val="20"/>
          <w:szCs w:val="20"/>
        </w:rPr>
        <w:t>DERECHOS ECONOMICOS, SOCIALES Y CULTURALES</w:t>
      </w:r>
    </w:p>
    <w:p w14:paraId="3CBF24BE" w14:textId="77777777" w:rsidR="001C1A87" w:rsidRPr="0000666D" w:rsidRDefault="001C1A87" w:rsidP="001C1A87">
      <w:pPr>
        <w:pStyle w:val="NormalWeb"/>
        <w:tabs>
          <w:tab w:val="left" w:pos="709"/>
        </w:tabs>
        <w:spacing w:before="0"/>
        <w:ind w:left="426" w:right="333"/>
        <w:jc w:val="center"/>
        <w:rPr>
          <w:rFonts w:ascii="Verdana" w:hAnsi="Verdana" w:cs="Tahoma"/>
          <w:color w:val="auto"/>
          <w:sz w:val="20"/>
          <w:szCs w:val="20"/>
        </w:rPr>
      </w:pPr>
    </w:p>
    <w:p w14:paraId="0BF173AE" w14:textId="77777777" w:rsidR="001C1A87" w:rsidRPr="0000666D" w:rsidRDefault="001C1A87" w:rsidP="001C1A87">
      <w:pPr>
        <w:pStyle w:val="NormalWeb"/>
        <w:tabs>
          <w:tab w:val="left" w:pos="709"/>
        </w:tabs>
        <w:spacing w:before="0"/>
        <w:ind w:left="426" w:right="333"/>
        <w:jc w:val="center"/>
        <w:rPr>
          <w:rFonts w:ascii="Verdana" w:hAnsi="Verdana" w:cs="Tahoma"/>
          <w:bCs w:val="0"/>
          <w:color w:val="auto"/>
          <w:sz w:val="20"/>
          <w:szCs w:val="20"/>
        </w:rPr>
      </w:pPr>
      <w:r w:rsidRPr="0000666D">
        <w:rPr>
          <w:rFonts w:ascii="Verdana" w:hAnsi="Verdana" w:cs="Tahoma"/>
          <w:color w:val="auto"/>
          <w:sz w:val="20"/>
          <w:szCs w:val="20"/>
        </w:rPr>
        <w:t>Artículo 26.  Desarrollo Progresivo</w:t>
      </w:r>
    </w:p>
    <w:p w14:paraId="48EF87D8" w14:textId="77777777" w:rsidR="001C1A87" w:rsidRPr="0000666D" w:rsidRDefault="001C1A87" w:rsidP="001C1A87">
      <w:pPr>
        <w:pStyle w:val="NormalWeb"/>
        <w:tabs>
          <w:tab w:val="left" w:pos="709"/>
        </w:tabs>
        <w:spacing w:before="0"/>
        <w:ind w:left="426" w:right="333"/>
        <w:jc w:val="center"/>
        <w:rPr>
          <w:rFonts w:ascii="Verdana" w:hAnsi="Verdana" w:cs="Tahoma"/>
          <w:color w:val="auto"/>
          <w:sz w:val="20"/>
          <w:szCs w:val="20"/>
        </w:rPr>
      </w:pPr>
    </w:p>
    <w:p w14:paraId="283B34B3" w14:textId="77777777" w:rsidR="001C1A87" w:rsidRPr="0000666D" w:rsidRDefault="001C1A87" w:rsidP="001C1A87">
      <w:pPr>
        <w:pStyle w:val="NormalWeb"/>
        <w:tabs>
          <w:tab w:val="left" w:pos="709"/>
        </w:tabs>
        <w:spacing w:before="0"/>
        <w:ind w:left="426" w:right="333"/>
        <w:jc w:val="both"/>
        <w:rPr>
          <w:rFonts w:ascii="Verdana" w:hAnsi="Verdana" w:cs="Tahoma"/>
          <w:color w:val="auto"/>
          <w:sz w:val="20"/>
          <w:szCs w:val="20"/>
        </w:rPr>
      </w:pPr>
      <w:r w:rsidRPr="0000666D">
        <w:rPr>
          <w:rFonts w:ascii="Verdana" w:hAnsi="Verdana" w:cs="Tahoma"/>
          <w:color w:val="auto"/>
          <w:sz w:val="20"/>
          <w:szCs w:val="20"/>
        </w:rPr>
        <w:t xml:space="preserve">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 </w:t>
      </w:r>
    </w:p>
    <w:p w14:paraId="02617898" w14:textId="77777777" w:rsidR="001C1A87" w:rsidRPr="0000666D" w:rsidRDefault="001C1A87" w:rsidP="001C1A87">
      <w:pPr>
        <w:pStyle w:val="Numberedparagraphs"/>
        <w:numPr>
          <w:ilvl w:val="0"/>
          <w:numId w:val="0"/>
        </w:numPr>
        <w:rPr>
          <w:rFonts w:eastAsia="Batang" w:cs="Arial"/>
          <w:iCs/>
          <w:lang w:val="es-CR"/>
        </w:rPr>
      </w:pPr>
    </w:p>
    <w:p w14:paraId="705C1038" w14:textId="4157F000" w:rsidR="001C1A87" w:rsidRPr="0000666D" w:rsidRDefault="001C1A87" w:rsidP="001C1A87">
      <w:pPr>
        <w:pStyle w:val="Numberedparagraphs"/>
        <w:numPr>
          <w:ilvl w:val="0"/>
          <w:numId w:val="85"/>
        </w:numPr>
        <w:ind w:left="0" w:firstLine="0"/>
      </w:pPr>
      <w:r w:rsidRPr="0000666D">
        <w:rPr>
          <w:rFonts w:eastAsia="Batang" w:cs="Arial"/>
          <w:iCs/>
          <w:lang w:val="es-ES"/>
        </w:rPr>
        <w:t xml:space="preserve">Al realizar una interpretación literal del artículo 26, es decir, una interpretación </w:t>
      </w:r>
      <w:r w:rsidRPr="0000666D">
        <w:rPr>
          <w:lang w:val="es-CR"/>
        </w:rPr>
        <w:t xml:space="preserve">de buena fe </w:t>
      </w:r>
      <w:r w:rsidRPr="0000666D">
        <w:rPr>
          <w:lang w:val="es-CO"/>
        </w:rPr>
        <w:t>conforme al sentido corriente de los términos y derivada del significado literal de algunas expresiones o palabras de la Convención y otros tratados,</w:t>
      </w:r>
      <w:r w:rsidR="00F239B9" w:rsidRPr="0000666D">
        <w:rPr>
          <w:lang w:val="es-CO"/>
        </w:rPr>
        <w:t xml:space="preserve"> debemos entender</w:t>
      </w:r>
      <w:r w:rsidRPr="0000666D">
        <w:rPr>
          <w:lang w:val="es-CO"/>
        </w:rPr>
        <w:t xml:space="preserve"> que aquel establece una obligación de hacer, de comportamiento y no de resultado. El alcance de dicha obligación es la de </w:t>
      </w:r>
      <w:r w:rsidRPr="0000666D">
        <w:rPr>
          <w:lang w:val="es-ES"/>
        </w:rPr>
        <w:t>“adoptar providencias” para lograr “progresivamente la plena efectividad de los derechos que se derivan de las normas económicas, sociales y sobre educación, ciencia y cultura, contenidas en la Carta de la [OEA]”, vale decir, de los derechos que se desprenden o se pueden inferir de disposiciones de este último instrumento, y solo de este último. Además, el cumplimiento de la obligación de hacer del artículo 26 se encuentra condicionado a “la medida de los recursos disponibles”, lo que refuerza la idea de que no se trata de una obligación de result</w:t>
      </w:r>
      <w:r w:rsidR="00026080" w:rsidRPr="0000666D">
        <w:rPr>
          <w:lang w:val="es-ES"/>
        </w:rPr>
        <w:t>ado. Si bien esto último implica que</w:t>
      </w:r>
      <w:r w:rsidRPr="0000666D">
        <w:rPr>
          <w:lang w:val="es-ES"/>
        </w:rPr>
        <w:t xml:space="preserve"> </w:t>
      </w:r>
      <w:r w:rsidR="00026080" w:rsidRPr="0000666D">
        <w:rPr>
          <w:rFonts w:eastAsia="Times" w:cs="Arial"/>
          <w:lang w:val="es-CR"/>
        </w:rPr>
        <w:t>el desarrollo</w:t>
      </w:r>
      <w:r w:rsidRPr="0000666D">
        <w:rPr>
          <w:rFonts w:eastAsia="Times" w:cs="Arial"/>
          <w:lang w:val="es-CR"/>
        </w:rPr>
        <w:t xml:space="preserve"> progresivo de estos derechos no podrá lograrse en un breve periodo de tiempo y que, en esa medida, se “requiere un dispositivo de flexibilidad necesario que refleje las realidades del mundo y las dificultades que implica para cada </w:t>
      </w:r>
      <w:r w:rsidRPr="0000666D">
        <w:rPr>
          <w:rFonts w:eastAsia="Times" w:cs="Arial"/>
          <w:lang w:val="es-CR"/>
        </w:rPr>
        <w:lastRenderedPageBreak/>
        <w:t>país el asegurar dicha efectividad”</w:t>
      </w:r>
      <w:r w:rsidRPr="0000666D">
        <w:rPr>
          <w:rStyle w:val="Refdenotaalpie"/>
          <w:rFonts w:eastAsia="Times"/>
          <w:lang w:val="es-CR"/>
        </w:rPr>
        <w:footnoteReference w:id="16"/>
      </w:r>
      <w:r w:rsidRPr="0000666D">
        <w:rPr>
          <w:rFonts w:eastAsia="Times" w:cs="Arial"/>
          <w:lang w:val="es-CR"/>
        </w:rPr>
        <w:t xml:space="preserve">, ello no puede implicar la inacción del Estado; ya que, este se comprometió a “adoptar providencias” </w:t>
      </w:r>
      <w:r w:rsidRPr="0000666D">
        <w:rPr>
          <w:lang w:val="es-ES"/>
        </w:rPr>
        <w:t>“por vía legislativa u otros medios apropiados”.</w:t>
      </w:r>
    </w:p>
    <w:p w14:paraId="16E72C9C" w14:textId="77777777" w:rsidR="001C1A87" w:rsidRPr="0000666D" w:rsidRDefault="001C1A87" w:rsidP="001C1A87">
      <w:pPr>
        <w:pStyle w:val="Numberedparagraphs"/>
        <w:numPr>
          <w:ilvl w:val="0"/>
          <w:numId w:val="0"/>
        </w:numPr>
      </w:pPr>
    </w:p>
    <w:p w14:paraId="3DA7153E" w14:textId="6B139BD1" w:rsidR="001C1A87" w:rsidRPr="0000666D" w:rsidRDefault="001C1A87" w:rsidP="001C1A87">
      <w:pPr>
        <w:pStyle w:val="Numberedparagraphs"/>
        <w:numPr>
          <w:ilvl w:val="0"/>
          <w:numId w:val="85"/>
        </w:numPr>
        <w:ind w:left="0" w:firstLine="0"/>
      </w:pPr>
      <w:r w:rsidRPr="0000666D">
        <w:rPr>
          <w:lang w:val="es-ES"/>
        </w:rPr>
        <w:t>L</w:t>
      </w:r>
      <w:r w:rsidRPr="0000666D">
        <w:rPr>
          <w:lang w:val="es-PE"/>
        </w:rPr>
        <w:t>a realización progresiva significa que los Estados partes tienen la obligación concreta y constante de avanzar lo más expedita y eficazmente posible hacia la plena efectividad de los DESCA</w:t>
      </w:r>
      <w:r w:rsidRPr="0000666D">
        <w:rPr>
          <w:vertAlign w:val="superscript"/>
        </w:rPr>
        <w:footnoteReference w:id="17"/>
      </w:r>
      <w:r w:rsidRPr="0000666D">
        <w:rPr>
          <w:lang w:val="es-PE"/>
        </w:rPr>
        <w:t xml:space="preserve">, ello no debe interpretarse en el sentido que, durante su implementación, dichas obligaciones se priven de contenido específico, lo cual tampoco implica que los Estados puedan aplazar indefinidamente la adopción de medidas para hacer efectivos los derechos en cuestión, máxime luego de casi cuarenta años de la entrada en vigor del tratado interamericano. Asimismo, se impone por tanto, la obligación de </w:t>
      </w:r>
      <w:r w:rsidRPr="0000666D">
        <w:rPr>
          <w:i/>
          <w:lang w:val="es-PE"/>
        </w:rPr>
        <w:t>no regresividad</w:t>
      </w:r>
      <w:r w:rsidRPr="0000666D">
        <w:rPr>
          <w:lang w:val="es-PE"/>
        </w:rPr>
        <w:t xml:space="preserve"> frente a la realización de los derechos alcanzados.</w:t>
      </w:r>
    </w:p>
    <w:p w14:paraId="4DE6CAAF" w14:textId="77777777" w:rsidR="001C1A87" w:rsidRPr="0000666D" w:rsidRDefault="001C1A87" w:rsidP="001C1A87">
      <w:pPr>
        <w:pStyle w:val="Prrafodelista"/>
        <w:numPr>
          <w:ilvl w:val="0"/>
          <w:numId w:val="0"/>
        </w:numPr>
        <w:ind w:left="1440"/>
        <w:rPr>
          <w:lang w:val="es-CR"/>
        </w:rPr>
      </w:pPr>
    </w:p>
    <w:p w14:paraId="29FA6947" w14:textId="77777777" w:rsidR="001C1A87" w:rsidRPr="0000666D" w:rsidRDefault="001C1A87" w:rsidP="001C1A87">
      <w:pPr>
        <w:pStyle w:val="Numberedparagraphs"/>
        <w:numPr>
          <w:ilvl w:val="0"/>
          <w:numId w:val="85"/>
        </w:numPr>
        <w:ind w:left="0" w:firstLine="0"/>
      </w:pPr>
      <w:r w:rsidRPr="0000666D">
        <w:rPr>
          <w:lang w:val="es-CR"/>
        </w:rPr>
        <w:t>Es decir que, sobre</w:t>
      </w:r>
      <w:r w:rsidRPr="0000666D">
        <w:rPr>
          <w:lang w:val="es-PE"/>
        </w:rPr>
        <w:t xml:space="preserve"> el alcance del artículo 26, la Corte ha indicado que la obligación principal que se desprende de este artículo es </w:t>
      </w:r>
      <w:r w:rsidRPr="0000666D">
        <w:rPr>
          <w:rFonts w:eastAsia="Times"/>
          <w:lang w:val="es-PE"/>
        </w:rPr>
        <w:t>el adoptar medidas para lograr el desarrollo progresivo de los derechos económicos, sociales y culturales</w:t>
      </w:r>
      <w:r w:rsidRPr="0000666D">
        <w:rPr>
          <w:rStyle w:val="Refdenotaalpie"/>
          <w:rFonts w:eastAsia="Times"/>
        </w:rPr>
        <w:footnoteReference w:id="18"/>
      </w:r>
      <w:r w:rsidRPr="0000666D">
        <w:rPr>
          <w:rFonts w:eastAsia="Times"/>
          <w:lang w:val="es-PE"/>
        </w:rPr>
        <w:t>, el cual conlleva “</w:t>
      </w:r>
      <w:r w:rsidRPr="0000666D">
        <w:rPr>
          <w:lang w:val="es-PE"/>
        </w:rPr>
        <w:t>un deber – si bien condicionado – de no-regresividad, que no siempre deberá ser entendido como una prohibición de medidas que restrinjan el ejercicio de un derecho</w:t>
      </w:r>
      <w:r w:rsidRPr="0000666D">
        <w:rPr>
          <w:rFonts w:eastAsia="Times"/>
          <w:lang w:val="es-PE"/>
        </w:rPr>
        <w:t>”</w:t>
      </w:r>
      <w:r w:rsidRPr="0000666D">
        <w:rPr>
          <w:rStyle w:val="Refdenotaalpie"/>
          <w:rFonts w:eastAsia="Times"/>
        </w:rPr>
        <w:footnoteReference w:id="19"/>
      </w:r>
      <w:r w:rsidRPr="0000666D">
        <w:rPr>
          <w:rFonts w:eastAsia="Times"/>
          <w:lang w:val="es-PE"/>
        </w:rPr>
        <w:t xml:space="preserve">. </w:t>
      </w:r>
    </w:p>
    <w:p w14:paraId="06A58A22" w14:textId="77777777" w:rsidR="001C1A87" w:rsidRPr="0000666D" w:rsidRDefault="001C1A87" w:rsidP="001C1A87">
      <w:pPr>
        <w:pStyle w:val="Prrafodelista"/>
        <w:numPr>
          <w:ilvl w:val="0"/>
          <w:numId w:val="0"/>
        </w:numPr>
        <w:ind w:left="1440"/>
        <w:rPr>
          <w:lang w:val="es-ES"/>
        </w:rPr>
      </w:pPr>
    </w:p>
    <w:p w14:paraId="17B0FCD1" w14:textId="1214F811" w:rsidR="001C1A87" w:rsidRPr="0000666D" w:rsidRDefault="001C1A87" w:rsidP="001C1A87">
      <w:pPr>
        <w:pStyle w:val="Numberedparagraphs"/>
        <w:numPr>
          <w:ilvl w:val="0"/>
          <w:numId w:val="85"/>
        </w:numPr>
        <w:ind w:left="0" w:firstLine="0"/>
      </w:pPr>
      <w:r w:rsidRPr="0000666D">
        <w:rPr>
          <w:lang w:val="es-ES"/>
        </w:rPr>
        <w:t>El artículo 26 no “reconoce” derechos</w:t>
      </w:r>
      <w:r w:rsidRPr="0000666D">
        <w:rPr>
          <w:lang w:val="es-PE"/>
        </w:rPr>
        <w:t xml:space="preserve"> ni establece un catálogo determinado,</w:t>
      </w:r>
      <w:r w:rsidRPr="0000666D">
        <w:rPr>
          <w:lang w:val="es-ES"/>
        </w:rPr>
        <w:t xml:space="preserve"> sino que dispone la obligación de los Estados de desarrollar progresivamente ciertos derechos, precisamente por no ser plenamente efectivos. Para identificar aquellos que deben ser desarrollados progresivamente, el artículo 26 </w:t>
      </w:r>
      <w:r w:rsidRPr="0000666D">
        <w:rPr>
          <w:lang w:val="es-PE"/>
        </w:rPr>
        <w:t>realiza una remisión directa a la Carta de la Organización de Estados Americanos (en adelante “Carta” o “Carta de la OEA”). A su vez, de una lectura de la Carta, se puede concluir que ésta tampoco contiene un catálogo de derechos subjetivos claros y precisos; por lo que, es necesario realizar una labor interpretativa para concluir que un derecho se deriva de la Carta. Es preciso resaltar que si se determina que un derecho se deriva de la Carta, ello debe ser interpretado en conjunto con</w:t>
      </w:r>
      <w:r w:rsidR="00CD4C62" w:rsidRPr="0000666D">
        <w:rPr>
          <w:lang w:val="es-PE"/>
        </w:rPr>
        <w:t xml:space="preserve"> lo</w:t>
      </w:r>
      <w:r w:rsidRPr="0000666D">
        <w:rPr>
          <w:lang w:val="es-PE"/>
        </w:rPr>
        <w:t xml:space="preserve"> estipulado en el artículo 26 de la Convención y dentro de los límites que este establece; es decir que, el derecho </w:t>
      </w:r>
      <w:r w:rsidRPr="0000666D">
        <w:rPr>
          <w:lang w:val="es-PE"/>
        </w:rPr>
        <w:lastRenderedPageBreak/>
        <w:t xml:space="preserve">en cuestión podría ser justiciable de manera directa pero siempre y cuando se efectúe un análisis de progresividad. </w:t>
      </w:r>
    </w:p>
    <w:p w14:paraId="7BDF95D2" w14:textId="77777777" w:rsidR="001C1A87" w:rsidRPr="0000666D" w:rsidRDefault="001C1A87" w:rsidP="001C1A87">
      <w:pPr>
        <w:pStyle w:val="Prrafodelista"/>
        <w:numPr>
          <w:ilvl w:val="0"/>
          <w:numId w:val="0"/>
        </w:numPr>
        <w:ind w:left="1440"/>
        <w:rPr>
          <w:lang w:val="es-ES"/>
        </w:rPr>
      </w:pPr>
    </w:p>
    <w:p w14:paraId="0FCA295F" w14:textId="3B87EAA3" w:rsidR="001C1A87" w:rsidRPr="0000666D" w:rsidRDefault="001C1A87" w:rsidP="00532F1A">
      <w:pPr>
        <w:pStyle w:val="Numberedparagraphs"/>
        <w:numPr>
          <w:ilvl w:val="0"/>
          <w:numId w:val="85"/>
        </w:numPr>
        <w:ind w:left="0" w:firstLine="0"/>
      </w:pPr>
      <w:r w:rsidRPr="0000666D">
        <w:rPr>
          <w:lang w:val="es-ES"/>
        </w:rPr>
        <w:t xml:space="preserve">De la lectura literal del artículo 26, bajo ningún respecto, se derivan argumentos válidos para sostener que se puede someter a la Corte un caso atingente a la presunta violación de algún derecho en específico en su dimensión individual, a partir de la remisión en cuestión; ya que, la esfera de protección que brinda el artículo 26 es distinta a la de los derechos civiles y políticos recogidos de los artículos 3 al 25. En efecto, los términos utilizados en la redacción de dicho articulado, como “toda persona”, “nadie debe ser”, “todo ciudadano”; así como, el desarrollo más claro del contenido de cada derecho, denotan la intención clara de los Estados de brindar protección a los mismos a través del sistema interamericano en casos concretos en los que se alegue su vulneración, mas no en relación con la progresividad o no regresividad de los mismos, a diferencia de lo que estipula el artículo 26. </w:t>
      </w:r>
      <w:r w:rsidRPr="0000666D">
        <w:rPr>
          <w:lang w:val="es-PE"/>
        </w:rPr>
        <w:t>La obligación que</w:t>
      </w:r>
      <w:r w:rsidR="00D8416F">
        <w:rPr>
          <w:lang w:val="es-PE"/>
        </w:rPr>
        <w:t xml:space="preserve"> contenida en</w:t>
      </w:r>
      <w:r w:rsidRPr="0000666D">
        <w:rPr>
          <w:lang w:val="es-PE"/>
        </w:rPr>
        <w:t xml:space="preserve"> este artículo implica que la Corte puede supervisar de manera directa el cumplimiento del deber de desarrollo progresivo y su consecuente deber de no regresividad, de los derechos que se pudieran derivar de la Carta. </w:t>
      </w:r>
      <w:r w:rsidRPr="0000666D">
        <w:rPr>
          <w:rFonts w:cs="Verdana"/>
          <w:lang w:val="es-CR"/>
        </w:rPr>
        <w:t>Por todo lo expuesto, cabe afirmar que esta faceta del principio de progresividad resulta justiciable cuando de derechos económicos, sociales, culturales y ambientales se trate. Una interpretación contraria a lo señalado, implicaría expandir el alcance de lo protegido por el artículo 26</w:t>
      </w:r>
      <w:r w:rsidRPr="0000666D">
        <w:rPr>
          <w:lang w:val="es-PE"/>
        </w:rPr>
        <w:t>, lo cual no es tarea de la Corte, sino de los Estados. Al hacerlo, la Corte se estaría extralimitando en sus competencias.</w:t>
      </w:r>
    </w:p>
    <w:p w14:paraId="2B9B8EE4" w14:textId="77777777" w:rsidR="00532F1A" w:rsidRPr="0000666D" w:rsidRDefault="00532F1A" w:rsidP="00532F1A">
      <w:pPr>
        <w:pStyle w:val="Numberedparagraphs"/>
        <w:numPr>
          <w:ilvl w:val="0"/>
          <w:numId w:val="0"/>
        </w:numPr>
      </w:pPr>
    </w:p>
    <w:p w14:paraId="33128173" w14:textId="09C58CE2" w:rsidR="001C1A87" w:rsidRPr="0000666D" w:rsidRDefault="001C1A87" w:rsidP="00532F1A">
      <w:pPr>
        <w:pStyle w:val="Prrafodelista"/>
        <w:numPr>
          <w:ilvl w:val="0"/>
          <w:numId w:val="0"/>
        </w:numPr>
        <w:ind w:left="1440"/>
        <w:contextualSpacing/>
        <w:outlineLvl w:val="0"/>
        <w:rPr>
          <w:b/>
          <w:lang w:val="es-PE"/>
        </w:rPr>
      </w:pPr>
      <w:r w:rsidRPr="0000666D">
        <w:rPr>
          <w:b/>
          <w:lang w:val="es-AR"/>
        </w:rPr>
        <w:t>B</w:t>
      </w:r>
      <w:r w:rsidRPr="0000666D">
        <w:rPr>
          <w:b/>
          <w:lang w:val="es-PE"/>
        </w:rPr>
        <w:t>.2 Contexto interno-interpretación sistemática</w:t>
      </w:r>
    </w:p>
    <w:p w14:paraId="7ABA7B96" w14:textId="77777777" w:rsidR="00532F1A" w:rsidRPr="0000666D" w:rsidRDefault="00532F1A" w:rsidP="00532F1A">
      <w:pPr>
        <w:pStyle w:val="Prrafodelista"/>
        <w:numPr>
          <w:ilvl w:val="0"/>
          <w:numId w:val="0"/>
        </w:numPr>
        <w:ind w:left="1440"/>
        <w:contextualSpacing/>
        <w:outlineLvl w:val="0"/>
        <w:rPr>
          <w:b/>
          <w:lang w:val="es-PE"/>
        </w:rPr>
      </w:pPr>
    </w:p>
    <w:p w14:paraId="67FCF10A" w14:textId="77777777" w:rsidR="001C1A87" w:rsidRPr="0000666D" w:rsidRDefault="001C1A87" w:rsidP="001C1A87">
      <w:pPr>
        <w:pStyle w:val="Numberedparagraphs"/>
        <w:numPr>
          <w:ilvl w:val="0"/>
          <w:numId w:val="85"/>
        </w:numPr>
        <w:ind w:left="0" w:firstLine="0"/>
      </w:pPr>
      <w:r w:rsidRPr="0000666D">
        <w:rPr>
          <w:lang w:val="es-CR"/>
        </w:rPr>
        <w:t>L</w:t>
      </w:r>
      <w:r w:rsidRPr="0000666D">
        <w:rPr>
          <w:lang w:val="es-CO"/>
        </w:rPr>
        <w:t>a Corte ha sostenido que las normas deben ser interpretadas como parte de un todo cuyo significado y alcance deben fijarse en función del sistema jurídico al cual pertenecen</w:t>
      </w:r>
      <w:r w:rsidRPr="0000666D">
        <w:rPr>
          <w:rStyle w:val="Refdenotaalpie"/>
          <w:lang w:val="es-CO"/>
        </w:rPr>
        <w:footnoteReference w:id="20"/>
      </w:r>
      <w:r w:rsidRPr="0000666D">
        <w:rPr>
          <w:lang w:val="es-CO"/>
        </w:rPr>
        <w:t xml:space="preserve">. </w:t>
      </w:r>
      <w:r w:rsidRPr="0000666D">
        <w:rPr>
          <w:lang w:val="es-CR"/>
        </w:rPr>
        <w:t>En este sentido, la Corte ha considerado que al dar interpretación a un tratado no sólo se toman en cuenta todas las disposiciones que lo integran, sino también los acuerdos e instrumentos formalmente relacionados con éste (inciso segundo del artículo 31 de la Convención de Viena), así como el sistema dentro del cual se inscribe (inciso tercero del artículo 31), esto es, el sistema interamericano de protección de los derechos humanos</w:t>
      </w:r>
      <w:r w:rsidRPr="0000666D">
        <w:rPr>
          <w:rStyle w:val="Refdenotaalpie"/>
          <w:lang w:val="es-CR"/>
        </w:rPr>
        <w:footnoteReference w:id="21"/>
      </w:r>
      <w:r w:rsidRPr="0000666D">
        <w:rPr>
          <w:lang w:val="es-CR"/>
        </w:rPr>
        <w:t xml:space="preserve">. </w:t>
      </w:r>
    </w:p>
    <w:p w14:paraId="6DB80BC9" w14:textId="77777777" w:rsidR="001C1A87" w:rsidRPr="0000666D" w:rsidRDefault="001C1A87" w:rsidP="001C1A87">
      <w:pPr>
        <w:pStyle w:val="Numberedparagraphs"/>
        <w:numPr>
          <w:ilvl w:val="0"/>
          <w:numId w:val="0"/>
        </w:numPr>
      </w:pPr>
    </w:p>
    <w:p w14:paraId="48A90139" w14:textId="77777777" w:rsidR="001C1A87" w:rsidRPr="0000666D" w:rsidRDefault="001C1A87" w:rsidP="001C1A87">
      <w:pPr>
        <w:pStyle w:val="Numberedparagraphs"/>
        <w:numPr>
          <w:ilvl w:val="0"/>
          <w:numId w:val="85"/>
        </w:numPr>
        <w:ind w:left="0" w:firstLine="0"/>
      </w:pPr>
      <w:r w:rsidRPr="0000666D">
        <w:rPr>
          <w:lang w:val="es-CR"/>
        </w:rPr>
        <w:t>En relación con el resto de disposiciones de la Convención, la Corte ha señalado que el artículo 26 se encuentra en el Capítulo III de la Convención, titulado “Derechos Económicos, Sociales y Culturales”, y también se ubica en la Parte I de dicho instrumento, titulado “Deberes de los Estados y Derechos Protegidos”; por lo que, está sujeto a las obligaciones generales contenidas en los artículos 1.1 y 2 señalados en el capítulo I (titulado “Enumeración de Deberes”), así como lo están los artículos 3 al 25 señalados en el capítulo II (titulado “Derechos Civiles y Políticos”). De esta forma, la Corte ha considerado que las obligaciones generales de “respeto” y “garantía”, conjuntamente con la obligación de “adecuación” del artículo 2 de la propia Convención, aplican a todos los derechos, sean civiles, políticos, económicos, sociales, culturales y ambientales</w:t>
      </w:r>
      <w:r w:rsidRPr="0000666D">
        <w:rPr>
          <w:rStyle w:val="Refdenotaalpie"/>
          <w:lang w:val="es-CR"/>
        </w:rPr>
        <w:footnoteReference w:id="22"/>
      </w:r>
      <w:r w:rsidRPr="0000666D">
        <w:rPr>
          <w:lang w:val="es-CR"/>
        </w:rPr>
        <w:t>.</w:t>
      </w:r>
    </w:p>
    <w:p w14:paraId="16A0D46E" w14:textId="77777777" w:rsidR="001C1A87" w:rsidRPr="0000666D" w:rsidRDefault="001C1A87" w:rsidP="001C1A87">
      <w:pPr>
        <w:ind w:left="1440" w:hanging="360"/>
        <w:rPr>
          <w:lang w:val="es-ES"/>
        </w:rPr>
      </w:pPr>
    </w:p>
    <w:p w14:paraId="330248F1" w14:textId="77777777" w:rsidR="001C1A87" w:rsidRPr="0000666D" w:rsidRDefault="001C1A87" w:rsidP="001C1A87">
      <w:pPr>
        <w:pStyle w:val="Numberedparagraphs"/>
        <w:numPr>
          <w:ilvl w:val="0"/>
          <w:numId w:val="85"/>
        </w:numPr>
        <w:ind w:left="0" w:firstLine="0"/>
      </w:pPr>
      <w:r w:rsidRPr="0000666D">
        <w:rPr>
          <w:lang w:val="es-ES"/>
        </w:rPr>
        <w:t xml:space="preserve">Lo anterior no conlleva a que se interprete la exigibilidad directa de un derecho en particular, es decir en su dimensión individual, ni le otorga competencia a la Corte para su judicialización. Lo que el párrafo precedente establece, es simplemente que lo dispuesto en los artículos 1.1 y 2 de la Convención también se aplica a </w:t>
      </w:r>
      <w:r w:rsidRPr="0000666D">
        <w:rPr>
          <w:lang w:val="es-CR"/>
        </w:rPr>
        <w:t>la obligación de desarrollo progresivo de los derechos, es decir a la dimensión progresiva de los derechos que se pudieran derivar de la Carta</w:t>
      </w:r>
      <w:r w:rsidRPr="0000666D">
        <w:rPr>
          <w:lang w:val="es-ES"/>
        </w:rPr>
        <w:t>, la cual implica la adopción de medidas, ya sean legislativas o de cualquier otra naturaleza para lograr la progresividad de los DESCA. La forma en la cual la violación a estos derechos opera en conjunto con los deberes de garantía y respeto, deberá ser analizada por esta Corte en cada caso concreto.</w:t>
      </w:r>
    </w:p>
    <w:p w14:paraId="79B51C3D" w14:textId="77777777" w:rsidR="001C1A87" w:rsidRPr="0000666D" w:rsidRDefault="001C1A87" w:rsidP="001C1A87">
      <w:pPr>
        <w:pStyle w:val="Prrafodelista"/>
        <w:numPr>
          <w:ilvl w:val="0"/>
          <w:numId w:val="0"/>
        </w:numPr>
        <w:ind w:left="1440"/>
        <w:rPr>
          <w:rFonts w:eastAsia="Times" w:cs="Arial"/>
          <w:lang w:val="es-MX"/>
        </w:rPr>
      </w:pPr>
    </w:p>
    <w:p w14:paraId="3409566F" w14:textId="77777777" w:rsidR="001C1A87" w:rsidRPr="0000666D" w:rsidRDefault="001C1A87" w:rsidP="001C1A87">
      <w:pPr>
        <w:pStyle w:val="Numberedparagraphs"/>
        <w:numPr>
          <w:ilvl w:val="0"/>
          <w:numId w:val="85"/>
        </w:numPr>
        <w:ind w:left="0" w:firstLine="0"/>
      </w:pPr>
      <w:r w:rsidRPr="0000666D">
        <w:rPr>
          <w:rFonts w:eastAsia="Times" w:cs="Arial"/>
          <w:lang w:val="es-MX"/>
        </w:rPr>
        <w:t>Asimismo, una interpretación sistemática del artículo 26 de la Convención no puede dejar de lado la adopción de</w:t>
      </w:r>
      <w:r w:rsidRPr="0000666D">
        <w:rPr>
          <w:lang w:val="es-PE"/>
        </w:rPr>
        <w:t xml:space="preserve">l Protocolo de San Salvador </w:t>
      </w:r>
      <w:r w:rsidRPr="0000666D">
        <w:rPr>
          <w:lang w:val="es-CO"/>
        </w:rPr>
        <w:t xml:space="preserve">adoptado </w:t>
      </w:r>
      <w:r w:rsidRPr="0000666D">
        <w:rPr>
          <w:lang w:val="es-CR"/>
        </w:rPr>
        <w:t>el 17 de noviembre de 1988 y en vigor desde el 16 de noviembre de 1999</w:t>
      </w:r>
      <w:r w:rsidRPr="0000666D">
        <w:rPr>
          <w:rStyle w:val="Refdenotaalpie"/>
          <w:lang w:val="es-CR"/>
        </w:rPr>
        <w:footnoteReference w:id="23"/>
      </w:r>
      <w:r w:rsidRPr="0000666D">
        <w:rPr>
          <w:lang w:val="es-CR"/>
        </w:rPr>
        <w:t xml:space="preserve">. </w:t>
      </w:r>
      <w:r w:rsidRPr="0000666D">
        <w:rPr>
          <w:lang w:val="es-PE"/>
        </w:rPr>
        <w:t xml:space="preserve">Sobre la naturaleza de los protocolos, cabe recordar que éstos en el derecho internacional público son </w:t>
      </w:r>
      <w:r w:rsidRPr="0000666D">
        <w:rPr>
          <w:lang w:val="es-CO"/>
        </w:rPr>
        <w:t>acuerdos independientes pero subsidiarios a un tratado que adicionan, aclaran, modifican o complementan el contenido procedimental o sustancial del mismo. La existencia de un protocolo está directamente ligada a la existencia del tratado, es decir, sin tratado base no existe protocolo</w:t>
      </w:r>
      <w:r w:rsidRPr="0000666D">
        <w:rPr>
          <w:rStyle w:val="Refdenotaalpie"/>
          <w:lang w:val="es-CO"/>
        </w:rPr>
        <w:footnoteReference w:id="24"/>
      </w:r>
      <w:r w:rsidRPr="0000666D">
        <w:rPr>
          <w:lang w:val="es-CO"/>
        </w:rPr>
        <w:t xml:space="preserve">. En este sentido, </w:t>
      </w:r>
      <w:r w:rsidRPr="0000666D">
        <w:rPr>
          <w:lang w:val="es-PE"/>
        </w:rPr>
        <w:t>la Convención Americana no debe de interpretarse de forma aislada sin tener en cuenta su Protocolo, por cuanto son tratados complementarios que deben ser leídos e interpretados de manera conjunta.</w:t>
      </w:r>
    </w:p>
    <w:p w14:paraId="6545A6FB" w14:textId="77777777" w:rsidR="001C1A87" w:rsidRPr="0000666D" w:rsidRDefault="001C1A87" w:rsidP="001C1A87">
      <w:pPr>
        <w:pStyle w:val="Prrafodelista"/>
        <w:numPr>
          <w:ilvl w:val="0"/>
          <w:numId w:val="0"/>
        </w:numPr>
        <w:ind w:left="1440"/>
        <w:rPr>
          <w:rFonts w:eastAsia="Times" w:cs="Arial"/>
          <w:lang w:val="es-MX"/>
        </w:rPr>
      </w:pPr>
    </w:p>
    <w:p w14:paraId="3C23D00A" w14:textId="22464366" w:rsidR="001C1A87" w:rsidRPr="0000666D" w:rsidRDefault="001C1A87" w:rsidP="001C1A87">
      <w:pPr>
        <w:pStyle w:val="Numberedparagraphs"/>
        <w:numPr>
          <w:ilvl w:val="0"/>
          <w:numId w:val="85"/>
        </w:numPr>
        <w:ind w:left="0" w:firstLine="0"/>
      </w:pPr>
      <w:r w:rsidRPr="0000666D">
        <w:rPr>
          <w:rFonts w:eastAsia="Times" w:cs="Arial"/>
          <w:lang w:val="es-MX"/>
        </w:rPr>
        <w:t xml:space="preserve">Ahora bien, con base en el artículo 77.1 de la Convención, los Estados adoptaron el </w:t>
      </w:r>
      <w:r w:rsidRPr="0000666D">
        <w:rPr>
          <w:lang w:val="es-PE"/>
        </w:rPr>
        <w:t>Protocolo de San Salvador</w:t>
      </w:r>
      <w:r w:rsidRPr="0000666D">
        <w:rPr>
          <w:rFonts w:eastAsia="Times" w:cs="Arial"/>
          <w:lang w:val="es-MX"/>
        </w:rPr>
        <w:t xml:space="preserve"> con “la </w:t>
      </w:r>
      <w:r w:rsidRPr="0000666D">
        <w:rPr>
          <w:lang w:val="es-PE"/>
        </w:rPr>
        <w:t xml:space="preserve">finalidad de incluir progresivamente en el régimen de protección de la [Convención] otros derechos y libertades”, entiéndase no recogidos en la Convención. Es decir que, el Protocolo fue adoptado para establecer, de manera clara y precisa, un catálogo de derechos económicos, sociales, culturales y ambientales, que la Convención Americana no reconocía expresamente, si bien algunos de ellos pueden ser derivados de la Carta, como fue mencionado </w:t>
      </w:r>
      <w:r w:rsidRPr="0000666D">
        <w:rPr>
          <w:i/>
          <w:lang w:val="es-PE"/>
        </w:rPr>
        <w:t>supra</w:t>
      </w:r>
      <w:r w:rsidRPr="0000666D">
        <w:rPr>
          <w:lang w:val="es-PE"/>
        </w:rPr>
        <w:t xml:space="preserve">. Sin embargo, si bien el Protocolo establece un catálogo más claro de DESCA, ello no significa que </w:t>
      </w:r>
      <w:r w:rsidR="005E2207" w:rsidRPr="0000666D">
        <w:rPr>
          <w:lang w:val="es-PE"/>
        </w:rPr>
        <w:t>esta</w:t>
      </w:r>
      <w:r w:rsidRPr="0000666D">
        <w:rPr>
          <w:lang w:val="es-PE"/>
        </w:rPr>
        <w:t xml:space="preserve"> Corte sea competente para analizar violaciones de cualquiera de sus artículos. Por el contrario, el artículo 19.6 del Protocolo estipula claramente que los únicos derechos que pueden ser objeto de supervisión por medio del mecanismo de peticiones individuales son “</w:t>
      </w:r>
      <w:r w:rsidRPr="0000666D">
        <w:rPr>
          <w:rFonts w:cs="Tahoma"/>
          <w:shd w:val="clear" w:color="auto" w:fill="FFFFFF"/>
          <w:lang w:val="es-PE"/>
        </w:rPr>
        <w:t xml:space="preserve">los derechos establecidos en el párrafo a) del artículo 8 y en el artículo 13”. En este sentido, </w:t>
      </w:r>
      <w:r w:rsidRPr="0000666D">
        <w:rPr>
          <w:lang w:val="es-CR"/>
        </w:rPr>
        <w:t xml:space="preserve">es a través del Protocolo de San Salvador que los Estados </w:t>
      </w:r>
      <w:r w:rsidRPr="0000666D">
        <w:rPr>
          <w:lang w:val="es-PE"/>
        </w:rPr>
        <w:t>de la región, por primera vez, definieron cuáles son los DESCA que en su dimensión individual, pueden ser justiciables de manera directa y para casos en concreto.</w:t>
      </w:r>
    </w:p>
    <w:p w14:paraId="44F0D5D7" w14:textId="77777777" w:rsidR="001C1A87" w:rsidRPr="0000666D" w:rsidRDefault="001C1A87" w:rsidP="001C1A87">
      <w:pPr>
        <w:pStyle w:val="Numberedparagraphs"/>
        <w:numPr>
          <w:ilvl w:val="0"/>
          <w:numId w:val="0"/>
        </w:numPr>
      </w:pPr>
    </w:p>
    <w:p w14:paraId="66487A83" w14:textId="7C94680F" w:rsidR="001C1A87" w:rsidRPr="0000666D" w:rsidRDefault="001C1A87" w:rsidP="001C1A87">
      <w:pPr>
        <w:pStyle w:val="Numberedparagraphs"/>
        <w:numPr>
          <w:ilvl w:val="0"/>
          <w:numId w:val="85"/>
        </w:numPr>
        <w:ind w:left="0" w:firstLine="0"/>
      </w:pPr>
      <w:r w:rsidRPr="0000666D">
        <w:rPr>
          <w:rFonts w:eastAsia="Times" w:cs="Arial"/>
          <w:lang w:val="es-MX"/>
        </w:rPr>
        <w:t xml:space="preserve">Asimismo, si bien la competencia de la Corte respecto del artículo 26 se refiere solo a la </w:t>
      </w:r>
      <w:r w:rsidRPr="0000666D">
        <w:rPr>
          <w:lang w:val="es-CR"/>
        </w:rPr>
        <w:t xml:space="preserve">supervisión de manera directa del cumplimiento de la obligación de desarrollo progresivo y su consecuente deber de no regresividad de los derechos que podrían derivarse de la Carta, el Protocolo de San Salvador, complementa el contenido sustancial y sobre todo procedimental de la Convención, al otorgar competencia, por primera vez, </w:t>
      </w:r>
      <w:r w:rsidRPr="0000666D">
        <w:rPr>
          <w:rFonts w:eastAsia="Times" w:cs="Arial"/>
          <w:lang w:val="es-MX"/>
        </w:rPr>
        <w:t xml:space="preserve">a </w:t>
      </w:r>
      <w:r w:rsidRPr="0000666D">
        <w:rPr>
          <w:lang w:val="es-PE"/>
        </w:rPr>
        <w:t xml:space="preserve">la Comisión y a la Corte para conocer de casos contenciosos que impliquen la violación, en casos concretos y que se refieran a la dimensión individual de algunos derechos sindicales y del derecho a la educación, competencia que la Convención no establece. Es decir que lo que hace el Protocolo no solo es incorporar de manera más exacta a los DESCA, sino ampliar su ámbito de protección, en particular para los </w:t>
      </w:r>
      <w:r w:rsidRPr="0000666D">
        <w:rPr>
          <w:lang w:val="es-PE"/>
        </w:rPr>
        <w:lastRenderedPageBreak/>
        <w:t xml:space="preserve">Estados que son parte del mismo. Por ello, </w:t>
      </w:r>
      <w:r w:rsidRPr="0000666D">
        <w:rPr>
          <w:rFonts w:eastAsia="Batang" w:cs="Arial"/>
          <w:iCs/>
          <w:lang w:val="es-PE"/>
        </w:rPr>
        <w:t xml:space="preserve">el artículo 19.6 del Protocolo </w:t>
      </w:r>
      <w:r w:rsidRPr="0000666D">
        <w:rPr>
          <w:lang w:val="es-PE"/>
        </w:rPr>
        <w:t xml:space="preserve">no debe entenderse como contradictorio con lo dispuesto con el artículo 26 de la Convención Americana, sino como complementario; ya que, como se dijo, esta última no otorga competencia a la Corte para analizar violaciones de derechos económicos, sociales, culturales y ambientales en su dimensión individual, sino solo en el marco de la obligación de progresividad. En este sentido, el Protocolo no modifica la Convención Americana en el sentido de restarle competencia en relación con el artículo 26 en cuanto a la dimensión individual de los DESCA, porque </w:t>
      </w:r>
      <w:r w:rsidR="005E2207" w:rsidRPr="0000666D">
        <w:rPr>
          <w:lang w:val="es-PE"/>
        </w:rPr>
        <w:t>é</w:t>
      </w:r>
      <w:r w:rsidRPr="0000666D">
        <w:rPr>
          <w:lang w:val="es-PE"/>
        </w:rPr>
        <w:t>sta nunca fue otorgada en la Convención, sino que se la otorga, por primera vez, en cuanto a los dos artículos previamente citados.</w:t>
      </w:r>
    </w:p>
    <w:p w14:paraId="0590D287" w14:textId="77777777" w:rsidR="001C1A87" w:rsidRPr="0000666D" w:rsidRDefault="001C1A87" w:rsidP="001C1A87">
      <w:pPr>
        <w:pStyle w:val="Numberedparagraphs"/>
        <w:numPr>
          <w:ilvl w:val="0"/>
          <w:numId w:val="0"/>
        </w:numPr>
      </w:pPr>
    </w:p>
    <w:p w14:paraId="1FE93DD7" w14:textId="77777777" w:rsidR="001C1A87" w:rsidRPr="0000666D" w:rsidRDefault="001C1A87" w:rsidP="001C1A87">
      <w:pPr>
        <w:pStyle w:val="Numberedparagraphs"/>
        <w:numPr>
          <w:ilvl w:val="0"/>
          <w:numId w:val="85"/>
        </w:numPr>
        <w:ind w:left="0" w:firstLine="0"/>
      </w:pPr>
      <w:r w:rsidRPr="0000666D">
        <w:rPr>
          <w:lang w:val="es-PE"/>
        </w:rPr>
        <w:t>Ahora bien, es relevante señalar que los derechos reconocidos por el Protocolo y las obligaciones de los Estados Parte derivadas de estos, son independientes al hecho de que la Corte tenga competencia para declarar violaciones en el marco de su función contenciosa. Simplemente que para la vigilancia de cumplimiento de estos derechos los Estados dispusieron otros mecanismos, como lo son los establecidos en los demás incisos del artículo 19 del Protocolo.</w:t>
      </w:r>
    </w:p>
    <w:p w14:paraId="51F62ECE" w14:textId="77777777" w:rsidR="001C1A87" w:rsidRPr="0000666D" w:rsidRDefault="001C1A87" w:rsidP="001C1A87">
      <w:pPr>
        <w:pStyle w:val="Prrafodelista"/>
        <w:numPr>
          <w:ilvl w:val="0"/>
          <w:numId w:val="0"/>
        </w:numPr>
        <w:ind w:left="1440"/>
        <w:rPr>
          <w:lang w:val="es-PE"/>
        </w:rPr>
      </w:pPr>
    </w:p>
    <w:p w14:paraId="000682CF" w14:textId="0D00089E" w:rsidR="000E347E" w:rsidRPr="0000666D" w:rsidRDefault="001C1A87" w:rsidP="000E347E">
      <w:pPr>
        <w:pStyle w:val="Numberedparagraphs"/>
        <w:numPr>
          <w:ilvl w:val="0"/>
          <w:numId w:val="85"/>
        </w:numPr>
        <w:ind w:left="0" w:firstLine="0"/>
      </w:pPr>
      <w:r w:rsidRPr="0000666D">
        <w:rPr>
          <w:lang w:val="es-PE"/>
        </w:rPr>
        <w:t xml:space="preserve">Con base en lo antes señalado, </w:t>
      </w:r>
      <w:r w:rsidR="005E2207" w:rsidRPr="0000666D">
        <w:rPr>
          <w:lang w:val="es-PE"/>
        </w:rPr>
        <w:t xml:space="preserve">considero que </w:t>
      </w:r>
      <w:r w:rsidRPr="0000666D">
        <w:rPr>
          <w:lang w:val="es-PE"/>
        </w:rPr>
        <w:t>la Corte puede conocer de casos contenciosos en los que se argumente la violación de la obligación de desarrollo progresivo de los derechos que se pudieran derivar de la Carta, en virtud el artículo 26 de la Convención, así como de aquellos casos en que se alegue la vulneración de los artículos 8.a y 13 del Protocolo.</w:t>
      </w:r>
    </w:p>
    <w:p w14:paraId="65AC7C98" w14:textId="77777777" w:rsidR="001C1A87" w:rsidRPr="0000666D" w:rsidRDefault="001C1A87" w:rsidP="001C1A87">
      <w:pPr>
        <w:pStyle w:val="Prrafodelista"/>
        <w:numPr>
          <w:ilvl w:val="0"/>
          <w:numId w:val="0"/>
        </w:numPr>
        <w:ind w:left="1440"/>
        <w:rPr>
          <w:rFonts w:eastAsia="Times" w:cs="Arial"/>
          <w:lang w:val="es-MX"/>
        </w:rPr>
      </w:pPr>
    </w:p>
    <w:p w14:paraId="2534B18E" w14:textId="77777777" w:rsidR="001C1A87" w:rsidRPr="0000666D" w:rsidRDefault="001C1A87" w:rsidP="001C1A87">
      <w:pPr>
        <w:pStyle w:val="Prrafodelista"/>
        <w:numPr>
          <w:ilvl w:val="0"/>
          <w:numId w:val="0"/>
        </w:numPr>
        <w:ind w:left="1440"/>
        <w:contextualSpacing/>
        <w:outlineLvl w:val="0"/>
        <w:rPr>
          <w:b/>
          <w:lang w:val="es-PE"/>
        </w:rPr>
      </w:pPr>
      <w:r w:rsidRPr="0000666D">
        <w:rPr>
          <w:b/>
          <w:lang w:val="es-AR"/>
        </w:rPr>
        <w:t>B</w:t>
      </w:r>
      <w:r w:rsidRPr="0000666D">
        <w:rPr>
          <w:b/>
          <w:lang w:val="es-PE"/>
        </w:rPr>
        <w:t>.3 Interpretación Teleológica</w:t>
      </w:r>
    </w:p>
    <w:p w14:paraId="718C625C" w14:textId="77777777" w:rsidR="001C1A87" w:rsidRPr="0000666D" w:rsidRDefault="001C1A87" w:rsidP="001C1A87">
      <w:pPr>
        <w:pStyle w:val="Prrafodelista"/>
        <w:numPr>
          <w:ilvl w:val="0"/>
          <w:numId w:val="0"/>
        </w:numPr>
        <w:ind w:left="1440"/>
        <w:rPr>
          <w:rFonts w:eastAsia="Times" w:cs="Arial"/>
          <w:lang w:val="es-MX"/>
        </w:rPr>
      </w:pPr>
    </w:p>
    <w:p w14:paraId="31A65218" w14:textId="68414814" w:rsidR="001C1A87" w:rsidRPr="0000666D" w:rsidRDefault="005E2207" w:rsidP="001C1A87">
      <w:pPr>
        <w:pStyle w:val="Numberedparagraphs"/>
        <w:numPr>
          <w:ilvl w:val="0"/>
          <w:numId w:val="85"/>
        </w:numPr>
        <w:ind w:left="0" w:firstLine="0"/>
      </w:pPr>
      <w:r w:rsidRPr="0000666D">
        <w:rPr>
          <w:rFonts w:eastAsia="Times" w:cs="Arial"/>
          <w:lang w:val="es-MX"/>
        </w:rPr>
        <w:t>De</w:t>
      </w:r>
      <w:r w:rsidR="00C9115B">
        <w:rPr>
          <w:rFonts w:eastAsia="Times" w:cs="Arial"/>
          <w:lang w:val="es-MX"/>
        </w:rPr>
        <w:t>b</w:t>
      </w:r>
      <w:r w:rsidRPr="0000666D">
        <w:rPr>
          <w:rFonts w:eastAsia="Times" w:cs="Arial"/>
          <w:lang w:val="es-MX"/>
        </w:rPr>
        <w:t xml:space="preserve">o </w:t>
      </w:r>
      <w:r w:rsidR="001C1A87" w:rsidRPr="0000666D">
        <w:rPr>
          <w:rFonts w:eastAsia="Times" w:cs="Arial"/>
          <w:lang w:val="es-MX"/>
        </w:rPr>
        <w:t>rec</w:t>
      </w:r>
      <w:r w:rsidRPr="0000666D">
        <w:rPr>
          <w:rFonts w:eastAsia="Times" w:cs="Arial"/>
          <w:lang w:val="es-MX"/>
        </w:rPr>
        <w:t>ordar</w:t>
      </w:r>
      <w:r w:rsidR="001C1A87" w:rsidRPr="0000666D">
        <w:rPr>
          <w:rFonts w:eastAsia="Times" w:cs="Arial"/>
          <w:lang w:val="es-MX"/>
        </w:rPr>
        <w:t xml:space="preserve"> que en una interpretación teleológica se analiza el propósito de las normas involucradas, para lo cual es </w:t>
      </w:r>
      <w:r w:rsidRPr="0000666D">
        <w:rPr>
          <w:rFonts w:eastAsia="Times" w:cs="Arial"/>
          <w:lang w:val="es-MX"/>
        </w:rPr>
        <w:t>oportuno</w:t>
      </w:r>
      <w:r w:rsidR="001C1A87" w:rsidRPr="0000666D">
        <w:rPr>
          <w:rFonts w:eastAsia="Times" w:cs="Arial"/>
          <w:lang w:val="es-MX"/>
        </w:rPr>
        <w:t xml:space="preserve"> analizar el objeto y fin del tratado mismo y, de ser pertinente, los propósitos del sistema regional de protección</w:t>
      </w:r>
      <w:r w:rsidR="001C1A87" w:rsidRPr="0000666D">
        <w:rPr>
          <w:rStyle w:val="Refdenotaalpie"/>
          <w:rFonts w:eastAsia="Times"/>
        </w:rPr>
        <w:footnoteReference w:id="25"/>
      </w:r>
      <w:r w:rsidR="001C1A87" w:rsidRPr="0000666D">
        <w:rPr>
          <w:rFonts w:eastAsia="Times" w:cs="Arial"/>
          <w:lang w:val="es-MX"/>
        </w:rPr>
        <w:t xml:space="preserve">. Conforme a lo señalado por la Corte, </w:t>
      </w:r>
      <w:r w:rsidR="001C1A87" w:rsidRPr="0000666D">
        <w:rPr>
          <w:lang w:val="es-CR"/>
        </w:rPr>
        <w:t xml:space="preserve">el objeto y fin de la Convención Americana es “la protección de los derechos fundamentales de los seres humanos”. </w:t>
      </w:r>
      <w:r w:rsidR="001C1A87" w:rsidRPr="0000666D">
        <w:rPr>
          <w:rFonts w:eastAsia="Times" w:cs="Arial"/>
          <w:lang w:val="es-MX"/>
        </w:rPr>
        <w:t xml:space="preserve">Asimismo, </w:t>
      </w:r>
      <w:r w:rsidR="001C1A87" w:rsidRPr="0000666D">
        <w:rPr>
          <w:lang w:val="es-CR"/>
        </w:rPr>
        <w:t>la Convención Americana prevé expresamente determinadas pautas de interpretación en su artículo 29</w:t>
      </w:r>
      <w:r w:rsidR="001C1A87" w:rsidRPr="0000666D">
        <w:rPr>
          <w:rStyle w:val="Refdenotaalpie"/>
          <w:lang w:val="es-CR"/>
        </w:rPr>
        <w:footnoteReference w:id="26"/>
      </w:r>
      <w:r w:rsidR="001C1A87" w:rsidRPr="0000666D">
        <w:rPr>
          <w:lang w:val="es-CR"/>
        </w:rPr>
        <w:t xml:space="preserve">, entre las que alberga el principio </w:t>
      </w:r>
      <w:proofErr w:type="spellStart"/>
      <w:r w:rsidR="001C1A87" w:rsidRPr="0000666D">
        <w:rPr>
          <w:i/>
          <w:lang w:val="es-CR"/>
        </w:rPr>
        <w:t>pro</w:t>
      </w:r>
      <w:proofErr w:type="spellEnd"/>
      <w:r w:rsidR="001C1A87" w:rsidRPr="0000666D">
        <w:rPr>
          <w:i/>
          <w:lang w:val="es-CR"/>
        </w:rPr>
        <w:t xml:space="preserve"> persona</w:t>
      </w:r>
      <w:r w:rsidR="001C1A87" w:rsidRPr="0000666D">
        <w:rPr>
          <w:lang w:val="es-CR"/>
        </w:rPr>
        <w:t>.</w:t>
      </w:r>
    </w:p>
    <w:p w14:paraId="54A82122" w14:textId="77777777" w:rsidR="001C1A87" w:rsidRPr="0000666D" w:rsidRDefault="001C1A87" w:rsidP="001C1A87">
      <w:pPr>
        <w:pStyle w:val="Numberedparagraphs"/>
        <w:numPr>
          <w:ilvl w:val="0"/>
          <w:numId w:val="0"/>
        </w:numPr>
      </w:pPr>
    </w:p>
    <w:p w14:paraId="510BFAF4" w14:textId="77777777" w:rsidR="001C1A87" w:rsidRPr="0000666D" w:rsidRDefault="001C1A87" w:rsidP="001C1A87">
      <w:pPr>
        <w:pStyle w:val="Numberedparagraphs"/>
        <w:numPr>
          <w:ilvl w:val="0"/>
          <w:numId w:val="85"/>
        </w:numPr>
        <w:ind w:left="0" w:firstLine="0"/>
      </w:pPr>
      <w:r w:rsidRPr="0000666D">
        <w:rPr>
          <w:lang w:val="es-CR"/>
        </w:rPr>
        <w:t xml:space="preserve">Ahora bien, en cuanto a la interpretación conforme al objeto y fin de la Convención Americana, y el principio </w:t>
      </w:r>
      <w:proofErr w:type="spellStart"/>
      <w:r w:rsidRPr="0000666D">
        <w:rPr>
          <w:i/>
          <w:lang w:val="es-CR"/>
        </w:rPr>
        <w:t>pro</w:t>
      </w:r>
      <w:proofErr w:type="spellEnd"/>
      <w:r w:rsidRPr="0000666D">
        <w:rPr>
          <w:i/>
          <w:lang w:val="es-CR"/>
        </w:rPr>
        <w:t xml:space="preserve"> persona</w:t>
      </w:r>
      <w:r w:rsidRPr="0000666D">
        <w:rPr>
          <w:lang w:val="es-CR"/>
        </w:rPr>
        <w:t>, es importante destacar que la Corte, al momento de realizar su labor interpretativa, no debe considerarlos de manera aislada, sino en conjunto con los otros métodos de interpretación. En este sentido, si bien el objeto y fin de la Convención Americana es “la protección de los derechos fundamentales de los seres humanos”, dicho objeto debe entenderse dentro de los límites que establece el propio tratado y conforme a las garantías que esta reconoce</w:t>
      </w:r>
      <w:r w:rsidRPr="0000666D">
        <w:rPr>
          <w:rStyle w:val="Refdenotaalpie"/>
          <w:lang w:val="es-CR"/>
        </w:rPr>
        <w:footnoteReference w:id="27"/>
      </w:r>
      <w:r w:rsidRPr="0000666D">
        <w:rPr>
          <w:lang w:val="es-CR"/>
        </w:rPr>
        <w:t xml:space="preserve">. </w:t>
      </w:r>
    </w:p>
    <w:p w14:paraId="53A7482B" w14:textId="77777777" w:rsidR="001C1A87" w:rsidRPr="0000666D" w:rsidRDefault="001C1A87" w:rsidP="001C1A87">
      <w:pPr>
        <w:pStyle w:val="Prrafodelista"/>
        <w:numPr>
          <w:ilvl w:val="0"/>
          <w:numId w:val="0"/>
        </w:numPr>
        <w:ind w:left="1440"/>
        <w:rPr>
          <w:rFonts w:eastAsia="Times" w:cs="Arial"/>
          <w:lang w:val="es-MX"/>
        </w:rPr>
      </w:pPr>
    </w:p>
    <w:p w14:paraId="5388782E" w14:textId="77777777" w:rsidR="001C1A87" w:rsidRPr="0000666D" w:rsidRDefault="001C1A87" w:rsidP="001C1A87">
      <w:pPr>
        <w:pStyle w:val="Numberedparagraphs"/>
        <w:numPr>
          <w:ilvl w:val="0"/>
          <w:numId w:val="85"/>
        </w:numPr>
        <w:ind w:left="0" w:firstLine="0"/>
      </w:pPr>
      <w:r w:rsidRPr="0000666D">
        <w:rPr>
          <w:rFonts w:eastAsia="Times" w:cs="Arial"/>
          <w:lang w:val="es-MX"/>
        </w:rPr>
        <w:lastRenderedPageBreak/>
        <w:t xml:space="preserve">A su </w:t>
      </w:r>
      <w:r w:rsidRPr="0000666D">
        <w:rPr>
          <w:lang w:val="es-CR"/>
        </w:rPr>
        <w:t xml:space="preserve">vez, el principio </w:t>
      </w:r>
      <w:r w:rsidRPr="0000666D">
        <w:rPr>
          <w:i/>
          <w:lang w:val="es-CR"/>
        </w:rPr>
        <w:t xml:space="preserve">pro persona </w:t>
      </w:r>
      <w:r w:rsidRPr="0000666D">
        <w:rPr>
          <w:lang w:val="es-CR"/>
        </w:rPr>
        <w:t xml:space="preserve">implica que, al interpretar la disposición de un tratado, se deberá privilegiar la aplicación de la norma que otorgue mayor protección a los derechos de la persona y/o se deberá interpretar los derechos de una manera amplia y a favor del individuo. Sin embargo, la aplicación de este principio no puede desplazar la utilización de los otros métodos de interpretación, ni puede desconocer los resultados alcanzados como consecuencia de los mismos; ya que, todos ellos deben ser entendidos en su conjunto. De afirmarse lo contrario, la aplicación irrestricta del principio </w:t>
      </w:r>
      <w:r w:rsidRPr="0000666D">
        <w:rPr>
          <w:i/>
          <w:lang w:val="es-CR"/>
        </w:rPr>
        <w:t>pro persona</w:t>
      </w:r>
      <w:r w:rsidRPr="0000666D">
        <w:rPr>
          <w:lang w:val="es-CR"/>
        </w:rPr>
        <w:t xml:space="preserve"> conduciría a la deslegitimación del accionar del intérprete</w:t>
      </w:r>
      <w:r w:rsidRPr="0000666D">
        <w:rPr>
          <w:rStyle w:val="Refdenotaalpie"/>
          <w:lang w:val="es-CR"/>
        </w:rPr>
        <w:footnoteReference w:id="28"/>
      </w:r>
      <w:r w:rsidRPr="0000666D">
        <w:rPr>
          <w:lang w:val="es-CR"/>
        </w:rPr>
        <w:t>.</w:t>
      </w:r>
    </w:p>
    <w:p w14:paraId="35775F64" w14:textId="77777777" w:rsidR="001C1A87" w:rsidRPr="0000666D" w:rsidRDefault="001C1A87" w:rsidP="001C1A87">
      <w:pPr>
        <w:pStyle w:val="Prrafodelista"/>
        <w:numPr>
          <w:ilvl w:val="0"/>
          <w:numId w:val="0"/>
        </w:numPr>
        <w:ind w:left="1440"/>
        <w:rPr>
          <w:rFonts w:eastAsia="Times" w:cs="Arial"/>
          <w:lang w:val="es-ES_tradnl"/>
        </w:rPr>
      </w:pPr>
    </w:p>
    <w:p w14:paraId="3F9361A2" w14:textId="2D0AFBE0" w:rsidR="001C1A87" w:rsidRPr="0000666D" w:rsidRDefault="001C1A87" w:rsidP="001C1A87">
      <w:pPr>
        <w:pStyle w:val="Numberedparagraphs"/>
        <w:numPr>
          <w:ilvl w:val="0"/>
          <w:numId w:val="85"/>
        </w:numPr>
        <w:ind w:left="0" w:firstLine="0"/>
      </w:pPr>
      <w:r w:rsidRPr="0000666D">
        <w:rPr>
          <w:rFonts w:eastAsia="Times" w:cs="Arial"/>
          <w:lang w:val="es-MX"/>
        </w:rPr>
        <w:t xml:space="preserve">Por ello, si de los métodos de interpretación anteriormente señalados, es claro que la Convención no le otorga competencia a los órganos del sistema para proteger de manera directa a los DESCA en su dimensión individual, ni el objeto y fin de la Convención ni el principio </w:t>
      </w:r>
      <w:r w:rsidRPr="0000666D">
        <w:rPr>
          <w:rFonts w:eastAsia="Times" w:cs="Arial"/>
          <w:i/>
          <w:lang w:val="es-MX"/>
        </w:rPr>
        <w:t>pro persona</w:t>
      </w:r>
      <w:r w:rsidRPr="0000666D">
        <w:rPr>
          <w:rFonts w:eastAsia="Times" w:cs="Arial"/>
          <w:lang w:val="es-MX"/>
        </w:rPr>
        <w:t xml:space="preserve"> pueden utilizarse para arribar a un resultado distinto. Estos no pueden </w:t>
      </w:r>
      <w:r w:rsidRPr="0000666D">
        <w:rPr>
          <w:lang w:val="es-PE"/>
        </w:rPr>
        <w:t>ser utilizados para validar una opción interpretativa que no se desprende de la norma y que por el contrario implica una modificación de la misma.</w:t>
      </w:r>
      <w:r w:rsidRPr="0000666D">
        <w:rPr>
          <w:rFonts w:eastAsia="Times" w:cs="Arial"/>
          <w:lang w:val="es-MX"/>
        </w:rPr>
        <w:t xml:space="preserve"> En este caso no se </w:t>
      </w:r>
      <w:r w:rsidRPr="0000666D">
        <w:rPr>
          <w:lang w:val="es-PE"/>
        </w:rPr>
        <w:t xml:space="preserve">está frente a una interpretación más garantista de la norma que permita la aplicación del principio </w:t>
      </w:r>
      <w:r w:rsidRPr="0000666D">
        <w:rPr>
          <w:i/>
          <w:lang w:val="es-PE"/>
        </w:rPr>
        <w:t>pro persona</w:t>
      </w:r>
      <w:r w:rsidRPr="0000666D">
        <w:rPr>
          <w:lang w:val="es-PE"/>
        </w:rPr>
        <w:t xml:space="preserve"> pues éste debe ser aplicado cuando la Corte se encuentre frente a dos posibles interpretaciones válidas y ciertas</w:t>
      </w:r>
      <w:r w:rsidR="00C9115B">
        <w:rPr>
          <w:lang w:val="es-PE"/>
        </w:rPr>
        <w:t xml:space="preserve"> de un precepto convencional</w:t>
      </w:r>
      <w:r w:rsidRPr="0000666D">
        <w:rPr>
          <w:lang w:val="es-PE"/>
        </w:rPr>
        <w:t xml:space="preserve">. Justamente, la </w:t>
      </w:r>
      <w:proofErr w:type="spellStart"/>
      <w:r w:rsidRPr="0000666D">
        <w:rPr>
          <w:lang w:val="es-PE"/>
        </w:rPr>
        <w:t>justiciabilidad</w:t>
      </w:r>
      <w:proofErr w:type="spellEnd"/>
      <w:r w:rsidRPr="0000666D">
        <w:rPr>
          <w:lang w:val="es-PE"/>
        </w:rPr>
        <w:t xml:space="preserve"> directa de los DESCA como derechos individuales, a partir del artículo 26 de la Convención no es una interpretación válida; dado que, lo que se está intentando es derivar un enunciado interpretativo que no corresponde a la disposición interpretada</w:t>
      </w:r>
      <w:r w:rsidRPr="0000666D">
        <w:rPr>
          <w:rStyle w:val="Refdenotaalpie"/>
        </w:rPr>
        <w:footnoteReference w:id="29"/>
      </w:r>
      <w:r w:rsidRPr="0000666D">
        <w:rPr>
          <w:lang w:val="es-PE"/>
        </w:rPr>
        <w:t xml:space="preserve">. </w:t>
      </w:r>
      <w:r w:rsidRPr="0000666D">
        <w:rPr>
          <w:rFonts w:eastAsia="Times" w:cs="Arial"/>
          <w:lang w:val="es-MX"/>
        </w:rPr>
        <w:t xml:space="preserve">Por consiguiente, </w:t>
      </w:r>
      <w:r w:rsidRPr="0000666D">
        <w:rPr>
          <w:lang w:val="es-PE"/>
        </w:rPr>
        <w:t>la Corte Interamericana no puede asumir competencia respecto de la presunta violación de un derecho o libertad no incluido en el régimen de protección por la Convención Americana ni por el Protocolo de San Salvador.</w:t>
      </w:r>
      <w:bookmarkStart w:id="2" w:name="_Ref319668062"/>
    </w:p>
    <w:p w14:paraId="141569AF" w14:textId="77777777" w:rsidR="001C1A87" w:rsidRPr="0000666D" w:rsidRDefault="001C1A87" w:rsidP="001C1A87">
      <w:pPr>
        <w:pStyle w:val="Numberedparagraphs"/>
        <w:numPr>
          <w:ilvl w:val="0"/>
          <w:numId w:val="0"/>
        </w:numPr>
      </w:pPr>
    </w:p>
    <w:p w14:paraId="14840C49" w14:textId="77777777" w:rsidR="001C1A87" w:rsidRPr="0000666D" w:rsidRDefault="001C1A87" w:rsidP="001C1A87">
      <w:pPr>
        <w:pStyle w:val="Numberedparagraphs"/>
        <w:numPr>
          <w:ilvl w:val="0"/>
          <w:numId w:val="85"/>
        </w:numPr>
        <w:ind w:left="0" w:firstLine="0"/>
      </w:pPr>
      <w:r w:rsidRPr="0000666D">
        <w:rPr>
          <w:lang w:val="es-MX"/>
        </w:rPr>
        <w:t>Por otro lado, en cuanto a la interpretación evolutiva</w:t>
      </w:r>
      <w:r w:rsidRPr="0000666D">
        <w:rPr>
          <w:lang w:val="es-CR"/>
        </w:rPr>
        <w:t>, la Corte ha señalado reiteradamente que los tratados de derechos humanos son instrumentos vivos, cuya interpretación tiene que acompañar la evolución de los tiempos y las condiciones de vida actuales. Tal interpretación evolutiva es consecuente con las reglas generales de interpretación dispuestas en el artículo 29 de la Convención Americana, así como las establecidas por la Convención de Viena sobre el Derecho de los Tratados</w:t>
      </w:r>
      <w:bookmarkStart w:id="3" w:name="_Ref318188457"/>
      <w:r w:rsidRPr="0000666D">
        <w:rPr>
          <w:rStyle w:val="Refdenotaalpie"/>
          <w:lang w:val="es-CR"/>
        </w:rPr>
        <w:footnoteReference w:id="30"/>
      </w:r>
      <w:bookmarkEnd w:id="3"/>
      <w:r w:rsidRPr="0000666D">
        <w:rPr>
          <w:lang w:val="es-CR"/>
        </w:rPr>
        <w:t>.</w:t>
      </w:r>
      <w:bookmarkEnd w:id="2"/>
    </w:p>
    <w:p w14:paraId="28D7F85B" w14:textId="77777777" w:rsidR="001C1A87" w:rsidRPr="0000666D" w:rsidRDefault="001C1A87" w:rsidP="001C1A87">
      <w:pPr>
        <w:pStyle w:val="Prrafodelista"/>
        <w:numPr>
          <w:ilvl w:val="0"/>
          <w:numId w:val="0"/>
        </w:numPr>
        <w:ind w:left="1440"/>
        <w:rPr>
          <w:lang w:val="es-CR"/>
        </w:rPr>
      </w:pPr>
    </w:p>
    <w:p w14:paraId="005F7881" w14:textId="196D9592" w:rsidR="001C1A87" w:rsidRPr="0000666D" w:rsidRDefault="001C1A87" w:rsidP="001C1A87">
      <w:pPr>
        <w:pStyle w:val="Numberedparagraphs"/>
        <w:numPr>
          <w:ilvl w:val="0"/>
          <w:numId w:val="85"/>
        </w:numPr>
        <w:ind w:left="0" w:firstLine="0"/>
      </w:pPr>
      <w:r w:rsidRPr="0000666D">
        <w:rPr>
          <w:lang w:val="es-CR"/>
        </w:rPr>
        <w:t xml:space="preserve">Al respecto, </w:t>
      </w:r>
      <w:r w:rsidRPr="0000666D">
        <w:rPr>
          <w:lang w:val="es-PE"/>
        </w:rPr>
        <w:t>tampoco se puede invocar este método de interpretación para añadir derechos al régimen de protección de la Convención ni para otorgarle competencia</w:t>
      </w:r>
      <w:r w:rsidR="00C9115B">
        <w:rPr>
          <w:lang w:val="es-PE"/>
        </w:rPr>
        <w:t xml:space="preserve"> a la Corte</w:t>
      </w:r>
      <w:r w:rsidRPr="0000666D">
        <w:rPr>
          <w:lang w:val="es-PE"/>
        </w:rPr>
        <w:t xml:space="preserve"> cuando no la tiene. El ámbito adecuado de aplicación es el de la interpretación evolutiva de un derecho o libertad, o de una obligación estatal, que exista y esté incluida en el régimen de protección de la Convención o el Protocolo, en un sentido distinto y generalmente más amplio que el que le hayan dado originalmente sus autores, como la Corte lo ha hecho en distintas oportunidades, sobre todo al delimitar o ampliar el contenido de los derechos reconocidos en la Convención, acudiendo al </w:t>
      </w:r>
      <w:r w:rsidRPr="0000666D">
        <w:rPr>
          <w:i/>
          <w:lang w:val="es-PE"/>
        </w:rPr>
        <w:t>corpus iuris</w:t>
      </w:r>
      <w:r w:rsidRPr="0000666D">
        <w:rPr>
          <w:lang w:val="es-PE"/>
        </w:rPr>
        <w:t xml:space="preserve"> internacional. Ejemplo de esto es la inclusión de la orientación de género dentro de la mención de “cualquier otra condición social” como uno de los motivos de discriminación prohibidos por el artículo 1.1 de la Convención</w:t>
      </w:r>
      <w:r w:rsidRPr="0000666D">
        <w:rPr>
          <w:rStyle w:val="Refdenotaalpie"/>
        </w:rPr>
        <w:footnoteReference w:id="31"/>
      </w:r>
      <w:r w:rsidRPr="0000666D">
        <w:rPr>
          <w:lang w:val="es-PE"/>
        </w:rPr>
        <w:t xml:space="preserve">. </w:t>
      </w:r>
    </w:p>
    <w:p w14:paraId="699E9E3D" w14:textId="77777777" w:rsidR="001C1A87" w:rsidRPr="0000666D" w:rsidRDefault="001C1A87" w:rsidP="001C1A87">
      <w:pPr>
        <w:pStyle w:val="Prrafodelista"/>
        <w:numPr>
          <w:ilvl w:val="0"/>
          <w:numId w:val="0"/>
        </w:numPr>
        <w:ind w:left="1440"/>
        <w:rPr>
          <w:rFonts w:eastAsia="Times" w:cs="Arial"/>
          <w:lang w:val="es-MX"/>
        </w:rPr>
      </w:pPr>
    </w:p>
    <w:p w14:paraId="05297EE7" w14:textId="2B35C367" w:rsidR="001C1A87" w:rsidRPr="0000666D" w:rsidRDefault="001C1A87" w:rsidP="001C1A87">
      <w:pPr>
        <w:pStyle w:val="Numberedparagraphs"/>
        <w:numPr>
          <w:ilvl w:val="0"/>
          <w:numId w:val="85"/>
        </w:numPr>
        <w:ind w:left="0" w:firstLine="0"/>
      </w:pPr>
      <w:r w:rsidRPr="0000666D">
        <w:rPr>
          <w:rFonts w:eastAsia="Times" w:cs="Arial"/>
          <w:lang w:val="es-MX"/>
        </w:rPr>
        <w:lastRenderedPageBreak/>
        <w:t>Por otro lado, la Corte recuerda que, según el artículo 32 de la Convención de Viena, los medios complementarios de interpretación, en especial los trabajos preparatorios del tratado, son utilizables para confirmar el sentido resultante de la interpretación realizada de conformidad con los métodos señalados en el artículo 31. Lo anterior implica que son utilizados de forma subsidiaria</w:t>
      </w:r>
      <w:r w:rsidRPr="0000666D">
        <w:rPr>
          <w:rStyle w:val="Refdenotaalpie"/>
          <w:rFonts w:eastAsia="Times" w:cs="Arial"/>
        </w:rPr>
        <w:footnoteReference w:id="32"/>
      </w:r>
      <w:r w:rsidRPr="0000666D">
        <w:rPr>
          <w:rFonts w:eastAsia="Times" w:cs="Arial"/>
          <w:lang w:val="es-MX"/>
        </w:rPr>
        <w:t xml:space="preserve">. </w:t>
      </w:r>
      <w:r w:rsidR="005A06EF" w:rsidRPr="0000666D">
        <w:rPr>
          <w:rFonts w:eastAsia="Times" w:cs="Arial"/>
          <w:lang w:val="es-MX"/>
        </w:rPr>
        <w:t>Debo</w:t>
      </w:r>
      <w:r w:rsidRPr="0000666D">
        <w:rPr>
          <w:rFonts w:eastAsia="Times" w:cs="Arial"/>
          <w:lang w:val="es-MX"/>
        </w:rPr>
        <w:t xml:space="preserve"> nota</w:t>
      </w:r>
      <w:r w:rsidR="005A06EF" w:rsidRPr="0000666D">
        <w:rPr>
          <w:rFonts w:eastAsia="Times" w:cs="Arial"/>
          <w:lang w:val="es-MX"/>
        </w:rPr>
        <w:t>r</w:t>
      </w:r>
      <w:r w:rsidRPr="0000666D">
        <w:rPr>
          <w:rFonts w:eastAsia="Times" w:cs="Arial"/>
          <w:lang w:val="es-MX"/>
        </w:rPr>
        <w:t xml:space="preserve"> que </w:t>
      </w:r>
      <w:r w:rsidRPr="0000666D">
        <w:rPr>
          <w:rFonts w:cs="Cambria"/>
          <w:lang w:val="es-CR"/>
        </w:rPr>
        <w:t xml:space="preserve">la caracterización sobre el debate de la inclusión y el alcance del artículo 26 desde la sentencia en el caso </w:t>
      </w:r>
      <w:r w:rsidRPr="0000666D">
        <w:rPr>
          <w:rFonts w:cs="Cambria"/>
          <w:i/>
          <w:lang w:val="es-CR"/>
        </w:rPr>
        <w:t xml:space="preserve">Acevedo Buendía y otros Vs. Perú </w:t>
      </w:r>
      <w:r w:rsidRPr="0000666D">
        <w:rPr>
          <w:rFonts w:cs="Cambria"/>
          <w:lang w:val="es-CR"/>
        </w:rPr>
        <w:t xml:space="preserve">hasta el caso </w:t>
      </w:r>
      <w:proofErr w:type="spellStart"/>
      <w:r w:rsidRPr="0000666D">
        <w:rPr>
          <w:rFonts w:cs="Cambria"/>
          <w:i/>
          <w:lang w:val="es-CR"/>
        </w:rPr>
        <w:t>Cuscul</w:t>
      </w:r>
      <w:proofErr w:type="spellEnd"/>
      <w:r w:rsidRPr="0000666D">
        <w:rPr>
          <w:rFonts w:cs="Cambria"/>
          <w:i/>
          <w:lang w:val="es-CR"/>
        </w:rPr>
        <w:t xml:space="preserve"> Pivaral y otros Vs. Guatemala</w:t>
      </w:r>
      <w:r w:rsidRPr="0000666D">
        <w:rPr>
          <w:rStyle w:val="Refdenotaalpie"/>
          <w:rFonts w:cs="Cambria"/>
          <w:lang w:val="es-CR"/>
        </w:rPr>
        <w:footnoteReference w:id="33"/>
      </w:r>
      <w:r w:rsidRPr="0000666D">
        <w:rPr>
          <w:rFonts w:cs="Cambria"/>
          <w:lang w:val="es-CR"/>
        </w:rPr>
        <w:t>, no es correcta. Las referencias a los trabajos preparatorios en dichas sentencias, en el sentido de señalar que de estos se demostró la probable intención de los Estados de la justiciabilidad directa de los DESCA a través del artículo 26 de la Convención, es sesgada; ya que, solo se hizo mención a fragmentos de observaciones de cuatro Estados sobre un total de 23 Estados participantes, lo cual dista de mostrar una posición mayoritaria a este respecto. No se hizo mención de los países que se opusieron a la exigibilidad de los DESCA ni se destacó que la mayoría de estos no fueron claros en sus posiciones.</w:t>
      </w:r>
    </w:p>
    <w:p w14:paraId="23F625A2" w14:textId="77777777" w:rsidR="001C1A87" w:rsidRPr="0000666D" w:rsidRDefault="001C1A87" w:rsidP="001C1A87">
      <w:pPr>
        <w:pStyle w:val="Numberedparagraphs"/>
        <w:numPr>
          <w:ilvl w:val="0"/>
          <w:numId w:val="0"/>
        </w:numPr>
      </w:pPr>
    </w:p>
    <w:p w14:paraId="350E76CB" w14:textId="77777777" w:rsidR="001C1A87" w:rsidRPr="0000666D" w:rsidRDefault="001C1A87" w:rsidP="001C1A87">
      <w:pPr>
        <w:pStyle w:val="Numberedparagraphs"/>
        <w:numPr>
          <w:ilvl w:val="0"/>
          <w:numId w:val="85"/>
        </w:numPr>
        <w:ind w:left="0" w:firstLine="0"/>
      </w:pPr>
      <w:r w:rsidRPr="0000666D">
        <w:rPr>
          <w:rFonts w:cs="Cambria"/>
          <w:lang w:val="es-CR"/>
        </w:rPr>
        <w:t xml:space="preserve">Del estudio de los trabajos preparatorios no se demuestra en ningún momento con claridad, la voluntad de los Estados de incluir a </w:t>
      </w:r>
      <w:r w:rsidRPr="0000666D">
        <w:rPr>
          <w:lang w:val="es-PE"/>
        </w:rPr>
        <w:t>los derechos económicos, sociales, culturales y ambientales en el régimen de protección previsto por la Convención. Por ejemplo, se profirieron opiniones en las cuales se señalaba que el contenido del artículo no parecía propio de una convención, “pero que quizá no [era] políticamente conveniente oponerse a la inclusión de dicho texto”</w:t>
      </w:r>
      <w:r w:rsidRPr="0000666D">
        <w:rPr>
          <w:rStyle w:val="Refdenotaalpie"/>
        </w:rPr>
        <w:footnoteReference w:id="34"/>
      </w:r>
      <w:r w:rsidRPr="0000666D">
        <w:rPr>
          <w:lang w:val="es-PE"/>
        </w:rPr>
        <w:t>; la intervención de República Dominicana, en relación con el artículo 25.1 del proyecto de la Convención, destacó que era preferible eliminar el párrafo 1 que proponía que los Estados dedicaran sus esfuerzos a garantizar en su derecho interno, los demás derechos consagrados en la Declaración Americana</w:t>
      </w:r>
      <w:r w:rsidRPr="0000666D">
        <w:rPr>
          <w:rStyle w:val="Refdenotaalpie"/>
        </w:rPr>
        <w:footnoteReference w:id="35"/>
      </w:r>
      <w:r w:rsidRPr="0000666D">
        <w:rPr>
          <w:lang w:val="es-PE"/>
        </w:rPr>
        <w:t>. Asimismo, Chile resaltó que se había eliminado toda mención directa a los DESCA</w:t>
      </w:r>
      <w:r w:rsidRPr="0000666D">
        <w:rPr>
          <w:rStyle w:val="Refdenotaalpie"/>
        </w:rPr>
        <w:footnoteReference w:id="36"/>
      </w:r>
      <w:r w:rsidRPr="0000666D">
        <w:rPr>
          <w:lang w:val="es-PE"/>
        </w:rPr>
        <w:t xml:space="preserve">; México destacó que “a diferencia de todos los demás derechos aludidos en el proyecto -que son derechos de que disfruta el individuo como persona o como miembro de un grupo social determinado- resulta difícil en un momento dado establecer con precisión cuáles serían el o las personas que resultaran directamente afectadas en el caso de que fueran violados </w:t>
      </w:r>
      <w:r w:rsidRPr="0000666D">
        <w:rPr>
          <w:lang w:val="es-PE"/>
        </w:rPr>
        <w:lastRenderedPageBreak/>
        <w:t>los derechos contenidos en el referido artículo 25”</w:t>
      </w:r>
      <w:r w:rsidRPr="0000666D">
        <w:rPr>
          <w:rStyle w:val="Refdenotaalpie"/>
        </w:rPr>
        <w:footnoteReference w:id="37"/>
      </w:r>
      <w:r w:rsidRPr="0000666D">
        <w:rPr>
          <w:lang w:val="es-PE"/>
        </w:rPr>
        <w:t>. Las observaciones de Guatemala</w:t>
      </w:r>
      <w:r w:rsidRPr="0000666D">
        <w:rPr>
          <w:rStyle w:val="Refdenotaalpie"/>
        </w:rPr>
        <w:footnoteReference w:id="38"/>
      </w:r>
      <w:r w:rsidRPr="0000666D">
        <w:rPr>
          <w:lang w:val="es-PE"/>
        </w:rPr>
        <w:t xml:space="preserve"> y Brasil</w:t>
      </w:r>
      <w:r w:rsidRPr="0000666D">
        <w:rPr>
          <w:rStyle w:val="Refdenotaalpie"/>
        </w:rPr>
        <w:footnoteReference w:id="39"/>
      </w:r>
      <w:r w:rsidRPr="0000666D">
        <w:rPr>
          <w:lang w:val="es-PE"/>
        </w:rPr>
        <w:t xml:space="preserve"> estuvieron dirigidas a proponer artículos en el marco de la obligación de progresividad, o proponer que los Estados presenten informes a la Comisión sobre las medidas que hayan adoptado y los progresos realizados con el fin de asegurar el respeto a los DESCA. En particular, Brasil destacó que “los derechos económicos, sociales y culturales son contemplados en grado y forma muy diversos por la legislación de los diferentes Estados Americanos y, aunque los Gobiernos deseen reconocerlos todos, su vigencia depende substancialmente de la disponibilidad de recursos materiales que le permitan su implementación”.</w:t>
      </w:r>
    </w:p>
    <w:p w14:paraId="06F01368" w14:textId="77777777" w:rsidR="001C1A87" w:rsidRPr="0000666D" w:rsidRDefault="001C1A87" w:rsidP="001C1A87">
      <w:pPr>
        <w:pStyle w:val="Numberedparagraphs"/>
        <w:numPr>
          <w:ilvl w:val="0"/>
          <w:numId w:val="0"/>
        </w:numPr>
      </w:pPr>
    </w:p>
    <w:p w14:paraId="43251F19" w14:textId="3A5A4F6B" w:rsidR="001C1A87" w:rsidRPr="0000666D" w:rsidRDefault="001C1A87" w:rsidP="001C1A87">
      <w:pPr>
        <w:pStyle w:val="Numberedparagraphs"/>
        <w:numPr>
          <w:ilvl w:val="0"/>
          <w:numId w:val="85"/>
        </w:numPr>
        <w:ind w:left="0" w:firstLine="0"/>
      </w:pPr>
      <w:r w:rsidRPr="0000666D">
        <w:rPr>
          <w:rFonts w:eastAsia="Times" w:cs="Arial"/>
          <w:lang w:val="es-MX"/>
        </w:rPr>
        <w:t>A</w:t>
      </w:r>
      <w:r w:rsidR="005A06EF" w:rsidRPr="0000666D">
        <w:rPr>
          <w:rFonts w:eastAsia="Times" w:cs="Arial"/>
          <w:lang w:val="es-MX"/>
        </w:rPr>
        <w:t>simismo destaco</w:t>
      </w:r>
      <w:r w:rsidRPr="0000666D">
        <w:rPr>
          <w:rFonts w:eastAsia="Times" w:cs="Arial"/>
          <w:lang w:val="es-MX"/>
        </w:rPr>
        <w:t xml:space="preserve"> que de las posiciones adoptadas por los Estados, el único consenso al cual se llegó fue el incluir la obligación progresiva de derechos, conforme lo estipula el artículo 26 de la Convención; sin embargo, no se propuso incluir a los DESCA en el mismo régimen de protección previsto para los otros derechos civiles y políticos, al menos no desde una faceta individual. En virtud de lo señalado,</w:t>
      </w:r>
      <w:r w:rsidRPr="0000666D">
        <w:rPr>
          <w:rFonts w:eastAsia="Times" w:cs="Arial"/>
          <w:b/>
          <w:lang w:val="es-MX"/>
        </w:rPr>
        <w:t xml:space="preserve"> </w:t>
      </w:r>
      <w:r w:rsidRPr="0000666D">
        <w:rPr>
          <w:rFonts w:eastAsia="Times" w:cs="Arial"/>
          <w:lang w:val="es-MX"/>
        </w:rPr>
        <w:t xml:space="preserve">la interpretación llevada a cabo a través de los métodos citados, se ve </w:t>
      </w:r>
      <w:r w:rsidRPr="0000666D">
        <w:rPr>
          <w:rFonts w:cs="Cambria"/>
          <w:lang w:val="es-CR"/>
        </w:rPr>
        <w:t>confirmada por los trabajos preparatorios de la Convención Americana.</w:t>
      </w:r>
    </w:p>
    <w:p w14:paraId="0226E345" w14:textId="77777777" w:rsidR="001C1A87" w:rsidRPr="0000666D" w:rsidRDefault="001C1A87" w:rsidP="001C1A87">
      <w:pPr>
        <w:pStyle w:val="Prrafodelista"/>
        <w:numPr>
          <w:ilvl w:val="0"/>
          <w:numId w:val="0"/>
        </w:numPr>
        <w:ind w:left="1440"/>
        <w:rPr>
          <w:lang w:val="es-PE"/>
        </w:rPr>
      </w:pPr>
    </w:p>
    <w:p w14:paraId="28E971BC" w14:textId="11E4DE4A" w:rsidR="001C1A87" w:rsidRPr="0000666D" w:rsidRDefault="001C1A87" w:rsidP="001C1A87">
      <w:pPr>
        <w:pStyle w:val="Numberedparagraphs"/>
        <w:numPr>
          <w:ilvl w:val="0"/>
          <w:numId w:val="85"/>
        </w:numPr>
        <w:ind w:left="0" w:firstLine="0"/>
      </w:pPr>
      <w:r w:rsidRPr="0000666D">
        <w:rPr>
          <w:lang w:val="es-PE"/>
        </w:rPr>
        <w:t>Sin perjuicio de lo señalado en este apartado</w:t>
      </w:r>
      <w:r w:rsidR="00C9115B">
        <w:rPr>
          <w:lang w:val="es-PE"/>
        </w:rPr>
        <w:t xml:space="preserve"> no soy ajeno a</w:t>
      </w:r>
      <w:r w:rsidRPr="0000666D">
        <w:rPr>
          <w:lang w:val="es-PE"/>
        </w:rPr>
        <w:t xml:space="preserve"> la importancia de la </w:t>
      </w:r>
      <w:proofErr w:type="spellStart"/>
      <w:r w:rsidRPr="0000666D">
        <w:rPr>
          <w:lang w:val="es-PE"/>
        </w:rPr>
        <w:t>justiciabilidad</w:t>
      </w:r>
      <w:proofErr w:type="spellEnd"/>
      <w:r w:rsidRPr="0000666D">
        <w:rPr>
          <w:lang w:val="es-PE"/>
        </w:rPr>
        <w:t xml:space="preserve"> de los DESCA y su protección a través del sistema interamericano. Sin embargo, para ello, se puede recurrir a vías menos problemáticas en cuanto a su interpretación, que estén acorde con la competencia otorgada a la Corte por los Estados y con lo estipulado por el derecho internacional. Para ello, como este Tribunal lo ha hecho en repetidas ocasiones con anterioridad a la postura jurisprudencial actual, los DESCA pueden ser protegidos vía conexidad con otros derechos reconocidos en la Convención, es decir a través de un mecanismo indirecto de protección</w:t>
      </w:r>
      <w:r w:rsidRPr="0000666D">
        <w:rPr>
          <w:rFonts w:cs="Arial"/>
          <w:lang w:val="es-PE"/>
        </w:rPr>
        <w:t>.</w:t>
      </w:r>
    </w:p>
    <w:p w14:paraId="40D577C1" w14:textId="77777777" w:rsidR="001C1A87" w:rsidRPr="0000666D" w:rsidRDefault="001C1A87" w:rsidP="00532F1A">
      <w:pPr>
        <w:rPr>
          <w:lang w:val="es-PE"/>
        </w:rPr>
      </w:pPr>
    </w:p>
    <w:p w14:paraId="585FFFAD" w14:textId="3DD87CC4" w:rsidR="001C1A87" w:rsidRPr="0000666D" w:rsidRDefault="001C1A87" w:rsidP="001C1A87">
      <w:pPr>
        <w:pStyle w:val="Numberedparagraphs"/>
        <w:numPr>
          <w:ilvl w:val="0"/>
          <w:numId w:val="85"/>
        </w:numPr>
        <w:ind w:left="0" w:firstLine="0"/>
      </w:pPr>
      <w:r w:rsidRPr="0000666D">
        <w:rPr>
          <w:lang w:val="es-PE"/>
        </w:rPr>
        <w:t>E</w:t>
      </w:r>
      <w:r w:rsidRPr="0000666D">
        <w:rPr>
          <w:lang w:val="es-CR"/>
        </w:rPr>
        <w:t>l artículo 26</w:t>
      </w:r>
      <w:r w:rsidRPr="0000666D">
        <w:rPr>
          <w:lang w:val="es-PE"/>
        </w:rPr>
        <w:t xml:space="preserve"> </w:t>
      </w:r>
      <w:r w:rsidRPr="0000666D">
        <w:rPr>
          <w:lang w:val="es-CR"/>
        </w:rPr>
        <w:t>de la Convención Americana recoge la obligación de desarrollo progresivo y su consecuente deber de no regresividad de los derechos que puedan derivarse de la Carta de la OEA; por lo tanto, el Tribunal puede supervisar de manera directa el cumplimiento de dichas obligaciones, no así los derechos económicos, sociales, culturales y ambientales en su dimensión individual, al no ser competente para ello, con base en los métodos de interpretación previamente aplicados. En este sentido,</w:t>
      </w:r>
      <w:r w:rsidR="00AE5F1E" w:rsidRPr="0000666D">
        <w:rPr>
          <w:lang w:val="es-CR"/>
        </w:rPr>
        <w:t xml:space="preserve"> considero que esta</w:t>
      </w:r>
      <w:r w:rsidRPr="0000666D">
        <w:rPr>
          <w:lang w:val="es-CR"/>
        </w:rPr>
        <w:t xml:space="preserve"> Corte no es competente para examinar la pretendida violación del derecho a la seguridad social que estaría contenido en dicho artículo.</w:t>
      </w:r>
    </w:p>
    <w:p w14:paraId="75E08482" w14:textId="77777777" w:rsidR="001C1A87" w:rsidRPr="0000666D" w:rsidRDefault="001C1A87" w:rsidP="001C1A87">
      <w:pPr>
        <w:pStyle w:val="Numberedparagraphs"/>
        <w:numPr>
          <w:ilvl w:val="0"/>
          <w:numId w:val="0"/>
        </w:numPr>
      </w:pPr>
    </w:p>
    <w:p w14:paraId="41486850" w14:textId="2205B476" w:rsidR="001C1A87" w:rsidRPr="0000666D" w:rsidRDefault="001C1A87" w:rsidP="001C1A87">
      <w:pPr>
        <w:pStyle w:val="Numberedparagraphs"/>
        <w:numPr>
          <w:ilvl w:val="0"/>
          <w:numId w:val="85"/>
        </w:numPr>
        <w:ind w:left="0" w:firstLine="0"/>
      </w:pPr>
      <w:r w:rsidRPr="0000666D">
        <w:rPr>
          <w:rFonts w:eastAsia="Verdana" w:cs="Verdana"/>
          <w:lang w:val="es-PE"/>
        </w:rPr>
        <w:t xml:space="preserve">Debido a que la controversia del presente caso versa sobre la alegada responsabilidad del Estado por la falta de ejecución de sentencias a nivel interno dictadas en favor del señor Muelle Flores a efectos de que se paguen las pensiones que le correspondían, </w:t>
      </w:r>
      <w:r w:rsidR="00AE5F1E" w:rsidRPr="0000666D">
        <w:rPr>
          <w:rFonts w:eastAsia="Verdana" w:cs="Verdana"/>
          <w:lang w:val="es-PE"/>
        </w:rPr>
        <w:t>esta</w:t>
      </w:r>
      <w:r w:rsidRPr="0000666D">
        <w:rPr>
          <w:rFonts w:eastAsia="Verdana" w:cs="Verdana"/>
          <w:lang w:val="es-PE"/>
        </w:rPr>
        <w:t xml:space="preserve"> Corte</w:t>
      </w:r>
      <w:r w:rsidR="00AE5F1E" w:rsidRPr="0000666D">
        <w:rPr>
          <w:rFonts w:eastAsia="Verdana" w:cs="Verdana"/>
          <w:lang w:val="es-PE"/>
        </w:rPr>
        <w:t xml:space="preserve"> debió</w:t>
      </w:r>
      <w:r w:rsidRPr="0000666D">
        <w:rPr>
          <w:rFonts w:eastAsia="Verdana" w:cs="Verdana"/>
          <w:lang w:val="es-PE"/>
        </w:rPr>
        <w:t xml:space="preserve"> considera</w:t>
      </w:r>
      <w:r w:rsidR="00AE5F1E" w:rsidRPr="0000666D">
        <w:rPr>
          <w:rFonts w:eastAsia="Verdana" w:cs="Verdana"/>
          <w:lang w:val="es-PE"/>
        </w:rPr>
        <w:t>r</w:t>
      </w:r>
      <w:r w:rsidRPr="0000666D">
        <w:rPr>
          <w:rFonts w:eastAsia="Verdana" w:cs="Verdana"/>
          <w:lang w:val="es-PE"/>
        </w:rPr>
        <w:t xml:space="preserve"> que no es competente para analizar el derecho a la seguridad social a partir de una interpretación del artículo 26 de la Convención Americana. Por ello, la excepción preliminar interpuesta por el Estado</w:t>
      </w:r>
      <w:r w:rsidR="00AE5F1E" w:rsidRPr="0000666D">
        <w:rPr>
          <w:rFonts w:eastAsia="Verdana" w:cs="Verdana"/>
          <w:lang w:val="es-PE"/>
        </w:rPr>
        <w:t xml:space="preserve"> debió haber sida acogida por la Corte</w:t>
      </w:r>
      <w:r w:rsidRPr="0000666D">
        <w:rPr>
          <w:rFonts w:eastAsia="Verdana" w:cs="Verdana"/>
          <w:lang w:val="es-PE"/>
        </w:rPr>
        <w:t>; por lo que, no proced</w:t>
      </w:r>
      <w:r w:rsidR="00AE5F1E" w:rsidRPr="0000666D">
        <w:rPr>
          <w:rFonts w:eastAsia="Verdana" w:cs="Verdana"/>
          <w:lang w:val="es-PE"/>
        </w:rPr>
        <w:t>ía</w:t>
      </w:r>
      <w:r w:rsidRPr="0000666D">
        <w:rPr>
          <w:rFonts w:eastAsia="Verdana" w:cs="Verdana"/>
          <w:lang w:val="es-PE"/>
        </w:rPr>
        <w:t xml:space="preserve"> continuar con el análisis de fondo en relación con el citado derecho a la seguridad social. </w:t>
      </w:r>
    </w:p>
    <w:p w14:paraId="11D68CEC" w14:textId="77777777" w:rsidR="001C1A87" w:rsidRPr="0000666D" w:rsidRDefault="001C1A87" w:rsidP="001C1A87">
      <w:pPr>
        <w:pStyle w:val="Prrafodelista"/>
        <w:numPr>
          <w:ilvl w:val="0"/>
          <w:numId w:val="0"/>
        </w:numPr>
        <w:ind w:left="1440"/>
        <w:rPr>
          <w:lang w:val="es-PE"/>
        </w:rPr>
      </w:pPr>
    </w:p>
    <w:p w14:paraId="39ABF153" w14:textId="77777777" w:rsidR="0010562C" w:rsidRPr="0010562C" w:rsidRDefault="001C1A87" w:rsidP="0010562C">
      <w:pPr>
        <w:pStyle w:val="Numberedparagraphs"/>
        <w:numPr>
          <w:ilvl w:val="0"/>
          <w:numId w:val="85"/>
        </w:numPr>
        <w:ind w:left="0" w:firstLine="0"/>
      </w:pPr>
      <w:r w:rsidRPr="0000666D">
        <w:rPr>
          <w:lang w:val="es-PE"/>
        </w:rPr>
        <w:t>Por todo lo expuesto, considero</w:t>
      </w:r>
      <w:r w:rsidR="00513667" w:rsidRPr="0000666D">
        <w:rPr>
          <w:lang w:val="es-PE"/>
        </w:rPr>
        <w:t xml:space="preserve"> que</w:t>
      </w:r>
      <w:r w:rsidRPr="0000666D">
        <w:rPr>
          <w:rFonts w:cs="Arial"/>
          <w:lang w:val="es-PE"/>
        </w:rPr>
        <w:t xml:space="preserve"> </w:t>
      </w:r>
      <w:r w:rsidR="00513667" w:rsidRPr="0000666D">
        <w:rPr>
          <w:rFonts w:cs="Arial"/>
          <w:lang w:val="es-PE"/>
        </w:rPr>
        <w:t xml:space="preserve">este Tribunal </w:t>
      </w:r>
      <w:r w:rsidRPr="0000666D">
        <w:rPr>
          <w:rFonts w:cs="Arial"/>
          <w:lang w:val="es-CO"/>
        </w:rPr>
        <w:t>no p</w:t>
      </w:r>
      <w:r w:rsidR="00AE5F1E" w:rsidRPr="0000666D">
        <w:rPr>
          <w:rFonts w:cs="Arial"/>
          <w:lang w:val="es-CO"/>
        </w:rPr>
        <w:t>odía</w:t>
      </w:r>
      <w:r w:rsidRPr="0000666D">
        <w:rPr>
          <w:rFonts w:cs="Arial"/>
          <w:lang w:val="es-CO"/>
        </w:rPr>
        <w:t xml:space="preserve"> asumir competencia respecto de la presunta violación de un derecho o libertad no incluido en el régimen de protección por la </w:t>
      </w:r>
      <w:r w:rsidRPr="0000666D">
        <w:rPr>
          <w:rFonts w:cs="Arial"/>
          <w:lang w:val="es-CO"/>
        </w:rPr>
        <w:lastRenderedPageBreak/>
        <w:t>Convención Americana ni por el Protocolo de San Salvador</w:t>
      </w:r>
      <w:r w:rsidR="00B71819" w:rsidRPr="0000666D">
        <w:rPr>
          <w:rFonts w:cs="Arial"/>
          <w:lang w:val="es-CO"/>
        </w:rPr>
        <w:t xml:space="preserve">; por ende, </w:t>
      </w:r>
      <w:r w:rsidRPr="0000666D">
        <w:rPr>
          <w:rFonts w:cs="Arial"/>
          <w:lang w:val="es-CO"/>
        </w:rPr>
        <w:t xml:space="preserve">resulta innecesario emitir un pronunciamiento sobre </w:t>
      </w:r>
      <w:r w:rsidR="0008419E" w:rsidRPr="0000666D">
        <w:rPr>
          <w:rFonts w:cs="Arial"/>
          <w:lang w:val="es-CO"/>
        </w:rPr>
        <w:t xml:space="preserve">el derecho a </w:t>
      </w:r>
      <w:r w:rsidRPr="0000666D">
        <w:rPr>
          <w:rFonts w:cs="Arial"/>
          <w:lang w:val="es-CO"/>
        </w:rPr>
        <w:t>la Seguridad Social.</w:t>
      </w:r>
    </w:p>
    <w:p w14:paraId="3B56A942" w14:textId="77777777" w:rsidR="0010562C" w:rsidRDefault="0010562C" w:rsidP="0010562C">
      <w:pPr>
        <w:pStyle w:val="Prrafodelista"/>
        <w:numPr>
          <w:ilvl w:val="0"/>
          <w:numId w:val="0"/>
        </w:numPr>
        <w:ind w:left="1440"/>
        <w:rPr>
          <w:lang w:val="es-CR"/>
        </w:rPr>
      </w:pPr>
    </w:p>
    <w:p w14:paraId="7E48AC82" w14:textId="03ED7D50" w:rsidR="006F1736" w:rsidRPr="0010562C" w:rsidRDefault="006F1736" w:rsidP="0010562C">
      <w:pPr>
        <w:pStyle w:val="Numberedparagraphs"/>
        <w:numPr>
          <w:ilvl w:val="0"/>
          <w:numId w:val="85"/>
        </w:numPr>
        <w:ind w:left="0" w:firstLine="0"/>
      </w:pPr>
      <w:r w:rsidRPr="0010562C">
        <w:rPr>
          <w:lang w:val="es-CR"/>
        </w:rPr>
        <w:t>Finalmente deseo resaltar que</w:t>
      </w:r>
      <w:r w:rsidR="00F77A32" w:rsidRPr="0010562C">
        <w:rPr>
          <w:lang w:val="es-CR"/>
        </w:rPr>
        <w:t xml:space="preserve"> a efectos </w:t>
      </w:r>
      <w:proofErr w:type="spellStart"/>
      <w:r w:rsidR="00F77A32" w:rsidRPr="0010562C">
        <w:rPr>
          <w:lang w:val="es-CR"/>
        </w:rPr>
        <w:t>práticos</w:t>
      </w:r>
      <w:proofErr w:type="spellEnd"/>
      <w:r w:rsidR="006B0D74">
        <w:rPr>
          <w:lang w:val="es-CR"/>
        </w:rPr>
        <w:t>,</w:t>
      </w:r>
      <w:r w:rsidRPr="0010562C">
        <w:rPr>
          <w:lang w:val="es-CR"/>
        </w:rPr>
        <w:t xml:space="preserve"> para el caso en concreto se tornaba irrelevante</w:t>
      </w:r>
      <w:r w:rsidR="0010562C">
        <w:rPr>
          <w:lang w:val="es-CR"/>
        </w:rPr>
        <w:t xml:space="preserve"> decla</w:t>
      </w:r>
      <w:r w:rsidR="006B0D74">
        <w:rPr>
          <w:lang w:val="es-CR"/>
        </w:rPr>
        <w:t>rar la violación</w:t>
      </w:r>
      <w:r w:rsidR="0010562C">
        <w:rPr>
          <w:lang w:val="es-CR"/>
        </w:rPr>
        <w:t xml:space="preserve"> </w:t>
      </w:r>
      <w:r w:rsidR="006B0D74">
        <w:rPr>
          <w:lang w:val="es-CR"/>
        </w:rPr>
        <w:t>al</w:t>
      </w:r>
      <w:r w:rsidR="00F77A32" w:rsidRPr="0010562C">
        <w:rPr>
          <w:lang w:val="es-CR"/>
        </w:rPr>
        <w:t xml:space="preserve"> artículo 26 de la Convención en </w:t>
      </w:r>
      <w:proofErr w:type="spellStart"/>
      <w:r w:rsidR="00F77A32" w:rsidRPr="0010562C">
        <w:rPr>
          <w:lang w:val="es-CR"/>
        </w:rPr>
        <w:t>perjucio</w:t>
      </w:r>
      <w:proofErr w:type="spellEnd"/>
      <w:r w:rsidR="00F77A32" w:rsidRPr="0010562C">
        <w:rPr>
          <w:lang w:val="es-CR"/>
        </w:rPr>
        <w:t xml:space="preserve"> de la víctima, puesto que la discusión</w:t>
      </w:r>
      <w:r w:rsidR="006B0D74">
        <w:rPr>
          <w:lang w:val="es-CR"/>
        </w:rPr>
        <w:t xml:space="preserve"> en el caso</w:t>
      </w:r>
      <w:r w:rsidR="00F77A32" w:rsidRPr="0010562C">
        <w:rPr>
          <w:lang w:val="es-CR"/>
        </w:rPr>
        <w:t xml:space="preserve"> se centraba en la falta de ejecución de </w:t>
      </w:r>
      <w:proofErr w:type="spellStart"/>
      <w:r w:rsidR="00F77A32" w:rsidRPr="0010562C">
        <w:rPr>
          <w:lang w:val="es-CR"/>
        </w:rPr>
        <w:t>deciciones</w:t>
      </w:r>
      <w:proofErr w:type="spellEnd"/>
      <w:r w:rsidR="00F77A32" w:rsidRPr="0010562C">
        <w:rPr>
          <w:lang w:val="es-CR"/>
        </w:rPr>
        <w:t xml:space="preserve"> judiciales</w:t>
      </w:r>
      <w:r w:rsidR="0010562C" w:rsidRPr="0010562C">
        <w:rPr>
          <w:lang w:val="es-CR"/>
        </w:rPr>
        <w:t xml:space="preserve"> a nivel interno</w:t>
      </w:r>
      <w:r w:rsidR="00F77A32" w:rsidRPr="0010562C">
        <w:rPr>
          <w:lang w:val="es-CR"/>
        </w:rPr>
        <w:t xml:space="preserve"> que incluso ya </w:t>
      </w:r>
      <w:proofErr w:type="spellStart"/>
      <w:r w:rsidR="00F77A32" w:rsidRPr="0010562C">
        <w:rPr>
          <w:lang w:val="es-CR"/>
        </w:rPr>
        <w:t>habáin</w:t>
      </w:r>
      <w:proofErr w:type="spellEnd"/>
      <w:r w:rsidR="00F77A32" w:rsidRPr="0010562C">
        <w:rPr>
          <w:lang w:val="es-CR"/>
        </w:rPr>
        <w:t xml:space="preserve"> declarado el derecho a la pensión del señor Muelle Flores. En este sentido bastaba con</w:t>
      </w:r>
      <w:r w:rsidR="0010562C" w:rsidRPr="0010562C">
        <w:rPr>
          <w:lang w:val="es-CR"/>
        </w:rPr>
        <w:t xml:space="preserve"> q</w:t>
      </w:r>
      <w:r w:rsidR="0010562C">
        <w:rPr>
          <w:lang w:val="es-CR"/>
        </w:rPr>
        <w:t>u</w:t>
      </w:r>
      <w:r w:rsidR="0010562C" w:rsidRPr="0010562C">
        <w:rPr>
          <w:lang w:val="es-CR"/>
        </w:rPr>
        <w:t>e esta Corte</w:t>
      </w:r>
      <w:r w:rsidR="00F77A32" w:rsidRPr="0010562C">
        <w:rPr>
          <w:lang w:val="es-CR"/>
        </w:rPr>
        <w:t xml:space="preserve"> declarar</w:t>
      </w:r>
      <w:r w:rsidR="0010562C" w:rsidRPr="0010562C">
        <w:rPr>
          <w:lang w:val="es-CR"/>
        </w:rPr>
        <w:t>a</w:t>
      </w:r>
      <w:r w:rsidR="006B0D74">
        <w:rPr>
          <w:lang w:val="es-CR"/>
        </w:rPr>
        <w:t>, como en efecto lo hizo,</w:t>
      </w:r>
      <w:r w:rsidR="00F77A32" w:rsidRPr="0010562C">
        <w:rPr>
          <w:lang w:val="es-CR"/>
        </w:rPr>
        <w:t xml:space="preserve"> </w:t>
      </w:r>
      <w:r w:rsidR="00F77A32" w:rsidRPr="0010562C">
        <w:rPr>
          <w:rFonts w:cs="Cambria"/>
          <w:lang w:val="es-CR"/>
        </w:rPr>
        <w:t>la violación de los</w:t>
      </w:r>
      <w:r w:rsidR="00F77A32" w:rsidRPr="0010562C">
        <w:rPr>
          <w:lang w:val="es-ES"/>
        </w:rPr>
        <w:t xml:space="preserve"> artículos 8.1, 25.1 y 25.2.c de la Convención, así como del artículo 21.1 y 21.2 de la misma, en perjuicio de Oscar Muelle Flores</w:t>
      </w:r>
      <w:r w:rsidR="0010562C">
        <w:rPr>
          <w:lang w:val="es-ES"/>
        </w:rPr>
        <w:t xml:space="preserve">, </w:t>
      </w:r>
      <w:r w:rsidR="0010562C">
        <w:rPr>
          <w:lang w:val="es-CR"/>
        </w:rPr>
        <w:t>para concluir</w:t>
      </w:r>
      <w:r w:rsidR="00F77A32" w:rsidRPr="0010562C">
        <w:rPr>
          <w:lang w:val="es-CR"/>
        </w:rPr>
        <w:t xml:space="preserve"> las mismas consecuencias jurídicas</w:t>
      </w:r>
      <w:r w:rsidR="0010562C" w:rsidRPr="0010562C">
        <w:rPr>
          <w:lang w:val="es-CR"/>
        </w:rPr>
        <w:t xml:space="preserve"> que se derivaron de una incorrecta interpretación de este Tribunal</w:t>
      </w:r>
      <w:r w:rsidR="006B0D74">
        <w:rPr>
          <w:lang w:val="es-CR"/>
        </w:rPr>
        <w:t xml:space="preserve"> sobre</w:t>
      </w:r>
      <w:r w:rsidR="0010562C">
        <w:rPr>
          <w:lang w:val="es-CR"/>
        </w:rPr>
        <w:t xml:space="preserve"> su</w:t>
      </w:r>
      <w:r w:rsidR="0010562C" w:rsidRPr="0010562C">
        <w:rPr>
          <w:lang w:val="es-CR"/>
        </w:rPr>
        <w:t xml:space="preserve"> competencia</w:t>
      </w:r>
      <w:r w:rsidR="0010562C">
        <w:rPr>
          <w:lang w:val="es-CR"/>
        </w:rPr>
        <w:t xml:space="preserve"> y</w:t>
      </w:r>
      <w:r w:rsidR="00C9115B">
        <w:rPr>
          <w:lang w:val="es-CR"/>
        </w:rPr>
        <w:t xml:space="preserve"> el</w:t>
      </w:r>
      <w:r w:rsidR="0010562C" w:rsidRPr="0010562C">
        <w:rPr>
          <w:lang w:val="es-CR"/>
        </w:rPr>
        <w:t xml:space="preserve"> análisis d</w:t>
      </w:r>
      <w:r w:rsidR="0010562C" w:rsidRPr="0010562C">
        <w:rPr>
          <w:rFonts w:eastAsia="Verdana" w:cs="Verdana"/>
          <w:lang w:val="es-PE"/>
        </w:rPr>
        <w:t xml:space="preserve">el derecho a la </w:t>
      </w:r>
      <w:r w:rsidR="006B0D74">
        <w:rPr>
          <w:rFonts w:eastAsia="Verdana" w:cs="Verdana"/>
          <w:lang w:val="es-PE"/>
        </w:rPr>
        <w:t>seguridad social a partir</w:t>
      </w:r>
      <w:r w:rsidR="0010562C" w:rsidRPr="0010562C">
        <w:rPr>
          <w:rFonts w:eastAsia="Verdana" w:cs="Verdana"/>
          <w:lang w:val="es-PE"/>
        </w:rPr>
        <w:t xml:space="preserve"> del artículo 26 de la Convención Americana.</w:t>
      </w:r>
    </w:p>
    <w:p w14:paraId="79FD957C" w14:textId="3DA2274A" w:rsidR="001C1A87" w:rsidRPr="0000666D" w:rsidRDefault="001C1A87" w:rsidP="001C1A87">
      <w:pPr>
        <w:pStyle w:val="Numberedparagraphs"/>
        <w:numPr>
          <w:ilvl w:val="0"/>
          <w:numId w:val="0"/>
        </w:numPr>
        <w:rPr>
          <w:lang w:eastAsia="es-MX"/>
        </w:rPr>
      </w:pPr>
    </w:p>
    <w:p w14:paraId="483C22CB" w14:textId="77777777" w:rsidR="00873C66" w:rsidRPr="0000666D" w:rsidRDefault="00873C66" w:rsidP="001C1A87">
      <w:pPr>
        <w:pStyle w:val="Numberedparagraphs"/>
        <w:numPr>
          <w:ilvl w:val="0"/>
          <w:numId w:val="0"/>
        </w:numPr>
        <w:rPr>
          <w:lang w:eastAsia="es-MX"/>
        </w:rPr>
      </w:pPr>
    </w:p>
    <w:p w14:paraId="460FA7C1" w14:textId="4E9B05C2" w:rsidR="00873C66" w:rsidRPr="0000666D" w:rsidRDefault="00873C66" w:rsidP="001C1A87">
      <w:pPr>
        <w:pStyle w:val="Numberedparagraphs"/>
        <w:numPr>
          <w:ilvl w:val="0"/>
          <w:numId w:val="0"/>
        </w:numPr>
        <w:rPr>
          <w:lang w:eastAsia="es-MX"/>
        </w:rPr>
      </w:pPr>
    </w:p>
    <w:p w14:paraId="61A36111" w14:textId="77777777" w:rsidR="00873C66" w:rsidRPr="0000666D" w:rsidRDefault="00873C66" w:rsidP="001C1A87">
      <w:pPr>
        <w:pStyle w:val="Numberedparagraphs"/>
        <w:numPr>
          <w:ilvl w:val="0"/>
          <w:numId w:val="0"/>
        </w:numPr>
        <w:rPr>
          <w:lang w:eastAsia="es-MX"/>
        </w:rPr>
      </w:pPr>
    </w:p>
    <w:p w14:paraId="53CFADBB" w14:textId="5A77AF76" w:rsidR="00873C66" w:rsidRPr="0000666D" w:rsidRDefault="00873C66" w:rsidP="001C1A87">
      <w:pPr>
        <w:pStyle w:val="Numberedparagraphs"/>
        <w:numPr>
          <w:ilvl w:val="0"/>
          <w:numId w:val="0"/>
        </w:numPr>
        <w:rPr>
          <w:lang w:eastAsia="es-MX"/>
        </w:rPr>
      </w:pPr>
    </w:p>
    <w:p w14:paraId="6148AFA1" w14:textId="22393A75" w:rsidR="00873C66" w:rsidRPr="0000666D" w:rsidRDefault="00873C66" w:rsidP="001C1A87">
      <w:pPr>
        <w:pStyle w:val="Numberedparagraphs"/>
        <w:numPr>
          <w:ilvl w:val="0"/>
          <w:numId w:val="0"/>
        </w:numPr>
        <w:rPr>
          <w:lang w:eastAsia="es-MX"/>
        </w:rPr>
      </w:pPr>
    </w:p>
    <w:p w14:paraId="3C86A561" w14:textId="22DD99B7" w:rsidR="00873C66" w:rsidRPr="0000666D" w:rsidRDefault="00873C66" w:rsidP="001C1A87">
      <w:pPr>
        <w:pStyle w:val="Numberedparagraphs"/>
        <w:numPr>
          <w:ilvl w:val="0"/>
          <w:numId w:val="0"/>
        </w:numPr>
        <w:rPr>
          <w:lang w:eastAsia="es-MX"/>
        </w:rPr>
      </w:pPr>
    </w:p>
    <w:p w14:paraId="7B05D1D3" w14:textId="4C800846" w:rsidR="001C1A87" w:rsidRPr="0000666D" w:rsidRDefault="001C1A87" w:rsidP="001C1A87">
      <w:pPr>
        <w:pStyle w:val="Numberedparagraphs"/>
        <w:numPr>
          <w:ilvl w:val="0"/>
          <w:numId w:val="0"/>
        </w:numPr>
        <w:rPr>
          <w:lang w:val="es-AR"/>
        </w:rPr>
      </w:pPr>
    </w:p>
    <w:p w14:paraId="294F8962" w14:textId="1273A2CC" w:rsidR="001C1A87" w:rsidRPr="0000666D" w:rsidRDefault="001C1A87" w:rsidP="001C1A87">
      <w:pPr>
        <w:ind w:left="3600" w:right="96" w:firstLine="720"/>
        <w:jc w:val="center"/>
        <w:rPr>
          <w:rFonts w:eastAsia="Calibri" w:cs="Times New Roman"/>
          <w:szCs w:val="20"/>
          <w:lang w:val="es-MX"/>
        </w:rPr>
      </w:pPr>
      <w:r w:rsidRPr="0000666D">
        <w:rPr>
          <w:rFonts w:eastAsia="Calibri" w:cs="Times New Roman"/>
          <w:szCs w:val="20"/>
          <w:lang w:val="es-MX"/>
        </w:rPr>
        <w:t xml:space="preserve">          Humberto Antonio Sierra Porto</w:t>
      </w:r>
    </w:p>
    <w:p w14:paraId="6B56467F" w14:textId="74F36973" w:rsidR="001C1A87" w:rsidRPr="0000666D" w:rsidRDefault="001C1A87" w:rsidP="001C1A87">
      <w:pPr>
        <w:ind w:left="3960" w:right="96" w:firstLine="360"/>
        <w:jc w:val="center"/>
        <w:rPr>
          <w:rFonts w:eastAsia="Calibri" w:cs="Times New Roman"/>
          <w:szCs w:val="20"/>
          <w:lang w:val="es-MX"/>
        </w:rPr>
      </w:pPr>
      <w:r w:rsidRPr="0000666D">
        <w:rPr>
          <w:rFonts w:eastAsia="Calibri" w:cs="Times New Roman"/>
          <w:szCs w:val="20"/>
          <w:lang w:val="es-MX"/>
        </w:rPr>
        <w:t xml:space="preserve">         Juez</w:t>
      </w:r>
    </w:p>
    <w:p w14:paraId="67DB646E" w14:textId="40A343F2" w:rsidR="001C1A87" w:rsidRPr="0000666D" w:rsidRDefault="001C1A87" w:rsidP="001C1A87">
      <w:pPr>
        <w:jc w:val="left"/>
        <w:rPr>
          <w:rFonts w:ascii="Cambria" w:eastAsia="MS Mincho" w:hAnsi="Cambria" w:cs="Times New Roman"/>
          <w:sz w:val="24"/>
          <w:szCs w:val="24"/>
          <w:lang w:val="es-CR" w:eastAsia="es-ES"/>
        </w:rPr>
      </w:pPr>
    </w:p>
    <w:p w14:paraId="66A8B82F" w14:textId="60B6478C" w:rsidR="001C1A87" w:rsidRPr="0000666D" w:rsidRDefault="001C1A87" w:rsidP="001C1A87">
      <w:pPr>
        <w:jc w:val="left"/>
        <w:rPr>
          <w:rFonts w:ascii="Cambria" w:eastAsia="MS Mincho" w:hAnsi="Cambria" w:cs="Times New Roman"/>
          <w:sz w:val="24"/>
          <w:szCs w:val="24"/>
          <w:lang w:val="es-CR" w:eastAsia="es-ES"/>
        </w:rPr>
      </w:pPr>
    </w:p>
    <w:p w14:paraId="71AED650" w14:textId="175F5572" w:rsidR="001C1A87" w:rsidRPr="0000666D" w:rsidRDefault="001C1A87" w:rsidP="001C1A87">
      <w:pPr>
        <w:jc w:val="left"/>
        <w:rPr>
          <w:rFonts w:ascii="Cambria" w:eastAsia="MS Mincho" w:hAnsi="Cambria" w:cs="Times New Roman"/>
          <w:sz w:val="24"/>
          <w:szCs w:val="24"/>
          <w:lang w:val="es-CR" w:eastAsia="es-ES"/>
        </w:rPr>
      </w:pPr>
    </w:p>
    <w:p w14:paraId="5B60A2D6" w14:textId="1DC57C9D" w:rsidR="001C1A87" w:rsidRPr="0000666D" w:rsidRDefault="001C1A87" w:rsidP="001C1A87">
      <w:pPr>
        <w:jc w:val="left"/>
        <w:rPr>
          <w:rFonts w:ascii="Cambria" w:eastAsia="MS Mincho" w:hAnsi="Cambria" w:cs="Times New Roman"/>
          <w:sz w:val="24"/>
          <w:szCs w:val="24"/>
          <w:lang w:val="es-CR" w:eastAsia="es-ES"/>
        </w:rPr>
      </w:pPr>
    </w:p>
    <w:p w14:paraId="2553DB9D" w14:textId="7F60C884" w:rsidR="001C1A87" w:rsidRPr="0000666D" w:rsidRDefault="001C1A87" w:rsidP="001C1A87">
      <w:pPr>
        <w:jc w:val="left"/>
        <w:rPr>
          <w:rFonts w:ascii="Cambria" w:eastAsia="MS Mincho" w:hAnsi="Cambria" w:cs="Times New Roman"/>
          <w:sz w:val="24"/>
          <w:szCs w:val="24"/>
          <w:lang w:val="es-CR" w:eastAsia="es-ES"/>
        </w:rPr>
      </w:pPr>
    </w:p>
    <w:p w14:paraId="1D1CD0C8" w14:textId="09AF9F75" w:rsidR="001C1A87" w:rsidRPr="0000666D" w:rsidRDefault="001C1A87" w:rsidP="001C1A87">
      <w:pPr>
        <w:jc w:val="left"/>
        <w:rPr>
          <w:rFonts w:eastAsia="MS Mincho" w:cs="Times New Roman"/>
          <w:szCs w:val="20"/>
          <w:lang w:val="es-CR" w:eastAsia="es-ES"/>
        </w:rPr>
      </w:pPr>
      <w:r w:rsidRPr="0000666D">
        <w:rPr>
          <w:rFonts w:eastAsia="MS Mincho" w:cs="Times New Roman"/>
          <w:szCs w:val="20"/>
          <w:lang w:val="es-CR" w:eastAsia="es-ES"/>
        </w:rPr>
        <w:t xml:space="preserve">      Pablo Saavedra Alessandri</w:t>
      </w:r>
    </w:p>
    <w:p w14:paraId="75824BB7" w14:textId="581B27A2" w:rsidR="001C1A87" w:rsidRPr="008F7BC5" w:rsidRDefault="001C1A87" w:rsidP="001C1A87">
      <w:pPr>
        <w:contextualSpacing/>
        <w:rPr>
          <w:rFonts w:eastAsia="MS Mincho" w:cs="Times New Roman"/>
          <w:szCs w:val="20"/>
          <w:lang w:val="es-ES_tradnl" w:eastAsia="es-ES"/>
        </w:rPr>
      </w:pPr>
      <w:r w:rsidRPr="0000666D">
        <w:rPr>
          <w:rFonts w:eastAsia="MS Mincho" w:cs="Times New Roman"/>
          <w:szCs w:val="20"/>
          <w:lang w:val="es-CR" w:eastAsia="es-ES"/>
        </w:rPr>
        <w:tab/>
        <w:t xml:space="preserve">     Secretario</w:t>
      </w:r>
    </w:p>
    <w:p w14:paraId="229F9B20" w14:textId="08B29EC7" w:rsidR="001C1A87" w:rsidRPr="00772272" w:rsidRDefault="001C1A87" w:rsidP="001C1A87">
      <w:pPr>
        <w:pStyle w:val="Numberedparagraphs"/>
        <w:numPr>
          <w:ilvl w:val="0"/>
          <w:numId w:val="0"/>
        </w:numPr>
        <w:rPr>
          <w:lang w:val="es-AR"/>
        </w:rPr>
      </w:pPr>
    </w:p>
    <w:p w14:paraId="600EE6D3" w14:textId="383368A2" w:rsidR="001C1A87" w:rsidRPr="00772272" w:rsidRDefault="001C1A87" w:rsidP="001C1A87">
      <w:pPr>
        <w:pStyle w:val="Numberedparagraphs"/>
        <w:numPr>
          <w:ilvl w:val="0"/>
          <w:numId w:val="0"/>
        </w:numPr>
        <w:rPr>
          <w:lang w:val="es-AR" w:eastAsia="es-MX"/>
        </w:rPr>
      </w:pPr>
    </w:p>
    <w:p w14:paraId="36BA2271" w14:textId="1EF021FB" w:rsidR="001C1A87" w:rsidRPr="00F77A32" w:rsidRDefault="001C1A87" w:rsidP="001C1A87">
      <w:pPr>
        <w:rPr>
          <w:lang w:val="es-CR"/>
        </w:rPr>
      </w:pPr>
    </w:p>
    <w:p w14:paraId="1DC81136" w14:textId="366CD685" w:rsidR="001C1A87" w:rsidRPr="00F77A32" w:rsidRDefault="001C1A87" w:rsidP="001C1A87">
      <w:pPr>
        <w:rPr>
          <w:lang w:val="es-CR"/>
        </w:rPr>
      </w:pPr>
    </w:p>
    <w:p w14:paraId="1F48F506" w14:textId="77777777" w:rsidR="001C1A87" w:rsidRPr="00F77A32" w:rsidRDefault="001C1A87" w:rsidP="001C1A87">
      <w:pPr>
        <w:rPr>
          <w:lang w:val="es-CR"/>
        </w:rPr>
      </w:pPr>
    </w:p>
    <w:p w14:paraId="4CECA7B1" w14:textId="77777777" w:rsidR="001C1A87" w:rsidRPr="00F77A32" w:rsidRDefault="001C1A87" w:rsidP="001C1A87">
      <w:pPr>
        <w:rPr>
          <w:lang w:val="es-CR"/>
        </w:rPr>
      </w:pPr>
    </w:p>
    <w:p w14:paraId="2DEA1A34" w14:textId="77777777" w:rsidR="001C1A87" w:rsidRPr="00F77A32" w:rsidRDefault="001C1A87" w:rsidP="001C1A87">
      <w:pPr>
        <w:rPr>
          <w:lang w:val="es-CR"/>
        </w:rPr>
      </w:pPr>
    </w:p>
    <w:p w14:paraId="08FBFBC2" w14:textId="77777777" w:rsidR="001C1A87" w:rsidRPr="00F77A32" w:rsidRDefault="001C1A87" w:rsidP="001C1A87">
      <w:pPr>
        <w:rPr>
          <w:lang w:val="es-CR"/>
        </w:rPr>
      </w:pPr>
    </w:p>
    <w:p w14:paraId="45F6042A" w14:textId="77777777" w:rsidR="001C1A87" w:rsidRPr="00F77A32" w:rsidRDefault="001C1A87" w:rsidP="001C1A87">
      <w:pPr>
        <w:rPr>
          <w:lang w:val="es-CR"/>
        </w:rPr>
      </w:pPr>
    </w:p>
    <w:p w14:paraId="0A0A8C10" w14:textId="77777777" w:rsidR="001C1A87" w:rsidRPr="00F77A32" w:rsidRDefault="001C1A87" w:rsidP="001C1A87">
      <w:pPr>
        <w:rPr>
          <w:lang w:val="es-CR"/>
        </w:rPr>
      </w:pPr>
    </w:p>
    <w:p w14:paraId="51ABFC41" w14:textId="77777777" w:rsidR="001C1A87" w:rsidRPr="00F77A32" w:rsidRDefault="001C1A87" w:rsidP="001C1A87">
      <w:pPr>
        <w:rPr>
          <w:lang w:val="es-CR"/>
        </w:rPr>
      </w:pPr>
    </w:p>
    <w:p w14:paraId="4DF93D87" w14:textId="77777777" w:rsidR="001C1A87" w:rsidRPr="008E0B8F" w:rsidRDefault="001C1A87" w:rsidP="001C1A87">
      <w:pPr>
        <w:rPr>
          <w:lang w:val="es-CO"/>
        </w:rPr>
      </w:pPr>
    </w:p>
    <w:p w14:paraId="0030DE59" w14:textId="30775AFE" w:rsidR="00A939D7" w:rsidRPr="00772272" w:rsidRDefault="00A939D7" w:rsidP="001C1A87">
      <w:pPr>
        <w:tabs>
          <w:tab w:val="left" w:pos="709"/>
        </w:tabs>
        <w:jc w:val="center"/>
        <w:rPr>
          <w:lang w:val="es-AR" w:eastAsia="es-MX"/>
        </w:rPr>
      </w:pPr>
    </w:p>
    <w:sectPr w:rsidR="00A939D7" w:rsidRPr="00772272" w:rsidSect="003322A9">
      <w:pgSz w:w="12242" w:h="15842" w:code="1"/>
      <w:pgMar w:top="1701" w:right="117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6BDE0" w14:textId="77777777" w:rsidR="00354C86" w:rsidRDefault="00354C86" w:rsidP="00A46476">
      <w:r>
        <w:separator/>
      </w:r>
    </w:p>
  </w:endnote>
  <w:endnote w:type="continuationSeparator" w:id="0">
    <w:p w14:paraId="6B2C4625" w14:textId="77777777" w:rsidR="00354C86" w:rsidRDefault="00354C86" w:rsidP="00A4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0CA45" w14:textId="77777777" w:rsidR="00354C86" w:rsidRDefault="00354C86" w:rsidP="00A46476">
      <w:r>
        <w:separator/>
      </w:r>
    </w:p>
  </w:footnote>
  <w:footnote w:type="continuationSeparator" w:id="0">
    <w:p w14:paraId="47AFCA8B" w14:textId="77777777" w:rsidR="00354C86" w:rsidRDefault="00354C86" w:rsidP="00A46476">
      <w:r>
        <w:continuationSeparator/>
      </w:r>
    </w:p>
  </w:footnote>
  <w:footnote w:id="1">
    <w:p w14:paraId="6DBA3DCE" w14:textId="77777777" w:rsidR="001C1A87" w:rsidRPr="006B0D74" w:rsidRDefault="001C1A87" w:rsidP="006B0D74">
      <w:pPr>
        <w:pStyle w:val="Textonotapie"/>
        <w:spacing w:after="240"/>
        <w:rPr>
          <w:bCs/>
          <w:color w:val="000000"/>
          <w:shd w:val="clear" w:color="auto" w:fill="FFFFFF"/>
        </w:rPr>
      </w:pPr>
      <w:r w:rsidRPr="006B0D74">
        <w:rPr>
          <w:rStyle w:val="Refdenotaalpie"/>
        </w:rPr>
        <w:footnoteRef/>
      </w:r>
      <w:r w:rsidRPr="006B0D74">
        <w:tab/>
      </w:r>
      <w:r w:rsidRPr="006B0D74">
        <w:rPr>
          <w:i/>
        </w:rPr>
        <w:t>Cfr.</w:t>
      </w:r>
      <w:r w:rsidRPr="006B0D74">
        <w:t xml:space="preserve"> </w:t>
      </w:r>
      <w:r w:rsidRPr="006B0D74">
        <w:rPr>
          <w:rStyle w:val="Textoennegrita"/>
          <w:b w:val="0"/>
          <w:i/>
          <w:color w:val="000000"/>
        </w:rPr>
        <w:t xml:space="preserve">Caso Lagos del Campo Vs. Perú. </w:t>
      </w:r>
      <w:r w:rsidRPr="006B0D74">
        <w:rPr>
          <w:bCs/>
          <w:i/>
          <w:color w:val="000000"/>
        </w:rPr>
        <w:t xml:space="preserve">Excepciones Preliminares, Fondo, Reparaciones y Costas. </w:t>
      </w:r>
      <w:r w:rsidRPr="006B0D74">
        <w:rPr>
          <w:bCs/>
          <w:color w:val="000000"/>
        </w:rPr>
        <w:t>Sentencia de 31 de</w:t>
      </w:r>
      <w:r w:rsidRPr="006B0D74">
        <w:rPr>
          <w:bCs/>
          <w:color w:val="000000"/>
          <w:shd w:val="clear" w:color="auto" w:fill="FFFFFF"/>
        </w:rPr>
        <w:t xml:space="preserve"> </w:t>
      </w:r>
      <w:r w:rsidRPr="006B0D74">
        <w:rPr>
          <w:bCs/>
          <w:color w:val="000000"/>
        </w:rPr>
        <w:t>agosto de 2017. Serie C No. 340.</w:t>
      </w:r>
      <w:r w:rsidRPr="006B0D74">
        <w:rPr>
          <w:bCs/>
          <w:i/>
          <w:color w:val="000000"/>
        </w:rPr>
        <w:t xml:space="preserve"> </w:t>
      </w:r>
      <w:r w:rsidRPr="006B0D74">
        <w:rPr>
          <w:rStyle w:val="Textoennegrita"/>
          <w:b w:val="0"/>
          <w:color w:val="000000"/>
        </w:rPr>
        <w:t>Voto parcialmente disidente del Juez Antonio Humberto Sierra Porto.</w:t>
      </w:r>
      <w:r w:rsidRPr="006B0D74">
        <w:rPr>
          <w:rStyle w:val="Textoennegrita"/>
          <w:color w:val="000000"/>
          <w:shd w:val="clear" w:color="auto" w:fill="FFFFFF"/>
        </w:rPr>
        <w:t xml:space="preserve"> </w:t>
      </w:r>
    </w:p>
  </w:footnote>
  <w:footnote w:id="2">
    <w:p w14:paraId="1CE1F8E8" w14:textId="77777777" w:rsidR="001C1A87" w:rsidRPr="006B0D74" w:rsidRDefault="001C1A87" w:rsidP="006B0D74">
      <w:pPr>
        <w:pStyle w:val="Textonotapie"/>
        <w:spacing w:after="240"/>
        <w:rPr>
          <w:rFonts w:eastAsia="Calibri"/>
          <w:b/>
          <w:bCs/>
          <w:color w:val="000000"/>
          <w:shd w:val="clear" w:color="auto" w:fill="FFFFFF"/>
        </w:rPr>
      </w:pPr>
      <w:r w:rsidRPr="006B0D74">
        <w:rPr>
          <w:rStyle w:val="Refdenotaalpie"/>
        </w:rPr>
        <w:footnoteRef/>
      </w:r>
      <w:r w:rsidRPr="006B0D74">
        <w:tab/>
      </w:r>
      <w:r w:rsidRPr="006B0D74">
        <w:rPr>
          <w:i/>
        </w:rPr>
        <w:t xml:space="preserve">Cfr. </w:t>
      </w:r>
      <w:r w:rsidRPr="006B0D74">
        <w:rPr>
          <w:bCs/>
          <w:i/>
        </w:rPr>
        <w:t xml:space="preserve">Caso Trabajadores Cesados de Petroperú y otros Vs. Perú. Excepciones Preliminares, Fondo, Reparaciones y Costas. </w:t>
      </w:r>
      <w:r w:rsidRPr="006B0D74">
        <w:rPr>
          <w:bCs/>
        </w:rPr>
        <w:t>Sentencia de 23 de noviembre de 2017. Serie C No. 344</w:t>
      </w:r>
      <w:r w:rsidRPr="006B0D74">
        <w:rPr>
          <w:bCs/>
          <w:i/>
        </w:rPr>
        <w:t>.</w:t>
      </w:r>
      <w:r w:rsidRPr="006B0D74">
        <w:rPr>
          <w:bCs/>
        </w:rPr>
        <w:t xml:space="preserve"> </w:t>
      </w:r>
      <w:r w:rsidRPr="006B0D74">
        <w:rPr>
          <w:rStyle w:val="Textoennegrita"/>
          <w:b w:val="0"/>
          <w:color w:val="000000"/>
        </w:rPr>
        <w:t>Voto parcialmente disidente del Juez Antonio Humberto</w:t>
      </w:r>
      <w:r w:rsidRPr="006B0D74">
        <w:rPr>
          <w:rStyle w:val="Textoennegrita"/>
          <w:b w:val="0"/>
          <w:color w:val="000000"/>
          <w:shd w:val="clear" w:color="auto" w:fill="FFFFFF"/>
        </w:rPr>
        <w:t xml:space="preserve"> </w:t>
      </w:r>
      <w:r w:rsidRPr="006B0D74">
        <w:rPr>
          <w:rStyle w:val="Textoennegrita"/>
          <w:b w:val="0"/>
          <w:color w:val="000000"/>
        </w:rPr>
        <w:t>Sierra Porto.</w:t>
      </w:r>
      <w:r w:rsidRPr="006B0D74">
        <w:rPr>
          <w:rStyle w:val="Textoennegrita"/>
          <w:b w:val="0"/>
          <w:color w:val="000000"/>
          <w:shd w:val="clear" w:color="auto" w:fill="FFFFFF"/>
        </w:rPr>
        <w:t xml:space="preserve"> </w:t>
      </w:r>
    </w:p>
  </w:footnote>
  <w:footnote w:id="3">
    <w:p w14:paraId="24169381" w14:textId="77777777" w:rsidR="001C1A87" w:rsidRPr="006B0D74" w:rsidRDefault="001C1A87" w:rsidP="006B0D74">
      <w:pPr>
        <w:pStyle w:val="Textonotapie"/>
        <w:spacing w:after="240"/>
        <w:rPr>
          <w:b/>
        </w:rPr>
      </w:pPr>
      <w:r w:rsidRPr="006B0D74">
        <w:rPr>
          <w:rStyle w:val="Refdenotaalpie"/>
        </w:rPr>
        <w:footnoteRef/>
      </w:r>
      <w:r w:rsidRPr="006B0D74">
        <w:rPr>
          <w:b/>
        </w:rPr>
        <w:tab/>
      </w:r>
      <w:r w:rsidRPr="006B0D74">
        <w:rPr>
          <w:i/>
        </w:rPr>
        <w:t xml:space="preserve">Cfr. </w:t>
      </w:r>
      <w:r w:rsidRPr="006B0D74">
        <w:rPr>
          <w:rStyle w:val="Textoennegrita"/>
          <w:b w:val="0"/>
          <w:i/>
          <w:color w:val="000000"/>
        </w:rPr>
        <w:t>Caso San Miguel Sosa y otras Vs. Venezuela. Fondo, Reparaciones y Costas.</w:t>
      </w:r>
      <w:r w:rsidRPr="006B0D74">
        <w:rPr>
          <w:rStyle w:val="Textoennegrita"/>
          <w:b w:val="0"/>
          <w:color w:val="000000"/>
        </w:rPr>
        <w:t xml:space="preserve"> Sentencia de 8 de febrero de</w:t>
      </w:r>
      <w:r w:rsidRPr="006B0D74">
        <w:rPr>
          <w:rStyle w:val="Textoennegrita"/>
          <w:b w:val="0"/>
          <w:color w:val="000000"/>
          <w:shd w:val="clear" w:color="auto" w:fill="FFFFFF"/>
        </w:rPr>
        <w:t xml:space="preserve"> </w:t>
      </w:r>
      <w:r w:rsidRPr="006B0D74">
        <w:rPr>
          <w:rStyle w:val="Textoennegrita"/>
          <w:b w:val="0"/>
          <w:color w:val="000000"/>
        </w:rPr>
        <w:t>2018. Serie C No. 348. Voto parcialmente disidente del Juez Humberto Antonio Sierra Porto.</w:t>
      </w:r>
    </w:p>
  </w:footnote>
  <w:footnote w:id="4">
    <w:p w14:paraId="112590AF" w14:textId="77777777" w:rsidR="001C1A87" w:rsidRPr="006B0D74" w:rsidRDefault="001C1A87" w:rsidP="006B0D74">
      <w:pPr>
        <w:pStyle w:val="Textonotapie"/>
        <w:spacing w:after="240"/>
        <w:rPr>
          <w:bCs/>
          <w:color w:val="000000"/>
          <w:shd w:val="clear" w:color="auto" w:fill="FFFFFF"/>
        </w:rPr>
      </w:pPr>
      <w:r w:rsidRPr="006B0D74">
        <w:rPr>
          <w:rStyle w:val="Refdenotaalpie"/>
        </w:rPr>
        <w:footnoteRef/>
      </w:r>
      <w:r w:rsidRPr="006B0D74">
        <w:rPr>
          <w:b/>
        </w:rPr>
        <w:tab/>
      </w:r>
      <w:r w:rsidRPr="006B0D74">
        <w:rPr>
          <w:i/>
        </w:rPr>
        <w:t xml:space="preserve">Cfr. </w:t>
      </w:r>
      <w:r w:rsidRPr="006B0D74">
        <w:rPr>
          <w:rStyle w:val="Textoennegrita"/>
          <w:b w:val="0"/>
          <w:i/>
          <w:color w:val="000000"/>
        </w:rPr>
        <w:t xml:space="preserve">Caso Gonzales </w:t>
      </w:r>
      <w:proofErr w:type="spellStart"/>
      <w:r w:rsidRPr="006B0D74">
        <w:rPr>
          <w:rStyle w:val="Textoennegrita"/>
          <w:b w:val="0"/>
          <w:i/>
          <w:color w:val="000000"/>
        </w:rPr>
        <w:t>Lluy</w:t>
      </w:r>
      <w:proofErr w:type="spellEnd"/>
      <w:r w:rsidRPr="006B0D74">
        <w:rPr>
          <w:rStyle w:val="Textoennegrita"/>
          <w:b w:val="0"/>
          <w:i/>
          <w:color w:val="000000"/>
        </w:rPr>
        <w:t xml:space="preserve"> y otros Vs. Ecuador.</w:t>
      </w:r>
      <w:r w:rsidRPr="006B0D74">
        <w:rPr>
          <w:rStyle w:val="Textoennegrita"/>
          <w:i/>
          <w:color w:val="000000"/>
        </w:rPr>
        <w:t xml:space="preserve"> </w:t>
      </w:r>
      <w:r w:rsidRPr="006B0D74">
        <w:rPr>
          <w:bCs/>
          <w:i/>
          <w:color w:val="000000"/>
        </w:rPr>
        <w:t xml:space="preserve">Excepciones Preliminares, Fondo, Reparaciones y Costas. </w:t>
      </w:r>
      <w:r w:rsidRPr="006B0D74">
        <w:rPr>
          <w:bCs/>
          <w:color w:val="000000"/>
        </w:rPr>
        <w:t>Sentencia de</w:t>
      </w:r>
      <w:r w:rsidRPr="006B0D74">
        <w:rPr>
          <w:bCs/>
          <w:color w:val="000000"/>
          <w:shd w:val="clear" w:color="auto" w:fill="FFFFFF"/>
        </w:rPr>
        <w:t xml:space="preserve"> </w:t>
      </w:r>
      <w:r w:rsidRPr="006B0D74">
        <w:rPr>
          <w:bCs/>
          <w:color w:val="000000"/>
        </w:rPr>
        <w:t>1 de septiembre de 2015. Serie C No. 298.</w:t>
      </w:r>
      <w:r w:rsidRPr="006B0D74">
        <w:rPr>
          <w:rStyle w:val="Textoennegrita"/>
          <w:color w:val="000000"/>
        </w:rPr>
        <w:t xml:space="preserve"> </w:t>
      </w:r>
      <w:r w:rsidRPr="006B0D74">
        <w:rPr>
          <w:rStyle w:val="Textoennegrita"/>
          <w:b w:val="0"/>
          <w:color w:val="000000"/>
        </w:rPr>
        <w:t>Voto Concurrente del Juez Humberto Antonio Sierra Porto.</w:t>
      </w:r>
      <w:r w:rsidRPr="006B0D74">
        <w:rPr>
          <w:rStyle w:val="Textoennegrita"/>
          <w:color w:val="000000"/>
          <w:shd w:val="clear" w:color="auto" w:fill="FFFFFF"/>
        </w:rPr>
        <w:t xml:space="preserve"> </w:t>
      </w:r>
    </w:p>
  </w:footnote>
  <w:footnote w:id="5">
    <w:p w14:paraId="692C54BA" w14:textId="77777777" w:rsidR="001C1A87" w:rsidRPr="006B0D74" w:rsidRDefault="001C1A87" w:rsidP="006B0D74">
      <w:pPr>
        <w:spacing w:after="240"/>
        <w:rPr>
          <w:bCs/>
          <w:color w:val="000000"/>
          <w:sz w:val="16"/>
          <w:szCs w:val="16"/>
          <w:shd w:val="clear" w:color="auto" w:fill="FFFFFF"/>
          <w:lang w:val="es-CR"/>
        </w:rPr>
      </w:pPr>
      <w:r w:rsidRPr="006B0D74">
        <w:rPr>
          <w:rStyle w:val="Refdenotaalpie"/>
        </w:rPr>
        <w:footnoteRef/>
      </w:r>
      <w:r w:rsidRPr="006B0D74">
        <w:rPr>
          <w:sz w:val="16"/>
          <w:szCs w:val="16"/>
          <w:lang w:val="es-CR"/>
        </w:rPr>
        <w:tab/>
      </w:r>
      <w:r w:rsidRPr="006B0D74">
        <w:rPr>
          <w:i/>
          <w:sz w:val="16"/>
          <w:szCs w:val="16"/>
          <w:lang w:val="es-CR"/>
        </w:rPr>
        <w:t xml:space="preserve">Cfr. </w:t>
      </w:r>
      <w:r w:rsidRPr="006B0D74">
        <w:rPr>
          <w:rStyle w:val="Textoennegrita"/>
          <w:rFonts w:cs="Verdana"/>
          <w:b w:val="0"/>
          <w:i/>
          <w:sz w:val="16"/>
          <w:szCs w:val="16"/>
          <w:lang w:val="es-CR"/>
        </w:rPr>
        <w:t>Caso Poblete Vilches y otros Vs. Chile. Fondo, Reparaciones y Costas</w:t>
      </w:r>
      <w:r w:rsidRPr="006B0D74">
        <w:rPr>
          <w:rStyle w:val="Textoennegrita"/>
          <w:rFonts w:cs="Verdana"/>
          <w:b w:val="0"/>
          <w:sz w:val="16"/>
          <w:szCs w:val="16"/>
          <w:lang w:val="es-CR"/>
        </w:rPr>
        <w:t>. Sentencia de 8 de marzo de 2018. Serie C No. 349.</w:t>
      </w:r>
      <w:r w:rsidRPr="006B0D74">
        <w:rPr>
          <w:rStyle w:val="Textoennegrita"/>
          <w:b w:val="0"/>
          <w:color w:val="000000"/>
          <w:sz w:val="16"/>
          <w:szCs w:val="16"/>
          <w:lang w:val="es-CR"/>
        </w:rPr>
        <w:t xml:space="preserve"> Voto Concurrente del Juez Humberto Antonio Sierra Porto.</w:t>
      </w:r>
    </w:p>
  </w:footnote>
  <w:footnote w:id="6">
    <w:p w14:paraId="575E29BE" w14:textId="6BFAEFAC" w:rsidR="002C71D9" w:rsidRPr="002C71D9" w:rsidRDefault="002C71D9">
      <w:pPr>
        <w:pStyle w:val="Textonotapie"/>
        <w:rPr>
          <w:lang w:val="es-CR"/>
        </w:rPr>
      </w:pPr>
      <w:r>
        <w:rPr>
          <w:rStyle w:val="Refdenotaalpie"/>
        </w:rPr>
        <w:footnoteRef/>
      </w:r>
      <w:r>
        <w:t xml:space="preserve"> </w:t>
      </w:r>
      <w:r>
        <w:tab/>
      </w:r>
      <w:r w:rsidRPr="002C71D9">
        <w:rPr>
          <w:i/>
        </w:rPr>
        <w:t>Cfr.</w:t>
      </w:r>
      <w:r>
        <w:t xml:space="preserve"> </w:t>
      </w:r>
      <w:r w:rsidRPr="002C71D9">
        <w:t xml:space="preserve">Caso </w:t>
      </w:r>
      <w:proofErr w:type="spellStart"/>
      <w:r w:rsidRPr="002C71D9">
        <w:t>Cuscul</w:t>
      </w:r>
      <w:proofErr w:type="spellEnd"/>
      <w:r w:rsidRPr="002C71D9">
        <w:t xml:space="preserve"> Pivaral y otros Vs. Guatemala. Excepción Preliminar, Fondo, Reparaciones y Costas. Sentencia de 23 de agosto de 2018. Serie C No. 359.</w:t>
      </w:r>
      <w:r>
        <w:t xml:space="preserve"> </w:t>
      </w:r>
      <w:r w:rsidRPr="006B0D74">
        <w:rPr>
          <w:rStyle w:val="Textoennegrita"/>
          <w:b w:val="0"/>
          <w:color w:val="000000"/>
        </w:rPr>
        <w:t>Voto parcialmente disidente del Juez Humberto Antonio Sierra Porto.</w:t>
      </w:r>
    </w:p>
  </w:footnote>
  <w:footnote w:id="7">
    <w:p w14:paraId="64BB4487" w14:textId="77777777" w:rsidR="001C1A87" w:rsidRPr="006B0D74" w:rsidRDefault="001C1A87" w:rsidP="006B0D74">
      <w:pPr>
        <w:tabs>
          <w:tab w:val="left" w:pos="567"/>
        </w:tabs>
        <w:rPr>
          <w:b/>
          <w:spacing w:val="-12"/>
          <w:sz w:val="16"/>
          <w:szCs w:val="16"/>
          <w:lang w:val="es-MX"/>
        </w:rPr>
      </w:pPr>
      <w:r w:rsidRPr="006B0D74">
        <w:rPr>
          <w:spacing w:val="-12"/>
          <w:sz w:val="16"/>
          <w:szCs w:val="16"/>
          <w:vertAlign w:val="superscript"/>
        </w:rPr>
        <w:footnoteRef/>
      </w:r>
      <w:r w:rsidRPr="006B0D74">
        <w:rPr>
          <w:spacing w:val="-12"/>
          <w:sz w:val="16"/>
          <w:szCs w:val="16"/>
          <w:lang w:val="es-MX"/>
        </w:rPr>
        <w:t xml:space="preserve"> </w:t>
      </w:r>
      <w:r w:rsidRPr="006B0D74">
        <w:rPr>
          <w:spacing w:val="-12"/>
          <w:sz w:val="16"/>
          <w:szCs w:val="16"/>
          <w:lang w:val="es-MX"/>
        </w:rPr>
        <w:tab/>
      </w:r>
      <w:r w:rsidRPr="006B0D74">
        <w:rPr>
          <w:i/>
          <w:spacing w:val="-12"/>
          <w:sz w:val="16"/>
          <w:szCs w:val="16"/>
          <w:lang w:val="es-MX"/>
        </w:rPr>
        <w:t xml:space="preserve">Cfr. Caso Las Palmeras Vs. Colombia. Excepciones Preliminares. </w:t>
      </w:r>
      <w:r w:rsidRPr="006B0D74">
        <w:rPr>
          <w:spacing w:val="-12"/>
          <w:sz w:val="16"/>
          <w:szCs w:val="16"/>
          <w:lang w:val="es-MX"/>
        </w:rPr>
        <w:t xml:space="preserve">Sentencia de 4 de febrero de 2000. Serie C No. 67, párr. 34, </w:t>
      </w:r>
      <w:r w:rsidRPr="006B0D74">
        <w:rPr>
          <w:sz w:val="16"/>
          <w:szCs w:val="16"/>
          <w:lang w:val="es-ES"/>
        </w:rPr>
        <w:t xml:space="preserve">y </w:t>
      </w:r>
      <w:r w:rsidRPr="006B0D74">
        <w:rPr>
          <w:rStyle w:val="Textoennegrita"/>
          <w:b w:val="0"/>
          <w:i/>
          <w:color w:val="000000"/>
          <w:sz w:val="16"/>
          <w:szCs w:val="16"/>
          <w:shd w:val="clear" w:color="auto" w:fill="FFFFFF"/>
          <w:lang w:val="es-CR"/>
        </w:rPr>
        <w:t>Caso Herzog y otros Vs. Brasil. Excepciones Preliminares, Fondo, Reparaciones y Costas.</w:t>
      </w:r>
      <w:r w:rsidRPr="006B0D74">
        <w:rPr>
          <w:rStyle w:val="Textoennegrita"/>
          <w:b w:val="0"/>
          <w:color w:val="000000"/>
          <w:sz w:val="16"/>
          <w:szCs w:val="16"/>
          <w:shd w:val="clear" w:color="auto" w:fill="FFFFFF"/>
          <w:lang w:val="es-CR"/>
        </w:rPr>
        <w:t xml:space="preserve"> Sentencia de 15 de marzo de 2018. </w:t>
      </w:r>
      <w:r w:rsidRPr="006B0D74">
        <w:rPr>
          <w:rStyle w:val="Textoennegrita"/>
          <w:b w:val="0"/>
          <w:color w:val="000000"/>
          <w:sz w:val="16"/>
          <w:szCs w:val="16"/>
          <w:shd w:val="clear" w:color="auto" w:fill="FFFFFF"/>
          <w:lang w:val="es-PE"/>
        </w:rPr>
        <w:t>Serie C No. 353, párr. 97.</w:t>
      </w:r>
    </w:p>
  </w:footnote>
  <w:footnote w:id="8">
    <w:p w14:paraId="7F40CA87" w14:textId="77777777" w:rsidR="001C1A87" w:rsidRPr="006B0D74" w:rsidRDefault="001C1A87" w:rsidP="006B0D74">
      <w:pPr>
        <w:pStyle w:val="Textonotapie"/>
        <w:rPr>
          <w:b/>
          <w:lang w:val="es-ES"/>
        </w:rPr>
      </w:pPr>
      <w:r w:rsidRPr="006B0D74">
        <w:rPr>
          <w:rStyle w:val="Refdenotaalpie"/>
          <w:lang w:val="es-ES"/>
        </w:rPr>
        <w:footnoteRef/>
      </w:r>
      <w:r w:rsidRPr="006B0D74">
        <w:rPr>
          <w:lang w:val="es-ES"/>
        </w:rPr>
        <w:t xml:space="preserve"> </w:t>
      </w:r>
      <w:r w:rsidRPr="006B0D74">
        <w:rPr>
          <w:lang w:val="es-ES"/>
        </w:rPr>
        <w:tab/>
      </w:r>
      <w:r w:rsidRPr="006B0D74">
        <w:rPr>
          <w:i/>
          <w:lang w:val="es-ES"/>
        </w:rPr>
        <w:t>Cfr.</w:t>
      </w:r>
      <w:r w:rsidRPr="006B0D74">
        <w:rPr>
          <w:lang w:val="es-ES"/>
        </w:rPr>
        <w:t xml:space="preserve"> Caso Castañeda Gutman Vs. México, párr. 39, y </w:t>
      </w:r>
      <w:r w:rsidRPr="006B0D74">
        <w:rPr>
          <w:rStyle w:val="Textoennegrita"/>
          <w:b w:val="0"/>
          <w:i/>
          <w:color w:val="000000"/>
          <w:shd w:val="clear" w:color="auto" w:fill="FFFFFF"/>
          <w:lang w:val="es-CR"/>
        </w:rPr>
        <w:t>Caso Herzog y otros Vs. Brasil. Excepciones Preliminares, Fondo, Reparaciones y Costas.</w:t>
      </w:r>
      <w:r w:rsidRPr="006B0D74">
        <w:rPr>
          <w:rStyle w:val="Textoennegrita"/>
          <w:b w:val="0"/>
          <w:color w:val="000000"/>
          <w:shd w:val="clear" w:color="auto" w:fill="FFFFFF"/>
          <w:lang w:val="es-CR"/>
        </w:rPr>
        <w:t xml:space="preserve"> Sentencia de 15 de marzo de 2018. </w:t>
      </w:r>
      <w:r w:rsidRPr="006B0D74">
        <w:rPr>
          <w:rStyle w:val="Textoennegrita"/>
          <w:b w:val="0"/>
          <w:color w:val="000000"/>
          <w:shd w:val="clear" w:color="auto" w:fill="FFFFFF"/>
          <w:lang w:val="es-PE"/>
        </w:rPr>
        <w:t>Serie C No. 353, párr. 97.</w:t>
      </w:r>
    </w:p>
  </w:footnote>
  <w:footnote w:id="9">
    <w:p w14:paraId="73A694ED" w14:textId="77777777" w:rsidR="001C1A87" w:rsidRPr="006B0D74" w:rsidRDefault="001C1A87" w:rsidP="006B0D74">
      <w:pPr>
        <w:tabs>
          <w:tab w:val="left" w:pos="567"/>
        </w:tabs>
        <w:rPr>
          <w:bCs/>
          <w:color w:val="000000"/>
          <w:sz w:val="16"/>
          <w:szCs w:val="16"/>
          <w:shd w:val="clear" w:color="auto" w:fill="FFFFFF"/>
          <w:lang w:val="es-CR"/>
        </w:rPr>
      </w:pPr>
      <w:r w:rsidRPr="006B0D74">
        <w:rPr>
          <w:spacing w:val="-12"/>
          <w:sz w:val="16"/>
          <w:szCs w:val="16"/>
          <w:vertAlign w:val="superscript"/>
        </w:rPr>
        <w:footnoteRef/>
      </w:r>
      <w:r w:rsidRPr="006B0D74">
        <w:rPr>
          <w:spacing w:val="-12"/>
          <w:sz w:val="16"/>
          <w:szCs w:val="16"/>
          <w:lang w:val="es-MX"/>
        </w:rPr>
        <w:t xml:space="preserve">  </w:t>
      </w:r>
      <w:r w:rsidRPr="006B0D74">
        <w:rPr>
          <w:spacing w:val="-12"/>
          <w:sz w:val="16"/>
          <w:szCs w:val="16"/>
          <w:lang w:val="es-MX"/>
        </w:rPr>
        <w:tab/>
      </w:r>
      <w:r w:rsidRPr="006B0D74">
        <w:rPr>
          <w:i/>
          <w:spacing w:val="-12"/>
          <w:sz w:val="16"/>
          <w:szCs w:val="16"/>
          <w:lang w:val="es-MX"/>
        </w:rPr>
        <w:t xml:space="preserve">Cfr. Caso Castañeda Gutman Vs. México. Excepciones Preliminares, Fondo, Reparaciones y Costas. </w:t>
      </w:r>
      <w:r w:rsidRPr="006B0D74">
        <w:rPr>
          <w:spacing w:val="-12"/>
          <w:sz w:val="16"/>
          <w:szCs w:val="16"/>
          <w:lang w:val="es-MX"/>
        </w:rPr>
        <w:t xml:space="preserve">Sentencia de 6 de agosto de 2008. Serie C No. 184, párr. 39, y </w:t>
      </w:r>
      <w:r w:rsidRPr="006B0D74">
        <w:rPr>
          <w:rStyle w:val="Textoennegrita"/>
          <w:b w:val="0"/>
          <w:i/>
          <w:color w:val="000000"/>
          <w:sz w:val="16"/>
          <w:szCs w:val="16"/>
          <w:shd w:val="clear" w:color="auto" w:fill="FFFFFF"/>
          <w:lang w:val="es-CR"/>
        </w:rPr>
        <w:t>Caso Lagos del Campo Vs. Perú. Excepciones Preliminares, Fondo, Reparaciones y Costas</w:t>
      </w:r>
      <w:r w:rsidRPr="006B0D74">
        <w:rPr>
          <w:rStyle w:val="Textoennegrita"/>
          <w:b w:val="0"/>
          <w:color w:val="000000"/>
          <w:sz w:val="16"/>
          <w:szCs w:val="16"/>
          <w:shd w:val="clear" w:color="auto" w:fill="FFFFFF"/>
          <w:lang w:val="es-CR"/>
        </w:rPr>
        <w:t>. Sentencia de 31 de agosto de 2017. Serie C No. 340, párr. 17.</w:t>
      </w:r>
    </w:p>
  </w:footnote>
  <w:footnote w:id="10">
    <w:p w14:paraId="58AC39EA" w14:textId="77777777" w:rsidR="001C1A87" w:rsidRPr="006B0D74" w:rsidRDefault="001C1A87" w:rsidP="006B0D74">
      <w:pPr>
        <w:pStyle w:val="Textonotapie"/>
        <w:rPr>
          <w:b/>
          <w:lang w:val="es-PE"/>
        </w:rPr>
      </w:pPr>
      <w:r w:rsidRPr="006B0D74">
        <w:rPr>
          <w:rStyle w:val="Refdenotaalpie"/>
        </w:rPr>
        <w:footnoteRef/>
      </w:r>
      <w:r w:rsidRPr="006B0D74">
        <w:rPr>
          <w:lang w:val="es-ES"/>
        </w:rPr>
        <w:t xml:space="preserve"> </w:t>
      </w:r>
      <w:r w:rsidRPr="006B0D74">
        <w:rPr>
          <w:lang w:val="es-ES"/>
        </w:rPr>
        <w:tab/>
      </w:r>
      <w:r w:rsidRPr="006B0D74">
        <w:rPr>
          <w:i/>
          <w:lang w:val="es-ES"/>
        </w:rPr>
        <w:t>Cfr.</w:t>
      </w:r>
      <w:r w:rsidRPr="006B0D74">
        <w:rPr>
          <w:b/>
          <w:lang w:val="es-ES"/>
        </w:rPr>
        <w:t xml:space="preserve"> </w:t>
      </w:r>
      <w:r w:rsidRPr="006B0D74">
        <w:rPr>
          <w:rStyle w:val="Textoennegrita"/>
          <w:b w:val="0"/>
          <w:i/>
          <w:color w:val="000000"/>
          <w:shd w:val="clear" w:color="auto" w:fill="FFFFFF"/>
          <w:lang w:val="es-CR"/>
        </w:rPr>
        <w:t>Caso Acevedo Buendía y otros (“Cesantes y Jubilados de la Contraloría”) Vs. Perú. Excepción Preliminar, Fondo, Reparaciones y Costas.</w:t>
      </w:r>
      <w:r w:rsidRPr="006B0D74">
        <w:rPr>
          <w:rStyle w:val="Textoennegrita"/>
          <w:b w:val="0"/>
          <w:color w:val="000000"/>
          <w:shd w:val="clear" w:color="auto" w:fill="FFFFFF"/>
          <w:lang w:val="es-CR"/>
        </w:rPr>
        <w:t xml:space="preserve"> Sentencia de 1 de julio de 2009. Serie C No. 198, </w:t>
      </w:r>
      <w:proofErr w:type="spellStart"/>
      <w:r w:rsidRPr="006B0D74">
        <w:rPr>
          <w:rStyle w:val="Textoennegrita"/>
          <w:b w:val="0"/>
          <w:color w:val="000000"/>
          <w:shd w:val="clear" w:color="auto" w:fill="FFFFFF"/>
          <w:lang w:val="es-CR"/>
        </w:rPr>
        <w:t>párrs</w:t>
      </w:r>
      <w:proofErr w:type="spellEnd"/>
      <w:r w:rsidRPr="006B0D74">
        <w:rPr>
          <w:rStyle w:val="Textoennegrita"/>
          <w:b w:val="0"/>
          <w:color w:val="000000"/>
          <w:shd w:val="clear" w:color="auto" w:fill="FFFFFF"/>
          <w:lang w:val="es-CR"/>
        </w:rPr>
        <w:t>. 12 a 19.</w:t>
      </w:r>
    </w:p>
  </w:footnote>
  <w:footnote w:id="11">
    <w:p w14:paraId="62369C8C" w14:textId="77777777" w:rsidR="001C1A87" w:rsidRPr="006B0D74" w:rsidRDefault="001C1A87" w:rsidP="006B0D74">
      <w:pPr>
        <w:pStyle w:val="Textonotapie"/>
        <w:rPr>
          <w:lang w:val="es-PE"/>
        </w:rPr>
      </w:pPr>
      <w:r w:rsidRPr="006B0D74">
        <w:rPr>
          <w:rStyle w:val="Refdenotaalpie"/>
        </w:rPr>
        <w:footnoteRef/>
      </w:r>
      <w:r w:rsidRPr="006B0D74">
        <w:rPr>
          <w:lang w:val="es-PE"/>
        </w:rPr>
        <w:t xml:space="preserve"> </w:t>
      </w:r>
      <w:r w:rsidRPr="006B0D74">
        <w:rPr>
          <w:lang w:val="es-PE"/>
        </w:rPr>
        <w:tab/>
      </w:r>
      <w:r w:rsidRPr="006B0D74">
        <w:rPr>
          <w:i/>
          <w:lang w:val="es-ES"/>
        </w:rPr>
        <w:t>Cfr.</w:t>
      </w:r>
      <w:r w:rsidRPr="006B0D74">
        <w:rPr>
          <w:b/>
          <w:lang w:val="es-ES"/>
        </w:rPr>
        <w:t xml:space="preserve"> </w:t>
      </w:r>
      <w:r w:rsidRPr="006B0D74">
        <w:rPr>
          <w:rStyle w:val="Textoennegrita"/>
          <w:b w:val="0"/>
          <w:i/>
          <w:color w:val="000000"/>
          <w:shd w:val="clear" w:color="auto" w:fill="FFFFFF"/>
          <w:lang w:val="es-CR"/>
        </w:rPr>
        <w:t>Caso Acevedo Buendía y otros (“Cesantes y Jubilados de la Contraloría”) Vs. Perú. Excepción Preliminar, Fondo, Reparaciones y Costas.</w:t>
      </w:r>
      <w:r w:rsidRPr="006B0D74">
        <w:rPr>
          <w:rStyle w:val="Textoennegrita"/>
          <w:b w:val="0"/>
          <w:color w:val="000000"/>
          <w:shd w:val="clear" w:color="auto" w:fill="FFFFFF"/>
          <w:lang w:val="es-CR"/>
        </w:rPr>
        <w:t xml:space="preserve"> Sentencia de 1 de julio de 2009. Serie C No. 198, </w:t>
      </w:r>
      <w:proofErr w:type="spellStart"/>
      <w:r w:rsidRPr="006B0D74">
        <w:rPr>
          <w:rStyle w:val="Textoennegrita"/>
          <w:b w:val="0"/>
          <w:color w:val="000000"/>
          <w:shd w:val="clear" w:color="auto" w:fill="FFFFFF"/>
          <w:lang w:val="es-CR"/>
        </w:rPr>
        <w:t>párrs</w:t>
      </w:r>
      <w:proofErr w:type="spellEnd"/>
      <w:r w:rsidRPr="006B0D74">
        <w:rPr>
          <w:rStyle w:val="Textoennegrita"/>
          <w:b w:val="0"/>
          <w:color w:val="000000"/>
          <w:shd w:val="clear" w:color="auto" w:fill="FFFFFF"/>
          <w:lang w:val="es-CR"/>
        </w:rPr>
        <w:t>. 103.</w:t>
      </w:r>
    </w:p>
  </w:footnote>
  <w:footnote w:id="12">
    <w:p w14:paraId="64209F31" w14:textId="77777777"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r>
      <w:r w:rsidRPr="006B0D74">
        <w:rPr>
          <w:i/>
          <w:lang w:val="es-CR"/>
        </w:rPr>
        <w:t>Cfr.</w:t>
      </w:r>
      <w:r w:rsidRPr="006B0D74">
        <w:rPr>
          <w:lang w:val="es-CR"/>
        </w:rPr>
        <w:t xml:space="preserve"> </w:t>
      </w:r>
      <w:r w:rsidRPr="006B0D74">
        <w:rPr>
          <w:bCs/>
          <w:lang w:val="es-CR"/>
        </w:rPr>
        <w:t xml:space="preserve">Caso “Cinco Pensionistas” Vs. Perú. </w:t>
      </w:r>
      <w:r w:rsidRPr="006B0D74">
        <w:rPr>
          <w:lang w:val="es-CR"/>
        </w:rPr>
        <w:t>Fondo, Reparaciones y Costas, párr. 147.</w:t>
      </w:r>
    </w:p>
  </w:footnote>
  <w:footnote w:id="13">
    <w:p w14:paraId="52881010" w14:textId="77777777"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r>
      <w:r w:rsidRPr="006B0D74">
        <w:rPr>
          <w:i/>
          <w:lang w:val="es-CR"/>
        </w:rPr>
        <w:t>Cfr.</w:t>
      </w:r>
      <w:r w:rsidRPr="006B0D74">
        <w:rPr>
          <w:lang w:val="es-CR"/>
        </w:rPr>
        <w:t xml:space="preserve"> </w:t>
      </w:r>
      <w:r w:rsidRPr="006B0D74">
        <w:rPr>
          <w:bCs/>
          <w:lang w:val="es-CR"/>
        </w:rPr>
        <w:t xml:space="preserve">Caso “Cinco Pensionistas” Vs. Perú. </w:t>
      </w:r>
      <w:r w:rsidRPr="006B0D74">
        <w:rPr>
          <w:lang w:val="es-CR"/>
        </w:rPr>
        <w:t>Fondo, Reparaciones y Costas, párr. 147.</w:t>
      </w:r>
    </w:p>
  </w:footnote>
  <w:footnote w:id="14">
    <w:p w14:paraId="48DD19EB" w14:textId="77777777" w:rsidR="001C1A87" w:rsidRPr="006B0D74" w:rsidRDefault="001C1A87" w:rsidP="006B0D74">
      <w:pPr>
        <w:pStyle w:val="Textonotapie"/>
        <w:rPr>
          <w:lang w:val="es-CR"/>
        </w:rPr>
      </w:pPr>
      <w:r w:rsidRPr="006B0D74">
        <w:rPr>
          <w:rStyle w:val="Refdenotaalpie"/>
          <w:lang w:val="es-CR"/>
        </w:rPr>
        <w:footnoteRef/>
      </w:r>
      <w:r w:rsidRPr="006B0D74">
        <w:rPr>
          <w:lang w:val="es-CR"/>
        </w:rPr>
        <w:tab/>
      </w:r>
      <w:r w:rsidRPr="006B0D74">
        <w:rPr>
          <w:i/>
          <w:lang w:val="es-CR"/>
        </w:rPr>
        <w:t>Cfr.</w:t>
      </w:r>
      <w:r w:rsidRPr="006B0D74">
        <w:rPr>
          <w:lang w:val="es-CR"/>
        </w:rPr>
        <w:t xml:space="preserve">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Opinión Consultiva OC-24/17 de 24 de noviembre de 2017. Serie A No. 24, párr. 55;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23, párr. 40; Caso Trabajadores de la Hacienda Brasil Verde Vs. Brasil. Excepciones Preliminares, Fondo, Reparaciones y Costas. Sentencia de 20 de octubre de 2016. Serie C No. 318, párr. 246; Caso Artavia Murillo y otros ("Fecundación in vitro") Vs. Costa Rica. Excepciones Preliminares, Fondo, Reparaciones y Costas. Sentencia de 28 noviembre de 2012. Serie C No. 257, párr. 173, y Caso González y otras (“Campo Algodonero”) Vs. México. Excepción Preliminar, Fondo, Reparaciones y Costas. Sentencia de 16 de noviembre de 2009. Serie C No. 205, párr. 32.</w:t>
      </w:r>
    </w:p>
    <w:p w14:paraId="08838643" w14:textId="77777777" w:rsidR="001372F6" w:rsidRPr="006B0D74" w:rsidRDefault="001372F6" w:rsidP="006B0D74">
      <w:pPr>
        <w:pStyle w:val="Textonotapie"/>
        <w:rPr>
          <w:lang w:val="es-CR"/>
        </w:rPr>
      </w:pPr>
    </w:p>
  </w:footnote>
  <w:footnote w:id="15">
    <w:p w14:paraId="6538199F" w14:textId="77777777" w:rsidR="001C1A87" w:rsidRPr="006B0D74" w:rsidRDefault="001C1A87" w:rsidP="006B0D74">
      <w:pPr>
        <w:pStyle w:val="NormalWeb"/>
        <w:tabs>
          <w:tab w:val="left" w:pos="567"/>
        </w:tabs>
        <w:spacing w:before="0" w:line="240" w:lineRule="auto"/>
        <w:jc w:val="both"/>
        <w:rPr>
          <w:rFonts w:ascii="Verdana" w:hAnsi="Verdana" w:cs="Tahoma"/>
          <w:b w:val="0"/>
          <w:color w:val="000000"/>
          <w:sz w:val="16"/>
          <w:szCs w:val="16"/>
        </w:rPr>
      </w:pPr>
      <w:r w:rsidRPr="006B0D74">
        <w:rPr>
          <w:rStyle w:val="Refdenotaalpie"/>
          <w:b w:val="0"/>
          <w:color w:val="auto"/>
        </w:rPr>
        <w:footnoteRef/>
      </w:r>
      <w:r w:rsidRPr="006B0D74">
        <w:rPr>
          <w:rFonts w:ascii="Verdana" w:hAnsi="Verdana"/>
          <w:b w:val="0"/>
          <w:sz w:val="16"/>
          <w:szCs w:val="16"/>
        </w:rPr>
        <w:t xml:space="preserve"> </w:t>
      </w:r>
      <w:r w:rsidRPr="006B0D74">
        <w:rPr>
          <w:rFonts w:ascii="Verdana" w:hAnsi="Verdana"/>
          <w:b w:val="0"/>
          <w:color w:val="auto"/>
          <w:sz w:val="16"/>
          <w:szCs w:val="16"/>
        </w:rPr>
        <w:tab/>
        <w:t>El artículo 29 de la Convención establece: “Normas de interpretación</w:t>
      </w:r>
      <w:r w:rsidRPr="006B0D74">
        <w:rPr>
          <w:rFonts w:ascii="Verdana" w:hAnsi="Verdana"/>
          <w:b w:val="0"/>
          <w:sz w:val="16"/>
          <w:szCs w:val="16"/>
        </w:rPr>
        <w:t xml:space="preserve">: </w:t>
      </w:r>
      <w:r w:rsidRPr="006B0D74">
        <w:rPr>
          <w:rFonts w:ascii="Verdana" w:hAnsi="Verdana" w:cs="Tahoma"/>
          <w:b w:val="0"/>
          <w:color w:val="000000"/>
          <w:sz w:val="16"/>
          <w:szCs w:val="16"/>
        </w:rPr>
        <w:t>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  b) limitar el goce y ejercicio de cualquier derecho o libertad que pueda estar reconocido de acuerdo con las leyes de cualquiera de los Estados Partes o de acuerdo con otra convención en que sea parte uno de dichos Estados;  c) excluir otros derechos y garantías que son inherentes al ser humano o que se derivan de la forma democrática representativa de gobierno, y  d) excluir o limitar el efecto que puedan producir la Declaración Americana de Derechos y Deberes del Hombre y otros actos internacionales de la misma naturaleza”.</w:t>
      </w:r>
    </w:p>
  </w:footnote>
  <w:footnote w:id="16">
    <w:p w14:paraId="343BCD04" w14:textId="77777777" w:rsidR="001C1A87" w:rsidRPr="006B0D74" w:rsidRDefault="001C1A87" w:rsidP="006B0D74">
      <w:pPr>
        <w:tabs>
          <w:tab w:val="left" w:pos="567"/>
        </w:tabs>
        <w:autoSpaceDE w:val="0"/>
        <w:autoSpaceDN w:val="0"/>
        <w:rPr>
          <w:rFonts w:cs="Verdana"/>
          <w:sz w:val="16"/>
          <w:szCs w:val="16"/>
          <w:lang w:val="es-CR"/>
        </w:rPr>
      </w:pPr>
      <w:r w:rsidRPr="006B0D74">
        <w:rPr>
          <w:rStyle w:val="Refdenotaalpie"/>
          <w:lang w:val="es-CR"/>
        </w:rPr>
        <w:footnoteRef/>
      </w:r>
      <w:r w:rsidRPr="006B0D74">
        <w:rPr>
          <w:sz w:val="16"/>
          <w:szCs w:val="16"/>
          <w:lang w:val="es-CR"/>
        </w:rPr>
        <w:tab/>
      </w:r>
      <w:r w:rsidRPr="006B0D74">
        <w:rPr>
          <w:i/>
          <w:sz w:val="16"/>
          <w:szCs w:val="16"/>
          <w:lang w:val="es-CR"/>
        </w:rPr>
        <w:t xml:space="preserve">Cfr. </w:t>
      </w:r>
      <w:r w:rsidRPr="006B0D74">
        <w:rPr>
          <w:rStyle w:val="Textoennegrita"/>
          <w:b w:val="0"/>
          <w:i/>
          <w:color w:val="000000"/>
          <w:sz w:val="16"/>
          <w:szCs w:val="16"/>
          <w:shd w:val="clear" w:color="auto" w:fill="FFFFFF"/>
          <w:lang w:val="es-CR"/>
        </w:rPr>
        <w:t>Caso Acevedo Buendía y otros (“Cesantes y Jubilados de la Contraloría”) Vs. Perú. Excepción Preliminar, Fondo, Reparaciones y Costas</w:t>
      </w:r>
      <w:r w:rsidRPr="006B0D74">
        <w:rPr>
          <w:rStyle w:val="Textoennegrita"/>
          <w:b w:val="0"/>
          <w:color w:val="000000"/>
          <w:sz w:val="16"/>
          <w:szCs w:val="16"/>
          <w:shd w:val="clear" w:color="auto" w:fill="FFFFFF"/>
          <w:lang w:val="es-CR"/>
        </w:rPr>
        <w:t>. Sentencia de 1 de julio de 2009. Serie C No. 198</w:t>
      </w:r>
      <w:r w:rsidRPr="006B0D74">
        <w:rPr>
          <w:b/>
          <w:sz w:val="16"/>
          <w:szCs w:val="16"/>
          <w:lang w:val="es-CR"/>
        </w:rPr>
        <w:t xml:space="preserve">, </w:t>
      </w:r>
      <w:r w:rsidRPr="006B0D74">
        <w:rPr>
          <w:sz w:val="16"/>
          <w:szCs w:val="16"/>
          <w:lang w:val="es-CR"/>
        </w:rPr>
        <w:t>párr. 102, y</w:t>
      </w:r>
      <w:r w:rsidRPr="006B0D74">
        <w:rPr>
          <w:b/>
          <w:sz w:val="16"/>
          <w:szCs w:val="16"/>
          <w:lang w:val="es-CR"/>
        </w:rPr>
        <w:t xml:space="preserve"> </w:t>
      </w:r>
      <w:r w:rsidRPr="006B0D74">
        <w:rPr>
          <w:rStyle w:val="Textoennegrita"/>
          <w:b w:val="0"/>
          <w:i/>
          <w:color w:val="000000"/>
          <w:sz w:val="16"/>
          <w:szCs w:val="16"/>
          <w:shd w:val="clear" w:color="auto" w:fill="FFFFFF"/>
          <w:lang w:val="es-PE"/>
        </w:rPr>
        <w:t xml:space="preserve">Caso </w:t>
      </w:r>
      <w:proofErr w:type="spellStart"/>
      <w:r w:rsidRPr="006B0D74">
        <w:rPr>
          <w:rStyle w:val="Textoennegrita"/>
          <w:b w:val="0"/>
          <w:i/>
          <w:color w:val="000000"/>
          <w:sz w:val="16"/>
          <w:szCs w:val="16"/>
          <w:shd w:val="clear" w:color="auto" w:fill="FFFFFF"/>
          <w:lang w:val="es-PE"/>
        </w:rPr>
        <w:t>Cuscul</w:t>
      </w:r>
      <w:proofErr w:type="spellEnd"/>
      <w:r w:rsidRPr="006B0D74">
        <w:rPr>
          <w:rStyle w:val="Textoennegrita"/>
          <w:b w:val="0"/>
          <w:i/>
          <w:color w:val="000000"/>
          <w:sz w:val="16"/>
          <w:szCs w:val="16"/>
          <w:shd w:val="clear" w:color="auto" w:fill="FFFFFF"/>
          <w:lang w:val="es-PE"/>
        </w:rPr>
        <w:t xml:space="preserve"> Pivaral y otros Vs. Guatemala. Excepción Preliminar, Fondo, Reparaciones y Costas</w:t>
      </w:r>
      <w:r w:rsidRPr="006B0D74">
        <w:rPr>
          <w:rStyle w:val="Textoennegrita"/>
          <w:b w:val="0"/>
          <w:color w:val="000000"/>
          <w:sz w:val="16"/>
          <w:szCs w:val="16"/>
          <w:shd w:val="clear" w:color="auto" w:fill="FFFFFF"/>
          <w:lang w:val="es-PE"/>
        </w:rPr>
        <w:t xml:space="preserve">. Sentencia de 23 de agosto de 2018. Serie C No. 359, párr. 80. </w:t>
      </w:r>
      <w:r w:rsidRPr="006B0D74">
        <w:rPr>
          <w:rStyle w:val="Textoennegrita"/>
          <w:b w:val="0"/>
          <w:i/>
          <w:color w:val="000000"/>
          <w:sz w:val="16"/>
          <w:szCs w:val="16"/>
          <w:shd w:val="clear" w:color="auto" w:fill="FFFFFF"/>
          <w:lang w:val="es-PE"/>
        </w:rPr>
        <w:t>Ver también</w:t>
      </w:r>
      <w:r w:rsidRPr="006B0D74">
        <w:rPr>
          <w:rStyle w:val="Textoennegrita"/>
          <w:b w:val="0"/>
          <w:color w:val="000000"/>
          <w:sz w:val="16"/>
          <w:szCs w:val="16"/>
          <w:shd w:val="clear" w:color="auto" w:fill="FFFFFF"/>
          <w:lang w:val="es-PE"/>
        </w:rPr>
        <w:t>,</w:t>
      </w:r>
      <w:r w:rsidRPr="006B0D74">
        <w:rPr>
          <w:rStyle w:val="Textoennegrita"/>
          <w:color w:val="000000"/>
          <w:sz w:val="16"/>
          <w:szCs w:val="16"/>
          <w:shd w:val="clear" w:color="auto" w:fill="FFFFFF"/>
          <w:lang w:val="es-PE"/>
        </w:rPr>
        <w:t xml:space="preserve"> </w:t>
      </w:r>
      <w:r w:rsidRPr="006B0D74">
        <w:rPr>
          <w:sz w:val="16"/>
          <w:szCs w:val="16"/>
          <w:lang w:val="es-CR"/>
        </w:rPr>
        <w:t>Comité de Derechos Económicos, Sociales y Culturales, Observación General No. 3: La índole de las obligaciones de los Estados Partes (párrafo 1 del artículo 2 del Pacto), 14 de diciembre de 1990, U.N. Doc. E/1991/23</w:t>
      </w:r>
      <w:r w:rsidRPr="006B0D74">
        <w:rPr>
          <w:rFonts w:cs="Verdana"/>
          <w:sz w:val="16"/>
          <w:szCs w:val="16"/>
          <w:lang w:val="es-CR"/>
        </w:rPr>
        <w:t>, párr. 9.</w:t>
      </w:r>
    </w:p>
    <w:p w14:paraId="38C27808" w14:textId="77777777" w:rsidR="001372F6" w:rsidRPr="006B0D74" w:rsidRDefault="001372F6" w:rsidP="006B0D74">
      <w:pPr>
        <w:tabs>
          <w:tab w:val="left" w:pos="567"/>
        </w:tabs>
        <w:autoSpaceDE w:val="0"/>
        <w:autoSpaceDN w:val="0"/>
        <w:rPr>
          <w:sz w:val="16"/>
          <w:szCs w:val="16"/>
          <w:lang w:val="es-CR"/>
        </w:rPr>
      </w:pPr>
    </w:p>
  </w:footnote>
  <w:footnote w:id="17">
    <w:p w14:paraId="7534EDA3" w14:textId="77777777" w:rsidR="001C1A87" w:rsidRPr="006B0D74" w:rsidRDefault="001C1A87" w:rsidP="006B0D74">
      <w:pPr>
        <w:pStyle w:val="Textonotapie"/>
        <w:rPr>
          <w:rStyle w:val="Textoennegrita"/>
          <w:b w:val="0"/>
          <w:color w:val="000000"/>
          <w:shd w:val="clear" w:color="auto" w:fill="FFFFFF"/>
          <w:lang w:val="es-PE"/>
        </w:rPr>
      </w:pPr>
      <w:r w:rsidRPr="006B0D74">
        <w:rPr>
          <w:rStyle w:val="Refdenotaalpie"/>
          <w:color w:val="000000"/>
        </w:rPr>
        <w:footnoteRef/>
      </w:r>
      <w:r w:rsidRPr="006B0D74">
        <w:rPr>
          <w:lang w:val="es-CR"/>
        </w:rPr>
        <w:t xml:space="preserve"> </w:t>
      </w:r>
      <w:r w:rsidRPr="006B0D74">
        <w:rPr>
          <w:lang w:val="es-CR"/>
        </w:rPr>
        <w:tab/>
      </w:r>
      <w:r w:rsidRPr="006B0D74">
        <w:rPr>
          <w:i/>
          <w:lang w:val="es-CR"/>
        </w:rPr>
        <w:t>Cfr.</w:t>
      </w:r>
      <w:r w:rsidRPr="006B0D74">
        <w:rPr>
          <w:lang w:val="es-CR"/>
        </w:rPr>
        <w:t xml:space="preserve"> ONU, Comité de Derechos Económicos, Sociales y Culturales, Observación General No. 14: El derecho al disfrute del más alto nivel posible de salud, E/C.12/2000/4, 11 de agosto de 2000, párr. 31, y </w:t>
      </w:r>
      <w:r w:rsidRPr="006B0D74">
        <w:rPr>
          <w:rStyle w:val="Textoennegrita"/>
          <w:b w:val="0"/>
          <w:i/>
          <w:color w:val="000000"/>
          <w:shd w:val="clear" w:color="auto" w:fill="FFFFFF"/>
          <w:lang w:val="es-CR"/>
        </w:rPr>
        <w:t>Caso Poblete Vilches y otros Vs. Chile. Fondo, Reparaciones y Costas.</w:t>
      </w:r>
      <w:r w:rsidRPr="006B0D74">
        <w:rPr>
          <w:rStyle w:val="Textoennegrita"/>
          <w:b w:val="0"/>
          <w:color w:val="000000"/>
          <w:shd w:val="clear" w:color="auto" w:fill="FFFFFF"/>
          <w:lang w:val="es-CR"/>
        </w:rPr>
        <w:t xml:space="preserve"> Sentencia de 8 de marzo de 2018. Serie C No. 349, </w:t>
      </w:r>
      <w:r w:rsidRPr="006B0D74">
        <w:rPr>
          <w:rStyle w:val="Textoennegrita"/>
          <w:b w:val="0"/>
          <w:color w:val="000000"/>
          <w:shd w:val="clear" w:color="auto" w:fill="FFFFFF"/>
          <w:lang w:val="es-PE"/>
        </w:rPr>
        <w:t>párr. 104.</w:t>
      </w:r>
    </w:p>
    <w:p w14:paraId="6A495BB2" w14:textId="77777777" w:rsidR="0086768E" w:rsidRPr="006B0D74" w:rsidRDefault="0086768E" w:rsidP="006B0D74">
      <w:pPr>
        <w:pStyle w:val="Textonotapie"/>
        <w:rPr>
          <w:lang w:val="es-CR"/>
        </w:rPr>
      </w:pPr>
    </w:p>
  </w:footnote>
  <w:footnote w:id="18">
    <w:p w14:paraId="0A8D8898" w14:textId="77777777"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r>
      <w:r w:rsidRPr="002C71D9">
        <w:rPr>
          <w:i/>
          <w:lang w:val="es-CR"/>
        </w:rPr>
        <w:t>Cfr.</w:t>
      </w:r>
      <w:r w:rsidRPr="006B0D74">
        <w:rPr>
          <w:lang w:val="es-CR"/>
        </w:rPr>
        <w:t xml:space="preserve"> </w:t>
      </w:r>
      <w:r w:rsidRPr="006B0D74">
        <w:rPr>
          <w:bCs/>
          <w:lang w:val="es-CR"/>
        </w:rPr>
        <w:t xml:space="preserve">Caso “Cinco Pensionistas” Vs. Perú. </w:t>
      </w:r>
      <w:r w:rsidRPr="006B0D74">
        <w:rPr>
          <w:lang w:val="es-CR"/>
        </w:rPr>
        <w:t>Fondo, Reparaciones y Costas. Sentencia de 28 de febrero de 2003. Serie C No. 98, párr. 147.</w:t>
      </w:r>
    </w:p>
    <w:p w14:paraId="17838D85" w14:textId="77777777" w:rsidR="001372F6" w:rsidRPr="006B0D74" w:rsidRDefault="001372F6" w:rsidP="006B0D74">
      <w:pPr>
        <w:pStyle w:val="Textonotapie"/>
        <w:rPr>
          <w:lang w:val="es-CR"/>
        </w:rPr>
      </w:pPr>
    </w:p>
  </w:footnote>
  <w:footnote w:id="19">
    <w:p w14:paraId="72BDE4CA" w14:textId="6D7837EF" w:rsidR="001C1A87" w:rsidRPr="006B0D74" w:rsidRDefault="001C1A87" w:rsidP="006B0D74">
      <w:pPr>
        <w:pStyle w:val="Estilo1"/>
        <w:tabs>
          <w:tab w:val="left" w:pos="709"/>
        </w:tabs>
        <w:spacing w:after="0"/>
        <w:rPr>
          <w:rFonts w:cs="Verdana"/>
          <w:i/>
          <w:sz w:val="16"/>
          <w:szCs w:val="16"/>
          <w:lang w:val="es-CR"/>
        </w:rPr>
      </w:pPr>
      <w:r w:rsidRPr="006B0D74">
        <w:rPr>
          <w:rStyle w:val="Refdenotaalpie"/>
        </w:rPr>
        <w:footnoteRef/>
      </w:r>
      <w:r w:rsidRPr="006B0D74">
        <w:rPr>
          <w:sz w:val="16"/>
          <w:szCs w:val="16"/>
          <w:lang w:val="es-PE"/>
        </w:rPr>
        <w:t xml:space="preserve"> </w:t>
      </w:r>
      <w:r w:rsidRPr="006B0D74">
        <w:rPr>
          <w:sz w:val="16"/>
          <w:szCs w:val="16"/>
          <w:lang w:val="es-CR"/>
        </w:rPr>
        <w:tab/>
      </w:r>
      <w:r w:rsidRPr="006B0D74">
        <w:rPr>
          <w:rFonts w:cs="Verdana"/>
          <w:sz w:val="16"/>
          <w:szCs w:val="16"/>
          <w:lang w:val="es-CR"/>
        </w:rPr>
        <w:t>Al respecto, el Tribunal ha retomado lo señalado por el CDESC en el sentido que “las medidas de carácter deliberadamente re[</w:t>
      </w:r>
      <w:proofErr w:type="spellStart"/>
      <w:r w:rsidRPr="006B0D74">
        <w:rPr>
          <w:rFonts w:cs="Verdana"/>
          <w:sz w:val="16"/>
          <w:szCs w:val="16"/>
          <w:lang w:val="es-CR"/>
        </w:rPr>
        <w:t>gresivo</w:t>
      </w:r>
      <w:proofErr w:type="spellEnd"/>
      <w:r w:rsidRPr="006B0D74">
        <w:rPr>
          <w:rFonts w:cs="Verdana"/>
          <w:sz w:val="16"/>
          <w:szCs w:val="16"/>
          <w:lang w:val="es-CR"/>
        </w:rPr>
        <w:t xml:space="preserve">] en este aspecto requerirán la consideración más cuidadosa y deberán justificarse plenamente por referencia a la totalidad de los derechos previstos en el Pacto [Internacional de Derechos Económicos, Sociales y Culturales] y en el contexto del aprovechamiento pleno del máximo de los recursos de que [el Estado] disponga”. </w:t>
      </w:r>
      <w:r w:rsidRPr="006B0D74">
        <w:rPr>
          <w:sz w:val="16"/>
          <w:szCs w:val="16"/>
          <w:lang w:val="es-CR"/>
        </w:rPr>
        <w:t>Cfr. Caso Acevedo Buendía y otros (“Cesantes y Jubilados de la Contraloría”) Vs. Perú. Excepción Preliminar, Fondo, Reparaciones y Costas. Sentencia de 1 de julio de 2009. Serie C No. 198, párr. 103; Comité de Derechos Económicos, Sociales y Culturales, Observación General No. 3: La índole de las obligaciones de los Estados Partes (párrafo 1 del artículo 2 del Pacto), 14 de diciembre de 1990, U.N. Doc. E/1991/23</w:t>
      </w:r>
      <w:r w:rsidR="002C71D9">
        <w:rPr>
          <w:rFonts w:cs="Verdana"/>
          <w:sz w:val="16"/>
          <w:szCs w:val="16"/>
          <w:lang w:val="es-CR"/>
        </w:rPr>
        <w:t>.</w:t>
      </w:r>
    </w:p>
    <w:p w14:paraId="79FF14B6" w14:textId="77777777" w:rsidR="001C1A87" w:rsidRPr="006B0D74" w:rsidRDefault="001C1A87" w:rsidP="006B0D74">
      <w:pPr>
        <w:pStyle w:val="Estilo1"/>
        <w:tabs>
          <w:tab w:val="left" w:pos="709"/>
        </w:tabs>
        <w:spacing w:after="0"/>
        <w:rPr>
          <w:rFonts w:eastAsia="Times" w:cs="Arial"/>
          <w:i/>
          <w:sz w:val="16"/>
          <w:szCs w:val="16"/>
          <w:lang w:val="es-CR"/>
        </w:rPr>
      </w:pPr>
      <w:r w:rsidRPr="006B0D74">
        <w:rPr>
          <w:rFonts w:cs="Verdana"/>
          <w:sz w:val="16"/>
          <w:szCs w:val="16"/>
          <w:lang w:val="es-CR"/>
        </w:rPr>
        <w:t xml:space="preserve">En la misma línea, la Comisión Interamericana ha considerado que para evaluar si una medida regresiva es compatible con la Convención Americana, se deberá “determinar si se encuentra justificada por razones de suficiente peso”. </w:t>
      </w:r>
      <w:r w:rsidRPr="006B0D74">
        <w:rPr>
          <w:sz w:val="16"/>
          <w:szCs w:val="16"/>
          <w:lang w:val="es-CR"/>
        </w:rPr>
        <w:t xml:space="preserve">Cfr. Caso Acevedo Buendía y otros (“Cesantes y Jubilados de la Contraloría”) Vs. Perú. Excepción Preliminar, Fondo, Reparaciones y Costas. Sentencia de 1 de julio de 2009. Serie C No. 198, párr. 103, e Informe de Admisibilidad y Fondo No. 38/09, Caso 12.670, Asociación Nacional de Ex Servidores del Instituto Peruano de Seguridad Social y Otras Vs. Perú, emitido por la Comisión Interamericana de Derechos Humanos el 27 de marzo de 2009, </w:t>
      </w:r>
      <w:proofErr w:type="spellStart"/>
      <w:r w:rsidRPr="006B0D74">
        <w:rPr>
          <w:sz w:val="16"/>
          <w:szCs w:val="16"/>
          <w:lang w:val="es-CR"/>
        </w:rPr>
        <w:t>párrs</w:t>
      </w:r>
      <w:proofErr w:type="spellEnd"/>
      <w:r w:rsidRPr="006B0D74">
        <w:rPr>
          <w:sz w:val="16"/>
          <w:szCs w:val="16"/>
          <w:lang w:val="es-CR"/>
        </w:rPr>
        <w:t>. 140 a 147.</w:t>
      </w:r>
    </w:p>
  </w:footnote>
  <w:footnote w:id="20">
    <w:p w14:paraId="49CA8992" w14:textId="77777777" w:rsidR="001C1A87" w:rsidRPr="006B0D74" w:rsidRDefault="001C1A87" w:rsidP="006B0D74">
      <w:pPr>
        <w:pStyle w:val="Textonotapie"/>
        <w:rPr>
          <w:rStyle w:val="Textoennegrita"/>
          <w:b w:val="0"/>
          <w:color w:val="000000"/>
          <w:shd w:val="clear" w:color="auto" w:fill="FFFFFF"/>
          <w:lang w:val="es-PE"/>
        </w:rPr>
      </w:pPr>
      <w:r w:rsidRPr="006B0D74">
        <w:rPr>
          <w:rStyle w:val="Refdenotaalpie"/>
        </w:rPr>
        <w:footnoteRef/>
      </w:r>
      <w:r w:rsidRPr="006B0D74">
        <w:rPr>
          <w:lang w:val="es-CR"/>
        </w:rPr>
        <w:t xml:space="preserve"> </w:t>
      </w:r>
      <w:r w:rsidRPr="006B0D74">
        <w:rPr>
          <w:lang w:val="es-CR"/>
        </w:rPr>
        <w:tab/>
      </w:r>
      <w:r w:rsidRPr="006B0D74">
        <w:rPr>
          <w:i/>
          <w:lang w:val="es-CR"/>
        </w:rPr>
        <w:t>Cfr. Caso González y otras (“Campo Algodonero”) Vs. México. Excepción Preliminar, Fondo, Reparaciones y Costas</w:t>
      </w:r>
      <w:r w:rsidRPr="006B0D74">
        <w:rPr>
          <w:lang w:val="es-CR"/>
        </w:rPr>
        <w:t xml:space="preserve">. Sentencia de 16 de noviembre de 2009. Serie C No. 205, párr. 43, y </w:t>
      </w:r>
      <w:r w:rsidRPr="006B0D74">
        <w:rPr>
          <w:rStyle w:val="Textoennegrita"/>
          <w:b w:val="0"/>
          <w:i/>
          <w:color w:val="000000"/>
          <w:shd w:val="clear" w:color="auto" w:fill="FFFFFF"/>
          <w:lang w:val="es-PE"/>
        </w:rPr>
        <w:t xml:space="preserve">Caso </w:t>
      </w:r>
      <w:proofErr w:type="spellStart"/>
      <w:r w:rsidRPr="006B0D74">
        <w:rPr>
          <w:rStyle w:val="Textoennegrita"/>
          <w:b w:val="0"/>
          <w:i/>
          <w:color w:val="000000"/>
          <w:shd w:val="clear" w:color="auto" w:fill="FFFFFF"/>
          <w:lang w:val="es-PE"/>
        </w:rPr>
        <w:t>Cuscul</w:t>
      </w:r>
      <w:proofErr w:type="spellEnd"/>
      <w:r w:rsidRPr="006B0D74">
        <w:rPr>
          <w:rStyle w:val="Textoennegrita"/>
          <w:b w:val="0"/>
          <w:i/>
          <w:color w:val="000000"/>
          <w:shd w:val="clear" w:color="auto" w:fill="FFFFFF"/>
          <w:lang w:val="es-PE"/>
        </w:rPr>
        <w:t xml:space="preserve"> Pivaral y otros Vs. Guatemala. Excepción Preliminar, Fondo, Reparaciones y Costas</w:t>
      </w:r>
      <w:r w:rsidRPr="006B0D74">
        <w:rPr>
          <w:rStyle w:val="Textoennegrita"/>
          <w:b w:val="0"/>
          <w:color w:val="000000"/>
          <w:shd w:val="clear" w:color="auto" w:fill="FFFFFF"/>
          <w:lang w:val="es-PE"/>
        </w:rPr>
        <w:t>. Sentencia de 23 de agosto de 2018. Serie C No. 359, párr. 82.</w:t>
      </w:r>
    </w:p>
    <w:p w14:paraId="48AB9CB7" w14:textId="77777777" w:rsidR="00EA3F7C" w:rsidRPr="006B0D74" w:rsidRDefault="00EA3F7C" w:rsidP="006B0D74">
      <w:pPr>
        <w:pStyle w:val="Textonotapie"/>
        <w:rPr>
          <w:b/>
          <w:lang w:val="es-CR"/>
        </w:rPr>
      </w:pPr>
    </w:p>
  </w:footnote>
  <w:footnote w:id="21">
    <w:p w14:paraId="7A0C7ED3" w14:textId="77777777" w:rsidR="001C1A87" w:rsidRPr="006B0D74" w:rsidRDefault="001C1A87" w:rsidP="006B0D74">
      <w:pPr>
        <w:pStyle w:val="Textonotapie"/>
        <w:rPr>
          <w:b/>
          <w:lang w:val="es-CO"/>
        </w:rPr>
      </w:pPr>
      <w:r w:rsidRPr="006B0D74">
        <w:rPr>
          <w:rStyle w:val="Refdenotaalpie"/>
          <w:lang w:val="es-CR"/>
        </w:rPr>
        <w:footnoteRef/>
      </w:r>
      <w:r w:rsidRPr="006B0D74">
        <w:rPr>
          <w:lang w:val="es-CR"/>
        </w:rPr>
        <w:tab/>
      </w:r>
      <w:r w:rsidRPr="006B0D74">
        <w:rPr>
          <w:i/>
          <w:lang w:val="es-CR"/>
        </w:rPr>
        <w:t>Cfr.</w:t>
      </w:r>
      <w:r w:rsidRPr="006B0D74">
        <w:rPr>
          <w:lang w:val="es-CR"/>
        </w:rPr>
        <w:t xml:space="preserve"> El Derecho a la Información sobre la Asistencia Consular en el marco de las Garantías del Debido Proceso Legal. Opinión Consultiva OC-16/99 de 1 de octubre de 1999. Serie A No. 16, párr. 113, y </w:t>
      </w:r>
      <w:r w:rsidRPr="006B0D74">
        <w:rPr>
          <w:rStyle w:val="Textoennegrita"/>
          <w:b w:val="0"/>
          <w:i/>
          <w:color w:val="000000"/>
          <w:shd w:val="clear" w:color="auto" w:fill="FFFFFF"/>
          <w:lang w:val="es-PE"/>
        </w:rPr>
        <w:t xml:space="preserve">Caso </w:t>
      </w:r>
      <w:proofErr w:type="spellStart"/>
      <w:r w:rsidRPr="006B0D74">
        <w:rPr>
          <w:rStyle w:val="Textoennegrita"/>
          <w:b w:val="0"/>
          <w:i/>
          <w:color w:val="000000"/>
          <w:shd w:val="clear" w:color="auto" w:fill="FFFFFF"/>
          <w:lang w:val="es-PE"/>
        </w:rPr>
        <w:t>Cuscul</w:t>
      </w:r>
      <w:proofErr w:type="spellEnd"/>
      <w:r w:rsidRPr="006B0D74">
        <w:rPr>
          <w:rStyle w:val="Textoennegrita"/>
          <w:b w:val="0"/>
          <w:i/>
          <w:color w:val="000000"/>
          <w:shd w:val="clear" w:color="auto" w:fill="FFFFFF"/>
          <w:lang w:val="es-PE"/>
        </w:rPr>
        <w:t xml:space="preserve"> Pivaral y otros Vs. Guatemala. Excepción Preliminar, Fondo, Reparaciones y Costas</w:t>
      </w:r>
      <w:r w:rsidRPr="006B0D74">
        <w:rPr>
          <w:rStyle w:val="Textoennegrita"/>
          <w:b w:val="0"/>
          <w:color w:val="000000"/>
          <w:shd w:val="clear" w:color="auto" w:fill="FFFFFF"/>
          <w:lang w:val="es-PE"/>
        </w:rPr>
        <w:t>. Sentencia de 23 de agosto de 2018. Serie C No. 359, párr. 82.</w:t>
      </w:r>
    </w:p>
  </w:footnote>
  <w:footnote w:id="22">
    <w:p w14:paraId="4C6A6E38" w14:textId="77777777" w:rsidR="001C1A87" w:rsidRPr="006B0D74" w:rsidRDefault="001C1A87" w:rsidP="006B0D74">
      <w:pPr>
        <w:pStyle w:val="Textonotapie"/>
        <w:rPr>
          <w:rStyle w:val="Textoennegrita"/>
          <w:b w:val="0"/>
          <w:color w:val="000000"/>
          <w:shd w:val="clear" w:color="auto" w:fill="FFFFFF"/>
          <w:lang w:val="es-PE"/>
        </w:rPr>
      </w:pPr>
      <w:r w:rsidRPr="006B0D74">
        <w:rPr>
          <w:rStyle w:val="Refdenotaalpie"/>
          <w:lang w:val="es-CR"/>
        </w:rPr>
        <w:footnoteRef/>
      </w:r>
      <w:r w:rsidRPr="006B0D74">
        <w:rPr>
          <w:lang w:val="es-CR"/>
        </w:rPr>
        <w:tab/>
      </w:r>
      <w:r w:rsidRPr="006B0D74">
        <w:rPr>
          <w:i/>
          <w:lang w:val="es-CR"/>
        </w:rPr>
        <w:t>Cfr.</w:t>
      </w:r>
      <w:r w:rsidRPr="006B0D74">
        <w:rPr>
          <w:lang w:val="es-CR"/>
        </w:rPr>
        <w:t xml:space="preserve"> </w:t>
      </w:r>
      <w:r w:rsidRPr="006B0D74">
        <w:rPr>
          <w:i/>
          <w:lang w:val="es-CR"/>
        </w:rPr>
        <w:t>Caso Acevedo Buendía y otros (“Cesantes y Jubilados de la Contraloría”) Vs. Perú. Excepción Preliminar, Fondo, Reparaciones y Costas</w:t>
      </w:r>
      <w:r w:rsidRPr="006B0D74">
        <w:rPr>
          <w:lang w:val="es-CR"/>
        </w:rPr>
        <w:t xml:space="preserve">. Sentencia de 1 de julio de 2009. Serie C No 198, párr. 100, y </w:t>
      </w:r>
      <w:r w:rsidRPr="006B0D74">
        <w:rPr>
          <w:rStyle w:val="Textoennegrita"/>
          <w:b w:val="0"/>
          <w:i/>
          <w:color w:val="000000"/>
          <w:shd w:val="clear" w:color="auto" w:fill="FFFFFF"/>
          <w:lang w:val="es-PE"/>
        </w:rPr>
        <w:t xml:space="preserve">Caso </w:t>
      </w:r>
      <w:proofErr w:type="spellStart"/>
      <w:r w:rsidRPr="006B0D74">
        <w:rPr>
          <w:rStyle w:val="Textoennegrita"/>
          <w:b w:val="0"/>
          <w:i/>
          <w:color w:val="000000"/>
          <w:shd w:val="clear" w:color="auto" w:fill="FFFFFF"/>
          <w:lang w:val="es-PE"/>
        </w:rPr>
        <w:t>Cuscul</w:t>
      </w:r>
      <w:proofErr w:type="spellEnd"/>
      <w:r w:rsidRPr="006B0D74">
        <w:rPr>
          <w:rStyle w:val="Textoennegrita"/>
          <w:b w:val="0"/>
          <w:i/>
          <w:color w:val="000000"/>
          <w:shd w:val="clear" w:color="auto" w:fill="FFFFFF"/>
          <w:lang w:val="es-PE"/>
        </w:rPr>
        <w:t xml:space="preserve"> Pivaral y otros Vs. Guatemala. Excepción Preliminar, Fondo, Reparaciones y Costas</w:t>
      </w:r>
      <w:r w:rsidRPr="006B0D74">
        <w:rPr>
          <w:rStyle w:val="Textoennegrita"/>
          <w:b w:val="0"/>
          <w:color w:val="000000"/>
          <w:shd w:val="clear" w:color="auto" w:fill="FFFFFF"/>
          <w:lang w:val="es-PE"/>
        </w:rPr>
        <w:t xml:space="preserve">. Sentencia de 23 de agosto de 2018. Serie C No. 359, párr. 83. </w:t>
      </w:r>
    </w:p>
    <w:p w14:paraId="42A0AEF4" w14:textId="77777777" w:rsidR="00340931" w:rsidRPr="006B0D74" w:rsidRDefault="00340931" w:rsidP="006B0D74">
      <w:pPr>
        <w:pStyle w:val="Textonotapie"/>
        <w:rPr>
          <w:b/>
          <w:lang w:val="es-CO"/>
        </w:rPr>
      </w:pPr>
    </w:p>
  </w:footnote>
  <w:footnote w:id="23">
    <w:p w14:paraId="2A134711" w14:textId="77777777"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t xml:space="preserve">A la fecha son 16 Estados los que han ratificado el Protocolo de San Salvador, a saber: Argentina, Bolivia, Brasil, Colombia, Costa Rica, Ecuador, Honduras, México, Nicaragua, Panamá, Paraguay, Perú, El Salvador, Guatemala, </w:t>
      </w:r>
      <w:proofErr w:type="spellStart"/>
      <w:r w:rsidRPr="006B0D74">
        <w:rPr>
          <w:lang w:val="es-CR"/>
        </w:rPr>
        <w:t>Suriname</w:t>
      </w:r>
      <w:proofErr w:type="spellEnd"/>
      <w:r w:rsidRPr="006B0D74">
        <w:rPr>
          <w:lang w:val="es-CR"/>
        </w:rPr>
        <w:t xml:space="preserve"> y Uruguay. </w:t>
      </w:r>
    </w:p>
    <w:p w14:paraId="2964A367" w14:textId="77777777" w:rsidR="00340931" w:rsidRPr="006B0D74" w:rsidRDefault="00340931" w:rsidP="006B0D74">
      <w:pPr>
        <w:pStyle w:val="Textonotapie"/>
        <w:rPr>
          <w:lang w:val="es-CR"/>
        </w:rPr>
      </w:pPr>
    </w:p>
  </w:footnote>
  <w:footnote w:id="24">
    <w:p w14:paraId="409A2028" w14:textId="77777777"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t xml:space="preserve">Véase, Definiciones de términos fundamentales en la Colección de Tratados de las Naciones Unidas. Consultado en: </w:t>
      </w:r>
      <w:hyperlink r:id="rId1" w:anchor="protocols" w:history="1">
        <w:r w:rsidRPr="006B0D74">
          <w:rPr>
            <w:rStyle w:val="Hipervnculo"/>
            <w:lang w:val="es-CO"/>
          </w:rPr>
          <w:t>http://www.un.org/es/treaty/untc.shtml#protocols</w:t>
        </w:r>
      </w:hyperlink>
      <w:r w:rsidRPr="006B0D74">
        <w:rPr>
          <w:rStyle w:val="Hipervnculo"/>
          <w:lang w:val="es-CO"/>
        </w:rPr>
        <w:t>.</w:t>
      </w:r>
    </w:p>
  </w:footnote>
  <w:footnote w:id="25">
    <w:p w14:paraId="73D07538" w14:textId="77777777" w:rsidR="001C1A87" w:rsidRPr="006B0D74" w:rsidRDefault="001C1A87" w:rsidP="006B0D74">
      <w:pPr>
        <w:pStyle w:val="Textonotapie"/>
        <w:rPr>
          <w:rStyle w:val="Textoennegrita"/>
          <w:b w:val="0"/>
          <w:color w:val="000000"/>
          <w:shd w:val="clear" w:color="auto" w:fill="FFFFFF"/>
          <w:lang w:val="es-PE"/>
        </w:rPr>
      </w:pPr>
      <w:r w:rsidRPr="006B0D74">
        <w:rPr>
          <w:rStyle w:val="Refdenotaalpie"/>
          <w:lang w:val="es-CR"/>
        </w:rPr>
        <w:footnoteRef/>
      </w:r>
      <w:r w:rsidRPr="006B0D74">
        <w:rPr>
          <w:lang w:val="es-CR"/>
        </w:rPr>
        <w:tab/>
      </w:r>
      <w:r w:rsidRPr="006B0D74">
        <w:rPr>
          <w:i/>
          <w:lang w:val="es-CR"/>
        </w:rPr>
        <w:t>Cfr. Caso González y otras (“Campo Algodonero”) Vs. México. Excepción Preliminar, Fondo, Reparaciones y Costas</w:t>
      </w:r>
      <w:r w:rsidRPr="006B0D74">
        <w:rPr>
          <w:lang w:val="es-CR"/>
        </w:rPr>
        <w:t xml:space="preserve">. Sentencia de 16 de noviembre de 2009. Serie C No. 205, párr. 59, y </w:t>
      </w:r>
      <w:r w:rsidRPr="006B0D74">
        <w:rPr>
          <w:rStyle w:val="Textoennegrita"/>
          <w:b w:val="0"/>
          <w:i/>
          <w:color w:val="000000"/>
          <w:shd w:val="clear" w:color="auto" w:fill="FFFFFF"/>
          <w:lang w:val="es-PE"/>
        </w:rPr>
        <w:t xml:space="preserve">Caso </w:t>
      </w:r>
      <w:proofErr w:type="spellStart"/>
      <w:r w:rsidRPr="006B0D74">
        <w:rPr>
          <w:rStyle w:val="Textoennegrita"/>
          <w:b w:val="0"/>
          <w:i/>
          <w:color w:val="000000"/>
          <w:shd w:val="clear" w:color="auto" w:fill="FFFFFF"/>
          <w:lang w:val="es-PE"/>
        </w:rPr>
        <w:t>Cuscul</w:t>
      </w:r>
      <w:proofErr w:type="spellEnd"/>
      <w:r w:rsidRPr="006B0D74">
        <w:rPr>
          <w:rStyle w:val="Textoennegrita"/>
          <w:b w:val="0"/>
          <w:i/>
          <w:color w:val="000000"/>
          <w:shd w:val="clear" w:color="auto" w:fill="FFFFFF"/>
          <w:lang w:val="es-PE"/>
        </w:rPr>
        <w:t xml:space="preserve"> Pivaral y otros Vs. Guatemala. Excepción Preliminar, Fondo, Reparaciones y Costas</w:t>
      </w:r>
      <w:r w:rsidRPr="006B0D74">
        <w:rPr>
          <w:rStyle w:val="Textoennegrita"/>
          <w:b w:val="0"/>
          <w:color w:val="000000"/>
          <w:shd w:val="clear" w:color="auto" w:fill="FFFFFF"/>
          <w:lang w:val="es-PE"/>
        </w:rPr>
        <w:t>. Sentencia de 23 de agosto de 2018. Serie C No. 359, párr. 90.</w:t>
      </w:r>
    </w:p>
    <w:p w14:paraId="3D3E2D9C" w14:textId="77777777" w:rsidR="00C024FD" w:rsidRPr="006B0D74" w:rsidRDefault="00C024FD" w:rsidP="006B0D74">
      <w:pPr>
        <w:pStyle w:val="Textonotapie"/>
        <w:rPr>
          <w:b/>
          <w:lang w:val="es-CR"/>
        </w:rPr>
      </w:pPr>
    </w:p>
  </w:footnote>
  <w:footnote w:id="26">
    <w:p w14:paraId="1F2DEB9E" w14:textId="77777777"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t>El referido artículo 29 de la Convención Americana establece lo siguiente: “Normas de Interpretación: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 b) limitar el goce y ejercicio de cualquier derecho o libertad que pueda estar reconocido de acuerdo con las leyes de cualquiera de los Estados Partes o de acuerdo con otra convención en que sea parte uno de dichos Estados; c) excluir otros derechos y garantías que son inherentes al ser humano o que se derivan de la forma democrática representativa de gobierno, y d) excluir o limitar el efecto que puedan producir la Declaración Americana de Derechos y Deberes del Hombre y otros actos internacionales de la misma naturaleza”.</w:t>
      </w:r>
    </w:p>
  </w:footnote>
  <w:footnote w:id="27">
    <w:p w14:paraId="3FB4D30E" w14:textId="77777777" w:rsidR="001C1A87" w:rsidRPr="006B0D74" w:rsidRDefault="001C1A87" w:rsidP="006B0D74">
      <w:pPr>
        <w:pStyle w:val="Textonotapie"/>
        <w:rPr>
          <w:rStyle w:val="Textoennegrita"/>
          <w:b w:val="0"/>
          <w:color w:val="000000"/>
          <w:shd w:val="clear" w:color="auto" w:fill="FFFFFF"/>
          <w:lang w:val="es-PE"/>
        </w:rPr>
      </w:pPr>
      <w:r w:rsidRPr="006B0D74">
        <w:rPr>
          <w:rStyle w:val="Refdenotaalpie"/>
        </w:rPr>
        <w:footnoteRef/>
      </w:r>
      <w:r w:rsidRPr="006B0D74">
        <w:rPr>
          <w:lang w:val="es-CR"/>
        </w:rPr>
        <w:t xml:space="preserve"> </w:t>
      </w:r>
      <w:r w:rsidRPr="006B0D74">
        <w:rPr>
          <w:lang w:val="es-CR"/>
        </w:rPr>
        <w:tab/>
      </w:r>
      <w:r w:rsidRPr="006B0D74">
        <w:rPr>
          <w:i/>
          <w:lang w:val="es-CR"/>
        </w:rPr>
        <w:t>Cfr.</w:t>
      </w:r>
      <w:r w:rsidRPr="006B0D74">
        <w:rPr>
          <w:rStyle w:val="Textoennegrita"/>
          <w:color w:val="000000"/>
          <w:shd w:val="clear" w:color="auto" w:fill="FFFFFF"/>
          <w:lang w:val="es-PE"/>
        </w:rPr>
        <w:t xml:space="preserve"> </w:t>
      </w:r>
      <w:r w:rsidRPr="006B0D74">
        <w:rPr>
          <w:rStyle w:val="Textoennegrita"/>
          <w:b w:val="0"/>
          <w:i/>
          <w:color w:val="000000"/>
          <w:shd w:val="clear" w:color="auto" w:fill="FFFFFF"/>
          <w:lang w:val="es-PE"/>
        </w:rPr>
        <w:t>La institución del asilo y su reconocimiento como derecho humano en el Sistema Interamericano de Protección (interpretación y alcance de los artículos 5, 22.7 y 22.8, en relación con el artículo 1.1 de la Convención Americana sobre Derechos Humanos).</w:t>
      </w:r>
      <w:r w:rsidRPr="006B0D74">
        <w:rPr>
          <w:rStyle w:val="Textoennegrita"/>
          <w:b w:val="0"/>
          <w:color w:val="000000"/>
          <w:shd w:val="clear" w:color="auto" w:fill="FFFFFF"/>
          <w:lang w:val="es-PE"/>
        </w:rPr>
        <w:t xml:space="preserve"> Opinión Consultiva OC-25/18 de 30 de mayo de 2018. Serie A No. 25, párr. 148.</w:t>
      </w:r>
    </w:p>
    <w:p w14:paraId="02FE8573" w14:textId="77777777" w:rsidR="006D6543" w:rsidRPr="006B0D74" w:rsidRDefault="006D6543" w:rsidP="006B0D74">
      <w:pPr>
        <w:pStyle w:val="Textonotapie"/>
        <w:rPr>
          <w:b/>
          <w:lang w:val="es-ES"/>
        </w:rPr>
      </w:pPr>
    </w:p>
  </w:footnote>
  <w:footnote w:id="28">
    <w:p w14:paraId="1711A4F1" w14:textId="77777777" w:rsidR="001C1A87" w:rsidRPr="006B0D74" w:rsidRDefault="001C1A87" w:rsidP="006B0D74">
      <w:pPr>
        <w:pStyle w:val="Textonotapie"/>
        <w:rPr>
          <w:rStyle w:val="Textoennegrita"/>
          <w:b w:val="0"/>
          <w:color w:val="000000"/>
          <w:shd w:val="clear" w:color="auto" w:fill="FFFFFF"/>
          <w:lang w:val="es-PE"/>
        </w:rPr>
      </w:pPr>
      <w:r w:rsidRPr="006B0D74">
        <w:rPr>
          <w:rStyle w:val="Refdenotaalpie"/>
        </w:rPr>
        <w:footnoteRef/>
      </w:r>
      <w:r w:rsidRPr="006B0D74">
        <w:rPr>
          <w:lang w:val="es-CR"/>
        </w:rPr>
        <w:t xml:space="preserve"> </w:t>
      </w:r>
      <w:r w:rsidRPr="006B0D74">
        <w:rPr>
          <w:lang w:val="es-CR"/>
        </w:rPr>
        <w:tab/>
      </w:r>
      <w:r w:rsidRPr="006B0D74">
        <w:rPr>
          <w:i/>
          <w:lang w:val="es-CR"/>
        </w:rPr>
        <w:t>Cfr.</w:t>
      </w:r>
      <w:r w:rsidRPr="006B0D74">
        <w:rPr>
          <w:rStyle w:val="Textoennegrita"/>
          <w:color w:val="000000"/>
          <w:shd w:val="clear" w:color="auto" w:fill="FFFFFF"/>
          <w:lang w:val="es-PE"/>
        </w:rPr>
        <w:t xml:space="preserve"> </w:t>
      </w:r>
      <w:r w:rsidRPr="006B0D74">
        <w:rPr>
          <w:rStyle w:val="Textoennegrita"/>
          <w:b w:val="0"/>
          <w:i/>
          <w:color w:val="000000"/>
          <w:shd w:val="clear" w:color="auto" w:fill="FFFFFF"/>
          <w:lang w:val="es-PE"/>
        </w:rPr>
        <w:t>La institución del asilo y su reconocimiento como derecho humano en el Sistema Interamericano de Protección (interpretación y alcance de los artículos 5, 22.7 y 22.8, en relación con el artículo 1.1 de la Convención Americana sobre Derechos Humanos).</w:t>
      </w:r>
      <w:r w:rsidRPr="006B0D74">
        <w:rPr>
          <w:rStyle w:val="Textoennegrita"/>
          <w:b w:val="0"/>
          <w:color w:val="000000"/>
          <w:shd w:val="clear" w:color="auto" w:fill="FFFFFF"/>
          <w:lang w:val="es-PE"/>
        </w:rPr>
        <w:t xml:space="preserve"> Opinión Consultiva OC-25/18 de 30 de mayo de 2018. Serie A No. 25, párr. 149.</w:t>
      </w:r>
    </w:p>
    <w:p w14:paraId="79522C78" w14:textId="77777777" w:rsidR="006D6543" w:rsidRPr="006B0D74" w:rsidRDefault="006D6543" w:rsidP="006B0D74">
      <w:pPr>
        <w:pStyle w:val="Textonotapie"/>
        <w:rPr>
          <w:lang w:val="es-ES"/>
        </w:rPr>
      </w:pPr>
    </w:p>
  </w:footnote>
  <w:footnote w:id="29">
    <w:p w14:paraId="1AF177C3" w14:textId="77777777"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t xml:space="preserve">En el mismo sentido, ver: </w:t>
      </w:r>
      <w:r w:rsidRPr="006B0D74">
        <w:rPr>
          <w:bCs/>
          <w:lang w:val="es-CR"/>
        </w:rPr>
        <w:t xml:space="preserve">Caso González y otras (“Campo Algodonero”) Vs. México. </w:t>
      </w:r>
      <w:r w:rsidRPr="006B0D74">
        <w:rPr>
          <w:lang w:val="es-CR"/>
        </w:rPr>
        <w:t>Excepción Preliminar, Fondo, Reparaciones y Costas. Sentencia de 16 de noviembre de 2009. Serie C No. 205, párr. 78.</w:t>
      </w:r>
    </w:p>
    <w:p w14:paraId="6080F16E" w14:textId="77777777" w:rsidR="006D6543" w:rsidRPr="006B0D74" w:rsidRDefault="006D6543" w:rsidP="006B0D74">
      <w:pPr>
        <w:pStyle w:val="Textonotapie"/>
        <w:rPr>
          <w:lang w:val="es-CR"/>
        </w:rPr>
      </w:pPr>
    </w:p>
  </w:footnote>
  <w:footnote w:id="30">
    <w:p w14:paraId="3C8C2EE2" w14:textId="77777777" w:rsidR="001C1A87" w:rsidRPr="006B0D74" w:rsidRDefault="001C1A87" w:rsidP="006B0D74">
      <w:pPr>
        <w:tabs>
          <w:tab w:val="left" w:pos="567"/>
          <w:tab w:val="left" w:pos="709"/>
        </w:tabs>
        <w:autoSpaceDE w:val="0"/>
        <w:autoSpaceDN w:val="0"/>
        <w:rPr>
          <w:sz w:val="16"/>
          <w:szCs w:val="16"/>
          <w:lang w:val="es-CR"/>
        </w:rPr>
      </w:pPr>
      <w:r w:rsidRPr="006B0D74">
        <w:rPr>
          <w:rStyle w:val="Refdenotaalpie"/>
        </w:rPr>
        <w:footnoteRef/>
      </w:r>
      <w:r w:rsidRPr="006B0D74">
        <w:rPr>
          <w:sz w:val="16"/>
          <w:szCs w:val="16"/>
          <w:lang w:val="es-CR"/>
        </w:rPr>
        <w:t xml:space="preserve"> </w:t>
      </w:r>
      <w:r w:rsidRPr="006B0D74">
        <w:rPr>
          <w:sz w:val="16"/>
          <w:szCs w:val="16"/>
          <w:lang w:val="es-CR"/>
        </w:rPr>
        <w:tab/>
      </w:r>
      <w:r w:rsidRPr="006B0D74">
        <w:rPr>
          <w:i/>
          <w:sz w:val="16"/>
          <w:szCs w:val="16"/>
          <w:lang w:val="es-CR"/>
        </w:rPr>
        <w:t xml:space="preserve">Cfr. </w:t>
      </w:r>
      <w:r w:rsidRPr="006B0D74">
        <w:rPr>
          <w:rFonts w:cs="Courier New"/>
          <w:noProof/>
          <w:sz w:val="16"/>
          <w:szCs w:val="16"/>
          <w:lang w:val="es-AR"/>
        </w:rPr>
        <w:t xml:space="preserve">Opinión Consultiva OC-16/99, </w:t>
      </w:r>
      <w:r w:rsidRPr="006B0D74">
        <w:rPr>
          <w:rFonts w:cs="Courier New"/>
          <w:i/>
          <w:noProof/>
          <w:sz w:val="16"/>
          <w:szCs w:val="16"/>
          <w:lang w:val="es-AR"/>
        </w:rPr>
        <w:t>supra</w:t>
      </w:r>
      <w:r w:rsidRPr="006B0D74">
        <w:rPr>
          <w:rFonts w:cs="Courier New"/>
          <w:noProof/>
          <w:sz w:val="16"/>
          <w:szCs w:val="16"/>
          <w:lang w:val="es-AR"/>
        </w:rPr>
        <w:t xml:space="preserve">, </w:t>
      </w:r>
      <w:r w:rsidRPr="006B0D74">
        <w:rPr>
          <w:sz w:val="16"/>
          <w:szCs w:val="16"/>
          <w:lang w:val="es-CR"/>
        </w:rPr>
        <w:t xml:space="preserve">párr. 114, y </w:t>
      </w:r>
      <w:r w:rsidRPr="006B0D74">
        <w:rPr>
          <w:rStyle w:val="Textoennegrita"/>
          <w:b w:val="0"/>
          <w:color w:val="000000"/>
          <w:sz w:val="16"/>
          <w:szCs w:val="16"/>
          <w:shd w:val="clear" w:color="auto" w:fill="FFFFFF"/>
          <w:lang w:val="es-CR"/>
        </w:rPr>
        <w:t>Opinión Consultiva OC-24/17</w:t>
      </w:r>
      <w:r w:rsidRPr="006B0D74">
        <w:rPr>
          <w:b/>
          <w:sz w:val="16"/>
          <w:szCs w:val="16"/>
          <w:lang w:val="es-CR"/>
        </w:rPr>
        <w:t>,</w:t>
      </w:r>
      <w:r w:rsidRPr="006B0D74">
        <w:rPr>
          <w:sz w:val="16"/>
          <w:szCs w:val="16"/>
          <w:lang w:val="es-CR"/>
        </w:rPr>
        <w:t xml:space="preserve"> </w:t>
      </w:r>
      <w:r w:rsidRPr="006B0D74">
        <w:rPr>
          <w:i/>
          <w:sz w:val="16"/>
          <w:szCs w:val="16"/>
          <w:lang w:val="es-CR"/>
        </w:rPr>
        <w:t>supra</w:t>
      </w:r>
      <w:r w:rsidRPr="006B0D74">
        <w:rPr>
          <w:sz w:val="16"/>
          <w:szCs w:val="16"/>
          <w:lang w:val="es-CR"/>
        </w:rPr>
        <w:t xml:space="preserve">, párr. 58. </w:t>
      </w:r>
      <w:proofErr w:type="spellStart"/>
      <w:r w:rsidRPr="006B0D74">
        <w:rPr>
          <w:sz w:val="16"/>
          <w:szCs w:val="16"/>
          <w:lang w:val="es-CR"/>
        </w:rPr>
        <w:t>Cuscul</w:t>
      </w:r>
      <w:proofErr w:type="spellEnd"/>
      <w:r w:rsidRPr="006B0D74">
        <w:rPr>
          <w:sz w:val="16"/>
          <w:szCs w:val="16"/>
          <w:lang w:val="es-CR"/>
        </w:rPr>
        <w:t>, párr. 102.</w:t>
      </w:r>
    </w:p>
  </w:footnote>
  <w:footnote w:id="31">
    <w:p w14:paraId="68EF7309" w14:textId="77777777" w:rsidR="001C1A87" w:rsidRPr="006B0D74" w:rsidRDefault="001C1A87" w:rsidP="006B0D74">
      <w:pPr>
        <w:pStyle w:val="Textonotapie"/>
        <w:rPr>
          <w:lang w:val="es-CR"/>
        </w:rPr>
      </w:pPr>
      <w:r w:rsidRPr="006B0D74">
        <w:rPr>
          <w:rStyle w:val="Refdenotaalpie"/>
        </w:rPr>
        <w:footnoteRef/>
      </w:r>
      <w:r w:rsidRPr="006B0D74">
        <w:rPr>
          <w:lang w:val="es-CR"/>
        </w:rPr>
        <w:tab/>
      </w:r>
      <w:r w:rsidRPr="006B0D74">
        <w:rPr>
          <w:i/>
          <w:lang w:val="es-CR"/>
        </w:rPr>
        <w:t xml:space="preserve">Caso </w:t>
      </w:r>
      <w:proofErr w:type="spellStart"/>
      <w:r w:rsidRPr="006B0D74">
        <w:rPr>
          <w:i/>
          <w:lang w:val="es-CR"/>
        </w:rPr>
        <w:t>Atala</w:t>
      </w:r>
      <w:proofErr w:type="spellEnd"/>
      <w:r w:rsidRPr="006B0D74">
        <w:rPr>
          <w:i/>
          <w:lang w:val="es-CR"/>
        </w:rPr>
        <w:t xml:space="preserve"> Riffo y niñas Vs. Chile. Fondo, Reparaciones y Costas.</w:t>
      </w:r>
      <w:r w:rsidRPr="006B0D74">
        <w:rPr>
          <w:lang w:val="es-CR"/>
        </w:rPr>
        <w:t xml:space="preserve"> Sentencia del 24 de febrero de 2012. Serie C No. 239, párr. 91.</w:t>
      </w:r>
    </w:p>
    <w:p w14:paraId="4C059C54" w14:textId="77777777" w:rsidR="00B54F7E" w:rsidRPr="006B0D74" w:rsidRDefault="00B54F7E" w:rsidP="006B0D74">
      <w:pPr>
        <w:pStyle w:val="Textonotapie"/>
        <w:rPr>
          <w:lang w:val="es-CR"/>
        </w:rPr>
      </w:pPr>
    </w:p>
  </w:footnote>
  <w:footnote w:id="32">
    <w:p w14:paraId="451CFF6E" w14:textId="3806B639" w:rsidR="001C1A87" w:rsidRPr="006B0D74" w:rsidRDefault="001C1A87" w:rsidP="006B0D74">
      <w:pPr>
        <w:pStyle w:val="Textonotapie"/>
        <w:rPr>
          <w:rStyle w:val="Textoennegrita"/>
          <w:b w:val="0"/>
          <w:color w:val="000000"/>
          <w:shd w:val="clear" w:color="auto" w:fill="FFFFFF"/>
          <w:lang w:val="es-PE"/>
        </w:rPr>
      </w:pPr>
      <w:r w:rsidRPr="006B0D74">
        <w:rPr>
          <w:rStyle w:val="Refdenotaalpie"/>
        </w:rPr>
        <w:footnoteRef/>
      </w:r>
      <w:r w:rsidRPr="006B0D74">
        <w:rPr>
          <w:lang w:val="es-CR"/>
        </w:rPr>
        <w:t xml:space="preserve"> </w:t>
      </w:r>
      <w:r w:rsidRPr="006B0D74">
        <w:rPr>
          <w:lang w:val="es-CR"/>
        </w:rPr>
        <w:tab/>
      </w:r>
      <w:r w:rsidR="002C71D9" w:rsidRPr="002C71D9">
        <w:rPr>
          <w:i/>
          <w:lang w:val="es-CR"/>
        </w:rPr>
        <w:t>Cfr.</w:t>
      </w:r>
      <w:r w:rsidR="002C71D9">
        <w:rPr>
          <w:lang w:val="es-CR"/>
        </w:rPr>
        <w:t xml:space="preserve"> </w:t>
      </w:r>
      <w:r w:rsidRPr="006B0D74">
        <w:rPr>
          <w:rStyle w:val="Textoennegrita"/>
          <w:b w:val="0"/>
          <w:i/>
          <w:color w:val="000000"/>
          <w:shd w:val="clear" w:color="auto" w:fill="FFFFFF"/>
          <w:lang w:val="es-PE"/>
        </w:rPr>
        <w:t xml:space="preserve">Caso </w:t>
      </w:r>
      <w:proofErr w:type="spellStart"/>
      <w:r w:rsidRPr="006B0D74">
        <w:rPr>
          <w:rStyle w:val="Textoennegrita"/>
          <w:b w:val="0"/>
          <w:i/>
          <w:color w:val="000000"/>
          <w:shd w:val="clear" w:color="auto" w:fill="FFFFFF"/>
          <w:lang w:val="es-PE"/>
        </w:rPr>
        <w:t>Cuscul</w:t>
      </w:r>
      <w:proofErr w:type="spellEnd"/>
      <w:r w:rsidRPr="006B0D74">
        <w:rPr>
          <w:rStyle w:val="Textoennegrita"/>
          <w:b w:val="0"/>
          <w:i/>
          <w:color w:val="000000"/>
          <w:shd w:val="clear" w:color="auto" w:fill="FFFFFF"/>
          <w:lang w:val="es-PE"/>
        </w:rPr>
        <w:t xml:space="preserve"> Pivaral y otros Vs. Guatemala. Excepción Preliminar, Fondo, Reparaciones y Costas</w:t>
      </w:r>
      <w:r w:rsidRPr="006B0D74">
        <w:rPr>
          <w:rStyle w:val="Textoennegrita"/>
          <w:b w:val="0"/>
          <w:color w:val="000000"/>
          <w:shd w:val="clear" w:color="auto" w:fill="FFFFFF"/>
          <w:lang w:val="es-PE"/>
        </w:rPr>
        <w:t>. Sentencia de 23 de agosto de 2018. Serie C No. 359, párr. 94.</w:t>
      </w:r>
    </w:p>
    <w:p w14:paraId="0E4B3323" w14:textId="77777777" w:rsidR="00B54F7E" w:rsidRPr="006B0D74" w:rsidRDefault="00B54F7E" w:rsidP="006B0D74">
      <w:pPr>
        <w:pStyle w:val="Textonotapie"/>
        <w:rPr>
          <w:lang w:val="es-CR"/>
        </w:rPr>
      </w:pPr>
    </w:p>
  </w:footnote>
  <w:footnote w:id="33">
    <w:p w14:paraId="047FECAA" w14:textId="77777777" w:rsidR="001C1A87" w:rsidRPr="006B0D74" w:rsidRDefault="001C1A87" w:rsidP="006B0D74">
      <w:pPr>
        <w:pStyle w:val="Textonotapie"/>
        <w:rPr>
          <w:rStyle w:val="Textoennegrita"/>
          <w:b w:val="0"/>
          <w:color w:val="000000"/>
          <w:shd w:val="clear" w:color="auto" w:fill="FFFFFF"/>
          <w:lang w:val="es-PE"/>
        </w:rPr>
      </w:pPr>
      <w:r w:rsidRPr="006B0D74">
        <w:rPr>
          <w:rStyle w:val="Refdenotaalpie"/>
        </w:rPr>
        <w:footnoteRef/>
      </w:r>
      <w:r w:rsidRPr="006B0D74">
        <w:rPr>
          <w:lang w:val="es-CR"/>
        </w:rPr>
        <w:t xml:space="preserve"> </w:t>
      </w:r>
      <w:r w:rsidRPr="006B0D74">
        <w:rPr>
          <w:lang w:val="es-CR"/>
        </w:rPr>
        <w:tab/>
        <w:t xml:space="preserve">En dichos casos se señala que: “[e]l Tribunal recuerda que el contenido del artículo 26 de la Convención fue objeto de un intenso debate en los trabajos preparatorios de ésta, nacido del interés de los Estados por consignar una “mención directa” a los “derechos” económicos, sociales y culturales; “una disposición que establezca cierta obligatoriedad jurídica […] en su cumplimiento y aplicación” [Chile]; así como “los [respectivos] mecanismos [para su] promoción y protección” [Chile]; ya que, el Anteproyecto de tratado elaborado por la Comisión Interamericana hacía referencia a aquellos en dos artículos que, de acuerdo con algunos Estados, sólo “recogían en un texto meramente declarativo, conclusiones establecidas en la Conferencia de Buenos Aires” [Uruguay]. </w:t>
      </w:r>
      <w:r w:rsidRPr="006B0D74">
        <w:rPr>
          <w:lang w:val="es-ES"/>
        </w:rPr>
        <w:t>La revisión de dichos trabajos preparatorios de la Convención demuestra también que las principales observaciones sobre la base de las cuales ésta fue aprobada pusieron especial énfasis en “dar a los derechos económicos, sociales y culturales la máxima protección compatible con las condiciones peculiares a la gran mayoría de los Estados Americanos” [Brasil]. Así, como parte del debate en los trabajos preparatorios, también se propuso “</w:t>
      </w:r>
      <w:proofErr w:type="spellStart"/>
      <w:r w:rsidRPr="006B0D74">
        <w:rPr>
          <w:lang w:val="es-ES"/>
        </w:rPr>
        <w:t>hac</w:t>
      </w:r>
      <w:proofErr w:type="spellEnd"/>
      <w:r w:rsidRPr="006B0D74">
        <w:rPr>
          <w:lang w:val="es-ES"/>
        </w:rPr>
        <w:t>[</w:t>
      </w:r>
      <w:proofErr w:type="spellStart"/>
      <w:r w:rsidRPr="006B0D74">
        <w:rPr>
          <w:lang w:val="es-ES"/>
        </w:rPr>
        <w:t>er</w:t>
      </w:r>
      <w:proofErr w:type="spellEnd"/>
      <w:r w:rsidRPr="006B0D74">
        <w:rPr>
          <w:lang w:val="es-ES"/>
        </w:rPr>
        <w:t xml:space="preserve">] posible [la] ejecución [de dichos derechos] mediante la acción de los tribunales” [Guatemala]”. </w:t>
      </w:r>
      <w:r w:rsidRPr="006B0D74">
        <w:rPr>
          <w:i/>
          <w:lang w:val="es-CR"/>
        </w:rPr>
        <w:t>Cfr. Caso Acevedo Buendía y otros (“Cesantes y Jubilados de la Contraloría”) Vs. Perú. Excepción Preliminar, Fondo, Reparaciones y Costas.</w:t>
      </w:r>
      <w:r w:rsidRPr="006B0D74">
        <w:rPr>
          <w:lang w:val="es-CR"/>
        </w:rPr>
        <w:t xml:space="preserve"> Sentencia de 1 de julio de 2009. Serie C No. 198, párr. 99; </w:t>
      </w:r>
      <w:r w:rsidRPr="006B0D74">
        <w:rPr>
          <w:i/>
          <w:lang w:val="es-CR"/>
        </w:rPr>
        <w:t xml:space="preserve">Caso Poblete Vilches y otros Vs. Chile. Fondo, Reparaciones y Costas. </w:t>
      </w:r>
      <w:r w:rsidRPr="006B0D74">
        <w:rPr>
          <w:lang w:val="es-CR"/>
        </w:rPr>
        <w:t xml:space="preserve">Sentencia de 8 de marzo de 2018. Serie C No. 349, párr. 101, y </w:t>
      </w:r>
      <w:r w:rsidRPr="006B0D74">
        <w:rPr>
          <w:rStyle w:val="Textoennegrita"/>
          <w:b w:val="0"/>
          <w:i/>
          <w:color w:val="000000"/>
          <w:shd w:val="clear" w:color="auto" w:fill="FFFFFF"/>
          <w:lang w:val="es-PE"/>
        </w:rPr>
        <w:t xml:space="preserve">Caso </w:t>
      </w:r>
      <w:proofErr w:type="spellStart"/>
      <w:r w:rsidRPr="006B0D74">
        <w:rPr>
          <w:rStyle w:val="Textoennegrita"/>
          <w:b w:val="0"/>
          <w:i/>
          <w:color w:val="000000"/>
          <w:shd w:val="clear" w:color="auto" w:fill="FFFFFF"/>
          <w:lang w:val="es-PE"/>
        </w:rPr>
        <w:t>Cuscul</w:t>
      </w:r>
      <w:proofErr w:type="spellEnd"/>
      <w:r w:rsidRPr="006B0D74">
        <w:rPr>
          <w:rStyle w:val="Textoennegrita"/>
          <w:b w:val="0"/>
          <w:i/>
          <w:color w:val="000000"/>
          <w:shd w:val="clear" w:color="auto" w:fill="FFFFFF"/>
          <w:lang w:val="es-PE"/>
        </w:rPr>
        <w:t xml:space="preserve"> Pivaral y otros Vs. Guatemala. Excepción Preliminar, Fondo, Reparaciones y Costas</w:t>
      </w:r>
      <w:r w:rsidRPr="006B0D74">
        <w:rPr>
          <w:rStyle w:val="Textoennegrita"/>
          <w:b w:val="0"/>
          <w:color w:val="000000"/>
          <w:shd w:val="clear" w:color="auto" w:fill="FFFFFF"/>
          <w:lang w:val="es-PE"/>
        </w:rPr>
        <w:t>. Sentencia de 23 de agosto de 2018. Serie C No. 359, párr. 95.</w:t>
      </w:r>
    </w:p>
    <w:p w14:paraId="75F5796A" w14:textId="77777777" w:rsidR="00B54F7E" w:rsidRPr="006B0D74" w:rsidRDefault="00B54F7E" w:rsidP="006B0D74">
      <w:pPr>
        <w:pStyle w:val="Textonotapie"/>
        <w:rPr>
          <w:b/>
          <w:lang w:val="es-CR"/>
        </w:rPr>
      </w:pPr>
    </w:p>
  </w:footnote>
  <w:footnote w:id="34">
    <w:p w14:paraId="3AA6F719" w14:textId="74897FD9"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r>
      <w:r w:rsidR="002C71D9" w:rsidRPr="002C71D9">
        <w:rPr>
          <w:i/>
          <w:lang w:val="es-CR"/>
        </w:rPr>
        <w:t>Cfr.</w:t>
      </w:r>
      <w:r w:rsidR="002C71D9">
        <w:rPr>
          <w:lang w:val="es-CR"/>
        </w:rPr>
        <w:t xml:space="preserve"> </w:t>
      </w:r>
      <w:r w:rsidRPr="006B0D74">
        <w:rPr>
          <w:lang w:val="es-CR"/>
        </w:rPr>
        <w:t>Uruguay. Actas de la Conferencia Especializada Interamericana sobre Derechos Humanos, 7 a 22 de noviembre de 1969, OEA/</w:t>
      </w:r>
      <w:proofErr w:type="spellStart"/>
      <w:r w:rsidRPr="006B0D74">
        <w:rPr>
          <w:lang w:val="es-CR"/>
        </w:rPr>
        <w:t>Ser.K</w:t>
      </w:r>
      <w:proofErr w:type="spellEnd"/>
      <w:r w:rsidRPr="006B0D74">
        <w:rPr>
          <w:lang w:val="es-CR"/>
        </w:rPr>
        <w:t>/XVI/1.2, p. 37.</w:t>
      </w:r>
    </w:p>
    <w:p w14:paraId="51CADEED" w14:textId="77777777" w:rsidR="00C50598" w:rsidRPr="006B0D74" w:rsidRDefault="00C50598" w:rsidP="006B0D74">
      <w:pPr>
        <w:pStyle w:val="Textonotapie"/>
        <w:rPr>
          <w:lang w:val="es-CR"/>
        </w:rPr>
      </w:pPr>
    </w:p>
  </w:footnote>
  <w:footnote w:id="35">
    <w:p w14:paraId="32623C8B" w14:textId="59FA8B30"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r>
      <w:r w:rsidR="002C71D9" w:rsidRPr="002C71D9">
        <w:rPr>
          <w:i/>
          <w:lang w:val="es-CR"/>
        </w:rPr>
        <w:t>Cfr</w:t>
      </w:r>
      <w:r w:rsidR="002C71D9">
        <w:rPr>
          <w:lang w:val="es-CR"/>
        </w:rPr>
        <w:t xml:space="preserve">. </w:t>
      </w:r>
      <w:r w:rsidRPr="006B0D74">
        <w:rPr>
          <w:lang w:val="es-CR"/>
        </w:rPr>
        <w:t>República Dominicana. Actas de la Conferencia Especializada Interamericana sobre Derechos Humanos, 7 a 22 de noviembre de 1969, OEA/</w:t>
      </w:r>
      <w:proofErr w:type="spellStart"/>
      <w:r w:rsidRPr="006B0D74">
        <w:rPr>
          <w:lang w:val="es-CR"/>
        </w:rPr>
        <w:t>Ser.K</w:t>
      </w:r>
      <w:proofErr w:type="spellEnd"/>
      <w:r w:rsidRPr="006B0D74">
        <w:rPr>
          <w:lang w:val="es-CR"/>
        </w:rPr>
        <w:t>/XVI/1.2, pp. 69 y 70.</w:t>
      </w:r>
    </w:p>
  </w:footnote>
  <w:footnote w:id="36">
    <w:p w14:paraId="7DB97EC1" w14:textId="7BBA84BA"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r>
      <w:r w:rsidR="002C71D9" w:rsidRPr="002C71D9">
        <w:rPr>
          <w:i/>
          <w:lang w:val="es-CR"/>
        </w:rPr>
        <w:t>Cfr.</w:t>
      </w:r>
      <w:r w:rsidR="002C71D9">
        <w:rPr>
          <w:lang w:val="es-CR"/>
        </w:rPr>
        <w:t xml:space="preserve"> </w:t>
      </w:r>
      <w:r w:rsidRPr="006B0D74">
        <w:rPr>
          <w:lang w:val="es-CR"/>
        </w:rPr>
        <w:t>Chile. Actas de la Conferencia Especializada Interamericana sobre Derechos Humanos, 7 a 22 de noviembre de 1969, OEA/</w:t>
      </w:r>
      <w:proofErr w:type="spellStart"/>
      <w:r w:rsidRPr="006B0D74">
        <w:rPr>
          <w:lang w:val="es-CR"/>
        </w:rPr>
        <w:t>Ser.K</w:t>
      </w:r>
      <w:proofErr w:type="spellEnd"/>
      <w:r w:rsidRPr="006B0D74">
        <w:rPr>
          <w:lang w:val="es-CR"/>
        </w:rPr>
        <w:t>/XVI/1.2, pp. 42 y 43.</w:t>
      </w:r>
    </w:p>
    <w:p w14:paraId="3DD6EA3C" w14:textId="77777777" w:rsidR="00154FC7" w:rsidRPr="006B0D74" w:rsidRDefault="00154FC7" w:rsidP="006B0D74">
      <w:pPr>
        <w:pStyle w:val="Textonotapie"/>
        <w:rPr>
          <w:lang w:val="es-CR"/>
        </w:rPr>
      </w:pPr>
    </w:p>
  </w:footnote>
  <w:footnote w:id="37">
    <w:p w14:paraId="50409F48" w14:textId="3D82E109"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r>
      <w:r w:rsidR="002C71D9" w:rsidRPr="002C71D9">
        <w:rPr>
          <w:i/>
          <w:lang w:val="es-CR"/>
        </w:rPr>
        <w:t>Cfr.</w:t>
      </w:r>
      <w:r w:rsidR="002C71D9">
        <w:rPr>
          <w:lang w:val="es-CR"/>
        </w:rPr>
        <w:t xml:space="preserve"> </w:t>
      </w:r>
      <w:r w:rsidRPr="006B0D74">
        <w:rPr>
          <w:lang w:val="es-CR"/>
        </w:rPr>
        <w:t>México. Actas de la Conferencia Especializada Interamericana sobre Derechos Humanos, 7 a 22 de noviembre de 1969, OEA/</w:t>
      </w:r>
      <w:proofErr w:type="spellStart"/>
      <w:r w:rsidRPr="006B0D74">
        <w:rPr>
          <w:lang w:val="es-CR"/>
        </w:rPr>
        <w:t>Ser.K</w:t>
      </w:r>
      <w:proofErr w:type="spellEnd"/>
      <w:r w:rsidRPr="006B0D74">
        <w:rPr>
          <w:lang w:val="es-CR"/>
        </w:rPr>
        <w:t>/XVI/1.2, p. 101.</w:t>
      </w:r>
    </w:p>
    <w:p w14:paraId="78E4C4E1" w14:textId="77777777" w:rsidR="00154FC7" w:rsidRPr="006B0D74" w:rsidRDefault="00154FC7" w:rsidP="006B0D74">
      <w:pPr>
        <w:pStyle w:val="Textonotapie"/>
        <w:rPr>
          <w:lang w:val="es-CR"/>
        </w:rPr>
      </w:pPr>
    </w:p>
  </w:footnote>
  <w:footnote w:id="38">
    <w:p w14:paraId="5A2B8005" w14:textId="7C4CC5A8"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r>
      <w:r w:rsidR="002C71D9" w:rsidRPr="002C71D9">
        <w:rPr>
          <w:i/>
          <w:lang w:val="es-CR"/>
        </w:rPr>
        <w:t>Cfr.</w:t>
      </w:r>
      <w:r w:rsidR="002C71D9">
        <w:rPr>
          <w:i/>
          <w:lang w:val="es-CR"/>
        </w:rPr>
        <w:t xml:space="preserve"> </w:t>
      </w:r>
      <w:r w:rsidRPr="006B0D74">
        <w:rPr>
          <w:lang w:val="es-CR"/>
        </w:rPr>
        <w:t>Guatemala. Actas de la Conferencia Especializada Interamericana sobre Derechos Humanos, 7 a 22 de noviembre de 1969, OEA/</w:t>
      </w:r>
      <w:proofErr w:type="spellStart"/>
      <w:r w:rsidRPr="006B0D74">
        <w:rPr>
          <w:lang w:val="es-CR"/>
        </w:rPr>
        <w:t>Ser.K</w:t>
      </w:r>
      <w:proofErr w:type="spellEnd"/>
      <w:r w:rsidRPr="006B0D74">
        <w:rPr>
          <w:lang w:val="es-CR"/>
        </w:rPr>
        <w:t>/XVI/1.2, pp. 115 y 116.</w:t>
      </w:r>
    </w:p>
    <w:p w14:paraId="7B61D7B5" w14:textId="77777777" w:rsidR="00154FC7" w:rsidRPr="006B0D74" w:rsidRDefault="00154FC7" w:rsidP="006B0D74">
      <w:pPr>
        <w:pStyle w:val="Textonotapie"/>
        <w:rPr>
          <w:lang w:val="es-CR"/>
        </w:rPr>
      </w:pPr>
    </w:p>
  </w:footnote>
  <w:footnote w:id="39">
    <w:p w14:paraId="51DB2B1D" w14:textId="60E171FE" w:rsidR="001C1A87" w:rsidRPr="006B0D74" w:rsidRDefault="001C1A87" w:rsidP="006B0D74">
      <w:pPr>
        <w:pStyle w:val="Textonotapie"/>
        <w:rPr>
          <w:lang w:val="es-CR"/>
        </w:rPr>
      </w:pPr>
      <w:r w:rsidRPr="006B0D74">
        <w:rPr>
          <w:rStyle w:val="Refdenotaalpie"/>
        </w:rPr>
        <w:footnoteRef/>
      </w:r>
      <w:r w:rsidRPr="006B0D74">
        <w:rPr>
          <w:lang w:val="es-CR"/>
        </w:rPr>
        <w:t xml:space="preserve"> </w:t>
      </w:r>
      <w:r w:rsidRPr="006B0D74">
        <w:rPr>
          <w:lang w:val="es-CR"/>
        </w:rPr>
        <w:tab/>
      </w:r>
      <w:r w:rsidR="002C71D9" w:rsidRPr="002C71D9">
        <w:rPr>
          <w:i/>
          <w:lang w:val="es-CR"/>
        </w:rPr>
        <w:t>Cfr.</w:t>
      </w:r>
      <w:r w:rsidR="002C71D9">
        <w:rPr>
          <w:i/>
          <w:lang w:val="es-CR"/>
        </w:rPr>
        <w:t xml:space="preserve"> </w:t>
      </w:r>
      <w:r w:rsidRPr="006B0D74">
        <w:rPr>
          <w:lang w:val="es-CR"/>
        </w:rPr>
        <w:t>Brasil. Actas de la Conferencia Especializada Interamericana sobre Derechos Humanos, 7 a 22 de noviembre de 1969, OEA/</w:t>
      </w:r>
      <w:proofErr w:type="spellStart"/>
      <w:r w:rsidRPr="006B0D74">
        <w:rPr>
          <w:lang w:val="es-CR"/>
        </w:rPr>
        <w:t>Ser.K</w:t>
      </w:r>
      <w:proofErr w:type="spellEnd"/>
      <w:r w:rsidRPr="006B0D74">
        <w:rPr>
          <w:lang w:val="es-CR"/>
        </w:rPr>
        <w:t>/XVI/1.2, pp. 124 y 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07D"/>
    <w:multiLevelType w:val="hybridMultilevel"/>
    <w:tmpl w:val="AA9211E4"/>
    <w:lvl w:ilvl="0" w:tplc="D12048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6B66"/>
    <w:multiLevelType w:val="hybridMultilevel"/>
    <w:tmpl w:val="3104AD0E"/>
    <w:lvl w:ilvl="0" w:tplc="1C64AA6A">
      <w:start w:val="1"/>
      <w:numFmt w:val="decimal"/>
      <w:lvlText w:val="%1."/>
      <w:lvlJc w:val="left"/>
      <w:pPr>
        <w:ind w:left="5130" w:hanging="360"/>
      </w:pPr>
      <w:rPr>
        <w:rFonts w:hint="default"/>
        <w:b w:val="0"/>
        <w:i w:val="0"/>
        <w:strike w:val="0"/>
        <w:color w:val="auto"/>
        <w:sz w:val="20"/>
        <w:szCs w:val="20"/>
        <w:vertAlign w:val="baseline"/>
        <w:lang w:val="es-CR"/>
      </w:rPr>
    </w:lvl>
    <w:lvl w:ilvl="1" w:tplc="140A0019">
      <w:start w:val="1"/>
      <w:numFmt w:val="lowerLetter"/>
      <w:pStyle w:val="Prrafodelista"/>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F138BD"/>
    <w:multiLevelType w:val="hybridMultilevel"/>
    <w:tmpl w:val="56A09A0A"/>
    <w:lvl w:ilvl="0" w:tplc="1842115A">
      <w:start w:val="1"/>
      <w:numFmt w:val="decimal"/>
      <w:pStyle w:val="PrrafodeSentenci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4" w15:restartNumberingAfterBreak="0">
    <w:nsid w:val="05FC320B"/>
    <w:multiLevelType w:val="hybridMultilevel"/>
    <w:tmpl w:val="73E6A92E"/>
    <w:lvl w:ilvl="0" w:tplc="8A1612C2">
      <w:start w:val="1"/>
      <w:numFmt w:val="decimal"/>
      <w:lvlText w:val="%1."/>
      <w:lvlJc w:val="left"/>
      <w:pPr>
        <w:ind w:left="720" w:hanging="360"/>
      </w:pPr>
      <w:rPr>
        <w:rFonts w:ascii="Verdana" w:hAnsi="Verdana" w:hint="default"/>
        <w:sz w:val="20"/>
        <w:szCs w:val="20"/>
        <w:lang w:val="es-A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 w15:restartNumberingAfterBreak="0">
    <w:nsid w:val="0CBD4D9D"/>
    <w:multiLevelType w:val="hybridMultilevel"/>
    <w:tmpl w:val="5366CC9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9"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10" w15:restartNumberingAfterBreak="0">
    <w:nsid w:val="18064F78"/>
    <w:multiLevelType w:val="hybridMultilevel"/>
    <w:tmpl w:val="F3803A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MS Gothic"/>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color="000000"/>
        <w:lang w:val="es-ES_tradnl"/>
      </w:rPr>
    </w:lvl>
  </w:abstractNum>
  <w:abstractNum w:abstractNumId="13" w15:restartNumberingAfterBreak="0">
    <w:nsid w:val="1CE661F2"/>
    <w:multiLevelType w:val="hybridMultilevel"/>
    <w:tmpl w:val="AA9211E4"/>
    <w:lvl w:ilvl="0" w:tplc="D12048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5"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6"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17"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0" w15:restartNumberingAfterBreak="0">
    <w:nsid w:val="267166A0"/>
    <w:multiLevelType w:val="hybridMultilevel"/>
    <w:tmpl w:val="8736B12E"/>
    <w:lvl w:ilvl="0" w:tplc="78A86650">
      <w:start w:val="1"/>
      <w:numFmt w:val="bullet"/>
      <w:lvlText w:val="­"/>
      <w:lvlJc w:val="left"/>
      <w:pPr>
        <w:ind w:left="720" w:hanging="360"/>
      </w:pPr>
      <w:rPr>
        <w:rFonts w:ascii="Simplified Arabic Fixed" w:hAnsi="Simplified Arabic Fixed"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2"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3" w15:restartNumberingAfterBreak="0">
    <w:nsid w:val="28C41FF2"/>
    <w:multiLevelType w:val="hybridMultilevel"/>
    <w:tmpl w:val="735640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5"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6"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27"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8"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29" w15:restartNumberingAfterBreak="0">
    <w:nsid w:val="336C6D33"/>
    <w:multiLevelType w:val="hybridMultilevel"/>
    <w:tmpl w:val="CD7E168A"/>
    <w:lvl w:ilvl="0" w:tplc="BC06B80A">
      <w:start w:val="38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MS Gothic"/>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MS Gothic"/>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color w:val="000000"/>
        <w:position w:val="0"/>
        <w:sz w:val="22"/>
        <w:szCs w:val="22"/>
        <w:u w:color="000000"/>
        <w:lang w:val="es-ES_tradnl"/>
      </w:rPr>
    </w:lvl>
  </w:abstractNum>
  <w:abstractNum w:abstractNumId="3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36" w15:restartNumberingAfterBreak="0">
    <w:nsid w:val="3E285041"/>
    <w:multiLevelType w:val="hybridMultilevel"/>
    <w:tmpl w:val="37284C20"/>
    <w:lvl w:ilvl="0" w:tplc="FB4086BE">
      <w:start w:val="1"/>
      <w:numFmt w:val="lowerRoman"/>
      <w:pStyle w:val="Ttulo5"/>
      <w:lvlText w:val="(%1)"/>
      <w:lvlJc w:val="left"/>
      <w:pPr>
        <w:ind w:left="1776"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7" w15:restartNumberingAfterBreak="0">
    <w:nsid w:val="3F111E32"/>
    <w:multiLevelType w:val="hybridMultilevel"/>
    <w:tmpl w:val="C91E3916"/>
    <w:lvl w:ilvl="0" w:tplc="29088F88">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39" w15:restartNumberingAfterBreak="0">
    <w:nsid w:val="41C2035A"/>
    <w:multiLevelType w:val="hybridMultilevel"/>
    <w:tmpl w:val="7E503134"/>
    <w:lvl w:ilvl="0" w:tplc="040A0015">
      <w:start w:val="1"/>
      <w:numFmt w:val="upp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3" w15:restartNumberingAfterBreak="0">
    <w:nsid w:val="45121129"/>
    <w:multiLevelType w:val="hybridMultilevel"/>
    <w:tmpl w:val="B09A8E92"/>
    <w:lvl w:ilvl="0" w:tplc="0A24846C">
      <w:start w:val="1"/>
      <w:numFmt w:val="upperLetter"/>
      <w:pStyle w:val="Ttulo2"/>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4" w15:restartNumberingAfterBreak="0">
    <w:nsid w:val="45F16E6D"/>
    <w:multiLevelType w:val="hybridMultilevel"/>
    <w:tmpl w:val="5A364B48"/>
    <w:lvl w:ilvl="0" w:tplc="78A86650">
      <w:start w:val="1"/>
      <w:numFmt w:val="bullet"/>
      <w:lvlText w:val="­"/>
      <w:lvlJc w:val="left"/>
      <w:pPr>
        <w:ind w:left="720" w:hanging="360"/>
      </w:pPr>
      <w:rPr>
        <w:rFonts w:ascii="Simplified Arabic Fixed" w:hAnsi="Simplified Arabic Fixed"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6" w15:restartNumberingAfterBreak="0">
    <w:nsid w:val="46782CD6"/>
    <w:multiLevelType w:val="hybridMultilevel"/>
    <w:tmpl w:val="8C68099A"/>
    <w:lvl w:ilvl="0" w:tplc="140A0013">
      <w:start w:val="1"/>
      <w:numFmt w:val="upp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48" w15:restartNumberingAfterBreak="0">
    <w:nsid w:val="490D42A9"/>
    <w:multiLevelType w:val="hybridMultilevel"/>
    <w:tmpl w:val="225C8D94"/>
    <w:styleLink w:val="Estiloimportado3"/>
    <w:lvl w:ilvl="0" w:tplc="D75EE32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7AA2DB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66E90BA">
      <w:start w:val="1"/>
      <w:numFmt w:val="lowerLetter"/>
      <w:lvlText w:val="%3)"/>
      <w:lvlJc w:val="left"/>
      <w:pPr>
        <w:ind w:left="1620"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969C70BA">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283869E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0D2A5562">
      <w:start w:val="1"/>
      <w:numFmt w:val="lowerRoman"/>
      <w:lvlText w:val="%6."/>
      <w:lvlJc w:val="left"/>
      <w:pPr>
        <w:ind w:left="3600" w:hanging="595"/>
      </w:pPr>
      <w:rPr>
        <w:rFonts w:hAnsi="Arial Unicode MS"/>
        <w:caps w:val="0"/>
        <w:smallCaps w:val="0"/>
        <w:strike w:val="0"/>
        <w:dstrike w:val="0"/>
        <w:outline w:val="0"/>
        <w:emboss w:val="0"/>
        <w:imprint w:val="0"/>
        <w:spacing w:val="0"/>
        <w:w w:val="100"/>
        <w:kern w:val="0"/>
        <w:position w:val="0"/>
        <w:highlight w:val="none"/>
        <w:vertAlign w:val="baseline"/>
      </w:rPr>
    </w:lvl>
    <w:lvl w:ilvl="6" w:tplc="2B9ED8C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6F64CEDC">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5498B4BE">
      <w:start w:val="1"/>
      <w:numFmt w:val="lowerRoman"/>
      <w:lvlText w:val="%9."/>
      <w:lvlJc w:val="left"/>
      <w:pPr>
        <w:ind w:left="5760" w:hanging="5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0"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MS Gothic"/>
        <w:b/>
        <w:bCs/>
        <w:color w:val="000000"/>
        <w:position w:val="0"/>
        <w:sz w:val="22"/>
        <w:szCs w:val="22"/>
        <w:u w:val="single" w:color="000000"/>
        <w:lang w:val="es-ES_tradnl"/>
      </w:rPr>
    </w:lvl>
  </w:abstractNum>
  <w:abstractNum w:abstractNumId="52" w15:restartNumberingAfterBreak="0">
    <w:nsid w:val="4CCD1B5F"/>
    <w:multiLevelType w:val="hybridMultilevel"/>
    <w:tmpl w:val="32FA1412"/>
    <w:lvl w:ilvl="0" w:tplc="78AAAA9C">
      <w:start w:val="1"/>
      <w:numFmt w:val="decimal"/>
      <w:lvlText w:val="%1."/>
      <w:lvlJc w:val="left"/>
      <w:pPr>
        <w:ind w:left="7110" w:hanging="360"/>
      </w:pPr>
      <w:rPr>
        <w:rFonts w:ascii="Verdana" w:eastAsia="Batang" w:hAnsi="Verdana" w:cs="Times"/>
        <w:b w:val="0"/>
        <w:i w:val="0"/>
        <w:color w:val="auto"/>
        <w:sz w:val="20"/>
        <w:szCs w:val="20"/>
        <w:lang w:val="es-MX"/>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r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54" w15:restartNumberingAfterBreak="0">
    <w:nsid w:val="4F94383A"/>
    <w:multiLevelType w:val="multilevel"/>
    <w:tmpl w:val="82E059C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57"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58" w15:restartNumberingAfterBreak="0">
    <w:nsid w:val="521F3827"/>
    <w:multiLevelType w:val="hybridMultilevel"/>
    <w:tmpl w:val="D33ADB2C"/>
    <w:lvl w:ilvl="0" w:tplc="23F6D78C">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005BC6"/>
    <w:multiLevelType w:val="hybridMultilevel"/>
    <w:tmpl w:val="5A92E4C6"/>
    <w:lvl w:ilvl="0" w:tplc="F4BC5E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1" w15:restartNumberingAfterBreak="0">
    <w:nsid w:val="57727599"/>
    <w:multiLevelType w:val="hybridMultilevel"/>
    <w:tmpl w:val="4B1E4F2E"/>
    <w:lvl w:ilvl="0" w:tplc="20A2291C">
      <w:start w:val="1"/>
      <w:numFmt w:val="decimal"/>
      <w:lvlText w:val="%1."/>
      <w:lvlJc w:val="left"/>
      <w:pPr>
        <w:ind w:left="360" w:hanging="360"/>
      </w:pPr>
      <w:rPr>
        <w:rFonts w:ascii="Verdana" w:eastAsia="Times New Roman" w:hAnsi="Verdana" w:cs="Times New Roman" w:hint="default"/>
        <w:b w:val="0"/>
        <w:i w:val="0"/>
        <w:color w:val="auto"/>
        <w:w w:val="100"/>
        <w:sz w:val="20"/>
        <w:szCs w:val="20"/>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582437F2"/>
    <w:multiLevelType w:val="hybridMultilevel"/>
    <w:tmpl w:val="482891FE"/>
    <w:lvl w:ilvl="0" w:tplc="5FB4F916">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abstractNum w:abstractNumId="6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66" w15:restartNumberingAfterBreak="0">
    <w:nsid w:val="659375F4"/>
    <w:multiLevelType w:val="hybridMultilevel"/>
    <w:tmpl w:val="4A9004C6"/>
    <w:lvl w:ilvl="0" w:tplc="B70A6B1A">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color="000000"/>
        <w:lang w:val="es-ES_tradnl"/>
      </w:rPr>
    </w:lvl>
  </w:abstractNum>
  <w:abstractNum w:abstractNumId="6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Gothic"/>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Gothic"/>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Gothic"/>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Gothic"/>
        <w:b/>
        <w:bCs/>
        <w:color w:val="000000"/>
        <w:position w:val="0"/>
        <w:sz w:val="22"/>
        <w:szCs w:val="22"/>
        <w:u w:val="single" w:color="000000"/>
        <w:lang w:val="es-ES_tradnl"/>
      </w:rPr>
    </w:lvl>
  </w:abstractNum>
  <w:abstractNum w:abstractNumId="6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0" w15:restartNumberingAfterBreak="0">
    <w:nsid w:val="705A6F5C"/>
    <w:multiLevelType w:val="hybridMultilevel"/>
    <w:tmpl w:val="1012E60E"/>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1412446"/>
    <w:multiLevelType w:val="multilevel"/>
    <w:tmpl w:val="8D100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3" w15:restartNumberingAfterBreak="0">
    <w:nsid w:val="74622069"/>
    <w:multiLevelType w:val="hybridMultilevel"/>
    <w:tmpl w:val="AA9211E4"/>
    <w:lvl w:ilvl="0" w:tplc="D120483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753A80"/>
    <w:multiLevelType w:val="hybridMultilevel"/>
    <w:tmpl w:val="5F7CA420"/>
    <w:lvl w:ilvl="0" w:tplc="F12E0F8A">
      <w:start w:val="1"/>
      <w:numFmt w:val="decimal"/>
      <w:lvlText w:val="%1."/>
      <w:lvlJc w:val="left"/>
      <w:pPr>
        <w:ind w:left="0" w:firstLine="0"/>
      </w:pPr>
      <w:rPr>
        <w:rFonts w:ascii="Verdana" w:hAnsi="Verdana" w:hint="default"/>
        <w:b w:val="0"/>
        <w:i w:val="0"/>
        <w:strike w:val="0"/>
        <w:color w:val="auto"/>
        <w:sz w:val="20"/>
        <w:szCs w:val="20"/>
        <w:vertAlign w:val="baseli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7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MS Gothic"/>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Gothic"/>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Gothic"/>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Gothic"/>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Gothic"/>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Gothic"/>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Gothic"/>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Gothic"/>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Gothic"/>
        <w:b/>
        <w:bCs/>
        <w:color w:val="000000"/>
        <w:position w:val="0"/>
        <w:sz w:val="22"/>
        <w:szCs w:val="22"/>
        <w:u w:color="000000"/>
        <w:lang w:val="es-ES_tradnl"/>
      </w:rPr>
    </w:lvl>
  </w:abstractNum>
  <w:abstractNum w:abstractNumId="77" w15:restartNumberingAfterBreak="0">
    <w:nsid w:val="79354707"/>
    <w:multiLevelType w:val="hybridMultilevel"/>
    <w:tmpl w:val="B90EDDB8"/>
    <w:lvl w:ilvl="0" w:tplc="985C757E">
      <w:start w:val="1"/>
      <w:numFmt w:val="decimal"/>
      <w:lvlText w:val="%1."/>
      <w:lvlJc w:val="left"/>
      <w:pPr>
        <w:ind w:left="1109"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724" w:hanging="360"/>
      </w:pPr>
    </w:lvl>
    <w:lvl w:ilvl="2" w:tplc="140A001B">
      <w:start w:val="1"/>
      <w:numFmt w:val="lowerRoman"/>
      <w:lvlText w:val="%3."/>
      <w:lvlJc w:val="right"/>
      <w:pPr>
        <w:ind w:left="2444" w:hanging="180"/>
      </w:pPr>
    </w:lvl>
    <w:lvl w:ilvl="3" w:tplc="140A000F">
      <w:start w:val="1"/>
      <w:numFmt w:val="decimal"/>
      <w:lvlText w:val="%4."/>
      <w:lvlJc w:val="left"/>
      <w:pPr>
        <w:ind w:left="3164" w:hanging="360"/>
      </w:pPr>
    </w:lvl>
    <w:lvl w:ilvl="4" w:tplc="140A0019">
      <w:start w:val="1"/>
      <w:numFmt w:val="lowerLetter"/>
      <w:lvlText w:val="%5."/>
      <w:lvlJc w:val="left"/>
      <w:pPr>
        <w:ind w:left="3884" w:hanging="360"/>
      </w:pPr>
    </w:lvl>
    <w:lvl w:ilvl="5" w:tplc="140A001B">
      <w:start w:val="1"/>
      <w:numFmt w:val="lowerRoman"/>
      <w:lvlText w:val="%6."/>
      <w:lvlJc w:val="right"/>
      <w:pPr>
        <w:ind w:left="4604" w:hanging="180"/>
      </w:pPr>
    </w:lvl>
    <w:lvl w:ilvl="6" w:tplc="140A000F">
      <w:start w:val="1"/>
      <w:numFmt w:val="decimal"/>
      <w:lvlText w:val="%7."/>
      <w:lvlJc w:val="left"/>
      <w:pPr>
        <w:ind w:left="5324" w:hanging="360"/>
      </w:pPr>
    </w:lvl>
    <w:lvl w:ilvl="7" w:tplc="140A0019">
      <w:start w:val="1"/>
      <w:numFmt w:val="lowerLetter"/>
      <w:lvlText w:val="%8."/>
      <w:lvlJc w:val="left"/>
      <w:pPr>
        <w:ind w:left="6044" w:hanging="360"/>
      </w:pPr>
    </w:lvl>
    <w:lvl w:ilvl="8" w:tplc="140A001B">
      <w:start w:val="1"/>
      <w:numFmt w:val="lowerRoman"/>
      <w:lvlText w:val="%9."/>
      <w:lvlJc w:val="right"/>
      <w:pPr>
        <w:ind w:left="6764" w:hanging="180"/>
      </w:pPr>
    </w:lvl>
  </w:abstractNum>
  <w:abstractNum w:abstractNumId="7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7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0" w15:restartNumberingAfterBreak="0">
    <w:nsid w:val="7C3A0913"/>
    <w:multiLevelType w:val="hybridMultilevel"/>
    <w:tmpl w:val="3D3EE3CC"/>
    <w:lvl w:ilvl="0" w:tplc="A5D8C264">
      <w:start w:val="3"/>
      <w:numFmt w:val="decimal"/>
      <w:lvlText w:val="%1."/>
      <w:lvlJc w:val="left"/>
      <w:pPr>
        <w:ind w:left="450" w:hanging="360"/>
      </w:pPr>
      <w:rPr>
        <w:rFonts w:ascii="Verdana" w:hAnsi="Verdana" w:hint="default"/>
        <w:b w:val="0"/>
        <w:i w:val="0"/>
        <w:strike w:val="0"/>
        <w:dstrike w:val="0"/>
        <w:color w:val="auto"/>
        <w:sz w:val="20"/>
        <w:szCs w:val="20"/>
      </w:rPr>
    </w:lvl>
    <w:lvl w:ilvl="1" w:tplc="764A727C">
      <w:start w:val="1"/>
      <w:numFmt w:val="lowerLetter"/>
      <w:lvlText w:val="%2)"/>
      <w:lvlJc w:val="left"/>
      <w:pPr>
        <w:ind w:left="1170" w:hanging="360"/>
      </w:pPr>
      <w:rPr>
        <w:rFonts w:ascii="Verdana" w:eastAsia="Calibri" w:hAnsi="Verdana" w:cs="Calibri"/>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2" w15:restartNumberingAfterBreak="0">
    <w:nsid w:val="7CE64D32"/>
    <w:multiLevelType w:val="hybridMultilevel"/>
    <w:tmpl w:val="F84AD750"/>
    <w:lvl w:ilvl="0" w:tplc="93EAE40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MX"/>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8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MS Gothic"/>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Gothic"/>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Gothic"/>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Gothic"/>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Gothic"/>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Gothic"/>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Gothic"/>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Gothic"/>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Gothic"/>
        <w:color w:val="000000"/>
        <w:position w:val="0"/>
        <w:sz w:val="22"/>
        <w:szCs w:val="22"/>
        <w:u w:color="000000"/>
        <w:lang w:val="es-ES_tradnl"/>
      </w:rPr>
    </w:lvl>
  </w:abstractNum>
  <w:abstractNum w:abstractNumId="8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MS Gothic"/>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Gothic"/>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Gothic"/>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Gothic"/>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Gothic"/>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Gothic"/>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Gothic"/>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Gothic"/>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Gothic"/>
        <w:b/>
        <w:bCs/>
        <w:color w:val="000000"/>
        <w:position w:val="0"/>
        <w:sz w:val="22"/>
        <w:szCs w:val="22"/>
        <w:u w:val="single" w:color="000000"/>
        <w:lang w:val="es-ES_tradnl"/>
      </w:rPr>
    </w:lvl>
  </w:abstractNum>
  <w:num w:numId="1">
    <w:abstractNumId w:val="1"/>
  </w:num>
  <w:num w:numId="2">
    <w:abstractNumId w:val="82"/>
  </w:num>
  <w:num w:numId="3">
    <w:abstractNumId w:val="8"/>
  </w:num>
  <w:num w:numId="4">
    <w:abstractNumId w:val="9"/>
  </w:num>
  <w:num w:numId="5">
    <w:abstractNumId w:val="76"/>
  </w:num>
  <w:num w:numId="6">
    <w:abstractNumId w:val="28"/>
  </w:num>
  <w:num w:numId="7">
    <w:abstractNumId w:val="67"/>
  </w:num>
  <w:num w:numId="8">
    <w:abstractNumId w:val="34"/>
  </w:num>
  <w:num w:numId="9">
    <w:abstractNumId w:val="11"/>
  </w:num>
  <w:num w:numId="10">
    <w:abstractNumId w:val="24"/>
  </w:num>
  <w:num w:numId="11">
    <w:abstractNumId w:val="60"/>
  </w:num>
  <w:num w:numId="12">
    <w:abstractNumId w:val="3"/>
  </w:num>
  <w:num w:numId="13">
    <w:abstractNumId w:val="51"/>
  </w:num>
  <w:num w:numId="14">
    <w:abstractNumId w:val="53"/>
  </w:num>
  <w:num w:numId="15">
    <w:abstractNumId w:val="63"/>
  </w:num>
  <w:num w:numId="16">
    <w:abstractNumId w:val="5"/>
  </w:num>
  <w:num w:numId="17">
    <w:abstractNumId w:val="6"/>
  </w:num>
  <w:num w:numId="18">
    <w:abstractNumId w:val="12"/>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30"/>
  </w:num>
  <w:num w:numId="30">
    <w:abstractNumId w:val="31"/>
  </w:num>
  <w:num w:numId="31">
    <w:abstractNumId w:val="32"/>
  </w:num>
  <w:num w:numId="32">
    <w:abstractNumId w:val="33"/>
  </w:num>
  <w:num w:numId="33">
    <w:abstractNumId w:val="35"/>
  </w:num>
  <w:num w:numId="34">
    <w:abstractNumId w:val="38"/>
  </w:num>
  <w:num w:numId="35">
    <w:abstractNumId w:val="40"/>
  </w:num>
  <w:num w:numId="36">
    <w:abstractNumId w:val="41"/>
  </w:num>
  <w:num w:numId="37">
    <w:abstractNumId w:val="42"/>
  </w:num>
  <w:num w:numId="38">
    <w:abstractNumId w:val="45"/>
  </w:num>
  <w:num w:numId="39">
    <w:abstractNumId w:val="47"/>
  </w:num>
  <w:num w:numId="40">
    <w:abstractNumId w:val="49"/>
  </w:num>
  <w:num w:numId="41">
    <w:abstractNumId w:val="55"/>
  </w:num>
  <w:num w:numId="42">
    <w:abstractNumId w:val="56"/>
  </w:num>
  <w:num w:numId="43">
    <w:abstractNumId w:val="65"/>
  </w:num>
  <w:num w:numId="44">
    <w:abstractNumId w:val="68"/>
  </w:num>
  <w:num w:numId="45">
    <w:abstractNumId w:val="69"/>
  </w:num>
  <w:num w:numId="46">
    <w:abstractNumId w:val="72"/>
  </w:num>
  <w:num w:numId="47">
    <w:abstractNumId w:val="75"/>
  </w:num>
  <w:num w:numId="48">
    <w:abstractNumId w:val="78"/>
  </w:num>
  <w:num w:numId="49">
    <w:abstractNumId w:val="79"/>
  </w:num>
  <w:num w:numId="50">
    <w:abstractNumId w:val="81"/>
  </w:num>
  <w:num w:numId="51">
    <w:abstractNumId w:val="83"/>
  </w:num>
  <w:num w:numId="52">
    <w:abstractNumId w:val="84"/>
  </w:num>
  <w:num w:numId="53">
    <w:abstractNumId w:val="27"/>
  </w:num>
  <w:num w:numId="54">
    <w:abstractNumId w:val="57"/>
  </w:num>
  <w:num w:numId="55">
    <w:abstractNumId w:val="64"/>
  </w:num>
  <w:num w:numId="56">
    <w:abstractNumId w:val="70"/>
  </w:num>
  <w:num w:numId="57">
    <w:abstractNumId w:val="2"/>
  </w:num>
  <w:num w:numId="58">
    <w:abstractNumId w:val="36"/>
  </w:num>
  <w:num w:numId="59">
    <w:abstractNumId w:val="50"/>
  </w:num>
  <w:num w:numId="60">
    <w:abstractNumId w:val="48"/>
  </w:num>
  <w:num w:numId="61">
    <w:abstractNumId w:val="43"/>
  </w:num>
  <w:num w:numId="62">
    <w:abstractNumId w:val="23"/>
  </w:num>
  <w:num w:numId="63">
    <w:abstractNumId w:val="43"/>
    <w:lvlOverride w:ilvl="0">
      <w:startOverride w:val="1"/>
    </w:lvlOverride>
  </w:num>
  <w:num w:numId="64">
    <w:abstractNumId w:val="10"/>
  </w:num>
  <w:num w:numId="65">
    <w:abstractNumId w:val="20"/>
  </w:num>
  <w:num w:numId="66">
    <w:abstractNumId w:val="44"/>
  </w:num>
  <w:num w:numId="67">
    <w:abstractNumId w:val="0"/>
  </w:num>
  <w:num w:numId="68">
    <w:abstractNumId w:val="73"/>
  </w:num>
  <w:num w:numId="69">
    <w:abstractNumId w:val="59"/>
  </w:num>
  <w:num w:numId="70">
    <w:abstractNumId w:val="66"/>
  </w:num>
  <w:num w:numId="71">
    <w:abstractNumId w:val="37"/>
  </w:num>
  <w:num w:numId="72">
    <w:abstractNumId w:val="58"/>
  </w:num>
  <w:num w:numId="73">
    <w:abstractNumId w:val="13"/>
  </w:num>
  <w:num w:numId="74">
    <w:abstractNumId w:val="61"/>
  </w:num>
  <w:num w:numId="75">
    <w:abstractNumId w:val="80"/>
  </w:num>
  <w:num w:numId="76">
    <w:abstractNumId w:val="74"/>
  </w:num>
  <w:num w:numId="77">
    <w:abstractNumId w:val="29"/>
  </w:num>
  <w:num w:numId="78">
    <w:abstractNumId w:val="2"/>
  </w:num>
  <w:num w:numId="79">
    <w:abstractNumId w:val="70"/>
  </w:num>
  <w:num w:numId="80">
    <w:abstractNumId w:val="1"/>
  </w:num>
  <w:num w:numId="81">
    <w:abstractNumId w:val="71"/>
  </w:num>
  <w:num w:numId="82">
    <w:abstractNumId w:val="54"/>
  </w:num>
  <w:num w:numId="83">
    <w:abstractNumId w:val="39"/>
  </w:num>
  <w:num w:numId="84">
    <w:abstractNumId w:val="70"/>
  </w:num>
  <w:num w:numId="85">
    <w:abstractNumId w:val="4"/>
  </w:num>
  <w:num w:numId="86">
    <w:abstractNumId w:val="62"/>
  </w:num>
  <w:num w:numId="87">
    <w:abstractNumId w:val="70"/>
  </w:num>
  <w:num w:numId="88">
    <w:abstractNumId w:val="70"/>
  </w:num>
  <w:num w:numId="89">
    <w:abstractNumId w:val="70"/>
  </w:num>
  <w:num w:numId="90">
    <w:abstractNumId w:val="52"/>
  </w:num>
  <w:num w:numId="91">
    <w:abstractNumId w:val="70"/>
  </w:num>
  <w:num w:numId="92">
    <w:abstractNumId w:val="70"/>
  </w:num>
  <w:num w:numId="93">
    <w:abstractNumId w:val="70"/>
  </w:num>
  <w:num w:numId="94">
    <w:abstractNumId w:val="70"/>
  </w:num>
  <w:num w:numId="95">
    <w:abstractNumId w:val="70"/>
  </w:num>
  <w:num w:numId="96">
    <w:abstractNumId w:val="70"/>
  </w:num>
  <w:num w:numId="97">
    <w:abstractNumId w:val="70"/>
  </w:num>
  <w:num w:numId="98">
    <w:abstractNumId w:val="70"/>
  </w:num>
  <w:num w:numId="99">
    <w:abstractNumId w:val="70"/>
  </w:num>
  <w:num w:numId="100">
    <w:abstractNumId w:val="70"/>
  </w:num>
  <w:num w:numId="101">
    <w:abstractNumId w:val="70"/>
  </w:num>
  <w:num w:numId="102">
    <w:abstractNumId w:val="7"/>
  </w:num>
  <w:num w:numId="103">
    <w:abstractNumId w:val="46"/>
  </w:num>
  <w:num w:numId="104">
    <w:abstractNumId w:val="1"/>
  </w:num>
  <w:num w:numId="10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476"/>
    <w:rsid w:val="000012BB"/>
    <w:rsid w:val="00002183"/>
    <w:rsid w:val="0000234E"/>
    <w:rsid w:val="00002748"/>
    <w:rsid w:val="00002D85"/>
    <w:rsid w:val="00003158"/>
    <w:rsid w:val="00003174"/>
    <w:rsid w:val="000033E3"/>
    <w:rsid w:val="00005F25"/>
    <w:rsid w:val="0000666D"/>
    <w:rsid w:val="000072FD"/>
    <w:rsid w:val="000102CF"/>
    <w:rsid w:val="00010E37"/>
    <w:rsid w:val="000112E8"/>
    <w:rsid w:val="0001164E"/>
    <w:rsid w:val="000117B2"/>
    <w:rsid w:val="00012673"/>
    <w:rsid w:val="000128BC"/>
    <w:rsid w:val="00012A25"/>
    <w:rsid w:val="0001346E"/>
    <w:rsid w:val="0001401F"/>
    <w:rsid w:val="00016F96"/>
    <w:rsid w:val="0001714C"/>
    <w:rsid w:val="00017494"/>
    <w:rsid w:val="00020757"/>
    <w:rsid w:val="00021598"/>
    <w:rsid w:val="00021A5B"/>
    <w:rsid w:val="0002204C"/>
    <w:rsid w:val="00023B48"/>
    <w:rsid w:val="00024004"/>
    <w:rsid w:val="00024CDB"/>
    <w:rsid w:val="000250A5"/>
    <w:rsid w:val="000250E5"/>
    <w:rsid w:val="00025DC9"/>
    <w:rsid w:val="00026080"/>
    <w:rsid w:val="00026815"/>
    <w:rsid w:val="00027036"/>
    <w:rsid w:val="00031449"/>
    <w:rsid w:val="00032B51"/>
    <w:rsid w:val="000334D3"/>
    <w:rsid w:val="00033EBD"/>
    <w:rsid w:val="00034062"/>
    <w:rsid w:val="00034440"/>
    <w:rsid w:val="000349B1"/>
    <w:rsid w:val="000358AB"/>
    <w:rsid w:val="0003655A"/>
    <w:rsid w:val="000366C2"/>
    <w:rsid w:val="000367A2"/>
    <w:rsid w:val="0004022E"/>
    <w:rsid w:val="0004123B"/>
    <w:rsid w:val="00041912"/>
    <w:rsid w:val="00042C42"/>
    <w:rsid w:val="00042E67"/>
    <w:rsid w:val="00043DB8"/>
    <w:rsid w:val="00043FFE"/>
    <w:rsid w:val="0004410B"/>
    <w:rsid w:val="0004450F"/>
    <w:rsid w:val="00045670"/>
    <w:rsid w:val="00045ECD"/>
    <w:rsid w:val="00046250"/>
    <w:rsid w:val="000465CE"/>
    <w:rsid w:val="00046817"/>
    <w:rsid w:val="0005007F"/>
    <w:rsid w:val="000509CF"/>
    <w:rsid w:val="00051E2D"/>
    <w:rsid w:val="000525BA"/>
    <w:rsid w:val="00053B47"/>
    <w:rsid w:val="0005479D"/>
    <w:rsid w:val="00054ABD"/>
    <w:rsid w:val="00054F12"/>
    <w:rsid w:val="000556B3"/>
    <w:rsid w:val="000579FD"/>
    <w:rsid w:val="00060564"/>
    <w:rsid w:val="0006154D"/>
    <w:rsid w:val="0006172A"/>
    <w:rsid w:val="00061BAD"/>
    <w:rsid w:val="00062CF1"/>
    <w:rsid w:val="0006335B"/>
    <w:rsid w:val="00063FE2"/>
    <w:rsid w:val="000656C2"/>
    <w:rsid w:val="00065BF1"/>
    <w:rsid w:val="00065EBC"/>
    <w:rsid w:val="000676DF"/>
    <w:rsid w:val="00070803"/>
    <w:rsid w:val="00070EA9"/>
    <w:rsid w:val="00071973"/>
    <w:rsid w:val="00071A23"/>
    <w:rsid w:val="00071AB2"/>
    <w:rsid w:val="00071D23"/>
    <w:rsid w:val="00072186"/>
    <w:rsid w:val="0007295F"/>
    <w:rsid w:val="000733BD"/>
    <w:rsid w:val="000739C2"/>
    <w:rsid w:val="000751F9"/>
    <w:rsid w:val="000752C3"/>
    <w:rsid w:val="00076234"/>
    <w:rsid w:val="0007702F"/>
    <w:rsid w:val="000811FF"/>
    <w:rsid w:val="00081295"/>
    <w:rsid w:val="00083617"/>
    <w:rsid w:val="0008419E"/>
    <w:rsid w:val="00084771"/>
    <w:rsid w:val="000869C8"/>
    <w:rsid w:val="00092076"/>
    <w:rsid w:val="00093CEE"/>
    <w:rsid w:val="0009400F"/>
    <w:rsid w:val="000951F9"/>
    <w:rsid w:val="00095CBF"/>
    <w:rsid w:val="00097E8D"/>
    <w:rsid w:val="000A08B7"/>
    <w:rsid w:val="000A104A"/>
    <w:rsid w:val="000A221F"/>
    <w:rsid w:val="000A46AD"/>
    <w:rsid w:val="000A47D5"/>
    <w:rsid w:val="000A4A2C"/>
    <w:rsid w:val="000A6DEB"/>
    <w:rsid w:val="000A6EAF"/>
    <w:rsid w:val="000B1053"/>
    <w:rsid w:val="000B195A"/>
    <w:rsid w:val="000B1CA6"/>
    <w:rsid w:val="000B2326"/>
    <w:rsid w:val="000B39E7"/>
    <w:rsid w:val="000B3F5A"/>
    <w:rsid w:val="000B50F9"/>
    <w:rsid w:val="000B535B"/>
    <w:rsid w:val="000B6076"/>
    <w:rsid w:val="000B7EAA"/>
    <w:rsid w:val="000C03A9"/>
    <w:rsid w:val="000C1C19"/>
    <w:rsid w:val="000C2C44"/>
    <w:rsid w:val="000C33F8"/>
    <w:rsid w:val="000C364E"/>
    <w:rsid w:val="000C43CC"/>
    <w:rsid w:val="000C4FA8"/>
    <w:rsid w:val="000C60C8"/>
    <w:rsid w:val="000C6192"/>
    <w:rsid w:val="000C6A31"/>
    <w:rsid w:val="000C7DF1"/>
    <w:rsid w:val="000D0558"/>
    <w:rsid w:val="000D3662"/>
    <w:rsid w:val="000D38FF"/>
    <w:rsid w:val="000D41D3"/>
    <w:rsid w:val="000D4757"/>
    <w:rsid w:val="000D63D1"/>
    <w:rsid w:val="000D6799"/>
    <w:rsid w:val="000D6ADA"/>
    <w:rsid w:val="000E1024"/>
    <w:rsid w:val="000E303A"/>
    <w:rsid w:val="000E347E"/>
    <w:rsid w:val="000E36B5"/>
    <w:rsid w:val="000E6330"/>
    <w:rsid w:val="000E635E"/>
    <w:rsid w:val="000E6866"/>
    <w:rsid w:val="000E7981"/>
    <w:rsid w:val="000F0457"/>
    <w:rsid w:val="000F17E8"/>
    <w:rsid w:val="000F3293"/>
    <w:rsid w:val="000F5AC9"/>
    <w:rsid w:val="000F5C02"/>
    <w:rsid w:val="000F67FA"/>
    <w:rsid w:val="000F6FEC"/>
    <w:rsid w:val="001025F2"/>
    <w:rsid w:val="00103C0B"/>
    <w:rsid w:val="001040B0"/>
    <w:rsid w:val="0010562C"/>
    <w:rsid w:val="0010747E"/>
    <w:rsid w:val="00107D38"/>
    <w:rsid w:val="00110C30"/>
    <w:rsid w:val="00110E15"/>
    <w:rsid w:val="0011130C"/>
    <w:rsid w:val="00111A9F"/>
    <w:rsid w:val="00111D75"/>
    <w:rsid w:val="001122FC"/>
    <w:rsid w:val="00112672"/>
    <w:rsid w:val="0011470F"/>
    <w:rsid w:val="001158F9"/>
    <w:rsid w:val="001166B4"/>
    <w:rsid w:val="00117048"/>
    <w:rsid w:val="001202B9"/>
    <w:rsid w:val="00120E81"/>
    <w:rsid w:val="001219C5"/>
    <w:rsid w:val="001224D4"/>
    <w:rsid w:val="00126A7A"/>
    <w:rsid w:val="00127EA7"/>
    <w:rsid w:val="001302C8"/>
    <w:rsid w:val="001304E8"/>
    <w:rsid w:val="00130A00"/>
    <w:rsid w:val="00131E5A"/>
    <w:rsid w:val="00132FAE"/>
    <w:rsid w:val="00133116"/>
    <w:rsid w:val="00133667"/>
    <w:rsid w:val="00133845"/>
    <w:rsid w:val="001347F4"/>
    <w:rsid w:val="001356BF"/>
    <w:rsid w:val="00136478"/>
    <w:rsid w:val="00136C8D"/>
    <w:rsid w:val="001372F6"/>
    <w:rsid w:val="001373B4"/>
    <w:rsid w:val="001400F4"/>
    <w:rsid w:val="00141BB3"/>
    <w:rsid w:val="00141DDB"/>
    <w:rsid w:val="00142E35"/>
    <w:rsid w:val="00143520"/>
    <w:rsid w:val="00143E23"/>
    <w:rsid w:val="001468CA"/>
    <w:rsid w:val="00147D98"/>
    <w:rsid w:val="00150CF9"/>
    <w:rsid w:val="0015172A"/>
    <w:rsid w:val="001517B0"/>
    <w:rsid w:val="001538DA"/>
    <w:rsid w:val="0015421B"/>
    <w:rsid w:val="00154FC7"/>
    <w:rsid w:val="00155840"/>
    <w:rsid w:val="00161097"/>
    <w:rsid w:val="00161708"/>
    <w:rsid w:val="00161D5C"/>
    <w:rsid w:val="001658EB"/>
    <w:rsid w:val="00165CB0"/>
    <w:rsid w:val="00166620"/>
    <w:rsid w:val="00167B58"/>
    <w:rsid w:val="00167C36"/>
    <w:rsid w:val="00171AB8"/>
    <w:rsid w:val="00172605"/>
    <w:rsid w:val="00173476"/>
    <w:rsid w:val="0017475E"/>
    <w:rsid w:val="00174D11"/>
    <w:rsid w:val="00175C29"/>
    <w:rsid w:val="00175EBC"/>
    <w:rsid w:val="00176912"/>
    <w:rsid w:val="00176B05"/>
    <w:rsid w:val="00177F34"/>
    <w:rsid w:val="00177FAB"/>
    <w:rsid w:val="00182F20"/>
    <w:rsid w:val="00184E01"/>
    <w:rsid w:val="00190992"/>
    <w:rsid w:val="001909D3"/>
    <w:rsid w:val="001927C0"/>
    <w:rsid w:val="00192C84"/>
    <w:rsid w:val="00193144"/>
    <w:rsid w:val="00193562"/>
    <w:rsid w:val="00193EB0"/>
    <w:rsid w:val="00194285"/>
    <w:rsid w:val="001945E2"/>
    <w:rsid w:val="00195531"/>
    <w:rsid w:val="00196043"/>
    <w:rsid w:val="001961AC"/>
    <w:rsid w:val="001972AA"/>
    <w:rsid w:val="001A0AEB"/>
    <w:rsid w:val="001A0F9D"/>
    <w:rsid w:val="001A2FB3"/>
    <w:rsid w:val="001A4950"/>
    <w:rsid w:val="001A592C"/>
    <w:rsid w:val="001A74F8"/>
    <w:rsid w:val="001B07CC"/>
    <w:rsid w:val="001B1080"/>
    <w:rsid w:val="001B2DB8"/>
    <w:rsid w:val="001B30AB"/>
    <w:rsid w:val="001B316C"/>
    <w:rsid w:val="001B402B"/>
    <w:rsid w:val="001B4600"/>
    <w:rsid w:val="001B46E3"/>
    <w:rsid w:val="001B5D02"/>
    <w:rsid w:val="001B604A"/>
    <w:rsid w:val="001B6343"/>
    <w:rsid w:val="001C02FA"/>
    <w:rsid w:val="001C160F"/>
    <w:rsid w:val="001C1A87"/>
    <w:rsid w:val="001C1FB9"/>
    <w:rsid w:val="001C4175"/>
    <w:rsid w:val="001C57D9"/>
    <w:rsid w:val="001C5F57"/>
    <w:rsid w:val="001D0751"/>
    <w:rsid w:val="001D0EB8"/>
    <w:rsid w:val="001D2064"/>
    <w:rsid w:val="001D3D6C"/>
    <w:rsid w:val="001D55C9"/>
    <w:rsid w:val="001E003B"/>
    <w:rsid w:val="001E07AD"/>
    <w:rsid w:val="001E26D4"/>
    <w:rsid w:val="001E3736"/>
    <w:rsid w:val="001E4804"/>
    <w:rsid w:val="001E7920"/>
    <w:rsid w:val="001F0B30"/>
    <w:rsid w:val="001F13CB"/>
    <w:rsid w:val="001F2495"/>
    <w:rsid w:val="001F2AE6"/>
    <w:rsid w:val="001F3254"/>
    <w:rsid w:val="001F399B"/>
    <w:rsid w:val="001F4C47"/>
    <w:rsid w:val="001F5333"/>
    <w:rsid w:val="001F6122"/>
    <w:rsid w:val="001F74B3"/>
    <w:rsid w:val="00200056"/>
    <w:rsid w:val="002010C2"/>
    <w:rsid w:val="00201FAE"/>
    <w:rsid w:val="00204332"/>
    <w:rsid w:val="00204446"/>
    <w:rsid w:val="00205176"/>
    <w:rsid w:val="00205E9E"/>
    <w:rsid w:val="00206AF4"/>
    <w:rsid w:val="0020778E"/>
    <w:rsid w:val="00210737"/>
    <w:rsid w:val="002110B3"/>
    <w:rsid w:val="00211280"/>
    <w:rsid w:val="00211DC2"/>
    <w:rsid w:val="00213CD4"/>
    <w:rsid w:val="0021420B"/>
    <w:rsid w:val="002142FD"/>
    <w:rsid w:val="002151A2"/>
    <w:rsid w:val="002157A7"/>
    <w:rsid w:val="00216F68"/>
    <w:rsid w:val="00220FDD"/>
    <w:rsid w:val="002230C8"/>
    <w:rsid w:val="00224AFB"/>
    <w:rsid w:val="00225AB2"/>
    <w:rsid w:val="002263DC"/>
    <w:rsid w:val="0022646F"/>
    <w:rsid w:val="00226524"/>
    <w:rsid w:val="00226BEC"/>
    <w:rsid w:val="00227CDA"/>
    <w:rsid w:val="00227F22"/>
    <w:rsid w:val="00230A22"/>
    <w:rsid w:val="00230AF6"/>
    <w:rsid w:val="0023111F"/>
    <w:rsid w:val="002323EB"/>
    <w:rsid w:val="00234D06"/>
    <w:rsid w:val="00234DCE"/>
    <w:rsid w:val="00235440"/>
    <w:rsid w:val="00235603"/>
    <w:rsid w:val="00237DB8"/>
    <w:rsid w:val="00240141"/>
    <w:rsid w:val="0024077E"/>
    <w:rsid w:val="00240BCC"/>
    <w:rsid w:val="00241D0A"/>
    <w:rsid w:val="0024259A"/>
    <w:rsid w:val="002425FE"/>
    <w:rsid w:val="00242B1E"/>
    <w:rsid w:val="002444CB"/>
    <w:rsid w:val="00245D7C"/>
    <w:rsid w:val="00245F50"/>
    <w:rsid w:val="00246A9E"/>
    <w:rsid w:val="00247B23"/>
    <w:rsid w:val="00251224"/>
    <w:rsid w:val="002538FB"/>
    <w:rsid w:val="00253EE4"/>
    <w:rsid w:val="00256117"/>
    <w:rsid w:val="002566E4"/>
    <w:rsid w:val="002608B6"/>
    <w:rsid w:val="00261EC5"/>
    <w:rsid w:val="00262D58"/>
    <w:rsid w:val="00266B20"/>
    <w:rsid w:val="002670B3"/>
    <w:rsid w:val="002700C2"/>
    <w:rsid w:val="00271BD2"/>
    <w:rsid w:val="00271E5F"/>
    <w:rsid w:val="0027224F"/>
    <w:rsid w:val="002733BE"/>
    <w:rsid w:val="00276439"/>
    <w:rsid w:val="002776BF"/>
    <w:rsid w:val="00277C9D"/>
    <w:rsid w:val="002803CF"/>
    <w:rsid w:val="002816C1"/>
    <w:rsid w:val="002820D4"/>
    <w:rsid w:val="0028228B"/>
    <w:rsid w:val="00282573"/>
    <w:rsid w:val="0028293E"/>
    <w:rsid w:val="0028347C"/>
    <w:rsid w:val="002837A8"/>
    <w:rsid w:val="0028483D"/>
    <w:rsid w:val="00284C65"/>
    <w:rsid w:val="0028512C"/>
    <w:rsid w:val="00285B88"/>
    <w:rsid w:val="00287735"/>
    <w:rsid w:val="002903CC"/>
    <w:rsid w:val="0029148F"/>
    <w:rsid w:val="00291C0D"/>
    <w:rsid w:val="00291C32"/>
    <w:rsid w:val="00292138"/>
    <w:rsid w:val="00292AC0"/>
    <w:rsid w:val="00293773"/>
    <w:rsid w:val="00293786"/>
    <w:rsid w:val="0029394C"/>
    <w:rsid w:val="0029410C"/>
    <w:rsid w:val="0029532F"/>
    <w:rsid w:val="002955C9"/>
    <w:rsid w:val="00296A50"/>
    <w:rsid w:val="002A0777"/>
    <w:rsid w:val="002A1A0E"/>
    <w:rsid w:val="002A37FE"/>
    <w:rsid w:val="002A3DD1"/>
    <w:rsid w:val="002A7214"/>
    <w:rsid w:val="002A72F3"/>
    <w:rsid w:val="002A7BBE"/>
    <w:rsid w:val="002B01C5"/>
    <w:rsid w:val="002B044C"/>
    <w:rsid w:val="002B0DCA"/>
    <w:rsid w:val="002B1242"/>
    <w:rsid w:val="002B1ABA"/>
    <w:rsid w:val="002B46F7"/>
    <w:rsid w:val="002B59DE"/>
    <w:rsid w:val="002B6D88"/>
    <w:rsid w:val="002B73B2"/>
    <w:rsid w:val="002B7972"/>
    <w:rsid w:val="002B7AD5"/>
    <w:rsid w:val="002C19AE"/>
    <w:rsid w:val="002C2CE8"/>
    <w:rsid w:val="002C3C5D"/>
    <w:rsid w:val="002C545A"/>
    <w:rsid w:val="002C70B8"/>
    <w:rsid w:val="002C71D9"/>
    <w:rsid w:val="002C739F"/>
    <w:rsid w:val="002C73CB"/>
    <w:rsid w:val="002D1F52"/>
    <w:rsid w:val="002D2B85"/>
    <w:rsid w:val="002D3342"/>
    <w:rsid w:val="002D44CC"/>
    <w:rsid w:val="002D4695"/>
    <w:rsid w:val="002D59B5"/>
    <w:rsid w:val="002D6B3B"/>
    <w:rsid w:val="002D7BC1"/>
    <w:rsid w:val="002E0795"/>
    <w:rsid w:val="002E0EBA"/>
    <w:rsid w:val="002E11B8"/>
    <w:rsid w:val="002E15D4"/>
    <w:rsid w:val="002E2AB2"/>
    <w:rsid w:val="002E3625"/>
    <w:rsid w:val="002E4F6D"/>
    <w:rsid w:val="002E5F94"/>
    <w:rsid w:val="002E78C5"/>
    <w:rsid w:val="002F0060"/>
    <w:rsid w:val="002F16DE"/>
    <w:rsid w:val="002F6490"/>
    <w:rsid w:val="002F65A6"/>
    <w:rsid w:val="003004BD"/>
    <w:rsid w:val="00302DD8"/>
    <w:rsid w:val="00302DF4"/>
    <w:rsid w:val="00303F06"/>
    <w:rsid w:val="00304130"/>
    <w:rsid w:val="003068C8"/>
    <w:rsid w:val="00307164"/>
    <w:rsid w:val="00307C75"/>
    <w:rsid w:val="003119D4"/>
    <w:rsid w:val="00312FD4"/>
    <w:rsid w:val="00313F61"/>
    <w:rsid w:val="003160DC"/>
    <w:rsid w:val="003178D8"/>
    <w:rsid w:val="00317B9E"/>
    <w:rsid w:val="00320722"/>
    <w:rsid w:val="003209E3"/>
    <w:rsid w:val="00322982"/>
    <w:rsid w:val="003240A6"/>
    <w:rsid w:val="00324717"/>
    <w:rsid w:val="00324993"/>
    <w:rsid w:val="00324A96"/>
    <w:rsid w:val="00324CBC"/>
    <w:rsid w:val="003252A2"/>
    <w:rsid w:val="00325B66"/>
    <w:rsid w:val="00326F39"/>
    <w:rsid w:val="00326FFD"/>
    <w:rsid w:val="00330116"/>
    <w:rsid w:val="00330403"/>
    <w:rsid w:val="003307B7"/>
    <w:rsid w:val="0033146E"/>
    <w:rsid w:val="003318A4"/>
    <w:rsid w:val="003322A9"/>
    <w:rsid w:val="003329E2"/>
    <w:rsid w:val="00332C08"/>
    <w:rsid w:val="00333406"/>
    <w:rsid w:val="003335B5"/>
    <w:rsid w:val="003343F7"/>
    <w:rsid w:val="0033571A"/>
    <w:rsid w:val="003364C8"/>
    <w:rsid w:val="00337646"/>
    <w:rsid w:val="00340931"/>
    <w:rsid w:val="003409FB"/>
    <w:rsid w:val="00340A8C"/>
    <w:rsid w:val="003417E1"/>
    <w:rsid w:val="00342018"/>
    <w:rsid w:val="0034413C"/>
    <w:rsid w:val="00345F17"/>
    <w:rsid w:val="00350CD3"/>
    <w:rsid w:val="00351585"/>
    <w:rsid w:val="00352CDC"/>
    <w:rsid w:val="003539B4"/>
    <w:rsid w:val="00353A5E"/>
    <w:rsid w:val="00353D60"/>
    <w:rsid w:val="00354C86"/>
    <w:rsid w:val="00354D55"/>
    <w:rsid w:val="00356020"/>
    <w:rsid w:val="00357084"/>
    <w:rsid w:val="003600C8"/>
    <w:rsid w:val="0036072C"/>
    <w:rsid w:val="003609B3"/>
    <w:rsid w:val="00360EA3"/>
    <w:rsid w:val="003619CE"/>
    <w:rsid w:val="003628B5"/>
    <w:rsid w:val="00362C5D"/>
    <w:rsid w:val="003630F5"/>
    <w:rsid w:val="00364EE4"/>
    <w:rsid w:val="003652D8"/>
    <w:rsid w:val="00370585"/>
    <w:rsid w:val="003719B7"/>
    <w:rsid w:val="003723E9"/>
    <w:rsid w:val="00372F71"/>
    <w:rsid w:val="00373389"/>
    <w:rsid w:val="00373941"/>
    <w:rsid w:val="00374182"/>
    <w:rsid w:val="00376578"/>
    <w:rsid w:val="0037679F"/>
    <w:rsid w:val="003768B2"/>
    <w:rsid w:val="00382B33"/>
    <w:rsid w:val="00383BF2"/>
    <w:rsid w:val="00383C29"/>
    <w:rsid w:val="0038496D"/>
    <w:rsid w:val="003862D8"/>
    <w:rsid w:val="00390806"/>
    <w:rsid w:val="00390EB6"/>
    <w:rsid w:val="00391AC8"/>
    <w:rsid w:val="00391BB6"/>
    <w:rsid w:val="00393684"/>
    <w:rsid w:val="003936B0"/>
    <w:rsid w:val="00397B43"/>
    <w:rsid w:val="00397C8D"/>
    <w:rsid w:val="003A07BB"/>
    <w:rsid w:val="003A2F05"/>
    <w:rsid w:val="003A2F06"/>
    <w:rsid w:val="003A3199"/>
    <w:rsid w:val="003A42BD"/>
    <w:rsid w:val="003A6D0B"/>
    <w:rsid w:val="003A6F30"/>
    <w:rsid w:val="003A70D8"/>
    <w:rsid w:val="003A752F"/>
    <w:rsid w:val="003A7CD2"/>
    <w:rsid w:val="003A7CF5"/>
    <w:rsid w:val="003A7FE9"/>
    <w:rsid w:val="003B0C1B"/>
    <w:rsid w:val="003B4958"/>
    <w:rsid w:val="003B4E4D"/>
    <w:rsid w:val="003B69F0"/>
    <w:rsid w:val="003C0EC6"/>
    <w:rsid w:val="003C3DAC"/>
    <w:rsid w:val="003C4AC7"/>
    <w:rsid w:val="003C58F2"/>
    <w:rsid w:val="003C61D1"/>
    <w:rsid w:val="003C644F"/>
    <w:rsid w:val="003C6AFE"/>
    <w:rsid w:val="003C71E6"/>
    <w:rsid w:val="003C7399"/>
    <w:rsid w:val="003D1952"/>
    <w:rsid w:val="003D2F09"/>
    <w:rsid w:val="003D426F"/>
    <w:rsid w:val="003D4306"/>
    <w:rsid w:val="003D4A9B"/>
    <w:rsid w:val="003D5044"/>
    <w:rsid w:val="003D5C1B"/>
    <w:rsid w:val="003D5D19"/>
    <w:rsid w:val="003D5E07"/>
    <w:rsid w:val="003D67E7"/>
    <w:rsid w:val="003D7AB3"/>
    <w:rsid w:val="003E0D10"/>
    <w:rsid w:val="003E2542"/>
    <w:rsid w:val="003E30CE"/>
    <w:rsid w:val="003E4C67"/>
    <w:rsid w:val="003E5690"/>
    <w:rsid w:val="003E5BF6"/>
    <w:rsid w:val="003E6932"/>
    <w:rsid w:val="003E7562"/>
    <w:rsid w:val="003E7624"/>
    <w:rsid w:val="003F030C"/>
    <w:rsid w:val="003F0E52"/>
    <w:rsid w:val="003F1921"/>
    <w:rsid w:val="003F26C8"/>
    <w:rsid w:val="003F3B44"/>
    <w:rsid w:val="003F3D9C"/>
    <w:rsid w:val="003F46C4"/>
    <w:rsid w:val="003F46FF"/>
    <w:rsid w:val="003F4945"/>
    <w:rsid w:val="003F5158"/>
    <w:rsid w:val="003F5B27"/>
    <w:rsid w:val="003F696C"/>
    <w:rsid w:val="003F748B"/>
    <w:rsid w:val="004020EF"/>
    <w:rsid w:val="004031B8"/>
    <w:rsid w:val="0040395B"/>
    <w:rsid w:val="004061E0"/>
    <w:rsid w:val="00407921"/>
    <w:rsid w:val="00407A7C"/>
    <w:rsid w:val="004128E3"/>
    <w:rsid w:val="00412E85"/>
    <w:rsid w:val="00414336"/>
    <w:rsid w:val="00417A1B"/>
    <w:rsid w:val="00417FBE"/>
    <w:rsid w:val="0042001E"/>
    <w:rsid w:val="0042026E"/>
    <w:rsid w:val="00420B01"/>
    <w:rsid w:val="0042179E"/>
    <w:rsid w:val="00421FC8"/>
    <w:rsid w:val="0042308D"/>
    <w:rsid w:val="00424C16"/>
    <w:rsid w:val="0042544F"/>
    <w:rsid w:val="004261B2"/>
    <w:rsid w:val="00430370"/>
    <w:rsid w:val="004308CC"/>
    <w:rsid w:val="00430CAD"/>
    <w:rsid w:val="004310EF"/>
    <w:rsid w:val="00431934"/>
    <w:rsid w:val="00431A0D"/>
    <w:rsid w:val="0043344E"/>
    <w:rsid w:val="00433973"/>
    <w:rsid w:val="00433A0F"/>
    <w:rsid w:val="004342A9"/>
    <w:rsid w:val="00435005"/>
    <w:rsid w:val="0043696C"/>
    <w:rsid w:val="0043764F"/>
    <w:rsid w:val="0043776B"/>
    <w:rsid w:val="00437936"/>
    <w:rsid w:val="00441DC6"/>
    <w:rsid w:val="00441EB5"/>
    <w:rsid w:val="00441F67"/>
    <w:rsid w:val="004423FD"/>
    <w:rsid w:val="0044275C"/>
    <w:rsid w:val="00444672"/>
    <w:rsid w:val="00444703"/>
    <w:rsid w:val="00446A9A"/>
    <w:rsid w:val="004473BC"/>
    <w:rsid w:val="004474F2"/>
    <w:rsid w:val="00454D87"/>
    <w:rsid w:val="00455915"/>
    <w:rsid w:val="004605A5"/>
    <w:rsid w:val="004607B0"/>
    <w:rsid w:val="00462376"/>
    <w:rsid w:val="00463C1E"/>
    <w:rsid w:val="0046418C"/>
    <w:rsid w:val="004647D2"/>
    <w:rsid w:val="0046483A"/>
    <w:rsid w:val="00464EC9"/>
    <w:rsid w:val="004662FD"/>
    <w:rsid w:val="00467F3C"/>
    <w:rsid w:val="00470C00"/>
    <w:rsid w:val="00470E60"/>
    <w:rsid w:val="004713E7"/>
    <w:rsid w:val="00471F6D"/>
    <w:rsid w:val="00473198"/>
    <w:rsid w:val="00473221"/>
    <w:rsid w:val="0047369D"/>
    <w:rsid w:val="004750B0"/>
    <w:rsid w:val="004755E0"/>
    <w:rsid w:val="004760B8"/>
    <w:rsid w:val="00477C7A"/>
    <w:rsid w:val="00480328"/>
    <w:rsid w:val="0048066D"/>
    <w:rsid w:val="004810D8"/>
    <w:rsid w:val="004811EE"/>
    <w:rsid w:val="00482A23"/>
    <w:rsid w:val="004830D1"/>
    <w:rsid w:val="00483E53"/>
    <w:rsid w:val="00485D11"/>
    <w:rsid w:val="00486ADE"/>
    <w:rsid w:val="00487015"/>
    <w:rsid w:val="00490F02"/>
    <w:rsid w:val="00492DE2"/>
    <w:rsid w:val="004939A8"/>
    <w:rsid w:val="00493BFB"/>
    <w:rsid w:val="00493E07"/>
    <w:rsid w:val="0049586C"/>
    <w:rsid w:val="00496055"/>
    <w:rsid w:val="004962B6"/>
    <w:rsid w:val="004977C0"/>
    <w:rsid w:val="00497B1D"/>
    <w:rsid w:val="004A0843"/>
    <w:rsid w:val="004A0BB3"/>
    <w:rsid w:val="004A0C14"/>
    <w:rsid w:val="004A0E3F"/>
    <w:rsid w:val="004A1AEE"/>
    <w:rsid w:val="004A1E64"/>
    <w:rsid w:val="004A2307"/>
    <w:rsid w:val="004A2F7B"/>
    <w:rsid w:val="004A3D90"/>
    <w:rsid w:val="004A3E5D"/>
    <w:rsid w:val="004A44EA"/>
    <w:rsid w:val="004A5B75"/>
    <w:rsid w:val="004A65EB"/>
    <w:rsid w:val="004A69CB"/>
    <w:rsid w:val="004A7524"/>
    <w:rsid w:val="004A7C7C"/>
    <w:rsid w:val="004A7F5D"/>
    <w:rsid w:val="004B0122"/>
    <w:rsid w:val="004B0288"/>
    <w:rsid w:val="004B1401"/>
    <w:rsid w:val="004B2630"/>
    <w:rsid w:val="004B4212"/>
    <w:rsid w:val="004B4BED"/>
    <w:rsid w:val="004B61FE"/>
    <w:rsid w:val="004B72D6"/>
    <w:rsid w:val="004B7AD4"/>
    <w:rsid w:val="004B7D94"/>
    <w:rsid w:val="004C0893"/>
    <w:rsid w:val="004C0CC6"/>
    <w:rsid w:val="004C2D12"/>
    <w:rsid w:val="004C30A1"/>
    <w:rsid w:val="004C3AC7"/>
    <w:rsid w:val="004C3BCB"/>
    <w:rsid w:val="004C3E5C"/>
    <w:rsid w:val="004C5A44"/>
    <w:rsid w:val="004C5BE8"/>
    <w:rsid w:val="004C6C46"/>
    <w:rsid w:val="004C7229"/>
    <w:rsid w:val="004C7C7F"/>
    <w:rsid w:val="004D0D22"/>
    <w:rsid w:val="004D0FBB"/>
    <w:rsid w:val="004D113A"/>
    <w:rsid w:val="004D159A"/>
    <w:rsid w:val="004D2428"/>
    <w:rsid w:val="004D2ED3"/>
    <w:rsid w:val="004D330F"/>
    <w:rsid w:val="004D6C93"/>
    <w:rsid w:val="004E0171"/>
    <w:rsid w:val="004E06E0"/>
    <w:rsid w:val="004E0AB4"/>
    <w:rsid w:val="004E0CE3"/>
    <w:rsid w:val="004E2951"/>
    <w:rsid w:val="004E2B8E"/>
    <w:rsid w:val="004E3C47"/>
    <w:rsid w:val="004E3E09"/>
    <w:rsid w:val="004E4A17"/>
    <w:rsid w:val="004E6C4D"/>
    <w:rsid w:val="004E7BA1"/>
    <w:rsid w:val="004F10A4"/>
    <w:rsid w:val="004F118D"/>
    <w:rsid w:val="004F216F"/>
    <w:rsid w:val="004F2322"/>
    <w:rsid w:val="004F281F"/>
    <w:rsid w:val="004F3699"/>
    <w:rsid w:val="004F47BA"/>
    <w:rsid w:val="004F5D8B"/>
    <w:rsid w:val="004F7227"/>
    <w:rsid w:val="004F74B7"/>
    <w:rsid w:val="005014A4"/>
    <w:rsid w:val="00503163"/>
    <w:rsid w:val="005060CF"/>
    <w:rsid w:val="0050798F"/>
    <w:rsid w:val="00507EB5"/>
    <w:rsid w:val="00510813"/>
    <w:rsid w:val="00511630"/>
    <w:rsid w:val="00511F32"/>
    <w:rsid w:val="00512C8A"/>
    <w:rsid w:val="00513667"/>
    <w:rsid w:val="00514ADD"/>
    <w:rsid w:val="00516732"/>
    <w:rsid w:val="00517502"/>
    <w:rsid w:val="005202AD"/>
    <w:rsid w:val="00520E9A"/>
    <w:rsid w:val="005211B4"/>
    <w:rsid w:val="005211FB"/>
    <w:rsid w:val="00521DA5"/>
    <w:rsid w:val="00521F68"/>
    <w:rsid w:val="005236C4"/>
    <w:rsid w:val="00524D95"/>
    <w:rsid w:val="00524ED6"/>
    <w:rsid w:val="00524FA1"/>
    <w:rsid w:val="00525003"/>
    <w:rsid w:val="005263B4"/>
    <w:rsid w:val="0052755D"/>
    <w:rsid w:val="005279BE"/>
    <w:rsid w:val="005309A1"/>
    <w:rsid w:val="00532298"/>
    <w:rsid w:val="00532814"/>
    <w:rsid w:val="00532C53"/>
    <w:rsid w:val="00532F1A"/>
    <w:rsid w:val="005334D9"/>
    <w:rsid w:val="005347A4"/>
    <w:rsid w:val="005378D0"/>
    <w:rsid w:val="0054079F"/>
    <w:rsid w:val="005415EB"/>
    <w:rsid w:val="005436D2"/>
    <w:rsid w:val="00544764"/>
    <w:rsid w:val="00545B3F"/>
    <w:rsid w:val="00547CB1"/>
    <w:rsid w:val="00553095"/>
    <w:rsid w:val="0055411B"/>
    <w:rsid w:val="0055583F"/>
    <w:rsid w:val="0055680F"/>
    <w:rsid w:val="00556DED"/>
    <w:rsid w:val="0055748F"/>
    <w:rsid w:val="0055767F"/>
    <w:rsid w:val="005576F3"/>
    <w:rsid w:val="0056058A"/>
    <w:rsid w:val="005608C9"/>
    <w:rsid w:val="0056199C"/>
    <w:rsid w:val="005641C1"/>
    <w:rsid w:val="00564A29"/>
    <w:rsid w:val="00564D97"/>
    <w:rsid w:val="00565123"/>
    <w:rsid w:val="00566B4F"/>
    <w:rsid w:val="00566C67"/>
    <w:rsid w:val="00566FE6"/>
    <w:rsid w:val="005712F8"/>
    <w:rsid w:val="00572697"/>
    <w:rsid w:val="00573F57"/>
    <w:rsid w:val="00573FA4"/>
    <w:rsid w:val="0057625E"/>
    <w:rsid w:val="0058023D"/>
    <w:rsid w:val="00580CFB"/>
    <w:rsid w:val="005811BF"/>
    <w:rsid w:val="005818E9"/>
    <w:rsid w:val="00582F72"/>
    <w:rsid w:val="0058396F"/>
    <w:rsid w:val="00583ECB"/>
    <w:rsid w:val="00584204"/>
    <w:rsid w:val="005849A5"/>
    <w:rsid w:val="00584BAD"/>
    <w:rsid w:val="005855EC"/>
    <w:rsid w:val="00587B27"/>
    <w:rsid w:val="005901F9"/>
    <w:rsid w:val="00591F9D"/>
    <w:rsid w:val="0059432F"/>
    <w:rsid w:val="00596E6A"/>
    <w:rsid w:val="00596F37"/>
    <w:rsid w:val="005A0176"/>
    <w:rsid w:val="005A06EF"/>
    <w:rsid w:val="005A0C8E"/>
    <w:rsid w:val="005A1476"/>
    <w:rsid w:val="005A2902"/>
    <w:rsid w:val="005A2AF5"/>
    <w:rsid w:val="005A31DC"/>
    <w:rsid w:val="005A39AF"/>
    <w:rsid w:val="005A6378"/>
    <w:rsid w:val="005B0C96"/>
    <w:rsid w:val="005B14EB"/>
    <w:rsid w:val="005B1F57"/>
    <w:rsid w:val="005B2A9B"/>
    <w:rsid w:val="005B3527"/>
    <w:rsid w:val="005B4DAF"/>
    <w:rsid w:val="005B584B"/>
    <w:rsid w:val="005B5B20"/>
    <w:rsid w:val="005B604B"/>
    <w:rsid w:val="005B6517"/>
    <w:rsid w:val="005B73BD"/>
    <w:rsid w:val="005B77D7"/>
    <w:rsid w:val="005C0EAE"/>
    <w:rsid w:val="005C0EF0"/>
    <w:rsid w:val="005C1210"/>
    <w:rsid w:val="005C2736"/>
    <w:rsid w:val="005C2A07"/>
    <w:rsid w:val="005C430C"/>
    <w:rsid w:val="005C4BBB"/>
    <w:rsid w:val="005C4F27"/>
    <w:rsid w:val="005C5984"/>
    <w:rsid w:val="005C7313"/>
    <w:rsid w:val="005C7B4F"/>
    <w:rsid w:val="005D0E58"/>
    <w:rsid w:val="005D1411"/>
    <w:rsid w:val="005D23D8"/>
    <w:rsid w:val="005D2787"/>
    <w:rsid w:val="005D2D7D"/>
    <w:rsid w:val="005D3DD1"/>
    <w:rsid w:val="005D5AD3"/>
    <w:rsid w:val="005D6C4B"/>
    <w:rsid w:val="005D6E67"/>
    <w:rsid w:val="005E09E7"/>
    <w:rsid w:val="005E1234"/>
    <w:rsid w:val="005E1660"/>
    <w:rsid w:val="005E194A"/>
    <w:rsid w:val="005E1F75"/>
    <w:rsid w:val="005E1FB2"/>
    <w:rsid w:val="005E20F3"/>
    <w:rsid w:val="005E2207"/>
    <w:rsid w:val="005E25EC"/>
    <w:rsid w:val="005E4D55"/>
    <w:rsid w:val="005E6C4F"/>
    <w:rsid w:val="005E759B"/>
    <w:rsid w:val="005F0AA1"/>
    <w:rsid w:val="005F1190"/>
    <w:rsid w:val="005F19F5"/>
    <w:rsid w:val="005F1AD5"/>
    <w:rsid w:val="005F2141"/>
    <w:rsid w:val="005F2261"/>
    <w:rsid w:val="005F2C3F"/>
    <w:rsid w:val="005F31A9"/>
    <w:rsid w:val="005F3840"/>
    <w:rsid w:val="005F407B"/>
    <w:rsid w:val="005F453F"/>
    <w:rsid w:val="005F4797"/>
    <w:rsid w:val="005F55D5"/>
    <w:rsid w:val="005F616A"/>
    <w:rsid w:val="006001FF"/>
    <w:rsid w:val="00602003"/>
    <w:rsid w:val="006027B2"/>
    <w:rsid w:val="0060321F"/>
    <w:rsid w:val="00603BEC"/>
    <w:rsid w:val="0060430F"/>
    <w:rsid w:val="00604AD9"/>
    <w:rsid w:val="00604C91"/>
    <w:rsid w:val="00607E58"/>
    <w:rsid w:val="00610631"/>
    <w:rsid w:val="006111F0"/>
    <w:rsid w:val="00613728"/>
    <w:rsid w:val="00614313"/>
    <w:rsid w:val="00617540"/>
    <w:rsid w:val="00617E52"/>
    <w:rsid w:val="00622AF2"/>
    <w:rsid w:val="006234DC"/>
    <w:rsid w:val="006252AB"/>
    <w:rsid w:val="00625875"/>
    <w:rsid w:val="006258F8"/>
    <w:rsid w:val="00625D44"/>
    <w:rsid w:val="00625D73"/>
    <w:rsid w:val="006263B4"/>
    <w:rsid w:val="006272E8"/>
    <w:rsid w:val="00627C65"/>
    <w:rsid w:val="006302E0"/>
    <w:rsid w:val="006303CF"/>
    <w:rsid w:val="006308CF"/>
    <w:rsid w:val="00634609"/>
    <w:rsid w:val="00634C87"/>
    <w:rsid w:val="00635BCC"/>
    <w:rsid w:val="00637687"/>
    <w:rsid w:val="00640EA3"/>
    <w:rsid w:val="00641144"/>
    <w:rsid w:val="00642B0D"/>
    <w:rsid w:val="00644C6B"/>
    <w:rsid w:val="0064584F"/>
    <w:rsid w:val="0064699F"/>
    <w:rsid w:val="00647D14"/>
    <w:rsid w:val="006514E8"/>
    <w:rsid w:val="00651D64"/>
    <w:rsid w:val="00651EF2"/>
    <w:rsid w:val="00652577"/>
    <w:rsid w:val="006525E1"/>
    <w:rsid w:val="00653BED"/>
    <w:rsid w:val="0065402E"/>
    <w:rsid w:val="0065645B"/>
    <w:rsid w:val="006566D7"/>
    <w:rsid w:val="00656DF8"/>
    <w:rsid w:val="00657CAF"/>
    <w:rsid w:val="0066055D"/>
    <w:rsid w:val="0066167D"/>
    <w:rsid w:val="00661FBE"/>
    <w:rsid w:val="006660E0"/>
    <w:rsid w:val="006663A8"/>
    <w:rsid w:val="00667792"/>
    <w:rsid w:val="00667F0D"/>
    <w:rsid w:val="0067122A"/>
    <w:rsid w:val="00671B70"/>
    <w:rsid w:val="00672A21"/>
    <w:rsid w:val="00672C2F"/>
    <w:rsid w:val="0067323B"/>
    <w:rsid w:val="006736B1"/>
    <w:rsid w:val="006745B5"/>
    <w:rsid w:val="00675DD4"/>
    <w:rsid w:val="00676126"/>
    <w:rsid w:val="00676B90"/>
    <w:rsid w:val="0067739B"/>
    <w:rsid w:val="00677707"/>
    <w:rsid w:val="00680576"/>
    <w:rsid w:val="0068079C"/>
    <w:rsid w:val="00680BDE"/>
    <w:rsid w:val="00680FD3"/>
    <w:rsid w:val="006815B5"/>
    <w:rsid w:val="00681CB6"/>
    <w:rsid w:val="00682EC6"/>
    <w:rsid w:val="006836D4"/>
    <w:rsid w:val="00684598"/>
    <w:rsid w:val="006847C5"/>
    <w:rsid w:val="006856A7"/>
    <w:rsid w:val="006856D6"/>
    <w:rsid w:val="00686E6C"/>
    <w:rsid w:val="00686F07"/>
    <w:rsid w:val="006873E3"/>
    <w:rsid w:val="00690710"/>
    <w:rsid w:val="006916E3"/>
    <w:rsid w:val="006925C3"/>
    <w:rsid w:val="00693252"/>
    <w:rsid w:val="00694DE2"/>
    <w:rsid w:val="00695487"/>
    <w:rsid w:val="006958C4"/>
    <w:rsid w:val="006971C1"/>
    <w:rsid w:val="006A04B7"/>
    <w:rsid w:val="006A119B"/>
    <w:rsid w:val="006A2628"/>
    <w:rsid w:val="006A2907"/>
    <w:rsid w:val="006A39C1"/>
    <w:rsid w:val="006A5A6F"/>
    <w:rsid w:val="006A6F6D"/>
    <w:rsid w:val="006A7A31"/>
    <w:rsid w:val="006B039E"/>
    <w:rsid w:val="006B0D74"/>
    <w:rsid w:val="006B0E33"/>
    <w:rsid w:val="006B1AA2"/>
    <w:rsid w:val="006B36AC"/>
    <w:rsid w:val="006B389E"/>
    <w:rsid w:val="006B455E"/>
    <w:rsid w:val="006B5204"/>
    <w:rsid w:val="006B7116"/>
    <w:rsid w:val="006B7A1D"/>
    <w:rsid w:val="006C1319"/>
    <w:rsid w:val="006C1E7F"/>
    <w:rsid w:val="006C26CB"/>
    <w:rsid w:val="006C5366"/>
    <w:rsid w:val="006D24D0"/>
    <w:rsid w:val="006D6543"/>
    <w:rsid w:val="006D65B1"/>
    <w:rsid w:val="006D6DF9"/>
    <w:rsid w:val="006E0CA3"/>
    <w:rsid w:val="006E4BF4"/>
    <w:rsid w:val="006E4F77"/>
    <w:rsid w:val="006E6478"/>
    <w:rsid w:val="006E77DE"/>
    <w:rsid w:val="006E7F80"/>
    <w:rsid w:val="006F0E55"/>
    <w:rsid w:val="006F1736"/>
    <w:rsid w:val="006F2726"/>
    <w:rsid w:val="006F2E30"/>
    <w:rsid w:val="006F5BB3"/>
    <w:rsid w:val="006F5BC7"/>
    <w:rsid w:val="006F68E6"/>
    <w:rsid w:val="007007E5"/>
    <w:rsid w:val="0070269F"/>
    <w:rsid w:val="00702A08"/>
    <w:rsid w:val="00702A0F"/>
    <w:rsid w:val="00702D63"/>
    <w:rsid w:val="00703949"/>
    <w:rsid w:val="007054C3"/>
    <w:rsid w:val="00707989"/>
    <w:rsid w:val="00711303"/>
    <w:rsid w:val="00712C5B"/>
    <w:rsid w:val="0071432B"/>
    <w:rsid w:val="00714A26"/>
    <w:rsid w:val="00715809"/>
    <w:rsid w:val="007160B6"/>
    <w:rsid w:val="007166D6"/>
    <w:rsid w:val="00716D35"/>
    <w:rsid w:val="0071798B"/>
    <w:rsid w:val="007211F1"/>
    <w:rsid w:val="007212C5"/>
    <w:rsid w:val="00721424"/>
    <w:rsid w:val="0072265E"/>
    <w:rsid w:val="00722968"/>
    <w:rsid w:val="00724851"/>
    <w:rsid w:val="00724877"/>
    <w:rsid w:val="00724E8B"/>
    <w:rsid w:val="007269C8"/>
    <w:rsid w:val="00726F85"/>
    <w:rsid w:val="0072778A"/>
    <w:rsid w:val="00727BD7"/>
    <w:rsid w:val="00727F4E"/>
    <w:rsid w:val="0073024C"/>
    <w:rsid w:val="007308C4"/>
    <w:rsid w:val="0073115B"/>
    <w:rsid w:val="00733086"/>
    <w:rsid w:val="0073334D"/>
    <w:rsid w:val="00733A0E"/>
    <w:rsid w:val="00733D93"/>
    <w:rsid w:val="00734A70"/>
    <w:rsid w:val="00734E02"/>
    <w:rsid w:val="00735BAB"/>
    <w:rsid w:val="00736960"/>
    <w:rsid w:val="007369C3"/>
    <w:rsid w:val="007376BA"/>
    <w:rsid w:val="007406FE"/>
    <w:rsid w:val="007430A4"/>
    <w:rsid w:val="007442A3"/>
    <w:rsid w:val="00744ED5"/>
    <w:rsid w:val="00744FF7"/>
    <w:rsid w:val="0075089B"/>
    <w:rsid w:val="00750909"/>
    <w:rsid w:val="00751C9A"/>
    <w:rsid w:val="00752494"/>
    <w:rsid w:val="0075317B"/>
    <w:rsid w:val="007533A3"/>
    <w:rsid w:val="00755505"/>
    <w:rsid w:val="0075580F"/>
    <w:rsid w:val="00762A49"/>
    <w:rsid w:val="00762E26"/>
    <w:rsid w:val="0076404D"/>
    <w:rsid w:val="007648BE"/>
    <w:rsid w:val="00765056"/>
    <w:rsid w:val="00765365"/>
    <w:rsid w:val="00766209"/>
    <w:rsid w:val="007674C0"/>
    <w:rsid w:val="0076773C"/>
    <w:rsid w:val="00770676"/>
    <w:rsid w:val="00770A19"/>
    <w:rsid w:val="00771B45"/>
    <w:rsid w:val="00771FA1"/>
    <w:rsid w:val="00771FB8"/>
    <w:rsid w:val="00772272"/>
    <w:rsid w:val="00772F96"/>
    <w:rsid w:val="00773B86"/>
    <w:rsid w:val="0077485D"/>
    <w:rsid w:val="00774F38"/>
    <w:rsid w:val="00775C1B"/>
    <w:rsid w:val="00775EBB"/>
    <w:rsid w:val="007761AA"/>
    <w:rsid w:val="00777B60"/>
    <w:rsid w:val="00777E0A"/>
    <w:rsid w:val="0078032D"/>
    <w:rsid w:val="007807C9"/>
    <w:rsid w:val="00780949"/>
    <w:rsid w:val="00784050"/>
    <w:rsid w:val="0078463E"/>
    <w:rsid w:val="00785982"/>
    <w:rsid w:val="00786307"/>
    <w:rsid w:val="00786C60"/>
    <w:rsid w:val="007870FE"/>
    <w:rsid w:val="0079134C"/>
    <w:rsid w:val="00791512"/>
    <w:rsid w:val="0079283D"/>
    <w:rsid w:val="0079286E"/>
    <w:rsid w:val="00792BD4"/>
    <w:rsid w:val="007933F7"/>
    <w:rsid w:val="0079402B"/>
    <w:rsid w:val="00794650"/>
    <w:rsid w:val="0079467E"/>
    <w:rsid w:val="007948E1"/>
    <w:rsid w:val="00794E05"/>
    <w:rsid w:val="00797765"/>
    <w:rsid w:val="007A02F6"/>
    <w:rsid w:val="007A093F"/>
    <w:rsid w:val="007A18A3"/>
    <w:rsid w:val="007A3B31"/>
    <w:rsid w:val="007A3E05"/>
    <w:rsid w:val="007A4789"/>
    <w:rsid w:val="007A6F13"/>
    <w:rsid w:val="007A7537"/>
    <w:rsid w:val="007A7A93"/>
    <w:rsid w:val="007B0254"/>
    <w:rsid w:val="007B0CA2"/>
    <w:rsid w:val="007B0E08"/>
    <w:rsid w:val="007B1A00"/>
    <w:rsid w:val="007B223F"/>
    <w:rsid w:val="007B28C2"/>
    <w:rsid w:val="007B2984"/>
    <w:rsid w:val="007B3290"/>
    <w:rsid w:val="007B43D4"/>
    <w:rsid w:val="007B4A20"/>
    <w:rsid w:val="007B5291"/>
    <w:rsid w:val="007C0245"/>
    <w:rsid w:val="007C036E"/>
    <w:rsid w:val="007C22CC"/>
    <w:rsid w:val="007C24A1"/>
    <w:rsid w:val="007C2D42"/>
    <w:rsid w:val="007C39B6"/>
    <w:rsid w:val="007C4200"/>
    <w:rsid w:val="007C42AF"/>
    <w:rsid w:val="007C5204"/>
    <w:rsid w:val="007C53BB"/>
    <w:rsid w:val="007C633E"/>
    <w:rsid w:val="007C6790"/>
    <w:rsid w:val="007C6D07"/>
    <w:rsid w:val="007C794B"/>
    <w:rsid w:val="007C7B77"/>
    <w:rsid w:val="007D0785"/>
    <w:rsid w:val="007D094E"/>
    <w:rsid w:val="007D32EC"/>
    <w:rsid w:val="007D51D3"/>
    <w:rsid w:val="007D624B"/>
    <w:rsid w:val="007D6420"/>
    <w:rsid w:val="007E19F9"/>
    <w:rsid w:val="007E3E2C"/>
    <w:rsid w:val="007E4ABF"/>
    <w:rsid w:val="007E54F3"/>
    <w:rsid w:val="007E6104"/>
    <w:rsid w:val="007E6589"/>
    <w:rsid w:val="007E6CB5"/>
    <w:rsid w:val="007E7FC5"/>
    <w:rsid w:val="007F0098"/>
    <w:rsid w:val="007F00E0"/>
    <w:rsid w:val="007F0BE8"/>
    <w:rsid w:val="007F41F2"/>
    <w:rsid w:val="007F42F8"/>
    <w:rsid w:val="007F54DE"/>
    <w:rsid w:val="007F55E8"/>
    <w:rsid w:val="00800068"/>
    <w:rsid w:val="0080072C"/>
    <w:rsid w:val="00802F87"/>
    <w:rsid w:val="00803F3C"/>
    <w:rsid w:val="00804182"/>
    <w:rsid w:val="00806A4D"/>
    <w:rsid w:val="00806D69"/>
    <w:rsid w:val="008074D1"/>
    <w:rsid w:val="00810107"/>
    <w:rsid w:val="00810ADB"/>
    <w:rsid w:val="008127F3"/>
    <w:rsid w:val="00815BF6"/>
    <w:rsid w:val="00820E5F"/>
    <w:rsid w:val="008222A5"/>
    <w:rsid w:val="00824116"/>
    <w:rsid w:val="008264F2"/>
    <w:rsid w:val="00827645"/>
    <w:rsid w:val="00827AB0"/>
    <w:rsid w:val="0083054D"/>
    <w:rsid w:val="00830642"/>
    <w:rsid w:val="0083341A"/>
    <w:rsid w:val="00834C08"/>
    <w:rsid w:val="00835CB4"/>
    <w:rsid w:val="00837917"/>
    <w:rsid w:val="008415ED"/>
    <w:rsid w:val="00841C1A"/>
    <w:rsid w:val="00841DC2"/>
    <w:rsid w:val="008428A9"/>
    <w:rsid w:val="00842C04"/>
    <w:rsid w:val="00842C1F"/>
    <w:rsid w:val="008430B1"/>
    <w:rsid w:val="008430D3"/>
    <w:rsid w:val="008434B6"/>
    <w:rsid w:val="00843FB7"/>
    <w:rsid w:val="00845A8A"/>
    <w:rsid w:val="008473C3"/>
    <w:rsid w:val="00847AAB"/>
    <w:rsid w:val="0085028B"/>
    <w:rsid w:val="00850498"/>
    <w:rsid w:val="00850524"/>
    <w:rsid w:val="00850B54"/>
    <w:rsid w:val="00850D69"/>
    <w:rsid w:val="0085364E"/>
    <w:rsid w:val="00854102"/>
    <w:rsid w:val="00854F79"/>
    <w:rsid w:val="00857E05"/>
    <w:rsid w:val="00861699"/>
    <w:rsid w:val="00861BF1"/>
    <w:rsid w:val="0086406B"/>
    <w:rsid w:val="00864BB2"/>
    <w:rsid w:val="0086768E"/>
    <w:rsid w:val="00867693"/>
    <w:rsid w:val="00867E19"/>
    <w:rsid w:val="00870C45"/>
    <w:rsid w:val="00871507"/>
    <w:rsid w:val="0087172D"/>
    <w:rsid w:val="00872A48"/>
    <w:rsid w:val="00872D50"/>
    <w:rsid w:val="0087313D"/>
    <w:rsid w:val="008738BF"/>
    <w:rsid w:val="00873BEA"/>
    <w:rsid w:val="00873C66"/>
    <w:rsid w:val="00874398"/>
    <w:rsid w:val="00874A26"/>
    <w:rsid w:val="00874CF9"/>
    <w:rsid w:val="0087771D"/>
    <w:rsid w:val="0087776A"/>
    <w:rsid w:val="00880F1C"/>
    <w:rsid w:val="00881312"/>
    <w:rsid w:val="00881B54"/>
    <w:rsid w:val="00883C65"/>
    <w:rsid w:val="00883F94"/>
    <w:rsid w:val="0088528C"/>
    <w:rsid w:val="00886E4F"/>
    <w:rsid w:val="008877B9"/>
    <w:rsid w:val="00887AE6"/>
    <w:rsid w:val="00887C0B"/>
    <w:rsid w:val="00890ED6"/>
    <w:rsid w:val="00891BC1"/>
    <w:rsid w:val="00892132"/>
    <w:rsid w:val="00892165"/>
    <w:rsid w:val="00892EA0"/>
    <w:rsid w:val="008930CC"/>
    <w:rsid w:val="00894434"/>
    <w:rsid w:val="00894707"/>
    <w:rsid w:val="008949BD"/>
    <w:rsid w:val="008961EA"/>
    <w:rsid w:val="008968A8"/>
    <w:rsid w:val="00896C13"/>
    <w:rsid w:val="008972DF"/>
    <w:rsid w:val="008979F9"/>
    <w:rsid w:val="00897AF1"/>
    <w:rsid w:val="008A01DA"/>
    <w:rsid w:val="008A15A4"/>
    <w:rsid w:val="008A202D"/>
    <w:rsid w:val="008A2A78"/>
    <w:rsid w:val="008A45EC"/>
    <w:rsid w:val="008A4E3D"/>
    <w:rsid w:val="008A50F7"/>
    <w:rsid w:val="008A5E80"/>
    <w:rsid w:val="008A6A0F"/>
    <w:rsid w:val="008B0C02"/>
    <w:rsid w:val="008B0D08"/>
    <w:rsid w:val="008B0D82"/>
    <w:rsid w:val="008B1FF4"/>
    <w:rsid w:val="008B2785"/>
    <w:rsid w:val="008B5E48"/>
    <w:rsid w:val="008B6AD8"/>
    <w:rsid w:val="008C12B0"/>
    <w:rsid w:val="008C16E3"/>
    <w:rsid w:val="008C1DAC"/>
    <w:rsid w:val="008C26B0"/>
    <w:rsid w:val="008C29D0"/>
    <w:rsid w:val="008C2A14"/>
    <w:rsid w:val="008C2D1D"/>
    <w:rsid w:val="008C3550"/>
    <w:rsid w:val="008C3AF9"/>
    <w:rsid w:val="008C3DB4"/>
    <w:rsid w:val="008C4E1A"/>
    <w:rsid w:val="008C5A70"/>
    <w:rsid w:val="008C6568"/>
    <w:rsid w:val="008C7600"/>
    <w:rsid w:val="008C7C49"/>
    <w:rsid w:val="008D2BCA"/>
    <w:rsid w:val="008D3774"/>
    <w:rsid w:val="008D40A8"/>
    <w:rsid w:val="008D42CB"/>
    <w:rsid w:val="008D49C0"/>
    <w:rsid w:val="008D4C37"/>
    <w:rsid w:val="008D4DAE"/>
    <w:rsid w:val="008D5FB1"/>
    <w:rsid w:val="008D6B67"/>
    <w:rsid w:val="008D7A43"/>
    <w:rsid w:val="008D7B32"/>
    <w:rsid w:val="008D7BD5"/>
    <w:rsid w:val="008E074A"/>
    <w:rsid w:val="008E1A65"/>
    <w:rsid w:val="008E1F1A"/>
    <w:rsid w:val="008E1F31"/>
    <w:rsid w:val="008E24EC"/>
    <w:rsid w:val="008E2867"/>
    <w:rsid w:val="008E4525"/>
    <w:rsid w:val="008E4B45"/>
    <w:rsid w:val="008E611B"/>
    <w:rsid w:val="008F07C3"/>
    <w:rsid w:val="008F1A57"/>
    <w:rsid w:val="008F2B4A"/>
    <w:rsid w:val="008F4CB5"/>
    <w:rsid w:val="008F7BC5"/>
    <w:rsid w:val="008F7FD6"/>
    <w:rsid w:val="00900F9F"/>
    <w:rsid w:val="00901E10"/>
    <w:rsid w:val="00902122"/>
    <w:rsid w:val="0090236C"/>
    <w:rsid w:val="009041E4"/>
    <w:rsid w:val="00904F0C"/>
    <w:rsid w:val="009065F9"/>
    <w:rsid w:val="00906666"/>
    <w:rsid w:val="00910743"/>
    <w:rsid w:val="00911941"/>
    <w:rsid w:val="00914021"/>
    <w:rsid w:val="009152DE"/>
    <w:rsid w:val="00916BD5"/>
    <w:rsid w:val="0092053C"/>
    <w:rsid w:val="00921241"/>
    <w:rsid w:val="0092144E"/>
    <w:rsid w:val="00921DF4"/>
    <w:rsid w:val="00922888"/>
    <w:rsid w:val="00922A0E"/>
    <w:rsid w:val="00922D91"/>
    <w:rsid w:val="009233E6"/>
    <w:rsid w:val="00923C7B"/>
    <w:rsid w:val="0092494A"/>
    <w:rsid w:val="0092537C"/>
    <w:rsid w:val="00930003"/>
    <w:rsid w:val="0093042C"/>
    <w:rsid w:val="00930729"/>
    <w:rsid w:val="0093072A"/>
    <w:rsid w:val="00930D82"/>
    <w:rsid w:val="0093155D"/>
    <w:rsid w:val="009326FD"/>
    <w:rsid w:val="009361A2"/>
    <w:rsid w:val="00936389"/>
    <w:rsid w:val="009377A5"/>
    <w:rsid w:val="009378DF"/>
    <w:rsid w:val="009427EA"/>
    <w:rsid w:val="00946410"/>
    <w:rsid w:val="009469BA"/>
    <w:rsid w:val="00946B02"/>
    <w:rsid w:val="00947011"/>
    <w:rsid w:val="00947146"/>
    <w:rsid w:val="00950BF7"/>
    <w:rsid w:val="00951B92"/>
    <w:rsid w:val="00952F8B"/>
    <w:rsid w:val="0095410C"/>
    <w:rsid w:val="00954235"/>
    <w:rsid w:val="009553D6"/>
    <w:rsid w:val="00955775"/>
    <w:rsid w:val="00956EB7"/>
    <w:rsid w:val="00957949"/>
    <w:rsid w:val="00961509"/>
    <w:rsid w:val="00962070"/>
    <w:rsid w:val="0096307C"/>
    <w:rsid w:val="00963080"/>
    <w:rsid w:val="009644C4"/>
    <w:rsid w:val="009647C1"/>
    <w:rsid w:val="00965040"/>
    <w:rsid w:val="00965EE7"/>
    <w:rsid w:val="00970678"/>
    <w:rsid w:val="00971260"/>
    <w:rsid w:val="00973A8B"/>
    <w:rsid w:val="00974165"/>
    <w:rsid w:val="009749AC"/>
    <w:rsid w:val="00975102"/>
    <w:rsid w:val="00977AB4"/>
    <w:rsid w:val="00980E2B"/>
    <w:rsid w:val="00981B6D"/>
    <w:rsid w:val="00981EE7"/>
    <w:rsid w:val="00983225"/>
    <w:rsid w:val="00986B30"/>
    <w:rsid w:val="0098751A"/>
    <w:rsid w:val="00990912"/>
    <w:rsid w:val="009911E4"/>
    <w:rsid w:val="00995DD9"/>
    <w:rsid w:val="00996F80"/>
    <w:rsid w:val="009973B0"/>
    <w:rsid w:val="0099744F"/>
    <w:rsid w:val="009A2441"/>
    <w:rsid w:val="009A2DFB"/>
    <w:rsid w:val="009A39EF"/>
    <w:rsid w:val="009A4338"/>
    <w:rsid w:val="009A52BE"/>
    <w:rsid w:val="009A5BF1"/>
    <w:rsid w:val="009B0AAE"/>
    <w:rsid w:val="009B2160"/>
    <w:rsid w:val="009B25F6"/>
    <w:rsid w:val="009B45B5"/>
    <w:rsid w:val="009B53DB"/>
    <w:rsid w:val="009B5B12"/>
    <w:rsid w:val="009B64AD"/>
    <w:rsid w:val="009B6FDD"/>
    <w:rsid w:val="009B7126"/>
    <w:rsid w:val="009C0580"/>
    <w:rsid w:val="009C068D"/>
    <w:rsid w:val="009C4BAB"/>
    <w:rsid w:val="009C5365"/>
    <w:rsid w:val="009C55F2"/>
    <w:rsid w:val="009C64F2"/>
    <w:rsid w:val="009C7F3C"/>
    <w:rsid w:val="009D177A"/>
    <w:rsid w:val="009D1A90"/>
    <w:rsid w:val="009D1D64"/>
    <w:rsid w:val="009D32BB"/>
    <w:rsid w:val="009D4986"/>
    <w:rsid w:val="009D4F40"/>
    <w:rsid w:val="009D5076"/>
    <w:rsid w:val="009D5B2F"/>
    <w:rsid w:val="009D70D8"/>
    <w:rsid w:val="009D7D5C"/>
    <w:rsid w:val="009E0900"/>
    <w:rsid w:val="009E2300"/>
    <w:rsid w:val="009E2D7A"/>
    <w:rsid w:val="009E34C6"/>
    <w:rsid w:val="009E46C7"/>
    <w:rsid w:val="009E6A63"/>
    <w:rsid w:val="009E7832"/>
    <w:rsid w:val="009F2E09"/>
    <w:rsid w:val="009F4305"/>
    <w:rsid w:val="009F4BF6"/>
    <w:rsid w:val="009F4DBD"/>
    <w:rsid w:val="009F5F3F"/>
    <w:rsid w:val="009F6AA7"/>
    <w:rsid w:val="009F725F"/>
    <w:rsid w:val="00A00F89"/>
    <w:rsid w:val="00A01C68"/>
    <w:rsid w:val="00A02C48"/>
    <w:rsid w:val="00A04FA9"/>
    <w:rsid w:val="00A05F17"/>
    <w:rsid w:val="00A0687C"/>
    <w:rsid w:val="00A10660"/>
    <w:rsid w:val="00A10983"/>
    <w:rsid w:val="00A10D4E"/>
    <w:rsid w:val="00A1103C"/>
    <w:rsid w:val="00A1118E"/>
    <w:rsid w:val="00A11261"/>
    <w:rsid w:val="00A11CE0"/>
    <w:rsid w:val="00A12D02"/>
    <w:rsid w:val="00A13696"/>
    <w:rsid w:val="00A138B3"/>
    <w:rsid w:val="00A141D9"/>
    <w:rsid w:val="00A14661"/>
    <w:rsid w:val="00A1470D"/>
    <w:rsid w:val="00A1526B"/>
    <w:rsid w:val="00A15E84"/>
    <w:rsid w:val="00A16D74"/>
    <w:rsid w:val="00A17F02"/>
    <w:rsid w:val="00A23A5B"/>
    <w:rsid w:val="00A24AF1"/>
    <w:rsid w:val="00A24CED"/>
    <w:rsid w:val="00A30307"/>
    <w:rsid w:val="00A30D75"/>
    <w:rsid w:val="00A30DEB"/>
    <w:rsid w:val="00A31F83"/>
    <w:rsid w:val="00A35399"/>
    <w:rsid w:val="00A36EF5"/>
    <w:rsid w:val="00A372AD"/>
    <w:rsid w:val="00A375E6"/>
    <w:rsid w:val="00A41055"/>
    <w:rsid w:val="00A41201"/>
    <w:rsid w:val="00A41538"/>
    <w:rsid w:val="00A4206B"/>
    <w:rsid w:val="00A42738"/>
    <w:rsid w:val="00A429EE"/>
    <w:rsid w:val="00A438BD"/>
    <w:rsid w:val="00A43F31"/>
    <w:rsid w:val="00A45A79"/>
    <w:rsid w:val="00A45BAB"/>
    <w:rsid w:val="00A46091"/>
    <w:rsid w:val="00A46476"/>
    <w:rsid w:val="00A4787D"/>
    <w:rsid w:val="00A50BBF"/>
    <w:rsid w:val="00A51509"/>
    <w:rsid w:val="00A531DD"/>
    <w:rsid w:val="00A53475"/>
    <w:rsid w:val="00A5686B"/>
    <w:rsid w:val="00A56BCC"/>
    <w:rsid w:val="00A56E94"/>
    <w:rsid w:val="00A6245E"/>
    <w:rsid w:val="00A63DC0"/>
    <w:rsid w:val="00A64E55"/>
    <w:rsid w:val="00A64E8C"/>
    <w:rsid w:val="00A652F9"/>
    <w:rsid w:val="00A70A87"/>
    <w:rsid w:val="00A71B7C"/>
    <w:rsid w:val="00A71C52"/>
    <w:rsid w:val="00A72BB1"/>
    <w:rsid w:val="00A73F25"/>
    <w:rsid w:val="00A76A5E"/>
    <w:rsid w:val="00A771B4"/>
    <w:rsid w:val="00A77E05"/>
    <w:rsid w:val="00A77F06"/>
    <w:rsid w:val="00A8125A"/>
    <w:rsid w:val="00A81D80"/>
    <w:rsid w:val="00A8434F"/>
    <w:rsid w:val="00A87580"/>
    <w:rsid w:val="00A9147A"/>
    <w:rsid w:val="00A939D7"/>
    <w:rsid w:val="00A945C2"/>
    <w:rsid w:val="00A963CA"/>
    <w:rsid w:val="00A96A60"/>
    <w:rsid w:val="00A97997"/>
    <w:rsid w:val="00A97AF9"/>
    <w:rsid w:val="00AA0676"/>
    <w:rsid w:val="00AA0799"/>
    <w:rsid w:val="00AA1DCA"/>
    <w:rsid w:val="00AA3271"/>
    <w:rsid w:val="00AA45CE"/>
    <w:rsid w:val="00AA4EA5"/>
    <w:rsid w:val="00AA66D9"/>
    <w:rsid w:val="00AB22BB"/>
    <w:rsid w:val="00AB2FB3"/>
    <w:rsid w:val="00AB33E7"/>
    <w:rsid w:val="00AB4245"/>
    <w:rsid w:val="00AB44D2"/>
    <w:rsid w:val="00AC0236"/>
    <w:rsid w:val="00AC16B0"/>
    <w:rsid w:val="00AC1F68"/>
    <w:rsid w:val="00AC4649"/>
    <w:rsid w:val="00AC585F"/>
    <w:rsid w:val="00AC6AA4"/>
    <w:rsid w:val="00AC7844"/>
    <w:rsid w:val="00AC7D79"/>
    <w:rsid w:val="00AD1A89"/>
    <w:rsid w:val="00AD2269"/>
    <w:rsid w:val="00AD2F58"/>
    <w:rsid w:val="00AD314E"/>
    <w:rsid w:val="00AD3565"/>
    <w:rsid w:val="00AD4AE9"/>
    <w:rsid w:val="00AD70C6"/>
    <w:rsid w:val="00AD7A21"/>
    <w:rsid w:val="00AE06EB"/>
    <w:rsid w:val="00AE0815"/>
    <w:rsid w:val="00AE2094"/>
    <w:rsid w:val="00AE2AC0"/>
    <w:rsid w:val="00AE3842"/>
    <w:rsid w:val="00AE389A"/>
    <w:rsid w:val="00AE4C07"/>
    <w:rsid w:val="00AE4EA3"/>
    <w:rsid w:val="00AE5099"/>
    <w:rsid w:val="00AE58C5"/>
    <w:rsid w:val="00AE5F1E"/>
    <w:rsid w:val="00AE65A5"/>
    <w:rsid w:val="00AE6EE7"/>
    <w:rsid w:val="00AE72F4"/>
    <w:rsid w:val="00AE74F2"/>
    <w:rsid w:val="00AF03FB"/>
    <w:rsid w:val="00AF08D4"/>
    <w:rsid w:val="00AF18E0"/>
    <w:rsid w:val="00AF1C5D"/>
    <w:rsid w:val="00AF2820"/>
    <w:rsid w:val="00AF324C"/>
    <w:rsid w:val="00AF3845"/>
    <w:rsid w:val="00AF452E"/>
    <w:rsid w:val="00AF53F5"/>
    <w:rsid w:val="00B001A9"/>
    <w:rsid w:val="00B001C3"/>
    <w:rsid w:val="00B0111C"/>
    <w:rsid w:val="00B0249D"/>
    <w:rsid w:val="00B02E50"/>
    <w:rsid w:val="00B03535"/>
    <w:rsid w:val="00B03AE2"/>
    <w:rsid w:val="00B05382"/>
    <w:rsid w:val="00B0612E"/>
    <w:rsid w:val="00B10714"/>
    <w:rsid w:val="00B10E96"/>
    <w:rsid w:val="00B1138E"/>
    <w:rsid w:val="00B11C64"/>
    <w:rsid w:val="00B14295"/>
    <w:rsid w:val="00B17601"/>
    <w:rsid w:val="00B20C69"/>
    <w:rsid w:val="00B20CD5"/>
    <w:rsid w:val="00B2183A"/>
    <w:rsid w:val="00B22492"/>
    <w:rsid w:val="00B2256D"/>
    <w:rsid w:val="00B22751"/>
    <w:rsid w:val="00B23804"/>
    <w:rsid w:val="00B2442F"/>
    <w:rsid w:val="00B244B1"/>
    <w:rsid w:val="00B27039"/>
    <w:rsid w:val="00B275DF"/>
    <w:rsid w:val="00B2794E"/>
    <w:rsid w:val="00B300FA"/>
    <w:rsid w:val="00B30CDF"/>
    <w:rsid w:val="00B32C06"/>
    <w:rsid w:val="00B333D7"/>
    <w:rsid w:val="00B335CB"/>
    <w:rsid w:val="00B33D7C"/>
    <w:rsid w:val="00B34521"/>
    <w:rsid w:val="00B34648"/>
    <w:rsid w:val="00B35154"/>
    <w:rsid w:val="00B35979"/>
    <w:rsid w:val="00B35EAD"/>
    <w:rsid w:val="00B366B6"/>
    <w:rsid w:val="00B40057"/>
    <w:rsid w:val="00B40AA2"/>
    <w:rsid w:val="00B41A29"/>
    <w:rsid w:val="00B41C2F"/>
    <w:rsid w:val="00B41F03"/>
    <w:rsid w:val="00B446FE"/>
    <w:rsid w:val="00B4536C"/>
    <w:rsid w:val="00B45663"/>
    <w:rsid w:val="00B45887"/>
    <w:rsid w:val="00B46DD2"/>
    <w:rsid w:val="00B5127B"/>
    <w:rsid w:val="00B53C98"/>
    <w:rsid w:val="00B54E30"/>
    <w:rsid w:val="00B54F7E"/>
    <w:rsid w:val="00B56674"/>
    <w:rsid w:val="00B57C25"/>
    <w:rsid w:val="00B57D50"/>
    <w:rsid w:val="00B603E1"/>
    <w:rsid w:val="00B60AAE"/>
    <w:rsid w:val="00B6208B"/>
    <w:rsid w:val="00B6214F"/>
    <w:rsid w:val="00B62D47"/>
    <w:rsid w:val="00B6392D"/>
    <w:rsid w:val="00B6403F"/>
    <w:rsid w:val="00B6525C"/>
    <w:rsid w:val="00B6575E"/>
    <w:rsid w:val="00B70BE6"/>
    <w:rsid w:val="00B71819"/>
    <w:rsid w:val="00B71CE6"/>
    <w:rsid w:val="00B76061"/>
    <w:rsid w:val="00B76DD4"/>
    <w:rsid w:val="00B77C91"/>
    <w:rsid w:val="00B850D1"/>
    <w:rsid w:val="00B8724E"/>
    <w:rsid w:val="00B87DF1"/>
    <w:rsid w:val="00B90696"/>
    <w:rsid w:val="00B9070B"/>
    <w:rsid w:val="00B95642"/>
    <w:rsid w:val="00B97173"/>
    <w:rsid w:val="00BA16B2"/>
    <w:rsid w:val="00BA2D92"/>
    <w:rsid w:val="00BA3659"/>
    <w:rsid w:val="00BA5A83"/>
    <w:rsid w:val="00BA7D46"/>
    <w:rsid w:val="00BB1830"/>
    <w:rsid w:val="00BB205B"/>
    <w:rsid w:val="00BB331E"/>
    <w:rsid w:val="00BB3618"/>
    <w:rsid w:val="00BB5428"/>
    <w:rsid w:val="00BB641F"/>
    <w:rsid w:val="00BB6624"/>
    <w:rsid w:val="00BB685F"/>
    <w:rsid w:val="00BB6BD8"/>
    <w:rsid w:val="00BB6BE4"/>
    <w:rsid w:val="00BC0D4F"/>
    <w:rsid w:val="00BC133C"/>
    <w:rsid w:val="00BC313D"/>
    <w:rsid w:val="00BC4FD0"/>
    <w:rsid w:val="00BC5504"/>
    <w:rsid w:val="00BC79F2"/>
    <w:rsid w:val="00BD0B00"/>
    <w:rsid w:val="00BD26A2"/>
    <w:rsid w:val="00BD4475"/>
    <w:rsid w:val="00BD4683"/>
    <w:rsid w:val="00BD5947"/>
    <w:rsid w:val="00BD7541"/>
    <w:rsid w:val="00BE00DA"/>
    <w:rsid w:val="00BE06B2"/>
    <w:rsid w:val="00BE1146"/>
    <w:rsid w:val="00BE141E"/>
    <w:rsid w:val="00BE2F60"/>
    <w:rsid w:val="00BE57DC"/>
    <w:rsid w:val="00BE65E5"/>
    <w:rsid w:val="00BE6747"/>
    <w:rsid w:val="00BE68F8"/>
    <w:rsid w:val="00BE7049"/>
    <w:rsid w:val="00BE7E9E"/>
    <w:rsid w:val="00BF3439"/>
    <w:rsid w:val="00BF38A3"/>
    <w:rsid w:val="00BF4485"/>
    <w:rsid w:val="00BF4734"/>
    <w:rsid w:val="00BF487E"/>
    <w:rsid w:val="00BF4921"/>
    <w:rsid w:val="00BF570F"/>
    <w:rsid w:val="00BF6299"/>
    <w:rsid w:val="00BF7A3D"/>
    <w:rsid w:val="00C00295"/>
    <w:rsid w:val="00C024FD"/>
    <w:rsid w:val="00C03426"/>
    <w:rsid w:val="00C03771"/>
    <w:rsid w:val="00C03C0A"/>
    <w:rsid w:val="00C04C44"/>
    <w:rsid w:val="00C06004"/>
    <w:rsid w:val="00C076EA"/>
    <w:rsid w:val="00C1069A"/>
    <w:rsid w:val="00C114DE"/>
    <w:rsid w:val="00C11514"/>
    <w:rsid w:val="00C14AB1"/>
    <w:rsid w:val="00C14B57"/>
    <w:rsid w:val="00C14D7E"/>
    <w:rsid w:val="00C156F5"/>
    <w:rsid w:val="00C16588"/>
    <w:rsid w:val="00C16902"/>
    <w:rsid w:val="00C16F7D"/>
    <w:rsid w:val="00C17DA3"/>
    <w:rsid w:val="00C207D5"/>
    <w:rsid w:val="00C21014"/>
    <w:rsid w:val="00C21289"/>
    <w:rsid w:val="00C21890"/>
    <w:rsid w:val="00C219B3"/>
    <w:rsid w:val="00C22246"/>
    <w:rsid w:val="00C2278D"/>
    <w:rsid w:val="00C245B5"/>
    <w:rsid w:val="00C25B42"/>
    <w:rsid w:val="00C27CED"/>
    <w:rsid w:val="00C27FA2"/>
    <w:rsid w:val="00C300CA"/>
    <w:rsid w:val="00C30C31"/>
    <w:rsid w:val="00C310E3"/>
    <w:rsid w:val="00C315C7"/>
    <w:rsid w:val="00C31E89"/>
    <w:rsid w:val="00C32788"/>
    <w:rsid w:val="00C334F6"/>
    <w:rsid w:val="00C33A88"/>
    <w:rsid w:val="00C3401D"/>
    <w:rsid w:val="00C3597A"/>
    <w:rsid w:val="00C3634A"/>
    <w:rsid w:val="00C375C3"/>
    <w:rsid w:val="00C37E1C"/>
    <w:rsid w:val="00C37F78"/>
    <w:rsid w:val="00C40634"/>
    <w:rsid w:val="00C40A48"/>
    <w:rsid w:val="00C44722"/>
    <w:rsid w:val="00C463A9"/>
    <w:rsid w:val="00C46402"/>
    <w:rsid w:val="00C468B7"/>
    <w:rsid w:val="00C46D5B"/>
    <w:rsid w:val="00C46FB1"/>
    <w:rsid w:val="00C47A98"/>
    <w:rsid w:val="00C50598"/>
    <w:rsid w:val="00C505B2"/>
    <w:rsid w:val="00C5119C"/>
    <w:rsid w:val="00C52AD6"/>
    <w:rsid w:val="00C556D5"/>
    <w:rsid w:val="00C56BE0"/>
    <w:rsid w:val="00C56E46"/>
    <w:rsid w:val="00C572E2"/>
    <w:rsid w:val="00C57B9A"/>
    <w:rsid w:val="00C60C19"/>
    <w:rsid w:val="00C61CB2"/>
    <w:rsid w:val="00C62AE4"/>
    <w:rsid w:val="00C62D3A"/>
    <w:rsid w:val="00C639B6"/>
    <w:rsid w:val="00C650A2"/>
    <w:rsid w:val="00C652BC"/>
    <w:rsid w:val="00C65A0C"/>
    <w:rsid w:val="00C67FF6"/>
    <w:rsid w:val="00C7028F"/>
    <w:rsid w:val="00C70A6A"/>
    <w:rsid w:val="00C71075"/>
    <w:rsid w:val="00C71255"/>
    <w:rsid w:val="00C71834"/>
    <w:rsid w:val="00C72231"/>
    <w:rsid w:val="00C72CD0"/>
    <w:rsid w:val="00C731D2"/>
    <w:rsid w:val="00C73ADA"/>
    <w:rsid w:val="00C744F9"/>
    <w:rsid w:val="00C753DD"/>
    <w:rsid w:val="00C77D76"/>
    <w:rsid w:val="00C802AF"/>
    <w:rsid w:val="00C8042B"/>
    <w:rsid w:val="00C81276"/>
    <w:rsid w:val="00C831A4"/>
    <w:rsid w:val="00C8326A"/>
    <w:rsid w:val="00C84D9A"/>
    <w:rsid w:val="00C85268"/>
    <w:rsid w:val="00C85878"/>
    <w:rsid w:val="00C87043"/>
    <w:rsid w:val="00C90997"/>
    <w:rsid w:val="00C9115B"/>
    <w:rsid w:val="00C9485E"/>
    <w:rsid w:val="00C94AC7"/>
    <w:rsid w:val="00C94BCE"/>
    <w:rsid w:val="00C951C9"/>
    <w:rsid w:val="00C95FA1"/>
    <w:rsid w:val="00C96587"/>
    <w:rsid w:val="00C965BE"/>
    <w:rsid w:val="00CA30B3"/>
    <w:rsid w:val="00CA3251"/>
    <w:rsid w:val="00CA388F"/>
    <w:rsid w:val="00CA3D3E"/>
    <w:rsid w:val="00CA5A30"/>
    <w:rsid w:val="00CA635D"/>
    <w:rsid w:val="00CA696C"/>
    <w:rsid w:val="00CA6B81"/>
    <w:rsid w:val="00CA6C0A"/>
    <w:rsid w:val="00CA6C41"/>
    <w:rsid w:val="00CA70D6"/>
    <w:rsid w:val="00CA729A"/>
    <w:rsid w:val="00CB069A"/>
    <w:rsid w:val="00CB1094"/>
    <w:rsid w:val="00CB4614"/>
    <w:rsid w:val="00CB4675"/>
    <w:rsid w:val="00CB4746"/>
    <w:rsid w:val="00CB4E3A"/>
    <w:rsid w:val="00CB4FEB"/>
    <w:rsid w:val="00CB61CB"/>
    <w:rsid w:val="00CC0CE6"/>
    <w:rsid w:val="00CC2147"/>
    <w:rsid w:val="00CC225B"/>
    <w:rsid w:val="00CC4C11"/>
    <w:rsid w:val="00CC4DF6"/>
    <w:rsid w:val="00CC58FB"/>
    <w:rsid w:val="00CD13B2"/>
    <w:rsid w:val="00CD169F"/>
    <w:rsid w:val="00CD3C2F"/>
    <w:rsid w:val="00CD47DD"/>
    <w:rsid w:val="00CD4C62"/>
    <w:rsid w:val="00CD6A69"/>
    <w:rsid w:val="00CE0DB3"/>
    <w:rsid w:val="00CE1030"/>
    <w:rsid w:val="00CE268E"/>
    <w:rsid w:val="00CE2E44"/>
    <w:rsid w:val="00CE4D44"/>
    <w:rsid w:val="00CE577B"/>
    <w:rsid w:val="00CE5EA3"/>
    <w:rsid w:val="00CE5EC8"/>
    <w:rsid w:val="00CE6D4C"/>
    <w:rsid w:val="00CE7AA5"/>
    <w:rsid w:val="00CE7F21"/>
    <w:rsid w:val="00CF016E"/>
    <w:rsid w:val="00CF1C50"/>
    <w:rsid w:val="00CF1DC4"/>
    <w:rsid w:val="00CF2027"/>
    <w:rsid w:val="00CF2DAF"/>
    <w:rsid w:val="00CF39A7"/>
    <w:rsid w:val="00CF3C69"/>
    <w:rsid w:val="00CF43AF"/>
    <w:rsid w:val="00CF56F1"/>
    <w:rsid w:val="00CF6C5F"/>
    <w:rsid w:val="00D005BD"/>
    <w:rsid w:val="00D00783"/>
    <w:rsid w:val="00D008E6"/>
    <w:rsid w:val="00D01AAB"/>
    <w:rsid w:val="00D01E0B"/>
    <w:rsid w:val="00D02107"/>
    <w:rsid w:val="00D025B7"/>
    <w:rsid w:val="00D03FAF"/>
    <w:rsid w:val="00D05DD0"/>
    <w:rsid w:val="00D06FDF"/>
    <w:rsid w:val="00D1064D"/>
    <w:rsid w:val="00D1077A"/>
    <w:rsid w:val="00D13E8B"/>
    <w:rsid w:val="00D14421"/>
    <w:rsid w:val="00D15D12"/>
    <w:rsid w:val="00D16E83"/>
    <w:rsid w:val="00D23434"/>
    <w:rsid w:val="00D25771"/>
    <w:rsid w:val="00D25D99"/>
    <w:rsid w:val="00D26319"/>
    <w:rsid w:val="00D27907"/>
    <w:rsid w:val="00D27C67"/>
    <w:rsid w:val="00D303C5"/>
    <w:rsid w:val="00D3084E"/>
    <w:rsid w:val="00D31B7E"/>
    <w:rsid w:val="00D31D3E"/>
    <w:rsid w:val="00D31F63"/>
    <w:rsid w:val="00D320E9"/>
    <w:rsid w:val="00D32861"/>
    <w:rsid w:val="00D357FB"/>
    <w:rsid w:val="00D40397"/>
    <w:rsid w:val="00D40BA7"/>
    <w:rsid w:val="00D42AB0"/>
    <w:rsid w:val="00D42C02"/>
    <w:rsid w:val="00D43230"/>
    <w:rsid w:val="00D4379E"/>
    <w:rsid w:val="00D45FBB"/>
    <w:rsid w:val="00D4603E"/>
    <w:rsid w:val="00D4661F"/>
    <w:rsid w:val="00D47FEC"/>
    <w:rsid w:val="00D51591"/>
    <w:rsid w:val="00D53EF5"/>
    <w:rsid w:val="00D5543F"/>
    <w:rsid w:val="00D555AF"/>
    <w:rsid w:val="00D55C8A"/>
    <w:rsid w:val="00D55D22"/>
    <w:rsid w:val="00D570BA"/>
    <w:rsid w:val="00D572B6"/>
    <w:rsid w:val="00D57BF5"/>
    <w:rsid w:val="00D57ED2"/>
    <w:rsid w:val="00D61217"/>
    <w:rsid w:val="00D621B9"/>
    <w:rsid w:val="00D6222C"/>
    <w:rsid w:val="00D62329"/>
    <w:rsid w:val="00D62B0B"/>
    <w:rsid w:val="00D63825"/>
    <w:rsid w:val="00D65DE0"/>
    <w:rsid w:val="00D66ADB"/>
    <w:rsid w:val="00D672CA"/>
    <w:rsid w:val="00D70563"/>
    <w:rsid w:val="00D70884"/>
    <w:rsid w:val="00D70C1B"/>
    <w:rsid w:val="00D70F9A"/>
    <w:rsid w:val="00D7212A"/>
    <w:rsid w:val="00D73BF4"/>
    <w:rsid w:val="00D742DD"/>
    <w:rsid w:val="00D76AA1"/>
    <w:rsid w:val="00D776A3"/>
    <w:rsid w:val="00D8158B"/>
    <w:rsid w:val="00D820BC"/>
    <w:rsid w:val="00D82905"/>
    <w:rsid w:val="00D835B3"/>
    <w:rsid w:val="00D8416F"/>
    <w:rsid w:val="00D8449D"/>
    <w:rsid w:val="00D853AB"/>
    <w:rsid w:val="00D86B32"/>
    <w:rsid w:val="00D86D96"/>
    <w:rsid w:val="00D87AFB"/>
    <w:rsid w:val="00D9006D"/>
    <w:rsid w:val="00D90CA0"/>
    <w:rsid w:val="00D92460"/>
    <w:rsid w:val="00D94BC1"/>
    <w:rsid w:val="00D95575"/>
    <w:rsid w:val="00D96E45"/>
    <w:rsid w:val="00DA221C"/>
    <w:rsid w:val="00DA3044"/>
    <w:rsid w:val="00DA3246"/>
    <w:rsid w:val="00DA3FF9"/>
    <w:rsid w:val="00DA4FFA"/>
    <w:rsid w:val="00DA6170"/>
    <w:rsid w:val="00DA624C"/>
    <w:rsid w:val="00DB0B67"/>
    <w:rsid w:val="00DB1E42"/>
    <w:rsid w:val="00DB3A5B"/>
    <w:rsid w:val="00DB4E76"/>
    <w:rsid w:val="00DB545F"/>
    <w:rsid w:val="00DB69CA"/>
    <w:rsid w:val="00DC027B"/>
    <w:rsid w:val="00DC0926"/>
    <w:rsid w:val="00DC2175"/>
    <w:rsid w:val="00DC21C9"/>
    <w:rsid w:val="00DC27AB"/>
    <w:rsid w:val="00DC4906"/>
    <w:rsid w:val="00DC60EB"/>
    <w:rsid w:val="00DC6106"/>
    <w:rsid w:val="00DC6276"/>
    <w:rsid w:val="00DC63A6"/>
    <w:rsid w:val="00DC730E"/>
    <w:rsid w:val="00DD08F8"/>
    <w:rsid w:val="00DD2115"/>
    <w:rsid w:val="00DD29B8"/>
    <w:rsid w:val="00DD36B6"/>
    <w:rsid w:val="00DD441E"/>
    <w:rsid w:val="00DD4DFD"/>
    <w:rsid w:val="00DD5799"/>
    <w:rsid w:val="00DD5BAD"/>
    <w:rsid w:val="00DD6C59"/>
    <w:rsid w:val="00DE05FD"/>
    <w:rsid w:val="00DE09D4"/>
    <w:rsid w:val="00DE1BC4"/>
    <w:rsid w:val="00DE265E"/>
    <w:rsid w:val="00DE5CA3"/>
    <w:rsid w:val="00DE6149"/>
    <w:rsid w:val="00DE7C43"/>
    <w:rsid w:val="00DE7D4E"/>
    <w:rsid w:val="00DF0F35"/>
    <w:rsid w:val="00DF100B"/>
    <w:rsid w:val="00DF144F"/>
    <w:rsid w:val="00DF6ED6"/>
    <w:rsid w:val="00DF7689"/>
    <w:rsid w:val="00DF7D0D"/>
    <w:rsid w:val="00E0097D"/>
    <w:rsid w:val="00E01E4A"/>
    <w:rsid w:val="00E02548"/>
    <w:rsid w:val="00E027A4"/>
    <w:rsid w:val="00E02810"/>
    <w:rsid w:val="00E03055"/>
    <w:rsid w:val="00E032A2"/>
    <w:rsid w:val="00E03EF6"/>
    <w:rsid w:val="00E0422D"/>
    <w:rsid w:val="00E04727"/>
    <w:rsid w:val="00E04B6F"/>
    <w:rsid w:val="00E06891"/>
    <w:rsid w:val="00E06F29"/>
    <w:rsid w:val="00E10218"/>
    <w:rsid w:val="00E1022C"/>
    <w:rsid w:val="00E11B0C"/>
    <w:rsid w:val="00E11F55"/>
    <w:rsid w:val="00E12721"/>
    <w:rsid w:val="00E12741"/>
    <w:rsid w:val="00E143EC"/>
    <w:rsid w:val="00E14B33"/>
    <w:rsid w:val="00E14C84"/>
    <w:rsid w:val="00E15097"/>
    <w:rsid w:val="00E15336"/>
    <w:rsid w:val="00E15CA6"/>
    <w:rsid w:val="00E16134"/>
    <w:rsid w:val="00E17688"/>
    <w:rsid w:val="00E207D6"/>
    <w:rsid w:val="00E20EED"/>
    <w:rsid w:val="00E20EFC"/>
    <w:rsid w:val="00E24138"/>
    <w:rsid w:val="00E24E97"/>
    <w:rsid w:val="00E2527C"/>
    <w:rsid w:val="00E2557F"/>
    <w:rsid w:val="00E30F94"/>
    <w:rsid w:val="00E3181B"/>
    <w:rsid w:val="00E335DD"/>
    <w:rsid w:val="00E34E87"/>
    <w:rsid w:val="00E3572D"/>
    <w:rsid w:val="00E36CE6"/>
    <w:rsid w:val="00E36E3F"/>
    <w:rsid w:val="00E37496"/>
    <w:rsid w:val="00E4008E"/>
    <w:rsid w:val="00E40B24"/>
    <w:rsid w:val="00E43F29"/>
    <w:rsid w:val="00E4442A"/>
    <w:rsid w:val="00E4493B"/>
    <w:rsid w:val="00E50653"/>
    <w:rsid w:val="00E50FC1"/>
    <w:rsid w:val="00E52B40"/>
    <w:rsid w:val="00E531A8"/>
    <w:rsid w:val="00E533E8"/>
    <w:rsid w:val="00E535D9"/>
    <w:rsid w:val="00E53974"/>
    <w:rsid w:val="00E54E44"/>
    <w:rsid w:val="00E5516E"/>
    <w:rsid w:val="00E557AE"/>
    <w:rsid w:val="00E55B8F"/>
    <w:rsid w:val="00E56A5B"/>
    <w:rsid w:val="00E61697"/>
    <w:rsid w:val="00E61AD9"/>
    <w:rsid w:val="00E63AB6"/>
    <w:rsid w:val="00E64001"/>
    <w:rsid w:val="00E641F0"/>
    <w:rsid w:val="00E66ACB"/>
    <w:rsid w:val="00E67599"/>
    <w:rsid w:val="00E678C0"/>
    <w:rsid w:val="00E67C73"/>
    <w:rsid w:val="00E707DB"/>
    <w:rsid w:val="00E7157F"/>
    <w:rsid w:val="00E71873"/>
    <w:rsid w:val="00E71E74"/>
    <w:rsid w:val="00E72755"/>
    <w:rsid w:val="00E734FD"/>
    <w:rsid w:val="00E7361A"/>
    <w:rsid w:val="00E746E6"/>
    <w:rsid w:val="00E75AC1"/>
    <w:rsid w:val="00E76643"/>
    <w:rsid w:val="00E77661"/>
    <w:rsid w:val="00E80648"/>
    <w:rsid w:val="00E81DDC"/>
    <w:rsid w:val="00E820CF"/>
    <w:rsid w:val="00E835CF"/>
    <w:rsid w:val="00E83A84"/>
    <w:rsid w:val="00E846CF"/>
    <w:rsid w:val="00E84DF9"/>
    <w:rsid w:val="00E8626F"/>
    <w:rsid w:val="00E86CF2"/>
    <w:rsid w:val="00E86ED4"/>
    <w:rsid w:val="00E87C92"/>
    <w:rsid w:val="00E9005E"/>
    <w:rsid w:val="00E90532"/>
    <w:rsid w:val="00E92D3B"/>
    <w:rsid w:val="00E93A76"/>
    <w:rsid w:val="00E97305"/>
    <w:rsid w:val="00E97B44"/>
    <w:rsid w:val="00EA0979"/>
    <w:rsid w:val="00EA1465"/>
    <w:rsid w:val="00EA1757"/>
    <w:rsid w:val="00EA1DEC"/>
    <w:rsid w:val="00EA3F7C"/>
    <w:rsid w:val="00EA50AE"/>
    <w:rsid w:val="00EA52E1"/>
    <w:rsid w:val="00EA5919"/>
    <w:rsid w:val="00EA62DA"/>
    <w:rsid w:val="00EA64DB"/>
    <w:rsid w:val="00EA6D35"/>
    <w:rsid w:val="00EB204A"/>
    <w:rsid w:val="00EB2D17"/>
    <w:rsid w:val="00EB3667"/>
    <w:rsid w:val="00EB39A5"/>
    <w:rsid w:val="00EB3FE1"/>
    <w:rsid w:val="00EB78A6"/>
    <w:rsid w:val="00EC0AD8"/>
    <w:rsid w:val="00EC11DE"/>
    <w:rsid w:val="00EC3A0C"/>
    <w:rsid w:val="00EC4933"/>
    <w:rsid w:val="00EC63E6"/>
    <w:rsid w:val="00EC666C"/>
    <w:rsid w:val="00EC6F74"/>
    <w:rsid w:val="00EC7477"/>
    <w:rsid w:val="00ED0EC4"/>
    <w:rsid w:val="00ED25F3"/>
    <w:rsid w:val="00ED32B9"/>
    <w:rsid w:val="00ED3877"/>
    <w:rsid w:val="00ED3893"/>
    <w:rsid w:val="00ED5EB8"/>
    <w:rsid w:val="00ED5ECA"/>
    <w:rsid w:val="00ED79CC"/>
    <w:rsid w:val="00ED7E8A"/>
    <w:rsid w:val="00EE02B6"/>
    <w:rsid w:val="00EE0BF6"/>
    <w:rsid w:val="00EE1177"/>
    <w:rsid w:val="00EE1643"/>
    <w:rsid w:val="00EE2554"/>
    <w:rsid w:val="00EE2C64"/>
    <w:rsid w:val="00EE3B36"/>
    <w:rsid w:val="00EE3FA2"/>
    <w:rsid w:val="00EE4C91"/>
    <w:rsid w:val="00EE5010"/>
    <w:rsid w:val="00EE50E8"/>
    <w:rsid w:val="00EE5C7F"/>
    <w:rsid w:val="00EE7C77"/>
    <w:rsid w:val="00EF053B"/>
    <w:rsid w:val="00EF0E73"/>
    <w:rsid w:val="00EF14FF"/>
    <w:rsid w:val="00EF1C8F"/>
    <w:rsid w:val="00EF1DF3"/>
    <w:rsid w:val="00EF279D"/>
    <w:rsid w:val="00EF2A9E"/>
    <w:rsid w:val="00EF2F1B"/>
    <w:rsid w:val="00EF63A5"/>
    <w:rsid w:val="00EF7660"/>
    <w:rsid w:val="00EF7752"/>
    <w:rsid w:val="00EF7ADB"/>
    <w:rsid w:val="00EF7C7F"/>
    <w:rsid w:val="00EF7D20"/>
    <w:rsid w:val="00F0026F"/>
    <w:rsid w:val="00F00B6D"/>
    <w:rsid w:val="00F010D9"/>
    <w:rsid w:val="00F01B2A"/>
    <w:rsid w:val="00F02079"/>
    <w:rsid w:val="00F0236F"/>
    <w:rsid w:val="00F04C54"/>
    <w:rsid w:val="00F059EA"/>
    <w:rsid w:val="00F05F3E"/>
    <w:rsid w:val="00F0624F"/>
    <w:rsid w:val="00F0640B"/>
    <w:rsid w:val="00F065DF"/>
    <w:rsid w:val="00F06ED9"/>
    <w:rsid w:val="00F10C9E"/>
    <w:rsid w:val="00F117F4"/>
    <w:rsid w:val="00F152DC"/>
    <w:rsid w:val="00F17473"/>
    <w:rsid w:val="00F177A6"/>
    <w:rsid w:val="00F179AC"/>
    <w:rsid w:val="00F2107A"/>
    <w:rsid w:val="00F21626"/>
    <w:rsid w:val="00F21B6B"/>
    <w:rsid w:val="00F220A5"/>
    <w:rsid w:val="00F22848"/>
    <w:rsid w:val="00F23052"/>
    <w:rsid w:val="00F239B9"/>
    <w:rsid w:val="00F2434E"/>
    <w:rsid w:val="00F247F9"/>
    <w:rsid w:val="00F24B7C"/>
    <w:rsid w:val="00F26EE4"/>
    <w:rsid w:val="00F315C9"/>
    <w:rsid w:val="00F32047"/>
    <w:rsid w:val="00F33D84"/>
    <w:rsid w:val="00F33F70"/>
    <w:rsid w:val="00F34A8F"/>
    <w:rsid w:val="00F358B2"/>
    <w:rsid w:val="00F36BDD"/>
    <w:rsid w:val="00F4003B"/>
    <w:rsid w:val="00F4044C"/>
    <w:rsid w:val="00F40C47"/>
    <w:rsid w:val="00F41740"/>
    <w:rsid w:val="00F43666"/>
    <w:rsid w:val="00F44A4C"/>
    <w:rsid w:val="00F45C16"/>
    <w:rsid w:val="00F46840"/>
    <w:rsid w:val="00F47910"/>
    <w:rsid w:val="00F47B87"/>
    <w:rsid w:val="00F47F31"/>
    <w:rsid w:val="00F50043"/>
    <w:rsid w:val="00F50267"/>
    <w:rsid w:val="00F5032F"/>
    <w:rsid w:val="00F505D7"/>
    <w:rsid w:val="00F51BA2"/>
    <w:rsid w:val="00F53D05"/>
    <w:rsid w:val="00F53E8A"/>
    <w:rsid w:val="00F55A1C"/>
    <w:rsid w:val="00F55A48"/>
    <w:rsid w:val="00F5627F"/>
    <w:rsid w:val="00F574E6"/>
    <w:rsid w:val="00F600D5"/>
    <w:rsid w:val="00F6052A"/>
    <w:rsid w:val="00F6054D"/>
    <w:rsid w:val="00F61EF8"/>
    <w:rsid w:val="00F61F0E"/>
    <w:rsid w:val="00F62CFF"/>
    <w:rsid w:val="00F63A75"/>
    <w:rsid w:val="00F64DBB"/>
    <w:rsid w:val="00F66723"/>
    <w:rsid w:val="00F67197"/>
    <w:rsid w:val="00F6767E"/>
    <w:rsid w:val="00F678A2"/>
    <w:rsid w:val="00F67D9C"/>
    <w:rsid w:val="00F67EB4"/>
    <w:rsid w:val="00F703F7"/>
    <w:rsid w:val="00F71AFA"/>
    <w:rsid w:val="00F7221B"/>
    <w:rsid w:val="00F73A06"/>
    <w:rsid w:val="00F76FF3"/>
    <w:rsid w:val="00F7736F"/>
    <w:rsid w:val="00F77A32"/>
    <w:rsid w:val="00F81911"/>
    <w:rsid w:val="00F81B6A"/>
    <w:rsid w:val="00F81E79"/>
    <w:rsid w:val="00F81FCA"/>
    <w:rsid w:val="00F83107"/>
    <w:rsid w:val="00F83ACD"/>
    <w:rsid w:val="00F83D45"/>
    <w:rsid w:val="00F84523"/>
    <w:rsid w:val="00F8744F"/>
    <w:rsid w:val="00F912DB"/>
    <w:rsid w:val="00F91861"/>
    <w:rsid w:val="00F9284E"/>
    <w:rsid w:val="00F934C5"/>
    <w:rsid w:val="00F93A58"/>
    <w:rsid w:val="00F94447"/>
    <w:rsid w:val="00F9552A"/>
    <w:rsid w:val="00F95C56"/>
    <w:rsid w:val="00F95D8F"/>
    <w:rsid w:val="00F96624"/>
    <w:rsid w:val="00F9743A"/>
    <w:rsid w:val="00F97451"/>
    <w:rsid w:val="00F97E76"/>
    <w:rsid w:val="00FA0535"/>
    <w:rsid w:val="00FA11F3"/>
    <w:rsid w:val="00FA18EC"/>
    <w:rsid w:val="00FA2CE2"/>
    <w:rsid w:val="00FA3161"/>
    <w:rsid w:val="00FA3773"/>
    <w:rsid w:val="00FA3DBE"/>
    <w:rsid w:val="00FA5C09"/>
    <w:rsid w:val="00FB073A"/>
    <w:rsid w:val="00FB0A15"/>
    <w:rsid w:val="00FB0DBF"/>
    <w:rsid w:val="00FB1605"/>
    <w:rsid w:val="00FB223C"/>
    <w:rsid w:val="00FB2766"/>
    <w:rsid w:val="00FB4453"/>
    <w:rsid w:val="00FB544B"/>
    <w:rsid w:val="00FB5A7F"/>
    <w:rsid w:val="00FB65FD"/>
    <w:rsid w:val="00FC1AB9"/>
    <w:rsid w:val="00FC2AD0"/>
    <w:rsid w:val="00FC2E23"/>
    <w:rsid w:val="00FC2FDD"/>
    <w:rsid w:val="00FC61FC"/>
    <w:rsid w:val="00FC7060"/>
    <w:rsid w:val="00FC72BC"/>
    <w:rsid w:val="00FC74FF"/>
    <w:rsid w:val="00FC7C21"/>
    <w:rsid w:val="00FD026E"/>
    <w:rsid w:val="00FD0340"/>
    <w:rsid w:val="00FD07EA"/>
    <w:rsid w:val="00FD15ED"/>
    <w:rsid w:val="00FD2089"/>
    <w:rsid w:val="00FD3D20"/>
    <w:rsid w:val="00FE0985"/>
    <w:rsid w:val="00FE1659"/>
    <w:rsid w:val="00FE16A9"/>
    <w:rsid w:val="00FE18E2"/>
    <w:rsid w:val="00FE2170"/>
    <w:rsid w:val="00FE283F"/>
    <w:rsid w:val="00FE2AD3"/>
    <w:rsid w:val="00FE314E"/>
    <w:rsid w:val="00FE36FC"/>
    <w:rsid w:val="00FE3B7E"/>
    <w:rsid w:val="00FE3CE3"/>
    <w:rsid w:val="00FE3FAC"/>
    <w:rsid w:val="00FE457A"/>
    <w:rsid w:val="00FE45C0"/>
    <w:rsid w:val="00FE5426"/>
    <w:rsid w:val="00FE5B96"/>
    <w:rsid w:val="00FE5D66"/>
    <w:rsid w:val="00FE60E3"/>
    <w:rsid w:val="00FE6CAB"/>
    <w:rsid w:val="00FE77B9"/>
    <w:rsid w:val="00FE7BDE"/>
    <w:rsid w:val="00FE7CC1"/>
    <w:rsid w:val="00FF2450"/>
    <w:rsid w:val="00FF26D3"/>
    <w:rsid w:val="00FF36D6"/>
    <w:rsid w:val="00FF5F16"/>
    <w:rsid w:val="00FF6BF5"/>
    <w:rsid w:val="00FF733C"/>
    <w:rsid w:val="00FF73D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F0FB64"/>
  <w15:docId w15:val="{19B9B004-66A4-46D9-863B-4EE35F70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3"/>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76"/>
    <w:pPr>
      <w:spacing w:after="0" w:line="240" w:lineRule="auto"/>
      <w:jc w:val="both"/>
    </w:pPr>
    <w:rPr>
      <w:rFonts w:ascii="Verdana" w:hAnsi="Verdana"/>
      <w:sz w:val="20"/>
      <w:lang w:val="en-US"/>
    </w:rPr>
  </w:style>
  <w:style w:type="paragraph" w:styleId="Ttulo1">
    <w:name w:val="heading 1"/>
    <w:aliases w:val="Título Verdana"/>
    <w:basedOn w:val="Normal"/>
    <w:next w:val="Normal"/>
    <w:link w:val="Ttulo1Car"/>
    <w:qFormat/>
    <w:rsid w:val="00291C0D"/>
    <w:pPr>
      <w:jc w:val="center"/>
      <w:outlineLvl w:val="0"/>
    </w:pPr>
    <w:rPr>
      <w:b/>
      <w:lang w:eastAsia="es-CR"/>
    </w:rPr>
  </w:style>
  <w:style w:type="paragraph" w:styleId="Ttulo2">
    <w:name w:val="heading 2"/>
    <w:basedOn w:val="Normal"/>
    <w:next w:val="Normal"/>
    <w:link w:val="Ttulo2Car"/>
    <w:unhideWhenUsed/>
    <w:qFormat/>
    <w:rsid w:val="0036072C"/>
    <w:pPr>
      <w:numPr>
        <w:numId w:val="61"/>
      </w:numPr>
      <w:tabs>
        <w:tab w:val="left" w:pos="567"/>
        <w:tab w:val="left" w:pos="993"/>
      </w:tabs>
      <w:outlineLvl w:val="1"/>
    </w:pPr>
    <w:rPr>
      <w:b/>
      <w:i/>
      <w:spacing w:val="-4"/>
      <w:lang w:val="es-CR" w:eastAsia="es-MX"/>
    </w:rPr>
  </w:style>
  <w:style w:type="paragraph" w:styleId="Ttulo3">
    <w:name w:val="heading 3"/>
    <w:basedOn w:val="Normal"/>
    <w:next w:val="Normal"/>
    <w:link w:val="Ttulo3Car"/>
    <w:unhideWhenUsed/>
    <w:qFormat/>
    <w:rsid w:val="00830642"/>
    <w:pPr>
      <w:ind w:left="1055"/>
      <w:outlineLvl w:val="2"/>
    </w:pPr>
    <w:rPr>
      <w:b/>
      <w:lang w:val="es-ES"/>
    </w:rPr>
  </w:style>
  <w:style w:type="paragraph" w:styleId="Ttulo4">
    <w:name w:val="heading 4"/>
    <w:basedOn w:val="Ttulo3"/>
    <w:next w:val="Normal"/>
    <w:link w:val="Ttulo4Car"/>
    <w:uiPriority w:val="9"/>
    <w:unhideWhenUsed/>
    <w:qFormat/>
    <w:rsid w:val="00291C0D"/>
    <w:pPr>
      <w:ind w:left="1418"/>
      <w:outlineLvl w:val="3"/>
    </w:pPr>
    <w:rPr>
      <w:b w:val="0"/>
      <w:u w:val="single"/>
    </w:rPr>
  </w:style>
  <w:style w:type="paragraph" w:styleId="Ttulo5">
    <w:name w:val="heading 5"/>
    <w:basedOn w:val="Ttulo4"/>
    <w:next w:val="Normal"/>
    <w:link w:val="Ttulo5Car"/>
    <w:uiPriority w:val="9"/>
    <w:unhideWhenUsed/>
    <w:qFormat/>
    <w:rsid w:val="00017494"/>
    <w:pPr>
      <w:numPr>
        <w:numId w:val="58"/>
      </w:numPr>
      <w:outlineLvl w:val="4"/>
    </w:pPr>
    <w:rPr>
      <w:i/>
      <w:spacing w:val="-4"/>
      <w:u w:val="none"/>
    </w:rPr>
  </w:style>
  <w:style w:type="paragraph" w:styleId="Ttulo6">
    <w:name w:val="heading 6"/>
    <w:basedOn w:val="Ttulo5"/>
    <w:next w:val="Normal"/>
    <w:link w:val="Ttulo6Car"/>
    <w:uiPriority w:val="9"/>
    <w:unhideWhenUsed/>
    <w:qFormat/>
    <w:rsid w:val="00291C0D"/>
    <w:pPr>
      <w:numPr>
        <w:ilvl w:val="4"/>
        <w:numId w:val="2"/>
      </w:numPr>
      <w:outlineLvl w:val="5"/>
    </w:pPr>
    <w:rPr>
      <w:rFonts w:eastAsia="Times New Roman" w:cs="Times New Roman"/>
      <w:spacing w:val="-2"/>
      <w:szCs w:val="20"/>
      <w:lang w:val="es-ES_tradnl" w:eastAsia="es-CR"/>
    </w:rPr>
  </w:style>
  <w:style w:type="paragraph" w:styleId="Ttulo7">
    <w:name w:val="heading 7"/>
    <w:basedOn w:val="Normal"/>
    <w:next w:val="Normal"/>
    <w:link w:val="Ttulo7Car"/>
    <w:uiPriority w:val="9"/>
    <w:unhideWhenUsed/>
    <w:qFormat/>
    <w:rsid w:val="0054079F"/>
    <w:pPr>
      <w:keepNext/>
      <w:autoSpaceDE w:val="0"/>
      <w:autoSpaceDN w:val="0"/>
      <w:adjustRightInd w:val="0"/>
      <w:outlineLvl w:val="6"/>
    </w:pPr>
    <w:rPr>
      <w:rFonts w:eastAsia="Times New Roman" w:cs="Times New Roman"/>
      <w:b/>
      <w:bCs/>
      <w:szCs w:val="20"/>
      <w:lang w:val="es-ES_tradnl"/>
    </w:rPr>
  </w:style>
  <w:style w:type="paragraph" w:styleId="Ttulo8">
    <w:name w:val="heading 8"/>
    <w:basedOn w:val="Normal"/>
    <w:next w:val="Normal"/>
    <w:link w:val="Ttulo8Car"/>
    <w:uiPriority w:val="9"/>
    <w:unhideWhenUsed/>
    <w:qFormat/>
    <w:rsid w:val="0054079F"/>
    <w:pPr>
      <w:keepNext/>
      <w:jc w:val="left"/>
      <w:outlineLvl w:val="7"/>
    </w:pPr>
    <w:rPr>
      <w:rFonts w:eastAsia="Times New Roman" w:cs="Times New Roman"/>
      <w:b/>
      <w:szCs w:val="20"/>
      <w:lang w:val="es-MX"/>
    </w:rPr>
  </w:style>
  <w:style w:type="paragraph" w:styleId="Ttulo9">
    <w:name w:val="heading 9"/>
    <w:basedOn w:val="Normal"/>
    <w:next w:val="Normal"/>
    <w:link w:val="Ttulo9Car"/>
    <w:uiPriority w:val="9"/>
    <w:unhideWhenUsed/>
    <w:qFormat/>
    <w:rsid w:val="00B70BE6"/>
    <w:pPr>
      <w:keepNext/>
      <w:ind w:firstLine="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rsid w:val="00291C0D"/>
    <w:rPr>
      <w:rFonts w:ascii="Verdana" w:eastAsia="Calibri" w:hAnsi="Verdana" w:cs="Calibri"/>
      <w:b/>
      <w:sz w:val="20"/>
      <w:lang w:val="es-MX" w:eastAsia="es-CR"/>
    </w:rPr>
  </w:style>
  <w:style w:type="character" w:customStyle="1" w:styleId="Ttulo2Car">
    <w:name w:val="Título 2 Car"/>
    <w:basedOn w:val="Fuentedeprrafopredeter"/>
    <w:link w:val="Ttulo2"/>
    <w:rsid w:val="0036072C"/>
    <w:rPr>
      <w:rFonts w:ascii="Verdana" w:hAnsi="Verdana"/>
      <w:b/>
      <w:i/>
      <w:spacing w:val="-4"/>
      <w:sz w:val="20"/>
      <w:lang w:eastAsia="es-MX"/>
    </w:rPr>
  </w:style>
  <w:style w:type="paragraph" w:styleId="Ttulo">
    <w:name w:val="Title"/>
    <w:basedOn w:val="Normal"/>
    <w:next w:val="Normal"/>
    <w:link w:val="TtuloCar"/>
    <w:qFormat/>
    <w:rsid w:val="00291C0D"/>
    <w:pPr>
      <w:jc w:val="center"/>
    </w:pPr>
    <w:rPr>
      <w:b/>
    </w:rPr>
  </w:style>
  <w:style w:type="character" w:customStyle="1" w:styleId="TtuloCar">
    <w:name w:val="Título Car"/>
    <w:basedOn w:val="Fuentedeprrafopredeter"/>
    <w:link w:val="Ttulo"/>
    <w:rsid w:val="00291C0D"/>
    <w:rPr>
      <w:rFonts w:ascii="Verdana" w:eastAsia="Calibri" w:hAnsi="Verdana" w:cs="Calibri"/>
      <w:b/>
      <w:sz w:val="20"/>
      <w:lang w:val="es-MX"/>
    </w:rPr>
  </w:style>
  <w:style w:type="paragraph" w:customStyle="1" w:styleId="Footnotes">
    <w:name w:val="**. Footnotes"/>
    <w:basedOn w:val="Textonotapie"/>
    <w:link w:val="FootnotesChar"/>
    <w:qFormat/>
    <w:rsid w:val="00291C0D"/>
    <w:rPr>
      <w:rFonts w:eastAsia="Times New Roman" w:cs="Palatino-Italic"/>
      <w:iCs/>
      <w:spacing w:val="-4"/>
      <w:lang w:val="es-ES" w:eastAsia="en-US" w:bidi="en-US"/>
    </w:rPr>
  </w:style>
  <w:style w:type="character" w:customStyle="1" w:styleId="FootnotesChar">
    <w:name w:val="**. Footnotes Char"/>
    <w:basedOn w:val="Fuentedeprrafopredeter"/>
    <w:link w:val="Footnotes"/>
    <w:rsid w:val="00291C0D"/>
    <w:rPr>
      <w:rFonts w:ascii="Verdana" w:eastAsia="Times New Roman" w:hAnsi="Verdana" w:cs="Palatino-Italic"/>
      <w:iCs/>
      <w:spacing w:val="-4"/>
      <w:sz w:val="16"/>
      <w:szCs w:val="16"/>
      <w:lang w:val="es-ES" w:bidi="en-US"/>
    </w:rPr>
  </w:style>
  <w:style w:type="paragraph" w:styleId="Textonotapie">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TextonotapieCar1"/>
    <w:uiPriority w:val="99"/>
    <w:qFormat/>
    <w:rsid w:val="00291C0D"/>
    <w:pPr>
      <w:tabs>
        <w:tab w:val="left" w:pos="567"/>
      </w:tabs>
    </w:pPr>
    <w:rPr>
      <w:rFonts w:cs="Verdana"/>
      <w:sz w:val="16"/>
      <w:szCs w:val="16"/>
      <w:lang w:val="es-ES_tradnl" w:eastAsia="es-ES"/>
    </w:rPr>
  </w:style>
  <w:style w:type="character" w:customStyle="1" w:styleId="FootnoteTextChar">
    <w:name w:val="Footnote Text Char"/>
    <w:aliases w:val="footnote text Char,Footnote Text Cha Char,Car Char,FA Fuﬂnotentext Char,Ca Char,C Char,ft Char,5_G Char,FA Fu?notentext Char,C Char1,Texto nota pie Car Char1,FA Fu Car Char1,FA Fu Car Car Char1"/>
    <w:basedOn w:val="Fuentedeprrafopredeter"/>
    <w:qFormat/>
    <w:rsid w:val="00291C0D"/>
    <w:rPr>
      <w:sz w:val="20"/>
      <w:szCs w:val="20"/>
      <w:lang w:eastAsia="es-CR"/>
    </w:rPr>
  </w:style>
  <w:style w:type="paragraph" w:customStyle="1" w:styleId="PrrafodeSentencia">
    <w:name w:val="*. Párrafo de Sentencia"/>
    <w:basedOn w:val="Normal"/>
    <w:next w:val="Normal"/>
    <w:link w:val="PrrafodeSentenciaChar"/>
    <w:qFormat/>
    <w:rsid w:val="00C04C44"/>
    <w:pPr>
      <w:numPr>
        <w:numId w:val="57"/>
      </w:numPr>
      <w:tabs>
        <w:tab w:val="left" w:pos="0"/>
        <w:tab w:val="left" w:pos="567"/>
      </w:tabs>
    </w:pPr>
    <w:rPr>
      <w:rFonts w:eastAsia="Batang" w:cs="Times New Roman"/>
      <w:spacing w:val="-4"/>
      <w:lang w:val="es-CR" w:eastAsia="es-MX"/>
      <w14:scene3d>
        <w14:camera w14:prst="orthographicFront"/>
        <w14:lightRig w14:rig="threePt" w14:dir="t">
          <w14:rot w14:lat="0" w14:lon="0" w14:rev="0"/>
        </w14:lightRig>
      </w14:scene3d>
    </w:rPr>
  </w:style>
  <w:style w:type="character" w:customStyle="1" w:styleId="PrrafodeSentenciaChar">
    <w:name w:val="*. Párrafo de Sentencia Char"/>
    <w:basedOn w:val="Fuentedeprrafopredeter"/>
    <w:link w:val="PrrafodeSentencia"/>
    <w:rsid w:val="00C04C44"/>
    <w:rPr>
      <w:rFonts w:ascii="Verdana" w:eastAsia="Batang" w:hAnsi="Verdana" w:cs="Times New Roman"/>
      <w:spacing w:val="-4"/>
      <w:sz w:val="20"/>
      <w:lang w:eastAsia="es-MX"/>
      <w14:scene3d>
        <w14:camera w14:prst="orthographicFront"/>
        <w14:lightRig w14:rig="threePt" w14:dir="t">
          <w14:rot w14:lat="0" w14:lon="0" w14:rev="0"/>
        </w14:lightRig>
      </w14:scene3d>
    </w:rPr>
  </w:style>
  <w:style w:type="paragraph" w:customStyle="1" w:styleId="Estilo1">
    <w:name w:val="Estilo1"/>
    <w:basedOn w:val="Normal"/>
    <w:link w:val="Estilo1Car"/>
    <w:qFormat/>
    <w:rsid w:val="00291C0D"/>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291C0D"/>
    <w:rPr>
      <w:rFonts w:ascii="Verdana" w:eastAsia="Calibri" w:hAnsi="Verdana" w:cs="Times New Roman"/>
      <w:sz w:val="20"/>
      <w:szCs w:val="20"/>
      <w:lang w:val="es-ES"/>
    </w:rPr>
  </w:style>
  <w:style w:type="paragraph" w:customStyle="1" w:styleId="Estilo2">
    <w:name w:val="Estilo2"/>
    <w:basedOn w:val="Normal"/>
    <w:qFormat/>
    <w:rsid w:val="00291C0D"/>
    <w:pPr>
      <w:tabs>
        <w:tab w:val="left" w:pos="567"/>
        <w:tab w:val="left" w:pos="1134"/>
        <w:tab w:val="num" w:pos="4767"/>
      </w:tabs>
      <w:spacing w:after="120"/>
      <w:ind w:firstLine="357"/>
    </w:pPr>
    <w:rPr>
      <w:rFonts w:cs="Times New Roman"/>
      <w:szCs w:val="20"/>
      <w:lang w:val="es-ES"/>
    </w:rPr>
  </w:style>
  <w:style w:type="character" w:customStyle="1" w:styleId="Ttulo3Car">
    <w:name w:val="Título 3 Car"/>
    <w:basedOn w:val="Fuentedeprrafopredeter"/>
    <w:link w:val="Ttulo3"/>
    <w:rsid w:val="00830642"/>
    <w:rPr>
      <w:rFonts w:ascii="Verdana" w:hAnsi="Verdana"/>
      <w:b/>
      <w:sz w:val="20"/>
      <w:lang w:val="es-ES"/>
    </w:rPr>
  </w:style>
  <w:style w:type="character" w:customStyle="1" w:styleId="Ttulo4Car">
    <w:name w:val="Título 4 Car"/>
    <w:basedOn w:val="Fuentedeprrafopredeter"/>
    <w:link w:val="Ttulo4"/>
    <w:uiPriority w:val="9"/>
    <w:rsid w:val="00291C0D"/>
    <w:rPr>
      <w:rFonts w:ascii="Verdana" w:eastAsia="Calibri" w:hAnsi="Verdana" w:cs="Calibri"/>
      <w:sz w:val="20"/>
      <w:u w:val="single"/>
      <w:lang w:val="es-ES"/>
    </w:rPr>
  </w:style>
  <w:style w:type="character" w:customStyle="1" w:styleId="Ttulo5Car">
    <w:name w:val="Título 5 Car"/>
    <w:basedOn w:val="Fuentedeprrafopredeter"/>
    <w:link w:val="Ttulo5"/>
    <w:uiPriority w:val="9"/>
    <w:rsid w:val="00017494"/>
    <w:rPr>
      <w:rFonts w:ascii="Verdana" w:hAnsi="Verdana"/>
      <w:i/>
      <w:spacing w:val="-4"/>
      <w:sz w:val="20"/>
      <w:lang w:val="es-ES"/>
    </w:rPr>
  </w:style>
  <w:style w:type="character" w:customStyle="1" w:styleId="Ttulo6Car">
    <w:name w:val="Título 6 Car"/>
    <w:basedOn w:val="Fuentedeprrafopredeter"/>
    <w:link w:val="Ttulo6"/>
    <w:uiPriority w:val="9"/>
    <w:rsid w:val="00291C0D"/>
    <w:rPr>
      <w:rFonts w:ascii="Verdana" w:eastAsia="Times New Roman" w:hAnsi="Verdana" w:cs="Times New Roman"/>
      <w:i/>
      <w:spacing w:val="-2"/>
      <w:sz w:val="20"/>
      <w:szCs w:val="20"/>
      <w:lang w:val="es-ES_tradnl" w:eastAsia="es-CR"/>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link w:val="Textonotapie"/>
    <w:uiPriority w:val="99"/>
    <w:qFormat/>
    <w:locked/>
    <w:rsid w:val="00291C0D"/>
    <w:rPr>
      <w:rFonts w:ascii="Verdana" w:eastAsia="Calibri" w:hAnsi="Verdana" w:cs="Verdana"/>
      <w:sz w:val="16"/>
      <w:szCs w:val="16"/>
      <w:lang w:val="es-ES_tradnl" w:eastAsia="es-E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iPriority w:val="99"/>
    <w:qFormat/>
    <w:rsid w:val="00291C0D"/>
    <w:rPr>
      <w:rFonts w:ascii="Verdana" w:hAnsi="Verdana" w:cs="Verdana"/>
      <w:sz w:val="16"/>
      <w:szCs w:val="16"/>
      <w:vertAlign w:val="superscript"/>
    </w:rPr>
  </w:style>
  <w:style w:type="character" w:styleId="Textoennegrita">
    <w:name w:val="Strong"/>
    <w:aliases w:val="Heading 2.1"/>
    <w:basedOn w:val="Fuentedeprrafopredeter"/>
    <w:uiPriority w:val="22"/>
    <w:qFormat/>
    <w:rsid w:val="00291C0D"/>
    <w:rPr>
      <w:b/>
      <w:bCs/>
    </w:rPr>
  </w:style>
  <w:style w:type="character" w:styleId="nfasis">
    <w:name w:val="Emphasis"/>
    <w:basedOn w:val="Fuentedeprrafopredeter"/>
    <w:uiPriority w:val="20"/>
    <w:qFormat/>
    <w:rsid w:val="00291C0D"/>
    <w:rPr>
      <w:i/>
      <w:iCs/>
    </w:rPr>
  </w:style>
  <w:style w:type="paragraph" w:styleId="Sinespaciado">
    <w:name w:val="No Spacing"/>
    <w:uiPriority w:val="1"/>
    <w:qFormat/>
    <w:rsid w:val="00291C0D"/>
    <w:pPr>
      <w:spacing w:after="0" w:line="240" w:lineRule="auto"/>
      <w:jc w:val="both"/>
    </w:pPr>
    <w:rPr>
      <w:rFonts w:ascii="Verdana" w:eastAsia="Calibri" w:hAnsi="Verdana" w:cs="Calibri"/>
      <w:sz w:val="20"/>
      <w:lang w:val="es-MX"/>
    </w:rPr>
  </w:style>
  <w:style w:type="paragraph" w:styleId="Prrafodelista">
    <w:name w:val="List Paragraph"/>
    <w:aliases w:val="Footnote,List Paragraph1,Párrafo de lista1,Colorful List - Accent 11,List Paragraph2,Lista vistosa - Énfasis 11,Subtle Emphasis1,Footnote1"/>
    <w:basedOn w:val="Normal"/>
    <w:link w:val="PrrafodelistaCar1"/>
    <w:uiPriority w:val="34"/>
    <w:qFormat/>
    <w:rsid w:val="00291C0D"/>
    <w:pPr>
      <w:widowControl w:val="0"/>
      <w:numPr>
        <w:ilvl w:val="1"/>
        <w:numId w:val="1"/>
      </w:numPr>
      <w:autoSpaceDE w:val="0"/>
      <w:autoSpaceDN w:val="0"/>
      <w:adjustRightInd w:val="0"/>
      <w:ind w:right="22"/>
    </w:pPr>
    <w:rPr>
      <w:rFonts w:cs="Verdana"/>
      <w:szCs w:val="20"/>
    </w:rPr>
  </w:style>
  <w:style w:type="character" w:customStyle="1" w:styleId="PrrafodelistaCar1">
    <w:name w:val="Párrafo de lista Car1"/>
    <w:aliases w:val="Footnote Car,List Paragraph1 Car,Párrafo de lista1 Car,Colorful List - Accent 11 Car,List Paragraph2 Car,Lista vistosa - Énfasis 11 Car,Subtle Emphasis1 Car,Footnote1 Car"/>
    <w:link w:val="Prrafodelista"/>
    <w:uiPriority w:val="99"/>
    <w:rsid w:val="00291C0D"/>
    <w:rPr>
      <w:rFonts w:ascii="Verdana" w:hAnsi="Verdana" w:cs="Verdana"/>
      <w:sz w:val="20"/>
      <w:szCs w:val="20"/>
      <w:lang w:val="en-US"/>
    </w:rPr>
  </w:style>
  <w:style w:type="paragraph" w:customStyle="1" w:styleId="citaindirecta">
    <w:name w:val="cita indirecta"/>
    <w:basedOn w:val="Normal"/>
    <w:uiPriority w:val="99"/>
    <w:qFormat/>
    <w:rsid w:val="00A46476"/>
    <w:pPr>
      <w:ind w:left="708"/>
    </w:pPr>
    <w:rPr>
      <w:rFonts w:eastAsia="Times New Roman" w:cs="Times New Roman"/>
      <w:szCs w:val="20"/>
      <w:lang w:val="es-ES_tradnl" w:eastAsia="es-MX"/>
    </w:rPr>
  </w:style>
  <w:style w:type="paragraph" w:styleId="NormalWeb">
    <w:name w:val="Normal (Web)"/>
    <w:aliases w:val="Normal (Web) Char1,Normal (Web) Char Char,Normal (Web) Char1 Char,Normal (Web) Char Char Char"/>
    <w:basedOn w:val="Ttulo1"/>
    <w:next w:val="Normal"/>
    <w:autoRedefine/>
    <w:uiPriority w:val="99"/>
    <w:unhideWhenUsed/>
    <w:qFormat/>
    <w:rsid w:val="00A46476"/>
    <w:pPr>
      <w:keepLines/>
      <w:tabs>
        <w:tab w:val="center" w:pos="4320"/>
        <w:tab w:val="right" w:pos="8640"/>
      </w:tab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eastAsia="es-ES_tradnl"/>
    </w:rPr>
  </w:style>
  <w:style w:type="character" w:styleId="Refdecomentario">
    <w:name w:val="annotation reference"/>
    <w:basedOn w:val="Fuentedeprrafopredeter"/>
    <w:uiPriority w:val="99"/>
    <w:unhideWhenUsed/>
    <w:rsid w:val="00A46476"/>
    <w:rPr>
      <w:sz w:val="16"/>
      <w:szCs w:val="16"/>
    </w:rPr>
  </w:style>
  <w:style w:type="paragraph" w:styleId="Textocomentario">
    <w:name w:val="annotation text"/>
    <w:basedOn w:val="Normal"/>
    <w:link w:val="TextocomentarioCar"/>
    <w:uiPriority w:val="99"/>
    <w:unhideWhenUsed/>
    <w:rsid w:val="00A46476"/>
    <w:rPr>
      <w:szCs w:val="20"/>
    </w:rPr>
  </w:style>
  <w:style w:type="character" w:customStyle="1" w:styleId="TextocomentarioCar">
    <w:name w:val="Texto comentario Car"/>
    <w:basedOn w:val="Fuentedeprrafopredeter"/>
    <w:link w:val="Textocomentario"/>
    <w:uiPriority w:val="99"/>
    <w:rsid w:val="00A46476"/>
    <w:rPr>
      <w:rFonts w:ascii="Verdana" w:hAnsi="Verdana"/>
      <w:sz w:val="20"/>
      <w:szCs w:val="20"/>
      <w:lang w:val="en-US"/>
    </w:rPr>
  </w:style>
  <w:style w:type="paragraph" w:styleId="Textodeglobo">
    <w:name w:val="Balloon Text"/>
    <w:basedOn w:val="Normal"/>
    <w:link w:val="TextodegloboCar"/>
    <w:unhideWhenUsed/>
    <w:rsid w:val="00A46476"/>
    <w:rPr>
      <w:rFonts w:ascii="Tahoma" w:hAnsi="Tahoma" w:cs="Tahoma"/>
      <w:sz w:val="16"/>
      <w:szCs w:val="16"/>
    </w:rPr>
  </w:style>
  <w:style w:type="character" w:customStyle="1" w:styleId="TextodegloboCar">
    <w:name w:val="Texto de globo Car"/>
    <w:basedOn w:val="Fuentedeprrafopredeter"/>
    <w:link w:val="Textodeglobo"/>
    <w:rsid w:val="00A46476"/>
    <w:rPr>
      <w:rFonts w:ascii="Tahoma" w:hAnsi="Tahoma" w:cs="Tahoma"/>
      <w:sz w:val="16"/>
      <w:szCs w:val="16"/>
      <w:lang w:val="en-US"/>
    </w:rPr>
  </w:style>
  <w:style w:type="paragraph" w:styleId="Encabezado">
    <w:name w:val="header"/>
    <w:aliases w:val="encabezado"/>
    <w:basedOn w:val="Normal"/>
    <w:link w:val="EncabezadoCar"/>
    <w:uiPriority w:val="99"/>
    <w:rsid w:val="003D67E7"/>
    <w:pPr>
      <w:tabs>
        <w:tab w:val="center" w:pos="4320"/>
        <w:tab w:val="right" w:pos="8640"/>
      </w:tabs>
      <w:jc w:val="left"/>
    </w:pPr>
    <w:rPr>
      <w:rFonts w:ascii="Garamond" w:eastAsia="Times New Roman" w:hAnsi="Garamond" w:cs="Times New Roman"/>
      <w:szCs w:val="20"/>
      <w:lang w:val="es-ES_tradnl"/>
    </w:rPr>
  </w:style>
  <w:style w:type="character" w:customStyle="1" w:styleId="EncabezadoCar">
    <w:name w:val="Encabezado Car"/>
    <w:aliases w:val="encabezado Car"/>
    <w:basedOn w:val="Fuentedeprrafopredeter"/>
    <w:link w:val="Encabezado"/>
    <w:uiPriority w:val="99"/>
    <w:rsid w:val="003D67E7"/>
    <w:rPr>
      <w:rFonts w:ascii="Garamond" w:eastAsia="Times New Roman" w:hAnsi="Garamond" w:cs="Times New Roman"/>
      <w:sz w:val="20"/>
      <w:szCs w:val="20"/>
      <w:lang w:val="es-ES_tradnl"/>
    </w:rPr>
  </w:style>
  <w:style w:type="character" w:styleId="Hipervnculo">
    <w:name w:val="Hyperlink"/>
    <w:basedOn w:val="Fuentedeprrafopredeter"/>
    <w:uiPriority w:val="99"/>
    <w:rsid w:val="00AC1F68"/>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C1F68"/>
    <w:rPr>
      <w:rFonts w:cs="Verdana"/>
      <w:sz w:val="16"/>
      <w:szCs w:val="16"/>
      <w:vertAlign w:val="superscript"/>
      <w:lang w:val="es-CR"/>
    </w:rPr>
  </w:style>
  <w:style w:type="paragraph" w:styleId="Asuntodelcomentario">
    <w:name w:val="annotation subject"/>
    <w:basedOn w:val="Textocomentario"/>
    <w:next w:val="Textocomentario"/>
    <w:link w:val="AsuntodelcomentarioCar"/>
    <w:uiPriority w:val="99"/>
    <w:unhideWhenUsed/>
    <w:rsid w:val="008F1A57"/>
    <w:rPr>
      <w:b/>
      <w:bCs/>
    </w:rPr>
  </w:style>
  <w:style w:type="character" w:customStyle="1" w:styleId="AsuntodelcomentarioCar">
    <w:name w:val="Asunto del comentario Car"/>
    <w:basedOn w:val="TextocomentarioCar"/>
    <w:link w:val="Asuntodelcomentario"/>
    <w:uiPriority w:val="99"/>
    <w:rsid w:val="008F1A57"/>
    <w:rPr>
      <w:rFonts w:ascii="Verdana" w:hAnsi="Verdana"/>
      <w:b/>
      <w:bCs/>
      <w:sz w:val="20"/>
      <w:szCs w:val="20"/>
      <w:lang w:val="en-US"/>
    </w:rPr>
  </w:style>
  <w:style w:type="paragraph" w:styleId="Revisin">
    <w:name w:val="Revision"/>
    <w:hidden/>
    <w:uiPriority w:val="99"/>
    <w:semiHidden/>
    <w:rsid w:val="003C61D1"/>
    <w:pPr>
      <w:spacing w:after="0" w:line="240" w:lineRule="auto"/>
    </w:pPr>
    <w:rPr>
      <w:rFonts w:ascii="Verdana" w:hAnsi="Verdana"/>
      <w:sz w:val="20"/>
      <w:lang w:val="en-US"/>
    </w:rPr>
  </w:style>
  <w:style w:type="paragraph" w:customStyle="1" w:styleId="Cabeceraypie">
    <w:name w:val="Cabecera y pie"/>
    <w:rsid w:val="009553D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styleId="Piedepgina">
    <w:name w:val="footer"/>
    <w:link w:val="PiedepginaCar"/>
    <w:uiPriority w:val="99"/>
    <w:rsid w:val="009553D6"/>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val="en-US" w:eastAsia="es-ES"/>
    </w:rPr>
  </w:style>
  <w:style w:type="character" w:customStyle="1" w:styleId="PiedepginaCar">
    <w:name w:val="Pie de página Car"/>
    <w:basedOn w:val="Fuentedeprrafopredeter"/>
    <w:link w:val="Piedepgina"/>
    <w:uiPriority w:val="99"/>
    <w:rsid w:val="009553D6"/>
    <w:rPr>
      <w:rFonts w:ascii="Cambria" w:eastAsia="Cambria" w:hAnsi="Cambria" w:cs="Cambria"/>
      <w:color w:val="000000"/>
      <w:sz w:val="24"/>
      <w:szCs w:val="24"/>
      <w:u w:color="000000"/>
      <w:bdr w:val="nil"/>
      <w:lang w:val="en-US" w:eastAsia="es-ES"/>
    </w:rPr>
  </w:style>
  <w:style w:type="paragraph" w:customStyle="1" w:styleId="Cuerpo">
    <w:name w:val="Cuerpo"/>
    <w:rsid w:val="009553D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paragraph" w:styleId="Sangradetextonormal">
    <w:name w:val="Body Text Indent"/>
    <w:link w:val="SangradetextonormalCar"/>
    <w:rsid w:val="009553D6"/>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SangradetextonormalCar">
    <w:name w:val="Sangría de texto normal Car"/>
    <w:basedOn w:val="Fuentedeprrafopredeter"/>
    <w:link w:val="Sangradetextonormal"/>
    <w:rsid w:val="009553D6"/>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Estiloimportado1"/>
    <w:rsid w:val="009553D6"/>
    <w:pPr>
      <w:numPr>
        <w:numId w:val="33"/>
      </w:numPr>
    </w:pPr>
  </w:style>
  <w:style w:type="numbering" w:customStyle="1" w:styleId="Estiloimportado1">
    <w:name w:val="Estilo importado 1"/>
    <w:rsid w:val="009553D6"/>
  </w:style>
  <w:style w:type="numbering" w:customStyle="1" w:styleId="List1">
    <w:name w:val="List 1"/>
    <w:basedOn w:val="Estiloimportado2"/>
    <w:rsid w:val="009553D6"/>
    <w:pPr>
      <w:numPr>
        <w:numId w:val="3"/>
      </w:numPr>
    </w:pPr>
  </w:style>
  <w:style w:type="numbering" w:customStyle="1" w:styleId="Estiloimportado2">
    <w:name w:val="Estilo importado 2"/>
    <w:rsid w:val="009553D6"/>
  </w:style>
  <w:style w:type="numbering" w:customStyle="1" w:styleId="List21">
    <w:name w:val="List 21"/>
    <w:basedOn w:val="Estiloimportado3"/>
    <w:rsid w:val="009553D6"/>
    <w:pPr>
      <w:numPr>
        <w:numId w:val="54"/>
      </w:numPr>
    </w:pPr>
  </w:style>
  <w:style w:type="numbering" w:customStyle="1" w:styleId="Estiloimportado3">
    <w:name w:val="Estilo importado 3"/>
    <w:rsid w:val="009553D6"/>
    <w:pPr>
      <w:numPr>
        <w:numId w:val="60"/>
      </w:numPr>
    </w:pPr>
  </w:style>
  <w:style w:type="numbering" w:customStyle="1" w:styleId="List31">
    <w:name w:val="List 31"/>
    <w:basedOn w:val="Estiloimportado4"/>
    <w:rsid w:val="009553D6"/>
    <w:pPr>
      <w:numPr>
        <w:numId w:val="53"/>
      </w:numPr>
    </w:pPr>
  </w:style>
  <w:style w:type="numbering" w:customStyle="1" w:styleId="Estiloimportado4">
    <w:name w:val="Estilo importado 4"/>
    <w:rsid w:val="009553D6"/>
  </w:style>
  <w:style w:type="numbering" w:customStyle="1" w:styleId="List41">
    <w:name w:val="List 41"/>
    <w:basedOn w:val="Estiloimportado5"/>
    <w:rsid w:val="009553D6"/>
    <w:pPr>
      <w:numPr>
        <w:numId w:val="4"/>
      </w:numPr>
    </w:pPr>
  </w:style>
  <w:style w:type="numbering" w:customStyle="1" w:styleId="Estiloimportado5">
    <w:name w:val="Estilo importado 5"/>
    <w:rsid w:val="009553D6"/>
  </w:style>
  <w:style w:type="numbering" w:customStyle="1" w:styleId="List51">
    <w:name w:val="List 51"/>
    <w:basedOn w:val="Estiloimportado6"/>
    <w:rsid w:val="009553D6"/>
    <w:pPr>
      <w:numPr>
        <w:numId w:val="55"/>
      </w:numPr>
    </w:pPr>
  </w:style>
  <w:style w:type="numbering" w:customStyle="1" w:styleId="Estiloimportado6">
    <w:name w:val="Estilo importado 6"/>
    <w:rsid w:val="009553D6"/>
  </w:style>
  <w:style w:type="numbering" w:customStyle="1" w:styleId="List6">
    <w:name w:val="List 6"/>
    <w:basedOn w:val="Estiloimportado7"/>
    <w:rsid w:val="009553D6"/>
    <w:pPr>
      <w:numPr>
        <w:numId w:val="5"/>
      </w:numPr>
    </w:pPr>
  </w:style>
  <w:style w:type="numbering" w:customStyle="1" w:styleId="Estiloimportado7">
    <w:name w:val="Estilo importado 7"/>
    <w:rsid w:val="009553D6"/>
  </w:style>
  <w:style w:type="numbering" w:customStyle="1" w:styleId="List7">
    <w:name w:val="List 7"/>
    <w:basedOn w:val="Estiloimportado8"/>
    <w:rsid w:val="009553D6"/>
    <w:pPr>
      <w:numPr>
        <w:numId w:val="6"/>
      </w:numPr>
    </w:pPr>
  </w:style>
  <w:style w:type="numbering" w:customStyle="1" w:styleId="Estiloimportado8">
    <w:name w:val="Estilo importado 8"/>
    <w:rsid w:val="009553D6"/>
  </w:style>
  <w:style w:type="numbering" w:customStyle="1" w:styleId="List8">
    <w:name w:val="List 8"/>
    <w:basedOn w:val="Estiloimportado9"/>
    <w:rsid w:val="009553D6"/>
    <w:pPr>
      <w:numPr>
        <w:numId w:val="7"/>
      </w:numPr>
    </w:pPr>
  </w:style>
  <w:style w:type="numbering" w:customStyle="1" w:styleId="Estiloimportado9">
    <w:name w:val="Estilo importado 9"/>
    <w:rsid w:val="009553D6"/>
  </w:style>
  <w:style w:type="numbering" w:customStyle="1" w:styleId="List9">
    <w:name w:val="List 9"/>
    <w:basedOn w:val="Estiloimportado10"/>
    <w:rsid w:val="009553D6"/>
    <w:pPr>
      <w:numPr>
        <w:numId w:val="24"/>
      </w:numPr>
    </w:pPr>
  </w:style>
  <w:style w:type="numbering" w:customStyle="1" w:styleId="Estiloimportado10">
    <w:name w:val="Estilo importado 10"/>
    <w:rsid w:val="009553D6"/>
  </w:style>
  <w:style w:type="numbering" w:customStyle="1" w:styleId="List10">
    <w:name w:val="List 10"/>
    <w:basedOn w:val="Estiloimportado11"/>
    <w:rsid w:val="009553D6"/>
    <w:pPr>
      <w:numPr>
        <w:numId w:val="8"/>
      </w:numPr>
    </w:pPr>
  </w:style>
  <w:style w:type="numbering" w:customStyle="1" w:styleId="Estiloimportado11">
    <w:name w:val="Estilo importado 11"/>
    <w:rsid w:val="009553D6"/>
  </w:style>
  <w:style w:type="numbering" w:customStyle="1" w:styleId="List11">
    <w:name w:val="List 11"/>
    <w:basedOn w:val="Estiloimportado12"/>
    <w:rsid w:val="009553D6"/>
    <w:pPr>
      <w:numPr>
        <w:numId w:val="9"/>
      </w:numPr>
    </w:pPr>
  </w:style>
  <w:style w:type="numbering" w:customStyle="1" w:styleId="Estiloimportado12">
    <w:name w:val="Estilo importado 12"/>
    <w:rsid w:val="009553D6"/>
  </w:style>
  <w:style w:type="numbering" w:customStyle="1" w:styleId="List12">
    <w:name w:val="List 12"/>
    <w:basedOn w:val="Estiloimportado13"/>
    <w:rsid w:val="009553D6"/>
    <w:pPr>
      <w:numPr>
        <w:numId w:val="38"/>
      </w:numPr>
    </w:pPr>
  </w:style>
  <w:style w:type="numbering" w:customStyle="1" w:styleId="Estiloimportado13">
    <w:name w:val="Estilo importado 13"/>
    <w:rsid w:val="009553D6"/>
  </w:style>
  <w:style w:type="numbering" w:customStyle="1" w:styleId="List13">
    <w:name w:val="List 13"/>
    <w:basedOn w:val="Estiloimportado14"/>
    <w:rsid w:val="009553D6"/>
    <w:pPr>
      <w:numPr>
        <w:numId w:val="44"/>
      </w:numPr>
    </w:pPr>
  </w:style>
  <w:style w:type="numbering" w:customStyle="1" w:styleId="Estiloimportado14">
    <w:name w:val="Estilo importado 14"/>
    <w:rsid w:val="009553D6"/>
  </w:style>
  <w:style w:type="numbering" w:customStyle="1" w:styleId="List14">
    <w:name w:val="List 14"/>
    <w:basedOn w:val="Estiloimportado15"/>
    <w:rsid w:val="009553D6"/>
    <w:pPr>
      <w:numPr>
        <w:numId w:val="19"/>
      </w:numPr>
    </w:pPr>
  </w:style>
  <w:style w:type="numbering" w:customStyle="1" w:styleId="Estiloimportado15">
    <w:name w:val="Estilo importado 15"/>
    <w:rsid w:val="009553D6"/>
  </w:style>
  <w:style w:type="numbering" w:customStyle="1" w:styleId="List15">
    <w:name w:val="List 15"/>
    <w:basedOn w:val="Estiloimportado16"/>
    <w:rsid w:val="009553D6"/>
    <w:pPr>
      <w:numPr>
        <w:numId w:val="18"/>
      </w:numPr>
    </w:pPr>
  </w:style>
  <w:style w:type="numbering" w:customStyle="1" w:styleId="Estiloimportado16">
    <w:name w:val="Estilo importado 16"/>
    <w:rsid w:val="009553D6"/>
  </w:style>
  <w:style w:type="numbering" w:customStyle="1" w:styleId="List16">
    <w:name w:val="List 16"/>
    <w:basedOn w:val="Estiloimportado16"/>
    <w:rsid w:val="009553D6"/>
    <w:pPr>
      <w:numPr>
        <w:numId w:val="12"/>
      </w:numPr>
    </w:pPr>
  </w:style>
  <w:style w:type="numbering" w:customStyle="1" w:styleId="List17">
    <w:name w:val="List 17"/>
    <w:basedOn w:val="Estiloimportado17"/>
    <w:rsid w:val="009553D6"/>
    <w:pPr>
      <w:numPr>
        <w:numId w:val="27"/>
      </w:numPr>
    </w:pPr>
  </w:style>
  <w:style w:type="numbering" w:customStyle="1" w:styleId="Estiloimportado17">
    <w:name w:val="Estilo importado 17"/>
    <w:rsid w:val="009553D6"/>
  </w:style>
  <w:style w:type="numbering" w:customStyle="1" w:styleId="List18">
    <w:name w:val="List 18"/>
    <w:basedOn w:val="Estiloimportado18"/>
    <w:rsid w:val="009553D6"/>
    <w:pPr>
      <w:numPr>
        <w:numId w:val="29"/>
      </w:numPr>
    </w:pPr>
  </w:style>
  <w:style w:type="numbering" w:customStyle="1" w:styleId="Estiloimportado18">
    <w:name w:val="Estilo importado 18"/>
    <w:rsid w:val="009553D6"/>
  </w:style>
  <w:style w:type="numbering" w:customStyle="1" w:styleId="List19">
    <w:name w:val="List 19"/>
    <w:basedOn w:val="Estiloimportado10"/>
    <w:rsid w:val="009553D6"/>
    <w:pPr>
      <w:numPr>
        <w:numId w:val="21"/>
      </w:numPr>
    </w:pPr>
  </w:style>
  <w:style w:type="numbering" w:customStyle="1" w:styleId="List20">
    <w:name w:val="List 20"/>
    <w:basedOn w:val="Estiloimportado12"/>
    <w:rsid w:val="009553D6"/>
    <w:pPr>
      <w:numPr>
        <w:numId w:val="45"/>
      </w:numPr>
    </w:pPr>
  </w:style>
  <w:style w:type="numbering" w:customStyle="1" w:styleId="List211">
    <w:name w:val="List 211"/>
    <w:basedOn w:val="Estiloimportado19"/>
    <w:rsid w:val="009553D6"/>
    <w:pPr>
      <w:numPr>
        <w:numId w:val="40"/>
      </w:numPr>
    </w:pPr>
  </w:style>
  <w:style w:type="numbering" w:customStyle="1" w:styleId="Estiloimportado19">
    <w:name w:val="Estilo importado 19"/>
    <w:rsid w:val="009553D6"/>
  </w:style>
  <w:style w:type="numbering" w:customStyle="1" w:styleId="List22">
    <w:name w:val="List 22"/>
    <w:basedOn w:val="Estiloimportado19"/>
    <w:rsid w:val="009553D6"/>
    <w:pPr>
      <w:numPr>
        <w:numId w:val="30"/>
      </w:numPr>
    </w:pPr>
  </w:style>
  <w:style w:type="numbering" w:customStyle="1" w:styleId="List23">
    <w:name w:val="List 23"/>
    <w:basedOn w:val="Estiloimportado19"/>
    <w:rsid w:val="009553D6"/>
    <w:pPr>
      <w:numPr>
        <w:numId w:val="20"/>
      </w:numPr>
    </w:pPr>
  </w:style>
  <w:style w:type="numbering" w:customStyle="1" w:styleId="List24">
    <w:name w:val="List 24"/>
    <w:basedOn w:val="Estiloimportado20"/>
    <w:rsid w:val="009553D6"/>
    <w:pPr>
      <w:numPr>
        <w:numId w:val="15"/>
      </w:numPr>
    </w:pPr>
  </w:style>
  <w:style w:type="numbering" w:customStyle="1" w:styleId="Estiloimportado20">
    <w:name w:val="Estilo importado 20"/>
    <w:rsid w:val="009553D6"/>
  </w:style>
  <w:style w:type="numbering" w:customStyle="1" w:styleId="List25">
    <w:name w:val="List 25"/>
    <w:basedOn w:val="Estiloimportado21"/>
    <w:rsid w:val="009553D6"/>
    <w:pPr>
      <w:numPr>
        <w:numId w:val="17"/>
      </w:numPr>
    </w:pPr>
  </w:style>
  <w:style w:type="numbering" w:customStyle="1" w:styleId="Estiloimportado21">
    <w:name w:val="Estilo importado 21"/>
    <w:rsid w:val="009553D6"/>
  </w:style>
  <w:style w:type="numbering" w:customStyle="1" w:styleId="List26">
    <w:name w:val="List 26"/>
    <w:basedOn w:val="Estiloimportado22"/>
    <w:rsid w:val="009553D6"/>
    <w:pPr>
      <w:numPr>
        <w:numId w:val="51"/>
      </w:numPr>
    </w:pPr>
  </w:style>
  <w:style w:type="numbering" w:customStyle="1" w:styleId="Estiloimportado22">
    <w:name w:val="Estilo importado 22"/>
    <w:rsid w:val="009553D6"/>
  </w:style>
  <w:style w:type="numbering" w:customStyle="1" w:styleId="List27">
    <w:name w:val="List 27"/>
    <w:basedOn w:val="Estiloimportado23"/>
    <w:rsid w:val="009553D6"/>
    <w:pPr>
      <w:numPr>
        <w:numId w:val="43"/>
      </w:numPr>
    </w:pPr>
  </w:style>
  <w:style w:type="numbering" w:customStyle="1" w:styleId="Estiloimportado23">
    <w:name w:val="Estilo importado 23"/>
    <w:rsid w:val="009553D6"/>
  </w:style>
  <w:style w:type="numbering" w:customStyle="1" w:styleId="List28">
    <w:name w:val="List 28"/>
    <w:basedOn w:val="Estiloimportado24"/>
    <w:rsid w:val="009553D6"/>
    <w:pPr>
      <w:numPr>
        <w:numId w:val="32"/>
      </w:numPr>
    </w:pPr>
  </w:style>
  <w:style w:type="numbering" w:customStyle="1" w:styleId="Estiloimportado24">
    <w:name w:val="Estilo importado 24"/>
    <w:rsid w:val="009553D6"/>
  </w:style>
  <w:style w:type="numbering" w:customStyle="1" w:styleId="List29">
    <w:name w:val="List 29"/>
    <w:basedOn w:val="Estiloimportado25"/>
    <w:rsid w:val="009553D6"/>
    <w:pPr>
      <w:numPr>
        <w:numId w:val="36"/>
      </w:numPr>
    </w:pPr>
  </w:style>
  <w:style w:type="numbering" w:customStyle="1" w:styleId="Estiloimportado25">
    <w:name w:val="Estilo importado 25"/>
    <w:rsid w:val="009553D6"/>
  </w:style>
  <w:style w:type="numbering" w:customStyle="1" w:styleId="List30">
    <w:name w:val="List 30"/>
    <w:basedOn w:val="Estiloimportado26"/>
    <w:rsid w:val="009553D6"/>
    <w:pPr>
      <w:numPr>
        <w:numId w:val="34"/>
      </w:numPr>
    </w:pPr>
  </w:style>
  <w:style w:type="numbering" w:customStyle="1" w:styleId="Estiloimportado26">
    <w:name w:val="Estilo importado 26"/>
    <w:rsid w:val="009553D6"/>
  </w:style>
  <w:style w:type="numbering" w:customStyle="1" w:styleId="List311">
    <w:name w:val="List 311"/>
    <w:basedOn w:val="Estiloimportado27"/>
    <w:rsid w:val="009553D6"/>
    <w:pPr>
      <w:numPr>
        <w:numId w:val="47"/>
      </w:numPr>
    </w:pPr>
  </w:style>
  <w:style w:type="numbering" w:customStyle="1" w:styleId="Estiloimportado27">
    <w:name w:val="Estilo importado 27"/>
    <w:rsid w:val="009553D6"/>
  </w:style>
  <w:style w:type="numbering" w:customStyle="1" w:styleId="List32">
    <w:name w:val="List 32"/>
    <w:basedOn w:val="Estiloimportado28"/>
    <w:rsid w:val="009553D6"/>
    <w:pPr>
      <w:numPr>
        <w:numId w:val="50"/>
      </w:numPr>
    </w:pPr>
  </w:style>
  <w:style w:type="numbering" w:customStyle="1" w:styleId="Estiloimportado28">
    <w:name w:val="Estilo importado 28"/>
    <w:rsid w:val="009553D6"/>
  </w:style>
  <w:style w:type="numbering" w:customStyle="1" w:styleId="List33">
    <w:name w:val="List 33"/>
    <w:basedOn w:val="Estiloimportado29"/>
    <w:rsid w:val="009553D6"/>
    <w:pPr>
      <w:numPr>
        <w:numId w:val="28"/>
      </w:numPr>
    </w:pPr>
  </w:style>
  <w:style w:type="numbering" w:customStyle="1" w:styleId="Estiloimportado29">
    <w:name w:val="Estilo importado 29"/>
    <w:rsid w:val="009553D6"/>
  </w:style>
  <w:style w:type="numbering" w:customStyle="1" w:styleId="List34">
    <w:name w:val="List 34"/>
    <w:basedOn w:val="Estiloimportado30"/>
    <w:rsid w:val="009553D6"/>
    <w:pPr>
      <w:numPr>
        <w:numId w:val="13"/>
      </w:numPr>
    </w:pPr>
  </w:style>
  <w:style w:type="numbering" w:customStyle="1" w:styleId="Estiloimportado30">
    <w:name w:val="Estilo importado 30"/>
    <w:rsid w:val="009553D6"/>
  </w:style>
  <w:style w:type="numbering" w:customStyle="1" w:styleId="List35">
    <w:name w:val="List 35"/>
    <w:basedOn w:val="Estiloimportado31"/>
    <w:rsid w:val="009553D6"/>
    <w:pPr>
      <w:numPr>
        <w:numId w:val="10"/>
      </w:numPr>
    </w:pPr>
  </w:style>
  <w:style w:type="numbering" w:customStyle="1" w:styleId="Estiloimportado31">
    <w:name w:val="Estilo importado 31"/>
    <w:rsid w:val="009553D6"/>
  </w:style>
  <w:style w:type="numbering" w:customStyle="1" w:styleId="List36">
    <w:name w:val="List 36"/>
    <w:basedOn w:val="Estiloimportado32"/>
    <w:rsid w:val="009553D6"/>
    <w:pPr>
      <w:numPr>
        <w:numId w:val="16"/>
      </w:numPr>
    </w:pPr>
  </w:style>
  <w:style w:type="numbering" w:customStyle="1" w:styleId="Estiloimportado32">
    <w:name w:val="Estilo importado 32"/>
    <w:rsid w:val="009553D6"/>
  </w:style>
  <w:style w:type="numbering" w:customStyle="1" w:styleId="List37">
    <w:name w:val="List 37"/>
    <w:basedOn w:val="Estiloimportado33"/>
    <w:rsid w:val="009553D6"/>
    <w:pPr>
      <w:numPr>
        <w:numId w:val="49"/>
      </w:numPr>
    </w:pPr>
  </w:style>
  <w:style w:type="numbering" w:customStyle="1" w:styleId="Estiloimportado33">
    <w:name w:val="Estilo importado 33"/>
    <w:rsid w:val="009553D6"/>
  </w:style>
  <w:style w:type="numbering" w:customStyle="1" w:styleId="List38">
    <w:name w:val="List 38"/>
    <w:basedOn w:val="Estiloimportado34"/>
    <w:rsid w:val="009553D6"/>
    <w:pPr>
      <w:numPr>
        <w:numId w:val="37"/>
      </w:numPr>
    </w:pPr>
  </w:style>
  <w:style w:type="numbering" w:customStyle="1" w:styleId="Estiloimportado34">
    <w:name w:val="Estilo importado 34"/>
    <w:rsid w:val="009553D6"/>
  </w:style>
  <w:style w:type="numbering" w:customStyle="1" w:styleId="List39">
    <w:name w:val="List 39"/>
    <w:basedOn w:val="Estiloimportado35"/>
    <w:rsid w:val="009553D6"/>
    <w:pPr>
      <w:numPr>
        <w:numId w:val="48"/>
      </w:numPr>
    </w:pPr>
  </w:style>
  <w:style w:type="numbering" w:customStyle="1" w:styleId="Estiloimportado35">
    <w:name w:val="Estilo importado 35"/>
    <w:rsid w:val="009553D6"/>
  </w:style>
  <w:style w:type="numbering" w:customStyle="1" w:styleId="List40">
    <w:name w:val="List 40"/>
    <w:basedOn w:val="Estiloimportado36"/>
    <w:rsid w:val="009553D6"/>
    <w:pPr>
      <w:numPr>
        <w:numId w:val="23"/>
      </w:numPr>
    </w:pPr>
  </w:style>
  <w:style w:type="numbering" w:customStyle="1" w:styleId="Estiloimportado36">
    <w:name w:val="Estilo importado 36"/>
    <w:rsid w:val="009553D6"/>
  </w:style>
  <w:style w:type="numbering" w:customStyle="1" w:styleId="List411">
    <w:name w:val="List 411"/>
    <w:basedOn w:val="Estiloimportado37"/>
    <w:rsid w:val="009553D6"/>
    <w:pPr>
      <w:numPr>
        <w:numId w:val="46"/>
      </w:numPr>
    </w:pPr>
  </w:style>
  <w:style w:type="numbering" w:customStyle="1" w:styleId="Estiloimportado37">
    <w:name w:val="Estilo importado 37"/>
    <w:rsid w:val="009553D6"/>
  </w:style>
  <w:style w:type="numbering" w:customStyle="1" w:styleId="List42">
    <w:name w:val="List 42"/>
    <w:basedOn w:val="Estiloimportado12"/>
    <w:rsid w:val="009553D6"/>
    <w:pPr>
      <w:numPr>
        <w:numId w:val="14"/>
      </w:numPr>
    </w:pPr>
  </w:style>
  <w:style w:type="numbering" w:customStyle="1" w:styleId="List43">
    <w:name w:val="List 43"/>
    <w:basedOn w:val="Estiloimportado38"/>
    <w:rsid w:val="009553D6"/>
    <w:pPr>
      <w:numPr>
        <w:numId w:val="25"/>
      </w:numPr>
    </w:pPr>
  </w:style>
  <w:style w:type="numbering" w:customStyle="1" w:styleId="Estiloimportado38">
    <w:name w:val="Estilo importado 38"/>
    <w:rsid w:val="009553D6"/>
  </w:style>
  <w:style w:type="numbering" w:customStyle="1" w:styleId="List44">
    <w:name w:val="List 44"/>
    <w:basedOn w:val="Estiloimportado39"/>
    <w:rsid w:val="009553D6"/>
    <w:pPr>
      <w:numPr>
        <w:numId w:val="42"/>
      </w:numPr>
    </w:pPr>
  </w:style>
  <w:style w:type="numbering" w:customStyle="1" w:styleId="Estiloimportado39">
    <w:name w:val="Estilo importado 39"/>
    <w:rsid w:val="009553D6"/>
  </w:style>
  <w:style w:type="numbering" w:customStyle="1" w:styleId="List45">
    <w:name w:val="List 45"/>
    <w:basedOn w:val="Estiloimportado40"/>
    <w:rsid w:val="009553D6"/>
    <w:pPr>
      <w:numPr>
        <w:numId w:val="22"/>
      </w:numPr>
    </w:pPr>
  </w:style>
  <w:style w:type="numbering" w:customStyle="1" w:styleId="Estiloimportado40">
    <w:name w:val="Estilo importado 40"/>
    <w:rsid w:val="009553D6"/>
  </w:style>
  <w:style w:type="numbering" w:customStyle="1" w:styleId="List46">
    <w:name w:val="List 46"/>
    <w:basedOn w:val="Estiloimportado41"/>
    <w:rsid w:val="009553D6"/>
    <w:pPr>
      <w:numPr>
        <w:numId w:val="26"/>
      </w:numPr>
    </w:pPr>
  </w:style>
  <w:style w:type="numbering" w:customStyle="1" w:styleId="Estiloimportado41">
    <w:name w:val="Estilo importado 41"/>
    <w:rsid w:val="009553D6"/>
  </w:style>
  <w:style w:type="numbering" w:customStyle="1" w:styleId="List47">
    <w:name w:val="List 47"/>
    <w:basedOn w:val="Estiloimportado42"/>
    <w:rsid w:val="009553D6"/>
    <w:pPr>
      <w:numPr>
        <w:numId w:val="31"/>
      </w:numPr>
    </w:pPr>
  </w:style>
  <w:style w:type="numbering" w:customStyle="1" w:styleId="Estiloimportado42">
    <w:name w:val="Estilo importado 42"/>
    <w:rsid w:val="009553D6"/>
  </w:style>
  <w:style w:type="numbering" w:customStyle="1" w:styleId="List48">
    <w:name w:val="List 48"/>
    <w:basedOn w:val="Estiloimportado43"/>
    <w:rsid w:val="009553D6"/>
    <w:pPr>
      <w:numPr>
        <w:numId w:val="52"/>
      </w:numPr>
    </w:pPr>
  </w:style>
  <w:style w:type="numbering" w:customStyle="1" w:styleId="Estiloimportado43">
    <w:name w:val="Estilo importado 43"/>
    <w:rsid w:val="009553D6"/>
  </w:style>
  <w:style w:type="numbering" w:customStyle="1" w:styleId="List49">
    <w:name w:val="List 49"/>
    <w:basedOn w:val="Estiloimportado44"/>
    <w:rsid w:val="009553D6"/>
    <w:pPr>
      <w:numPr>
        <w:numId w:val="41"/>
      </w:numPr>
    </w:pPr>
  </w:style>
  <w:style w:type="numbering" w:customStyle="1" w:styleId="Estiloimportado44">
    <w:name w:val="Estilo importado 44"/>
    <w:rsid w:val="009553D6"/>
  </w:style>
  <w:style w:type="numbering" w:customStyle="1" w:styleId="List50">
    <w:name w:val="List 50"/>
    <w:basedOn w:val="Estiloimportado45"/>
    <w:rsid w:val="009553D6"/>
    <w:pPr>
      <w:numPr>
        <w:numId w:val="39"/>
      </w:numPr>
    </w:pPr>
  </w:style>
  <w:style w:type="numbering" w:customStyle="1" w:styleId="Estiloimportado45">
    <w:name w:val="Estilo importado 45"/>
    <w:rsid w:val="009553D6"/>
  </w:style>
  <w:style w:type="numbering" w:customStyle="1" w:styleId="List511">
    <w:name w:val="List 511"/>
    <w:basedOn w:val="Estiloimportado46"/>
    <w:rsid w:val="009553D6"/>
    <w:pPr>
      <w:numPr>
        <w:numId w:val="35"/>
      </w:numPr>
    </w:pPr>
  </w:style>
  <w:style w:type="numbering" w:customStyle="1" w:styleId="Estiloimportado46">
    <w:name w:val="Estilo importado 46"/>
    <w:rsid w:val="009553D6"/>
  </w:style>
  <w:style w:type="numbering" w:customStyle="1" w:styleId="List52">
    <w:name w:val="List 52"/>
    <w:basedOn w:val="Estiloimportado1"/>
    <w:rsid w:val="009553D6"/>
    <w:pPr>
      <w:numPr>
        <w:numId w:val="11"/>
      </w:numPr>
    </w:pPr>
  </w:style>
  <w:style w:type="table" w:styleId="Sombreadomedio1-nfasis2">
    <w:name w:val="Medium Shading 1 Accent 2"/>
    <w:basedOn w:val="Tablanormal"/>
    <w:uiPriority w:val="63"/>
    <w:rsid w:val="009553D6"/>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DC2">
    <w:name w:val="toc 2"/>
    <w:basedOn w:val="Normal"/>
    <w:next w:val="Normal"/>
    <w:autoRedefine/>
    <w:uiPriority w:val="39"/>
    <w:unhideWhenUsed/>
    <w:rsid w:val="009553D6"/>
    <w:pPr>
      <w:pBdr>
        <w:top w:val="nil"/>
        <w:left w:val="nil"/>
        <w:bottom w:val="nil"/>
        <w:right w:val="nil"/>
        <w:between w:val="nil"/>
        <w:bar w:val="nil"/>
      </w:pBdr>
      <w:tabs>
        <w:tab w:val="left" w:pos="1440"/>
        <w:tab w:val="right" w:leader="dot" w:pos="9350"/>
      </w:tabs>
      <w:spacing w:after="100"/>
      <w:ind w:left="1440" w:hanging="720"/>
      <w:jc w:val="left"/>
    </w:pPr>
    <w:rPr>
      <w:rFonts w:ascii="Times New Roman" w:eastAsia="Arial Unicode MS" w:hAnsi="Times New Roman" w:cs="Times New Roman"/>
      <w:sz w:val="24"/>
      <w:szCs w:val="24"/>
      <w:bdr w:val="nil"/>
      <w:lang w:val="es-ES_tradnl"/>
    </w:rPr>
  </w:style>
  <w:style w:type="paragraph" w:styleId="TDC1">
    <w:name w:val="toc 1"/>
    <w:basedOn w:val="Normal"/>
    <w:next w:val="Normal"/>
    <w:autoRedefine/>
    <w:uiPriority w:val="39"/>
    <w:unhideWhenUsed/>
    <w:rsid w:val="00775EBB"/>
    <w:pPr>
      <w:pBdr>
        <w:top w:val="nil"/>
        <w:left w:val="nil"/>
        <w:bottom w:val="nil"/>
        <w:right w:val="nil"/>
        <w:between w:val="nil"/>
        <w:bar w:val="nil"/>
      </w:pBdr>
      <w:tabs>
        <w:tab w:val="left" w:pos="720"/>
        <w:tab w:val="right" w:leader="dot" w:pos="9923"/>
      </w:tabs>
      <w:spacing w:after="100"/>
    </w:pPr>
    <w:rPr>
      <w:rFonts w:ascii="Cambria" w:eastAsia="Arial Unicode MS" w:hAnsi="Cambria" w:cs="Times New Roman"/>
      <w:b/>
      <w:noProof/>
      <w:szCs w:val="20"/>
      <w:bdr w:val="nil"/>
      <w:lang w:val="es-PE"/>
    </w:rPr>
  </w:style>
  <w:style w:type="paragraph" w:styleId="TDC3">
    <w:name w:val="toc 3"/>
    <w:basedOn w:val="Normal"/>
    <w:next w:val="Normal"/>
    <w:autoRedefine/>
    <w:uiPriority w:val="39"/>
    <w:unhideWhenUsed/>
    <w:rsid w:val="009553D6"/>
    <w:pPr>
      <w:pBdr>
        <w:top w:val="nil"/>
        <w:left w:val="nil"/>
        <w:bottom w:val="nil"/>
        <w:right w:val="nil"/>
        <w:between w:val="nil"/>
        <w:bar w:val="nil"/>
      </w:pBdr>
      <w:tabs>
        <w:tab w:val="left" w:pos="880"/>
        <w:tab w:val="right" w:leader="dot" w:pos="9350"/>
      </w:tabs>
      <w:spacing w:after="100"/>
      <w:ind w:left="2160" w:hanging="720"/>
      <w:jc w:val="left"/>
    </w:pPr>
    <w:rPr>
      <w:rFonts w:ascii="Times New Roman" w:eastAsia="Arial Unicode MS" w:hAnsi="Times New Roman" w:cs="Times New Roman"/>
      <w:sz w:val="24"/>
      <w:szCs w:val="24"/>
      <w:bdr w:val="nil"/>
      <w:lang w:val="es-ES_tradnl"/>
    </w:rPr>
  </w:style>
  <w:style w:type="paragraph" w:styleId="TDC4">
    <w:name w:val="toc 4"/>
    <w:basedOn w:val="Normal"/>
    <w:next w:val="Normal"/>
    <w:autoRedefine/>
    <w:uiPriority w:val="39"/>
    <w:unhideWhenUsed/>
    <w:rsid w:val="009553D6"/>
    <w:pPr>
      <w:pBdr>
        <w:top w:val="nil"/>
        <w:left w:val="nil"/>
        <w:bottom w:val="nil"/>
        <w:right w:val="nil"/>
        <w:between w:val="nil"/>
        <w:bar w:val="nil"/>
      </w:pBdr>
      <w:spacing w:after="100"/>
      <w:ind w:left="720"/>
      <w:jc w:val="left"/>
    </w:pPr>
    <w:rPr>
      <w:rFonts w:ascii="Times New Roman" w:eastAsia="Arial Unicode MS" w:hAnsi="Times New Roman" w:cs="Times New Roman"/>
      <w:sz w:val="24"/>
      <w:szCs w:val="24"/>
      <w:bdr w:val="nil"/>
      <w:lang w:val="es-ES_tradnl"/>
    </w:rPr>
  </w:style>
  <w:style w:type="character" w:styleId="Nmerodepgina">
    <w:name w:val="page number"/>
    <w:basedOn w:val="Fuentedeprrafopredeter"/>
    <w:rsid w:val="009553D6"/>
  </w:style>
  <w:style w:type="paragraph" w:styleId="Sangra2detindependiente">
    <w:name w:val="Body Text Indent 2"/>
    <w:basedOn w:val="Normal"/>
    <w:link w:val="Sangra2detindependienteCar"/>
    <w:unhideWhenUsed/>
    <w:rsid w:val="009553D6"/>
    <w:pPr>
      <w:pBdr>
        <w:top w:val="nil"/>
        <w:left w:val="nil"/>
        <w:bottom w:val="nil"/>
        <w:right w:val="nil"/>
        <w:between w:val="nil"/>
        <w:bar w:val="nil"/>
      </w:pBdr>
      <w:spacing w:after="120" w:line="480" w:lineRule="auto"/>
      <w:ind w:left="360"/>
      <w:jc w:val="left"/>
    </w:pPr>
    <w:rPr>
      <w:rFonts w:ascii="Times New Roman" w:eastAsia="Arial Unicode MS" w:hAnsi="Times New Roman" w:cs="Times New Roman"/>
      <w:sz w:val="24"/>
      <w:szCs w:val="24"/>
      <w:bdr w:val="nil"/>
      <w:lang w:val="es-ES_tradnl"/>
    </w:rPr>
  </w:style>
  <w:style w:type="character" w:customStyle="1" w:styleId="Sangra2detindependienteCar">
    <w:name w:val="Sangría 2 de t. independiente Car"/>
    <w:basedOn w:val="Fuentedeprrafopredeter"/>
    <w:link w:val="Sangra2detindependiente"/>
    <w:rsid w:val="009553D6"/>
    <w:rPr>
      <w:rFonts w:ascii="Times New Roman" w:eastAsia="Arial Unicode MS" w:hAnsi="Times New Roman" w:cs="Times New Roman"/>
      <w:sz w:val="24"/>
      <w:szCs w:val="24"/>
      <w:bdr w:val="nil"/>
      <w:lang w:val="es-ES_tradnl"/>
    </w:rPr>
  </w:style>
  <w:style w:type="paragraph" w:styleId="Textoindependiente">
    <w:name w:val="Body Text"/>
    <w:basedOn w:val="Normal"/>
    <w:link w:val="TextoindependienteCar"/>
    <w:uiPriority w:val="99"/>
    <w:unhideWhenUsed/>
    <w:rsid w:val="009553D6"/>
    <w:pPr>
      <w:pBdr>
        <w:top w:val="nil"/>
        <w:left w:val="nil"/>
        <w:bottom w:val="nil"/>
        <w:right w:val="nil"/>
        <w:between w:val="nil"/>
        <w:bar w:val="nil"/>
      </w:pBdr>
      <w:spacing w:after="120"/>
      <w:jc w:val="left"/>
    </w:pPr>
    <w:rPr>
      <w:rFonts w:ascii="Times New Roman" w:eastAsia="Arial Unicode MS" w:hAnsi="Times New Roman" w:cs="Times New Roman"/>
      <w:sz w:val="24"/>
      <w:szCs w:val="24"/>
      <w:bdr w:val="nil"/>
      <w:lang w:val="es-ES_tradnl"/>
    </w:rPr>
  </w:style>
  <w:style w:type="character" w:customStyle="1" w:styleId="TextoindependienteCar">
    <w:name w:val="Texto independiente Car"/>
    <w:basedOn w:val="Fuentedeprrafopredeter"/>
    <w:link w:val="Textoindependiente"/>
    <w:uiPriority w:val="99"/>
    <w:rsid w:val="009553D6"/>
    <w:rPr>
      <w:rFonts w:ascii="Times New Roman" w:eastAsia="Arial Unicode MS" w:hAnsi="Times New Roman" w:cs="Times New Roman"/>
      <w:sz w:val="24"/>
      <w:szCs w:val="24"/>
      <w:bdr w:val="nil"/>
      <w:lang w:val="es-ES_tradnl"/>
    </w:rPr>
  </w:style>
  <w:style w:type="paragraph" w:customStyle="1" w:styleId="Default">
    <w:name w:val="Default"/>
    <w:link w:val="DefaultChar"/>
    <w:rsid w:val="009553D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notaalfinal">
    <w:name w:val="endnote text"/>
    <w:basedOn w:val="Normal"/>
    <w:link w:val="TextonotaalfinalCar1"/>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TextonotaalfinalCar1">
    <w:name w:val="Texto nota al final Car1"/>
    <w:basedOn w:val="Fuentedeprrafopredeter"/>
    <w:link w:val="Textonotaalfinal"/>
    <w:rsid w:val="009553D6"/>
    <w:rPr>
      <w:rFonts w:ascii="Times New Roman" w:eastAsia="Times New Roman" w:hAnsi="Times New Roman" w:cs="Times New Roman"/>
      <w:sz w:val="24"/>
      <w:szCs w:val="24"/>
      <w:lang w:val="es-ES_tradnl"/>
    </w:rPr>
  </w:style>
  <w:style w:type="character" w:customStyle="1" w:styleId="DefaultChar">
    <w:name w:val="Default Char"/>
    <w:link w:val="Default"/>
    <w:rsid w:val="009553D6"/>
    <w:rPr>
      <w:rFonts w:ascii="Times New Roman" w:eastAsia="Times New Roman" w:hAnsi="Times New Roman" w:cs="Times New Roman"/>
      <w:color w:val="000000"/>
      <w:sz w:val="24"/>
      <w:szCs w:val="24"/>
      <w:lang w:val="en-US"/>
    </w:rPr>
  </w:style>
  <w:style w:type="paragraph" w:styleId="Subttulo">
    <w:name w:val="Subtitle"/>
    <w:basedOn w:val="Normal"/>
    <w:link w:val="SubttuloCar"/>
    <w:qFormat/>
    <w:rsid w:val="009553D6"/>
    <w:pPr>
      <w:suppressAutoHyphens/>
      <w:spacing w:after="60"/>
      <w:jc w:val="center"/>
      <w:outlineLvl w:val="1"/>
    </w:pPr>
    <w:rPr>
      <w:rFonts w:ascii="Arial" w:eastAsia="MS Mincho" w:hAnsi="Arial" w:cs="Arial"/>
      <w:sz w:val="24"/>
      <w:szCs w:val="24"/>
      <w:lang w:val="es-ES_tradnl" w:eastAsia="ar-SA"/>
    </w:rPr>
  </w:style>
  <w:style w:type="character" w:customStyle="1" w:styleId="SubttuloCar">
    <w:name w:val="Subtítulo Car"/>
    <w:basedOn w:val="Fuentedeprrafopredeter"/>
    <w:link w:val="Subttulo"/>
    <w:rsid w:val="009553D6"/>
    <w:rPr>
      <w:rFonts w:ascii="Arial" w:eastAsia="MS Mincho" w:hAnsi="Arial" w:cs="Arial"/>
      <w:sz w:val="24"/>
      <w:szCs w:val="24"/>
      <w:lang w:val="es-ES_tradnl" w:eastAsia="ar-SA"/>
    </w:rPr>
  </w:style>
  <w:style w:type="paragraph" w:styleId="Sangra3detindependiente">
    <w:name w:val="Body Text Indent 3"/>
    <w:basedOn w:val="Normal"/>
    <w:link w:val="Sangra3detindependienteCar"/>
    <w:rsid w:val="009553D6"/>
    <w:pPr>
      <w:suppressAutoHyphens/>
      <w:spacing w:after="120"/>
      <w:ind w:left="360"/>
      <w:jc w:val="left"/>
    </w:pPr>
    <w:rPr>
      <w:rFonts w:ascii="Times New Roman" w:eastAsia="MS Mincho" w:hAnsi="Times New Roman" w:cs="Times New Roman"/>
      <w:sz w:val="16"/>
      <w:szCs w:val="16"/>
      <w:lang w:val="es-ES_tradnl" w:eastAsia="ar-SA"/>
    </w:rPr>
  </w:style>
  <w:style w:type="character" w:customStyle="1" w:styleId="Sangra3detindependienteCar">
    <w:name w:val="Sangría 3 de t. independiente Car"/>
    <w:basedOn w:val="Fuentedeprrafopredeter"/>
    <w:link w:val="Sangra3detindependiente"/>
    <w:rsid w:val="009553D6"/>
    <w:rPr>
      <w:rFonts w:ascii="Times New Roman" w:eastAsia="MS Mincho" w:hAnsi="Times New Roman" w:cs="Times New Roman"/>
      <w:sz w:val="16"/>
      <w:szCs w:val="16"/>
      <w:lang w:val="es-ES_tradnl" w:eastAsia="ar-SA"/>
    </w:rPr>
  </w:style>
  <w:style w:type="paragraph" w:styleId="HTMLconformatoprevio">
    <w:name w:val="HTML Preformatted"/>
    <w:basedOn w:val="Normal"/>
    <w:link w:val="HTMLconformatoprevioCar"/>
    <w:rsid w:val="0095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S_tradnl"/>
    </w:rPr>
  </w:style>
  <w:style w:type="character" w:customStyle="1" w:styleId="HTMLconformatoprevioCar">
    <w:name w:val="HTML con formato previo Car"/>
    <w:basedOn w:val="Fuentedeprrafopredeter"/>
    <w:link w:val="HTMLconformatoprevio"/>
    <w:rsid w:val="009553D6"/>
    <w:rPr>
      <w:rFonts w:ascii="Courier New" w:eastAsia="Times New Roman" w:hAnsi="Courier New" w:cs="Courier New"/>
      <w:sz w:val="20"/>
      <w:szCs w:val="20"/>
      <w:lang w:val="es-ES_tradnl"/>
    </w:rPr>
  </w:style>
  <w:style w:type="paragraph" w:styleId="Textodebloque">
    <w:name w:val="Block Text"/>
    <w:basedOn w:val="Normal"/>
    <w:rsid w:val="009553D6"/>
    <w:pPr>
      <w:ind w:left="720" w:right="720"/>
    </w:pPr>
    <w:rPr>
      <w:rFonts w:ascii="Univers" w:eastAsia="Times New Roman" w:hAnsi="Univers" w:cs="Times New Roman"/>
      <w:sz w:val="18"/>
      <w:szCs w:val="20"/>
      <w:lang w:val="es-ES_tradnl"/>
    </w:rPr>
  </w:style>
  <w:style w:type="paragraph" w:customStyle="1" w:styleId="Textonotapie1">
    <w:name w:val="Texto nota pie1"/>
    <w:basedOn w:val="Normal"/>
    <w:semiHidden/>
    <w:rsid w:val="009553D6"/>
    <w:pPr>
      <w:jc w:val="left"/>
    </w:pPr>
    <w:rPr>
      <w:rFonts w:ascii="Times New Roman" w:eastAsia="Times New Roman" w:hAnsi="Times New Roman" w:cs="Times New Roman"/>
      <w:szCs w:val="20"/>
      <w:lang w:val="es-ES_tradnl" w:eastAsia="es-ES"/>
    </w:rPr>
  </w:style>
  <w:style w:type="character" w:styleId="Hipervnculovisitado">
    <w:name w:val="FollowedHyperlink"/>
    <w:rsid w:val="009553D6"/>
    <w:rPr>
      <w:color w:val="800080"/>
      <w:u w:val="single"/>
    </w:rPr>
  </w:style>
  <w:style w:type="character" w:customStyle="1" w:styleId="apple-converted-space">
    <w:name w:val="apple-converted-space"/>
    <w:basedOn w:val="Fuentedeprrafopredeter"/>
    <w:rsid w:val="009553D6"/>
  </w:style>
  <w:style w:type="paragraph" w:styleId="Textoindependiente2">
    <w:name w:val="Body Text 2"/>
    <w:basedOn w:val="Normal"/>
    <w:link w:val="Textoindependiente2Car"/>
    <w:uiPriority w:val="99"/>
    <w:semiHidden/>
    <w:unhideWhenUsed/>
    <w:rsid w:val="009553D6"/>
    <w:pPr>
      <w:pBdr>
        <w:top w:val="nil"/>
        <w:left w:val="nil"/>
        <w:bottom w:val="nil"/>
        <w:right w:val="nil"/>
        <w:between w:val="nil"/>
        <w:bar w:val="nil"/>
      </w:pBdr>
      <w:spacing w:after="120" w:line="480" w:lineRule="auto"/>
      <w:jc w:val="left"/>
    </w:pPr>
    <w:rPr>
      <w:rFonts w:ascii="Times New Roman" w:eastAsia="Arial Unicode MS" w:hAnsi="Times New Roman" w:cs="Times New Roman"/>
      <w:sz w:val="24"/>
      <w:szCs w:val="24"/>
      <w:bdr w:val="nil"/>
      <w:lang w:val="es-ES_tradnl"/>
    </w:rPr>
  </w:style>
  <w:style w:type="character" w:customStyle="1" w:styleId="Textoindependiente2Car">
    <w:name w:val="Texto independiente 2 Car"/>
    <w:basedOn w:val="Fuentedeprrafopredeter"/>
    <w:link w:val="Textoindependiente2"/>
    <w:uiPriority w:val="99"/>
    <w:semiHidden/>
    <w:rsid w:val="009553D6"/>
    <w:rPr>
      <w:rFonts w:ascii="Times New Roman" w:eastAsia="Arial Unicode MS" w:hAnsi="Times New Roman" w:cs="Times New Roman"/>
      <w:sz w:val="24"/>
      <w:szCs w:val="24"/>
      <w:bdr w:val="nil"/>
      <w:lang w:val="es-ES_tradnl"/>
    </w:rPr>
  </w:style>
  <w:style w:type="paragraph" w:customStyle="1" w:styleId="yiv1126921495msonormal">
    <w:name w:val="yiv1126921495msonormal"/>
    <w:basedOn w:val="Normal"/>
    <w:rsid w:val="009553D6"/>
    <w:pPr>
      <w:spacing w:before="100" w:beforeAutospacing="1" w:after="100" w:afterAutospacing="1"/>
      <w:jc w:val="left"/>
    </w:pPr>
    <w:rPr>
      <w:rFonts w:ascii="Times New Roman" w:eastAsia="Times New Roman" w:hAnsi="Times New Roman" w:cs="Times New Roman"/>
      <w:sz w:val="24"/>
      <w:szCs w:val="24"/>
      <w:lang w:val="es-ES_tradnl"/>
    </w:rPr>
  </w:style>
  <w:style w:type="character" w:customStyle="1" w:styleId="ColorfulList-Accent1Char">
    <w:name w:val="Colorful List - Accent 1 Char"/>
    <w:rsid w:val="009553D6"/>
    <w:rPr>
      <w:rFonts w:ascii="Cambria" w:eastAsia="Cambria" w:hAnsi="Cambria" w:cs="Cambria"/>
      <w:color w:val="000000"/>
      <w:sz w:val="24"/>
      <w:szCs w:val="24"/>
      <w:u w:color="000000"/>
      <w:bdr w:val="nil"/>
      <w:lang w:val="en-US" w:eastAsia="es-ES"/>
    </w:rPr>
  </w:style>
  <w:style w:type="character" w:customStyle="1" w:styleId="BookTitle1">
    <w:name w:val="Book Title1"/>
    <w:uiPriority w:val="33"/>
    <w:qFormat/>
    <w:rsid w:val="009553D6"/>
    <w:rPr>
      <w:b/>
      <w:bCs/>
      <w:smallCaps/>
      <w:spacing w:val="5"/>
    </w:rPr>
  </w:style>
  <w:style w:type="paragraph" w:customStyle="1" w:styleId="ColorfulList-Accent12">
    <w:name w:val="Colorful List - Accent 12"/>
    <w:basedOn w:val="Normal"/>
    <w:uiPriority w:val="72"/>
    <w:qFormat/>
    <w:rsid w:val="009553D6"/>
    <w:pPr>
      <w:pBdr>
        <w:top w:val="nil"/>
        <w:left w:val="nil"/>
        <w:bottom w:val="nil"/>
        <w:right w:val="nil"/>
        <w:between w:val="nil"/>
        <w:bar w:val="nil"/>
      </w:pBdr>
      <w:ind w:left="720"/>
      <w:jc w:val="left"/>
    </w:pPr>
    <w:rPr>
      <w:rFonts w:ascii="Times New Roman" w:eastAsia="Arial Unicode MS" w:hAnsi="Times New Roman" w:cs="Times New Roman"/>
      <w:sz w:val="24"/>
      <w:szCs w:val="24"/>
      <w:bdr w:val="nil"/>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9553D6"/>
    <w:rPr>
      <w:rFonts w:ascii="Univers" w:hAnsi="Univers" w:cs="Times New Roman"/>
      <w:lang w:val="en-US" w:eastAsia="en-US" w:bidi="ar-SA"/>
    </w:rPr>
  </w:style>
  <w:style w:type="character" w:customStyle="1" w:styleId="st1">
    <w:name w:val="st1"/>
    <w:rsid w:val="009553D6"/>
  </w:style>
  <w:style w:type="paragraph" w:styleId="Textoindependiente3">
    <w:name w:val="Body Text 3"/>
    <w:basedOn w:val="Normal"/>
    <w:link w:val="Textoindependiente3Car"/>
    <w:uiPriority w:val="99"/>
    <w:unhideWhenUsed/>
    <w:rsid w:val="009553D6"/>
    <w:pPr>
      <w:autoSpaceDE w:val="0"/>
      <w:autoSpaceDN w:val="0"/>
      <w:adjustRightInd w:val="0"/>
    </w:pPr>
    <w:rPr>
      <w:rFonts w:eastAsia="Arial Unicode MS" w:cs="Arial"/>
      <w:szCs w:val="20"/>
      <w:lang w:val="es-CR" w:eastAsia="es-CR"/>
    </w:rPr>
  </w:style>
  <w:style w:type="character" w:customStyle="1" w:styleId="Textoindependiente3Car">
    <w:name w:val="Texto independiente 3 Car"/>
    <w:basedOn w:val="Fuentedeprrafopredeter"/>
    <w:link w:val="Textoindependiente3"/>
    <w:uiPriority w:val="99"/>
    <w:rsid w:val="009553D6"/>
    <w:rPr>
      <w:rFonts w:ascii="Verdana" w:eastAsia="Arial Unicode MS" w:hAnsi="Verdana" w:cs="Arial"/>
      <w:sz w:val="20"/>
      <w:szCs w:val="20"/>
      <w:lang w:eastAsia="es-CR"/>
    </w:rPr>
  </w:style>
  <w:style w:type="character" w:customStyle="1" w:styleId="Ttulo7Car">
    <w:name w:val="Título 7 Car"/>
    <w:basedOn w:val="Fuentedeprrafopredeter"/>
    <w:link w:val="Ttulo7"/>
    <w:uiPriority w:val="9"/>
    <w:rsid w:val="0054079F"/>
    <w:rPr>
      <w:rFonts w:ascii="Verdana" w:eastAsia="Times New Roman" w:hAnsi="Verdana" w:cs="Times New Roman"/>
      <w:b/>
      <w:bCs/>
      <w:sz w:val="20"/>
      <w:szCs w:val="20"/>
      <w:lang w:val="es-ES_tradnl"/>
    </w:rPr>
  </w:style>
  <w:style w:type="character" w:customStyle="1" w:styleId="Ttulo8Car">
    <w:name w:val="Título 8 Car"/>
    <w:basedOn w:val="Fuentedeprrafopredeter"/>
    <w:link w:val="Ttulo8"/>
    <w:uiPriority w:val="9"/>
    <w:rsid w:val="0054079F"/>
    <w:rPr>
      <w:rFonts w:ascii="Verdana" w:eastAsia="Times New Roman" w:hAnsi="Verdana" w:cs="Times New Roman"/>
      <w:b/>
      <w:sz w:val="20"/>
      <w:szCs w:val="20"/>
      <w:lang w:val="es-MX"/>
    </w:rPr>
  </w:style>
  <w:style w:type="character" w:customStyle="1" w:styleId="sb8d990e2">
    <w:name w:val="sb8d990e2"/>
    <w:basedOn w:val="Fuentedeprrafopredeter"/>
    <w:rsid w:val="0054079F"/>
  </w:style>
  <w:style w:type="character" w:customStyle="1" w:styleId="s6b621b36">
    <w:name w:val="s6b621b36"/>
    <w:basedOn w:val="Fuentedeprrafopredeter"/>
    <w:rsid w:val="0054079F"/>
  </w:style>
  <w:style w:type="character" w:customStyle="1" w:styleId="column">
    <w:name w:val="column"/>
    <w:basedOn w:val="Fuentedeprrafopredeter"/>
    <w:rsid w:val="0054079F"/>
  </w:style>
  <w:style w:type="paragraph" w:customStyle="1" w:styleId="s6e50bd9a">
    <w:name w:val="s6e50bd9a"/>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s8aff680a">
    <w:name w:val="s8aff680a"/>
    <w:basedOn w:val="Fuentedeprrafopredeter"/>
    <w:rsid w:val="0054079F"/>
  </w:style>
  <w:style w:type="paragraph" w:customStyle="1" w:styleId="s746c8714">
    <w:name w:val="s746c8714"/>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character" w:customStyle="1" w:styleId="PrrafodelistaCar">
    <w:name w:val="Párrafo de lista Car"/>
    <w:link w:val="Prrafodelista2"/>
    <w:uiPriority w:val="34"/>
    <w:locked/>
    <w:rsid w:val="0054079F"/>
    <w:rPr>
      <w:rFonts w:ascii="Verdana" w:hAnsi="Verdana"/>
      <w:lang w:val="es-ES_tradnl"/>
    </w:rPr>
  </w:style>
  <w:style w:type="paragraph" w:customStyle="1" w:styleId="Prrafodelista2">
    <w:name w:val="Párrafo de lista2"/>
    <w:basedOn w:val="Normal"/>
    <w:link w:val="PrrafodelistaCar"/>
    <w:uiPriority w:val="99"/>
    <w:qFormat/>
    <w:rsid w:val="0054079F"/>
    <w:pPr>
      <w:ind w:left="720"/>
      <w:jc w:val="left"/>
    </w:pPr>
    <w:rPr>
      <w:sz w:val="22"/>
      <w:lang w:val="es-ES_tradnl"/>
    </w:rPr>
  </w:style>
  <w:style w:type="character" w:customStyle="1" w:styleId="SingleTxtGChar">
    <w:name w:val="_ Single Txt_G Char"/>
    <w:link w:val="SingleTxtG"/>
    <w:locked/>
    <w:rsid w:val="0054079F"/>
    <w:rPr>
      <w:lang w:val="es-ES" w:eastAsia="es-ES"/>
    </w:rPr>
  </w:style>
  <w:style w:type="paragraph" w:customStyle="1" w:styleId="SingleTxtG">
    <w:name w:val="_ Single Txt_G"/>
    <w:basedOn w:val="Normal"/>
    <w:link w:val="SingleTxtGChar"/>
    <w:qFormat/>
    <w:rsid w:val="0054079F"/>
    <w:pPr>
      <w:spacing w:after="120" w:line="240" w:lineRule="atLeast"/>
      <w:ind w:left="1134" w:right="1134"/>
    </w:pPr>
    <w:rPr>
      <w:rFonts w:asciiTheme="minorHAnsi" w:hAnsiTheme="minorHAnsi"/>
      <w:sz w:val="22"/>
      <w:lang w:val="es-ES" w:eastAsia="es-ES"/>
    </w:rPr>
  </w:style>
  <w:style w:type="paragraph" w:customStyle="1" w:styleId="H23G">
    <w:name w:val="_ H_2/3_G"/>
    <w:basedOn w:val="Normal"/>
    <w:next w:val="Normal"/>
    <w:rsid w:val="0054079F"/>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Cs w:val="20"/>
      <w:lang w:val="es-ES" w:eastAsia="es-ES"/>
    </w:rPr>
  </w:style>
  <w:style w:type="paragraph" w:customStyle="1" w:styleId="align-justify">
    <w:name w:val="align-justify"/>
    <w:basedOn w:val="Normal"/>
    <w:rsid w:val="0054079F"/>
    <w:pPr>
      <w:spacing w:before="100" w:beforeAutospacing="1" w:after="100" w:afterAutospacing="1"/>
      <w:jc w:val="left"/>
    </w:pPr>
    <w:rPr>
      <w:rFonts w:ascii="Times New Roman" w:eastAsia="Times New Roman" w:hAnsi="Times New Roman" w:cs="Times New Roman"/>
      <w:sz w:val="24"/>
      <w:szCs w:val="24"/>
      <w:lang w:val="es-CR" w:eastAsia="es-CR"/>
    </w:rPr>
  </w:style>
  <w:style w:type="paragraph" w:customStyle="1" w:styleId="se53d25c9">
    <w:name w:val="se53d25c9"/>
    <w:basedOn w:val="Normal"/>
    <w:rsid w:val="009A2441"/>
    <w:pPr>
      <w:spacing w:before="100" w:beforeAutospacing="1" w:after="100" w:afterAutospacing="1"/>
      <w:jc w:val="left"/>
    </w:pPr>
    <w:rPr>
      <w:rFonts w:ascii="Times New Roman" w:hAnsi="Times New Roman" w:cs="Times New Roman"/>
      <w:sz w:val="24"/>
      <w:szCs w:val="24"/>
      <w:lang w:val="es-ES_tradnl" w:eastAsia="es-ES_tradnl"/>
    </w:rPr>
  </w:style>
  <w:style w:type="character" w:customStyle="1" w:styleId="TextonotaalfinalCar">
    <w:name w:val="Texto nota al final Car"/>
    <w:basedOn w:val="Fuentedeprrafopredeter"/>
    <w:uiPriority w:val="99"/>
    <w:semiHidden/>
    <w:rsid w:val="009A2441"/>
    <w:rPr>
      <w:rFonts w:ascii="Verdana" w:eastAsia="Times New Roman" w:hAnsi="Verdana" w:cs="Times New Roman"/>
      <w:sz w:val="24"/>
      <w:szCs w:val="24"/>
      <w:lang w:val="es-MX"/>
    </w:rPr>
  </w:style>
  <w:style w:type="paragraph" w:customStyle="1" w:styleId="Numberedparagraphs">
    <w:name w:val="Numbered paragraphs"/>
    <w:basedOn w:val="Normal"/>
    <w:qFormat/>
    <w:rsid w:val="00063FE2"/>
    <w:pPr>
      <w:numPr>
        <w:numId w:val="56"/>
      </w:numPr>
    </w:pPr>
    <w:rPr>
      <w:rFonts w:eastAsia="MS Mincho" w:cs="Times New Roman"/>
      <w:color w:val="000000"/>
      <w:szCs w:val="20"/>
      <w:lang w:val="es-ES_tradnl"/>
    </w:rPr>
  </w:style>
  <w:style w:type="character" w:customStyle="1" w:styleId="apple-style-span">
    <w:name w:val="apple-style-span"/>
    <w:basedOn w:val="Fuentedeprrafopredeter"/>
    <w:rsid w:val="007E6CB5"/>
  </w:style>
  <w:style w:type="table" w:styleId="Tablaconcuadrcula">
    <w:name w:val="Table Grid"/>
    <w:basedOn w:val="Tablanormal"/>
    <w:uiPriority w:val="5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0">
    <w:name w:val="Párrafo de lista2"/>
    <w:basedOn w:val="Normal"/>
    <w:uiPriority w:val="99"/>
    <w:rsid w:val="007E6CB5"/>
    <w:pPr>
      <w:ind w:left="720"/>
      <w:jc w:val="left"/>
    </w:pPr>
    <w:rPr>
      <w:rFonts w:eastAsia="MS Mincho" w:cs="Times New Roman"/>
      <w:szCs w:val="20"/>
      <w:lang w:val="es-ES_tradnl"/>
    </w:rPr>
  </w:style>
  <w:style w:type="paragraph" w:styleId="TDC6">
    <w:name w:val="toc 6"/>
    <w:basedOn w:val="Normal"/>
    <w:next w:val="Normal"/>
    <w:autoRedefine/>
    <w:uiPriority w:val="39"/>
    <w:unhideWhenUsed/>
    <w:rsid w:val="00772F96"/>
    <w:pPr>
      <w:ind w:left="1000"/>
    </w:pPr>
  </w:style>
  <w:style w:type="paragraph" w:styleId="TDC5">
    <w:name w:val="toc 5"/>
    <w:basedOn w:val="Normal"/>
    <w:next w:val="Normal"/>
    <w:autoRedefine/>
    <w:uiPriority w:val="39"/>
    <w:unhideWhenUsed/>
    <w:rsid w:val="00772F96"/>
    <w:pPr>
      <w:spacing w:after="100"/>
      <w:ind w:left="800"/>
    </w:pPr>
  </w:style>
  <w:style w:type="paragraph" w:styleId="TDC7">
    <w:name w:val="toc 7"/>
    <w:basedOn w:val="Normal"/>
    <w:next w:val="Normal"/>
    <w:autoRedefine/>
    <w:uiPriority w:val="39"/>
    <w:unhideWhenUsed/>
    <w:rsid w:val="00772F96"/>
    <w:pPr>
      <w:ind w:left="1200"/>
    </w:pPr>
  </w:style>
  <w:style w:type="paragraph" w:styleId="TDC8">
    <w:name w:val="toc 8"/>
    <w:basedOn w:val="Normal"/>
    <w:next w:val="Normal"/>
    <w:autoRedefine/>
    <w:uiPriority w:val="39"/>
    <w:unhideWhenUsed/>
    <w:rsid w:val="00772F96"/>
    <w:pPr>
      <w:ind w:left="1400"/>
    </w:pPr>
  </w:style>
  <w:style w:type="paragraph" w:styleId="TDC9">
    <w:name w:val="toc 9"/>
    <w:basedOn w:val="Normal"/>
    <w:next w:val="Normal"/>
    <w:autoRedefine/>
    <w:uiPriority w:val="39"/>
    <w:unhideWhenUsed/>
    <w:rsid w:val="00772F96"/>
    <w:pPr>
      <w:ind w:left="1600"/>
    </w:pPr>
  </w:style>
  <w:style w:type="character" w:styleId="Nmerodelnea">
    <w:name w:val="line number"/>
    <w:basedOn w:val="Fuentedeprrafopredeter"/>
    <w:uiPriority w:val="99"/>
    <w:semiHidden/>
    <w:unhideWhenUsed/>
    <w:rsid w:val="00BC313D"/>
  </w:style>
  <w:style w:type="character" w:customStyle="1" w:styleId="Ttulo9Car">
    <w:name w:val="Título 9 Car"/>
    <w:basedOn w:val="Fuentedeprrafopredeter"/>
    <w:link w:val="Ttulo9"/>
    <w:uiPriority w:val="9"/>
    <w:rsid w:val="00B70BE6"/>
    <w:rPr>
      <w:rFonts w:ascii="Verdana" w:hAnsi="Verdana"/>
      <w:i/>
      <w:sz w:val="20"/>
      <w:lang w:val="en-US"/>
    </w:rPr>
  </w:style>
  <w:style w:type="character" w:styleId="Refdenotaalfinal">
    <w:name w:val="endnote reference"/>
    <w:basedOn w:val="Fuentedeprrafopredeter"/>
    <w:uiPriority w:val="99"/>
    <w:semiHidden/>
    <w:unhideWhenUsed/>
    <w:rsid w:val="00532C53"/>
    <w:rPr>
      <w:vertAlign w:val="superscript"/>
    </w:rPr>
  </w:style>
  <w:style w:type="paragraph" w:customStyle="1" w:styleId="Heading23">
    <w:name w:val="Heading 2.3"/>
    <w:basedOn w:val="Normal"/>
    <w:uiPriority w:val="99"/>
    <w:qFormat/>
    <w:rsid w:val="00724851"/>
    <w:rPr>
      <w:rFonts w:eastAsia="Calibri" w:cs="Times New Roman"/>
      <w:sz w:val="16"/>
      <w:szCs w:val="16"/>
      <w:vertAlign w:val="superscript"/>
      <w:lang w:val="x-none" w:eastAsia="x-none"/>
    </w:rPr>
  </w:style>
  <w:style w:type="table" w:styleId="Cuadrculaclara-nfasis4">
    <w:name w:val="Light Grid Accent 4"/>
    <w:basedOn w:val="Tablanormal"/>
    <w:uiPriority w:val="63"/>
    <w:rsid w:val="00493BFB"/>
    <w:pPr>
      <w:spacing w:after="0" w:line="240" w:lineRule="auto"/>
    </w:pPr>
    <w:rPr>
      <w:rFonts w:ascii="Times New Roman" w:eastAsia="Arial Unicode MS" w:hAnsi="Times New Roman" w:cs="Times New Roman"/>
      <w:sz w:val="20"/>
      <w:szCs w:val="20"/>
      <w:lang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ookTitle2">
    <w:name w:val="Book Title2"/>
    <w:uiPriority w:val="33"/>
    <w:qFormat/>
    <w:rsid w:val="00493BFB"/>
    <w:rPr>
      <w:b/>
      <w:bCs/>
      <w:smallCaps/>
      <w:spacing w:val="5"/>
    </w:rPr>
  </w:style>
  <w:style w:type="paragraph" w:styleId="Textosinformato">
    <w:name w:val="Plain Text"/>
    <w:basedOn w:val="Normal"/>
    <w:link w:val="TextosinformatoCar"/>
    <w:uiPriority w:val="99"/>
    <w:unhideWhenUsed/>
    <w:rsid w:val="00493BFB"/>
    <w:pPr>
      <w:tabs>
        <w:tab w:val="left" w:pos="567"/>
      </w:tabs>
    </w:pPr>
    <w:rPr>
      <w:rFonts w:eastAsia="Batang" w:cs="Times New Roman"/>
      <w:spacing w:val="-4"/>
      <w:szCs w:val="21"/>
      <w:lang w:val="es-CO" w:eastAsia="es-MX"/>
    </w:rPr>
  </w:style>
  <w:style w:type="character" w:customStyle="1" w:styleId="TextosinformatoCar">
    <w:name w:val="Texto sin formato Car"/>
    <w:basedOn w:val="Fuentedeprrafopredeter"/>
    <w:link w:val="Textosinformato"/>
    <w:uiPriority w:val="99"/>
    <w:rsid w:val="00493BFB"/>
    <w:rPr>
      <w:rFonts w:ascii="Verdana" w:eastAsia="Batang" w:hAnsi="Verdana" w:cs="Times New Roman"/>
      <w:spacing w:val="-4"/>
      <w:sz w:val="20"/>
      <w:szCs w:val="21"/>
      <w:lang w:val="es-CO" w:eastAsia="es-MX"/>
    </w:rPr>
  </w:style>
  <w:style w:type="paragraph" w:customStyle="1" w:styleId="Estilo4">
    <w:name w:val="Estilo4"/>
    <w:qFormat/>
    <w:rsid w:val="00493BFB"/>
    <w:pPr>
      <w:numPr>
        <w:ilvl w:val="1"/>
        <w:numId w:val="59"/>
      </w:numPr>
      <w:tabs>
        <w:tab w:val="num" w:pos="1410"/>
      </w:tabs>
      <w:spacing w:after="120"/>
      <w:ind w:left="0" w:firstLine="357"/>
      <w:jc w:val="both"/>
    </w:pPr>
    <w:rPr>
      <w:rFonts w:ascii="Verdana" w:eastAsia="Times New Roman" w:hAnsi="Verdana" w:cs="Times New Roman"/>
      <w:spacing w:val="-2"/>
      <w:sz w:val="20"/>
      <w:szCs w:val="20"/>
    </w:rPr>
  </w:style>
  <w:style w:type="table" w:styleId="Cuadrculamedia1-nfasis2">
    <w:name w:val="Medium Grid 1 Accent 2"/>
    <w:basedOn w:val="Tablanormal"/>
    <w:uiPriority w:val="67"/>
    <w:rsid w:val="00493BF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inguno">
    <w:name w:val="Ninguno"/>
    <w:rsid w:val="00493BFB"/>
    <w:rPr>
      <w:lang w:val="es-ES_tradnl"/>
    </w:rPr>
  </w:style>
  <w:style w:type="paragraph" w:customStyle="1" w:styleId="Poromisin">
    <w:name w:val="Por omisión"/>
    <w:rsid w:val="00493BF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styleId="nfasissutil">
    <w:name w:val="Subtle Emphasis"/>
    <w:uiPriority w:val="19"/>
    <w:qFormat/>
    <w:rsid w:val="00CF39A7"/>
    <w:rPr>
      <w:b/>
      <w:lang w:eastAsia="es-CR"/>
    </w:rPr>
  </w:style>
  <w:style w:type="character" w:customStyle="1" w:styleId="shorttext">
    <w:name w:val="shorttext"/>
    <w:basedOn w:val="Fuentedeprrafopredeter"/>
    <w:rsid w:val="008222A5"/>
  </w:style>
  <w:style w:type="character" w:customStyle="1" w:styleId="ListParagraphChar1">
    <w:name w:val="List Paragraph Char1"/>
    <w:aliases w:val="Colorful List - Accent 11 Char1,Lista vistosa - Énfasis 11 Char1,Footnote Char1,List Paragraph1 Char1,Párrafo de lista1 Char1,List Paragraph2 Char1"/>
    <w:basedOn w:val="Fuentedeprrafopredeter"/>
    <w:locked/>
    <w:rsid w:val="00C463A9"/>
    <w:rPr>
      <w:rFonts w:ascii="Cambria" w:eastAsia="Cambria" w:hAnsi="Cambria" w:cs="Cambria"/>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091">
      <w:bodyDiv w:val="1"/>
      <w:marLeft w:val="0"/>
      <w:marRight w:val="0"/>
      <w:marTop w:val="0"/>
      <w:marBottom w:val="0"/>
      <w:divBdr>
        <w:top w:val="none" w:sz="0" w:space="0" w:color="auto"/>
        <w:left w:val="none" w:sz="0" w:space="0" w:color="auto"/>
        <w:bottom w:val="none" w:sz="0" w:space="0" w:color="auto"/>
        <w:right w:val="none" w:sz="0" w:space="0" w:color="auto"/>
      </w:divBdr>
    </w:div>
    <w:div w:id="63650558">
      <w:bodyDiv w:val="1"/>
      <w:marLeft w:val="0"/>
      <w:marRight w:val="0"/>
      <w:marTop w:val="0"/>
      <w:marBottom w:val="0"/>
      <w:divBdr>
        <w:top w:val="none" w:sz="0" w:space="0" w:color="auto"/>
        <w:left w:val="none" w:sz="0" w:space="0" w:color="auto"/>
        <w:bottom w:val="none" w:sz="0" w:space="0" w:color="auto"/>
        <w:right w:val="none" w:sz="0" w:space="0" w:color="auto"/>
      </w:divBdr>
    </w:div>
    <w:div w:id="196085223">
      <w:bodyDiv w:val="1"/>
      <w:marLeft w:val="0"/>
      <w:marRight w:val="0"/>
      <w:marTop w:val="0"/>
      <w:marBottom w:val="0"/>
      <w:divBdr>
        <w:top w:val="none" w:sz="0" w:space="0" w:color="auto"/>
        <w:left w:val="none" w:sz="0" w:space="0" w:color="auto"/>
        <w:bottom w:val="none" w:sz="0" w:space="0" w:color="auto"/>
        <w:right w:val="none" w:sz="0" w:space="0" w:color="auto"/>
      </w:divBdr>
      <w:divsChild>
        <w:div w:id="502279288">
          <w:marLeft w:val="0"/>
          <w:marRight w:val="0"/>
          <w:marTop w:val="0"/>
          <w:marBottom w:val="0"/>
          <w:divBdr>
            <w:top w:val="none" w:sz="0" w:space="0" w:color="auto"/>
            <w:left w:val="none" w:sz="0" w:space="0" w:color="auto"/>
            <w:bottom w:val="none" w:sz="0" w:space="0" w:color="auto"/>
            <w:right w:val="none" w:sz="0" w:space="0" w:color="auto"/>
          </w:divBdr>
          <w:divsChild>
            <w:div w:id="1295528133">
              <w:marLeft w:val="0"/>
              <w:marRight w:val="0"/>
              <w:marTop w:val="0"/>
              <w:marBottom w:val="0"/>
              <w:divBdr>
                <w:top w:val="none" w:sz="0" w:space="0" w:color="auto"/>
                <w:left w:val="none" w:sz="0" w:space="0" w:color="auto"/>
                <w:bottom w:val="none" w:sz="0" w:space="0" w:color="auto"/>
                <w:right w:val="none" w:sz="0" w:space="0" w:color="auto"/>
              </w:divBdr>
              <w:divsChild>
                <w:div w:id="1084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856">
      <w:bodyDiv w:val="1"/>
      <w:marLeft w:val="0"/>
      <w:marRight w:val="0"/>
      <w:marTop w:val="0"/>
      <w:marBottom w:val="0"/>
      <w:divBdr>
        <w:top w:val="none" w:sz="0" w:space="0" w:color="auto"/>
        <w:left w:val="none" w:sz="0" w:space="0" w:color="auto"/>
        <w:bottom w:val="none" w:sz="0" w:space="0" w:color="auto"/>
        <w:right w:val="none" w:sz="0" w:space="0" w:color="auto"/>
      </w:divBdr>
    </w:div>
    <w:div w:id="285619176">
      <w:bodyDiv w:val="1"/>
      <w:marLeft w:val="0"/>
      <w:marRight w:val="0"/>
      <w:marTop w:val="0"/>
      <w:marBottom w:val="0"/>
      <w:divBdr>
        <w:top w:val="none" w:sz="0" w:space="0" w:color="auto"/>
        <w:left w:val="none" w:sz="0" w:space="0" w:color="auto"/>
        <w:bottom w:val="none" w:sz="0" w:space="0" w:color="auto"/>
        <w:right w:val="none" w:sz="0" w:space="0" w:color="auto"/>
      </w:divBdr>
      <w:divsChild>
        <w:div w:id="1550722628">
          <w:marLeft w:val="0"/>
          <w:marRight w:val="0"/>
          <w:marTop w:val="0"/>
          <w:marBottom w:val="0"/>
          <w:divBdr>
            <w:top w:val="none" w:sz="0" w:space="0" w:color="auto"/>
            <w:left w:val="none" w:sz="0" w:space="0" w:color="auto"/>
            <w:bottom w:val="none" w:sz="0" w:space="0" w:color="auto"/>
            <w:right w:val="none" w:sz="0" w:space="0" w:color="auto"/>
          </w:divBdr>
          <w:divsChild>
            <w:div w:id="1112676459">
              <w:marLeft w:val="0"/>
              <w:marRight w:val="0"/>
              <w:marTop w:val="0"/>
              <w:marBottom w:val="0"/>
              <w:divBdr>
                <w:top w:val="none" w:sz="0" w:space="0" w:color="auto"/>
                <w:left w:val="none" w:sz="0" w:space="0" w:color="auto"/>
                <w:bottom w:val="none" w:sz="0" w:space="0" w:color="auto"/>
                <w:right w:val="none" w:sz="0" w:space="0" w:color="auto"/>
              </w:divBdr>
              <w:divsChild>
                <w:div w:id="9876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1945">
      <w:bodyDiv w:val="1"/>
      <w:marLeft w:val="0"/>
      <w:marRight w:val="0"/>
      <w:marTop w:val="0"/>
      <w:marBottom w:val="0"/>
      <w:divBdr>
        <w:top w:val="none" w:sz="0" w:space="0" w:color="auto"/>
        <w:left w:val="none" w:sz="0" w:space="0" w:color="auto"/>
        <w:bottom w:val="none" w:sz="0" w:space="0" w:color="auto"/>
        <w:right w:val="none" w:sz="0" w:space="0" w:color="auto"/>
      </w:divBdr>
      <w:divsChild>
        <w:div w:id="1598515668">
          <w:marLeft w:val="0"/>
          <w:marRight w:val="0"/>
          <w:marTop w:val="0"/>
          <w:marBottom w:val="0"/>
          <w:divBdr>
            <w:top w:val="none" w:sz="0" w:space="0" w:color="auto"/>
            <w:left w:val="none" w:sz="0" w:space="0" w:color="auto"/>
            <w:bottom w:val="none" w:sz="0" w:space="0" w:color="auto"/>
            <w:right w:val="none" w:sz="0" w:space="0" w:color="auto"/>
          </w:divBdr>
          <w:divsChild>
            <w:div w:id="1701470924">
              <w:marLeft w:val="0"/>
              <w:marRight w:val="0"/>
              <w:marTop w:val="0"/>
              <w:marBottom w:val="0"/>
              <w:divBdr>
                <w:top w:val="none" w:sz="0" w:space="0" w:color="auto"/>
                <w:left w:val="none" w:sz="0" w:space="0" w:color="auto"/>
                <w:bottom w:val="none" w:sz="0" w:space="0" w:color="auto"/>
                <w:right w:val="none" w:sz="0" w:space="0" w:color="auto"/>
              </w:divBdr>
              <w:divsChild>
                <w:div w:id="15162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7719">
      <w:bodyDiv w:val="1"/>
      <w:marLeft w:val="0"/>
      <w:marRight w:val="0"/>
      <w:marTop w:val="0"/>
      <w:marBottom w:val="0"/>
      <w:divBdr>
        <w:top w:val="none" w:sz="0" w:space="0" w:color="auto"/>
        <w:left w:val="none" w:sz="0" w:space="0" w:color="auto"/>
        <w:bottom w:val="none" w:sz="0" w:space="0" w:color="auto"/>
        <w:right w:val="none" w:sz="0" w:space="0" w:color="auto"/>
      </w:divBdr>
      <w:divsChild>
        <w:div w:id="1651516075">
          <w:marLeft w:val="0"/>
          <w:marRight w:val="0"/>
          <w:marTop w:val="0"/>
          <w:marBottom w:val="0"/>
          <w:divBdr>
            <w:top w:val="none" w:sz="0" w:space="0" w:color="auto"/>
            <w:left w:val="none" w:sz="0" w:space="0" w:color="auto"/>
            <w:bottom w:val="none" w:sz="0" w:space="0" w:color="auto"/>
            <w:right w:val="none" w:sz="0" w:space="0" w:color="auto"/>
          </w:divBdr>
          <w:divsChild>
            <w:div w:id="670645959">
              <w:marLeft w:val="0"/>
              <w:marRight w:val="0"/>
              <w:marTop w:val="0"/>
              <w:marBottom w:val="0"/>
              <w:divBdr>
                <w:top w:val="none" w:sz="0" w:space="0" w:color="auto"/>
                <w:left w:val="none" w:sz="0" w:space="0" w:color="auto"/>
                <w:bottom w:val="none" w:sz="0" w:space="0" w:color="auto"/>
                <w:right w:val="none" w:sz="0" w:space="0" w:color="auto"/>
              </w:divBdr>
              <w:divsChild>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002">
      <w:bodyDiv w:val="1"/>
      <w:marLeft w:val="0"/>
      <w:marRight w:val="0"/>
      <w:marTop w:val="0"/>
      <w:marBottom w:val="0"/>
      <w:divBdr>
        <w:top w:val="none" w:sz="0" w:space="0" w:color="auto"/>
        <w:left w:val="none" w:sz="0" w:space="0" w:color="auto"/>
        <w:bottom w:val="none" w:sz="0" w:space="0" w:color="auto"/>
        <w:right w:val="none" w:sz="0" w:space="0" w:color="auto"/>
      </w:divBdr>
      <w:divsChild>
        <w:div w:id="2035614177">
          <w:marLeft w:val="0"/>
          <w:marRight w:val="0"/>
          <w:marTop w:val="0"/>
          <w:marBottom w:val="0"/>
          <w:divBdr>
            <w:top w:val="none" w:sz="0" w:space="0" w:color="auto"/>
            <w:left w:val="none" w:sz="0" w:space="0" w:color="auto"/>
            <w:bottom w:val="none" w:sz="0" w:space="0" w:color="auto"/>
            <w:right w:val="none" w:sz="0" w:space="0" w:color="auto"/>
          </w:divBdr>
          <w:divsChild>
            <w:div w:id="1237008949">
              <w:marLeft w:val="0"/>
              <w:marRight w:val="0"/>
              <w:marTop w:val="0"/>
              <w:marBottom w:val="0"/>
              <w:divBdr>
                <w:top w:val="none" w:sz="0" w:space="0" w:color="auto"/>
                <w:left w:val="none" w:sz="0" w:space="0" w:color="auto"/>
                <w:bottom w:val="none" w:sz="0" w:space="0" w:color="auto"/>
                <w:right w:val="none" w:sz="0" w:space="0" w:color="auto"/>
              </w:divBdr>
              <w:divsChild>
                <w:div w:id="2632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9131">
      <w:bodyDiv w:val="1"/>
      <w:marLeft w:val="0"/>
      <w:marRight w:val="0"/>
      <w:marTop w:val="0"/>
      <w:marBottom w:val="0"/>
      <w:divBdr>
        <w:top w:val="none" w:sz="0" w:space="0" w:color="auto"/>
        <w:left w:val="none" w:sz="0" w:space="0" w:color="auto"/>
        <w:bottom w:val="none" w:sz="0" w:space="0" w:color="auto"/>
        <w:right w:val="none" w:sz="0" w:space="0" w:color="auto"/>
      </w:divBdr>
    </w:div>
    <w:div w:id="545485375">
      <w:bodyDiv w:val="1"/>
      <w:marLeft w:val="0"/>
      <w:marRight w:val="0"/>
      <w:marTop w:val="0"/>
      <w:marBottom w:val="0"/>
      <w:divBdr>
        <w:top w:val="none" w:sz="0" w:space="0" w:color="auto"/>
        <w:left w:val="none" w:sz="0" w:space="0" w:color="auto"/>
        <w:bottom w:val="none" w:sz="0" w:space="0" w:color="auto"/>
        <w:right w:val="none" w:sz="0" w:space="0" w:color="auto"/>
      </w:divBdr>
    </w:div>
    <w:div w:id="547572305">
      <w:bodyDiv w:val="1"/>
      <w:marLeft w:val="0"/>
      <w:marRight w:val="0"/>
      <w:marTop w:val="0"/>
      <w:marBottom w:val="0"/>
      <w:divBdr>
        <w:top w:val="none" w:sz="0" w:space="0" w:color="auto"/>
        <w:left w:val="none" w:sz="0" w:space="0" w:color="auto"/>
        <w:bottom w:val="none" w:sz="0" w:space="0" w:color="auto"/>
        <w:right w:val="none" w:sz="0" w:space="0" w:color="auto"/>
      </w:divBdr>
      <w:divsChild>
        <w:div w:id="130447242">
          <w:marLeft w:val="0"/>
          <w:marRight w:val="0"/>
          <w:marTop w:val="0"/>
          <w:marBottom w:val="0"/>
          <w:divBdr>
            <w:top w:val="none" w:sz="0" w:space="0" w:color="auto"/>
            <w:left w:val="none" w:sz="0" w:space="0" w:color="auto"/>
            <w:bottom w:val="none" w:sz="0" w:space="0" w:color="auto"/>
            <w:right w:val="none" w:sz="0" w:space="0" w:color="auto"/>
          </w:divBdr>
          <w:divsChild>
            <w:div w:id="794909959">
              <w:marLeft w:val="0"/>
              <w:marRight w:val="0"/>
              <w:marTop w:val="0"/>
              <w:marBottom w:val="0"/>
              <w:divBdr>
                <w:top w:val="none" w:sz="0" w:space="0" w:color="auto"/>
                <w:left w:val="none" w:sz="0" w:space="0" w:color="auto"/>
                <w:bottom w:val="none" w:sz="0" w:space="0" w:color="auto"/>
                <w:right w:val="none" w:sz="0" w:space="0" w:color="auto"/>
              </w:divBdr>
              <w:divsChild>
                <w:div w:id="16505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2110">
      <w:bodyDiv w:val="1"/>
      <w:marLeft w:val="0"/>
      <w:marRight w:val="0"/>
      <w:marTop w:val="0"/>
      <w:marBottom w:val="0"/>
      <w:divBdr>
        <w:top w:val="none" w:sz="0" w:space="0" w:color="auto"/>
        <w:left w:val="none" w:sz="0" w:space="0" w:color="auto"/>
        <w:bottom w:val="none" w:sz="0" w:space="0" w:color="auto"/>
        <w:right w:val="none" w:sz="0" w:space="0" w:color="auto"/>
      </w:divBdr>
      <w:divsChild>
        <w:div w:id="377164545">
          <w:marLeft w:val="0"/>
          <w:marRight w:val="0"/>
          <w:marTop w:val="0"/>
          <w:marBottom w:val="0"/>
          <w:divBdr>
            <w:top w:val="none" w:sz="0" w:space="0" w:color="auto"/>
            <w:left w:val="none" w:sz="0" w:space="0" w:color="auto"/>
            <w:bottom w:val="none" w:sz="0" w:space="0" w:color="auto"/>
            <w:right w:val="none" w:sz="0" w:space="0" w:color="auto"/>
          </w:divBdr>
          <w:divsChild>
            <w:div w:id="1278104973">
              <w:marLeft w:val="0"/>
              <w:marRight w:val="0"/>
              <w:marTop w:val="0"/>
              <w:marBottom w:val="0"/>
              <w:divBdr>
                <w:top w:val="none" w:sz="0" w:space="0" w:color="auto"/>
                <w:left w:val="none" w:sz="0" w:space="0" w:color="auto"/>
                <w:bottom w:val="none" w:sz="0" w:space="0" w:color="auto"/>
                <w:right w:val="none" w:sz="0" w:space="0" w:color="auto"/>
              </w:divBdr>
              <w:divsChild>
                <w:div w:id="1575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6907">
      <w:bodyDiv w:val="1"/>
      <w:marLeft w:val="0"/>
      <w:marRight w:val="0"/>
      <w:marTop w:val="0"/>
      <w:marBottom w:val="0"/>
      <w:divBdr>
        <w:top w:val="none" w:sz="0" w:space="0" w:color="auto"/>
        <w:left w:val="none" w:sz="0" w:space="0" w:color="auto"/>
        <w:bottom w:val="none" w:sz="0" w:space="0" w:color="auto"/>
        <w:right w:val="none" w:sz="0" w:space="0" w:color="auto"/>
      </w:divBdr>
    </w:div>
    <w:div w:id="705299376">
      <w:bodyDiv w:val="1"/>
      <w:marLeft w:val="0"/>
      <w:marRight w:val="0"/>
      <w:marTop w:val="0"/>
      <w:marBottom w:val="0"/>
      <w:divBdr>
        <w:top w:val="none" w:sz="0" w:space="0" w:color="auto"/>
        <w:left w:val="none" w:sz="0" w:space="0" w:color="auto"/>
        <w:bottom w:val="none" w:sz="0" w:space="0" w:color="auto"/>
        <w:right w:val="none" w:sz="0" w:space="0" w:color="auto"/>
      </w:divBdr>
      <w:divsChild>
        <w:div w:id="1391660608">
          <w:marLeft w:val="0"/>
          <w:marRight w:val="0"/>
          <w:marTop w:val="0"/>
          <w:marBottom w:val="0"/>
          <w:divBdr>
            <w:top w:val="none" w:sz="0" w:space="0" w:color="auto"/>
            <w:left w:val="none" w:sz="0" w:space="0" w:color="auto"/>
            <w:bottom w:val="none" w:sz="0" w:space="0" w:color="auto"/>
            <w:right w:val="none" w:sz="0" w:space="0" w:color="auto"/>
          </w:divBdr>
          <w:divsChild>
            <w:div w:id="1518230169">
              <w:marLeft w:val="0"/>
              <w:marRight w:val="0"/>
              <w:marTop w:val="0"/>
              <w:marBottom w:val="0"/>
              <w:divBdr>
                <w:top w:val="none" w:sz="0" w:space="0" w:color="auto"/>
                <w:left w:val="none" w:sz="0" w:space="0" w:color="auto"/>
                <w:bottom w:val="none" w:sz="0" w:space="0" w:color="auto"/>
                <w:right w:val="none" w:sz="0" w:space="0" w:color="auto"/>
              </w:divBdr>
              <w:divsChild>
                <w:div w:id="1756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91998">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sChild>
            <w:div w:id="1054037609">
              <w:marLeft w:val="0"/>
              <w:marRight w:val="0"/>
              <w:marTop w:val="0"/>
              <w:marBottom w:val="0"/>
              <w:divBdr>
                <w:top w:val="none" w:sz="0" w:space="0" w:color="auto"/>
                <w:left w:val="none" w:sz="0" w:space="0" w:color="auto"/>
                <w:bottom w:val="none" w:sz="0" w:space="0" w:color="auto"/>
                <w:right w:val="none" w:sz="0" w:space="0" w:color="auto"/>
              </w:divBdr>
              <w:divsChild>
                <w:div w:id="15545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6700">
      <w:bodyDiv w:val="1"/>
      <w:marLeft w:val="0"/>
      <w:marRight w:val="0"/>
      <w:marTop w:val="0"/>
      <w:marBottom w:val="0"/>
      <w:divBdr>
        <w:top w:val="none" w:sz="0" w:space="0" w:color="auto"/>
        <w:left w:val="none" w:sz="0" w:space="0" w:color="auto"/>
        <w:bottom w:val="none" w:sz="0" w:space="0" w:color="auto"/>
        <w:right w:val="none" w:sz="0" w:space="0" w:color="auto"/>
      </w:divBdr>
    </w:div>
    <w:div w:id="987904266">
      <w:bodyDiv w:val="1"/>
      <w:marLeft w:val="0"/>
      <w:marRight w:val="0"/>
      <w:marTop w:val="0"/>
      <w:marBottom w:val="0"/>
      <w:divBdr>
        <w:top w:val="none" w:sz="0" w:space="0" w:color="auto"/>
        <w:left w:val="none" w:sz="0" w:space="0" w:color="auto"/>
        <w:bottom w:val="none" w:sz="0" w:space="0" w:color="auto"/>
        <w:right w:val="none" w:sz="0" w:space="0" w:color="auto"/>
      </w:divBdr>
    </w:div>
    <w:div w:id="1020931014">
      <w:bodyDiv w:val="1"/>
      <w:marLeft w:val="0"/>
      <w:marRight w:val="0"/>
      <w:marTop w:val="0"/>
      <w:marBottom w:val="0"/>
      <w:divBdr>
        <w:top w:val="none" w:sz="0" w:space="0" w:color="auto"/>
        <w:left w:val="none" w:sz="0" w:space="0" w:color="auto"/>
        <w:bottom w:val="none" w:sz="0" w:space="0" w:color="auto"/>
        <w:right w:val="none" w:sz="0" w:space="0" w:color="auto"/>
      </w:divBdr>
    </w:div>
    <w:div w:id="1093013570">
      <w:bodyDiv w:val="1"/>
      <w:marLeft w:val="0"/>
      <w:marRight w:val="0"/>
      <w:marTop w:val="0"/>
      <w:marBottom w:val="0"/>
      <w:divBdr>
        <w:top w:val="none" w:sz="0" w:space="0" w:color="auto"/>
        <w:left w:val="none" w:sz="0" w:space="0" w:color="auto"/>
        <w:bottom w:val="none" w:sz="0" w:space="0" w:color="auto"/>
        <w:right w:val="none" w:sz="0" w:space="0" w:color="auto"/>
      </w:divBdr>
      <w:divsChild>
        <w:div w:id="608783100">
          <w:marLeft w:val="0"/>
          <w:marRight w:val="0"/>
          <w:marTop w:val="0"/>
          <w:marBottom w:val="0"/>
          <w:divBdr>
            <w:top w:val="none" w:sz="0" w:space="0" w:color="auto"/>
            <w:left w:val="none" w:sz="0" w:space="0" w:color="auto"/>
            <w:bottom w:val="none" w:sz="0" w:space="0" w:color="auto"/>
            <w:right w:val="none" w:sz="0" w:space="0" w:color="auto"/>
          </w:divBdr>
          <w:divsChild>
            <w:div w:id="2022925653">
              <w:marLeft w:val="0"/>
              <w:marRight w:val="0"/>
              <w:marTop w:val="0"/>
              <w:marBottom w:val="0"/>
              <w:divBdr>
                <w:top w:val="none" w:sz="0" w:space="0" w:color="auto"/>
                <w:left w:val="none" w:sz="0" w:space="0" w:color="auto"/>
                <w:bottom w:val="none" w:sz="0" w:space="0" w:color="auto"/>
                <w:right w:val="none" w:sz="0" w:space="0" w:color="auto"/>
              </w:divBdr>
              <w:divsChild>
                <w:div w:id="46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2105">
      <w:bodyDiv w:val="1"/>
      <w:marLeft w:val="0"/>
      <w:marRight w:val="0"/>
      <w:marTop w:val="0"/>
      <w:marBottom w:val="0"/>
      <w:divBdr>
        <w:top w:val="none" w:sz="0" w:space="0" w:color="auto"/>
        <w:left w:val="none" w:sz="0" w:space="0" w:color="auto"/>
        <w:bottom w:val="none" w:sz="0" w:space="0" w:color="auto"/>
        <w:right w:val="none" w:sz="0" w:space="0" w:color="auto"/>
      </w:divBdr>
    </w:div>
    <w:div w:id="1131634398">
      <w:bodyDiv w:val="1"/>
      <w:marLeft w:val="0"/>
      <w:marRight w:val="0"/>
      <w:marTop w:val="0"/>
      <w:marBottom w:val="0"/>
      <w:divBdr>
        <w:top w:val="none" w:sz="0" w:space="0" w:color="auto"/>
        <w:left w:val="none" w:sz="0" w:space="0" w:color="auto"/>
        <w:bottom w:val="none" w:sz="0" w:space="0" w:color="auto"/>
        <w:right w:val="none" w:sz="0" w:space="0" w:color="auto"/>
      </w:divBdr>
    </w:div>
    <w:div w:id="1164392133">
      <w:bodyDiv w:val="1"/>
      <w:marLeft w:val="0"/>
      <w:marRight w:val="0"/>
      <w:marTop w:val="0"/>
      <w:marBottom w:val="0"/>
      <w:divBdr>
        <w:top w:val="none" w:sz="0" w:space="0" w:color="auto"/>
        <w:left w:val="none" w:sz="0" w:space="0" w:color="auto"/>
        <w:bottom w:val="none" w:sz="0" w:space="0" w:color="auto"/>
        <w:right w:val="none" w:sz="0" w:space="0" w:color="auto"/>
      </w:divBdr>
      <w:divsChild>
        <w:div w:id="156700615">
          <w:marLeft w:val="0"/>
          <w:marRight w:val="0"/>
          <w:marTop w:val="0"/>
          <w:marBottom w:val="0"/>
          <w:divBdr>
            <w:top w:val="none" w:sz="0" w:space="0" w:color="auto"/>
            <w:left w:val="none" w:sz="0" w:space="0" w:color="auto"/>
            <w:bottom w:val="none" w:sz="0" w:space="0" w:color="auto"/>
            <w:right w:val="none" w:sz="0" w:space="0" w:color="auto"/>
          </w:divBdr>
          <w:divsChild>
            <w:div w:id="1797722270">
              <w:marLeft w:val="0"/>
              <w:marRight w:val="0"/>
              <w:marTop w:val="0"/>
              <w:marBottom w:val="0"/>
              <w:divBdr>
                <w:top w:val="none" w:sz="0" w:space="0" w:color="auto"/>
                <w:left w:val="none" w:sz="0" w:space="0" w:color="auto"/>
                <w:bottom w:val="none" w:sz="0" w:space="0" w:color="auto"/>
                <w:right w:val="none" w:sz="0" w:space="0" w:color="auto"/>
              </w:divBdr>
              <w:divsChild>
                <w:div w:id="12467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6740">
      <w:bodyDiv w:val="1"/>
      <w:marLeft w:val="0"/>
      <w:marRight w:val="0"/>
      <w:marTop w:val="0"/>
      <w:marBottom w:val="0"/>
      <w:divBdr>
        <w:top w:val="none" w:sz="0" w:space="0" w:color="auto"/>
        <w:left w:val="none" w:sz="0" w:space="0" w:color="auto"/>
        <w:bottom w:val="none" w:sz="0" w:space="0" w:color="auto"/>
        <w:right w:val="none" w:sz="0" w:space="0" w:color="auto"/>
      </w:divBdr>
    </w:div>
    <w:div w:id="1204758224">
      <w:bodyDiv w:val="1"/>
      <w:marLeft w:val="0"/>
      <w:marRight w:val="0"/>
      <w:marTop w:val="0"/>
      <w:marBottom w:val="0"/>
      <w:divBdr>
        <w:top w:val="none" w:sz="0" w:space="0" w:color="auto"/>
        <w:left w:val="none" w:sz="0" w:space="0" w:color="auto"/>
        <w:bottom w:val="none" w:sz="0" w:space="0" w:color="auto"/>
        <w:right w:val="none" w:sz="0" w:space="0" w:color="auto"/>
      </w:divBdr>
      <w:divsChild>
        <w:div w:id="145981030">
          <w:marLeft w:val="0"/>
          <w:marRight w:val="0"/>
          <w:marTop w:val="0"/>
          <w:marBottom w:val="0"/>
          <w:divBdr>
            <w:top w:val="none" w:sz="0" w:space="0" w:color="auto"/>
            <w:left w:val="none" w:sz="0" w:space="0" w:color="auto"/>
            <w:bottom w:val="none" w:sz="0" w:space="0" w:color="auto"/>
            <w:right w:val="none" w:sz="0" w:space="0" w:color="auto"/>
          </w:divBdr>
          <w:divsChild>
            <w:div w:id="436873919">
              <w:marLeft w:val="0"/>
              <w:marRight w:val="0"/>
              <w:marTop w:val="0"/>
              <w:marBottom w:val="0"/>
              <w:divBdr>
                <w:top w:val="none" w:sz="0" w:space="0" w:color="auto"/>
                <w:left w:val="none" w:sz="0" w:space="0" w:color="auto"/>
                <w:bottom w:val="none" w:sz="0" w:space="0" w:color="auto"/>
                <w:right w:val="none" w:sz="0" w:space="0" w:color="auto"/>
              </w:divBdr>
              <w:divsChild>
                <w:div w:id="12069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3427">
      <w:bodyDiv w:val="1"/>
      <w:marLeft w:val="0"/>
      <w:marRight w:val="0"/>
      <w:marTop w:val="0"/>
      <w:marBottom w:val="0"/>
      <w:divBdr>
        <w:top w:val="none" w:sz="0" w:space="0" w:color="auto"/>
        <w:left w:val="none" w:sz="0" w:space="0" w:color="auto"/>
        <w:bottom w:val="none" w:sz="0" w:space="0" w:color="auto"/>
        <w:right w:val="none" w:sz="0" w:space="0" w:color="auto"/>
      </w:divBdr>
    </w:div>
    <w:div w:id="1506087576">
      <w:bodyDiv w:val="1"/>
      <w:marLeft w:val="0"/>
      <w:marRight w:val="0"/>
      <w:marTop w:val="0"/>
      <w:marBottom w:val="0"/>
      <w:divBdr>
        <w:top w:val="none" w:sz="0" w:space="0" w:color="auto"/>
        <w:left w:val="none" w:sz="0" w:space="0" w:color="auto"/>
        <w:bottom w:val="none" w:sz="0" w:space="0" w:color="auto"/>
        <w:right w:val="none" w:sz="0" w:space="0" w:color="auto"/>
      </w:divBdr>
    </w:div>
    <w:div w:id="1516068616">
      <w:bodyDiv w:val="1"/>
      <w:marLeft w:val="0"/>
      <w:marRight w:val="0"/>
      <w:marTop w:val="0"/>
      <w:marBottom w:val="0"/>
      <w:divBdr>
        <w:top w:val="none" w:sz="0" w:space="0" w:color="auto"/>
        <w:left w:val="none" w:sz="0" w:space="0" w:color="auto"/>
        <w:bottom w:val="none" w:sz="0" w:space="0" w:color="auto"/>
        <w:right w:val="none" w:sz="0" w:space="0" w:color="auto"/>
      </w:divBdr>
    </w:div>
    <w:div w:id="1535383812">
      <w:bodyDiv w:val="1"/>
      <w:marLeft w:val="0"/>
      <w:marRight w:val="0"/>
      <w:marTop w:val="0"/>
      <w:marBottom w:val="0"/>
      <w:divBdr>
        <w:top w:val="none" w:sz="0" w:space="0" w:color="auto"/>
        <w:left w:val="none" w:sz="0" w:space="0" w:color="auto"/>
        <w:bottom w:val="none" w:sz="0" w:space="0" w:color="auto"/>
        <w:right w:val="none" w:sz="0" w:space="0" w:color="auto"/>
      </w:divBdr>
    </w:div>
    <w:div w:id="1670012720">
      <w:bodyDiv w:val="1"/>
      <w:marLeft w:val="0"/>
      <w:marRight w:val="0"/>
      <w:marTop w:val="0"/>
      <w:marBottom w:val="0"/>
      <w:divBdr>
        <w:top w:val="none" w:sz="0" w:space="0" w:color="auto"/>
        <w:left w:val="none" w:sz="0" w:space="0" w:color="auto"/>
        <w:bottom w:val="none" w:sz="0" w:space="0" w:color="auto"/>
        <w:right w:val="none" w:sz="0" w:space="0" w:color="auto"/>
      </w:divBdr>
    </w:div>
    <w:div w:id="1673559697">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84574603">
      <w:bodyDiv w:val="1"/>
      <w:marLeft w:val="0"/>
      <w:marRight w:val="0"/>
      <w:marTop w:val="0"/>
      <w:marBottom w:val="0"/>
      <w:divBdr>
        <w:top w:val="none" w:sz="0" w:space="0" w:color="auto"/>
        <w:left w:val="none" w:sz="0" w:space="0" w:color="auto"/>
        <w:bottom w:val="none" w:sz="0" w:space="0" w:color="auto"/>
        <w:right w:val="none" w:sz="0" w:space="0" w:color="auto"/>
      </w:divBdr>
      <w:divsChild>
        <w:div w:id="1895434770">
          <w:marLeft w:val="0"/>
          <w:marRight w:val="0"/>
          <w:marTop w:val="0"/>
          <w:marBottom w:val="0"/>
          <w:divBdr>
            <w:top w:val="none" w:sz="0" w:space="0" w:color="auto"/>
            <w:left w:val="none" w:sz="0" w:space="0" w:color="auto"/>
            <w:bottom w:val="none" w:sz="0" w:space="0" w:color="auto"/>
            <w:right w:val="none" w:sz="0" w:space="0" w:color="auto"/>
          </w:divBdr>
          <w:divsChild>
            <w:div w:id="2076974895">
              <w:marLeft w:val="0"/>
              <w:marRight w:val="0"/>
              <w:marTop w:val="0"/>
              <w:marBottom w:val="0"/>
              <w:divBdr>
                <w:top w:val="none" w:sz="0" w:space="0" w:color="auto"/>
                <w:left w:val="none" w:sz="0" w:space="0" w:color="auto"/>
                <w:bottom w:val="none" w:sz="0" w:space="0" w:color="auto"/>
                <w:right w:val="none" w:sz="0" w:space="0" w:color="auto"/>
              </w:divBdr>
              <w:divsChild>
                <w:div w:id="861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5744">
      <w:bodyDiv w:val="1"/>
      <w:marLeft w:val="0"/>
      <w:marRight w:val="0"/>
      <w:marTop w:val="0"/>
      <w:marBottom w:val="0"/>
      <w:divBdr>
        <w:top w:val="none" w:sz="0" w:space="0" w:color="auto"/>
        <w:left w:val="none" w:sz="0" w:space="0" w:color="auto"/>
        <w:bottom w:val="none" w:sz="0" w:space="0" w:color="auto"/>
        <w:right w:val="none" w:sz="0" w:space="0" w:color="auto"/>
      </w:divBdr>
    </w:div>
    <w:div w:id="1801729249">
      <w:bodyDiv w:val="1"/>
      <w:marLeft w:val="0"/>
      <w:marRight w:val="0"/>
      <w:marTop w:val="0"/>
      <w:marBottom w:val="0"/>
      <w:divBdr>
        <w:top w:val="none" w:sz="0" w:space="0" w:color="auto"/>
        <w:left w:val="none" w:sz="0" w:space="0" w:color="auto"/>
        <w:bottom w:val="none" w:sz="0" w:space="0" w:color="auto"/>
        <w:right w:val="none" w:sz="0" w:space="0" w:color="auto"/>
      </w:divBdr>
      <w:divsChild>
        <w:div w:id="1902324888">
          <w:marLeft w:val="0"/>
          <w:marRight w:val="0"/>
          <w:marTop w:val="0"/>
          <w:marBottom w:val="0"/>
          <w:divBdr>
            <w:top w:val="none" w:sz="0" w:space="0" w:color="auto"/>
            <w:left w:val="none" w:sz="0" w:space="0" w:color="auto"/>
            <w:bottom w:val="none" w:sz="0" w:space="0" w:color="auto"/>
            <w:right w:val="none" w:sz="0" w:space="0" w:color="auto"/>
          </w:divBdr>
          <w:divsChild>
            <w:div w:id="762728600">
              <w:marLeft w:val="0"/>
              <w:marRight w:val="0"/>
              <w:marTop w:val="0"/>
              <w:marBottom w:val="0"/>
              <w:divBdr>
                <w:top w:val="none" w:sz="0" w:space="0" w:color="auto"/>
                <w:left w:val="none" w:sz="0" w:space="0" w:color="auto"/>
                <w:bottom w:val="none" w:sz="0" w:space="0" w:color="auto"/>
                <w:right w:val="none" w:sz="0" w:space="0" w:color="auto"/>
              </w:divBdr>
              <w:divsChild>
                <w:div w:id="20599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6338">
      <w:bodyDiv w:val="1"/>
      <w:marLeft w:val="0"/>
      <w:marRight w:val="0"/>
      <w:marTop w:val="0"/>
      <w:marBottom w:val="0"/>
      <w:divBdr>
        <w:top w:val="none" w:sz="0" w:space="0" w:color="auto"/>
        <w:left w:val="none" w:sz="0" w:space="0" w:color="auto"/>
        <w:bottom w:val="none" w:sz="0" w:space="0" w:color="auto"/>
        <w:right w:val="none" w:sz="0" w:space="0" w:color="auto"/>
      </w:divBdr>
      <w:divsChild>
        <w:div w:id="711853626">
          <w:marLeft w:val="0"/>
          <w:marRight w:val="0"/>
          <w:marTop w:val="0"/>
          <w:marBottom w:val="0"/>
          <w:divBdr>
            <w:top w:val="none" w:sz="0" w:space="0" w:color="auto"/>
            <w:left w:val="none" w:sz="0" w:space="0" w:color="auto"/>
            <w:bottom w:val="none" w:sz="0" w:space="0" w:color="auto"/>
            <w:right w:val="none" w:sz="0" w:space="0" w:color="auto"/>
          </w:divBdr>
          <w:divsChild>
            <w:div w:id="1772239240">
              <w:marLeft w:val="0"/>
              <w:marRight w:val="0"/>
              <w:marTop w:val="0"/>
              <w:marBottom w:val="0"/>
              <w:divBdr>
                <w:top w:val="none" w:sz="0" w:space="0" w:color="auto"/>
                <w:left w:val="none" w:sz="0" w:space="0" w:color="auto"/>
                <w:bottom w:val="none" w:sz="0" w:space="0" w:color="auto"/>
                <w:right w:val="none" w:sz="0" w:space="0" w:color="auto"/>
              </w:divBdr>
              <w:divsChild>
                <w:div w:id="11285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7529">
      <w:bodyDiv w:val="1"/>
      <w:marLeft w:val="0"/>
      <w:marRight w:val="0"/>
      <w:marTop w:val="0"/>
      <w:marBottom w:val="0"/>
      <w:divBdr>
        <w:top w:val="none" w:sz="0" w:space="0" w:color="auto"/>
        <w:left w:val="none" w:sz="0" w:space="0" w:color="auto"/>
        <w:bottom w:val="none" w:sz="0" w:space="0" w:color="auto"/>
        <w:right w:val="none" w:sz="0" w:space="0" w:color="auto"/>
      </w:divBdr>
    </w:div>
    <w:div w:id="1915502980">
      <w:bodyDiv w:val="1"/>
      <w:marLeft w:val="0"/>
      <w:marRight w:val="0"/>
      <w:marTop w:val="0"/>
      <w:marBottom w:val="0"/>
      <w:divBdr>
        <w:top w:val="none" w:sz="0" w:space="0" w:color="auto"/>
        <w:left w:val="none" w:sz="0" w:space="0" w:color="auto"/>
        <w:bottom w:val="none" w:sz="0" w:space="0" w:color="auto"/>
        <w:right w:val="none" w:sz="0" w:space="0" w:color="auto"/>
      </w:divBdr>
    </w:div>
    <w:div w:id="1917011577">
      <w:bodyDiv w:val="1"/>
      <w:marLeft w:val="0"/>
      <w:marRight w:val="0"/>
      <w:marTop w:val="0"/>
      <w:marBottom w:val="0"/>
      <w:divBdr>
        <w:top w:val="none" w:sz="0" w:space="0" w:color="auto"/>
        <w:left w:val="none" w:sz="0" w:space="0" w:color="auto"/>
        <w:bottom w:val="none" w:sz="0" w:space="0" w:color="auto"/>
        <w:right w:val="none" w:sz="0" w:space="0" w:color="auto"/>
      </w:divBdr>
    </w:div>
    <w:div w:id="1947275055">
      <w:bodyDiv w:val="1"/>
      <w:marLeft w:val="0"/>
      <w:marRight w:val="0"/>
      <w:marTop w:val="0"/>
      <w:marBottom w:val="0"/>
      <w:divBdr>
        <w:top w:val="none" w:sz="0" w:space="0" w:color="auto"/>
        <w:left w:val="none" w:sz="0" w:space="0" w:color="auto"/>
        <w:bottom w:val="none" w:sz="0" w:space="0" w:color="auto"/>
        <w:right w:val="none" w:sz="0" w:space="0" w:color="auto"/>
      </w:divBdr>
      <w:divsChild>
        <w:div w:id="1851948914">
          <w:marLeft w:val="0"/>
          <w:marRight w:val="0"/>
          <w:marTop w:val="0"/>
          <w:marBottom w:val="0"/>
          <w:divBdr>
            <w:top w:val="none" w:sz="0" w:space="0" w:color="auto"/>
            <w:left w:val="none" w:sz="0" w:space="0" w:color="auto"/>
            <w:bottom w:val="none" w:sz="0" w:space="0" w:color="auto"/>
            <w:right w:val="none" w:sz="0" w:space="0" w:color="auto"/>
          </w:divBdr>
          <w:divsChild>
            <w:div w:id="707073365">
              <w:marLeft w:val="0"/>
              <w:marRight w:val="0"/>
              <w:marTop w:val="0"/>
              <w:marBottom w:val="0"/>
              <w:divBdr>
                <w:top w:val="none" w:sz="0" w:space="0" w:color="auto"/>
                <w:left w:val="none" w:sz="0" w:space="0" w:color="auto"/>
                <w:bottom w:val="none" w:sz="0" w:space="0" w:color="auto"/>
                <w:right w:val="none" w:sz="0" w:space="0" w:color="auto"/>
              </w:divBdr>
              <w:divsChild>
                <w:div w:id="8293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8919">
      <w:bodyDiv w:val="1"/>
      <w:marLeft w:val="0"/>
      <w:marRight w:val="0"/>
      <w:marTop w:val="0"/>
      <w:marBottom w:val="0"/>
      <w:divBdr>
        <w:top w:val="none" w:sz="0" w:space="0" w:color="auto"/>
        <w:left w:val="none" w:sz="0" w:space="0" w:color="auto"/>
        <w:bottom w:val="none" w:sz="0" w:space="0" w:color="auto"/>
        <w:right w:val="none" w:sz="0" w:space="0" w:color="auto"/>
      </w:divBdr>
    </w:div>
    <w:div w:id="1989281113">
      <w:bodyDiv w:val="1"/>
      <w:marLeft w:val="0"/>
      <w:marRight w:val="0"/>
      <w:marTop w:val="0"/>
      <w:marBottom w:val="0"/>
      <w:divBdr>
        <w:top w:val="none" w:sz="0" w:space="0" w:color="auto"/>
        <w:left w:val="none" w:sz="0" w:space="0" w:color="auto"/>
        <w:bottom w:val="none" w:sz="0" w:space="0" w:color="auto"/>
        <w:right w:val="none" w:sz="0" w:space="0" w:color="auto"/>
      </w:divBdr>
    </w:div>
    <w:div w:id="1999771669">
      <w:bodyDiv w:val="1"/>
      <w:marLeft w:val="0"/>
      <w:marRight w:val="0"/>
      <w:marTop w:val="0"/>
      <w:marBottom w:val="0"/>
      <w:divBdr>
        <w:top w:val="none" w:sz="0" w:space="0" w:color="auto"/>
        <w:left w:val="none" w:sz="0" w:space="0" w:color="auto"/>
        <w:bottom w:val="none" w:sz="0" w:space="0" w:color="auto"/>
        <w:right w:val="none" w:sz="0" w:space="0" w:color="auto"/>
      </w:divBdr>
    </w:div>
    <w:div w:id="2050644731">
      <w:bodyDiv w:val="1"/>
      <w:marLeft w:val="0"/>
      <w:marRight w:val="0"/>
      <w:marTop w:val="0"/>
      <w:marBottom w:val="0"/>
      <w:divBdr>
        <w:top w:val="none" w:sz="0" w:space="0" w:color="auto"/>
        <w:left w:val="none" w:sz="0" w:space="0" w:color="auto"/>
        <w:bottom w:val="none" w:sz="0" w:space="0" w:color="auto"/>
        <w:right w:val="none" w:sz="0" w:space="0" w:color="auto"/>
      </w:divBdr>
      <w:divsChild>
        <w:div w:id="1936666857">
          <w:marLeft w:val="0"/>
          <w:marRight w:val="0"/>
          <w:marTop w:val="0"/>
          <w:marBottom w:val="0"/>
          <w:divBdr>
            <w:top w:val="none" w:sz="0" w:space="0" w:color="auto"/>
            <w:left w:val="none" w:sz="0" w:space="0" w:color="auto"/>
            <w:bottom w:val="none" w:sz="0" w:space="0" w:color="auto"/>
            <w:right w:val="none" w:sz="0" w:space="0" w:color="auto"/>
          </w:divBdr>
          <w:divsChild>
            <w:div w:id="1171405367">
              <w:marLeft w:val="0"/>
              <w:marRight w:val="0"/>
              <w:marTop w:val="0"/>
              <w:marBottom w:val="0"/>
              <w:divBdr>
                <w:top w:val="none" w:sz="0" w:space="0" w:color="auto"/>
                <w:left w:val="none" w:sz="0" w:space="0" w:color="auto"/>
                <w:bottom w:val="none" w:sz="0" w:space="0" w:color="auto"/>
                <w:right w:val="none" w:sz="0" w:space="0" w:color="auto"/>
              </w:divBdr>
              <w:divsChild>
                <w:div w:id="1778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1940">
      <w:bodyDiv w:val="1"/>
      <w:marLeft w:val="0"/>
      <w:marRight w:val="0"/>
      <w:marTop w:val="0"/>
      <w:marBottom w:val="0"/>
      <w:divBdr>
        <w:top w:val="none" w:sz="0" w:space="0" w:color="auto"/>
        <w:left w:val="none" w:sz="0" w:space="0" w:color="auto"/>
        <w:bottom w:val="none" w:sz="0" w:space="0" w:color="auto"/>
        <w:right w:val="none" w:sz="0" w:space="0" w:color="auto"/>
      </w:divBdr>
    </w:div>
    <w:div w:id="21369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treaty/unt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871A-C09C-427B-8B68-F1F9829B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6152</Words>
  <Characters>31808</Characters>
  <Application>Microsoft Office Word</Application>
  <DocSecurity>4</DocSecurity>
  <Lines>504</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2018-08-21T19:32:00Z</cp:lastPrinted>
  <dcterms:created xsi:type="dcterms:W3CDTF">2019-05-02T23:35:00Z</dcterms:created>
  <dcterms:modified xsi:type="dcterms:W3CDTF">2019-05-02T23:35:00Z</dcterms:modified>
</cp:coreProperties>
</file>