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B0D8" w14:textId="77777777" w:rsidR="00DC0313" w:rsidRDefault="00DC031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</w:p>
    <w:p w14:paraId="1033192E" w14:textId="77777777" w:rsidR="00DC0313" w:rsidRDefault="00DC031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</w:p>
    <w:p w14:paraId="1359A180" w14:textId="77777777" w:rsidR="00DC0313" w:rsidRDefault="00DC031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</w:p>
    <w:p w14:paraId="3D4EB256" w14:textId="56218263" w:rsidR="006D3EB3" w:rsidRPr="00996B2C" w:rsidRDefault="006D3EB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  <w:r w:rsidRPr="00996B2C">
        <w:rPr>
          <w:rFonts w:ascii="Verdana" w:hAnsi="Verdana"/>
          <w:b/>
          <w:sz w:val="20"/>
          <w:szCs w:val="20"/>
          <w:lang w:val="es-CR"/>
        </w:rPr>
        <w:t xml:space="preserve">VOTO </w:t>
      </w:r>
      <w:r w:rsidR="008C08BB" w:rsidRPr="00996B2C">
        <w:rPr>
          <w:rFonts w:ascii="Verdana" w:hAnsi="Verdana"/>
          <w:b/>
          <w:sz w:val="20"/>
          <w:szCs w:val="20"/>
          <w:lang w:val="es-CR"/>
        </w:rPr>
        <w:t>PARCIALMENTE DISIDENTE</w:t>
      </w:r>
      <w:r w:rsidRPr="00996B2C">
        <w:rPr>
          <w:rFonts w:ascii="Verdana" w:hAnsi="Verdana"/>
          <w:b/>
          <w:sz w:val="20"/>
          <w:szCs w:val="20"/>
          <w:lang w:val="es-CR"/>
        </w:rPr>
        <w:t xml:space="preserve"> DEL </w:t>
      </w:r>
    </w:p>
    <w:p w14:paraId="0F1C5E65" w14:textId="77777777" w:rsidR="006D3EB3" w:rsidRPr="00996B2C" w:rsidRDefault="006D3EB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  <w:r w:rsidRPr="00996B2C">
        <w:rPr>
          <w:rFonts w:ascii="Verdana" w:hAnsi="Verdana"/>
          <w:b/>
          <w:sz w:val="20"/>
          <w:szCs w:val="20"/>
          <w:lang w:val="es-CR"/>
        </w:rPr>
        <w:t xml:space="preserve">JUEZ HUMBERTO ANTONIO SIERRA PORTO </w:t>
      </w:r>
    </w:p>
    <w:p w14:paraId="4E5DF14D" w14:textId="77777777" w:rsidR="006D3EB3" w:rsidRPr="00996B2C" w:rsidRDefault="006D3EB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</w:p>
    <w:p w14:paraId="04FF020D" w14:textId="61AE0AC2" w:rsidR="006D3EB3" w:rsidRPr="00996B2C" w:rsidRDefault="006D3EB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  <w:r w:rsidRPr="00996B2C">
        <w:rPr>
          <w:rFonts w:ascii="Verdana" w:hAnsi="Verdana"/>
          <w:b/>
          <w:sz w:val="20"/>
          <w:szCs w:val="20"/>
          <w:lang w:val="es-CR"/>
        </w:rPr>
        <w:t xml:space="preserve">A LA SENTENCIA DE </w:t>
      </w:r>
      <w:r w:rsidR="0094555C" w:rsidRPr="00996B2C">
        <w:rPr>
          <w:rFonts w:ascii="Verdana" w:hAnsi="Verdana"/>
          <w:b/>
          <w:sz w:val="20"/>
          <w:szCs w:val="20"/>
          <w:lang w:val="es-CR"/>
        </w:rPr>
        <w:t>21</w:t>
      </w:r>
      <w:r w:rsidRPr="00996B2C">
        <w:rPr>
          <w:rFonts w:ascii="Verdana" w:hAnsi="Verdana"/>
          <w:b/>
          <w:sz w:val="20"/>
          <w:szCs w:val="20"/>
          <w:lang w:val="es-CR"/>
        </w:rPr>
        <w:t xml:space="preserve"> DE </w:t>
      </w:r>
      <w:r w:rsidR="0094555C" w:rsidRPr="00996B2C">
        <w:rPr>
          <w:rFonts w:ascii="Verdana" w:hAnsi="Verdana"/>
          <w:b/>
          <w:sz w:val="20"/>
          <w:szCs w:val="20"/>
          <w:lang w:val="es-CR"/>
        </w:rPr>
        <w:t>NOVIEMBRE</w:t>
      </w:r>
      <w:r w:rsidRPr="00996B2C">
        <w:rPr>
          <w:rFonts w:ascii="Verdana" w:hAnsi="Verdana"/>
          <w:b/>
          <w:sz w:val="20"/>
          <w:szCs w:val="20"/>
          <w:lang w:val="es-CR"/>
        </w:rPr>
        <w:t xml:space="preserve"> DE 2019</w:t>
      </w:r>
    </w:p>
    <w:p w14:paraId="45FE4F7D" w14:textId="77777777" w:rsidR="006D3EB3" w:rsidRPr="00996B2C" w:rsidRDefault="006D3EB3" w:rsidP="006D3EB3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  <w:lang w:val="es-CR"/>
        </w:rPr>
      </w:pPr>
      <w:r w:rsidRPr="00996B2C">
        <w:rPr>
          <w:rFonts w:ascii="Verdana" w:hAnsi="Verdana"/>
          <w:b/>
          <w:sz w:val="20"/>
          <w:szCs w:val="20"/>
          <w:lang w:val="es-CR"/>
        </w:rPr>
        <w:t>DE LA CORTE INTERAMERICANA DE DERECHOS HUMANOS</w:t>
      </w:r>
    </w:p>
    <w:p w14:paraId="483C530A" w14:textId="77777777" w:rsidR="006D3EB3" w:rsidRPr="00996B2C" w:rsidRDefault="006D3EB3" w:rsidP="006D3EB3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CR"/>
        </w:rPr>
      </w:pPr>
    </w:p>
    <w:p w14:paraId="40AC7B5D" w14:textId="25173EA9" w:rsidR="006D3EB3" w:rsidRPr="00996B2C" w:rsidRDefault="006D3EB3" w:rsidP="008016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/>
          <w:b/>
          <w:sz w:val="20"/>
          <w:szCs w:val="20"/>
          <w:lang w:val="es-CR"/>
        </w:rPr>
        <w:t xml:space="preserve">EN EL CASO DE </w:t>
      </w:r>
      <w:r w:rsidR="0094555C" w:rsidRPr="00996B2C">
        <w:rPr>
          <w:rFonts w:ascii="Verdana" w:hAnsi="Verdana"/>
          <w:b/>
          <w:sz w:val="20"/>
          <w:szCs w:val="20"/>
          <w:lang w:val="es-CR"/>
        </w:rPr>
        <w:t xml:space="preserve">LA </w:t>
      </w:r>
      <w:r w:rsidR="0094555C" w:rsidRPr="00996B2C">
        <w:rPr>
          <w:rFonts w:ascii="Verdana" w:hAnsi="Verdana" w:cs="Arial"/>
          <w:b/>
          <w:color w:val="1A1A1A"/>
          <w:sz w:val="20"/>
          <w:szCs w:val="20"/>
          <w:lang w:val="es-CR" w:eastAsia="es-CR"/>
        </w:rPr>
        <w:t>ASOCIACIÓN NACIONAL DE CESANTES Y JUBILADOS DE LA SUPERINTENDENCIA NACIONAL DE ADMINISTRACIÓN TRIBUTARIA (ANCEJUB-SUNAT</w:t>
      </w:r>
      <w:r w:rsidR="0094555C" w:rsidRPr="00996B2C">
        <w:rPr>
          <w:rFonts w:ascii="Verdana" w:eastAsia="Calibri" w:hAnsi="Verdana" w:cs="Calibri"/>
          <w:b/>
          <w:sz w:val="20"/>
          <w:szCs w:val="20"/>
          <w:lang w:val="es-CR" w:eastAsia="es-CR"/>
        </w:rPr>
        <w:t xml:space="preserve">) </w:t>
      </w:r>
      <w:r w:rsidR="0094555C" w:rsidRPr="00996B2C">
        <w:rPr>
          <w:rFonts w:ascii="Verdana" w:eastAsia="Calibri" w:hAnsi="Verdana" w:cs="Calibri"/>
          <w:b/>
          <w:i/>
          <w:sz w:val="20"/>
          <w:szCs w:val="20"/>
          <w:lang w:val="es-CR" w:eastAsia="es-CR"/>
        </w:rPr>
        <w:t>VS.</w:t>
      </w:r>
      <w:r w:rsidR="0094555C" w:rsidRPr="00996B2C">
        <w:rPr>
          <w:rFonts w:ascii="Verdana" w:eastAsia="Calibri" w:hAnsi="Verdana" w:cs="Calibri"/>
          <w:b/>
          <w:sz w:val="20"/>
          <w:szCs w:val="20"/>
          <w:lang w:val="es-CR" w:eastAsia="es-CR"/>
        </w:rPr>
        <w:t xml:space="preserve"> PERÚ</w:t>
      </w:r>
    </w:p>
    <w:p w14:paraId="34057FAB" w14:textId="77777777" w:rsidR="006D3EB3" w:rsidRPr="00996B2C" w:rsidRDefault="006D3EB3" w:rsidP="006D3E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379FCDFF" w14:textId="77777777" w:rsidR="0094555C" w:rsidRPr="00996B2C" w:rsidRDefault="0094555C" w:rsidP="009031AA">
      <w:pPr>
        <w:spacing w:after="0" w:line="240" w:lineRule="auto"/>
        <w:ind w:firstLine="708"/>
        <w:rPr>
          <w:rFonts w:ascii="Verdana" w:hAnsi="Verdana"/>
          <w:b/>
          <w:i/>
          <w:sz w:val="20"/>
          <w:szCs w:val="20"/>
          <w:lang w:val="es-CR"/>
        </w:rPr>
      </w:pPr>
      <w:r w:rsidRPr="00996B2C">
        <w:rPr>
          <w:rFonts w:ascii="Verdana" w:hAnsi="Verdana"/>
          <w:b/>
          <w:i/>
          <w:sz w:val="20"/>
          <w:szCs w:val="20"/>
          <w:lang w:val="es-CR"/>
        </w:rPr>
        <w:t>I. Introducción</w:t>
      </w:r>
    </w:p>
    <w:p w14:paraId="08AE7FAA" w14:textId="77777777" w:rsidR="0094555C" w:rsidRPr="00996B2C" w:rsidRDefault="0094555C" w:rsidP="0094555C">
      <w:pPr>
        <w:spacing w:after="0" w:line="240" w:lineRule="auto"/>
        <w:rPr>
          <w:rFonts w:ascii="Verdana" w:hAnsi="Verdana"/>
          <w:b/>
          <w:sz w:val="20"/>
          <w:szCs w:val="20"/>
          <w:lang w:val="es-CR"/>
        </w:rPr>
      </w:pPr>
    </w:p>
    <w:p w14:paraId="29644FEF" w14:textId="47849F3D" w:rsidR="0094555C" w:rsidRPr="00996B2C" w:rsidRDefault="0094555C" w:rsidP="0094555C">
      <w:pPr>
        <w:pStyle w:val="Prrafodelist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  <w:lang w:val="es-CR"/>
        </w:rPr>
      </w:pPr>
      <w:r w:rsidRPr="00996B2C">
        <w:rPr>
          <w:rFonts w:ascii="Verdana" w:hAnsi="Verdana"/>
          <w:sz w:val="20"/>
          <w:szCs w:val="20"/>
          <w:lang w:val="es-CR"/>
        </w:rPr>
        <w:t xml:space="preserve">Con el acostumbrado respeto por las decisiones de la Corte Interamericana de Derechos Humanos (en adelante “la Corte” o “el Tribunal”), me permito formular el presente voto parcialmente disidente. El voto se relaciona con la discusión que existe en la Corte sobre el análisis de casos que involucren violaciones a los derechos económicos, sociales, culturales y ambientales (en adelante “DESCA”) sobre la base del artículo 26 de la Convención Americana sobre Derechos Humanos (en adelante “la Convención”). En particular, a propósito del presente caso, haré una breve reflexión de lo que considero una inadecuada </w:t>
      </w:r>
      <w:r w:rsidR="002A3147" w:rsidRPr="00996B2C">
        <w:rPr>
          <w:rFonts w:ascii="Verdana" w:hAnsi="Verdana"/>
          <w:sz w:val="20"/>
          <w:szCs w:val="20"/>
          <w:lang w:val="es-CR"/>
        </w:rPr>
        <w:t>agrupación d</w:t>
      </w:r>
      <w:r w:rsidRPr="00996B2C">
        <w:rPr>
          <w:rFonts w:ascii="Verdana" w:hAnsi="Verdana"/>
          <w:sz w:val="20"/>
          <w:szCs w:val="20"/>
          <w:lang w:val="es-CR"/>
        </w:rPr>
        <w:t xml:space="preserve">el análisis de los derechos que </w:t>
      </w:r>
      <w:r w:rsidR="002A3147" w:rsidRPr="00996B2C">
        <w:rPr>
          <w:rFonts w:ascii="Verdana" w:hAnsi="Verdana"/>
          <w:sz w:val="20"/>
          <w:szCs w:val="20"/>
          <w:lang w:val="es-CR"/>
        </w:rPr>
        <w:t>estuvieron involucrados en el caso. Me referiré también a un aspecto central de la Sentencia que demuestra -una vez más- la deficiente técnica de análisis de DESCA que la Corte ha adoptado en casos como el presente.</w:t>
      </w:r>
      <w:r w:rsidRPr="00996B2C">
        <w:rPr>
          <w:rFonts w:ascii="Verdana" w:hAnsi="Verdana"/>
          <w:sz w:val="20"/>
          <w:szCs w:val="20"/>
          <w:lang w:val="es-CR"/>
        </w:rPr>
        <w:t xml:space="preserve"> En ese sentido, mis reflexiones complementan lo ya expresado en mis votos de los casos </w:t>
      </w:r>
      <w:r w:rsidRPr="00996B2C">
        <w:rPr>
          <w:rFonts w:ascii="Verdana" w:hAnsi="Verdana"/>
          <w:i/>
          <w:sz w:val="20"/>
          <w:szCs w:val="20"/>
          <w:lang w:val="es-CR"/>
        </w:rPr>
        <w:t>Gonzales Lluy y otros Vs. Ecuador</w:t>
      </w:r>
      <w:r w:rsidRPr="00996B2C">
        <w:rPr>
          <w:rFonts w:ascii="Verdana" w:hAnsi="Verdana"/>
          <w:sz w:val="20"/>
          <w:szCs w:val="20"/>
          <w:lang w:val="es-CR"/>
        </w:rPr>
        <w:t xml:space="preserve">, </w:t>
      </w:r>
      <w:r w:rsidRPr="00996B2C">
        <w:rPr>
          <w:rFonts w:ascii="Verdana" w:hAnsi="Verdana"/>
          <w:i/>
          <w:sz w:val="20"/>
          <w:szCs w:val="20"/>
          <w:lang w:val="es-CR"/>
        </w:rPr>
        <w:t>Lagos del Campo Vs. Perú</w:t>
      </w:r>
      <w:r w:rsidRPr="00996B2C">
        <w:rPr>
          <w:rFonts w:ascii="Verdana" w:hAnsi="Verdana"/>
          <w:sz w:val="20"/>
          <w:szCs w:val="20"/>
          <w:lang w:val="es-CR"/>
        </w:rPr>
        <w:t xml:space="preserve">, </w:t>
      </w:r>
      <w:r w:rsidRPr="00996B2C">
        <w:rPr>
          <w:rFonts w:ascii="Verdana" w:hAnsi="Verdana"/>
          <w:i/>
          <w:sz w:val="20"/>
          <w:szCs w:val="20"/>
          <w:lang w:val="es-CR"/>
        </w:rPr>
        <w:t>Trabajadores Cesados de Petroperú y otros Vs. Perú</w:t>
      </w:r>
      <w:r w:rsidRPr="00996B2C">
        <w:rPr>
          <w:rFonts w:ascii="Verdana" w:hAnsi="Verdana"/>
          <w:sz w:val="20"/>
          <w:szCs w:val="20"/>
          <w:lang w:val="es-CR"/>
        </w:rPr>
        <w:t xml:space="preserve">, </w:t>
      </w:r>
      <w:r w:rsidRPr="00996B2C">
        <w:rPr>
          <w:rFonts w:ascii="Verdana" w:hAnsi="Verdana"/>
          <w:i/>
          <w:sz w:val="20"/>
          <w:szCs w:val="20"/>
          <w:lang w:val="es-CR"/>
        </w:rPr>
        <w:t>San Miguel Sosa y otras Vs. Venezuela</w:t>
      </w:r>
      <w:r w:rsidRPr="00996B2C">
        <w:rPr>
          <w:rFonts w:ascii="Verdana" w:hAnsi="Verdana"/>
          <w:sz w:val="20"/>
          <w:szCs w:val="20"/>
          <w:lang w:val="es-CR"/>
        </w:rPr>
        <w:t xml:space="preserve">, </w:t>
      </w:r>
      <w:r w:rsidRPr="00996B2C">
        <w:rPr>
          <w:rFonts w:ascii="Verdana" w:hAnsi="Verdana"/>
          <w:i/>
          <w:sz w:val="20"/>
          <w:szCs w:val="20"/>
          <w:lang w:val="es-CR"/>
        </w:rPr>
        <w:t>Poblete Vilches y otros Vs. Chile</w:t>
      </w:r>
      <w:r w:rsidRPr="00996B2C">
        <w:rPr>
          <w:rFonts w:ascii="Verdana" w:hAnsi="Verdana"/>
          <w:sz w:val="20"/>
          <w:szCs w:val="20"/>
          <w:lang w:val="es-CR"/>
        </w:rPr>
        <w:t xml:space="preserve">, </w:t>
      </w:r>
      <w:r w:rsidRPr="00996B2C">
        <w:rPr>
          <w:rFonts w:ascii="Verdana" w:hAnsi="Verdana"/>
          <w:i/>
          <w:sz w:val="20"/>
          <w:szCs w:val="20"/>
          <w:lang w:val="es-CR"/>
        </w:rPr>
        <w:t>Cuscul Pivaral y otros Vs. Guatemala</w:t>
      </w:r>
      <w:r w:rsidR="000B2F27" w:rsidRPr="00996B2C">
        <w:rPr>
          <w:rFonts w:ascii="Verdana" w:hAnsi="Verdana"/>
          <w:sz w:val="20"/>
          <w:szCs w:val="20"/>
          <w:lang w:val="es-CR"/>
        </w:rPr>
        <w:t>,</w:t>
      </w:r>
      <w:r w:rsidRPr="00996B2C">
        <w:rPr>
          <w:rFonts w:ascii="Verdana" w:hAnsi="Verdana"/>
          <w:sz w:val="20"/>
          <w:szCs w:val="20"/>
          <w:lang w:val="es-CR"/>
        </w:rPr>
        <w:t xml:space="preserve"> </w:t>
      </w:r>
      <w:r w:rsidRPr="00996B2C">
        <w:rPr>
          <w:rFonts w:ascii="Verdana" w:hAnsi="Verdana"/>
          <w:i/>
          <w:sz w:val="20"/>
          <w:szCs w:val="20"/>
          <w:lang w:val="es-CR"/>
        </w:rPr>
        <w:t xml:space="preserve">Muelle Flores Vs. Perú, </w:t>
      </w:r>
      <w:r w:rsidRPr="00996B2C">
        <w:rPr>
          <w:rFonts w:ascii="Verdana" w:hAnsi="Verdana"/>
          <w:sz w:val="20"/>
          <w:szCs w:val="20"/>
          <w:lang w:val="es-CR"/>
        </w:rPr>
        <w:t xml:space="preserve">y </w:t>
      </w:r>
      <w:r w:rsidRPr="00996B2C">
        <w:rPr>
          <w:rFonts w:ascii="Verdana" w:hAnsi="Verdana"/>
          <w:i/>
          <w:sz w:val="20"/>
          <w:szCs w:val="20"/>
          <w:lang w:val="es-CR"/>
        </w:rPr>
        <w:t xml:space="preserve">Rodríguez Revolorio y otros Vs. Guatemala </w:t>
      </w:r>
      <w:r w:rsidRPr="00996B2C">
        <w:rPr>
          <w:rFonts w:ascii="Verdana" w:hAnsi="Verdana"/>
          <w:sz w:val="20"/>
          <w:szCs w:val="20"/>
          <w:lang w:val="es-CR"/>
        </w:rPr>
        <w:t xml:space="preserve">respecto a los múltiples problemas lógicos, jurídicos y prácticos que resultan de la tendencia iniciada por la mayoría desde la sentencia del caso </w:t>
      </w:r>
      <w:r w:rsidRPr="00996B2C">
        <w:rPr>
          <w:rFonts w:ascii="Verdana" w:hAnsi="Verdana"/>
          <w:i/>
          <w:sz w:val="20"/>
          <w:szCs w:val="20"/>
          <w:lang w:val="es-CR"/>
        </w:rPr>
        <w:t>Lagos del Campo</w:t>
      </w:r>
      <w:r w:rsidRPr="00996B2C">
        <w:rPr>
          <w:rFonts w:ascii="Verdana" w:hAnsi="Verdana"/>
          <w:sz w:val="20"/>
          <w:szCs w:val="20"/>
          <w:lang w:val="es-CR"/>
        </w:rPr>
        <w:t>.</w:t>
      </w:r>
    </w:p>
    <w:p w14:paraId="51FF97A4" w14:textId="77777777" w:rsidR="006D3EB3" w:rsidRPr="00996B2C" w:rsidRDefault="006D3EB3" w:rsidP="001A1F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6F3A9A85" w14:textId="77AF5BE9" w:rsidR="0094555C" w:rsidRPr="00996B2C" w:rsidRDefault="0094555C" w:rsidP="009031AA">
      <w:pPr>
        <w:spacing w:after="0" w:line="240" w:lineRule="auto"/>
        <w:ind w:firstLine="708"/>
        <w:jc w:val="both"/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</w:pP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 xml:space="preserve">II. Respecto </w:t>
      </w:r>
      <w:r w:rsidR="001E1EAF"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>de</w:t>
      </w: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 xml:space="preserve"> la inadecuada agrupación del análisis de las violaciones del caso en un solo considerando</w:t>
      </w:r>
    </w:p>
    <w:p w14:paraId="55694438" w14:textId="77777777" w:rsidR="006D3EB3" w:rsidRPr="00996B2C" w:rsidRDefault="006D3EB3" w:rsidP="006350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426B09C9" w14:textId="64A05772" w:rsidR="006D3EB3" w:rsidRPr="00996B2C" w:rsidRDefault="000B2F27" w:rsidP="006350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La controversia central de este caso 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consiste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determinar si el Estado es responsable por la violación a las garantías judiciales y la protección judicial en perjuicio de los miembros de ANCEJUB-SUNAT con motivo de la falta de ejecución adecuada de la sentencia de la Corte Suprema de 25 de octubre de 1993, así como el efecto que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este hecho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pudo haber tenido otros derechos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(particularmente la seguridad social, la vida digna y la propiedad)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 Por esta razón, la mayoría decidió analizar el caso en un capítulo único que abarcara los alegatos relacionados con la violación al acceso a un recurso judicial efectivo (artículos 25.1 y 25.2 de la Convención), a la garantía del plazo razonable (artículo 8.1 de la Convención), al derecho a la seguridad social (artículo 26 de la Convención), a la vida digna (artículo 4.1 de la Convención), a la propiedad (artículo 21 de la Convención) y a la falta de adecuación normativa (artículo 2 de la Convención).</w:t>
      </w:r>
    </w:p>
    <w:p w14:paraId="15492D38" w14:textId="77777777" w:rsidR="000B2F27" w:rsidRPr="00996B2C" w:rsidRDefault="000B2F27" w:rsidP="006350F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5D6F2D20" w14:textId="2976DA2F" w:rsidR="000B2F27" w:rsidRPr="00996B2C" w:rsidRDefault="000B2F27" w:rsidP="006350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virtud del análisis planteado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,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la 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mayoría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concluyó que 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el proceso de ejecución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 la sentencia de 25 de octubre de 1993 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resultó irregular e ineficaz por una serie de hechos </w:t>
      </w:r>
      <w:r w:rsidR="00996B2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atribuibles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 las autoridades del Estado, cuyo efecto práctico fue una dilación de 27 años en el cumplimiento de la sentencia y por lo tanto la falta de pago de los derechos que les fueron reconocidos a los trabajadores de ANCEJUB-SUNAT. Esta dilación también 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lastRenderedPageBreak/>
        <w:t xml:space="preserve">constituyó una violación a la garantía del plazo razonable. 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 mayoría</w:t>
      </w:r>
      <w:r w:rsidR="00D0326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también</w:t>
      </w:r>
      <w:r w:rsidR="008D53D5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concluyó que el Estado incumplió con su deber de garantizar el derecho a la seguridad social en virtud de la falta de acceso a un recurso judicial efectivo, por la falta de información adecuada sobre los efectos que tendrían en sus pensiones la entrada en vigor de los Decretos 639 y 673, y por el impacto que esto tuvo en su derecho a la vida digna y la propiedad privada. </w:t>
      </w:r>
    </w:p>
    <w:p w14:paraId="5DEC2CE6" w14:textId="77777777" w:rsidR="008D53D5" w:rsidRPr="00996B2C" w:rsidRDefault="008D53D5" w:rsidP="006350F8">
      <w:pPr>
        <w:pStyle w:val="Prrafodelista"/>
        <w:spacing w:after="0" w:line="240" w:lineRule="auto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47CB50EB" w14:textId="71AE3355" w:rsidR="008D53D5" w:rsidRPr="00996B2C" w:rsidRDefault="008D53D5" w:rsidP="006350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virtud de lo antes mencionado, en el considerando quinto de la Sentencia se determinó que: “El Estado es responsable por la violación a los derechos a la vida digna, las garantías judiciales, la protección judicial y la seguridad social, consagrados en los artículos 4.1, 8, 21, 25 y 26 de la Convención Americana […] en perjuicio de las 565 personas listadas como víctimas en el Anexo 2 adjunto a la presente Sentencia […]”</w:t>
      </w:r>
    </w:p>
    <w:p w14:paraId="2DE50266" w14:textId="77777777" w:rsidR="008D53D5" w:rsidRPr="00996B2C" w:rsidRDefault="008D53D5" w:rsidP="006350F8">
      <w:pPr>
        <w:pStyle w:val="Prrafodelista"/>
        <w:spacing w:after="0" w:line="240" w:lineRule="auto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42F436BE" w14:textId="3C7CC283" w:rsidR="008D53D5" w:rsidRPr="00996B2C" w:rsidRDefault="00CC2A3F" w:rsidP="00EA27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En primer lugar, destaco la impertinencia del criterio de la mayoría 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agrupar las 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conclusiones de todos los derechos analizados en la Sentencia en un mismo considerando. Esta situación obligó a los miembros del Tribunal a 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emitir un solo voto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 favor o en contra de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-todos-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os aspectos centrales del fondo de la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Sentencia, </w:t>
      </w:r>
      <w:r w:rsidR="00996B2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aun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cuando es evidente que cada derecho fue analizado de manera autónoma y que además existen puntos de coincidencia y de diferencia que el considerando “</w:t>
      </w:r>
      <w:r w:rsidR="00996B2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único</w:t>
      </w:r>
      <w:r w:rsidR="00144F7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” no permite reflejar. El Reglamento de la Corte 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prevé en su artículo 16 que el voto de cada Juez será “afirmativo” o “negativo”, sin que puedan admitirse abstenciones.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La agrupación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 todos los derechos violados no permit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ió</w:t>
      </w:r>
      <w:r w:rsidR="00E2600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expresar acertadamente la posición de cada uno de los puntos de debate en los puntos resolutivos, 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tal como lo determina el reglamento. Además constituyó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una evidente falta de consideración al derecho </w:t>
      </w:r>
      <w:r w:rsidR="00903D9C">
        <w:rPr>
          <w:rFonts w:ascii="Verdana" w:hAnsi="Verdana" w:cs="Times New Roman"/>
          <w:color w:val="000000"/>
          <w:sz w:val="20"/>
          <w:szCs w:val="20"/>
          <w:lang w:val="es-CR"/>
        </w:rPr>
        <w:t>de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todos los jueces de manifestar nuestras posiciones a través de nuestros votos “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afirmativos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” y “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negativos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”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respecto de los puntos debatidos</w:t>
      </w:r>
      <w:r w:rsidR="006350F8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</w:t>
      </w:r>
      <w:r w:rsid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mi caso, no se me permitió pronunciarme a favor sobre la responsabilidad del Estado por la violación a los derechos a las garantías judiciales y la protección judicial (artículos 8.1, 25.1 y 25.2 de la Convención en relación con el artículo 1.1).</w:t>
      </w:r>
    </w:p>
    <w:p w14:paraId="5436CA5A" w14:textId="77777777" w:rsidR="006350F8" w:rsidRPr="00996B2C" w:rsidRDefault="006350F8" w:rsidP="006350F8">
      <w:pPr>
        <w:pStyle w:val="Prrafodelista"/>
        <w:spacing w:after="0" w:line="240" w:lineRule="auto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186E22B9" w14:textId="101721E0" w:rsidR="006350F8" w:rsidRPr="00996B2C" w:rsidRDefault="006350F8" w:rsidP="006350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En segundo lugar, considero que </w:t>
      </w:r>
      <w:r w:rsidR="004009CE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la agrupación del análisis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un capítulo único resultó artificial respecto 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 la manera en que efectivamente se analizaron los problemas jurídicos del caso</w:t>
      </w:r>
      <w:r w:rsidR="004009CE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. En efecto, el análisis de este caso podría haber ocurrido en un solo capítulo que tuviera como punto de partida las violaciones a los artículos 25.1, 25.2 y 8.1 debido a la falta de ejecución de la sentencia de 25 de octubre de 1993, y este análisis pudo </w:t>
      </w:r>
      <w:r w:rsidR="009767D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tener</w:t>
      </w:r>
      <w:r w:rsidR="004009CE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consideración los efectos que el retraso </w:t>
      </w:r>
      <w:r w:rsidR="009767D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la ejecución de dicha sentencia tuvo en derechos como la seguridad social o la propiedad. Un análisis de esa naturaleza podría haber visibilizado cómo los miembros de ANCEJUB-SUNAT sufrieron afectaciones a otros derechos en virtud de las violaciones a la protección judicial y el plazo razonable. En esta hipótesis, se podrían haber analizado algunos aspectos relevantes de la seguridad social, la vida digna o la propiedad a la luz de las garantías procesales y la protección judicial. Esto le habría dado mayor fuerza argumentativa y probatoria a la Sentencia</w:t>
      </w:r>
      <w:r w:rsidR="0060021E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y habría permitido analizar de manera sistémica los distintos aspectos involucrados en el caso</w:t>
      </w:r>
      <w:r w:rsidR="009767D6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. </w:t>
      </w:r>
    </w:p>
    <w:p w14:paraId="1F633E03" w14:textId="77777777" w:rsidR="006D3EB3" w:rsidRPr="00996B2C" w:rsidRDefault="006D3EB3" w:rsidP="006D3E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7599533F" w14:textId="7B42A580" w:rsidR="009767D6" w:rsidRPr="00996B2C" w:rsidRDefault="009767D6" w:rsidP="009031AA">
      <w:pPr>
        <w:spacing w:after="0" w:line="240" w:lineRule="auto"/>
        <w:ind w:firstLine="708"/>
        <w:jc w:val="both"/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</w:pP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>II</w:t>
      </w:r>
      <w:r w:rsidR="009031AA"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>I</w:t>
      </w: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 xml:space="preserve">. </w:t>
      </w:r>
      <w:r w:rsid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>Respecto de l</w:t>
      </w: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 xml:space="preserve">a </w:t>
      </w:r>
      <w:r w:rsidR="00D35F04"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>inutilidad</w:t>
      </w:r>
      <w:r w:rsidRPr="00996B2C">
        <w:rPr>
          <w:rFonts w:ascii="Verdana" w:eastAsia="Cambria" w:hAnsi="Verdana" w:cs="Cambria"/>
          <w:b/>
          <w:i/>
          <w:color w:val="000000"/>
          <w:sz w:val="20"/>
          <w:szCs w:val="20"/>
          <w:u w:color="000000"/>
          <w:lang w:val="es-CR" w:eastAsia="es-ES"/>
        </w:rPr>
        <w:t xml:space="preserve"> del análisis de DESCA en el caso</w:t>
      </w:r>
    </w:p>
    <w:p w14:paraId="46401F58" w14:textId="15098A2C" w:rsidR="0093451A" w:rsidRPr="00996B2C" w:rsidRDefault="0093451A" w:rsidP="006D3E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5B7368BB" w14:textId="70AF0AC6" w:rsidR="00D222F9" w:rsidRPr="00996B2C" w:rsidRDefault="0060021E" w:rsidP="00D222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cambio la mayoría -una vez más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, como ha sido la tendencia desde </w:t>
      </w:r>
      <w:r w:rsidR="004964E9" w:rsidRPr="00996B2C">
        <w:rPr>
          <w:rFonts w:ascii="Verdana" w:hAnsi="Verdana" w:cs="Times New Roman"/>
          <w:i/>
          <w:color w:val="000000"/>
          <w:sz w:val="20"/>
          <w:szCs w:val="20"/>
          <w:lang w:val="es-CR"/>
        </w:rPr>
        <w:t>Lagos del Campo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- decidió separar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artificialmente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los aspectos relacionados con los DESCA de la controversia central del caso, 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resultado en una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innecesaria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compartimentación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 la Sentencia y una consecuente debilidad probatoria y argumentativa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La lógica de analizar las cuestiones en un capítulo único cumple un propósito práctico cuando se integran los distintos elementos involucrados en un solo análisis, no cuando se reitera una y otra vez 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lastRenderedPageBreak/>
        <w:t>el mismo hecho para declarar distintas violaciones en diversos subcapítulos. Esta situación sucede en este caso, sobre todo en lo que se refiere al análisis del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derecho a la seguridad social,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la vida digna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y la propiedad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. La violación a estos </w:t>
      </w:r>
      <w:r w:rsidR="00235115">
        <w:rPr>
          <w:rFonts w:ascii="Verdana" w:hAnsi="Verdana" w:cs="Times New Roman"/>
          <w:color w:val="000000"/>
          <w:sz w:val="20"/>
          <w:szCs w:val="20"/>
          <w:lang w:val="es-CR"/>
        </w:rPr>
        <w:t>tres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derechos es dudosa en el caso, pues los reintegros que dejaron de perseguir los trabajadores de ANCEJUB-SUNAT por la falta de ejecución de la sentencia de 25 de octubre de 1993 </w:t>
      </w:r>
      <w:r w:rsidR="00996B2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difícilmente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pueden considerarse como la causa de </w:t>
      </w:r>
      <w:r w:rsidR="00EA27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violaciones autónomas a estos derechos</w:t>
      </w:r>
      <w:r w:rsidR="00D222F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</w:p>
    <w:p w14:paraId="7585AD3D" w14:textId="77777777" w:rsidR="00D222F9" w:rsidRPr="00996B2C" w:rsidRDefault="00D222F9" w:rsidP="00D222F9">
      <w:pPr>
        <w:pStyle w:val="Prrafodelista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41BE3DF6" w14:textId="0C914DD5" w:rsidR="0045632F" w:rsidRPr="00996B2C" w:rsidRDefault="00D222F9" w:rsidP="004964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La 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superficialidad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del análisis</w:t>
      </w:r>
      <w:r w:rsidR="004964E9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se agrava con el hecho de que se reiteran una enorme cantidad de 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estándares jurisprudenciales en relación con el derecho a la seguridad social (reiterados en 9 páginas, de los párrafos 154-176)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,</w:t>
      </w:r>
      <w:r w:rsidR="00D35F0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pero</w:t>
      </w:r>
      <w:r w:rsidR="00D35F0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se declara una violación a ese derecho por razones periféricas a la pregunta central que </w:t>
      </w:r>
      <w:r w:rsidR="00996B2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subyace</w:t>
      </w:r>
      <w:r w:rsidR="00D35F0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el caso en relación con los DESCA</w:t>
      </w:r>
      <w:r w:rsidR="00A27F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: si las medidas tomadas en el Perú para limitar la nivelación de las pensiones de las personas sujetas al régimen previsional del Decreto 20530 fueron violatorias del derecho a la seguridad social de los miembros de ANCEJUB-SUNAT. La Sentencia evitó entrar a responder esta </w:t>
      </w:r>
      <w:r w:rsidR="00D85FC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pregunta</w:t>
      </w:r>
      <w:r w:rsidR="00A27F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, tal como lo hizo en los casos de </w:t>
      </w:r>
      <w:r w:rsidR="00A27F50" w:rsidRPr="00996B2C">
        <w:rPr>
          <w:rFonts w:ascii="Verdana" w:hAnsi="Verdana" w:cs="Times New Roman"/>
          <w:i/>
          <w:color w:val="000000"/>
          <w:sz w:val="20"/>
          <w:szCs w:val="20"/>
          <w:lang w:val="es-CR"/>
        </w:rPr>
        <w:t xml:space="preserve">Cinco Pensionistas Vs. Perú </w:t>
      </w:r>
      <w:r w:rsidR="00A27F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y </w:t>
      </w:r>
      <w:r w:rsidR="00A27F50" w:rsidRPr="00996B2C">
        <w:rPr>
          <w:rFonts w:ascii="Verdana" w:hAnsi="Verdana" w:cs="Times New Roman"/>
          <w:i/>
          <w:color w:val="000000"/>
          <w:sz w:val="20"/>
          <w:szCs w:val="20"/>
          <w:lang w:val="es-CR"/>
        </w:rPr>
        <w:t>Acevedo Buendía</w:t>
      </w:r>
      <w:r w:rsidR="00D85FC4" w:rsidRPr="00996B2C">
        <w:rPr>
          <w:rFonts w:ascii="Verdana" w:hAnsi="Verdana" w:cs="Times New Roman"/>
          <w:i/>
          <w:color w:val="000000"/>
          <w:sz w:val="20"/>
          <w:szCs w:val="20"/>
          <w:lang w:val="es-CR"/>
        </w:rPr>
        <w:t xml:space="preserve"> y otros (“Cesantes y Jubilados de la Contraloría)</w:t>
      </w:r>
      <w:r w:rsidR="00A27F50" w:rsidRPr="00996B2C">
        <w:rPr>
          <w:rFonts w:ascii="Verdana" w:hAnsi="Verdana" w:cs="Times New Roman"/>
          <w:i/>
          <w:color w:val="000000"/>
          <w:sz w:val="20"/>
          <w:szCs w:val="20"/>
          <w:lang w:val="es-CR"/>
        </w:rPr>
        <w:t xml:space="preserve"> Vs. Perú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. El silencio de la 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mayoría sobre ese particular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no es necesariamente injustificado, pues el litigio internacional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del caso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tenía como eje central la falta de ejecución de una sentencia que reconocía derechos pensionales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 Sin embargo,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considero pertinente mencionar que un análisis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autónomo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sobre la base del artículo 26 de la Convención requeriría adentrarse a determinar </w:t>
      </w:r>
      <w:r w:rsidR="0045632F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la regresividad de las políticas estatales en materia de DESCA</w:t>
      </w:r>
      <w:r w:rsidR="001E251B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.</w:t>
      </w:r>
    </w:p>
    <w:p w14:paraId="7413A7A3" w14:textId="77777777" w:rsidR="0045632F" w:rsidRPr="00996B2C" w:rsidRDefault="0045632F" w:rsidP="0045632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49268BA2" w14:textId="4E601F08" w:rsidR="00D222F9" w:rsidRPr="00996B2C" w:rsidRDefault="00D85FC4" w:rsidP="004964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C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on lo anterior no sugiero que la Corte se deba 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conocer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todos</w:t>
      </w:r>
      <w:r w:rsidR="00B719D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los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casos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como el presente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la política pública de los Estados en relación con los DESCA, pues en </w:t>
      </w:r>
      <w:r w:rsidR="00B719D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la mayoría de las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ocasiones ese tipo de análisis trasciende las situaciones particulares de una víctima o un conjunto de víctimas en casos concretos.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Además ese tipo de análisis son particularmente delicados.</w:t>
      </w:r>
      <w:r w:rsidR="00724FCC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Lo que sugiero en cambio es que en caso de realizarse un análisis autónomo sobre la base del artículo 26 de la Convención, </w:t>
      </w:r>
      <w:r w:rsidR="00B719D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esto 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debe cumplir el propósito de</w:t>
      </w:r>
      <w:r w:rsidR="00B719D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analizar el cumplimiento de las obligaciones de desarrollo progresivo 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por parte </w:t>
      </w:r>
      <w:r w:rsidR="00B719D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de los Estados. En el resto de casos -donde se alegue la afectación a un DESCA para una persona o un grupo de personas como resultado del incumplimiento de un derecho civil y político, como es este caso- el análisis se debe hacer sobre la base del derecho principal alegado (en el presente caso, el derecho a la protección judicial) en su relación con el DESCA en cuestión. No hacerlo así conlleva a dos extremos no deseables: o a analizar una política pública a la luz de un número limitado de personas, o a declarar violaciones autónomas a los DESCA con argumentaciones débiles y prueba insuficiente.</w:t>
      </w:r>
    </w:p>
    <w:p w14:paraId="74B338B1" w14:textId="77777777" w:rsidR="00B719D4" w:rsidRPr="00996B2C" w:rsidRDefault="00B719D4" w:rsidP="00B719D4">
      <w:pPr>
        <w:pStyle w:val="Prrafodelista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6C8A53DF" w14:textId="77777777" w:rsidR="00903D9C" w:rsidRDefault="00B719D4" w:rsidP="00903D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cualquier caso es fundamental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delinea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r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adecuadamente los elementos de juicio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en materia de progresividad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,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para evitar que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la Corte s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convierta en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un tribunal contra mayoritario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frente a materia</w:t>
      </w:r>
      <w:r w:rsidR="007B06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s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 pro</w:t>
      </w:r>
      <w:r w:rsidR="007B06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fundo interés político y social.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La interpretación que entiende que el 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artículo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26 es fundamento para declarar la res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ponsabilidad internacional del E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stado y la posibilidad de declarar </w:t>
      </w:r>
      <w:r w:rsidR="00D85FC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la invalidez de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normas constitucionales, legales, reglamentos </w:t>
      </w:r>
      <w:r w:rsidR="00D85FC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o sentencias por ser regresivas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D85FC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y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por desconocer los</w:t>
      </w:r>
      <w:r w:rsidR="007B06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DESC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A</w:t>
      </w:r>
      <w:r w:rsidR="00D85FC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. Esta convicción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conlleva la posibilidad de avalar decisiones en materia de reducción de las condiciones de vigencia 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políticas públicas y programas estatales relacionados con temas como la seguridad social y en particular el sistema pensional.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Decisiones que </w:t>
      </w:r>
      <w:r w:rsidR="007B06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pueden servir para legitimar políticamente </w:t>
      </w:r>
      <w:r w:rsidR="007B598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medidas que reduzcan los derechos de trabajadores y ciudadanos, pero que en tanto tengan una adecuada justificación no puedan ser declaradas regresivas. 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En este sentido no se debe olvidar que</w:t>
      </w:r>
      <w:r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el principio de no regresión no significa que no pueda haber regresión, </w:t>
      </w:r>
      <w:r w:rsidR="007B0650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>sino</w:t>
      </w:r>
      <w:r w:rsidR="00185794" w:rsidRPr="00996B2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que debe ser una regresión justificada.</w:t>
      </w:r>
    </w:p>
    <w:p w14:paraId="1FF0452F" w14:textId="77777777" w:rsidR="00903D9C" w:rsidRDefault="00903D9C" w:rsidP="00903D9C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</w:p>
    <w:p w14:paraId="5B30F181" w14:textId="46E24785" w:rsidR="00B573D7" w:rsidRPr="00903D9C" w:rsidRDefault="009031AA" w:rsidP="00903D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color w:val="000000"/>
          <w:sz w:val="20"/>
          <w:szCs w:val="20"/>
          <w:lang w:val="es-CR"/>
        </w:rPr>
      </w:pPr>
      <w:bookmarkStart w:id="0" w:name="_GoBack"/>
      <w:bookmarkEnd w:id="0"/>
      <w:r w:rsidRPr="00903D9C">
        <w:rPr>
          <w:rFonts w:ascii="Verdana" w:hAnsi="Verdana" w:cs="Times New Roman"/>
          <w:color w:val="000000"/>
          <w:sz w:val="20"/>
          <w:szCs w:val="20"/>
          <w:lang w:val="es-CR"/>
        </w:rPr>
        <w:lastRenderedPageBreak/>
        <w:t xml:space="preserve">También </w:t>
      </w:r>
      <w:r w:rsidR="00A50DD2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se debe tener en cuenta que </w:t>
      </w:r>
      <w:r w:rsidR="00126109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en los países sujetos a la competencia contenciosa de la Corte</w:t>
      </w:r>
      <w:r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126109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la jurisprudencia del Tribunal es utilizada para enriquecer la argumentación de los jueces y autoridades nacional</w:t>
      </w:r>
      <w:r w:rsidR="00613911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es</w:t>
      </w:r>
      <w:r w:rsidR="00AC53DF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, quienes haciendo uso de ella pueden </w:t>
      </w:r>
      <w:r w:rsidR="00126109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decidir de manera más adecuada, ilustrada y justa </w:t>
      </w:r>
      <w:r w:rsidR="00613911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en asuntos relacionados con Derechos Humanos</w:t>
      </w:r>
      <w:r w:rsidR="00126109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.</w:t>
      </w:r>
      <w:r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Esto es una razón más para que la Corte haga un uso responsable de sus </w:t>
      </w:r>
      <w:r w:rsidR="00996B2C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competencias</w:t>
      </w:r>
      <w:r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para analizar violaciones a los DESCA.</w:t>
      </w:r>
      <w:r w:rsidR="00126109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No hacerlo así puede abrir la</w:t>
      </w:r>
      <w:r w:rsidR="00613911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puerta para que</w:t>
      </w:r>
      <w:r w:rsidR="00D85FC4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>,</w:t>
      </w:r>
      <w:r w:rsidR="00613911" w:rsidRPr="00903D9C">
        <w:rPr>
          <w:rFonts w:ascii="Verdana" w:hAnsi="Verdana" w:cs="Times New Roman"/>
          <w:color w:val="000000"/>
          <w:sz w:val="20"/>
          <w:szCs w:val="20"/>
          <w:lang w:val="es-CR"/>
        </w:rPr>
        <w:t xml:space="preserve"> </w:t>
      </w:r>
      <w:r w:rsidR="00126109" w:rsidRPr="00903D9C">
        <w:rPr>
          <w:rFonts w:ascii="Verdana" w:hAnsi="Verdana" w:cs="Times New Roman"/>
          <w:sz w:val="20"/>
          <w:szCs w:val="20"/>
          <w:lang w:val="es-CR"/>
        </w:rPr>
        <w:t>vía control de convencionalidad</w:t>
      </w:r>
      <w:r w:rsidR="00D85FC4" w:rsidRPr="00903D9C">
        <w:rPr>
          <w:rFonts w:ascii="Verdana" w:hAnsi="Verdana" w:cs="Times New Roman"/>
          <w:sz w:val="20"/>
          <w:szCs w:val="20"/>
          <w:lang w:val="es-CR"/>
        </w:rPr>
        <w:t>,</w:t>
      </w:r>
      <w:r w:rsidRPr="00903D9C">
        <w:rPr>
          <w:rFonts w:ascii="Verdana" w:hAnsi="Verdana" w:cs="Times New Roman"/>
          <w:sz w:val="20"/>
          <w:szCs w:val="20"/>
          <w:lang w:val="es-CR"/>
        </w:rPr>
        <w:t xml:space="preserve"> </w:t>
      </w:r>
      <w:r w:rsidR="00613911" w:rsidRPr="00903D9C">
        <w:rPr>
          <w:rFonts w:ascii="Verdana" w:hAnsi="Verdana" w:cs="Times New Roman"/>
          <w:sz w:val="20"/>
          <w:szCs w:val="20"/>
          <w:lang w:val="es-CR"/>
        </w:rPr>
        <w:t>se entienda q</w:t>
      </w:r>
      <w:r w:rsidR="00126109" w:rsidRPr="00903D9C">
        <w:rPr>
          <w:rFonts w:ascii="Verdana" w:hAnsi="Verdana" w:cs="Times New Roman"/>
          <w:sz w:val="20"/>
          <w:szCs w:val="20"/>
          <w:lang w:val="es-CR"/>
        </w:rPr>
        <w:t>ue la jurisprudencia de DESC</w:t>
      </w:r>
      <w:r w:rsidRPr="00903D9C">
        <w:rPr>
          <w:rFonts w:ascii="Verdana" w:hAnsi="Verdana" w:cs="Times New Roman"/>
          <w:sz w:val="20"/>
          <w:szCs w:val="20"/>
          <w:lang w:val="es-CR"/>
        </w:rPr>
        <w:t>A</w:t>
      </w:r>
      <w:r w:rsidR="00126109" w:rsidRPr="00903D9C">
        <w:rPr>
          <w:rFonts w:ascii="Verdana" w:hAnsi="Verdana" w:cs="Times New Roman"/>
          <w:sz w:val="20"/>
          <w:szCs w:val="20"/>
          <w:lang w:val="es-CR"/>
        </w:rPr>
        <w:t xml:space="preserve"> es fundamento para que los tribunales nacionales se conviertan en jueces de políticas públicas</w:t>
      </w:r>
      <w:r w:rsidRPr="00903D9C">
        <w:rPr>
          <w:rFonts w:ascii="Verdana" w:hAnsi="Verdana" w:cs="Times New Roman"/>
          <w:sz w:val="20"/>
          <w:szCs w:val="20"/>
          <w:lang w:val="es-CR"/>
        </w:rPr>
        <w:t>, con el consecuente posible conflicto social y político</w:t>
      </w:r>
      <w:r w:rsidR="00903D9C" w:rsidRPr="00903D9C">
        <w:rPr>
          <w:rFonts w:ascii="Verdana" w:hAnsi="Verdana" w:cs="Times New Roman"/>
          <w:sz w:val="20"/>
          <w:szCs w:val="20"/>
          <w:lang w:val="es-CR"/>
        </w:rPr>
        <w:t xml:space="preserve"> y la posible crisis de legitimidad que puede enfrentar un tribunal al entrar al debate político en materia pensionaria.</w:t>
      </w:r>
      <w:r w:rsidR="00903D9C">
        <w:rPr>
          <w:rFonts w:ascii="Verdana" w:hAnsi="Verdana" w:cs="Times New Roman"/>
          <w:sz w:val="20"/>
          <w:szCs w:val="20"/>
          <w:lang w:val="es-CR"/>
        </w:rPr>
        <w:t xml:space="preserve"> </w:t>
      </w:r>
      <w:r w:rsidR="00613911" w:rsidRPr="00903D9C">
        <w:rPr>
          <w:rFonts w:ascii="Verdana" w:hAnsi="Verdana" w:cs="Times New Roman"/>
          <w:sz w:val="20"/>
          <w:szCs w:val="20"/>
          <w:lang w:val="es-CR"/>
        </w:rPr>
        <w:t xml:space="preserve">La Corte debe promover que la materialización de los derechos en el ámbito nacional se alcance a través del desarrollo de las competencias que cada Estado </w:t>
      </w:r>
      <w:r w:rsidR="00903D9C" w:rsidRPr="00903D9C">
        <w:rPr>
          <w:rFonts w:ascii="Verdana" w:hAnsi="Verdana" w:cs="Times New Roman"/>
          <w:sz w:val="20"/>
          <w:szCs w:val="20"/>
          <w:lang w:val="es-CR"/>
        </w:rPr>
        <w:t>h</w:t>
      </w:r>
      <w:r w:rsidR="00613911" w:rsidRPr="00903D9C">
        <w:rPr>
          <w:rFonts w:ascii="Verdana" w:hAnsi="Verdana" w:cs="Times New Roman"/>
          <w:sz w:val="20"/>
          <w:szCs w:val="20"/>
          <w:lang w:val="es-CR"/>
        </w:rPr>
        <w:t>a otorgado a los distintos poderes y autoridades</w:t>
      </w:r>
      <w:r w:rsidR="00F33ECB" w:rsidRPr="00903D9C">
        <w:rPr>
          <w:rFonts w:ascii="Verdana" w:hAnsi="Verdana" w:cs="Times New Roman"/>
          <w:sz w:val="20"/>
          <w:szCs w:val="20"/>
          <w:lang w:val="es-CR"/>
        </w:rPr>
        <w:t xml:space="preserve">. </w:t>
      </w:r>
    </w:p>
    <w:p w14:paraId="39A66195" w14:textId="77777777" w:rsidR="00F33ECB" w:rsidRPr="00F33ECB" w:rsidRDefault="00F33ECB" w:rsidP="00F33ECB">
      <w:pPr>
        <w:pStyle w:val="Prrafodelista"/>
        <w:rPr>
          <w:rFonts w:ascii="Verdana" w:hAnsi="Verdana"/>
          <w:sz w:val="20"/>
          <w:szCs w:val="20"/>
          <w:lang w:val="es-CR"/>
        </w:rPr>
      </w:pPr>
    </w:p>
    <w:p w14:paraId="2A34762D" w14:textId="77777777" w:rsidR="00F33ECB" w:rsidRPr="00F33ECB" w:rsidRDefault="00F33ECB" w:rsidP="00F33EC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es-CR"/>
        </w:rPr>
      </w:pPr>
    </w:p>
    <w:p w14:paraId="6FDC7945" w14:textId="77777777" w:rsidR="00152AC5" w:rsidRPr="00996B2C" w:rsidRDefault="00152AC5" w:rsidP="00152AC5">
      <w:pPr>
        <w:spacing w:after="0" w:line="240" w:lineRule="auto"/>
        <w:jc w:val="both"/>
        <w:rPr>
          <w:rFonts w:ascii="Verdana" w:eastAsia="Cambria" w:hAnsi="Verdana" w:cs="Cambria"/>
          <w:color w:val="000000"/>
          <w:u w:color="000000"/>
          <w:lang w:val="es-CR" w:eastAsia="es-ES"/>
        </w:rPr>
      </w:pPr>
    </w:p>
    <w:p w14:paraId="782537E3" w14:textId="77777777" w:rsidR="00152AC5" w:rsidRPr="00996B2C" w:rsidRDefault="00152AC5" w:rsidP="00152AC5">
      <w:pPr>
        <w:spacing w:after="0" w:line="240" w:lineRule="auto"/>
        <w:jc w:val="both"/>
        <w:rPr>
          <w:rFonts w:ascii="Verdana" w:eastAsia="Cambria" w:hAnsi="Verdana" w:cs="Cambria"/>
          <w:color w:val="000000"/>
          <w:u w:color="000000"/>
          <w:lang w:val="es-CR" w:eastAsia="es-ES"/>
        </w:rPr>
      </w:pPr>
    </w:p>
    <w:p w14:paraId="46DDE7FD" w14:textId="77777777" w:rsidR="00152AC5" w:rsidRPr="00996B2C" w:rsidRDefault="00152AC5" w:rsidP="00152AC5">
      <w:pPr>
        <w:spacing w:after="0" w:line="240" w:lineRule="auto"/>
        <w:jc w:val="both"/>
        <w:rPr>
          <w:rFonts w:ascii="Verdana" w:eastAsia="Cambria" w:hAnsi="Verdana" w:cs="Cambria"/>
          <w:color w:val="000000"/>
          <w:u w:color="000000"/>
          <w:lang w:val="es-CR" w:eastAsia="es-ES"/>
        </w:rPr>
      </w:pPr>
    </w:p>
    <w:p w14:paraId="4A19BDBC" w14:textId="2FE387EC" w:rsidR="00152AC5" w:rsidRPr="00996B2C" w:rsidRDefault="00152AC5" w:rsidP="00152AC5">
      <w:pPr>
        <w:spacing w:after="0" w:line="240" w:lineRule="auto"/>
        <w:jc w:val="both"/>
        <w:rPr>
          <w:rFonts w:ascii="Verdana" w:eastAsia="Cambria" w:hAnsi="Verdana" w:cs="Cambria"/>
          <w:color w:val="000000"/>
          <w:sz w:val="20"/>
          <w:szCs w:val="20"/>
          <w:u w:color="000000"/>
          <w:lang w:val="es-CR" w:eastAsia="es-ES"/>
        </w:rPr>
      </w:pPr>
    </w:p>
    <w:p w14:paraId="42453BC2" w14:textId="77777777" w:rsidR="00152AC5" w:rsidRPr="00996B2C" w:rsidRDefault="00152AC5" w:rsidP="00152AC5">
      <w:pPr>
        <w:spacing w:after="0" w:line="240" w:lineRule="auto"/>
        <w:ind w:left="4248"/>
        <w:jc w:val="center"/>
        <w:rPr>
          <w:rFonts w:ascii="Verdana" w:hAnsi="Verdana"/>
          <w:sz w:val="20"/>
          <w:szCs w:val="20"/>
          <w:lang w:val="es-CR"/>
        </w:rPr>
      </w:pPr>
      <w:r w:rsidRPr="00996B2C">
        <w:rPr>
          <w:rFonts w:ascii="Verdana" w:hAnsi="Verdana"/>
          <w:sz w:val="20"/>
          <w:szCs w:val="20"/>
          <w:lang w:val="es-CR"/>
        </w:rPr>
        <w:t>Humberto Antonio Sierra Porto</w:t>
      </w:r>
    </w:p>
    <w:p w14:paraId="75124DE7" w14:textId="77777777" w:rsidR="00152AC5" w:rsidRPr="00996B2C" w:rsidRDefault="00152AC5" w:rsidP="00152AC5">
      <w:pPr>
        <w:spacing w:after="0" w:line="240" w:lineRule="auto"/>
        <w:ind w:left="4248"/>
        <w:jc w:val="center"/>
        <w:rPr>
          <w:rFonts w:ascii="Verdana" w:hAnsi="Verdana"/>
          <w:sz w:val="20"/>
          <w:szCs w:val="20"/>
          <w:lang w:val="es-CR"/>
        </w:rPr>
      </w:pPr>
      <w:r w:rsidRPr="00996B2C">
        <w:rPr>
          <w:rFonts w:ascii="Verdana" w:hAnsi="Verdana"/>
          <w:sz w:val="20"/>
          <w:szCs w:val="20"/>
          <w:lang w:val="es-CR"/>
        </w:rPr>
        <w:t>Juez</w:t>
      </w:r>
    </w:p>
    <w:p w14:paraId="5A437B3F" w14:textId="77777777" w:rsidR="00152AC5" w:rsidRPr="00996B2C" w:rsidRDefault="00152AC5" w:rsidP="00152AC5">
      <w:pPr>
        <w:tabs>
          <w:tab w:val="left" w:pos="1440"/>
        </w:tabs>
        <w:spacing w:after="0" w:line="240" w:lineRule="auto"/>
        <w:jc w:val="center"/>
        <w:rPr>
          <w:rFonts w:ascii="Verdana" w:hAnsi="Verdana"/>
          <w:sz w:val="20"/>
          <w:szCs w:val="20"/>
          <w:highlight w:val="yellow"/>
          <w:lang w:val="es-CR"/>
        </w:rPr>
      </w:pPr>
    </w:p>
    <w:p w14:paraId="69DC021E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highlight w:val="yellow"/>
          <w:lang w:val="es-CR"/>
        </w:rPr>
      </w:pPr>
    </w:p>
    <w:p w14:paraId="384A17C2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highlight w:val="yellow"/>
          <w:lang w:val="es-CR"/>
        </w:rPr>
      </w:pPr>
    </w:p>
    <w:p w14:paraId="0D7E45AC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highlight w:val="yellow"/>
          <w:lang w:val="es-CR"/>
        </w:rPr>
      </w:pPr>
    </w:p>
    <w:p w14:paraId="404382F1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highlight w:val="yellow"/>
          <w:lang w:val="es-CR"/>
        </w:rPr>
      </w:pPr>
    </w:p>
    <w:p w14:paraId="79033EE0" w14:textId="53DE17CC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highlight w:val="yellow"/>
          <w:lang w:val="es-CR"/>
        </w:rPr>
      </w:pPr>
    </w:p>
    <w:p w14:paraId="0C9003BA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lang w:val="es-CR"/>
        </w:rPr>
      </w:pPr>
      <w:r w:rsidRPr="00996B2C">
        <w:rPr>
          <w:rFonts w:ascii="Verdana" w:hAnsi="Verdana"/>
          <w:sz w:val="20"/>
          <w:szCs w:val="20"/>
          <w:lang w:val="es-CR"/>
        </w:rPr>
        <w:t xml:space="preserve">        Pablo Saavedra Alessandri </w:t>
      </w:r>
    </w:p>
    <w:p w14:paraId="0BEB9CDD" w14:textId="77777777" w:rsidR="00152AC5" w:rsidRPr="00996B2C" w:rsidRDefault="00152AC5" w:rsidP="00152AC5">
      <w:pPr>
        <w:tabs>
          <w:tab w:val="left" w:pos="1440"/>
        </w:tabs>
        <w:spacing w:after="0" w:line="240" w:lineRule="auto"/>
        <w:rPr>
          <w:rFonts w:ascii="Verdana" w:hAnsi="Verdana"/>
          <w:sz w:val="20"/>
          <w:szCs w:val="20"/>
          <w:lang w:val="es-CR"/>
        </w:rPr>
      </w:pPr>
      <w:r w:rsidRPr="00996B2C">
        <w:rPr>
          <w:rFonts w:ascii="Verdana" w:hAnsi="Verdana"/>
          <w:sz w:val="20"/>
          <w:szCs w:val="20"/>
          <w:lang w:val="es-CR"/>
        </w:rPr>
        <w:t xml:space="preserve">                 Secretario</w:t>
      </w:r>
    </w:p>
    <w:p w14:paraId="68ED76CA" w14:textId="77777777" w:rsidR="00152AC5" w:rsidRPr="00996B2C" w:rsidRDefault="00152AC5" w:rsidP="00152AC5">
      <w:pPr>
        <w:spacing w:after="0" w:line="240" w:lineRule="auto"/>
        <w:jc w:val="both"/>
        <w:rPr>
          <w:rFonts w:ascii="Verdana" w:eastAsia="Cambria" w:hAnsi="Verdana" w:cs="Cambria"/>
          <w:color w:val="000000"/>
          <w:u w:color="000000"/>
          <w:lang w:val="es-CR" w:eastAsia="es-ES"/>
        </w:rPr>
      </w:pPr>
    </w:p>
    <w:p w14:paraId="7E070F22" w14:textId="77777777" w:rsidR="00152AC5" w:rsidRPr="00996B2C" w:rsidRDefault="00152AC5" w:rsidP="00152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s-CR"/>
        </w:rPr>
      </w:pPr>
    </w:p>
    <w:sectPr w:rsidR="00152AC5" w:rsidRPr="00996B2C" w:rsidSect="00597EA9">
      <w:footerReference w:type="default" r:id="rId8"/>
      <w:pgSz w:w="12240" w:h="15840"/>
      <w:pgMar w:top="1417" w:right="1701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545D" w14:textId="77777777" w:rsidR="004468C0" w:rsidRDefault="004468C0" w:rsidP="00984F07">
      <w:pPr>
        <w:spacing w:after="0" w:line="240" w:lineRule="auto"/>
      </w:pPr>
      <w:r>
        <w:separator/>
      </w:r>
    </w:p>
  </w:endnote>
  <w:endnote w:type="continuationSeparator" w:id="0">
    <w:p w14:paraId="23F78DBD" w14:textId="77777777" w:rsidR="004468C0" w:rsidRDefault="004468C0" w:rsidP="0098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20846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7CC330D1" w14:textId="6A67C76E" w:rsidR="009336B8" w:rsidRPr="009336B8" w:rsidRDefault="009336B8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 w:rsidRPr="009336B8">
          <w:rPr>
            <w:rFonts w:ascii="Verdana" w:hAnsi="Verdana"/>
            <w:sz w:val="20"/>
            <w:szCs w:val="20"/>
          </w:rPr>
          <w:fldChar w:fldCharType="begin"/>
        </w:r>
        <w:r w:rsidRPr="009336B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9336B8">
          <w:rPr>
            <w:rFonts w:ascii="Verdana" w:hAnsi="Verdana"/>
            <w:sz w:val="20"/>
            <w:szCs w:val="20"/>
          </w:rPr>
          <w:fldChar w:fldCharType="separate"/>
        </w:r>
        <w:r w:rsidR="004A4462">
          <w:rPr>
            <w:rFonts w:ascii="Verdana" w:hAnsi="Verdana"/>
            <w:noProof/>
            <w:sz w:val="20"/>
            <w:szCs w:val="20"/>
          </w:rPr>
          <w:t>4</w:t>
        </w:r>
        <w:r w:rsidRPr="009336B8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6C5A39D9" w14:textId="77777777" w:rsidR="009336B8" w:rsidRDefault="00933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EAF0" w14:textId="77777777" w:rsidR="004468C0" w:rsidRDefault="004468C0" w:rsidP="00984F07">
      <w:pPr>
        <w:spacing w:after="0" w:line="240" w:lineRule="auto"/>
      </w:pPr>
      <w:r>
        <w:separator/>
      </w:r>
    </w:p>
  </w:footnote>
  <w:footnote w:type="continuationSeparator" w:id="0">
    <w:p w14:paraId="23BE842F" w14:textId="77777777" w:rsidR="004468C0" w:rsidRDefault="004468C0" w:rsidP="0098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D66"/>
    <w:multiLevelType w:val="hybridMultilevel"/>
    <w:tmpl w:val="55B0A46C"/>
    <w:lvl w:ilvl="0" w:tplc="2CD43B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20B"/>
    <w:multiLevelType w:val="hybridMultilevel"/>
    <w:tmpl w:val="95FC487E"/>
    <w:lvl w:ilvl="0" w:tplc="948097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C10"/>
    <w:multiLevelType w:val="hybridMultilevel"/>
    <w:tmpl w:val="3196C5E2"/>
    <w:lvl w:ilvl="0" w:tplc="6E72A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3DA"/>
    <w:multiLevelType w:val="hybridMultilevel"/>
    <w:tmpl w:val="5EA68DAA"/>
    <w:lvl w:ilvl="0" w:tplc="98CC3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R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80"/>
    <w:rsid w:val="0003261A"/>
    <w:rsid w:val="00043D7C"/>
    <w:rsid w:val="000561E8"/>
    <w:rsid w:val="000B2F27"/>
    <w:rsid w:val="00126109"/>
    <w:rsid w:val="0014462B"/>
    <w:rsid w:val="00144F76"/>
    <w:rsid w:val="00152AC5"/>
    <w:rsid w:val="00185794"/>
    <w:rsid w:val="00190B13"/>
    <w:rsid w:val="00191F3E"/>
    <w:rsid w:val="001A1FA3"/>
    <w:rsid w:val="001E1EAF"/>
    <w:rsid w:val="001E251B"/>
    <w:rsid w:val="002348ED"/>
    <w:rsid w:val="00235115"/>
    <w:rsid w:val="002A3147"/>
    <w:rsid w:val="002E3480"/>
    <w:rsid w:val="00322C65"/>
    <w:rsid w:val="0033482A"/>
    <w:rsid w:val="003C0F89"/>
    <w:rsid w:val="004009CE"/>
    <w:rsid w:val="004468C0"/>
    <w:rsid w:val="0045632F"/>
    <w:rsid w:val="004964E9"/>
    <w:rsid w:val="004A4462"/>
    <w:rsid w:val="004A4A2E"/>
    <w:rsid w:val="00597EA9"/>
    <w:rsid w:val="0060021E"/>
    <w:rsid w:val="00613911"/>
    <w:rsid w:val="006350F8"/>
    <w:rsid w:val="0064274F"/>
    <w:rsid w:val="00646A36"/>
    <w:rsid w:val="00653C87"/>
    <w:rsid w:val="006A3C06"/>
    <w:rsid w:val="006D3EB3"/>
    <w:rsid w:val="00711276"/>
    <w:rsid w:val="00724FCC"/>
    <w:rsid w:val="007B0650"/>
    <w:rsid w:val="007B5980"/>
    <w:rsid w:val="007F0BB6"/>
    <w:rsid w:val="007F188B"/>
    <w:rsid w:val="008016A4"/>
    <w:rsid w:val="0082603C"/>
    <w:rsid w:val="008C08BB"/>
    <w:rsid w:val="008C7EF5"/>
    <w:rsid w:val="008D53D5"/>
    <w:rsid w:val="009031AA"/>
    <w:rsid w:val="00903D9C"/>
    <w:rsid w:val="009336B8"/>
    <w:rsid w:val="0093451A"/>
    <w:rsid w:val="0094555C"/>
    <w:rsid w:val="009767D6"/>
    <w:rsid w:val="00984F07"/>
    <w:rsid w:val="00996B2C"/>
    <w:rsid w:val="00A27F50"/>
    <w:rsid w:val="00A50DD2"/>
    <w:rsid w:val="00AC4D5F"/>
    <w:rsid w:val="00AC53DF"/>
    <w:rsid w:val="00AD212E"/>
    <w:rsid w:val="00B21569"/>
    <w:rsid w:val="00B27E27"/>
    <w:rsid w:val="00B573D7"/>
    <w:rsid w:val="00B719D4"/>
    <w:rsid w:val="00B755B1"/>
    <w:rsid w:val="00BC665A"/>
    <w:rsid w:val="00C1318D"/>
    <w:rsid w:val="00CC2A3F"/>
    <w:rsid w:val="00CF5A3D"/>
    <w:rsid w:val="00D03268"/>
    <w:rsid w:val="00D157E3"/>
    <w:rsid w:val="00D222F9"/>
    <w:rsid w:val="00D35F04"/>
    <w:rsid w:val="00D708EB"/>
    <w:rsid w:val="00D85FC4"/>
    <w:rsid w:val="00DC0313"/>
    <w:rsid w:val="00DE01EE"/>
    <w:rsid w:val="00E2600C"/>
    <w:rsid w:val="00EA2780"/>
    <w:rsid w:val="00ED29EB"/>
    <w:rsid w:val="00EE16E8"/>
    <w:rsid w:val="00EE7331"/>
    <w:rsid w:val="00F33ECB"/>
    <w:rsid w:val="00FD4E8A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9F7"/>
  <w15:docId w15:val="{2126274A-7552-3B4E-B86F-BF1F114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lorful List - Accent 11,Lista vistosa - Énfasis 11,Footnote,List Paragraph1,Párrafo de lista1"/>
    <w:basedOn w:val="Normal"/>
    <w:link w:val="PrrafodelistaCar"/>
    <w:qFormat/>
    <w:rsid w:val="007B59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4F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F07"/>
    <w:rPr>
      <w:sz w:val="20"/>
      <w:szCs w:val="20"/>
    </w:rPr>
  </w:style>
  <w:style w:type="character" w:styleId="Refdenotaalpie">
    <w:name w:val="footnote reference"/>
    <w:aliases w:val="Texto de nota al pie,Appel note de bas de page,Footnotes refss,Footnote number,referencia nota al pie,BVI fnr,f,4_G,16 Point,Superscript 6 Point,Footnote Reference Char3,Footnote Reference Char1 Char,Footnote Reference Char Char Char"/>
    <w:basedOn w:val="Fuentedeprrafopredeter"/>
    <w:uiPriority w:val="99"/>
    <w:qFormat/>
    <w:rsid w:val="00984F07"/>
    <w:rPr>
      <w:rFonts w:ascii="Verdana" w:hAnsi="Verdana" w:cs="Verdana"/>
      <w:sz w:val="16"/>
      <w:szCs w:val="16"/>
      <w:vertAlign w:val="superscript"/>
    </w:rPr>
  </w:style>
  <w:style w:type="character" w:styleId="Textoennegrita">
    <w:name w:val="Strong"/>
    <w:aliases w:val="Heading 2.1"/>
    <w:basedOn w:val="Fuentedeprrafopredeter"/>
    <w:uiPriority w:val="22"/>
    <w:qFormat/>
    <w:rsid w:val="00984F07"/>
    <w:rPr>
      <w:b/>
      <w:bCs/>
    </w:rPr>
  </w:style>
  <w:style w:type="character" w:customStyle="1" w:styleId="PrrafodelistaCar">
    <w:name w:val="Párrafo de lista Car"/>
    <w:aliases w:val="Colorful List - Accent 11 Car,Lista vistosa - Énfasis 11 Car,Footnote Car,List Paragraph1 Car,Párrafo de lista1 Car"/>
    <w:basedOn w:val="Fuentedeprrafopredeter"/>
    <w:link w:val="Prrafodelista"/>
    <w:locked/>
    <w:rsid w:val="0094555C"/>
  </w:style>
  <w:style w:type="character" w:styleId="Refdecomentario">
    <w:name w:val="annotation reference"/>
    <w:basedOn w:val="Fuentedeprrafopredeter"/>
    <w:uiPriority w:val="99"/>
    <w:semiHidden/>
    <w:unhideWhenUsed/>
    <w:rsid w:val="008C7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E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E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E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E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F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3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6B8"/>
  </w:style>
  <w:style w:type="paragraph" w:styleId="Piedepgina">
    <w:name w:val="footer"/>
    <w:basedOn w:val="Normal"/>
    <w:link w:val="PiedepginaCar"/>
    <w:uiPriority w:val="99"/>
    <w:unhideWhenUsed/>
    <w:rsid w:val="00933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9836-71A5-AA41-AE9F-A4294CD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Microsoft Office User</cp:lastModifiedBy>
  <cp:revision>3</cp:revision>
  <cp:lastPrinted>2019-12-19T21:38:00Z</cp:lastPrinted>
  <dcterms:created xsi:type="dcterms:W3CDTF">2019-12-20T00:26:00Z</dcterms:created>
  <dcterms:modified xsi:type="dcterms:W3CDTF">2019-12-20T00:38:00Z</dcterms:modified>
</cp:coreProperties>
</file>