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2BE84" w14:textId="2402282D" w:rsidR="00E50F4F" w:rsidRPr="00ED6F6B" w:rsidRDefault="00E50F4F" w:rsidP="0078245B">
      <w:pPr>
        <w:tabs>
          <w:tab w:val="left" w:pos="709"/>
        </w:tabs>
        <w:jc w:val="center"/>
        <w:rPr>
          <w:b/>
          <w:szCs w:val="20"/>
          <w:lang w:val="es-CO"/>
        </w:rPr>
      </w:pPr>
      <w:bookmarkStart w:id="0" w:name="_GoBack"/>
      <w:bookmarkEnd w:id="0"/>
      <w:r w:rsidRPr="00CC0D04">
        <w:rPr>
          <w:b/>
          <w:szCs w:val="20"/>
          <w:lang w:val="es-CO"/>
        </w:rPr>
        <w:t>VOTO CONCURRENTE DEL</w:t>
      </w:r>
      <w:r w:rsidRPr="00ED6F6B">
        <w:rPr>
          <w:b/>
          <w:szCs w:val="20"/>
          <w:lang w:val="es-CO"/>
        </w:rPr>
        <w:t xml:space="preserve"> </w:t>
      </w:r>
    </w:p>
    <w:p w14:paraId="74D38985" w14:textId="77777777" w:rsidR="00E50F4F" w:rsidRPr="00ED6F6B" w:rsidRDefault="00E50F4F" w:rsidP="0078245B">
      <w:pPr>
        <w:tabs>
          <w:tab w:val="left" w:pos="709"/>
        </w:tabs>
        <w:jc w:val="center"/>
        <w:rPr>
          <w:b/>
          <w:szCs w:val="20"/>
          <w:lang w:val="es-CO"/>
        </w:rPr>
      </w:pPr>
      <w:r w:rsidRPr="00ED6F6B">
        <w:rPr>
          <w:b/>
          <w:szCs w:val="20"/>
          <w:lang w:val="es-CO"/>
        </w:rPr>
        <w:t>JUEZ HUMBERTO ANTONIO SIERRA PORTO</w:t>
      </w:r>
    </w:p>
    <w:p w14:paraId="724F9CAA" w14:textId="77777777" w:rsidR="00E50F4F" w:rsidRPr="00ED6F6B" w:rsidRDefault="00E50F4F" w:rsidP="0078245B">
      <w:pPr>
        <w:tabs>
          <w:tab w:val="left" w:pos="709"/>
        </w:tabs>
        <w:jc w:val="center"/>
        <w:rPr>
          <w:b/>
          <w:szCs w:val="20"/>
          <w:lang w:val="es-CO"/>
        </w:rPr>
      </w:pPr>
    </w:p>
    <w:p w14:paraId="733A0E94" w14:textId="77777777" w:rsidR="00E50F4F" w:rsidRPr="00ED6F6B" w:rsidRDefault="00E50F4F" w:rsidP="0078245B">
      <w:pPr>
        <w:jc w:val="center"/>
        <w:rPr>
          <w:rFonts w:eastAsia="MS Mincho" w:cs="Times New Roman"/>
          <w:b/>
          <w:szCs w:val="20"/>
          <w:lang w:val="es-CO" w:eastAsia="es-CR"/>
        </w:rPr>
      </w:pPr>
      <w:r w:rsidRPr="00ED6F6B">
        <w:rPr>
          <w:rFonts w:eastAsia="MS Mincho" w:cs="Times New Roman"/>
          <w:b/>
          <w:szCs w:val="20"/>
          <w:lang w:val="es-CO" w:eastAsia="es-CR"/>
        </w:rPr>
        <w:t>CORTE INTERAMERICANA DE DERECHOS HUMANOS</w:t>
      </w:r>
      <w:r w:rsidRPr="00ED6F6B">
        <w:rPr>
          <w:rFonts w:eastAsia="MS Mincho" w:cs="Times New Roman"/>
          <w:b/>
          <w:szCs w:val="20"/>
          <w:lang w:val="es-CO" w:eastAsia="es-CR"/>
        </w:rPr>
        <w:tab/>
      </w:r>
    </w:p>
    <w:p w14:paraId="154E4877" w14:textId="77777777" w:rsidR="00E50F4F" w:rsidRPr="00ED6F6B" w:rsidRDefault="00E50F4F" w:rsidP="0078245B">
      <w:pPr>
        <w:jc w:val="center"/>
        <w:rPr>
          <w:rFonts w:eastAsia="MS Mincho" w:cs="Times New Roman"/>
          <w:b/>
          <w:szCs w:val="20"/>
          <w:lang w:val="es-CO" w:eastAsia="es-CR"/>
        </w:rPr>
      </w:pPr>
    </w:p>
    <w:p w14:paraId="4D8976FA" w14:textId="77777777" w:rsidR="00C2330F" w:rsidRPr="0078245B" w:rsidRDefault="00C2330F" w:rsidP="0078245B">
      <w:pPr>
        <w:ind w:right="-4"/>
        <w:jc w:val="center"/>
        <w:rPr>
          <w:rFonts w:cs="Verdana Bold"/>
          <w:b/>
          <w:bCs/>
          <w:i/>
          <w:caps/>
          <w:szCs w:val="20"/>
          <w:lang w:val="es-ES_tradnl"/>
        </w:rPr>
      </w:pPr>
      <w:r w:rsidRPr="0078245B">
        <w:rPr>
          <w:rFonts w:cs="Verdana Bold"/>
          <w:b/>
          <w:bCs/>
          <w:i/>
          <w:caps/>
          <w:szCs w:val="20"/>
          <w:lang w:val="es-ES_tradnl"/>
        </w:rPr>
        <w:t>CASO de los buzos miskitos (LEMOTH MORRIS Y OTROS) VS. HONDURAS</w:t>
      </w:r>
    </w:p>
    <w:p w14:paraId="773ECB14" w14:textId="3C34B827" w:rsidR="00E50F4F" w:rsidRPr="00ED6F6B" w:rsidRDefault="00E50F4F" w:rsidP="0078245B">
      <w:pPr>
        <w:jc w:val="center"/>
        <w:rPr>
          <w:rFonts w:eastAsia="MS Mincho" w:cs="Times New Roman"/>
          <w:b/>
          <w:bCs/>
          <w:szCs w:val="20"/>
          <w:lang w:val="es-CO" w:eastAsia="es-CR"/>
        </w:rPr>
      </w:pPr>
    </w:p>
    <w:p w14:paraId="3F01B3E7" w14:textId="77777777" w:rsidR="00E50F4F" w:rsidRPr="00ED6F6B" w:rsidRDefault="00E50F4F" w:rsidP="0078245B">
      <w:pPr>
        <w:jc w:val="center"/>
        <w:rPr>
          <w:rFonts w:eastAsia="MS Mincho" w:cs="Times New Roman"/>
          <w:b/>
          <w:bCs/>
          <w:szCs w:val="20"/>
          <w:lang w:val="es-CO" w:eastAsia="es-CR"/>
        </w:rPr>
      </w:pPr>
    </w:p>
    <w:p w14:paraId="7D23FD16" w14:textId="77777777" w:rsidR="00CC3155" w:rsidRPr="00532C3B" w:rsidRDefault="00CC3155" w:rsidP="0078245B">
      <w:pPr>
        <w:pStyle w:val="Ttulo"/>
        <w:ind w:left="-142" w:right="-4"/>
        <w:rPr>
          <w:rFonts w:eastAsia="MS Mincho"/>
        </w:rPr>
      </w:pPr>
      <w:r w:rsidRPr="00532C3B">
        <w:rPr>
          <w:rFonts w:eastAsia="MS Mincho"/>
        </w:rPr>
        <w:t xml:space="preserve">SENTENCIA DE </w:t>
      </w:r>
      <w:r>
        <w:rPr>
          <w:rFonts w:eastAsia="MS Mincho"/>
        </w:rPr>
        <w:t>31</w:t>
      </w:r>
      <w:r w:rsidRPr="00532C3B">
        <w:rPr>
          <w:rFonts w:eastAsia="MS Mincho"/>
        </w:rPr>
        <w:t xml:space="preserve"> DE </w:t>
      </w:r>
      <w:r>
        <w:rPr>
          <w:rFonts w:eastAsia="MS Mincho"/>
        </w:rPr>
        <w:t>AGOSTO DE 2021</w:t>
      </w:r>
    </w:p>
    <w:p w14:paraId="4E971E40" w14:textId="77777777" w:rsidR="00E50F4F" w:rsidRPr="00ED6F6B" w:rsidRDefault="00E50F4F" w:rsidP="0078245B">
      <w:pPr>
        <w:jc w:val="center"/>
        <w:rPr>
          <w:rFonts w:eastAsia="Batang" w:cs="Times"/>
          <w:b/>
          <w:i/>
          <w:smallCaps/>
          <w:szCs w:val="20"/>
          <w:lang w:val="es-CO" w:eastAsia="es-CR"/>
        </w:rPr>
      </w:pPr>
      <w:r w:rsidRPr="00ED6F6B">
        <w:rPr>
          <w:rFonts w:eastAsia="MS Mincho" w:cs="Times New Roman"/>
          <w:b/>
          <w:i/>
          <w:szCs w:val="20"/>
          <w:lang w:val="es-CO" w:eastAsia="es-CR"/>
        </w:rPr>
        <w:t>(Fondo, Reparaciones y Costas)</w:t>
      </w:r>
    </w:p>
    <w:p w14:paraId="16705B23" w14:textId="77777777" w:rsidR="00E50F4F" w:rsidRPr="00ED6F6B" w:rsidRDefault="00E50F4F" w:rsidP="0078245B">
      <w:pPr>
        <w:rPr>
          <w:lang w:val="es-CO"/>
        </w:rPr>
      </w:pPr>
    </w:p>
    <w:p w14:paraId="6F65180B" w14:textId="5F7658C4" w:rsidR="00E50F4F" w:rsidRPr="0078245B" w:rsidRDefault="00E50F4F" w:rsidP="0078245B">
      <w:pPr>
        <w:pStyle w:val="Prrafodelista"/>
        <w:numPr>
          <w:ilvl w:val="0"/>
          <w:numId w:val="4"/>
        </w:numPr>
        <w:ind w:left="0" w:firstLine="0"/>
        <w:contextualSpacing/>
        <w:rPr>
          <w:b/>
          <w:i/>
          <w:u w:val="single"/>
          <w:lang w:val="es-CO"/>
        </w:rPr>
      </w:pPr>
      <w:r w:rsidRPr="00ED6F6B">
        <w:rPr>
          <w:rFonts w:cs="Times New Roman"/>
          <w:lang w:val="es-CO"/>
        </w:rPr>
        <w:t>Con</w:t>
      </w:r>
      <w:r w:rsidRPr="00ED6F6B">
        <w:rPr>
          <w:lang w:val="es-CO"/>
        </w:rPr>
        <w:t xml:space="preserve"> el acostumbrado respeto por las decisiones de la Corte Interamericana de Derechos Humanos (en adelante “la Corte” o “el Tribunal”), </w:t>
      </w:r>
      <w:r w:rsidR="005131A5">
        <w:rPr>
          <w:lang w:val="es-CO"/>
        </w:rPr>
        <w:t>presento este</w:t>
      </w:r>
      <w:r w:rsidRPr="00ED6F6B">
        <w:rPr>
          <w:lang w:val="es-CO"/>
        </w:rPr>
        <w:t xml:space="preserve"> voto </w:t>
      </w:r>
      <w:r w:rsidR="005131A5">
        <w:rPr>
          <w:lang w:val="es-CO"/>
        </w:rPr>
        <w:t>concurrente con el</w:t>
      </w:r>
      <w:r w:rsidRPr="00ED6F6B">
        <w:rPr>
          <w:lang w:val="es-CO"/>
        </w:rPr>
        <w:t xml:space="preserve"> objeto explicar </w:t>
      </w:r>
      <w:r w:rsidR="0087483A">
        <w:rPr>
          <w:lang w:val="es-CO"/>
        </w:rPr>
        <w:t>algunas discrepancias frente al análisis de fondo que adelantó la Corte</w:t>
      </w:r>
      <w:r w:rsidR="005131A5">
        <w:rPr>
          <w:lang w:val="es-CO"/>
        </w:rPr>
        <w:t>,</w:t>
      </w:r>
      <w:r w:rsidR="00A53FAB">
        <w:rPr>
          <w:lang w:val="es-CO"/>
        </w:rPr>
        <w:t xml:space="preserve"> </w:t>
      </w:r>
      <w:r w:rsidR="00242629">
        <w:rPr>
          <w:lang w:val="es-CO"/>
        </w:rPr>
        <w:t xml:space="preserve">junto </w:t>
      </w:r>
      <w:r w:rsidR="00A53FAB">
        <w:rPr>
          <w:lang w:val="es-CO"/>
        </w:rPr>
        <w:t>con la homologación del acuerdo de solución amistosa celebrado po</w:t>
      </w:r>
      <w:r w:rsidR="008061BC">
        <w:rPr>
          <w:lang w:val="es-CO"/>
        </w:rPr>
        <w:t>r las víctimas del presente caso y el Estado de Honduras (en adelante “el Estado” o Honduras)</w:t>
      </w:r>
      <w:r w:rsidR="00005DFF">
        <w:rPr>
          <w:lang w:val="es-CO"/>
        </w:rPr>
        <w:t xml:space="preserve">, </w:t>
      </w:r>
      <w:r w:rsidR="00C16FDA">
        <w:rPr>
          <w:lang w:val="es-CO"/>
        </w:rPr>
        <w:t xml:space="preserve">con base en el cual se declaró la responsabilidad internacional del Estado por </w:t>
      </w:r>
      <w:r w:rsidR="002F1588">
        <w:rPr>
          <w:lang w:val="es-CO"/>
        </w:rPr>
        <w:t xml:space="preserve">la violación de los derechos </w:t>
      </w:r>
      <w:r w:rsidR="002F1588" w:rsidRPr="0078245B">
        <w:rPr>
          <w:lang w:val="es-ES_tradnl"/>
        </w:rPr>
        <w:t>a la vida, a la vida digna, a la integridad personal, a las garantías judiciales, a los derechos del niño, a la igual protección de la ley, a la protección judicial, a la salud, al trabajo y sus condiciones justas, equitativas y satisfactorias, a la seguridad social, y a la igualdad y no discriminación</w:t>
      </w:r>
      <w:r w:rsidR="00C35F71" w:rsidRPr="0078245B">
        <w:rPr>
          <w:lang w:val="es-ES_tradnl"/>
        </w:rPr>
        <w:t xml:space="preserve"> en perjuicio de las 42 víctimas del caso </w:t>
      </w:r>
      <w:r w:rsidR="00FE0ACE" w:rsidRPr="0078245B">
        <w:rPr>
          <w:lang w:val="es-ES_tradnl"/>
        </w:rPr>
        <w:t xml:space="preserve">señaladas en el Anexo 1 de la sentencia. </w:t>
      </w:r>
      <w:r w:rsidRPr="00FE0ACE">
        <w:rPr>
          <w:lang w:val="es-CO"/>
        </w:rPr>
        <w:t xml:space="preserve">El voto complementa la posición ya expresada en mis votos parcialmente disidentes a los casos </w:t>
      </w:r>
      <w:r w:rsidRPr="00FE0ACE">
        <w:rPr>
          <w:i/>
          <w:lang w:val="es-CO"/>
        </w:rPr>
        <w:t>Lagos del Campo Vs. Perú</w:t>
      </w:r>
      <w:r w:rsidRPr="00ED6F6B">
        <w:rPr>
          <w:vertAlign w:val="superscript"/>
          <w:lang w:val="es-CO"/>
        </w:rPr>
        <w:footnoteReference w:id="1"/>
      </w:r>
      <w:r w:rsidRPr="00FE0ACE">
        <w:rPr>
          <w:lang w:val="es-CO"/>
        </w:rPr>
        <w:t xml:space="preserve">, </w:t>
      </w:r>
      <w:r w:rsidRPr="00FE0ACE">
        <w:rPr>
          <w:i/>
          <w:lang w:val="es-CO"/>
        </w:rPr>
        <w:t>Trabajadores Cesados de Petroperú y otros Vs. Perú</w:t>
      </w:r>
      <w:r w:rsidRPr="00ED6F6B">
        <w:rPr>
          <w:vertAlign w:val="superscript"/>
          <w:lang w:val="es-CO"/>
        </w:rPr>
        <w:footnoteReference w:id="2"/>
      </w:r>
      <w:r w:rsidRPr="00FE0ACE">
        <w:rPr>
          <w:lang w:val="es-CO"/>
        </w:rPr>
        <w:t xml:space="preserve">, </w:t>
      </w:r>
      <w:r w:rsidRPr="00FE0ACE">
        <w:rPr>
          <w:i/>
          <w:lang w:val="es-CO"/>
        </w:rPr>
        <w:t>San Miguel Sosa y otras Vs. Venezuela</w:t>
      </w:r>
      <w:r w:rsidRPr="00ED6F6B">
        <w:rPr>
          <w:vertAlign w:val="superscript"/>
          <w:lang w:val="es-CO"/>
        </w:rPr>
        <w:footnoteReference w:id="3"/>
      </w:r>
      <w:r w:rsidRPr="00FE0ACE">
        <w:rPr>
          <w:lang w:val="es-CO"/>
        </w:rPr>
        <w:t xml:space="preserve">, </w:t>
      </w:r>
      <w:proofErr w:type="spellStart"/>
      <w:r w:rsidRPr="00FE0ACE">
        <w:rPr>
          <w:i/>
          <w:lang w:val="es-CO"/>
        </w:rPr>
        <w:t>Cuscul</w:t>
      </w:r>
      <w:proofErr w:type="spellEnd"/>
      <w:r w:rsidRPr="00FE0ACE">
        <w:rPr>
          <w:i/>
          <w:lang w:val="es-CO"/>
        </w:rPr>
        <w:t xml:space="preserve"> </w:t>
      </w:r>
      <w:proofErr w:type="spellStart"/>
      <w:r w:rsidRPr="00FE0ACE">
        <w:rPr>
          <w:i/>
          <w:lang w:val="es-CO"/>
        </w:rPr>
        <w:t>Pivaral</w:t>
      </w:r>
      <w:proofErr w:type="spellEnd"/>
      <w:r w:rsidRPr="00FE0ACE">
        <w:rPr>
          <w:i/>
          <w:lang w:val="es-CO"/>
        </w:rPr>
        <w:t xml:space="preserve"> y otros Vs. Guatemala</w:t>
      </w:r>
      <w:r w:rsidRPr="00ED6F6B">
        <w:rPr>
          <w:bCs/>
          <w:vertAlign w:val="superscript"/>
          <w:lang w:val="es-CO"/>
        </w:rPr>
        <w:footnoteReference w:id="4"/>
      </w:r>
      <w:r w:rsidRPr="00FE0ACE">
        <w:rPr>
          <w:bCs/>
          <w:lang w:val="es-CO"/>
        </w:rPr>
        <w:t>,</w:t>
      </w:r>
      <w:r w:rsidRPr="00FE0ACE">
        <w:rPr>
          <w:lang w:val="es-CO"/>
        </w:rPr>
        <w:t xml:space="preserve"> </w:t>
      </w:r>
      <w:r w:rsidRPr="00FE0ACE">
        <w:rPr>
          <w:i/>
          <w:lang w:val="es-CO"/>
        </w:rPr>
        <w:t>Muelle Flores Vs. Perú</w:t>
      </w:r>
      <w:r w:rsidRPr="00ED6F6B">
        <w:rPr>
          <w:vertAlign w:val="superscript"/>
          <w:lang w:val="es-CO"/>
        </w:rPr>
        <w:footnoteReference w:id="5"/>
      </w:r>
      <w:r w:rsidRPr="00FE0ACE">
        <w:rPr>
          <w:lang w:val="es-CO"/>
        </w:rPr>
        <w:t>,</w:t>
      </w:r>
      <w:r w:rsidRPr="00FE0ACE">
        <w:rPr>
          <w:i/>
          <w:lang w:val="es-CO"/>
        </w:rPr>
        <w:t xml:space="preserve"> Asociación Nacional de Cesantes y Jubilados de la Superintendencia Nacional de Administración Tributaria (ANCEJUB-SUNAT) Vs. Perú</w:t>
      </w:r>
      <w:r w:rsidRPr="00ED6F6B">
        <w:rPr>
          <w:vertAlign w:val="superscript"/>
          <w:lang w:val="es-CO"/>
        </w:rPr>
        <w:footnoteReference w:id="6"/>
      </w:r>
      <w:r w:rsidRPr="00FE0ACE">
        <w:rPr>
          <w:lang w:val="es-CO"/>
        </w:rPr>
        <w:t xml:space="preserve">, </w:t>
      </w:r>
      <w:r w:rsidRPr="00FE0ACE">
        <w:rPr>
          <w:i/>
          <w:lang w:val="es-CO"/>
        </w:rPr>
        <w:t>Hernández Vs. Argentina</w:t>
      </w:r>
      <w:r w:rsidRPr="00ED6F6B">
        <w:rPr>
          <w:vertAlign w:val="superscript"/>
          <w:lang w:val="es-CO"/>
        </w:rPr>
        <w:footnoteReference w:id="7"/>
      </w:r>
      <w:r w:rsidR="00DA565E">
        <w:rPr>
          <w:lang w:val="es-CO"/>
        </w:rPr>
        <w:t xml:space="preserve">, </w:t>
      </w:r>
      <w:r w:rsidRPr="00FE0ACE">
        <w:rPr>
          <w:i/>
          <w:lang w:val="es-CO"/>
        </w:rPr>
        <w:t xml:space="preserve">Comunidades Indígenas Miembros de la Asociación </w:t>
      </w:r>
      <w:proofErr w:type="spellStart"/>
      <w:r w:rsidRPr="00FE0ACE">
        <w:rPr>
          <w:i/>
          <w:lang w:val="es-CO"/>
        </w:rPr>
        <w:t>Lhaka</w:t>
      </w:r>
      <w:proofErr w:type="spellEnd"/>
      <w:r w:rsidRPr="00FE0ACE">
        <w:rPr>
          <w:i/>
          <w:lang w:val="es-CO"/>
        </w:rPr>
        <w:t xml:space="preserve"> </w:t>
      </w:r>
      <w:proofErr w:type="spellStart"/>
      <w:r w:rsidRPr="00FE0ACE">
        <w:rPr>
          <w:i/>
          <w:lang w:val="es-CO"/>
        </w:rPr>
        <w:t>Honhat</w:t>
      </w:r>
      <w:proofErr w:type="spellEnd"/>
      <w:r w:rsidRPr="00FE0ACE">
        <w:rPr>
          <w:i/>
          <w:lang w:val="es-CO"/>
        </w:rPr>
        <w:t xml:space="preserve"> (Nuestra Tierra) Vs. Argentina</w:t>
      </w:r>
      <w:r w:rsidRPr="00ED6F6B">
        <w:rPr>
          <w:vertAlign w:val="superscript"/>
          <w:lang w:val="es-CO"/>
        </w:rPr>
        <w:footnoteReference w:id="8"/>
      </w:r>
      <w:r w:rsidR="00653E6A">
        <w:rPr>
          <w:i/>
          <w:lang w:val="es-CO"/>
        </w:rPr>
        <w:t xml:space="preserve">, </w:t>
      </w:r>
      <w:r w:rsidR="002A1B4C">
        <w:rPr>
          <w:i/>
          <w:lang w:val="es-CO"/>
        </w:rPr>
        <w:t>E</w:t>
      </w:r>
      <w:r w:rsidR="002A1B4C" w:rsidRPr="002A1B4C">
        <w:rPr>
          <w:bCs/>
          <w:i/>
          <w:lang w:val="es-CO"/>
        </w:rPr>
        <w:t xml:space="preserve">mpleados de la fábrica de fuegos en </w:t>
      </w:r>
      <w:r w:rsidR="002A1B4C">
        <w:rPr>
          <w:bCs/>
          <w:i/>
          <w:lang w:val="es-CO"/>
        </w:rPr>
        <w:t>S</w:t>
      </w:r>
      <w:r w:rsidR="002A1B4C" w:rsidRPr="002A1B4C">
        <w:rPr>
          <w:bCs/>
          <w:i/>
          <w:lang w:val="es-CO"/>
        </w:rPr>
        <w:t xml:space="preserve">anto </w:t>
      </w:r>
      <w:proofErr w:type="spellStart"/>
      <w:r w:rsidR="002A1B4C">
        <w:rPr>
          <w:bCs/>
          <w:i/>
          <w:lang w:val="es-CO"/>
        </w:rPr>
        <w:t>A</w:t>
      </w:r>
      <w:r w:rsidR="002A1B4C" w:rsidRPr="002A1B4C">
        <w:rPr>
          <w:bCs/>
          <w:i/>
          <w:lang w:val="es-CO"/>
        </w:rPr>
        <w:t>ntônio</w:t>
      </w:r>
      <w:proofErr w:type="spellEnd"/>
      <w:r w:rsidR="002A1B4C" w:rsidRPr="002A1B4C">
        <w:rPr>
          <w:bCs/>
          <w:i/>
          <w:lang w:val="es-CO"/>
        </w:rPr>
        <w:t xml:space="preserve"> de </w:t>
      </w:r>
      <w:proofErr w:type="spellStart"/>
      <w:r w:rsidR="002A1B4C">
        <w:rPr>
          <w:bCs/>
          <w:i/>
          <w:lang w:val="es-CO"/>
        </w:rPr>
        <w:t>J</w:t>
      </w:r>
      <w:r w:rsidR="002A1B4C" w:rsidRPr="002A1B4C">
        <w:rPr>
          <w:bCs/>
          <w:i/>
          <w:lang w:val="es-CO"/>
        </w:rPr>
        <w:t>esus</w:t>
      </w:r>
      <w:proofErr w:type="spellEnd"/>
      <w:r w:rsidR="002A1B4C" w:rsidRPr="002A1B4C" w:rsidDel="00A41E0A">
        <w:rPr>
          <w:bCs/>
          <w:i/>
          <w:lang w:val="es-CO"/>
        </w:rPr>
        <w:t xml:space="preserve"> </w:t>
      </w:r>
      <w:r w:rsidR="002A1B4C" w:rsidRPr="002A1B4C">
        <w:rPr>
          <w:bCs/>
          <w:i/>
          <w:lang w:val="es-CO"/>
        </w:rPr>
        <w:t xml:space="preserve">y sus </w:t>
      </w:r>
      <w:r w:rsidR="002A1B4C" w:rsidRPr="002A1B4C">
        <w:rPr>
          <w:bCs/>
          <w:i/>
          <w:lang w:val="es-CO"/>
        </w:rPr>
        <w:lastRenderedPageBreak/>
        <w:t xml:space="preserve">familiares vs. </w:t>
      </w:r>
      <w:r w:rsidR="0024139E">
        <w:rPr>
          <w:bCs/>
          <w:i/>
          <w:lang w:val="es-CO"/>
        </w:rPr>
        <w:t>B</w:t>
      </w:r>
      <w:r w:rsidR="002A1B4C" w:rsidRPr="002A1B4C">
        <w:rPr>
          <w:bCs/>
          <w:i/>
          <w:lang w:val="es-CO"/>
        </w:rPr>
        <w:t>rasil</w:t>
      </w:r>
      <w:r w:rsidR="0024139E">
        <w:rPr>
          <w:rStyle w:val="Refdenotaalpie"/>
          <w:bCs/>
          <w:i/>
          <w:lang w:val="es-CO"/>
        </w:rPr>
        <w:footnoteReference w:id="9"/>
      </w:r>
      <w:r w:rsidR="002A1B4C" w:rsidRPr="002A1B4C">
        <w:rPr>
          <w:i/>
          <w:lang w:val="es-CO"/>
        </w:rPr>
        <w:t xml:space="preserve"> </w:t>
      </w:r>
      <w:r w:rsidR="00DA565E" w:rsidRPr="002A1B4C">
        <w:rPr>
          <w:i/>
          <w:lang w:val="es-CO"/>
        </w:rPr>
        <w:t>y Guachalá Chimbo vs. Ecuador</w:t>
      </w:r>
      <w:r w:rsidR="00714A45">
        <w:rPr>
          <w:rStyle w:val="Refdenotaalpie"/>
          <w:i/>
          <w:lang w:val="es-CO"/>
        </w:rPr>
        <w:footnoteReference w:id="10"/>
      </w:r>
      <w:r w:rsidRPr="002A1B4C">
        <w:rPr>
          <w:lang w:val="es-CO"/>
        </w:rPr>
        <w:t xml:space="preserve">; así como en mis votos concurrentes en los casos </w:t>
      </w:r>
      <w:r w:rsidRPr="002A1B4C">
        <w:rPr>
          <w:i/>
          <w:lang w:val="es-CO"/>
        </w:rPr>
        <w:t xml:space="preserve">Gonzales </w:t>
      </w:r>
      <w:proofErr w:type="spellStart"/>
      <w:r w:rsidRPr="002A1B4C">
        <w:rPr>
          <w:i/>
          <w:lang w:val="es-CO"/>
        </w:rPr>
        <w:t>Lluy</w:t>
      </w:r>
      <w:proofErr w:type="spellEnd"/>
      <w:r w:rsidRPr="002A1B4C">
        <w:rPr>
          <w:i/>
          <w:lang w:val="es-CO"/>
        </w:rPr>
        <w:t xml:space="preserve"> y otros Vs. Ecuador</w:t>
      </w:r>
      <w:r w:rsidRPr="00ED6F6B">
        <w:rPr>
          <w:vertAlign w:val="superscript"/>
          <w:lang w:val="es-CO"/>
        </w:rPr>
        <w:footnoteReference w:id="11"/>
      </w:r>
      <w:r w:rsidR="00BA0424" w:rsidRPr="002A1B4C">
        <w:rPr>
          <w:lang w:val="es-CO"/>
        </w:rPr>
        <w:t xml:space="preserve">, </w:t>
      </w:r>
      <w:r w:rsidRPr="002A1B4C">
        <w:rPr>
          <w:i/>
          <w:lang w:val="es-CO"/>
        </w:rPr>
        <w:t>Poblete Vilches y otros Vs. Chile</w:t>
      </w:r>
      <w:r w:rsidRPr="00ED6F6B">
        <w:rPr>
          <w:vertAlign w:val="superscript"/>
          <w:lang w:val="es-CO"/>
        </w:rPr>
        <w:footnoteReference w:id="12"/>
      </w:r>
      <w:r w:rsidR="0093471E" w:rsidRPr="002A1B4C">
        <w:rPr>
          <w:i/>
          <w:lang w:val="es-CO"/>
        </w:rPr>
        <w:t xml:space="preserve"> y</w:t>
      </w:r>
      <w:r w:rsidR="00BA0424" w:rsidRPr="002A1B4C">
        <w:rPr>
          <w:i/>
          <w:lang w:val="es-CO"/>
        </w:rPr>
        <w:t xml:space="preserve"> </w:t>
      </w:r>
      <w:r w:rsidR="0093471E" w:rsidRPr="002A1B4C">
        <w:rPr>
          <w:i/>
          <w:lang w:val="es-CO"/>
        </w:rPr>
        <w:t>Casas Nina vs. Perú</w:t>
      </w:r>
      <w:r w:rsidR="00FB6BC7">
        <w:rPr>
          <w:rStyle w:val="Refdenotaalpie"/>
          <w:i/>
          <w:lang w:val="es-CO"/>
        </w:rPr>
        <w:footnoteReference w:id="13"/>
      </w:r>
      <w:r w:rsidR="0093471E" w:rsidRPr="002A1B4C">
        <w:rPr>
          <w:i/>
          <w:lang w:val="es-CO"/>
        </w:rPr>
        <w:t xml:space="preserve"> </w:t>
      </w:r>
      <w:r w:rsidRPr="002A1B4C">
        <w:rPr>
          <w:iCs/>
          <w:lang w:val="es-CO"/>
        </w:rPr>
        <w:t xml:space="preserve">en relación con la justiciabilidad del artículo 26 de la </w:t>
      </w:r>
      <w:r w:rsidRPr="002A1B4C">
        <w:rPr>
          <w:lang w:val="es-CO"/>
        </w:rPr>
        <w:t>Convención Americana sobre Derechos Humanos (en adelante “la Convención” o “CADH)”.</w:t>
      </w:r>
    </w:p>
    <w:p w14:paraId="5A384FFC" w14:textId="77777777" w:rsidR="0078245B" w:rsidRPr="002A1B4C" w:rsidRDefault="0078245B" w:rsidP="0078245B">
      <w:pPr>
        <w:pStyle w:val="Prrafodelista"/>
        <w:numPr>
          <w:ilvl w:val="0"/>
          <w:numId w:val="0"/>
        </w:numPr>
        <w:contextualSpacing/>
        <w:rPr>
          <w:b/>
          <w:i/>
          <w:u w:val="single"/>
          <w:lang w:val="es-CO"/>
        </w:rPr>
      </w:pPr>
    </w:p>
    <w:p w14:paraId="1876D214" w14:textId="7D5E6A42" w:rsidR="00E50F4F" w:rsidRDefault="00E50F4F" w:rsidP="0078245B">
      <w:pPr>
        <w:pStyle w:val="Prrafodelista"/>
        <w:widowControl/>
        <w:numPr>
          <w:ilvl w:val="0"/>
          <w:numId w:val="4"/>
        </w:numPr>
        <w:ind w:left="0" w:right="0" w:firstLine="0"/>
        <w:contextualSpacing/>
        <w:rPr>
          <w:lang w:val="es-CO"/>
        </w:rPr>
      </w:pPr>
      <w:r w:rsidRPr="00ED6F6B">
        <w:rPr>
          <w:lang w:val="es-CO"/>
        </w:rPr>
        <w:t xml:space="preserve">Con este propósito, reiteraré mi postura sobre los problemas de interpretación y de fundamentación jurídica de la teoría de </w:t>
      </w:r>
      <w:proofErr w:type="spellStart"/>
      <w:r w:rsidRPr="00ED6F6B">
        <w:rPr>
          <w:lang w:val="es-CO"/>
        </w:rPr>
        <w:t>justiciabildiad</w:t>
      </w:r>
      <w:proofErr w:type="spellEnd"/>
      <w:r w:rsidRPr="00ED6F6B">
        <w:rPr>
          <w:lang w:val="es-CO"/>
        </w:rPr>
        <w:t xml:space="preserve"> del artículo 26 de la Convención Americana</w:t>
      </w:r>
      <w:r w:rsidR="00F00D01">
        <w:rPr>
          <w:lang w:val="es-CO"/>
        </w:rPr>
        <w:t>, en particular, los que surgen de esta sentencia por la falta de diferenciación entre las obligaciones de exigibilidad inmediata y las de desarrollo progresivo</w:t>
      </w:r>
      <w:r w:rsidRPr="00ED6F6B">
        <w:rPr>
          <w:lang w:val="es-CO"/>
        </w:rPr>
        <w:t xml:space="preserve">. </w:t>
      </w:r>
    </w:p>
    <w:p w14:paraId="76FE18D4" w14:textId="77777777" w:rsidR="008526BA" w:rsidRPr="008526BA" w:rsidRDefault="008526BA" w:rsidP="0078245B">
      <w:pPr>
        <w:pStyle w:val="Prrafodelista"/>
        <w:widowControl/>
        <w:numPr>
          <w:ilvl w:val="0"/>
          <w:numId w:val="0"/>
        </w:numPr>
        <w:ind w:right="0"/>
        <w:contextualSpacing/>
        <w:rPr>
          <w:rFonts w:cs="Arial"/>
          <w:b/>
          <w:lang w:val="es-CO"/>
        </w:rPr>
      </w:pPr>
    </w:p>
    <w:p w14:paraId="5FCC0022" w14:textId="3425F8D8" w:rsidR="00E50F4F" w:rsidRDefault="00E50F4F" w:rsidP="0078245B">
      <w:pPr>
        <w:pStyle w:val="Prrafodelista"/>
        <w:numPr>
          <w:ilvl w:val="0"/>
          <w:numId w:val="3"/>
        </w:numPr>
        <w:contextualSpacing/>
        <w:outlineLvl w:val="0"/>
        <w:rPr>
          <w:rFonts w:cs="Arial"/>
          <w:b/>
          <w:lang w:val="es-CO"/>
        </w:rPr>
      </w:pPr>
      <w:r w:rsidRPr="00ED6F6B">
        <w:rPr>
          <w:rFonts w:cs="Arial"/>
          <w:b/>
          <w:lang w:val="es-CO"/>
        </w:rPr>
        <w:t>LA JUSTICIABILIDAD DEL ARTÍCULO 26 DE LA CONVENCIÓN AMERICANA</w:t>
      </w:r>
      <w:r w:rsidR="00F93014">
        <w:rPr>
          <w:rFonts w:cs="Arial"/>
          <w:b/>
          <w:lang w:val="es-CO"/>
        </w:rPr>
        <w:t>: OBLIGACIONES DE EXIGIBILIDAD INMEDIATA Y DE DESARROLLO PROGRESIVO</w:t>
      </w:r>
      <w:r w:rsidRPr="00ED6F6B">
        <w:rPr>
          <w:rFonts w:cs="Arial"/>
          <w:b/>
          <w:lang w:val="es-CO"/>
        </w:rPr>
        <w:t xml:space="preserve"> </w:t>
      </w:r>
    </w:p>
    <w:p w14:paraId="3798F4AF" w14:textId="77777777" w:rsidR="00E50F4F" w:rsidRPr="00E50F4F" w:rsidRDefault="00E50F4F" w:rsidP="0078245B">
      <w:pPr>
        <w:pStyle w:val="Prrafodelista"/>
        <w:numPr>
          <w:ilvl w:val="0"/>
          <w:numId w:val="0"/>
        </w:numPr>
        <w:ind w:left="1440"/>
        <w:contextualSpacing/>
        <w:outlineLvl w:val="0"/>
        <w:rPr>
          <w:rFonts w:cs="Arial"/>
          <w:b/>
          <w:lang w:val="es-CO"/>
        </w:rPr>
      </w:pPr>
    </w:p>
    <w:p w14:paraId="302E1209" w14:textId="26639D8E" w:rsidR="00E50F4F" w:rsidRPr="0078245B" w:rsidRDefault="00E50F4F" w:rsidP="0078245B">
      <w:pPr>
        <w:pStyle w:val="Prrafodelista"/>
        <w:widowControl/>
        <w:numPr>
          <w:ilvl w:val="0"/>
          <w:numId w:val="4"/>
        </w:numPr>
        <w:ind w:left="0" w:right="0" w:firstLine="0"/>
        <w:contextualSpacing/>
        <w:rPr>
          <w:bCs/>
          <w:lang w:val="es-CO"/>
        </w:rPr>
      </w:pPr>
      <w:r w:rsidRPr="00ED6F6B">
        <w:rPr>
          <w:lang w:val="es-CO"/>
        </w:rPr>
        <w:t xml:space="preserve">En opiniones separadas anteriores he expresado detalladamente múltiples argumentos que evidencian las contradicciones e inconsistencias lógicas y jurídicas de las que adolece la teoría de la justiciabilidad directa y autónoma de los derechos económicos, sociales, culturales y ambientales (en adelante “DESCA”) a través del artículo 26 de la Convención Americana. Efectivamente, esta posición asumida por </w:t>
      </w:r>
      <w:r w:rsidR="005131A5">
        <w:rPr>
          <w:lang w:val="es-CO"/>
        </w:rPr>
        <w:t>la Corte</w:t>
      </w:r>
      <w:r w:rsidRPr="00ED6F6B">
        <w:rPr>
          <w:lang w:val="es-CO"/>
        </w:rPr>
        <w:t xml:space="preserve"> desde el caso </w:t>
      </w:r>
      <w:r w:rsidRPr="00ED6F6B">
        <w:rPr>
          <w:i/>
          <w:lang w:val="es-CO"/>
        </w:rPr>
        <w:t>Lagos del Campo Vs. Perú</w:t>
      </w:r>
      <w:r w:rsidR="005131A5">
        <w:rPr>
          <w:i/>
          <w:lang w:val="es-CO"/>
        </w:rPr>
        <w:t>,</w:t>
      </w:r>
      <w:r w:rsidRPr="00ED6F6B">
        <w:rPr>
          <w:i/>
          <w:lang w:val="es-CO"/>
        </w:rPr>
        <w:t xml:space="preserve"> </w:t>
      </w:r>
      <w:r w:rsidRPr="00ED6F6B">
        <w:rPr>
          <w:iCs/>
          <w:lang w:val="es-CO"/>
        </w:rPr>
        <w:t>desconoce el tenor literal de la Convención Americana como tratado que otorga competencia a la Corte; ignora las reglas de interpretación de la Convención de Viena sobre el Derechos de los Tratados</w:t>
      </w:r>
      <w:r w:rsidRPr="00ED6F6B">
        <w:rPr>
          <w:rStyle w:val="Refdenotaalpie"/>
          <w:iCs/>
          <w:lang w:val="es-CO"/>
        </w:rPr>
        <w:footnoteReference w:id="14"/>
      </w:r>
      <w:r w:rsidRPr="00ED6F6B">
        <w:rPr>
          <w:iCs/>
          <w:lang w:val="es-CO"/>
        </w:rPr>
        <w:t>; modifica la naturaleza de la obligación de progresividad consagrada en el artículo 26</w:t>
      </w:r>
      <w:r w:rsidRPr="00ED6F6B">
        <w:rPr>
          <w:rStyle w:val="Refdenotaalpie"/>
          <w:iCs/>
          <w:lang w:val="es-CO"/>
        </w:rPr>
        <w:footnoteReference w:id="15"/>
      </w:r>
      <w:r w:rsidRPr="00ED6F6B">
        <w:rPr>
          <w:iCs/>
          <w:lang w:val="es-CO"/>
        </w:rPr>
        <w:t>; ignora la voluntad de los Estados plasmada en el artículo 19 del Protocolo de San Salvador</w:t>
      </w:r>
      <w:r w:rsidRPr="00ED6F6B">
        <w:rPr>
          <w:rStyle w:val="Refdenotaalpie"/>
          <w:iCs/>
          <w:lang w:val="es-CO"/>
        </w:rPr>
        <w:footnoteReference w:id="16"/>
      </w:r>
      <w:r w:rsidRPr="00ED6F6B">
        <w:rPr>
          <w:iCs/>
          <w:lang w:val="es-CO"/>
        </w:rPr>
        <w:t xml:space="preserve"> y mina la legitimidad del Tribunal en el ámbito regional</w:t>
      </w:r>
      <w:r w:rsidRPr="00ED6F6B">
        <w:rPr>
          <w:rStyle w:val="Refdenotaalpie"/>
          <w:iCs/>
          <w:lang w:val="es-CO"/>
        </w:rPr>
        <w:footnoteReference w:id="17"/>
      </w:r>
      <w:r w:rsidRPr="00ED6F6B">
        <w:rPr>
          <w:iCs/>
          <w:lang w:val="es-CO"/>
        </w:rPr>
        <w:t>; solo por menciona</w:t>
      </w:r>
      <w:r w:rsidR="0078245B">
        <w:rPr>
          <w:iCs/>
          <w:lang w:val="es-CO"/>
        </w:rPr>
        <w:t>r algunos argumentos.</w:t>
      </w:r>
    </w:p>
    <w:p w14:paraId="56A026D4" w14:textId="77777777" w:rsidR="0078245B" w:rsidRPr="00ED6F6B" w:rsidRDefault="0078245B" w:rsidP="0078245B">
      <w:pPr>
        <w:pStyle w:val="Prrafodelista"/>
        <w:widowControl/>
        <w:numPr>
          <w:ilvl w:val="0"/>
          <w:numId w:val="0"/>
        </w:numPr>
        <w:ind w:right="0"/>
        <w:contextualSpacing/>
        <w:rPr>
          <w:bCs/>
          <w:lang w:val="es-CO"/>
        </w:rPr>
      </w:pPr>
    </w:p>
    <w:p w14:paraId="52610F63" w14:textId="4E51E6CC" w:rsidR="00E50F4F" w:rsidRDefault="00E50F4F" w:rsidP="0078245B">
      <w:pPr>
        <w:pStyle w:val="Prrafodelista"/>
        <w:widowControl/>
        <w:numPr>
          <w:ilvl w:val="0"/>
          <w:numId w:val="4"/>
        </w:numPr>
        <w:ind w:left="0" w:right="0" w:firstLine="0"/>
        <w:contextualSpacing/>
        <w:rPr>
          <w:lang w:val="es-CO"/>
        </w:rPr>
      </w:pPr>
      <w:r w:rsidRPr="00B4233D">
        <w:rPr>
          <w:lang w:val="es-CO"/>
        </w:rPr>
        <w:t>En esta oportunidad no pretendo ahondar en el sentido antes señalado, sino</w:t>
      </w:r>
      <w:r w:rsidR="009159B7" w:rsidRPr="00B4233D">
        <w:rPr>
          <w:lang w:val="es-CO"/>
        </w:rPr>
        <w:t xml:space="preserve"> destacar las imprecisiones en las que</w:t>
      </w:r>
      <w:r w:rsidR="005131A5">
        <w:rPr>
          <w:lang w:val="es-CO"/>
        </w:rPr>
        <w:t xml:space="preserve">, en mi opinión, </w:t>
      </w:r>
      <w:r w:rsidR="009159B7" w:rsidRPr="00B4233D">
        <w:rPr>
          <w:lang w:val="es-CO"/>
        </w:rPr>
        <w:t>incurre la decisión</w:t>
      </w:r>
      <w:r w:rsidR="00C37A77" w:rsidRPr="00B4233D">
        <w:rPr>
          <w:lang w:val="es-CO"/>
        </w:rPr>
        <w:t xml:space="preserve">, en lo </w:t>
      </w:r>
      <w:r w:rsidR="005131A5">
        <w:rPr>
          <w:lang w:val="es-CO"/>
        </w:rPr>
        <w:t xml:space="preserve">relativo </w:t>
      </w:r>
      <w:r w:rsidR="00C37A77" w:rsidRPr="00B4233D">
        <w:rPr>
          <w:lang w:val="es-CO"/>
        </w:rPr>
        <w:t>al alcance y contenido de las obligaciones de exigibilidad inmediata y las de desarrollo progresivo</w:t>
      </w:r>
      <w:r w:rsidR="005131A5">
        <w:rPr>
          <w:lang w:val="es-CO"/>
        </w:rPr>
        <w:t>,</w:t>
      </w:r>
      <w:r w:rsidR="00C37A77" w:rsidRPr="00B4233D">
        <w:rPr>
          <w:lang w:val="es-CO"/>
        </w:rPr>
        <w:t xml:space="preserve"> derivadas del artículo 26 Convencional. </w:t>
      </w:r>
      <w:r w:rsidR="009159B7" w:rsidRPr="00B4233D">
        <w:rPr>
          <w:lang w:val="es-CO"/>
        </w:rPr>
        <w:t xml:space="preserve"> </w:t>
      </w:r>
      <w:r w:rsidR="00F117D3" w:rsidRPr="00B4233D">
        <w:rPr>
          <w:lang w:val="es-CO"/>
        </w:rPr>
        <w:t>Como lo ha expresado la Corte en su jurisprudencia</w:t>
      </w:r>
      <w:r w:rsidR="005131A5">
        <w:rPr>
          <w:lang w:val="es-CO"/>
        </w:rPr>
        <w:t xml:space="preserve">, </w:t>
      </w:r>
      <w:r w:rsidR="00D76DC3" w:rsidRPr="00B4233D">
        <w:rPr>
          <w:lang w:val="es-CO"/>
        </w:rPr>
        <w:t xml:space="preserve">el reconocimiento de los DESCA </w:t>
      </w:r>
      <w:r w:rsidR="00F80868" w:rsidRPr="00B4233D">
        <w:rPr>
          <w:lang w:val="es-CO"/>
        </w:rPr>
        <w:t xml:space="preserve">genera para los Estados obligaciones de distinta naturaleza, de una parte, </w:t>
      </w:r>
      <w:r w:rsidR="00CC5898" w:rsidRPr="00B4233D">
        <w:rPr>
          <w:lang w:val="es-CO"/>
        </w:rPr>
        <w:t>las de exigibilidad inmediata</w:t>
      </w:r>
      <w:r w:rsidR="0028287C" w:rsidRPr="00B4233D">
        <w:rPr>
          <w:lang w:val="es-CO"/>
        </w:rPr>
        <w:t xml:space="preserve">, por virtud de las cuales se deben implementar </w:t>
      </w:r>
      <w:r w:rsidR="00CC5898" w:rsidRPr="00B4233D">
        <w:rPr>
          <w:lang w:val="es-CO"/>
        </w:rPr>
        <w:t xml:space="preserve">medidas eficaces para </w:t>
      </w:r>
      <w:r w:rsidR="0028287C" w:rsidRPr="00B4233D">
        <w:rPr>
          <w:lang w:val="es-CO"/>
        </w:rPr>
        <w:t xml:space="preserve">garantizar el </w:t>
      </w:r>
      <w:r w:rsidR="0028287C" w:rsidRPr="00B4233D">
        <w:rPr>
          <w:lang w:val="es-CO"/>
        </w:rPr>
        <w:lastRenderedPageBreak/>
        <w:t>acceso sin discriminación a las prestaciones de los DESCA y, las de desarrollo progresivo</w:t>
      </w:r>
      <w:r w:rsidR="008D7995" w:rsidRPr="00B4233D">
        <w:rPr>
          <w:lang w:val="es-CO"/>
        </w:rPr>
        <w:t xml:space="preserve">, que exigen </w:t>
      </w:r>
      <w:r w:rsidR="006439EF" w:rsidRPr="00B4233D">
        <w:rPr>
          <w:lang w:val="es-CO"/>
        </w:rPr>
        <w:t xml:space="preserve">avanzar </w:t>
      </w:r>
      <w:r w:rsidR="009274FB" w:rsidRPr="00B4233D">
        <w:rPr>
          <w:lang w:val="es-CO"/>
        </w:rPr>
        <w:t xml:space="preserve">de </w:t>
      </w:r>
      <w:r w:rsidR="006439EF" w:rsidRPr="00B4233D">
        <w:rPr>
          <w:lang w:val="es-CO"/>
        </w:rPr>
        <w:t xml:space="preserve">la manera más eficaz y expedita posible </w:t>
      </w:r>
      <w:r w:rsidR="00B67641" w:rsidRPr="00B4233D">
        <w:rPr>
          <w:lang w:val="es-CO"/>
        </w:rPr>
        <w:t xml:space="preserve">hacia la </w:t>
      </w:r>
      <w:r w:rsidR="00D558DC" w:rsidRPr="00B4233D">
        <w:rPr>
          <w:lang w:val="es-CO"/>
        </w:rPr>
        <w:t>efectividad plena de estos derechos</w:t>
      </w:r>
      <w:r w:rsidR="00D558DC">
        <w:rPr>
          <w:rStyle w:val="Refdenotaalpie"/>
          <w:lang w:val="es-CO"/>
        </w:rPr>
        <w:footnoteReference w:id="18"/>
      </w:r>
      <w:r w:rsidR="00D558DC" w:rsidRPr="00B4233D">
        <w:rPr>
          <w:lang w:val="es-CO"/>
        </w:rPr>
        <w:t xml:space="preserve">. </w:t>
      </w:r>
      <w:r w:rsidR="0044301A" w:rsidRPr="00B4233D">
        <w:rPr>
          <w:lang w:val="es-CO"/>
        </w:rPr>
        <w:t xml:space="preserve">Al margen de mi consideración sobre </w:t>
      </w:r>
      <w:r w:rsidR="00C56AA1">
        <w:rPr>
          <w:lang w:val="es-CO"/>
        </w:rPr>
        <w:t xml:space="preserve">el contenido </w:t>
      </w:r>
      <w:r w:rsidR="0094731E">
        <w:rPr>
          <w:lang w:val="es-CO"/>
        </w:rPr>
        <w:t>normativo</w:t>
      </w:r>
      <w:r w:rsidR="00C56AA1">
        <w:rPr>
          <w:lang w:val="es-CO"/>
        </w:rPr>
        <w:t xml:space="preserve"> que se deriva del artículo 26, que creo </w:t>
      </w:r>
      <w:r w:rsidR="000217E2">
        <w:rPr>
          <w:lang w:val="es-CO"/>
        </w:rPr>
        <w:t>está</w:t>
      </w:r>
      <w:r w:rsidR="00C56AA1">
        <w:rPr>
          <w:lang w:val="es-CO"/>
        </w:rPr>
        <w:t xml:space="preserve"> limitado a l</w:t>
      </w:r>
      <w:r w:rsidR="0094731E">
        <w:rPr>
          <w:lang w:val="es-CO"/>
        </w:rPr>
        <w:t>a obligación de progresividad</w:t>
      </w:r>
      <w:r w:rsidR="00304C02" w:rsidRPr="00B4233D">
        <w:rPr>
          <w:lang w:val="es-CO"/>
        </w:rPr>
        <w:t>,</w:t>
      </w:r>
      <w:r w:rsidR="0044301A" w:rsidRPr="00B4233D">
        <w:rPr>
          <w:lang w:val="es-CO"/>
        </w:rPr>
        <w:t xml:space="preserve"> </w:t>
      </w:r>
      <w:r w:rsidR="0094731E">
        <w:rPr>
          <w:lang w:val="es-CO"/>
        </w:rPr>
        <w:t>encuentro</w:t>
      </w:r>
      <w:r w:rsidR="00F205A0">
        <w:rPr>
          <w:lang w:val="es-CO"/>
        </w:rPr>
        <w:t xml:space="preserve"> sumamente problemático que muchos de los contenidos prestacionales que se derivan de los DESCA </w:t>
      </w:r>
      <w:r w:rsidR="00753F0B">
        <w:rPr>
          <w:lang w:val="es-CO"/>
        </w:rPr>
        <w:t xml:space="preserve">se consoliden por la vía jurisprudencial como </w:t>
      </w:r>
      <w:r w:rsidR="00FB0208">
        <w:rPr>
          <w:lang w:val="es-CO"/>
        </w:rPr>
        <w:t xml:space="preserve">obligaciones </w:t>
      </w:r>
      <w:r w:rsidR="00753F0B">
        <w:rPr>
          <w:lang w:val="es-CO"/>
        </w:rPr>
        <w:t>de exigibilidad inmedi</w:t>
      </w:r>
      <w:r w:rsidR="00FB0208">
        <w:rPr>
          <w:lang w:val="es-CO"/>
        </w:rPr>
        <w:t>a</w:t>
      </w:r>
      <w:r w:rsidR="0078245B">
        <w:rPr>
          <w:lang w:val="es-CO"/>
        </w:rPr>
        <w:t>ta.</w:t>
      </w:r>
    </w:p>
    <w:p w14:paraId="48206AF9" w14:textId="77777777" w:rsidR="0078245B" w:rsidRDefault="0078245B" w:rsidP="0078245B">
      <w:pPr>
        <w:pStyle w:val="Prrafodelista"/>
        <w:widowControl/>
        <w:numPr>
          <w:ilvl w:val="0"/>
          <w:numId w:val="0"/>
        </w:numPr>
        <w:ind w:right="0"/>
        <w:contextualSpacing/>
        <w:rPr>
          <w:lang w:val="es-CO"/>
        </w:rPr>
      </w:pPr>
    </w:p>
    <w:p w14:paraId="6E0B54AD" w14:textId="33CEF0D2" w:rsidR="0078245B" w:rsidRPr="0078245B" w:rsidRDefault="00753F0B" w:rsidP="0078245B">
      <w:pPr>
        <w:pStyle w:val="Prrafodelista"/>
        <w:widowControl/>
        <w:numPr>
          <w:ilvl w:val="0"/>
          <w:numId w:val="4"/>
        </w:numPr>
        <w:ind w:left="0" w:right="0" w:firstLine="0"/>
        <w:contextualSpacing/>
        <w:rPr>
          <w:rFonts w:cs="Arial"/>
          <w:b/>
          <w:lang w:val="es-CO"/>
        </w:rPr>
      </w:pPr>
      <w:r>
        <w:rPr>
          <w:lang w:val="es-CO"/>
        </w:rPr>
        <w:t xml:space="preserve">En la sentencia, </w:t>
      </w:r>
      <w:r w:rsidR="00413290">
        <w:rPr>
          <w:lang w:val="es-CO"/>
        </w:rPr>
        <w:t>previo al análisis sobre las violaciones al artículo 26 de la Conv</w:t>
      </w:r>
      <w:r w:rsidR="00F55C9D">
        <w:rPr>
          <w:lang w:val="es-CO"/>
        </w:rPr>
        <w:t>e</w:t>
      </w:r>
      <w:r w:rsidR="00413290">
        <w:rPr>
          <w:lang w:val="es-CO"/>
        </w:rPr>
        <w:t xml:space="preserve">nción, </w:t>
      </w:r>
      <w:r w:rsidR="00C56AA1">
        <w:rPr>
          <w:lang w:val="es-CO"/>
        </w:rPr>
        <w:t xml:space="preserve">el Tribunal señala que </w:t>
      </w:r>
      <w:r w:rsidR="006A6049">
        <w:rPr>
          <w:lang w:val="es-CO"/>
        </w:rPr>
        <w:t xml:space="preserve">en el caso </w:t>
      </w:r>
      <w:r w:rsidR="00413290">
        <w:rPr>
          <w:lang w:val="es-CO"/>
        </w:rPr>
        <w:t xml:space="preserve">concreto </w:t>
      </w:r>
      <w:r w:rsidR="006A6049">
        <w:rPr>
          <w:lang w:val="es-CO"/>
        </w:rPr>
        <w:t xml:space="preserve">corresponde exclusivamente estudiar la violación de las obligaciones de exigibilidad inmediata </w:t>
      </w:r>
      <w:r w:rsidR="0079368F" w:rsidRPr="0078245B">
        <w:rPr>
          <w:bCs/>
          <w:lang w:val="es-ES_tradnl"/>
        </w:rPr>
        <w:t>respecto del derecho al trabajo y sus condiciones justas, equitativas y satisfactorias que aseguren la seguridad, la salud y la higiene del trabajador, la salud y la seguridad social,</w:t>
      </w:r>
      <w:r w:rsidR="0079368F">
        <w:rPr>
          <w:lang w:val="es-CO"/>
        </w:rPr>
        <w:t xml:space="preserve"> lo que no obsta para </w:t>
      </w:r>
      <w:r w:rsidR="00413290">
        <w:rPr>
          <w:lang w:val="es-CO"/>
        </w:rPr>
        <w:t xml:space="preserve">desarrollar estándares en la materia. </w:t>
      </w:r>
      <w:r w:rsidR="008946A8">
        <w:rPr>
          <w:lang w:val="es-CO"/>
        </w:rPr>
        <w:t xml:space="preserve">Sin embargo, en el desarrollo </w:t>
      </w:r>
      <w:r w:rsidR="003C6149">
        <w:rPr>
          <w:lang w:val="es-CO"/>
        </w:rPr>
        <w:t>de este acápite de la decisión</w:t>
      </w:r>
      <w:r w:rsidR="008946A8">
        <w:rPr>
          <w:lang w:val="es-CO"/>
        </w:rPr>
        <w:t xml:space="preserve"> </w:t>
      </w:r>
      <w:r w:rsidR="00BA305C">
        <w:rPr>
          <w:lang w:val="es-CO"/>
        </w:rPr>
        <w:t xml:space="preserve">la Corte </w:t>
      </w:r>
      <w:r w:rsidR="008946A8">
        <w:rPr>
          <w:lang w:val="es-CO"/>
        </w:rPr>
        <w:t xml:space="preserve">reitera su jurisprudencia sobre los derechos antes mencionados, sin hacer ninguna distinción entre las obligaciones de desarrollo inmediato y </w:t>
      </w:r>
      <w:r w:rsidR="003C6149">
        <w:rPr>
          <w:lang w:val="es-CO"/>
        </w:rPr>
        <w:t xml:space="preserve">las de desarrollo </w:t>
      </w:r>
      <w:r w:rsidR="008946A8">
        <w:rPr>
          <w:lang w:val="es-CO"/>
        </w:rPr>
        <w:t xml:space="preserve">progresivo, en particular, sin identificar cuál es el criterio diferenciador entre unas y otras </w:t>
      </w:r>
      <w:r w:rsidR="00F55C9D">
        <w:rPr>
          <w:lang w:val="es-CO"/>
        </w:rPr>
        <w:t xml:space="preserve">desde el </w:t>
      </w:r>
      <w:r w:rsidR="0078245B">
        <w:rPr>
          <w:lang w:val="es-CO"/>
        </w:rPr>
        <w:t>punto de vista de su contenido.</w:t>
      </w:r>
    </w:p>
    <w:p w14:paraId="14DDE53A" w14:textId="13257C7E" w:rsidR="0078245B" w:rsidRPr="0078245B" w:rsidRDefault="0078245B" w:rsidP="0078245B">
      <w:pPr>
        <w:rPr>
          <w:rFonts w:cs="Arial"/>
          <w:b/>
          <w:lang w:val="es-CO"/>
        </w:rPr>
      </w:pPr>
    </w:p>
    <w:p w14:paraId="57E4E825" w14:textId="339F6B9B" w:rsidR="00807EA6" w:rsidRPr="0078245B" w:rsidRDefault="009A60A2" w:rsidP="0078245B">
      <w:pPr>
        <w:pStyle w:val="Prrafodelista"/>
        <w:widowControl/>
        <w:numPr>
          <w:ilvl w:val="0"/>
          <w:numId w:val="4"/>
        </w:numPr>
        <w:ind w:left="0" w:right="0" w:firstLine="0"/>
        <w:contextualSpacing/>
        <w:rPr>
          <w:rFonts w:cs="Arial"/>
          <w:b/>
          <w:lang w:val="es-CO"/>
        </w:rPr>
      </w:pPr>
      <w:r>
        <w:rPr>
          <w:lang w:val="es-CO"/>
        </w:rPr>
        <w:t xml:space="preserve">Ahora bien, podría sostenerse que </w:t>
      </w:r>
      <w:r w:rsidR="00FF0C78">
        <w:rPr>
          <w:lang w:val="es-CO"/>
        </w:rPr>
        <w:t xml:space="preserve">las obligaciones de exigibilidad inmediata a las que se refiere la decisión son aquellas asociadas con la regulación, supervisión y fiscalización </w:t>
      </w:r>
      <w:r w:rsidR="00807EA6">
        <w:rPr>
          <w:lang w:val="es-CO"/>
        </w:rPr>
        <w:t>del desarrollo de una actividad riesgosa por parte de particulares, así es como creo que debe ser entendido</w:t>
      </w:r>
      <w:r w:rsidR="00BA305C">
        <w:rPr>
          <w:lang w:val="es-CO"/>
        </w:rPr>
        <w:t>,</w:t>
      </w:r>
      <w:r w:rsidR="00825330">
        <w:rPr>
          <w:lang w:val="es-CO"/>
        </w:rPr>
        <w:t xml:space="preserve"> bien en lo que refiere al derecho al trabajo (</w:t>
      </w:r>
      <w:r w:rsidR="00F22CAC">
        <w:rPr>
          <w:lang w:val="es-CO"/>
        </w:rPr>
        <w:t>riesgos profesionales</w:t>
      </w:r>
      <w:r w:rsidR="00825330">
        <w:rPr>
          <w:lang w:val="es-CO"/>
        </w:rPr>
        <w:t>)</w:t>
      </w:r>
      <w:r w:rsidR="0078245B">
        <w:rPr>
          <w:lang w:val="es-CO"/>
        </w:rPr>
        <w:t>,</w:t>
      </w:r>
      <w:r w:rsidR="00F22CAC">
        <w:rPr>
          <w:lang w:val="es-CO"/>
        </w:rPr>
        <w:t xml:space="preserve"> o a la seguridad social (modalidades de contratación laboral)</w:t>
      </w:r>
      <w:r w:rsidR="00807EA6">
        <w:rPr>
          <w:lang w:val="es-CO"/>
        </w:rPr>
        <w:t>. De lo contrario</w:t>
      </w:r>
      <w:r w:rsidR="00F22CAC">
        <w:rPr>
          <w:lang w:val="es-CO"/>
        </w:rPr>
        <w:t>,</w:t>
      </w:r>
      <w:r w:rsidR="00807EA6">
        <w:rPr>
          <w:lang w:val="es-CO"/>
        </w:rPr>
        <w:t xml:space="preserve"> </w:t>
      </w:r>
      <w:r w:rsidR="00A011A4">
        <w:rPr>
          <w:lang w:val="es-CO"/>
        </w:rPr>
        <w:t xml:space="preserve">se desdibuja </w:t>
      </w:r>
      <w:r w:rsidR="00807EA6">
        <w:rPr>
          <w:lang w:val="es-CO"/>
        </w:rPr>
        <w:t>el elemento central de la noción de obligaciones de desarrollo progresivo</w:t>
      </w:r>
      <w:r w:rsidR="00A011A4">
        <w:rPr>
          <w:lang w:val="es-CO"/>
        </w:rPr>
        <w:t>,</w:t>
      </w:r>
      <w:r w:rsidR="00807EA6">
        <w:rPr>
          <w:lang w:val="es-CO"/>
        </w:rPr>
        <w:t xml:space="preserve"> </w:t>
      </w:r>
      <w:r w:rsidR="00807EA6" w:rsidRPr="00BA305C">
        <w:rPr>
          <w:lang w:val="es-CO"/>
        </w:rPr>
        <w:t>asociado a que l</w:t>
      </w:r>
      <w:r w:rsidR="004427C2" w:rsidRPr="00BA305C">
        <w:rPr>
          <w:lang w:val="es-CO"/>
        </w:rPr>
        <w:t xml:space="preserve">as </w:t>
      </w:r>
      <w:r w:rsidR="00807EA6" w:rsidRPr="00BA305C">
        <w:rPr>
          <w:lang w:val="es-CO"/>
        </w:rPr>
        <w:t>prestaciones de</w:t>
      </w:r>
      <w:r w:rsidR="004427C2" w:rsidRPr="00BA305C">
        <w:rPr>
          <w:lang w:val="es-CO"/>
        </w:rPr>
        <w:t>rivadas de</w:t>
      </w:r>
      <w:r w:rsidR="00807EA6" w:rsidRPr="00BA305C">
        <w:rPr>
          <w:lang w:val="es-CO"/>
        </w:rPr>
        <w:t xml:space="preserve"> los DESCA se deben </w:t>
      </w:r>
      <w:r w:rsidR="004427C2" w:rsidRPr="00BA305C">
        <w:rPr>
          <w:lang w:val="es-CO"/>
        </w:rPr>
        <w:t>garantizar</w:t>
      </w:r>
      <w:r w:rsidR="00807EA6" w:rsidRPr="00BA305C">
        <w:rPr>
          <w:lang w:val="es-CO"/>
        </w:rPr>
        <w:t xml:space="preserve"> en la medida de los recursos disponibles</w:t>
      </w:r>
      <w:r w:rsidR="00BA305C" w:rsidRPr="00BA305C">
        <w:rPr>
          <w:lang w:val="es-CO"/>
        </w:rPr>
        <w:t xml:space="preserve"> en cada uno de los Estados miembro de la Convención</w:t>
      </w:r>
      <w:r w:rsidR="00A011A4" w:rsidRPr="00BA305C">
        <w:rPr>
          <w:lang w:val="es-CO"/>
        </w:rPr>
        <w:t xml:space="preserve">. En la sentencia, </w:t>
      </w:r>
      <w:r w:rsidR="00BA138F" w:rsidRPr="00BA305C">
        <w:rPr>
          <w:lang w:val="es-CO"/>
        </w:rPr>
        <w:t>la Corte identifica como</w:t>
      </w:r>
      <w:r w:rsidR="00F00D9A" w:rsidRPr="00BA305C">
        <w:rPr>
          <w:lang w:val="es-CO"/>
        </w:rPr>
        <w:t xml:space="preserve"> obligaciones derivadas del derecho a la salud la </w:t>
      </w:r>
      <w:r w:rsidR="00BA138F" w:rsidRPr="00BA305C">
        <w:rPr>
          <w:lang w:val="es-CO"/>
        </w:rPr>
        <w:t xml:space="preserve">prestación </w:t>
      </w:r>
      <w:r w:rsidR="0096017A" w:rsidRPr="00BA305C">
        <w:rPr>
          <w:lang w:val="es-CO"/>
        </w:rPr>
        <w:t>de</w:t>
      </w:r>
      <w:r w:rsidR="00F00D9A" w:rsidRPr="00BA305C">
        <w:rPr>
          <w:lang w:val="es-CO"/>
        </w:rPr>
        <w:t xml:space="preserve"> unos</w:t>
      </w:r>
      <w:r w:rsidR="0096017A" w:rsidRPr="00BA305C">
        <w:rPr>
          <w:lang w:val="es-CO"/>
        </w:rPr>
        <w:t xml:space="preserve"> servicios específicos para el tratamiento de ciertas afecciones</w:t>
      </w:r>
      <w:r w:rsidR="00305BDB" w:rsidRPr="00BA305C">
        <w:rPr>
          <w:lang w:val="es-CO"/>
        </w:rPr>
        <w:t xml:space="preserve"> o la implementación de centros de atención con condiciones particulares en una región concreta</w:t>
      </w:r>
      <w:r w:rsidR="0096017A" w:rsidRPr="00BA305C">
        <w:rPr>
          <w:rStyle w:val="Refdenotaalpie"/>
          <w:lang w:val="es-CO"/>
        </w:rPr>
        <w:footnoteReference w:id="19"/>
      </w:r>
      <w:r w:rsidR="0096017A" w:rsidRPr="00BA305C">
        <w:rPr>
          <w:lang w:val="es-CO"/>
        </w:rPr>
        <w:t>.</w:t>
      </w:r>
      <w:r w:rsidR="00305BDB">
        <w:rPr>
          <w:lang w:val="es-CO"/>
        </w:rPr>
        <w:t xml:space="preserve"> Si bien estos elementos resultan absolutamente razonables</w:t>
      </w:r>
      <w:r w:rsidR="0078245B">
        <w:rPr>
          <w:lang w:val="es-CO"/>
        </w:rPr>
        <w:t xml:space="preserve"> a la</w:t>
      </w:r>
      <w:r w:rsidR="00305BDB">
        <w:rPr>
          <w:lang w:val="es-CO"/>
        </w:rPr>
        <w:t xml:space="preserve"> luz de las circunstancias del caso, </w:t>
      </w:r>
      <w:r w:rsidR="00BC7115">
        <w:rPr>
          <w:lang w:val="es-CO"/>
        </w:rPr>
        <w:t xml:space="preserve">resultaría equivocado considerar que la materialización de dichas prestaciones </w:t>
      </w:r>
      <w:r w:rsidR="0031378F">
        <w:rPr>
          <w:lang w:val="es-CO"/>
        </w:rPr>
        <w:t>debe ser considerada como una obligación de exigibilidad inmediata</w:t>
      </w:r>
      <w:r w:rsidR="00BA305C">
        <w:rPr>
          <w:lang w:val="es-CO"/>
        </w:rPr>
        <w:t xml:space="preserve"> derivada de los DESCA</w:t>
      </w:r>
      <w:r w:rsidR="0078245B">
        <w:rPr>
          <w:lang w:val="es-CO"/>
        </w:rPr>
        <w:t>.</w:t>
      </w:r>
    </w:p>
    <w:p w14:paraId="22DDE96F" w14:textId="46DC8CAE" w:rsidR="0078245B" w:rsidRPr="00807EA6" w:rsidRDefault="0078245B" w:rsidP="0078245B">
      <w:pPr>
        <w:pStyle w:val="Prrafodelista"/>
        <w:widowControl/>
        <w:numPr>
          <w:ilvl w:val="0"/>
          <w:numId w:val="0"/>
        </w:numPr>
        <w:ind w:right="0"/>
        <w:contextualSpacing/>
        <w:rPr>
          <w:rFonts w:cs="Arial"/>
          <w:b/>
          <w:lang w:val="es-CO"/>
        </w:rPr>
      </w:pPr>
    </w:p>
    <w:p w14:paraId="0D9860C7" w14:textId="29667A15" w:rsidR="00F55C9D" w:rsidRPr="009A60A2" w:rsidRDefault="00F55C9D" w:rsidP="0078245B">
      <w:pPr>
        <w:pStyle w:val="Prrafodelista"/>
        <w:widowControl/>
        <w:numPr>
          <w:ilvl w:val="0"/>
          <w:numId w:val="4"/>
        </w:numPr>
        <w:ind w:left="0" w:right="0" w:firstLine="0"/>
        <w:contextualSpacing/>
        <w:rPr>
          <w:rFonts w:cs="Arial"/>
          <w:b/>
          <w:lang w:val="es-CO"/>
        </w:rPr>
      </w:pPr>
      <w:r w:rsidRPr="009A60A2">
        <w:rPr>
          <w:lang w:val="es-CO"/>
        </w:rPr>
        <w:t>Todo lo anterior sin mencionar que</w:t>
      </w:r>
      <w:r w:rsidR="009621EB">
        <w:rPr>
          <w:lang w:val="es-CO"/>
        </w:rPr>
        <w:t>,</w:t>
      </w:r>
      <w:r w:rsidRPr="009A60A2">
        <w:rPr>
          <w:lang w:val="es-CO"/>
        </w:rPr>
        <w:t xml:space="preserve"> el análisis que se adelanta en relación con </w:t>
      </w:r>
      <w:r w:rsidR="0041067E" w:rsidRPr="009A60A2">
        <w:rPr>
          <w:lang w:val="es-CO"/>
        </w:rPr>
        <w:t xml:space="preserve">el derecho </w:t>
      </w:r>
      <w:r w:rsidR="009A60A2" w:rsidRPr="009A60A2">
        <w:rPr>
          <w:lang w:val="es-CO"/>
        </w:rPr>
        <w:t>a la vida</w:t>
      </w:r>
      <w:r w:rsidR="00BA305C">
        <w:rPr>
          <w:lang w:val="es-CO"/>
        </w:rPr>
        <w:t>,</w:t>
      </w:r>
      <w:r w:rsidR="009A60A2" w:rsidRPr="009A60A2">
        <w:rPr>
          <w:lang w:val="es-CO"/>
        </w:rPr>
        <w:t xml:space="preserve"> hubiere podido subsumir </w:t>
      </w:r>
      <w:r w:rsidR="00BA305C">
        <w:rPr>
          <w:lang w:val="es-CO"/>
        </w:rPr>
        <w:t xml:space="preserve">por la </w:t>
      </w:r>
      <w:r w:rsidR="0078245B">
        <w:rPr>
          <w:lang w:val="es-CO"/>
        </w:rPr>
        <w:t>vía</w:t>
      </w:r>
      <w:r w:rsidR="00BA305C">
        <w:rPr>
          <w:lang w:val="es-CO"/>
        </w:rPr>
        <w:t xml:space="preserve"> de la conexidad, </w:t>
      </w:r>
      <w:r w:rsidR="007133EF">
        <w:rPr>
          <w:lang w:val="es-CO"/>
        </w:rPr>
        <w:t xml:space="preserve">precisamente aquellos contenidos </w:t>
      </w:r>
      <w:r w:rsidR="00BA305C">
        <w:rPr>
          <w:lang w:val="es-CO"/>
        </w:rPr>
        <w:t xml:space="preserve">que pueden ser </w:t>
      </w:r>
      <w:r w:rsidR="007133EF">
        <w:rPr>
          <w:lang w:val="es-CO"/>
        </w:rPr>
        <w:t xml:space="preserve">considerados de exigibilidad inmediata, </w:t>
      </w:r>
      <w:r w:rsidR="009621EB">
        <w:rPr>
          <w:lang w:val="es-CO"/>
        </w:rPr>
        <w:t xml:space="preserve">reiterados todos con los mismos elementos al analizar la violación de los derechos </w:t>
      </w:r>
      <w:r w:rsidR="00F577B9" w:rsidRPr="0078245B">
        <w:rPr>
          <w:bCs/>
          <w:lang w:val="es-ES_tradnl"/>
        </w:rPr>
        <w:t>al trabajo y sus condiciones justas, equitativas y satisfactorias que aseguren la seguridad, la salud y la higiene del trabajador, la salud y la seguridad social</w:t>
      </w:r>
      <w:r w:rsidR="00BA305C">
        <w:rPr>
          <w:rStyle w:val="Refdenotaalpie"/>
          <w:bCs/>
        </w:rPr>
        <w:footnoteReference w:id="20"/>
      </w:r>
      <w:r w:rsidR="00F577B9" w:rsidRPr="0078245B">
        <w:rPr>
          <w:bCs/>
          <w:lang w:val="es-ES_tradnl"/>
        </w:rPr>
        <w:t xml:space="preserve">. </w:t>
      </w:r>
    </w:p>
    <w:p w14:paraId="0AE6FB3F" w14:textId="53AA24FA" w:rsidR="0078245B" w:rsidRPr="000217E2" w:rsidRDefault="0078245B" w:rsidP="0078245B">
      <w:pPr>
        <w:rPr>
          <w:sz w:val="16"/>
          <w:szCs w:val="16"/>
          <w:lang w:val="es-ES_tradnl"/>
        </w:rPr>
      </w:pPr>
    </w:p>
    <w:p w14:paraId="171C68FA" w14:textId="37F40255" w:rsidR="0078245B" w:rsidRPr="000217E2" w:rsidRDefault="0078245B" w:rsidP="0078245B">
      <w:pPr>
        <w:rPr>
          <w:sz w:val="16"/>
          <w:szCs w:val="16"/>
          <w:lang w:val="es-ES_tradnl"/>
        </w:rPr>
      </w:pPr>
    </w:p>
    <w:p w14:paraId="270A439B" w14:textId="7D1D0284" w:rsidR="0078245B" w:rsidRPr="000217E2" w:rsidRDefault="0078245B" w:rsidP="0078245B">
      <w:pPr>
        <w:rPr>
          <w:sz w:val="16"/>
          <w:szCs w:val="16"/>
          <w:lang w:val="es-ES_tradnl"/>
        </w:rPr>
      </w:pPr>
    </w:p>
    <w:p w14:paraId="09AB627B" w14:textId="7812767B" w:rsidR="0078245B" w:rsidRPr="000217E2" w:rsidRDefault="0078245B" w:rsidP="0078245B">
      <w:pPr>
        <w:rPr>
          <w:sz w:val="16"/>
          <w:szCs w:val="16"/>
          <w:lang w:val="es-ES_tradnl"/>
        </w:rPr>
      </w:pPr>
    </w:p>
    <w:p w14:paraId="70954CA7" w14:textId="77777777" w:rsidR="0078245B" w:rsidRPr="000217E2" w:rsidRDefault="0078245B" w:rsidP="0078245B">
      <w:pPr>
        <w:ind w:left="4248"/>
        <w:jc w:val="center"/>
        <w:rPr>
          <w:sz w:val="16"/>
          <w:szCs w:val="16"/>
          <w:lang w:val="es-CR"/>
        </w:rPr>
      </w:pPr>
      <w:r w:rsidRPr="000217E2">
        <w:rPr>
          <w:sz w:val="16"/>
          <w:szCs w:val="16"/>
          <w:lang w:val="es-CR"/>
        </w:rPr>
        <w:t>Humberto Antonio Sierra Porto</w:t>
      </w:r>
    </w:p>
    <w:p w14:paraId="2AAAA87E" w14:textId="77777777" w:rsidR="0078245B" w:rsidRPr="000217E2" w:rsidRDefault="0078245B" w:rsidP="0078245B">
      <w:pPr>
        <w:ind w:left="4248"/>
        <w:jc w:val="center"/>
        <w:rPr>
          <w:sz w:val="16"/>
          <w:szCs w:val="16"/>
          <w:lang w:val="es-CR"/>
        </w:rPr>
      </w:pPr>
      <w:r w:rsidRPr="000217E2">
        <w:rPr>
          <w:sz w:val="16"/>
          <w:szCs w:val="16"/>
          <w:lang w:val="es-CR"/>
        </w:rPr>
        <w:t>Juez</w:t>
      </w:r>
    </w:p>
    <w:p w14:paraId="78EB1C0E" w14:textId="77777777" w:rsidR="00145DE7" w:rsidRPr="000217E2" w:rsidRDefault="00145DE7" w:rsidP="0078245B">
      <w:pPr>
        <w:tabs>
          <w:tab w:val="left" w:pos="1440"/>
        </w:tabs>
        <w:rPr>
          <w:sz w:val="16"/>
          <w:szCs w:val="16"/>
          <w:highlight w:val="yellow"/>
          <w:lang w:val="es-CR"/>
        </w:rPr>
      </w:pPr>
    </w:p>
    <w:p w14:paraId="1F497DD5" w14:textId="01ADBC9C" w:rsidR="0078245B" w:rsidRPr="000217E2" w:rsidRDefault="0078245B" w:rsidP="0078245B">
      <w:pPr>
        <w:tabs>
          <w:tab w:val="left" w:pos="1440"/>
        </w:tabs>
        <w:rPr>
          <w:sz w:val="16"/>
          <w:szCs w:val="16"/>
          <w:highlight w:val="yellow"/>
          <w:lang w:val="es-CR"/>
        </w:rPr>
      </w:pPr>
    </w:p>
    <w:p w14:paraId="616D072E" w14:textId="77777777" w:rsidR="0078245B" w:rsidRPr="000217E2" w:rsidRDefault="0078245B" w:rsidP="0078245B">
      <w:pPr>
        <w:tabs>
          <w:tab w:val="left" w:pos="1440"/>
        </w:tabs>
        <w:rPr>
          <w:sz w:val="16"/>
          <w:szCs w:val="16"/>
          <w:highlight w:val="yellow"/>
          <w:lang w:val="es-CR"/>
        </w:rPr>
      </w:pPr>
    </w:p>
    <w:p w14:paraId="2EB94F65" w14:textId="77777777" w:rsidR="0078245B" w:rsidRPr="000217E2" w:rsidRDefault="0078245B" w:rsidP="0078245B">
      <w:pPr>
        <w:tabs>
          <w:tab w:val="left" w:pos="1440"/>
        </w:tabs>
        <w:rPr>
          <w:sz w:val="16"/>
          <w:szCs w:val="16"/>
          <w:lang w:val="es-CR"/>
        </w:rPr>
      </w:pPr>
      <w:r w:rsidRPr="000217E2">
        <w:rPr>
          <w:sz w:val="16"/>
          <w:szCs w:val="16"/>
          <w:lang w:val="es-CR"/>
        </w:rPr>
        <w:t xml:space="preserve">        Pablo Saavedra Alessandri </w:t>
      </w:r>
    </w:p>
    <w:p w14:paraId="1627ADCF" w14:textId="77777777" w:rsidR="0078245B" w:rsidRPr="000217E2" w:rsidRDefault="0078245B" w:rsidP="0078245B">
      <w:pPr>
        <w:tabs>
          <w:tab w:val="left" w:pos="1440"/>
        </w:tabs>
        <w:rPr>
          <w:sz w:val="16"/>
          <w:szCs w:val="16"/>
          <w:lang w:val="es-CR"/>
        </w:rPr>
      </w:pPr>
      <w:r w:rsidRPr="000217E2">
        <w:rPr>
          <w:sz w:val="16"/>
          <w:szCs w:val="16"/>
          <w:lang w:val="es-CR"/>
        </w:rPr>
        <w:t xml:space="preserve">                 Secretario</w:t>
      </w:r>
    </w:p>
    <w:sectPr w:rsidR="0078245B" w:rsidRPr="000217E2" w:rsidSect="003322A9">
      <w:pgSz w:w="12242" w:h="15842" w:code="1"/>
      <w:pgMar w:top="1701" w:right="1172"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1C4B7" w14:textId="77777777" w:rsidR="0009791C" w:rsidRDefault="0009791C" w:rsidP="00E50F4F">
      <w:r>
        <w:separator/>
      </w:r>
    </w:p>
  </w:endnote>
  <w:endnote w:type="continuationSeparator" w:id="0">
    <w:p w14:paraId="6551B40A" w14:textId="77777777" w:rsidR="0009791C" w:rsidRDefault="0009791C" w:rsidP="00E50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Bold">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56E02" w14:textId="77777777" w:rsidR="0009791C" w:rsidRDefault="0009791C" w:rsidP="00E50F4F">
      <w:r>
        <w:separator/>
      </w:r>
    </w:p>
  </w:footnote>
  <w:footnote w:type="continuationSeparator" w:id="0">
    <w:p w14:paraId="64BF9846" w14:textId="77777777" w:rsidR="0009791C" w:rsidRDefault="0009791C" w:rsidP="00E50F4F">
      <w:r>
        <w:continuationSeparator/>
      </w:r>
    </w:p>
  </w:footnote>
  <w:footnote w:id="1">
    <w:p w14:paraId="1D40FF01" w14:textId="77777777" w:rsidR="00E50F4F" w:rsidRPr="00F21718" w:rsidRDefault="00E50F4F" w:rsidP="0078245B">
      <w:pPr>
        <w:pStyle w:val="Textonotapie"/>
        <w:spacing w:before="120" w:after="120"/>
        <w:rPr>
          <w:shd w:val="clear" w:color="auto" w:fill="FFFFFF"/>
        </w:rPr>
      </w:pPr>
      <w:r w:rsidRPr="00F21718">
        <w:rPr>
          <w:rStyle w:val="Refdenotaalpie"/>
        </w:rPr>
        <w:footnoteRef/>
      </w:r>
      <w:r w:rsidRPr="00F21718">
        <w:tab/>
      </w:r>
      <w:r w:rsidRPr="00F21718">
        <w:rPr>
          <w:i/>
        </w:rPr>
        <w:t>Cfr.</w:t>
      </w:r>
      <w:r w:rsidRPr="00F21718">
        <w:t xml:space="preserve"> </w:t>
      </w:r>
      <w:r w:rsidRPr="00F21718">
        <w:rPr>
          <w:rStyle w:val="Textoennegrita"/>
          <w:b w:val="0"/>
          <w:bCs w:val="0"/>
          <w:i/>
        </w:rPr>
        <w:t xml:space="preserve">Caso Lagos del Campo Vs. Perú. </w:t>
      </w:r>
      <w:r w:rsidRPr="00F21718">
        <w:rPr>
          <w:i/>
        </w:rPr>
        <w:t xml:space="preserve">Excepciones Preliminares, Fondo, Reparaciones y Costas. </w:t>
      </w:r>
      <w:r w:rsidRPr="00F21718">
        <w:t>Sentencia de 31 de</w:t>
      </w:r>
      <w:r w:rsidRPr="00F21718">
        <w:rPr>
          <w:shd w:val="clear" w:color="auto" w:fill="FFFFFF"/>
        </w:rPr>
        <w:t xml:space="preserve"> </w:t>
      </w:r>
      <w:r w:rsidRPr="00F21718">
        <w:t>agosto de 2017. Serie C No. 340.</w:t>
      </w:r>
      <w:r w:rsidRPr="00F21718">
        <w:rPr>
          <w:i/>
        </w:rPr>
        <w:t xml:space="preserve"> </w:t>
      </w:r>
      <w:r w:rsidRPr="00F21718">
        <w:rPr>
          <w:rStyle w:val="Textoennegrita"/>
          <w:b w:val="0"/>
          <w:bCs w:val="0"/>
        </w:rPr>
        <w:t>Voto parcialmente disidente del Juez Humberto Antonio Sierra Porto.</w:t>
      </w:r>
      <w:r w:rsidRPr="00F21718">
        <w:rPr>
          <w:rStyle w:val="Textoennegrita"/>
          <w:b w:val="0"/>
          <w:bCs w:val="0"/>
          <w:shd w:val="clear" w:color="auto" w:fill="FFFFFF"/>
        </w:rPr>
        <w:t xml:space="preserve"> </w:t>
      </w:r>
    </w:p>
  </w:footnote>
  <w:footnote w:id="2">
    <w:p w14:paraId="61839BDC" w14:textId="77777777" w:rsidR="00E50F4F" w:rsidRPr="00F21718" w:rsidRDefault="00E50F4F" w:rsidP="0078245B">
      <w:pPr>
        <w:pStyle w:val="Textonotapie"/>
        <w:spacing w:before="120" w:after="120"/>
        <w:rPr>
          <w:rFonts w:eastAsia="Calibri"/>
          <w:shd w:val="clear" w:color="auto" w:fill="FFFFFF"/>
        </w:rPr>
      </w:pPr>
      <w:r w:rsidRPr="00F21718">
        <w:rPr>
          <w:rStyle w:val="Refdenotaalpie"/>
        </w:rPr>
        <w:footnoteRef/>
      </w:r>
      <w:r w:rsidRPr="00F21718">
        <w:tab/>
      </w:r>
      <w:r w:rsidRPr="00F21718">
        <w:rPr>
          <w:i/>
        </w:rPr>
        <w:t xml:space="preserve">Cfr. Caso Trabajadores Cesados de Petroperú y otros Vs. Perú. Excepciones Preliminares, Fondo, Reparaciones y Costas. </w:t>
      </w:r>
      <w:r w:rsidRPr="00F21718">
        <w:t>Sentencia de 23 de noviembre de 2017. Serie C No. 344</w:t>
      </w:r>
      <w:r w:rsidRPr="00F21718">
        <w:rPr>
          <w:i/>
        </w:rPr>
        <w:t>.</w:t>
      </w:r>
      <w:r w:rsidRPr="00F21718">
        <w:t xml:space="preserve"> </w:t>
      </w:r>
      <w:r w:rsidRPr="00F21718">
        <w:rPr>
          <w:rStyle w:val="Textoennegrita"/>
          <w:b w:val="0"/>
          <w:bCs w:val="0"/>
        </w:rPr>
        <w:t>Voto parcialmente disidente del Juez Humberto</w:t>
      </w:r>
      <w:r w:rsidRPr="00F21718">
        <w:rPr>
          <w:rStyle w:val="Textoennegrita"/>
          <w:b w:val="0"/>
          <w:bCs w:val="0"/>
          <w:shd w:val="clear" w:color="auto" w:fill="FFFFFF"/>
        </w:rPr>
        <w:t xml:space="preserve"> </w:t>
      </w:r>
      <w:r w:rsidRPr="00F21718">
        <w:rPr>
          <w:rStyle w:val="Textoennegrita"/>
          <w:b w:val="0"/>
          <w:bCs w:val="0"/>
        </w:rPr>
        <w:t>Antonio Sierra Porto.</w:t>
      </w:r>
      <w:r w:rsidRPr="00F21718">
        <w:rPr>
          <w:rStyle w:val="Textoennegrita"/>
          <w:b w:val="0"/>
          <w:bCs w:val="0"/>
          <w:shd w:val="clear" w:color="auto" w:fill="FFFFFF"/>
        </w:rPr>
        <w:t xml:space="preserve"> </w:t>
      </w:r>
    </w:p>
  </w:footnote>
  <w:footnote w:id="3">
    <w:p w14:paraId="10FF203D" w14:textId="77777777" w:rsidR="00E50F4F" w:rsidRPr="00F21718" w:rsidRDefault="00E50F4F" w:rsidP="0078245B">
      <w:pPr>
        <w:pStyle w:val="Textonotapie"/>
        <w:spacing w:before="120" w:after="120"/>
      </w:pPr>
      <w:r w:rsidRPr="00F21718">
        <w:rPr>
          <w:rStyle w:val="Refdenotaalpie"/>
        </w:rPr>
        <w:footnoteRef/>
      </w:r>
      <w:r w:rsidRPr="00F21718">
        <w:tab/>
      </w:r>
      <w:r w:rsidRPr="00F21718">
        <w:rPr>
          <w:i/>
        </w:rPr>
        <w:t xml:space="preserve">Cfr. </w:t>
      </w:r>
      <w:r w:rsidRPr="00F21718">
        <w:rPr>
          <w:rStyle w:val="Textoennegrita"/>
          <w:b w:val="0"/>
          <w:bCs w:val="0"/>
          <w:i/>
        </w:rPr>
        <w:t>Caso San Miguel Sosa y otras Vs. Venezuela. Fondo, Reparaciones y Costas.</w:t>
      </w:r>
      <w:r w:rsidRPr="00F21718">
        <w:rPr>
          <w:rStyle w:val="Textoennegrita"/>
          <w:b w:val="0"/>
          <w:bCs w:val="0"/>
        </w:rPr>
        <w:t xml:space="preserve"> Sentencia de 8 de febrero de</w:t>
      </w:r>
      <w:r w:rsidRPr="00F21718">
        <w:rPr>
          <w:rStyle w:val="Textoennegrita"/>
          <w:b w:val="0"/>
          <w:bCs w:val="0"/>
          <w:shd w:val="clear" w:color="auto" w:fill="FFFFFF"/>
        </w:rPr>
        <w:t xml:space="preserve"> </w:t>
      </w:r>
      <w:r w:rsidRPr="00F21718">
        <w:rPr>
          <w:rStyle w:val="Textoennegrita"/>
          <w:b w:val="0"/>
          <w:bCs w:val="0"/>
        </w:rPr>
        <w:t>2018. Serie C No. 348. Voto parcialmente disidente del Juez Humberto Antonio Sierra Porto.</w:t>
      </w:r>
    </w:p>
  </w:footnote>
  <w:footnote w:id="4">
    <w:p w14:paraId="26848B6B" w14:textId="77777777" w:rsidR="00E50F4F" w:rsidRPr="00F21718" w:rsidRDefault="00E50F4F" w:rsidP="0078245B">
      <w:pPr>
        <w:pStyle w:val="Textonotapie"/>
        <w:spacing w:before="120" w:after="120"/>
      </w:pPr>
      <w:r w:rsidRPr="00F21718">
        <w:rPr>
          <w:rStyle w:val="Refdenotaalpie"/>
        </w:rPr>
        <w:footnoteRef/>
      </w:r>
      <w:r w:rsidRPr="00F21718">
        <w:t xml:space="preserve"> </w:t>
      </w:r>
      <w:r w:rsidRPr="00F21718">
        <w:tab/>
      </w:r>
      <w:r w:rsidRPr="00F21718">
        <w:rPr>
          <w:i/>
        </w:rPr>
        <w:t>Cfr.</w:t>
      </w:r>
      <w:r w:rsidRPr="00F21718">
        <w:t xml:space="preserve"> </w:t>
      </w:r>
      <w:r w:rsidRPr="00F21718">
        <w:rPr>
          <w:i/>
        </w:rPr>
        <w:t xml:space="preserve">Caso </w:t>
      </w:r>
      <w:proofErr w:type="spellStart"/>
      <w:r w:rsidRPr="00F21718">
        <w:rPr>
          <w:i/>
        </w:rPr>
        <w:t>Cuscul</w:t>
      </w:r>
      <w:proofErr w:type="spellEnd"/>
      <w:r w:rsidRPr="00F21718">
        <w:rPr>
          <w:i/>
        </w:rPr>
        <w:t xml:space="preserve"> </w:t>
      </w:r>
      <w:proofErr w:type="spellStart"/>
      <w:r w:rsidRPr="00F21718">
        <w:rPr>
          <w:i/>
        </w:rPr>
        <w:t>Pivaral</w:t>
      </w:r>
      <w:proofErr w:type="spellEnd"/>
      <w:r w:rsidRPr="00F21718">
        <w:rPr>
          <w:i/>
        </w:rPr>
        <w:t xml:space="preserve"> y otros Vs. Guatemala. Excepción Preliminar, Fondo, Reparaciones y Costas.</w:t>
      </w:r>
      <w:r w:rsidRPr="00F21718">
        <w:t xml:space="preserve"> Sentencia de 23 de agosto de 2018. Serie C No. 359. </w:t>
      </w:r>
      <w:r w:rsidRPr="00F21718">
        <w:rPr>
          <w:rStyle w:val="Textoennegrita"/>
          <w:b w:val="0"/>
          <w:bCs w:val="0"/>
        </w:rPr>
        <w:t>Voto parcialmente disidente del Juez Humberto Antonio Sierra Porto.</w:t>
      </w:r>
    </w:p>
  </w:footnote>
  <w:footnote w:id="5">
    <w:p w14:paraId="45E557BF" w14:textId="77777777" w:rsidR="00E50F4F" w:rsidRPr="00F21718" w:rsidRDefault="00E50F4F" w:rsidP="0078245B">
      <w:pPr>
        <w:pStyle w:val="Textonotapie"/>
        <w:spacing w:before="120" w:after="120"/>
      </w:pPr>
      <w:r w:rsidRPr="00F21718">
        <w:rPr>
          <w:rStyle w:val="Refdenotaalpie"/>
        </w:rPr>
        <w:footnoteRef/>
      </w:r>
      <w:r w:rsidRPr="00F21718">
        <w:t xml:space="preserve"> </w:t>
      </w:r>
      <w:r w:rsidRPr="00F21718">
        <w:tab/>
      </w:r>
      <w:r w:rsidRPr="00F21718">
        <w:rPr>
          <w:i/>
        </w:rPr>
        <w:t>Cfr. Caso Muelle Flores Vs. Perú. Excepciones Preliminares, Fondo, Reparaciones y Costas.</w:t>
      </w:r>
      <w:r w:rsidRPr="00F21718">
        <w:t xml:space="preserve"> Sentencia de 6 de marzo de 2019. Serie C No. 375. </w:t>
      </w:r>
      <w:r w:rsidRPr="00F21718">
        <w:rPr>
          <w:rStyle w:val="Textoennegrita"/>
          <w:b w:val="0"/>
          <w:bCs w:val="0"/>
        </w:rPr>
        <w:t>Voto parcialmente disidente del Juez Humberto Antonio Sierra Porto.</w:t>
      </w:r>
    </w:p>
  </w:footnote>
  <w:footnote w:id="6">
    <w:p w14:paraId="0A6405FE" w14:textId="77777777" w:rsidR="00E50F4F" w:rsidRPr="00F21718" w:rsidRDefault="00E50F4F" w:rsidP="0078245B">
      <w:pPr>
        <w:pStyle w:val="Textonotapie"/>
        <w:spacing w:before="120" w:after="120"/>
      </w:pPr>
      <w:r w:rsidRPr="00F21718">
        <w:rPr>
          <w:rStyle w:val="Refdenotaalpie"/>
        </w:rPr>
        <w:footnoteRef/>
      </w:r>
      <w:r w:rsidRPr="00F21718">
        <w:t xml:space="preserve"> </w:t>
      </w:r>
      <w:r w:rsidRPr="00F21718">
        <w:tab/>
      </w:r>
      <w:r w:rsidRPr="00F21718">
        <w:rPr>
          <w:i/>
        </w:rPr>
        <w:t>Cfr. Caso Asociación Nacional de Cesantes y Jubilados de la Superintendencia Nacional de Administración Tributaria (ANCEJUB-SUNAT) Vs. Perú. Excepciones Preliminares, Fondo, Reparaciones y Costas.</w:t>
      </w:r>
      <w:r w:rsidRPr="00F21718">
        <w:t xml:space="preserve"> Sentencia de 21 de noviembre de 2019. Serie C No. 394. </w:t>
      </w:r>
      <w:r w:rsidRPr="00F21718">
        <w:rPr>
          <w:rStyle w:val="Textoennegrita"/>
          <w:b w:val="0"/>
          <w:bCs w:val="0"/>
        </w:rPr>
        <w:t>Voto parcialmente disidente del Juez Humberto Antonio Sierra Porto.</w:t>
      </w:r>
    </w:p>
  </w:footnote>
  <w:footnote w:id="7">
    <w:p w14:paraId="3A469F51" w14:textId="77777777" w:rsidR="00E50F4F" w:rsidRPr="00F21718" w:rsidRDefault="00E50F4F" w:rsidP="0078245B">
      <w:pPr>
        <w:pStyle w:val="Textonotapie"/>
        <w:spacing w:before="120" w:after="120"/>
      </w:pPr>
      <w:r w:rsidRPr="00F21718">
        <w:rPr>
          <w:rStyle w:val="Refdenotaalpie"/>
        </w:rPr>
        <w:footnoteRef/>
      </w:r>
      <w:r w:rsidRPr="00F21718">
        <w:t xml:space="preserve"> </w:t>
      </w:r>
      <w:r w:rsidRPr="00F21718">
        <w:tab/>
      </w:r>
      <w:r w:rsidRPr="00F21718">
        <w:rPr>
          <w:i/>
        </w:rPr>
        <w:t>Cfr. Caso Hernández Vs. Argentina. Excepción Preliminar, Fondo, Reparaciones y Costas.</w:t>
      </w:r>
      <w:r w:rsidRPr="00F21718">
        <w:t xml:space="preserve"> Sentencia de 22 de noviembre de 2019. Serie C No. 395. </w:t>
      </w:r>
      <w:r w:rsidRPr="00F21718">
        <w:rPr>
          <w:rStyle w:val="Textoennegrita"/>
          <w:b w:val="0"/>
          <w:bCs w:val="0"/>
        </w:rPr>
        <w:t>Voto parcialmente disidente del Juez Humberto Antonio Sierra Porto.</w:t>
      </w:r>
    </w:p>
  </w:footnote>
  <w:footnote w:id="8">
    <w:p w14:paraId="425AA930" w14:textId="77777777" w:rsidR="00E50F4F" w:rsidRPr="00F21718" w:rsidRDefault="00E50F4F" w:rsidP="0078245B">
      <w:pPr>
        <w:pStyle w:val="Textonotapie"/>
        <w:spacing w:before="120" w:after="120"/>
      </w:pPr>
      <w:r w:rsidRPr="00F21718">
        <w:rPr>
          <w:rStyle w:val="Refdenotaalpie"/>
        </w:rPr>
        <w:footnoteRef/>
      </w:r>
      <w:r w:rsidRPr="00F21718">
        <w:t xml:space="preserve">  </w:t>
      </w:r>
      <w:r w:rsidRPr="00F21718">
        <w:tab/>
      </w:r>
      <w:r w:rsidRPr="00F21718">
        <w:rPr>
          <w:i/>
        </w:rPr>
        <w:t xml:space="preserve">Cfr. Caso Comunidades Indígenas Miembros de la Asociación </w:t>
      </w:r>
      <w:proofErr w:type="spellStart"/>
      <w:r w:rsidRPr="00F21718">
        <w:rPr>
          <w:i/>
        </w:rPr>
        <w:t>Lhaka</w:t>
      </w:r>
      <w:proofErr w:type="spellEnd"/>
      <w:r w:rsidRPr="00F21718">
        <w:rPr>
          <w:i/>
        </w:rPr>
        <w:t xml:space="preserve"> </w:t>
      </w:r>
      <w:proofErr w:type="spellStart"/>
      <w:r w:rsidRPr="00F21718">
        <w:rPr>
          <w:i/>
        </w:rPr>
        <w:t>Honhat</w:t>
      </w:r>
      <w:proofErr w:type="spellEnd"/>
      <w:r w:rsidRPr="00F21718">
        <w:rPr>
          <w:i/>
        </w:rPr>
        <w:t xml:space="preserve"> (Nuestra Tierra) Vs. Argentina. Fondo, Reparaciones y Costas. </w:t>
      </w:r>
      <w:r w:rsidRPr="00F21718">
        <w:t xml:space="preserve">Sentencia de 6 de febrero de 2020. Serie C No. 400. </w:t>
      </w:r>
      <w:r w:rsidRPr="00F21718">
        <w:rPr>
          <w:rStyle w:val="Textoennegrita"/>
          <w:b w:val="0"/>
          <w:bCs w:val="0"/>
        </w:rPr>
        <w:t>Voto parcialmente disidente del Juez Humberto Antonio Sierra Porto.</w:t>
      </w:r>
    </w:p>
  </w:footnote>
  <w:footnote w:id="9">
    <w:p w14:paraId="77D6AF50" w14:textId="211D6D55" w:rsidR="0024139E" w:rsidRDefault="0024139E" w:rsidP="0078245B">
      <w:pPr>
        <w:pStyle w:val="Textonotapie"/>
        <w:spacing w:before="120" w:after="120"/>
      </w:pPr>
      <w:r>
        <w:rPr>
          <w:rStyle w:val="Refdenotaalpie"/>
        </w:rPr>
        <w:footnoteRef/>
      </w:r>
      <w:r>
        <w:t xml:space="preserve"> </w:t>
      </w:r>
      <w:r>
        <w:tab/>
      </w:r>
      <w:r w:rsidRPr="0078245B">
        <w:rPr>
          <w:i/>
        </w:rPr>
        <w:t xml:space="preserve">Cfr. </w:t>
      </w:r>
      <w:r w:rsidR="00F53F1B" w:rsidRPr="0078245B">
        <w:rPr>
          <w:i/>
        </w:rPr>
        <w:t xml:space="preserve">Caso de los Empleados de la Fábrica de Fuegos de Santo </w:t>
      </w:r>
      <w:proofErr w:type="spellStart"/>
      <w:r w:rsidR="00F53F1B" w:rsidRPr="0078245B">
        <w:rPr>
          <w:i/>
        </w:rPr>
        <w:t>Antônio</w:t>
      </w:r>
      <w:proofErr w:type="spellEnd"/>
      <w:r w:rsidR="00F53F1B" w:rsidRPr="0078245B">
        <w:rPr>
          <w:i/>
        </w:rPr>
        <w:t xml:space="preserve"> de </w:t>
      </w:r>
      <w:proofErr w:type="spellStart"/>
      <w:r w:rsidR="00F53F1B" w:rsidRPr="0078245B">
        <w:rPr>
          <w:i/>
        </w:rPr>
        <w:t>Jesus</w:t>
      </w:r>
      <w:proofErr w:type="spellEnd"/>
      <w:r w:rsidR="00F53F1B" w:rsidRPr="0078245B">
        <w:rPr>
          <w:i/>
        </w:rPr>
        <w:t xml:space="preserve"> y sus familiares Vs. Brasil. Excepciones Preliminares, Fondo, Reparaciones y Costas</w:t>
      </w:r>
      <w:r w:rsidR="00F53F1B" w:rsidRPr="00F53F1B">
        <w:t>. Sentencia de 15 de julio de 2020. Serie C No. 407.</w:t>
      </w:r>
      <w:r w:rsidR="00F53F1B">
        <w:t xml:space="preserve"> </w:t>
      </w:r>
      <w:r w:rsidR="00F53F1B" w:rsidRPr="00F21718">
        <w:rPr>
          <w:rStyle w:val="Textoennegrita"/>
          <w:b w:val="0"/>
          <w:bCs w:val="0"/>
        </w:rPr>
        <w:t>Voto parcialmente disidente del Juez Humberto Antonio Sierra Porto.</w:t>
      </w:r>
    </w:p>
  </w:footnote>
  <w:footnote w:id="10">
    <w:p w14:paraId="2ACF5284" w14:textId="1ABD36C8" w:rsidR="00714A45" w:rsidRDefault="00714A45" w:rsidP="0078245B">
      <w:pPr>
        <w:pStyle w:val="Textonotapie"/>
        <w:spacing w:before="120" w:after="120"/>
      </w:pPr>
      <w:r>
        <w:rPr>
          <w:rStyle w:val="Refdenotaalpie"/>
        </w:rPr>
        <w:footnoteRef/>
      </w:r>
      <w:r>
        <w:t xml:space="preserve"> </w:t>
      </w:r>
      <w:r>
        <w:tab/>
      </w:r>
      <w:r w:rsidRPr="0078245B">
        <w:rPr>
          <w:i/>
        </w:rPr>
        <w:t xml:space="preserve">Cfr. Caso </w:t>
      </w:r>
      <w:proofErr w:type="spellStart"/>
      <w:r w:rsidRPr="0078245B">
        <w:rPr>
          <w:i/>
        </w:rPr>
        <w:t>Guachalá</w:t>
      </w:r>
      <w:proofErr w:type="spellEnd"/>
      <w:r w:rsidRPr="0078245B">
        <w:rPr>
          <w:i/>
        </w:rPr>
        <w:t xml:space="preserve"> Chimbo y otros Vs. Ecuador. Fondo, Reparaciones y Costas</w:t>
      </w:r>
      <w:r w:rsidRPr="00714A45">
        <w:t>. Sentencia de 26 de marzo de 2021. Serie C No. 423.</w:t>
      </w:r>
      <w:r w:rsidR="00BA0424">
        <w:t xml:space="preserve"> Voto concurrente y </w:t>
      </w:r>
      <w:r w:rsidR="00BA0424" w:rsidRPr="00F21718">
        <w:rPr>
          <w:rStyle w:val="Textoennegrita"/>
          <w:b w:val="0"/>
          <w:bCs w:val="0"/>
        </w:rPr>
        <w:t>parcialmente disidente del Juez Humberto Antonio Sierra Porto.</w:t>
      </w:r>
    </w:p>
  </w:footnote>
  <w:footnote w:id="11">
    <w:p w14:paraId="2B196A35" w14:textId="77777777" w:rsidR="00E50F4F" w:rsidRPr="00F21718" w:rsidRDefault="00E50F4F" w:rsidP="0078245B">
      <w:pPr>
        <w:pStyle w:val="Textonotapie"/>
        <w:spacing w:before="120" w:after="120"/>
        <w:rPr>
          <w:shd w:val="clear" w:color="auto" w:fill="FFFFFF"/>
        </w:rPr>
      </w:pPr>
      <w:r w:rsidRPr="00F21718">
        <w:rPr>
          <w:rStyle w:val="Refdenotaalpie"/>
        </w:rPr>
        <w:footnoteRef/>
      </w:r>
      <w:r w:rsidRPr="00F21718">
        <w:tab/>
      </w:r>
      <w:r w:rsidRPr="00F21718">
        <w:rPr>
          <w:i/>
        </w:rPr>
        <w:t xml:space="preserve">Cfr. </w:t>
      </w:r>
      <w:r w:rsidRPr="00F21718">
        <w:rPr>
          <w:rStyle w:val="Textoennegrita"/>
          <w:b w:val="0"/>
          <w:bCs w:val="0"/>
          <w:i/>
        </w:rPr>
        <w:t xml:space="preserve">Caso Gonzales </w:t>
      </w:r>
      <w:proofErr w:type="spellStart"/>
      <w:r w:rsidRPr="00F21718">
        <w:rPr>
          <w:rStyle w:val="Textoennegrita"/>
          <w:b w:val="0"/>
          <w:bCs w:val="0"/>
          <w:i/>
        </w:rPr>
        <w:t>Lluy</w:t>
      </w:r>
      <w:proofErr w:type="spellEnd"/>
      <w:r w:rsidRPr="00F21718">
        <w:rPr>
          <w:rStyle w:val="Textoennegrita"/>
          <w:b w:val="0"/>
          <w:bCs w:val="0"/>
          <w:i/>
        </w:rPr>
        <w:t xml:space="preserve"> y otros Vs. Ecuador. </w:t>
      </w:r>
      <w:r w:rsidRPr="00F21718">
        <w:rPr>
          <w:i/>
        </w:rPr>
        <w:t xml:space="preserve">Excepciones Preliminares, Fondo, Reparaciones y Costas. </w:t>
      </w:r>
      <w:r w:rsidRPr="00F21718">
        <w:t>Sentencia de</w:t>
      </w:r>
      <w:r w:rsidRPr="00F21718">
        <w:rPr>
          <w:shd w:val="clear" w:color="auto" w:fill="FFFFFF"/>
        </w:rPr>
        <w:t xml:space="preserve"> </w:t>
      </w:r>
      <w:r w:rsidRPr="00F21718">
        <w:t>1 de septiembre de 2015. Serie C No. 298.</w:t>
      </w:r>
      <w:r w:rsidRPr="00F21718">
        <w:rPr>
          <w:rStyle w:val="Textoennegrita"/>
          <w:b w:val="0"/>
          <w:bCs w:val="0"/>
        </w:rPr>
        <w:t xml:space="preserve"> Voto concurrente del Juez Humberto Antonio Sierra Porto.</w:t>
      </w:r>
      <w:r w:rsidRPr="00F21718">
        <w:rPr>
          <w:rStyle w:val="Textoennegrita"/>
          <w:b w:val="0"/>
          <w:bCs w:val="0"/>
          <w:shd w:val="clear" w:color="auto" w:fill="FFFFFF"/>
        </w:rPr>
        <w:t xml:space="preserve"> </w:t>
      </w:r>
    </w:p>
  </w:footnote>
  <w:footnote w:id="12">
    <w:p w14:paraId="090C4FF2" w14:textId="77777777" w:rsidR="00E50F4F" w:rsidRPr="0078245B" w:rsidRDefault="00E50F4F" w:rsidP="0078245B">
      <w:pPr>
        <w:tabs>
          <w:tab w:val="left" w:pos="567"/>
        </w:tabs>
        <w:spacing w:before="120" w:after="120"/>
        <w:rPr>
          <w:sz w:val="16"/>
          <w:szCs w:val="16"/>
          <w:shd w:val="clear" w:color="auto" w:fill="FFFFFF"/>
          <w:lang w:val="es-ES_tradnl"/>
        </w:rPr>
      </w:pPr>
      <w:r w:rsidRPr="00F21718">
        <w:rPr>
          <w:rStyle w:val="Refdenotaalpie"/>
        </w:rPr>
        <w:footnoteRef/>
      </w:r>
      <w:r w:rsidRPr="0078245B">
        <w:rPr>
          <w:sz w:val="16"/>
          <w:szCs w:val="16"/>
          <w:lang w:val="es-ES_tradnl"/>
        </w:rPr>
        <w:tab/>
      </w:r>
      <w:r w:rsidRPr="0078245B">
        <w:rPr>
          <w:i/>
          <w:sz w:val="16"/>
          <w:szCs w:val="16"/>
          <w:lang w:val="es-ES_tradnl"/>
        </w:rPr>
        <w:t xml:space="preserve">Cfr. </w:t>
      </w:r>
      <w:r w:rsidRPr="0078245B">
        <w:rPr>
          <w:rStyle w:val="Textoennegrita"/>
          <w:rFonts w:cs="Verdana"/>
          <w:b w:val="0"/>
          <w:bCs w:val="0"/>
          <w:i/>
          <w:sz w:val="16"/>
          <w:szCs w:val="16"/>
          <w:lang w:val="es-ES_tradnl"/>
        </w:rPr>
        <w:t>Caso Poblete Vilches y otros Vs. Chile. Fondo, Reparaciones y Costas</w:t>
      </w:r>
      <w:r w:rsidRPr="0078245B">
        <w:rPr>
          <w:rStyle w:val="Textoennegrita"/>
          <w:rFonts w:cs="Verdana"/>
          <w:b w:val="0"/>
          <w:bCs w:val="0"/>
          <w:sz w:val="16"/>
          <w:szCs w:val="16"/>
          <w:lang w:val="es-ES_tradnl"/>
        </w:rPr>
        <w:t>. Sentencia de 8 de marzo de 2018. Serie C No. 349.</w:t>
      </w:r>
      <w:r w:rsidRPr="0078245B">
        <w:rPr>
          <w:rStyle w:val="Textoennegrita"/>
          <w:b w:val="0"/>
          <w:bCs w:val="0"/>
          <w:sz w:val="16"/>
          <w:szCs w:val="16"/>
          <w:lang w:val="es-ES_tradnl"/>
        </w:rPr>
        <w:t xml:space="preserve"> Voto Concurrente del Juez Humberto Antonio Sierra Porto.</w:t>
      </w:r>
    </w:p>
  </w:footnote>
  <w:footnote w:id="13">
    <w:p w14:paraId="689176B2" w14:textId="14D91CFA" w:rsidR="00FB6BC7" w:rsidRDefault="00FB6BC7" w:rsidP="0078245B">
      <w:pPr>
        <w:pStyle w:val="Textonotapie"/>
        <w:spacing w:before="120" w:after="120"/>
      </w:pPr>
      <w:r>
        <w:rPr>
          <w:rStyle w:val="Refdenotaalpie"/>
        </w:rPr>
        <w:footnoteRef/>
      </w:r>
      <w:r>
        <w:t xml:space="preserve"> </w:t>
      </w:r>
      <w:r>
        <w:tab/>
      </w:r>
      <w:r w:rsidRPr="0078245B">
        <w:rPr>
          <w:i/>
        </w:rPr>
        <w:t>Cfr. Caso Casa Nina Vs. Perú. Excepciones Preliminares, Fondo, Reparaciones y Costas.</w:t>
      </w:r>
      <w:r w:rsidRPr="00FB6BC7">
        <w:t xml:space="preserve"> Sentencia de 24 de noviembre de 2020. Serie C No. 419.</w:t>
      </w:r>
      <w:r>
        <w:t xml:space="preserve"> Voto concurrente y </w:t>
      </w:r>
      <w:r w:rsidRPr="00F21718">
        <w:rPr>
          <w:rStyle w:val="Textoennegrita"/>
          <w:b w:val="0"/>
          <w:bCs w:val="0"/>
        </w:rPr>
        <w:t>parcialmente disidente del Juez Humberto Antonio Sierra Porto.</w:t>
      </w:r>
    </w:p>
  </w:footnote>
  <w:footnote w:id="14">
    <w:p w14:paraId="38639E7A" w14:textId="0EEDBBB7" w:rsidR="00E50F4F" w:rsidRPr="00F21718" w:rsidRDefault="00E50F4F" w:rsidP="0078245B">
      <w:pPr>
        <w:pStyle w:val="Textonotapie"/>
        <w:spacing w:before="120" w:after="120"/>
      </w:pPr>
      <w:r w:rsidRPr="00F21718">
        <w:rPr>
          <w:rStyle w:val="Refdenotaalpie"/>
        </w:rPr>
        <w:footnoteRef/>
      </w:r>
      <w:r w:rsidRPr="00F21718">
        <w:t xml:space="preserve"> </w:t>
      </w:r>
      <w:r w:rsidR="0078245B">
        <w:tab/>
      </w:r>
      <w:r w:rsidR="00382B0B" w:rsidRPr="0078245B">
        <w:rPr>
          <w:i/>
        </w:rPr>
        <w:t xml:space="preserve">Cfr. </w:t>
      </w:r>
      <w:r w:rsidRPr="0078245B">
        <w:rPr>
          <w:i/>
        </w:rPr>
        <w:t>Caso Muelle Flores Vs. Perú. Excepciones Preliminares, Fondo, Reparaciones y Costas.</w:t>
      </w:r>
      <w:r w:rsidRPr="00F21718">
        <w:t xml:space="preserve"> Sentencia de 6 de marzo de 2019. Serie C No. 375. </w:t>
      </w:r>
    </w:p>
  </w:footnote>
  <w:footnote w:id="15">
    <w:p w14:paraId="60C38490" w14:textId="51470357" w:rsidR="00E50F4F" w:rsidRPr="00F21718" w:rsidRDefault="00E50F4F" w:rsidP="0078245B">
      <w:pPr>
        <w:pStyle w:val="Textonotapie"/>
        <w:spacing w:before="120" w:after="120"/>
      </w:pPr>
      <w:r w:rsidRPr="00F21718">
        <w:rPr>
          <w:rStyle w:val="Refdenotaalpie"/>
        </w:rPr>
        <w:footnoteRef/>
      </w:r>
      <w:r w:rsidRPr="00F21718">
        <w:t xml:space="preserve"> </w:t>
      </w:r>
      <w:r w:rsidR="0078245B">
        <w:tab/>
      </w:r>
      <w:r w:rsidR="00382B0B" w:rsidRPr="0078245B">
        <w:rPr>
          <w:i/>
        </w:rPr>
        <w:t xml:space="preserve">Cfr. </w:t>
      </w:r>
      <w:r w:rsidRPr="0078245B">
        <w:rPr>
          <w:i/>
        </w:rPr>
        <w:t xml:space="preserve">Caso </w:t>
      </w:r>
      <w:proofErr w:type="spellStart"/>
      <w:r w:rsidRPr="0078245B">
        <w:rPr>
          <w:i/>
        </w:rPr>
        <w:t>Cuscul</w:t>
      </w:r>
      <w:proofErr w:type="spellEnd"/>
      <w:r w:rsidRPr="0078245B">
        <w:rPr>
          <w:i/>
        </w:rPr>
        <w:t xml:space="preserve"> </w:t>
      </w:r>
      <w:proofErr w:type="spellStart"/>
      <w:r w:rsidRPr="0078245B">
        <w:rPr>
          <w:i/>
        </w:rPr>
        <w:t>Pivaral</w:t>
      </w:r>
      <w:proofErr w:type="spellEnd"/>
      <w:r w:rsidRPr="0078245B">
        <w:rPr>
          <w:i/>
        </w:rPr>
        <w:t xml:space="preserve"> y otros Vs. Guatemala. Excepción Preliminar, Fondo, Reparaciones y Costas</w:t>
      </w:r>
      <w:r w:rsidRPr="00F21718">
        <w:t xml:space="preserve">. Sentencia de 23 de agosto de 2018. Serie C No. 359. </w:t>
      </w:r>
    </w:p>
  </w:footnote>
  <w:footnote w:id="16">
    <w:p w14:paraId="47C164C6" w14:textId="2C5812B9" w:rsidR="00E50F4F" w:rsidRPr="00F21718" w:rsidRDefault="00E50F4F" w:rsidP="0078245B">
      <w:pPr>
        <w:pStyle w:val="Textonotapie"/>
        <w:spacing w:before="120" w:after="120"/>
      </w:pPr>
      <w:r w:rsidRPr="00F21718">
        <w:rPr>
          <w:rStyle w:val="Refdenotaalpie"/>
        </w:rPr>
        <w:footnoteRef/>
      </w:r>
      <w:r w:rsidRPr="00F21718">
        <w:t xml:space="preserve"> </w:t>
      </w:r>
      <w:r w:rsidR="0078245B">
        <w:tab/>
      </w:r>
      <w:r w:rsidR="00382B0B" w:rsidRPr="0078245B">
        <w:rPr>
          <w:i/>
        </w:rPr>
        <w:t xml:space="preserve">Cfr. </w:t>
      </w:r>
      <w:r w:rsidRPr="0078245B">
        <w:rPr>
          <w:i/>
        </w:rPr>
        <w:t>Caso Poblete Vilches y otros Vs. Chile. Fondo, Reparaciones y Costas</w:t>
      </w:r>
      <w:r w:rsidRPr="00F21718">
        <w:t xml:space="preserve">. Sentencia de 8 de marzo de 2018. Serie C No. 349. </w:t>
      </w:r>
    </w:p>
  </w:footnote>
  <w:footnote w:id="17">
    <w:p w14:paraId="6143DF50" w14:textId="49D30F2F" w:rsidR="00E50F4F" w:rsidRPr="00F21718" w:rsidRDefault="00E50F4F" w:rsidP="0078245B">
      <w:pPr>
        <w:pStyle w:val="Textonotapie"/>
        <w:spacing w:before="120" w:after="120"/>
      </w:pPr>
      <w:r w:rsidRPr="00F21718">
        <w:rPr>
          <w:rStyle w:val="Refdenotaalpie"/>
        </w:rPr>
        <w:footnoteRef/>
      </w:r>
      <w:r w:rsidRPr="00F21718">
        <w:t xml:space="preserve"> </w:t>
      </w:r>
      <w:r w:rsidR="0078245B">
        <w:tab/>
      </w:r>
      <w:r w:rsidR="00382B0B" w:rsidRPr="0078245B">
        <w:rPr>
          <w:i/>
        </w:rPr>
        <w:t xml:space="preserve">Cfr. </w:t>
      </w:r>
      <w:r w:rsidRPr="0078245B">
        <w:rPr>
          <w:i/>
        </w:rPr>
        <w:t>Caso Trabajadores Cesados de Petroperú y otros Vs. Perú. Excepciones Preliminares, Fondo, Reparaciones y Costas.</w:t>
      </w:r>
      <w:r w:rsidRPr="00F21718">
        <w:t xml:space="preserve"> Sentencia de 23 de noviembre de 2017. Serie C No. 344. </w:t>
      </w:r>
    </w:p>
  </w:footnote>
  <w:footnote w:id="18">
    <w:p w14:paraId="3E8E222D" w14:textId="54BC3752" w:rsidR="00D558DC" w:rsidRDefault="00D558DC" w:rsidP="0078245B">
      <w:pPr>
        <w:pStyle w:val="Textonotapie"/>
        <w:spacing w:before="120" w:after="120"/>
      </w:pPr>
      <w:r>
        <w:rPr>
          <w:rStyle w:val="Refdenotaalpie"/>
        </w:rPr>
        <w:footnoteRef/>
      </w:r>
      <w:r>
        <w:t xml:space="preserve"> </w:t>
      </w:r>
      <w:r w:rsidR="0078245B">
        <w:tab/>
      </w:r>
      <w:r w:rsidR="00382B0B" w:rsidRPr="0078245B">
        <w:rPr>
          <w:i/>
        </w:rPr>
        <w:t xml:space="preserve">Cfr. Caso Muelle Flores Vs. Perú. Excepciones Preliminares, Fondo, Reparaciones y Costas. </w:t>
      </w:r>
      <w:r w:rsidR="00382B0B" w:rsidRPr="00382B0B">
        <w:t>Sentencia de 6 de marzo de 2019. Serie C No. 375, párr. 190, y Opinión Consultiva OC-27/21, supra, párr. 147.</w:t>
      </w:r>
    </w:p>
  </w:footnote>
  <w:footnote w:id="19">
    <w:p w14:paraId="69B6FA6D" w14:textId="1E47C1D8" w:rsidR="0096017A" w:rsidRDefault="0096017A" w:rsidP="0078245B">
      <w:pPr>
        <w:pStyle w:val="Textonotapie"/>
        <w:spacing w:before="120" w:after="120"/>
      </w:pPr>
      <w:r>
        <w:rPr>
          <w:rStyle w:val="Refdenotaalpie"/>
        </w:rPr>
        <w:footnoteRef/>
      </w:r>
      <w:r>
        <w:t xml:space="preserve"> </w:t>
      </w:r>
      <w:r w:rsidR="0078245B">
        <w:rPr>
          <w:color w:val="000000"/>
        </w:rPr>
        <w:tab/>
      </w:r>
      <w:r w:rsidR="00BA305C" w:rsidRPr="0078245B">
        <w:rPr>
          <w:i/>
          <w:color w:val="000000"/>
        </w:rPr>
        <w:t xml:space="preserve">Cfr. Caso De los Buzos </w:t>
      </w:r>
      <w:proofErr w:type="spellStart"/>
      <w:r w:rsidR="00BA305C" w:rsidRPr="0078245B">
        <w:rPr>
          <w:i/>
          <w:color w:val="000000"/>
        </w:rPr>
        <w:t>Miskitos</w:t>
      </w:r>
      <w:proofErr w:type="spellEnd"/>
      <w:r w:rsidR="00BA305C" w:rsidRPr="0078245B">
        <w:rPr>
          <w:i/>
          <w:color w:val="000000"/>
        </w:rPr>
        <w:t xml:space="preserve"> (</w:t>
      </w:r>
      <w:proofErr w:type="spellStart"/>
      <w:r w:rsidR="00BA305C" w:rsidRPr="0078245B">
        <w:rPr>
          <w:i/>
          <w:color w:val="000000"/>
        </w:rPr>
        <w:t>Lemonth</w:t>
      </w:r>
      <w:proofErr w:type="spellEnd"/>
      <w:r w:rsidR="00BA305C" w:rsidRPr="0078245B">
        <w:rPr>
          <w:i/>
          <w:color w:val="000000"/>
        </w:rPr>
        <w:t xml:space="preserve"> Morris y otros) vs. Honduras. Fondo, reparaciones y costas.</w:t>
      </w:r>
      <w:r w:rsidR="00BA305C">
        <w:rPr>
          <w:color w:val="000000"/>
        </w:rPr>
        <w:t xml:space="preserve"> Sentencia de 31 de agosto de 2021. Párr.</w:t>
      </w:r>
      <w:r w:rsidR="00BA305C">
        <w:t xml:space="preserve"> 95-96. </w:t>
      </w:r>
    </w:p>
  </w:footnote>
  <w:footnote w:id="20">
    <w:p w14:paraId="1565D813" w14:textId="41E44C9E" w:rsidR="00BA305C" w:rsidRDefault="00BA305C" w:rsidP="0078245B">
      <w:pPr>
        <w:pStyle w:val="Textonotapie"/>
        <w:spacing w:before="120" w:after="120"/>
      </w:pPr>
      <w:r>
        <w:rPr>
          <w:rStyle w:val="Refdenotaalpie"/>
        </w:rPr>
        <w:footnoteRef/>
      </w:r>
      <w:r>
        <w:rPr>
          <w:color w:val="000000"/>
        </w:rPr>
        <w:t xml:space="preserve"> </w:t>
      </w:r>
      <w:r w:rsidR="0078245B">
        <w:rPr>
          <w:color w:val="000000"/>
        </w:rPr>
        <w:tab/>
      </w:r>
      <w:r w:rsidRPr="0078245B">
        <w:rPr>
          <w:i/>
          <w:color w:val="000000"/>
        </w:rPr>
        <w:t xml:space="preserve">Cfr. Caso De los Buzos </w:t>
      </w:r>
      <w:proofErr w:type="spellStart"/>
      <w:r w:rsidRPr="0078245B">
        <w:rPr>
          <w:i/>
          <w:color w:val="000000"/>
        </w:rPr>
        <w:t>Miskitos</w:t>
      </w:r>
      <w:proofErr w:type="spellEnd"/>
      <w:r w:rsidRPr="0078245B">
        <w:rPr>
          <w:i/>
          <w:color w:val="000000"/>
        </w:rPr>
        <w:t xml:space="preserve"> (</w:t>
      </w:r>
      <w:proofErr w:type="spellStart"/>
      <w:r w:rsidRPr="0078245B">
        <w:rPr>
          <w:i/>
          <w:color w:val="000000"/>
        </w:rPr>
        <w:t>Lemonth</w:t>
      </w:r>
      <w:proofErr w:type="spellEnd"/>
      <w:r w:rsidRPr="0078245B">
        <w:rPr>
          <w:i/>
          <w:color w:val="000000"/>
        </w:rPr>
        <w:t xml:space="preserve"> Morris y otros) vs. Honduras. Fondo, reparaciones y costas.</w:t>
      </w:r>
      <w:r>
        <w:rPr>
          <w:color w:val="000000"/>
        </w:rPr>
        <w:t xml:space="preserve"> Sentencia de 31 de agosto de 2021. Párr</w:t>
      </w:r>
      <w:r>
        <w:t xml:space="preserve">. 78.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6B66"/>
    <w:multiLevelType w:val="hybridMultilevel"/>
    <w:tmpl w:val="3104AD0E"/>
    <w:lvl w:ilvl="0" w:tplc="1C64AA6A">
      <w:start w:val="1"/>
      <w:numFmt w:val="decimal"/>
      <w:lvlText w:val="%1."/>
      <w:lvlJc w:val="left"/>
      <w:pPr>
        <w:ind w:left="5130" w:hanging="360"/>
      </w:pPr>
      <w:rPr>
        <w:rFonts w:hint="default"/>
        <w:b w:val="0"/>
        <w:i w:val="0"/>
        <w:strike w:val="0"/>
        <w:color w:val="auto"/>
        <w:sz w:val="20"/>
        <w:szCs w:val="20"/>
        <w:vertAlign w:val="baseline"/>
        <w:lang w:val="es-CR"/>
      </w:rPr>
    </w:lvl>
    <w:lvl w:ilvl="1" w:tplc="140A0019">
      <w:start w:val="1"/>
      <w:numFmt w:val="lowerLetter"/>
      <w:pStyle w:val="Prrafodelista"/>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A2F5E98"/>
    <w:multiLevelType w:val="hybridMultilevel"/>
    <w:tmpl w:val="84FE9D9E"/>
    <w:lvl w:ilvl="0" w:tplc="56C06272">
      <w:start w:val="1"/>
      <w:numFmt w:val="decimal"/>
      <w:lvlText w:val="%1."/>
      <w:lvlJc w:val="left"/>
      <w:pPr>
        <w:ind w:left="2061" w:hanging="360"/>
      </w:pPr>
      <w:rPr>
        <w:rFonts w:cs="Times New Roman" w:hint="default"/>
        <w:b w:val="0"/>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46782CD6"/>
    <w:multiLevelType w:val="hybridMultilevel"/>
    <w:tmpl w:val="76AE736A"/>
    <w:lvl w:ilvl="0" w:tplc="140A0013">
      <w:start w:val="1"/>
      <w:numFmt w:val="upperRoman"/>
      <w:lvlText w:val="%1."/>
      <w:lvlJc w:val="right"/>
      <w:pPr>
        <w:ind w:left="1440" w:hanging="360"/>
      </w:pPr>
    </w:lvl>
    <w:lvl w:ilvl="1" w:tplc="240A0015">
      <w:start w:val="1"/>
      <w:numFmt w:val="upperLetter"/>
      <w:lvlText w:val="%2."/>
      <w:lvlJc w:val="left"/>
      <w:pPr>
        <w:ind w:left="2160" w:hanging="360"/>
      </w:pPr>
    </w:lvl>
    <w:lvl w:ilvl="2" w:tplc="73ECAB76">
      <w:start w:val="2"/>
      <w:numFmt w:val="upperLetter"/>
      <w:lvlText w:val="%3."/>
      <w:lvlJc w:val="left"/>
      <w:pPr>
        <w:ind w:left="3060" w:hanging="360"/>
      </w:pPr>
      <w:rPr>
        <w:rFonts w:hint="default"/>
      </w:r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3" w15:restartNumberingAfterBreak="0">
    <w:nsid w:val="705A6F5C"/>
    <w:multiLevelType w:val="hybridMultilevel"/>
    <w:tmpl w:val="1012E60E"/>
    <w:lvl w:ilvl="0" w:tplc="6722D962">
      <w:start w:val="1"/>
      <w:numFmt w:val="decimal"/>
      <w:pStyle w:val="Numberedparagraphs"/>
      <w:lvlText w:val="%1."/>
      <w:lvlJc w:val="left"/>
      <w:pPr>
        <w:tabs>
          <w:tab w:val="num" w:pos="720"/>
        </w:tabs>
        <w:ind w:left="0" w:firstLine="0"/>
      </w:pPr>
      <w:rPr>
        <w:rFonts w:ascii="Verdana" w:hAnsi="Verdana" w:hint="default"/>
        <w:b w:val="0"/>
        <w:i w:val="0"/>
        <w:strike w:val="0"/>
        <w:color w:val="auto"/>
        <w:sz w:val="20"/>
        <w:szCs w:val="20"/>
        <w:lang w:val="es-AR"/>
      </w:rPr>
    </w:lvl>
    <w:lvl w:ilvl="1" w:tplc="5C6C0158">
      <w:start w:val="7"/>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2"/>
  </w:num>
  <w:num w:numId="4">
    <w:abstractNumId w:val="1"/>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F4F"/>
    <w:rsid w:val="00005DFF"/>
    <w:rsid w:val="000217E2"/>
    <w:rsid w:val="00024071"/>
    <w:rsid w:val="00072D68"/>
    <w:rsid w:val="00092D43"/>
    <w:rsid w:val="0009791C"/>
    <w:rsid w:val="000D17FB"/>
    <w:rsid w:val="000F2674"/>
    <w:rsid w:val="00145DE7"/>
    <w:rsid w:val="00193169"/>
    <w:rsid w:val="00196A58"/>
    <w:rsid w:val="001D08EB"/>
    <w:rsid w:val="001E3867"/>
    <w:rsid w:val="001F2B0C"/>
    <w:rsid w:val="002028A9"/>
    <w:rsid w:val="002037DD"/>
    <w:rsid w:val="0022006B"/>
    <w:rsid w:val="0024139E"/>
    <w:rsid w:val="00242629"/>
    <w:rsid w:val="00253723"/>
    <w:rsid w:val="00275D88"/>
    <w:rsid w:val="0028287C"/>
    <w:rsid w:val="002900D5"/>
    <w:rsid w:val="00293803"/>
    <w:rsid w:val="002A1B4C"/>
    <w:rsid w:val="002C5F3D"/>
    <w:rsid w:val="002D0F81"/>
    <w:rsid w:val="002D29D4"/>
    <w:rsid w:val="002F1588"/>
    <w:rsid w:val="00304C02"/>
    <w:rsid w:val="00305BDB"/>
    <w:rsid w:val="0031378F"/>
    <w:rsid w:val="0033358B"/>
    <w:rsid w:val="00376DB8"/>
    <w:rsid w:val="003828A4"/>
    <w:rsid w:val="00382B0B"/>
    <w:rsid w:val="00386A80"/>
    <w:rsid w:val="00392479"/>
    <w:rsid w:val="003A78B8"/>
    <w:rsid w:val="003C6149"/>
    <w:rsid w:val="003F5215"/>
    <w:rsid w:val="0041067E"/>
    <w:rsid w:val="00413290"/>
    <w:rsid w:val="00426301"/>
    <w:rsid w:val="004427C2"/>
    <w:rsid w:val="0044301A"/>
    <w:rsid w:val="004456A6"/>
    <w:rsid w:val="00455F6A"/>
    <w:rsid w:val="00493A57"/>
    <w:rsid w:val="004D2F8D"/>
    <w:rsid w:val="004F5D8D"/>
    <w:rsid w:val="005004B7"/>
    <w:rsid w:val="005131A5"/>
    <w:rsid w:val="00514C37"/>
    <w:rsid w:val="00516233"/>
    <w:rsid w:val="00540E6D"/>
    <w:rsid w:val="00587F9E"/>
    <w:rsid w:val="00592DF2"/>
    <w:rsid w:val="005D4709"/>
    <w:rsid w:val="005F51B6"/>
    <w:rsid w:val="005F5BF4"/>
    <w:rsid w:val="006439EF"/>
    <w:rsid w:val="00653E6A"/>
    <w:rsid w:val="006559FE"/>
    <w:rsid w:val="006A6049"/>
    <w:rsid w:val="006D6AD7"/>
    <w:rsid w:val="007133EF"/>
    <w:rsid w:val="00714A45"/>
    <w:rsid w:val="007276CF"/>
    <w:rsid w:val="00733AA0"/>
    <w:rsid w:val="00753F0B"/>
    <w:rsid w:val="00754299"/>
    <w:rsid w:val="0078245B"/>
    <w:rsid w:val="00792069"/>
    <w:rsid w:val="0079368F"/>
    <w:rsid w:val="007B1CC4"/>
    <w:rsid w:val="008061BC"/>
    <w:rsid w:val="008076FE"/>
    <w:rsid w:val="00807EA6"/>
    <w:rsid w:val="00825330"/>
    <w:rsid w:val="00825693"/>
    <w:rsid w:val="008312D5"/>
    <w:rsid w:val="008526BA"/>
    <w:rsid w:val="0087483A"/>
    <w:rsid w:val="008874B6"/>
    <w:rsid w:val="008946A8"/>
    <w:rsid w:val="008D7995"/>
    <w:rsid w:val="009159B7"/>
    <w:rsid w:val="009274FB"/>
    <w:rsid w:val="0093028F"/>
    <w:rsid w:val="0093471E"/>
    <w:rsid w:val="00934D3B"/>
    <w:rsid w:val="00945A9E"/>
    <w:rsid w:val="0094731E"/>
    <w:rsid w:val="0096017A"/>
    <w:rsid w:val="009621EB"/>
    <w:rsid w:val="009716DE"/>
    <w:rsid w:val="009A072B"/>
    <w:rsid w:val="009A60A2"/>
    <w:rsid w:val="009B01D4"/>
    <w:rsid w:val="009C5AAE"/>
    <w:rsid w:val="009F2B80"/>
    <w:rsid w:val="00A011A4"/>
    <w:rsid w:val="00A53FAB"/>
    <w:rsid w:val="00AA2F90"/>
    <w:rsid w:val="00AE51DC"/>
    <w:rsid w:val="00B11FE3"/>
    <w:rsid w:val="00B4233D"/>
    <w:rsid w:val="00B67641"/>
    <w:rsid w:val="00B67A1F"/>
    <w:rsid w:val="00B72C10"/>
    <w:rsid w:val="00B7693E"/>
    <w:rsid w:val="00B82DD6"/>
    <w:rsid w:val="00BA0424"/>
    <w:rsid w:val="00BA138F"/>
    <w:rsid w:val="00BA305C"/>
    <w:rsid w:val="00BB5441"/>
    <w:rsid w:val="00BC7115"/>
    <w:rsid w:val="00BD7335"/>
    <w:rsid w:val="00BE26CC"/>
    <w:rsid w:val="00BF1DBC"/>
    <w:rsid w:val="00C16FDA"/>
    <w:rsid w:val="00C21116"/>
    <w:rsid w:val="00C2330F"/>
    <w:rsid w:val="00C3022A"/>
    <w:rsid w:val="00C35F71"/>
    <w:rsid w:val="00C37A77"/>
    <w:rsid w:val="00C54D72"/>
    <w:rsid w:val="00C56AA1"/>
    <w:rsid w:val="00C67E32"/>
    <w:rsid w:val="00C76B77"/>
    <w:rsid w:val="00C84B71"/>
    <w:rsid w:val="00C915CE"/>
    <w:rsid w:val="00CC0D04"/>
    <w:rsid w:val="00CC26CA"/>
    <w:rsid w:val="00CC3155"/>
    <w:rsid w:val="00CC5898"/>
    <w:rsid w:val="00D230AA"/>
    <w:rsid w:val="00D34C91"/>
    <w:rsid w:val="00D558DC"/>
    <w:rsid w:val="00D677EE"/>
    <w:rsid w:val="00D76DC3"/>
    <w:rsid w:val="00DA13F7"/>
    <w:rsid w:val="00DA565E"/>
    <w:rsid w:val="00DA5DBA"/>
    <w:rsid w:val="00DB400B"/>
    <w:rsid w:val="00DC5868"/>
    <w:rsid w:val="00E012CE"/>
    <w:rsid w:val="00E02353"/>
    <w:rsid w:val="00E37305"/>
    <w:rsid w:val="00E50F4F"/>
    <w:rsid w:val="00EC01E1"/>
    <w:rsid w:val="00EE647F"/>
    <w:rsid w:val="00F00D01"/>
    <w:rsid w:val="00F00D9A"/>
    <w:rsid w:val="00F02AAE"/>
    <w:rsid w:val="00F117D3"/>
    <w:rsid w:val="00F205A0"/>
    <w:rsid w:val="00F21718"/>
    <w:rsid w:val="00F22CAC"/>
    <w:rsid w:val="00F52ABC"/>
    <w:rsid w:val="00F53F1B"/>
    <w:rsid w:val="00F55C9D"/>
    <w:rsid w:val="00F577B9"/>
    <w:rsid w:val="00F6274E"/>
    <w:rsid w:val="00F80868"/>
    <w:rsid w:val="00F93014"/>
    <w:rsid w:val="00F94F33"/>
    <w:rsid w:val="00FB0208"/>
    <w:rsid w:val="00FB6BC7"/>
    <w:rsid w:val="00FC0AB0"/>
    <w:rsid w:val="00FE0ACE"/>
    <w:rsid w:val="00FF0C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A1013"/>
  <w15:chartTrackingRefBased/>
  <w15:docId w15:val="{9BC5F3C9-6A7B-4C93-A6A8-1EB84511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F4F"/>
    <w:pPr>
      <w:spacing w:after="0" w:line="240" w:lineRule="auto"/>
      <w:jc w:val="both"/>
    </w:pPr>
    <w:rPr>
      <w:rFonts w:ascii="Verdana" w:hAnsi="Verdana"/>
      <w:sz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A Fu,Footnote Text Char Char Char Char Char,Footnote Text Char Char Char Char,Footnote reference,Footnote Text Char Char Char,FA Fu Car,FA Fu Car Car,Footnote Text Cha,FA Fußnotentext,FA Fuﬂnotentext,FA Fu?notentext,Ca"/>
    <w:basedOn w:val="Normal"/>
    <w:link w:val="TextonotapieCar1"/>
    <w:qFormat/>
    <w:rsid w:val="00E50F4F"/>
    <w:pPr>
      <w:tabs>
        <w:tab w:val="left" w:pos="567"/>
      </w:tabs>
    </w:pPr>
    <w:rPr>
      <w:rFonts w:cs="Verdana"/>
      <w:sz w:val="16"/>
      <w:szCs w:val="16"/>
      <w:lang w:val="es-ES_tradnl" w:eastAsia="es-ES"/>
    </w:rPr>
  </w:style>
  <w:style w:type="character" w:customStyle="1" w:styleId="TextonotapieCar">
    <w:name w:val="Texto nota pie Car"/>
    <w:basedOn w:val="Fuentedeprrafopredeter"/>
    <w:uiPriority w:val="99"/>
    <w:semiHidden/>
    <w:rsid w:val="00E50F4F"/>
    <w:rPr>
      <w:rFonts w:ascii="Verdana" w:hAnsi="Verdana"/>
      <w:sz w:val="20"/>
      <w:szCs w:val="20"/>
      <w:lang w:val="en-US"/>
    </w:rPr>
  </w:style>
  <w:style w:type="character" w:customStyle="1" w:styleId="TextonotapieCar1">
    <w:name w:val="Texto nota pie Car1"/>
    <w:aliases w:val="FA Fu Car1,Footnote Text Char Char Char Char Char Car,Footnote Text Char Char Char Char Car,Footnote reference Car,Footnote Text Char Char Char Car,FA Fu Car Car1,FA Fu Car Car Car,Footnote Text Cha Car,FA Fußnotentext Car,Ca Car"/>
    <w:basedOn w:val="Fuentedeprrafopredeter"/>
    <w:link w:val="Textonotapie"/>
    <w:qFormat/>
    <w:locked/>
    <w:rsid w:val="00E50F4F"/>
    <w:rPr>
      <w:rFonts w:ascii="Verdana" w:hAnsi="Verdana" w:cs="Verdana"/>
      <w:sz w:val="16"/>
      <w:szCs w:val="16"/>
      <w:lang w:val="es-ES_tradnl" w:eastAsia="es-ES"/>
    </w:rPr>
  </w:style>
  <w:style w:type="character" w:styleId="Refdenotaalpie">
    <w:name w:val="footnote reference"/>
    <w:aliases w:val="Texto de nota al pie,Appel note de bas de page,Footnotes refss,Footnote number,referencia nota al pie,BVI fnr,f,4_G,16 Point,Superscript 6 Point,Footnote Reference Char3,Footnote Reference Char1 Char,Footnote Reference Char Char Char"/>
    <w:basedOn w:val="Fuentedeprrafopredeter"/>
    <w:link w:val="4GChar"/>
    <w:uiPriority w:val="99"/>
    <w:qFormat/>
    <w:rsid w:val="00E50F4F"/>
    <w:rPr>
      <w:rFonts w:ascii="Verdana" w:hAnsi="Verdana" w:cs="Verdana"/>
      <w:sz w:val="16"/>
      <w:szCs w:val="16"/>
      <w:vertAlign w:val="superscript"/>
    </w:rPr>
  </w:style>
  <w:style w:type="character" w:styleId="Textoennegrita">
    <w:name w:val="Strong"/>
    <w:aliases w:val="Heading 2.1"/>
    <w:basedOn w:val="Fuentedeprrafopredeter"/>
    <w:uiPriority w:val="22"/>
    <w:qFormat/>
    <w:rsid w:val="00E50F4F"/>
    <w:rPr>
      <w:b/>
      <w:bCs/>
    </w:rPr>
  </w:style>
  <w:style w:type="paragraph" w:styleId="Prrafodelista">
    <w:name w:val="List Paragraph"/>
    <w:aliases w:val="Footnote,List Paragraph1,Párrafo de lista1,Colorful List - Accent 11,List Paragraph2,Lista vistosa - Énfasis 11,Subtle Emphasis1,Footnote1"/>
    <w:basedOn w:val="Normal"/>
    <w:link w:val="PrrafodelistaCar"/>
    <w:uiPriority w:val="34"/>
    <w:qFormat/>
    <w:rsid w:val="00E50F4F"/>
    <w:pPr>
      <w:widowControl w:val="0"/>
      <w:numPr>
        <w:ilvl w:val="1"/>
        <w:numId w:val="1"/>
      </w:numPr>
      <w:autoSpaceDE w:val="0"/>
      <w:autoSpaceDN w:val="0"/>
      <w:adjustRightInd w:val="0"/>
      <w:ind w:right="22"/>
    </w:pPr>
    <w:rPr>
      <w:rFonts w:cs="Verdana"/>
      <w:szCs w:val="20"/>
    </w:rPr>
  </w:style>
  <w:style w:type="character" w:customStyle="1" w:styleId="PrrafodelistaCar">
    <w:name w:val="Párrafo de lista Car"/>
    <w:aliases w:val="Footnote Car,List Paragraph1 Car,Párrafo de lista1 Car,Colorful List - Accent 11 Car,List Paragraph2 Car,Lista vistosa - Énfasis 11 Car,Subtle Emphasis1 Car,Footnote1 Car"/>
    <w:link w:val="Prrafodelista"/>
    <w:uiPriority w:val="34"/>
    <w:rsid w:val="00E50F4F"/>
    <w:rPr>
      <w:rFonts w:ascii="Verdana" w:hAnsi="Verdana" w:cs="Verdana"/>
      <w:sz w:val="20"/>
      <w:szCs w:val="20"/>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50F4F"/>
    <w:rPr>
      <w:rFonts w:cs="Verdana"/>
      <w:sz w:val="16"/>
      <w:szCs w:val="16"/>
      <w:vertAlign w:val="superscript"/>
      <w:lang w:val="es-CO"/>
    </w:rPr>
  </w:style>
  <w:style w:type="paragraph" w:customStyle="1" w:styleId="Numberedparagraphs">
    <w:name w:val="Numbered paragraphs"/>
    <w:basedOn w:val="Normal"/>
    <w:qFormat/>
    <w:rsid w:val="00E50F4F"/>
    <w:pPr>
      <w:numPr>
        <w:numId w:val="2"/>
      </w:numPr>
    </w:pPr>
    <w:rPr>
      <w:rFonts w:eastAsia="MS Mincho" w:cs="Times New Roman"/>
      <w:color w:val="000000"/>
      <w:szCs w:val="20"/>
      <w:lang w:val="es-ES_tradnl"/>
    </w:rPr>
  </w:style>
  <w:style w:type="paragraph" w:styleId="Ttulo">
    <w:name w:val="Title"/>
    <w:basedOn w:val="Normal"/>
    <w:link w:val="TtuloCar"/>
    <w:qFormat/>
    <w:rsid w:val="00CC3155"/>
    <w:pPr>
      <w:jc w:val="center"/>
    </w:pPr>
    <w:rPr>
      <w:rFonts w:eastAsia="Times New Roman" w:cs="Times New Roman"/>
      <w:b/>
      <w:szCs w:val="20"/>
      <w:lang w:val="es-ES_tradnl"/>
    </w:rPr>
  </w:style>
  <w:style w:type="character" w:customStyle="1" w:styleId="TtuloCar">
    <w:name w:val="Título Car"/>
    <w:basedOn w:val="Fuentedeprrafopredeter"/>
    <w:link w:val="Ttulo"/>
    <w:rsid w:val="00CC3155"/>
    <w:rPr>
      <w:rFonts w:ascii="Verdana" w:eastAsia="Times New Roman" w:hAnsi="Verdana" w:cs="Times New Roman"/>
      <w:b/>
      <w:sz w:val="20"/>
      <w:szCs w:val="20"/>
      <w:lang w:val="es-ES_tradnl"/>
    </w:rPr>
  </w:style>
  <w:style w:type="paragraph" w:styleId="Textodeglobo">
    <w:name w:val="Balloon Text"/>
    <w:basedOn w:val="Normal"/>
    <w:link w:val="TextodegloboCar"/>
    <w:uiPriority w:val="99"/>
    <w:semiHidden/>
    <w:unhideWhenUsed/>
    <w:rsid w:val="00AE51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51DC"/>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043179">
      <w:bodyDiv w:val="1"/>
      <w:marLeft w:val="0"/>
      <w:marRight w:val="0"/>
      <w:marTop w:val="0"/>
      <w:marBottom w:val="0"/>
      <w:divBdr>
        <w:top w:val="none" w:sz="0" w:space="0" w:color="auto"/>
        <w:left w:val="none" w:sz="0" w:space="0" w:color="auto"/>
        <w:bottom w:val="none" w:sz="0" w:space="0" w:color="auto"/>
        <w:right w:val="none" w:sz="0" w:space="0" w:color="auto"/>
      </w:divBdr>
    </w:div>
    <w:div w:id="642930765">
      <w:bodyDiv w:val="1"/>
      <w:marLeft w:val="0"/>
      <w:marRight w:val="0"/>
      <w:marTop w:val="0"/>
      <w:marBottom w:val="0"/>
      <w:divBdr>
        <w:top w:val="none" w:sz="0" w:space="0" w:color="auto"/>
        <w:left w:val="none" w:sz="0" w:space="0" w:color="auto"/>
        <w:bottom w:val="none" w:sz="0" w:space="0" w:color="auto"/>
        <w:right w:val="none" w:sz="0" w:space="0" w:color="auto"/>
      </w:divBdr>
    </w:div>
    <w:div w:id="138467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E7ACA-B081-4C94-9679-1491A40C5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6168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Francella Hernandez</cp:lastModifiedBy>
  <cp:revision>2</cp:revision>
  <cp:lastPrinted>2021-10-13T15:50:00Z</cp:lastPrinted>
  <dcterms:created xsi:type="dcterms:W3CDTF">2021-10-14T19:29:00Z</dcterms:created>
  <dcterms:modified xsi:type="dcterms:W3CDTF">2021-10-14T19:29:00Z</dcterms:modified>
</cp:coreProperties>
</file>