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D2C5" w14:textId="77777777" w:rsidR="008F08B1" w:rsidRPr="00605B9C" w:rsidRDefault="008F08B1" w:rsidP="00585559">
      <w:pPr>
        <w:tabs>
          <w:tab w:val="left" w:pos="709"/>
        </w:tabs>
        <w:jc w:val="center"/>
        <w:rPr>
          <w:rFonts w:ascii="Verdana" w:hAnsi="Verdana"/>
          <w:b/>
          <w:sz w:val="20"/>
          <w:szCs w:val="20"/>
        </w:rPr>
      </w:pPr>
      <w:bookmarkStart w:id="0" w:name="_GoBack"/>
      <w:bookmarkEnd w:id="0"/>
      <w:r w:rsidRPr="00605B9C">
        <w:rPr>
          <w:rFonts w:ascii="Verdana" w:hAnsi="Verdana"/>
          <w:b/>
          <w:sz w:val="20"/>
          <w:szCs w:val="20"/>
        </w:rPr>
        <w:t xml:space="preserve">VOTO CONCURRENTE DEL </w:t>
      </w:r>
    </w:p>
    <w:p w14:paraId="55F37C73" w14:textId="77777777" w:rsidR="008F08B1" w:rsidRPr="00605B9C" w:rsidRDefault="008F08B1" w:rsidP="00585559">
      <w:pPr>
        <w:tabs>
          <w:tab w:val="left" w:pos="709"/>
        </w:tabs>
        <w:jc w:val="center"/>
        <w:rPr>
          <w:rFonts w:ascii="Verdana" w:hAnsi="Verdana"/>
          <w:b/>
          <w:sz w:val="20"/>
          <w:szCs w:val="20"/>
        </w:rPr>
      </w:pPr>
      <w:r w:rsidRPr="00605B9C">
        <w:rPr>
          <w:rFonts w:ascii="Verdana" w:hAnsi="Verdana"/>
          <w:b/>
          <w:sz w:val="20"/>
          <w:szCs w:val="20"/>
        </w:rPr>
        <w:t>JUEZ HUMBERTO ANTONIO SIERRA PORTO</w:t>
      </w:r>
    </w:p>
    <w:p w14:paraId="78FA1A0C" w14:textId="77777777" w:rsidR="008F08B1" w:rsidRPr="00605B9C" w:rsidRDefault="008F08B1" w:rsidP="00585559">
      <w:pPr>
        <w:tabs>
          <w:tab w:val="left" w:pos="709"/>
        </w:tabs>
        <w:jc w:val="center"/>
        <w:rPr>
          <w:rFonts w:ascii="Verdana" w:hAnsi="Verdana"/>
          <w:b/>
          <w:sz w:val="20"/>
          <w:szCs w:val="20"/>
        </w:rPr>
      </w:pPr>
    </w:p>
    <w:p w14:paraId="2DC62922" w14:textId="090B5D83" w:rsidR="008F08B1" w:rsidRPr="00605B9C" w:rsidRDefault="008F08B1" w:rsidP="00585559">
      <w:pPr>
        <w:jc w:val="center"/>
        <w:rPr>
          <w:rFonts w:ascii="Verdana" w:eastAsia="MS Mincho" w:hAnsi="Verdana" w:cs="Times New Roman"/>
          <w:b/>
          <w:sz w:val="20"/>
          <w:szCs w:val="20"/>
          <w:lang w:val="es-CR" w:eastAsia="es-CR"/>
        </w:rPr>
      </w:pPr>
      <w:r w:rsidRPr="00605B9C">
        <w:rPr>
          <w:rFonts w:ascii="Verdana" w:eastAsia="MS Mincho" w:hAnsi="Verdana" w:cs="Times New Roman"/>
          <w:b/>
          <w:sz w:val="20"/>
          <w:szCs w:val="20"/>
          <w:lang w:val="es-CR" w:eastAsia="es-CR"/>
        </w:rPr>
        <w:t>CORTE INT</w:t>
      </w:r>
      <w:r w:rsidR="00CF7B6C">
        <w:rPr>
          <w:rFonts w:ascii="Verdana" w:eastAsia="MS Mincho" w:hAnsi="Verdana" w:cs="Times New Roman"/>
          <w:b/>
          <w:sz w:val="20"/>
          <w:szCs w:val="20"/>
          <w:lang w:val="es-CR" w:eastAsia="es-CR"/>
        </w:rPr>
        <w:t>ERAMERICANA DE DERECHOS HUMANOS</w:t>
      </w:r>
    </w:p>
    <w:p w14:paraId="2624D10C" w14:textId="77777777" w:rsidR="008F08B1" w:rsidRPr="00605B9C" w:rsidRDefault="008F08B1" w:rsidP="00585559">
      <w:pPr>
        <w:jc w:val="center"/>
        <w:rPr>
          <w:rFonts w:ascii="Verdana" w:eastAsia="MS Mincho" w:hAnsi="Verdana" w:cs="Times New Roman"/>
          <w:b/>
          <w:sz w:val="20"/>
          <w:szCs w:val="20"/>
          <w:lang w:val="es-CR" w:eastAsia="es-CR"/>
        </w:rPr>
      </w:pPr>
    </w:p>
    <w:p w14:paraId="2EFF4443" w14:textId="1A4FE4A4" w:rsidR="000B17AA" w:rsidRDefault="000B17AA" w:rsidP="00585559">
      <w:pPr>
        <w:pStyle w:val="NormalWeb"/>
        <w:spacing w:before="0" w:beforeAutospacing="0" w:after="0" w:afterAutospacing="0"/>
        <w:jc w:val="center"/>
        <w:rPr>
          <w:rFonts w:ascii="Verdana" w:hAnsi="Verdana"/>
          <w:b/>
          <w:bCs/>
          <w:sz w:val="20"/>
          <w:szCs w:val="20"/>
        </w:rPr>
      </w:pPr>
      <w:r w:rsidRPr="00605B9C">
        <w:rPr>
          <w:rFonts w:ascii="Verdana" w:hAnsi="Verdana"/>
          <w:b/>
          <w:bCs/>
          <w:sz w:val="20"/>
          <w:szCs w:val="20"/>
        </w:rPr>
        <w:t>CASO VERA ROJAS Y OTROS VS. CHILE</w:t>
      </w:r>
    </w:p>
    <w:p w14:paraId="06032852" w14:textId="77777777" w:rsidR="00CF7B6C" w:rsidRPr="00605B9C" w:rsidRDefault="00CF7B6C" w:rsidP="00585559">
      <w:pPr>
        <w:pStyle w:val="NormalWeb"/>
        <w:spacing w:before="0" w:beforeAutospacing="0" w:after="0" w:afterAutospacing="0"/>
        <w:jc w:val="center"/>
        <w:rPr>
          <w:rFonts w:ascii="Verdana" w:hAnsi="Verdana"/>
          <w:b/>
          <w:bCs/>
          <w:sz w:val="20"/>
          <w:szCs w:val="20"/>
        </w:rPr>
      </w:pPr>
    </w:p>
    <w:p w14:paraId="77F50701" w14:textId="5ECD9DB8" w:rsidR="008F08B1" w:rsidRPr="00605B9C" w:rsidRDefault="008F08B1" w:rsidP="00585559">
      <w:pPr>
        <w:pStyle w:val="NormalWeb"/>
        <w:spacing w:before="0" w:beforeAutospacing="0" w:after="0" w:afterAutospacing="0"/>
        <w:jc w:val="center"/>
      </w:pPr>
      <w:r w:rsidRPr="00605B9C">
        <w:rPr>
          <w:rFonts w:ascii="Verdana" w:hAnsi="Verdana"/>
          <w:b/>
          <w:bCs/>
          <w:sz w:val="20"/>
          <w:szCs w:val="20"/>
        </w:rPr>
        <w:t xml:space="preserve">SENTENCIA DE </w:t>
      </w:r>
      <w:r w:rsidR="000B17AA" w:rsidRPr="00605B9C">
        <w:rPr>
          <w:rFonts w:ascii="Verdana" w:hAnsi="Verdana"/>
          <w:b/>
          <w:bCs/>
          <w:sz w:val="20"/>
          <w:szCs w:val="20"/>
        </w:rPr>
        <w:t>1</w:t>
      </w:r>
      <w:r w:rsidRPr="00605B9C">
        <w:rPr>
          <w:rFonts w:ascii="Verdana" w:hAnsi="Verdana"/>
          <w:b/>
          <w:bCs/>
          <w:sz w:val="20"/>
          <w:szCs w:val="20"/>
        </w:rPr>
        <w:t xml:space="preserve"> DE </w:t>
      </w:r>
      <w:r w:rsidR="000B17AA" w:rsidRPr="00605B9C">
        <w:rPr>
          <w:rFonts w:ascii="Verdana" w:hAnsi="Verdana"/>
          <w:b/>
          <w:bCs/>
          <w:sz w:val="20"/>
          <w:szCs w:val="20"/>
        </w:rPr>
        <w:t>OCTUBRE</w:t>
      </w:r>
      <w:r w:rsidRPr="00605B9C">
        <w:rPr>
          <w:rFonts w:ascii="Verdana" w:hAnsi="Verdana"/>
          <w:b/>
          <w:bCs/>
          <w:sz w:val="20"/>
          <w:szCs w:val="20"/>
        </w:rPr>
        <w:t xml:space="preserve"> DE 2021</w:t>
      </w:r>
    </w:p>
    <w:p w14:paraId="0E1A9851" w14:textId="7CCF230C" w:rsidR="008F08B1" w:rsidRPr="00605B9C" w:rsidRDefault="008F08B1" w:rsidP="00585559">
      <w:pPr>
        <w:jc w:val="center"/>
        <w:rPr>
          <w:rFonts w:ascii="Verdana" w:eastAsia="MS Mincho" w:hAnsi="Verdana" w:cs="Times New Roman"/>
          <w:b/>
          <w:i/>
          <w:sz w:val="20"/>
          <w:szCs w:val="20"/>
          <w:lang w:val="es-CR" w:eastAsia="es-CR"/>
        </w:rPr>
      </w:pPr>
      <w:r w:rsidRPr="00605B9C">
        <w:rPr>
          <w:rFonts w:ascii="Verdana" w:eastAsia="MS Mincho" w:hAnsi="Verdana" w:cs="Times New Roman"/>
          <w:b/>
          <w:i/>
          <w:sz w:val="20"/>
          <w:szCs w:val="20"/>
          <w:lang w:val="es-CR" w:eastAsia="es-CR"/>
        </w:rPr>
        <w:t>(Excepciones Preliminares, Fondo, Reparaciones y Costas)</w:t>
      </w:r>
    </w:p>
    <w:p w14:paraId="318070D5" w14:textId="77777777" w:rsidR="00DA53BC" w:rsidRPr="00CF7B6C" w:rsidRDefault="00DA53BC" w:rsidP="00585559">
      <w:pPr>
        <w:jc w:val="center"/>
        <w:rPr>
          <w:rFonts w:ascii="Verdana" w:eastAsia="Batang" w:hAnsi="Verdana" w:cs="Times"/>
          <w:b/>
          <w:smallCaps/>
          <w:sz w:val="20"/>
          <w:szCs w:val="20"/>
          <w:lang w:val="es-CR" w:eastAsia="es-CR"/>
        </w:rPr>
      </w:pPr>
    </w:p>
    <w:p w14:paraId="35B28416" w14:textId="38DFC1E3" w:rsidR="00985B9A" w:rsidRPr="00585559" w:rsidRDefault="00DA53BC" w:rsidP="00585559">
      <w:pPr>
        <w:pStyle w:val="Prrafodelista"/>
        <w:numPr>
          <w:ilvl w:val="0"/>
          <w:numId w:val="2"/>
        </w:numPr>
        <w:autoSpaceDE w:val="0"/>
        <w:autoSpaceDN w:val="0"/>
        <w:adjustRightInd w:val="0"/>
        <w:spacing w:after="0" w:line="240" w:lineRule="auto"/>
        <w:ind w:left="0" w:firstLine="0"/>
        <w:jc w:val="both"/>
        <w:rPr>
          <w:rFonts w:ascii="Verdana" w:hAnsi="Verdana"/>
          <w:iCs/>
          <w:sz w:val="20"/>
          <w:szCs w:val="20"/>
        </w:rPr>
      </w:pPr>
      <w:r w:rsidRPr="00605B9C">
        <w:rPr>
          <w:rFonts w:ascii="Verdana" w:hAnsi="Verdana" w:cs="Times New Roman"/>
          <w:sz w:val="20"/>
          <w:szCs w:val="20"/>
          <w:lang w:val="es-CR"/>
        </w:rPr>
        <w:t>Con</w:t>
      </w:r>
      <w:r w:rsidRPr="00605B9C">
        <w:rPr>
          <w:rFonts w:ascii="Verdana" w:hAnsi="Verdana"/>
          <w:sz w:val="20"/>
          <w:szCs w:val="20"/>
        </w:rPr>
        <w:t xml:space="preserve"> el acostumbrado respeto por las decisiones mayoritarias de la Corte Interamericana de Derechos Humanos (en adelante la Corte o el Tribunal), </w:t>
      </w:r>
      <w:r w:rsidR="0051508E" w:rsidRPr="00605B9C">
        <w:rPr>
          <w:rFonts w:ascii="Verdana" w:hAnsi="Verdana"/>
          <w:sz w:val="20"/>
          <w:szCs w:val="20"/>
        </w:rPr>
        <w:t xml:space="preserve">el presente voto tiene por objeto explicar mi </w:t>
      </w:r>
      <w:r w:rsidR="00CC6B60">
        <w:rPr>
          <w:rFonts w:ascii="Verdana" w:hAnsi="Verdana"/>
          <w:sz w:val="20"/>
          <w:szCs w:val="20"/>
        </w:rPr>
        <w:t xml:space="preserve">disconformidad </w:t>
      </w:r>
      <w:r w:rsidR="0051508E" w:rsidRPr="00605B9C">
        <w:rPr>
          <w:rFonts w:ascii="Verdana" w:hAnsi="Verdana"/>
          <w:sz w:val="20"/>
          <w:szCs w:val="20"/>
        </w:rPr>
        <w:t>parcial frente al punto resolutivo</w:t>
      </w:r>
      <w:r w:rsidR="007B29B7" w:rsidRPr="00605B9C">
        <w:rPr>
          <w:rFonts w:ascii="Verdana" w:hAnsi="Verdana"/>
          <w:sz w:val="20"/>
          <w:szCs w:val="20"/>
        </w:rPr>
        <w:t xml:space="preserve"> 4</w:t>
      </w:r>
      <w:r w:rsidR="0051508E" w:rsidRPr="00605B9C">
        <w:rPr>
          <w:rFonts w:ascii="Verdana" w:hAnsi="Verdana"/>
          <w:sz w:val="20"/>
          <w:szCs w:val="20"/>
        </w:rPr>
        <w:t xml:space="preserve"> en el que se declaró la responsabilidad internacional del Estado de </w:t>
      </w:r>
      <w:r w:rsidR="007B29B7" w:rsidRPr="00605B9C">
        <w:rPr>
          <w:rFonts w:ascii="Verdana" w:hAnsi="Verdana"/>
          <w:sz w:val="20"/>
          <w:szCs w:val="20"/>
        </w:rPr>
        <w:t>Chile</w:t>
      </w:r>
      <w:r w:rsidR="0051508E" w:rsidRPr="00605B9C">
        <w:rPr>
          <w:rFonts w:ascii="Verdana" w:hAnsi="Verdana"/>
          <w:sz w:val="20"/>
          <w:szCs w:val="20"/>
        </w:rPr>
        <w:t xml:space="preserve"> (en adelante “el Estado” o </w:t>
      </w:r>
      <w:r w:rsidR="007B29B7" w:rsidRPr="00605B9C">
        <w:rPr>
          <w:rFonts w:ascii="Verdana" w:hAnsi="Verdana"/>
          <w:sz w:val="20"/>
          <w:szCs w:val="20"/>
        </w:rPr>
        <w:t>Chile</w:t>
      </w:r>
      <w:r w:rsidR="0051508E" w:rsidRPr="00605B9C">
        <w:rPr>
          <w:rFonts w:ascii="Verdana" w:hAnsi="Verdana"/>
          <w:sz w:val="20"/>
          <w:szCs w:val="20"/>
        </w:rPr>
        <w:t xml:space="preserve">) por la violación conjunta </w:t>
      </w:r>
      <w:r w:rsidR="00585559" w:rsidRPr="00CC4D23">
        <w:rPr>
          <w:rFonts w:ascii="Verdana" w:hAnsi="Verdana"/>
          <w:sz w:val="20"/>
          <w:szCs w:val="20"/>
          <w:lang w:val="es-ES_tradnl"/>
        </w:rPr>
        <w:t>de los derechos a la vida, la vida digna, la integridad personal, la niñez, la salud y la seguridad social, en relación con la obligación de garantizar los derechos sin discriminación</w:t>
      </w:r>
      <w:r w:rsidR="00585559">
        <w:rPr>
          <w:rFonts w:ascii="Verdana" w:hAnsi="Verdana"/>
          <w:sz w:val="20"/>
          <w:szCs w:val="20"/>
          <w:lang w:val="es-ES_tradnl"/>
        </w:rPr>
        <w:t>,</w:t>
      </w:r>
      <w:r w:rsidR="00585559" w:rsidRPr="00CC4D23">
        <w:rPr>
          <w:rFonts w:ascii="Verdana" w:hAnsi="Verdana"/>
          <w:sz w:val="20"/>
          <w:szCs w:val="20"/>
          <w:lang w:val="es-ES_tradnl"/>
        </w:rPr>
        <w:t xml:space="preserve"> y el deber de adoptar disposiciones de derecho interno,</w:t>
      </w:r>
      <w:r w:rsidR="00C426EA" w:rsidRPr="00605B9C">
        <w:rPr>
          <w:rFonts w:ascii="Verdana" w:hAnsi="Verdana"/>
          <w:sz w:val="20"/>
          <w:szCs w:val="20"/>
        </w:rPr>
        <w:t xml:space="preserve"> en perjuicio de Martina Vera Rojas</w:t>
      </w:r>
      <w:r w:rsidR="0051508E" w:rsidRPr="00605B9C">
        <w:rPr>
          <w:rFonts w:ascii="Verdana" w:hAnsi="Verdana"/>
          <w:sz w:val="20"/>
          <w:szCs w:val="20"/>
        </w:rPr>
        <w:t xml:space="preserve">. El voto complementa la posición ya expresada en mis votos parcialmente disidentes a los casos </w:t>
      </w:r>
      <w:r w:rsidR="0051508E" w:rsidRPr="00605B9C">
        <w:rPr>
          <w:rFonts w:ascii="Verdana" w:hAnsi="Verdana"/>
          <w:i/>
          <w:sz w:val="20"/>
          <w:szCs w:val="20"/>
        </w:rPr>
        <w:t>Lagos del Campo Vs. Perú</w:t>
      </w:r>
      <w:r w:rsidR="0051508E" w:rsidRPr="00605B9C">
        <w:rPr>
          <w:rFonts w:ascii="Verdana" w:hAnsi="Verdana"/>
          <w:sz w:val="20"/>
          <w:szCs w:val="20"/>
          <w:vertAlign w:val="superscript"/>
        </w:rPr>
        <w:footnoteReference w:id="1"/>
      </w:r>
      <w:r w:rsidR="0051508E" w:rsidRPr="00605B9C">
        <w:rPr>
          <w:rFonts w:ascii="Verdana" w:hAnsi="Verdana"/>
          <w:sz w:val="20"/>
          <w:szCs w:val="20"/>
        </w:rPr>
        <w:t xml:space="preserve">, </w:t>
      </w:r>
      <w:r w:rsidR="0051508E" w:rsidRPr="00605B9C">
        <w:rPr>
          <w:rFonts w:ascii="Verdana" w:hAnsi="Verdana"/>
          <w:i/>
          <w:sz w:val="20"/>
          <w:szCs w:val="20"/>
        </w:rPr>
        <w:t>Trabajadores Cesados de Petroperú y otros Vs. Perú</w:t>
      </w:r>
      <w:r w:rsidR="0051508E" w:rsidRPr="00605B9C">
        <w:rPr>
          <w:rFonts w:ascii="Verdana" w:hAnsi="Verdana"/>
          <w:sz w:val="20"/>
          <w:szCs w:val="20"/>
          <w:vertAlign w:val="superscript"/>
        </w:rPr>
        <w:footnoteReference w:id="2"/>
      </w:r>
      <w:r w:rsidR="0051508E" w:rsidRPr="00605B9C">
        <w:rPr>
          <w:rFonts w:ascii="Verdana" w:hAnsi="Verdana"/>
          <w:sz w:val="20"/>
          <w:szCs w:val="20"/>
        </w:rPr>
        <w:t xml:space="preserve">, </w:t>
      </w:r>
      <w:r w:rsidR="0051508E" w:rsidRPr="00605B9C">
        <w:rPr>
          <w:rFonts w:ascii="Verdana" w:hAnsi="Verdana"/>
          <w:i/>
          <w:sz w:val="20"/>
          <w:szCs w:val="20"/>
        </w:rPr>
        <w:t>San Miguel Sosa y otras Vs. Venezuela</w:t>
      </w:r>
      <w:r w:rsidR="0051508E" w:rsidRPr="00605B9C">
        <w:rPr>
          <w:rFonts w:ascii="Verdana" w:hAnsi="Verdana"/>
          <w:sz w:val="20"/>
          <w:szCs w:val="20"/>
          <w:vertAlign w:val="superscript"/>
        </w:rPr>
        <w:footnoteReference w:id="3"/>
      </w:r>
      <w:r w:rsidR="003A5075" w:rsidRPr="00605B9C">
        <w:rPr>
          <w:rFonts w:ascii="Verdana" w:hAnsi="Verdana"/>
          <w:sz w:val="20"/>
          <w:szCs w:val="20"/>
        </w:rPr>
        <w:t xml:space="preserve">, </w:t>
      </w:r>
      <w:r w:rsidR="0051508E" w:rsidRPr="00605B9C">
        <w:rPr>
          <w:rFonts w:ascii="Verdana" w:hAnsi="Verdana"/>
          <w:i/>
          <w:sz w:val="20"/>
          <w:szCs w:val="20"/>
        </w:rPr>
        <w:t>Cuscul Pivaral y otros Vs. Guatemala</w:t>
      </w:r>
      <w:r w:rsidR="0051508E" w:rsidRPr="00605B9C">
        <w:rPr>
          <w:rFonts w:ascii="Verdana" w:hAnsi="Verdana"/>
          <w:sz w:val="20"/>
          <w:szCs w:val="20"/>
          <w:vertAlign w:val="superscript"/>
        </w:rPr>
        <w:footnoteReference w:id="4"/>
      </w:r>
      <w:r w:rsidR="003A5075" w:rsidRPr="00605B9C">
        <w:rPr>
          <w:rFonts w:ascii="Verdana" w:hAnsi="Verdana"/>
          <w:sz w:val="20"/>
          <w:szCs w:val="20"/>
        </w:rPr>
        <w:t xml:space="preserve">, </w:t>
      </w:r>
      <w:r w:rsidR="0051508E" w:rsidRPr="00605B9C">
        <w:rPr>
          <w:rFonts w:ascii="Verdana" w:hAnsi="Verdana"/>
          <w:i/>
          <w:sz w:val="20"/>
          <w:szCs w:val="20"/>
        </w:rPr>
        <w:t>Muelle Flores Vs. Perú</w:t>
      </w:r>
      <w:r w:rsidR="0051508E" w:rsidRPr="00605B9C">
        <w:rPr>
          <w:rFonts w:ascii="Verdana" w:hAnsi="Verdana"/>
          <w:sz w:val="20"/>
          <w:szCs w:val="20"/>
          <w:vertAlign w:val="superscript"/>
        </w:rPr>
        <w:footnoteReference w:id="5"/>
      </w:r>
      <w:r w:rsidR="0051508E" w:rsidRPr="00605B9C">
        <w:rPr>
          <w:rFonts w:ascii="Verdana" w:hAnsi="Verdana"/>
          <w:sz w:val="20"/>
          <w:szCs w:val="20"/>
        </w:rPr>
        <w:t>,</w:t>
      </w:r>
      <w:r w:rsidR="0051508E" w:rsidRPr="00605B9C">
        <w:rPr>
          <w:rFonts w:ascii="Verdana" w:hAnsi="Verdana"/>
          <w:i/>
          <w:sz w:val="20"/>
          <w:szCs w:val="20"/>
        </w:rPr>
        <w:t xml:space="preserve"> Asociación Nacional de Cesantes y Jubilados de la Superintendencia Nacional de Administración Tributaria (ANCEJUB-SUNAT) Vs. Perú</w:t>
      </w:r>
      <w:r w:rsidR="0051508E" w:rsidRPr="00605B9C">
        <w:rPr>
          <w:rFonts w:ascii="Verdana" w:hAnsi="Verdana"/>
          <w:sz w:val="20"/>
          <w:szCs w:val="20"/>
          <w:vertAlign w:val="superscript"/>
        </w:rPr>
        <w:footnoteReference w:id="6"/>
      </w:r>
      <w:r w:rsidR="0051508E" w:rsidRPr="00605B9C">
        <w:rPr>
          <w:rFonts w:ascii="Verdana" w:hAnsi="Verdana"/>
          <w:sz w:val="20"/>
          <w:szCs w:val="20"/>
        </w:rPr>
        <w:t xml:space="preserve">, </w:t>
      </w:r>
      <w:r w:rsidR="0051508E" w:rsidRPr="00605B9C">
        <w:rPr>
          <w:rFonts w:ascii="Verdana" w:hAnsi="Verdana"/>
          <w:i/>
          <w:sz w:val="20"/>
          <w:szCs w:val="20"/>
        </w:rPr>
        <w:t>Hernández Vs. Argentina</w:t>
      </w:r>
      <w:r w:rsidR="0051508E" w:rsidRPr="00605B9C">
        <w:rPr>
          <w:rFonts w:ascii="Verdana" w:hAnsi="Verdana"/>
          <w:sz w:val="20"/>
          <w:szCs w:val="20"/>
          <w:vertAlign w:val="superscript"/>
        </w:rPr>
        <w:footnoteReference w:id="7"/>
      </w:r>
      <w:r w:rsidR="00BC185E" w:rsidRPr="00605B9C">
        <w:rPr>
          <w:rFonts w:ascii="Verdana" w:hAnsi="Verdana"/>
          <w:sz w:val="20"/>
          <w:szCs w:val="20"/>
        </w:rPr>
        <w:t xml:space="preserve">, </w:t>
      </w:r>
      <w:r w:rsidR="0051508E" w:rsidRPr="00605B9C">
        <w:rPr>
          <w:rFonts w:ascii="Verdana" w:hAnsi="Verdana"/>
          <w:i/>
          <w:sz w:val="20"/>
          <w:szCs w:val="20"/>
        </w:rPr>
        <w:t>Comunidades Indígenas Miembros de la Asociación Lhaka Honhat (Nuestra Tierra) Vs. Argentina</w:t>
      </w:r>
      <w:r w:rsidR="0051508E" w:rsidRPr="00605B9C">
        <w:rPr>
          <w:rFonts w:ascii="Verdana" w:hAnsi="Verdana"/>
          <w:sz w:val="20"/>
          <w:szCs w:val="20"/>
          <w:vertAlign w:val="superscript"/>
        </w:rPr>
        <w:footnoteReference w:id="8"/>
      </w:r>
      <w:r w:rsidR="00BC185E" w:rsidRPr="00605B9C">
        <w:rPr>
          <w:rFonts w:ascii="Verdana" w:hAnsi="Verdana"/>
          <w:i/>
          <w:sz w:val="20"/>
          <w:szCs w:val="20"/>
        </w:rPr>
        <w:t>, G</w:t>
      </w:r>
      <w:r w:rsidR="00DF7471" w:rsidRPr="00605B9C">
        <w:rPr>
          <w:rFonts w:ascii="Verdana" w:hAnsi="Verdana"/>
          <w:i/>
          <w:sz w:val="20"/>
          <w:szCs w:val="20"/>
        </w:rPr>
        <w:t>uachalá Chimbo</w:t>
      </w:r>
      <w:r w:rsidR="00462B4D" w:rsidRPr="00605B9C">
        <w:rPr>
          <w:rFonts w:ascii="Verdana" w:hAnsi="Verdana"/>
          <w:i/>
          <w:sz w:val="20"/>
          <w:szCs w:val="20"/>
        </w:rPr>
        <w:t xml:space="preserve"> y otr</w:t>
      </w:r>
      <w:r w:rsidR="00C55D43" w:rsidRPr="00605B9C">
        <w:rPr>
          <w:rFonts w:ascii="Verdana" w:hAnsi="Verdana"/>
          <w:i/>
          <w:sz w:val="20"/>
          <w:szCs w:val="20"/>
        </w:rPr>
        <w:t>os</w:t>
      </w:r>
      <w:r w:rsidR="00DF7471" w:rsidRPr="00605B9C">
        <w:rPr>
          <w:rFonts w:ascii="Verdana" w:hAnsi="Verdana"/>
          <w:i/>
          <w:sz w:val="20"/>
          <w:szCs w:val="20"/>
        </w:rPr>
        <w:t xml:space="preserve"> vs. Ecuador</w:t>
      </w:r>
      <w:r w:rsidR="00477AC5" w:rsidRPr="00605B9C">
        <w:rPr>
          <w:rStyle w:val="Refdenotaalpie"/>
          <w:rFonts w:ascii="Verdana" w:hAnsi="Verdana"/>
          <w:i/>
          <w:sz w:val="20"/>
          <w:szCs w:val="20"/>
        </w:rPr>
        <w:footnoteReference w:id="9"/>
      </w:r>
      <w:r w:rsidR="003A5075" w:rsidRPr="00605B9C">
        <w:rPr>
          <w:rFonts w:ascii="Verdana" w:hAnsi="Verdana"/>
          <w:sz w:val="20"/>
          <w:szCs w:val="20"/>
        </w:rPr>
        <w:t>;</w:t>
      </w:r>
      <w:r w:rsidR="005B64A2" w:rsidRPr="00605B9C">
        <w:rPr>
          <w:rFonts w:ascii="Verdana" w:hAnsi="Verdana"/>
          <w:sz w:val="20"/>
          <w:szCs w:val="20"/>
        </w:rPr>
        <w:t xml:space="preserve"> </w:t>
      </w:r>
      <w:r w:rsidR="0051508E" w:rsidRPr="00605B9C">
        <w:rPr>
          <w:rFonts w:ascii="Verdana" w:hAnsi="Verdana"/>
          <w:sz w:val="20"/>
          <w:szCs w:val="20"/>
        </w:rPr>
        <w:t xml:space="preserve">así como en mis votos concurrentes en los casos </w:t>
      </w:r>
      <w:r w:rsidR="0051508E" w:rsidRPr="00605B9C">
        <w:rPr>
          <w:rFonts w:ascii="Verdana" w:hAnsi="Verdana"/>
          <w:i/>
          <w:sz w:val="20"/>
          <w:szCs w:val="20"/>
        </w:rPr>
        <w:lastRenderedPageBreak/>
        <w:t>Gonzales Lluy y otros Vs. Ecuador</w:t>
      </w:r>
      <w:r w:rsidR="0051508E" w:rsidRPr="00605B9C">
        <w:rPr>
          <w:rFonts w:ascii="Verdana" w:hAnsi="Verdana"/>
          <w:sz w:val="20"/>
          <w:szCs w:val="20"/>
          <w:vertAlign w:val="superscript"/>
        </w:rPr>
        <w:footnoteReference w:id="10"/>
      </w:r>
      <w:r w:rsidR="00C55D43" w:rsidRPr="00605B9C">
        <w:rPr>
          <w:rFonts w:ascii="Verdana" w:hAnsi="Verdana"/>
          <w:sz w:val="20"/>
          <w:szCs w:val="20"/>
        </w:rPr>
        <w:t>,</w:t>
      </w:r>
      <w:r w:rsidR="0051508E" w:rsidRPr="00605B9C">
        <w:rPr>
          <w:rFonts w:ascii="Verdana" w:hAnsi="Verdana"/>
          <w:sz w:val="20"/>
          <w:szCs w:val="20"/>
        </w:rPr>
        <w:t xml:space="preserve"> </w:t>
      </w:r>
      <w:r w:rsidR="0051508E" w:rsidRPr="00605B9C">
        <w:rPr>
          <w:rFonts w:ascii="Verdana" w:hAnsi="Verdana"/>
          <w:i/>
          <w:sz w:val="20"/>
          <w:szCs w:val="20"/>
        </w:rPr>
        <w:t>Poblete Vilches y otros Vs. Chile</w:t>
      </w:r>
      <w:r w:rsidR="0051508E" w:rsidRPr="00605B9C">
        <w:rPr>
          <w:rFonts w:ascii="Verdana" w:hAnsi="Verdana"/>
          <w:sz w:val="20"/>
          <w:szCs w:val="20"/>
          <w:vertAlign w:val="superscript"/>
        </w:rPr>
        <w:footnoteReference w:id="11"/>
      </w:r>
      <w:r w:rsidR="0051508E" w:rsidRPr="00605B9C">
        <w:rPr>
          <w:rFonts w:ascii="Verdana" w:hAnsi="Verdana"/>
          <w:i/>
          <w:sz w:val="20"/>
          <w:szCs w:val="20"/>
        </w:rPr>
        <w:t xml:space="preserve"> </w:t>
      </w:r>
      <w:r w:rsidR="00917CB7" w:rsidRPr="00605B9C">
        <w:rPr>
          <w:rFonts w:ascii="Verdana" w:hAnsi="Verdana"/>
          <w:i/>
          <w:sz w:val="20"/>
          <w:szCs w:val="20"/>
        </w:rPr>
        <w:t>y Casa Nina vs. Perú</w:t>
      </w:r>
      <w:r w:rsidR="00917CB7" w:rsidRPr="00605B9C">
        <w:rPr>
          <w:rStyle w:val="Refdenotaalpie"/>
          <w:rFonts w:ascii="Verdana" w:hAnsi="Verdana"/>
          <w:i/>
          <w:sz w:val="20"/>
          <w:szCs w:val="20"/>
        </w:rPr>
        <w:footnoteReference w:id="12"/>
      </w:r>
      <w:r w:rsidR="00917CB7" w:rsidRPr="00605B9C">
        <w:rPr>
          <w:rFonts w:ascii="Verdana" w:hAnsi="Verdana"/>
          <w:i/>
          <w:sz w:val="20"/>
          <w:szCs w:val="20"/>
        </w:rPr>
        <w:t xml:space="preserve"> </w:t>
      </w:r>
      <w:r w:rsidR="0051508E" w:rsidRPr="00605B9C">
        <w:rPr>
          <w:rFonts w:ascii="Verdana" w:hAnsi="Verdana"/>
          <w:iCs/>
          <w:sz w:val="20"/>
          <w:szCs w:val="20"/>
        </w:rPr>
        <w:t xml:space="preserve">en relación con la justiciabilidad del artículo 26 de la </w:t>
      </w:r>
      <w:r w:rsidR="0051508E" w:rsidRPr="00605B9C">
        <w:rPr>
          <w:rFonts w:ascii="Verdana" w:hAnsi="Verdana"/>
          <w:sz w:val="20"/>
          <w:szCs w:val="20"/>
        </w:rPr>
        <w:t>Convención Americana sobre Derechos Humanos (en adelante “la Convención” o “CADH)”</w:t>
      </w:r>
      <w:r w:rsidR="00585559">
        <w:rPr>
          <w:rFonts w:ascii="Verdana" w:hAnsi="Verdana"/>
          <w:iCs/>
          <w:sz w:val="20"/>
          <w:szCs w:val="20"/>
          <w:lang w:val="es-CR"/>
        </w:rPr>
        <w:t>.</w:t>
      </w:r>
    </w:p>
    <w:p w14:paraId="7B1DF981" w14:textId="77777777" w:rsidR="00585559" w:rsidRPr="00605B9C" w:rsidRDefault="00585559" w:rsidP="00585559">
      <w:pPr>
        <w:pStyle w:val="Prrafodelista"/>
        <w:autoSpaceDE w:val="0"/>
        <w:autoSpaceDN w:val="0"/>
        <w:adjustRightInd w:val="0"/>
        <w:spacing w:after="0" w:line="240" w:lineRule="auto"/>
        <w:ind w:left="0"/>
        <w:jc w:val="both"/>
        <w:rPr>
          <w:rFonts w:ascii="Verdana" w:hAnsi="Verdana"/>
          <w:iCs/>
          <w:sz w:val="20"/>
          <w:szCs w:val="20"/>
        </w:rPr>
      </w:pPr>
    </w:p>
    <w:p w14:paraId="074A524A" w14:textId="017C27D0" w:rsidR="00985B9A" w:rsidRPr="00605B9C" w:rsidRDefault="00985B9A" w:rsidP="00585559">
      <w:pPr>
        <w:pStyle w:val="Prrafodelista"/>
        <w:numPr>
          <w:ilvl w:val="0"/>
          <w:numId w:val="2"/>
        </w:numPr>
        <w:autoSpaceDE w:val="0"/>
        <w:autoSpaceDN w:val="0"/>
        <w:adjustRightInd w:val="0"/>
        <w:spacing w:after="0" w:line="240" w:lineRule="auto"/>
        <w:ind w:left="0" w:firstLine="0"/>
        <w:jc w:val="both"/>
        <w:rPr>
          <w:rFonts w:ascii="Verdana" w:hAnsi="Verdana"/>
          <w:iCs/>
          <w:sz w:val="20"/>
          <w:szCs w:val="20"/>
        </w:rPr>
      </w:pPr>
      <w:r w:rsidRPr="00605B9C">
        <w:rPr>
          <w:rFonts w:ascii="Verdana" w:hAnsi="Verdana"/>
          <w:iCs/>
          <w:sz w:val="20"/>
          <w:szCs w:val="20"/>
        </w:rPr>
        <w:t>Con este propósito, en primer lugar, reiteraré mi postura sobre los problemas de interpretación y de fundamentación juríd</w:t>
      </w:r>
      <w:r w:rsidR="00686A35">
        <w:rPr>
          <w:rFonts w:ascii="Verdana" w:hAnsi="Verdana"/>
          <w:iCs/>
          <w:sz w:val="20"/>
          <w:szCs w:val="20"/>
        </w:rPr>
        <w:t>ica de la teoría de justiciabil</w:t>
      </w:r>
      <w:r w:rsidRPr="00605B9C">
        <w:rPr>
          <w:rFonts w:ascii="Verdana" w:hAnsi="Verdana"/>
          <w:iCs/>
          <w:sz w:val="20"/>
          <w:szCs w:val="20"/>
        </w:rPr>
        <w:t>i</w:t>
      </w:r>
      <w:r w:rsidR="00686A35">
        <w:rPr>
          <w:rFonts w:ascii="Verdana" w:hAnsi="Verdana"/>
          <w:iCs/>
          <w:sz w:val="20"/>
          <w:szCs w:val="20"/>
        </w:rPr>
        <w:t>d</w:t>
      </w:r>
      <w:r w:rsidRPr="00605B9C">
        <w:rPr>
          <w:rFonts w:ascii="Verdana" w:hAnsi="Verdana"/>
          <w:iCs/>
          <w:sz w:val="20"/>
          <w:szCs w:val="20"/>
        </w:rPr>
        <w:t>ad del artículo 26 de la Convención Americana</w:t>
      </w:r>
      <w:r w:rsidR="000B38BD" w:rsidRPr="00605B9C">
        <w:rPr>
          <w:rFonts w:ascii="Verdana" w:hAnsi="Verdana"/>
          <w:iCs/>
          <w:sz w:val="20"/>
          <w:szCs w:val="20"/>
        </w:rPr>
        <w:t>,</w:t>
      </w:r>
      <w:r w:rsidRPr="00605B9C">
        <w:rPr>
          <w:rFonts w:ascii="Verdana" w:hAnsi="Verdana"/>
          <w:iCs/>
          <w:sz w:val="20"/>
          <w:szCs w:val="20"/>
        </w:rPr>
        <w:t xml:space="preserve"> y la práctica que ha asumido la Corte de abordar las alegadas violaciones en un mismo punto resolutivo. En segundo lugar, presentaré algunas consideraciones en relación con la naturaleza del derecho a la salud y sus efectos en el presente caso, particularmente en relación</w:t>
      </w:r>
      <w:r w:rsidR="00BE4143" w:rsidRPr="00605B9C">
        <w:rPr>
          <w:rFonts w:ascii="Verdana" w:hAnsi="Verdana"/>
          <w:iCs/>
          <w:sz w:val="20"/>
          <w:szCs w:val="20"/>
        </w:rPr>
        <w:t xml:space="preserve"> </w:t>
      </w:r>
      <w:r w:rsidR="00BB0894" w:rsidRPr="00605B9C">
        <w:rPr>
          <w:rFonts w:ascii="Verdana" w:hAnsi="Verdana"/>
          <w:iCs/>
          <w:sz w:val="20"/>
          <w:szCs w:val="20"/>
        </w:rPr>
        <w:t>con e</w:t>
      </w:r>
      <w:r w:rsidR="00BE4143" w:rsidRPr="00605B9C">
        <w:rPr>
          <w:rFonts w:ascii="Verdana" w:hAnsi="Verdana"/>
          <w:iCs/>
          <w:sz w:val="20"/>
          <w:szCs w:val="20"/>
        </w:rPr>
        <w:t>l principio de complementariedad</w:t>
      </w:r>
      <w:r w:rsidRPr="00605B9C">
        <w:rPr>
          <w:rFonts w:ascii="Verdana" w:hAnsi="Verdana"/>
          <w:iCs/>
          <w:sz w:val="20"/>
          <w:szCs w:val="20"/>
        </w:rPr>
        <w:t xml:space="preserve">. </w:t>
      </w:r>
    </w:p>
    <w:p w14:paraId="7EE086B6" w14:textId="77777777" w:rsidR="00985B9A" w:rsidRPr="00605B9C" w:rsidRDefault="00985B9A" w:rsidP="00585559">
      <w:pPr>
        <w:pStyle w:val="Prrafodelista"/>
        <w:autoSpaceDE w:val="0"/>
        <w:autoSpaceDN w:val="0"/>
        <w:adjustRightInd w:val="0"/>
        <w:spacing w:after="0" w:line="240" w:lineRule="auto"/>
        <w:ind w:left="0"/>
        <w:jc w:val="both"/>
        <w:rPr>
          <w:rFonts w:ascii="Verdana" w:hAnsi="Verdana"/>
          <w:sz w:val="20"/>
          <w:szCs w:val="20"/>
        </w:rPr>
      </w:pPr>
    </w:p>
    <w:p w14:paraId="447FFB0E" w14:textId="77777777" w:rsidR="00DA53BC" w:rsidRPr="00605B9C" w:rsidRDefault="00DA53BC" w:rsidP="00585559">
      <w:pPr>
        <w:pStyle w:val="Prrafodelista"/>
        <w:autoSpaceDE w:val="0"/>
        <w:autoSpaceDN w:val="0"/>
        <w:adjustRightInd w:val="0"/>
        <w:spacing w:after="0" w:line="240" w:lineRule="auto"/>
        <w:ind w:left="0"/>
        <w:jc w:val="both"/>
        <w:rPr>
          <w:rFonts w:ascii="Verdana" w:hAnsi="Verdana"/>
          <w:sz w:val="20"/>
          <w:szCs w:val="20"/>
          <w:lang w:val="es-CR"/>
        </w:rPr>
      </w:pPr>
    </w:p>
    <w:p w14:paraId="086F2F13" w14:textId="533B64C4" w:rsidR="00DE3B1C" w:rsidRPr="00605B9C" w:rsidRDefault="00764050" w:rsidP="00585559">
      <w:pPr>
        <w:pStyle w:val="Prrafodelista"/>
        <w:widowControl w:val="0"/>
        <w:numPr>
          <w:ilvl w:val="0"/>
          <w:numId w:val="1"/>
        </w:numPr>
        <w:autoSpaceDE w:val="0"/>
        <w:autoSpaceDN w:val="0"/>
        <w:adjustRightInd w:val="0"/>
        <w:spacing w:after="0" w:line="240" w:lineRule="auto"/>
        <w:ind w:left="1440" w:right="22"/>
        <w:jc w:val="both"/>
        <w:outlineLvl w:val="0"/>
        <w:rPr>
          <w:rFonts w:ascii="Verdana" w:hAnsi="Verdana" w:cs="Arial"/>
          <w:b/>
          <w:sz w:val="20"/>
          <w:szCs w:val="20"/>
        </w:rPr>
      </w:pPr>
      <w:r w:rsidRPr="00605B9C">
        <w:rPr>
          <w:rFonts w:ascii="Verdana" w:hAnsi="Verdana" w:cs="Arial"/>
          <w:b/>
          <w:sz w:val="20"/>
          <w:szCs w:val="20"/>
        </w:rPr>
        <w:t xml:space="preserve">LA JUSTICIABILIDAD DE LOS DERECHOS ECONÓMICOS, SOCIALES, CULTURALES Y AMBIENTALES Y </w:t>
      </w:r>
      <w:r w:rsidR="005A118A" w:rsidRPr="00605B9C">
        <w:rPr>
          <w:rFonts w:ascii="Verdana" w:hAnsi="Verdana" w:cs="Arial"/>
          <w:b/>
          <w:sz w:val="20"/>
          <w:szCs w:val="20"/>
        </w:rPr>
        <w:t>L</w:t>
      </w:r>
      <w:r w:rsidRPr="00605B9C">
        <w:rPr>
          <w:rFonts w:ascii="Verdana" w:hAnsi="Verdana" w:cs="Arial"/>
          <w:b/>
          <w:sz w:val="20"/>
          <w:szCs w:val="20"/>
        </w:rPr>
        <w:t xml:space="preserve">A PRÁCTICA DE ABORDAR LAS ALEGADAS VIOLACIONES EN UN MISMO PUNTO RESOLUTIVO  </w:t>
      </w:r>
    </w:p>
    <w:p w14:paraId="2C6D9138" w14:textId="77777777" w:rsidR="00DE3B1C" w:rsidRPr="00605B9C" w:rsidRDefault="00DE3B1C" w:rsidP="00585559">
      <w:pPr>
        <w:pStyle w:val="Prrafodelista"/>
        <w:spacing w:after="0" w:line="240" w:lineRule="auto"/>
        <w:jc w:val="both"/>
        <w:rPr>
          <w:rFonts w:ascii="Verdana" w:hAnsi="Verdana"/>
          <w:b/>
          <w:bCs/>
          <w:sz w:val="20"/>
          <w:szCs w:val="20"/>
          <w:lang w:val="es-CR"/>
        </w:rPr>
      </w:pPr>
    </w:p>
    <w:p w14:paraId="383A3541" w14:textId="76B3CF53" w:rsidR="002F7D60" w:rsidRPr="00585559" w:rsidRDefault="002F7D60" w:rsidP="00585559">
      <w:pPr>
        <w:pStyle w:val="Prrafodelista"/>
        <w:numPr>
          <w:ilvl w:val="0"/>
          <w:numId w:val="2"/>
        </w:numPr>
        <w:autoSpaceDE w:val="0"/>
        <w:autoSpaceDN w:val="0"/>
        <w:adjustRightInd w:val="0"/>
        <w:spacing w:after="0" w:line="240" w:lineRule="auto"/>
        <w:ind w:left="0" w:firstLine="0"/>
        <w:jc w:val="both"/>
        <w:rPr>
          <w:rFonts w:ascii="Verdana" w:hAnsi="Verdana"/>
          <w:bCs/>
          <w:sz w:val="20"/>
          <w:szCs w:val="20"/>
        </w:rPr>
      </w:pPr>
      <w:r w:rsidRPr="00605B9C">
        <w:rPr>
          <w:rFonts w:ascii="Verdana" w:hAnsi="Verdana"/>
          <w:sz w:val="20"/>
          <w:szCs w:val="20"/>
        </w:rPr>
        <w:t xml:space="preserve">En opiniones separadas anteriores he expresado detalladamente múltiples argumentos que evidencian las contradicciones e inconsistencias lógicas y jurídicas de las que adolece la teoría de la justiciabilidad directa y autónoma de los derechos económicos, sociales, culturales y ambientales (en adelante “DESCA”) a través del artículo 26 de la Convención Americana. Efectivamente, esta posición asumida por la mayoría de los jueces del Tribunal desde el caso </w:t>
      </w:r>
      <w:r w:rsidRPr="00605B9C">
        <w:rPr>
          <w:rFonts w:ascii="Verdana" w:hAnsi="Verdana"/>
          <w:i/>
          <w:sz w:val="20"/>
          <w:szCs w:val="20"/>
        </w:rPr>
        <w:t xml:space="preserve">Lagos del Campo Vs. Perú </w:t>
      </w:r>
      <w:r w:rsidRPr="00605B9C">
        <w:rPr>
          <w:rFonts w:ascii="Verdana" w:hAnsi="Verdana"/>
          <w:iCs/>
          <w:sz w:val="20"/>
          <w:szCs w:val="20"/>
        </w:rPr>
        <w:t>desconoce el tenor literal de la Convención Americana como tratado que otorga competencia a la Corte; ignora las reglas de interpretación de la Convención de Viena sobre el Derechos de los Tratados</w:t>
      </w:r>
      <w:r w:rsidRPr="00605B9C">
        <w:rPr>
          <w:rStyle w:val="Refdenotaalpie"/>
          <w:rFonts w:ascii="Verdana" w:hAnsi="Verdana"/>
          <w:iCs/>
          <w:sz w:val="20"/>
          <w:szCs w:val="20"/>
        </w:rPr>
        <w:footnoteReference w:id="13"/>
      </w:r>
      <w:r w:rsidRPr="00605B9C">
        <w:rPr>
          <w:rFonts w:ascii="Verdana" w:hAnsi="Verdana"/>
          <w:iCs/>
          <w:sz w:val="20"/>
          <w:szCs w:val="20"/>
        </w:rPr>
        <w:t>; modifica la naturaleza de la obligación de progresividad consagrada con absoluta claridad en el artículo 26</w:t>
      </w:r>
      <w:r w:rsidRPr="00605B9C">
        <w:rPr>
          <w:rStyle w:val="Refdenotaalpie"/>
          <w:rFonts w:ascii="Verdana" w:hAnsi="Verdana"/>
          <w:iCs/>
          <w:sz w:val="20"/>
          <w:szCs w:val="20"/>
        </w:rPr>
        <w:footnoteReference w:id="14"/>
      </w:r>
      <w:r w:rsidRPr="00605B9C">
        <w:rPr>
          <w:rFonts w:ascii="Verdana" w:hAnsi="Verdana"/>
          <w:iCs/>
          <w:sz w:val="20"/>
          <w:szCs w:val="20"/>
        </w:rPr>
        <w:t>; ignora la voluntad de los Estados plasmada en el artículo 19 del Protocolo de San Salvador</w:t>
      </w:r>
      <w:r w:rsidRPr="00605B9C">
        <w:rPr>
          <w:rStyle w:val="Refdenotaalpie"/>
          <w:rFonts w:ascii="Verdana" w:hAnsi="Verdana"/>
          <w:iCs/>
          <w:sz w:val="20"/>
          <w:szCs w:val="20"/>
        </w:rPr>
        <w:footnoteReference w:id="15"/>
      </w:r>
      <w:r w:rsidRPr="00605B9C">
        <w:rPr>
          <w:rFonts w:ascii="Verdana" w:hAnsi="Verdana"/>
          <w:iCs/>
          <w:sz w:val="20"/>
          <w:szCs w:val="20"/>
        </w:rPr>
        <w:t xml:space="preserve"> y mina la legitimidad del Tribunal en el ámbito regional</w:t>
      </w:r>
      <w:r w:rsidRPr="00605B9C">
        <w:rPr>
          <w:rStyle w:val="Refdenotaalpie"/>
          <w:rFonts w:ascii="Verdana" w:hAnsi="Verdana"/>
          <w:iCs/>
          <w:sz w:val="20"/>
          <w:szCs w:val="20"/>
        </w:rPr>
        <w:footnoteReference w:id="16"/>
      </w:r>
      <w:r w:rsidRPr="00605B9C">
        <w:rPr>
          <w:rFonts w:ascii="Verdana" w:hAnsi="Verdana"/>
          <w:iCs/>
          <w:sz w:val="20"/>
          <w:szCs w:val="20"/>
        </w:rPr>
        <w:t>; solo po</w:t>
      </w:r>
      <w:r w:rsidR="00585559">
        <w:rPr>
          <w:rFonts w:ascii="Verdana" w:hAnsi="Verdana"/>
          <w:iCs/>
          <w:sz w:val="20"/>
          <w:szCs w:val="20"/>
        </w:rPr>
        <w:t>r mencionar algunos argumentos.</w:t>
      </w:r>
    </w:p>
    <w:p w14:paraId="6B259F62" w14:textId="77777777" w:rsidR="00585559" w:rsidRPr="00605B9C" w:rsidRDefault="00585559" w:rsidP="00585559">
      <w:pPr>
        <w:pStyle w:val="Prrafodelista"/>
        <w:autoSpaceDE w:val="0"/>
        <w:autoSpaceDN w:val="0"/>
        <w:adjustRightInd w:val="0"/>
        <w:spacing w:after="0" w:line="240" w:lineRule="auto"/>
        <w:ind w:left="0"/>
        <w:jc w:val="both"/>
        <w:rPr>
          <w:rFonts w:ascii="Verdana" w:hAnsi="Verdana"/>
          <w:bCs/>
          <w:sz w:val="20"/>
          <w:szCs w:val="20"/>
        </w:rPr>
      </w:pPr>
    </w:p>
    <w:p w14:paraId="2C19CAE4" w14:textId="77777777" w:rsidR="002F7D60" w:rsidRPr="00605B9C" w:rsidRDefault="002F7D60" w:rsidP="00585559">
      <w:pPr>
        <w:pStyle w:val="Prrafodelista"/>
        <w:numPr>
          <w:ilvl w:val="0"/>
          <w:numId w:val="2"/>
        </w:numPr>
        <w:autoSpaceDE w:val="0"/>
        <w:autoSpaceDN w:val="0"/>
        <w:adjustRightInd w:val="0"/>
        <w:spacing w:after="0" w:line="240" w:lineRule="auto"/>
        <w:ind w:left="0" w:firstLine="0"/>
        <w:jc w:val="both"/>
        <w:rPr>
          <w:rFonts w:ascii="Verdana" w:hAnsi="Verdana"/>
          <w:sz w:val="20"/>
          <w:szCs w:val="20"/>
        </w:rPr>
      </w:pPr>
      <w:r w:rsidRPr="00605B9C">
        <w:rPr>
          <w:rFonts w:ascii="Verdana" w:hAnsi="Verdana"/>
          <w:sz w:val="20"/>
          <w:szCs w:val="20"/>
        </w:rPr>
        <w:t xml:space="preserve">En esta oportunidad no pretendo ahondar en el sentido antes señalado, sino centrar la atención en una práctica, relacionada con esta postura jurídica, que se evidencia al declarar las violaciones en los puntos resolutivos, así como al abordar las alegaciones en un mismo capítulo. </w:t>
      </w:r>
    </w:p>
    <w:p w14:paraId="6670612A" w14:textId="12A40353" w:rsidR="002F7D60" w:rsidRPr="00605B9C" w:rsidRDefault="002F7D60" w:rsidP="00585559">
      <w:pPr>
        <w:pStyle w:val="Prrafodelista"/>
        <w:numPr>
          <w:ilvl w:val="0"/>
          <w:numId w:val="2"/>
        </w:numPr>
        <w:autoSpaceDE w:val="0"/>
        <w:autoSpaceDN w:val="0"/>
        <w:adjustRightInd w:val="0"/>
        <w:spacing w:after="0" w:line="240" w:lineRule="auto"/>
        <w:ind w:left="0" w:firstLine="0"/>
        <w:jc w:val="both"/>
        <w:outlineLvl w:val="0"/>
        <w:rPr>
          <w:rFonts w:ascii="Verdana" w:hAnsi="Verdana" w:cs="Arial"/>
          <w:b/>
          <w:sz w:val="20"/>
          <w:szCs w:val="20"/>
        </w:rPr>
      </w:pPr>
      <w:r w:rsidRPr="00605B9C">
        <w:rPr>
          <w:rFonts w:ascii="Verdana" w:hAnsi="Verdana"/>
          <w:sz w:val="20"/>
          <w:szCs w:val="20"/>
        </w:rPr>
        <w:lastRenderedPageBreak/>
        <w:t xml:space="preserve">Como lo señalé en los casos </w:t>
      </w:r>
      <w:r w:rsidRPr="00605B9C">
        <w:rPr>
          <w:rFonts w:ascii="Verdana" w:hAnsi="Verdana"/>
          <w:i/>
          <w:iCs/>
          <w:sz w:val="20"/>
          <w:szCs w:val="20"/>
        </w:rPr>
        <w:t>ANCEJUB-SUNAT vs. Perú</w:t>
      </w:r>
      <w:r w:rsidRPr="00605B9C">
        <w:rPr>
          <w:rStyle w:val="Refdenotaalpie"/>
          <w:rFonts w:ascii="Verdana" w:hAnsi="Verdana"/>
          <w:sz w:val="20"/>
          <w:szCs w:val="20"/>
        </w:rPr>
        <w:footnoteReference w:id="17"/>
      </w:r>
      <w:r w:rsidRPr="00605B9C">
        <w:rPr>
          <w:rFonts w:ascii="Verdana" w:hAnsi="Verdana"/>
          <w:sz w:val="20"/>
          <w:szCs w:val="20"/>
        </w:rPr>
        <w:t xml:space="preserve">, </w:t>
      </w:r>
      <w:r w:rsidRPr="00605B9C">
        <w:rPr>
          <w:rFonts w:ascii="Verdana" w:hAnsi="Verdana"/>
          <w:i/>
          <w:iCs/>
          <w:sz w:val="20"/>
          <w:szCs w:val="20"/>
        </w:rPr>
        <w:t>Hernández vs. Argentina</w:t>
      </w:r>
      <w:r w:rsidRPr="00605B9C">
        <w:rPr>
          <w:rStyle w:val="Refdenotaalpie"/>
          <w:rFonts w:ascii="Verdana" w:hAnsi="Verdana"/>
          <w:sz w:val="20"/>
          <w:szCs w:val="20"/>
        </w:rPr>
        <w:footnoteReference w:id="18"/>
      </w:r>
      <w:r w:rsidR="00B44BEC" w:rsidRPr="00605B9C">
        <w:rPr>
          <w:rFonts w:ascii="Verdana" w:hAnsi="Verdana"/>
          <w:sz w:val="20"/>
          <w:szCs w:val="20"/>
        </w:rPr>
        <w:t xml:space="preserve">, </w:t>
      </w:r>
      <w:r w:rsidRPr="00605B9C">
        <w:rPr>
          <w:rFonts w:ascii="Verdana" w:hAnsi="Verdana"/>
          <w:i/>
          <w:iCs/>
          <w:sz w:val="20"/>
          <w:szCs w:val="20"/>
        </w:rPr>
        <w:t>Casa Nina vs. Perú</w:t>
      </w:r>
      <w:r w:rsidRPr="00605B9C">
        <w:rPr>
          <w:rStyle w:val="Refdenotaalpie"/>
          <w:rFonts w:ascii="Verdana" w:hAnsi="Verdana"/>
          <w:i/>
          <w:iCs/>
          <w:sz w:val="20"/>
          <w:szCs w:val="20"/>
        </w:rPr>
        <w:footnoteReference w:id="19"/>
      </w:r>
      <w:r w:rsidR="00B44BEC" w:rsidRPr="00605B9C">
        <w:rPr>
          <w:rFonts w:ascii="Verdana" w:hAnsi="Verdana"/>
          <w:i/>
          <w:iCs/>
          <w:sz w:val="20"/>
          <w:szCs w:val="20"/>
        </w:rPr>
        <w:t xml:space="preserve"> y </w:t>
      </w:r>
      <w:r w:rsidR="00B44BEC" w:rsidRPr="00605B9C">
        <w:rPr>
          <w:rFonts w:ascii="Verdana" w:hAnsi="Verdana"/>
          <w:i/>
          <w:sz w:val="20"/>
          <w:szCs w:val="20"/>
        </w:rPr>
        <w:t>Guachalá Chimbo vs. Ecuador</w:t>
      </w:r>
      <w:r w:rsidR="00B44BEC" w:rsidRPr="00605B9C">
        <w:rPr>
          <w:rStyle w:val="Refdenotaalpie"/>
          <w:rFonts w:ascii="Verdana" w:hAnsi="Verdana"/>
          <w:i/>
          <w:sz w:val="20"/>
          <w:szCs w:val="20"/>
        </w:rPr>
        <w:footnoteReference w:id="20"/>
      </w:r>
      <w:r w:rsidRPr="00605B9C">
        <w:rPr>
          <w:rFonts w:ascii="Verdana" w:hAnsi="Verdana"/>
          <w:i/>
          <w:iCs/>
          <w:sz w:val="20"/>
          <w:szCs w:val="20"/>
        </w:rPr>
        <w:t>,</w:t>
      </w:r>
      <w:r w:rsidRPr="00605B9C">
        <w:rPr>
          <w:rFonts w:ascii="Verdana" w:hAnsi="Verdana"/>
          <w:sz w:val="20"/>
          <w:szCs w:val="20"/>
        </w:rPr>
        <w:t xml:space="preserve"> el Tribunal </w:t>
      </w:r>
      <w:r w:rsidR="00BB685B" w:rsidRPr="00605B9C">
        <w:rPr>
          <w:rFonts w:ascii="Verdana" w:hAnsi="Verdana"/>
          <w:sz w:val="20"/>
          <w:szCs w:val="20"/>
        </w:rPr>
        <w:t xml:space="preserve">ha asumido una práctica para plasmar sus conclusiones </w:t>
      </w:r>
      <w:r w:rsidRPr="00605B9C">
        <w:rPr>
          <w:rFonts w:ascii="Verdana" w:hAnsi="Verdana"/>
          <w:sz w:val="20"/>
          <w:szCs w:val="20"/>
        </w:rPr>
        <w:t>en la parte resolutiva de las sentencias</w:t>
      </w:r>
      <w:r w:rsidR="00ED5729" w:rsidRPr="00605B9C">
        <w:rPr>
          <w:rFonts w:ascii="Verdana" w:hAnsi="Verdana"/>
          <w:sz w:val="20"/>
          <w:szCs w:val="20"/>
        </w:rPr>
        <w:t>, que invisibiliza</w:t>
      </w:r>
      <w:r w:rsidRPr="00605B9C">
        <w:rPr>
          <w:rFonts w:ascii="Verdana" w:hAnsi="Verdana"/>
          <w:sz w:val="20"/>
          <w:szCs w:val="20"/>
        </w:rPr>
        <w:t xml:space="preserve"> las discrepancias internas sobre el alcance del artículo 26 </w:t>
      </w:r>
      <w:r w:rsidR="00AE0B85" w:rsidRPr="00605B9C">
        <w:rPr>
          <w:rFonts w:ascii="Verdana" w:hAnsi="Verdana"/>
          <w:sz w:val="20"/>
          <w:szCs w:val="20"/>
        </w:rPr>
        <w:t>C</w:t>
      </w:r>
      <w:r w:rsidRPr="00605B9C">
        <w:rPr>
          <w:rFonts w:ascii="Verdana" w:hAnsi="Verdana"/>
          <w:sz w:val="20"/>
          <w:szCs w:val="20"/>
        </w:rPr>
        <w:t xml:space="preserve">onvencional. </w:t>
      </w:r>
      <w:r w:rsidRPr="00605B9C">
        <w:rPr>
          <w:rFonts w:ascii="Verdana" w:hAnsi="Verdana"/>
          <w:bCs/>
          <w:sz w:val="20"/>
          <w:szCs w:val="20"/>
        </w:rPr>
        <w:t>Esta modalidad</w:t>
      </w:r>
      <w:r w:rsidR="00585559">
        <w:rPr>
          <w:rFonts w:ascii="Verdana" w:hAnsi="Verdana"/>
          <w:bCs/>
          <w:sz w:val="20"/>
          <w:szCs w:val="20"/>
        </w:rPr>
        <w:t>,</w:t>
      </w:r>
      <w:r w:rsidRPr="00605B9C">
        <w:rPr>
          <w:rFonts w:ascii="Verdana" w:hAnsi="Verdana"/>
          <w:bCs/>
          <w:sz w:val="20"/>
          <w:szCs w:val="20"/>
        </w:rPr>
        <w:t xml:space="preserve"> que agrupa en un solo punto resolutivo la declaración de todas las violaciones que fundan la responsabilidad internacional del Estado, </w:t>
      </w:r>
      <w:r w:rsidR="00F05866" w:rsidRPr="00605B9C">
        <w:rPr>
          <w:rFonts w:ascii="Verdana" w:hAnsi="Verdana"/>
          <w:bCs/>
          <w:sz w:val="20"/>
          <w:szCs w:val="20"/>
        </w:rPr>
        <w:t xml:space="preserve">me impide expresar a través del voto mi posición en </w:t>
      </w:r>
      <w:r w:rsidR="00CF1787" w:rsidRPr="00605B9C">
        <w:rPr>
          <w:rFonts w:ascii="Verdana" w:hAnsi="Verdana"/>
          <w:bCs/>
          <w:sz w:val="20"/>
          <w:szCs w:val="20"/>
        </w:rPr>
        <w:t xml:space="preserve">contra de la justiciabilidad de los DESCA. </w:t>
      </w:r>
      <w:r w:rsidRPr="00605B9C">
        <w:rPr>
          <w:rFonts w:ascii="Verdana" w:hAnsi="Verdana"/>
          <w:bCs/>
          <w:sz w:val="20"/>
          <w:szCs w:val="20"/>
        </w:rPr>
        <w:t>Este razonamiento es el que motiva mi opinión separada pues, aunque coincido con que se haya declarado la violación de los artículos</w:t>
      </w:r>
      <w:r w:rsidR="003F1CA8" w:rsidRPr="00605B9C">
        <w:t xml:space="preserve"> </w:t>
      </w:r>
      <w:r w:rsidR="003F1CA8" w:rsidRPr="00605B9C">
        <w:rPr>
          <w:rFonts w:ascii="Verdana" w:hAnsi="Verdana"/>
          <w:bCs/>
          <w:sz w:val="20"/>
          <w:szCs w:val="20"/>
        </w:rPr>
        <w:t>4.1, 5.1</w:t>
      </w:r>
      <w:r w:rsidR="00B57632" w:rsidRPr="00605B9C">
        <w:rPr>
          <w:rFonts w:ascii="Verdana" w:hAnsi="Verdana"/>
          <w:bCs/>
          <w:sz w:val="20"/>
          <w:szCs w:val="20"/>
        </w:rPr>
        <w:t xml:space="preserve"> y</w:t>
      </w:r>
      <w:r w:rsidR="003F1CA8" w:rsidRPr="00605B9C">
        <w:rPr>
          <w:rFonts w:ascii="Verdana" w:hAnsi="Verdana"/>
          <w:bCs/>
          <w:sz w:val="20"/>
          <w:szCs w:val="20"/>
        </w:rPr>
        <w:t xml:space="preserve"> 19 en relación con los artículo</w:t>
      </w:r>
      <w:r w:rsidR="00BD6D91" w:rsidRPr="00605B9C">
        <w:rPr>
          <w:rFonts w:ascii="Verdana" w:hAnsi="Verdana"/>
          <w:bCs/>
          <w:sz w:val="20"/>
          <w:szCs w:val="20"/>
        </w:rPr>
        <w:t>s</w:t>
      </w:r>
      <w:r w:rsidR="003F1CA8" w:rsidRPr="00605B9C">
        <w:rPr>
          <w:rFonts w:ascii="Verdana" w:hAnsi="Verdana"/>
          <w:bCs/>
          <w:sz w:val="20"/>
          <w:szCs w:val="20"/>
        </w:rPr>
        <w:t xml:space="preserve"> 1.1 y 2</w:t>
      </w:r>
      <w:r w:rsidR="00BD6D91" w:rsidRPr="00605B9C">
        <w:rPr>
          <w:rFonts w:ascii="Verdana" w:hAnsi="Verdana"/>
          <w:bCs/>
          <w:sz w:val="20"/>
          <w:szCs w:val="20"/>
        </w:rPr>
        <w:t xml:space="preserve"> de la Convenci</w:t>
      </w:r>
      <w:r w:rsidR="00B57632" w:rsidRPr="00605B9C">
        <w:rPr>
          <w:rFonts w:ascii="Verdana" w:hAnsi="Verdana"/>
          <w:bCs/>
          <w:sz w:val="20"/>
          <w:szCs w:val="20"/>
        </w:rPr>
        <w:t>ó</w:t>
      </w:r>
      <w:r w:rsidR="00BD6D91" w:rsidRPr="00605B9C">
        <w:rPr>
          <w:rFonts w:ascii="Verdana" w:hAnsi="Verdana"/>
          <w:bCs/>
          <w:sz w:val="20"/>
          <w:szCs w:val="20"/>
        </w:rPr>
        <w:t>n, y</w:t>
      </w:r>
      <w:r w:rsidRPr="00605B9C">
        <w:rPr>
          <w:rFonts w:ascii="Verdana" w:hAnsi="Verdana"/>
          <w:bCs/>
          <w:sz w:val="20"/>
          <w:szCs w:val="20"/>
        </w:rPr>
        <w:t xml:space="preserve"> en consecuencia expresé mi voto a favor del punto resolutivo </w:t>
      </w:r>
      <w:r w:rsidR="00BD6D91" w:rsidRPr="00605B9C">
        <w:rPr>
          <w:rFonts w:ascii="Verdana" w:hAnsi="Verdana"/>
          <w:bCs/>
          <w:sz w:val="20"/>
          <w:szCs w:val="20"/>
        </w:rPr>
        <w:t>4</w:t>
      </w:r>
      <w:r w:rsidR="002E4A43" w:rsidRPr="00605B9C">
        <w:rPr>
          <w:rFonts w:ascii="Verdana" w:hAnsi="Verdana"/>
          <w:bCs/>
          <w:sz w:val="20"/>
          <w:szCs w:val="20"/>
        </w:rPr>
        <w:t>, debo reiterar mi posición en contra de la justiciabilidad de</w:t>
      </w:r>
      <w:r w:rsidR="009C3AC7" w:rsidRPr="00605B9C">
        <w:rPr>
          <w:rFonts w:ascii="Verdana" w:hAnsi="Verdana"/>
          <w:bCs/>
          <w:sz w:val="20"/>
          <w:szCs w:val="20"/>
        </w:rPr>
        <w:t>l derecho a la salud</w:t>
      </w:r>
      <w:r w:rsidR="002E4A43" w:rsidRPr="00605B9C">
        <w:rPr>
          <w:rFonts w:ascii="Verdana" w:hAnsi="Verdana"/>
          <w:bCs/>
          <w:sz w:val="20"/>
          <w:szCs w:val="20"/>
        </w:rPr>
        <w:t xml:space="preserve"> a través del artículo 26 de la Convención Americana, en particular, tomando en cuenta los argumentos que expongo en el punto siguiente</w:t>
      </w:r>
      <w:r w:rsidRPr="00605B9C">
        <w:rPr>
          <w:rFonts w:ascii="Verdana" w:hAnsi="Verdana"/>
          <w:bCs/>
          <w:sz w:val="20"/>
          <w:szCs w:val="20"/>
        </w:rPr>
        <w:t xml:space="preserve">. </w:t>
      </w:r>
    </w:p>
    <w:p w14:paraId="25B8896A" w14:textId="6A713345" w:rsidR="003D2AA3" w:rsidRPr="00605B9C" w:rsidRDefault="003D2AA3" w:rsidP="00585559">
      <w:pPr>
        <w:pStyle w:val="Prrafodelista"/>
        <w:autoSpaceDE w:val="0"/>
        <w:autoSpaceDN w:val="0"/>
        <w:adjustRightInd w:val="0"/>
        <w:spacing w:after="0" w:line="240" w:lineRule="auto"/>
        <w:ind w:left="0"/>
        <w:jc w:val="both"/>
        <w:outlineLvl w:val="0"/>
        <w:rPr>
          <w:rFonts w:ascii="Verdana" w:hAnsi="Verdana" w:cs="Arial"/>
          <w:b/>
          <w:sz w:val="20"/>
          <w:szCs w:val="20"/>
        </w:rPr>
      </w:pPr>
    </w:p>
    <w:p w14:paraId="160B2A8A" w14:textId="16DEF25D" w:rsidR="00FB4DF7" w:rsidRDefault="00FB4DF7" w:rsidP="00585559">
      <w:pPr>
        <w:pStyle w:val="Prrafodelista"/>
        <w:widowControl w:val="0"/>
        <w:numPr>
          <w:ilvl w:val="0"/>
          <w:numId w:val="1"/>
        </w:numPr>
        <w:autoSpaceDE w:val="0"/>
        <w:autoSpaceDN w:val="0"/>
        <w:adjustRightInd w:val="0"/>
        <w:spacing w:after="0" w:line="240" w:lineRule="auto"/>
        <w:ind w:left="1440" w:right="22"/>
        <w:jc w:val="both"/>
        <w:outlineLvl w:val="0"/>
        <w:rPr>
          <w:rFonts w:ascii="Verdana" w:hAnsi="Verdana" w:cs="Arial"/>
          <w:b/>
          <w:sz w:val="20"/>
          <w:szCs w:val="20"/>
        </w:rPr>
      </w:pPr>
      <w:r>
        <w:rPr>
          <w:rFonts w:ascii="Verdana" w:hAnsi="Verdana" w:cs="Arial"/>
          <w:b/>
          <w:sz w:val="20"/>
          <w:szCs w:val="20"/>
        </w:rPr>
        <w:t xml:space="preserve">EL DERECHO A LA SALUD </w:t>
      </w:r>
    </w:p>
    <w:p w14:paraId="02048699" w14:textId="77777777" w:rsidR="00FB4DF7" w:rsidRDefault="00FB4DF7" w:rsidP="00585559">
      <w:pPr>
        <w:pStyle w:val="Prrafodelista"/>
        <w:widowControl w:val="0"/>
        <w:autoSpaceDE w:val="0"/>
        <w:autoSpaceDN w:val="0"/>
        <w:adjustRightInd w:val="0"/>
        <w:spacing w:after="0" w:line="240" w:lineRule="auto"/>
        <w:ind w:left="1440" w:right="22"/>
        <w:jc w:val="both"/>
        <w:outlineLvl w:val="0"/>
        <w:rPr>
          <w:rFonts w:ascii="Verdana" w:hAnsi="Verdana" w:cs="Arial"/>
          <w:b/>
          <w:sz w:val="20"/>
          <w:szCs w:val="20"/>
        </w:rPr>
      </w:pPr>
    </w:p>
    <w:p w14:paraId="53488179" w14:textId="3B52F7EB" w:rsidR="00FB4DF7" w:rsidRDefault="00FB4DF7" w:rsidP="00585559">
      <w:pPr>
        <w:pStyle w:val="Prrafodelista"/>
        <w:numPr>
          <w:ilvl w:val="0"/>
          <w:numId w:val="2"/>
        </w:numPr>
        <w:autoSpaceDE w:val="0"/>
        <w:autoSpaceDN w:val="0"/>
        <w:adjustRightInd w:val="0"/>
        <w:spacing w:after="0" w:line="240" w:lineRule="auto"/>
        <w:ind w:left="0" w:firstLine="0"/>
        <w:jc w:val="both"/>
        <w:outlineLvl w:val="0"/>
        <w:rPr>
          <w:rFonts w:ascii="Verdana" w:hAnsi="Verdana" w:cs="Arial"/>
          <w:bCs/>
          <w:sz w:val="20"/>
          <w:szCs w:val="20"/>
        </w:rPr>
      </w:pPr>
      <w:r w:rsidRPr="00605B9C">
        <w:rPr>
          <w:rFonts w:ascii="Verdana" w:hAnsi="Verdana"/>
          <w:sz w:val="20"/>
          <w:szCs w:val="20"/>
        </w:rPr>
        <w:t>La</w:t>
      </w:r>
      <w:r w:rsidRPr="00605B9C">
        <w:rPr>
          <w:rFonts w:ascii="Verdana" w:hAnsi="Verdana" w:cs="Arial"/>
          <w:bCs/>
          <w:sz w:val="20"/>
          <w:szCs w:val="20"/>
        </w:rPr>
        <w:t xml:space="preserve"> Corte recordó en la sentencia, siguiendo sus precedentes de los </w:t>
      </w:r>
      <w:r w:rsidRPr="00605B9C">
        <w:rPr>
          <w:rFonts w:ascii="Verdana" w:hAnsi="Verdana" w:cs="Arial"/>
          <w:bCs/>
          <w:i/>
          <w:iCs/>
          <w:sz w:val="20"/>
          <w:szCs w:val="20"/>
        </w:rPr>
        <w:t>casos Poblete Vilches vs. Chile</w:t>
      </w:r>
      <w:r w:rsidRPr="00605B9C">
        <w:rPr>
          <w:rFonts w:ascii="Verdana" w:hAnsi="Verdana" w:cs="Arial"/>
          <w:bCs/>
          <w:sz w:val="20"/>
          <w:szCs w:val="20"/>
          <w:vertAlign w:val="superscript"/>
        </w:rPr>
        <w:footnoteReference w:id="21"/>
      </w:r>
      <w:r w:rsidRPr="00605B9C">
        <w:rPr>
          <w:rFonts w:ascii="Verdana" w:hAnsi="Verdana" w:cs="Arial"/>
          <w:bCs/>
          <w:sz w:val="20"/>
          <w:szCs w:val="20"/>
        </w:rPr>
        <w:t xml:space="preserve">, </w:t>
      </w:r>
      <w:r w:rsidRPr="00605B9C">
        <w:rPr>
          <w:rFonts w:ascii="Verdana" w:hAnsi="Verdana" w:cs="Arial"/>
          <w:bCs/>
          <w:i/>
          <w:iCs/>
          <w:sz w:val="20"/>
          <w:szCs w:val="20"/>
        </w:rPr>
        <w:t>Cuscul Pivaral vs. Guatemala</w:t>
      </w:r>
      <w:r w:rsidRPr="00605B9C">
        <w:rPr>
          <w:rFonts w:ascii="Verdana" w:hAnsi="Verdana" w:cs="Arial"/>
          <w:bCs/>
          <w:sz w:val="20"/>
          <w:szCs w:val="20"/>
          <w:vertAlign w:val="superscript"/>
        </w:rPr>
        <w:footnoteReference w:id="22"/>
      </w:r>
      <w:r w:rsidRPr="00605B9C">
        <w:rPr>
          <w:rFonts w:ascii="Verdana" w:hAnsi="Verdana" w:cs="Arial"/>
          <w:bCs/>
          <w:sz w:val="20"/>
          <w:szCs w:val="20"/>
        </w:rPr>
        <w:t xml:space="preserve">, </w:t>
      </w:r>
      <w:r w:rsidRPr="00605B9C">
        <w:rPr>
          <w:rFonts w:ascii="Verdana" w:hAnsi="Verdana" w:cs="Arial"/>
          <w:bCs/>
          <w:i/>
          <w:iCs/>
          <w:sz w:val="20"/>
          <w:szCs w:val="20"/>
        </w:rPr>
        <w:t>Hernández vs. Argentina</w:t>
      </w:r>
      <w:r w:rsidRPr="00605B9C">
        <w:rPr>
          <w:rFonts w:ascii="Verdana" w:hAnsi="Verdana" w:cs="Arial"/>
          <w:bCs/>
          <w:sz w:val="20"/>
          <w:szCs w:val="20"/>
          <w:vertAlign w:val="superscript"/>
        </w:rPr>
        <w:footnoteReference w:id="23"/>
      </w:r>
      <w:r w:rsidRPr="00605B9C">
        <w:rPr>
          <w:rFonts w:ascii="Verdana" w:hAnsi="Verdana" w:cs="Arial"/>
          <w:bCs/>
          <w:i/>
          <w:iCs/>
          <w:sz w:val="20"/>
          <w:szCs w:val="20"/>
        </w:rPr>
        <w:t xml:space="preserve"> y Guachalá Chimbo vs. Ecuador</w:t>
      </w:r>
      <w:r w:rsidRPr="00605B9C">
        <w:rPr>
          <w:rStyle w:val="Refdenotaalpie"/>
          <w:rFonts w:ascii="Verdana" w:hAnsi="Verdana" w:cs="Arial"/>
          <w:bCs/>
          <w:i/>
          <w:iCs/>
          <w:sz w:val="20"/>
          <w:szCs w:val="20"/>
        </w:rPr>
        <w:footnoteReference w:id="24"/>
      </w:r>
      <w:r w:rsidRPr="00605B9C">
        <w:rPr>
          <w:rFonts w:ascii="Verdana" w:hAnsi="Verdana" w:cs="Arial"/>
          <w:bCs/>
          <w:sz w:val="20"/>
          <w:szCs w:val="20"/>
        </w:rPr>
        <w:t xml:space="preserve"> que </w:t>
      </w:r>
      <w:r w:rsidRPr="00605B9C">
        <w:rPr>
          <w:rFonts w:ascii="Verdana" w:hAnsi="Verdana" w:cs="Arial"/>
          <w:bCs/>
          <w:i/>
          <w:iCs/>
          <w:sz w:val="20"/>
          <w:szCs w:val="20"/>
        </w:rPr>
        <w:t>“[…]</w:t>
      </w:r>
      <w:r w:rsidRPr="00605B9C">
        <w:rPr>
          <w:rFonts w:ascii="Verdana" w:hAnsi="Verdana"/>
          <w:i/>
          <w:iCs/>
          <w:sz w:val="20"/>
          <w:szCs w:val="20"/>
        </w:rPr>
        <w:t xml:space="preserve"> la obligación general de protección a la salud se traduce en el deber estatal de asegurar el acceso de las personas a servicios esenciales de salud, garantizando una prestación médica de calidad y eficaz, así como de impulsar el mejoramiento de las condiciones de salud de la población. Este derecho abarca la</w:t>
      </w:r>
      <w:r w:rsidRPr="00605B9C">
        <w:rPr>
          <w:rFonts w:ascii="Verdana" w:hAnsi="Verdana" w:cs="Calibri"/>
          <w:i/>
          <w:iCs/>
        </w:rPr>
        <w:t xml:space="preserve"> </w:t>
      </w:r>
      <w:r w:rsidRPr="00605B9C">
        <w:rPr>
          <w:rFonts w:ascii="Verdana" w:hAnsi="Verdana"/>
          <w:i/>
          <w:iCs/>
          <w:sz w:val="20"/>
          <w:szCs w:val="20"/>
        </w:rPr>
        <w:t>atención de salud oportuna y apropiada conforme a los principios de disponibilidad, accesibilidad, aceptabilidad</w:t>
      </w:r>
      <w:r w:rsidRPr="00605B9C">
        <w:rPr>
          <w:rFonts w:ascii="Verdana" w:hAnsi="Verdana"/>
          <w:i/>
          <w:iCs/>
          <w:sz w:val="13"/>
          <w:szCs w:val="13"/>
        </w:rPr>
        <w:t xml:space="preserve"> </w:t>
      </w:r>
      <w:r w:rsidRPr="00605B9C">
        <w:rPr>
          <w:rFonts w:ascii="Verdana" w:hAnsi="Verdana"/>
          <w:i/>
          <w:iCs/>
          <w:sz w:val="20"/>
          <w:szCs w:val="20"/>
        </w:rPr>
        <w:t>y calidad, cuya aplicación dependerá de las condiciones prevalecientes en cada Estado</w:t>
      </w:r>
      <w:r w:rsidRPr="00605B9C">
        <w:rPr>
          <w:rFonts w:ascii="Verdana" w:hAnsi="Verdana" w:cs="Arial"/>
          <w:bCs/>
          <w:sz w:val="20"/>
          <w:szCs w:val="20"/>
        </w:rPr>
        <w:t>”</w:t>
      </w:r>
      <w:r w:rsidRPr="00605B9C">
        <w:rPr>
          <w:rStyle w:val="Refdenotaalpie"/>
          <w:rFonts w:ascii="Verdana" w:hAnsi="Verdana" w:cs="Arial"/>
          <w:bCs/>
          <w:sz w:val="20"/>
          <w:szCs w:val="20"/>
        </w:rPr>
        <w:footnoteReference w:id="25"/>
      </w:r>
      <w:r w:rsidRPr="00605B9C">
        <w:rPr>
          <w:rFonts w:ascii="Verdana" w:hAnsi="Verdana" w:cs="Arial"/>
          <w:bCs/>
          <w:sz w:val="20"/>
          <w:szCs w:val="20"/>
        </w:rPr>
        <w:t xml:space="preserve">. No obstante, nuevamente </w:t>
      </w:r>
      <w:r w:rsidR="00B25D9E">
        <w:rPr>
          <w:rFonts w:ascii="Verdana" w:hAnsi="Verdana" w:cs="Arial"/>
          <w:bCs/>
          <w:sz w:val="20"/>
          <w:szCs w:val="20"/>
        </w:rPr>
        <w:t>el Tribunal</w:t>
      </w:r>
      <w:r w:rsidRPr="00605B9C">
        <w:rPr>
          <w:rFonts w:ascii="Verdana" w:hAnsi="Verdana" w:cs="Arial"/>
          <w:bCs/>
          <w:sz w:val="20"/>
          <w:szCs w:val="20"/>
        </w:rPr>
        <w:t xml:space="preserve"> no es clar</w:t>
      </w:r>
      <w:r w:rsidR="00B25D9E">
        <w:rPr>
          <w:rFonts w:ascii="Verdana" w:hAnsi="Verdana" w:cs="Arial"/>
          <w:bCs/>
          <w:sz w:val="20"/>
          <w:szCs w:val="20"/>
        </w:rPr>
        <w:t>o</w:t>
      </w:r>
      <w:r w:rsidRPr="00605B9C">
        <w:rPr>
          <w:rFonts w:ascii="Verdana" w:hAnsi="Verdana" w:cs="Arial"/>
          <w:bCs/>
          <w:sz w:val="20"/>
          <w:szCs w:val="20"/>
        </w:rPr>
        <w:t xml:space="preserve"> al identificar los contenidos de las obligaciones derivadas del derecho a la salud de manera autónoma, pues para fundamentar la responsabilidad del Estado de Chile, hace continua referencia a los riesgos derivados de dichas violaciones frente a los derechos a la vida y a la integridad personal.</w:t>
      </w:r>
    </w:p>
    <w:p w14:paraId="78FDCE28" w14:textId="77777777" w:rsidR="00585559" w:rsidRPr="00605B9C" w:rsidRDefault="00585559" w:rsidP="00585559">
      <w:pPr>
        <w:pStyle w:val="Prrafodelista"/>
        <w:autoSpaceDE w:val="0"/>
        <w:autoSpaceDN w:val="0"/>
        <w:adjustRightInd w:val="0"/>
        <w:spacing w:after="0" w:line="240" w:lineRule="auto"/>
        <w:ind w:left="0"/>
        <w:jc w:val="both"/>
        <w:outlineLvl w:val="0"/>
        <w:rPr>
          <w:rFonts w:ascii="Verdana" w:hAnsi="Verdana" w:cs="Arial"/>
          <w:bCs/>
          <w:sz w:val="20"/>
          <w:szCs w:val="20"/>
        </w:rPr>
      </w:pPr>
    </w:p>
    <w:p w14:paraId="1F9BEC6E" w14:textId="20937C88" w:rsidR="00FB4DF7" w:rsidRDefault="00FB4DF7" w:rsidP="00585559">
      <w:pPr>
        <w:pStyle w:val="Prrafodelista"/>
        <w:numPr>
          <w:ilvl w:val="0"/>
          <w:numId w:val="2"/>
        </w:numPr>
        <w:autoSpaceDE w:val="0"/>
        <w:autoSpaceDN w:val="0"/>
        <w:adjustRightInd w:val="0"/>
        <w:spacing w:after="0" w:line="240" w:lineRule="auto"/>
        <w:ind w:left="0" w:firstLine="0"/>
        <w:jc w:val="both"/>
        <w:outlineLvl w:val="0"/>
        <w:rPr>
          <w:rFonts w:ascii="Verdana" w:hAnsi="Verdana" w:cs="Arial"/>
          <w:bCs/>
          <w:sz w:val="20"/>
          <w:szCs w:val="20"/>
        </w:rPr>
      </w:pPr>
      <w:r w:rsidRPr="00605B9C">
        <w:rPr>
          <w:rFonts w:ascii="Verdana" w:hAnsi="Verdana" w:cs="Arial"/>
          <w:bCs/>
          <w:sz w:val="20"/>
          <w:szCs w:val="20"/>
        </w:rPr>
        <w:t xml:space="preserve">En la sentencia la Corte encontró que la modificación en la regulación de los servicios para personas con enfermedades catastróficas (Circular No. 7), que permitían </w:t>
      </w:r>
      <w:r w:rsidRPr="00605B9C">
        <w:rPr>
          <w:rFonts w:ascii="Verdana" w:hAnsi="Verdana" w:cs="Arial"/>
          <w:bCs/>
          <w:sz w:val="20"/>
          <w:szCs w:val="20"/>
        </w:rPr>
        <w:lastRenderedPageBreak/>
        <w:t xml:space="preserve">a través de un criterio cuestionable “enfermedades crónicas”, excluir el tratamiento en salud, y que generaban una diferencia de trato injustificada entre personas con enfermedades catastróficas, impidieron el acceso de Martina Vera Rojas al tratamiento de salud que le había sido ordenado. A partir de lo anterior, consideró que el Estado era responsable por la violación de los artículos 4.1, 5.1, 19 y 26 de la Convención. Lo que quiero destacar, es que la Corte configuró la violación del derecho a la salud (artículo 26), a partir de la noción de riesgo para el derecho a la vida o a la integridad que hubiere podido implicar la falta de acceso al tratamiento médico. De manera que, una vez más no es claro si existe una violación autónoma del derecho a la salud, o si esta solo se configura en su relación con los derechos contemplados en los artículos 4 </w:t>
      </w:r>
      <w:r w:rsidR="00585559">
        <w:rPr>
          <w:rFonts w:ascii="Verdana" w:hAnsi="Verdana" w:cs="Arial"/>
          <w:bCs/>
          <w:sz w:val="20"/>
          <w:szCs w:val="20"/>
        </w:rPr>
        <w:t>y 5 de la Convención Americana.</w:t>
      </w:r>
    </w:p>
    <w:p w14:paraId="551D3A0F" w14:textId="55C8659E" w:rsidR="00585559" w:rsidRPr="00605B9C" w:rsidRDefault="00585559" w:rsidP="00585559">
      <w:pPr>
        <w:pStyle w:val="Prrafodelista"/>
        <w:autoSpaceDE w:val="0"/>
        <w:autoSpaceDN w:val="0"/>
        <w:adjustRightInd w:val="0"/>
        <w:spacing w:after="0" w:line="240" w:lineRule="auto"/>
        <w:ind w:left="0"/>
        <w:jc w:val="both"/>
        <w:outlineLvl w:val="0"/>
        <w:rPr>
          <w:rFonts w:ascii="Verdana" w:hAnsi="Verdana" w:cs="Arial"/>
          <w:bCs/>
          <w:sz w:val="20"/>
          <w:szCs w:val="20"/>
        </w:rPr>
      </w:pPr>
    </w:p>
    <w:p w14:paraId="3BC9F9E6" w14:textId="148F690D" w:rsidR="00FB4DF7" w:rsidRPr="00585559" w:rsidRDefault="00FB4DF7" w:rsidP="00585559">
      <w:pPr>
        <w:pStyle w:val="Prrafodelista"/>
        <w:numPr>
          <w:ilvl w:val="0"/>
          <w:numId w:val="2"/>
        </w:numPr>
        <w:autoSpaceDE w:val="0"/>
        <w:autoSpaceDN w:val="0"/>
        <w:adjustRightInd w:val="0"/>
        <w:spacing w:after="0" w:line="240" w:lineRule="auto"/>
        <w:ind w:left="0" w:firstLine="0"/>
        <w:jc w:val="both"/>
        <w:outlineLvl w:val="0"/>
        <w:rPr>
          <w:rFonts w:ascii="Verdana" w:hAnsi="Verdana" w:cs="Arial"/>
          <w:bCs/>
          <w:sz w:val="20"/>
          <w:szCs w:val="20"/>
        </w:rPr>
      </w:pPr>
      <w:r w:rsidRPr="00605B9C">
        <w:rPr>
          <w:rFonts w:ascii="Verdana" w:hAnsi="Verdana" w:cs="Arial"/>
          <w:bCs/>
          <w:sz w:val="20"/>
          <w:szCs w:val="20"/>
        </w:rPr>
        <w:t>Me refiero concretamente a cuando se señala que, “</w:t>
      </w:r>
      <w:r w:rsidRPr="00605B9C">
        <w:rPr>
          <w:rFonts w:ascii="Verdana" w:hAnsi="Verdana" w:cs="Arial"/>
          <w:bCs/>
          <w:i/>
          <w:iCs/>
          <w:sz w:val="20"/>
          <w:szCs w:val="20"/>
        </w:rPr>
        <w:t>La Corte advierte que esta disposición, al no establecer ningún requisito adicional para el retiro del RHD, más allá de la consideración acerca de la naturaleza “crónica” de la enfermedad, constituía un riesgo para los derechos humanos, pues podía restringir el acceso a un tratamiento médico que podía ser fundamental para preservar la salud, integridad y vida de las personas</w:t>
      </w:r>
      <w:r w:rsidRPr="00605B9C">
        <w:rPr>
          <w:rFonts w:ascii="Verdana" w:hAnsi="Verdana" w:cs="Arial"/>
          <w:bCs/>
          <w:sz w:val="20"/>
          <w:szCs w:val="20"/>
        </w:rPr>
        <w:t>”</w:t>
      </w:r>
      <w:r w:rsidRPr="00605B9C">
        <w:rPr>
          <w:rStyle w:val="Refdenotaalpie"/>
          <w:rFonts w:ascii="Verdana" w:hAnsi="Verdana" w:cs="Arial"/>
          <w:bCs/>
          <w:sz w:val="20"/>
          <w:szCs w:val="20"/>
        </w:rPr>
        <w:footnoteReference w:id="26"/>
      </w:r>
      <w:r w:rsidRPr="00605B9C">
        <w:rPr>
          <w:rFonts w:ascii="Verdana" w:hAnsi="Verdana" w:cs="Arial"/>
          <w:bCs/>
          <w:sz w:val="20"/>
          <w:szCs w:val="20"/>
        </w:rPr>
        <w:t>. Igualmente, hablo de cuando en la sentencia se dispone que “</w:t>
      </w:r>
      <w:r w:rsidRPr="00605B9C">
        <w:rPr>
          <w:rFonts w:ascii="Verdana" w:eastAsia="Times New Roman" w:hAnsi="Verdana" w:cs="Times New Roman"/>
          <w:i/>
          <w:iCs/>
          <w:sz w:val="20"/>
          <w:szCs w:val="20"/>
          <w:lang w:eastAsia="es-ES_tradnl"/>
        </w:rPr>
        <w:t xml:space="preserve">la Corte advierte que los problemas regulatorios de la Circular No. 7 permitieron que la aseguradora adoptará una decisión que, además de excluir el RHD en favor de Martina, lo cual conllevaba un riesgo para su salud, su integridad personal y su vida, obligaba a Martina a continuar con su tratamiento médico en condiciones que no eran adecuadas para su estado de salud, y las </w:t>
      </w:r>
      <w:r w:rsidR="00686A35">
        <w:rPr>
          <w:rFonts w:ascii="Verdana" w:eastAsia="Times New Roman" w:hAnsi="Verdana" w:cs="Times New Roman"/>
          <w:i/>
          <w:iCs/>
          <w:sz w:val="20"/>
          <w:szCs w:val="20"/>
          <w:lang w:eastAsia="es-ES_tradnl"/>
        </w:rPr>
        <w:t>necesidades especiales que surgí</w:t>
      </w:r>
      <w:r w:rsidRPr="00605B9C">
        <w:rPr>
          <w:rFonts w:ascii="Verdana" w:eastAsia="Times New Roman" w:hAnsi="Verdana" w:cs="Times New Roman"/>
          <w:i/>
          <w:iCs/>
          <w:sz w:val="20"/>
          <w:szCs w:val="20"/>
          <w:lang w:eastAsia="es-ES_tradnl"/>
        </w:rPr>
        <w:t>an en virtud de su condición como niña con discapacidad, afectando así las posibilidades de una existencia digna</w:t>
      </w:r>
      <w:r w:rsidRPr="00605B9C">
        <w:rPr>
          <w:rFonts w:ascii="Verdana" w:eastAsia="Times New Roman" w:hAnsi="Verdana" w:cs="Times New Roman"/>
          <w:sz w:val="20"/>
          <w:szCs w:val="20"/>
          <w:lang w:eastAsia="es-ES_tradnl"/>
        </w:rPr>
        <w:t>”</w:t>
      </w:r>
      <w:r w:rsidRPr="00605B9C">
        <w:rPr>
          <w:rStyle w:val="Refdenotaalpie"/>
          <w:rFonts w:ascii="Verdana" w:eastAsia="Times New Roman" w:hAnsi="Verdana" w:cs="Times New Roman"/>
          <w:sz w:val="20"/>
          <w:szCs w:val="20"/>
          <w:lang w:eastAsia="es-ES_tradnl"/>
        </w:rPr>
        <w:footnoteReference w:id="27"/>
      </w:r>
      <w:r w:rsidRPr="00605B9C">
        <w:rPr>
          <w:rFonts w:ascii="Verdana" w:eastAsia="Times New Roman" w:hAnsi="Verdana" w:cs="Times New Roman"/>
          <w:sz w:val="20"/>
          <w:szCs w:val="20"/>
          <w:lang w:eastAsia="es-ES_tradnl"/>
        </w:rPr>
        <w:t>.</w:t>
      </w:r>
    </w:p>
    <w:p w14:paraId="75C0DAD4" w14:textId="414E1258" w:rsidR="00585559" w:rsidRPr="00605B9C" w:rsidRDefault="00585559" w:rsidP="00585559">
      <w:pPr>
        <w:pStyle w:val="Prrafodelista"/>
        <w:autoSpaceDE w:val="0"/>
        <w:autoSpaceDN w:val="0"/>
        <w:adjustRightInd w:val="0"/>
        <w:spacing w:after="0" w:line="240" w:lineRule="auto"/>
        <w:ind w:left="0"/>
        <w:jc w:val="both"/>
        <w:outlineLvl w:val="0"/>
        <w:rPr>
          <w:rFonts w:ascii="Verdana" w:hAnsi="Verdana" w:cs="Arial"/>
          <w:bCs/>
          <w:sz w:val="20"/>
          <w:szCs w:val="20"/>
        </w:rPr>
      </w:pPr>
    </w:p>
    <w:p w14:paraId="09CAAF4C" w14:textId="0DB0A74F" w:rsidR="007322AA" w:rsidRPr="00585559" w:rsidRDefault="00FB4DF7" w:rsidP="00585559">
      <w:pPr>
        <w:pStyle w:val="Prrafodelista"/>
        <w:numPr>
          <w:ilvl w:val="0"/>
          <w:numId w:val="2"/>
        </w:numPr>
        <w:autoSpaceDE w:val="0"/>
        <w:autoSpaceDN w:val="0"/>
        <w:adjustRightInd w:val="0"/>
        <w:spacing w:after="0" w:line="240" w:lineRule="auto"/>
        <w:ind w:left="0" w:firstLine="0"/>
        <w:jc w:val="both"/>
        <w:outlineLvl w:val="0"/>
        <w:rPr>
          <w:rFonts w:ascii="Verdana" w:hAnsi="Verdana" w:cs="Arial"/>
          <w:bCs/>
          <w:sz w:val="20"/>
          <w:szCs w:val="20"/>
        </w:rPr>
      </w:pPr>
      <w:r w:rsidRPr="007322AA">
        <w:rPr>
          <w:rFonts w:ascii="Verdana" w:hAnsi="Verdana" w:cs="Arial"/>
          <w:bCs/>
          <w:sz w:val="20"/>
          <w:szCs w:val="20"/>
        </w:rPr>
        <w:t>De otra parte, debo señalar que en esta oportunidad, al margen de las inconsistencias de esta argumentación relacionadas también con la naturaleza de las obligaciones derivadas del derecho a la salud, el aparente consenso regional en relación con su alcance y contenido y las dificultades de interferir en los modelos de prestación de servicios de salud, sin tomar en consideración las particularidades económicas, sociales y políticas de cada Estado, tuvo como consecuencia una interpretación cuestionable del principio de complementariedad</w:t>
      </w:r>
      <w:r w:rsidR="00660139">
        <w:rPr>
          <w:rFonts w:ascii="Verdana" w:hAnsi="Verdana" w:cs="Arial"/>
          <w:bCs/>
          <w:sz w:val="20"/>
          <w:szCs w:val="20"/>
        </w:rPr>
        <w:t xml:space="preserve"> al cual me referiré en el siguiente apartado</w:t>
      </w:r>
      <w:r w:rsidRPr="007322AA">
        <w:rPr>
          <w:rFonts w:ascii="Verdana" w:hAnsi="Verdana" w:cs="Arial"/>
          <w:bCs/>
          <w:sz w:val="20"/>
          <w:szCs w:val="20"/>
        </w:rPr>
        <w:t xml:space="preserve">. </w:t>
      </w:r>
    </w:p>
    <w:p w14:paraId="4FBAC017" w14:textId="77777777" w:rsidR="00FB4DF7" w:rsidRPr="007322AA" w:rsidRDefault="00FB4DF7" w:rsidP="00585559">
      <w:pPr>
        <w:pStyle w:val="Prrafodelista"/>
        <w:autoSpaceDE w:val="0"/>
        <w:autoSpaceDN w:val="0"/>
        <w:adjustRightInd w:val="0"/>
        <w:spacing w:after="0" w:line="240" w:lineRule="auto"/>
        <w:ind w:left="0"/>
        <w:jc w:val="both"/>
        <w:outlineLvl w:val="0"/>
        <w:rPr>
          <w:rFonts w:ascii="Verdana" w:hAnsi="Verdana" w:cs="Arial"/>
          <w:bCs/>
          <w:sz w:val="20"/>
          <w:szCs w:val="20"/>
        </w:rPr>
      </w:pPr>
    </w:p>
    <w:p w14:paraId="6BD00ECF" w14:textId="37FB6BB7" w:rsidR="009D4490" w:rsidRPr="00605B9C" w:rsidRDefault="00B328D1" w:rsidP="00585559">
      <w:pPr>
        <w:pStyle w:val="Prrafodelista"/>
        <w:widowControl w:val="0"/>
        <w:numPr>
          <w:ilvl w:val="0"/>
          <w:numId w:val="1"/>
        </w:numPr>
        <w:autoSpaceDE w:val="0"/>
        <w:autoSpaceDN w:val="0"/>
        <w:adjustRightInd w:val="0"/>
        <w:spacing w:after="0" w:line="240" w:lineRule="auto"/>
        <w:ind w:left="1440" w:right="22"/>
        <w:jc w:val="both"/>
        <w:outlineLvl w:val="0"/>
        <w:rPr>
          <w:rFonts w:ascii="Verdana" w:hAnsi="Verdana" w:cs="Arial"/>
          <w:b/>
          <w:sz w:val="20"/>
          <w:szCs w:val="20"/>
        </w:rPr>
      </w:pPr>
      <w:r w:rsidRPr="00605B9C">
        <w:rPr>
          <w:rFonts w:ascii="Verdana" w:hAnsi="Verdana" w:cs="Arial"/>
          <w:b/>
          <w:sz w:val="20"/>
          <w:szCs w:val="20"/>
        </w:rPr>
        <w:t xml:space="preserve">EL PRINCIPIO DE COMPLEMENTARIEDAD </w:t>
      </w:r>
    </w:p>
    <w:p w14:paraId="0F190728" w14:textId="77777777" w:rsidR="00BA1946" w:rsidRPr="00605B9C" w:rsidRDefault="00BA1946" w:rsidP="00585559">
      <w:pPr>
        <w:pStyle w:val="Prrafodelista"/>
        <w:widowControl w:val="0"/>
        <w:autoSpaceDE w:val="0"/>
        <w:autoSpaceDN w:val="0"/>
        <w:adjustRightInd w:val="0"/>
        <w:spacing w:after="0" w:line="240" w:lineRule="auto"/>
        <w:ind w:left="1440" w:right="22"/>
        <w:jc w:val="both"/>
        <w:outlineLvl w:val="0"/>
        <w:rPr>
          <w:rFonts w:ascii="Verdana" w:hAnsi="Verdana" w:cs="Arial"/>
          <w:b/>
          <w:sz w:val="20"/>
          <w:szCs w:val="20"/>
        </w:rPr>
      </w:pPr>
    </w:p>
    <w:p w14:paraId="2AE1F1B3" w14:textId="06BB2E3A" w:rsidR="00EB22D1" w:rsidRDefault="00585559" w:rsidP="00585559">
      <w:pPr>
        <w:pStyle w:val="Prrafodelista"/>
        <w:numPr>
          <w:ilvl w:val="0"/>
          <w:numId w:val="2"/>
        </w:numPr>
        <w:autoSpaceDE w:val="0"/>
        <w:autoSpaceDN w:val="0"/>
        <w:adjustRightInd w:val="0"/>
        <w:spacing w:after="0" w:line="240" w:lineRule="auto"/>
        <w:ind w:left="0" w:firstLine="0"/>
        <w:jc w:val="both"/>
        <w:outlineLvl w:val="0"/>
        <w:rPr>
          <w:rFonts w:ascii="Verdana" w:hAnsi="Verdana" w:cs="Arial"/>
          <w:bCs/>
          <w:sz w:val="20"/>
          <w:szCs w:val="20"/>
        </w:rPr>
      </w:pPr>
      <w:r>
        <w:rPr>
          <w:rFonts w:ascii="Verdana" w:hAnsi="Verdana" w:cs="Arial"/>
          <w:bCs/>
          <w:sz w:val="20"/>
          <w:szCs w:val="20"/>
        </w:rPr>
        <w:t>En l</w:t>
      </w:r>
      <w:r w:rsidR="00FB4DF7">
        <w:rPr>
          <w:rFonts w:ascii="Verdana" w:hAnsi="Verdana" w:cs="Arial"/>
          <w:bCs/>
          <w:sz w:val="20"/>
          <w:szCs w:val="20"/>
        </w:rPr>
        <w:t>a</w:t>
      </w:r>
      <w:r w:rsidR="00EE77D4" w:rsidRPr="00605B9C">
        <w:rPr>
          <w:rFonts w:ascii="Verdana" w:hAnsi="Verdana" w:cs="Arial"/>
          <w:bCs/>
          <w:sz w:val="20"/>
          <w:szCs w:val="20"/>
        </w:rPr>
        <w:t xml:space="preserve"> sentencia se reconoce que </w:t>
      </w:r>
      <w:r w:rsidR="00E60E25" w:rsidRPr="00605B9C">
        <w:rPr>
          <w:rFonts w:ascii="Verdana" w:hAnsi="Verdana" w:cs="Arial"/>
          <w:bCs/>
          <w:sz w:val="20"/>
          <w:szCs w:val="20"/>
        </w:rPr>
        <w:t>el Estado</w:t>
      </w:r>
      <w:r>
        <w:rPr>
          <w:rFonts w:ascii="Verdana" w:hAnsi="Verdana" w:cs="Arial"/>
          <w:bCs/>
          <w:sz w:val="20"/>
          <w:szCs w:val="20"/>
        </w:rPr>
        <w:t>,</w:t>
      </w:r>
      <w:r w:rsidR="00E60E25" w:rsidRPr="00605B9C">
        <w:rPr>
          <w:rFonts w:ascii="Verdana" w:hAnsi="Verdana" w:cs="Arial"/>
          <w:bCs/>
          <w:sz w:val="20"/>
          <w:szCs w:val="20"/>
        </w:rPr>
        <w:t xml:space="preserve"> a través de</w:t>
      </w:r>
      <w:r>
        <w:rPr>
          <w:rFonts w:ascii="Verdana" w:hAnsi="Verdana" w:cs="Arial"/>
          <w:bCs/>
          <w:sz w:val="20"/>
          <w:szCs w:val="20"/>
        </w:rPr>
        <w:t xml:space="preserve"> </w:t>
      </w:r>
      <w:r w:rsidR="00E60E25" w:rsidRPr="00605B9C">
        <w:rPr>
          <w:rFonts w:ascii="Verdana" w:hAnsi="Verdana" w:cs="Arial"/>
          <w:bCs/>
          <w:sz w:val="20"/>
          <w:szCs w:val="20"/>
        </w:rPr>
        <w:t>l</w:t>
      </w:r>
      <w:r>
        <w:rPr>
          <w:rFonts w:ascii="Verdana" w:hAnsi="Verdana" w:cs="Arial"/>
          <w:bCs/>
          <w:sz w:val="20"/>
          <w:szCs w:val="20"/>
        </w:rPr>
        <w:t>a</w:t>
      </w:r>
      <w:r w:rsidR="00E60E25" w:rsidRPr="00605B9C">
        <w:rPr>
          <w:rFonts w:ascii="Verdana" w:hAnsi="Verdana" w:cs="Arial"/>
          <w:bCs/>
          <w:sz w:val="20"/>
          <w:szCs w:val="20"/>
        </w:rPr>
        <w:t xml:space="preserve"> Juez</w:t>
      </w:r>
      <w:r>
        <w:rPr>
          <w:rFonts w:ascii="Verdana" w:hAnsi="Verdana" w:cs="Arial"/>
          <w:bCs/>
          <w:sz w:val="20"/>
          <w:szCs w:val="20"/>
        </w:rPr>
        <w:t>a Á</w:t>
      </w:r>
      <w:r w:rsidR="00E60E25" w:rsidRPr="00605B9C">
        <w:rPr>
          <w:rFonts w:ascii="Verdana" w:hAnsi="Verdana" w:cs="Arial"/>
          <w:bCs/>
          <w:sz w:val="20"/>
          <w:szCs w:val="20"/>
        </w:rPr>
        <w:t xml:space="preserve">rbitro, </w:t>
      </w:r>
      <w:r w:rsidR="008B4835" w:rsidRPr="00605B9C">
        <w:rPr>
          <w:rFonts w:ascii="Verdana" w:hAnsi="Verdana" w:cs="Arial"/>
          <w:bCs/>
          <w:sz w:val="20"/>
          <w:szCs w:val="20"/>
        </w:rPr>
        <w:t>acogió la solicitud elevada por los padres de Martina, y restituyó y reparó</w:t>
      </w:r>
      <w:r w:rsidR="00E60E25" w:rsidRPr="00605B9C">
        <w:rPr>
          <w:rFonts w:ascii="Verdana" w:hAnsi="Verdana" w:cs="Arial"/>
          <w:bCs/>
          <w:sz w:val="20"/>
          <w:szCs w:val="20"/>
        </w:rPr>
        <w:t xml:space="preserve"> la situación de </w:t>
      </w:r>
      <w:r w:rsidR="008B4835" w:rsidRPr="00605B9C">
        <w:rPr>
          <w:rFonts w:ascii="Verdana" w:hAnsi="Verdana" w:cs="Arial"/>
          <w:bCs/>
          <w:sz w:val="20"/>
          <w:szCs w:val="20"/>
        </w:rPr>
        <w:t>la niña</w:t>
      </w:r>
      <w:r w:rsidR="00E60E25" w:rsidRPr="00605B9C">
        <w:rPr>
          <w:rFonts w:ascii="Verdana" w:hAnsi="Verdana" w:cs="Arial"/>
          <w:bCs/>
          <w:sz w:val="20"/>
          <w:szCs w:val="20"/>
        </w:rPr>
        <w:t xml:space="preserve"> </w:t>
      </w:r>
      <w:r w:rsidR="00AB3BB6" w:rsidRPr="00605B9C">
        <w:rPr>
          <w:rFonts w:ascii="Verdana" w:hAnsi="Verdana" w:cs="Arial"/>
          <w:bCs/>
          <w:sz w:val="20"/>
          <w:szCs w:val="20"/>
        </w:rPr>
        <w:t>al considerar</w:t>
      </w:r>
      <w:r w:rsidR="00E60E25" w:rsidRPr="00605B9C">
        <w:rPr>
          <w:rFonts w:ascii="Verdana" w:hAnsi="Verdana" w:cs="Arial"/>
          <w:bCs/>
          <w:sz w:val="20"/>
          <w:szCs w:val="20"/>
        </w:rPr>
        <w:t xml:space="preserve"> que la modificación de la Circular No. 7 desconocía sus derechos fundamentale</w:t>
      </w:r>
      <w:r w:rsidR="003B7D51" w:rsidRPr="00605B9C">
        <w:rPr>
          <w:rFonts w:ascii="Verdana" w:hAnsi="Verdana" w:cs="Arial"/>
          <w:bCs/>
          <w:sz w:val="20"/>
          <w:szCs w:val="20"/>
        </w:rPr>
        <w:t xml:space="preserve">s, </w:t>
      </w:r>
      <w:r w:rsidR="007302AE" w:rsidRPr="00605B9C">
        <w:rPr>
          <w:rFonts w:ascii="Verdana" w:hAnsi="Verdana" w:cs="Arial"/>
          <w:bCs/>
          <w:sz w:val="20"/>
          <w:szCs w:val="20"/>
        </w:rPr>
        <w:t xml:space="preserve">y en consecuencia </w:t>
      </w:r>
      <w:r w:rsidR="00E60E25" w:rsidRPr="00605B9C">
        <w:rPr>
          <w:rFonts w:ascii="Verdana" w:hAnsi="Verdana" w:cs="Arial"/>
          <w:bCs/>
          <w:sz w:val="20"/>
          <w:szCs w:val="20"/>
        </w:rPr>
        <w:t>orden</w:t>
      </w:r>
      <w:r w:rsidR="00FB2042" w:rsidRPr="00605B9C">
        <w:rPr>
          <w:rFonts w:ascii="Verdana" w:hAnsi="Verdana" w:cs="Arial"/>
          <w:bCs/>
          <w:sz w:val="20"/>
          <w:szCs w:val="20"/>
        </w:rPr>
        <w:t>ó</w:t>
      </w:r>
      <w:r w:rsidR="00E60E25" w:rsidRPr="00605B9C">
        <w:rPr>
          <w:rFonts w:ascii="Verdana" w:hAnsi="Verdana" w:cs="Arial"/>
          <w:bCs/>
          <w:sz w:val="20"/>
          <w:szCs w:val="20"/>
        </w:rPr>
        <w:t xml:space="preserve"> </w:t>
      </w:r>
      <w:r w:rsidR="005F38FF" w:rsidRPr="00605B9C">
        <w:rPr>
          <w:rFonts w:ascii="Verdana" w:hAnsi="Verdana" w:cs="Arial"/>
          <w:bCs/>
          <w:sz w:val="20"/>
          <w:szCs w:val="20"/>
        </w:rPr>
        <w:t xml:space="preserve">la reinstalación de los servicios y la indemnización por los daños causados en el lapso en </w:t>
      </w:r>
      <w:r w:rsidR="00A86922" w:rsidRPr="00605B9C">
        <w:rPr>
          <w:rFonts w:ascii="Verdana" w:hAnsi="Verdana" w:cs="Arial"/>
          <w:bCs/>
          <w:sz w:val="20"/>
          <w:szCs w:val="20"/>
        </w:rPr>
        <w:t>el</w:t>
      </w:r>
      <w:r w:rsidR="005F38FF" w:rsidRPr="00605B9C">
        <w:rPr>
          <w:rFonts w:ascii="Verdana" w:hAnsi="Verdana" w:cs="Arial"/>
          <w:bCs/>
          <w:sz w:val="20"/>
          <w:szCs w:val="20"/>
        </w:rPr>
        <w:t xml:space="preserve"> que la ISAPRE no prestó los servicios de salud</w:t>
      </w:r>
      <w:r w:rsidR="00F359DD" w:rsidRPr="00605B9C">
        <w:rPr>
          <w:rStyle w:val="Refdenotaalpie"/>
          <w:rFonts w:ascii="Verdana" w:hAnsi="Verdana" w:cs="Arial"/>
          <w:bCs/>
          <w:sz w:val="20"/>
          <w:szCs w:val="20"/>
        </w:rPr>
        <w:footnoteReference w:id="28"/>
      </w:r>
      <w:r w:rsidR="005F38FF" w:rsidRPr="00605B9C">
        <w:rPr>
          <w:rFonts w:ascii="Verdana" w:hAnsi="Verdana" w:cs="Arial"/>
          <w:bCs/>
          <w:sz w:val="20"/>
          <w:szCs w:val="20"/>
        </w:rPr>
        <w:t xml:space="preserve">. </w:t>
      </w:r>
      <w:r w:rsidR="007302AE" w:rsidRPr="00605B9C">
        <w:rPr>
          <w:rFonts w:ascii="Verdana" w:hAnsi="Verdana" w:cs="Arial"/>
          <w:bCs/>
          <w:sz w:val="20"/>
          <w:szCs w:val="20"/>
        </w:rPr>
        <w:t xml:space="preserve">Igualmente, </w:t>
      </w:r>
      <w:r w:rsidR="008921EC" w:rsidRPr="00605B9C">
        <w:rPr>
          <w:rFonts w:ascii="Verdana" w:hAnsi="Verdana" w:cs="Arial"/>
          <w:bCs/>
          <w:sz w:val="20"/>
          <w:szCs w:val="20"/>
        </w:rPr>
        <w:t xml:space="preserve">la Corte tuvo en cuenta que la </w:t>
      </w:r>
      <w:r w:rsidR="00CB33F3" w:rsidRPr="00605B9C">
        <w:rPr>
          <w:rFonts w:ascii="Verdana" w:hAnsi="Verdana" w:cs="Arial"/>
          <w:bCs/>
          <w:sz w:val="20"/>
          <w:szCs w:val="20"/>
        </w:rPr>
        <w:t>Circular IF/282</w:t>
      </w:r>
      <w:r w:rsidR="008921EC" w:rsidRPr="00605B9C">
        <w:rPr>
          <w:rFonts w:ascii="Verdana" w:hAnsi="Verdana" w:cs="Arial"/>
          <w:bCs/>
          <w:sz w:val="20"/>
          <w:szCs w:val="20"/>
        </w:rPr>
        <w:t xml:space="preserve"> la </w:t>
      </w:r>
      <w:r w:rsidR="00CB33F3" w:rsidRPr="00605B9C">
        <w:rPr>
          <w:rFonts w:ascii="Verdana" w:hAnsi="Verdana" w:cs="Arial"/>
          <w:bCs/>
          <w:sz w:val="20"/>
          <w:szCs w:val="20"/>
        </w:rPr>
        <w:t>Intendencia de Fondos y Seguros de Chile,</w:t>
      </w:r>
      <w:r w:rsidR="008921EC" w:rsidRPr="00605B9C">
        <w:rPr>
          <w:rFonts w:ascii="Verdana" w:hAnsi="Verdana" w:cs="Arial"/>
          <w:bCs/>
          <w:sz w:val="20"/>
          <w:szCs w:val="20"/>
        </w:rPr>
        <w:t xml:space="preserve"> </w:t>
      </w:r>
      <w:r w:rsidR="00090BBE" w:rsidRPr="00605B9C">
        <w:rPr>
          <w:rFonts w:ascii="Verdana" w:hAnsi="Verdana" w:cs="Arial"/>
          <w:bCs/>
          <w:sz w:val="20"/>
          <w:szCs w:val="20"/>
        </w:rPr>
        <w:t>d</w:t>
      </w:r>
      <w:r w:rsidR="008921EC" w:rsidRPr="00605B9C">
        <w:rPr>
          <w:rFonts w:ascii="Verdana" w:hAnsi="Verdana" w:cs="Arial"/>
          <w:bCs/>
          <w:sz w:val="20"/>
          <w:szCs w:val="20"/>
        </w:rPr>
        <w:t>ejó sin efectos la Circular No. 7 y eliminó la exclusión de enfermedades crónicas dentro de los planes de atención a personas con enfermedades catastróficas</w:t>
      </w:r>
      <w:r w:rsidR="00F359DD" w:rsidRPr="00605B9C">
        <w:rPr>
          <w:rStyle w:val="Refdenotaalpie"/>
          <w:rFonts w:ascii="Verdana" w:hAnsi="Verdana" w:cs="Arial"/>
          <w:bCs/>
          <w:sz w:val="20"/>
          <w:szCs w:val="20"/>
        </w:rPr>
        <w:footnoteReference w:id="29"/>
      </w:r>
      <w:r w:rsidR="008921EC" w:rsidRPr="00605B9C">
        <w:rPr>
          <w:rFonts w:ascii="Verdana" w:hAnsi="Verdana" w:cs="Arial"/>
          <w:bCs/>
          <w:sz w:val="20"/>
          <w:szCs w:val="20"/>
        </w:rPr>
        <w:t xml:space="preserve">. </w:t>
      </w:r>
      <w:r w:rsidR="007B2DA1" w:rsidRPr="00605B9C">
        <w:rPr>
          <w:rFonts w:ascii="Verdana" w:hAnsi="Verdana" w:cs="Arial"/>
          <w:bCs/>
          <w:sz w:val="20"/>
          <w:szCs w:val="20"/>
        </w:rPr>
        <w:t xml:space="preserve">No obstante, </w:t>
      </w:r>
      <w:r w:rsidR="004E0711" w:rsidRPr="00605B9C">
        <w:rPr>
          <w:rFonts w:ascii="Verdana" w:hAnsi="Verdana" w:cs="Arial"/>
          <w:bCs/>
          <w:sz w:val="20"/>
          <w:szCs w:val="20"/>
        </w:rPr>
        <w:t xml:space="preserve">en la decisión </w:t>
      </w:r>
      <w:r w:rsidR="007B2DA1" w:rsidRPr="00605B9C">
        <w:rPr>
          <w:rFonts w:ascii="Verdana" w:hAnsi="Verdana" w:cs="Arial"/>
          <w:bCs/>
          <w:sz w:val="20"/>
          <w:szCs w:val="20"/>
        </w:rPr>
        <w:t xml:space="preserve">se sostiene que </w:t>
      </w:r>
      <w:r w:rsidR="00953766" w:rsidRPr="00605B9C">
        <w:rPr>
          <w:rFonts w:ascii="Verdana" w:hAnsi="Verdana" w:cs="Arial"/>
          <w:bCs/>
          <w:sz w:val="20"/>
          <w:szCs w:val="20"/>
        </w:rPr>
        <w:t xml:space="preserve">no cesó el ilícito internacional </w:t>
      </w:r>
      <w:r w:rsidR="003602D2" w:rsidRPr="00605B9C">
        <w:rPr>
          <w:rFonts w:ascii="Verdana" w:hAnsi="Verdana" w:cs="Arial"/>
          <w:bCs/>
          <w:sz w:val="20"/>
          <w:szCs w:val="20"/>
        </w:rPr>
        <w:t xml:space="preserve">tomando en cuenta </w:t>
      </w:r>
      <w:r w:rsidR="00100662" w:rsidRPr="00605B9C">
        <w:rPr>
          <w:rFonts w:ascii="Verdana" w:hAnsi="Verdana" w:cs="Arial"/>
          <w:bCs/>
          <w:sz w:val="20"/>
          <w:szCs w:val="20"/>
        </w:rPr>
        <w:t>dos argumentos</w:t>
      </w:r>
      <w:r w:rsidR="00AF0BD7" w:rsidRPr="00605B9C">
        <w:rPr>
          <w:rFonts w:ascii="Verdana" w:hAnsi="Verdana" w:cs="Arial"/>
          <w:bCs/>
          <w:sz w:val="20"/>
          <w:szCs w:val="20"/>
        </w:rPr>
        <w:t>.</w:t>
      </w:r>
      <w:r w:rsidR="00113417" w:rsidRPr="00605B9C">
        <w:rPr>
          <w:rFonts w:ascii="Verdana" w:hAnsi="Verdana" w:cs="Arial"/>
          <w:bCs/>
          <w:sz w:val="20"/>
          <w:szCs w:val="20"/>
        </w:rPr>
        <w:t xml:space="preserve"> En primer lugar</w:t>
      </w:r>
      <w:r w:rsidR="003602D2" w:rsidRPr="00605B9C">
        <w:rPr>
          <w:rFonts w:ascii="Verdana" w:hAnsi="Verdana" w:cs="Arial"/>
          <w:bCs/>
          <w:sz w:val="20"/>
          <w:szCs w:val="20"/>
        </w:rPr>
        <w:t xml:space="preserve">, que </w:t>
      </w:r>
      <w:r w:rsidR="00D47D4C" w:rsidRPr="00605B9C">
        <w:rPr>
          <w:rFonts w:ascii="Verdana" w:hAnsi="Verdana" w:cs="Arial"/>
          <w:bCs/>
          <w:i/>
          <w:iCs/>
          <w:sz w:val="20"/>
          <w:szCs w:val="20"/>
        </w:rPr>
        <w:t xml:space="preserve">“[…] es incuestionable que, en el caso, la niña no ha sufrido </w:t>
      </w:r>
      <w:r w:rsidR="00C04156" w:rsidRPr="00605B9C">
        <w:rPr>
          <w:rFonts w:ascii="Verdana" w:hAnsi="Verdana" w:cs="Arial"/>
          <w:bCs/>
          <w:i/>
          <w:iCs/>
          <w:sz w:val="20"/>
          <w:szCs w:val="20"/>
        </w:rPr>
        <w:t xml:space="preserve">consecuencias graves en razón de </w:t>
      </w:r>
      <w:r w:rsidR="00C04156" w:rsidRPr="00605B9C">
        <w:rPr>
          <w:rFonts w:ascii="Verdana" w:hAnsi="Verdana" w:cs="Arial"/>
          <w:bCs/>
          <w:i/>
          <w:iCs/>
          <w:sz w:val="20"/>
          <w:szCs w:val="20"/>
        </w:rPr>
        <w:lastRenderedPageBreak/>
        <w:t>la posición social y posibilidades reales de evitarlas de los padres, pero queda claro que el Estado ha estado en falta, dado que, de haber sido diferentes o menores sus posibilidades de espacio social</w:t>
      </w:r>
      <w:r w:rsidR="00B0130C" w:rsidRPr="00605B9C">
        <w:rPr>
          <w:rFonts w:ascii="Verdana" w:hAnsi="Verdana" w:cs="Arial"/>
          <w:bCs/>
          <w:i/>
          <w:iCs/>
          <w:sz w:val="20"/>
          <w:szCs w:val="20"/>
        </w:rPr>
        <w:t>, esta omisión estatal podría haber sido fatal. Esto pone de relieve una selectividad grave en la prestación y en la protección de los derechos de la niña</w:t>
      </w:r>
      <w:r w:rsidR="00D47D4C" w:rsidRPr="00605B9C">
        <w:rPr>
          <w:rFonts w:ascii="Verdana" w:hAnsi="Verdana" w:cs="Arial"/>
          <w:bCs/>
          <w:sz w:val="20"/>
          <w:szCs w:val="20"/>
        </w:rPr>
        <w:t>”</w:t>
      </w:r>
      <w:r w:rsidR="00A83A20" w:rsidRPr="00605B9C">
        <w:rPr>
          <w:rStyle w:val="Refdenotaalpie"/>
          <w:rFonts w:ascii="Verdana" w:hAnsi="Verdana" w:cs="Arial"/>
          <w:bCs/>
          <w:sz w:val="20"/>
          <w:szCs w:val="20"/>
        </w:rPr>
        <w:footnoteReference w:id="30"/>
      </w:r>
      <w:r w:rsidR="00B0130C" w:rsidRPr="00605B9C">
        <w:rPr>
          <w:rFonts w:ascii="Verdana" w:hAnsi="Verdana" w:cs="Arial"/>
          <w:bCs/>
          <w:sz w:val="20"/>
          <w:szCs w:val="20"/>
        </w:rPr>
        <w:t xml:space="preserve">. </w:t>
      </w:r>
      <w:r w:rsidR="0026627F" w:rsidRPr="00605B9C">
        <w:rPr>
          <w:rFonts w:ascii="Verdana" w:hAnsi="Verdana" w:cs="Arial"/>
          <w:bCs/>
          <w:sz w:val="20"/>
          <w:szCs w:val="20"/>
        </w:rPr>
        <w:t xml:space="preserve">En segundo lugar, que </w:t>
      </w:r>
      <w:r w:rsidR="0026627F" w:rsidRPr="00605B9C">
        <w:rPr>
          <w:rFonts w:ascii="Verdana" w:hAnsi="Verdana" w:cs="Arial"/>
          <w:bCs/>
          <w:i/>
          <w:iCs/>
          <w:sz w:val="20"/>
          <w:szCs w:val="20"/>
        </w:rPr>
        <w:t xml:space="preserve">“[…] </w:t>
      </w:r>
      <w:r w:rsidR="00A83A20" w:rsidRPr="00605B9C">
        <w:rPr>
          <w:rFonts w:ascii="Verdana" w:hAnsi="Verdana" w:cs="Arial"/>
          <w:bCs/>
          <w:i/>
          <w:iCs/>
          <w:sz w:val="20"/>
          <w:szCs w:val="20"/>
        </w:rPr>
        <w:t>las condiciones posteriores en las cuales</w:t>
      </w:r>
      <w:r w:rsidR="00FD7A30" w:rsidRPr="00605B9C">
        <w:rPr>
          <w:rFonts w:ascii="Verdana" w:hAnsi="Verdana" w:cs="Arial"/>
          <w:bCs/>
          <w:i/>
          <w:iCs/>
          <w:sz w:val="20"/>
          <w:szCs w:val="20"/>
        </w:rPr>
        <w:t xml:space="preserve"> se ha prestado el servicio de hospitalización domiciliaria, las cuales han dado lugar a reclamos y quejas de los padres, permiten concluir que el riesgo respecto a los derechos de Martina persi</w:t>
      </w:r>
      <w:r w:rsidR="00130C1E" w:rsidRPr="00605B9C">
        <w:rPr>
          <w:rFonts w:ascii="Verdana" w:hAnsi="Verdana" w:cs="Arial"/>
          <w:bCs/>
          <w:i/>
          <w:iCs/>
          <w:sz w:val="20"/>
          <w:szCs w:val="20"/>
        </w:rPr>
        <w:t>s</w:t>
      </w:r>
      <w:r w:rsidR="00FD7A30" w:rsidRPr="00605B9C">
        <w:rPr>
          <w:rFonts w:ascii="Verdana" w:hAnsi="Verdana" w:cs="Arial"/>
          <w:bCs/>
          <w:i/>
          <w:iCs/>
          <w:sz w:val="20"/>
          <w:szCs w:val="20"/>
        </w:rPr>
        <w:t>te.</w:t>
      </w:r>
      <w:r w:rsidR="00EA730E" w:rsidRPr="00605B9C">
        <w:rPr>
          <w:rFonts w:ascii="Verdana" w:hAnsi="Verdana" w:cs="Arial"/>
          <w:bCs/>
          <w:i/>
          <w:iCs/>
          <w:sz w:val="20"/>
          <w:szCs w:val="20"/>
        </w:rPr>
        <w:t xml:space="preserve"> Por</w:t>
      </w:r>
      <w:r w:rsidR="00130C1E" w:rsidRPr="00605B9C">
        <w:rPr>
          <w:rFonts w:ascii="Verdana" w:hAnsi="Verdana" w:cs="Arial"/>
          <w:bCs/>
          <w:i/>
          <w:iCs/>
          <w:sz w:val="20"/>
          <w:szCs w:val="20"/>
        </w:rPr>
        <w:t xml:space="preserve"> ende, […] el hecho ilícito internacional no cesó en su totalidad ni fue reparado integralmente</w:t>
      </w:r>
      <w:r w:rsidR="0026627F" w:rsidRPr="00605B9C">
        <w:rPr>
          <w:rFonts w:ascii="Verdana" w:hAnsi="Verdana" w:cs="Arial"/>
          <w:bCs/>
          <w:sz w:val="20"/>
          <w:szCs w:val="20"/>
        </w:rPr>
        <w:t>”</w:t>
      </w:r>
      <w:r w:rsidR="00D17B85" w:rsidRPr="00605B9C">
        <w:rPr>
          <w:rStyle w:val="Refdenotaalpie"/>
          <w:rFonts w:ascii="Verdana" w:hAnsi="Verdana" w:cs="Arial"/>
          <w:bCs/>
          <w:sz w:val="20"/>
          <w:szCs w:val="20"/>
        </w:rPr>
        <w:footnoteReference w:id="31"/>
      </w:r>
      <w:r>
        <w:rPr>
          <w:rFonts w:ascii="Verdana" w:hAnsi="Verdana" w:cs="Arial"/>
          <w:bCs/>
          <w:sz w:val="20"/>
          <w:szCs w:val="20"/>
        </w:rPr>
        <w:t>.</w:t>
      </w:r>
    </w:p>
    <w:p w14:paraId="5D0BA43A" w14:textId="77777777" w:rsidR="00585559" w:rsidRPr="00605B9C" w:rsidRDefault="00585559" w:rsidP="00585559">
      <w:pPr>
        <w:pStyle w:val="Prrafodelista"/>
        <w:autoSpaceDE w:val="0"/>
        <w:autoSpaceDN w:val="0"/>
        <w:adjustRightInd w:val="0"/>
        <w:spacing w:after="0" w:line="240" w:lineRule="auto"/>
        <w:ind w:left="0"/>
        <w:jc w:val="both"/>
        <w:outlineLvl w:val="0"/>
        <w:rPr>
          <w:rFonts w:ascii="Verdana" w:hAnsi="Verdana" w:cs="Arial"/>
          <w:bCs/>
          <w:sz w:val="20"/>
          <w:szCs w:val="20"/>
        </w:rPr>
      </w:pPr>
    </w:p>
    <w:p w14:paraId="71C646A9" w14:textId="19E0F5C4" w:rsidR="00327172" w:rsidRDefault="00EB22D1" w:rsidP="00585559">
      <w:pPr>
        <w:pStyle w:val="Prrafodelista"/>
        <w:numPr>
          <w:ilvl w:val="0"/>
          <w:numId w:val="2"/>
        </w:numPr>
        <w:autoSpaceDE w:val="0"/>
        <w:autoSpaceDN w:val="0"/>
        <w:adjustRightInd w:val="0"/>
        <w:spacing w:after="0" w:line="240" w:lineRule="auto"/>
        <w:ind w:left="0" w:firstLine="0"/>
        <w:jc w:val="both"/>
        <w:outlineLvl w:val="0"/>
        <w:rPr>
          <w:rFonts w:ascii="Verdana" w:hAnsi="Verdana" w:cs="Arial"/>
          <w:bCs/>
          <w:sz w:val="20"/>
          <w:szCs w:val="20"/>
        </w:rPr>
      </w:pPr>
      <w:r w:rsidRPr="00605B9C">
        <w:rPr>
          <w:rFonts w:ascii="Verdana" w:hAnsi="Verdana" w:cs="Arial"/>
          <w:bCs/>
          <w:sz w:val="20"/>
          <w:szCs w:val="20"/>
        </w:rPr>
        <w:t xml:space="preserve">Considero que </w:t>
      </w:r>
      <w:r w:rsidR="00E2085C" w:rsidRPr="00605B9C">
        <w:rPr>
          <w:rFonts w:ascii="Verdana" w:hAnsi="Verdana" w:cs="Arial"/>
          <w:bCs/>
          <w:sz w:val="20"/>
          <w:szCs w:val="20"/>
        </w:rPr>
        <w:t>los argumentos expuestos</w:t>
      </w:r>
      <w:r w:rsidR="00BC4474" w:rsidRPr="00605B9C">
        <w:rPr>
          <w:rFonts w:ascii="Verdana" w:hAnsi="Verdana" w:cs="Arial"/>
          <w:bCs/>
          <w:sz w:val="20"/>
          <w:szCs w:val="20"/>
        </w:rPr>
        <w:t>,</w:t>
      </w:r>
      <w:r w:rsidR="00E2085C" w:rsidRPr="00605B9C">
        <w:rPr>
          <w:rFonts w:ascii="Verdana" w:hAnsi="Verdana" w:cs="Arial"/>
          <w:bCs/>
          <w:sz w:val="20"/>
          <w:szCs w:val="20"/>
        </w:rPr>
        <w:t xml:space="preserve"> resulta</w:t>
      </w:r>
      <w:r w:rsidR="00BC4474" w:rsidRPr="00605B9C">
        <w:rPr>
          <w:rFonts w:ascii="Verdana" w:hAnsi="Verdana" w:cs="Arial"/>
          <w:bCs/>
          <w:sz w:val="20"/>
          <w:szCs w:val="20"/>
        </w:rPr>
        <w:t>ba</w:t>
      </w:r>
      <w:r w:rsidR="00E2085C" w:rsidRPr="00605B9C">
        <w:rPr>
          <w:rFonts w:ascii="Verdana" w:hAnsi="Verdana" w:cs="Arial"/>
          <w:bCs/>
          <w:sz w:val="20"/>
          <w:szCs w:val="20"/>
        </w:rPr>
        <w:t xml:space="preserve">n insuficientes </w:t>
      </w:r>
      <w:r w:rsidR="00BC4474" w:rsidRPr="00605B9C">
        <w:rPr>
          <w:rFonts w:ascii="Verdana" w:hAnsi="Verdana" w:cs="Arial"/>
          <w:bCs/>
          <w:sz w:val="20"/>
          <w:szCs w:val="20"/>
        </w:rPr>
        <w:t xml:space="preserve">para fundamentar la </w:t>
      </w:r>
      <w:r w:rsidR="00624F52" w:rsidRPr="00605B9C">
        <w:rPr>
          <w:rFonts w:ascii="Verdana" w:hAnsi="Verdana" w:cs="Arial"/>
          <w:bCs/>
          <w:sz w:val="20"/>
          <w:szCs w:val="20"/>
        </w:rPr>
        <w:t xml:space="preserve">responsabilidad de Chile </w:t>
      </w:r>
      <w:r w:rsidR="006B134A" w:rsidRPr="00605B9C">
        <w:rPr>
          <w:rFonts w:ascii="Verdana" w:hAnsi="Verdana" w:cs="Arial"/>
          <w:bCs/>
          <w:sz w:val="20"/>
          <w:szCs w:val="20"/>
        </w:rPr>
        <w:t xml:space="preserve">a la luz del principio de subsidiariedad que fundamenta la existencia del Sistema Interamericano de Protección de Derechos Humanos. </w:t>
      </w:r>
      <w:r w:rsidR="006438FA" w:rsidRPr="00605B9C">
        <w:rPr>
          <w:rFonts w:ascii="Verdana" w:hAnsi="Verdana" w:cs="Arial"/>
          <w:bCs/>
          <w:sz w:val="20"/>
          <w:szCs w:val="20"/>
        </w:rPr>
        <w:t>De los hechos analizados en la Sentencia se desprende que el riesgo que existió para Martina por la decisión de la empresa aseguradora cesó tras la decisión de la Jueza Á</w:t>
      </w:r>
      <w:r w:rsidR="00327172" w:rsidRPr="00605B9C">
        <w:rPr>
          <w:rFonts w:ascii="Verdana" w:hAnsi="Verdana" w:cs="Arial"/>
          <w:bCs/>
          <w:sz w:val="20"/>
          <w:szCs w:val="20"/>
        </w:rPr>
        <w:t xml:space="preserve">rbitro, y que fue reparada, pues se ordenó el pago de los gastos en que </w:t>
      </w:r>
      <w:r w:rsidR="003E2FE5" w:rsidRPr="00605B9C">
        <w:rPr>
          <w:rFonts w:ascii="Verdana" w:hAnsi="Verdana" w:cs="Arial"/>
          <w:bCs/>
          <w:sz w:val="20"/>
          <w:szCs w:val="20"/>
        </w:rPr>
        <w:t>su</w:t>
      </w:r>
      <w:r w:rsidR="00327172" w:rsidRPr="00605B9C">
        <w:rPr>
          <w:rFonts w:ascii="Verdana" w:hAnsi="Verdana" w:cs="Arial"/>
          <w:bCs/>
          <w:sz w:val="20"/>
          <w:szCs w:val="20"/>
        </w:rPr>
        <w:t xml:space="preserve"> familia había incurrido y se modificó la norma que había permitido el retiro del régimen de hospitalización domiciliaria. Tomar en serio el principio de complementariedad en este tipo de situaciones, implica</w:t>
      </w:r>
      <w:r w:rsidR="00585559">
        <w:rPr>
          <w:rFonts w:ascii="Verdana" w:hAnsi="Verdana" w:cs="Arial"/>
          <w:bCs/>
          <w:sz w:val="20"/>
          <w:szCs w:val="20"/>
        </w:rPr>
        <w:t>ría que no solo se utilice como</w:t>
      </w:r>
      <w:r w:rsidR="006B134A" w:rsidRPr="00605B9C">
        <w:rPr>
          <w:rFonts w:ascii="Verdana" w:hAnsi="Verdana" w:cs="Arial"/>
          <w:bCs/>
          <w:sz w:val="20"/>
          <w:szCs w:val="20"/>
        </w:rPr>
        <w:t xml:space="preserve"> un elemento meramente enunciativo, sino que</w:t>
      </w:r>
      <w:r w:rsidR="00327172" w:rsidRPr="00605B9C">
        <w:rPr>
          <w:rFonts w:ascii="Verdana" w:hAnsi="Verdana" w:cs="Arial"/>
          <w:bCs/>
          <w:sz w:val="20"/>
          <w:szCs w:val="20"/>
        </w:rPr>
        <w:t xml:space="preserve"> se le den plenos efectos jurídicos</w:t>
      </w:r>
      <w:r w:rsidR="00585559">
        <w:rPr>
          <w:rFonts w:ascii="Verdana" w:hAnsi="Verdana" w:cs="Arial"/>
          <w:bCs/>
          <w:sz w:val="20"/>
          <w:szCs w:val="20"/>
        </w:rPr>
        <w:t>,</w:t>
      </w:r>
      <w:r w:rsidR="00327172" w:rsidRPr="00605B9C">
        <w:rPr>
          <w:rFonts w:ascii="Verdana" w:hAnsi="Verdana" w:cs="Arial"/>
          <w:bCs/>
          <w:sz w:val="20"/>
          <w:szCs w:val="20"/>
        </w:rPr>
        <w:t xml:space="preserve"> y por lo tanto la Corte se abstenga de declarar la responsabilidad internacional cuando el Estado ya adoptó medidas adecuadas para reme</w:t>
      </w:r>
      <w:r w:rsidR="00585559">
        <w:rPr>
          <w:rFonts w:ascii="Verdana" w:hAnsi="Verdana" w:cs="Arial"/>
          <w:bCs/>
          <w:sz w:val="20"/>
          <w:szCs w:val="20"/>
        </w:rPr>
        <w:t>diar una violación de derechos.</w:t>
      </w:r>
    </w:p>
    <w:p w14:paraId="2FE70D4E" w14:textId="4E500679" w:rsidR="00585559" w:rsidRPr="00605B9C" w:rsidRDefault="00585559" w:rsidP="00585559">
      <w:pPr>
        <w:pStyle w:val="Prrafodelista"/>
        <w:autoSpaceDE w:val="0"/>
        <w:autoSpaceDN w:val="0"/>
        <w:adjustRightInd w:val="0"/>
        <w:spacing w:after="0" w:line="240" w:lineRule="auto"/>
        <w:ind w:left="0"/>
        <w:jc w:val="both"/>
        <w:outlineLvl w:val="0"/>
        <w:rPr>
          <w:rFonts w:ascii="Verdana" w:hAnsi="Verdana" w:cs="Arial"/>
          <w:bCs/>
          <w:sz w:val="20"/>
          <w:szCs w:val="20"/>
        </w:rPr>
      </w:pPr>
    </w:p>
    <w:p w14:paraId="1038E555" w14:textId="28106173" w:rsidR="007A2C8E" w:rsidRPr="00605B9C" w:rsidRDefault="00327172" w:rsidP="00585559">
      <w:pPr>
        <w:pStyle w:val="Prrafodelista"/>
        <w:numPr>
          <w:ilvl w:val="0"/>
          <w:numId w:val="2"/>
        </w:numPr>
        <w:autoSpaceDE w:val="0"/>
        <w:autoSpaceDN w:val="0"/>
        <w:adjustRightInd w:val="0"/>
        <w:spacing w:after="0" w:line="240" w:lineRule="auto"/>
        <w:ind w:left="0" w:firstLine="0"/>
        <w:jc w:val="both"/>
        <w:outlineLvl w:val="0"/>
        <w:rPr>
          <w:rFonts w:ascii="Verdana" w:hAnsi="Verdana" w:cs="Arial"/>
          <w:bCs/>
          <w:sz w:val="20"/>
          <w:szCs w:val="20"/>
        </w:rPr>
      </w:pPr>
      <w:r w:rsidRPr="00605B9C">
        <w:rPr>
          <w:rFonts w:ascii="Verdana" w:hAnsi="Verdana" w:cs="Arial"/>
          <w:bCs/>
          <w:sz w:val="20"/>
          <w:szCs w:val="20"/>
        </w:rPr>
        <w:t>Este criterio respondería no solo a un criterio de justicia, sino estaría dirigido a</w:t>
      </w:r>
      <w:r w:rsidR="006B134A" w:rsidRPr="00605B9C">
        <w:rPr>
          <w:rFonts w:ascii="Verdana" w:hAnsi="Verdana" w:cs="Arial"/>
          <w:bCs/>
          <w:sz w:val="20"/>
          <w:szCs w:val="20"/>
        </w:rPr>
        <w:t xml:space="preserve"> alcanzar el propósito</w:t>
      </w:r>
      <w:r w:rsidRPr="00605B9C">
        <w:rPr>
          <w:rFonts w:ascii="Verdana" w:hAnsi="Verdana" w:cs="Arial"/>
          <w:bCs/>
          <w:sz w:val="20"/>
          <w:szCs w:val="20"/>
        </w:rPr>
        <w:t xml:space="preserve"> –</w:t>
      </w:r>
      <w:r w:rsidR="00585559">
        <w:rPr>
          <w:rFonts w:ascii="Verdana" w:hAnsi="Verdana" w:cs="Arial"/>
          <w:bCs/>
          <w:sz w:val="20"/>
          <w:szCs w:val="20"/>
        </w:rPr>
        <w:t>contenido</w:t>
      </w:r>
      <w:r w:rsidRPr="00605B9C">
        <w:rPr>
          <w:rFonts w:ascii="Verdana" w:hAnsi="Verdana" w:cs="Arial"/>
          <w:bCs/>
          <w:sz w:val="20"/>
          <w:szCs w:val="20"/>
        </w:rPr>
        <w:t xml:space="preserve"> en el Preámbulo de la Convención-</w:t>
      </w:r>
      <w:r w:rsidR="006B134A" w:rsidRPr="00605B9C">
        <w:rPr>
          <w:rFonts w:ascii="Verdana" w:hAnsi="Verdana" w:cs="Arial"/>
          <w:bCs/>
          <w:sz w:val="20"/>
          <w:szCs w:val="20"/>
        </w:rPr>
        <w:t xml:space="preserve"> de que sean los Estados los primeros llamados a respetar y garantizar los derechos convencionales, y a restituirlos a través de los procedimientos internos</w:t>
      </w:r>
      <w:r w:rsidR="00D24635" w:rsidRPr="00605B9C">
        <w:rPr>
          <w:rFonts w:ascii="Verdana" w:hAnsi="Verdana" w:cs="Arial"/>
          <w:bCs/>
          <w:sz w:val="20"/>
          <w:szCs w:val="20"/>
        </w:rPr>
        <w:t xml:space="preserve"> </w:t>
      </w:r>
      <w:r w:rsidR="006B134A" w:rsidRPr="00605B9C">
        <w:rPr>
          <w:rFonts w:ascii="Verdana" w:hAnsi="Verdana" w:cs="Arial"/>
          <w:bCs/>
          <w:sz w:val="20"/>
          <w:szCs w:val="20"/>
        </w:rPr>
        <w:t>en los eventos en los que hubieren sido vulnerados</w:t>
      </w:r>
      <w:r w:rsidRPr="00605B9C">
        <w:rPr>
          <w:rFonts w:ascii="Verdana" w:hAnsi="Verdana" w:cs="Arial"/>
          <w:bCs/>
          <w:sz w:val="20"/>
          <w:szCs w:val="20"/>
        </w:rPr>
        <w:t>.</w:t>
      </w:r>
      <w:r w:rsidR="003340BC" w:rsidRPr="00605B9C">
        <w:rPr>
          <w:rFonts w:ascii="Verdana" w:hAnsi="Verdana" w:cs="Arial"/>
          <w:bCs/>
          <w:sz w:val="20"/>
          <w:szCs w:val="20"/>
        </w:rPr>
        <w:t xml:space="preserve"> </w:t>
      </w:r>
      <w:r w:rsidRPr="00605B9C">
        <w:rPr>
          <w:rFonts w:ascii="Verdana" w:hAnsi="Verdana" w:cs="Arial"/>
          <w:bCs/>
          <w:sz w:val="20"/>
          <w:szCs w:val="20"/>
        </w:rPr>
        <w:t xml:space="preserve">De esta forma, la </w:t>
      </w:r>
      <w:r w:rsidR="003340BC" w:rsidRPr="00605B9C">
        <w:rPr>
          <w:rFonts w:ascii="Verdana" w:hAnsi="Verdana" w:cs="Arial"/>
          <w:bCs/>
          <w:sz w:val="20"/>
          <w:szCs w:val="20"/>
        </w:rPr>
        <w:t xml:space="preserve">Corte debería </w:t>
      </w:r>
      <w:r w:rsidR="00B8255B" w:rsidRPr="00605B9C">
        <w:rPr>
          <w:rFonts w:ascii="Verdana" w:hAnsi="Verdana" w:cs="Arial"/>
          <w:bCs/>
          <w:sz w:val="20"/>
          <w:szCs w:val="20"/>
        </w:rPr>
        <w:t>no solo abstenerse de intervenir cuando evidencie est</w:t>
      </w:r>
      <w:r w:rsidR="000A37CD" w:rsidRPr="00605B9C">
        <w:rPr>
          <w:rFonts w:ascii="Verdana" w:hAnsi="Verdana" w:cs="Arial"/>
          <w:bCs/>
          <w:sz w:val="20"/>
          <w:szCs w:val="20"/>
        </w:rPr>
        <w:t xml:space="preserve">e comportamiento por parte </w:t>
      </w:r>
      <w:r w:rsidR="00B8255B" w:rsidRPr="00605B9C">
        <w:rPr>
          <w:rFonts w:ascii="Verdana" w:hAnsi="Verdana" w:cs="Arial"/>
          <w:bCs/>
          <w:sz w:val="20"/>
          <w:szCs w:val="20"/>
        </w:rPr>
        <w:t xml:space="preserve">de las autoridades internas, sino </w:t>
      </w:r>
      <w:r w:rsidR="00AD492A" w:rsidRPr="00605B9C">
        <w:rPr>
          <w:rFonts w:ascii="Verdana" w:hAnsi="Verdana" w:cs="Arial"/>
          <w:bCs/>
          <w:sz w:val="20"/>
          <w:szCs w:val="20"/>
        </w:rPr>
        <w:t>reconocer la relevancia de</w:t>
      </w:r>
      <w:r w:rsidR="007A2C8E" w:rsidRPr="00605B9C">
        <w:rPr>
          <w:rFonts w:ascii="Verdana" w:hAnsi="Verdana" w:cs="Arial"/>
          <w:bCs/>
          <w:sz w:val="20"/>
          <w:szCs w:val="20"/>
        </w:rPr>
        <w:t xml:space="preserve"> su compromiso con honrar las obligaciones internacionales adquiridas. </w:t>
      </w:r>
      <w:r w:rsidR="003F2B52" w:rsidRPr="00605B9C">
        <w:rPr>
          <w:rFonts w:ascii="Verdana" w:hAnsi="Verdana" w:cs="Arial"/>
          <w:bCs/>
          <w:sz w:val="20"/>
          <w:szCs w:val="20"/>
        </w:rPr>
        <w:t>Así lo señala la Convención Americana</w:t>
      </w:r>
      <w:r w:rsidR="001C6F82" w:rsidRPr="00605B9C">
        <w:rPr>
          <w:rStyle w:val="Refdenotaalpie"/>
          <w:rFonts w:ascii="Verdana" w:hAnsi="Verdana" w:cs="Arial"/>
          <w:bCs/>
          <w:sz w:val="20"/>
          <w:szCs w:val="20"/>
        </w:rPr>
        <w:footnoteReference w:id="32"/>
      </w:r>
      <w:r w:rsidR="003F2B52" w:rsidRPr="00605B9C">
        <w:rPr>
          <w:rFonts w:ascii="Verdana" w:hAnsi="Verdana" w:cs="Arial"/>
          <w:bCs/>
          <w:sz w:val="20"/>
          <w:szCs w:val="20"/>
        </w:rPr>
        <w:t>, y lo reconoce la Corte en su jurisprudencia</w:t>
      </w:r>
      <w:r w:rsidRPr="00605B9C">
        <w:rPr>
          <w:rFonts w:ascii="Verdana" w:hAnsi="Verdana" w:cs="Arial"/>
          <w:bCs/>
          <w:sz w:val="20"/>
          <w:szCs w:val="20"/>
        </w:rPr>
        <w:t xml:space="preserve"> cuando ha desarrollado criterios relacionados con los principios y alcances de la subsidiariedad y la complementariedad de la jurisdicción internacional</w:t>
      </w:r>
      <w:r w:rsidR="001C6F82" w:rsidRPr="00605B9C">
        <w:rPr>
          <w:rStyle w:val="Refdenotaalpie"/>
          <w:rFonts w:ascii="Verdana" w:hAnsi="Verdana" w:cs="Arial"/>
          <w:bCs/>
          <w:sz w:val="20"/>
          <w:szCs w:val="20"/>
        </w:rPr>
        <w:footnoteReference w:id="33"/>
      </w:r>
      <w:r w:rsidR="003F2B52" w:rsidRPr="00605B9C">
        <w:rPr>
          <w:rFonts w:ascii="Verdana" w:hAnsi="Verdana" w:cs="Arial"/>
          <w:bCs/>
          <w:sz w:val="20"/>
          <w:szCs w:val="20"/>
        </w:rPr>
        <w:t>.</w:t>
      </w:r>
    </w:p>
    <w:p w14:paraId="14D2CADF" w14:textId="10CEE96E" w:rsidR="00CF500D" w:rsidRDefault="007A2C8E" w:rsidP="00585559">
      <w:pPr>
        <w:pStyle w:val="Prrafodelista"/>
        <w:numPr>
          <w:ilvl w:val="0"/>
          <w:numId w:val="2"/>
        </w:numPr>
        <w:autoSpaceDE w:val="0"/>
        <w:autoSpaceDN w:val="0"/>
        <w:adjustRightInd w:val="0"/>
        <w:spacing w:after="0" w:line="240" w:lineRule="auto"/>
        <w:ind w:left="0" w:firstLine="0"/>
        <w:jc w:val="both"/>
        <w:outlineLvl w:val="0"/>
        <w:rPr>
          <w:rFonts w:ascii="Verdana" w:hAnsi="Verdana" w:cs="Arial"/>
          <w:bCs/>
          <w:sz w:val="20"/>
          <w:szCs w:val="20"/>
        </w:rPr>
      </w:pPr>
      <w:r w:rsidRPr="00605B9C">
        <w:rPr>
          <w:rFonts w:ascii="Verdana" w:hAnsi="Verdana" w:cs="Arial"/>
          <w:bCs/>
          <w:sz w:val="20"/>
          <w:szCs w:val="20"/>
        </w:rPr>
        <w:lastRenderedPageBreak/>
        <w:t>Lo anterior</w:t>
      </w:r>
      <w:r w:rsidR="00327172" w:rsidRPr="00605B9C">
        <w:rPr>
          <w:rFonts w:ascii="Verdana" w:hAnsi="Verdana" w:cs="Arial"/>
          <w:bCs/>
          <w:sz w:val="20"/>
          <w:szCs w:val="20"/>
        </w:rPr>
        <w:t xml:space="preserve"> además</w:t>
      </w:r>
      <w:r w:rsidRPr="00605B9C">
        <w:rPr>
          <w:rFonts w:ascii="Verdana" w:hAnsi="Verdana" w:cs="Arial"/>
          <w:bCs/>
          <w:sz w:val="20"/>
          <w:szCs w:val="20"/>
        </w:rPr>
        <w:t xml:space="preserve"> resultaría coherente con la posición asumida por la Corte en relación con la figura del control de convencionalidad, como una obligación surgida de la Convención Americana con el objetivo de que </w:t>
      </w:r>
      <w:r w:rsidR="001E5464" w:rsidRPr="00605B9C">
        <w:rPr>
          <w:rFonts w:ascii="Verdana" w:hAnsi="Verdana" w:cs="Arial"/>
          <w:bCs/>
          <w:sz w:val="20"/>
          <w:szCs w:val="20"/>
        </w:rPr>
        <w:t xml:space="preserve">todos los jueces y autoridades del orden interno actúen como jueces interamericanos, y no sea necesario acudir al Tribunal de San José para encontrar </w:t>
      </w:r>
      <w:r w:rsidR="003049C5" w:rsidRPr="00605B9C">
        <w:rPr>
          <w:rFonts w:ascii="Verdana" w:hAnsi="Verdana" w:cs="Arial"/>
          <w:bCs/>
          <w:sz w:val="20"/>
          <w:szCs w:val="20"/>
        </w:rPr>
        <w:t xml:space="preserve">una respuesta a las acciones u omisiones estatales que desconozcan </w:t>
      </w:r>
      <w:r w:rsidR="00DE0AC9" w:rsidRPr="00605B9C">
        <w:rPr>
          <w:rFonts w:ascii="Verdana" w:hAnsi="Verdana" w:cs="Arial"/>
          <w:bCs/>
          <w:sz w:val="20"/>
          <w:szCs w:val="20"/>
        </w:rPr>
        <w:t xml:space="preserve">las obligaciones de </w:t>
      </w:r>
      <w:r w:rsidR="003049C5" w:rsidRPr="00605B9C">
        <w:rPr>
          <w:rFonts w:ascii="Verdana" w:hAnsi="Verdana" w:cs="Arial"/>
          <w:bCs/>
          <w:sz w:val="20"/>
          <w:szCs w:val="20"/>
        </w:rPr>
        <w:t>respeto y ga</w:t>
      </w:r>
      <w:r w:rsidR="00585559">
        <w:rPr>
          <w:rFonts w:ascii="Verdana" w:hAnsi="Verdana" w:cs="Arial"/>
          <w:bCs/>
          <w:sz w:val="20"/>
          <w:szCs w:val="20"/>
        </w:rPr>
        <w:t>rantía de los derechos humanos.</w:t>
      </w:r>
    </w:p>
    <w:p w14:paraId="6CDDC992" w14:textId="77777777" w:rsidR="00585559" w:rsidRPr="00605B9C" w:rsidRDefault="00585559" w:rsidP="00585559">
      <w:pPr>
        <w:pStyle w:val="Prrafodelista"/>
        <w:autoSpaceDE w:val="0"/>
        <w:autoSpaceDN w:val="0"/>
        <w:adjustRightInd w:val="0"/>
        <w:spacing w:after="0" w:line="240" w:lineRule="auto"/>
        <w:ind w:left="0"/>
        <w:jc w:val="both"/>
        <w:outlineLvl w:val="0"/>
        <w:rPr>
          <w:rFonts w:ascii="Verdana" w:hAnsi="Verdana" w:cs="Arial"/>
          <w:bCs/>
          <w:sz w:val="20"/>
          <w:szCs w:val="20"/>
        </w:rPr>
      </w:pPr>
    </w:p>
    <w:p w14:paraId="0020903B" w14:textId="4160562C" w:rsidR="00EE77D4" w:rsidRDefault="002918C4" w:rsidP="00585559">
      <w:pPr>
        <w:pStyle w:val="Prrafodelista"/>
        <w:numPr>
          <w:ilvl w:val="0"/>
          <w:numId w:val="2"/>
        </w:numPr>
        <w:autoSpaceDE w:val="0"/>
        <w:autoSpaceDN w:val="0"/>
        <w:adjustRightInd w:val="0"/>
        <w:spacing w:after="0" w:line="240" w:lineRule="auto"/>
        <w:ind w:left="0" w:firstLine="0"/>
        <w:jc w:val="both"/>
        <w:outlineLvl w:val="0"/>
        <w:rPr>
          <w:rFonts w:ascii="Verdana" w:hAnsi="Verdana" w:cs="Arial"/>
          <w:bCs/>
          <w:sz w:val="20"/>
          <w:szCs w:val="20"/>
        </w:rPr>
      </w:pPr>
      <w:r w:rsidRPr="00605B9C">
        <w:rPr>
          <w:rFonts w:ascii="Verdana" w:hAnsi="Verdana" w:cs="Arial"/>
          <w:bCs/>
          <w:sz w:val="20"/>
          <w:szCs w:val="20"/>
        </w:rPr>
        <w:t xml:space="preserve">De otra parte, en relación con la consideración según la cual </w:t>
      </w:r>
      <w:r w:rsidR="005B377D" w:rsidRPr="00605B9C">
        <w:rPr>
          <w:rFonts w:ascii="Verdana" w:hAnsi="Verdana" w:cs="Arial"/>
          <w:bCs/>
          <w:sz w:val="20"/>
          <w:szCs w:val="20"/>
        </w:rPr>
        <w:t>los derechos a la vida, a la integridad personal</w:t>
      </w:r>
      <w:r w:rsidR="00471911" w:rsidRPr="00605B9C">
        <w:rPr>
          <w:rFonts w:ascii="Verdana" w:hAnsi="Verdana" w:cs="Arial"/>
          <w:bCs/>
          <w:sz w:val="20"/>
          <w:szCs w:val="20"/>
        </w:rPr>
        <w:t>,</w:t>
      </w:r>
      <w:r w:rsidR="005B377D" w:rsidRPr="00605B9C">
        <w:rPr>
          <w:rFonts w:ascii="Verdana" w:hAnsi="Verdana" w:cs="Arial"/>
          <w:bCs/>
          <w:sz w:val="20"/>
          <w:szCs w:val="20"/>
        </w:rPr>
        <w:t xml:space="preserve"> a la salud</w:t>
      </w:r>
      <w:r w:rsidR="00471911" w:rsidRPr="00605B9C">
        <w:rPr>
          <w:rFonts w:ascii="Verdana" w:hAnsi="Verdana" w:cs="Arial"/>
          <w:bCs/>
          <w:sz w:val="20"/>
          <w:szCs w:val="20"/>
        </w:rPr>
        <w:t xml:space="preserve"> y a la seguridad social</w:t>
      </w:r>
      <w:r w:rsidR="005B377D" w:rsidRPr="00605B9C">
        <w:rPr>
          <w:rFonts w:ascii="Verdana" w:hAnsi="Verdana" w:cs="Arial"/>
          <w:bCs/>
          <w:sz w:val="20"/>
          <w:szCs w:val="20"/>
        </w:rPr>
        <w:t xml:space="preserve"> de Martina se encuentran en riesgo </w:t>
      </w:r>
      <w:r w:rsidR="00760225" w:rsidRPr="00605B9C">
        <w:rPr>
          <w:rFonts w:ascii="Verdana" w:hAnsi="Verdana" w:cs="Arial"/>
          <w:bCs/>
          <w:sz w:val="20"/>
          <w:szCs w:val="20"/>
        </w:rPr>
        <w:t>según lo demuestra</w:t>
      </w:r>
      <w:r w:rsidR="005B377D" w:rsidRPr="00605B9C">
        <w:rPr>
          <w:rFonts w:ascii="Verdana" w:hAnsi="Verdana" w:cs="Arial"/>
          <w:bCs/>
          <w:sz w:val="20"/>
          <w:szCs w:val="20"/>
        </w:rPr>
        <w:t xml:space="preserve"> la actividad litigiosa emprendida por los padres en contra de la ISAPRE</w:t>
      </w:r>
      <w:r w:rsidR="00471911" w:rsidRPr="00605B9C">
        <w:rPr>
          <w:rFonts w:ascii="Verdana" w:hAnsi="Verdana" w:cs="Arial"/>
          <w:bCs/>
          <w:sz w:val="20"/>
          <w:szCs w:val="20"/>
        </w:rPr>
        <w:t>,</w:t>
      </w:r>
      <w:r w:rsidR="003D52EC" w:rsidRPr="00605B9C">
        <w:rPr>
          <w:rFonts w:ascii="Verdana" w:hAnsi="Verdana" w:cs="Arial"/>
          <w:bCs/>
          <w:sz w:val="20"/>
          <w:szCs w:val="20"/>
        </w:rPr>
        <w:t xml:space="preserve"> y que por tanto el Estado no ha cesado el ilícito internacional</w:t>
      </w:r>
      <w:r w:rsidR="00471911" w:rsidRPr="00605B9C">
        <w:rPr>
          <w:rFonts w:ascii="Verdana" w:hAnsi="Verdana" w:cs="Arial"/>
          <w:bCs/>
          <w:sz w:val="20"/>
          <w:szCs w:val="20"/>
        </w:rPr>
        <w:t xml:space="preserve">, considero </w:t>
      </w:r>
      <w:r w:rsidR="00F46C87" w:rsidRPr="00605B9C">
        <w:rPr>
          <w:rFonts w:ascii="Verdana" w:hAnsi="Verdana" w:cs="Arial"/>
          <w:bCs/>
          <w:sz w:val="20"/>
          <w:szCs w:val="20"/>
        </w:rPr>
        <w:t xml:space="preserve">que </w:t>
      </w:r>
      <w:r w:rsidR="003D52EC" w:rsidRPr="00605B9C">
        <w:rPr>
          <w:rFonts w:ascii="Verdana" w:hAnsi="Verdana" w:cs="Arial"/>
          <w:bCs/>
          <w:sz w:val="20"/>
          <w:szCs w:val="20"/>
        </w:rPr>
        <w:t xml:space="preserve">esos </w:t>
      </w:r>
      <w:r w:rsidR="00F46C87" w:rsidRPr="00605B9C">
        <w:rPr>
          <w:rFonts w:ascii="Verdana" w:hAnsi="Verdana" w:cs="Arial"/>
          <w:bCs/>
          <w:sz w:val="20"/>
          <w:szCs w:val="20"/>
        </w:rPr>
        <w:t xml:space="preserve">elementos </w:t>
      </w:r>
      <w:r w:rsidR="00471911" w:rsidRPr="00605B9C">
        <w:rPr>
          <w:rFonts w:ascii="Verdana" w:hAnsi="Verdana" w:cs="Arial"/>
          <w:bCs/>
          <w:sz w:val="20"/>
          <w:szCs w:val="20"/>
        </w:rPr>
        <w:t>debieron ser analizados de manera autónoma en el caso</w:t>
      </w:r>
      <w:r w:rsidR="00DB72A3" w:rsidRPr="00605B9C">
        <w:rPr>
          <w:rFonts w:ascii="Verdana" w:hAnsi="Verdana" w:cs="Arial"/>
          <w:bCs/>
          <w:sz w:val="20"/>
          <w:szCs w:val="20"/>
        </w:rPr>
        <w:t>,</w:t>
      </w:r>
      <w:r w:rsidR="00471911" w:rsidRPr="00605B9C">
        <w:rPr>
          <w:rFonts w:ascii="Verdana" w:hAnsi="Verdana" w:cs="Arial"/>
          <w:bCs/>
          <w:sz w:val="20"/>
          <w:szCs w:val="20"/>
        </w:rPr>
        <w:t xml:space="preserve"> y no como parte del análisis sobre las violaciones que pudieron ocurrir por el retiro del régimen de hospitalización domiciliaria (el cual, como se ha señalado, fue restituido). El hecho de realizar el análisis conjunto de ambas cuestiones derivó en la </w:t>
      </w:r>
      <w:r w:rsidR="00DB72A3" w:rsidRPr="00605B9C">
        <w:rPr>
          <w:rFonts w:ascii="Verdana" w:hAnsi="Verdana" w:cs="Arial"/>
          <w:bCs/>
          <w:sz w:val="20"/>
          <w:szCs w:val="20"/>
        </w:rPr>
        <w:t>declaración de responsabilidad internacional del Estado, cuestión que a mi parecer resulta incoherente con los hechos presentados en el caso y con el principio de complementariedad. En el futuro, este tipo de análisis debe ser realizado por separado, de forma que se determine con mayor precisión jurídica el alcance de la responsabilidad internacional de los Estado en casos como el presente.</w:t>
      </w:r>
      <w:r w:rsidR="00471911" w:rsidRPr="00605B9C">
        <w:rPr>
          <w:rFonts w:ascii="Verdana" w:hAnsi="Verdana" w:cs="Arial"/>
          <w:bCs/>
          <w:sz w:val="20"/>
          <w:szCs w:val="20"/>
        </w:rPr>
        <w:t xml:space="preserve"> </w:t>
      </w:r>
    </w:p>
    <w:p w14:paraId="7820618F" w14:textId="7A4FA64A" w:rsidR="00C970C6" w:rsidRPr="00A01556" w:rsidRDefault="00C970C6" w:rsidP="00C970C6">
      <w:pPr>
        <w:pStyle w:val="Prrafodelista"/>
        <w:rPr>
          <w:rFonts w:ascii="Verdana" w:hAnsi="Verdana" w:cs="Arial"/>
          <w:bCs/>
          <w:sz w:val="20"/>
          <w:szCs w:val="20"/>
        </w:rPr>
      </w:pPr>
    </w:p>
    <w:p w14:paraId="7FE1C00C" w14:textId="0F527264" w:rsidR="00C970C6" w:rsidRPr="00A01556" w:rsidRDefault="00C970C6" w:rsidP="00C970C6">
      <w:pPr>
        <w:pStyle w:val="Prrafodelista"/>
        <w:rPr>
          <w:rFonts w:ascii="Verdana" w:hAnsi="Verdana" w:cs="Arial"/>
          <w:bCs/>
          <w:sz w:val="20"/>
          <w:szCs w:val="20"/>
        </w:rPr>
      </w:pPr>
    </w:p>
    <w:p w14:paraId="68FB0EF0" w14:textId="77777777" w:rsidR="0046191B" w:rsidRPr="00A01556" w:rsidRDefault="0046191B" w:rsidP="00C970C6">
      <w:pPr>
        <w:pStyle w:val="Prrafodelista"/>
        <w:rPr>
          <w:rFonts w:ascii="Verdana" w:hAnsi="Verdana" w:cs="Arial"/>
          <w:bCs/>
          <w:sz w:val="20"/>
          <w:szCs w:val="20"/>
        </w:rPr>
      </w:pPr>
    </w:p>
    <w:p w14:paraId="27DFEA69" w14:textId="162C6AB6" w:rsidR="00C970C6" w:rsidRPr="00A01556" w:rsidRDefault="00C970C6" w:rsidP="00C970C6">
      <w:pPr>
        <w:pStyle w:val="Prrafodelista"/>
        <w:rPr>
          <w:rFonts w:ascii="Verdana" w:hAnsi="Verdana" w:cs="Arial"/>
          <w:bCs/>
          <w:sz w:val="20"/>
          <w:szCs w:val="20"/>
        </w:rPr>
      </w:pPr>
    </w:p>
    <w:p w14:paraId="0CFC3431" w14:textId="77777777" w:rsidR="00C970C6" w:rsidRPr="00A01556" w:rsidRDefault="00C970C6" w:rsidP="00C970C6">
      <w:pPr>
        <w:pStyle w:val="Prrafodelista"/>
        <w:rPr>
          <w:rFonts w:ascii="Verdana" w:hAnsi="Verdana" w:cs="Arial"/>
          <w:bCs/>
          <w:sz w:val="20"/>
          <w:szCs w:val="20"/>
        </w:rPr>
      </w:pPr>
    </w:p>
    <w:p w14:paraId="06108414" w14:textId="77777777" w:rsidR="00C970C6" w:rsidRPr="00A01556" w:rsidRDefault="00C970C6" w:rsidP="00C970C6">
      <w:pPr>
        <w:ind w:left="4248"/>
        <w:jc w:val="center"/>
        <w:rPr>
          <w:rFonts w:ascii="Verdana" w:hAnsi="Verdana"/>
          <w:sz w:val="20"/>
          <w:szCs w:val="20"/>
          <w:lang w:val="es-CR"/>
        </w:rPr>
      </w:pPr>
      <w:r w:rsidRPr="00A01556">
        <w:rPr>
          <w:rFonts w:ascii="Verdana" w:hAnsi="Verdana"/>
          <w:sz w:val="20"/>
          <w:szCs w:val="20"/>
          <w:lang w:val="es-CR"/>
        </w:rPr>
        <w:t>Humberto Antonio Sierra Porto</w:t>
      </w:r>
    </w:p>
    <w:p w14:paraId="42A7A684" w14:textId="6510DCA2" w:rsidR="00C970C6" w:rsidRPr="00A01556" w:rsidRDefault="00C970C6" w:rsidP="00C970C6">
      <w:pPr>
        <w:ind w:left="4248"/>
        <w:jc w:val="center"/>
        <w:rPr>
          <w:rFonts w:ascii="Verdana" w:hAnsi="Verdana"/>
          <w:sz w:val="20"/>
          <w:szCs w:val="20"/>
          <w:lang w:val="es-CR"/>
        </w:rPr>
      </w:pPr>
      <w:r w:rsidRPr="00A01556">
        <w:rPr>
          <w:rFonts w:ascii="Verdana" w:hAnsi="Verdana"/>
          <w:sz w:val="20"/>
          <w:szCs w:val="20"/>
          <w:lang w:val="es-CR"/>
        </w:rPr>
        <w:t>Juez</w:t>
      </w:r>
    </w:p>
    <w:p w14:paraId="34ABF916" w14:textId="54998256" w:rsidR="00C970C6" w:rsidRPr="00A01556" w:rsidRDefault="00C970C6" w:rsidP="00C970C6">
      <w:pPr>
        <w:tabs>
          <w:tab w:val="left" w:pos="1440"/>
        </w:tabs>
        <w:jc w:val="center"/>
        <w:rPr>
          <w:rFonts w:ascii="Verdana" w:hAnsi="Verdana"/>
          <w:sz w:val="20"/>
          <w:szCs w:val="20"/>
          <w:highlight w:val="yellow"/>
          <w:lang w:val="es-CR"/>
        </w:rPr>
      </w:pPr>
    </w:p>
    <w:p w14:paraId="72275BB5" w14:textId="50B7A0B2" w:rsidR="00C970C6" w:rsidRPr="00A01556" w:rsidRDefault="00C970C6" w:rsidP="0046191B">
      <w:pPr>
        <w:tabs>
          <w:tab w:val="left" w:pos="1440"/>
        </w:tabs>
        <w:rPr>
          <w:rFonts w:ascii="Verdana" w:hAnsi="Verdana"/>
          <w:sz w:val="20"/>
          <w:szCs w:val="20"/>
          <w:highlight w:val="yellow"/>
          <w:lang w:val="es-CR"/>
        </w:rPr>
      </w:pPr>
    </w:p>
    <w:p w14:paraId="0BEA8494" w14:textId="4D214715" w:rsidR="0046191B" w:rsidRPr="00A01556" w:rsidRDefault="0046191B" w:rsidP="0046191B">
      <w:pPr>
        <w:tabs>
          <w:tab w:val="left" w:pos="1440"/>
        </w:tabs>
        <w:rPr>
          <w:rFonts w:ascii="Verdana" w:hAnsi="Verdana"/>
          <w:sz w:val="20"/>
          <w:szCs w:val="20"/>
          <w:highlight w:val="yellow"/>
          <w:lang w:val="es-CR"/>
        </w:rPr>
      </w:pPr>
    </w:p>
    <w:p w14:paraId="6AF6122E" w14:textId="085F07D0" w:rsidR="00C970C6" w:rsidRPr="00A01556" w:rsidRDefault="00C970C6" w:rsidP="00C970C6">
      <w:pPr>
        <w:tabs>
          <w:tab w:val="left" w:pos="1440"/>
        </w:tabs>
        <w:rPr>
          <w:rFonts w:ascii="Verdana" w:hAnsi="Verdana"/>
          <w:sz w:val="20"/>
          <w:szCs w:val="20"/>
          <w:highlight w:val="yellow"/>
          <w:lang w:val="es-CR"/>
        </w:rPr>
      </w:pPr>
    </w:p>
    <w:p w14:paraId="7D247069" w14:textId="77777777" w:rsidR="00C970C6" w:rsidRPr="00A01556" w:rsidRDefault="00C970C6" w:rsidP="00C970C6">
      <w:pPr>
        <w:tabs>
          <w:tab w:val="left" w:pos="1440"/>
        </w:tabs>
        <w:rPr>
          <w:rFonts w:ascii="Verdana" w:hAnsi="Verdana"/>
          <w:sz w:val="20"/>
          <w:szCs w:val="20"/>
          <w:highlight w:val="yellow"/>
          <w:lang w:val="es-CR"/>
        </w:rPr>
      </w:pPr>
    </w:p>
    <w:p w14:paraId="1C72BAD7" w14:textId="77777777" w:rsidR="0046191B" w:rsidRPr="00A01556" w:rsidRDefault="00C970C6" w:rsidP="00C970C6">
      <w:pPr>
        <w:tabs>
          <w:tab w:val="left" w:pos="1440"/>
        </w:tabs>
        <w:rPr>
          <w:rFonts w:ascii="Verdana" w:hAnsi="Verdana"/>
          <w:sz w:val="20"/>
          <w:szCs w:val="20"/>
        </w:rPr>
      </w:pPr>
      <w:r w:rsidRPr="00A01556">
        <w:rPr>
          <w:rFonts w:ascii="Verdana" w:hAnsi="Verdana"/>
          <w:sz w:val="20"/>
          <w:szCs w:val="20"/>
          <w:lang w:val="es-CR"/>
        </w:rPr>
        <w:t xml:space="preserve">        </w:t>
      </w:r>
      <w:r w:rsidR="0046191B" w:rsidRPr="00A01556">
        <w:rPr>
          <w:rFonts w:ascii="Verdana" w:hAnsi="Verdana"/>
          <w:sz w:val="20"/>
          <w:szCs w:val="20"/>
        </w:rPr>
        <w:t>Romina I. Sijniensky</w:t>
      </w:r>
    </w:p>
    <w:p w14:paraId="79F9562A" w14:textId="65D4DD5D" w:rsidR="00C970C6" w:rsidRPr="00A01556" w:rsidRDefault="0046191B" w:rsidP="00C970C6">
      <w:pPr>
        <w:tabs>
          <w:tab w:val="left" w:pos="1440"/>
        </w:tabs>
        <w:rPr>
          <w:rFonts w:ascii="Verdana" w:hAnsi="Verdana"/>
          <w:sz w:val="20"/>
          <w:szCs w:val="20"/>
          <w:lang w:val="es-CR"/>
        </w:rPr>
      </w:pPr>
      <w:r w:rsidRPr="00A01556">
        <w:rPr>
          <w:rFonts w:ascii="Verdana" w:hAnsi="Verdana"/>
          <w:sz w:val="20"/>
          <w:szCs w:val="20"/>
        </w:rPr>
        <w:t xml:space="preserve">        Secretaria Adjunta</w:t>
      </w:r>
    </w:p>
    <w:p w14:paraId="7B70BA09" w14:textId="77777777" w:rsidR="00C970C6" w:rsidRPr="00A01556" w:rsidRDefault="00C970C6" w:rsidP="00C970C6">
      <w:pPr>
        <w:pStyle w:val="Prrafodelista"/>
        <w:autoSpaceDE w:val="0"/>
        <w:autoSpaceDN w:val="0"/>
        <w:adjustRightInd w:val="0"/>
        <w:spacing w:after="0" w:line="240" w:lineRule="auto"/>
        <w:ind w:left="0"/>
        <w:jc w:val="both"/>
        <w:outlineLvl w:val="0"/>
        <w:rPr>
          <w:rFonts w:ascii="Verdana" w:hAnsi="Verdana" w:cs="Arial"/>
          <w:bCs/>
          <w:sz w:val="20"/>
          <w:szCs w:val="20"/>
        </w:rPr>
      </w:pPr>
    </w:p>
    <w:sectPr w:rsidR="00C970C6" w:rsidRPr="00A01556" w:rsidSect="00A671F6">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38511" w14:textId="77777777" w:rsidR="00A629A8" w:rsidRDefault="00A629A8" w:rsidP="00DE3B1C">
      <w:r>
        <w:separator/>
      </w:r>
    </w:p>
  </w:endnote>
  <w:endnote w:type="continuationSeparator" w:id="0">
    <w:p w14:paraId="6409B67A" w14:textId="77777777" w:rsidR="00A629A8" w:rsidRDefault="00A629A8" w:rsidP="00DE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84964"/>
      <w:docPartObj>
        <w:docPartGallery w:val="Page Numbers (Bottom of Page)"/>
        <w:docPartUnique/>
      </w:docPartObj>
    </w:sdtPr>
    <w:sdtEndPr/>
    <w:sdtContent>
      <w:p w14:paraId="1D03BC4B" w14:textId="339172E4" w:rsidR="00A671F6" w:rsidRDefault="00A671F6">
        <w:pPr>
          <w:pStyle w:val="Piedepgina"/>
          <w:jc w:val="right"/>
        </w:pPr>
        <w:r>
          <w:fldChar w:fldCharType="begin"/>
        </w:r>
        <w:r>
          <w:instrText>PAGE   \* MERGEFORMAT</w:instrText>
        </w:r>
        <w:r>
          <w:fldChar w:fldCharType="separate"/>
        </w:r>
        <w:r w:rsidR="007A0C9E" w:rsidRPr="007A0C9E">
          <w:rPr>
            <w:noProof/>
            <w:lang w:val="es-ES"/>
          </w:rPr>
          <w:t>6</w:t>
        </w:r>
        <w:r>
          <w:fldChar w:fldCharType="end"/>
        </w:r>
      </w:p>
    </w:sdtContent>
  </w:sdt>
  <w:p w14:paraId="7F5BDB3A" w14:textId="77777777" w:rsidR="00A671F6" w:rsidRDefault="00A671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25953" w14:textId="77777777" w:rsidR="00A629A8" w:rsidRDefault="00A629A8" w:rsidP="00DE3B1C">
      <w:r>
        <w:separator/>
      </w:r>
    </w:p>
  </w:footnote>
  <w:footnote w:type="continuationSeparator" w:id="0">
    <w:p w14:paraId="7D040EDE" w14:textId="77777777" w:rsidR="00A629A8" w:rsidRDefault="00A629A8" w:rsidP="00DE3B1C">
      <w:r>
        <w:continuationSeparator/>
      </w:r>
    </w:p>
  </w:footnote>
  <w:footnote w:id="1">
    <w:p w14:paraId="15C143CB" w14:textId="77777777" w:rsidR="0051508E" w:rsidRPr="00A256FB" w:rsidRDefault="0051508E" w:rsidP="00585559">
      <w:pPr>
        <w:pStyle w:val="Textonotapie"/>
        <w:jc w:val="both"/>
        <w:rPr>
          <w:rFonts w:ascii="Verdana" w:hAnsi="Verdana"/>
          <w:b/>
          <w:bCs/>
          <w:sz w:val="18"/>
          <w:szCs w:val="18"/>
          <w:shd w:val="clear" w:color="auto" w:fill="FFFFFF"/>
        </w:rPr>
      </w:pPr>
      <w:r w:rsidRPr="005C0B9E">
        <w:rPr>
          <w:rStyle w:val="Refdenotaalpie"/>
          <w:rFonts w:ascii="Verdana" w:hAnsi="Verdana"/>
          <w:sz w:val="18"/>
          <w:szCs w:val="18"/>
        </w:rPr>
        <w:footnoteRef/>
      </w:r>
      <w:r w:rsidRPr="005C0B9E">
        <w:rPr>
          <w:rFonts w:ascii="Verdana" w:hAnsi="Verdana"/>
          <w:sz w:val="18"/>
          <w:szCs w:val="18"/>
        </w:rPr>
        <w:tab/>
      </w:r>
      <w:r w:rsidRPr="005C0B9E">
        <w:rPr>
          <w:rFonts w:ascii="Verdana" w:hAnsi="Verdana"/>
          <w:i/>
          <w:sz w:val="18"/>
          <w:szCs w:val="18"/>
        </w:rPr>
        <w:t>Cfr.</w:t>
      </w:r>
      <w:r w:rsidRPr="005C0B9E">
        <w:rPr>
          <w:rFonts w:ascii="Verdana" w:hAnsi="Verdana"/>
          <w:sz w:val="18"/>
          <w:szCs w:val="18"/>
        </w:rPr>
        <w:t xml:space="preserve"> </w:t>
      </w:r>
      <w:r w:rsidRPr="00A256FB">
        <w:rPr>
          <w:rStyle w:val="Textoennegrita"/>
          <w:rFonts w:ascii="Verdana" w:hAnsi="Verdana"/>
          <w:b w:val="0"/>
          <w:bCs w:val="0"/>
          <w:i/>
          <w:sz w:val="18"/>
          <w:szCs w:val="18"/>
        </w:rPr>
        <w:t>Caso Lagos del Campo Vs. Perú</w:t>
      </w:r>
      <w:r w:rsidRPr="005C0B9E">
        <w:rPr>
          <w:rStyle w:val="Textoennegrita"/>
          <w:rFonts w:ascii="Verdana" w:hAnsi="Verdana"/>
          <w:i/>
          <w:sz w:val="18"/>
          <w:szCs w:val="18"/>
        </w:rPr>
        <w:t xml:space="preserve">. </w:t>
      </w:r>
      <w:r w:rsidRPr="005C0B9E">
        <w:rPr>
          <w:rFonts w:ascii="Verdana" w:hAnsi="Verdana"/>
          <w:i/>
          <w:sz w:val="18"/>
          <w:szCs w:val="18"/>
        </w:rPr>
        <w:t xml:space="preserve">Excepciones Preliminares, Fondo, Reparaciones y Costas. </w:t>
      </w:r>
      <w:r w:rsidRPr="005C0B9E">
        <w:rPr>
          <w:rFonts w:ascii="Verdana" w:hAnsi="Verdana"/>
          <w:sz w:val="18"/>
          <w:szCs w:val="18"/>
        </w:rPr>
        <w:t>Sentencia de 31 de</w:t>
      </w:r>
      <w:r w:rsidRPr="005C0B9E">
        <w:rPr>
          <w:rFonts w:ascii="Verdana" w:hAnsi="Verdana"/>
          <w:sz w:val="18"/>
          <w:szCs w:val="18"/>
          <w:shd w:val="clear" w:color="auto" w:fill="FFFFFF"/>
        </w:rPr>
        <w:t xml:space="preserve"> </w:t>
      </w:r>
      <w:r w:rsidRPr="005C0B9E">
        <w:rPr>
          <w:rFonts w:ascii="Verdana" w:hAnsi="Verdana"/>
          <w:sz w:val="18"/>
          <w:szCs w:val="18"/>
        </w:rPr>
        <w:t>agosto de 2017. Serie C No. 340.</w:t>
      </w:r>
      <w:r w:rsidRPr="005C0B9E">
        <w:rPr>
          <w:rFonts w:ascii="Verdana" w:hAnsi="Verdana"/>
          <w:i/>
          <w:sz w:val="18"/>
          <w:szCs w:val="18"/>
        </w:rPr>
        <w:t xml:space="preserve"> </w:t>
      </w:r>
      <w:r w:rsidRPr="00A256FB">
        <w:rPr>
          <w:rStyle w:val="Textoennegrita"/>
          <w:rFonts w:ascii="Verdana" w:hAnsi="Verdana"/>
          <w:b w:val="0"/>
          <w:bCs w:val="0"/>
          <w:sz w:val="18"/>
          <w:szCs w:val="18"/>
        </w:rPr>
        <w:t>Voto parcialmente disidente del Juez Humberto Antonio Sierra Porto.</w:t>
      </w:r>
      <w:r w:rsidRPr="00A256FB">
        <w:rPr>
          <w:rStyle w:val="Textoennegrita"/>
          <w:rFonts w:ascii="Verdana" w:hAnsi="Verdana"/>
          <w:b w:val="0"/>
          <w:bCs w:val="0"/>
          <w:sz w:val="18"/>
          <w:szCs w:val="18"/>
          <w:shd w:val="clear" w:color="auto" w:fill="FFFFFF"/>
        </w:rPr>
        <w:t xml:space="preserve"> </w:t>
      </w:r>
    </w:p>
  </w:footnote>
  <w:footnote w:id="2">
    <w:p w14:paraId="3252745A" w14:textId="77777777" w:rsidR="0051508E" w:rsidRPr="00A256FB" w:rsidRDefault="0051508E" w:rsidP="00585559">
      <w:pPr>
        <w:pStyle w:val="Textonotapie"/>
        <w:jc w:val="both"/>
        <w:rPr>
          <w:rFonts w:ascii="Verdana" w:eastAsia="Calibri" w:hAnsi="Verdana"/>
          <w:sz w:val="18"/>
          <w:szCs w:val="18"/>
          <w:shd w:val="clear" w:color="auto" w:fill="FFFFFF"/>
        </w:rPr>
      </w:pPr>
      <w:r w:rsidRPr="005C0B9E">
        <w:rPr>
          <w:rStyle w:val="Refdenotaalpie"/>
          <w:rFonts w:ascii="Verdana" w:hAnsi="Verdana"/>
          <w:sz w:val="18"/>
          <w:szCs w:val="18"/>
        </w:rPr>
        <w:footnoteRef/>
      </w:r>
      <w:r w:rsidRPr="005C0B9E">
        <w:rPr>
          <w:rFonts w:ascii="Verdana" w:hAnsi="Verdana"/>
          <w:sz w:val="18"/>
          <w:szCs w:val="18"/>
        </w:rPr>
        <w:tab/>
      </w:r>
      <w:r w:rsidRPr="005C0B9E">
        <w:rPr>
          <w:rFonts w:ascii="Verdana" w:hAnsi="Verdana"/>
          <w:i/>
          <w:sz w:val="18"/>
          <w:szCs w:val="18"/>
        </w:rPr>
        <w:t>Cfr. Caso Trabajadores Cesados de Petroperú y otros Vs. Perú. Excepciones Preliminares</w:t>
      </w:r>
      <w:r w:rsidRPr="00A256FB">
        <w:rPr>
          <w:rFonts w:ascii="Verdana" w:hAnsi="Verdana"/>
          <w:b/>
          <w:bCs/>
          <w:i/>
          <w:sz w:val="18"/>
          <w:szCs w:val="18"/>
        </w:rPr>
        <w:t>,</w:t>
      </w:r>
      <w:r w:rsidRPr="005C0B9E">
        <w:rPr>
          <w:rFonts w:ascii="Verdana" w:hAnsi="Verdana"/>
          <w:i/>
          <w:sz w:val="18"/>
          <w:szCs w:val="18"/>
        </w:rPr>
        <w:t xml:space="preserve"> Fondo, Reparaciones y Costas. </w:t>
      </w:r>
      <w:r w:rsidRPr="005C0B9E">
        <w:rPr>
          <w:rFonts w:ascii="Verdana" w:hAnsi="Verdana"/>
          <w:sz w:val="18"/>
          <w:szCs w:val="18"/>
        </w:rPr>
        <w:t>Sentencia de 23 de noviembre de 2017. Serie C No. 344</w:t>
      </w:r>
      <w:r w:rsidRPr="005C0B9E">
        <w:rPr>
          <w:rFonts w:ascii="Verdana" w:hAnsi="Verdana"/>
          <w:i/>
          <w:sz w:val="18"/>
          <w:szCs w:val="18"/>
        </w:rPr>
        <w:t>.</w:t>
      </w:r>
      <w:r w:rsidRPr="005C0B9E">
        <w:rPr>
          <w:rFonts w:ascii="Verdana" w:hAnsi="Verdana"/>
          <w:sz w:val="18"/>
          <w:szCs w:val="18"/>
        </w:rPr>
        <w:t xml:space="preserve"> </w:t>
      </w:r>
      <w:r w:rsidRPr="00A256FB">
        <w:rPr>
          <w:rStyle w:val="Textoennegrita"/>
          <w:rFonts w:ascii="Verdana" w:hAnsi="Verdana"/>
          <w:b w:val="0"/>
          <w:bCs w:val="0"/>
          <w:sz w:val="18"/>
          <w:szCs w:val="18"/>
        </w:rPr>
        <w:t>Voto</w:t>
      </w:r>
      <w:r w:rsidRPr="005C0B9E">
        <w:rPr>
          <w:rStyle w:val="Textoennegrita"/>
          <w:rFonts w:ascii="Verdana" w:hAnsi="Verdana"/>
          <w:sz w:val="18"/>
          <w:szCs w:val="18"/>
        </w:rPr>
        <w:t xml:space="preserve"> </w:t>
      </w:r>
      <w:r w:rsidRPr="00A256FB">
        <w:rPr>
          <w:rStyle w:val="Textoennegrita"/>
          <w:rFonts w:ascii="Verdana" w:hAnsi="Verdana"/>
          <w:b w:val="0"/>
          <w:bCs w:val="0"/>
          <w:sz w:val="18"/>
          <w:szCs w:val="18"/>
        </w:rPr>
        <w:t>parcialmente disidente del Juez Humberto</w:t>
      </w:r>
      <w:r w:rsidRPr="00A256FB">
        <w:rPr>
          <w:rStyle w:val="Textoennegrita"/>
          <w:rFonts w:ascii="Verdana" w:hAnsi="Verdana"/>
          <w:b w:val="0"/>
          <w:bCs w:val="0"/>
          <w:sz w:val="18"/>
          <w:szCs w:val="18"/>
          <w:shd w:val="clear" w:color="auto" w:fill="FFFFFF"/>
        </w:rPr>
        <w:t xml:space="preserve"> </w:t>
      </w:r>
      <w:r w:rsidRPr="00A256FB">
        <w:rPr>
          <w:rStyle w:val="Textoennegrita"/>
          <w:rFonts w:ascii="Verdana" w:hAnsi="Verdana"/>
          <w:b w:val="0"/>
          <w:bCs w:val="0"/>
          <w:sz w:val="18"/>
          <w:szCs w:val="18"/>
        </w:rPr>
        <w:t>Antonio Sierra Porto.</w:t>
      </w:r>
      <w:r w:rsidRPr="00A256FB">
        <w:rPr>
          <w:rStyle w:val="Textoennegrita"/>
          <w:rFonts w:ascii="Verdana" w:hAnsi="Verdana"/>
          <w:b w:val="0"/>
          <w:bCs w:val="0"/>
          <w:sz w:val="18"/>
          <w:szCs w:val="18"/>
          <w:shd w:val="clear" w:color="auto" w:fill="FFFFFF"/>
        </w:rPr>
        <w:t xml:space="preserve"> </w:t>
      </w:r>
    </w:p>
  </w:footnote>
  <w:footnote w:id="3">
    <w:p w14:paraId="20465D9D" w14:textId="77777777" w:rsidR="0051508E" w:rsidRPr="00A256FB" w:rsidRDefault="0051508E" w:rsidP="00585559">
      <w:pPr>
        <w:pStyle w:val="Textonotapie"/>
        <w:jc w:val="both"/>
        <w:rPr>
          <w:rFonts w:ascii="Verdana" w:hAnsi="Verdana"/>
          <w:sz w:val="18"/>
          <w:szCs w:val="18"/>
        </w:rPr>
      </w:pPr>
      <w:r w:rsidRPr="00A256FB">
        <w:rPr>
          <w:rStyle w:val="Refdenotaalpie"/>
          <w:rFonts w:ascii="Verdana" w:hAnsi="Verdana"/>
          <w:sz w:val="18"/>
          <w:szCs w:val="18"/>
        </w:rPr>
        <w:footnoteRef/>
      </w:r>
      <w:r w:rsidRPr="00A256FB">
        <w:rPr>
          <w:rFonts w:ascii="Verdana" w:hAnsi="Verdana"/>
          <w:sz w:val="18"/>
          <w:szCs w:val="18"/>
        </w:rPr>
        <w:tab/>
      </w:r>
      <w:r w:rsidRPr="00A256FB">
        <w:rPr>
          <w:rFonts w:ascii="Verdana" w:hAnsi="Verdana"/>
          <w:i/>
          <w:sz w:val="18"/>
          <w:szCs w:val="18"/>
        </w:rPr>
        <w:t xml:space="preserve">Cfr. </w:t>
      </w:r>
      <w:r w:rsidRPr="00A256FB">
        <w:rPr>
          <w:rStyle w:val="Textoennegrita"/>
          <w:rFonts w:ascii="Verdana" w:hAnsi="Verdana"/>
          <w:b w:val="0"/>
          <w:bCs w:val="0"/>
          <w:i/>
          <w:sz w:val="18"/>
          <w:szCs w:val="18"/>
        </w:rPr>
        <w:t>Caso San Miguel Sosa y otras Vs. Venezuela. Fondo, Reparaciones y Costas.</w:t>
      </w:r>
      <w:r w:rsidRPr="00A256FB">
        <w:rPr>
          <w:rStyle w:val="Textoennegrita"/>
          <w:rFonts w:ascii="Verdana" w:hAnsi="Verdana"/>
          <w:b w:val="0"/>
          <w:bCs w:val="0"/>
          <w:sz w:val="18"/>
          <w:szCs w:val="18"/>
        </w:rPr>
        <w:t xml:space="preserve"> Sentencia de 8 de febrero de</w:t>
      </w:r>
      <w:r w:rsidRPr="00A256FB">
        <w:rPr>
          <w:rStyle w:val="Textoennegrita"/>
          <w:rFonts w:ascii="Verdana" w:hAnsi="Verdana"/>
          <w:b w:val="0"/>
          <w:bCs w:val="0"/>
          <w:sz w:val="18"/>
          <w:szCs w:val="18"/>
          <w:shd w:val="clear" w:color="auto" w:fill="FFFFFF"/>
        </w:rPr>
        <w:t xml:space="preserve"> </w:t>
      </w:r>
      <w:r w:rsidRPr="00A256FB">
        <w:rPr>
          <w:rStyle w:val="Textoennegrita"/>
          <w:rFonts w:ascii="Verdana" w:hAnsi="Verdana"/>
          <w:b w:val="0"/>
          <w:bCs w:val="0"/>
          <w:sz w:val="18"/>
          <w:szCs w:val="18"/>
        </w:rPr>
        <w:t>2018. Serie C No. 348. Voto parcialmente disidente del Juez Humberto Antonio Sierra Porto.</w:t>
      </w:r>
    </w:p>
  </w:footnote>
  <w:footnote w:id="4">
    <w:p w14:paraId="46821D5C" w14:textId="77777777" w:rsidR="0051508E" w:rsidRPr="00A256FB" w:rsidRDefault="0051508E" w:rsidP="00585559">
      <w:pPr>
        <w:pStyle w:val="Textonotapie"/>
        <w:jc w:val="both"/>
        <w:rPr>
          <w:rFonts w:ascii="Verdana" w:hAnsi="Verdana"/>
          <w:b/>
          <w:bCs/>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r>
      <w:r w:rsidRPr="005C0B9E">
        <w:rPr>
          <w:rFonts w:ascii="Verdana" w:hAnsi="Verdana"/>
          <w:i/>
          <w:sz w:val="18"/>
          <w:szCs w:val="18"/>
        </w:rPr>
        <w:t>Cfr.</w:t>
      </w:r>
      <w:r w:rsidRPr="005C0B9E">
        <w:rPr>
          <w:rFonts w:ascii="Verdana" w:hAnsi="Verdana"/>
          <w:sz w:val="18"/>
          <w:szCs w:val="18"/>
        </w:rPr>
        <w:t xml:space="preserve"> </w:t>
      </w:r>
      <w:r w:rsidRPr="005C0B9E">
        <w:rPr>
          <w:rFonts w:ascii="Verdana" w:hAnsi="Verdana"/>
          <w:i/>
          <w:sz w:val="18"/>
          <w:szCs w:val="18"/>
        </w:rPr>
        <w:t>Caso Cuscul Pivaral y otros Vs. Guatemala. Excepción Preliminar, Fondo, Reparaciones y Costas.</w:t>
      </w:r>
      <w:r w:rsidRPr="005C0B9E">
        <w:rPr>
          <w:rFonts w:ascii="Verdana" w:hAnsi="Verdana"/>
          <w:sz w:val="18"/>
          <w:szCs w:val="18"/>
        </w:rPr>
        <w:t xml:space="preserve"> Sentencia de 23 de agosto de 2018. Serie C No. 359. </w:t>
      </w:r>
      <w:r w:rsidRPr="00A256FB">
        <w:rPr>
          <w:rStyle w:val="Textoennegrita"/>
          <w:rFonts w:ascii="Verdana" w:hAnsi="Verdana"/>
          <w:b w:val="0"/>
          <w:bCs w:val="0"/>
          <w:sz w:val="18"/>
          <w:szCs w:val="18"/>
        </w:rPr>
        <w:t>Voto parcialmente disidente del Juez Humberto Antonio Sierra Porto.</w:t>
      </w:r>
    </w:p>
  </w:footnote>
  <w:footnote w:id="5">
    <w:p w14:paraId="08AD3DA6" w14:textId="77777777" w:rsidR="0051508E" w:rsidRPr="00A256FB" w:rsidRDefault="0051508E" w:rsidP="00585559">
      <w:pPr>
        <w:pStyle w:val="Textonotapie"/>
        <w:jc w:val="both"/>
        <w:rPr>
          <w:rFonts w:ascii="Verdana" w:hAnsi="Verdana"/>
          <w:b/>
          <w:bCs/>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r>
      <w:r w:rsidRPr="005C0B9E">
        <w:rPr>
          <w:rFonts w:ascii="Verdana" w:hAnsi="Verdana"/>
          <w:i/>
          <w:sz w:val="18"/>
          <w:szCs w:val="18"/>
        </w:rPr>
        <w:t>Cfr. Caso Muelle Flores Vs. Perú. Excepciones Preliminares, Fondo, Reparaciones y Costas.</w:t>
      </w:r>
      <w:r w:rsidRPr="005C0B9E">
        <w:rPr>
          <w:rFonts w:ascii="Verdana" w:hAnsi="Verdana"/>
          <w:sz w:val="18"/>
          <w:szCs w:val="18"/>
        </w:rPr>
        <w:t xml:space="preserve"> Sentencia de 6 de marzo de 2019. Serie C No. 375. </w:t>
      </w:r>
      <w:r w:rsidRPr="00A256FB">
        <w:rPr>
          <w:rStyle w:val="Textoennegrita"/>
          <w:rFonts w:ascii="Verdana" w:hAnsi="Verdana"/>
          <w:b w:val="0"/>
          <w:bCs w:val="0"/>
          <w:sz w:val="18"/>
          <w:szCs w:val="18"/>
        </w:rPr>
        <w:t>Voto parcialmente disidente del Juez Humberto Antonio Sierra Porto.</w:t>
      </w:r>
    </w:p>
  </w:footnote>
  <w:footnote w:id="6">
    <w:p w14:paraId="7922BA01" w14:textId="77777777" w:rsidR="0051508E" w:rsidRPr="00A256FB" w:rsidRDefault="0051508E" w:rsidP="00585559">
      <w:pPr>
        <w:pStyle w:val="Textonotapie"/>
        <w:jc w:val="both"/>
        <w:rPr>
          <w:rFonts w:ascii="Verdana" w:hAnsi="Verdana"/>
          <w:b/>
          <w:bCs/>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r>
      <w:r w:rsidRPr="005C0B9E">
        <w:rPr>
          <w:rFonts w:ascii="Verdana" w:hAnsi="Verdana"/>
          <w:i/>
          <w:sz w:val="18"/>
          <w:szCs w:val="18"/>
        </w:rPr>
        <w:t>Cfr. Caso Asociación Nacional de Cesantes y Jubilados de la Superintendencia Nacional de Administración Tributaria (ANCEJUB-SUNAT) Vs. Perú. Excepciones Preliminares, Fondo, Reparaciones y Costas.</w:t>
      </w:r>
      <w:r w:rsidRPr="005C0B9E">
        <w:rPr>
          <w:rFonts w:ascii="Verdana" w:hAnsi="Verdana"/>
          <w:sz w:val="18"/>
          <w:szCs w:val="18"/>
        </w:rPr>
        <w:t xml:space="preserve"> Sentencia de 21 de noviembre de 2019. Serie C No. 394. </w:t>
      </w:r>
      <w:r w:rsidRPr="00A256FB">
        <w:rPr>
          <w:rStyle w:val="Textoennegrita"/>
          <w:rFonts w:ascii="Verdana" w:hAnsi="Verdana"/>
          <w:b w:val="0"/>
          <w:bCs w:val="0"/>
          <w:sz w:val="18"/>
          <w:szCs w:val="18"/>
        </w:rPr>
        <w:t>Voto parcialmente disidente del Juez Humberto Antonio Sierra Porto.</w:t>
      </w:r>
    </w:p>
  </w:footnote>
  <w:footnote w:id="7">
    <w:p w14:paraId="4446BB1D" w14:textId="77777777" w:rsidR="0051508E" w:rsidRPr="005C0B9E" w:rsidRDefault="0051508E"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r>
      <w:r w:rsidRPr="005C0B9E">
        <w:rPr>
          <w:rFonts w:ascii="Verdana" w:hAnsi="Verdana"/>
          <w:i/>
          <w:sz w:val="18"/>
          <w:szCs w:val="18"/>
        </w:rPr>
        <w:t>Cfr. Caso Hernández Vs. Argentina. Excepción Preliminar, Fondo, Reparaciones y Costas.</w:t>
      </w:r>
      <w:r w:rsidRPr="005C0B9E">
        <w:rPr>
          <w:rFonts w:ascii="Verdana" w:hAnsi="Verdana"/>
          <w:sz w:val="18"/>
          <w:szCs w:val="18"/>
        </w:rPr>
        <w:t xml:space="preserve"> Sentencia de 22 de noviembre de 2019. Serie C No. 395. </w:t>
      </w:r>
      <w:r w:rsidRPr="00A256FB">
        <w:rPr>
          <w:rStyle w:val="Textoennegrita"/>
          <w:rFonts w:ascii="Verdana" w:hAnsi="Verdana"/>
          <w:b w:val="0"/>
          <w:bCs w:val="0"/>
          <w:sz w:val="18"/>
          <w:szCs w:val="18"/>
        </w:rPr>
        <w:t>Voto parcialmente disidente del Juez Humberto Antonio Sierra Porto.</w:t>
      </w:r>
    </w:p>
  </w:footnote>
  <w:footnote w:id="8">
    <w:p w14:paraId="68852006" w14:textId="77777777" w:rsidR="0051508E" w:rsidRPr="005C0B9E" w:rsidRDefault="0051508E" w:rsidP="00585559">
      <w:pPr>
        <w:pStyle w:val="Textonotapie"/>
        <w:jc w:val="both"/>
        <w:rPr>
          <w:rFonts w:ascii="Verdana" w:hAnsi="Verdana"/>
          <w:b/>
          <w:bCs/>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r>
      <w:r w:rsidRPr="005C0B9E">
        <w:rPr>
          <w:rFonts w:ascii="Verdana" w:hAnsi="Verdana"/>
          <w:i/>
          <w:sz w:val="18"/>
          <w:szCs w:val="18"/>
        </w:rPr>
        <w:t xml:space="preserve">Cfr. Caso Comunidades Indígenas Miembros de la Asociación Lhaka Honhat (Nuestra Tierra) Vs. Argentina. Fondo, Reparaciones y Costas. </w:t>
      </w:r>
      <w:r w:rsidRPr="005C0B9E">
        <w:rPr>
          <w:rFonts w:ascii="Verdana" w:hAnsi="Verdana"/>
          <w:sz w:val="18"/>
          <w:szCs w:val="18"/>
        </w:rPr>
        <w:t xml:space="preserve">Sentencia de 6 de febrero de 2020. Serie C No. 400. </w:t>
      </w:r>
      <w:r w:rsidRPr="005C0B9E">
        <w:rPr>
          <w:rStyle w:val="Textoennegrita"/>
          <w:rFonts w:ascii="Verdana" w:hAnsi="Verdana"/>
          <w:b w:val="0"/>
          <w:bCs w:val="0"/>
          <w:sz w:val="18"/>
          <w:szCs w:val="18"/>
        </w:rPr>
        <w:t>Voto parcialmente disidente del Juez Humberto Antonio Sierra Porto.</w:t>
      </w:r>
    </w:p>
  </w:footnote>
  <w:footnote w:id="9">
    <w:p w14:paraId="487016F8" w14:textId="79BB5376" w:rsidR="00477AC5" w:rsidRPr="005C0B9E" w:rsidRDefault="00477AC5"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005C0B9E">
        <w:rPr>
          <w:rFonts w:ascii="Verdana" w:hAnsi="Verdana"/>
          <w:sz w:val="18"/>
          <w:szCs w:val="18"/>
        </w:rPr>
        <w:tab/>
      </w:r>
      <w:r w:rsidR="005C0B9E" w:rsidRPr="005C0B9E">
        <w:rPr>
          <w:rFonts w:ascii="Verdana" w:hAnsi="Verdana"/>
          <w:i/>
          <w:iCs/>
          <w:sz w:val="18"/>
          <w:szCs w:val="18"/>
        </w:rPr>
        <w:t xml:space="preserve">Cfr. </w:t>
      </w:r>
      <w:r w:rsidRPr="005C0B9E">
        <w:rPr>
          <w:rFonts w:ascii="Verdana" w:hAnsi="Verdana"/>
          <w:i/>
          <w:iCs/>
          <w:sz w:val="18"/>
          <w:szCs w:val="18"/>
        </w:rPr>
        <w:t xml:space="preserve">Caso Guachalá Chimbo y otros Vs. Ecuador. </w:t>
      </w:r>
      <w:r w:rsidRPr="005C0B9E">
        <w:rPr>
          <w:rFonts w:ascii="Verdana" w:hAnsi="Verdana"/>
          <w:sz w:val="18"/>
          <w:szCs w:val="18"/>
        </w:rPr>
        <w:t xml:space="preserve">Fondo, Reparaciones y Costas. Sentencia de 26 de marzo de 2021. Serie C No. 423. </w:t>
      </w:r>
      <w:r w:rsidRPr="005C0B9E">
        <w:rPr>
          <w:rStyle w:val="Textoennegrita"/>
          <w:rFonts w:ascii="Verdana" w:hAnsi="Verdana"/>
          <w:b w:val="0"/>
          <w:bCs w:val="0"/>
          <w:sz w:val="18"/>
          <w:szCs w:val="18"/>
        </w:rPr>
        <w:t>Voto parcialmente disidente del Juez Humberto Antonio Sierra Porto.</w:t>
      </w:r>
    </w:p>
  </w:footnote>
  <w:footnote w:id="10">
    <w:p w14:paraId="562A73E0" w14:textId="77777777" w:rsidR="0051508E" w:rsidRPr="005C0B9E" w:rsidRDefault="0051508E" w:rsidP="00585559">
      <w:pPr>
        <w:pStyle w:val="Textonotapie"/>
        <w:jc w:val="both"/>
        <w:rPr>
          <w:rFonts w:ascii="Verdana" w:hAnsi="Verdana"/>
          <w:sz w:val="18"/>
          <w:szCs w:val="18"/>
          <w:shd w:val="clear" w:color="auto" w:fill="FFFFFF"/>
        </w:rPr>
      </w:pPr>
      <w:r w:rsidRPr="005C0B9E">
        <w:rPr>
          <w:rStyle w:val="Refdenotaalpie"/>
          <w:rFonts w:ascii="Verdana" w:hAnsi="Verdana"/>
          <w:sz w:val="18"/>
          <w:szCs w:val="18"/>
        </w:rPr>
        <w:footnoteRef/>
      </w:r>
      <w:r w:rsidRPr="005C0B9E">
        <w:rPr>
          <w:rFonts w:ascii="Verdana" w:hAnsi="Verdana"/>
          <w:sz w:val="18"/>
          <w:szCs w:val="18"/>
        </w:rPr>
        <w:tab/>
      </w:r>
      <w:r w:rsidRPr="005C0B9E">
        <w:rPr>
          <w:rFonts w:ascii="Verdana" w:hAnsi="Verdana"/>
          <w:i/>
          <w:sz w:val="18"/>
          <w:szCs w:val="18"/>
        </w:rPr>
        <w:t xml:space="preserve">Cfr. </w:t>
      </w:r>
      <w:r w:rsidRPr="005C0B9E">
        <w:rPr>
          <w:rStyle w:val="Textoennegrita"/>
          <w:rFonts w:ascii="Verdana" w:hAnsi="Verdana"/>
          <w:b w:val="0"/>
          <w:bCs w:val="0"/>
          <w:i/>
          <w:sz w:val="18"/>
          <w:szCs w:val="18"/>
        </w:rPr>
        <w:t>Caso Gonzales Lluy y otros Vs. Ecuador</w:t>
      </w:r>
      <w:r w:rsidRPr="005C0B9E">
        <w:rPr>
          <w:rStyle w:val="Textoennegrita"/>
          <w:rFonts w:ascii="Verdana" w:hAnsi="Verdana"/>
          <w:i/>
          <w:sz w:val="18"/>
          <w:szCs w:val="18"/>
        </w:rPr>
        <w:t xml:space="preserve">. </w:t>
      </w:r>
      <w:r w:rsidRPr="005C0B9E">
        <w:rPr>
          <w:rFonts w:ascii="Verdana" w:hAnsi="Verdana"/>
          <w:i/>
          <w:sz w:val="18"/>
          <w:szCs w:val="18"/>
        </w:rPr>
        <w:t xml:space="preserve">Excepciones Preliminares, Fondo, Reparaciones y Costas. </w:t>
      </w:r>
      <w:r w:rsidRPr="005C0B9E">
        <w:rPr>
          <w:rFonts w:ascii="Verdana" w:hAnsi="Verdana"/>
          <w:sz w:val="18"/>
          <w:szCs w:val="18"/>
        </w:rPr>
        <w:t>Sentencia de</w:t>
      </w:r>
      <w:r w:rsidRPr="005C0B9E">
        <w:rPr>
          <w:rFonts w:ascii="Verdana" w:hAnsi="Verdana"/>
          <w:sz w:val="18"/>
          <w:szCs w:val="18"/>
          <w:shd w:val="clear" w:color="auto" w:fill="FFFFFF"/>
        </w:rPr>
        <w:t xml:space="preserve"> </w:t>
      </w:r>
      <w:r w:rsidRPr="005C0B9E">
        <w:rPr>
          <w:rFonts w:ascii="Verdana" w:hAnsi="Verdana"/>
          <w:sz w:val="18"/>
          <w:szCs w:val="18"/>
        </w:rPr>
        <w:t>1 de septiembre de 2015. Serie C No. 298</w:t>
      </w:r>
      <w:r w:rsidRPr="005C0B9E">
        <w:rPr>
          <w:rFonts w:ascii="Verdana" w:hAnsi="Verdana"/>
          <w:b/>
          <w:bCs/>
          <w:sz w:val="18"/>
          <w:szCs w:val="18"/>
        </w:rPr>
        <w:t>.</w:t>
      </w:r>
      <w:r w:rsidRPr="005C0B9E">
        <w:rPr>
          <w:rStyle w:val="Textoennegrita"/>
          <w:rFonts w:ascii="Verdana" w:hAnsi="Verdana"/>
          <w:b w:val="0"/>
          <w:bCs w:val="0"/>
          <w:sz w:val="18"/>
          <w:szCs w:val="18"/>
        </w:rPr>
        <w:t xml:space="preserve"> Voto concurrente del Juez Humberto Antonio Sierra Porto.</w:t>
      </w:r>
      <w:r w:rsidRPr="005C0B9E">
        <w:rPr>
          <w:rStyle w:val="Textoennegrita"/>
          <w:rFonts w:ascii="Verdana" w:hAnsi="Verdana"/>
          <w:sz w:val="18"/>
          <w:szCs w:val="18"/>
          <w:shd w:val="clear" w:color="auto" w:fill="FFFFFF"/>
        </w:rPr>
        <w:t xml:space="preserve"> </w:t>
      </w:r>
    </w:p>
  </w:footnote>
  <w:footnote w:id="11">
    <w:p w14:paraId="35AC2F38" w14:textId="77777777" w:rsidR="0051508E" w:rsidRPr="005C0B9E" w:rsidRDefault="0051508E" w:rsidP="00585559">
      <w:pPr>
        <w:tabs>
          <w:tab w:val="left" w:pos="567"/>
        </w:tabs>
        <w:jc w:val="both"/>
        <w:rPr>
          <w:rFonts w:ascii="Verdana" w:hAnsi="Verdana"/>
          <w:b/>
          <w:bCs/>
          <w:sz w:val="18"/>
          <w:szCs w:val="18"/>
          <w:shd w:val="clear" w:color="auto" w:fill="FFFFFF"/>
        </w:rPr>
      </w:pPr>
      <w:r w:rsidRPr="005C0B9E">
        <w:rPr>
          <w:rStyle w:val="Refdenotaalpie"/>
          <w:rFonts w:ascii="Verdana" w:hAnsi="Verdana"/>
          <w:sz w:val="18"/>
          <w:szCs w:val="18"/>
        </w:rPr>
        <w:footnoteRef/>
      </w:r>
      <w:r w:rsidRPr="005C0B9E">
        <w:rPr>
          <w:rFonts w:ascii="Verdana" w:hAnsi="Verdana"/>
          <w:sz w:val="18"/>
          <w:szCs w:val="18"/>
        </w:rPr>
        <w:tab/>
      </w:r>
      <w:r w:rsidRPr="005C0B9E">
        <w:rPr>
          <w:rFonts w:ascii="Verdana" w:hAnsi="Verdana"/>
          <w:i/>
          <w:sz w:val="18"/>
          <w:szCs w:val="18"/>
        </w:rPr>
        <w:t xml:space="preserve">Cfr. </w:t>
      </w:r>
      <w:r w:rsidRPr="005C0B9E">
        <w:rPr>
          <w:rStyle w:val="Textoennegrita"/>
          <w:rFonts w:ascii="Verdana" w:hAnsi="Verdana" w:cs="Verdana"/>
          <w:b w:val="0"/>
          <w:bCs w:val="0"/>
          <w:i/>
          <w:sz w:val="18"/>
          <w:szCs w:val="18"/>
        </w:rPr>
        <w:t>Caso Poblete Vilches y otros Vs. Chile. Fondo, Reparaciones y Costas</w:t>
      </w:r>
      <w:r w:rsidRPr="005C0B9E">
        <w:rPr>
          <w:rStyle w:val="Textoennegrita"/>
          <w:rFonts w:ascii="Verdana" w:hAnsi="Verdana" w:cs="Verdana"/>
          <w:b w:val="0"/>
          <w:bCs w:val="0"/>
          <w:sz w:val="18"/>
          <w:szCs w:val="18"/>
        </w:rPr>
        <w:t>. Sentencia de 8 de marzo de 2018. Serie C No. 349.</w:t>
      </w:r>
      <w:r w:rsidRPr="005C0B9E">
        <w:rPr>
          <w:rStyle w:val="Textoennegrita"/>
          <w:rFonts w:ascii="Verdana" w:hAnsi="Verdana"/>
          <w:b w:val="0"/>
          <w:bCs w:val="0"/>
          <w:sz w:val="18"/>
          <w:szCs w:val="18"/>
        </w:rPr>
        <w:t xml:space="preserve"> Voto Concurrente del Juez Humberto Antonio Sierra Porto.</w:t>
      </w:r>
    </w:p>
  </w:footnote>
  <w:footnote w:id="12">
    <w:p w14:paraId="6828776F" w14:textId="227DE150" w:rsidR="00917CB7" w:rsidRPr="005C0B9E" w:rsidRDefault="00917CB7" w:rsidP="00585559">
      <w:pPr>
        <w:pStyle w:val="Textonotapie"/>
        <w:jc w:val="both"/>
        <w:rPr>
          <w:rFonts w:ascii="Verdana" w:hAnsi="Verdana"/>
          <w:sz w:val="18"/>
          <w:szCs w:val="18"/>
          <w:lang w:val="es-ES_tradnl"/>
        </w:rPr>
      </w:pPr>
      <w:r w:rsidRPr="005C0B9E">
        <w:rPr>
          <w:rStyle w:val="Refdenotaalpie"/>
          <w:rFonts w:ascii="Verdana" w:hAnsi="Verdana"/>
          <w:sz w:val="18"/>
          <w:szCs w:val="18"/>
        </w:rPr>
        <w:footnoteRef/>
      </w:r>
      <w:r w:rsidRPr="005C0B9E">
        <w:rPr>
          <w:rFonts w:ascii="Verdana" w:hAnsi="Verdana"/>
          <w:sz w:val="18"/>
          <w:szCs w:val="18"/>
        </w:rPr>
        <w:t xml:space="preserve"> </w:t>
      </w:r>
      <w:r w:rsidR="005C0B9E">
        <w:rPr>
          <w:rFonts w:ascii="Verdana" w:hAnsi="Verdana"/>
          <w:sz w:val="18"/>
          <w:szCs w:val="18"/>
        </w:rPr>
        <w:tab/>
      </w:r>
      <w:r w:rsidR="000B38BD" w:rsidRPr="005C0B9E">
        <w:rPr>
          <w:rFonts w:ascii="Verdana" w:hAnsi="Verdana"/>
          <w:i/>
          <w:iCs/>
          <w:sz w:val="18"/>
          <w:szCs w:val="18"/>
        </w:rPr>
        <w:t>Cfr. Caso Casa Nina Vs. Perú.</w:t>
      </w:r>
      <w:r w:rsidR="000B38BD" w:rsidRPr="005C0B9E">
        <w:rPr>
          <w:rFonts w:ascii="Verdana" w:hAnsi="Verdana"/>
          <w:sz w:val="18"/>
          <w:szCs w:val="18"/>
        </w:rPr>
        <w:t xml:space="preserve"> Excepciones Preliminares, Fondo, Reparaciones y Costas. Sentencia de 24 de noviembre de 2020. Serie C No. 419. Voto concurrente y </w:t>
      </w:r>
      <w:r w:rsidR="000B38BD" w:rsidRPr="00664C51">
        <w:rPr>
          <w:rStyle w:val="Textoennegrita"/>
          <w:rFonts w:ascii="Verdana" w:hAnsi="Verdana"/>
          <w:b w:val="0"/>
          <w:bCs w:val="0"/>
          <w:sz w:val="18"/>
          <w:szCs w:val="18"/>
        </w:rPr>
        <w:t>parcialmente disidente del Juez Humberto Antonio Sierra Porto.</w:t>
      </w:r>
    </w:p>
  </w:footnote>
  <w:footnote w:id="13">
    <w:p w14:paraId="004C6B9E" w14:textId="4A74C27A" w:rsidR="002F7D60" w:rsidRPr="005C0B9E" w:rsidRDefault="002F7D60"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0097201E">
        <w:rPr>
          <w:rFonts w:ascii="Verdana" w:hAnsi="Verdana"/>
          <w:sz w:val="18"/>
          <w:szCs w:val="18"/>
        </w:rPr>
        <w:tab/>
      </w:r>
      <w:r w:rsidR="0097201E" w:rsidRPr="0097201E">
        <w:rPr>
          <w:rFonts w:ascii="Verdana" w:hAnsi="Verdana"/>
          <w:i/>
          <w:iCs/>
          <w:sz w:val="18"/>
          <w:szCs w:val="18"/>
        </w:rPr>
        <w:t xml:space="preserve">Cfr. </w:t>
      </w:r>
      <w:r w:rsidRPr="0097201E">
        <w:rPr>
          <w:rFonts w:ascii="Verdana" w:hAnsi="Verdana"/>
          <w:i/>
          <w:iCs/>
          <w:sz w:val="18"/>
          <w:szCs w:val="18"/>
        </w:rPr>
        <w:t>Caso Muelle Flores Vs. Perú</w:t>
      </w:r>
      <w:r w:rsidRPr="005C0B9E">
        <w:rPr>
          <w:rFonts w:ascii="Verdana" w:hAnsi="Verdana"/>
          <w:sz w:val="18"/>
          <w:szCs w:val="18"/>
        </w:rPr>
        <w:t xml:space="preserve">. Excepciones Preliminares, Fondo, Reparaciones y Costas. Sentencia de 6 de marzo de 2019. Serie C No. 375. </w:t>
      </w:r>
    </w:p>
  </w:footnote>
  <w:footnote w:id="14">
    <w:p w14:paraId="0EC93A55" w14:textId="14509FAA" w:rsidR="002F7D60" w:rsidRPr="005C0B9E" w:rsidRDefault="002F7D60" w:rsidP="00585559">
      <w:pPr>
        <w:pStyle w:val="Textonotapie"/>
        <w:jc w:val="both"/>
        <w:rPr>
          <w:rFonts w:ascii="Verdana" w:hAnsi="Verdana"/>
          <w:sz w:val="18"/>
          <w:szCs w:val="18"/>
        </w:rPr>
      </w:pPr>
      <w:r w:rsidRPr="005C0B9E">
        <w:rPr>
          <w:rStyle w:val="Refdenotaalpie"/>
          <w:rFonts w:ascii="Verdana" w:hAnsi="Verdana"/>
          <w:sz w:val="18"/>
          <w:szCs w:val="18"/>
        </w:rPr>
        <w:footnoteRef/>
      </w:r>
      <w:r w:rsidR="005C0B9E">
        <w:rPr>
          <w:rFonts w:ascii="Verdana" w:hAnsi="Verdana"/>
          <w:sz w:val="18"/>
          <w:szCs w:val="18"/>
        </w:rPr>
        <w:t xml:space="preserve"> </w:t>
      </w:r>
      <w:r w:rsidR="005C0B9E">
        <w:rPr>
          <w:rFonts w:ascii="Verdana" w:hAnsi="Verdana"/>
          <w:sz w:val="18"/>
          <w:szCs w:val="18"/>
        </w:rPr>
        <w:tab/>
      </w:r>
      <w:r w:rsidR="005C0B9E" w:rsidRPr="005C0B9E">
        <w:rPr>
          <w:rFonts w:ascii="Verdana" w:hAnsi="Verdana"/>
          <w:i/>
          <w:iCs/>
          <w:sz w:val="18"/>
          <w:szCs w:val="18"/>
        </w:rPr>
        <w:t xml:space="preserve">Cfr. </w:t>
      </w:r>
      <w:r w:rsidRPr="005C0B9E">
        <w:rPr>
          <w:rFonts w:ascii="Verdana" w:hAnsi="Verdana"/>
          <w:i/>
          <w:iCs/>
          <w:sz w:val="18"/>
          <w:szCs w:val="18"/>
        </w:rPr>
        <w:t xml:space="preserve">Caso Cuscul Pivaral y otros Vs. Guatemala. </w:t>
      </w:r>
      <w:r w:rsidRPr="005C0B9E">
        <w:rPr>
          <w:rFonts w:ascii="Verdana" w:hAnsi="Verdana"/>
          <w:sz w:val="18"/>
          <w:szCs w:val="18"/>
        </w:rPr>
        <w:t xml:space="preserve">Excepción Preliminar, Fondo, Reparaciones y Costas. Sentencia de 23 de agosto de 2018. Serie C No. 359. </w:t>
      </w:r>
    </w:p>
  </w:footnote>
  <w:footnote w:id="15">
    <w:p w14:paraId="58CF8F9E" w14:textId="0C735A3E" w:rsidR="002F7D60" w:rsidRPr="005C0B9E" w:rsidRDefault="002F7D60"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005C0B9E">
        <w:rPr>
          <w:rFonts w:ascii="Verdana" w:hAnsi="Verdana"/>
          <w:sz w:val="18"/>
          <w:szCs w:val="18"/>
        </w:rPr>
        <w:tab/>
      </w:r>
      <w:r w:rsidR="005C0B9E" w:rsidRPr="005C0B9E">
        <w:rPr>
          <w:rFonts w:ascii="Verdana" w:hAnsi="Verdana"/>
          <w:i/>
          <w:iCs/>
          <w:sz w:val="18"/>
          <w:szCs w:val="18"/>
        </w:rPr>
        <w:t xml:space="preserve">Cfr. </w:t>
      </w:r>
      <w:r w:rsidRPr="005C0B9E">
        <w:rPr>
          <w:rFonts w:ascii="Verdana" w:hAnsi="Verdana"/>
          <w:i/>
          <w:iCs/>
          <w:sz w:val="18"/>
          <w:szCs w:val="18"/>
        </w:rPr>
        <w:t>Caso Poblete Vilches y otros Vs. Chile</w:t>
      </w:r>
      <w:r w:rsidRPr="005C0B9E">
        <w:rPr>
          <w:rFonts w:ascii="Verdana" w:hAnsi="Verdana"/>
          <w:sz w:val="18"/>
          <w:szCs w:val="18"/>
        </w:rPr>
        <w:t xml:space="preserve">. Fondo, Reparaciones y Costas. Sentencia de 8 de marzo de 2018. Serie C No. 349. </w:t>
      </w:r>
    </w:p>
  </w:footnote>
  <w:footnote w:id="16">
    <w:p w14:paraId="2DC58635" w14:textId="24C78A8C" w:rsidR="002F7D60" w:rsidRPr="005C0B9E" w:rsidRDefault="002F7D60"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005C0B9E">
        <w:rPr>
          <w:rFonts w:ascii="Verdana" w:hAnsi="Verdana"/>
          <w:sz w:val="18"/>
          <w:szCs w:val="18"/>
        </w:rPr>
        <w:tab/>
      </w:r>
      <w:r w:rsidR="005C0B9E" w:rsidRPr="005C0B9E">
        <w:rPr>
          <w:rFonts w:ascii="Verdana" w:hAnsi="Verdana"/>
          <w:i/>
          <w:iCs/>
          <w:sz w:val="18"/>
          <w:szCs w:val="18"/>
        </w:rPr>
        <w:t xml:space="preserve">Cfr. </w:t>
      </w:r>
      <w:r w:rsidRPr="005C0B9E">
        <w:rPr>
          <w:rFonts w:ascii="Verdana" w:hAnsi="Verdana"/>
          <w:i/>
          <w:iCs/>
          <w:sz w:val="18"/>
          <w:szCs w:val="18"/>
        </w:rPr>
        <w:t>Caso Trabajadores Cesados de Petroperú y otros Vs. Perú.</w:t>
      </w:r>
      <w:r w:rsidRPr="005C0B9E">
        <w:rPr>
          <w:rFonts w:ascii="Verdana" w:hAnsi="Verdana"/>
          <w:sz w:val="18"/>
          <w:szCs w:val="18"/>
        </w:rPr>
        <w:t xml:space="preserve"> Excepciones Preliminares, Fondo, Reparaciones y Costas. Sentencia de 23 de noviembre de 2017. Serie C No. 344. </w:t>
      </w:r>
    </w:p>
  </w:footnote>
  <w:footnote w:id="17">
    <w:p w14:paraId="0DBA7B32" w14:textId="77777777" w:rsidR="002F7D60" w:rsidRPr="005C0B9E" w:rsidRDefault="002F7D60" w:rsidP="00585559">
      <w:pPr>
        <w:pStyle w:val="Textonotapie"/>
        <w:jc w:val="both"/>
        <w:rPr>
          <w:rFonts w:ascii="Verdana" w:hAnsi="Verdana"/>
          <w:sz w:val="18"/>
          <w:szCs w:val="18"/>
          <w:lang w:val="es-ES"/>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r>
      <w:r w:rsidRPr="005C0B9E">
        <w:rPr>
          <w:rFonts w:ascii="Verdana" w:hAnsi="Verdana"/>
          <w:i/>
          <w:sz w:val="18"/>
          <w:szCs w:val="18"/>
        </w:rPr>
        <w:t>Cfr. Caso Asociación Nacional de Cesantes y Jubilados de la Superintendencia Nacional de Administración Tributaria (ANCEJUB-SUNAT) Vs. Perú. Excepciones Preliminares, Fondo, Reparaciones y Costas.</w:t>
      </w:r>
      <w:r w:rsidRPr="005C0B9E">
        <w:rPr>
          <w:rFonts w:ascii="Verdana" w:hAnsi="Verdana"/>
          <w:sz w:val="18"/>
          <w:szCs w:val="18"/>
        </w:rPr>
        <w:t xml:space="preserve"> Sentencia de 21 de noviembre de 2019. Serie C No. 394. </w:t>
      </w:r>
      <w:r w:rsidRPr="005C0B9E">
        <w:rPr>
          <w:rStyle w:val="Textoennegrita"/>
          <w:rFonts w:ascii="Verdana" w:hAnsi="Verdana"/>
          <w:b w:val="0"/>
          <w:bCs w:val="0"/>
          <w:sz w:val="18"/>
          <w:szCs w:val="18"/>
        </w:rPr>
        <w:t>Voto parcialmente disidente del Juez Humberto Antonio Sierra Porto, párr. 6.</w:t>
      </w:r>
    </w:p>
  </w:footnote>
  <w:footnote w:id="18">
    <w:p w14:paraId="4614DBC5" w14:textId="77777777" w:rsidR="002F7D60" w:rsidRPr="005C0B9E" w:rsidRDefault="002F7D60"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r>
      <w:r w:rsidRPr="005C0B9E">
        <w:rPr>
          <w:rFonts w:ascii="Verdana" w:hAnsi="Verdana"/>
          <w:i/>
          <w:sz w:val="18"/>
          <w:szCs w:val="18"/>
        </w:rPr>
        <w:t>Cfr. Caso Hernández Vs. Argentina. Excepción Preliminar, Fondo, Reparaciones y Costas.</w:t>
      </w:r>
      <w:r w:rsidRPr="005C0B9E">
        <w:rPr>
          <w:rFonts w:ascii="Verdana" w:hAnsi="Verdana"/>
          <w:sz w:val="18"/>
          <w:szCs w:val="18"/>
        </w:rPr>
        <w:t xml:space="preserve"> Sentencia de 22 de noviembre de 2019. Serie C No. 395. </w:t>
      </w:r>
      <w:r w:rsidRPr="005C0B9E">
        <w:rPr>
          <w:rStyle w:val="Textoennegrita"/>
          <w:rFonts w:ascii="Verdana" w:hAnsi="Verdana"/>
          <w:b w:val="0"/>
          <w:bCs w:val="0"/>
          <w:sz w:val="18"/>
          <w:szCs w:val="18"/>
        </w:rPr>
        <w:t>Voto parcialmente disidente del Juez Humberto Antonio Sierra Porto, párr. 17.</w:t>
      </w:r>
    </w:p>
  </w:footnote>
  <w:footnote w:id="19">
    <w:p w14:paraId="293FEDA8" w14:textId="77777777" w:rsidR="002F7D60" w:rsidRPr="005C0B9E" w:rsidRDefault="002F7D60"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t xml:space="preserve">Cfr. </w:t>
      </w:r>
      <w:r w:rsidRPr="005C0B9E">
        <w:rPr>
          <w:rFonts w:ascii="Verdana" w:hAnsi="Verdana"/>
          <w:i/>
          <w:iCs/>
          <w:sz w:val="18"/>
          <w:szCs w:val="18"/>
        </w:rPr>
        <w:t>Caso Casa Nina Vs. Perú</w:t>
      </w:r>
      <w:r w:rsidRPr="005C0B9E">
        <w:rPr>
          <w:rFonts w:ascii="Verdana" w:hAnsi="Verdana"/>
          <w:sz w:val="18"/>
          <w:szCs w:val="18"/>
        </w:rPr>
        <w:t xml:space="preserve">. Excepciones Preliminares, Fondo, Reparaciones y Costas. Sentencia de 24 de noviembre de 2020. Serie C No. 419. </w:t>
      </w:r>
      <w:r w:rsidRPr="005C0B9E">
        <w:rPr>
          <w:rStyle w:val="Textoennegrita"/>
          <w:rFonts w:ascii="Verdana" w:hAnsi="Verdana"/>
          <w:b w:val="0"/>
          <w:bCs w:val="0"/>
          <w:sz w:val="18"/>
          <w:szCs w:val="18"/>
        </w:rPr>
        <w:t>Voto parcialmente disidente del Juez Humberto Antonio Sierra Porto, párr. 7.</w:t>
      </w:r>
    </w:p>
  </w:footnote>
  <w:footnote w:id="20">
    <w:p w14:paraId="5B1A4A16" w14:textId="36F89142" w:rsidR="00B44BEC" w:rsidRPr="005C0B9E" w:rsidRDefault="00B44BEC"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005C0B9E">
        <w:rPr>
          <w:rFonts w:ascii="Verdana" w:hAnsi="Verdana"/>
          <w:sz w:val="18"/>
          <w:szCs w:val="18"/>
        </w:rPr>
        <w:tab/>
      </w:r>
      <w:r w:rsidR="005C0B9E" w:rsidRPr="005C0B9E">
        <w:rPr>
          <w:rFonts w:ascii="Verdana" w:hAnsi="Verdana"/>
          <w:i/>
          <w:iCs/>
          <w:sz w:val="18"/>
          <w:szCs w:val="18"/>
        </w:rPr>
        <w:t xml:space="preserve">Cfr. </w:t>
      </w:r>
      <w:r w:rsidRPr="005C0B9E">
        <w:rPr>
          <w:rFonts w:ascii="Verdana" w:hAnsi="Verdana"/>
          <w:i/>
          <w:iCs/>
          <w:sz w:val="18"/>
          <w:szCs w:val="18"/>
        </w:rPr>
        <w:t>Caso Guachalá Chimbo y otros Vs. Ecuador</w:t>
      </w:r>
      <w:r w:rsidRPr="005C0B9E">
        <w:rPr>
          <w:rFonts w:ascii="Verdana" w:hAnsi="Verdana"/>
          <w:sz w:val="18"/>
          <w:szCs w:val="18"/>
        </w:rPr>
        <w:t xml:space="preserve">. Fondo, Reparaciones y Costas. Sentencia de 26 de marzo de 2021. Serie C No. 423. </w:t>
      </w:r>
      <w:r w:rsidRPr="005C0B9E">
        <w:rPr>
          <w:rStyle w:val="Textoennegrita"/>
          <w:rFonts w:ascii="Verdana" w:hAnsi="Verdana"/>
          <w:b w:val="0"/>
          <w:bCs w:val="0"/>
          <w:sz w:val="18"/>
          <w:szCs w:val="18"/>
        </w:rPr>
        <w:t>Voto parcialmente disidente del Juez Humberto Antonio Sierra Porto</w:t>
      </w:r>
      <w:r w:rsidR="00AF68E8" w:rsidRPr="005C0B9E">
        <w:rPr>
          <w:rStyle w:val="Textoennegrita"/>
          <w:rFonts w:ascii="Verdana" w:hAnsi="Verdana"/>
          <w:b w:val="0"/>
          <w:bCs w:val="0"/>
          <w:sz w:val="18"/>
          <w:szCs w:val="18"/>
        </w:rPr>
        <w:t>, p</w:t>
      </w:r>
      <w:r w:rsidR="003E5AC4" w:rsidRPr="005C0B9E">
        <w:rPr>
          <w:rStyle w:val="Textoennegrita"/>
          <w:rFonts w:ascii="Verdana" w:hAnsi="Verdana"/>
          <w:b w:val="0"/>
          <w:bCs w:val="0"/>
          <w:sz w:val="18"/>
          <w:szCs w:val="18"/>
        </w:rPr>
        <w:t xml:space="preserve">árr. </w:t>
      </w:r>
      <w:r w:rsidR="00AF68E8" w:rsidRPr="005C0B9E">
        <w:rPr>
          <w:rStyle w:val="Textoennegrita"/>
          <w:rFonts w:ascii="Verdana" w:hAnsi="Verdana"/>
          <w:b w:val="0"/>
          <w:bCs w:val="0"/>
          <w:sz w:val="18"/>
          <w:szCs w:val="18"/>
        </w:rPr>
        <w:t>6</w:t>
      </w:r>
    </w:p>
  </w:footnote>
  <w:footnote w:id="21">
    <w:p w14:paraId="0AE6CBED" w14:textId="77777777" w:rsidR="00FB4DF7" w:rsidRPr="005C0B9E" w:rsidRDefault="00FB4DF7"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r>
      <w:r w:rsidRPr="005C0B9E">
        <w:rPr>
          <w:rFonts w:ascii="Verdana" w:hAnsi="Verdana"/>
          <w:i/>
          <w:sz w:val="18"/>
          <w:szCs w:val="18"/>
        </w:rPr>
        <w:t xml:space="preserve">Cfr. </w:t>
      </w:r>
      <w:r w:rsidRPr="005C0B9E">
        <w:rPr>
          <w:rStyle w:val="Textoennegrita"/>
          <w:rFonts w:ascii="Verdana" w:hAnsi="Verdana"/>
          <w:b w:val="0"/>
          <w:bCs w:val="0"/>
          <w:sz w:val="18"/>
          <w:szCs w:val="18"/>
        </w:rPr>
        <w:t>Caso Poblete Vilches y otros Vs. Chile. Fondo, Reparaciones y Costas. Sentencia de 8 de marzo de 2018. Serie C No. 349., párr. 103</w:t>
      </w:r>
      <w:r>
        <w:rPr>
          <w:rStyle w:val="Textoennegrita"/>
          <w:rFonts w:ascii="Verdana" w:hAnsi="Verdana"/>
          <w:b w:val="0"/>
          <w:bCs w:val="0"/>
          <w:sz w:val="18"/>
          <w:szCs w:val="18"/>
        </w:rPr>
        <w:t xml:space="preserve">. </w:t>
      </w:r>
    </w:p>
  </w:footnote>
  <w:footnote w:id="22">
    <w:p w14:paraId="5329F35A" w14:textId="77777777" w:rsidR="00FB4DF7" w:rsidRPr="005C0B9E" w:rsidRDefault="00FB4DF7"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r>
      <w:r w:rsidRPr="005C0B9E">
        <w:rPr>
          <w:rFonts w:ascii="Verdana" w:hAnsi="Verdana"/>
          <w:i/>
          <w:sz w:val="18"/>
          <w:szCs w:val="18"/>
        </w:rPr>
        <w:t xml:space="preserve">Cfr. </w:t>
      </w:r>
      <w:r w:rsidRPr="005C0B9E">
        <w:rPr>
          <w:rStyle w:val="Textoennegrita"/>
          <w:rFonts w:ascii="Verdana" w:hAnsi="Verdana"/>
          <w:b w:val="0"/>
          <w:bCs w:val="0"/>
          <w:sz w:val="18"/>
          <w:szCs w:val="18"/>
        </w:rPr>
        <w:t>Caso Cuscul Pivaral y otros Vs. Guatemala. Excepción Preliminar, Fondo, Reparaciones y Costas. Sentencia de 23 de agosto de 2018. Serie C No. 359</w:t>
      </w:r>
      <w:r w:rsidRPr="005C0B9E">
        <w:rPr>
          <w:rFonts w:ascii="Verdana" w:hAnsi="Verdana"/>
          <w:sz w:val="18"/>
          <w:szCs w:val="18"/>
          <w:lang w:val="es-PE"/>
        </w:rPr>
        <w:t>,</w:t>
      </w:r>
      <w:r w:rsidRPr="005C0B9E">
        <w:rPr>
          <w:rFonts w:ascii="Verdana" w:hAnsi="Verdana"/>
          <w:i/>
          <w:sz w:val="18"/>
          <w:szCs w:val="18"/>
          <w:lang w:val="es-PE"/>
        </w:rPr>
        <w:t xml:space="preserve"> </w:t>
      </w:r>
      <w:r w:rsidRPr="005C0B9E">
        <w:rPr>
          <w:rFonts w:ascii="Verdana" w:hAnsi="Verdana"/>
          <w:sz w:val="18"/>
          <w:szCs w:val="18"/>
          <w:lang w:val="es-PE"/>
        </w:rPr>
        <w:t xml:space="preserve">párr. 73. </w:t>
      </w:r>
    </w:p>
  </w:footnote>
  <w:footnote w:id="23">
    <w:p w14:paraId="0B699CA4" w14:textId="77777777" w:rsidR="00FB4DF7" w:rsidRPr="005C0B9E" w:rsidRDefault="00FB4DF7"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r>
      <w:r w:rsidRPr="005C0B9E">
        <w:rPr>
          <w:rFonts w:ascii="Verdana" w:hAnsi="Verdana"/>
          <w:i/>
          <w:sz w:val="18"/>
          <w:szCs w:val="18"/>
        </w:rPr>
        <w:t xml:space="preserve">Cfr. </w:t>
      </w:r>
      <w:r w:rsidRPr="005C0B9E">
        <w:rPr>
          <w:rStyle w:val="Textoennegrita"/>
          <w:rFonts w:ascii="Verdana" w:hAnsi="Verdana"/>
          <w:b w:val="0"/>
          <w:bCs w:val="0"/>
          <w:sz w:val="18"/>
          <w:szCs w:val="18"/>
        </w:rPr>
        <w:t>Caso Hernández Vs. Argentina. Excepción Preliminar, Fondo, Reparaciones y Costas. Sentencia de 22 de noviembre de 2019. Serie C No. 395, párr. 64.</w:t>
      </w:r>
    </w:p>
  </w:footnote>
  <w:footnote w:id="24">
    <w:p w14:paraId="6DAAE3FE" w14:textId="77777777" w:rsidR="00FB4DF7" w:rsidRPr="005C0B9E" w:rsidRDefault="00FB4DF7" w:rsidP="00585559">
      <w:pPr>
        <w:pStyle w:val="Textonotapie"/>
        <w:jc w:val="both"/>
        <w:rPr>
          <w:rFonts w:ascii="Verdana" w:hAnsi="Verdana"/>
          <w:sz w:val="18"/>
          <w:szCs w:val="18"/>
          <w:lang w:val="es-ES_tradnl"/>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rPr>
        <w:tab/>
      </w:r>
      <w:r w:rsidRPr="005C0B9E">
        <w:rPr>
          <w:rFonts w:ascii="Verdana" w:hAnsi="Verdana"/>
          <w:i/>
          <w:iCs/>
          <w:sz w:val="18"/>
          <w:szCs w:val="18"/>
        </w:rPr>
        <w:t>Cfr.</w:t>
      </w:r>
      <w:r w:rsidRPr="005C0B9E">
        <w:rPr>
          <w:rFonts w:ascii="Verdana" w:hAnsi="Verdana"/>
          <w:sz w:val="18"/>
          <w:szCs w:val="18"/>
        </w:rPr>
        <w:t xml:space="preserve"> Caso Guachalá Chimbo y otros Vs. Ecuador. Fondo, Reparaciones y Costas. Sentencia de 26 de marzo de 2021. Serie C No. 423, párr. 100. </w:t>
      </w:r>
    </w:p>
  </w:footnote>
  <w:footnote w:id="25">
    <w:p w14:paraId="4FF96BC0" w14:textId="61303C4D" w:rsidR="00FB4DF7" w:rsidRPr="005C0B9E" w:rsidRDefault="00FB4DF7" w:rsidP="00585559">
      <w:pPr>
        <w:pStyle w:val="Textonotapie"/>
        <w:jc w:val="both"/>
        <w:rPr>
          <w:rFonts w:ascii="Verdana" w:hAnsi="Verdana"/>
          <w:sz w:val="18"/>
          <w:szCs w:val="18"/>
          <w:lang w:val="es-ES_tradnl"/>
        </w:rPr>
      </w:pPr>
      <w:r w:rsidRPr="005C0B9E">
        <w:rPr>
          <w:rStyle w:val="Refdenotaalpie"/>
          <w:rFonts w:ascii="Verdana" w:hAnsi="Verdana"/>
          <w:sz w:val="18"/>
          <w:szCs w:val="18"/>
        </w:rPr>
        <w:footnoteRef/>
      </w:r>
      <w:r w:rsidRPr="005C0B9E">
        <w:rPr>
          <w:rFonts w:ascii="Verdana" w:hAnsi="Verdana"/>
          <w:sz w:val="18"/>
          <w:szCs w:val="18"/>
        </w:rPr>
        <w:t xml:space="preserve"> </w:t>
      </w:r>
      <w:r w:rsidRPr="005C0B9E">
        <w:rPr>
          <w:rFonts w:ascii="Verdana" w:hAnsi="Verdana"/>
          <w:sz w:val="18"/>
          <w:szCs w:val="18"/>
          <w:lang w:val="es-ES_tradnl"/>
        </w:rPr>
        <w:tab/>
      </w:r>
      <w:r w:rsidR="00686A35">
        <w:rPr>
          <w:rFonts w:ascii="Verdana" w:hAnsi="Verdana"/>
          <w:i/>
          <w:sz w:val="18"/>
          <w:szCs w:val="18"/>
          <w:lang w:val="es-ES_tradnl"/>
        </w:rPr>
        <w:t xml:space="preserve">Cfr. </w:t>
      </w:r>
      <w:r w:rsidRPr="00585559">
        <w:rPr>
          <w:rFonts w:ascii="Verdana" w:hAnsi="Verdana"/>
          <w:i/>
          <w:sz w:val="18"/>
          <w:szCs w:val="18"/>
          <w:lang w:val="es-ES_tradnl"/>
        </w:rPr>
        <w:t>Caso Vera Rojas y otros vs. Chile</w:t>
      </w:r>
      <w:r w:rsidR="00686A35">
        <w:rPr>
          <w:rFonts w:ascii="Verdana" w:hAnsi="Verdana"/>
          <w:sz w:val="18"/>
          <w:szCs w:val="18"/>
          <w:lang w:val="es-ES_tradnl"/>
        </w:rPr>
        <w:t>, párr. 100</w:t>
      </w:r>
      <w:r w:rsidR="00585559">
        <w:rPr>
          <w:rFonts w:ascii="Verdana" w:hAnsi="Verdana"/>
          <w:sz w:val="18"/>
          <w:szCs w:val="18"/>
          <w:lang w:val="es-ES_tradnl"/>
        </w:rPr>
        <w:t>.</w:t>
      </w:r>
    </w:p>
  </w:footnote>
  <w:footnote w:id="26">
    <w:p w14:paraId="2EA794EB" w14:textId="534FFF13" w:rsidR="00FB4DF7" w:rsidRPr="00585559" w:rsidRDefault="00FB4DF7" w:rsidP="00585559">
      <w:pPr>
        <w:pStyle w:val="Textonotapie"/>
        <w:jc w:val="both"/>
        <w:rPr>
          <w:rFonts w:ascii="Verdana" w:hAnsi="Verdana"/>
          <w:sz w:val="18"/>
          <w:szCs w:val="18"/>
          <w:lang w:val="es-ES_tradnl"/>
        </w:rPr>
      </w:pPr>
      <w:r w:rsidRPr="005C0B9E">
        <w:rPr>
          <w:rStyle w:val="Refdenotaalpie"/>
          <w:rFonts w:ascii="Verdana" w:hAnsi="Verdana"/>
          <w:sz w:val="18"/>
          <w:szCs w:val="18"/>
        </w:rPr>
        <w:footnoteRef/>
      </w:r>
      <w:r w:rsidRPr="005C0B9E">
        <w:rPr>
          <w:rFonts w:ascii="Verdana" w:hAnsi="Verdana"/>
          <w:sz w:val="18"/>
          <w:szCs w:val="18"/>
        </w:rPr>
        <w:t xml:space="preserve"> </w:t>
      </w:r>
      <w:r>
        <w:rPr>
          <w:rFonts w:ascii="Verdana" w:hAnsi="Verdana"/>
          <w:sz w:val="18"/>
          <w:szCs w:val="18"/>
        </w:rPr>
        <w:tab/>
      </w:r>
      <w:r w:rsidR="00585559">
        <w:rPr>
          <w:rFonts w:ascii="Verdana" w:hAnsi="Verdana"/>
          <w:i/>
          <w:sz w:val="18"/>
          <w:szCs w:val="18"/>
        </w:rPr>
        <w:t xml:space="preserve">Cfr. </w:t>
      </w:r>
      <w:r w:rsidRPr="00585559">
        <w:rPr>
          <w:rFonts w:ascii="Verdana" w:hAnsi="Verdana"/>
          <w:i/>
          <w:sz w:val="18"/>
          <w:szCs w:val="18"/>
          <w:lang w:val="es-ES_tradnl"/>
        </w:rPr>
        <w:t>Caso Vera Rojas y otros vs. Chile</w:t>
      </w:r>
      <w:r w:rsidR="00BC15D9">
        <w:rPr>
          <w:rFonts w:ascii="Verdana" w:hAnsi="Verdana"/>
          <w:sz w:val="18"/>
          <w:szCs w:val="18"/>
          <w:lang w:val="es-ES_tradnl"/>
        </w:rPr>
        <w:t>, párr. 126.</w:t>
      </w:r>
    </w:p>
  </w:footnote>
  <w:footnote w:id="27">
    <w:p w14:paraId="6E08D1FC" w14:textId="0BF5C08A" w:rsidR="00FB4DF7" w:rsidRPr="00585559" w:rsidRDefault="00FB4DF7" w:rsidP="00585559">
      <w:pPr>
        <w:pStyle w:val="Textonotapie"/>
        <w:jc w:val="both"/>
        <w:rPr>
          <w:rFonts w:ascii="Verdana" w:hAnsi="Verdana"/>
          <w:sz w:val="18"/>
          <w:szCs w:val="18"/>
          <w:lang w:val="es-ES_tradnl"/>
        </w:rPr>
      </w:pPr>
      <w:r w:rsidRPr="00585559">
        <w:rPr>
          <w:rStyle w:val="Refdenotaalpie"/>
          <w:rFonts w:ascii="Verdana" w:hAnsi="Verdana"/>
          <w:sz w:val="18"/>
          <w:szCs w:val="18"/>
        </w:rPr>
        <w:footnoteRef/>
      </w:r>
      <w:r w:rsidRPr="00585559">
        <w:rPr>
          <w:rFonts w:ascii="Verdana" w:hAnsi="Verdana"/>
          <w:sz w:val="18"/>
          <w:szCs w:val="18"/>
        </w:rPr>
        <w:t xml:space="preserve"> </w:t>
      </w:r>
      <w:r w:rsidRPr="00585559">
        <w:rPr>
          <w:rFonts w:ascii="Verdana" w:hAnsi="Verdana"/>
          <w:sz w:val="18"/>
          <w:szCs w:val="18"/>
        </w:rPr>
        <w:tab/>
      </w:r>
      <w:r w:rsidR="00686A35">
        <w:rPr>
          <w:rFonts w:ascii="Verdana" w:hAnsi="Verdana"/>
          <w:i/>
          <w:sz w:val="18"/>
          <w:szCs w:val="18"/>
        </w:rPr>
        <w:t xml:space="preserve">Cfr. </w:t>
      </w:r>
      <w:r w:rsidRPr="00585559">
        <w:rPr>
          <w:rFonts w:ascii="Verdana" w:hAnsi="Verdana"/>
          <w:i/>
          <w:sz w:val="18"/>
          <w:szCs w:val="18"/>
          <w:lang w:val="es-ES_tradnl"/>
        </w:rPr>
        <w:t>Caso Vera Rojas y otros vs. Chile</w:t>
      </w:r>
      <w:r w:rsidR="00BC15D9">
        <w:rPr>
          <w:rFonts w:ascii="Verdana" w:hAnsi="Verdana"/>
          <w:sz w:val="18"/>
          <w:szCs w:val="18"/>
          <w:lang w:val="es-ES_tradnl"/>
        </w:rPr>
        <w:t>, párr. 130.</w:t>
      </w:r>
    </w:p>
  </w:footnote>
  <w:footnote w:id="28">
    <w:p w14:paraId="608A77E5" w14:textId="08045BCB" w:rsidR="00F359DD" w:rsidRPr="00585559" w:rsidRDefault="00F359DD" w:rsidP="00585559">
      <w:pPr>
        <w:pStyle w:val="Textonotapie"/>
        <w:jc w:val="both"/>
        <w:rPr>
          <w:rFonts w:ascii="Verdana" w:hAnsi="Verdana"/>
          <w:sz w:val="18"/>
          <w:szCs w:val="18"/>
          <w:lang w:val="es-ES_tradnl"/>
        </w:rPr>
      </w:pPr>
      <w:r w:rsidRPr="00585559">
        <w:rPr>
          <w:rStyle w:val="Refdenotaalpie"/>
          <w:rFonts w:ascii="Verdana" w:hAnsi="Verdana"/>
          <w:sz w:val="18"/>
          <w:szCs w:val="18"/>
        </w:rPr>
        <w:footnoteRef/>
      </w:r>
      <w:r w:rsidRPr="00585559">
        <w:rPr>
          <w:rFonts w:ascii="Verdana" w:hAnsi="Verdana"/>
          <w:sz w:val="18"/>
          <w:szCs w:val="18"/>
        </w:rPr>
        <w:t xml:space="preserve"> </w:t>
      </w:r>
      <w:r w:rsidR="005C0B9E" w:rsidRPr="00585559">
        <w:rPr>
          <w:rFonts w:ascii="Verdana" w:hAnsi="Verdana"/>
          <w:sz w:val="18"/>
          <w:szCs w:val="18"/>
        </w:rPr>
        <w:tab/>
      </w:r>
      <w:r w:rsidR="00585559">
        <w:rPr>
          <w:rFonts w:ascii="Verdana" w:hAnsi="Verdana"/>
          <w:i/>
          <w:sz w:val="18"/>
          <w:szCs w:val="18"/>
        </w:rPr>
        <w:t xml:space="preserve">Cfr. </w:t>
      </w:r>
      <w:r w:rsidRPr="00585559">
        <w:rPr>
          <w:rFonts w:ascii="Verdana" w:hAnsi="Verdana"/>
          <w:i/>
          <w:sz w:val="18"/>
          <w:szCs w:val="18"/>
          <w:lang w:val="es-ES_tradnl"/>
        </w:rPr>
        <w:t>Caso Vera Rojas y otros vs. Chile</w:t>
      </w:r>
      <w:r w:rsidRPr="00585559">
        <w:rPr>
          <w:rFonts w:ascii="Verdana" w:hAnsi="Verdana"/>
          <w:sz w:val="18"/>
          <w:szCs w:val="18"/>
          <w:lang w:val="es-ES_tradnl"/>
        </w:rPr>
        <w:t>, párr</w:t>
      </w:r>
      <w:r w:rsidR="00CB33F3" w:rsidRPr="00585559">
        <w:rPr>
          <w:rFonts w:ascii="Verdana" w:hAnsi="Verdana"/>
          <w:sz w:val="18"/>
          <w:szCs w:val="18"/>
          <w:lang w:val="es-ES_tradnl"/>
        </w:rPr>
        <w:t>s</w:t>
      </w:r>
      <w:r w:rsidRPr="00585559">
        <w:rPr>
          <w:rFonts w:ascii="Verdana" w:hAnsi="Verdana"/>
          <w:sz w:val="18"/>
          <w:szCs w:val="18"/>
          <w:lang w:val="es-ES_tradnl"/>
        </w:rPr>
        <w:t>. 140</w:t>
      </w:r>
      <w:r w:rsidR="00CB33F3" w:rsidRPr="00585559">
        <w:rPr>
          <w:rFonts w:ascii="Verdana" w:hAnsi="Verdana"/>
          <w:sz w:val="18"/>
          <w:szCs w:val="18"/>
          <w:lang w:val="es-ES_tradnl"/>
        </w:rPr>
        <w:t>-141</w:t>
      </w:r>
      <w:r w:rsidR="00BC15D9">
        <w:rPr>
          <w:rFonts w:ascii="Verdana" w:hAnsi="Verdana"/>
          <w:sz w:val="18"/>
          <w:szCs w:val="18"/>
          <w:lang w:val="es-ES_tradnl"/>
        </w:rPr>
        <w:t>.</w:t>
      </w:r>
    </w:p>
  </w:footnote>
  <w:footnote w:id="29">
    <w:p w14:paraId="73DA74E0" w14:textId="2719A9F5" w:rsidR="00F359DD" w:rsidRPr="00585559" w:rsidRDefault="00F359DD" w:rsidP="00585559">
      <w:pPr>
        <w:pStyle w:val="Textonotapie"/>
        <w:jc w:val="both"/>
        <w:rPr>
          <w:rFonts w:ascii="Verdana" w:hAnsi="Verdana"/>
          <w:sz w:val="18"/>
          <w:szCs w:val="18"/>
          <w:lang w:val="es-ES_tradnl"/>
        </w:rPr>
      </w:pPr>
      <w:r w:rsidRPr="00585559">
        <w:rPr>
          <w:rStyle w:val="Refdenotaalpie"/>
          <w:rFonts w:ascii="Verdana" w:hAnsi="Verdana"/>
          <w:sz w:val="18"/>
          <w:szCs w:val="18"/>
        </w:rPr>
        <w:footnoteRef/>
      </w:r>
      <w:r w:rsidRPr="00585559">
        <w:rPr>
          <w:rFonts w:ascii="Verdana" w:hAnsi="Verdana"/>
          <w:sz w:val="18"/>
          <w:szCs w:val="18"/>
        </w:rPr>
        <w:t xml:space="preserve"> </w:t>
      </w:r>
      <w:r w:rsidR="005C0B9E" w:rsidRPr="00585559">
        <w:rPr>
          <w:rFonts w:ascii="Verdana" w:hAnsi="Verdana"/>
          <w:sz w:val="18"/>
          <w:szCs w:val="18"/>
        </w:rPr>
        <w:tab/>
      </w:r>
      <w:r w:rsidR="00585559">
        <w:rPr>
          <w:rFonts w:ascii="Verdana" w:hAnsi="Verdana"/>
          <w:i/>
          <w:sz w:val="18"/>
          <w:szCs w:val="18"/>
        </w:rPr>
        <w:t xml:space="preserve">Cfr. </w:t>
      </w:r>
      <w:r w:rsidR="00207B67" w:rsidRPr="00585559">
        <w:rPr>
          <w:rFonts w:ascii="Verdana" w:hAnsi="Verdana"/>
          <w:i/>
          <w:sz w:val="18"/>
          <w:szCs w:val="18"/>
          <w:lang w:val="es-ES_tradnl"/>
        </w:rPr>
        <w:t>Caso Vera Rojas y otros vs. Chile</w:t>
      </w:r>
      <w:r w:rsidR="00BC15D9">
        <w:rPr>
          <w:rFonts w:ascii="Verdana" w:hAnsi="Verdana"/>
          <w:sz w:val="18"/>
          <w:szCs w:val="18"/>
          <w:lang w:val="es-ES_tradnl"/>
        </w:rPr>
        <w:t>, párrs. 142.</w:t>
      </w:r>
    </w:p>
  </w:footnote>
  <w:footnote w:id="30">
    <w:p w14:paraId="66E4E117" w14:textId="64545136" w:rsidR="00A83A20" w:rsidRPr="00585559" w:rsidRDefault="00A83A20" w:rsidP="00585559">
      <w:pPr>
        <w:pStyle w:val="Textonotapie"/>
        <w:jc w:val="both"/>
        <w:rPr>
          <w:rFonts w:ascii="Verdana" w:hAnsi="Verdana"/>
          <w:sz w:val="18"/>
          <w:szCs w:val="18"/>
          <w:lang w:val="es-ES_tradnl"/>
        </w:rPr>
      </w:pPr>
      <w:r w:rsidRPr="00585559">
        <w:rPr>
          <w:rStyle w:val="Refdenotaalpie"/>
          <w:rFonts w:ascii="Verdana" w:hAnsi="Verdana"/>
          <w:sz w:val="18"/>
          <w:szCs w:val="18"/>
        </w:rPr>
        <w:footnoteRef/>
      </w:r>
      <w:r w:rsidRPr="00585559">
        <w:rPr>
          <w:rFonts w:ascii="Verdana" w:hAnsi="Verdana"/>
          <w:sz w:val="18"/>
          <w:szCs w:val="18"/>
        </w:rPr>
        <w:t xml:space="preserve"> </w:t>
      </w:r>
      <w:r w:rsidR="005C0B9E" w:rsidRPr="00585559">
        <w:rPr>
          <w:rFonts w:ascii="Verdana" w:hAnsi="Verdana"/>
          <w:sz w:val="18"/>
          <w:szCs w:val="18"/>
        </w:rPr>
        <w:tab/>
      </w:r>
      <w:r w:rsidR="00585559">
        <w:rPr>
          <w:rFonts w:ascii="Verdana" w:hAnsi="Verdana"/>
          <w:i/>
          <w:sz w:val="18"/>
          <w:szCs w:val="18"/>
        </w:rPr>
        <w:t xml:space="preserve">Cfr. </w:t>
      </w:r>
      <w:r w:rsidR="00D17B85" w:rsidRPr="00585559">
        <w:rPr>
          <w:rFonts w:ascii="Verdana" w:hAnsi="Verdana"/>
          <w:i/>
          <w:sz w:val="18"/>
          <w:szCs w:val="18"/>
          <w:lang w:val="es-ES_tradnl"/>
        </w:rPr>
        <w:t>Caso Vera Rojas y otros vs. Chile</w:t>
      </w:r>
      <w:r w:rsidR="00891496">
        <w:rPr>
          <w:rFonts w:ascii="Verdana" w:hAnsi="Verdana"/>
          <w:sz w:val="18"/>
          <w:szCs w:val="18"/>
          <w:lang w:val="es-ES_tradnl"/>
        </w:rPr>
        <w:t>, párr</w:t>
      </w:r>
      <w:r w:rsidR="00D17B85" w:rsidRPr="00585559">
        <w:rPr>
          <w:rFonts w:ascii="Verdana" w:hAnsi="Verdana"/>
          <w:sz w:val="18"/>
          <w:szCs w:val="18"/>
          <w:lang w:val="es-ES_tradnl"/>
        </w:rPr>
        <w:t xml:space="preserve">. 145. </w:t>
      </w:r>
    </w:p>
  </w:footnote>
  <w:footnote w:id="31">
    <w:p w14:paraId="557A58AB" w14:textId="7A4E454E" w:rsidR="00D17B85" w:rsidRPr="005C0B9E" w:rsidRDefault="00D17B85" w:rsidP="00585559">
      <w:pPr>
        <w:pStyle w:val="Textonotapie"/>
        <w:jc w:val="both"/>
        <w:rPr>
          <w:rFonts w:ascii="Verdana" w:hAnsi="Verdana"/>
          <w:sz w:val="18"/>
          <w:szCs w:val="18"/>
          <w:lang w:val="es-ES_tradnl"/>
        </w:rPr>
      </w:pPr>
      <w:r w:rsidRPr="00585559">
        <w:rPr>
          <w:rStyle w:val="Refdenotaalpie"/>
          <w:rFonts w:ascii="Verdana" w:hAnsi="Verdana"/>
          <w:sz w:val="18"/>
          <w:szCs w:val="18"/>
        </w:rPr>
        <w:footnoteRef/>
      </w:r>
      <w:r w:rsidRPr="00585559">
        <w:rPr>
          <w:rFonts w:ascii="Verdana" w:hAnsi="Verdana"/>
          <w:sz w:val="18"/>
          <w:szCs w:val="18"/>
        </w:rPr>
        <w:t xml:space="preserve"> </w:t>
      </w:r>
      <w:r w:rsidR="005C0B9E" w:rsidRPr="00585559">
        <w:rPr>
          <w:rFonts w:ascii="Verdana" w:hAnsi="Verdana"/>
          <w:sz w:val="18"/>
          <w:szCs w:val="18"/>
        </w:rPr>
        <w:tab/>
      </w:r>
      <w:r w:rsidR="00585559">
        <w:rPr>
          <w:rFonts w:ascii="Verdana" w:hAnsi="Verdana"/>
          <w:i/>
          <w:sz w:val="18"/>
          <w:szCs w:val="18"/>
        </w:rPr>
        <w:t xml:space="preserve">Cfr. </w:t>
      </w:r>
      <w:r w:rsidRPr="00585559">
        <w:rPr>
          <w:rFonts w:ascii="Verdana" w:hAnsi="Verdana"/>
          <w:i/>
          <w:sz w:val="18"/>
          <w:szCs w:val="18"/>
          <w:lang w:val="es-ES_tradnl"/>
        </w:rPr>
        <w:t>Caso Vera Rojas y otros vs. Chile</w:t>
      </w:r>
      <w:r w:rsidR="00891496">
        <w:rPr>
          <w:rFonts w:ascii="Verdana" w:hAnsi="Verdana"/>
          <w:sz w:val="18"/>
          <w:szCs w:val="18"/>
          <w:lang w:val="es-ES_tradnl"/>
        </w:rPr>
        <w:t>, párr</w:t>
      </w:r>
      <w:r w:rsidRPr="00585559">
        <w:rPr>
          <w:rFonts w:ascii="Verdana" w:hAnsi="Verdana"/>
          <w:sz w:val="18"/>
          <w:szCs w:val="18"/>
          <w:lang w:val="es-ES_tradnl"/>
        </w:rPr>
        <w:t>. 147.</w:t>
      </w:r>
      <w:r w:rsidRPr="005C0B9E">
        <w:rPr>
          <w:rFonts w:ascii="Verdana" w:hAnsi="Verdana"/>
          <w:sz w:val="18"/>
          <w:szCs w:val="18"/>
          <w:lang w:val="es-ES_tradnl"/>
        </w:rPr>
        <w:t xml:space="preserve"> </w:t>
      </w:r>
    </w:p>
  </w:footnote>
  <w:footnote w:id="32">
    <w:p w14:paraId="34969284" w14:textId="6BC9113D" w:rsidR="001C6F82" w:rsidRPr="005C0B9E" w:rsidRDefault="001C6F82" w:rsidP="00585559">
      <w:pPr>
        <w:pStyle w:val="Textonotapie"/>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005C0B9E">
        <w:rPr>
          <w:rFonts w:ascii="Verdana" w:hAnsi="Verdana"/>
          <w:sz w:val="18"/>
          <w:szCs w:val="18"/>
        </w:rPr>
        <w:tab/>
      </w:r>
      <w:r w:rsidR="00965EEA" w:rsidRPr="005C0B9E">
        <w:rPr>
          <w:rFonts w:ascii="Verdana" w:hAnsi="Verdana"/>
          <w:sz w:val="18"/>
          <w:szCs w:val="18"/>
        </w:rPr>
        <w:t xml:space="preserve">Convención Americana. </w:t>
      </w:r>
      <w:r w:rsidR="00B41AE3" w:rsidRPr="005C0B9E">
        <w:rPr>
          <w:rFonts w:ascii="Verdana" w:hAnsi="Verdana"/>
          <w:sz w:val="18"/>
          <w:szCs w:val="18"/>
        </w:rPr>
        <w:t>Preámbulo</w:t>
      </w:r>
      <w:r w:rsidR="00965EEA" w:rsidRPr="005C0B9E">
        <w:rPr>
          <w:rFonts w:ascii="Verdana" w:hAnsi="Verdana"/>
          <w:sz w:val="18"/>
          <w:szCs w:val="18"/>
        </w:rPr>
        <w:t xml:space="preserve"> “</w:t>
      </w:r>
      <w:r w:rsidR="005C0B9E" w:rsidRPr="005C0B9E">
        <w:rPr>
          <w:rFonts w:ascii="Verdana" w:hAnsi="Verdana"/>
          <w:sz w:val="18"/>
          <w:szCs w:val="18"/>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00965EEA" w:rsidRPr="005C0B9E">
        <w:rPr>
          <w:rFonts w:ascii="Verdana" w:hAnsi="Verdana"/>
          <w:sz w:val="18"/>
          <w:szCs w:val="18"/>
        </w:rPr>
        <w:t>”</w:t>
      </w:r>
      <w:r w:rsidR="005C0B9E" w:rsidRPr="005C0B9E">
        <w:rPr>
          <w:rFonts w:ascii="Verdana" w:hAnsi="Verdana"/>
          <w:sz w:val="18"/>
          <w:szCs w:val="18"/>
        </w:rPr>
        <w:t xml:space="preserve">. </w:t>
      </w:r>
    </w:p>
  </w:footnote>
  <w:footnote w:id="33">
    <w:p w14:paraId="6C752DBC" w14:textId="1BA75137" w:rsidR="001C6F82" w:rsidRPr="005C0B9E" w:rsidRDefault="001C6F82" w:rsidP="00585559">
      <w:pPr>
        <w:pStyle w:val="Textonotapie"/>
        <w:tabs>
          <w:tab w:val="left" w:pos="567"/>
        </w:tabs>
        <w:jc w:val="both"/>
        <w:rPr>
          <w:rFonts w:ascii="Verdana" w:hAnsi="Verdana"/>
          <w:sz w:val="18"/>
          <w:szCs w:val="18"/>
        </w:rPr>
      </w:pPr>
      <w:r w:rsidRPr="005C0B9E">
        <w:rPr>
          <w:rStyle w:val="Refdenotaalpie"/>
          <w:rFonts w:ascii="Verdana" w:hAnsi="Verdana"/>
          <w:sz w:val="18"/>
          <w:szCs w:val="18"/>
        </w:rPr>
        <w:footnoteRef/>
      </w:r>
      <w:r w:rsidRPr="005C0B9E">
        <w:rPr>
          <w:rFonts w:ascii="Verdana" w:hAnsi="Verdana"/>
          <w:sz w:val="18"/>
          <w:szCs w:val="18"/>
        </w:rPr>
        <w:t xml:space="preserve"> </w:t>
      </w:r>
      <w:r w:rsidR="005C0B9E">
        <w:rPr>
          <w:rFonts w:ascii="Verdana" w:hAnsi="Verdana"/>
          <w:sz w:val="18"/>
          <w:szCs w:val="18"/>
        </w:rPr>
        <w:tab/>
      </w:r>
      <w:r w:rsidRPr="005C0B9E">
        <w:rPr>
          <w:rFonts w:ascii="Verdana" w:hAnsi="Verdana"/>
          <w:sz w:val="18"/>
          <w:szCs w:val="18"/>
        </w:rPr>
        <w:t>Ver:</w:t>
      </w:r>
      <w:r w:rsidRPr="005C0B9E">
        <w:rPr>
          <w:rFonts w:ascii="Verdana" w:hAnsi="Verdana"/>
          <w:i/>
          <w:sz w:val="18"/>
          <w:szCs w:val="18"/>
        </w:rPr>
        <w:t xml:space="preserve"> Caso Las Palmeras Vs. Colombia.</w:t>
      </w:r>
      <w:r w:rsidRPr="005C0B9E">
        <w:rPr>
          <w:rFonts w:ascii="Verdana" w:hAnsi="Verdana"/>
          <w:i/>
          <w:iCs/>
          <w:sz w:val="18"/>
          <w:szCs w:val="18"/>
          <w:lang w:val="es-GT" w:eastAsia="es-ES_tradnl"/>
        </w:rPr>
        <w:t>Excepciones Preliminares.</w:t>
      </w:r>
      <w:r w:rsidRPr="005C0B9E">
        <w:rPr>
          <w:rFonts w:ascii="Verdana" w:hAnsi="Verdana"/>
          <w:iCs/>
          <w:sz w:val="18"/>
          <w:szCs w:val="18"/>
          <w:lang w:val="es-GT" w:eastAsia="es-ES_tradnl"/>
        </w:rPr>
        <w:t xml:space="preserve"> </w:t>
      </w:r>
      <w:r w:rsidRPr="005C0B9E">
        <w:rPr>
          <w:rFonts w:ascii="Verdana" w:hAnsi="Verdana"/>
          <w:sz w:val="18"/>
          <w:szCs w:val="18"/>
          <w:lang w:val="es-GT" w:eastAsia="es-ES_tradnl"/>
        </w:rPr>
        <w:t xml:space="preserve">Sentencia de 4 de febrero de 2000. Serie C No. 67, </w:t>
      </w:r>
      <w:r w:rsidRPr="005C0B9E">
        <w:rPr>
          <w:rFonts w:ascii="Verdana" w:hAnsi="Verdana"/>
          <w:sz w:val="18"/>
          <w:szCs w:val="18"/>
        </w:rPr>
        <w:t xml:space="preserve">párr. 33; </w:t>
      </w:r>
      <w:r w:rsidR="00B41AE3" w:rsidRPr="005C0B9E">
        <w:rPr>
          <w:rFonts w:ascii="Verdana" w:hAnsi="Verdana"/>
          <w:i/>
          <w:sz w:val="18"/>
          <w:szCs w:val="18"/>
        </w:rPr>
        <w:t xml:space="preserve">Caso Gelman Vs. Uruguay. Fondo y Reparaciones. </w:t>
      </w:r>
      <w:r w:rsidR="00B41AE3" w:rsidRPr="005C0B9E">
        <w:rPr>
          <w:rFonts w:ascii="Verdana" w:hAnsi="Verdana"/>
          <w:sz w:val="18"/>
          <w:szCs w:val="18"/>
        </w:rPr>
        <w:t xml:space="preserve">Sentencia de 24 de febrero de 2011. Serie C No. 221, párr. 239; </w:t>
      </w:r>
      <w:r w:rsidRPr="00A01556">
        <w:rPr>
          <w:rFonts w:ascii="Verdana" w:hAnsi="Verdana"/>
          <w:i/>
          <w:sz w:val="18"/>
          <w:szCs w:val="18"/>
          <w:lang w:val="es-CR"/>
        </w:rPr>
        <w:t xml:space="preserve">Caso Masacre de Santo Domingo Vs. </w:t>
      </w:r>
      <w:r w:rsidRPr="005C0B9E">
        <w:rPr>
          <w:rFonts w:ascii="Verdana" w:hAnsi="Verdana"/>
          <w:i/>
          <w:sz w:val="18"/>
          <w:szCs w:val="18"/>
        </w:rPr>
        <w:t>Colombia. Excepciones Preliminares, Fondo y Reparaciones</w:t>
      </w:r>
      <w:r w:rsidRPr="005C0B9E">
        <w:rPr>
          <w:rFonts w:ascii="Verdana" w:hAnsi="Verdana"/>
          <w:sz w:val="18"/>
          <w:szCs w:val="18"/>
        </w:rPr>
        <w:t xml:space="preserve">. Sentencia de 30 de noviembre de 2012. Serie C No. 259, párr. 143; </w:t>
      </w:r>
      <w:r w:rsidRPr="005C0B9E">
        <w:rPr>
          <w:rFonts w:ascii="Verdana" w:hAnsi="Verdana"/>
          <w:i/>
          <w:sz w:val="18"/>
          <w:szCs w:val="18"/>
        </w:rPr>
        <w:t>Caso Tarazona Arrieta y otros Vs. Perú. Excepción Preliminar, Fondo, Reparaciones y Costas. Sentencia de 15 de octubre de 2014. Serie C No. 286</w:t>
      </w:r>
      <w:r w:rsidRPr="005C0B9E">
        <w:rPr>
          <w:rFonts w:ascii="Verdana" w:hAnsi="Verdana"/>
          <w:sz w:val="18"/>
          <w:szCs w:val="18"/>
        </w:rPr>
        <w:t xml:space="preserve">, párr. 137; </w:t>
      </w:r>
      <w:r w:rsidRPr="005C0B9E">
        <w:rPr>
          <w:rFonts w:ascii="Verdana" w:hAnsi="Verdana" w:cs="Arial"/>
          <w:i/>
          <w:sz w:val="18"/>
          <w:szCs w:val="18"/>
          <w:shd w:val="clear" w:color="auto" w:fill="FFFFFF"/>
        </w:rPr>
        <w:t>Caso Andrade Salmón Vs. Bolivia. Fondo, Reparaciones y Costas.</w:t>
      </w:r>
      <w:r w:rsidRPr="005C0B9E">
        <w:rPr>
          <w:rFonts w:ascii="Verdana" w:hAnsi="Verdana" w:cs="Arial"/>
          <w:sz w:val="18"/>
          <w:szCs w:val="18"/>
          <w:shd w:val="clear" w:color="auto" w:fill="FFFFFF"/>
        </w:rPr>
        <w:t xml:space="preserve"> Sentencia de 1 de diciembre de 2016. Serie C No. 330., párr. 93; </w:t>
      </w:r>
      <w:r w:rsidRPr="005C0B9E">
        <w:rPr>
          <w:rFonts w:ascii="Verdana" w:hAnsi="Verdana"/>
          <w:i/>
          <w:sz w:val="18"/>
          <w:szCs w:val="18"/>
        </w:rPr>
        <w:t>Caso Amrhein y otros Vs. Costa Rica. Excepciones Preliminares, Fondo, Reparaciones y Costas.</w:t>
      </w:r>
      <w:r w:rsidRPr="005C0B9E">
        <w:rPr>
          <w:rFonts w:ascii="Verdana" w:hAnsi="Verdana"/>
          <w:sz w:val="18"/>
          <w:szCs w:val="18"/>
        </w:rPr>
        <w:t xml:space="preserve"> Sentencia de 25 de abril de 2018. Serie C No. 354, párrs. 97 a 115; </w:t>
      </w:r>
      <w:r w:rsidRPr="005C0B9E">
        <w:rPr>
          <w:rStyle w:val="Textoennegrita"/>
          <w:rFonts w:ascii="Verdana" w:hAnsi="Verdana"/>
          <w:b w:val="0"/>
          <w:bCs w:val="0"/>
          <w:i/>
          <w:sz w:val="18"/>
          <w:szCs w:val="18"/>
          <w:shd w:val="clear" w:color="auto" w:fill="FFFFFF"/>
        </w:rPr>
        <w:t>Caso Colindres Schonenberg Vs. El Salvador. Fondo, Reparaciones y Costas.</w:t>
      </w:r>
      <w:r w:rsidRPr="005C0B9E">
        <w:rPr>
          <w:rStyle w:val="Textoennegrita"/>
          <w:rFonts w:ascii="Verdana" w:hAnsi="Verdana"/>
          <w:b w:val="0"/>
          <w:bCs w:val="0"/>
          <w:sz w:val="18"/>
          <w:szCs w:val="18"/>
          <w:shd w:val="clear" w:color="auto" w:fill="FFFFFF"/>
        </w:rPr>
        <w:t xml:space="preserve"> Sentencia de 4 de febrero de 2019. Serie C No. 373., párr. 80</w:t>
      </w:r>
      <w:r w:rsidRPr="00585559">
        <w:rPr>
          <w:rStyle w:val="Textoennegrita"/>
          <w:rFonts w:ascii="Verdana" w:hAnsi="Verdana"/>
          <w:b w:val="0"/>
          <w:sz w:val="18"/>
          <w:szCs w:val="18"/>
          <w:shd w:val="clear" w:color="auto" w:fill="FFFFFF"/>
        </w:rPr>
        <w:t xml:space="preserve">; </w:t>
      </w:r>
      <w:r w:rsidRPr="005C0B9E">
        <w:rPr>
          <w:rFonts w:ascii="Verdana" w:hAnsi="Verdana" w:cs="Arial"/>
          <w:i/>
          <w:sz w:val="18"/>
          <w:szCs w:val="18"/>
          <w:shd w:val="clear" w:color="auto" w:fill="FFFFFF"/>
        </w:rPr>
        <w:t xml:space="preserve">Caso Petro Urrego Vs. Colombia. Excepciones Preliminares, Fondo, Reparaciones y Costas. </w:t>
      </w:r>
      <w:r w:rsidRPr="005C0B9E">
        <w:rPr>
          <w:rFonts w:ascii="Verdana" w:hAnsi="Verdana" w:cs="Arial"/>
          <w:sz w:val="18"/>
          <w:szCs w:val="18"/>
          <w:shd w:val="clear" w:color="auto" w:fill="FFFFFF"/>
        </w:rPr>
        <w:t>Sentencia de 8 de julio de 2020. Serie C No. 406., párr. 102-103</w:t>
      </w:r>
      <w:r w:rsidR="00B41AE3" w:rsidRPr="005C0B9E">
        <w:rPr>
          <w:rFonts w:ascii="Verdana" w:hAnsi="Verdana" w:cs="Arial"/>
          <w:sz w:val="18"/>
          <w:szCs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B66"/>
    <w:multiLevelType w:val="hybridMultilevel"/>
    <w:tmpl w:val="3104AD0E"/>
    <w:lvl w:ilvl="0" w:tplc="1C64AA6A">
      <w:start w:val="1"/>
      <w:numFmt w:val="decimal"/>
      <w:lvlText w:val="%1."/>
      <w:lvlJc w:val="left"/>
      <w:pPr>
        <w:ind w:left="5053" w:hanging="360"/>
      </w:pPr>
      <w:rPr>
        <w:rFonts w:hint="default"/>
        <w:b w:val="0"/>
        <w:i w:val="0"/>
        <w:strike w:val="0"/>
        <w:color w:val="auto"/>
        <w:sz w:val="20"/>
        <w:szCs w:val="20"/>
        <w:vertAlign w:val="baseline"/>
        <w:lang w:val="es-CR"/>
      </w:rPr>
    </w:lvl>
    <w:lvl w:ilvl="1" w:tplc="140A0019">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1" w15:restartNumberingAfterBreak="0">
    <w:nsid w:val="0A2F5E98"/>
    <w:multiLevelType w:val="hybridMultilevel"/>
    <w:tmpl w:val="D5DE6144"/>
    <w:lvl w:ilvl="0" w:tplc="02189AA0">
      <w:start w:val="1"/>
      <w:numFmt w:val="decimal"/>
      <w:lvlText w:val="%1."/>
      <w:lvlJc w:val="left"/>
      <w:pPr>
        <w:ind w:left="2061" w:hanging="360"/>
      </w:pPr>
      <w:rPr>
        <w:rFonts w:cs="Times New Roman"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0122A5B"/>
    <w:multiLevelType w:val="hybridMultilevel"/>
    <w:tmpl w:val="5550558C"/>
    <w:lvl w:ilvl="0" w:tplc="240A0013">
      <w:start w:val="1"/>
      <w:numFmt w:val="upperRoman"/>
      <w:lvlText w:val="%1."/>
      <w:lvlJc w:val="righ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1C"/>
    <w:rsid w:val="0005374E"/>
    <w:rsid w:val="00075BA1"/>
    <w:rsid w:val="00090BBE"/>
    <w:rsid w:val="00093726"/>
    <w:rsid w:val="000A37CD"/>
    <w:rsid w:val="000B0F95"/>
    <w:rsid w:val="000B17AA"/>
    <w:rsid w:val="000B38BD"/>
    <w:rsid w:val="000B51DD"/>
    <w:rsid w:val="000C4B76"/>
    <w:rsid w:val="000D64AB"/>
    <w:rsid w:val="000D767A"/>
    <w:rsid w:val="000D7A8A"/>
    <w:rsid w:val="00100662"/>
    <w:rsid w:val="00113417"/>
    <w:rsid w:val="00126CFB"/>
    <w:rsid w:val="00130C1E"/>
    <w:rsid w:val="0016118C"/>
    <w:rsid w:val="00187B4C"/>
    <w:rsid w:val="001B190E"/>
    <w:rsid w:val="001C6F82"/>
    <w:rsid w:val="001E5464"/>
    <w:rsid w:val="00207B67"/>
    <w:rsid w:val="002125AA"/>
    <w:rsid w:val="00213128"/>
    <w:rsid w:val="002217F7"/>
    <w:rsid w:val="00222B1E"/>
    <w:rsid w:val="00246920"/>
    <w:rsid w:val="002539A4"/>
    <w:rsid w:val="002601AB"/>
    <w:rsid w:val="0026627F"/>
    <w:rsid w:val="002744F1"/>
    <w:rsid w:val="002760AA"/>
    <w:rsid w:val="002918C4"/>
    <w:rsid w:val="002B6F9E"/>
    <w:rsid w:val="002C0A41"/>
    <w:rsid w:val="002E4A43"/>
    <w:rsid w:val="002F7D60"/>
    <w:rsid w:val="003049C5"/>
    <w:rsid w:val="0031581D"/>
    <w:rsid w:val="00323BC1"/>
    <w:rsid w:val="00327172"/>
    <w:rsid w:val="003340BC"/>
    <w:rsid w:val="003602D2"/>
    <w:rsid w:val="0038560D"/>
    <w:rsid w:val="00394610"/>
    <w:rsid w:val="003A5075"/>
    <w:rsid w:val="003B36C3"/>
    <w:rsid w:val="003B7D51"/>
    <w:rsid w:val="003C214C"/>
    <w:rsid w:val="003D2AA3"/>
    <w:rsid w:val="003D52EC"/>
    <w:rsid w:val="003E2FE5"/>
    <w:rsid w:val="003E5AC4"/>
    <w:rsid w:val="003F1CA8"/>
    <w:rsid w:val="003F2B52"/>
    <w:rsid w:val="003F49B9"/>
    <w:rsid w:val="00420A64"/>
    <w:rsid w:val="00421C66"/>
    <w:rsid w:val="004255AB"/>
    <w:rsid w:val="0044594D"/>
    <w:rsid w:val="00447813"/>
    <w:rsid w:val="0046191B"/>
    <w:rsid w:val="00462B4D"/>
    <w:rsid w:val="00471911"/>
    <w:rsid w:val="0047488E"/>
    <w:rsid w:val="00477AC5"/>
    <w:rsid w:val="004B01DC"/>
    <w:rsid w:val="004B6475"/>
    <w:rsid w:val="004C4622"/>
    <w:rsid w:val="004C5D9C"/>
    <w:rsid w:val="004E0711"/>
    <w:rsid w:val="004F2B38"/>
    <w:rsid w:val="0050099A"/>
    <w:rsid w:val="0051508E"/>
    <w:rsid w:val="00517BAC"/>
    <w:rsid w:val="0052203C"/>
    <w:rsid w:val="00550ED2"/>
    <w:rsid w:val="00562326"/>
    <w:rsid w:val="00566643"/>
    <w:rsid w:val="00583106"/>
    <w:rsid w:val="00585559"/>
    <w:rsid w:val="00596F7D"/>
    <w:rsid w:val="005A118A"/>
    <w:rsid w:val="005B2194"/>
    <w:rsid w:val="005B377D"/>
    <w:rsid w:val="005B64A2"/>
    <w:rsid w:val="005C0B9E"/>
    <w:rsid w:val="005D12B9"/>
    <w:rsid w:val="005D4671"/>
    <w:rsid w:val="005E1701"/>
    <w:rsid w:val="005F38FF"/>
    <w:rsid w:val="00605B9C"/>
    <w:rsid w:val="00606E5E"/>
    <w:rsid w:val="00624F52"/>
    <w:rsid w:val="006438FA"/>
    <w:rsid w:val="00650A5B"/>
    <w:rsid w:val="006521DA"/>
    <w:rsid w:val="00660139"/>
    <w:rsid w:val="00664C51"/>
    <w:rsid w:val="00686A35"/>
    <w:rsid w:val="00687775"/>
    <w:rsid w:val="006A7394"/>
    <w:rsid w:val="006B134A"/>
    <w:rsid w:val="006B6F7E"/>
    <w:rsid w:val="006E6BBD"/>
    <w:rsid w:val="006F3FD5"/>
    <w:rsid w:val="007016C7"/>
    <w:rsid w:val="007162F5"/>
    <w:rsid w:val="007208CD"/>
    <w:rsid w:val="007302AE"/>
    <w:rsid w:val="007322AA"/>
    <w:rsid w:val="007339B0"/>
    <w:rsid w:val="00743723"/>
    <w:rsid w:val="00755DDA"/>
    <w:rsid w:val="00760225"/>
    <w:rsid w:val="00764050"/>
    <w:rsid w:val="007A0C9E"/>
    <w:rsid w:val="007A2C8E"/>
    <w:rsid w:val="007B29B7"/>
    <w:rsid w:val="007B2DA1"/>
    <w:rsid w:val="007B6163"/>
    <w:rsid w:val="007D5799"/>
    <w:rsid w:val="00803E1B"/>
    <w:rsid w:val="0080497A"/>
    <w:rsid w:val="00825E06"/>
    <w:rsid w:val="00836062"/>
    <w:rsid w:val="008549E2"/>
    <w:rsid w:val="00874B6D"/>
    <w:rsid w:val="00882BB2"/>
    <w:rsid w:val="00891496"/>
    <w:rsid w:val="008921EC"/>
    <w:rsid w:val="008936BF"/>
    <w:rsid w:val="00897421"/>
    <w:rsid w:val="008B4835"/>
    <w:rsid w:val="008D7BA8"/>
    <w:rsid w:val="008F08B1"/>
    <w:rsid w:val="008F65FC"/>
    <w:rsid w:val="00917CB7"/>
    <w:rsid w:val="00926073"/>
    <w:rsid w:val="00942C11"/>
    <w:rsid w:val="00953766"/>
    <w:rsid w:val="00965EEA"/>
    <w:rsid w:val="0097201E"/>
    <w:rsid w:val="0097246A"/>
    <w:rsid w:val="00985B9A"/>
    <w:rsid w:val="009C3AC7"/>
    <w:rsid w:val="009D4490"/>
    <w:rsid w:val="009E4EC8"/>
    <w:rsid w:val="009E76A9"/>
    <w:rsid w:val="009E76F7"/>
    <w:rsid w:val="009F30A2"/>
    <w:rsid w:val="00A01556"/>
    <w:rsid w:val="00A06B29"/>
    <w:rsid w:val="00A14E3D"/>
    <w:rsid w:val="00A256FB"/>
    <w:rsid w:val="00A3067C"/>
    <w:rsid w:val="00A558E9"/>
    <w:rsid w:val="00A629A8"/>
    <w:rsid w:val="00A671F6"/>
    <w:rsid w:val="00A82243"/>
    <w:rsid w:val="00A828D9"/>
    <w:rsid w:val="00A83A20"/>
    <w:rsid w:val="00A84D2E"/>
    <w:rsid w:val="00A86922"/>
    <w:rsid w:val="00A87209"/>
    <w:rsid w:val="00A91413"/>
    <w:rsid w:val="00AB3BB6"/>
    <w:rsid w:val="00AD00B2"/>
    <w:rsid w:val="00AD492A"/>
    <w:rsid w:val="00AE0B85"/>
    <w:rsid w:val="00AF0BD7"/>
    <w:rsid w:val="00AF68E8"/>
    <w:rsid w:val="00B0130C"/>
    <w:rsid w:val="00B02A26"/>
    <w:rsid w:val="00B25D9E"/>
    <w:rsid w:val="00B328D1"/>
    <w:rsid w:val="00B37764"/>
    <w:rsid w:val="00B41AE3"/>
    <w:rsid w:val="00B42F7C"/>
    <w:rsid w:val="00B44BEC"/>
    <w:rsid w:val="00B4739F"/>
    <w:rsid w:val="00B5288A"/>
    <w:rsid w:val="00B565C5"/>
    <w:rsid w:val="00B57632"/>
    <w:rsid w:val="00B61C65"/>
    <w:rsid w:val="00B64D15"/>
    <w:rsid w:val="00B74962"/>
    <w:rsid w:val="00B7719E"/>
    <w:rsid w:val="00B8255B"/>
    <w:rsid w:val="00BA1946"/>
    <w:rsid w:val="00BB0894"/>
    <w:rsid w:val="00BB685B"/>
    <w:rsid w:val="00BC15D9"/>
    <w:rsid w:val="00BC185E"/>
    <w:rsid w:val="00BC4474"/>
    <w:rsid w:val="00BD6D91"/>
    <w:rsid w:val="00BE4143"/>
    <w:rsid w:val="00BE4F10"/>
    <w:rsid w:val="00C04156"/>
    <w:rsid w:val="00C426EA"/>
    <w:rsid w:val="00C55D43"/>
    <w:rsid w:val="00C57197"/>
    <w:rsid w:val="00C970C6"/>
    <w:rsid w:val="00CA6B49"/>
    <w:rsid w:val="00CB33F3"/>
    <w:rsid w:val="00CC4CA3"/>
    <w:rsid w:val="00CC6B60"/>
    <w:rsid w:val="00CD7347"/>
    <w:rsid w:val="00CF1787"/>
    <w:rsid w:val="00CF500D"/>
    <w:rsid w:val="00CF7B6C"/>
    <w:rsid w:val="00D16586"/>
    <w:rsid w:val="00D17B85"/>
    <w:rsid w:val="00D20D77"/>
    <w:rsid w:val="00D239F6"/>
    <w:rsid w:val="00D24635"/>
    <w:rsid w:val="00D40548"/>
    <w:rsid w:val="00D47D4C"/>
    <w:rsid w:val="00D5083F"/>
    <w:rsid w:val="00D94608"/>
    <w:rsid w:val="00DA53BC"/>
    <w:rsid w:val="00DB1546"/>
    <w:rsid w:val="00DB5AA3"/>
    <w:rsid w:val="00DB72A3"/>
    <w:rsid w:val="00DC25F9"/>
    <w:rsid w:val="00DE0AC9"/>
    <w:rsid w:val="00DE3B1C"/>
    <w:rsid w:val="00DF397F"/>
    <w:rsid w:val="00DF4F86"/>
    <w:rsid w:val="00DF7471"/>
    <w:rsid w:val="00E2085C"/>
    <w:rsid w:val="00E213D1"/>
    <w:rsid w:val="00E60E25"/>
    <w:rsid w:val="00E70622"/>
    <w:rsid w:val="00E97799"/>
    <w:rsid w:val="00EA730E"/>
    <w:rsid w:val="00EB22D1"/>
    <w:rsid w:val="00EC4782"/>
    <w:rsid w:val="00EC478D"/>
    <w:rsid w:val="00ED1C85"/>
    <w:rsid w:val="00ED5729"/>
    <w:rsid w:val="00EE77D4"/>
    <w:rsid w:val="00EF6D43"/>
    <w:rsid w:val="00F024E3"/>
    <w:rsid w:val="00F05866"/>
    <w:rsid w:val="00F3058F"/>
    <w:rsid w:val="00F359DD"/>
    <w:rsid w:val="00F46C87"/>
    <w:rsid w:val="00F5737B"/>
    <w:rsid w:val="00F63539"/>
    <w:rsid w:val="00F70507"/>
    <w:rsid w:val="00F86830"/>
    <w:rsid w:val="00F92523"/>
    <w:rsid w:val="00FB2042"/>
    <w:rsid w:val="00FB4DF7"/>
    <w:rsid w:val="00FB717A"/>
    <w:rsid w:val="00FD07F6"/>
    <w:rsid w:val="00FD40A7"/>
    <w:rsid w:val="00FD7A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98F6"/>
  <w15:chartTrackingRefBased/>
  <w15:docId w15:val="{FF0C5291-D220-0146-88BC-5C5B05CA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1C6F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Ttulo2"/>
    <w:next w:val="Normal"/>
    <w:link w:val="Ttulo3Car"/>
    <w:uiPriority w:val="9"/>
    <w:unhideWhenUsed/>
    <w:qFormat/>
    <w:rsid w:val="001C6F82"/>
    <w:pPr>
      <w:widowControl w:val="0"/>
      <w:adjustRightInd w:val="0"/>
      <w:spacing w:before="0"/>
      <w:ind w:left="993" w:firstLine="348"/>
      <w:jc w:val="both"/>
      <w:textAlignment w:val="baseline"/>
      <w:outlineLvl w:val="2"/>
    </w:pPr>
    <w:rPr>
      <w:rFonts w:ascii="Verdana" w:hAnsi="Verdana"/>
      <w:b/>
      <w:i/>
      <w:color w:val="000000" w:themeColor="text1"/>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lorful List - Accent 11,Lista vistosa - Énfasis 11,Footnote,List Paragraph1,Párrafo de lista1,List Paragraph2,Subtle Emphasis1,Footnote1"/>
    <w:basedOn w:val="Normal"/>
    <w:link w:val="PrrafodelistaCar"/>
    <w:uiPriority w:val="34"/>
    <w:qFormat/>
    <w:rsid w:val="00DE3B1C"/>
    <w:pPr>
      <w:spacing w:after="160" w:line="259" w:lineRule="auto"/>
      <w:ind w:left="720"/>
      <w:contextualSpacing/>
    </w:pPr>
    <w:rPr>
      <w:sz w:val="22"/>
      <w:szCs w:val="22"/>
    </w:rPr>
  </w:style>
  <w:style w:type="character" w:customStyle="1" w:styleId="PrrafodelistaCar">
    <w:name w:val="Párrafo de lista Car"/>
    <w:aliases w:val="Colorful List - Accent 11 Car,Lista vistosa - Énfasis 11 Car,Footnote Car,List Paragraph1 Car,Párrafo de lista1 Car,List Paragraph2 Car,Subtle Emphasis1 Car,Footnote1 Car"/>
    <w:basedOn w:val="Fuentedeprrafopredeter"/>
    <w:link w:val="Prrafodelista"/>
    <w:uiPriority w:val="34"/>
    <w:locked/>
    <w:rsid w:val="00DE3B1C"/>
    <w:rPr>
      <w:sz w:val="22"/>
      <w:szCs w:val="22"/>
    </w:rPr>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FA Fu?notente,C,ft"/>
    <w:basedOn w:val="Normal"/>
    <w:link w:val="TextonotapieCar"/>
    <w:unhideWhenUsed/>
    <w:qFormat/>
    <w:rsid w:val="00DE3B1C"/>
    <w:rPr>
      <w:sz w:val="20"/>
      <w:szCs w:val="20"/>
    </w:rPr>
  </w:style>
  <w:style w:type="character" w:customStyle="1" w:styleId="TextonotapieCar">
    <w:name w:val="Texto nota pie Car"/>
    <w:aliases w:val="FA Fu Car1,Footnote Text Char Char Char Char Char Car,Footnote Text Char Char Char Char Car,Footnote reference Car,Footnote Text Char Char Char Car,FA Fu Car Car1,FA Fu Car Car Car,Footnote Text Cha Car,FA Fußnotentext Car,Ca Car"/>
    <w:basedOn w:val="Fuentedeprrafopredeter"/>
    <w:link w:val="Textonotapie"/>
    <w:qFormat/>
    <w:rsid w:val="00DE3B1C"/>
    <w:rPr>
      <w:sz w:val="20"/>
      <w:szCs w:val="20"/>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unhideWhenUsed/>
    <w:qFormat/>
    <w:rsid w:val="00DE3B1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E3B1C"/>
    <w:pPr>
      <w:jc w:val="both"/>
    </w:pPr>
    <w:rPr>
      <w:vertAlign w:val="superscript"/>
    </w:rPr>
  </w:style>
  <w:style w:type="paragraph" w:styleId="NormalWeb">
    <w:name w:val="Normal (Web)"/>
    <w:basedOn w:val="Normal"/>
    <w:uiPriority w:val="99"/>
    <w:unhideWhenUsed/>
    <w:rsid w:val="008F08B1"/>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aliases w:val="Heading 2.1"/>
    <w:basedOn w:val="Fuentedeprrafopredeter"/>
    <w:uiPriority w:val="22"/>
    <w:qFormat/>
    <w:rsid w:val="00DA53BC"/>
    <w:rPr>
      <w:b/>
      <w:bCs/>
    </w:rPr>
  </w:style>
  <w:style w:type="paragraph" w:customStyle="1" w:styleId="Default">
    <w:name w:val="Default"/>
    <w:rsid w:val="002217F7"/>
    <w:pPr>
      <w:autoSpaceDE w:val="0"/>
      <w:autoSpaceDN w:val="0"/>
      <w:adjustRightInd w:val="0"/>
    </w:pPr>
    <w:rPr>
      <w:rFonts w:ascii="Verdana" w:hAnsi="Verdana" w:cs="Verdana"/>
      <w:color w:val="000000"/>
    </w:rPr>
  </w:style>
  <w:style w:type="character" w:customStyle="1" w:styleId="Ttulo3Car">
    <w:name w:val="Título 3 Car"/>
    <w:basedOn w:val="Fuentedeprrafopredeter"/>
    <w:link w:val="Ttulo3"/>
    <w:uiPriority w:val="9"/>
    <w:rsid w:val="001C6F82"/>
    <w:rPr>
      <w:rFonts w:ascii="Verdana" w:eastAsiaTheme="majorEastAsia" w:hAnsi="Verdana" w:cstheme="majorBidi"/>
      <w:b/>
      <w:i/>
      <w:color w:val="000000" w:themeColor="text1"/>
      <w:sz w:val="20"/>
      <w:szCs w:val="20"/>
      <w:lang w:val="es-ES"/>
    </w:rPr>
  </w:style>
  <w:style w:type="character" w:customStyle="1" w:styleId="Ttulo2Car">
    <w:name w:val="Título 2 Car"/>
    <w:basedOn w:val="Fuentedeprrafopredeter"/>
    <w:link w:val="Ttulo2"/>
    <w:uiPriority w:val="9"/>
    <w:semiHidden/>
    <w:rsid w:val="001C6F82"/>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A671F6"/>
    <w:pPr>
      <w:tabs>
        <w:tab w:val="center" w:pos="4419"/>
        <w:tab w:val="right" w:pos="8838"/>
      </w:tabs>
    </w:pPr>
  </w:style>
  <w:style w:type="character" w:customStyle="1" w:styleId="EncabezadoCar">
    <w:name w:val="Encabezado Car"/>
    <w:basedOn w:val="Fuentedeprrafopredeter"/>
    <w:link w:val="Encabezado"/>
    <w:uiPriority w:val="99"/>
    <w:rsid w:val="00A671F6"/>
  </w:style>
  <w:style w:type="paragraph" w:styleId="Piedepgina">
    <w:name w:val="footer"/>
    <w:basedOn w:val="Normal"/>
    <w:link w:val="PiedepginaCar"/>
    <w:uiPriority w:val="99"/>
    <w:unhideWhenUsed/>
    <w:rsid w:val="00A671F6"/>
    <w:pPr>
      <w:tabs>
        <w:tab w:val="center" w:pos="4419"/>
        <w:tab w:val="right" w:pos="8838"/>
      </w:tabs>
    </w:pPr>
  </w:style>
  <w:style w:type="character" w:customStyle="1" w:styleId="PiedepginaCar">
    <w:name w:val="Pie de página Car"/>
    <w:basedOn w:val="Fuentedeprrafopredeter"/>
    <w:link w:val="Piedepgina"/>
    <w:uiPriority w:val="99"/>
    <w:rsid w:val="00A671F6"/>
  </w:style>
  <w:style w:type="character" w:styleId="Refdecomentario">
    <w:name w:val="annotation reference"/>
    <w:basedOn w:val="Fuentedeprrafopredeter"/>
    <w:uiPriority w:val="99"/>
    <w:semiHidden/>
    <w:unhideWhenUsed/>
    <w:rsid w:val="007016C7"/>
    <w:rPr>
      <w:sz w:val="16"/>
      <w:szCs w:val="16"/>
    </w:rPr>
  </w:style>
  <w:style w:type="paragraph" w:styleId="Textocomentario">
    <w:name w:val="annotation text"/>
    <w:basedOn w:val="Normal"/>
    <w:link w:val="TextocomentarioCar"/>
    <w:uiPriority w:val="99"/>
    <w:semiHidden/>
    <w:unhideWhenUsed/>
    <w:rsid w:val="007016C7"/>
    <w:rPr>
      <w:sz w:val="20"/>
      <w:szCs w:val="20"/>
    </w:rPr>
  </w:style>
  <w:style w:type="character" w:customStyle="1" w:styleId="TextocomentarioCar">
    <w:name w:val="Texto comentario Car"/>
    <w:basedOn w:val="Fuentedeprrafopredeter"/>
    <w:link w:val="Textocomentario"/>
    <w:uiPriority w:val="99"/>
    <w:semiHidden/>
    <w:rsid w:val="007016C7"/>
    <w:rPr>
      <w:sz w:val="20"/>
      <w:szCs w:val="20"/>
    </w:rPr>
  </w:style>
  <w:style w:type="paragraph" w:styleId="Asuntodelcomentario">
    <w:name w:val="annotation subject"/>
    <w:basedOn w:val="Textocomentario"/>
    <w:next w:val="Textocomentario"/>
    <w:link w:val="AsuntodelcomentarioCar"/>
    <w:uiPriority w:val="99"/>
    <w:semiHidden/>
    <w:unhideWhenUsed/>
    <w:rsid w:val="007016C7"/>
    <w:rPr>
      <w:b/>
      <w:bCs/>
    </w:rPr>
  </w:style>
  <w:style w:type="character" w:customStyle="1" w:styleId="AsuntodelcomentarioCar">
    <w:name w:val="Asunto del comentario Car"/>
    <w:basedOn w:val="TextocomentarioCar"/>
    <w:link w:val="Asuntodelcomentario"/>
    <w:uiPriority w:val="99"/>
    <w:semiHidden/>
    <w:rsid w:val="007016C7"/>
    <w:rPr>
      <w:b/>
      <w:bCs/>
      <w:sz w:val="20"/>
      <w:szCs w:val="20"/>
    </w:rPr>
  </w:style>
  <w:style w:type="paragraph" w:styleId="Textodeglobo">
    <w:name w:val="Balloon Text"/>
    <w:basedOn w:val="Normal"/>
    <w:link w:val="TextodegloboCar"/>
    <w:uiPriority w:val="99"/>
    <w:semiHidden/>
    <w:unhideWhenUsed/>
    <w:rsid w:val="007016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6C7"/>
    <w:rPr>
      <w:rFonts w:ascii="Segoe UI" w:hAnsi="Segoe UI" w:cs="Segoe UI"/>
      <w:sz w:val="18"/>
      <w:szCs w:val="18"/>
    </w:rPr>
  </w:style>
  <w:style w:type="paragraph" w:styleId="Revisin">
    <w:name w:val="Revision"/>
    <w:hidden/>
    <w:uiPriority w:val="99"/>
    <w:semiHidden/>
    <w:rsid w:val="003E2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3712">
      <w:bodyDiv w:val="1"/>
      <w:marLeft w:val="0"/>
      <w:marRight w:val="0"/>
      <w:marTop w:val="0"/>
      <w:marBottom w:val="0"/>
      <w:divBdr>
        <w:top w:val="none" w:sz="0" w:space="0" w:color="auto"/>
        <w:left w:val="none" w:sz="0" w:space="0" w:color="auto"/>
        <w:bottom w:val="none" w:sz="0" w:space="0" w:color="auto"/>
        <w:right w:val="none" w:sz="0" w:space="0" w:color="auto"/>
      </w:divBdr>
      <w:divsChild>
        <w:div w:id="97457114">
          <w:marLeft w:val="0"/>
          <w:marRight w:val="0"/>
          <w:marTop w:val="0"/>
          <w:marBottom w:val="0"/>
          <w:divBdr>
            <w:top w:val="none" w:sz="0" w:space="0" w:color="auto"/>
            <w:left w:val="none" w:sz="0" w:space="0" w:color="auto"/>
            <w:bottom w:val="none" w:sz="0" w:space="0" w:color="auto"/>
            <w:right w:val="none" w:sz="0" w:space="0" w:color="auto"/>
          </w:divBdr>
          <w:divsChild>
            <w:div w:id="1973365089">
              <w:marLeft w:val="0"/>
              <w:marRight w:val="0"/>
              <w:marTop w:val="0"/>
              <w:marBottom w:val="0"/>
              <w:divBdr>
                <w:top w:val="none" w:sz="0" w:space="0" w:color="auto"/>
                <w:left w:val="none" w:sz="0" w:space="0" w:color="auto"/>
                <w:bottom w:val="none" w:sz="0" w:space="0" w:color="auto"/>
                <w:right w:val="none" w:sz="0" w:space="0" w:color="auto"/>
              </w:divBdr>
              <w:divsChild>
                <w:div w:id="188959334">
                  <w:marLeft w:val="0"/>
                  <w:marRight w:val="0"/>
                  <w:marTop w:val="0"/>
                  <w:marBottom w:val="0"/>
                  <w:divBdr>
                    <w:top w:val="none" w:sz="0" w:space="0" w:color="auto"/>
                    <w:left w:val="none" w:sz="0" w:space="0" w:color="auto"/>
                    <w:bottom w:val="none" w:sz="0" w:space="0" w:color="auto"/>
                    <w:right w:val="none" w:sz="0" w:space="0" w:color="auto"/>
                  </w:divBdr>
                  <w:divsChild>
                    <w:div w:id="1340962254">
                      <w:marLeft w:val="0"/>
                      <w:marRight w:val="0"/>
                      <w:marTop w:val="0"/>
                      <w:marBottom w:val="0"/>
                      <w:divBdr>
                        <w:top w:val="none" w:sz="0" w:space="0" w:color="auto"/>
                        <w:left w:val="none" w:sz="0" w:space="0" w:color="auto"/>
                        <w:bottom w:val="none" w:sz="0" w:space="0" w:color="auto"/>
                        <w:right w:val="none" w:sz="0" w:space="0" w:color="auto"/>
                      </w:divBdr>
                    </w:div>
                  </w:divsChild>
                </w:div>
                <w:div w:id="2131625981">
                  <w:marLeft w:val="0"/>
                  <w:marRight w:val="0"/>
                  <w:marTop w:val="0"/>
                  <w:marBottom w:val="0"/>
                  <w:divBdr>
                    <w:top w:val="none" w:sz="0" w:space="0" w:color="auto"/>
                    <w:left w:val="none" w:sz="0" w:space="0" w:color="auto"/>
                    <w:bottom w:val="none" w:sz="0" w:space="0" w:color="auto"/>
                    <w:right w:val="none" w:sz="0" w:space="0" w:color="auto"/>
                  </w:divBdr>
                  <w:divsChild>
                    <w:div w:id="12765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40724">
      <w:bodyDiv w:val="1"/>
      <w:marLeft w:val="0"/>
      <w:marRight w:val="0"/>
      <w:marTop w:val="0"/>
      <w:marBottom w:val="0"/>
      <w:divBdr>
        <w:top w:val="none" w:sz="0" w:space="0" w:color="auto"/>
        <w:left w:val="none" w:sz="0" w:space="0" w:color="auto"/>
        <w:bottom w:val="none" w:sz="0" w:space="0" w:color="auto"/>
        <w:right w:val="none" w:sz="0" w:space="0" w:color="auto"/>
      </w:divBdr>
      <w:divsChild>
        <w:div w:id="1985155428">
          <w:marLeft w:val="0"/>
          <w:marRight w:val="0"/>
          <w:marTop w:val="0"/>
          <w:marBottom w:val="0"/>
          <w:divBdr>
            <w:top w:val="none" w:sz="0" w:space="0" w:color="auto"/>
            <w:left w:val="none" w:sz="0" w:space="0" w:color="auto"/>
            <w:bottom w:val="none" w:sz="0" w:space="0" w:color="auto"/>
            <w:right w:val="none" w:sz="0" w:space="0" w:color="auto"/>
          </w:divBdr>
          <w:divsChild>
            <w:div w:id="17629811">
              <w:marLeft w:val="0"/>
              <w:marRight w:val="0"/>
              <w:marTop w:val="0"/>
              <w:marBottom w:val="0"/>
              <w:divBdr>
                <w:top w:val="none" w:sz="0" w:space="0" w:color="auto"/>
                <w:left w:val="none" w:sz="0" w:space="0" w:color="auto"/>
                <w:bottom w:val="none" w:sz="0" w:space="0" w:color="auto"/>
                <w:right w:val="none" w:sz="0" w:space="0" w:color="auto"/>
              </w:divBdr>
              <w:divsChild>
                <w:div w:id="1070883165">
                  <w:marLeft w:val="0"/>
                  <w:marRight w:val="0"/>
                  <w:marTop w:val="0"/>
                  <w:marBottom w:val="0"/>
                  <w:divBdr>
                    <w:top w:val="none" w:sz="0" w:space="0" w:color="auto"/>
                    <w:left w:val="none" w:sz="0" w:space="0" w:color="auto"/>
                    <w:bottom w:val="none" w:sz="0" w:space="0" w:color="auto"/>
                    <w:right w:val="none" w:sz="0" w:space="0" w:color="auto"/>
                  </w:divBdr>
                  <w:divsChild>
                    <w:div w:id="760952357">
                      <w:marLeft w:val="0"/>
                      <w:marRight w:val="0"/>
                      <w:marTop w:val="0"/>
                      <w:marBottom w:val="0"/>
                      <w:divBdr>
                        <w:top w:val="none" w:sz="0" w:space="0" w:color="auto"/>
                        <w:left w:val="none" w:sz="0" w:space="0" w:color="auto"/>
                        <w:bottom w:val="none" w:sz="0" w:space="0" w:color="auto"/>
                        <w:right w:val="none" w:sz="0" w:space="0" w:color="auto"/>
                      </w:divBdr>
                    </w:div>
                  </w:divsChild>
                </w:div>
                <w:div w:id="963541864">
                  <w:marLeft w:val="0"/>
                  <w:marRight w:val="0"/>
                  <w:marTop w:val="0"/>
                  <w:marBottom w:val="0"/>
                  <w:divBdr>
                    <w:top w:val="none" w:sz="0" w:space="0" w:color="auto"/>
                    <w:left w:val="none" w:sz="0" w:space="0" w:color="auto"/>
                    <w:bottom w:val="none" w:sz="0" w:space="0" w:color="auto"/>
                    <w:right w:val="none" w:sz="0" w:space="0" w:color="auto"/>
                  </w:divBdr>
                  <w:divsChild>
                    <w:div w:id="16641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27056">
      <w:bodyDiv w:val="1"/>
      <w:marLeft w:val="0"/>
      <w:marRight w:val="0"/>
      <w:marTop w:val="0"/>
      <w:marBottom w:val="0"/>
      <w:divBdr>
        <w:top w:val="none" w:sz="0" w:space="0" w:color="auto"/>
        <w:left w:val="none" w:sz="0" w:space="0" w:color="auto"/>
        <w:bottom w:val="none" w:sz="0" w:space="0" w:color="auto"/>
        <w:right w:val="none" w:sz="0" w:space="0" w:color="auto"/>
      </w:divBdr>
    </w:div>
    <w:div w:id="1495339812">
      <w:bodyDiv w:val="1"/>
      <w:marLeft w:val="0"/>
      <w:marRight w:val="0"/>
      <w:marTop w:val="0"/>
      <w:marBottom w:val="0"/>
      <w:divBdr>
        <w:top w:val="none" w:sz="0" w:space="0" w:color="auto"/>
        <w:left w:val="none" w:sz="0" w:space="0" w:color="auto"/>
        <w:bottom w:val="none" w:sz="0" w:space="0" w:color="auto"/>
        <w:right w:val="none" w:sz="0" w:space="0" w:color="auto"/>
      </w:divBdr>
      <w:divsChild>
        <w:div w:id="1412431877">
          <w:marLeft w:val="0"/>
          <w:marRight w:val="0"/>
          <w:marTop w:val="0"/>
          <w:marBottom w:val="0"/>
          <w:divBdr>
            <w:top w:val="none" w:sz="0" w:space="0" w:color="auto"/>
            <w:left w:val="none" w:sz="0" w:space="0" w:color="auto"/>
            <w:bottom w:val="none" w:sz="0" w:space="0" w:color="auto"/>
            <w:right w:val="none" w:sz="0" w:space="0" w:color="auto"/>
          </w:divBdr>
          <w:divsChild>
            <w:div w:id="1567373078">
              <w:marLeft w:val="0"/>
              <w:marRight w:val="0"/>
              <w:marTop w:val="0"/>
              <w:marBottom w:val="0"/>
              <w:divBdr>
                <w:top w:val="none" w:sz="0" w:space="0" w:color="auto"/>
                <w:left w:val="none" w:sz="0" w:space="0" w:color="auto"/>
                <w:bottom w:val="none" w:sz="0" w:space="0" w:color="auto"/>
                <w:right w:val="none" w:sz="0" w:space="0" w:color="auto"/>
              </w:divBdr>
              <w:divsChild>
                <w:div w:id="1784883165">
                  <w:marLeft w:val="0"/>
                  <w:marRight w:val="0"/>
                  <w:marTop w:val="0"/>
                  <w:marBottom w:val="0"/>
                  <w:divBdr>
                    <w:top w:val="none" w:sz="0" w:space="0" w:color="auto"/>
                    <w:left w:val="none" w:sz="0" w:space="0" w:color="auto"/>
                    <w:bottom w:val="none" w:sz="0" w:space="0" w:color="auto"/>
                    <w:right w:val="none" w:sz="0" w:space="0" w:color="auto"/>
                  </w:divBdr>
                  <w:divsChild>
                    <w:div w:id="8076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8295">
      <w:bodyDiv w:val="1"/>
      <w:marLeft w:val="0"/>
      <w:marRight w:val="0"/>
      <w:marTop w:val="0"/>
      <w:marBottom w:val="0"/>
      <w:divBdr>
        <w:top w:val="none" w:sz="0" w:space="0" w:color="auto"/>
        <w:left w:val="none" w:sz="0" w:space="0" w:color="auto"/>
        <w:bottom w:val="none" w:sz="0" w:space="0" w:color="auto"/>
        <w:right w:val="none" w:sz="0" w:space="0" w:color="auto"/>
      </w:divBdr>
      <w:divsChild>
        <w:div w:id="1866944713">
          <w:marLeft w:val="0"/>
          <w:marRight w:val="0"/>
          <w:marTop w:val="0"/>
          <w:marBottom w:val="0"/>
          <w:divBdr>
            <w:top w:val="none" w:sz="0" w:space="0" w:color="auto"/>
            <w:left w:val="none" w:sz="0" w:space="0" w:color="auto"/>
            <w:bottom w:val="none" w:sz="0" w:space="0" w:color="auto"/>
            <w:right w:val="none" w:sz="0" w:space="0" w:color="auto"/>
          </w:divBdr>
          <w:divsChild>
            <w:div w:id="728040267">
              <w:marLeft w:val="0"/>
              <w:marRight w:val="0"/>
              <w:marTop w:val="0"/>
              <w:marBottom w:val="0"/>
              <w:divBdr>
                <w:top w:val="none" w:sz="0" w:space="0" w:color="auto"/>
                <w:left w:val="none" w:sz="0" w:space="0" w:color="auto"/>
                <w:bottom w:val="none" w:sz="0" w:space="0" w:color="auto"/>
                <w:right w:val="none" w:sz="0" w:space="0" w:color="auto"/>
              </w:divBdr>
              <w:divsChild>
                <w:div w:id="2117016998">
                  <w:marLeft w:val="0"/>
                  <w:marRight w:val="0"/>
                  <w:marTop w:val="0"/>
                  <w:marBottom w:val="0"/>
                  <w:divBdr>
                    <w:top w:val="none" w:sz="0" w:space="0" w:color="auto"/>
                    <w:left w:val="none" w:sz="0" w:space="0" w:color="auto"/>
                    <w:bottom w:val="none" w:sz="0" w:space="0" w:color="auto"/>
                    <w:right w:val="none" w:sz="0" w:space="0" w:color="auto"/>
                  </w:divBdr>
                  <w:divsChild>
                    <w:div w:id="566770292">
                      <w:marLeft w:val="0"/>
                      <w:marRight w:val="0"/>
                      <w:marTop w:val="0"/>
                      <w:marBottom w:val="0"/>
                      <w:divBdr>
                        <w:top w:val="none" w:sz="0" w:space="0" w:color="auto"/>
                        <w:left w:val="none" w:sz="0" w:space="0" w:color="auto"/>
                        <w:bottom w:val="none" w:sz="0" w:space="0" w:color="auto"/>
                        <w:right w:val="none" w:sz="0" w:space="0" w:color="auto"/>
                      </w:divBdr>
                    </w:div>
                  </w:divsChild>
                </w:div>
                <w:div w:id="1987976048">
                  <w:marLeft w:val="0"/>
                  <w:marRight w:val="0"/>
                  <w:marTop w:val="0"/>
                  <w:marBottom w:val="0"/>
                  <w:divBdr>
                    <w:top w:val="none" w:sz="0" w:space="0" w:color="auto"/>
                    <w:left w:val="none" w:sz="0" w:space="0" w:color="auto"/>
                    <w:bottom w:val="none" w:sz="0" w:space="0" w:color="auto"/>
                    <w:right w:val="none" w:sz="0" w:space="0" w:color="auto"/>
                  </w:divBdr>
                  <w:divsChild>
                    <w:div w:id="1492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1134">
      <w:bodyDiv w:val="1"/>
      <w:marLeft w:val="0"/>
      <w:marRight w:val="0"/>
      <w:marTop w:val="0"/>
      <w:marBottom w:val="0"/>
      <w:divBdr>
        <w:top w:val="none" w:sz="0" w:space="0" w:color="auto"/>
        <w:left w:val="none" w:sz="0" w:space="0" w:color="auto"/>
        <w:bottom w:val="none" w:sz="0" w:space="0" w:color="auto"/>
        <w:right w:val="none" w:sz="0" w:space="0" w:color="auto"/>
      </w:divBdr>
      <w:divsChild>
        <w:div w:id="724568564">
          <w:marLeft w:val="0"/>
          <w:marRight w:val="0"/>
          <w:marTop w:val="0"/>
          <w:marBottom w:val="0"/>
          <w:divBdr>
            <w:top w:val="none" w:sz="0" w:space="0" w:color="auto"/>
            <w:left w:val="none" w:sz="0" w:space="0" w:color="auto"/>
            <w:bottom w:val="none" w:sz="0" w:space="0" w:color="auto"/>
            <w:right w:val="none" w:sz="0" w:space="0" w:color="auto"/>
          </w:divBdr>
          <w:divsChild>
            <w:div w:id="2081516609">
              <w:marLeft w:val="0"/>
              <w:marRight w:val="0"/>
              <w:marTop w:val="0"/>
              <w:marBottom w:val="0"/>
              <w:divBdr>
                <w:top w:val="none" w:sz="0" w:space="0" w:color="auto"/>
                <w:left w:val="none" w:sz="0" w:space="0" w:color="auto"/>
                <w:bottom w:val="none" w:sz="0" w:space="0" w:color="auto"/>
                <w:right w:val="none" w:sz="0" w:space="0" w:color="auto"/>
              </w:divBdr>
              <w:divsChild>
                <w:div w:id="1788499437">
                  <w:marLeft w:val="0"/>
                  <w:marRight w:val="0"/>
                  <w:marTop w:val="0"/>
                  <w:marBottom w:val="0"/>
                  <w:divBdr>
                    <w:top w:val="none" w:sz="0" w:space="0" w:color="auto"/>
                    <w:left w:val="none" w:sz="0" w:space="0" w:color="auto"/>
                    <w:bottom w:val="none" w:sz="0" w:space="0" w:color="auto"/>
                    <w:right w:val="none" w:sz="0" w:space="0" w:color="auto"/>
                  </w:divBdr>
                  <w:divsChild>
                    <w:div w:id="17466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96D78-B72E-4162-88F3-865F1F0C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2200</Words>
  <Characters>11467</Characters>
  <Application>Microsoft Office Word</Application>
  <DocSecurity>0</DocSecurity>
  <Lines>182</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dcterms:created xsi:type="dcterms:W3CDTF">2021-11-18T19:05:00Z</dcterms:created>
  <dcterms:modified xsi:type="dcterms:W3CDTF">2021-11-18T19:05:00Z</dcterms:modified>
</cp:coreProperties>
</file>