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61B0" w14:textId="77777777" w:rsidR="00BD4F6D" w:rsidRPr="007508E2" w:rsidRDefault="00BD4F6D" w:rsidP="00D835E2">
      <w:pPr>
        <w:tabs>
          <w:tab w:val="left" w:pos="709"/>
        </w:tabs>
        <w:jc w:val="center"/>
        <w:rPr>
          <w:rFonts w:ascii="Verdana" w:hAnsi="Verdana"/>
          <w:b/>
          <w:color w:val="000000" w:themeColor="text1"/>
          <w:sz w:val="20"/>
          <w:szCs w:val="20"/>
        </w:rPr>
      </w:pPr>
      <w:r w:rsidRPr="007508E2">
        <w:rPr>
          <w:rFonts w:ascii="Verdana" w:hAnsi="Verdana"/>
          <w:b/>
          <w:color w:val="000000" w:themeColor="text1"/>
          <w:sz w:val="20"/>
          <w:szCs w:val="20"/>
        </w:rPr>
        <w:t xml:space="preserve">VOTO PARCIALMENTE DISIDENTE DEL </w:t>
      </w:r>
    </w:p>
    <w:p w14:paraId="09305C7F" w14:textId="600FD549" w:rsidR="00BD4F6D" w:rsidRDefault="00BD4F6D" w:rsidP="00D835E2">
      <w:pPr>
        <w:tabs>
          <w:tab w:val="left" w:pos="709"/>
        </w:tabs>
        <w:jc w:val="center"/>
        <w:rPr>
          <w:rFonts w:ascii="Verdana" w:hAnsi="Verdana"/>
          <w:b/>
          <w:color w:val="000000" w:themeColor="text1"/>
          <w:sz w:val="20"/>
          <w:szCs w:val="20"/>
        </w:rPr>
      </w:pPr>
      <w:r w:rsidRPr="007508E2">
        <w:rPr>
          <w:rFonts w:ascii="Verdana" w:hAnsi="Verdana"/>
          <w:b/>
          <w:color w:val="000000" w:themeColor="text1"/>
          <w:sz w:val="20"/>
          <w:szCs w:val="20"/>
        </w:rPr>
        <w:t>JUEZ HUMBERTO ANTONIO SIERRA PORTO</w:t>
      </w:r>
    </w:p>
    <w:p w14:paraId="300296B4" w14:textId="77777777" w:rsidR="00D835E2" w:rsidRPr="007508E2" w:rsidRDefault="00D835E2" w:rsidP="00D835E2">
      <w:pPr>
        <w:tabs>
          <w:tab w:val="left" w:pos="709"/>
        </w:tabs>
        <w:jc w:val="center"/>
        <w:rPr>
          <w:rFonts w:ascii="Verdana" w:hAnsi="Verdana"/>
          <w:b/>
          <w:color w:val="000000" w:themeColor="text1"/>
          <w:sz w:val="20"/>
          <w:szCs w:val="20"/>
        </w:rPr>
      </w:pPr>
    </w:p>
    <w:p w14:paraId="17049A93" w14:textId="2C131125" w:rsidR="00A152A0" w:rsidRDefault="00A152A0" w:rsidP="00D835E2">
      <w:pPr>
        <w:autoSpaceDE w:val="0"/>
        <w:autoSpaceDN w:val="0"/>
        <w:adjustRightInd w:val="0"/>
        <w:jc w:val="center"/>
        <w:rPr>
          <w:rFonts w:ascii="Verdana" w:eastAsia="MS Mincho" w:hAnsi="Verdana"/>
          <w:b/>
          <w:color w:val="000000" w:themeColor="text1"/>
          <w:sz w:val="20"/>
          <w:szCs w:val="20"/>
          <w:lang w:eastAsia="es-ES" w:bidi="en-US"/>
        </w:rPr>
      </w:pPr>
      <w:r w:rsidRPr="007508E2">
        <w:rPr>
          <w:rFonts w:ascii="Verdana" w:eastAsia="MS Mincho" w:hAnsi="Verdana"/>
          <w:b/>
          <w:color w:val="000000" w:themeColor="text1"/>
          <w:sz w:val="20"/>
          <w:szCs w:val="20"/>
          <w:lang w:eastAsia="es-ES" w:bidi="en-US"/>
        </w:rPr>
        <w:t xml:space="preserve">CASO </w:t>
      </w:r>
      <w:r w:rsidR="00FD0090">
        <w:rPr>
          <w:rFonts w:ascii="Verdana" w:eastAsia="MS Mincho" w:hAnsi="Verdana"/>
          <w:b/>
          <w:color w:val="000000" w:themeColor="text1"/>
          <w:sz w:val="20"/>
          <w:szCs w:val="20"/>
          <w:lang w:eastAsia="es-ES" w:bidi="en-US"/>
        </w:rPr>
        <w:t xml:space="preserve">RODRÍGUEZ PACHECO Y OTRA </w:t>
      </w:r>
      <w:r w:rsidR="00FD0090" w:rsidRPr="005E4778">
        <w:rPr>
          <w:rFonts w:ascii="Verdana" w:eastAsia="MS Mincho" w:hAnsi="Verdana"/>
          <w:b/>
          <w:i/>
          <w:iCs/>
          <w:color w:val="000000" w:themeColor="text1"/>
          <w:sz w:val="20"/>
          <w:szCs w:val="20"/>
          <w:lang w:eastAsia="es-ES" w:bidi="en-US"/>
        </w:rPr>
        <w:t>VS</w:t>
      </w:r>
      <w:r w:rsidR="00FD0090">
        <w:rPr>
          <w:rFonts w:ascii="Verdana" w:eastAsia="MS Mincho" w:hAnsi="Verdana"/>
          <w:b/>
          <w:color w:val="000000" w:themeColor="text1"/>
          <w:sz w:val="20"/>
          <w:szCs w:val="20"/>
          <w:lang w:eastAsia="es-ES" w:bidi="en-US"/>
        </w:rPr>
        <w:t>. VENEZUELA</w:t>
      </w:r>
    </w:p>
    <w:p w14:paraId="6554C53C" w14:textId="77777777" w:rsidR="00D835E2" w:rsidRPr="007508E2" w:rsidRDefault="00D835E2" w:rsidP="00D835E2">
      <w:pPr>
        <w:autoSpaceDE w:val="0"/>
        <w:autoSpaceDN w:val="0"/>
        <w:adjustRightInd w:val="0"/>
        <w:jc w:val="center"/>
        <w:rPr>
          <w:rFonts w:ascii="Verdana" w:eastAsia="MS Mincho" w:hAnsi="Verdana"/>
          <w:b/>
          <w:color w:val="000000" w:themeColor="text1"/>
          <w:sz w:val="20"/>
          <w:szCs w:val="20"/>
          <w:lang w:eastAsia="es-ES" w:bidi="en-US"/>
        </w:rPr>
      </w:pPr>
    </w:p>
    <w:p w14:paraId="6FBCD3B7" w14:textId="380FB619" w:rsidR="00A152A0" w:rsidRPr="007508E2" w:rsidRDefault="00A152A0" w:rsidP="00D835E2">
      <w:pPr>
        <w:pStyle w:val="Ttulo"/>
        <w:numPr>
          <w:ilvl w:val="0"/>
          <w:numId w:val="0"/>
        </w:numPr>
        <w:ind w:right="-138"/>
        <w:jc w:val="center"/>
        <w:rPr>
          <w:rFonts w:eastAsia="MS Mincho"/>
          <w:color w:val="000000" w:themeColor="text1"/>
          <w:lang w:val="es-CR"/>
        </w:rPr>
      </w:pPr>
      <w:r w:rsidRPr="007508E2">
        <w:rPr>
          <w:rFonts w:eastAsia="MS Mincho"/>
          <w:color w:val="000000" w:themeColor="text1"/>
          <w:lang w:val="es-CR"/>
        </w:rPr>
        <w:t xml:space="preserve">SENTENCIA DE </w:t>
      </w:r>
      <w:r w:rsidR="00FD0090">
        <w:rPr>
          <w:rFonts w:eastAsia="MS Mincho"/>
          <w:color w:val="000000" w:themeColor="text1"/>
          <w:lang w:val="es-CR"/>
        </w:rPr>
        <w:t>1</w:t>
      </w:r>
      <w:r w:rsidRPr="007508E2">
        <w:rPr>
          <w:rFonts w:eastAsia="MS Mincho"/>
          <w:color w:val="000000" w:themeColor="text1"/>
          <w:lang w:val="es-CR"/>
        </w:rPr>
        <w:t xml:space="preserve"> DE </w:t>
      </w:r>
      <w:r w:rsidR="00FD0090">
        <w:rPr>
          <w:rFonts w:eastAsia="MS Mincho"/>
          <w:color w:val="000000" w:themeColor="text1"/>
          <w:lang w:val="es-CR"/>
        </w:rPr>
        <w:t>SEPTIEMBRE</w:t>
      </w:r>
      <w:r w:rsidRPr="007508E2">
        <w:rPr>
          <w:rFonts w:eastAsia="MS Mincho"/>
          <w:color w:val="000000" w:themeColor="text1"/>
          <w:lang w:val="es-CR"/>
        </w:rPr>
        <w:t xml:space="preserve"> DE 2023</w:t>
      </w:r>
    </w:p>
    <w:p w14:paraId="3A12F99C" w14:textId="3BB2A9FE" w:rsidR="00A152A0" w:rsidRPr="007508E2" w:rsidRDefault="00A152A0" w:rsidP="00D835E2">
      <w:pPr>
        <w:pStyle w:val="Ttulo"/>
        <w:numPr>
          <w:ilvl w:val="0"/>
          <w:numId w:val="0"/>
        </w:numPr>
        <w:ind w:right="-138"/>
        <w:jc w:val="center"/>
        <w:rPr>
          <w:rFonts w:eastAsia="MS Mincho"/>
          <w:i/>
          <w:color w:val="000000" w:themeColor="text1"/>
          <w:lang w:val="es-CR"/>
        </w:rPr>
      </w:pPr>
      <w:r w:rsidRPr="007508E2">
        <w:rPr>
          <w:rFonts w:eastAsia="MS Mincho"/>
          <w:i/>
          <w:color w:val="000000" w:themeColor="text1"/>
          <w:lang w:val="es-CR"/>
        </w:rPr>
        <w:t>(</w:t>
      </w:r>
      <w:r w:rsidR="00FD0090">
        <w:rPr>
          <w:rFonts w:eastAsia="MS Mincho"/>
          <w:i/>
          <w:color w:val="000000" w:themeColor="text1"/>
          <w:lang w:val="es-CR"/>
        </w:rPr>
        <w:t>Excepciones Preliminares, Fondo, Reparaciones y Costas</w:t>
      </w:r>
      <w:r w:rsidRPr="007508E2">
        <w:rPr>
          <w:rFonts w:eastAsia="MS Mincho"/>
          <w:i/>
          <w:color w:val="000000" w:themeColor="text1"/>
          <w:lang w:val="es-CR"/>
        </w:rPr>
        <w:t>)</w:t>
      </w:r>
    </w:p>
    <w:p w14:paraId="58E2BD22" w14:textId="77777777" w:rsidR="00BD4F6D" w:rsidRPr="007508E2" w:rsidRDefault="00BD4F6D" w:rsidP="00F806CB">
      <w:pPr>
        <w:jc w:val="center"/>
        <w:rPr>
          <w:rFonts w:ascii="Verdana" w:eastAsia="Times New Roman" w:hAnsi="Verdana" w:cs="Times New Roman"/>
          <w:b/>
          <w:bCs/>
          <w:i/>
          <w:iCs/>
          <w:color w:val="000000" w:themeColor="text1"/>
          <w:sz w:val="20"/>
          <w:szCs w:val="20"/>
          <w:lang w:val="es-ES" w:eastAsia="es-ES_tradnl"/>
        </w:rPr>
      </w:pPr>
    </w:p>
    <w:p w14:paraId="0D7E944D" w14:textId="07468E06" w:rsidR="00BD4F6D" w:rsidRPr="00BE567A" w:rsidRDefault="00BD4F6D" w:rsidP="00F806CB">
      <w:pPr>
        <w:pStyle w:val="Prrafodelista"/>
        <w:numPr>
          <w:ilvl w:val="0"/>
          <w:numId w:val="1"/>
        </w:numPr>
        <w:autoSpaceDE w:val="0"/>
        <w:autoSpaceDN w:val="0"/>
        <w:adjustRightInd w:val="0"/>
        <w:spacing w:after="0" w:line="240" w:lineRule="auto"/>
        <w:ind w:left="0" w:firstLine="0"/>
        <w:contextualSpacing w:val="0"/>
        <w:jc w:val="both"/>
        <w:rPr>
          <w:rFonts w:ascii="Verdana" w:hAnsi="Verdana"/>
          <w:color w:val="000000" w:themeColor="text1"/>
          <w:sz w:val="20"/>
          <w:szCs w:val="20"/>
          <w:lang w:val="es-CR"/>
        </w:rPr>
      </w:pPr>
      <w:r w:rsidRPr="007508E2">
        <w:rPr>
          <w:rFonts w:ascii="Verdana" w:hAnsi="Verdana" w:cs="Times New Roman"/>
          <w:color w:val="000000" w:themeColor="text1"/>
          <w:sz w:val="20"/>
          <w:szCs w:val="20"/>
          <w:lang w:val="es-CR"/>
        </w:rPr>
        <w:t>Con</w:t>
      </w:r>
      <w:r w:rsidRPr="007508E2">
        <w:rPr>
          <w:rFonts w:ascii="Verdana" w:hAnsi="Verdana"/>
          <w:color w:val="000000" w:themeColor="text1"/>
          <w:sz w:val="20"/>
          <w:szCs w:val="20"/>
        </w:rPr>
        <w:t xml:space="preserve"> el acostumbrado respeto por las decisiones mayoritarias de la Corte Interamericana de Derechos Humanos (en adelante la Corte o el Tribunal), el presente voto tiene por objeto explicar mi disidencia frente al punto resolutivo 4 en el que se declaró la responsabilidad internacional del Estado de </w:t>
      </w:r>
      <w:r w:rsidR="00FD0090">
        <w:rPr>
          <w:rFonts w:ascii="Verdana" w:hAnsi="Verdana"/>
          <w:color w:val="000000" w:themeColor="text1"/>
          <w:sz w:val="20"/>
          <w:szCs w:val="20"/>
        </w:rPr>
        <w:t>Venezuela</w:t>
      </w:r>
      <w:r w:rsidRPr="007508E2">
        <w:rPr>
          <w:rFonts w:ascii="Verdana" w:hAnsi="Verdana"/>
          <w:color w:val="000000" w:themeColor="text1"/>
          <w:sz w:val="20"/>
          <w:szCs w:val="20"/>
        </w:rPr>
        <w:t xml:space="preserve"> (en adelante “el Estado” o </w:t>
      </w:r>
      <w:r w:rsidR="00487535">
        <w:rPr>
          <w:rFonts w:ascii="Verdana" w:hAnsi="Verdana"/>
          <w:color w:val="000000" w:themeColor="text1"/>
          <w:sz w:val="20"/>
          <w:szCs w:val="20"/>
        </w:rPr>
        <w:t>“</w:t>
      </w:r>
      <w:r w:rsidR="00FD0090">
        <w:rPr>
          <w:rFonts w:ascii="Verdana" w:hAnsi="Verdana"/>
          <w:color w:val="000000" w:themeColor="text1"/>
          <w:sz w:val="20"/>
          <w:szCs w:val="20"/>
        </w:rPr>
        <w:t>Venezuela</w:t>
      </w:r>
      <w:r w:rsidR="00487535">
        <w:rPr>
          <w:rFonts w:ascii="Verdana" w:hAnsi="Verdana"/>
          <w:color w:val="000000" w:themeColor="text1"/>
          <w:sz w:val="20"/>
          <w:szCs w:val="20"/>
        </w:rPr>
        <w:t>”</w:t>
      </w:r>
      <w:r w:rsidRPr="007508E2">
        <w:rPr>
          <w:rFonts w:ascii="Verdana" w:hAnsi="Verdana"/>
          <w:color w:val="000000" w:themeColor="text1"/>
          <w:sz w:val="20"/>
          <w:szCs w:val="20"/>
        </w:rPr>
        <w:t>) por la violación del derecho a</w:t>
      </w:r>
      <w:r w:rsidR="00FD0090">
        <w:rPr>
          <w:rFonts w:ascii="Verdana" w:hAnsi="Verdana"/>
          <w:color w:val="000000" w:themeColor="text1"/>
          <w:sz w:val="20"/>
          <w:szCs w:val="20"/>
        </w:rPr>
        <w:t xml:space="preserve"> </w:t>
      </w:r>
      <w:r w:rsidR="00A152A0" w:rsidRPr="007508E2">
        <w:rPr>
          <w:rFonts w:ascii="Verdana" w:hAnsi="Verdana"/>
          <w:color w:val="000000" w:themeColor="text1"/>
          <w:sz w:val="20"/>
          <w:szCs w:val="20"/>
        </w:rPr>
        <w:t>l</w:t>
      </w:r>
      <w:r w:rsidR="00FD0090">
        <w:rPr>
          <w:rFonts w:ascii="Verdana" w:hAnsi="Verdana"/>
          <w:color w:val="000000" w:themeColor="text1"/>
          <w:sz w:val="20"/>
          <w:szCs w:val="20"/>
        </w:rPr>
        <w:t>a</w:t>
      </w:r>
      <w:r w:rsidR="00A152A0" w:rsidRPr="007508E2">
        <w:rPr>
          <w:rFonts w:ascii="Verdana" w:hAnsi="Verdana"/>
          <w:color w:val="000000" w:themeColor="text1"/>
          <w:sz w:val="20"/>
          <w:szCs w:val="20"/>
        </w:rPr>
        <w:t xml:space="preserve"> </w:t>
      </w:r>
      <w:r w:rsidR="00FD0090">
        <w:rPr>
          <w:rFonts w:ascii="Verdana" w:hAnsi="Verdana"/>
          <w:color w:val="000000" w:themeColor="text1"/>
          <w:sz w:val="20"/>
          <w:szCs w:val="20"/>
        </w:rPr>
        <w:t>salud</w:t>
      </w:r>
      <w:r w:rsidRPr="007508E2">
        <w:rPr>
          <w:rFonts w:ascii="Verdana" w:hAnsi="Verdana"/>
          <w:color w:val="000000" w:themeColor="text1"/>
          <w:sz w:val="20"/>
          <w:szCs w:val="20"/>
        </w:rPr>
        <w:t>, en perjuicio de</w:t>
      </w:r>
      <w:r w:rsidR="00FD0090">
        <w:rPr>
          <w:rFonts w:ascii="Verdana" w:hAnsi="Verdana"/>
          <w:color w:val="000000" w:themeColor="text1"/>
          <w:sz w:val="20"/>
          <w:szCs w:val="20"/>
        </w:rPr>
        <w:t xml:space="preserve"> </w:t>
      </w:r>
      <w:r w:rsidRPr="007508E2">
        <w:rPr>
          <w:rFonts w:ascii="Verdana" w:hAnsi="Verdana"/>
          <w:color w:val="000000" w:themeColor="text1"/>
          <w:sz w:val="20"/>
          <w:szCs w:val="20"/>
        </w:rPr>
        <w:t>l</w:t>
      </w:r>
      <w:r w:rsidR="00FD0090">
        <w:rPr>
          <w:rFonts w:ascii="Verdana" w:hAnsi="Verdana"/>
          <w:color w:val="000000" w:themeColor="text1"/>
          <w:sz w:val="20"/>
          <w:szCs w:val="20"/>
        </w:rPr>
        <w:t>a</w:t>
      </w:r>
      <w:r w:rsidRPr="007508E2">
        <w:rPr>
          <w:rFonts w:ascii="Verdana" w:hAnsi="Verdana"/>
          <w:color w:val="000000" w:themeColor="text1"/>
          <w:sz w:val="20"/>
          <w:szCs w:val="20"/>
        </w:rPr>
        <w:t xml:space="preserve"> señor</w:t>
      </w:r>
      <w:r w:rsidR="00FD0090">
        <w:rPr>
          <w:rFonts w:ascii="Verdana" w:hAnsi="Verdana"/>
          <w:color w:val="000000" w:themeColor="text1"/>
          <w:sz w:val="20"/>
          <w:szCs w:val="20"/>
        </w:rPr>
        <w:t>a</w:t>
      </w:r>
      <w:r w:rsidRPr="007508E2">
        <w:rPr>
          <w:rFonts w:ascii="Verdana" w:hAnsi="Verdana"/>
          <w:color w:val="000000" w:themeColor="text1"/>
          <w:sz w:val="20"/>
          <w:szCs w:val="20"/>
        </w:rPr>
        <w:t xml:space="preserve"> </w:t>
      </w:r>
      <w:r w:rsidR="00FD0090">
        <w:rPr>
          <w:rFonts w:ascii="Verdana" w:hAnsi="Verdana" w:cs="Times New Roman"/>
          <w:color w:val="000000" w:themeColor="text1"/>
          <w:sz w:val="20"/>
          <w:szCs w:val="20"/>
          <w:lang w:val="es-ES"/>
        </w:rPr>
        <w:t>Balbina Francisca Rodríguez Pacheco</w:t>
      </w:r>
      <w:r w:rsidR="00A152A0" w:rsidRPr="007508E2">
        <w:rPr>
          <w:rFonts w:ascii="Verdana" w:hAnsi="Verdana"/>
          <w:color w:val="000000" w:themeColor="text1"/>
          <w:sz w:val="20"/>
          <w:szCs w:val="20"/>
        </w:rPr>
        <w:t>.</w:t>
      </w:r>
    </w:p>
    <w:p w14:paraId="6D23F752" w14:textId="77777777" w:rsidR="00BE567A" w:rsidRPr="007508E2" w:rsidRDefault="00BE567A" w:rsidP="00F806CB">
      <w:pPr>
        <w:pStyle w:val="Prrafodelista"/>
        <w:autoSpaceDE w:val="0"/>
        <w:autoSpaceDN w:val="0"/>
        <w:adjustRightInd w:val="0"/>
        <w:spacing w:after="0" w:line="240" w:lineRule="auto"/>
        <w:ind w:left="0"/>
        <w:contextualSpacing w:val="0"/>
        <w:jc w:val="both"/>
        <w:rPr>
          <w:rFonts w:ascii="Verdana" w:hAnsi="Verdana"/>
          <w:color w:val="000000" w:themeColor="text1"/>
          <w:sz w:val="20"/>
          <w:szCs w:val="20"/>
          <w:lang w:val="es-CR"/>
        </w:rPr>
      </w:pPr>
    </w:p>
    <w:p w14:paraId="4C0C045F" w14:textId="480D68AD" w:rsidR="00BD4F6D" w:rsidRPr="00FD0090" w:rsidRDefault="00BD4F6D" w:rsidP="00BB7681">
      <w:pPr>
        <w:pStyle w:val="Prrafodelista"/>
        <w:numPr>
          <w:ilvl w:val="0"/>
          <w:numId w:val="1"/>
        </w:numPr>
        <w:autoSpaceDE w:val="0"/>
        <w:autoSpaceDN w:val="0"/>
        <w:adjustRightInd w:val="0"/>
        <w:spacing w:after="0" w:line="240" w:lineRule="auto"/>
        <w:ind w:left="0" w:firstLine="0"/>
        <w:contextualSpacing w:val="0"/>
        <w:jc w:val="both"/>
        <w:rPr>
          <w:rFonts w:ascii="Verdana" w:hAnsi="Verdana"/>
          <w:color w:val="000000" w:themeColor="text1"/>
          <w:sz w:val="20"/>
          <w:szCs w:val="20"/>
          <w:lang w:val="es-CR"/>
        </w:rPr>
      </w:pPr>
      <w:r w:rsidRPr="007508E2">
        <w:rPr>
          <w:rFonts w:ascii="Verdana" w:hAnsi="Verdana"/>
          <w:color w:val="000000" w:themeColor="text1"/>
          <w:sz w:val="20"/>
          <w:szCs w:val="20"/>
          <w:lang w:val="es-CR"/>
        </w:rPr>
        <w:t xml:space="preserve">Este voto complementa la posición ya expresada en mis votos parcialmente disidentes a los </w:t>
      </w:r>
      <w:r w:rsidRPr="007508E2">
        <w:rPr>
          <w:rFonts w:ascii="Verdana" w:hAnsi="Verdana"/>
          <w:i/>
          <w:iCs/>
          <w:color w:val="000000" w:themeColor="text1"/>
          <w:sz w:val="20"/>
          <w:szCs w:val="20"/>
          <w:lang w:val="es-CR"/>
        </w:rPr>
        <w:t>casos Lagos del Campo Vs. Perú</w:t>
      </w:r>
      <w:r w:rsidRPr="00884056">
        <w:rPr>
          <w:rStyle w:val="Refdenotaalpie"/>
          <w:rFonts w:ascii="Verdana" w:hAnsi="Verdana"/>
          <w:color w:val="000000" w:themeColor="text1"/>
          <w:sz w:val="20"/>
          <w:szCs w:val="20"/>
          <w:lang w:val="es-CR"/>
        </w:rPr>
        <w:footnoteReference w:id="1"/>
      </w:r>
      <w:r w:rsidRPr="007508E2">
        <w:rPr>
          <w:rFonts w:ascii="Verdana" w:hAnsi="Verdana"/>
          <w:i/>
          <w:iCs/>
          <w:color w:val="000000" w:themeColor="text1"/>
          <w:sz w:val="20"/>
          <w:szCs w:val="20"/>
          <w:lang w:val="es-CR"/>
        </w:rPr>
        <w:t>, Trabajadores Cesados de Petroperú y otros Vs. Perú</w:t>
      </w:r>
      <w:r w:rsidRPr="00884056">
        <w:rPr>
          <w:rStyle w:val="Refdenotaalpie"/>
          <w:rFonts w:ascii="Verdana" w:hAnsi="Verdana"/>
          <w:color w:val="000000" w:themeColor="text1"/>
          <w:sz w:val="20"/>
          <w:szCs w:val="20"/>
          <w:lang w:val="es-CR"/>
        </w:rPr>
        <w:footnoteReference w:id="2"/>
      </w:r>
      <w:r w:rsidRPr="007508E2">
        <w:rPr>
          <w:rFonts w:ascii="Verdana" w:hAnsi="Verdana"/>
          <w:i/>
          <w:iCs/>
          <w:color w:val="000000" w:themeColor="text1"/>
          <w:sz w:val="20"/>
          <w:szCs w:val="20"/>
          <w:lang w:val="es-CR"/>
        </w:rPr>
        <w:t>, San Miguel Sosa y otras Vs. Venezuela</w:t>
      </w:r>
      <w:r w:rsidRPr="00884056">
        <w:rPr>
          <w:rStyle w:val="Refdenotaalpie"/>
          <w:rFonts w:ascii="Verdana" w:hAnsi="Verdana"/>
          <w:color w:val="000000" w:themeColor="text1"/>
          <w:sz w:val="20"/>
          <w:szCs w:val="20"/>
          <w:lang w:val="es-CR"/>
        </w:rPr>
        <w:footnoteReference w:id="3"/>
      </w:r>
      <w:r w:rsidRPr="007508E2">
        <w:rPr>
          <w:rFonts w:ascii="Verdana" w:hAnsi="Verdana"/>
          <w:i/>
          <w:iCs/>
          <w:color w:val="000000" w:themeColor="text1"/>
          <w:sz w:val="20"/>
          <w:szCs w:val="20"/>
          <w:lang w:val="es-CR"/>
        </w:rPr>
        <w:t>, Muelle Flores Vs. Perú</w:t>
      </w:r>
      <w:r w:rsidRPr="00884056">
        <w:rPr>
          <w:rStyle w:val="Refdenotaalpie"/>
          <w:rFonts w:ascii="Verdana" w:hAnsi="Verdana"/>
          <w:color w:val="000000" w:themeColor="text1"/>
          <w:sz w:val="20"/>
          <w:szCs w:val="20"/>
          <w:lang w:val="es-CR"/>
        </w:rPr>
        <w:footnoteReference w:id="4"/>
      </w:r>
      <w:r w:rsidRPr="007508E2">
        <w:rPr>
          <w:rFonts w:ascii="Verdana" w:hAnsi="Verdana"/>
          <w:i/>
          <w:iCs/>
          <w:color w:val="000000" w:themeColor="text1"/>
          <w:sz w:val="20"/>
          <w:szCs w:val="20"/>
          <w:lang w:val="es-CR"/>
        </w:rPr>
        <w:t>, Hernández Vs. Argentina</w:t>
      </w:r>
      <w:r w:rsidRPr="00884056">
        <w:rPr>
          <w:rStyle w:val="Refdenotaalpie"/>
          <w:rFonts w:ascii="Verdana" w:hAnsi="Verdana"/>
          <w:color w:val="000000" w:themeColor="text1"/>
          <w:sz w:val="20"/>
          <w:szCs w:val="20"/>
          <w:lang w:val="es-CR"/>
        </w:rPr>
        <w:footnoteReference w:id="5"/>
      </w:r>
      <w:r w:rsidRPr="007508E2">
        <w:rPr>
          <w:rFonts w:ascii="Verdana" w:hAnsi="Verdana"/>
          <w:i/>
          <w:iCs/>
          <w:color w:val="000000" w:themeColor="text1"/>
          <w:sz w:val="20"/>
          <w:szCs w:val="20"/>
          <w:lang w:val="es-CR"/>
        </w:rPr>
        <w:t>, ANCEJUB-SUNAT Vs. Perú</w:t>
      </w:r>
      <w:r w:rsidRPr="00884056">
        <w:rPr>
          <w:rStyle w:val="Refdenotaalpie"/>
          <w:rFonts w:ascii="Verdana" w:hAnsi="Verdana"/>
          <w:color w:val="000000" w:themeColor="text1"/>
          <w:sz w:val="20"/>
          <w:szCs w:val="20"/>
          <w:lang w:val="es-CR"/>
        </w:rPr>
        <w:footnoteReference w:id="6"/>
      </w:r>
      <w:r w:rsidRPr="007508E2">
        <w:rPr>
          <w:rFonts w:ascii="Verdana" w:hAnsi="Verdana"/>
          <w:i/>
          <w:iCs/>
          <w:color w:val="000000" w:themeColor="text1"/>
          <w:sz w:val="20"/>
          <w:szCs w:val="20"/>
          <w:lang w:val="es-CR"/>
        </w:rPr>
        <w:t>, Comunidades Indígenas Miembros de la Asociación Lhaka Honhat (Nuestra Tierra) Vs. Argentina</w:t>
      </w:r>
      <w:r w:rsidRPr="00884056">
        <w:rPr>
          <w:rStyle w:val="Refdenotaalpie"/>
          <w:rFonts w:ascii="Verdana" w:hAnsi="Verdana"/>
          <w:color w:val="000000" w:themeColor="text1"/>
          <w:sz w:val="20"/>
          <w:szCs w:val="20"/>
          <w:lang w:val="es-CR"/>
        </w:rPr>
        <w:footnoteReference w:id="7"/>
      </w:r>
      <w:r w:rsidRPr="007508E2">
        <w:rPr>
          <w:rFonts w:ascii="Verdana" w:hAnsi="Verdana"/>
          <w:i/>
          <w:iCs/>
          <w:color w:val="000000" w:themeColor="text1"/>
          <w:sz w:val="20"/>
          <w:szCs w:val="20"/>
          <w:lang w:val="es-CR"/>
        </w:rPr>
        <w:t>, Empleados de la Fábrica de Fuegos de Santo Antônio de Jesus Vs. Brasil</w:t>
      </w:r>
      <w:r w:rsidRPr="00884056">
        <w:rPr>
          <w:rStyle w:val="Refdenotaalpie"/>
          <w:rFonts w:ascii="Verdana" w:hAnsi="Verdana"/>
          <w:color w:val="000000" w:themeColor="text1"/>
          <w:sz w:val="20"/>
          <w:szCs w:val="20"/>
          <w:lang w:val="es-CR"/>
        </w:rPr>
        <w:footnoteReference w:id="8"/>
      </w:r>
      <w:r w:rsidRPr="007508E2">
        <w:rPr>
          <w:rFonts w:ascii="Verdana" w:hAnsi="Verdana"/>
          <w:i/>
          <w:iCs/>
          <w:color w:val="000000" w:themeColor="text1"/>
          <w:sz w:val="20"/>
          <w:szCs w:val="20"/>
        </w:rPr>
        <w:t>, Casa Nina Vs. Perú</w:t>
      </w:r>
      <w:r w:rsidRPr="00884056">
        <w:rPr>
          <w:rStyle w:val="Refdenotaalpie"/>
          <w:rFonts w:ascii="Verdana" w:hAnsi="Verdana"/>
          <w:color w:val="000000" w:themeColor="text1"/>
          <w:sz w:val="20"/>
          <w:szCs w:val="20"/>
        </w:rPr>
        <w:footnoteReference w:id="9"/>
      </w:r>
      <w:r w:rsidRPr="007508E2">
        <w:rPr>
          <w:rFonts w:ascii="Verdana" w:hAnsi="Verdana"/>
          <w:i/>
          <w:iCs/>
          <w:color w:val="000000" w:themeColor="text1"/>
          <w:sz w:val="20"/>
          <w:szCs w:val="20"/>
        </w:rPr>
        <w:t>, Guachalá Chimbo Vs. Ecuador</w:t>
      </w:r>
      <w:r w:rsidRPr="00884056">
        <w:rPr>
          <w:rStyle w:val="Refdenotaalpie"/>
          <w:rFonts w:ascii="Verdana" w:hAnsi="Verdana"/>
          <w:color w:val="000000" w:themeColor="text1"/>
          <w:sz w:val="20"/>
          <w:szCs w:val="20"/>
        </w:rPr>
        <w:footnoteReference w:id="10"/>
      </w:r>
      <w:r w:rsidRPr="007508E2">
        <w:rPr>
          <w:rFonts w:ascii="Verdana" w:hAnsi="Verdana"/>
          <w:i/>
          <w:iCs/>
          <w:color w:val="000000" w:themeColor="text1"/>
          <w:sz w:val="20"/>
          <w:szCs w:val="20"/>
        </w:rPr>
        <w:t>, FEMAPOR Vs. Perú</w:t>
      </w:r>
      <w:r w:rsidRPr="00884056">
        <w:rPr>
          <w:rStyle w:val="Refdenotaalpie"/>
          <w:rFonts w:ascii="Verdana" w:hAnsi="Verdana"/>
          <w:color w:val="000000" w:themeColor="text1"/>
          <w:sz w:val="20"/>
          <w:szCs w:val="20"/>
        </w:rPr>
        <w:footnoteReference w:id="11"/>
      </w:r>
      <w:r w:rsidRPr="007508E2">
        <w:rPr>
          <w:rFonts w:ascii="Verdana" w:hAnsi="Verdana"/>
          <w:color w:val="000000" w:themeColor="text1"/>
          <w:sz w:val="20"/>
          <w:szCs w:val="20"/>
        </w:rPr>
        <w:t>,</w:t>
      </w:r>
      <w:r w:rsidRPr="007508E2">
        <w:rPr>
          <w:rFonts w:ascii="Verdana" w:hAnsi="Verdana"/>
          <w:color w:val="000000" w:themeColor="text1"/>
          <w:sz w:val="20"/>
          <w:szCs w:val="20"/>
          <w:lang w:val="es-CR"/>
        </w:rPr>
        <w:t xml:space="preserve"> </w:t>
      </w:r>
      <w:r w:rsidRPr="00FD0090">
        <w:rPr>
          <w:rFonts w:ascii="Verdana" w:hAnsi="Verdana"/>
          <w:i/>
          <w:iCs/>
          <w:color w:val="000000" w:themeColor="text1"/>
          <w:sz w:val="20"/>
          <w:szCs w:val="20"/>
          <w:lang w:val="es-CR"/>
        </w:rPr>
        <w:t>Guevara Díaz Vs. Costa Rica</w:t>
      </w:r>
      <w:r w:rsidRPr="007508E2">
        <w:rPr>
          <w:rStyle w:val="Refdenotaalpie"/>
          <w:rFonts w:ascii="Verdana" w:hAnsi="Verdana"/>
          <w:color w:val="000000" w:themeColor="text1"/>
          <w:sz w:val="20"/>
          <w:szCs w:val="20"/>
          <w:lang w:val="es-CR"/>
        </w:rPr>
        <w:footnoteReference w:id="12"/>
      </w:r>
      <w:r w:rsidRPr="00FD0090">
        <w:rPr>
          <w:rFonts w:ascii="Verdana" w:hAnsi="Verdana"/>
          <w:color w:val="000000" w:themeColor="text1"/>
          <w:sz w:val="20"/>
          <w:szCs w:val="20"/>
          <w:lang w:val="es-CR"/>
        </w:rPr>
        <w:t xml:space="preserve">, </w:t>
      </w:r>
      <w:r w:rsidRPr="00FD0090">
        <w:rPr>
          <w:rFonts w:ascii="Verdana" w:hAnsi="Verdana"/>
          <w:i/>
          <w:iCs/>
          <w:color w:val="000000" w:themeColor="text1"/>
          <w:sz w:val="20"/>
          <w:szCs w:val="20"/>
          <w:lang w:val="es-CR"/>
        </w:rPr>
        <w:t xml:space="preserve">Mina Cuero </w:t>
      </w:r>
      <w:r w:rsidRPr="00FD0090">
        <w:rPr>
          <w:rFonts w:ascii="Verdana" w:hAnsi="Verdana"/>
          <w:i/>
          <w:iCs/>
          <w:color w:val="000000" w:themeColor="text1"/>
          <w:sz w:val="20"/>
          <w:szCs w:val="20"/>
          <w:lang w:val="es-CR"/>
        </w:rPr>
        <w:lastRenderedPageBreak/>
        <w:t>Vs. Ecuador</w:t>
      </w:r>
      <w:r w:rsidRPr="00884056">
        <w:rPr>
          <w:rStyle w:val="Refdenotaalpie"/>
          <w:rFonts w:ascii="Verdana" w:hAnsi="Verdana"/>
          <w:color w:val="000000" w:themeColor="text1"/>
          <w:sz w:val="20"/>
          <w:szCs w:val="20"/>
          <w:lang w:val="es-CR"/>
        </w:rPr>
        <w:footnoteReference w:id="13"/>
      </w:r>
      <w:r w:rsidRPr="00FD0090">
        <w:rPr>
          <w:rFonts w:ascii="Verdana" w:hAnsi="Verdana"/>
          <w:i/>
          <w:iCs/>
          <w:color w:val="000000" w:themeColor="text1"/>
          <w:sz w:val="20"/>
          <w:szCs w:val="20"/>
          <w:lang w:val="es-CR"/>
        </w:rPr>
        <w:t>, Valencia Campos y otros Vs. Bolivia</w:t>
      </w:r>
      <w:r w:rsidRPr="00884056">
        <w:rPr>
          <w:rStyle w:val="Refdenotaalpie"/>
          <w:rFonts w:ascii="Verdana" w:hAnsi="Verdana"/>
          <w:color w:val="000000" w:themeColor="text1"/>
          <w:sz w:val="20"/>
          <w:szCs w:val="20"/>
          <w:lang w:val="es-CR"/>
        </w:rPr>
        <w:footnoteReference w:id="14"/>
      </w:r>
      <w:r w:rsidR="00671A09" w:rsidRPr="00FD0090">
        <w:rPr>
          <w:rFonts w:ascii="Verdana" w:hAnsi="Verdana"/>
          <w:i/>
          <w:iCs/>
          <w:color w:val="000000" w:themeColor="text1"/>
          <w:sz w:val="20"/>
          <w:szCs w:val="20"/>
          <w:lang w:val="es-CR"/>
        </w:rPr>
        <w:t>,</w:t>
      </w:r>
      <w:r w:rsidRPr="00FD0090">
        <w:rPr>
          <w:rFonts w:ascii="Verdana" w:hAnsi="Verdana"/>
          <w:i/>
          <w:iCs/>
          <w:color w:val="000000" w:themeColor="text1"/>
          <w:sz w:val="20"/>
          <w:szCs w:val="20"/>
          <w:lang w:val="es-CR"/>
        </w:rPr>
        <w:t xml:space="preserve"> Brítez Arce y otros Vs. Argentina</w:t>
      </w:r>
      <w:r w:rsidR="004260C3" w:rsidRPr="00884056">
        <w:rPr>
          <w:rStyle w:val="Refdenotaalpie"/>
          <w:rFonts w:ascii="Verdana" w:hAnsi="Verdana"/>
          <w:color w:val="000000" w:themeColor="text1"/>
          <w:sz w:val="20"/>
          <w:szCs w:val="20"/>
          <w:lang w:val="es-CR"/>
        </w:rPr>
        <w:footnoteReference w:id="15"/>
      </w:r>
      <w:r w:rsidR="00E12D1F">
        <w:rPr>
          <w:rFonts w:ascii="Verdana" w:hAnsi="Verdana"/>
          <w:i/>
          <w:iCs/>
          <w:color w:val="000000" w:themeColor="text1"/>
          <w:sz w:val="20"/>
          <w:szCs w:val="20"/>
          <w:lang w:val="es-CR"/>
        </w:rPr>
        <w:t xml:space="preserve">, </w:t>
      </w:r>
      <w:r w:rsidR="00671A09" w:rsidRPr="00FD0090">
        <w:rPr>
          <w:rFonts w:ascii="Verdana" w:hAnsi="Verdana"/>
          <w:i/>
          <w:iCs/>
          <w:color w:val="000000" w:themeColor="text1"/>
          <w:sz w:val="20"/>
          <w:szCs w:val="20"/>
          <w:lang w:val="es-CR"/>
        </w:rPr>
        <w:t xml:space="preserve">Nissen </w:t>
      </w:r>
      <w:proofErr w:type="spellStart"/>
      <w:r w:rsidR="00671A09" w:rsidRPr="00FD0090">
        <w:rPr>
          <w:rFonts w:ascii="Verdana" w:hAnsi="Verdana"/>
          <w:i/>
          <w:iCs/>
          <w:color w:val="000000" w:themeColor="text1"/>
          <w:sz w:val="20"/>
          <w:szCs w:val="20"/>
          <w:lang w:val="es-CR"/>
        </w:rPr>
        <w:t>Pessonali</w:t>
      </w:r>
      <w:proofErr w:type="spellEnd"/>
      <w:r w:rsidR="00671A09" w:rsidRPr="00FD0090">
        <w:rPr>
          <w:rFonts w:ascii="Verdana" w:hAnsi="Verdana"/>
          <w:i/>
          <w:iCs/>
          <w:color w:val="000000" w:themeColor="text1"/>
          <w:sz w:val="20"/>
          <w:szCs w:val="20"/>
          <w:lang w:val="es-CR"/>
        </w:rPr>
        <w:t xml:space="preserve"> vs. Paraguay</w:t>
      </w:r>
      <w:r w:rsidR="00671A09" w:rsidRPr="00884056">
        <w:rPr>
          <w:rStyle w:val="Refdenotaalpie"/>
          <w:rFonts w:ascii="Verdana" w:hAnsi="Verdana"/>
          <w:color w:val="000000" w:themeColor="text1"/>
          <w:sz w:val="20"/>
          <w:szCs w:val="20"/>
          <w:lang w:val="es-CR"/>
        </w:rPr>
        <w:footnoteReference w:id="16"/>
      </w:r>
      <w:r w:rsidR="00E12D1F">
        <w:rPr>
          <w:rFonts w:ascii="Verdana" w:hAnsi="Verdana"/>
          <w:i/>
          <w:iCs/>
          <w:color w:val="000000" w:themeColor="text1"/>
          <w:sz w:val="20"/>
          <w:szCs w:val="20"/>
          <w:lang w:val="es-CR"/>
        </w:rPr>
        <w:t xml:space="preserve"> </w:t>
      </w:r>
      <w:r w:rsidR="00E12D1F" w:rsidRPr="00E12D1F">
        <w:rPr>
          <w:rFonts w:ascii="Verdana" w:hAnsi="Verdana"/>
          <w:color w:val="000000" w:themeColor="text1"/>
          <w:sz w:val="20"/>
          <w:szCs w:val="20"/>
          <w:lang w:val="es-CR"/>
        </w:rPr>
        <w:t>y</w:t>
      </w:r>
      <w:r w:rsidR="00E12D1F">
        <w:rPr>
          <w:rFonts w:ascii="Verdana" w:hAnsi="Verdana"/>
          <w:i/>
          <w:iCs/>
          <w:color w:val="000000" w:themeColor="text1"/>
          <w:sz w:val="20"/>
          <w:szCs w:val="20"/>
          <w:lang w:val="es-CR"/>
        </w:rPr>
        <w:t xml:space="preserve"> Aguinaga </w:t>
      </w:r>
      <w:proofErr w:type="spellStart"/>
      <w:r w:rsidR="00E12D1F">
        <w:rPr>
          <w:rFonts w:ascii="Verdana" w:hAnsi="Verdana"/>
          <w:i/>
          <w:iCs/>
          <w:color w:val="000000" w:themeColor="text1"/>
          <w:sz w:val="20"/>
          <w:szCs w:val="20"/>
          <w:lang w:val="es-CR"/>
        </w:rPr>
        <w:t>Aillón</w:t>
      </w:r>
      <w:proofErr w:type="spellEnd"/>
      <w:r w:rsidR="00E12D1F">
        <w:rPr>
          <w:rFonts w:ascii="Verdana" w:hAnsi="Verdana"/>
          <w:i/>
          <w:iCs/>
          <w:color w:val="000000" w:themeColor="text1"/>
          <w:sz w:val="20"/>
          <w:szCs w:val="20"/>
          <w:lang w:val="es-CR"/>
        </w:rPr>
        <w:t xml:space="preserve"> Vs. Ecuador</w:t>
      </w:r>
      <w:r w:rsidR="00E12D1F" w:rsidRPr="00884056">
        <w:rPr>
          <w:rStyle w:val="Refdenotaalpie"/>
          <w:rFonts w:ascii="Verdana" w:hAnsi="Verdana"/>
          <w:color w:val="000000" w:themeColor="text1"/>
          <w:sz w:val="20"/>
          <w:szCs w:val="20"/>
          <w:lang w:val="es-CR"/>
        </w:rPr>
        <w:footnoteReference w:id="17"/>
      </w:r>
      <w:r w:rsidRPr="00FD0090">
        <w:rPr>
          <w:rFonts w:ascii="Verdana" w:hAnsi="Verdana"/>
          <w:color w:val="000000" w:themeColor="text1"/>
          <w:sz w:val="20"/>
          <w:szCs w:val="20"/>
          <w:lang w:val="es-CR"/>
        </w:rPr>
        <w:t xml:space="preserve">; así como en mis votos concurrentes de los casos </w:t>
      </w:r>
      <w:r w:rsidRPr="00FD0090">
        <w:rPr>
          <w:rFonts w:ascii="Verdana" w:hAnsi="Verdana"/>
          <w:i/>
          <w:iCs/>
          <w:color w:val="000000" w:themeColor="text1"/>
          <w:sz w:val="20"/>
          <w:szCs w:val="20"/>
          <w:lang w:val="es-CR"/>
        </w:rPr>
        <w:t>Gonzales Lluy y otros Vs. Ecuador</w:t>
      </w:r>
      <w:r w:rsidRPr="00884056">
        <w:rPr>
          <w:rStyle w:val="Refdenotaalpie"/>
          <w:rFonts w:ascii="Verdana" w:hAnsi="Verdana"/>
          <w:color w:val="000000" w:themeColor="text1"/>
          <w:sz w:val="20"/>
          <w:szCs w:val="20"/>
          <w:lang w:val="es-CR"/>
        </w:rPr>
        <w:footnoteReference w:id="18"/>
      </w:r>
      <w:r w:rsidRPr="00FD0090">
        <w:rPr>
          <w:rFonts w:ascii="Verdana" w:hAnsi="Verdana"/>
          <w:i/>
          <w:iCs/>
          <w:color w:val="000000" w:themeColor="text1"/>
          <w:sz w:val="20"/>
          <w:szCs w:val="20"/>
          <w:lang w:val="es-CR"/>
        </w:rPr>
        <w:t>, Poblete Vilches y Otros Vs. Chile</w:t>
      </w:r>
      <w:r w:rsidRPr="00884056">
        <w:rPr>
          <w:rStyle w:val="Refdenotaalpie"/>
          <w:rFonts w:ascii="Verdana" w:hAnsi="Verdana"/>
          <w:color w:val="000000" w:themeColor="text1"/>
          <w:sz w:val="20"/>
          <w:szCs w:val="20"/>
          <w:lang w:val="es-CR"/>
        </w:rPr>
        <w:footnoteReference w:id="19"/>
      </w:r>
      <w:r w:rsidRPr="00FD0090">
        <w:rPr>
          <w:rFonts w:ascii="Verdana" w:hAnsi="Verdana"/>
          <w:i/>
          <w:iCs/>
          <w:color w:val="000000" w:themeColor="text1"/>
          <w:sz w:val="20"/>
          <w:szCs w:val="20"/>
          <w:lang w:val="es-CR"/>
        </w:rPr>
        <w:t>, Cuscul Pivaral y otros Vs. Guatemala</w:t>
      </w:r>
      <w:r w:rsidRPr="00884056">
        <w:rPr>
          <w:rStyle w:val="Refdenotaalpie"/>
          <w:rFonts w:ascii="Verdana" w:hAnsi="Verdana"/>
          <w:color w:val="000000" w:themeColor="text1"/>
          <w:sz w:val="20"/>
          <w:szCs w:val="20"/>
          <w:lang w:val="es-CR"/>
        </w:rPr>
        <w:footnoteReference w:id="20"/>
      </w:r>
      <w:r w:rsidRPr="00FD0090">
        <w:rPr>
          <w:rFonts w:ascii="Verdana" w:hAnsi="Verdana"/>
          <w:i/>
          <w:iCs/>
          <w:color w:val="000000" w:themeColor="text1"/>
          <w:sz w:val="20"/>
          <w:szCs w:val="20"/>
          <w:lang w:val="es-CR"/>
        </w:rPr>
        <w:t xml:space="preserve">, </w:t>
      </w:r>
      <w:r w:rsidRPr="00FD0090">
        <w:rPr>
          <w:rFonts w:ascii="Verdana" w:hAnsi="Verdana"/>
          <w:i/>
          <w:iCs/>
          <w:color w:val="000000" w:themeColor="text1"/>
          <w:sz w:val="20"/>
          <w:szCs w:val="20"/>
        </w:rPr>
        <w:t>Buzos Miskitos Vs. Honduras</w:t>
      </w:r>
      <w:r w:rsidRPr="00884056">
        <w:rPr>
          <w:rStyle w:val="Refdenotaalpie"/>
          <w:rFonts w:ascii="Verdana" w:hAnsi="Verdana"/>
          <w:color w:val="000000" w:themeColor="text1"/>
          <w:sz w:val="20"/>
          <w:szCs w:val="20"/>
        </w:rPr>
        <w:footnoteReference w:id="21"/>
      </w:r>
      <w:r w:rsidRPr="00FD0090">
        <w:rPr>
          <w:rFonts w:ascii="Verdana" w:hAnsi="Verdana"/>
          <w:i/>
          <w:iCs/>
          <w:color w:val="000000" w:themeColor="text1"/>
          <w:sz w:val="20"/>
          <w:szCs w:val="20"/>
        </w:rPr>
        <w:t>, Vera Rojas y otros vs. Chile</w:t>
      </w:r>
      <w:r w:rsidRPr="00884056">
        <w:rPr>
          <w:rFonts w:ascii="Verdana" w:hAnsi="Verdana"/>
          <w:color w:val="000000" w:themeColor="text1"/>
          <w:sz w:val="20"/>
          <w:szCs w:val="20"/>
          <w:vertAlign w:val="superscript"/>
        </w:rPr>
        <w:footnoteReference w:id="22"/>
      </w:r>
      <w:r w:rsidRPr="00884056">
        <w:rPr>
          <w:rFonts w:ascii="Verdana" w:hAnsi="Verdana"/>
          <w:color w:val="000000" w:themeColor="text1"/>
          <w:sz w:val="20"/>
          <w:szCs w:val="20"/>
        </w:rPr>
        <w:t>,</w:t>
      </w:r>
      <w:r w:rsidRPr="00FD0090">
        <w:rPr>
          <w:rFonts w:ascii="Verdana" w:hAnsi="Verdana"/>
          <w:i/>
          <w:iCs/>
          <w:color w:val="000000" w:themeColor="text1"/>
          <w:sz w:val="20"/>
          <w:szCs w:val="20"/>
        </w:rPr>
        <w:t xml:space="preserve"> Manuela y otros vs. El Salvador</w:t>
      </w:r>
      <w:r w:rsidRPr="00884056">
        <w:rPr>
          <w:rFonts w:ascii="Verdana" w:hAnsi="Verdana"/>
          <w:color w:val="000000" w:themeColor="text1"/>
          <w:sz w:val="20"/>
          <w:szCs w:val="20"/>
          <w:vertAlign w:val="superscript"/>
        </w:rPr>
        <w:footnoteReference w:id="23"/>
      </w:r>
      <w:r w:rsidRPr="00FD0090">
        <w:rPr>
          <w:rFonts w:ascii="Verdana" w:hAnsi="Verdana"/>
          <w:i/>
          <w:iCs/>
          <w:color w:val="000000" w:themeColor="text1"/>
          <w:sz w:val="20"/>
          <w:szCs w:val="20"/>
        </w:rPr>
        <w:t>, Extrabajadores del Organismo Judicial Vs. Guatemala</w:t>
      </w:r>
      <w:r w:rsidRPr="00884056">
        <w:rPr>
          <w:rStyle w:val="Refdenotaalpie"/>
          <w:rFonts w:ascii="Verdana" w:hAnsi="Verdana"/>
          <w:color w:val="000000" w:themeColor="text1"/>
          <w:sz w:val="20"/>
          <w:szCs w:val="20"/>
        </w:rPr>
        <w:footnoteReference w:id="24"/>
      </w:r>
      <w:r w:rsidRPr="00884056">
        <w:rPr>
          <w:rFonts w:ascii="Verdana" w:hAnsi="Verdana"/>
          <w:color w:val="000000" w:themeColor="text1"/>
          <w:sz w:val="20"/>
          <w:szCs w:val="20"/>
        </w:rPr>
        <w:t>,</w:t>
      </w:r>
      <w:r w:rsidRPr="00FD0090">
        <w:rPr>
          <w:rFonts w:ascii="Verdana" w:hAnsi="Verdana"/>
          <w:i/>
          <w:iCs/>
          <w:color w:val="000000" w:themeColor="text1"/>
          <w:sz w:val="20"/>
          <w:szCs w:val="20"/>
        </w:rPr>
        <w:t xml:space="preserve"> </w:t>
      </w:r>
      <w:r w:rsidRPr="00FD0090">
        <w:rPr>
          <w:rFonts w:ascii="Verdana" w:hAnsi="Verdana"/>
          <w:i/>
          <w:iCs/>
          <w:color w:val="000000" w:themeColor="text1"/>
          <w:sz w:val="20"/>
          <w:szCs w:val="20"/>
          <w:lang w:val="es-CR"/>
        </w:rPr>
        <w:t>Palacio Urrutia Vs. Ecuador</w:t>
      </w:r>
      <w:r w:rsidRPr="00884056">
        <w:rPr>
          <w:rStyle w:val="Refdenotaalpie"/>
          <w:rFonts w:ascii="Verdana" w:hAnsi="Verdana"/>
          <w:color w:val="000000" w:themeColor="text1"/>
          <w:sz w:val="20"/>
          <w:szCs w:val="20"/>
          <w:lang w:val="es-CR"/>
        </w:rPr>
        <w:footnoteReference w:id="25"/>
      </w:r>
      <w:r w:rsidR="00FD0090" w:rsidRPr="00884056">
        <w:rPr>
          <w:rFonts w:ascii="Verdana" w:hAnsi="Verdana"/>
          <w:color w:val="000000" w:themeColor="text1"/>
          <w:sz w:val="20"/>
          <w:szCs w:val="20"/>
          <w:lang w:val="es-CR"/>
        </w:rPr>
        <w:t>,</w:t>
      </w:r>
      <w:r w:rsidRPr="00FD0090">
        <w:rPr>
          <w:rFonts w:ascii="Verdana" w:hAnsi="Verdana"/>
          <w:color w:val="000000" w:themeColor="text1"/>
          <w:sz w:val="20"/>
          <w:szCs w:val="20"/>
          <w:lang w:val="es-CR"/>
        </w:rPr>
        <w:t xml:space="preserve"> </w:t>
      </w:r>
      <w:r w:rsidR="00E12D1F">
        <w:rPr>
          <w:rFonts w:ascii="Verdana" w:hAnsi="Verdana"/>
          <w:color w:val="000000" w:themeColor="text1"/>
          <w:sz w:val="20"/>
          <w:szCs w:val="20"/>
          <w:lang w:val="es-CR"/>
        </w:rPr>
        <w:t xml:space="preserve">y </w:t>
      </w:r>
      <w:proofErr w:type="spellStart"/>
      <w:r w:rsidRPr="00FD0090">
        <w:rPr>
          <w:rFonts w:ascii="Verdana" w:hAnsi="Verdana"/>
          <w:i/>
          <w:iCs/>
          <w:color w:val="000000" w:themeColor="text1"/>
          <w:sz w:val="20"/>
          <w:szCs w:val="20"/>
          <w:lang w:val="es-CR"/>
        </w:rPr>
        <w:t>Pavez</w:t>
      </w:r>
      <w:proofErr w:type="spellEnd"/>
      <w:r w:rsidRPr="00FD0090">
        <w:rPr>
          <w:rFonts w:ascii="Verdana" w:hAnsi="Verdana"/>
          <w:i/>
          <w:iCs/>
          <w:color w:val="000000" w:themeColor="text1"/>
          <w:sz w:val="20"/>
          <w:szCs w:val="20"/>
          <w:lang w:val="es-CR"/>
        </w:rPr>
        <w:t xml:space="preserve"> </w:t>
      </w:r>
      <w:proofErr w:type="spellStart"/>
      <w:r w:rsidRPr="00FD0090">
        <w:rPr>
          <w:rFonts w:ascii="Verdana" w:hAnsi="Verdana"/>
          <w:i/>
          <w:iCs/>
          <w:color w:val="000000" w:themeColor="text1"/>
          <w:sz w:val="20"/>
          <w:szCs w:val="20"/>
          <w:lang w:val="es-CR"/>
        </w:rPr>
        <w:t>Pavez</w:t>
      </w:r>
      <w:proofErr w:type="spellEnd"/>
      <w:r w:rsidRPr="00FD0090">
        <w:rPr>
          <w:rFonts w:ascii="Verdana" w:hAnsi="Verdana"/>
          <w:i/>
          <w:iCs/>
          <w:color w:val="000000" w:themeColor="text1"/>
          <w:sz w:val="20"/>
          <w:szCs w:val="20"/>
          <w:lang w:val="es-CR"/>
        </w:rPr>
        <w:t xml:space="preserve"> Vs. Chile</w:t>
      </w:r>
      <w:r w:rsidRPr="00884056">
        <w:rPr>
          <w:rStyle w:val="Refdenotaalpie"/>
          <w:rFonts w:ascii="Verdana" w:hAnsi="Verdana"/>
          <w:color w:val="000000" w:themeColor="text1"/>
          <w:sz w:val="20"/>
          <w:szCs w:val="20"/>
          <w:lang w:val="es-CR"/>
        </w:rPr>
        <w:footnoteReference w:id="26"/>
      </w:r>
      <w:r w:rsidR="00E12D1F">
        <w:rPr>
          <w:rFonts w:ascii="Verdana" w:hAnsi="Verdana"/>
          <w:i/>
          <w:iCs/>
          <w:color w:val="000000" w:themeColor="text1"/>
          <w:sz w:val="20"/>
          <w:szCs w:val="20"/>
          <w:lang w:val="es-CR"/>
        </w:rPr>
        <w:t xml:space="preserve">, </w:t>
      </w:r>
      <w:r w:rsidRPr="00FD0090">
        <w:rPr>
          <w:rFonts w:ascii="Verdana" w:hAnsi="Verdana"/>
          <w:iCs/>
          <w:color w:val="000000" w:themeColor="text1"/>
          <w:sz w:val="20"/>
          <w:szCs w:val="20"/>
        </w:rPr>
        <w:t xml:space="preserve">en relación con la justiciabilidad </w:t>
      </w:r>
      <w:r w:rsidRPr="00FD0090">
        <w:rPr>
          <w:rFonts w:ascii="Verdana" w:hAnsi="Verdana"/>
          <w:bCs/>
          <w:iCs/>
          <w:color w:val="000000" w:themeColor="text1"/>
          <w:sz w:val="20"/>
          <w:szCs w:val="20"/>
          <w:lang w:val="es-ES"/>
        </w:rPr>
        <w:t xml:space="preserve">de </w:t>
      </w:r>
      <w:r w:rsidRPr="00FD0090">
        <w:rPr>
          <w:rFonts w:ascii="Verdana" w:hAnsi="Verdana"/>
          <w:color w:val="000000" w:themeColor="text1"/>
          <w:sz w:val="20"/>
          <w:szCs w:val="20"/>
        </w:rPr>
        <w:t xml:space="preserve">los derechos económicos, sociales, culturales y ambientales (en adelante “DESCA”) </w:t>
      </w:r>
      <w:r w:rsidRPr="00FD0090">
        <w:rPr>
          <w:rFonts w:ascii="Verdana" w:hAnsi="Verdana"/>
          <w:iCs/>
          <w:color w:val="000000" w:themeColor="text1"/>
          <w:sz w:val="20"/>
          <w:szCs w:val="20"/>
        </w:rPr>
        <w:t xml:space="preserve">a través del artículo 26 de la </w:t>
      </w:r>
      <w:r w:rsidRPr="00FD0090">
        <w:rPr>
          <w:rFonts w:ascii="Verdana" w:hAnsi="Verdana"/>
          <w:color w:val="000000" w:themeColor="text1"/>
          <w:sz w:val="20"/>
          <w:szCs w:val="20"/>
        </w:rPr>
        <w:t>Convención Americana sobre Derechos Humanos (en adelante “la Convención” o “CADH)”</w:t>
      </w:r>
      <w:r w:rsidRPr="00FD0090">
        <w:rPr>
          <w:rFonts w:ascii="Verdana" w:hAnsi="Verdana"/>
          <w:iCs/>
          <w:color w:val="000000" w:themeColor="text1"/>
          <w:sz w:val="20"/>
          <w:szCs w:val="20"/>
          <w:lang w:val="es-CR"/>
        </w:rPr>
        <w:t>.</w:t>
      </w:r>
    </w:p>
    <w:p w14:paraId="5A312E9C" w14:textId="77777777" w:rsidR="00F806CB" w:rsidRPr="007508E2" w:rsidRDefault="00F806CB" w:rsidP="00F806CB">
      <w:pPr>
        <w:pStyle w:val="Prrafodelista"/>
        <w:autoSpaceDE w:val="0"/>
        <w:autoSpaceDN w:val="0"/>
        <w:adjustRightInd w:val="0"/>
        <w:spacing w:after="0" w:line="240" w:lineRule="auto"/>
        <w:ind w:left="0"/>
        <w:contextualSpacing w:val="0"/>
        <w:jc w:val="both"/>
        <w:rPr>
          <w:rFonts w:ascii="Verdana" w:hAnsi="Verdana"/>
          <w:color w:val="000000" w:themeColor="text1"/>
          <w:sz w:val="20"/>
          <w:szCs w:val="20"/>
          <w:lang w:val="es-CR"/>
        </w:rPr>
      </w:pPr>
    </w:p>
    <w:p w14:paraId="3BB355BB" w14:textId="6858FDCC" w:rsidR="00F06413" w:rsidRDefault="00BD4F6D" w:rsidP="003831D8">
      <w:pPr>
        <w:pStyle w:val="Prrafodelista"/>
        <w:numPr>
          <w:ilvl w:val="0"/>
          <w:numId w:val="1"/>
        </w:numPr>
        <w:autoSpaceDE w:val="0"/>
        <w:autoSpaceDN w:val="0"/>
        <w:adjustRightInd w:val="0"/>
        <w:spacing w:after="0" w:line="240" w:lineRule="auto"/>
        <w:ind w:left="0" w:firstLine="0"/>
        <w:contextualSpacing w:val="0"/>
        <w:jc w:val="both"/>
        <w:rPr>
          <w:rFonts w:ascii="Verdana" w:hAnsi="Verdana"/>
          <w:bCs/>
          <w:color w:val="000000" w:themeColor="text1"/>
          <w:sz w:val="20"/>
          <w:szCs w:val="20"/>
        </w:rPr>
      </w:pPr>
      <w:r w:rsidRPr="00F73747">
        <w:rPr>
          <w:rFonts w:ascii="Verdana" w:hAnsi="Verdana"/>
          <w:color w:val="000000" w:themeColor="text1"/>
          <w:sz w:val="20"/>
          <w:szCs w:val="20"/>
          <w:lang w:val="es-CR"/>
        </w:rPr>
        <w:t xml:space="preserve">En previas oportunidades he expresado las razones por las cuales considero que existen inconsistencias lógicas y jurídicas en la posición jurisprudencial asumida por la mayoría de la Corte, sobre la justiciabilidad directa y autónoma de los DESCA a través del artículo 26 de la Convención. Esta posición </w:t>
      </w:r>
      <w:r w:rsidRPr="00F73747">
        <w:rPr>
          <w:rFonts w:ascii="Verdana" w:hAnsi="Verdana"/>
          <w:iCs/>
          <w:color w:val="000000" w:themeColor="text1"/>
          <w:sz w:val="20"/>
          <w:szCs w:val="20"/>
          <w:lang w:val="es-CR"/>
        </w:rPr>
        <w:t>desconoce las reglas de interpretación de la Convención de Viena sobre el Derechos de los Tratados</w:t>
      </w:r>
      <w:r w:rsidRPr="007508E2">
        <w:rPr>
          <w:rStyle w:val="Refdenotaalpie"/>
          <w:rFonts w:ascii="Verdana" w:hAnsi="Verdana"/>
          <w:iCs/>
          <w:color w:val="000000" w:themeColor="text1"/>
          <w:sz w:val="20"/>
          <w:szCs w:val="20"/>
          <w:lang w:val="es-CR"/>
        </w:rPr>
        <w:footnoteReference w:id="27"/>
      </w:r>
      <w:r w:rsidRPr="00F73747">
        <w:rPr>
          <w:rFonts w:ascii="Verdana" w:hAnsi="Verdana"/>
          <w:iCs/>
          <w:color w:val="000000" w:themeColor="text1"/>
          <w:sz w:val="20"/>
          <w:szCs w:val="20"/>
          <w:lang w:val="es-CR"/>
        </w:rPr>
        <w:t>,</w:t>
      </w:r>
      <w:r w:rsidRPr="00F73747">
        <w:rPr>
          <w:rFonts w:ascii="Verdana" w:hAnsi="Verdana"/>
          <w:i/>
          <w:color w:val="000000" w:themeColor="text1"/>
          <w:sz w:val="20"/>
          <w:szCs w:val="20"/>
          <w:lang w:val="es-CR"/>
        </w:rPr>
        <w:t xml:space="preserve"> </w:t>
      </w:r>
      <w:r w:rsidRPr="00F73747">
        <w:rPr>
          <w:rFonts w:ascii="Verdana" w:hAnsi="Verdana"/>
          <w:iCs/>
          <w:color w:val="000000" w:themeColor="text1"/>
          <w:sz w:val="20"/>
          <w:szCs w:val="20"/>
          <w:lang w:val="es-CR"/>
        </w:rPr>
        <w:t>cambia la naturaleza de la obligación de progresividad</w:t>
      </w:r>
      <w:r w:rsidRPr="007508E2">
        <w:rPr>
          <w:rStyle w:val="Refdenotaalpie"/>
          <w:rFonts w:ascii="Verdana" w:hAnsi="Verdana"/>
          <w:iCs/>
          <w:color w:val="000000" w:themeColor="text1"/>
          <w:sz w:val="20"/>
          <w:szCs w:val="20"/>
          <w:lang w:val="es-CR"/>
        </w:rPr>
        <w:footnoteReference w:id="28"/>
      </w:r>
      <w:r w:rsidRPr="00F73747">
        <w:rPr>
          <w:rFonts w:ascii="Verdana" w:hAnsi="Verdana"/>
          <w:iCs/>
          <w:color w:val="000000" w:themeColor="text1"/>
          <w:sz w:val="20"/>
          <w:szCs w:val="20"/>
          <w:lang w:val="es-CR"/>
        </w:rPr>
        <w:t xml:space="preserve">, ignora la voluntad de los Estados plasmada en el Protocolo </w:t>
      </w:r>
      <w:r w:rsidRPr="00F73747">
        <w:rPr>
          <w:rFonts w:ascii="Verdana" w:hAnsi="Verdana"/>
          <w:iCs/>
          <w:color w:val="000000" w:themeColor="text1"/>
          <w:sz w:val="20"/>
          <w:szCs w:val="20"/>
          <w:lang w:val="es-CR"/>
        </w:rPr>
        <w:lastRenderedPageBreak/>
        <w:t>de San Salvador</w:t>
      </w:r>
      <w:r w:rsidRPr="007508E2">
        <w:rPr>
          <w:rStyle w:val="Refdenotaalpie"/>
          <w:rFonts w:ascii="Verdana" w:hAnsi="Verdana"/>
          <w:iCs/>
          <w:color w:val="000000" w:themeColor="text1"/>
          <w:sz w:val="20"/>
          <w:szCs w:val="20"/>
          <w:lang w:val="es-CR"/>
        </w:rPr>
        <w:footnoteReference w:id="29"/>
      </w:r>
      <w:r w:rsidRPr="00F73747">
        <w:rPr>
          <w:rFonts w:ascii="Verdana" w:hAnsi="Verdana"/>
          <w:iCs/>
          <w:color w:val="000000" w:themeColor="text1"/>
          <w:sz w:val="20"/>
          <w:szCs w:val="20"/>
          <w:lang w:val="es-CR"/>
        </w:rPr>
        <w:t xml:space="preserve"> y mina la legitimidad del Tribunal</w:t>
      </w:r>
      <w:r w:rsidRPr="007508E2">
        <w:rPr>
          <w:rStyle w:val="Refdenotaalpie"/>
          <w:rFonts w:ascii="Verdana" w:hAnsi="Verdana"/>
          <w:iCs/>
          <w:color w:val="000000" w:themeColor="text1"/>
          <w:sz w:val="20"/>
          <w:szCs w:val="20"/>
          <w:lang w:val="es-CR"/>
        </w:rPr>
        <w:footnoteReference w:id="30"/>
      </w:r>
      <w:r w:rsidRPr="00F73747">
        <w:rPr>
          <w:rFonts w:ascii="Verdana" w:hAnsi="Verdana"/>
          <w:iCs/>
          <w:color w:val="000000" w:themeColor="text1"/>
          <w:sz w:val="20"/>
          <w:szCs w:val="20"/>
          <w:lang w:val="es-CR"/>
        </w:rPr>
        <w:t>; solo por mencionar algunos argumentos.</w:t>
      </w:r>
      <w:r w:rsidRPr="00F73747">
        <w:rPr>
          <w:rFonts w:ascii="Verdana" w:hAnsi="Verdana"/>
          <w:bCs/>
          <w:color w:val="000000" w:themeColor="text1"/>
          <w:sz w:val="20"/>
          <w:szCs w:val="20"/>
        </w:rPr>
        <w:t xml:space="preserve"> </w:t>
      </w:r>
    </w:p>
    <w:p w14:paraId="540A0BB3" w14:textId="77777777" w:rsidR="00F73747" w:rsidRDefault="00F73747" w:rsidP="00F73747">
      <w:pPr>
        <w:pStyle w:val="Prrafodelista"/>
        <w:autoSpaceDE w:val="0"/>
        <w:autoSpaceDN w:val="0"/>
        <w:adjustRightInd w:val="0"/>
        <w:spacing w:after="0" w:line="240" w:lineRule="auto"/>
        <w:ind w:left="0"/>
        <w:contextualSpacing w:val="0"/>
        <w:jc w:val="both"/>
        <w:rPr>
          <w:rFonts w:ascii="Verdana" w:hAnsi="Verdana"/>
          <w:bCs/>
          <w:color w:val="000000" w:themeColor="text1"/>
          <w:sz w:val="20"/>
          <w:szCs w:val="20"/>
        </w:rPr>
      </w:pPr>
    </w:p>
    <w:p w14:paraId="4C47F1D2" w14:textId="7111DAE9" w:rsidR="00BD4F6D" w:rsidRPr="00F06413" w:rsidRDefault="00F06413" w:rsidP="00F806CB">
      <w:pPr>
        <w:pStyle w:val="Prrafodelista"/>
        <w:numPr>
          <w:ilvl w:val="0"/>
          <w:numId w:val="1"/>
        </w:numPr>
        <w:autoSpaceDE w:val="0"/>
        <w:autoSpaceDN w:val="0"/>
        <w:adjustRightInd w:val="0"/>
        <w:spacing w:after="0" w:line="240" w:lineRule="auto"/>
        <w:ind w:left="0" w:firstLine="0"/>
        <w:contextualSpacing w:val="0"/>
        <w:jc w:val="both"/>
        <w:rPr>
          <w:rFonts w:ascii="Verdana" w:hAnsi="Verdana"/>
          <w:bCs/>
          <w:sz w:val="20"/>
          <w:szCs w:val="20"/>
        </w:rPr>
      </w:pPr>
      <w:r>
        <w:rPr>
          <w:rFonts w:ascii="Verdana" w:hAnsi="Verdana"/>
          <w:sz w:val="20"/>
          <w:szCs w:val="20"/>
        </w:rPr>
        <w:t>Además, en atención a las particularidades del caso, me permito reiterar</w:t>
      </w:r>
      <w:r w:rsidRPr="003926E5">
        <w:rPr>
          <w:rFonts w:ascii="Verdana" w:hAnsi="Verdana"/>
          <w:sz w:val="20"/>
          <w:szCs w:val="20"/>
        </w:rPr>
        <w:t xml:space="preserve"> </w:t>
      </w:r>
      <w:r>
        <w:rPr>
          <w:rFonts w:ascii="Verdana" w:hAnsi="Verdana"/>
          <w:sz w:val="20"/>
          <w:szCs w:val="20"/>
        </w:rPr>
        <w:t>mi postura</w:t>
      </w:r>
      <w:r w:rsidRPr="003926E5">
        <w:rPr>
          <w:rFonts w:ascii="Verdana" w:hAnsi="Verdana"/>
          <w:sz w:val="20"/>
          <w:szCs w:val="20"/>
        </w:rPr>
        <w:t xml:space="preserve"> sobre el alcance de los principios de interdependencia e indivisibilidad en relación con la interpretación al artículo 26 de la Convención</w:t>
      </w:r>
      <w:r w:rsidRPr="003926E5">
        <w:rPr>
          <w:rStyle w:val="Refdecomentario"/>
          <w:rFonts w:ascii="Verdana" w:eastAsia="Calibri" w:hAnsi="Verdana"/>
          <w:sz w:val="20"/>
          <w:szCs w:val="20"/>
          <w:lang w:eastAsia="es-CR"/>
        </w:rPr>
        <w:t xml:space="preserve">. </w:t>
      </w:r>
      <w:r w:rsidRPr="003926E5">
        <w:rPr>
          <w:rFonts w:ascii="Verdana" w:hAnsi="Verdana"/>
          <w:sz w:val="20"/>
          <w:szCs w:val="20"/>
        </w:rPr>
        <w:t>Dichos principios señalan que todos los derechos tienen igual jerarquía e importancia y que el disfrute de un derecho depende de la realización de otros. Sin embargo, esto no implica que automáticamente se deban incorporar los DESCA como derechos autónomos y justiciables al contenido de la Convención. Si bien es cierto que los derechos están intrínsecamente conectados y que el respeto y disfrute de ciertos derechos y libertades no puede justificar la denegación de otros, este argumento no es suficiente para modificar la competencia de un tribunal. De hecho, los principios de indivisibilidad e interdependencia y la idea según la cual se debe prestar “la misma atención y urgente consideración a la aplicación, la promoción y la protección tanto de los derechos civiles y políticos como de los derechos económicos, sociales y culturales”</w:t>
      </w:r>
      <w:r w:rsidRPr="003926E5">
        <w:rPr>
          <w:rStyle w:val="Refdenotaalpie"/>
          <w:rFonts w:ascii="Verdana" w:hAnsi="Verdana"/>
          <w:sz w:val="20"/>
          <w:szCs w:val="20"/>
        </w:rPr>
        <w:footnoteReference w:id="31"/>
      </w:r>
      <w:r w:rsidRPr="003926E5">
        <w:rPr>
          <w:rFonts w:ascii="Verdana" w:hAnsi="Verdana"/>
          <w:sz w:val="20"/>
          <w:szCs w:val="20"/>
        </w:rPr>
        <w:t>,</w:t>
      </w:r>
      <w:r w:rsidRPr="003926E5">
        <w:rPr>
          <w:rFonts w:ascii="Verdana" w:eastAsia="Verdana" w:hAnsi="Verdana"/>
          <w:bCs/>
          <w:sz w:val="20"/>
          <w:szCs w:val="20"/>
          <w:lang w:eastAsia="x-none"/>
        </w:rPr>
        <w:t xml:space="preserve"> </w:t>
      </w:r>
      <w:r w:rsidRPr="003926E5">
        <w:rPr>
          <w:rFonts w:ascii="Verdana" w:hAnsi="Verdana"/>
          <w:sz w:val="20"/>
          <w:szCs w:val="20"/>
        </w:rPr>
        <w:t>son consistentes con un análisis de los DESCA desde la perspectiva de la conexidad, pues su aplicación no implica una expansión ilimitada de las competencias de la Corte, pero sí permite un entendimiento amplio de los derechos protegidos por la Convención, que implique el respeto y garantía de todos los derechos humanos, incluidos los derechos económicos, sociales, culturales y ambientales</w:t>
      </w:r>
      <w:r w:rsidRPr="003926E5">
        <w:rPr>
          <w:rStyle w:val="Refdenotaalpie"/>
          <w:rFonts w:ascii="Verdana" w:hAnsi="Verdana"/>
          <w:sz w:val="20"/>
          <w:szCs w:val="20"/>
        </w:rPr>
        <w:footnoteReference w:id="32"/>
      </w:r>
      <w:r w:rsidRPr="003926E5">
        <w:rPr>
          <w:rFonts w:ascii="Verdana" w:hAnsi="Verdana"/>
          <w:sz w:val="20"/>
          <w:szCs w:val="20"/>
        </w:rPr>
        <w:t>.</w:t>
      </w:r>
    </w:p>
    <w:p w14:paraId="7F14E27F" w14:textId="77777777" w:rsidR="00BD4F6D" w:rsidRPr="007508E2" w:rsidRDefault="00BD4F6D" w:rsidP="00F806CB">
      <w:pPr>
        <w:autoSpaceDE w:val="0"/>
        <w:autoSpaceDN w:val="0"/>
        <w:adjustRightInd w:val="0"/>
        <w:jc w:val="both"/>
        <w:rPr>
          <w:rFonts w:ascii="Verdana" w:hAnsi="Verdana"/>
          <w:bCs/>
          <w:color w:val="000000" w:themeColor="text1"/>
          <w:sz w:val="20"/>
          <w:szCs w:val="20"/>
        </w:rPr>
      </w:pPr>
    </w:p>
    <w:p w14:paraId="5F4220D7" w14:textId="5BF45C15" w:rsidR="00BD4F6D" w:rsidRDefault="00BD4F6D" w:rsidP="00F806CB">
      <w:pPr>
        <w:autoSpaceDE w:val="0"/>
        <w:autoSpaceDN w:val="0"/>
        <w:adjustRightInd w:val="0"/>
        <w:jc w:val="both"/>
        <w:rPr>
          <w:rFonts w:ascii="Verdana" w:hAnsi="Verdana"/>
          <w:bCs/>
          <w:color w:val="000000" w:themeColor="text1"/>
          <w:sz w:val="20"/>
          <w:szCs w:val="20"/>
        </w:rPr>
      </w:pPr>
    </w:p>
    <w:p w14:paraId="09419EC4" w14:textId="77777777" w:rsidR="00F73747" w:rsidRDefault="00F73747" w:rsidP="00F806CB">
      <w:pPr>
        <w:autoSpaceDE w:val="0"/>
        <w:autoSpaceDN w:val="0"/>
        <w:adjustRightInd w:val="0"/>
        <w:jc w:val="both"/>
        <w:rPr>
          <w:rFonts w:ascii="Verdana" w:hAnsi="Verdana"/>
          <w:bCs/>
          <w:color w:val="000000" w:themeColor="text1"/>
          <w:sz w:val="20"/>
          <w:szCs w:val="20"/>
        </w:rPr>
      </w:pPr>
    </w:p>
    <w:p w14:paraId="521DE7AC" w14:textId="77777777" w:rsidR="00F73747" w:rsidRDefault="00F73747" w:rsidP="00F806CB">
      <w:pPr>
        <w:autoSpaceDE w:val="0"/>
        <w:autoSpaceDN w:val="0"/>
        <w:adjustRightInd w:val="0"/>
        <w:jc w:val="both"/>
        <w:rPr>
          <w:rFonts w:ascii="Verdana" w:hAnsi="Verdana"/>
          <w:bCs/>
          <w:color w:val="000000" w:themeColor="text1"/>
          <w:sz w:val="20"/>
          <w:szCs w:val="20"/>
        </w:rPr>
      </w:pPr>
    </w:p>
    <w:p w14:paraId="789652BE" w14:textId="77777777" w:rsidR="00F73747" w:rsidRPr="007508E2" w:rsidRDefault="00F73747" w:rsidP="00F806CB">
      <w:pPr>
        <w:autoSpaceDE w:val="0"/>
        <w:autoSpaceDN w:val="0"/>
        <w:adjustRightInd w:val="0"/>
        <w:jc w:val="both"/>
        <w:rPr>
          <w:rFonts w:ascii="Verdana" w:hAnsi="Verdana"/>
          <w:bCs/>
          <w:color w:val="000000" w:themeColor="text1"/>
          <w:sz w:val="20"/>
          <w:szCs w:val="20"/>
        </w:rPr>
      </w:pPr>
    </w:p>
    <w:p w14:paraId="06F2B7F1" w14:textId="61069BAA" w:rsidR="00BD4F6D" w:rsidRPr="00F2366E" w:rsidRDefault="00BD4F6D" w:rsidP="00F806CB">
      <w:pPr>
        <w:pStyle w:val="Prrafodelista"/>
        <w:autoSpaceDE w:val="0"/>
        <w:autoSpaceDN w:val="0"/>
        <w:adjustRightInd w:val="0"/>
        <w:spacing w:after="0" w:line="240" w:lineRule="auto"/>
        <w:ind w:left="5664"/>
        <w:jc w:val="both"/>
        <w:outlineLvl w:val="0"/>
        <w:rPr>
          <w:rFonts w:ascii="Verdana" w:eastAsia="Times" w:hAnsi="Verdana" w:cs="Times"/>
          <w:color w:val="000000" w:themeColor="text1"/>
          <w:sz w:val="20"/>
          <w:szCs w:val="20"/>
          <w:lang w:val="es-CR"/>
        </w:rPr>
      </w:pPr>
      <w:bookmarkStart w:id="0" w:name="_Hlk121912493"/>
      <w:r w:rsidRPr="00F2366E">
        <w:rPr>
          <w:rFonts w:ascii="Verdana" w:eastAsia="Times" w:hAnsi="Verdana" w:cs="Times"/>
          <w:color w:val="000000" w:themeColor="text1"/>
          <w:sz w:val="20"/>
          <w:szCs w:val="20"/>
          <w:lang w:val="es-CR"/>
        </w:rPr>
        <w:t>Humberto Antonio Sierra Porto</w:t>
      </w:r>
    </w:p>
    <w:p w14:paraId="2887583E" w14:textId="4DBA775B" w:rsidR="00BD4F6D" w:rsidRPr="00F2366E" w:rsidRDefault="00BD4F6D" w:rsidP="00F806CB">
      <w:pPr>
        <w:pStyle w:val="Prrafodelista"/>
        <w:autoSpaceDE w:val="0"/>
        <w:autoSpaceDN w:val="0"/>
        <w:adjustRightInd w:val="0"/>
        <w:spacing w:after="0" w:line="240" w:lineRule="auto"/>
        <w:ind w:left="5664"/>
        <w:jc w:val="both"/>
        <w:outlineLvl w:val="0"/>
        <w:rPr>
          <w:rFonts w:ascii="Verdana" w:eastAsia="Times" w:hAnsi="Verdana" w:cs="Times"/>
          <w:color w:val="000000" w:themeColor="text1"/>
          <w:sz w:val="20"/>
          <w:szCs w:val="20"/>
          <w:lang w:val="es-CR"/>
        </w:rPr>
      </w:pPr>
      <w:r w:rsidRPr="00F2366E">
        <w:rPr>
          <w:rFonts w:ascii="Verdana" w:eastAsia="Times" w:hAnsi="Verdana" w:cs="Times"/>
          <w:color w:val="000000" w:themeColor="text1"/>
          <w:sz w:val="20"/>
          <w:szCs w:val="20"/>
          <w:lang w:val="es-CR"/>
        </w:rPr>
        <w:t xml:space="preserve">                 Juez</w:t>
      </w:r>
    </w:p>
    <w:p w14:paraId="6B510522" w14:textId="5E16CD83" w:rsidR="00BD4F6D" w:rsidRPr="00F2366E" w:rsidRDefault="00BD4F6D" w:rsidP="00F806CB">
      <w:pPr>
        <w:rPr>
          <w:rFonts w:ascii="Verdana" w:eastAsia="Times" w:hAnsi="Verdana" w:cs="Times"/>
          <w:color w:val="000000" w:themeColor="text1"/>
          <w:sz w:val="20"/>
          <w:szCs w:val="20"/>
          <w:lang w:val="es-CR"/>
        </w:rPr>
      </w:pPr>
    </w:p>
    <w:p w14:paraId="60B75D52" w14:textId="77777777" w:rsidR="00F806CB" w:rsidRPr="00F2366E" w:rsidRDefault="00F806CB" w:rsidP="00F806CB">
      <w:pPr>
        <w:rPr>
          <w:rFonts w:ascii="Verdana" w:eastAsia="Times" w:hAnsi="Verdana" w:cs="Times"/>
          <w:color w:val="000000" w:themeColor="text1"/>
          <w:sz w:val="20"/>
          <w:szCs w:val="20"/>
          <w:lang w:val="es-CR"/>
        </w:rPr>
      </w:pPr>
    </w:p>
    <w:p w14:paraId="6B9340C9" w14:textId="77777777" w:rsidR="00BD4F6D" w:rsidRPr="007508E2" w:rsidRDefault="00BD4F6D" w:rsidP="00F806CB">
      <w:pPr>
        <w:rPr>
          <w:rFonts w:ascii="Verdana" w:eastAsia="Times" w:hAnsi="Verdana" w:cs="Times"/>
          <w:color w:val="000000" w:themeColor="text1"/>
          <w:sz w:val="20"/>
          <w:szCs w:val="20"/>
          <w:lang w:val="pt-BR"/>
        </w:rPr>
      </w:pPr>
      <w:r w:rsidRPr="007508E2">
        <w:rPr>
          <w:rFonts w:ascii="Verdana" w:eastAsia="Times" w:hAnsi="Verdana" w:cs="Times"/>
          <w:color w:val="000000" w:themeColor="text1"/>
          <w:sz w:val="20"/>
          <w:szCs w:val="20"/>
          <w:lang w:val="pt-BR"/>
        </w:rPr>
        <w:t>Pablo Saavedra Alessandri</w:t>
      </w:r>
    </w:p>
    <w:p w14:paraId="0B295290" w14:textId="77777777" w:rsidR="00BD4F6D" w:rsidRPr="007508E2" w:rsidRDefault="00BD4F6D" w:rsidP="00F806CB">
      <w:pPr>
        <w:rPr>
          <w:rFonts w:ascii="Verdana" w:eastAsia="Times" w:hAnsi="Verdana" w:cs="Times"/>
          <w:color w:val="000000" w:themeColor="text1"/>
          <w:sz w:val="20"/>
          <w:szCs w:val="20"/>
          <w:lang w:val="pt-BR"/>
        </w:rPr>
      </w:pPr>
      <w:r w:rsidRPr="007508E2">
        <w:rPr>
          <w:rFonts w:ascii="Verdana" w:eastAsia="Times" w:hAnsi="Verdana" w:cs="Times"/>
          <w:color w:val="000000" w:themeColor="text1"/>
          <w:sz w:val="20"/>
          <w:szCs w:val="20"/>
          <w:lang w:val="pt-BR"/>
        </w:rPr>
        <w:t xml:space="preserve">            Secretario</w:t>
      </w:r>
    </w:p>
    <w:bookmarkEnd w:id="0"/>
    <w:p w14:paraId="6B7AB3B7" w14:textId="77777777" w:rsidR="00AB409C" w:rsidRPr="007508E2" w:rsidRDefault="00AB409C" w:rsidP="00F806CB">
      <w:pPr>
        <w:rPr>
          <w:rFonts w:ascii="Verdana" w:hAnsi="Verdana"/>
          <w:color w:val="000000" w:themeColor="text1"/>
          <w:sz w:val="20"/>
          <w:szCs w:val="20"/>
        </w:rPr>
      </w:pPr>
    </w:p>
    <w:sectPr w:rsidR="00AB409C" w:rsidRPr="007508E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01AE" w14:textId="77777777" w:rsidR="00275ED5" w:rsidRDefault="00275ED5" w:rsidP="00BD4F6D">
      <w:r>
        <w:separator/>
      </w:r>
    </w:p>
  </w:endnote>
  <w:endnote w:type="continuationSeparator" w:id="0">
    <w:p w14:paraId="20CECDD3" w14:textId="77777777" w:rsidR="00275ED5" w:rsidRDefault="00275ED5" w:rsidP="00BD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9B02" w14:textId="77777777" w:rsidR="00275ED5" w:rsidRDefault="00275ED5" w:rsidP="00BD4F6D">
      <w:r>
        <w:separator/>
      </w:r>
    </w:p>
  </w:footnote>
  <w:footnote w:type="continuationSeparator" w:id="0">
    <w:p w14:paraId="537BC1B5" w14:textId="77777777" w:rsidR="00275ED5" w:rsidRDefault="00275ED5" w:rsidP="00BD4F6D">
      <w:r>
        <w:continuationSeparator/>
      </w:r>
    </w:p>
  </w:footnote>
  <w:footnote w:id="1">
    <w:p w14:paraId="00AE3DDA" w14:textId="30DCC284"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 xml:space="preserve">Cfr. </w:t>
      </w:r>
      <w:r w:rsidRPr="008E16F1">
        <w:rPr>
          <w:rFonts w:ascii="Verdana" w:hAnsi="Verdana"/>
          <w:i/>
          <w:iCs/>
          <w:sz w:val="16"/>
          <w:szCs w:val="16"/>
        </w:rPr>
        <w:t>Caso Lagos del Campo Vs. Perú. Excepciones Preliminares, Fondo, Reparaciones y Costas</w:t>
      </w:r>
      <w:r w:rsidRPr="008E16F1">
        <w:rPr>
          <w:rFonts w:ascii="Verdana" w:hAnsi="Verdana"/>
          <w:sz w:val="16"/>
          <w:szCs w:val="16"/>
        </w:rPr>
        <w:t xml:space="preserve">. Sentencia de 31 de agosto de 2017. Serie C No. 340. Voto parcialmente disidente del Juez Humberto Antonio Sierra Porto. </w:t>
      </w:r>
    </w:p>
  </w:footnote>
  <w:footnote w:id="2">
    <w:p w14:paraId="3787813A" w14:textId="18675FF2"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Cfr</w:t>
      </w:r>
      <w:r w:rsidR="00720621" w:rsidRPr="008E16F1">
        <w:rPr>
          <w:rFonts w:ascii="Verdana" w:hAnsi="Verdana"/>
          <w:sz w:val="16"/>
          <w:szCs w:val="16"/>
        </w:rPr>
        <w:t xml:space="preserve">. </w:t>
      </w:r>
      <w:r w:rsidRPr="008E16F1">
        <w:rPr>
          <w:rFonts w:ascii="Verdana" w:hAnsi="Verdana"/>
          <w:i/>
          <w:iCs/>
          <w:sz w:val="16"/>
          <w:szCs w:val="16"/>
        </w:rPr>
        <w:t>Caso Trabajadores Cesados de Petroperú y otros Vs. Perú. Excepciones Preliminares, Fondo, Reparaciones y Costas</w:t>
      </w:r>
      <w:r w:rsidRPr="008E16F1">
        <w:rPr>
          <w:rFonts w:ascii="Verdana" w:hAnsi="Verdana"/>
          <w:sz w:val="16"/>
          <w:szCs w:val="16"/>
        </w:rPr>
        <w:t>. Sentencia de 23 de noviembre de 2017. Serie C No. 344. Voto parcialmente disidente del Juez Humberto Antonio Sierra Porto.</w:t>
      </w:r>
    </w:p>
  </w:footnote>
  <w:footnote w:id="3">
    <w:p w14:paraId="64756E47" w14:textId="4C091C64"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Cfr</w:t>
      </w:r>
      <w:r w:rsidR="00720621" w:rsidRPr="008E16F1">
        <w:rPr>
          <w:rFonts w:ascii="Verdana" w:hAnsi="Verdana"/>
          <w:sz w:val="16"/>
          <w:szCs w:val="16"/>
        </w:rPr>
        <w:t xml:space="preserve">. </w:t>
      </w:r>
      <w:r w:rsidRPr="008E16F1">
        <w:rPr>
          <w:rFonts w:ascii="Verdana" w:hAnsi="Verdana"/>
          <w:i/>
          <w:iCs/>
          <w:sz w:val="16"/>
          <w:szCs w:val="16"/>
        </w:rPr>
        <w:t>Caso San Miguel Sosa y otras Vs. Venezuela. Fondo, Reparaciones y Costas</w:t>
      </w:r>
      <w:r w:rsidRPr="008E16F1">
        <w:rPr>
          <w:rFonts w:ascii="Verdana" w:hAnsi="Verdana"/>
          <w:sz w:val="16"/>
          <w:szCs w:val="16"/>
        </w:rPr>
        <w:t>. Sentencia de 8 de febrero de 2018. Serie C No. 348. Voto parcialmente disidente del Juez Humberto Antonio Sierra Porto.</w:t>
      </w:r>
    </w:p>
  </w:footnote>
  <w:footnote w:id="4">
    <w:p w14:paraId="081487CB" w14:textId="4F39AA41"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Cfr</w:t>
      </w:r>
      <w:r w:rsidR="00720621" w:rsidRPr="008E16F1">
        <w:rPr>
          <w:rFonts w:ascii="Verdana" w:hAnsi="Verdana"/>
          <w:sz w:val="16"/>
          <w:szCs w:val="16"/>
        </w:rPr>
        <w:t xml:space="preserve">. </w:t>
      </w:r>
      <w:r w:rsidRPr="008E16F1">
        <w:rPr>
          <w:rFonts w:ascii="Verdana" w:hAnsi="Verdana"/>
          <w:i/>
          <w:iCs/>
          <w:sz w:val="16"/>
          <w:szCs w:val="16"/>
        </w:rPr>
        <w:t>Caso Muelle Flores Vs. Perú. Excepciones Preliminares, Fondo, Reparaciones y Costas</w:t>
      </w:r>
      <w:r w:rsidRPr="008E16F1">
        <w:rPr>
          <w:rFonts w:ascii="Verdana" w:hAnsi="Verdana"/>
          <w:sz w:val="16"/>
          <w:szCs w:val="16"/>
        </w:rPr>
        <w:t>. Sentencia de 6 de marzo de 2019. Serie C No. 375. Voto parcialmente disidente del Juez Humberto Antonio Sierra Porto.</w:t>
      </w:r>
    </w:p>
  </w:footnote>
  <w:footnote w:id="5">
    <w:p w14:paraId="16AA1CBD" w14:textId="1509E122" w:rsidR="00BD4F6D" w:rsidRPr="008E16F1" w:rsidRDefault="00BD4F6D"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Cfr</w:t>
      </w:r>
      <w:r w:rsidR="00720621" w:rsidRPr="008E16F1">
        <w:rPr>
          <w:rFonts w:ascii="Verdana" w:hAnsi="Verdana"/>
          <w:sz w:val="16"/>
          <w:szCs w:val="16"/>
        </w:rPr>
        <w:t xml:space="preserve">. </w:t>
      </w:r>
      <w:r w:rsidRPr="008E16F1">
        <w:rPr>
          <w:rFonts w:ascii="Verdana" w:hAnsi="Verdana"/>
          <w:i/>
          <w:iCs/>
          <w:sz w:val="16"/>
          <w:szCs w:val="16"/>
        </w:rPr>
        <w:t>Caso Hernández Vs. Argentina. Excepción Preliminar, Fondo, Reparaciones y Costas</w:t>
      </w:r>
      <w:r w:rsidRPr="008E16F1">
        <w:rPr>
          <w:rFonts w:ascii="Verdana" w:hAnsi="Verdana"/>
          <w:sz w:val="16"/>
          <w:szCs w:val="16"/>
        </w:rPr>
        <w:t>. Sentencia de 22 de noviembre de 2019. Serie C No. 395. Voto parcialmente disidente del Juez Humberto Antonio Sierra Porto.</w:t>
      </w:r>
    </w:p>
  </w:footnote>
  <w:footnote w:id="6">
    <w:p w14:paraId="171D35A9" w14:textId="08FB2E9B"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Cfr</w:t>
      </w:r>
      <w:r w:rsidR="00720621" w:rsidRPr="008E16F1">
        <w:rPr>
          <w:rFonts w:ascii="Verdana" w:hAnsi="Verdana"/>
          <w:sz w:val="16"/>
          <w:szCs w:val="16"/>
        </w:rPr>
        <w:t xml:space="preserve">. </w:t>
      </w:r>
      <w:r w:rsidRPr="008E16F1">
        <w:rPr>
          <w:rFonts w:ascii="Verdana" w:hAnsi="Verdana"/>
          <w:i/>
          <w:iCs/>
          <w:sz w:val="16"/>
          <w:szCs w:val="16"/>
        </w:rPr>
        <w:t>Caso Asociación Nacional de Cesantes y Jubilados de la Superintendencia Nacional de Administración Tributaria (ANCEJUB-SUNAT) Vs. Perú</w:t>
      </w:r>
      <w:r w:rsidRPr="008E16F1">
        <w:rPr>
          <w:rFonts w:ascii="Verdana" w:hAnsi="Verdana"/>
          <w:sz w:val="16"/>
          <w:szCs w:val="16"/>
        </w:rPr>
        <w:t>. Excepciones Preliminares, Fondo, Reparaciones y Costas. Sentencia de 21 de noviembre de 2019. Serie C No. 39. Voto parcialmente disidente del Juez Humberto Antonio Sierra Porto.</w:t>
      </w:r>
    </w:p>
  </w:footnote>
  <w:footnote w:id="7">
    <w:p w14:paraId="56A0544F" w14:textId="21F648EA"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Cfr</w:t>
      </w:r>
      <w:r w:rsidR="00720621" w:rsidRPr="008E16F1">
        <w:rPr>
          <w:rFonts w:ascii="Verdana" w:hAnsi="Verdana"/>
          <w:sz w:val="16"/>
          <w:szCs w:val="16"/>
        </w:rPr>
        <w:t xml:space="preserve">. </w:t>
      </w:r>
      <w:r w:rsidRPr="008E16F1">
        <w:rPr>
          <w:rFonts w:ascii="Verdana" w:hAnsi="Verdana"/>
          <w:i/>
          <w:iCs/>
          <w:sz w:val="16"/>
          <w:szCs w:val="16"/>
        </w:rPr>
        <w:t>Caso Comunidades Indígenas Miembros de la Asociación Lhaka Honhat (Nuestra Tierra) Vs. Argentina</w:t>
      </w:r>
      <w:r w:rsidRPr="008E16F1">
        <w:rPr>
          <w:rFonts w:ascii="Verdana" w:hAnsi="Verdana"/>
          <w:sz w:val="16"/>
          <w:szCs w:val="16"/>
        </w:rPr>
        <w:t xml:space="preserve">. </w:t>
      </w:r>
      <w:r w:rsidRPr="008E16F1">
        <w:rPr>
          <w:rFonts w:ascii="Verdana" w:hAnsi="Verdana"/>
          <w:i/>
          <w:iCs/>
          <w:sz w:val="16"/>
          <w:szCs w:val="16"/>
        </w:rPr>
        <w:t>Fondo, Reparaciones y Costas.</w:t>
      </w:r>
      <w:r w:rsidRPr="008E16F1">
        <w:rPr>
          <w:rFonts w:ascii="Verdana" w:hAnsi="Verdana"/>
          <w:sz w:val="16"/>
          <w:szCs w:val="16"/>
        </w:rPr>
        <w:t xml:space="preserve"> Sentencia de 6 de febrero de 2020. Serie C No. 400. Voto parcialmente disidente del Juez Humberto Antonio Sierra Porto.</w:t>
      </w:r>
    </w:p>
  </w:footnote>
  <w:footnote w:id="8">
    <w:p w14:paraId="5FCF3237" w14:textId="34F17816"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Cfr</w:t>
      </w:r>
      <w:r w:rsidR="00720621" w:rsidRPr="008E16F1">
        <w:rPr>
          <w:rFonts w:ascii="Verdana" w:hAnsi="Verdana"/>
          <w:sz w:val="16"/>
          <w:szCs w:val="16"/>
        </w:rPr>
        <w:t xml:space="preserve">. </w:t>
      </w:r>
      <w:r w:rsidRPr="008E16F1">
        <w:rPr>
          <w:rFonts w:ascii="Verdana" w:hAnsi="Verdana"/>
          <w:i/>
          <w:iCs/>
          <w:sz w:val="16"/>
          <w:szCs w:val="16"/>
        </w:rPr>
        <w:t>Caso de los Empleados de la Fábrica de Fuegos de Santo Antônio de Jesus Vs. Brasil</w:t>
      </w:r>
      <w:r w:rsidRPr="008E16F1">
        <w:rPr>
          <w:rFonts w:ascii="Verdana" w:hAnsi="Verdana"/>
          <w:sz w:val="16"/>
          <w:szCs w:val="16"/>
        </w:rPr>
        <w:t xml:space="preserve">. </w:t>
      </w:r>
      <w:r w:rsidRPr="008E16F1">
        <w:rPr>
          <w:rFonts w:ascii="Verdana" w:hAnsi="Verdana"/>
          <w:i/>
          <w:iCs/>
          <w:sz w:val="16"/>
          <w:szCs w:val="16"/>
        </w:rPr>
        <w:t>Excepciones Preliminares, Fondo, Reparaciones y Costas</w:t>
      </w:r>
      <w:r w:rsidRPr="008E16F1">
        <w:rPr>
          <w:rFonts w:ascii="Verdana" w:hAnsi="Verdana"/>
          <w:sz w:val="16"/>
          <w:szCs w:val="16"/>
        </w:rPr>
        <w:t>. Sentencia de 15 de julio de 2020. Serie C No. 407. Voto parcialmente disidente del Juez Humberto Antonio Sierra Porto.</w:t>
      </w:r>
    </w:p>
  </w:footnote>
  <w:footnote w:id="9">
    <w:p w14:paraId="2AC647D1" w14:textId="03FB0784"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Cfr</w:t>
      </w:r>
      <w:r w:rsidR="00720621" w:rsidRPr="008E16F1">
        <w:rPr>
          <w:rFonts w:ascii="Verdana" w:hAnsi="Verdana"/>
          <w:sz w:val="16"/>
          <w:szCs w:val="16"/>
        </w:rPr>
        <w:t xml:space="preserve">. </w:t>
      </w:r>
      <w:r w:rsidRPr="008E16F1">
        <w:rPr>
          <w:rFonts w:ascii="Verdana" w:hAnsi="Verdana"/>
          <w:i/>
          <w:iCs/>
          <w:sz w:val="16"/>
          <w:szCs w:val="16"/>
        </w:rPr>
        <w:t>Caso Casa Nina Vs. Perú. Excepciones Preliminares, Fondo, Reparaciones y Costas</w:t>
      </w:r>
      <w:r w:rsidRPr="008E16F1">
        <w:rPr>
          <w:rFonts w:ascii="Verdana" w:hAnsi="Verdana"/>
          <w:sz w:val="16"/>
          <w:szCs w:val="16"/>
        </w:rPr>
        <w:t>. Sentencia de 24 de noviembre de 2020. Serie C No. 419. Voto concurrente y parcialmente disidente del Juez Humberto Antonio Sierra Porto.</w:t>
      </w:r>
    </w:p>
  </w:footnote>
  <w:footnote w:id="10">
    <w:p w14:paraId="13BDDC9E" w14:textId="1F04E777" w:rsidR="00BD4F6D" w:rsidRPr="008E16F1" w:rsidRDefault="00BD4F6D"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20621" w:rsidRPr="008E16F1">
        <w:rPr>
          <w:rFonts w:ascii="Verdana" w:hAnsi="Verdana"/>
          <w:i/>
          <w:iCs/>
          <w:sz w:val="16"/>
          <w:szCs w:val="16"/>
        </w:rPr>
        <w:t>Cfr</w:t>
      </w:r>
      <w:r w:rsidR="00720621" w:rsidRPr="008E16F1">
        <w:rPr>
          <w:rFonts w:ascii="Verdana" w:hAnsi="Verdana"/>
          <w:sz w:val="16"/>
          <w:szCs w:val="16"/>
        </w:rPr>
        <w:t xml:space="preserve">. </w:t>
      </w:r>
      <w:r w:rsidRPr="008E16F1">
        <w:rPr>
          <w:rFonts w:ascii="Verdana" w:hAnsi="Verdana"/>
          <w:i/>
          <w:iCs/>
          <w:sz w:val="16"/>
          <w:szCs w:val="16"/>
        </w:rPr>
        <w:t>Caso Guachalá Chimbo y otros Vs. Ecuador. Fondo, Reparaciones y Costas</w:t>
      </w:r>
      <w:r w:rsidRPr="008E16F1">
        <w:rPr>
          <w:rFonts w:ascii="Verdana" w:hAnsi="Verdana"/>
          <w:sz w:val="16"/>
          <w:szCs w:val="16"/>
        </w:rPr>
        <w:t>. Sentencia de 26 de marzo de 2021. Serie C No. 423. Voto concurrente y parcialmente disidente del Juez Humberto Antonio Sierra Porto.</w:t>
      </w:r>
    </w:p>
  </w:footnote>
  <w:footnote w:id="11">
    <w:p w14:paraId="75C55C02" w14:textId="57F5EC31" w:rsidR="00BD4F6D" w:rsidRPr="008E16F1" w:rsidRDefault="00BD4F6D"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506060" w:rsidRPr="008E16F1">
        <w:rPr>
          <w:rFonts w:ascii="Verdana" w:hAnsi="Verdana"/>
          <w:i/>
          <w:iCs/>
          <w:sz w:val="16"/>
          <w:szCs w:val="16"/>
        </w:rPr>
        <w:t>Cfr</w:t>
      </w:r>
      <w:r w:rsidR="00506060" w:rsidRPr="008E16F1">
        <w:rPr>
          <w:rFonts w:ascii="Verdana" w:hAnsi="Verdana"/>
          <w:sz w:val="16"/>
          <w:szCs w:val="16"/>
        </w:rPr>
        <w:t xml:space="preserve">. </w:t>
      </w:r>
      <w:r w:rsidRPr="008E16F1">
        <w:rPr>
          <w:rFonts w:ascii="Verdana" w:hAnsi="Verdana"/>
          <w:i/>
          <w:iCs/>
          <w:sz w:val="16"/>
          <w:szCs w:val="16"/>
        </w:rPr>
        <w:t>Caso Federación Nacional de Trabajadores Marítimos y Portuarios (FEMAPOR) Vs. Perú. Excepciones Preliminares, Fondo y Reparaciones</w:t>
      </w:r>
      <w:r w:rsidRPr="008E16F1">
        <w:rPr>
          <w:rFonts w:ascii="Verdana" w:hAnsi="Verdana"/>
          <w:sz w:val="16"/>
          <w:szCs w:val="16"/>
        </w:rPr>
        <w:t>. Sentencia de 1 de febrero de 2022. Serie C No. 448. Voto parcialmente disidente del Juez Humberto Antonio Sierra Porto.</w:t>
      </w:r>
    </w:p>
  </w:footnote>
  <w:footnote w:id="12">
    <w:p w14:paraId="2F67A4ED" w14:textId="49D75A07"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lang w:val="es-ES_tradnl"/>
        </w:rPr>
        <w:tab/>
      </w:r>
      <w:r w:rsidR="00506060" w:rsidRPr="008E16F1">
        <w:rPr>
          <w:rFonts w:ascii="Verdana" w:hAnsi="Verdana"/>
          <w:i/>
          <w:iCs/>
          <w:sz w:val="16"/>
          <w:szCs w:val="16"/>
          <w:lang w:val="es-ES_tradnl"/>
        </w:rPr>
        <w:t>Cfr</w:t>
      </w:r>
      <w:r w:rsidR="00506060" w:rsidRPr="008E16F1">
        <w:rPr>
          <w:rFonts w:ascii="Verdana" w:hAnsi="Verdana"/>
          <w:sz w:val="16"/>
          <w:szCs w:val="16"/>
          <w:lang w:val="es-ES_tradnl"/>
        </w:rPr>
        <w:t xml:space="preserve">. </w:t>
      </w:r>
      <w:r w:rsidRPr="008E16F1">
        <w:rPr>
          <w:rFonts w:ascii="Verdana" w:hAnsi="Verdana"/>
          <w:i/>
          <w:iCs/>
          <w:sz w:val="16"/>
          <w:szCs w:val="16"/>
        </w:rPr>
        <w:t>Caso Guevara Díaz Vs. Costa Rica. Fondo, Reparaciones y Costas</w:t>
      </w:r>
      <w:r w:rsidRPr="008E16F1">
        <w:rPr>
          <w:rFonts w:ascii="Verdana" w:hAnsi="Verdana"/>
          <w:sz w:val="16"/>
          <w:szCs w:val="16"/>
        </w:rPr>
        <w:t>. Sentencia de 22 de junio de 2022. Serie C No. 453</w:t>
      </w:r>
      <w:r w:rsidRPr="008E16F1">
        <w:rPr>
          <w:rFonts w:ascii="Verdana" w:hAnsi="Verdana"/>
          <w:sz w:val="16"/>
          <w:szCs w:val="16"/>
          <w:lang w:val="es-ES_tradnl"/>
        </w:rPr>
        <w:t xml:space="preserve">. </w:t>
      </w:r>
      <w:r w:rsidRPr="008E16F1">
        <w:rPr>
          <w:rFonts w:ascii="Verdana" w:hAnsi="Verdana"/>
          <w:sz w:val="16"/>
          <w:szCs w:val="16"/>
        </w:rPr>
        <w:t>Voto concurrente y parcialmente disidente del Juez Humberto Antonio Sierra Porto.</w:t>
      </w:r>
    </w:p>
  </w:footnote>
  <w:footnote w:id="13">
    <w:p w14:paraId="1AC2B7D0" w14:textId="0CC55AF3" w:rsidR="00BD4F6D" w:rsidRPr="008E16F1" w:rsidRDefault="00BD4F6D"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B839D4" w:rsidRPr="008E16F1">
        <w:rPr>
          <w:rFonts w:ascii="Verdana" w:hAnsi="Verdana"/>
          <w:i/>
          <w:iCs/>
          <w:sz w:val="16"/>
          <w:szCs w:val="16"/>
        </w:rPr>
        <w:t>Cfr</w:t>
      </w:r>
      <w:r w:rsidR="00B839D4" w:rsidRPr="008E16F1">
        <w:rPr>
          <w:rFonts w:ascii="Verdana" w:hAnsi="Verdana"/>
          <w:sz w:val="16"/>
          <w:szCs w:val="16"/>
        </w:rPr>
        <w:t xml:space="preserve">. </w:t>
      </w:r>
      <w:r w:rsidRPr="008E16F1">
        <w:rPr>
          <w:rFonts w:ascii="Verdana" w:hAnsi="Verdana"/>
          <w:i/>
          <w:iCs/>
          <w:sz w:val="16"/>
          <w:szCs w:val="16"/>
        </w:rPr>
        <w:t xml:space="preserve">Caso Mina Cuero Vs. Ecuador. Excepción Preliminar, Fondo, Reparaciones y Costas. </w:t>
      </w:r>
      <w:r w:rsidRPr="008E16F1">
        <w:rPr>
          <w:rFonts w:ascii="Verdana" w:hAnsi="Verdana"/>
          <w:sz w:val="16"/>
          <w:szCs w:val="16"/>
        </w:rPr>
        <w:t>Sentencia de 7 de septiembre de 2022</w:t>
      </w:r>
      <w:r w:rsidR="004260C3" w:rsidRPr="008E16F1">
        <w:rPr>
          <w:rFonts w:ascii="Verdana" w:hAnsi="Verdana"/>
          <w:sz w:val="16"/>
          <w:szCs w:val="16"/>
        </w:rPr>
        <w:t>.</w:t>
      </w:r>
      <w:r w:rsidRPr="008E16F1">
        <w:rPr>
          <w:rFonts w:ascii="Verdana" w:hAnsi="Verdana"/>
          <w:sz w:val="16"/>
          <w:szCs w:val="16"/>
        </w:rPr>
        <w:t xml:space="preserve"> Se</w:t>
      </w:r>
      <w:r w:rsidR="004260C3" w:rsidRPr="008E16F1">
        <w:rPr>
          <w:rFonts w:ascii="Verdana" w:hAnsi="Verdana"/>
          <w:sz w:val="16"/>
          <w:szCs w:val="16"/>
        </w:rPr>
        <w:t>r</w:t>
      </w:r>
      <w:r w:rsidRPr="008E16F1">
        <w:rPr>
          <w:rFonts w:ascii="Verdana" w:hAnsi="Verdana"/>
          <w:sz w:val="16"/>
          <w:szCs w:val="16"/>
        </w:rPr>
        <w:t>ie C No. 464. Voto parcialmente disidente del Juez Humberto Antonio Sierra Porto.</w:t>
      </w:r>
    </w:p>
  </w:footnote>
  <w:footnote w:id="14">
    <w:p w14:paraId="19F9D033" w14:textId="3C38F386" w:rsidR="00BD4F6D" w:rsidRPr="008E16F1" w:rsidRDefault="00BD4F6D"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B839D4" w:rsidRPr="008E16F1">
        <w:rPr>
          <w:rFonts w:ascii="Verdana" w:hAnsi="Verdana"/>
          <w:i/>
          <w:iCs/>
          <w:sz w:val="16"/>
          <w:szCs w:val="16"/>
        </w:rPr>
        <w:t>Cfr</w:t>
      </w:r>
      <w:r w:rsidR="00B839D4" w:rsidRPr="008E16F1">
        <w:rPr>
          <w:rFonts w:ascii="Verdana" w:hAnsi="Verdana"/>
          <w:sz w:val="16"/>
          <w:szCs w:val="16"/>
        </w:rPr>
        <w:t xml:space="preserve">. </w:t>
      </w:r>
      <w:r w:rsidRPr="008E16F1">
        <w:rPr>
          <w:rFonts w:ascii="Verdana" w:hAnsi="Verdana"/>
          <w:i/>
          <w:iCs/>
          <w:sz w:val="16"/>
          <w:szCs w:val="16"/>
        </w:rPr>
        <w:t>Caso Valencia Campos y otros Vs. Bolivia. Excepción Preliminar, Fon</w:t>
      </w:r>
      <w:r w:rsidR="00B70DC2" w:rsidRPr="008E16F1">
        <w:rPr>
          <w:rFonts w:ascii="Verdana" w:hAnsi="Verdana"/>
          <w:i/>
          <w:iCs/>
          <w:sz w:val="16"/>
          <w:szCs w:val="16"/>
        </w:rPr>
        <w:t xml:space="preserve">do, Reparaciones y Costas. </w:t>
      </w:r>
      <w:r w:rsidR="00B70DC2" w:rsidRPr="008E16F1">
        <w:rPr>
          <w:rFonts w:ascii="Verdana" w:hAnsi="Verdana"/>
          <w:sz w:val="16"/>
          <w:szCs w:val="16"/>
        </w:rPr>
        <w:t>Sentencia</w:t>
      </w:r>
      <w:r w:rsidR="004260C3" w:rsidRPr="008E16F1">
        <w:rPr>
          <w:rFonts w:ascii="Verdana" w:hAnsi="Verdana"/>
          <w:sz w:val="16"/>
          <w:szCs w:val="16"/>
        </w:rPr>
        <w:t xml:space="preserve"> de 18 de octubre de 2022. Serie C No. 469. Voto parcialmente disidente del Juez Humberto Antonio Sierra Porto.</w:t>
      </w:r>
    </w:p>
  </w:footnote>
  <w:footnote w:id="15">
    <w:p w14:paraId="3A90439F" w14:textId="3299FA81" w:rsidR="004260C3" w:rsidRPr="008E16F1" w:rsidRDefault="004260C3" w:rsidP="008E16F1">
      <w:pPr>
        <w:pStyle w:val="Textonotapie"/>
        <w:spacing w:before="40" w:after="40"/>
        <w:jc w:val="both"/>
        <w:rPr>
          <w:rFonts w:ascii="Verdana" w:hAnsi="Verdana"/>
          <w:sz w:val="16"/>
          <w:szCs w:val="16"/>
          <w:lang w:val="es-CR"/>
        </w:rPr>
      </w:pPr>
      <w:r w:rsidRPr="008E16F1">
        <w:rPr>
          <w:rStyle w:val="Refdenotaalpie"/>
          <w:rFonts w:ascii="Verdana" w:hAnsi="Verdana"/>
          <w:sz w:val="16"/>
          <w:szCs w:val="16"/>
        </w:rPr>
        <w:footnoteRef/>
      </w:r>
      <w:r w:rsidRPr="008E16F1">
        <w:rPr>
          <w:rFonts w:ascii="Verdana" w:hAnsi="Verdana"/>
          <w:sz w:val="16"/>
          <w:szCs w:val="16"/>
          <w:lang w:val="es-CR"/>
        </w:rPr>
        <w:t xml:space="preserve"> </w:t>
      </w:r>
      <w:r w:rsidRPr="008E16F1">
        <w:rPr>
          <w:rFonts w:ascii="Verdana" w:hAnsi="Verdana"/>
          <w:sz w:val="16"/>
          <w:szCs w:val="16"/>
          <w:lang w:val="es-CR"/>
        </w:rPr>
        <w:tab/>
      </w:r>
      <w:r w:rsidR="00B839D4" w:rsidRPr="008E16F1">
        <w:rPr>
          <w:rFonts w:ascii="Verdana" w:hAnsi="Verdana"/>
          <w:i/>
          <w:iCs/>
          <w:sz w:val="16"/>
          <w:szCs w:val="16"/>
          <w:lang w:val="es-CR"/>
        </w:rPr>
        <w:t>Cfr</w:t>
      </w:r>
      <w:r w:rsidR="00B839D4" w:rsidRPr="008E16F1">
        <w:rPr>
          <w:rFonts w:ascii="Verdana" w:hAnsi="Verdana"/>
          <w:sz w:val="16"/>
          <w:szCs w:val="16"/>
          <w:lang w:val="es-CR"/>
        </w:rPr>
        <w:t xml:space="preserve">. </w:t>
      </w:r>
      <w:r w:rsidRPr="008E16F1">
        <w:rPr>
          <w:rFonts w:ascii="Verdana" w:hAnsi="Verdana"/>
          <w:i/>
          <w:iCs/>
          <w:sz w:val="16"/>
          <w:szCs w:val="16"/>
          <w:lang w:val="es-CR"/>
        </w:rPr>
        <w:t xml:space="preserve">Caso Brítez Arce Vs. Argentina. Fondo, Reparaciones y Costas. </w:t>
      </w:r>
      <w:r w:rsidRPr="008E16F1">
        <w:rPr>
          <w:rFonts w:ascii="Verdana" w:hAnsi="Verdana"/>
          <w:sz w:val="16"/>
          <w:szCs w:val="16"/>
          <w:lang w:val="es-CR"/>
        </w:rPr>
        <w:t xml:space="preserve">Sentencia de 16 de noviembre de 2022. Serie C No. </w:t>
      </w:r>
      <w:r w:rsidR="006729BA" w:rsidRPr="008E16F1">
        <w:rPr>
          <w:rFonts w:ascii="Verdana" w:hAnsi="Verdana"/>
          <w:sz w:val="16"/>
          <w:szCs w:val="16"/>
          <w:lang w:val="es-CR"/>
        </w:rPr>
        <w:t>474</w:t>
      </w:r>
      <w:r w:rsidRPr="008E16F1">
        <w:rPr>
          <w:rFonts w:ascii="Verdana" w:hAnsi="Verdana"/>
          <w:sz w:val="16"/>
          <w:szCs w:val="16"/>
          <w:lang w:val="es-CR"/>
        </w:rPr>
        <w:t>. Voto parcialmente disidente del Juez Humberto Antonio Sierra Porto.</w:t>
      </w:r>
    </w:p>
  </w:footnote>
  <w:footnote w:id="16">
    <w:p w14:paraId="707B2225" w14:textId="70C63B1F" w:rsidR="00671A09" w:rsidRPr="008E16F1" w:rsidRDefault="00671A09"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lang w:val="pt-BR"/>
        </w:rPr>
        <w:t xml:space="preserve"> </w:t>
      </w:r>
      <w:r w:rsidRPr="008E16F1">
        <w:rPr>
          <w:rFonts w:ascii="Verdana" w:hAnsi="Verdana"/>
          <w:sz w:val="16"/>
          <w:szCs w:val="16"/>
          <w:lang w:val="pt-BR"/>
        </w:rPr>
        <w:tab/>
      </w:r>
      <w:r w:rsidR="00B839D4" w:rsidRPr="008E16F1">
        <w:rPr>
          <w:rFonts w:ascii="Verdana" w:hAnsi="Verdana"/>
          <w:i/>
          <w:iCs/>
          <w:sz w:val="16"/>
          <w:szCs w:val="16"/>
          <w:lang w:val="pt-BR"/>
        </w:rPr>
        <w:t>Cfr</w:t>
      </w:r>
      <w:r w:rsidR="00B839D4" w:rsidRPr="008E16F1">
        <w:rPr>
          <w:rFonts w:ascii="Verdana" w:hAnsi="Verdana"/>
          <w:sz w:val="16"/>
          <w:szCs w:val="16"/>
          <w:lang w:val="pt-BR"/>
        </w:rPr>
        <w:t xml:space="preserve">. </w:t>
      </w:r>
      <w:r w:rsidRPr="008E16F1">
        <w:rPr>
          <w:rFonts w:ascii="Verdana" w:hAnsi="Verdana"/>
          <w:i/>
          <w:iCs/>
          <w:sz w:val="16"/>
          <w:szCs w:val="16"/>
          <w:lang w:val="pt-BR"/>
        </w:rPr>
        <w:t xml:space="preserve">Caso Nissen Pessolani Vs. </w:t>
      </w:r>
      <w:r w:rsidRPr="008E16F1">
        <w:rPr>
          <w:rFonts w:ascii="Verdana" w:hAnsi="Verdana"/>
          <w:i/>
          <w:iCs/>
          <w:sz w:val="16"/>
          <w:szCs w:val="16"/>
        </w:rPr>
        <w:t>Paraguay.</w:t>
      </w:r>
      <w:r w:rsidRPr="008E16F1">
        <w:rPr>
          <w:rFonts w:ascii="Verdana" w:hAnsi="Verdana"/>
          <w:sz w:val="16"/>
          <w:szCs w:val="16"/>
        </w:rPr>
        <w:t xml:space="preserve"> Fondo, Reparaciones y Costas. Sentencia de 21 de noviembre de 2022. Serie C No. 477. </w:t>
      </w:r>
      <w:r w:rsidRPr="008E16F1">
        <w:rPr>
          <w:rFonts w:ascii="Verdana" w:hAnsi="Verdana"/>
          <w:sz w:val="16"/>
          <w:szCs w:val="16"/>
          <w:lang w:val="es-CR"/>
        </w:rPr>
        <w:t>Voto parcialmente disidente del Juez Humberto Antonio Sierra Porto.</w:t>
      </w:r>
    </w:p>
  </w:footnote>
  <w:footnote w:id="17">
    <w:p w14:paraId="5B673078" w14:textId="6C6EC948" w:rsidR="00E12D1F" w:rsidRPr="008E16F1" w:rsidRDefault="00E12D1F"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Pr="008E16F1">
        <w:rPr>
          <w:rFonts w:ascii="Verdana" w:hAnsi="Verdana"/>
          <w:i/>
          <w:iCs/>
          <w:sz w:val="16"/>
          <w:szCs w:val="16"/>
          <w:lang w:val="es-CR"/>
        </w:rPr>
        <w:t>Cfr.</w:t>
      </w:r>
      <w:r w:rsidRPr="008E16F1">
        <w:rPr>
          <w:rFonts w:ascii="Verdana" w:hAnsi="Verdana"/>
          <w:sz w:val="16"/>
          <w:szCs w:val="16"/>
        </w:rPr>
        <w:t xml:space="preserve"> </w:t>
      </w:r>
      <w:r w:rsidR="00F06413" w:rsidRPr="008E16F1">
        <w:rPr>
          <w:rFonts w:ascii="Verdana" w:hAnsi="Verdana"/>
          <w:i/>
          <w:iCs/>
          <w:sz w:val="16"/>
          <w:szCs w:val="16"/>
        </w:rPr>
        <w:t xml:space="preserve">Caso Aguinaga </w:t>
      </w:r>
      <w:proofErr w:type="spellStart"/>
      <w:r w:rsidR="00F06413" w:rsidRPr="008E16F1">
        <w:rPr>
          <w:rFonts w:ascii="Verdana" w:hAnsi="Verdana"/>
          <w:i/>
          <w:iCs/>
          <w:sz w:val="16"/>
          <w:szCs w:val="16"/>
        </w:rPr>
        <w:t>Aillón</w:t>
      </w:r>
      <w:proofErr w:type="spellEnd"/>
      <w:r w:rsidR="00F06413" w:rsidRPr="008E16F1">
        <w:rPr>
          <w:rFonts w:ascii="Verdana" w:hAnsi="Verdana"/>
          <w:i/>
          <w:iCs/>
          <w:sz w:val="16"/>
          <w:szCs w:val="16"/>
        </w:rPr>
        <w:t xml:space="preserve"> Vs. Ecuador. Fondo, Reparaciones y Costas</w:t>
      </w:r>
      <w:r w:rsidR="00F06413" w:rsidRPr="008E16F1">
        <w:rPr>
          <w:rFonts w:ascii="Verdana" w:hAnsi="Verdana"/>
          <w:sz w:val="16"/>
          <w:szCs w:val="16"/>
        </w:rPr>
        <w:t xml:space="preserve">. Sentencia de 30 de enero de 2023. Serie C No. 483. </w:t>
      </w:r>
      <w:r w:rsidR="00F06413" w:rsidRPr="008E16F1">
        <w:rPr>
          <w:rFonts w:ascii="Verdana" w:hAnsi="Verdana"/>
          <w:sz w:val="16"/>
          <w:szCs w:val="16"/>
          <w:lang w:val="es-CR"/>
        </w:rPr>
        <w:t>Voto parcialmente disidente del Juez Humberto Antonio Sierra Porto.</w:t>
      </w:r>
    </w:p>
  </w:footnote>
  <w:footnote w:id="18">
    <w:p w14:paraId="362ED6AA" w14:textId="0E0E3281"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C372D7" w:rsidRPr="008E16F1">
        <w:rPr>
          <w:rFonts w:ascii="Verdana" w:hAnsi="Verdana"/>
          <w:i/>
          <w:iCs/>
          <w:sz w:val="16"/>
          <w:szCs w:val="16"/>
        </w:rPr>
        <w:t>Cfr</w:t>
      </w:r>
      <w:r w:rsidR="00C372D7" w:rsidRPr="008E16F1">
        <w:rPr>
          <w:rFonts w:ascii="Verdana" w:hAnsi="Verdana"/>
          <w:sz w:val="16"/>
          <w:szCs w:val="16"/>
        </w:rPr>
        <w:t xml:space="preserve">. </w:t>
      </w:r>
      <w:r w:rsidRPr="008E16F1">
        <w:rPr>
          <w:rFonts w:ascii="Verdana" w:hAnsi="Verdana"/>
          <w:i/>
          <w:iCs/>
          <w:sz w:val="16"/>
          <w:szCs w:val="16"/>
        </w:rPr>
        <w:t>Caso Gonzales Lluy y otros Vs. Ecuador. Excepciones Preliminares, Fondo, Reparaciones y Costas.</w:t>
      </w:r>
      <w:r w:rsidRPr="008E16F1">
        <w:rPr>
          <w:rFonts w:ascii="Verdana" w:hAnsi="Verdana"/>
          <w:sz w:val="16"/>
          <w:szCs w:val="16"/>
        </w:rPr>
        <w:t xml:space="preserve"> Sentencia de 1 de septiembre de 2015. Serie C No. 298. Voto concurrente del Juez Humberto Antonio Sierra Porto. </w:t>
      </w:r>
    </w:p>
  </w:footnote>
  <w:footnote w:id="19">
    <w:p w14:paraId="3DEE04EF" w14:textId="43B84FF1" w:rsidR="00BD4F6D" w:rsidRPr="008E16F1" w:rsidRDefault="00BD4F6D"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C6455" w:rsidRPr="008E16F1">
        <w:rPr>
          <w:rFonts w:ascii="Verdana" w:hAnsi="Verdana"/>
          <w:i/>
          <w:iCs/>
          <w:sz w:val="16"/>
          <w:szCs w:val="16"/>
        </w:rPr>
        <w:t>Cfr</w:t>
      </w:r>
      <w:r w:rsidR="007C6455" w:rsidRPr="008E16F1">
        <w:rPr>
          <w:rFonts w:ascii="Verdana" w:hAnsi="Verdana"/>
          <w:sz w:val="16"/>
          <w:szCs w:val="16"/>
        </w:rPr>
        <w:t xml:space="preserve"> </w:t>
      </w:r>
      <w:r w:rsidRPr="008E16F1">
        <w:rPr>
          <w:rFonts w:ascii="Verdana" w:hAnsi="Verdana"/>
          <w:i/>
          <w:iCs/>
          <w:sz w:val="16"/>
          <w:szCs w:val="16"/>
        </w:rPr>
        <w:t>Caso Poblete Vilches y otros Vs. Chile. Fondo, Reparaciones y Costas</w:t>
      </w:r>
      <w:r w:rsidRPr="008E16F1">
        <w:rPr>
          <w:rFonts w:ascii="Verdana" w:hAnsi="Verdana"/>
          <w:sz w:val="16"/>
          <w:szCs w:val="16"/>
        </w:rPr>
        <w:t>. Sentencia de 8 de marzo de 2018. Serie C No. 349. Voto concurrente del Juez Humberto Antonio Sierra Porto.</w:t>
      </w:r>
    </w:p>
  </w:footnote>
  <w:footnote w:id="20">
    <w:p w14:paraId="6F40221B" w14:textId="2195B486"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C6455" w:rsidRPr="008E16F1">
        <w:rPr>
          <w:rFonts w:ascii="Verdana" w:hAnsi="Verdana"/>
          <w:i/>
          <w:iCs/>
          <w:sz w:val="16"/>
          <w:szCs w:val="16"/>
        </w:rPr>
        <w:t>Cfr</w:t>
      </w:r>
      <w:r w:rsidR="007C6455" w:rsidRPr="008E16F1">
        <w:rPr>
          <w:rFonts w:ascii="Verdana" w:hAnsi="Verdana"/>
          <w:sz w:val="16"/>
          <w:szCs w:val="16"/>
        </w:rPr>
        <w:t xml:space="preserve">. </w:t>
      </w:r>
      <w:r w:rsidRPr="008E16F1">
        <w:rPr>
          <w:rFonts w:ascii="Verdana" w:hAnsi="Verdana"/>
          <w:i/>
          <w:iCs/>
          <w:sz w:val="16"/>
          <w:szCs w:val="16"/>
        </w:rPr>
        <w:t xml:space="preserve">Caso Cuscul Pivaral y otros Vs. Guatemala. Excepción Preliminar, Fondo, Reparaciones y Costas. </w:t>
      </w:r>
      <w:r w:rsidRPr="008E16F1">
        <w:rPr>
          <w:rFonts w:ascii="Verdana" w:hAnsi="Verdana"/>
          <w:sz w:val="16"/>
          <w:szCs w:val="16"/>
        </w:rPr>
        <w:t>Sentencia de 23 de agosto de 2018. Serie C No. 359. Voto concurrente del Juez Humberto Antonio Sierra Porto.</w:t>
      </w:r>
    </w:p>
  </w:footnote>
  <w:footnote w:id="21">
    <w:p w14:paraId="0A696B7C" w14:textId="771553D1" w:rsidR="00BD4F6D" w:rsidRPr="008E16F1" w:rsidRDefault="00BD4F6D" w:rsidP="008E16F1">
      <w:pPr>
        <w:pStyle w:val="Textonotapie"/>
        <w:spacing w:before="40" w:after="40"/>
        <w:jc w:val="both"/>
        <w:rPr>
          <w:rFonts w:ascii="Verdana" w:hAnsi="Verdana"/>
          <w:b/>
          <w:bCs/>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C6455" w:rsidRPr="008E16F1">
        <w:rPr>
          <w:rFonts w:ascii="Verdana" w:hAnsi="Verdana"/>
          <w:i/>
          <w:iCs/>
          <w:sz w:val="16"/>
          <w:szCs w:val="16"/>
        </w:rPr>
        <w:t>Cfr</w:t>
      </w:r>
      <w:r w:rsidR="007C6455" w:rsidRPr="008E16F1">
        <w:rPr>
          <w:rFonts w:ascii="Verdana" w:hAnsi="Verdana"/>
          <w:sz w:val="16"/>
          <w:szCs w:val="16"/>
        </w:rPr>
        <w:t xml:space="preserve">. </w:t>
      </w:r>
      <w:r w:rsidRPr="008E16F1">
        <w:rPr>
          <w:rFonts w:ascii="Verdana" w:hAnsi="Verdana"/>
          <w:i/>
          <w:iCs/>
          <w:sz w:val="16"/>
          <w:szCs w:val="16"/>
        </w:rPr>
        <w:t>Caso de los Buzos Miskitos (Lemoth Morris y otros) Vs. Honduras</w:t>
      </w:r>
      <w:r w:rsidRPr="008E16F1">
        <w:rPr>
          <w:rFonts w:ascii="Verdana" w:hAnsi="Verdana"/>
          <w:sz w:val="16"/>
          <w:szCs w:val="16"/>
        </w:rPr>
        <w:t xml:space="preserve">. Sentencia de 31 de agosto de 2021. Serie C No. 432. Voto concurrente </w:t>
      </w:r>
      <w:r w:rsidRPr="008E16F1">
        <w:rPr>
          <w:rStyle w:val="Textoennegrita"/>
          <w:rFonts w:ascii="Verdana" w:hAnsi="Verdana"/>
          <w:b w:val="0"/>
          <w:bCs w:val="0"/>
          <w:sz w:val="16"/>
          <w:szCs w:val="16"/>
        </w:rPr>
        <w:t>del Juez Humberto Antonio Sierra Porto.</w:t>
      </w:r>
    </w:p>
  </w:footnote>
  <w:footnote w:id="22">
    <w:p w14:paraId="094D2953" w14:textId="175B406F" w:rsidR="00BD4F6D" w:rsidRPr="008E16F1" w:rsidRDefault="00BD4F6D"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C6455" w:rsidRPr="008E16F1">
        <w:rPr>
          <w:rFonts w:ascii="Verdana" w:hAnsi="Verdana"/>
          <w:i/>
          <w:iCs/>
          <w:sz w:val="16"/>
          <w:szCs w:val="16"/>
        </w:rPr>
        <w:t>Cfr</w:t>
      </w:r>
      <w:r w:rsidR="007C6455" w:rsidRPr="008E16F1">
        <w:rPr>
          <w:rFonts w:ascii="Verdana" w:hAnsi="Verdana"/>
          <w:sz w:val="16"/>
          <w:szCs w:val="16"/>
        </w:rPr>
        <w:t xml:space="preserve">. </w:t>
      </w:r>
      <w:r w:rsidRPr="008E16F1">
        <w:rPr>
          <w:rFonts w:ascii="Verdana" w:hAnsi="Verdana"/>
          <w:i/>
          <w:iCs/>
          <w:sz w:val="16"/>
          <w:szCs w:val="16"/>
        </w:rPr>
        <w:t>Caso Vera Rojas y otros vs. Chile. Excepciones preliminares, fondo, reparaciones y costas</w:t>
      </w:r>
      <w:r w:rsidRPr="008E16F1">
        <w:rPr>
          <w:rFonts w:ascii="Verdana" w:hAnsi="Verdana"/>
          <w:sz w:val="16"/>
          <w:szCs w:val="16"/>
        </w:rPr>
        <w:t xml:space="preserve">. Sentencia de 1 de septiembre de 2021. Serie C No. Voto concurrente </w:t>
      </w:r>
      <w:r w:rsidRPr="008E16F1">
        <w:rPr>
          <w:rStyle w:val="Textoennegrita"/>
          <w:rFonts w:ascii="Verdana" w:hAnsi="Verdana"/>
          <w:b w:val="0"/>
          <w:bCs w:val="0"/>
          <w:sz w:val="16"/>
          <w:szCs w:val="16"/>
        </w:rPr>
        <w:t>del Juez Humberto Antonio Sierra Porto.</w:t>
      </w:r>
    </w:p>
  </w:footnote>
  <w:footnote w:id="23">
    <w:p w14:paraId="70370E3F" w14:textId="703B20AE" w:rsidR="00BD4F6D" w:rsidRPr="008E16F1" w:rsidRDefault="00BD4F6D" w:rsidP="008E16F1">
      <w:pPr>
        <w:pStyle w:val="Textonotapie"/>
        <w:spacing w:before="40" w:after="40"/>
        <w:jc w:val="both"/>
        <w:rPr>
          <w:rFonts w:ascii="Verdana" w:hAnsi="Verdana"/>
          <w:b/>
          <w:bCs/>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C6455" w:rsidRPr="008E16F1">
        <w:rPr>
          <w:rFonts w:ascii="Verdana" w:hAnsi="Verdana"/>
          <w:i/>
          <w:iCs/>
          <w:sz w:val="16"/>
          <w:szCs w:val="16"/>
        </w:rPr>
        <w:t>Cfr</w:t>
      </w:r>
      <w:r w:rsidR="007C6455" w:rsidRPr="008E16F1">
        <w:rPr>
          <w:rFonts w:ascii="Verdana" w:hAnsi="Verdana"/>
          <w:sz w:val="16"/>
          <w:szCs w:val="16"/>
        </w:rPr>
        <w:t xml:space="preserve">. </w:t>
      </w:r>
      <w:r w:rsidRPr="008E16F1">
        <w:rPr>
          <w:rFonts w:ascii="Verdana" w:hAnsi="Verdana"/>
          <w:i/>
          <w:iCs/>
          <w:sz w:val="16"/>
          <w:szCs w:val="16"/>
        </w:rPr>
        <w:t xml:space="preserve">Caso Manuela y otros Vs. El Salvador. Excepciones preliminares, Fondo, Reparaciones y Costas. </w:t>
      </w:r>
      <w:r w:rsidRPr="008E16F1">
        <w:rPr>
          <w:rFonts w:ascii="Verdana" w:hAnsi="Verdana"/>
          <w:sz w:val="16"/>
          <w:szCs w:val="16"/>
        </w:rPr>
        <w:t xml:space="preserve">Sentencia de 2 de noviembre de 2021. Serie C No. 441. Voto concurrente </w:t>
      </w:r>
      <w:r w:rsidRPr="008E16F1">
        <w:rPr>
          <w:rStyle w:val="Textoennegrita"/>
          <w:rFonts w:ascii="Verdana" w:hAnsi="Verdana"/>
          <w:b w:val="0"/>
          <w:bCs w:val="0"/>
          <w:sz w:val="16"/>
          <w:szCs w:val="16"/>
        </w:rPr>
        <w:t>del Juez Humberto Antonio Sierra Porto.</w:t>
      </w:r>
    </w:p>
  </w:footnote>
  <w:footnote w:id="24">
    <w:p w14:paraId="0B2A7077" w14:textId="38C0AA3E" w:rsidR="00BD4F6D" w:rsidRPr="008E16F1" w:rsidRDefault="00BD4F6D" w:rsidP="008E16F1">
      <w:pPr>
        <w:pStyle w:val="Textonotapie"/>
        <w:spacing w:before="40" w:after="40"/>
        <w:jc w:val="both"/>
        <w:rPr>
          <w:rFonts w:ascii="Verdana" w:hAnsi="Verdana"/>
          <w:b/>
          <w:bCs/>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007C6455" w:rsidRPr="008E16F1">
        <w:rPr>
          <w:rFonts w:ascii="Verdana" w:hAnsi="Verdana"/>
          <w:i/>
          <w:iCs/>
          <w:sz w:val="16"/>
          <w:szCs w:val="16"/>
        </w:rPr>
        <w:t>Cfr</w:t>
      </w:r>
      <w:r w:rsidR="007C6455" w:rsidRPr="008E16F1">
        <w:rPr>
          <w:rFonts w:ascii="Verdana" w:hAnsi="Verdana"/>
          <w:sz w:val="16"/>
          <w:szCs w:val="16"/>
        </w:rPr>
        <w:t xml:space="preserve">. </w:t>
      </w:r>
      <w:r w:rsidRPr="008E16F1">
        <w:rPr>
          <w:rFonts w:ascii="Verdana" w:hAnsi="Verdana"/>
          <w:i/>
          <w:iCs/>
          <w:sz w:val="16"/>
          <w:szCs w:val="16"/>
        </w:rPr>
        <w:t>Caso Extrabajadores del Organismo Judicial Vs. Guatemala. Excepciones Preliminares, Fondo y Reparaciones.</w:t>
      </w:r>
      <w:r w:rsidRPr="008E16F1">
        <w:rPr>
          <w:rFonts w:ascii="Verdana" w:hAnsi="Verdana"/>
          <w:sz w:val="16"/>
          <w:szCs w:val="16"/>
        </w:rPr>
        <w:t xml:space="preserve"> Sentencia de 17 de noviembre de 2021. Serie C No. 445. Voto concurrente </w:t>
      </w:r>
      <w:r w:rsidRPr="008E16F1">
        <w:rPr>
          <w:rStyle w:val="Textoennegrita"/>
          <w:rFonts w:ascii="Verdana" w:hAnsi="Verdana"/>
          <w:b w:val="0"/>
          <w:bCs w:val="0"/>
          <w:sz w:val="16"/>
          <w:szCs w:val="16"/>
        </w:rPr>
        <w:t>del Juez Humberto Antonio Sierra Porto.</w:t>
      </w:r>
    </w:p>
  </w:footnote>
  <w:footnote w:id="25">
    <w:p w14:paraId="76293628" w14:textId="106BD57D"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lang w:val="es-ES_tradnl"/>
        </w:rPr>
        <w:tab/>
      </w:r>
      <w:r w:rsidR="007C6455" w:rsidRPr="008E16F1">
        <w:rPr>
          <w:rFonts w:ascii="Verdana" w:hAnsi="Verdana"/>
          <w:i/>
          <w:iCs/>
          <w:sz w:val="16"/>
          <w:szCs w:val="16"/>
          <w:lang w:val="es-ES_tradnl"/>
        </w:rPr>
        <w:t>Cfr</w:t>
      </w:r>
      <w:r w:rsidR="007C6455" w:rsidRPr="008E16F1">
        <w:rPr>
          <w:rFonts w:ascii="Verdana" w:hAnsi="Verdana"/>
          <w:sz w:val="16"/>
          <w:szCs w:val="16"/>
          <w:lang w:val="es-ES_tradnl"/>
        </w:rPr>
        <w:t xml:space="preserve">. </w:t>
      </w:r>
      <w:r w:rsidRPr="008E16F1">
        <w:rPr>
          <w:rFonts w:ascii="Verdana" w:hAnsi="Verdana"/>
          <w:i/>
          <w:iCs/>
          <w:sz w:val="16"/>
          <w:szCs w:val="16"/>
          <w:lang w:val="es-ES_tradnl"/>
        </w:rPr>
        <w:t>Caso Palacio Urrutia y otros Vs. Ecuador. Fondo, Reparaciones y Costas</w:t>
      </w:r>
      <w:r w:rsidRPr="008E16F1">
        <w:rPr>
          <w:rFonts w:ascii="Verdana" w:hAnsi="Verdana"/>
          <w:sz w:val="16"/>
          <w:szCs w:val="16"/>
          <w:lang w:val="es-ES_tradnl"/>
        </w:rPr>
        <w:t xml:space="preserve">. Sentencia de 24 de noviembre de 2021. Serie C No. 446. </w:t>
      </w:r>
      <w:r w:rsidRPr="008E16F1">
        <w:rPr>
          <w:rFonts w:ascii="Verdana" w:hAnsi="Verdana"/>
          <w:sz w:val="16"/>
          <w:szCs w:val="16"/>
        </w:rPr>
        <w:t>Voto concurrente del Juez Humberto Antonio Sierra Porto.</w:t>
      </w:r>
    </w:p>
  </w:footnote>
  <w:footnote w:id="26">
    <w:p w14:paraId="260F8DD3" w14:textId="11B1929A"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lang w:val="pt-BR"/>
        </w:rPr>
        <w:t xml:space="preserve"> </w:t>
      </w:r>
      <w:r w:rsidRPr="008E16F1">
        <w:rPr>
          <w:rFonts w:ascii="Verdana" w:hAnsi="Verdana"/>
          <w:sz w:val="16"/>
          <w:szCs w:val="16"/>
          <w:lang w:val="pt-BR"/>
        </w:rPr>
        <w:tab/>
      </w:r>
      <w:r w:rsidR="007C6455" w:rsidRPr="008E16F1">
        <w:rPr>
          <w:rFonts w:ascii="Verdana" w:hAnsi="Verdana"/>
          <w:i/>
          <w:iCs/>
          <w:sz w:val="16"/>
          <w:szCs w:val="16"/>
          <w:lang w:val="pt-BR"/>
        </w:rPr>
        <w:t>Cfr</w:t>
      </w:r>
      <w:r w:rsidR="007C6455" w:rsidRPr="008E16F1">
        <w:rPr>
          <w:rFonts w:ascii="Verdana" w:hAnsi="Verdana"/>
          <w:sz w:val="16"/>
          <w:szCs w:val="16"/>
          <w:lang w:val="pt-BR"/>
        </w:rPr>
        <w:t xml:space="preserve">. </w:t>
      </w:r>
      <w:r w:rsidRPr="008E16F1">
        <w:rPr>
          <w:rFonts w:ascii="Verdana" w:hAnsi="Verdana"/>
          <w:i/>
          <w:iCs/>
          <w:sz w:val="16"/>
          <w:szCs w:val="16"/>
          <w:lang w:val="pt-BR"/>
        </w:rPr>
        <w:t xml:space="preserve">Caso </w:t>
      </w:r>
      <w:proofErr w:type="spellStart"/>
      <w:r w:rsidRPr="008E16F1">
        <w:rPr>
          <w:rFonts w:ascii="Verdana" w:hAnsi="Verdana"/>
          <w:i/>
          <w:iCs/>
          <w:sz w:val="16"/>
          <w:szCs w:val="16"/>
          <w:lang w:val="pt-BR"/>
        </w:rPr>
        <w:t>Pavez</w:t>
      </w:r>
      <w:proofErr w:type="spellEnd"/>
      <w:r w:rsidRPr="008E16F1">
        <w:rPr>
          <w:rFonts w:ascii="Verdana" w:hAnsi="Verdana"/>
          <w:i/>
          <w:iCs/>
          <w:sz w:val="16"/>
          <w:szCs w:val="16"/>
          <w:lang w:val="pt-BR"/>
        </w:rPr>
        <w:t xml:space="preserve"> </w:t>
      </w:r>
      <w:proofErr w:type="spellStart"/>
      <w:r w:rsidRPr="008E16F1">
        <w:rPr>
          <w:rFonts w:ascii="Verdana" w:hAnsi="Verdana"/>
          <w:i/>
          <w:iCs/>
          <w:sz w:val="16"/>
          <w:szCs w:val="16"/>
          <w:lang w:val="pt-BR"/>
        </w:rPr>
        <w:t>Pavez</w:t>
      </w:r>
      <w:proofErr w:type="spellEnd"/>
      <w:r w:rsidRPr="008E16F1">
        <w:rPr>
          <w:rFonts w:ascii="Verdana" w:hAnsi="Verdana"/>
          <w:i/>
          <w:iCs/>
          <w:sz w:val="16"/>
          <w:szCs w:val="16"/>
          <w:lang w:val="pt-BR"/>
        </w:rPr>
        <w:t xml:space="preserve"> Vs. </w:t>
      </w:r>
      <w:r w:rsidRPr="008E16F1">
        <w:rPr>
          <w:rFonts w:ascii="Verdana" w:hAnsi="Verdana"/>
          <w:i/>
          <w:iCs/>
          <w:sz w:val="16"/>
          <w:szCs w:val="16"/>
          <w:lang w:val="es-CR"/>
        </w:rPr>
        <w:t xml:space="preserve">Chile. </w:t>
      </w:r>
      <w:r w:rsidRPr="008E16F1">
        <w:rPr>
          <w:rFonts w:ascii="Verdana" w:hAnsi="Verdana"/>
          <w:i/>
          <w:iCs/>
          <w:sz w:val="16"/>
          <w:szCs w:val="16"/>
          <w:lang w:val="es-ES_tradnl"/>
        </w:rPr>
        <w:t>Fondo, Reparaciones y Costas</w:t>
      </w:r>
      <w:r w:rsidRPr="008E16F1">
        <w:rPr>
          <w:rFonts w:ascii="Verdana" w:hAnsi="Verdana"/>
          <w:sz w:val="16"/>
          <w:szCs w:val="16"/>
          <w:lang w:val="es-ES_tradnl"/>
        </w:rPr>
        <w:t xml:space="preserve">. Sentencia de 4 de febrero de 2022. Serie C No. 449. </w:t>
      </w:r>
      <w:r w:rsidRPr="008E16F1">
        <w:rPr>
          <w:rFonts w:ascii="Verdana" w:hAnsi="Verdana"/>
          <w:sz w:val="16"/>
          <w:szCs w:val="16"/>
        </w:rPr>
        <w:t>Voto concurrente del Juez Humberto Antonio Sierra Porto.</w:t>
      </w:r>
    </w:p>
  </w:footnote>
  <w:footnote w:id="27">
    <w:p w14:paraId="3DC0A3B4" w14:textId="77777777"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Pr="008E16F1">
        <w:rPr>
          <w:rFonts w:ascii="Verdana" w:hAnsi="Verdana"/>
          <w:i/>
          <w:iCs/>
          <w:sz w:val="16"/>
          <w:szCs w:val="16"/>
        </w:rPr>
        <w:t>Cfr.</w:t>
      </w:r>
      <w:r w:rsidRPr="008E16F1">
        <w:rPr>
          <w:rFonts w:ascii="Verdana" w:hAnsi="Verdana"/>
          <w:sz w:val="16"/>
          <w:szCs w:val="16"/>
        </w:rPr>
        <w:t xml:space="preserve"> </w:t>
      </w:r>
      <w:r w:rsidRPr="008E16F1">
        <w:rPr>
          <w:rFonts w:ascii="Verdana" w:hAnsi="Verdana"/>
          <w:i/>
          <w:iCs/>
          <w:sz w:val="16"/>
          <w:szCs w:val="16"/>
        </w:rPr>
        <w:t>Caso Muelle Flores Vs. Perú. Excepciones Preliminares, Fondo, Reparaciones y Costas</w:t>
      </w:r>
      <w:r w:rsidRPr="008E16F1">
        <w:rPr>
          <w:rFonts w:ascii="Verdana" w:hAnsi="Verdana"/>
          <w:sz w:val="16"/>
          <w:szCs w:val="16"/>
        </w:rPr>
        <w:t>. Sentencia de 6 de marzo de 2019. Serie C No. 375. Voto parcialmente disidente del Juez Humberto Antonio Sierra Porto.</w:t>
      </w:r>
    </w:p>
  </w:footnote>
  <w:footnote w:id="28">
    <w:p w14:paraId="2255183E" w14:textId="77777777" w:rsidR="00BD4F6D" w:rsidRPr="008E16F1" w:rsidRDefault="00BD4F6D"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Pr="008E16F1">
        <w:rPr>
          <w:rFonts w:ascii="Verdana" w:hAnsi="Verdana"/>
          <w:i/>
          <w:iCs/>
          <w:sz w:val="16"/>
          <w:szCs w:val="16"/>
        </w:rPr>
        <w:t>Cfr.</w:t>
      </w:r>
      <w:r w:rsidRPr="008E16F1">
        <w:rPr>
          <w:rFonts w:ascii="Verdana" w:hAnsi="Verdana"/>
          <w:sz w:val="16"/>
          <w:szCs w:val="16"/>
        </w:rPr>
        <w:t xml:space="preserve"> </w:t>
      </w:r>
      <w:r w:rsidRPr="008E16F1">
        <w:rPr>
          <w:rFonts w:ascii="Verdana" w:hAnsi="Verdana"/>
          <w:i/>
          <w:iCs/>
          <w:sz w:val="16"/>
          <w:szCs w:val="16"/>
        </w:rPr>
        <w:t>Caso Cuscul Pivaral y otros Vs. Guatemala. Excepción Preliminar, Fondo, Reparaciones y Costas</w:t>
      </w:r>
      <w:r w:rsidRPr="008E16F1">
        <w:rPr>
          <w:rFonts w:ascii="Verdana" w:hAnsi="Verdana"/>
          <w:sz w:val="16"/>
          <w:szCs w:val="16"/>
        </w:rPr>
        <w:t>. Sentencia de 23 de agosto de 2018. Serie C No. 359. Voto concurrente del Juez Humberto Antonio Sierra Porto.</w:t>
      </w:r>
    </w:p>
  </w:footnote>
  <w:footnote w:id="29">
    <w:p w14:paraId="358FD2EC" w14:textId="77777777" w:rsidR="00BD4F6D" w:rsidRPr="008E16F1" w:rsidRDefault="00BD4F6D" w:rsidP="008E16F1">
      <w:pPr>
        <w:pStyle w:val="Textonotapie"/>
        <w:spacing w:before="40" w:after="40"/>
        <w:jc w:val="both"/>
        <w:rPr>
          <w:rFonts w:ascii="Verdana" w:hAnsi="Verdana"/>
          <w:sz w:val="16"/>
          <w:szCs w:val="16"/>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Pr="008E16F1">
        <w:rPr>
          <w:rFonts w:ascii="Verdana" w:hAnsi="Verdana"/>
          <w:i/>
          <w:iCs/>
          <w:sz w:val="16"/>
          <w:szCs w:val="16"/>
        </w:rPr>
        <w:t>Cfr.</w:t>
      </w:r>
      <w:r w:rsidRPr="008E16F1">
        <w:rPr>
          <w:rFonts w:ascii="Verdana" w:hAnsi="Verdana"/>
          <w:sz w:val="16"/>
          <w:szCs w:val="16"/>
        </w:rPr>
        <w:t xml:space="preserve"> </w:t>
      </w:r>
      <w:r w:rsidRPr="008E16F1">
        <w:rPr>
          <w:rFonts w:ascii="Verdana" w:hAnsi="Verdana"/>
          <w:i/>
          <w:iCs/>
          <w:sz w:val="16"/>
          <w:szCs w:val="16"/>
        </w:rPr>
        <w:t>Caso Poblete Vilches y otros Vs. Chile. Fondo, Reparaciones y Costas</w:t>
      </w:r>
      <w:r w:rsidRPr="008E16F1">
        <w:rPr>
          <w:rFonts w:ascii="Verdana" w:hAnsi="Verdana"/>
          <w:sz w:val="16"/>
          <w:szCs w:val="16"/>
        </w:rPr>
        <w:t>. Sentencia de 8 de marzo de 2018. Serie C No. 349. Voto concurrente del Juez Humberto Antonio Sierra Porto.</w:t>
      </w:r>
    </w:p>
  </w:footnote>
  <w:footnote w:id="30">
    <w:p w14:paraId="699B7DC0" w14:textId="77777777" w:rsidR="00BD4F6D" w:rsidRPr="008E16F1" w:rsidRDefault="00BD4F6D" w:rsidP="008E16F1">
      <w:pPr>
        <w:pStyle w:val="Textonotapie"/>
        <w:spacing w:before="40" w:after="40"/>
        <w:jc w:val="both"/>
        <w:rPr>
          <w:rFonts w:ascii="Verdana" w:hAnsi="Verdana"/>
          <w:sz w:val="16"/>
          <w:szCs w:val="16"/>
          <w:lang w:val="es-ES_tradnl"/>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Pr="008E16F1">
        <w:rPr>
          <w:rFonts w:ascii="Verdana" w:hAnsi="Verdana"/>
          <w:i/>
          <w:iCs/>
          <w:sz w:val="16"/>
          <w:szCs w:val="16"/>
        </w:rPr>
        <w:t>Cfr.</w:t>
      </w:r>
      <w:r w:rsidRPr="008E16F1">
        <w:rPr>
          <w:rFonts w:ascii="Verdana" w:hAnsi="Verdana"/>
          <w:sz w:val="16"/>
          <w:szCs w:val="16"/>
        </w:rPr>
        <w:t xml:space="preserve"> </w:t>
      </w:r>
      <w:r w:rsidRPr="008E16F1">
        <w:rPr>
          <w:rFonts w:ascii="Verdana" w:hAnsi="Verdana"/>
          <w:i/>
          <w:iCs/>
          <w:sz w:val="16"/>
          <w:szCs w:val="16"/>
        </w:rPr>
        <w:t>Caso Trabajadores Cesados de Petroperú y otros Vs. Perú</w:t>
      </w:r>
      <w:r w:rsidRPr="008E16F1">
        <w:rPr>
          <w:rFonts w:ascii="Verdana" w:hAnsi="Verdana"/>
          <w:sz w:val="16"/>
          <w:szCs w:val="16"/>
        </w:rPr>
        <w:t>. Excepciones Preliminares, Fondo, Reparaciones y Costas. Sentencia de 23 de noviembre de 2017. Serie C No. 344. Voto parcialmente disidente del Juez Humberto Antonio Sierra Porto.</w:t>
      </w:r>
    </w:p>
  </w:footnote>
  <w:footnote w:id="31">
    <w:p w14:paraId="7012859B" w14:textId="55081461" w:rsidR="00F06413" w:rsidRPr="008E16F1" w:rsidRDefault="00F06413" w:rsidP="008E16F1">
      <w:pPr>
        <w:pStyle w:val="Textonotapie"/>
        <w:spacing w:before="40" w:after="40"/>
        <w:jc w:val="both"/>
        <w:rPr>
          <w:rFonts w:ascii="Verdana" w:hAnsi="Verdana"/>
          <w:sz w:val="16"/>
          <w:szCs w:val="16"/>
          <w:lang w:val="es-ES"/>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i/>
          <w:iCs/>
          <w:sz w:val="16"/>
          <w:szCs w:val="16"/>
          <w:lang w:val="es-ES"/>
        </w:rPr>
        <w:tab/>
        <w:t>Cfr.</w:t>
      </w:r>
      <w:r w:rsidRPr="008E16F1">
        <w:rPr>
          <w:rFonts w:ascii="Verdana" w:hAnsi="Verdana"/>
          <w:sz w:val="16"/>
          <w:szCs w:val="16"/>
          <w:lang w:val="es-ES"/>
        </w:rPr>
        <w:t xml:space="preserve"> Asamblea General de </w:t>
      </w:r>
      <w:proofErr w:type="spellStart"/>
      <w:r w:rsidRPr="008E16F1">
        <w:rPr>
          <w:rFonts w:ascii="Verdana" w:hAnsi="Verdana"/>
          <w:sz w:val="16"/>
          <w:szCs w:val="16"/>
          <w:lang w:val="es-ES"/>
        </w:rPr>
        <w:t>lasc</w:t>
      </w:r>
      <w:proofErr w:type="spellEnd"/>
      <w:r w:rsidRPr="008E16F1">
        <w:rPr>
          <w:rFonts w:ascii="Verdana" w:hAnsi="Verdana"/>
          <w:sz w:val="16"/>
          <w:szCs w:val="16"/>
          <w:lang w:val="es-ES"/>
        </w:rPr>
        <w:t xml:space="preserve"> Naciones Unidas. </w:t>
      </w:r>
      <w:r w:rsidRPr="008E16F1">
        <w:rPr>
          <w:rFonts w:ascii="Verdana" w:hAnsi="Verdana"/>
          <w:i/>
          <w:sz w:val="16"/>
          <w:szCs w:val="16"/>
          <w:lang w:val="es-ES"/>
        </w:rPr>
        <w:t>Distintos criterios y medios posibles dentro del Sistema de las Naciones Unidas para mejorar el goce efectivo de los derechos humanos y las libertades fundamentales.</w:t>
      </w:r>
      <w:r w:rsidRPr="008E16F1">
        <w:rPr>
          <w:rFonts w:ascii="Verdana" w:hAnsi="Verdana"/>
          <w:sz w:val="16"/>
          <w:szCs w:val="16"/>
          <w:lang w:val="es-ES"/>
        </w:rPr>
        <w:t xml:space="preserve"> </w:t>
      </w:r>
      <w:r w:rsidRPr="008E16F1">
        <w:rPr>
          <w:rFonts w:ascii="Verdana" w:hAnsi="Verdana"/>
          <w:sz w:val="16"/>
          <w:szCs w:val="16"/>
        </w:rPr>
        <w:t>Resolución 32/130 de 16 de diciembre de 1977.</w:t>
      </w:r>
    </w:p>
  </w:footnote>
  <w:footnote w:id="32">
    <w:p w14:paraId="119C7CD4" w14:textId="5EB94FCF" w:rsidR="00F06413" w:rsidRPr="008E16F1" w:rsidRDefault="00F06413" w:rsidP="008E16F1">
      <w:pPr>
        <w:spacing w:before="40" w:after="40"/>
        <w:jc w:val="both"/>
        <w:rPr>
          <w:rFonts w:ascii="Verdana" w:hAnsi="Verdana"/>
          <w:color w:val="000000"/>
          <w:sz w:val="16"/>
          <w:szCs w:val="16"/>
          <w:shd w:val="clear" w:color="auto" w:fill="FFFFFF"/>
        </w:rPr>
      </w:pPr>
      <w:r w:rsidRPr="008E16F1">
        <w:rPr>
          <w:rStyle w:val="Refdenotaalpie"/>
          <w:rFonts w:ascii="Verdana" w:hAnsi="Verdana"/>
          <w:sz w:val="16"/>
          <w:szCs w:val="16"/>
        </w:rPr>
        <w:footnoteRef/>
      </w:r>
      <w:r w:rsidRPr="008E16F1">
        <w:rPr>
          <w:rFonts w:ascii="Verdana" w:hAnsi="Verdana"/>
          <w:sz w:val="16"/>
          <w:szCs w:val="16"/>
        </w:rPr>
        <w:t xml:space="preserve"> </w:t>
      </w:r>
      <w:r w:rsidRPr="008E16F1">
        <w:rPr>
          <w:rFonts w:ascii="Verdana" w:hAnsi="Verdana"/>
          <w:sz w:val="16"/>
          <w:szCs w:val="16"/>
        </w:rPr>
        <w:tab/>
      </w:r>
      <w:r w:rsidRPr="008E16F1">
        <w:rPr>
          <w:rFonts w:ascii="Verdana" w:hAnsi="Verdana"/>
          <w:i/>
          <w:sz w:val="16"/>
          <w:szCs w:val="16"/>
        </w:rPr>
        <w:t>Cfr.</w:t>
      </w:r>
      <w:r w:rsidRPr="008E16F1">
        <w:rPr>
          <w:rFonts w:ascii="Verdana" w:hAnsi="Verdana"/>
          <w:sz w:val="16"/>
          <w:szCs w:val="16"/>
        </w:rPr>
        <w:t xml:space="preserve"> </w:t>
      </w:r>
      <w:r w:rsidRPr="008E16F1">
        <w:rPr>
          <w:rStyle w:val="Textoennegrita"/>
          <w:rFonts w:ascii="Verdana" w:hAnsi="Verdana" w:cs="Verdana"/>
          <w:b w:val="0"/>
          <w:bCs w:val="0"/>
          <w:i/>
          <w:sz w:val="16"/>
          <w:szCs w:val="16"/>
        </w:rPr>
        <w:t>Caso Poblete Vilches y otros Vs. Chile. Fondo, Reparaciones y Costas</w:t>
      </w:r>
      <w:r w:rsidRPr="008E16F1">
        <w:rPr>
          <w:rStyle w:val="Textoennegrita"/>
          <w:rFonts w:ascii="Verdana" w:hAnsi="Verdana" w:cs="Verdana"/>
          <w:b w:val="0"/>
          <w:bCs w:val="0"/>
          <w:sz w:val="16"/>
          <w:szCs w:val="16"/>
        </w:rPr>
        <w:t xml:space="preserve">. Sentencia de 8 de marzo de 2018. Serie C No. 349. Voto Concurrente del Juez Humberto Antonio Sierra Porto, </w:t>
      </w:r>
      <w:r w:rsidR="00380B78" w:rsidRPr="008E16F1">
        <w:rPr>
          <w:rStyle w:val="Textoennegrita"/>
          <w:rFonts w:ascii="Verdana" w:hAnsi="Verdana" w:cs="Verdana"/>
          <w:b w:val="0"/>
          <w:bCs w:val="0"/>
          <w:sz w:val="16"/>
          <w:szCs w:val="16"/>
        </w:rPr>
        <w:t xml:space="preserve">y </w:t>
      </w:r>
      <w:r w:rsidR="00380B78" w:rsidRPr="008E16F1">
        <w:rPr>
          <w:rFonts w:ascii="Verdana" w:hAnsi="Verdana" w:cs="Verdana"/>
          <w:i/>
          <w:iCs/>
          <w:sz w:val="16"/>
          <w:szCs w:val="16"/>
        </w:rPr>
        <w:t>Caso Brítez Arce y otros Vs. Argentina. Fondo, Reparaciones y Costas.</w:t>
      </w:r>
      <w:r w:rsidR="00380B78" w:rsidRPr="008E16F1">
        <w:rPr>
          <w:rFonts w:ascii="Verdana" w:hAnsi="Verdana" w:cs="Verdana"/>
          <w:sz w:val="16"/>
          <w:szCs w:val="16"/>
        </w:rPr>
        <w:t xml:space="preserve"> Sentencia de 16 de noviembre de 2022. Serie C No. 474. Voto Parcialmente Disidente del Juez Humberto Antonio Sierra Porto.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A2F5E98"/>
    <w:multiLevelType w:val="hybridMultilevel"/>
    <w:tmpl w:val="D5DE6144"/>
    <w:lvl w:ilvl="0" w:tplc="02189AA0">
      <w:start w:val="1"/>
      <w:numFmt w:val="decimal"/>
      <w:lvlText w:val="%1."/>
      <w:lvlJc w:val="left"/>
      <w:pPr>
        <w:ind w:left="2061" w:hanging="360"/>
      </w:pPr>
      <w:rPr>
        <w:rFonts w:cs="Times New Roman"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C366D43"/>
    <w:multiLevelType w:val="hybridMultilevel"/>
    <w:tmpl w:val="D1BE0240"/>
    <w:lvl w:ilvl="0" w:tplc="E84A0D6E">
      <w:start w:val="1"/>
      <w:numFmt w:val="upperRoman"/>
      <w:pStyle w:val="Ttulo"/>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EBD5D3D"/>
    <w:multiLevelType w:val="hybridMultilevel"/>
    <w:tmpl w:val="B044B64C"/>
    <w:lvl w:ilvl="0" w:tplc="6FAC72E6">
      <w:start w:val="1"/>
      <w:numFmt w:val="decimal"/>
      <w:lvlText w:val="%1."/>
      <w:lvlJc w:val="left"/>
      <w:pPr>
        <w:ind w:left="720" w:hanging="360"/>
      </w:pPr>
      <w:rPr>
        <w:rFonts w:ascii="Verdana" w:hAnsi="Verdana" w:hint="default"/>
        <w:b w:val="0"/>
        <w:i w:val="0"/>
        <w:iCs w:val="0"/>
        <w:strike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308902790">
    <w:abstractNumId w:val="1"/>
  </w:num>
  <w:num w:numId="2" w16cid:durableId="1288196169">
    <w:abstractNumId w:val="2"/>
  </w:num>
  <w:num w:numId="3" w16cid:durableId="871847460">
    <w:abstractNumId w:val="3"/>
  </w:num>
  <w:num w:numId="4" w16cid:durableId="188213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6D"/>
    <w:rsid w:val="00010482"/>
    <w:rsid w:val="00065B2E"/>
    <w:rsid w:val="000731E1"/>
    <w:rsid w:val="000C2579"/>
    <w:rsid w:val="000D0177"/>
    <w:rsid w:val="000F2A34"/>
    <w:rsid w:val="00124D7D"/>
    <w:rsid w:val="002115A7"/>
    <w:rsid w:val="00275ED5"/>
    <w:rsid w:val="002F5503"/>
    <w:rsid w:val="00317E59"/>
    <w:rsid w:val="00330F8D"/>
    <w:rsid w:val="00336915"/>
    <w:rsid w:val="00337D7F"/>
    <w:rsid w:val="00380B78"/>
    <w:rsid w:val="004260C3"/>
    <w:rsid w:val="00487535"/>
    <w:rsid w:val="004B677E"/>
    <w:rsid w:val="005037E4"/>
    <w:rsid w:val="00506060"/>
    <w:rsid w:val="0055233B"/>
    <w:rsid w:val="005B629B"/>
    <w:rsid w:val="005E4778"/>
    <w:rsid w:val="00645052"/>
    <w:rsid w:val="00671A09"/>
    <w:rsid w:val="006729BA"/>
    <w:rsid w:val="00673BBC"/>
    <w:rsid w:val="00692330"/>
    <w:rsid w:val="00720621"/>
    <w:rsid w:val="007508E2"/>
    <w:rsid w:val="00760324"/>
    <w:rsid w:val="007B2C37"/>
    <w:rsid w:val="007C6455"/>
    <w:rsid w:val="00807E75"/>
    <w:rsid w:val="008700E9"/>
    <w:rsid w:val="00884056"/>
    <w:rsid w:val="008C7948"/>
    <w:rsid w:val="008E16F1"/>
    <w:rsid w:val="00920861"/>
    <w:rsid w:val="00A152A0"/>
    <w:rsid w:val="00A22AD2"/>
    <w:rsid w:val="00A557A6"/>
    <w:rsid w:val="00A75BEE"/>
    <w:rsid w:val="00AB409C"/>
    <w:rsid w:val="00AE10FB"/>
    <w:rsid w:val="00B05283"/>
    <w:rsid w:val="00B70DC2"/>
    <w:rsid w:val="00B839D4"/>
    <w:rsid w:val="00BB7681"/>
    <w:rsid w:val="00BD4F6D"/>
    <w:rsid w:val="00BE567A"/>
    <w:rsid w:val="00C11EC0"/>
    <w:rsid w:val="00C1768C"/>
    <w:rsid w:val="00C23CAA"/>
    <w:rsid w:val="00C372D7"/>
    <w:rsid w:val="00CB3195"/>
    <w:rsid w:val="00D656D5"/>
    <w:rsid w:val="00D835E2"/>
    <w:rsid w:val="00DD244F"/>
    <w:rsid w:val="00DD5EAB"/>
    <w:rsid w:val="00E12D1F"/>
    <w:rsid w:val="00E35453"/>
    <w:rsid w:val="00EA201D"/>
    <w:rsid w:val="00EB48FB"/>
    <w:rsid w:val="00EE1F8A"/>
    <w:rsid w:val="00F048CF"/>
    <w:rsid w:val="00F06413"/>
    <w:rsid w:val="00F2366E"/>
    <w:rsid w:val="00F73747"/>
    <w:rsid w:val="00F772DB"/>
    <w:rsid w:val="00F806CB"/>
    <w:rsid w:val="00FA4930"/>
    <w:rsid w:val="00FD009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D251"/>
  <w15:chartTrackingRefBased/>
  <w15:docId w15:val="{C84527FC-ADE4-4AC5-A165-5DF2995F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6D"/>
    <w:pPr>
      <w:spacing w:after="0" w:line="240" w:lineRule="auto"/>
    </w:pPr>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 Accent 11,Lista vistosa - Énfasis 11,Footnote,List Paragraph1,Párrafo de lista1,List Paragraph2,Subtle Emphasis1,Footnote1"/>
    <w:basedOn w:val="Normal"/>
    <w:link w:val="PrrafodelistaCar"/>
    <w:uiPriority w:val="34"/>
    <w:qFormat/>
    <w:rsid w:val="00BD4F6D"/>
    <w:pPr>
      <w:spacing w:after="160" w:line="259" w:lineRule="auto"/>
      <w:ind w:left="720"/>
      <w:contextualSpacing/>
    </w:pPr>
    <w:rPr>
      <w:sz w:val="22"/>
      <w:szCs w:val="22"/>
    </w:rPr>
  </w:style>
  <w:style w:type="character" w:customStyle="1" w:styleId="PrrafodelistaCar">
    <w:name w:val="Párrafo de lista Car"/>
    <w:aliases w:val="Colorful List - Accent 11 Car,Lista vistosa - Énfasis 11 Car,Footnote Car,List Paragraph1 Car,Párrafo de lista1 Car,List Paragraph2 Car,Subtle Emphasis1 Car,Footnote1 Car"/>
    <w:basedOn w:val="Fuentedeprrafopredeter"/>
    <w:link w:val="Prrafodelista"/>
    <w:locked/>
    <w:rsid w:val="00BD4F6D"/>
    <w:rPr>
      <w:lang w:val="es-CO"/>
    </w:rPr>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FA Fu?notente,C,ft"/>
    <w:basedOn w:val="Normal"/>
    <w:link w:val="TextonotapieCar"/>
    <w:unhideWhenUsed/>
    <w:qFormat/>
    <w:rsid w:val="00BD4F6D"/>
    <w:rPr>
      <w:sz w:val="20"/>
      <w:szCs w:val="20"/>
    </w:rPr>
  </w:style>
  <w:style w:type="character" w:customStyle="1" w:styleId="TextonotapieCar">
    <w:name w:val="Texto nota pie Car"/>
    <w:aliases w:val="FA Fu Car1,Footnote Text Char Char Char Char Char Car,Footnote Text Char Char Char Char Car,Footnote reference Car,Footnote Text Char Char Char Car,FA Fu Car Car1,FA Fu Car Car Car,Footnote Text Cha Car,FA Fußnotentext Car,Ca Car"/>
    <w:basedOn w:val="Fuentedeprrafopredeter"/>
    <w:link w:val="Textonotapie"/>
    <w:qFormat/>
    <w:rsid w:val="00BD4F6D"/>
    <w:rPr>
      <w:sz w:val="20"/>
      <w:szCs w:val="20"/>
      <w:lang w:val="es-CO"/>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unhideWhenUsed/>
    <w:qFormat/>
    <w:rsid w:val="00BD4F6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D4F6D"/>
    <w:pPr>
      <w:jc w:val="both"/>
    </w:pPr>
    <w:rPr>
      <w:sz w:val="22"/>
      <w:szCs w:val="22"/>
      <w:vertAlign w:val="superscript"/>
      <w:lang w:val="es-CR"/>
    </w:rPr>
  </w:style>
  <w:style w:type="character" w:styleId="Textoennegrita">
    <w:name w:val="Strong"/>
    <w:aliases w:val="Heading 2.1"/>
    <w:basedOn w:val="Fuentedeprrafopredeter"/>
    <w:uiPriority w:val="22"/>
    <w:qFormat/>
    <w:rsid w:val="00BD4F6D"/>
    <w:rPr>
      <w:b/>
      <w:bCs/>
    </w:rPr>
  </w:style>
  <w:style w:type="paragraph" w:styleId="Ttulo">
    <w:name w:val="Title"/>
    <w:basedOn w:val="Normal"/>
    <w:link w:val="TtuloCar"/>
    <w:qFormat/>
    <w:rsid w:val="00A152A0"/>
    <w:pPr>
      <w:numPr>
        <w:numId w:val="2"/>
      </w:numPr>
      <w:jc w:val="both"/>
    </w:pPr>
    <w:rPr>
      <w:rFonts w:ascii="Verdana" w:eastAsia="Times New Roman" w:hAnsi="Verdana" w:cs="Times New Roman"/>
      <w:b/>
      <w:sz w:val="20"/>
      <w:szCs w:val="20"/>
      <w:lang w:val="es-ES_tradnl" w:eastAsia="es-ES" w:bidi="en-US"/>
    </w:rPr>
  </w:style>
  <w:style w:type="character" w:customStyle="1" w:styleId="TtuloCar">
    <w:name w:val="Título Car"/>
    <w:basedOn w:val="Fuentedeprrafopredeter"/>
    <w:link w:val="Ttulo"/>
    <w:rsid w:val="00A152A0"/>
    <w:rPr>
      <w:rFonts w:ascii="Verdana" w:eastAsia="Times New Roman" w:hAnsi="Verdana" w:cs="Times New Roman"/>
      <w:b/>
      <w:sz w:val="20"/>
      <w:szCs w:val="20"/>
      <w:lang w:val="es-ES_tradnl" w:eastAsia="es-ES" w:bidi="en-US"/>
    </w:rPr>
  </w:style>
  <w:style w:type="paragraph" w:customStyle="1" w:styleId="PrrafodeSentencia">
    <w:name w:val="*. Párrafo de Sentencia"/>
    <w:basedOn w:val="Normal"/>
    <w:next w:val="Normal"/>
    <w:link w:val="PrrafodeSentenciaChar"/>
    <w:qFormat/>
    <w:rsid w:val="00760324"/>
    <w:pPr>
      <w:numPr>
        <w:numId w:val="4"/>
      </w:numPr>
      <w:tabs>
        <w:tab w:val="left" w:pos="567"/>
      </w:tabs>
      <w:jc w:val="both"/>
    </w:pPr>
    <w:rPr>
      <w:rFonts w:ascii="Verdana" w:eastAsia="Batang" w:hAnsi="Verdana"/>
      <w:spacing w:val="-4"/>
      <w:sz w:val="20"/>
      <w:szCs w:val="22"/>
      <w:lang w:val="es-CR" w:eastAsia="es-MX"/>
    </w:rPr>
  </w:style>
  <w:style w:type="character" w:customStyle="1" w:styleId="PrrafodeSentenciaChar">
    <w:name w:val="*. Párrafo de Sentencia Char"/>
    <w:link w:val="PrrafodeSentencia"/>
    <w:locked/>
    <w:rsid w:val="00760324"/>
    <w:rPr>
      <w:rFonts w:ascii="Verdana" w:eastAsia="Batang" w:hAnsi="Verdana"/>
      <w:spacing w:val="-4"/>
      <w:sz w:val="20"/>
      <w:lang w:eastAsia="es-MX"/>
    </w:rPr>
  </w:style>
  <w:style w:type="paragraph" w:styleId="Revisin">
    <w:name w:val="Revision"/>
    <w:hidden/>
    <w:uiPriority w:val="99"/>
    <w:semiHidden/>
    <w:rsid w:val="002F5503"/>
    <w:pPr>
      <w:spacing w:after="0" w:line="240" w:lineRule="auto"/>
    </w:pPr>
    <w:rPr>
      <w:sz w:val="24"/>
      <w:szCs w:val="24"/>
      <w:lang w:val="es-CO"/>
    </w:rPr>
  </w:style>
  <w:style w:type="character" w:styleId="Refdecomentario">
    <w:name w:val="annotation reference"/>
    <w:basedOn w:val="Fuentedeprrafopredeter"/>
    <w:uiPriority w:val="99"/>
    <w:semiHidden/>
    <w:unhideWhenUsed/>
    <w:rsid w:val="00F064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02F5-7511-45F6-8ED1-9D4A2A0B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cp:lastPrinted>2023-04-18T06:11:00Z</cp:lastPrinted>
  <dcterms:created xsi:type="dcterms:W3CDTF">2023-11-21T21:21:00Z</dcterms:created>
  <dcterms:modified xsi:type="dcterms:W3CDTF">2023-11-21T21:21:00Z</dcterms:modified>
</cp:coreProperties>
</file>