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BBB24" w14:textId="77777777" w:rsidR="00DC265D" w:rsidRDefault="00DC265D" w:rsidP="00D1286C">
      <w:pPr>
        <w:pStyle w:val="Title"/>
        <w:ind w:right="-138"/>
        <w:rPr>
          <w:rFonts w:eastAsia="MS Mincho"/>
          <w:noProof w:val="0"/>
          <w:lang w:val="en-US"/>
        </w:rPr>
      </w:pPr>
    </w:p>
    <w:p w14:paraId="556711D1" w14:textId="77777777" w:rsidR="00DC265D" w:rsidRDefault="00DC265D" w:rsidP="00D1286C">
      <w:pPr>
        <w:pStyle w:val="Title"/>
        <w:ind w:right="-138"/>
        <w:rPr>
          <w:rFonts w:eastAsia="MS Mincho"/>
          <w:noProof w:val="0"/>
          <w:lang w:val="en-US"/>
        </w:rPr>
      </w:pPr>
    </w:p>
    <w:p w14:paraId="6E23728A" w14:textId="77777777" w:rsidR="00DC265D" w:rsidRDefault="00DC265D" w:rsidP="00D1286C">
      <w:pPr>
        <w:pStyle w:val="Title"/>
        <w:ind w:right="-138"/>
        <w:rPr>
          <w:rFonts w:eastAsia="MS Mincho"/>
          <w:noProof w:val="0"/>
          <w:lang w:val="en-US"/>
        </w:rPr>
      </w:pPr>
    </w:p>
    <w:p w14:paraId="60EDFC63" w14:textId="77777777" w:rsidR="00DC265D" w:rsidRDefault="00DC265D" w:rsidP="00D1286C">
      <w:pPr>
        <w:pStyle w:val="Title"/>
        <w:ind w:right="-138"/>
        <w:rPr>
          <w:rFonts w:eastAsia="MS Mincho"/>
          <w:noProof w:val="0"/>
          <w:lang w:val="en-US"/>
        </w:rPr>
      </w:pPr>
    </w:p>
    <w:p w14:paraId="24F83D28" w14:textId="77777777" w:rsidR="00DC265D" w:rsidRDefault="00DC265D" w:rsidP="00D1286C">
      <w:pPr>
        <w:pStyle w:val="Title"/>
        <w:ind w:right="-138"/>
        <w:rPr>
          <w:rFonts w:eastAsia="MS Mincho"/>
          <w:noProof w:val="0"/>
          <w:lang w:val="en-US"/>
        </w:rPr>
      </w:pPr>
    </w:p>
    <w:p w14:paraId="624EDD2E" w14:textId="77777777" w:rsidR="00DC265D" w:rsidRDefault="00DC265D" w:rsidP="00D1286C">
      <w:pPr>
        <w:pStyle w:val="Title"/>
        <w:ind w:right="-138"/>
        <w:rPr>
          <w:rFonts w:eastAsia="MS Mincho"/>
          <w:noProof w:val="0"/>
          <w:lang w:val="en-US"/>
        </w:rPr>
      </w:pPr>
    </w:p>
    <w:p w14:paraId="068809A7" w14:textId="77777777" w:rsidR="00DC265D" w:rsidRDefault="00DC265D" w:rsidP="00D1286C">
      <w:pPr>
        <w:pStyle w:val="Title"/>
        <w:ind w:right="-138"/>
        <w:rPr>
          <w:rFonts w:eastAsia="MS Mincho"/>
          <w:noProof w:val="0"/>
          <w:lang w:val="en-US"/>
        </w:rPr>
      </w:pPr>
    </w:p>
    <w:p w14:paraId="35F8CE40" w14:textId="77777777" w:rsidR="00D1286C" w:rsidRDefault="009C7232" w:rsidP="00D1286C">
      <w:pPr>
        <w:pStyle w:val="Title"/>
        <w:ind w:right="-138"/>
        <w:rPr>
          <w:rFonts w:eastAsia="MS Mincho"/>
          <w:noProof w:val="0"/>
          <w:lang w:val="en-US"/>
        </w:rPr>
      </w:pPr>
      <w:r w:rsidRPr="0031391B">
        <w:rPr>
          <w:rFonts w:eastAsia="MS Mincho"/>
          <w:noProof w:val="0"/>
          <w:lang w:val="en-US"/>
        </w:rPr>
        <w:t>JOINT CONCURRING OPINION OF JUDGES</w:t>
      </w:r>
    </w:p>
    <w:p w14:paraId="381E7C3D" w14:textId="77777777" w:rsidR="00DC265D" w:rsidRPr="0031391B" w:rsidRDefault="00DC265D" w:rsidP="00D1286C">
      <w:pPr>
        <w:pStyle w:val="Title"/>
        <w:ind w:right="-138"/>
        <w:rPr>
          <w:rFonts w:eastAsia="MS Mincho"/>
          <w:noProof w:val="0"/>
          <w:lang w:val="en-US"/>
        </w:rPr>
      </w:pPr>
    </w:p>
    <w:p w14:paraId="35F8CE42" w14:textId="77777777" w:rsidR="00133520" w:rsidRPr="00DC265D" w:rsidRDefault="009C7232" w:rsidP="004522A9">
      <w:pPr>
        <w:pStyle w:val="Title"/>
        <w:ind w:right="-138"/>
        <w:rPr>
          <w:rFonts w:eastAsia="MS Mincho"/>
          <w:noProof w:val="0"/>
          <w:lang w:val="en-US"/>
        </w:rPr>
      </w:pPr>
      <w:r w:rsidRPr="00DC265D">
        <w:rPr>
          <w:rFonts w:eastAsia="MS Mincho"/>
          <w:noProof w:val="0"/>
          <w:lang w:val="en-US"/>
        </w:rPr>
        <w:t>HUMBERTO ANTONIO SIERRA PORTO AND</w:t>
      </w:r>
      <w:r w:rsidR="00D1286C" w:rsidRPr="00DC265D">
        <w:rPr>
          <w:rFonts w:eastAsia="MS Mincho"/>
          <w:noProof w:val="0"/>
          <w:lang w:val="en-US"/>
        </w:rPr>
        <w:t xml:space="preserve"> </w:t>
      </w:r>
    </w:p>
    <w:p w14:paraId="35F8CE43" w14:textId="77777777" w:rsidR="00133520" w:rsidRPr="00DC265D" w:rsidRDefault="00133520" w:rsidP="004522A9">
      <w:pPr>
        <w:pStyle w:val="Title"/>
        <w:ind w:right="-138"/>
        <w:rPr>
          <w:rFonts w:eastAsia="MS Mincho"/>
          <w:noProof w:val="0"/>
          <w:lang w:val="en-US"/>
        </w:rPr>
      </w:pPr>
    </w:p>
    <w:p w14:paraId="35F8CE44" w14:textId="77777777" w:rsidR="00D1286C" w:rsidRPr="00717E39" w:rsidRDefault="00D1286C" w:rsidP="004522A9">
      <w:pPr>
        <w:pStyle w:val="Title"/>
        <w:ind w:right="-138"/>
        <w:rPr>
          <w:rFonts w:eastAsia="MS Mincho"/>
          <w:noProof w:val="0"/>
          <w:lang w:val="en-US"/>
        </w:rPr>
      </w:pPr>
      <w:r w:rsidRPr="00717E39">
        <w:rPr>
          <w:rFonts w:eastAsia="MS Mincho"/>
          <w:noProof w:val="0"/>
          <w:lang w:val="en-US"/>
        </w:rPr>
        <w:t>EDUARDO FERRER MAC-GREGOR POISOT</w:t>
      </w:r>
    </w:p>
    <w:p w14:paraId="35F8CE45" w14:textId="77777777" w:rsidR="00D1286C" w:rsidRPr="00717E39" w:rsidRDefault="00D1286C" w:rsidP="00D1286C">
      <w:pPr>
        <w:pStyle w:val="Title"/>
        <w:ind w:left="-142" w:right="-138"/>
        <w:rPr>
          <w:rFonts w:eastAsia="MS Mincho"/>
          <w:noProof w:val="0"/>
          <w:lang w:val="en-US"/>
        </w:rPr>
      </w:pPr>
    </w:p>
    <w:p w14:paraId="35F8CE46" w14:textId="77777777" w:rsidR="000C0B25" w:rsidRPr="0031391B" w:rsidRDefault="000C0B25" w:rsidP="000C0B25">
      <w:pPr>
        <w:jc w:val="center"/>
        <w:rPr>
          <w:b/>
          <w:szCs w:val="20"/>
          <w:u w:val="single"/>
          <w:lang w:val="en-US"/>
        </w:rPr>
      </w:pPr>
      <w:r w:rsidRPr="0031391B">
        <w:rPr>
          <w:b/>
          <w:szCs w:val="20"/>
          <w:u w:val="single"/>
          <w:lang w:val="en-US"/>
        </w:rPr>
        <w:t>CAS</w:t>
      </w:r>
      <w:r w:rsidR="009C7232" w:rsidRPr="0031391B">
        <w:rPr>
          <w:b/>
          <w:szCs w:val="20"/>
          <w:u w:val="single"/>
          <w:lang w:val="en-US"/>
        </w:rPr>
        <w:t xml:space="preserve">E OF THE </w:t>
      </w:r>
      <w:r w:rsidRPr="0031391B">
        <w:rPr>
          <w:b/>
          <w:szCs w:val="20"/>
          <w:u w:val="single"/>
          <w:lang w:val="en-US"/>
        </w:rPr>
        <w:t xml:space="preserve">KALIÑA </w:t>
      </w:r>
      <w:r w:rsidR="009C7232" w:rsidRPr="0031391B">
        <w:rPr>
          <w:b/>
          <w:szCs w:val="20"/>
          <w:u w:val="single"/>
          <w:lang w:val="en-US"/>
        </w:rPr>
        <w:t>AND</w:t>
      </w:r>
      <w:r w:rsidRPr="0031391B">
        <w:rPr>
          <w:b/>
          <w:szCs w:val="20"/>
          <w:u w:val="single"/>
          <w:lang w:val="en-US"/>
        </w:rPr>
        <w:t xml:space="preserve"> LOKONO</w:t>
      </w:r>
      <w:r w:rsidR="009C7232" w:rsidRPr="0031391B">
        <w:rPr>
          <w:b/>
          <w:szCs w:val="20"/>
          <w:u w:val="single"/>
          <w:lang w:val="en-US"/>
        </w:rPr>
        <w:t xml:space="preserve"> PEOPLES</w:t>
      </w:r>
      <w:r w:rsidRPr="0031391B">
        <w:rPr>
          <w:b/>
          <w:szCs w:val="20"/>
          <w:u w:val="single"/>
          <w:lang w:val="en-US"/>
        </w:rPr>
        <w:t xml:space="preserve"> </w:t>
      </w:r>
      <w:r w:rsidRPr="0031391B">
        <w:rPr>
          <w:b/>
          <w:i/>
          <w:szCs w:val="20"/>
          <w:u w:val="single"/>
          <w:lang w:val="en-US"/>
        </w:rPr>
        <w:t xml:space="preserve">V. </w:t>
      </w:r>
      <w:r w:rsidRPr="0031391B">
        <w:rPr>
          <w:b/>
          <w:szCs w:val="20"/>
          <w:u w:val="single"/>
          <w:lang w:val="en-US"/>
        </w:rPr>
        <w:t>SURINAM</w:t>
      </w:r>
      <w:r w:rsidR="009C7232" w:rsidRPr="0031391B">
        <w:rPr>
          <w:b/>
          <w:szCs w:val="20"/>
          <w:u w:val="single"/>
          <w:lang w:val="en-US"/>
        </w:rPr>
        <w:t>E</w:t>
      </w:r>
    </w:p>
    <w:p w14:paraId="35F8CE47" w14:textId="77777777" w:rsidR="000C0B25" w:rsidRPr="0031391B" w:rsidRDefault="009C7232" w:rsidP="000C0B25">
      <w:pPr>
        <w:jc w:val="center"/>
        <w:rPr>
          <w:b/>
          <w:szCs w:val="20"/>
          <w:lang w:val="en-US"/>
        </w:rPr>
      </w:pPr>
      <w:r w:rsidRPr="0031391B">
        <w:rPr>
          <w:b/>
          <w:szCs w:val="20"/>
          <w:lang w:val="en-US"/>
        </w:rPr>
        <w:t>JUDGMENT OF NOVEMBER 25,</w:t>
      </w:r>
      <w:r w:rsidR="000C0B25" w:rsidRPr="0031391B">
        <w:rPr>
          <w:b/>
          <w:szCs w:val="20"/>
          <w:lang w:val="en-US"/>
        </w:rPr>
        <w:t xml:space="preserve"> 2015</w:t>
      </w:r>
    </w:p>
    <w:p w14:paraId="35F8CE48" w14:textId="06A81BC7" w:rsidR="00D1286C" w:rsidRPr="0031391B" w:rsidRDefault="000C0B25" w:rsidP="000C0B25">
      <w:pPr>
        <w:ind w:right="-138"/>
        <w:jc w:val="center"/>
        <w:rPr>
          <w:noProof w:val="0"/>
          <w:szCs w:val="20"/>
          <w:lang w:val="en-US"/>
        </w:rPr>
      </w:pPr>
      <w:r w:rsidRPr="0031391B">
        <w:rPr>
          <w:b/>
          <w:i/>
          <w:szCs w:val="20"/>
          <w:lang w:val="en-US"/>
        </w:rPr>
        <w:t>(</w:t>
      </w:r>
      <w:r w:rsidR="00847E9C">
        <w:rPr>
          <w:b/>
          <w:i/>
          <w:szCs w:val="20"/>
          <w:lang w:val="en-US"/>
        </w:rPr>
        <w:t>Merits, R</w:t>
      </w:r>
      <w:r w:rsidR="009C7232" w:rsidRPr="0031391B">
        <w:rPr>
          <w:b/>
          <w:i/>
          <w:szCs w:val="20"/>
          <w:lang w:val="en-US"/>
        </w:rPr>
        <w:t xml:space="preserve">eparations and </w:t>
      </w:r>
      <w:r w:rsidR="00847E9C">
        <w:rPr>
          <w:b/>
          <w:i/>
          <w:szCs w:val="20"/>
          <w:lang w:val="en-US"/>
        </w:rPr>
        <w:t>C</w:t>
      </w:r>
      <w:r w:rsidR="009C7232" w:rsidRPr="0031391B">
        <w:rPr>
          <w:b/>
          <w:i/>
          <w:szCs w:val="20"/>
          <w:lang w:val="en-US"/>
        </w:rPr>
        <w:t>osts</w:t>
      </w:r>
      <w:r w:rsidR="002667C1" w:rsidRPr="0031391B">
        <w:rPr>
          <w:b/>
          <w:i/>
          <w:szCs w:val="20"/>
          <w:lang w:val="en-US"/>
        </w:rPr>
        <w:t>)</w:t>
      </w:r>
    </w:p>
    <w:p w14:paraId="35F8CE49" w14:textId="77777777" w:rsidR="00D1286C" w:rsidRPr="0031391B" w:rsidRDefault="00D1286C" w:rsidP="00D1286C">
      <w:pPr>
        <w:ind w:right="-138"/>
        <w:rPr>
          <w:noProof w:val="0"/>
          <w:szCs w:val="20"/>
          <w:lang w:val="en-US"/>
        </w:rPr>
      </w:pPr>
    </w:p>
    <w:p w14:paraId="35F8CE4A" w14:textId="77777777" w:rsidR="00E058B2" w:rsidRPr="0031391B" w:rsidRDefault="004B6195" w:rsidP="008A3C30">
      <w:pPr>
        <w:ind w:right="-138"/>
        <w:rPr>
          <w:szCs w:val="20"/>
          <w:lang w:val="en-US"/>
        </w:rPr>
      </w:pPr>
      <w:r w:rsidRPr="0031391B">
        <w:rPr>
          <w:noProof w:val="0"/>
          <w:szCs w:val="20"/>
          <w:lang w:val="en-US"/>
        </w:rPr>
        <w:t>1.</w:t>
      </w:r>
      <w:r w:rsidRPr="0031391B">
        <w:rPr>
          <w:noProof w:val="0"/>
          <w:szCs w:val="20"/>
          <w:lang w:val="en-US"/>
        </w:rPr>
        <w:tab/>
      </w:r>
      <w:r w:rsidR="009C7232" w:rsidRPr="0031391B">
        <w:rPr>
          <w:noProof w:val="0"/>
          <w:szCs w:val="20"/>
          <w:lang w:val="en-US"/>
        </w:rPr>
        <w:t xml:space="preserve">We have prepared this concurring </w:t>
      </w:r>
      <w:r w:rsidR="00FB36A3" w:rsidRPr="0031391B">
        <w:rPr>
          <w:noProof w:val="0"/>
          <w:szCs w:val="20"/>
          <w:lang w:val="en-US"/>
        </w:rPr>
        <w:t>opinio</w:t>
      </w:r>
      <w:r w:rsidR="009C7232" w:rsidRPr="0031391B">
        <w:rPr>
          <w:noProof w:val="0"/>
          <w:szCs w:val="20"/>
          <w:lang w:val="en-US"/>
        </w:rPr>
        <w:t xml:space="preserve">n with regard to two issues dealt with in the judgment in the case of the </w:t>
      </w:r>
      <w:r w:rsidR="009C7232" w:rsidRPr="0031391B">
        <w:rPr>
          <w:i/>
          <w:szCs w:val="20"/>
          <w:lang w:val="en-US"/>
        </w:rPr>
        <w:t>Kaliña and Lokono Peoples v. Suriname</w:t>
      </w:r>
      <w:r w:rsidR="006E25B7" w:rsidRPr="0031391B">
        <w:rPr>
          <w:szCs w:val="20"/>
          <w:lang w:val="en-US"/>
        </w:rPr>
        <w:t xml:space="preserve">, </w:t>
      </w:r>
      <w:r w:rsidR="009C7232" w:rsidRPr="0031391B">
        <w:rPr>
          <w:szCs w:val="20"/>
          <w:lang w:val="en-US"/>
        </w:rPr>
        <w:t>namely</w:t>
      </w:r>
      <w:r w:rsidR="006E25B7" w:rsidRPr="0031391B">
        <w:rPr>
          <w:szCs w:val="20"/>
          <w:lang w:val="en-US"/>
        </w:rPr>
        <w:t xml:space="preserve">: </w:t>
      </w:r>
      <w:r w:rsidR="009C7232" w:rsidRPr="0031391B">
        <w:rPr>
          <w:szCs w:val="20"/>
          <w:lang w:val="en-US"/>
        </w:rPr>
        <w:t>(</w:t>
      </w:r>
      <w:r w:rsidR="006E25B7" w:rsidRPr="0031391B">
        <w:rPr>
          <w:szCs w:val="20"/>
          <w:lang w:val="en-US"/>
        </w:rPr>
        <w:t xml:space="preserve">i) </w:t>
      </w:r>
      <w:r w:rsidR="009C7232" w:rsidRPr="0031391B">
        <w:rPr>
          <w:szCs w:val="20"/>
          <w:lang w:val="en-US"/>
        </w:rPr>
        <w:t xml:space="preserve">the guarantees of collective property in relation to the mining concession within the </w:t>
      </w:r>
      <w:r w:rsidR="00E058B2" w:rsidRPr="0031391B">
        <w:rPr>
          <w:szCs w:val="20"/>
          <w:lang w:val="en-US"/>
        </w:rPr>
        <w:t>Wane Kreek</w:t>
      </w:r>
      <w:r w:rsidR="009C7232" w:rsidRPr="0031391B">
        <w:rPr>
          <w:szCs w:val="20"/>
          <w:lang w:val="en-US"/>
        </w:rPr>
        <w:t xml:space="preserve"> Nature Reserve</w:t>
      </w:r>
      <w:r w:rsidR="008A3C30" w:rsidRPr="0031391B">
        <w:rPr>
          <w:szCs w:val="20"/>
          <w:lang w:val="en-US"/>
        </w:rPr>
        <w:t xml:space="preserve">, </w:t>
      </w:r>
      <w:r w:rsidR="00BF0BEE" w:rsidRPr="0031391B">
        <w:rPr>
          <w:szCs w:val="20"/>
          <w:lang w:val="en-US"/>
        </w:rPr>
        <w:t>particular</w:t>
      </w:r>
      <w:r w:rsidR="009C7232" w:rsidRPr="0031391B">
        <w:rPr>
          <w:szCs w:val="20"/>
          <w:lang w:val="en-US"/>
        </w:rPr>
        <w:t xml:space="preserve">ly with regard to the right to effective participation through a consultation process, and (ii) the recognition of collective juridical personality. </w:t>
      </w:r>
    </w:p>
    <w:p w14:paraId="35F8CE4B" w14:textId="77777777" w:rsidR="008A3C30" w:rsidRPr="0031391B" w:rsidRDefault="008A3C30" w:rsidP="008A3C30">
      <w:pPr>
        <w:ind w:right="-138"/>
        <w:rPr>
          <w:noProof w:val="0"/>
          <w:szCs w:val="20"/>
          <w:lang w:val="en-US"/>
        </w:rPr>
      </w:pPr>
    </w:p>
    <w:p w14:paraId="35F8CE4C" w14:textId="77777777" w:rsidR="00E058B2" w:rsidRPr="0031391B" w:rsidRDefault="004B6195" w:rsidP="008A3C30">
      <w:pPr>
        <w:ind w:right="-138"/>
        <w:rPr>
          <w:szCs w:val="20"/>
          <w:lang w:val="en-US"/>
        </w:rPr>
      </w:pPr>
      <w:r w:rsidRPr="0031391B">
        <w:rPr>
          <w:noProof w:val="0"/>
          <w:szCs w:val="20"/>
          <w:lang w:val="en-US"/>
        </w:rPr>
        <w:t xml:space="preserve">2. </w:t>
      </w:r>
      <w:r w:rsidRPr="0031391B">
        <w:rPr>
          <w:noProof w:val="0"/>
          <w:szCs w:val="20"/>
          <w:lang w:val="en-US"/>
        </w:rPr>
        <w:tab/>
      </w:r>
      <w:r w:rsidR="009C7232" w:rsidRPr="0031391B">
        <w:rPr>
          <w:noProof w:val="0"/>
          <w:szCs w:val="20"/>
          <w:lang w:val="en-US"/>
        </w:rPr>
        <w:t>With regard to th</w:t>
      </w:r>
      <w:r w:rsidR="004057A4">
        <w:rPr>
          <w:noProof w:val="0"/>
          <w:szCs w:val="20"/>
          <w:lang w:val="en-US"/>
        </w:rPr>
        <w:t>e first point, in this judgment</w:t>
      </w:r>
      <w:r w:rsidR="009C7232" w:rsidRPr="0031391B">
        <w:rPr>
          <w:noProof w:val="0"/>
          <w:szCs w:val="20"/>
          <w:lang w:val="en-US"/>
        </w:rPr>
        <w:t xml:space="preserve"> the Court established that:</w:t>
      </w:r>
    </w:p>
    <w:p w14:paraId="35F8CE4D" w14:textId="77777777" w:rsidR="008A3C30" w:rsidRPr="0031391B" w:rsidRDefault="008A3C30" w:rsidP="008A3C30">
      <w:pPr>
        <w:ind w:right="-138"/>
        <w:rPr>
          <w:noProof w:val="0"/>
          <w:szCs w:val="20"/>
          <w:lang w:val="en-US"/>
        </w:rPr>
      </w:pPr>
    </w:p>
    <w:p w14:paraId="35F8CE4E" w14:textId="77777777" w:rsidR="009C7232" w:rsidRPr="0031391B" w:rsidRDefault="009C7232" w:rsidP="00EA3842">
      <w:pPr>
        <w:tabs>
          <w:tab w:val="left" w:pos="8222"/>
        </w:tabs>
        <w:spacing w:after="240"/>
        <w:ind w:left="567" w:right="616"/>
        <w:rPr>
          <w:lang w:val="en-US"/>
        </w:rPr>
      </w:pPr>
      <w:r w:rsidRPr="0031391B">
        <w:rPr>
          <w:szCs w:val="20"/>
          <w:lang w:val="en-US"/>
        </w:rPr>
        <w:t xml:space="preserve">200.  </w:t>
      </w:r>
      <w:r w:rsidRPr="0031391B">
        <w:rPr>
          <w:lang w:val="en-US"/>
        </w:rPr>
        <w:t>As previously noted, in 1958,</w:t>
      </w:r>
      <w:r w:rsidRPr="0031391B">
        <w:rPr>
          <w:szCs w:val="20"/>
          <w:lang w:val="en-US"/>
        </w:rPr>
        <w:t xml:space="preserve"> Suriname granted Suralco a mining concession until 2033, for the extraction of bauxite in the eastern part of the country. In 1997, the company started up its operations to extract bauxite from deposits in an area of approximately </w:t>
      </w:r>
      <w:r w:rsidRPr="0031391B">
        <w:rPr>
          <w:lang w:val="en-US"/>
        </w:rPr>
        <w:t>100 to 144 hectares, within the Wane Kreek Nature Reserve, known as Wane Kreek 1 and 2 (</w:t>
      </w:r>
      <w:r w:rsidRPr="0031391B">
        <w:rPr>
          <w:i/>
          <w:lang w:val="en-US"/>
        </w:rPr>
        <w:t>supra</w:t>
      </w:r>
      <w:r w:rsidRPr="0031391B">
        <w:rPr>
          <w:lang w:val="en-US"/>
        </w:rPr>
        <w:t xml:space="preserve"> para</w:t>
      </w:r>
      <w:r w:rsidR="00847E9C">
        <w:rPr>
          <w:lang w:val="en-US"/>
        </w:rPr>
        <w:t>s</w:t>
      </w:r>
      <w:r w:rsidRPr="0031391B">
        <w:rPr>
          <w:lang w:val="en-US"/>
        </w:rPr>
        <w:t xml:space="preserve">. 88 and 90). Preparatory work, such as the construction of a highway to reach the mine and transport the mineral, was initiated in the mid-1990s </w:t>
      </w:r>
      <w:r w:rsidRPr="0031391B">
        <w:rPr>
          <w:szCs w:val="20"/>
          <w:lang w:val="en-US"/>
        </w:rPr>
        <w:t>(</w:t>
      </w:r>
      <w:r w:rsidRPr="0031391B">
        <w:rPr>
          <w:i/>
          <w:szCs w:val="20"/>
          <w:lang w:val="en-US"/>
        </w:rPr>
        <w:t>supra</w:t>
      </w:r>
      <w:r w:rsidRPr="0031391B">
        <w:rPr>
          <w:szCs w:val="20"/>
          <w:lang w:val="en-US"/>
        </w:rPr>
        <w:t xml:space="preserve"> para. 89). There is no dispute about the fact that the Kaliña and Lokono peoples played no part in any of these activities and that the corresponding environmental impact assessment was not made (</w:t>
      </w:r>
      <w:r w:rsidRPr="0031391B">
        <w:rPr>
          <w:i/>
          <w:szCs w:val="20"/>
          <w:lang w:val="en-US"/>
        </w:rPr>
        <w:t>infra</w:t>
      </w:r>
      <w:r w:rsidRPr="0031391B">
        <w:rPr>
          <w:szCs w:val="20"/>
          <w:lang w:val="en-US"/>
        </w:rPr>
        <w:t xml:space="preserve"> para. 213). However, the Court does not have competence in relation to the award of the mining concession in 1958. Nevertheless, the Court is competent to examine measures taken following the entry into force of its jurisdiction; in </w:t>
      </w:r>
      <w:r w:rsidRPr="0031391B">
        <w:rPr>
          <w:rFonts w:eastAsia="Times New Roman"/>
          <w:color w:val="000000"/>
          <w:lang w:val="en-US" w:eastAsia="es-CR"/>
        </w:rPr>
        <w:t>particular, the extraction operations carried out as of 1997.</w:t>
      </w:r>
    </w:p>
    <w:p w14:paraId="35F8CE4F" w14:textId="45916C5E" w:rsidR="00E058B2" w:rsidRPr="0031391B" w:rsidRDefault="00E058B2" w:rsidP="00EE72B6">
      <w:pPr>
        <w:pStyle w:val="ListParagraph"/>
        <w:tabs>
          <w:tab w:val="left" w:pos="1620"/>
        </w:tabs>
        <w:spacing w:after="0" w:line="240" w:lineRule="auto"/>
        <w:ind w:left="567" w:right="616"/>
        <w:jc w:val="both"/>
        <w:rPr>
          <w:rFonts w:eastAsia="Calibri"/>
          <w:szCs w:val="20"/>
        </w:rPr>
      </w:pPr>
      <w:r w:rsidRPr="0031391B">
        <w:rPr>
          <w:rFonts w:ascii="Verdana" w:eastAsia="Calibri" w:hAnsi="Verdana"/>
          <w:sz w:val="20"/>
          <w:szCs w:val="20"/>
        </w:rPr>
        <w:t>201.</w:t>
      </w:r>
      <w:r w:rsidRPr="0031391B">
        <w:rPr>
          <w:rFonts w:ascii="Verdana" w:eastAsia="Calibri" w:hAnsi="Verdana"/>
          <w:sz w:val="20"/>
          <w:szCs w:val="20"/>
        </w:rPr>
        <w:tab/>
      </w:r>
      <w:r w:rsidR="00BF0BEE" w:rsidRPr="0031391B">
        <w:rPr>
          <w:rFonts w:ascii="Verdana" w:eastAsia="Calibri" w:hAnsi="Verdana"/>
          <w:sz w:val="20"/>
          <w:szCs w:val="20"/>
        </w:rPr>
        <w:t xml:space="preserve"> </w:t>
      </w:r>
      <w:r w:rsidR="009C7232" w:rsidRPr="0031391B">
        <w:rPr>
          <w:rFonts w:ascii="Verdana" w:hAnsi="Verdana"/>
          <w:sz w:val="20"/>
          <w:szCs w:val="20"/>
        </w:rPr>
        <w:t xml:space="preserve">In this regard, the Court has already established in the </w:t>
      </w:r>
      <w:r w:rsidR="009C7232" w:rsidRPr="0031391B">
        <w:rPr>
          <w:rFonts w:ascii="Verdana" w:hAnsi="Verdana"/>
          <w:i/>
          <w:sz w:val="20"/>
        </w:rPr>
        <w:t xml:space="preserve">case of the Saramaka People v. Suriname </w:t>
      </w:r>
      <w:r w:rsidR="009C7232" w:rsidRPr="0031391B">
        <w:rPr>
          <w:rFonts w:ascii="Verdana" w:hAnsi="Verdana"/>
          <w:sz w:val="20"/>
        </w:rPr>
        <w:t>that, under Article 1</w:t>
      </w:r>
      <w:r w:rsidR="00F01C40">
        <w:rPr>
          <w:rFonts w:ascii="Verdana" w:hAnsi="Verdana"/>
          <w:sz w:val="20"/>
        </w:rPr>
        <w:t>.</w:t>
      </w:r>
      <w:r w:rsidR="009C7232" w:rsidRPr="0031391B">
        <w:rPr>
          <w:rFonts w:ascii="Verdana" w:hAnsi="Verdana"/>
          <w:sz w:val="20"/>
        </w:rPr>
        <w:t xml:space="preserve">1 of the Convention, in order to ensure that the restrictions imposed on the right to property of the indigenous and tribal peoples owing to the issue of concessions within their territory do not entail a denial of their survival, the State must comply with the following three guarantees: “first, it must ensure the effective participation of the members of the [indigenous and tribal peoples], in accordance with their customs and traditions, with regard to any development, investment, exploration or extraction plans (hereinafter “development or investment plan”) implemented within [their territory]. Second, the State must ensure that the members of the [indigenous and tribal peoples] receive a reasonable benefit from the plan implemented within their territory. Third, the State must ensure that no </w:t>
      </w:r>
      <w:r w:rsidR="009C7232" w:rsidRPr="0031391B">
        <w:rPr>
          <w:rFonts w:ascii="Verdana" w:hAnsi="Verdana"/>
          <w:sz w:val="20"/>
        </w:rPr>
        <w:lastRenderedPageBreak/>
        <w:t xml:space="preserve">concession will be granted within their territory until independent and technically-qualified entities, under the State’s supervision, have conducted a prior social and environmental impact assessment. These safeguards are intended to preserve, protect and ensure the special relationship that the members of the [indigenous and tribal peoples] have with their territory, which, in turn, ensures their survival [as an indigenous people].” In the instant case, the Court will analyze the State’s alleged failure to comply with these safeguards in relation to the start-up of bauxite extraction operations in </w:t>
      </w:r>
      <w:r w:rsidR="009C7232" w:rsidRPr="0031391B">
        <w:rPr>
          <w:rFonts w:ascii="Verdana" w:hAnsi="Verdana"/>
          <w:sz w:val="20"/>
          <w:szCs w:val="20"/>
        </w:rPr>
        <w:t>1997</w:t>
      </w:r>
      <w:r w:rsidRPr="0031391B">
        <w:rPr>
          <w:rFonts w:eastAsia="Calibri"/>
          <w:szCs w:val="20"/>
        </w:rPr>
        <w:t>.</w:t>
      </w:r>
    </w:p>
    <w:p w14:paraId="35F8CE50" w14:textId="77777777" w:rsidR="009C7232" w:rsidRPr="0031391B" w:rsidRDefault="009C7232" w:rsidP="009C7232">
      <w:pPr>
        <w:pStyle w:val="ListParagraph"/>
        <w:tabs>
          <w:tab w:val="left" w:pos="1620"/>
        </w:tabs>
        <w:spacing w:after="0" w:line="240" w:lineRule="auto"/>
        <w:ind w:left="993" w:right="468"/>
        <w:jc w:val="both"/>
      </w:pPr>
    </w:p>
    <w:p w14:paraId="35F8CE51" w14:textId="77777777" w:rsidR="009C7232" w:rsidRPr="0031391B" w:rsidRDefault="00E058B2" w:rsidP="00EE72B6">
      <w:pPr>
        <w:tabs>
          <w:tab w:val="left" w:pos="1710"/>
        </w:tabs>
        <w:spacing w:after="240"/>
        <w:ind w:left="567" w:right="616"/>
        <w:rPr>
          <w:rFonts w:eastAsia="Times New Roman"/>
          <w:szCs w:val="20"/>
          <w:lang w:val="en-US"/>
        </w:rPr>
      </w:pPr>
      <w:r w:rsidRPr="0031391B">
        <w:rPr>
          <w:rFonts w:eastAsia="Calibri"/>
          <w:szCs w:val="20"/>
          <w:lang w:val="en-US"/>
        </w:rPr>
        <w:t>202.</w:t>
      </w:r>
      <w:r w:rsidRPr="0031391B">
        <w:rPr>
          <w:rFonts w:eastAsia="Calibri"/>
          <w:szCs w:val="20"/>
          <w:lang w:val="en-US"/>
        </w:rPr>
        <w:tab/>
      </w:r>
      <w:r w:rsidR="00BF0BEE" w:rsidRPr="0031391B">
        <w:rPr>
          <w:rFonts w:eastAsia="Calibri"/>
          <w:szCs w:val="20"/>
          <w:lang w:val="en-US"/>
        </w:rPr>
        <w:t xml:space="preserve"> </w:t>
      </w:r>
      <w:r w:rsidR="009C7232" w:rsidRPr="0031391B">
        <w:rPr>
          <w:szCs w:val="20"/>
          <w:lang w:val="en-US"/>
        </w:rPr>
        <w:t xml:space="preserve">Furthermore, the Court reiterates that Article 23 of the American Convention establishes that: </w:t>
      </w:r>
      <w:r w:rsidR="009C7232" w:rsidRPr="0031391B">
        <w:rPr>
          <w:spacing w:val="-3"/>
          <w:szCs w:val="20"/>
          <w:lang w:val="en-US"/>
        </w:rPr>
        <w:t>“[e]very citizen shall enjoy the following rights and opportunities: (a) to take part in the conduct of public affairs</w:t>
      </w:r>
      <w:r w:rsidR="009C7232" w:rsidRPr="0031391B">
        <w:rPr>
          <w:szCs w:val="20"/>
          <w:lang w:val="en-US"/>
        </w:rPr>
        <w:t xml:space="preserve"> […].” Similarly, Article 18 of the United Nations Declaration on the Rights of Indigenous Peoples establishes that “[i]</w:t>
      </w:r>
      <w:r w:rsidR="009C7232" w:rsidRPr="0031391B">
        <w:rPr>
          <w:rFonts w:eastAsia="Times New Roman"/>
          <w:szCs w:val="20"/>
          <w:lang w:val="en-US"/>
        </w:rPr>
        <w:t>ndigenous peoples have the right to participate in decision-making in matters which would affect their rights, through representatives […],” and the pertinent part of Article 32 stipulates that “States shall consult and cooperate in good faith […] prior to the approval of any project affecting their lands or territories and other resources, particularly in connection with the […] utilization or exploitation of mineral […] resources.”</w:t>
      </w:r>
    </w:p>
    <w:p w14:paraId="35F8CE52" w14:textId="0148B2A4" w:rsidR="009C7232" w:rsidRPr="0031391B" w:rsidRDefault="00E058B2" w:rsidP="00EE72B6">
      <w:pPr>
        <w:tabs>
          <w:tab w:val="left" w:pos="1620"/>
        </w:tabs>
        <w:spacing w:after="240"/>
        <w:ind w:left="567" w:right="616"/>
        <w:rPr>
          <w:szCs w:val="20"/>
          <w:lang w:val="en-US"/>
        </w:rPr>
      </w:pPr>
      <w:r w:rsidRPr="0031391B">
        <w:rPr>
          <w:rFonts w:eastAsia="Calibri"/>
          <w:szCs w:val="20"/>
          <w:lang w:val="en-US"/>
        </w:rPr>
        <w:t>203.</w:t>
      </w:r>
      <w:r w:rsidRPr="0031391B">
        <w:rPr>
          <w:rFonts w:eastAsia="Calibri"/>
          <w:szCs w:val="20"/>
          <w:lang w:val="en-US"/>
        </w:rPr>
        <w:tab/>
      </w:r>
      <w:r w:rsidR="009C7232" w:rsidRPr="0031391B">
        <w:rPr>
          <w:szCs w:val="20"/>
          <w:lang w:val="en-US"/>
        </w:rPr>
        <w:t>Consequently, in order to ensure the use and enjoyment of the right to indigenous collective property recognized in Articles 1</w:t>
      </w:r>
      <w:r w:rsidR="00F01C40">
        <w:rPr>
          <w:szCs w:val="20"/>
          <w:lang w:val="en-US"/>
        </w:rPr>
        <w:t>.</w:t>
      </w:r>
      <w:r w:rsidR="009C7232" w:rsidRPr="0031391B">
        <w:rPr>
          <w:szCs w:val="20"/>
          <w:lang w:val="en-US"/>
        </w:rPr>
        <w:t>1 and 21 of the Convention, in relation to the utilization or exploitation of natural resources in their traditional territory, the State must, for the effects of this case, put in place mechanisms for the effective participation of the indigenous peoples using procedures that are culturally adapted to the decision-making of such peoples. This is not only a matter of public interest, but also forms part of the exercise of their right to take part in any decision-making on matters that affect their interests, in accordance with their own procedures and institutions, in relation to Article 23 of the American Convention (</w:t>
      </w:r>
      <w:r w:rsidR="009C7232" w:rsidRPr="0031391B">
        <w:rPr>
          <w:i/>
          <w:szCs w:val="20"/>
          <w:lang w:val="en-US"/>
        </w:rPr>
        <w:t xml:space="preserve">supra </w:t>
      </w:r>
      <w:r w:rsidR="009C7232" w:rsidRPr="0031391B">
        <w:rPr>
          <w:szCs w:val="20"/>
          <w:lang w:val="en-US"/>
        </w:rPr>
        <w:t>para. 196).</w:t>
      </w:r>
    </w:p>
    <w:p w14:paraId="35F8CE53" w14:textId="77777777" w:rsidR="00D83083" w:rsidRPr="0031391B" w:rsidRDefault="004B6195" w:rsidP="00D83083">
      <w:pPr>
        <w:spacing w:after="240"/>
        <w:ind w:right="96"/>
        <w:rPr>
          <w:szCs w:val="20"/>
          <w:lang w:val="en-US"/>
        </w:rPr>
      </w:pPr>
      <w:r w:rsidRPr="0031391B">
        <w:rPr>
          <w:szCs w:val="20"/>
          <w:lang w:val="en-US"/>
        </w:rPr>
        <w:t xml:space="preserve">3. </w:t>
      </w:r>
      <w:r w:rsidRPr="0031391B">
        <w:rPr>
          <w:szCs w:val="20"/>
          <w:lang w:val="en-US"/>
        </w:rPr>
        <w:tab/>
      </w:r>
      <w:r w:rsidR="009C7232" w:rsidRPr="004057A4">
        <w:rPr>
          <w:szCs w:val="20"/>
          <w:lang w:val="en-US"/>
        </w:rPr>
        <w:t xml:space="preserve">In this regard, we </w:t>
      </w:r>
      <w:r w:rsidR="004057A4">
        <w:rPr>
          <w:szCs w:val="20"/>
          <w:lang w:val="en-US"/>
        </w:rPr>
        <w:t xml:space="preserve">are essentially in </w:t>
      </w:r>
      <w:r w:rsidR="009C7232" w:rsidRPr="004057A4">
        <w:rPr>
          <w:szCs w:val="20"/>
          <w:lang w:val="en-US"/>
        </w:rPr>
        <w:t>agree</w:t>
      </w:r>
      <w:r w:rsidR="004057A4">
        <w:rPr>
          <w:szCs w:val="20"/>
          <w:lang w:val="en-US"/>
        </w:rPr>
        <w:t xml:space="preserve">ment </w:t>
      </w:r>
      <w:r w:rsidR="009C7232" w:rsidRPr="0031391B">
        <w:rPr>
          <w:szCs w:val="20"/>
          <w:lang w:val="en-US"/>
        </w:rPr>
        <w:t>with the majority of the Court in the sense of reiterating the safeguards established by the Court in its case law in relation to investment or development projects in indigenous or tribal territory. In particular, the State’s obligation to organize an effective participation proce</w:t>
      </w:r>
      <w:r w:rsidR="00FB36A3" w:rsidRPr="0031391B">
        <w:rPr>
          <w:szCs w:val="20"/>
          <w:lang w:val="en-US"/>
        </w:rPr>
        <w:t>ss,</w:t>
      </w:r>
      <w:r w:rsidR="009C7232" w:rsidRPr="0031391B">
        <w:rPr>
          <w:szCs w:val="20"/>
          <w:lang w:val="en-US"/>
        </w:rPr>
        <w:t xml:space="preserve"> implemented by</w:t>
      </w:r>
      <w:r w:rsidR="00FB36A3" w:rsidRPr="0031391B">
        <w:rPr>
          <w:szCs w:val="20"/>
          <w:lang w:val="en-US"/>
        </w:rPr>
        <w:t xml:space="preserve"> means of</w:t>
      </w:r>
      <w:r w:rsidR="009C7232" w:rsidRPr="0031391B">
        <w:rPr>
          <w:szCs w:val="20"/>
          <w:lang w:val="en-US"/>
        </w:rPr>
        <w:t xml:space="preserve"> prior, free and informed consultation</w:t>
      </w:r>
      <w:r w:rsidR="00D83083" w:rsidRPr="0031391B">
        <w:rPr>
          <w:szCs w:val="20"/>
          <w:lang w:val="en-US"/>
        </w:rPr>
        <w:t xml:space="preserve">. </w:t>
      </w:r>
    </w:p>
    <w:p w14:paraId="35F8CE54" w14:textId="77777777" w:rsidR="005D1A50" w:rsidRPr="0031391B" w:rsidRDefault="009C7232" w:rsidP="00300069">
      <w:pPr>
        <w:spacing w:after="240"/>
        <w:ind w:right="96"/>
        <w:jc w:val="center"/>
        <w:rPr>
          <w:szCs w:val="20"/>
          <w:lang w:val="en-US"/>
        </w:rPr>
      </w:pPr>
      <w:r w:rsidRPr="0031391B">
        <w:rPr>
          <w:b/>
          <w:szCs w:val="20"/>
          <w:lang w:val="en-US"/>
        </w:rPr>
        <w:t>Prior, free and informed consultation</w:t>
      </w:r>
    </w:p>
    <w:p w14:paraId="35F8CE55" w14:textId="77777777" w:rsidR="002465FA" w:rsidRPr="0031391B" w:rsidRDefault="002465FA" w:rsidP="00300069">
      <w:pPr>
        <w:widowControl w:val="0"/>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9"/>
        <w:rPr>
          <w:szCs w:val="20"/>
          <w:lang w:val="en-US"/>
        </w:rPr>
      </w:pPr>
      <w:r w:rsidRPr="0031391B">
        <w:rPr>
          <w:szCs w:val="20"/>
          <w:lang w:val="en-US"/>
        </w:rPr>
        <w:t xml:space="preserve">4. </w:t>
      </w:r>
      <w:r w:rsidRPr="0031391B">
        <w:rPr>
          <w:szCs w:val="20"/>
          <w:lang w:val="en-US"/>
        </w:rPr>
        <w:tab/>
      </w:r>
      <w:r w:rsidR="009C7232" w:rsidRPr="0031391B">
        <w:rPr>
          <w:szCs w:val="20"/>
          <w:lang w:val="en-US"/>
        </w:rPr>
        <w:t>One of the most significant contributions of the Inter-American Court’s case law in indigenous</w:t>
      </w:r>
      <w:r w:rsidR="004057A4">
        <w:rPr>
          <w:szCs w:val="20"/>
          <w:lang w:val="en-US"/>
        </w:rPr>
        <w:t xml:space="preserve"> and tribal matters has been the</w:t>
      </w:r>
      <w:r w:rsidR="009C7232" w:rsidRPr="0031391B">
        <w:rPr>
          <w:szCs w:val="20"/>
          <w:lang w:val="en-US"/>
        </w:rPr>
        <w:t xml:space="preserve"> interpretation</w:t>
      </w:r>
      <w:r w:rsidR="004057A4">
        <w:rPr>
          <w:szCs w:val="20"/>
          <w:lang w:val="en-US"/>
        </w:rPr>
        <w:t xml:space="preserve"> made</w:t>
      </w:r>
      <w:r w:rsidR="009C7232" w:rsidRPr="0031391B">
        <w:rPr>
          <w:szCs w:val="20"/>
          <w:lang w:val="en-US"/>
        </w:rPr>
        <w:t xml:space="preserve"> of Article 21 of the American Convention. Thus, the Court has developed an interpretation that protects one of the characteristic </w:t>
      </w:r>
      <w:r w:rsidR="004057A4">
        <w:rPr>
          <w:szCs w:val="20"/>
          <w:lang w:val="en-US"/>
        </w:rPr>
        <w:t xml:space="preserve">stuations in </w:t>
      </w:r>
      <w:r w:rsidR="009C7232" w:rsidRPr="0031391B">
        <w:rPr>
          <w:szCs w:val="20"/>
          <w:lang w:val="en-US"/>
        </w:rPr>
        <w:t>the region, the communal ownership of ancestral territories. In this understanding, in the context of major development, investment, exploration, exploitation and extraction projects and plans, the Court has established a solid line of case law concerning the obligation to consult the indigenous and tribal peoples insofar as such projec</w:t>
      </w:r>
      <w:r w:rsidR="004057A4">
        <w:rPr>
          <w:szCs w:val="20"/>
          <w:lang w:val="en-US"/>
        </w:rPr>
        <w:t>ts affect both their territory</w:t>
      </w:r>
      <w:r w:rsidR="009C7232" w:rsidRPr="0031391B">
        <w:rPr>
          <w:szCs w:val="20"/>
          <w:lang w:val="en-US"/>
        </w:rPr>
        <w:t xml:space="preserve"> </w:t>
      </w:r>
      <w:r w:rsidR="004057A4">
        <w:rPr>
          <w:szCs w:val="20"/>
          <w:lang w:val="en-US"/>
        </w:rPr>
        <w:t xml:space="preserve">and their way of life within </w:t>
      </w:r>
      <w:r w:rsidR="004057A4">
        <w:rPr>
          <w:szCs w:val="20"/>
          <w:lang w:val="en-US"/>
        </w:rPr>
        <w:lastRenderedPageBreak/>
        <w:t>that territory</w:t>
      </w:r>
      <w:r w:rsidR="009C7232" w:rsidRPr="0031391B">
        <w:rPr>
          <w:szCs w:val="20"/>
          <w:lang w:val="en-US"/>
        </w:rPr>
        <w:t>.</w:t>
      </w:r>
      <w:r w:rsidRPr="0031391B">
        <w:rPr>
          <w:rStyle w:val="FootnoteReference"/>
          <w:szCs w:val="20"/>
          <w:lang w:val="en-US"/>
        </w:rPr>
        <w:footnoteReference w:id="1"/>
      </w:r>
      <w:r w:rsidRPr="0031391B">
        <w:rPr>
          <w:szCs w:val="20"/>
          <w:lang w:val="en-US"/>
        </w:rPr>
        <w:t xml:space="preserve"> </w:t>
      </w:r>
    </w:p>
    <w:p w14:paraId="35F8CE56" w14:textId="77777777" w:rsidR="00A55A58" w:rsidRPr="0031391B" w:rsidRDefault="00A55A58" w:rsidP="00300069">
      <w:pPr>
        <w:widowControl w:val="0"/>
        <w:tabs>
          <w:tab w:val="left" w:pos="0"/>
          <w:tab w:val="left" w:pos="709"/>
          <w:tab w:val="left" w:pos="85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9"/>
        <w:rPr>
          <w:szCs w:val="20"/>
          <w:lang w:val="en-US"/>
        </w:rPr>
      </w:pPr>
    </w:p>
    <w:p w14:paraId="35F8CE57" w14:textId="77777777" w:rsidR="00D83083" w:rsidRPr="0031391B" w:rsidRDefault="002465FA" w:rsidP="00E058B2">
      <w:pPr>
        <w:spacing w:after="240"/>
        <w:ind w:right="96"/>
        <w:rPr>
          <w:i/>
          <w:szCs w:val="20"/>
          <w:lang w:val="en-US"/>
        </w:rPr>
      </w:pPr>
      <w:r w:rsidRPr="0031391B">
        <w:rPr>
          <w:szCs w:val="20"/>
          <w:lang w:val="en-US"/>
        </w:rPr>
        <w:t xml:space="preserve">5. </w:t>
      </w:r>
      <w:r w:rsidRPr="0031391B">
        <w:rPr>
          <w:szCs w:val="20"/>
          <w:lang w:val="en-US"/>
        </w:rPr>
        <w:tab/>
      </w:r>
      <w:r w:rsidR="009C7232" w:rsidRPr="0031391B">
        <w:rPr>
          <w:szCs w:val="20"/>
          <w:lang w:val="en-US"/>
        </w:rPr>
        <w:t xml:space="preserve">The Court has ruled on prior consultation in four cases concerning indigenous or tribal peoples, namely: </w:t>
      </w:r>
      <w:r w:rsidR="009C7232" w:rsidRPr="0031391B">
        <w:rPr>
          <w:i/>
          <w:szCs w:val="20"/>
          <w:lang w:val="en-US"/>
        </w:rPr>
        <w:t>Case of the Saramaka People v. Suriname</w:t>
      </w:r>
      <w:r w:rsidR="0011417F" w:rsidRPr="0031391B">
        <w:rPr>
          <w:i/>
          <w:szCs w:val="20"/>
          <w:lang w:val="en-US"/>
        </w:rPr>
        <w:t xml:space="preserve">; </w:t>
      </w:r>
      <w:r w:rsidR="009C7232" w:rsidRPr="0031391B">
        <w:rPr>
          <w:i/>
          <w:szCs w:val="20"/>
          <w:lang w:val="en-US"/>
        </w:rPr>
        <w:t>Case of the Kichwa Indigenous People of Sarayaku v.</w:t>
      </w:r>
      <w:r w:rsidR="0011417F" w:rsidRPr="0031391B">
        <w:rPr>
          <w:i/>
          <w:szCs w:val="20"/>
          <w:lang w:val="en-US"/>
        </w:rPr>
        <w:t xml:space="preserve"> Ecuador; </w:t>
      </w:r>
      <w:r w:rsidR="009C7232" w:rsidRPr="0031391B">
        <w:rPr>
          <w:i/>
          <w:szCs w:val="20"/>
          <w:lang w:val="en-US"/>
        </w:rPr>
        <w:t>and Case of the Garífuna Community of Punta Piedra and its members</w:t>
      </w:r>
      <w:r w:rsidR="0011417F" w:rsidRPr="0031391B">
        <w:rPr>
          <w:i/>
          <w:szCs w:val="20"/>
          <w:lang w:val="en-US"/>
        </w:rPr>
        <w:t>,</w:t>
      </w:r>
      <w:r w:rsidR="009C7232" w:rsidRPr="0031391B">
        <w:rPr>
          <w:i/>
          <w:szCs w:val="20"/>
          <w:lang w:val="en-US"/>
        </w:rPr>
        <w:t xml:space="preserve"> and Case of the Garífuna Community of Triunfo de la Cruz and its members, </w:t>
      </w:r>
      <w:r w:rsidR="009C7232" w:rsidRPr="0031391B">
        <w:rPr>
          <w:szCs w:val="20"/>
          <w:lang w:val="en-US"/>
        </w:rPr>
        <w:t xml:space="preserve">both </w:t>
      </w:r>
      <w:r w:rsidR="009C7232" w:rsidRPr="0031391B">
        <w:rPr>
          <w:i/>
          <w:szCs w:val="20"/>
          <w:lang w:val="en-US"/>
        </w:rPr>
        <w:t>v.</w:t>
      </w:r>
      <w:r w:rsidR="004B6195" w:rsidRPr="0031391B">
        <w:rPr>
          <w:i/>
          <w:szCs w:val="20"/>
          <w:lang w:val="en-US"/>
        </w:rPr>
        <w:t xml:space="preserve"> Honduras.</w:t>
      </w:r>
      <w:r w:rsidR="0011417F" w:rsidRPr="0031391B">
        <w:rPr>
          <w:i/>
          <w:szCs w:val="20"/>
          <w:lang w:val="en-US"/>
        </w:rPr>
        <w:t xml:space="preserve"> </w:t>
      </w:r>
    </w:p>
    <w:p w14:paraId="35F8CE58" w14:textId="77777777" w:rsidR="0011417F" w:rsidRPr="0031391B" w:rsidRDefault="002465FA" w:rsidP="0011417F">
      <w:pPr>
        <w:autoSpaceDE w:val="0"/>
        <w:autoSpaceDN w:val="0"/>
        <w:adjustRightInd w:val="0"/>
        <w:spacing w:before="240" w:after="240"/>
        <w:rPr>
          <w:szCs w:val="20"/>
          <w:lang w:val="en-US"/>
        </w:rPr>
      </w:pPr>
      <w:r w:rsidRPr="0031391B">
        <w:rPr>
          <w:szCs w:val="20"/>
          <w:lang w:val="en-US"/>
        </w:rPr>
        <w:t xml:space="preserve">6. </w:t>
      </w:r>
      <w:r w:rsidRPr="0031391B">
        <w:rPr>
          <w:szCs w:val="20"/>
          <w:lang w:val="en-US"/>
        </w:rPr>
        <w:tab/>
      </w:r>
      <w:r w:rsidR="009C7232" w:rsidRPr="0031391B">
        <w:rPr>
          <w:szCs w:val="20"/>
          <w:lang w:val="en-US"/>
        </w:rPr>
        <w:t>In this regard, in addition to the considerations in paragrap</w:t>
      </w:r>
      <w:r w:rsidR="004057A4">
        <w:rPr>
          <w:szCs w:val="20"/>
          <w:lang w:val="en-US"/>
        </w:rPr>
        <w:t>h 201 of this judgment, in the c</w:t>
      </w:r>
      <w:r w:rsidR="009C7232" w:rsidRPr="0031391B">
        <w:rPr>
          <w:szCs w:val="20"/>
          <w:lang w:val="en-US"/>
        </w:rPr>
        <w:t>ase of</w:t>
      </w:r>
      <w:r w:rsidR="0011417F" w:rsidRPr="0031391B">
        <w:rPr>
          <w:szCs w:val="20"/>
          <w:lang w:val="en-US"/>
        </w:rPr>
        <w:t xml:space="preserve"> </w:t>
      </w:r>
      <w:r w:rsidR="009C7232" w:rsidRPr="0031391B">
        <w:rPr>
          <w:szCs w:val="20"/>
          <w:lang w:val="en-US"/>
        </w:rPr>
        <w:t>the</w:t>
      </w:r>
      <w:r w:rsidR="006E25B7" w:rsidRPr="0031391B">
        <w:rPr>
          <w:i/>
          <w:szCs w:val="20"/>
          <w:lang w:val="en-US"/>
        </w:rPr>
        <w:t xml:space="preserve"> </w:t>
      </w:r>
      <w:r w:rsidR="0011417F" w:rsidRPr="0031391B">
        <w:rPr>
          <w:i/>
          <w:szCs w:val="20"/>
          <w:lang w:val="en-US"/>
        </w:rPr>
        <w:t>Saramaka</w:t>
      </w:r>
      <w:r w:rsidR="009C7232" w:rsidRPr="0031391B">
        <w:rPr>
          <w:i/>
          <w:szCs w:val="20"/>
          <w:lang w:val="en-US"/>
        </w:rPr>
        <w:t xml:space="preserve"> People,</w:t>
      </w:r>
      <w:r w:rsidR="0011417F" w:rsidRPr="0031391B">
        <w:rPr>
          <w:szCs w:val="20"/>
          <w:lang w:val="en-US"/>
        </w:rPr>
        <w:t xml:space="preserve"> </w:t>
      </w:r>
      <w:r w:rsidR="009C7232" w:rsidRPr="0031391B">
        <w:rPr>
          <w:szCs w:val="20"/>
          <w:lang w:val="en-US"/>
        </w:rPr>
        <w:t>the Court indicated that the consultation must ensure the effective participation of the members of the Community and that the consultation must be: (i)</w:t>
      </w:r>
      <w:r w:rsidR="00A261F4" w:rsidRPr="0031391B">
        <w:rPr>
          <w:szCs w:val="20"/>
          <w:lang w:val="en-US"/>
        </w:rPr>
        <w:t xml:space="preserve"> in good faith and designed to reach an agreement; (ii) in keeping with the community’s</w:t>
      </w:r>
      <w:r w:rsidR="00810C63" w:rsidRPr="0031391B">
        <w:rPr>
          <w:szCs w:val="20"/>
          <w:lang w:val="en-US"/>
        </w:rPr>
        <w:t xml:space="preserve"> own</w:t>
      </w:r>
      <w:r w:rsidR="004057A4">
        <w:rPr>
          <w:szCs w:val="20"/>
          <w:lang w:val="en-US"/>
        </w:rPr>
        <w:t xml:space="preserve"> traditions and</w:t>
      </w:r>
      <w:r w:rsidR="00810C63" w:rsidRPr="0031391B">
        <w:rPr>
          <w:szCs w:val="20"/>
          <w:lang w:val="en-US"/>
        </w:rPr>
        <w:t xml:space="preserve"> customs and their traditional </w:t>
      </w:r>
      <w:r w:rsidR="00121388">
        <w:rPr>
          <w:szCs w:val="20"/>
          <w:lang w:val="en-US"/>
        </w:rPr>
        <w:t>m</w:t>
      </w:r>
      <w:r w:rsidR="004057A4">
        <w:rPr>
          <w:szCs w:val="20"/>
          <w:lang w:val="en-US"/>
        </w:rPr>
        <w:t xml:space="preserve">ethod of </w:t>
      </w:r>
      <w:r w:rsidR="00810C63" w:rsidRPr="0031391B">
        <w:rPr>
          <w:szCs w:val="20"/>
          <w:lang w:val="en-US"/>
        </w:rPr>
        <w:t xml:space="preserve">decision-making; (iii) during the initital stages of the project in question, and (iv) following the delivery of all relevant information, including </w:t>
      </w:r>
      <w:r w:rsidR="00121388">
        <w:rPr>
          <w:szCs w:val="20"/>
          <w:lang w:val="en-US"/>
        </w:rPr>
        <w:t xml:space="preserve">information on </w:t>
      </w:r>
      <w:r w:rsidR="00810C63" w:rsidRPr="0031391B">
        <w:rPr>
          <w:szCs w:val="20"/>
          <w:lang w:val="en-US"/>
        </w:rPr>
        <w:t>possible risks.</w:t>
      </w:r>
      <w:r w:rsidR="0011417F" w:rsidRPr="0031391B">
        <w:rPr>
          <w:rStyle w:val="FootnoteReference"/>
          <w:rFonts w:eastAsiaTheme="minorHAnsi"/>
          <w:szCs w:val="20"/>
          <w:lang w:val="en-US"/>
        </w:rPr>
        <w:footnoteReference w:id="2"/>
      </w:r>
      <w:r w:rsidR="0011417F" w:rsidRPr="0031391B">
        <w:rPr>
          <w:rFonts w:eastAsiaTheme="minorHAnsi"/>
          <w:szCs w:val="20"/>
          <w:lang w:val="en-US"/>
        </w:rPr>
        <w:t xml:space="preserve"> </w:t>
      </w:r>
    </w:p>
    <w:p w14:paraId="35F8CE59" w14:textId="77777777" w:rsidR="000D367E" w:rsidRPr="0031391B" w:rsidRDefault="002465FA" w:rsidP="00EB7A9A">
      <w:pPr>
        <w:pStyle w:val="ListParagraph"/>
        <w:spacing w:after="0" w:line="240" w:lineRule="auto"/>
        <w:ind w:left="0"/>
        <w:jc w:val="both"/>
        <w:rPr>
          <w:rFonts w:ascii="Verdana" w:hAnsi="Verdana"/>
          <w:sz w:val="20"/>
          <w:szCs w:val="20"/>
        </w:rPr>
      </w:pPr>
      <w:r w:rsidRPr="0031391B">
        <w:rPr>
          <w:rFonts w:ascii="Verdana" w:hAnsi="Verdana"/>
          <w:sz w:val="20"/>
          <w:szCs w:val="20"/>
        </w:rPr>
        <w:t xml:space="preserve">7. </w:t>
      </w:r>
      <w:r w:rsidRPr="0031391B">
        <w:rPr>
          <w:rFonts w:ascii="Verdana" w:hAnsi="Verdana"/>
          <w:sz w:val="20"/>
          <w:szCs w:val="20"/>
        </w:rPr>
        <w:tab/>
      </w:r>
      <w:r w:rsidR="00810C63" w:rsidRPr="0031391B">
        <w:rPr>
          <w:rFonts w:ascii="Verdana" w:hAnsi="Verdana"/>
          <w:sz w:val="20"/>
          <w:szCs w:val="20"/>
        </w:rPr>
        <w:t>In the</w:t>
      </w:r>
      <w:r w:rsidR="000D367E" w:rsidRPr="0031391B">
        <w:rPr>
          <w:rFonts w:ascii="Verdana" w:hAnsi="Verdana"/>
          <w:sz w:val="20"/>
          <w:szCs w:val="20"/>
        </w:rPr>
        <w:t xml:space="preserve"> </w:t>
      </w:r>
      <w:r w:rsidR="00810C63" w:rsidRPr="0031391B">
        <w:rPr>
          <w:rFonts w:ascii="Verdana" w:hAnsi="Verdana"/>
          <w:sz w:val="20"/>
          <w:szCs w:val="20"/>
        </w:rPr>
        <w:t>c</w:t>
      </w:r>
      <w:r w:rsidR="009C7232" w:rsidRPr="0031391B">
        <w:rPr>
          <w:rFonts w:ascii="Verdana" w:hAnsi="Verdana"/>
          <w:sz w:val="20"/>
          <w:szCs w:val="20"/>
        </w:rPr>
        <w:t>ase of</w:t>
      </w:r>
      <w:r w:rsidR="000D367E" w:rsidRPr="0031391B">
        <w:rPr>
          <w:rFonts w:ascii="Verdana" w:hAnsi="Verdana"/>
          <w:sz w:val="20"/>
          <w:szCs w:val="20"/>
        </w:rPr>
        <w:t xml:space="preserve"> </w:t>
      </w:r>
      <w:r w:rsidR="00810C63" w:rsidRPr="0031391B">
        <w:rPr>
          <w:rFonts w:ascii="Verdana" w:hAnsi="Verdana"/>
          <w:sz w:val="20"/>
          <w:szCs w:val="20"/>
        </w:rPr>
        <w:t>the</w:t>
      </w:r>
      <w:r w:rsidR="00D709CF" w:rsidRPr="0031391B">
        <w:rPr>
          <w:rFonts w:ascii="Verdana" w:hAnsi="Verdana"/>
          <w:sz w:val="20"/>
          <w:szCs w:val="20"/>
        </w:rPr>
        <w:t xml:space="preserve"> </w:t>
      </w:r>
      <w:r w:rsidR="00C50548" w:rsidRPr="0031391B">
        <w:rPr>
          <w:rFonts w:ascii="Verdana" w:hAnsi="Verdana"/>
          <w:i/>
          <w:sz w:val="20"/>
          <w:szCs w:val="20"/>
        </w:rPr>
        <w:t>Kichwa</w:t>
      </w:r>
      <w:r w:rsidR="00810C63" w:rsidRPr="0031391B">
        <w:rPr>
          <w:rFonts w:ascii="Verdana" w:hAnsi="Verdana"/>
          <w:i/>
          <w:sz w:val="20"/>
          <w:szCs w:val="20"/>
        </w:rPr>
        <w:t xml:space="preserve"> Indigenous People of</w:t>
      </w:r>
      <w:r w:rsidR="00C50548" w:rsidRPr="0031391B">
        <w:rPr>
          <w:rFonts w:ascii="Verdana" w:hAnsi="Verdana"/>
          <w:i/>
          <w:sz w:val="20"/>
          <w:szCs w:val="20"/>
        </w:rPr>
        <w:t xml:space="preserve"> </w:t>
      </w:r>
      <w:r w:rsidR="000D367E" w:rsidRPr="0031391B">
        <w:rPr>
          <w:rFonts w:ascii="Verdana" w:hAnsi="Verdana"/>
          <w:i/>
          <w:sz w:val="20"/>
          <w:szCs w:val="20"/>
        </w:rPr>
        <w:t>Sarayaku</w:t>
      </w:r>
      <w:r w:rsidR="00810C63" w:rsidRPr="0031391B">
        <w:rPr>
          <w:rFonts w:ascii="Verdana" w:hAnsi="Verdana"/>
          <w:sz w:val="20"/>
          <w:szCs w:val="20"/>
        </w:rPr>
        <w:t xml:space="preserve"> and, subsequently,</w:t>
      </w:r>
      <w:r w:rsidR="00BF0BEE" w:rsidRPr="0031391B">
        <w:rPr>
          <w:rFonts w:ascii="Verdana" w:hAnsi="Verdana"/>
          <w:sz w:val="20"/>
          <w:szCs w:val="20"/>
        </w:rPr>
        <w:t xml:space="preserve"> </w:t>
      </w:r>
      <w:r w:rsidR="00810C63" w:rsidRPr="0031391B">
        <w:rPr>
          <w:rFonts w:ascii="Verdana" w:hAnsi="Verdana"/>
          <w:sz w:val="20"/>
          <w:szCs w:val="20"/>
        </w:rPr>
        <w:t>in the</w:t>
      </w:r>
      <w:r w:rsidR="00BF0BEE" w:rsidRPr="0031391B">
        <w:rPr>
          <w:rFonts w:ascii="Verdana" w:hAnsi="Verdana"/>
          <w:sz w:val="20"/>
          <w:szCs w:val="20"/>
        </w:rPr>
        <w:t xml:space="preserve"> </w:t>
      </w:r>
      <w:r w:rsidR="00810C63" w:rsidRPr="0031391B">
        <w:rPr>
          <w:rFonts w:ascii="Verdana" w:hAnsi="Verdana"/>
          <w:sz w:val="20"/>
          <w:szCs w:val="20"/>
        </w:rPr>
        <w:t>c</w:t>
      </w:r>
      <w:r w:rsidR="009C7232" w:rsidRPr="0031391B">
        <w:rPr>
          <w:rFonts w:ascii="Verdana" w:hAnsi="Verdana"/>
          <w:sz w:val="20"/>
          <w:szCs w:val="20"/>
        </w:rPr>
        <w:t xml:space="preserve">ase </w:t>
      </w:r>
      <w:r w:rsidR="00810C63" w:rsidRPr="0031391B">
        <w:rPr>
          <w:rFonts w:ascii="Verdana" w:hAnsi="Verdana"/>
          <w:sz w:val="20"/>
          <w:szCs w:val="20"/>
        </w:rPr>
        <w:t>of the</w:t>
      </w:r>
      <w:r w:rsidR="00BF0BEE" w:rsidRPr="0031391B">
        <w:rPr>
          <w:rFonts w:ascii="Verdana" w:hAnsi="Verdana"/>
          <w:sz w:val="20"/>
          <w:szCs w:val="20"/>
        </w:rPr>
        <w:t xml:space="preserve"> </w:t>
      </w:r>
      <w:r w:rsidR="00BF0BEE" w:rsidRPr="0031391B">
        <w:rPr>
          <w:rFonts w:ascii="Verdana" w:hAnsi="Verdana"/>
          <w:i/>
          <w:sz w:val="20"/>
          <w:szCs w:val="20"/>
        </w:rPr>
        <w:t>Garífuna</w:t>
      </w:r>
      <w:r w:rsidR="00810C63" w:rsidRPr="0031391B">
        <w:rPr>
          <w:rFonts w:ascii="Verdana" w:hAnsi="Verdana"/>
          <w:i/>
          <w:sz w:val="20"/>
          <w:szCs w:val="20"/>
        </w:rPr>
        <w:t xml:space="preserve"> Community of</w:t>
      </w:r>
      <w:r w:rsidR="00BF0BEE" w:rsidRPr="0031391B">
        <w:rPr>
          <w:rFonts w:ascii="Verdana" w:hAnsi="Verdana"/>
          <w:i/>
          <w:sz w:val="20"/>
          <w:szCs w:val="20"/>
        </w:rPr>
        <w:t xml:space="preserve"> Triunfo de la Cruz,</w:t>
      </w:r>
      <w:r w:rsidR="00BF0BEE" w:rsidRPr="0031391B">
        <w:rPr>
          <w:rFonts w:ascii="Verdana" w:hAnsi="Verdana"/>
          <w:sz w:val="20"/>
          <w:szCs w:val="20"/>
        </w:rPr>
        <w:t xml:space="preserve"> </w:t>
      </w:r>
      <w:r w:rsidR="009C7232" w:rsidRPr="0031391B">
        <w:rPr>
          <w:rFonts w:ascii="Verdana" w:hAnsi="Verdana"/>
          <w:sz w:val="20"/>
          <w:szCs w:val="20"/>
        </w:rPr>
        <w:t>the Court</w:t>
      </w:r>
      <w:r w:rsidR="000D367E" w:rsidRPr="0031391B">
        <w:rPr>
          <w:rFonts w:ascii="Verdana" w:hAnsi="Verdana"/>
          <w:sz w:val="20"/>
          <w:szCs w:val="20"/>
        </w:rPr>
        <w:t xml:space="preserve"> </w:t>
      </w:r>
      <w:r w:rsidR="00810C63" w:rsidRPr="0031391B">
        <w:rPr>
          <w:rFonts w:ascii="Verdana" w:hAnsi="Verdana"/>
          <w:sz w:val="20"/>
          <w:szCs w:val="20"/>
        </w:rPr>
        <w:t>specified</w:t>
      </w:r>
      <w:r w:rsidR="000D367E" w:rsidRPr="0031391B">
        <w:rPr>
          <w:rFonts w:ascii="Verdana" w:hAnsi="Verdana"/>
          <w:sz w:val="20"/>
          <w:szCs w:val="20"/>
        </w:rPr>
        <w:t xml:space="preserve"> </w:t>
      </w:r>
      <w:r w:rsidR="00FB36A3" w:rsidRPr="0031391B">
        <w:rPr>
          <w:rFonts w:ascii="Verdana" w:hAnsi="Verdana"/>
          <w:sz w:val="20"/>
          <w:szCs w:val="20"/>
        </w:rPr>
        <w:t>that</w:t>
      </w:r>
      <w:r w:rsidR="000D367E" w:rsidRPr="0031391B">
        <w:rPr>
          <w:rFonts w:ascii="Verdana" w:hAnsi="Verdana"/>
          <w:sz w:val="20"/>
          <w:szCs w:val="20"/>
        </w:rPr>
        <w:t xml:space="preserve"> “</w:t>
      </w:r>
      <w:r w:rsidR="00FB36A3" w:rsidRPr="0031391B">
        <w:rPr>
          <w:rFonts w:ascii="Verdana" w:hAnsi="Verdana"/>
          <w:sz w:val="20"/>
          <w:szCs w:val="20"/>
        </w:rPr>
        <w:t xml:space="preserve">to ensure that the exploration </w:t>
      </w:r>
      <w:r w:rsidR="00121388">
        <w:rPr>
          <w:rFonts w:ascii="Verdana" w:hAnsi="Verdana"/>
          <w:sz w:val="20"/>
          <w:szCs w:val="20"/>
        </w:rPr>
        <w:t xml:space="preserve">for, </w:t>
      </w:r>
      <w:r w:rsidR="00FB36A3" w:rsidRPr="0031391B">
        <w:rPr>
          <w:rFonts w:ascii="Verdana" w:hAnsi="Verdana"/>
          <w:sz w:val="20"/>
          <w:szCs w:val="20"/>
        </w:rPr>
        <w:t>or extraction of</w:t>
      </w:r>
      <w:r w:rsidR="00121388">
        <w:rPr>
          <w:rFonts w:ascii="Verdana" w:hAnsi="Verdana"/>
          <w:sz w:val="20"/>
          <w:szCs w:val="20"/>
        </w:rPr>
        <w:t>,</w:t>
      </w:r>
      <w:r w:rsidR="00FB36A3" w:rsidRPr="0031391B">
        <w:rPr>
          <w:rFonts w:ascii="Verdana" w:hAnsi="Verdana"/>
          <w:sz w:val="20"/>
          <w:szCs w:val="20"/>
        </w:rPr>
        <w:t xml:space="preserve"> natural resources in ancestral territories does not entail a negation of the survival of the indigenous people as such, the State must comply with the following safeguards: (i) conduct an appropriate and participatory process that guarantees the right to consultation, particularly with regard to </w:t>
      </w:r>
      <w:r w:rsidR="00121388" w:rsidRPr="0031391B">
        <w:rPr>
          <w:rFonts w:ascii="Verdana" w:hAnsi="Verdana"/>
          <w:sz w:val="20"/>
          <w:szCs w:val="20"/>
        </w:rPr>
        <w:t xml:space="preserve">large-scale </w:t>
      </w:r>
      <w:r w:rsidR="00FB36A3" w:rsidRPr="0031391B">
        <w:rPr>
          <w:rFonts w:ascii="Verdana" w:hAnsi="Verdana"/>
          <w:sz w:val="20"/>
          <w:szCs w:val="20"/>
        </w:rPr>
        <w:t>development or investment p</w:t>
      </w:r>
      <w:r w:rsidR="00121388">
        <w:rPr>
          <w:rFonts w:ascii="Verdana" w:hAnsi="Verdana"/>
          <w:sz w:val="20"/>
          <w:szCs w:val="20"/>
        </w:rPr>
        <w:t>rojects</w:t>
      </w:r>
      <w:r w:rsidR="00FB36A3" w:rsidRPr="0031391B">
        <w:rPr>
          <w:rFonts w:ascii="Verdana" w:hAnsi="Verdana"/>
          <w:sz w:val="20"/>
          <w:szCs w:val="20"/>
        </w:rPr>
        <w:t>; (ii) make an environmental impact assessment, and (iii) as appropriate, reasonably share the benefits produced by the exploitation of natural resources (as a form of just compensation required by Article 21 of the Convention), with the community itself determining and deciding who the beneficiaries of this compensation should be, according to its customs and traditions.</w:t>
      </w:r>
      <w:r w:rsidR="000D367E" w:rsidRPr="0031391B">
        <w:rPr>
          <w:rFonts w:ascii="Verdana" w:hAnsi="Verdana"/>
          <w:sz w:val="20"/>
          <w:szCs w:val="20"/>
        </w:rPr>
        <w:t>”</w:t>
      </w:r>
      <w:r w:rsidR="000D367E" w:rsidRPr="0031391B">
        <w:rPr>
          <w:rStyle w:val="FootnoteReference"/>
          <w:rFonts w:ascii="Verdana" w:hAnsi="Verdana"/>
          <w:sz w:val="20"/>
          <w:szCs w:val="20"/>
        </w:rPr>
        <w:footnoteReference w:id="3"/>
      </w:r>
      <w:r w:rsidR="000D367E" w:rsidRPr="0031391B">
        <w:rPr>
          <w:rFonts w:ascii="Verdana" w:hAnsi="Verdana"/>
          <w:sz w:val="20"/>
          <w:szCs w:val="20"/>
        </w:rPr>
        <w:t xml:space="preserve"> </w:t>
      </w:r>
    </w:p>
    <w:p w14:paraId="35F8CE5A" w14:textId="77777777" w:rsidR="00E058B2" w:rsidRPr="0031391B" w:rsidRDefault="00E058B2" w:rsidP="00E058B2">
      <w:pPr>
        <w:pStyle w:val="ListParagraph"/>
        <w:spacing w:after="240" w:line="240" w:lineRule="auto"/>
        <w:ind w:left="0" w:right="96"/>
        <w:jc w:val="both"/>
        <w:rPr>
          <w:rFonts w:ascii="Verdana" w:hAnsi="Verdana"/>
          <w:sz w:val="20"/>
          <w:szCs w:val="20"/>
        </w:rPr>
      </w:pPr>
    </w:p>
    <w:p w14:paraId="35F8CE5B" w14:textId="77777777" w:rsidR="00BF0BEE" w:rsidRPr="0031391B" w:rsidRDefault="002465FA" w:rsidP="00EB7A9A">
      <w:pPr>
        <w:pStyle w:val="ListParagraph"/>
        <w:spacing w:after="0" w:line="240" w:lineRule="auto"/>
        <w:ind w:left="0"/>
        <w:jc w:val="both"/>
        <w:rPr>
          <w:rFonts w:ascii="Verdana" w:hAnsi="Verdana"/>
          <w:sz w:val="20"/>
          <w:szCs w:val="20"/>
        </w:rPr>
      </w:pPr>
      <w:r w:rsidRPr="0031391B">
        <w:rPr>
          <w:rFonts w:ascii="Verdana" w:hAnsi="Verdana"/>
          <w:sz w:val="20"/>
          <w:szCs w:val="20"/>
        </w:rPr>
        <w:t xml:space="preserve">8. </w:t>
      </w:r>
      <w:r w:rsidRPr="0031391B">
        <w:rPr>
          <w:rFonts w:ascii="Verdana" w:hAnsi="Verdana"/>
          <w:sz w:val="20"/>
          <w:szCs w:val="20"/>
        </w:rPr>
        <w:tab/>
      </w:r>
      <w:r w:rsidR="00FB36A3" w:rsidRPr="0031391B">
        <w:rPr>
          <w:rFonts w:ascii="Verdana" w:hAnsi="Verdana"/>
          <w:sz w:val="20"/>
          <w:szCs w:val="20"/>
        </w:rPr>
        <w:t xml:space="preserve">In the case of the </w:t>
      </w:r>
      <w:r w:rsidR="00FB36A3" w:rsidRPr="0031391B">
        <w:rPr>
          <w:rFonts w:ascii="Verdana" w:hAnsi="Verdana"/>
          <w:i/>
          <w:sz w:val="20"/>
          <w:szCs w:val="20"/>
        </w:rPr>
        <w:t>Garífuna Community of</w:t>
      </w:r>
      <w:r w:rsidR="00EB7A9A" w:rsidRPr="0031391B">
        <w:rPr>
          <w:rFonts w:ascii="Verdana" w:hAnsi="Verdana"/>
          <w:i/>
          <w:sz w:val="20"/>
          <w:szCs w:val="20"/>
        </w:rPr>
        <w:t xml:space="preserve"> Punta Piedra</w:t>
      </w:r>
      <w:r w:rsidR="00EB7A9A" w:rsidRPr="0031391B">
        <w:rPr>
          <w:rFonts w:ascii="Verdana" w:hAnsi="Verdana"/>
          <w:sz w:val="20"/>
          <w:szCs w:val="20"/>
        </w:rPr>
        <w:t xml:space="preserve">, </w:t>
      </w:r>
      <w:r w:rsidR="009C7232" w:rsidRPr="0031391B">
        <w:rPr>
          <w:rFonts w:ascii="Verdana" w:hAnsi="Verdana"/>
          <w:sz w:val="20"/>
          <w:szCs w:val="20"/>
        </w:rPr>
        <w:t>the Court</w:t>
      </w:r>
      <w:r w:rsidR="00FB36A3" w:rsidRPr="0031391B">
        <w:rPr>
          <w:rFonts w:ascii="Verdana" w:hAnsi="Verdana"/>
          <w:sz w:val="20"/>
          <w:szCs w:val="20"/>
        </w:rPr>
        <w:t xml:space="preserve"> reitera</w:t>
      </w:r>
      <w:r w:rsidR="0031391B">
        <w:rPr>
          <w:rFonts w:ascii="Verdana" w:hAnsi="Verdana"/>
          <w:sz w:val="20"/>
          <w:szCs w:val="20"/>
        </w:rPr>
        <w:t xml:space="preserve">ted that </w:t>
      </w:r>
      <w:r w:rsidR="00FB36A3" w:rsidRPr="0031391B">
        <w:rPr>
          <w:rFonts w:ascii="Verdana" w:hAnsi="Verdana"/>
          <w:sz w:val="20"/>
          <w:szCs w:val="20"/>
        </w:rPr>
        <w:t>it had established that, “in the case of any development, investment, exploration or extraction p</w:t>
      </w:r>
      <w:r w:rsidR="00121388">
        <w:rPr>
          <w:rFonts w:ascii="Verdana" w:hAnsi="Verdana"/>
          <w:sz w:val="20"/>
          <w:szCs w:val="20"/>
        </w:rPr>
        <w:t>roject</w:t>
      </w:r>
      <w:r w:rsidR="00FB36A3" w:rsidRPr="0031391B">
        <w:rPr>
          <w:rFonts w:ascii="Verdana" w:hAnsi="Verdana"/>
          <w:sz w:val="20"/>
          <w:szCs w:val="20"/>
        </w:rPr>
        <w:t xml:space="preserve"> in traditional territories of indigenous or tribal communities, the State must comply with the following safeguards: (i) conduct an appropriate and participatory process that guarantees their right to consultation; (ii) make a prior social and environmental impact assessment, and (iii) as appropriate, reasonably share the benefits produced by the exploitation of the natural resources.</w:t>
      </w:r>
      <w:r w:rsidR="001C303C" w:rsidRPr="0031391B">
        <w:rPr>
          <w:rFonts w:ascii="Verdana" w:hAnsi="Verdana"/>
          <w:sz w:val="20"/>
          <w:szCs w:val="20"/>
        </w:rPr>
        <w:t>”</w:t>
      </w:r>
      <w:r w:rsidR="00EB7A9A" w:rsidRPr="0031391B">
        <w:rPr>
          <w:rStyle w:val="FootnoteReference"/>
          <w:rFonts w:ascii="Verdana" w:eastAsia="Batang" w:hAnsi="Verdana"/>
          <w:sz w:val="20"/>
          <w:szCs w:val="20"/>
        </w:rPr>
        <w:footnoteReference w:id="4"/>
      </w:r>
      <w:r w:rsidR="00EB7A9A" w:rsidRPr="0031391B">
        <w:rPr>
          <w:rFonts w:ascii="Verdana" w:hAnsi="Verdana"/>
          <w:sz w:val="20"/>
          <w:szCs w:val="20"/>
        </w:rPr>
        <w:t xml:space="preserve"> </w:t>
      </w:r>
    </w:p>
    <w:p w14:paraId="35F8CE5C" w14:textId="77777777" w:rsidR="00FB36A3" w:rsidRPr="0031391B" w:rsidRDefault="00FB36A3" w:rsidP="00EB7A9A">
      <w:pPr>
        <w:pStyle w:val="ListParagraph"/>
        <w:spacing w:after="0" w:line="240" w:lineRule="auto"/>
        <w:ind w:left="0"/>
        <w:jc w:val="both"/>
        <w:rPr>
          <w:rFonts w:ascii="Verdana" w:hAnsi="Verdana"/>
          <w:sz w:val="20"/>
          <w:szCs w:val="20"/>
        </w:rPr>
      </w:pPr>
    </w:p>
    <w:p w14:paraId="35F8CE5D" w14:textId="77777777" w:rsidR="00FB36A3" w:rsidRPr="0031391B" w:rsidRDefault="002465FA">
      <w:pPr>
        <w:rPr>
          <w:lang w:val="en-US"/>
        </w:rPr>
      </w:pPr>
      <w:r w:rsidRPr="0031391B">
        <w:rPr>
          <w:szCs w:val="20"/>
          <w:lang w:val="en-US"/>
        </w:rPr>
        <w:lastRenderedPageBreak/>
        <w:t xml:space="preserve">9. </w:t>
      </w:r>
      <w:r w:rsidRPr="0031391B">
        <w:rPr>
          <w:szCs w:val="20"/>
          <w:lang w:val="en-US"/>
        </w:rPr>
        <w:tab/>
      </w:r>
      <w:r w:rsidR="00FB36A3" w:rsidRPr="0031391B">
        <w:rPr>
          <w:szCs w:val="20"/>
          <w:lang w:val="en-US"/>
        </w:rPr>
        <w:t>In addition, it should be pointed out that, as established in the</w:t>
      </w:r>
      <w:r w:rsidR="00121388">
        <w:rPr>
          <w:szCs w:val="20"/>
          <w:lang w:val="en-US"/>
        </w:rPr>
        <w:t xml:space="preserve"> instant</w:t>
      </w:r>
      <w:r w:rsidR="00FB36A3" w:rsidRPr="0031391B">
        <w:rPr>
          <w:szCs w:val="20"/>
          <w:lang w:val="en-US"/>
        </w:rPr>
        <w:t xml:space="preserve"> judgment</w:t>
      </w:r>
      <w:r w:rsidR="00121388">
        <w:rPr>
          <w:szCs w:val="20"/>
          <w:lang w:val="en-US"/>
        </w:rPr>
        <w:t xml:space="preserve">, even </w:t>
      </w:r>
      <w:r w:rsidR="00FB36A3" w:rsidRPr="0031391B">
        <w:rPr>
          <w:szCs w:val="20"/>
          <w:lang w:val="en-US"/>
        </w:rPr>
        <w:t xml:space="preserve">though Suriname is not a party to ILO Convention 169, the Court reiterated what it had established in the </w:t>
      </w:r>
      <w:r w:rsidR="00B92EAA" w:rsidRPr="0031391B">
        <w:rPr>
          <w:i/>
          <w:szCs w:val="20"/>
          <w:lang w:val="en-US"/>
        </w:rPr>
        <w:t>Saram</w:t>
      </w:r>
      <w:r w:rsidRPr="0031391B">
        <w:rPr>
          <w:i/>
          <w:szCs w:val="20"/>
          <w:lang w:val="en-US"/>
        </w:rPr>
        <w:t>a</w:t>
      </w:r>
      <w:r w:rsidR="00B92EAA" w:rsidRPr="0031391B">
        <w:rPr>
          <w:i/>
          <w:szCs w:val="20"/>
          <w:lang w:val="en-US"/>
        </w:rPr>
        <w:t>ka</w:t>
      </w:r>
      <w:r w:rsidR="00FB36A3" w:rsidRPr="0031391B">
        <w:rPr>
          <w:i/>
          <w:szCs w:val="20"/>
          <w:lang w:val="en-US"/>
        </w:rPr>
        <w:t xml:space="preserve"> </w:t>
      </w:r>
      <w:r w:rsidR="00FB36A3" w:rsidRPr="0031391B">
        <w:rPr>
          <w:szCs w:val="20"/>
          <w:lang w:val="en-US"/>
        </w:rPr>
        <w:t>case,</w:t>
      </w:r>
      <w:r w:rsidR="00BF0BEE" w:rsidRPr="0031391B">
        <w:rPr>
          <w:rStyle w:val="FootnoteReference"/>
          <w:szCs w:val="20"/>
          <w:lang w:val="en-US"/>
        </w:rPr>
        <w:footnoteReference w:id="5"/>
      </w:r>
      <w:r w:rsidR="00FB36A3" w:rsidRPr="0031391B">
        <w:rPr>
          <w:szCs w:val="20"/>
          <w:lang w:val="en-US"/>
        </w:rPr>
        <w:t xml:space="preserve"> to the effect that “the right to property </w:t>
      </w:r>
      <w:r w:rsidR="00FB36A3" w:rsidRPr="0031391B">
        <w:rPr>
          <w:lang w:val="en-US"/>
        </w:rPr>
        <w:t>protected by Article 21 of the American Convention, and interpreted in light of the rights recognized in Article 1 common to the two Covenants, and Article 27 of the ICCPR, which cannot be restricted when interpreting the American Convention in this case, confer on the members of the Kaliña and Lokono peoples the right to the enjoyment of their property in keeping with their community-based tradition.</w:t>
      </w:r>
      <w:r w:rsidR="00B92EAA" w:rsidRPr="0031391B">
        <w:rPr>
          <w:szCs w:val="20"/>
          <w:lang w:val="en-US"/>
        </w:rPr>
        <w:t>”</w:t>
      </w:r>
      <w:r w:rsidRPr="0031391B">
        <w:rPr>
          <w:rStyle w:val="FootnoteReference"/>
          <w:szCs w:val="20"/>
          <w:lang w:val="en-US"/>
        </w:rPr>
        <w:footnoteReference w:id="6"/>
      </w:r>
      <w:r w:rsidR="00F92DA6" w:rsidRPr="0031391B">
        <w:rPr>
          <w:szCs w:val="20"/>
          <w:lang w:val="en-US"/>
        </w:rPr>
        <w:t xml:space="preserve"> </w:t>
      </w:r>
    </w:p>
    <w:p w14:paraId="35F8CE5E" w14:textId="77777777" w:rsidR="00B92EAA" w:rsidRPr="0031391B" w:rsidRDefault="00B92EAA">
      <w:pPr>
        <w:rPr>
          <w:szCs w:val="20"/>
          <w:lang w:val="en-US"/>
        </w:rPr>
      </w:pPr>
    </w:p>
    <w:p w14:paraId="35F8CE5F" w14:textId="77777777" w:rsidR="00B92EAA" w:rsidRPr="0031391B" w:rsidRDefault="002A3DD3">
      <w:pPr>
        <w:rPr>
          <w:lang w:val="en-US"/>
        </w:rPr>
      </w:pPr>
      <w:r w:rsidRPr="0031391B">
        <w:rPr>
          <w:szCs w:val="20"/>
          <w:lang w:val="en-US"/>
        </w:rPr>
        <w:t xml:space="preserve">10. </w:t>
      </w:r>
      <w:r w:rsidRPr="0031391B">
        <w:rPr>
          <w:szCs w:val="20"/>
          <w:lang w:val="en-US"/>
        </w:rPr>
        <w:tab/>
      </w:r>
      <w:r w:rsidR="00FB36A3" w:rsidRPr="0031391B">
        <w:rPr>
          <w:szCs w:val="20"/>
          <w:lang w:val="en-US"/>
        </w:rPr>
        <w:t xml:space="preserve">Thus, </w:t>
      </w:r>
      <w:r w:rsidR="009C7232" w:rsidRPr="0031391B">
        <w:rPr>
          <w:szCs w:val="20"/>
          <w:lang w:val="en-US"/>
        </w:rPr>
        <w:t>the Court</w:t>
      </w:r>
      <w:r w:rsidR="00B92EAA" w:rsidRPr="0031391B">
        <w:rPr>
          <w:szCs w:val="20"/>
          <w:lang w:val="en-US"/>
        </w:rPr>
        <w:t xml:space="preserve"> determin</w:t>
      </w:r>
      <w:r w:rsidR="00FB36A3" w:rsidRPr="0031391B">
        <w:rPr>
          <w:szCs w:val="20"/>
          <w:lang w:val="en-US"/>
        </w:rPr>
        <w:t xml:space="preserve">ed that, applying </w:t>
      </w:r>
      <w:r w:rsidR="00F64062" w:rsidRPr="0031391B">
        <w:rPr>
          <w:szCs w:val="20"/>
          <w:lang w:val="en-US"/>
        </w:rPr>
        <w:t>the foregoing</w:t>
      </w:r>
      <w:r w:rsidR="00FB36A3" w:rsidRPr="0031391B">
        <w:rPr>
          <w:szCs w:val="20"/>
          <w:lang w:val="en-US"/>
        </w:rPr>
        <w:t xml:space="preserve"> criteria to the instant case, </w:t>
      </w:r>
      <w:r w:rsidR="00D709CF" w:rsidRPr="0031391B">
        <w:rPr>
          <w:szCs w:val="20"/>
          <w:lang w:val="en-US"/>
        </w:rPr>
        <w:t>“</w:t>
      </w:r>
      <w:r w:rsidR="00F64062" w:rsidRPr="0031391B">
        <w:rPr>
          <w:szCs w:val="20"/>
          <w:lang w:val="en-US"/>
        </w:rPr>
        <w:t xml:space="preserve">as indigenous peoples, </w:t>
      </w:r>
      <w:r w:rsidR="00FB36A3" w:rsidRPr="0031391B">
        <w:rPr>
          <w:szCs w:val="20"/>
          <w:lang w:val="en-US"/>
        </w:rPr>
        <w:t>the Kaliña and Lokono peoples</w:t>
      </w:r>
      <w:r w:rsidR="00B92EAA" w:rsidRPr="0031391B">
        <w:rPr>
          <w:szCs w:val="20"/>
          <w:lang w:val="en-US"/>
        </w:rPr>
        <w:t xml:space="preserve"> </w:t>
      </w:r>
      <w:r w:rsidR="00F64062" w:rsidRPr="0031391B">
        <w:rPr>
          <w:szCs w:val="20"/>
          <w:lang w:val="en-US"/>
        </w:rPr>
        <w:t>are</w:t>
      </w:r>
      <w:r w:rsidR="00FB36A3" w:rsidRPr="0031391B">
        <w:rPr>
          <w:szCs w:val="20"/>
          <w:lang w:val="en-US"/>
        </w:rPr>
        <w:t xml:space="preserve"> protected by international human rights law which guarantees the right to the collective territory they have use</w:t>
      </w:r>
      <w:r w:rsidR="00121388">
        <w:rPr>
          <w:szCs w:val="20"/>
          <w:lang w:val="en-US"/>
        </w:rPr>
        <w:t>d</w:t>
      </w:r>
      <w:r w:rsidR="00FB36A3" w:rsidRPr="0031391B">
        <w:rPr>
          <w:szCs w:val="20"/>
          <w:lang w:val="en-US"/>
        </w:rPr>
        <w:t xml:space="preserve"> and occupied traditionally, derived from the use and occupation of the land and of the resources </w:t>
      </w:r>
      <w:r w:rsidR="00F64062" w:rsidRPr="0031391B">
        <w:rPr>
          <w:lang w:val="en-US"/>
        </w:rPr>
        <w:t>necessary for their physical and cultural survival and, also, that the State has the obligation to adopt special measures to recognize, respect, protect and guarantee to their members the right to communal ownership of this territory.</w:t>
      </w:r>
      <w:r w:rsidR="00B92EAA" w:rsidRPr="0031391B">
        <w:rPr>
          <w:szCs w:val="20"/>
          <w:lang w:val="en-US"/>
        </w:rPr>
        <w:t>”</w:t>
      </w:r>
      <w:r w:rsidRPr="0031391B">
        <w:rPr>
          <w:rStyle w:val="FootnoteReference"/>
          <w:szCs w:val="20"/>
          <w:lang w:val="en-US"/>
        </w:rPr>
        <w:footnoteReference w:id="7"/>
      </w:r>
    </w:p>
    <w:p w14:paraId="35F8CE60" w14:textId="77777777" w:rsidR="00B92EAA" w:rsidRPr="0031391B" w:rsidRDefault="00B92EAA">
      <w:pPr>
        <w:rPr>
          <w:szCs w:val="20"/>
          <w:lang w:val="en-US"/>
        </w:rPr>
      </w:pPr>
    </w:p>
    <w:p w14:paraId="35F8CE61" w14:textId="77777777" w:rsidR="00351B7D" w:rsidRPr="0031391B" w:rsidRDefault="002A3DD3">
      <w:pPr>
        <w:rPr>
          <w:szCs w:val="20"/>
          <w:lang w:val="en-US"/>
        </w:rPr>
      </w:pPr>
      <w:r w:rsidRPr="0031391B">
        <w:rPr>
          <w:szCs w:val="20"/>
          <w:lang w:val="en-US"/>
        </w:rPr>
        <w:t xml:space="preserve">11. </w:t>
      </w:r>
      <w:r w:rsidRPr="0031391B">
        <w:rPr>
          <w:szCs w:val="20"/>
          <w:lang w:val="en-US"/>
        </w:rPr>
        <w:tab/>
      </w:r>
      <w:r w:rsidR="00F64062" w:rsidRPr="0031391B">
        <w:rPr>
          <w:szCs w:val="20"/>
          <w:lang w:val="en-US"/>
        </w:rPr>
        <w:t>Furthermore, the Court considered that, for the effect of this case, the right to consultation was also founded on Article 23 of the American Convention, in ligt of the international standards.</w:t>
      </w:r>
      <w:r w:rsidR="00D608FA" w:rsidRPr="0031391B">
        <w:rPr>
          <w:rStyle w:val="FootnoteReference"/>
          <w:szCs w:val="20"/>
          <w:lang w:val="en-US"/>
        </w:rPr>
        <w:footnoteReference w:id="8"/>
      </w:r>
      <w:r w:rsidR="00D608FA" w:rsidRPr="0031391B">
        <w:rPr>
          <w:szCs w:val="20"/>
          <w:lang w:val="en-US"/>
        </w:rPr>
        <w:t xml:space="preserve"> </w:t>
      </w:r>
      <w:r w:rsidR="00F64062" w:rsidRPr="0031391B">
        <w:rPr>
          <w:szCs w:val="20"/>
          <w:lang w:val="en-US"/>
        </w:rPr>
        <w:t xml:space="preserve">To this end, it indicated that the State must have </w:t>
      </w:r>
      <w:r w:rsidR="00B648D3" w:rsidRPr="0031391B">
        <w:rPr>
          <w:szCs w:val="20"/>
          <w:lang w:val="en-US"/>
        </w:rPr>
        <w:t>available</w:t>
      </w:r>
      <w:r w:rsidR="00F64062" w:rsidRPr="0031391B">
        <w:rPr>
          <w:szCs w:val="20"/>
          <w:lang w:val="en-US"/>
        </w:rPr>
        <w:t xml:space="preserve"> </w:t>
      </w:r>
      <w:r w:rsidR="00B648D3" w:rsidRPr="0031391B">
        <w:rPr>
          <w:szCs w:val="20"/>
          <w:lang w:val="en-US"/>
        </w:rPr>
        <w:t>“</w:t>
      </w:r>
      <w:r w:rsidR="00F64062" w:rsidRPr="0031391B">
        <w:rPr>
          <w:szCs w:val="20"/>
          <w:lang w:val="en-US"/>
        </w:rPr>
        <w:t>mechanisms for the effective participation of the indigenous peoples using procedures that are culturally adapted to the decision-making of such peoples. This is not only a matter of public interest, but also forms part of the exercise of their right to take part in any decision-making on matters that affect their interests, in accordance with their own procedures and institutions, in relation to Article 23</w:t>
      </w:r>
      <w:r w:rsidR="00B648D3" w:rsidRPr="0031391B">
        <w:rPr>
          <w:szCs w:val="20"/>
          <w:lang w:val="en-US"/>
        </w:rPr>
        <w:t xml:space="preserve"> of the American Convention.</w:t>
      </w:r>
      <w:r w:rsidR="00D608FA" w:rsidRPr="0031391B">
        <w:rPr>
          <w:szCs w:val="20"/>
          <w:lang w:val="en-US"/>
        </w:rPr>
        <w:t>”</w:t>
      </w:r>
      <w:r w:rsidR="00DB5E94" w:rsidRPr="0031391B">
        <w:rPr>
          <w:rStyle w:val="FootnoteReference"/>
          <w:szCs w:val="20"/>
          <w:lang w:val="en-US"/>
        </w:rPr>
        <w:footnoteReference w:id="9"/>
      </w:r>
    </w:p>
    <w:p w14:paraId="35F8CE62" w14:textId="77777777" w:rsidR="00B92EAA" w:rsidRPr="0031391B" w:rsidRDefault="00B92EAA">
      <w:pPr>
        <w:rPr>
          <w:szCs w:val="20"/>
          <w:lang w:val="en-US"/>
        </w:rPr>
      </w:pPr>
    </w:p>
    <w:p w14:paraId="35F8CE63" w14:textId="77777777" w:rsidR="00BF0BEE" w:rsidRPr="0031391B" w:rsidRDefault="00DB5E94" w:rsidP="00BF0BEE">
      <w:pPr>
        <w:rPr>
          <w:szCs w:val="20"/>
          <w:lang w:val="en-US"/>
        </w:rPr>
      </w:pPr>
      <w:r w:rsidRPr="0031391B">
        <w:rPr>
          <w:szCs w:val="20"/>
          <w:lang w:val="en-US"/>
        </w:rPr>
        <w:t xml:space="preserve">12. </w:t>
      </w:r>
      <w:r w:rsidRPr="0031391B">
        <w:rPr>
          <w:szCs w:val="20"/>
          <w:lang w:val="en-US"/>
        </w:rPr>
        <w:tab/>
      </w:r>
      <w:r w:rsidR="00B648D3" w:rsidRPr="0031391B">
        <w:rPr>
          <w:szCs w:val="20"/>
          <w:lang w:val="en-US"/>
        </w:rPr>
        <w:t xml:space="preserve">Consequently, it is clear that the effective participation mentioned in Chapter B.4, </w:t>
      </w:r>
      <w:r w:rsidR="00FB36A3" w:rsidRPr="0031391B">
        <w:rPr>
          <w:szCs w:val="20"/>
          <w:lang w:val="en-US"/>
        </w:rPr>
        <w:t>paragraphs</w:t>
      </w:r>
      <w:r w:rsidR="00B648D3" w:rsidRPr="0031391B">
        <w:rPr>
          <w:szCs w:val="20"/>
          <w:lang w:val="en-US"/>
        </w:rPr>
        <w:t xml:space="preserve"> 204 to</w:t>
      </w:r>
      <w:r w:rsidR="00F92DA6" w:rsidRPr="0031391B">
        <w:rPr>
          <w:szCs w:val="20"/>
          <w:lang w:val="en-US"/>
        </w:rPr>
        <w:t xml:space="preserve"> 212 </w:t>
      </w:r>
      <w:r w:rsidR="00B648D3" w:rsidRPr="0031391B">
        <w:rPr>
          <w:szCs w:val="20"/>
          <w:lang w:val="en-US"/>
        </w:rPr>
        <w:t>of the Judgment must be understood to guarantee prior, free and informed consultation, in accordance with the case law evolved by this Court in this regard.</w:t>
      </w:r>
    </w:p>
    <w:p w14:paraId="35F8CE64" w14:textId="77777777" w:rsidR="00BF0BEE" w:rsidRPr="0031391B" w:rsidRDefault="00BF0BEE">
      <w:pPr>
        <w:rPr>
          <w:szCs w:val="20"/>
          <w:lang w:val="en-US"/>
        </w:rPr>
      </w:pPr>
    </w:p>
    <w:p w14:paraId="35F8CE65" w14:textId="77777777" w:rsidR="00B92EAA" w:rsidRPr="0031391B" w:rsidRDefault="00DB5E94">
      <w:pPr>
        <w:rPr>
          <w:szCs w:val="20"/>
          <w:lang w:val="en-US"/>
        </w:rPr>
      </w:pPr>
      <w:r w:rsidRPr="0031391B">
        <w:rPr>
          <w:szCs w:val="20"/>
          <w:lang w:val="en-US"/>
        </w:rPr>
        <w:t xml:space="preserve">13. </w:t>
      </w:r>
      <w:r w:rsidRPr="0031391B">
        <w:rPr>
          <w:szCs w:val="20"/>
          <w:lang w:val="en-US"/>
        </w:rPr>
        <w:tab/>
      </w:r>
      <w:r w:rsidR="00D608FA" w:rsidRPr="0031391B">
        <w:rPr>
          <w:szCs w:val="20"/>
          <w:lang w:val="en-US"/>
        </w:rPr>
        <w:t>Re</w:t>
      </w:r>
      <w:r w:rsidR="00B648D3" w:rsidRPr="0031391B">
        <w:rPr>
          <w:szCs w:val="20"/>
          <w:lang w:val="en-US"/>
        </w:rPr>
        <w:t>garding the moment at which the prior consultation should be conducted, the Court established that</w:t>
      </w:r>
      <w:r w:rsidR="00D608FA" w:rsidRPr="0031391B">
        <w:rPr>
          <w:szCs w:val="20"/>
          <w:lang w:val="en-US"/>
        </w:rPr>
        <w:t>:</w:t>
      </w:r>
    </w:p>
    <w:p w14:paraId="35F8CE66" w14:textId="77777777" w:rsidR="00D608FA" w:rsidRPr="0031391B" w:rsidRDefault="00D608FA">
      <w:pPr>
        <w:rPr>
          <w:szCs w:val="20"/>
          <w:lang w:val="en-US"/>
        </w:rPr>
      </w:pPr>
    </w:p>
    <w:p w14:paraId="35F8CE67" w14:textId="77777777" w:rsidR="00D608FA" w:rsidRPr="0031391B" w:rsidRDefault="00FB36A3" w:rsidP="00B266C5">
      <w:pPr>
        <w:pStyle w:val="ListParagraph"/>
        <w:numPr>
          <w:ilvl w:val="0"/>
          <w:numId w:val="5"/>
        </w:numPr>
        <w:spacing w:after="0" w:line="240" w:lineRule="auto"/>
        <w:ind w:left="567" w:right="616" w:firstLine="0"/>
        <w:jc w:val="both"/>
        <w:rPr>
          <w:rFonts w:ascii="Verdana" w:hAnsi="Verdana"/>
          <w:sz w:val="20"/>
          <w:szCs w:val="20"/>
        </w:rPr>
      </w:pPr>
      <w:r w:rsidRPr="0031391B">
        <w:rPr>
          <w:rFonts w:ascii="Verdana" w:hAnsi="Verdana"/>
          <w:sz w:val="20"/>
        </w:rPr>
        <w:t>In this regard, the Court has already established that the State must ensure the effective participation “with regard to any development, investment, exploration or extraction plan.”</w:t>
      </w:r>
      <w:r w:rsidRPr="0031391B">
        <w:rPr>
          <w:rStyle w:val="FootnoteReference"/>
          <w:rFonts w:eastAsia="MS Mincho"/>
        </w:rPr>
        <w:footnoteReference w:id="10"/>
      </w:r>
      <w:r w:rsidRPr="0031391B">
        <w:rPr>
          <w:rFonts w:ascii="Verdana" w:hAnsi="Verdana"/>
          <w:sz w:val="20"/>
        </w:rPr>
        <w:t xml:space="preserve"> In particular,</w:t>
      </w:r>
      <w:r w:rsidRPr="0031391B">
        <w:rPr>
          <w:rFonts w:ascii="Verdana" w:hAnsi="Verdana"/>
          <w:sz w:val="20"/>
          <w:szCs w:val="20"/>
        </w:rPr>
        <w:t xml:space="preserve"> the Court referred to development and investment plans as “any activity that may </w:t>
      </w:r>
      <w:r w:rsidRPr="0031391B">
        <w:rPr>
          <w:rFonts w:ascii="Verdana" w:hAnsi="Verdana"/>
          <w:sz w:val="20"/>
          <w:szCs w:val="20"/>
        </w:rPr>
        <w:lastRenderedPageBreak/>
        <w:t>affect the integrity of the lands and natural resources […]; specifically, any proposal related to logging or mining concessions.</w:t>
      </w:r>
      <w:r w:rsidR="00D608FA" w:rsidRPr="0031391B">
        <w:rPr>
          <w:rFonts w:ascii="Verdana" w:hAnsi="Verdana"/>
          <w:sz w:val="20"/>
          <w:szCs w:val="20"/>
        </w:rPr>
        <w:t>”</w:t>
      </w:r>
      <w:r w:rsidR="00D608FA" w:rsidRPr="0031391B">
        <w:rPr>
          <w:rStyle w:val="FootnoteReference"/>
          <w:rFonts w:ascii="Verdana" w:eastAsia="MS Mincho" w:hAnsi="Verdana"/>
          <w:sz w:val="20"/>
          <w:szCs w:val="20"/>
        </w:rPr>
        <w:footnoteReference w:id="11"/>
      </w:r>
      <w:r w:rsidR="00D608FA" w:rsidRPr="0031391B">
        <w:rPr>
          <w:rFonts w:ascii="Verdana" w:hAnsi="Verdana"/>
          <w:sz w:val="20"/>
          <w:szCs w:val="20"/>
        </w:rPr>
        <w:t xml:space="preserve"> </w:t>
      </w:r>
    </w:p>
    <w:p w14:paraId="35F8CE68" w14:textId="77777777" w:rsidR="00D608FA" w:rsidRPr="0031391B" w:rsidRDefault="00D608FA" w:rsidP="00D608FA">
      <w:pPr>
        <w:pStyle w:val="ListParagraph"/>
        <w:ind w:left="567" w:right="616"/>
        <w:jc w:val="both"/>
        <w:rPr>
          <w:rFonts w:ascii="Verdana" w:hAnsi="Verdana"/>
          <w:sz w:val="20"/>
          <w:szCs w:val="20"/>
        </w:rPr>
      </w:pPr>
    </w:p>
    <w:p w14:paraId="35F8CE69" w14:textId="77777777" w:rsidR="00FB36A3" w:rsidRPr="0031391B" w:rsidRDefault="00FB36A3" w:rsidP="00D608FA">
      <w:pPr>
        <w:pStyle w:val="ListParagraph"/>
        <w:numPr>
          <w:ilvl w:val="0"/>
          <w:numId w:val="5"/>
        </w:numPr>
        <w:spacing w:after="0" w:line="240" w:lineRule="auto"/>
        <w:ind w:left="567" w:right="616" w:firstLine="0"/>
        <w:jc w:val="both"/>
        <w:rPr>
          <w:rFonts w:ascii="Verdana" w:hAnsi="Verdana"/>
          <w:sz w:val="20"/>
          <w:szCs w:val="20"/>
        </w:rPr>
      </w:pPr>
      <w:r w:rsidRPr="0031391B">
        <w:rPr>
          <w:rFonts w:ascii="Verdana" w:hAnsi="Verdana"/>
          <w:sz w:val="20"/>
        </w:rPr>
        <w:t>In this regard, the Court considers that the State’s duty in relation to this guarantee must be complied with prior to the execution of activities that may have a relevant impact on the interests of the indigenous and tribal peoples, such as the exploration, and the exploitation or extraction stages. In this case, although the mining concession was granted in 1958, the bauxite extraction operations began in 1997 – that is, 40 years later – at which time, the company had determined the precise place where the extraction operations would be implemented in relation to the rest of the territory that had previously been explored. The guarantee of effective participation should have been put in practice before the start of the mining extraction or exploitation operations, which did not happen in this case. In particular, with regard to the Kaliña and Lokono peoples who were nearby and had a direct relationship with the area, and whose traditional territory was adversely affected (</w:t>
      </w:r>
      <w:r w:rsidRPr="0031391B">
        <w:rPr>
          <w:rFonts w:ascii="Verdana" w:hAnsi="Verdana"/>
          <w:i/>
          <w:sz w:val="20"/>
        </w:rPr>
        <w:t>supra</w:t>
      </w:r>
      <w:r w:rsidRPr="0031391B">
        <w:rPr>
          <w:rFonts w:ascii="Verdana" w:hAnsi="Verdana"/>
          <w:sz w:val="20"/>
        </w:rPr>
        <w:t xml:space="preserve"> para. 92)</w:t>
      </w:r>
    </w:p>
    <w:p w14:paraId="35F8CE6A" w14:textId="77777777" w:rsidR="00D608FA" w:rsidRPr="0031391B" w:rsidRDefault="00D608FA">
      <w:pPr>
        <w:rPr>
          <w:szCs w:val="20"/>
          <w:lang w:val="en-US"/>
        </w:rPr>
      </w:pPr>
    </w:p>
    <w:p w14:paraId="35F8CE6B" w14:textId="77777777" w:rsidR="009D359F" w:rsidRPr="0031391B" w:rsidRDefault="00DB5E94">
      <w:pPr>
        <w:rPr>
          <w:szCs w:val="20"/>
          <w:lang w:val="en-US"/>
        </w:rPr>
      </w:pPr>
      <w:r w:rsidRPr="0031391B">
        <w:rPr>
          <w:szCs w:val="20"/>
          <w:lang w:val="en-US"/>
        </w:rPr>
        <w:t xml:space="preserve">14. </w:t>
      </w:r>
      <w:r w:rsidRPr="0031391B">
        <w:rPr>
          <w:szCs w:val="20"/>
          <w:lang w:val="en-US"/>
        </w:rPr>
        <w:tab/>
      </w:r>
      <w:r w:rsidR="00B648D3" w:rsidRPr="0031391B">
        <w:rPr>
          <w:szCs w:val="20"/>
          <w:lang w:val="en-US"/>
        </w:rPr>
        <w:t xml:space="preserve">We </w:t>
      </w:r>
      <w:r w:rsidR="00121388">
        <w:rPr>
          <w:szCs w:val="20"/>
          <w:lang w:val="en-US"/>
        </w:rPr>
        <w:t>concur with this specific point</w:t>
      </w:r>
      <w:r w:rsidR="00B648D3" w:rsidRPr="0031391B">
        <w:rPr>
          <w:szCs w:val="20"/>
          <w:lang w:val="en-US"/>
        </w:rPr>
        <w:t xml:space="preserve"> because</w:t>
      </w:r>
      <w:r w:rsidR="00121388">
        <w:rPr>
          <w:szCs w:val="20"/>
          <w:lang w:val="en-US"/>
        </w:rPr>
        <w:t xml:space="preserve">, even </w:t>
      </w:r>
      <w:r w:rsidR="00B648D3" w:rsidRPr="0031391B">
        <w:rPr>
          <w:szCs w:val="20"/>
          <w:lang w:val="en-US"/>
        </w:rPr>
        <w:t>though the Court did not have competence to analyze the moment before the intial c</w:t>
      </w:r>
      <w:r w:rsidR="00121388">
        <w:rPr>
          <w:szCs w:val="20"/>
          <w:lang w:val="en-US"/>
        </w:rPr>
        <w:t>oncession was granted, it is extremely relevant</w:t>
      </w:r>
      <w:r w:rsidR="00B648D3" w:rsidRPr="0031391B">
        <w:rPr>
          <w:szCs w:val="20"/>
          <w:lang w:val="en-US"/>
        </w:rPr>
        <w:t xml:space="preserve"> for the particul</w:t>
      </w:r>
      <w:r w:rsidR="00121388">
        <w:rPr>
          <w:szCs w:val="20"/>
          <w:lang w:val="en-US"/>
        </w:rPr>
        <w:t>ar characteristics of this case</w:t>
      </w:r>
      <w:r w:rsidR="00B648D3" w:rsidRPr="0031391B">
        <w:rPr>
          <w:szCs w:val="20"/>
          <w:lang w:val="en-US"/>
        </w:rPr>
        <w:t xml:space="preserve"> to stress that the obligation to consult comes into force prior to different moments. In this regard, a mining project </w:t>
      </w:r>
      <w:r w:rsidR="00121388">
        <w:rPr>
          <w:szCs w:val="20"/>
          <w:lang w:val="en-US"/>
        </w:rPr>
        <w:t>is composed of different stages</w:t>
      </w:r>
      <w:r w:rsidR="00B648D3" w:rsidRPr="0031391B">
        <w:rPr>
          <w:szCs w:val="20"/>
          <w:lang w:val="en-US"/>
        </w:rPr>
        <w:t xml:space="preserve"> including </w:t>
      </w:r>
      <w:r w:rsidR="00121388">
        <w:rPr>
          <w:szCs w:val="20"/>
          <w:lang w:val="en-US"/>
        </w:rPr>
        <w:t>exploration,</w:t>
      </w:r>
      <w:r w:rsidR="00B648D3" w:rsidRPr="0031391B">
        <w:rPr>
          <w:szCs w:val="20"/>
          <w:lang w:val="en-US"/>
        </w:rPr>
        <w:t xml:space="preserve"> feasibility, construction and exploit</w:t>
      </w:r>
      <w:r w:rsidR="00121388">
        <w:rPr>
          <w:szCs w:val="20"/>
          <w:lang w:val="en-US"/>
        </w:rPr>
        <w:t>a</w:t>
      </w:r>
      <w:r w:rsidR="00B648D3" w:rsidRPr="0031391B">
        <w:rPr>
          <w:szCs w:val="20"/>
          <w:lang w:val="en-US"/>
        </w:rPr>
        <w:t>tion, a</w:t>
      </w:r>
      <w:r w:rsidR="00121388">
        <w:rPr>
          <w:szCs w:val="20"/>
          <w:lang w:val="en-US"/>
        </w:rPr>
        <w:t>s well as that of project</w:t>
      </w:r>
      <w:r w:rsidR="00B648D3" w:rsidRPr="0031391B">
        <w:rPr>
          <w:szCs w:val="20"/>
          <w:lang w:val="en-US"/>
        </w:rPr>
        <w:t xml:space="preserve"> closure. </w:t>
      </w:r>
      <w:r w:rsidR="00121388">
        <w:rPr>
          <w:szCs w:val="20"/>
          <w:lang w:val="en-US"/>
        </w:rPr>
        <w:t>Thus, the execution of each stage</w:t>
      </w:r>
      <w:r w:rsidR="00B648D3" w:rsidRPr="0031391B">
        <w:rPr>
          <w:szCs w:val="20"/>
          <w:lang w:val="en-US"/>
        </w:rPr>
        <w:t xml:space="preserve"> is an independent act, and although the stages are interrelated and are the result of the original act of the concession itself, owing to their characteristics, they should</w:t>
      </w:r>
      <w:r w:rsidR="00121388">
        <w:rPr>
          <w:szCs w:val="20"/>
          <w:lang w:val="en-US"/>
        </w:rPr>
        <w:t xml:space="preserve"> each</w:t>
      </w:r>
      <w:r w:rsidR="00B648D3" w:rsidRPr="0031391B">
        <w:rPr>
          <w:szCs w:val="20"/>
          <w:lang w:val="en-US"/>
        </w:rPr>
        <w:t xml:space="preserve"> be subject to prior consultation. In this case, </w:t>
      </w:r>
      <w:r w:rsidR="00121388">
        <w:rPr>
          <w:szCs w:val="20"/>
          <w:lang w:val="en-US"/>
        </w:rPr>
        <w:t>the Court noted that</w:t>
      </w:r>
      <w:r w:rsidR="00B648D3" w:rsidRPr="0031391B">
        <w:rPr>
          <w:szCs w:val="20"/>
          <w:lang w:val="en-US"/>
        </w:rPr>
        <w:t xml:space="preserve"> bauxite extraction operations – one of the most important activities of the mining project – started in Wane Kreek</w:t>
      </w:r>
      <w:r w:rsidR="00121388" w:rsidRPr="00121388">
        <w:rPr>
          <w:szCs w:val="20"/>
          <w:lang w:val="en-US"/>
        </w:rPr>
        <w:t xml:space="preserve"> </w:t>
      </w:r>
      <w:r w:rsidR="00121388">
        <w:rPr>
          <w:szCs w:val="20"/>
          <w:lang w:val="en-US"/>
        </w:rPr>
        <w:t>in 1997</w:t>
      </w:r>
      <w:r w:rsidR="00B648D3" w:rsidRPr="0031391B">
        <w:rPr>
          <w:szCs w:val="20"/>
          <w:lang w:val="en-US"/>
        </w:rPr>
        <w:t xml:space="preserve">. The Court also verified the environmental consequences of these </w:t>
      </w:r>
      <w:r w:rsidR="00121388">
        <w:rPr>
          <w:szCs w:val="20"/>
          <w:lang w:val="en-US"/>
        </w:rPr>
        <w:t>activities</w:t>
      </w:r>
      <w:r w:rsidR="00B648D3" w:rsidRPr="0031391B">
        <w:rPr>
          <w:szCs w:val="20"/>
          <w:lang w:val="en-US"/>
        </w:rPr>
        <w:t xml:space="preserve"> in the area.</w:t>
      </w:r>
      <w:r w:rsidR="00A55A58" w:rsidRPr="0031391B">
        <w:rPr>
          <w:rStyle w:val="FootnoteReference"/>
          <w:szCs w:val="20"/>
          <w:lang w:val="en-US"/>
        </w:rPr>
        <w:footnoteReference w:id="12"/>
      </w:r>
    </w:p>
    <w:p w14:paraId="35F8CE6C" w14:textId="77777777" w:rsidR="009D359F" w:rsidRPr="0031391B" w:rsidRDefault="009D359F">
      <w:pPr>
        <w:rPr>
          <w:szCs w:val="20"/>
          <w:highlight w:val="yellow"/>
          <w:lang w:val="en-US"/>
        </w:rPr>
      </w:pPr>
    </w:p>
    <w:p w14:paraId="35F8CE6D" w14:textId="77777777" w:rsidR="00B648D3" w:rsidRPr="0031391B" w:rsidRDefault="00DB5E94" w:rsidP="00300069">
      <w:pPr>
        <w:rPr>
          <w:szCs w:val="20"/>
          <w:lang w:val="en-US"/>
        </w:rPr>
      </w:pPr>
      <w:r w:rsidRPr="0031391B">
        <w:rPr>
          <w:szCs w:val="20"/>
          <w:lang w:val="en-US"/>
        </w:rPr>
        <w:t xml:space="preserve">15. </w:t>
      </w:r>
      <w:r w:rsidRPr="0031391B">
        <w:rPr>
          <w:szCs w:val="20"/>
          <w:lang w:val="en-US"/>
        </w:rPr>
        <w:tab/>
      </w:r>
      <w:r w:rsidR="00B648D3" w:rsidRPr="0031391B">
        <w:rPr>
          <w:szCs w:val="20"/>
          <w:lang w:val="en-US"/>
        </w:rPr>
        <w:t xml:space="preserve">Thus, the State obligation in relation to development projects in indigenous or tribal territory arises from the moment at which </w:t>
      </w:r>
      <w:r w:rsidR="00121388">
        <w:rPr>
          <w:szCs w:val="20"/>
          <w:lang w:val="en-US"/>
        </w:rPr>
        <w:t>the State</w:t>
      </w:r>
      <w:r w:rsidR="00B648D3" w:rsidRPr="0031391B">
        <w:rPr>
          <w:szCs w:val="20"/>
          <w:lang w:val="en-US"/>
        </w:rPr>
        <w:t xml:space="preserve"> accept the obligations contained in the provisions of the American Convention, regardless of the moment at which the concession is granted, because, as mentioned previously, </w:t>
      </w:r>
      <w:r w:rsidR="00121388">
        <w:rPr>
          <w:szCs w:val="20"/>
          <w:lang w:val="en-US"/>
        </w:rPr>
        <w:t>it</w:t>
      </w:r>
      <w:r w:rsidR="00B648D3" w:rsidRPr="0031391B">
        <w:rPr>
          <w:szCs w:val="20"/>
          <w:lang w:val="en-US"/>
        </w:rPr>
        <w:t xml:space="preserve"> includes independent stages. Denying this and </w:t>
      </w:r>
      <w:r w:rsidR="00121388">
        <w:rPr>
          <w:szCs w:val="20"/>
          <w:lang w:val="en-US"/>
        </w:rPr>
        <w:t xml:space="preserve">understanding </w:t>
      </w:r>
      <w:r w:rsidR="00B648D3" w:rsidRPr="0031391B">
        <w:rPr>
          <w:szCs w:val="20"/>
          <w:lang w:val="en-US"/>
        </w:rPr>
        <w:t>prior consultation</w:t>
      </w:r>
      <w:r w:rsidR="00121388">
        <w:rPr>
          <w:szCs w:val="20"/>
          <w:lang w:val="en-US"/>
        </w:rPr>
        <w:t xml:space="preserve"> in a different way</w:t>
      </w:r>
      <w:r w:rsidR="00B648D3" w:rsidRPr="0031391B">
        <w:rPr>
          <w:szCs w:val="20"/>
          <w:lang w:val="en-US"/>
        </w:rPr>
        <w:t xml:space="preserve">, </w:t>
      </w:r>
      <w:r w:rsidR="00032967" w:rsidRPr="0031391B">
        <w:rPr>
          <w:szCs w:val="20"/>
          <w:lang w:val="en-US"/>
        </w:rPr>
        <w:t xml:space="preserve">confining it explicitly only to the </w:t>
      </w:r>
      <w:r w:rsidR="00121388">
        <w:rPr>
          <w:szCs w:val="20"/>
          <w:lang w:val="en-US"/>
        </w:rPr>
        <w:t>initial</w:t>
      </w:r>
      <w:r w:rsidR="00032967" w:rsidRPr="0031391B">
        <w:rPr>
          <w:szCs w:val="20"/>
          <w:lang w:val="en-US"/>
        </w:rPr>
        <w:t xml:space="preserve"> stages of the concession of a project, would lead to the absurd situation of permitting new exploit</w:t>
      </w:r>
      <w:r w:rsidR="00121388">
        <w:rPr>
          <w:szCs w:val="20"/>
          <w:lang w:val="en-US"/>
        </w:rPr>
        <w:t>a</w:t>
      </w:r>
      <w:r w:rsidR="000E0B89">
        <w:rPr>
          <w:szCs w:val="20"/>
          <w:lang w:val="en-US"/>
        </w:rPr>
        <w:t>tions that have an immediate</w:t>
      </w:r>
      <w:r w:rsidR="00032967" w:rsidRPr="0031391B">
        <w:rPr>
          <w:szCs w:val="20"/>
          <w:lang w:val="en-US"/>
        </w:rPr>
        <w:t xml:space="preserve"> impact on indigenous territory and culture, affecting them for the rest of the time that the concession is valid. Evidently, since consultation is a constant process of dialogue, it should not be restricted merely to </w:t>
      </w:r>
      <w:r w:rsidR="000E0B89">
        <w:rPr>
          <w:szCs w:val="20"/>
          <w:lang w:val="en-US"/>
        </w:rPr>
        <w:t>the initial stages of a project; rather,</w:t>
      </w:r>
      <w:r w:rsidR="00032967" w:rsidRPr="0031391B">
        <w:rPr>
          <w:szCs w:val="20"/>
          <w:lang w:val="en-US"/>
        </w:rPr>
        <w:t xml:space="preserve"> the obligation arises when</w:t>
      </w:r>
      <w:r w:rsidR="000E0B89">
        <w:rPr>
          <w:szCs w:val="20"/>
          <w:lang w:val="en-US"/>
        </w:rPr>
        <w:t>ever</w:t>
      </w:r>
      <w:r w:rsidR="00032967" w:rsidRPr="0031391B">
        <w:rPr>
          <w:szCs w:val="20"/>
          <w:lang w:val="en-US"/>
        </w:rPr>
        <w:t xml:space="preserve"> there is a possible impact on the traditional indigenous or tribal life </w:t>
      </w:r>
      <w:r w:rsidR="000E0B89">
        <w:rPr>
          <w:szCs w:val="20"/>
          <w:lang w:val="en-US"/>
        </w:rPr>
        <w:t>concerned.</w:t>
      </w:r>
    </w:p>
    <w:p w14:paraId="35F8CE6E" w14:textId="77777777" w:rsidR="00DB5E94" w:rsidRPr="0031391B" w:rsidRDefault="00DB5E94" w:rsidP="00BE48AC">
      <w:pPr>
        <w:pStyle w:val="ListParagraph"/>
        <w:spacing w:after="0" w:line="240" w:lineRule="auto"/>
        <w:ind w:left="0"/>
        <w:jc w:val="both"/>
        <w:rPr>
          <w:rFonts w:ascii="Verdana" w:eastAsia="Batang" w:hAnsi="Verdana" w:cs="Times"/>
          <w:noProof/>
          <w:sz w:val="20"/>
          <w:szCs w:val="20"/>
        </w:rPr>
      </w:pPr>
    </w:p>
    <w:p w14:paraId="35F8CE6F" w14:textId="1FCE12B4" w:rsidR="00BE48AC" w:rsidRPr="0031391B" w:rsidRDefault="00DB5E94" w:rsidP="00BE48AC">
      <w:pPr>
        <w:pStyle w:val="ListParagraph"/>
        <w:spacing w:after="0" w:line="240" w:lineRule="auto"/>
        <w:ind w:left="0"/>
        <w:jc w:val="both"/>
        <w:rPr>
          <w:rFonts w:ascii="Verdana" w:hAnsi="Verdana"/>
          <w:sz w:val="20"/>
          <w:szCs w:val="20"/>
        </w:rPr>
      </w:pPr>
      <w:r w:rsidRPr="0031391B">
        <w:rPr>
          <w:rFonts w:ascii="Verdana" w:eastAsia="Batang" w:hAnsi="Verdana" w:cs="Times"/>
          <w:noProof/>
          <w:sz w:val="20"/>
          <w:szCs w:val="20"/>
        </w:rPr>
        <w:t xml:space="preserve">16. </w:t>
      </w:r>
      <w:r w:rsidRPr="0031391B">
        <w:rPr>
          <w:rFonts w:ascii="Verdana" w:eastAsia="Batang" w:hAnsi="Verdana" w:cs="Times"/>
          <w:noProof/>
          <w:sz w:val="20"/>
          <w:szCs w:val="20"/>
        </w:rPr>
        <w:tab/>
      </w:r>
      <w:r w:rsidR="00032967" w:rsidRPr="0031391B">
        <w:rPr>
          <w:rFonts w:ascii="Verdana" w:eastAsia="Batang" w:hAnsi="Verdana" w:cs="Times"/>
          <w:noProof/>
          <w:sz w:val="20"/>
          <w:szCs w:val="20"/>
        </w:rPr>
        <w:t xml:space="preserve">Based on the above, as </w:t>
      </w:r>
      <w:r w:rsidR="000E0B89">
        <w:rPr>
          <w:rFonts w:ascii="Verdana" w:eastAsia="Batang" w:hAnsi="Verdana" w:cs="Times"/>
          <w:noProof/>
          <w:sz w:val="20"/>
          <w:szCs w:val="20"/>
        </w:rPr>
        <w:t>the Court</w:t>
      </w:r>
      <w:r w:rsidR="00032967" w:rsidRPr="0031391B">
        <w:rPr>
          <w:rFonts w:ascii="Verdana" w:eastAsia="Batang" w:hAnsi="Verdana" w:cs="Times"/>
          <w:noProof/>
          <w:sz w:val="20"/>
          <w:szCs w:val="20"/>
        </w:rPr>
        <w:t xml:space="preserve"> concluded in paragraph 212 of the Judgment, since the State failed to ensure the effective participation</w:t>
      </w:r>
      <w:r w:rsidR="00032967" w:rsidRPr="0031391B">
        <w:rPr>
          <w:rFonts w:ascii="Verdana" w:hAnsi="Verdana"/>
          <w:color w:val="000000"/>
          <w:sz w:val="20"/>
          <w:szCs w:val="20"/>
          <w:lang w:eastAsia="es-CR"/>
        </w:rPr>
        <w:t xml:space="preserve"> of the Kaliña and Lokono peoples</w:t>
      </w:r>
      <w:r w:rsidR="00032967" w:rsidRPr="0031391B">
        <w:rPr>
          <w:rFonts w:ascii="Verdana" w:eastAsia="Batang" w:hAnsi="Verdana" w:cs="Times"/>
          <w:noProof/>
          <w:sz w:val="20"/>
          <w:szCs w:val="20"/>
        </w:rPr>
        <w:t xml:space="preserve">, </w:t>
      </w:r>
      <w:r w:rsidR="00032967" w:rsidRPr="0031391B">
        <w:rPr>
          <w:rFonts w:ascii="Verdana" w:hAnsi="Verdana"/>
          <w:sz w:val="20"/>
          <w:szCs w:val="20"/>
        </w:rPr>
        <w:t xml:space="preserve">by means of a </w:t>
      </w:r>
      <w:r w:rsidR="00032967" w:rsidRPr="0031391B">
        <w:rPr>
          <w:rFonts w:ascii="Verdana" w:hAnsi="Verdana"/>
          <w:color w:val="000000"/>
          <w:sz w:val="20"/>
          <w:szCs w:val="20"/>
          <w:lang w:eastAsia="es-CR"/>
        </w:rPr>
        <w:t>consultation process, before undertaking or authorizing the exploitation of the bauxite mine within their traditional territory</w:t>
      </w:r>
      <w:r w:rsidR="00032967" w:rsidRPr="0031391B">
        <w:rPr>
          <w:rFonts w:ascii="Verdana" w:hAnsi="Verdana"/>
          <w:color w:val="000000"/>
          <w:sz w:val="20"/>
          <w:lang w:eastAsia="es-CR"/>
        </w:rPr>
        <w:t xml:space="preserve">, the State violated </w:t>
      </w:r>
      <w:r w:rsidR="00032967" w:rsidRPr="0031391B">
        <w:rPr>
          <w:rFonts w:ascii="Verdana" w:hAnsi="Verdana"/>
          <w:color w:val="000000"/>
          <w:sz w:val="20"/>
          <w:lang w:eastAsia="es-CR"/>
        </w:rPr>
        <w:lastRenderedPageBreak/>
        <w:t>Articles 21 and 23 of the Convention, in relation to Articles 1</w:t>
      </w:r>
      <w:r w:rsidR="00F01C40">
        <w:rPr>
          <w:rFonts w:ascii="Verdana" w:hAnsi="Verdana"/>
          <w:color w:val="000000"/>
          <w:sz w:val="20"/>
          <w:lang w:eastAsia="es-CR"/>
        </w:rPr>
        <w:t>.</w:t>
      </w:r>
      <w:r w:rsidR="00032967" w:rsidRPr="0031391B">
        <w:rPr>
          <w:rFonts w:ascii="Verdana" w:hAnsi="Verdana"/>
          <w:color w:val="000000"/>
          <w:sz w:val="20"/>
          <w:lang w:eastAsia="es-CR"/>
        </w:rPr>
        <w:t xml:space="preserve">1 and 2 of this instrument, to the detriment of </w:t>
      </w:r>
      <w:r w:rsidR="00FB36A3" w:rsidRPr="0031391B">
        <w:rPr>
          <w:rFonts w:ascii="Verdana" w:eastAsia="Batang" w:hAnsi="Verdana" w:cs="Times"/>
          <w:noProof/>
          <w:sz w:val="20"/>
          <w:szCs w:val="20"/>
        </w:rPr>
        <w:t>the Kaliña and Lokono peoples</w:t>
      </w:r>
      <w:r w:rsidR="009C7232" w:rsidRPr="0031391B">
        <w:rPr>
          <w:rFonts w:ascii="Verdana" w:eastAsia="Batang" w:hAnsi="Verdana" w:cs="Times"/>
          <w:noProof/>
          <w:sz w:val="20"/>
          <w:szCs w:val="20"/>
        </w:rPr>
        <w:t xml:space="preserve"> and </w:t>
      </w:r>
      <w:r w:rsidR="00032967" w:rsidRPr="0031391B">
        <w:rPr>
          <w:rFonts w:ascii="Verdana" w:eastAsia="Batang" w:hAnsi="Verdana" w:cs="Times"/>
          <w:noProof/>
          <w:sz w:val="20"/>
          <w:szCs w:val="20"/>
        </w:rPr>
        <w:t>their members.</w:t>
      </w:r>
    </w:p>
    <w:p w14:paraId="3E580EBC" w14:textId="77777777" w:rsidR="00F01C40" w:rsidRPr="0031391B" w:rsidRDefault="00F01C40">
      <w:pPr>
        <w:rPr>
          <w:szCs w:val="20"/>
          <w:lang w:val="en-US"/>
        </w:rPr>
      </w:pPr>
    </w:p>
    <w:p w14:paraId="35F8CE71" w14:textId="77777777" w:rsidR="002B2383" w:rsidRPr="0031391B" w:rsidRDefault="00032967" w:rsidP="00300069">
      <w:pPr>
        <w:jc w:val="center"/>
        <w:rPr>
          <w:b/>
          <w:szCs w:val="20"/>
          <w:lang w:val="en-US"/>
        </w:rPr>
      </w:pPr>
      <w:r w:rsidRPr="0031391B">
        <w:rPr>
          <w:b/>
          <w:szCs w:val="20"/>
          <w:lang w:val="en-US"/>
        </w:rPr>
        <w:t>Recognition of collective juridical personality</w:t>
      </w:r>
    </w:p>
    <w:p w14:paraId="35F8CE72" w14:textId="77777777" w:rsidR="00B92EAA" w:rsidRPr="0031391B" w:rsidRDefault="00B92EAA" w:rsidP="00300069">
      <w:pPr>
        <w:jc w:val="center"/>
        <w:rPr>
          <w:b/>
          <w:szCs w:val="20"/>
          <w:lang w:val="en-US"/>
        </w:rPr>
      </w:pPr>
    </w:p>
    <w:p w14:paraId="35F8CE73" w14:textId="77777777" w:rsidR="00BE48AC" w:rsidRPr="0031391B" w:rsidRDefault="00DB5E94" w:rsidP="00BE48AC">
      <w:pPr>
        <w:rPr>
          <w:szCs w:val="20"/>
          <w:lang w:val="en-US"/>
        </w:rPr>
      </w:pPr>
      <w:r w:rsidRPr="0031391B">
        <w:rPr>
          <w:szCs w:val="20"/>
          <w:lang w:val="en-US"/>
        </w:rPr>
        <w:t xml:space="preserve">17. </w:t>
      </w:r>
      <w:r w:rsidRPr="0031391B">
        <w:rPr>
          <w:szCs w:val="20"/>
          <w:lang w:val="en-US"/>
        </w:rPr>
        <w:tab/>
      </w:r>
      <w:r w:rsidR="00032967" w:rsidRPr="0031391B">
        <w:rPr>
          <w:szCs w:val="20"/>
          <w:lang w:val="en-US"/>
        </w:rPr>
        <w:t>In this Judgment, the Court, based on previous cases concerning Suriname,</w:t>
      </w:r>
      <w:r w:rsidR="00F92DA6" w:rsidRPr="0031391B">
        <w:rPr>
          <w:rStyle w:val="FootnoteReference"/>
          <w:szCs w:val="20"/>
          <w:lang w:val="en-US"/>
        </w:rPr>
        <w:footnoteReference w:id="13"/>
      </w:r>
      <w:r w:rsidR="00DC4C4F" w:rsidRPr="0031391B">
        <w:rPr>
          <w:szCs w:val="20"/>
          <w:lang w:val="en-US"/>
        </w:rPr>
        <w:t xml:space="preserve"> </w:t>
      </w:r>
      <w:r w:rsidR="00032967" w:rsidRPr="0031391B">
        <w:rPr>
          <w:szCs w:val="20"/>
          <w:lang w:val="en-US"/>
        </w:rPr>
        <w:t>declared that</w:t>
      </w:r>
      <w:r w:rsidR="00DC4C4F" w:rsidRPr="0031391B">
        <w:rPr>
          <w:szCs w:val="20"/>
          <w:lang w:val="en-US"/>
        </w:rPr>
        <w:t xml:space="preserve">: </w:t>
      </w:r>
    </w:p>
    <w:p w14:paraId="35F8CE74" w14:textId="77777777" w:rsidR="00DC4C4F" w:rsidRPr="0031391B" w:rsidRDefault="00DC4C4F" w:rsidP="00DC4C4F">
      <w:pPr>
        <w:ind w:left="567" w:right="616"/>
        <w:rPr>
          <w:szCs w:val="20"/>
          <w:lang w:val="en-US"/>
        </w:rPr>
      </w:pPr>
    </w:p>
    <w:p w14:paraId="35F8CE75" w14:textId="05F1D9DF" w:rsidR="00032967" w:rsidRPr="0031391B" w:rsidRDefault="00DC4C4F" w:rsidP="00DC4C4F">
      <w:pPr>
        <w:ind w:left="567" w:right="616"/>
        <w:rPr>
          <w:szCs w:val="20"/>
          <w:lang w:val="en-US"/>
        </w:rPr>
      </w:pPr>
      <w:r w:rsidRPr="0031391B">
        <w:rPr>
          <w:szCs w:val="20"/>
          <w:lang w:val="en-US"/>
        </w:rPr>
        <w:t>114.</w:t>
      </w:r>
      <w:r w:rsidRPr="0031391B">
        <w:rPr>
          <w:szCs w:val="20"/>
          <w:lang w:val="en-US"/>
        </w:rPr>
        <w:tab/>
      </w:r>
      <w:r w:rsidR="00032967" w:rsidRPr="0031391B">
        <w:rPr>
          <w:szCs w:val="20"/>
          <w:lang w:val="en-US"/>
        </w:rPr>
        <w:t>In conclusion, since the domestic laws of Suriname do not recognize the collective exercise of the juridical personality of the indigenous and tribal peoples, this Court finds that the State has violated Article 3 of the American Convention, to the detriment of the Kaliña and Lokono peoples, in relation to Article 2 of this instrument. In addition, for the effects of the instant case, the failure to recognize the juridical personality of the Kaliña and Lokono peoples has an impact on the violation of other rights recognized in Articles 1</w:t>
      </w:r>
      <w:r w:rsidR="00F01C40">
        <w:rPr>
          <w:szCs w:val="20"/>
          <w:lang w:val="en-US"/>
        </w:rPr>
        <w:t xml:space="preserve">.1, </w:t>
      </w:r>
      <w:r w:rsidR="00032967" w:rsidRPr="0031391B">
        <w:rPr>
          <w:szCs w:val="20"/>
          <w:lang w:val="en-US"/>
        </w:rPr>
        <w:t>21 and 25 of the Convention.</w:t>
      </w:r>
    </w:p>
    <w:p w14:paraId="35F8CE76" w14:textId="77777777" w:rsidR="00BE48AC" w:rsidRPr="0031391B" w:rsidRDefault="00BE48AC" w:rsidP="00BE48AC">
      <w:pPr>
        <w:rPr>
          <w:szCs w:val="20"/>
          <w:lang w:val="en-US"/>
        </w:rPr>
      </w:pPr>
    </w:p>
    <w:p w14:paraId="35F8CE77" w14:textId="77777777" w:rsidR="00DC4C4F" w:rsidRPr="0031391B" w:rsidRDefault="00DB5E94" w:rsidP="00BE48AC">
      <w:pPr>
        <w:rPr>
          <w:szCs w:val="20"/>
          <w:lang w:val="en-US"/>
        </w:rPr>
      </w:pPr>
      <w:r w:rsidRPr="0031391B">
        <w:rPr>
          <w:szCs w:val="20"/>
          <w:lang w:val="en-US"/>
        </w:rPr>
        <w:t xml:space="preserve">18. </w:t>
      </w:r>
      <w:r w:rsidRPr="0031391B">
        <w:rPr>
          <w:szCs w:val="20"/>
          <w:lang w:val="en-US"/>
        </w:rPr>
        <w:tab/>
      </w:r>
      <w:r w:rsidR="00032967" w:rsidRPr="0031391B">
        <w:rPr>
          <w:szCs w:val="20"/>
          <w:lang w:val="en-US"/>
        </w:rPr>
        <w:t>We concur with this reasoning, because the recognition of collective juridical personality is an essential requirements to ensure that the indigenous and tribal peoples may exercise different rights that, owing to their communal characteristics, need to be protected collectively. Thus, the Court reiterated that:</w:t>
      </w:r>
    </w:p>
    <w:p w14:paraId="35F8CE78" w14:textId="77777777" w:rsidR="005B09F1" w:rsidRPr="0031391B" w:rsidRDefault="005B09F1" w:rsidP="00BE48AC">
      <w:pPr>
        <w:rPr>
          <w:szCs w:val="20"/>
          <w:lang w:val="en-US"/>
        </w:rPr>
      </w:pPr>
    </w:p>
    <w:p w14:paraId="35F8CE79" w14:textId="77777777" w:rsidR="00614FB7" w:rsidRPr="0031391B" w:rsidRDefault="00032967" w:rsidP="00EE72B6">
      <w:pPr>
        <w:tabs>
          <w:tab w:val="left" w:pos="851"/>
          <w:tab w:val="left" w:pos="1418"/>
        </w:tabs>
        <w:ind w:left="567" w:right="616"/>
        <w:rPr>
          <w:szCs w:val="20"/>
          <w:lang w:val="en-US"/>
        </w:rPr>
      </w:pPr>
      <w:r w:rsidRPr="0031391B">
        <w:rPr>
          <w:szCs w:val="20"/>
          <w:lang w:val="en-US"/>
        </w:rPr>
        <w:t xml:space="preserve">107. </w:t>
      </w:r>
      <w:r w:rsidRPr="0031391B">
        <w:rPr>
          <w:szCs w:val="20"/>
          <w:lang w:val="en-US"/>
        </w:rPr>
        <w:tab/>
        <w:t>[…</w:t>
      </w:r>
      <w:r w:rsidR="00614FB7" w:rsidRPr="0031391B">
        <w:rPr>
          <w:szCs w:val="20"/>
          <w:lang w:val="en-US"/>
        </w:rPr>
        <w:t>] “</w:t>
      </w:r>
      <w:r w:rsidRPr="0031391B">
        <w:rPr>
          <w:szCs w:val="20"/>
          <w:lang w:val="en-US"/>
        </w:rPr>
        <w:t>the right that the State recognize their juridical personality is one of the special measures that should be granted to the indigenous and tribal groups in order to ensure that they may enjoy their territories according to their traditions. This is the natural consequence of the recognition of the right of the members of the indigenous and tribal groups to enjoy certain rights collectively.</w:t>
      </w:r>
      <w:r w:rsidRPr="0031391B">
        <w:rPr>
          <w:rFonts w:eastAsiaTheme="minorHAnsi" w:cs="Verdana"/>
          <w:szCs w:val="20"/>
          <w:lang w:val="en-US"/>
        </w:rPr>
        <w:t>”</w:t>
      </w:r>
    </w:p>
    <w:p w14:paraId="35F8CE7A" w14:textId="77777777" w:rsidR="00614FB7" w:rsidRPr="0031391B" w:rsidRDefault="00614FB7" w:rsidP="00EE72B6">
      <w:pPr>
        <w:ind w:left="567" w:right="616"/>
        <w:rPr>
          <w:szCs w:val="20"/>
          <w:lang w:val="en-US"/>
        </w:rPr>
      </w:pPr>
    </w:p>
    <w:p w14:paraId="35F8CE7B" w14:textId="77777777" w:rsidR="00032967" w:rsidRPr="0031391B" w:rsidRDefault="005B09F1" w:rsidP="00EE72B6">
      <w:pPr>
        <w:pStyle w:val="ListParagraph"/>
        <w:spacing w:after="0" w:line="240" w:lineRule="auto"/>
        <w:ind w:left="567" w:right="616"/>
        <w:jc w:val="both"/>
        <w:rPr>
          <w:sz w:val="20"/>
        </w:rPr>
      </w:pPr>
      <w:r w:rsidRPr="0031391B">
        <w:rPr>
          <w:rFonts w:ascii="Verdana" w:hAnsi="Verdana"/>
          <w:sz w:val="20"/>
          <w:szCs w:val="20"/>
        </w:rPr>
        <w:t>109.</w:t>
      </w:r>
      <w:r w:rsidRPr="0031391B">
        <w:rPr>
          <w:rFonts w:ascii="Verdana" w:hAnsi="Verdana"/>
          <w:sz w:val="20"/>
          <w:szCs w:val="20"/>
        </w:rPr>
        <w:tab/>
        <w:t>[</w:t>
      </w:r>
      <w:r w:rsidR="00032967" w:rsidRPr="0031391B">
        <w:rPr>
          <w:rFonts w:ascii="Verdana" w:hAnsi="Verdana"/>
          <w:sz w:val="20"/>
          <w:szCs w:val="20"/>
        </w:rPr>
        <w:t>…</w:t>
      </w:r>
      <w:r w:rsidRPr="0031391B">
        <w:rPr>
          <w:rFonts w:ascii="Verdana" w:hAnsi="Verdana"/>
          <w:sz w:val="20"/>
          <w:szCs w:val="20"/>
        </w:rPr>
        <w:t>] “</w:t>
      </w:r>
      <w:r w:rsidR="00032967" w:rsidRPr="0031391B">
        <w:rPr>
          <w:rFonts w:ascii="Verdana" w:hAnsi="Verdana"/>
          <w:sz w:val="20"/>
          <w:szCs w:val="20"/>
        </w:rPr>
        <w:t>the recognition of juridical personality is one way, although not the only way, to ensure that the community as a whole may enjoy and exercise fully the right to property, in accordance with their system of communal</w:t>
      </w:r>
      <w:r w:rsidR="00032967" w:rsidRPr="0031391B">
        <w:rPr>
          <w:rFonts w:ascii="Verdana" w:hAnsi="Verdana"/>
          <w:sz w:val="20"/>
        </w:rPr>
        <w:t xml:space="preserve"> ownership, as well as the right to equal judicial protection against any violation of this right.”</w:t>
      </w:r>
    </w:p>
    <w:p w14:paraId="35F8CE7C" w14:textId="77777777" w:rsidR="00DC4C4F" w:rsidRPr="0031391B" w:rsidRDefault="00DC4C4F" w:rsidP="00BE48AC">
      <w:pPr>
        <w:rPr>
          <w:szCs w:val="20"/>
          <w:lang w:val="en-US"/>
        </w:rPr>
      </w:pPr>
    </w:p>
    <w:p w14:paraId="35F8CE7D" w14:textId="77777777" w:rsidR="005B09F1" w:rsidRPr="0031391B" w:rsidRDefault="00DB5E94" w:rsidP="00BE48AC">
      <w:pPr>
        <w:rPr>
          <w:szCs w:val="20"/>
          <w:lang w:val="en-US"/>
        </w:rPr>
      </w:pPr>
      <w:r w:rsidRPr="0031391B">
        <w:rPr>
          <w:szCs w:val="20"/>
          <w:lang w:val="en-US"/>
        </w:rPr>
        <w:t xml:space="preserve">19. </w:t>
      </w:r>
      <w:r w:rsidRPr="0031391B">
        <w:rPr>
          <w:szCs w:val="20"/>
          <w:lang w:val="en-US"/>
        </w:rPr>
        <w:tab/>
      </w:r>
      <w:r w:rsidR="00032967" w:rsidRPr="0031391B">
        <w:rPr>
          <w:szCs w:val="20"/>
          <w:lang w:val="en-US"/>
        </w:rPr>
        <w:t xml:space="preserve">It should be noted that the Court took the State to task, considering that this non-compliance was “particularly serious owing to the provisions of the judgment in the </w:t>
      </w:r>
      <w:r w:rsidR="00032967" w:rsidRPr="0031391B">
        <w:rPr>
          <w:i/>
          <w:szCs w:val="20"/>
          <w:lang w:val="en-US"/>
        </w:rPr>
        <w:t>case of the Saramaka People</w:t>
      </w:r>
      <w:r w:rsidR="00032967" w:rsidRPr="0031391B">
        <w:rPr>
          <w:szCs w:val="20"/>
          <w:lang w:val="en-US"/>
        </w:rPr>
        <w:t xml:space="preserve"> of November 28, 2007 (</w:t>
      </w:r>
      <w:r w:rsidR="00032967" w:rsidRPr="0031391B">
        <w:rPr>
          <w:i/>
          <w:szCs w:val="20"/>
          <w:lang w:val="en-US"/>
        </w:rPr>
        <w:t>supra</w:t>
      </w:r>
      <w:r w:rsidR="00032967" w:rsidRPr="0031391B">
        <w:rPr>
          <w:szCs w:val="20"/>
          <w:lang w:val="en-US"/>
        </w:rPr>
        <w:t xml:space="preserve"> para. 107), which were reiterated to the State for the effects of that case, in the order on monitoring compliance of November 23, 2011.</w:t>
      </w:r>
      <w:r w:rsidR="000E0B89">
        <w:rPr>
          <w:szCs w:val="20"/>
          <w:lang w:val="en-US"/>
        </w:rPr>
        <w:t>”</w:t>
      </w:r>
      <w:r w:rsidRPr="0031391B">
        <w:rPr>
          <w:rStyle w:val="FootnoteReference"/>
          <w:szCs w:val="20"/>
          <w:lang w:val="en-US"/>
        </w:rPr>
        <w:footnoteReference w:id="14"/>
      </w:r>
    </w:p>
    <w:p w14:paraId="35F8CE7E" w14:textId="77777777" w:rsidR="00D608FA" w:rsidRPr="0031391B" w:rsidRDefault="00D608FA">
      <w:pPr>
        <w:rPr>
          <w:szCs w:val="20"/>
          <w:lang w:val="en-US"/>
        </w:rPr>
      </w:pPr>
    </w:p>
    <w:p w14:paraId="35F8CE7F" w14:textId="77777777" w:rsidR="005B09F1" w:rsidRPr="0031391B" w:rsidRDefault="00DB5E94">
      <w:pPr>
        <w:rPr>
          <w:szCs w:val="20"/>
          <w:lang w:val="en-US"/>
        </w:rPr>
      </w:pPr>
      <w:r w:rsidRPr="0031391B">
        <w:rPr>
          <w:szCs w:val="20"/>
          <w:lang w:val="en-US"/>
        </w:rPr>
        <w:t xml:space="preserve">20. </w:t>
      </w:r>
      <w:r w:rsidRPr="0031391B">
        <w:rPr>
          <w:szCs w:val="20"/>
          <w:lang w:val="en-US"/>
        </w:rPr>
        <w:tab/>
      </w:r>
      <w:r w:rsidR="00032967" w:rsidRPr="0031391B">
        <w:rPr>
          <w:szCs w:val="20"/>
          <w:lang w:val="en-US"/>
        </w:rPr>
        <w:t>Consequently, when establishing reparations, in addition to the other elements ordered in favor of</w:t>
      </w:r>
      <w:r w:rsidR="001F0768" w:rsidRPr="0031391B">
        <w:rPr>
          <w:szCs w:val="20"/>
          <w:lang w:val="en-US"/>
        </w:rPr>
        <w:t xml:space="preserve"> </w:t>
      </w:r>
      <w:r w:rsidR="00FB36A3" w:rsidRPr="0031391B">
        <w:rPr>
          <w:szCs w:val="20"/>
          <w:lang w:val="en-US"/>
        </w:rPr>
        <w:t>the Kaliña and Lokono peoples</w:t>
      </w:r>
      <w:r w:rsidR="00032967" w:rsidRPr="0031391B">
        <w:rPr>
          <w:szCs w:val="20"/>
          <w:lang w:val="en-US"/>
        </w:rPr>
        <w:t>,</w:t>
      </w:r>
      <w:r w:rsidRPr="0031391B">
        <w:rPr>
          <w:rStyle w:val="FootnoteReference"/>
          <w:szCs w:val="20"/>
          <w:lang w:val="en-US"/>
        </w:rPr>
        <w:footnoteReference w:id="15"/>
      </w:r>
      <w:r w:rsidR="00032967" w:rsidRPr="0031391B">
        <w:rPr>
          <w:szCs w:val="20"/>
          <w:lang w:val="en-US"/>
        </w:rPr>
        <w:t xml:space="preserve"> the Court ordered Suriname, as a guarantee of non-repetion, to:</w:t>
      </w:r>
      <w:r w:rsidRPr="0031391B">
        <w:rPr>
          <w:rStyle w:val="FootnoteReference"/>
          <w:szCs w:val="20"/>
          <w:lang w:val="en-US"/>
        </w:rPr>
        <w:footnoteReference w:id="16"/>
      </w:r>
      <w:r w:rsidR="005B09F1" w:rsidRPr="0031391B">
        <w:rPr>
          <w:szCs w:val="20"/>
          <w:lang w:val="en-US"/>
        </w:rPr>
        <w:t xml:space="preserve"> </w:t>
      </w:r>
    </w:p>
    <w:p w14:paraId="35F8CE80" w14:textId="77777777" w:rsidR="005B09F1" w:rsidRPr="0031391B" w:rsidRDefault="005B09F1" w:rsidP="001F0768">
      <w:pPr>
        <w:ind w:left="709" w:right="616"/>
        <w:rPr>
          <w:szCs w:val="20"/>
          <w:lang w:val="en-US"/>
        </w:rPr>
      </w:pPr>
    </w:p>
    <w:p w14:paraId="35F8CE81" w14:textId="77777777" w:rsidR="00032967" w:rsidRPr="0031391B" w:rsidRDefault="005B09F1" w:rsidP="00032967">
      <w:pPr>
        <w:ind w:left="720" w:right="648"/>
        <w:contextualSpacing/>
        <w:rPr>
          <w:szCs w:val="20"/>
          <w:lang w:val="en-US"/>
        </w:rPr>
      </w:pPr>
      <w:r w:rsidRPr="0031391B">
        <w:rPr>
          <w:szCs w:val="20"/>
          <w:lang w:val="en-US"/>
        </w:rPr>
        <w:lastRenderedPageBreak/>
        <w:t>a)</w:t>
      </w:r>
      <w:r w:rsidRPr="0031391B">
        <w:rPr>
          <w:szCs w:val="20"/>
          <w:lang w:val="en-US"/>
        </w:rPr>
        <w:tab/>
      </w:r>
      <w:r w:rsidR="00032967" w:rsidRPr="0031391B">
        <w:rPr>
          <w:szCs w:val="20"/>
          <w:lang w:val="en-US"/>
        </w:rPr>
        <w:t xml:space="preserve">Grant the indigenous and tribal peoples in Suriname legal recognition of collective juridical personality in order to ensure them the exercise and full enjoyment of their right to property in accordance with their customs and traditions, as established in paragraphs 105 to 114. The State must comply with the measures of reparation with two years of notification </w:t>
      </w:r>
      <w:r w:rsidR="000E0B89">
        <w:rPr>
          <w:szCs w:val="20"/>
          <w:lang w:val="en-US"/>
        </w:rPr>
        <w:t>of this Judgment, at the latest.</w:t>
      </w:r>
    </w:p>
    <w:p w14:paraId="35F8CE82" w14:textId="77777777" w:rsidR="005B09F1" w:rsidRDefault="005B09F1">
      <w:pPr>
        <w:rPr>
          <w:szCs w:val="20"/>
          <w:lang w:val="en-US"/>
        </w:rPr>
      </w:pPr>
    </w:p>
    <w:p w14:paraId="35F8CE85" w14:textId="77777777" w:rsidR="001F0768" w:rsidRPr="0031391B" w:rsidRDefault="00032967" w:rsidP="00AD0946">
      <w:pPr>
        <w:pStyle w:val="ListParagraph"/>
        <w:ind w:left="0"/>
        <w:jc w:val="center"/>
        <w:rPr>
          <w:rFonts w:ascii="Verdana" w:eastAsia="Batang" w:hAnsi="Verdana" w:cs="Times"/>
          <w:b/>
          <w:noProof/>
          <w:sz w:val="20"/>
          <w:szCs w:val="20"/>
        </w:rPr>
      </w:pPr>
      <w:r w:rsidRPr="0031391B">
        <w:rPr>
          <w:rFonts w:ascii="Verdana" w:eastAsia="Batang" w:hAnsi="Verdana" w:cs="Times"/>
          <w:b/>
          <w:noProof/>
          <w:sz w:val="20"/>
          <w:szCs w:val="20"/>
        </w:rPr>
        <w:t>Conclusio</w:t>
      </w:r>
      <w:r w:rsidR="008A3C30" w:rsidRPr="0031391B">
        <w:rPr>
          <w:rFonts w:ascii="Verdana" w:eastAsia="Batang" w:hAnsi="Verdana" w:cs="Times"/>
          <w:b/>
          <w:noProof/>
          <w:sz w:val="20"/>
          <w:szCs w:val="20"/>
        </w:rPr>
        <w:t>n</w:t>
      </w:r>
    </w:p>
    <w:p w14:paraId="35F8CE86" w14:textId="77777777" w:rsidR="002B2383" w:rsidRPr="0031391B" w:rsidRDefault="004522A9">
      <w:pPr>
        <w:rPr>
          <w:szCs w:val="20"/>
          <w:lang w:val="en-US"/>
        </w:rPr>
      </w:pPr>
      <w:r w:rsidRPr="0031391B">
        <w:rPr>
          <w:szCs w:val="20"/>
          <w:lang w:val="en-US"/>
        </w:rPr>
        <w:t xml:space="preserve">21. </w:t>
      </w:r>
      <w:r w:rsidRPr="0031391B">
        <w:rPr>
          <w:szCs w:val="20"/>
          <w:lang w:val="en-US"/>
        </w:rPr>
        <w:tab/>
      </w:r>
      <w:r w:rsidR="00032967" w:rsidRPr="0031391B">
        <w:rPr>
          <w:szCs w:val="20"/>
          <w:lang w:val="en-US"/>
        </w:rPr>
        <w:t>Based on the foregoing, the undersigned emphasize the above-mentioned developments in the Court’s case law in relation to the right to effective participation by means of a consultation process, which shoul</w:t>
      </w:r>
      <w:r w:rsidR="000E0B89">
        <w:rPr>
          <w:szCs w:val="20"/>
          <w:lang w:val="en-US"/>
        </w:rPr>
        <w:t>d be understood in light of the</w:t>
      </w:r>
      <w:r w:rsidR="00032967" w:rsidRPr="0031391B">
        <w:rPr>
          <w:szCs w:val="20"/>
          <w:lang w:val="en-US"/>
        </w:rPr>
        <w:t xml:space="preserve"> Court’s consistent case law and, in this specific case, in light of the right to participate in the conduct of public affairs, recognized in Article 23 of the American Convention</w:t>
      </w:r>
      <w:r w:rsidR="008A3C30" w:rsidRPr="0031391B">
        <w:rPr>
          <w:szCs w:val="20"/>
          <w:lang w:val="en-US"/>
        </w:rPr>
        <w:t xml:space="preserve">. </w:t>
      </w:r>
    </w:p>
    <w:p w14:paraId="35F8CE87" w14:textId="77777777" w:rsidR="002B2383" w:rsidRPr="0031391B" w:rsidRDefault="002B2383">
      <w:pPr>
        <w:rPr>
          <w:szCs w:val="20"/>
          <w:lang w:val="en-US"/>
        </w:rPr>
      </w:pPr>
    </w:p>
    <w:p w14:paraId="35F8CE88" w14:textId="77777777" w:rsidR="00032967" w:rsidRPr="0031391B" w:rsidRDefault="002B2383">
      <w:pPr>
        <w:rPr>
          <w:szCs w:val="20"/>
          <w:lang w:val="en-US"/>
        </w:rPr>
      </w:pPr>
      <w:r w:rsidRPr="0031391B">
        <w:rPr>
          <w:szCs w:val="20"/>
          <w:lang w:val="en-US"/>
        </w:rPr>
        <w:t xml:space="preserve">22. </w:t>
      </w:r>
      <w:r w:rsidRPr="0031391B">
        <w:rPr>
          <w:szCs w:val="20"/>
          <w:lang w:val="en-US"/>
        </w:rPr>
        <w:tab/>
      </w:r>
      <w:r w:rsidR="00032967" w:rsidRPr="0031391B">
        <w:rPr>
          <w:szCs w:val="20"/>
          <w:lang w:val="en-US"/>
        </w:rPr>
        <w:t xml:space="preserve">Moreover, with regard to the right to recognition of juridical personality, established in Article 3 of the American Convention, this has been interpreted underlining the relevance of the collective dimension of indigenous and tribal peoples. And this is consistent with the enlightened interpretation that this Court has developed throughout its case law on this matter, in the sense of recognizing that the rights of indigenous and tribal peoples have </w:t>
      </w:r>
      <w:r w:rsidR="000E0B89">
        <w:rPr>
          <w:szCs w:val="20"/>
          <w:lang w:val="en-US"/>
        </w:rPr>
        <w:t>singular</w:t>
      </w:r>
      <w:r w:rsidR="00032967" w:rsidRPr="0031391B">
        <w:rPr>
          <w:szCs w:val="20"/>
          <w:lang w:val="en-US"/>
        </w:rPr>
        <w:t xml:space="preserve"> characteristics related to their particular ways of life, traditions, world vision, and culture, which are also protected by the American Convention on Human Rights.</w:t>
      </w:r>
    </w:p>
    <w:p w14:paraId="35F8CE89" w14:textId="368D24D4" w:rsidR="005B09F1" w:rsidRPr="0031391B" w:rsidRDefault="005B09F1">
      <w:pPr>
        <w:rPr>
          <w:szCs w:val="20"/>
          <w:lang w:val="en-US"/>
        </w:rPr>
      </w:pPr>
    </w:p>
    <w:p w14:paraId="35F8CE8A" w14:textId="138E6171" w:rsidR="00B82B1B" w:rsidRDefault="00B82B1B" w:rsidP="00B64910">
      <w:pPr>
        <w:jc w:val="left"/>
        <w:rPr>
          <w:szCs w:val="20"/>
          <w:lang w:val="en-US"/>
        </w:rPr>
      </w:pPr>
    </w:p>
    <w:p w14:paraId="25EFF227" w14:textId="55616047" w:rsidR="00F01C40" w:rsidRDefault="00F01C40" w:rsidP="00B64910">
      <w:pPr>
        <w:jc w:val="left"/>
        <w:rPr>
          <w:szCs w:val="20"/>
          <w:lang w:val="en-US"/>
        </w:rPr>
      </w:pPr>
    </w:p>
    <w:p w14:paraId="08760E43" w14:textId="77777777" w:rsidR="00B64910" w:rsidRDefault="00B64910" w:rsidP="00B64910">
      <w:pPr>
        <w:jc w:val="left"/>
        <w:rPr>
          <w:szCs w:val="20"/>
          <w:lang w:val="en-US"/>
        </w:rPr>
      </w:pPr>
    </w:p>
    <w:p w14:paraId="340DCD99" w14:textId="77777777" w:rsidR="00B64910" w:rsidRDefault="00B64910" w:rsidP="00B64910">
      <w:pPr>
        <w:jc w:val="left"/>
        <w:rPr>
          <w:szCs w:val="20"/>
          <w:lang w:val="en-US"/>
        </w:rPr>
      </w:pPr>
    </w:p>
    <w:p w14:paraId="10953556" w14:textId="77777777" w:rsidR="00B64910" w:rsidRDefault="00B64910" w:rsidP="00B64910">
      <w:pPr>
        <w:jc w:val="left"/>
        <w:rPr>
          <w:szCs w:val="20"/>
          <w:lang w:val="en-US"/>
        </w:rPr>
      </w:pPr>
    </w:p>
    <w:p w14:paraId="472BD40C" w14:textId="77777777" w:rsidR="00B64910" w:rsidRDefault="00B64910" w:rsidP="00B64910">
      <w:pPr>
        <w:jc w:val="left"/>
        <w:rPr>
          <w:szCs w:val="20"/>
          <w:lang w:val="en-US"/>
        </w:rPr>
      </w:pPr>
    </w:p>
    <w:p w14:paraId="01298BE7" w14:textId="5F1025E3" w:rsidR="00F01C40" w:rsidRPr="0031391B" w:rsidRDefault="00F01C40" w:rsidP="00B64910">
      <w:pPr>
        <w:jc w:val="left"/>
        <w:rPr>
          <w:szCs w:val="20"/>
          <w:lang w:val="en-US"/>
        </w:rPr>
      </w:pPr>
    </w:p>
    <w:p w14:paraId="35F8CE8B" w14:textId="35C9F0CC" w:rsidR="004522A9" w:rsidRPr="004057A4" w:rsidRDefault="004D45D3" w:rsidP="00300069">
      <w:pPr>
        <w:pStyle w:val="NormalWeb"/>
        <w:spacing w:before="0" w:beforeAutospacing="0" w:after="0" w:afterAutospacing="0"/>
        <w:ind w:right="96"/>
        <w:rPr>
          <w:rFonts w:ascii="Verdana" w:eastAsia="Calibri" w:hAnsi="Verdana"/>
          <w:sz w:val="20"/>
          <w:szCs w:val="20"/>
          <w:lang w:eastAsia="en-US"/>
        </w:rPr>
      </w:pPr>
      <w:r w:rsidRPr="00717E39">
        <w:rPr>
          <w:rFonts w:ascii="Verdana" w:eastAsia="Calibri" w:hAnsi="Verdana"/>
          <w:sz w:val="20"/>
          <w:szCs w:val="20"/>
          <w:lang w:val="en-US" w:eastAsia="en-US"/>
        </w:rPr>
        <w:t xml:space="preserve">   </w:t>
      </w:r>
      <w:r w:rsidR="004522A9" w:rsidRPr="004057A4">
        <w:rPr>
          <w:rFonts w:ascii="Verdana" w:eastAsia="Calibri" w:hAnsi="Verdana"/>
          <w:sz w:val="20"/>
          <w:szCs w:val="20"/>
          <w:lang w:eastAsia="en-US"/>
        </w:rPr>
        <w:t>Humberto Antonio Sierra Porto</w:t>
      </w:r>
      <w:r w:rsidR="004522A9" w:rsidRPr="004057A4">
        <w:rPr>
          <w:rFonts w:ascii="Verdana" w:eastAsia="Calibri" w:hAnsi="Verdana"/>
          <w:sz w:val="20"/>
          <w:szCs w:val="20"/>
          <w:lang w:eastAsia="en-US"/>
        </w:rPr>
        <w:tab/>
      </w:r>
      <w:r w:rsidR="004522A9" w:rsidRPr="004057A4">
        <w:rPr>
          <w:rFonts w:ascii="Verdana" w:eastAsia="Calibri" w:hAnsi="Verdana"/>
          <w:sz w:val="20"/>
          <w:szCs w:val="20"/>
          <w:lang w:eastAsia="en-US"/>
        </w:rPr>
        <w:tab/>
      </w:r>
      <w:r w:rsidR="004522A9" w:rsidRPr="004057A4">
        <w:rPr>
          <w:rFonts w:ascii="Verdana" w:eastAsia="Calibri" w:hAnsi="Verdana"/>
          <w:sz w:val="20"/>
          <w:szCs w:val="20"/>
          <w:lang w:eastAsia="en-US"/>
        </w:rPr>
        <w:tab/>
        <w:t>Eduardo Ferrer Mac-Gregor Poisot</w:t>
      </w:r>
    </w:p>
    <w:p w14:paraId="35F8CE8C" w14:textId="1F27A1CC" w:rsidR="004522A9" w:rsidRPr="0031391B" w:rsidRDefault="00032967" w:rsidP="00300069">
      <w:pPr>
        <w:pStyle w:val="NormalWeb"/>
        <w:spacing w:before="0" w:beforeAutospacing="0" w:after="0" w:afterAutospacing="0"/>
        <w:ind w:right="96" w:firstLine="708"/>
        <w:rPr>
          <w:rFonts w:ascii="Verdana" w:eastAsia="Calibri" w:hAnsi="Verdana"/>
          <w:sz w:val="20"/>
          <w:szCs w:val="20"/>
          <w:lang w:val="en-US" w:eastAsia="en-US"/>
        </w:rPr>
      </w:pPr>
      <w:r w:rsidRPr="004057A4">
        <w:rPr>
          <w:rFonts w:ascii="Verdana" w:eastAsia="Calibri" w:hAnsi="Verdana"/>
          <w:sz w:val="20"/>
          <w:szCs w:val="20"/>
          <w:lang w:eastAsia="en-US"/>
        </w:rPr>
        <w:t xml:space="preserve">   </w:t>
      </w:r>
      <w:r w:rsidR="004D45D3">
        <w:rPr>
          <w:rFonts w:ascii="Verdana" w:eastAsia="Calibri" w:hAnsi="Verdana"/>
          <w:sz w:val="20"/>
          <w:szCs w:val="20"/>
          <w:lang w:eastAsia="en-US"/>
        </w:rPr>
        <w:t xml:space="preserve">   </w:t>
      </w:r>
      <w:r w:rsidRPr="004057A4">
        <w:rPr>
          <w:rFonts w:ascii="Verdana" w:eastAsia="Calibri" w:hAnsi="Verdana"/>
          <w:sz w:val="20"/>
          <w:szCs w:val="20"/>
          <w:lang w:eastAsia="en-US"/>
        </w:rPr>
        <w:t xml:space="preserve">   </w:t>
      </w:r>
      <w:r w:rsidRPr="0031391B">
        <w:rPr>
          <w:rFonts w:ascii="Verdana" w:eastAsia="Calibri" w:hAnsi="Verdana"/>
          <w:sz w:val="20"/>
          <w:szCs w:val="20"/>
          <w:lang w:val="en-US" w:eastAsia="en-US"/>
        </w:rPr>
        <w:t>Judge</w:t>
      </w:r>
      <w:r w:rsidRPr="0031391B">
        <w:rPr>
          <w:rFonts w:ascii="Verdana" w:eastAsia="Calibri" w:hAnsi="Verdana"/>
          <w:sz w:val="20"/>
          <w:szCs w:val="20"/>
          <w:lang w:val="en-US" w:eastAsia="en-US"/>
        </w:rPr>
        <w:tab/>
      </w:r>
      <w:r w:rsidRPr="0031391B">
        <w:rPr>
          <w:rFonts w:ascii="Verdana" w:eastAsia="Calibri" w:hAnsi="Verdana"/>
          <w:sz w:val="20"/>
          <w:szCs w:val="20"/>
          <w:lang w:val="en-US" w:eastAsia="en-US"/>
        </w:rPr>
        <w:tab/>
      </w:r>
      <w:r w:rsidRPr="0031391B">
        <w:rPr>
          <w:rFonts w:ascii="Verdana" w:eastAsia="Calibri" w:hAnsi="Verdana"/>
          <w:sz w:val="20"/>
          <w:szCs w:val="20"/>
          <w:lang w:val="en-US" w:eastAsia="en-US"/>
        </w:rPr>
        <w:tab/>
      </w:r>
      <w:r w:rsidRPr="0031391B">
        <w:rPr>
          <w:rFonts w:ascii="Verdana" w:eastAsia="Calibri" w:hAnsi="Verdana"/>
          <w:sz w:val="20"/>
          <w:szCs w:val="20"/>
          <w:lang w:val="en-US" w:eastAsia="en-US"/>
        </w:rPr>
        <w:tab/>
      </w:r>
      <w:r w:rsidRPr="0031391B">
        <w:rPr>
          <w:rFonts w:ascii="Verdana" w:eastAsia="Calibri" w:hAnsi="Verdana"/>
          <w:sz w:val="20"/>
          <w:szCs w:val="20"/>
          <w:lang w:val="en-US" w:eastAsia="en-US"/>
        </w:rPr>
        <w:tab/>
      </w:r>
      <w:r w:rsidRPr="0031391B">
        <w:rPr>
          <w:rFonts w:ascii="Verdana" w:eastAsia="Calibri" w:hAnsi="Verdana"/>
          <w:sz w:val="20"/>
          <w:szCs w:val="20"/>
          <w:lang w:val="en-US" w:eastAsia="en-US"/>
        </w:rPr>
        <w:tab/>
        <w:t xml:space="preserve">          Judge</w:t>
      </w:r>
    </w:p>
    <w:p w14:paraId="6B2BDFC3" w14:textId="583CE36C" w:rsidR="004D45D3" w:rsidRDefault="004D45D3" w:rsidP="004522A9">
      <w:pPr>
        <w:rPr>
          <w:szCs w:val="20"/>
          <w:lang w:val="en-US"/>
        </w:rPr>
      </w:pPr>
    </w:p>
    <w:p w14:paraId="0D342890" w14:textId="77777777" w:rsidR="004D45D3" w:rsidRDefault="004D45D3" w:rsidP="004522A9">
      <w:pPr>
        <w:rPr>
          <w:szCs w:val="20"/>
          <w:lang w:val="en-US"/>
        </w:rPr>
      </w:pPr>
    </w:p>
    <w:p w14:paraId="1A9FD93F" w14:textId="77777777" w:rsidR="004D45D3" w:rsidRDefault="004D45D3" w:rsidP="004522A9">
      <w:pPr>
        <w:rPr>
          <w:szCs w:val="20"/>
          <w:lang w:val="en-US"/>
        </w:rPr>
      </w:pPr>
    </w:p>
    <w:p w14:paraId="015E06EE" w14:textId="77777777" w:rsidR="004D45D3" w:rsidRDefault="004D45D3" w:rsidP="004522A9">
      <w:pPr>
        <w:rPr>
          <w:szCs w:val="20"/>
          <w:lang w:val="en-US"/>
        </w:rPr>
      </w:pPr>
    </w:p>
    <w:p w14:paraId="0F3C7F0D" w14:textId="77777777" w:rsidR="004D45D3" w:rsidRPr="0031391B" w:rsidRDefault="004D45D3" w:rsidP="004522A9">
      <w:pPr>
        <w:rPr>
          <w:szCs w:val="20"/>
          <w:lang w:val="en-US"/>
        </w:rPr>
      </w:pPr>
    </w:p>
    <w:p w14:paraId="35F8CE90" w14:textId="77777777" w:rsidR="004522A9" w:rsidRPr="0031391B" w:rsidRDefault="004522A9" w:rsidP="004522A9">
      <w:pPr>
        <w:rPr>
          <w:szCs w:val="20"/>
          <w:lang w:val="en-US"/>
        </w:rPr>
      </w:pPr>
    </w:p>
    <w:p w14:paraId="35F8CE91" w14:textId="77777777" w:rsidR="00B82B1B" w:rsidRPr="0031391B" w:rsidRDefault="00B82B1B" w:rsidP="004522A9">
      <w:pPr>
        <w:rPr>
          <w:szCs w:val="20"/>
          <w:lang w:val="en-US"/>
        </w:rPr>
      </w:pPr>
    </w:p>
    <w:p w14:paraId="35F8CE92" w14:textId="1758F769" w:rsidR="004522A9" w:rsidRPr="0031391B" w:rsidRDefault="004522A9" w:rsidP="004D45D3">
      <w:pPr>
        <w:jc w:val="center"/>
        <w:rPr>
          <w:szCs w:val="20"/>
          <w:lang w:val="en-US"/>
        </w:rPr>
      </w:pPr>
    </w:p>
    <w:p w14:paraId="35F8CE93" w14:textId="77777777" w:rsidR="004522A9" w:rsidRPr="0031391B" w:rsidRDefault="004522A9" w:rsidP="00B64910">
      <w:pPr>
        <w:jc w:val="center"/>
        <w:rPr>
          <w:szCs w:val="20"/>
          <w:lang w:val="en-US"/>
        </w:rPr>
      </w:pPr>
      <w:r w:rsidRPr="0031391B">
        <w:rPr>
          <w:szCs w:val="20"/>
          <w:lang w:val="en-US"/>
        </w:rPr>
        <w:t>Pablo Saavedra Alessandri</w:t>
      </w:r>
    </w:p>
    <w:p w14:paraId="35F8CE94" w14:textId="33A325D4" w:rsidR="004522A9" w:rsidRPr="0031391B" w:rsidRDefault="00032967" w:rsidP="00B64910">
      <w:pPr>
        <w:jc w:val="center"/>
        <w:rPr>
          <w:szCs w:val="20"/>
          <w:lang w:val="en-US"/>
        </w:rPr>
      </w:pPr>
      <w:r w:rsidRPr="0031391B">
        <w:rPr>
          <w:szCs w:val="20"/>
          <w:lang w:val="en-US"/>
        </w:rPr>
        <w:t>Secretary</w:t>
      </w:r>
    </w:p>
    <w:p w14:paraId="35F8CE95" w14:textId="77777777" w:rsidR="004522A9" w:rsidRPr="0031391B" w:rsidRDefault="004522A9" w:rsidP="00D71254">
      <w:pPr>
        <w:spacing w:after="200" w:line="276" w:lineRule="auto"/>
        <w:jc w:val="left"/>
        <w:rPr>
          <w:szCs w:val="20"/>
          <w:lang w:val="en-US"/>
        </w:rPr>
      </w:pPr>
      <w:bookmarkStart w:id="0" w:name="_GoBack"/>
      <w:bookmarkEnd w:id="0"/>
    </w:p>
    <w:sectPr w:rsidR="004522A9" w:rsidRPr="0031391B" w:rsidSect="00DC265D">
      <w:footerReference w:type="default" r:id="rId12"/>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25925" w14:textId="77777777" w:rsidR="008E333E" w:rsidRDefault="008E333E" w:rsidP="00E058B2">
      <w:r>
        <w:separator/>
      </w:r>
    </w:p>
  </w:endnote>
  <w:endnote w:type="continuationSeparator" w:id="0">
    <w:p w14:paraId="3A91DBDE" w14:textId="77777777" w:rsidR="008E333E" w:rsidRDefault="008E333E" w:rsidP="00E0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Palatino-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504513"/>
      <w:docPartObj>
        <w:docPartGallery w:val="Page Numbers (Bottom of Page)"/>
        <w:docPartUnique/>
      </w:docPartObj>
    </w:sdtPr>
    <w:sdtEndPr/>
    <w:sdtContent>
      <w:p w14:paraId="35F8CE9A" w14:textId="77777777" w:rsidR="00B0528F" w:rsidRDefault="00B0528F">
        <w:pPr>
          <w:pStyle w:val="Footer"/>
          <w:jc w:val="center"/>
        </w:pPr>
        <w:r>
          <w:fldChar w:fldCharType="begin"/>
        </w:r>
        <w:r>
          <w:instrText>PAGE   \* MERGEFORMAT</w:instrText>
        </w:r>
        <w:r>
          <w:fldChar w:fldCharType="separate"/>
        </w:r>
        <w:r w:rsidR="00B22263" w:rsidRPr="00B22263">
          <w:rPr>
            <w:lang w:val="es-ES"/>
          </w:rPr>
          <w:t>7</w:t>
        </w:r>
        <w:r>
          <w:fldChar w:fldCharType="end"/>
        </w:r>
      </w:p>
    </w:sdtContent>
  </w:sdt>
  <w:p w14:paraId="35F8CE9B" w14:textId="77777777" w:rsidR="00B0528F" w:rsidRDefault="00B05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9E8BF" w14:textId="77777777" w:rsidR="008E333E" w:rsidRDefault="008E333E" w:rsidP="00E058B2">
      <w:r>
        <w:separator/>
      </w:r>
    </w:p>
  </w:footnote>
  <w:footnote w:type="continuationSeparator" w:id="0">
    <w:p w14:paraId="3E0D16C7" w14:textId="77777777" w:rsidR="008E333E" w:rsidRDefault="008E333E" w:rsidP="00E058B2">
      <w:r>
        <w:continuationSeparator/>
      </w:r>
    </w:p>
  </w:footnote>
  <w:footnote w:id="1">
    <w:p w14:paraId="35F8CE9C" w14:textId="70534C43" w:rsidR="00B0528F" w:rsidRPr="00FB36A3" w:rsidRDefault="00B0528F" w:rsidP="00EA3842">
      <w:pPr>
        <w:tabs>
          <w:tab w:val="left" w:pos="540"/>
        </w:tabs>
        <w:spacing w:after="120"/>
        <w:rPr>
          <w:rFonts w:eastAsia="Times New Roman" w:cs="Times New Roman"/>
          <w:noProof w:val="0"/>
          <w:sz w:val="16"/>
          <w:szCs w:val="16"/>
          <w:lang w:val="en-US"/>
        </w:rPr>
      </w:pPr>
      <w:r w:rsidRPr="00FB36A3">
        <w:rPr>
          <w:rStyle w:val="FootnoteReference"/>
          <w:sz w:val="16"/>
          <w:szCs w:val="16"/>
          <w:lang w:val="en-US"/>
        </w:rPr>
        <w:footnoteRef/>
      </w:r>
      <w:r w:rsidRPr="00FB36A3">
        <w:rPr>
          <w:sz w:val="16"/>
          <w:szCs w:val="16"/>
          <w:lang w:val="en-US"/>
        </w:rPr>
        <w:t xml:space="preserve"> </w:t>
      </w:r>
      <w:r w:rsidR="006556A6" w:rsidRPr="00FB36A3">
        <w:rPr>
          <w:sz w:val="16"/>
          <w:szCs w:val="16"/>
          <w:lang w:val="en-US"/>
        </w:rPr>
        <w:tab/>
      </w:r>
      <w:r w:rsidR="009C7232" w:rsidRPr="00FB36A3">
        <w:rPr>
          <w:sz w:val="16"/>
          <w:szCs w:val="16"/>
          <w:lang w:val="en-US"/>
        </w:rPr>
        <w:t>The Court has determined that “[i</w:t>
      </w:r>
      <w:r w:rsidRPr="00FB36A3">
        <w:rPr>
          <w:sz w:val="16"/>
          <w:szCs w:val="16"/>
          <w:lang w:val="en-US"/>
        </w:rPr>
        <w:t>]</w:t>
      </w:r>
      <w:r w:rsidR="009C7232" w:rsidRPr="00FB36A3">
        <w:rPr>
          <w:sz w:val="16"/>
          <w:szCs w:val="16"/>
          <w:lang w:val="en-US"/>
        </w:rPr>
        <w:t xml:space="preserve">ndigenous </w:t>
      </w:r>
      <w:r w:rsidR="009C7232" w:rsidRPr="00FB36A3">
        <w:rPr>
          <w:rFonts w:eastAsia="Times New Roman" w:cs="Times New Roman"/>
          <w:noProof w:val="0"/>
          <w:sz w:val="16"/>
          <w:szCs w:val="16"/>
          <w:lang w:val="en-US"/>
        </w:rPr>
        <w:t>groups, by the fact of their very existence, have the right to live freely in their own territory; the close ties of indigenous people with the land must be recognized and understood as the fundamental basis of their cultures, their spiritual life, their integrity, and their economic survival. For indigenous communities, relations to the land are not merely a matter of possession and production but a material and spiritual element which they must fully enjoy, even to preserve their cultural legacy and transmit it to future generations.</w:t>
      </w:r>
      <w:r w:rsidR="009C7232" w:rsidRPr="00FB36A3">
        <w:rPr>
          <w:sz w:val="16"/>
          <w:szCs w:val="16"/>
          <w:lang w:val="en-US"/>
        </w:rPr>
        <w:t>”</w:t>
      </w:r>
      <w:r w:rsidRPr="00FB36A3">
        <w:rPr>
          <w:sz w:val="16"/>
          <w:szCs w:val="16"/>
          <w:lang w:val="en-US"/>
        </w:rPr>
        <w:t xml:space="preserve"> </w:t>
      </w:r>
      <w:r w:rsidR="009C7232" w:rsidRPr="00FB36A3">
        <w:rPr>
          <w:rStyle w:val="apple-converted-space"/>
          <w:bCs/>
          <w:i/>
          <w:color w:val="000000"/>
          <w:sz w:val="16"/>
          <w:szCs w:val="16"/>
          <w:lang w:val="en-US"/>
        </w:rPr>
        <w:t xml:space="preserve">Case of the </w:t>
      </w:r>
      <w:r w:rsidRPr="00FB36A3">
        <w:rPr>
          <w:rStyle w:val="Strong"/>
          <w:b w:val="0"/>
          <w:i/>
          <w:color w:val="000000"/>
          <w:sz w:val="16"/>
          <w:szCs w:val="16"/>
          <w:lang w:val="en-US"/>
        </w:rPr>
        <w:t>Mayagna (Sumo) Awas Tingni</w:t>
      </w:r>
      <w:r w:rsidR="009C7232" w:rsidRPr="00FB36A3">
        <w:rPr>
          <w:rStyle w:val="Strong"/>
          <w:b w:val="0"/>
          <w:i/>
          <w:color w:val="000000"/>
          <w:sz w:val="16"/>
          <w:szCs w:val="16"/>
          <w:lang w:val="en-US"/>
        </w:rPr>
        <w:t xml:space="preserve"> Community v</w:t>
      </w:r>
      <w:r w:rsidRPr="00FB36A3">
        <w:rPr>
          <w:rStyle w:val="Strong"/>
          <w:b w:val="0"/>
          <w:i/>
          <w:color w:val="000000"/>
          <w:sz w:val="16"/>
          <w:szCs w:val="16"/>
          <w:lang w:val="en-US"/>
        </w:rPr>
        <w:t xml:space="preserve">. Nicaragua. </w:t>
      </w:r>
      <w:r w:rsidR="009C7232" w:rsidRPr="00FB36A3">
        <w:rPr>
          <w:rStyle w:val="Strong"/>
          <w:b w:val="0"/>
          <w:i/>
          <w:color w:val="000000"/>
          <w:sz w:val="16"/>
          <w:szCs w:val="16"/>
          <w:lang w:val="en-US"/>
        </w:rPr>
        <w:t xml:space="preserve">Merits, </w:t>
      </w:r>
      <w:r w:rsidR="00F01C40">
        <w:rPr>
          <w:rStyle w:val="Strong"/>
          <w:b w:val="0"/>
          <w:i/>
          <w:color w:val="000000"/>
          <w:sz w:val="16"/>
          <w:szCs w:val="16"/>
          <w:lang w:val="en-US"/>
        </w:rPr>
        <w:t>R</w:t>
      </w:r>
      <w:r w:rsidR="009C7232" w:rsidRPr="00FB36A3">
        <w:rPr>
          <w:rStyle w:val="Strong"/>
          <w:b w:val="0"/>
          <w:i/>
          <w:color w:val="000000"/>
          <w:sz w:val="16"/>
          <w:szCs w:val="16"/>
          <w:lang w:val="en-US"/>
        </w:rPr>
        <w:t xml:space="preserve">eparations and </w:t>
      </w:r>
      <w:r w:rsidR="00F01C40">
        <w:rPr>
          <w:rStyle w:val="Strong"/>
          <w:b w:val="0"/>
          <w:i/>
          <w:color w:val="000000"/>
          <w:sz w:val="16"/>
          <w:szCs w:val="16"/>
          <w:lang w:val="en-US"/>
        </w:rPr>
        <w:t>C</w:t>
      </w:r>
      <w:r w:rsidR="009C7232" w:rsidRPr="00FB36A3">
        <w:rPr>
          <w:rStyle w:val="Strong"/>
          <w:b w:val="0"/>
          <w:i/>
          <w:color w:val="000000"/>
          <w:sz w:val="16"/>
          <w:szCs w:val="16"/>
          <w:lang w:val="en-US"/>
        </w:rPr>
        <w:t>osts</w:t>
      </w:r>
      <w:r w:rsidRPr="00FB36A3">
        <w:rPr>
          <w:rStyle w:val="Strong"/>
          <w:b w:val="0"/>
          <w:i/>
          <w:color w:val="000000"/>
          <w:sz w:val="16"/>
          <w:szCs w:val="16"/>
          <w:lang w:val="en-US"/>
        </w:rPr>
        <w:t>.</w:t>
      </w:r>
      <w:r w:rsidRPr="00FB36A3">
        <w:rPr>
          <w:rStyle w:val="Strong"/>
          <w:b w:val="0"/>
          <w:color w:val="000000"/>
          <w:sz w:val="16"/>
          <w:szCs w:val="16"/>
          <w:lang w:val="en-US"/>
        </w:rPr>
        <w:t xml:space="preserve"> </w:t>
      </w:r>
      <w:r w:rsidR="009C7232" w:rsidRPr="00FB36A3">
        <w:rPr>
          <w:rStyle w:val="Strong"/>
          <w:b w:val="0"/>
          <w:color w:val="000000"/>
          <w:sz w:val="16"/>
          <w:szCs w:val="16"/>
          <w:lang w:val="en-US"/>
        </w:rPr>
        <w:t>Judgment of</w:t>
      </w:r>
      <w:r w:rsidRPr="00FB36A3">
        <w:rPr>
          <w:rStyle w:val="Strong"/>
          <w:b w:val="0"/>
          <w:color w:val="000000"/>
          <w:sz w:val="16"/>
          <w:szCs w:val="16"/>
          <w:lang w:val="en-US"/>
        </w:rPr>
        <w:t xml:space="preserve"> </w:t>
      </w:r>
      <w:r w:rsidR="009C7232" w:rsidRPr="00FB36A3">
        <w:rPr>
          <w:rStyle w:val="Strong"/>
          <w:b w:val="0"/>
          <w:color w:val="000000"/>
          <w:sz w:val="16"/>
          <w:szCs w:val="16"/>
          <w:lang w:val="en-US"/>
        </w:rPr>
        <w:t>August 31,</w:t>
      </w:r>
      <w:r w:rsidRPr="00FB36A3">
        <w:rPr>
          <w:rStyle w:val="Strong"/>
          <w:b w:val="0"/>
          <w:color w:val="000000"/>
          <w:sz w:val="16"/>
          <w:szCs w:val="16"/>
          <w:lang w:val="en-US"/>
        </w:rPr>
        <w:t xml:space="preserve"> 2001. </w:t>
      </w:r>
      <w:r w:rsidR="009C7232" w:rsidRPr="00FB36A3">
        <w:rPr>
          <w:rStyle w:val="Strong"/>
          <w:b w:val="0"/>
          <w:color w:val="000000"/>
          <w:sz w:val="16"/>
          <w:szCs w:val="16"/>
          <w:lang w:val="en-US"/>
        </w:rPr>
        <w:t xml:space="preserve">Series </w:t>
      </w:r>
      <w:r w:rsidRPr="00FB36A3">
        <w:rPr>
          <w:rStyle w:val="Strong"/>
          <w:b w:val="0"/>
          <w:color w:val="000000"/>
          <w:sz w:val="16"/>
          <w:szCs w:val="16"/>
          <w:lang w:val="en-US"/>
        </w:rPr>
        <w:t>C No. 79</w:t>
      </w:r>
      <w:r w:rsidR="009C7232" w:rsidRPr="00FB36A3">
        <w:rPr>
          <w:rStyle w:val="Strong"/>
          <w:b w:val="0"/>
          <w:color w:val="000000"/>
          <w:sz w:val="16"/>
          <w:szCs w:val="16"/>
          <w:lang w:val="en-US"/>
        </w:rPr>
        <w:t>,</w:t>
      </w:r>
      <w:r w:rsidRPr="00FB36A3">
        <w:rPr>
          <w:sz w:val="16"/>
          <w:szCs w:val="16"/>
          <w:lang w:val="en-US"/>
        </w:rPr>
        <w:t xml:space="preserve"> </w:t>
      </w:r>
      <w:r w:rsidR="009C7232" w:rsidRPr="00FB36A3">
        <w:rPr>
          <w:sz w:val="16"/>
          <w:szCs w:val="16"/>
          <w:lang w:val="en-US"/>
        </w:rPr>
        <w:t>para.</w:t>
      </w:r>
      <w:r w:rsidRPr="00FB36A3">
        <w:rPr>
          <w:sz w:val="16"/>
          <w:szCs w:val="16"/>
          <w:lang w:val="en-US"/>
        </w:rPr>
        <w:t xml:space="preserve"> 149</w:t>
      </w:r>
      <w:r w:rsidR="00034882" w:rsidRPr="00FB36A3">
        <w:rPr>
          <w:sz w:val="16"/>
          <w:szCs w:val="16"/>
          <w:lang w:val="en-US"/>
        </w:rPr>
        <w:t>.</w:t>
      </w:r>
    </w:p>
  </w:footnote>
  <w:footnote w:id="2">
    <w:p w14:paraId="35F8CE9D" w14:textId="4AA34C39" w:rsidR="006556A6" w:rsidRPr="00FB36A3" w:rsidRDefault="00B0528F" w:rsidP="00EE72B6">
      <w:pPr>
        <w:pStyle w:val="FootnoteText"/>
        <w:tabs>
          <w:tab w:val="left" w:pos="540"/>
          <w:tab w:val="left" w:pos="567"/>
        </w:tabs>
        <w:spacing w:after="120"/>
        <w:jc w:val="both"/>
        <w:rPr>
          <w:rFonts w:ascii="Verdana" w:hAnsi="Verdana"/>
          <w:i/>
          <w:sz w:val="16"/>
          <w:szCs w:val="16"/>
          <w:lang w:val="en-US"/>
        </w:rPr>
      </w:pPr>
      <w:r w:rsidRPr="00FB36A3">
        <w:rPr>
          <w:rStyle w:val="FootnoteReference"/>
          <w:rFonts w:ascii="Verdana" w:hAnsi="Verdana"/>
          <w:sz w:val="16"/>
          <w:szCs w:val="16"/>
          <w:lang w:val="en-US"/>
        </w:rPr>
        <w:footnoteRef/>
      </w:r>
      <w:r w:rsidRPr="00FB36A3">
        <w:rPr>
          <w:rFonts w:ascii="Verdana" w:hAnsi="Verdana"/>
          <w:sz w:val="16"/>
          <w:szCs w:val="16"/>
          <w:lang w:val="en-US"/>
        </w:rPr>
        <w:t xml:space="preserve"> </w:t>
      </w:r>
      <w:r w:rsidRPr="00FB36A3">
        <w:rPr>
          <w:rFonts w:ascii="Verdana" w:hAnsi="Verdana"/>
          <w:sz w:val="16"/>
          <w:szCs w:val="16"/>
          <w:lang w:val="en-US"/>
        </w:rPr>
        <w:tab/>
      </w:r>
      <w:r w:rsidR="00FB36A3" w:rsidRPr="00FB36A3">
        <w:rPr>
          <w:rFonts w:ascii="Verdana" w:hAnsi="Verdana"/>
          <w:i/>
          <w:sz w:val="16"/>
          <w:szCs w:val="16"/>
          <w:lang w:val="en-US"/>
        </w:rPr>
        <w:t>Cf</w:t>
      </w:r>
      <w:r w:rsidR="00C50548" w:rsidRPr="00FB36A3">
        <w:rPr>
          <w:rFonts w:ascii="Verdana" w:hAnsi="Verdana"/>
          <w:i/>
          <w:sz w:val="16"/>
          <w:szCs w:val="16"/>
          <w:lang w:val="en-US"/>
        </w:rPr>
        <w:t xml:space="preserve">. </w:t>
      </w:r>
      <w:r w:rsidR="009C7232" w:rsidRPr="00FB36A3">
        <w:rPr>
          <w:rStyle w:val="Strong"/>
          <w:rFonts w:ascii="Verdana" w:hAnsi="Verdana"/>
          <w:b w:val="0"/>
          <w:i/>
          <w:color w:val="000000"/>
          <w:sz w:val="16"/>
          <w:szCs w:val="16"/>
          <w:lang w:val="en-US"/>
        </w:rPr>
        <w:t>Case of</w:t>
      </w:r>
      <w:r w:rsidR="00FB36A3" w:rsidRPr="00FB36A3">
        <w:rPr>
          <w:rStyle w:val="Strong"/>
          <w:rFonts w:ascii="Verdana" w:hAnsi="Verdana"/>
          <w:b w:val="0"/>
          <w:i/>
          <w:color w:val="000000"/>
          <w:sz w:val="16"/>
          <w:szCs w:val="16"/>
          <w:lang w:val="en-US"/>
        </w:rPr>
        <w:t xml:space="preserve"> the Saramaka People v.</w:t>
      </w:r>
      <w:r w:rsidRPr="00FB36A3">
        <w:rPr>
          <w:rStyle w:val="Strong"/>
          <w:rFonts w:ascii="Verdana" w:hAnsi="Verdana"/>
          <w:b w:val="0"/>
          <w:i/>
          <w:color w:val="000000"/>
          <w:sz w:val="16"/>
          <w:szCs w:val="16"/>
          <w:lang w:val="en-US"/>
        </w:rPr>
        <w:t xml:space="preserve"> </w:t>
      </w:r>
      <w:r w:rsidR="00FB36A3" w:rsidRPr="00FB36A3">
        <w:rPr>
          <w:rStyle w:val="Strong"/>
          <w:rFonts w:ascii="Verdana" w:hAnsi="Verdana"/>
          <w:b w:val="0"/>
          <w:i/>
          <w:color w:val="000000"/>
          <w:sz w:val="16"/>
          <w:szCs w:val="16"/>
          <w:lang w:val="en-US"/>
        </w:rPr>
        <w:t>Suriname.</w:t>
      </w:r>
      <w:r w:rsidRPr="00FB36A3">
        <w:rPr>
          <w:rStyle w:val="Strong"/>
          <w:rFonts w:ascii="Verdana" w:hAnsi="Verdana"/>
          <w:b w:val="0"/>
          <w:i/>
          <w:color w:val="000000"/>
          <w:sz w:val="16"/>
          <w:szCs w:val="16"/>
          <w:lang w:val="en-US"/>
        </w:rPr>
        <w:t xml:space="preserve"> </w:t>
      </w:r>
      <w:r w:rsidR="00FB36A3" w:rsidRPr="00FB36A3">
        <w:rPr>
          <w:rStyle w:val="Strong"/>
          <w:rFonts w:ascii="Verdana" w:hAnsi="Verdana"/>
          <w:b w:val="0"/>
          <w:i/>
          <w:color w:val="000000"/>
          <w:sz w:val="16"/>
          <w:szCs w:val="16"/>
          <w:lang w:val="en-US"/>
        </w:rPr>
        <w:t xml:space="preserve">Preliminary </w:t>
      </w:r>
      <w:r w:rsidR="00F01C40">
        <w:rPr>
          <w:rStyle w:val="Strong"/>
          <w:rFonts w:ascii="Verdana" w:hAnsi="Verdana"/>
          <w:b w:val="0"/>
          <w:i/>
          <w:color w:val="000000"/>
          <w:sz w:val="16"/>
          <w:szCs w:val="16"/>
          <w:lang w:val="en-US"/>
        </w:rPr>
        <w:t>O</w:t>
      </w:r>
      <w:r w:rsidR="00FB36A3" w:rsidRPr="00FB36A3">
        <w:rPr>
          <w:rStyle w:val="Strong"/>
          <w:rFonts w:ascii="Verdana" w:hAnsi="Verdana"/>
          <w:b w:val="0"/>
          <w:i/>
          <w:color w:val="000000"/>
          <w:sz w:val="16"/>
          <w:szCs w:val="16"/>
          <w:lang w:val="en-US"/>
        </w:rPr>
        <w:t xml:space="preserve">bjections, </w:t>
      </w:r>
      <w:r w:rsidR="00F01C40">
        <w:rPr>
          <w:rStyle w:val="Strong"/>
          <w:rFonts w:ascii="Verdana" w:hAnsi="Verdana"/>
          <w:b w:val="0"/>
          <w:i/>
          <w:color w:val="000000"/>
          <w:sz w:val="16"/>
          <w:szCs w:val="16"/>
          <w:lang w:val="en-US"/>
        </w:rPr>
        <w:t>M</w:t>
      </w:r>
      <w:r w:rsidR="00FB36A3" w:rsidRPr="00FB36A3">
        <w:rPr>
          <w:rStyle w:val="Strong"/>
          <w:rFonts w:ascii="Verdana" w:hAnsi="Verdana"/>
          <w:b w:val="0"/>
          <w:i/>
          <w:color w:val="000000"/>
          <w:sz w:val="16"/>
          <w:szCs w:val="16"/>
          <w:lang w:val="en-US"/>
        </w:rPr>
        <w:t xml:space="preserve">erits, </w:t>
      </w:r>
      <w:r w:rsidR="00F01C40">
        <w:rPr>
          <w:rStyle w:val="Strong"/>
          <w:rFonts w:ascii="Verdana" w:hAnsi="Verdana"/>
          <w:b w:val="0"/>
          <w:i/>
          <w:color w:val="000000"/>
          <w:sz w:val="16"/>
          <w:szCs w:val="16"/>
          <w:lang w:val="en-US"/>
        </w:rPr>
        <w:t>R</w:t>
      </w:r>
      <w:r w:rsidR="00FB36A3" w:rsidRPr="00FB36A3">
        <w:rPr>
          <w:rStyle w:val="Strong"/>
          <w:rFonts w:ascii="Verdana" w:hAnsi="Verdana"/>
          <w:b w:val="0"/>
          <w:i/>
          <w:color w:val="000000"/>
          <w:sz w:val="16"/>
          <w:szCs w:val="16"/>
          <w:lang w:val="en-US"/>
        </w:rPr>
        <w:t xml:space="preserve">eparations and </w:t>
      </w:r>
      <w:r w:rsidR="00F01C40">
        <w:rPr>
          <w:rStyle w:val="Strong"/>
          <w:rFonts w:ascii="Verdana" w:hAnsi="Verdana"/>
          <w:b w:val="0"/>
          <w:i/>
          <w:color w:val="000000"/>
          <w:sz w:val="16"/>
          <w:szCs w:val="16"/>
          <w:lang w:val="en-US"/>
        </w:rPr>
        <w:t>C</w:t>
      </w:r>
      <w:r w:rsidR="00FB36A3" w:rsidRPr="00FB36A3">
        <w:rPr>
          <w:rStyle w:val="Strong"/>
          <w:rFonts w:ascii="Verdana" w:hAnsi="Verdana"/>
          <w:b w:val="0"/>
          <w:i/>
          <w:color w:val="000000"/>
          <w:sz w:val="16"/>
          <w:szCs w:val="16"/>
          <w:lang w:val="en-US"/>
        </w:rPr>
        <w:t>osts</w:t>
      </w:r>
      <w:r w:rsidRPr="00FB36A3">
        <w:rPr>
          <w:rStyle w:val="Strong"/>
          <w:rFonts w:ascii="Verdana" w:hAnsi="Verdana"/>
          <w:b w:val="0"/>
          <w:i/>
          <w:color w:val="000000"/>
          <w:sz w:val="16"/>
          <w:szCs w:val="16"/>
          <w:lang w:val="en-US"/>
        </w:rPr>
        <w:t xml:space="preserve">. </w:t>
      </w:r>
      <w:r w:rsidR="009C7232" w:rsidRPr="00FB36A3">
        <w:rPr>
          <w:rStyle w:val="Strong"/>
          <w:rFonts w:ascii="Verdana" w:hAnsi="Verdana"/>
          <w:b w:val="0"/>
          <w:color w:val="000000"/>
          <w:sz w:val="16"/>
          <w:szCs w:val="16"/>
          <w:lang w:val="en-US"/>
        </w:rPr>
        <w:t>Judgment of</w:t>
      </w:r>
      <w:r w:rsidRPr="00FB36A3">
        <w:rPr>
          <w:rStyle w:val="Strong"/>
          <w:rFonts w:ascii="Verdana" w:hAnsi="Verdana"/>
          <w:b w:val="0"/>
          <w:color w:val="000000"/>
          <w:sz w:val="16"/>
          <w:szCs w:val="16"/>
          <w:lang w:val="en-US"/>
        </w:rPr>
        <w:t xml:space="preserve"> </w:t>
      </w:r>
      <w:r w:rsidR="00FB36A3" w:rsidRPr="00FB36A3">
        <w:rPr>
          <w:rStyle w:val="Strong"/>
          <w:rFonts w:ascii="Verdana" w:hAnsi="Verdana"/>
          <w:b w:val="0"/>
          <w:color w:val="000000"/>
          <w:sz w:val="16"/>
          <w:szCs w:val="16"/>
          <w:lang w:val="en-US"/>
        </w:rPr>
        <w:t>November 28,</w:t>
      </w:r>
      <w:r w:rsidRPr="00FB36A3">
        <w:rPr>
          <w:rStyle w:val="Strong"/>
          <w:rFonts w:ascii="Verdana" w:hAnsi="Verdana"/>
          <w:b w:val="0"/>
          <w:color w:val="000000"/>
          <w:sz w:val="16"/>
          <w:szCs w:val="16"/>
          <w:lang w:val="en-US"/>
        </w:rPr>
        <w:t xml:space="preserve"> 2007. </w:t>
      </w:r>
      <w:r w:rsidR="009C7232" w:rsidRPr="00FB36A3">
        <w:rPr>
          <w:rStyle w:val="Strong"/>
          <w:rFonts w:ascii="Verdana" w:hAnsi="Verdana"/>
          <w:b w:val="0"/>
          <w:color w:val="000000"/>
          <w:sz w:val="16"/>
          <w:szCs w:val="16"/>
          <w:lang w:val="en-US"/>
        </w:rPr>
        <w:t xml:space="preserve">Series </w:t>
      </w:r>
      <w:r w:rsidRPr="00FB36A3">
        <w:rPr>
          <w:rStyle w:val="Strong"/>
          <w:rFonts w:ascii="Verdana" w:hAnsi="Verdana"/>
          <w:b w:val="0"/>
          <w:color w:val="000000"/>
          <w:sz w:val="16"/>
          <w:szCs w:val="16"/>
          <w:lang w:val="en-US"/>
        </w:rPr>
        <w:t>C No. 172</w:t>
      </w:r>
      <w:r w:rsidR="00C50548" w:rsidRPr="00FB36A3">
        <w:rPr>
          <w:rFonts w:ascii="Verdana" w:hAnsi="Verdana"/>
          <w:sz w:val="16"/>
          <w:szCs w:val="16"/>
          <w:lang w:val="en-US"/>
        </w:rPr>
        <w:t xml:space="preserve">, </w:t>
      </w:r>
      <w:r w:rsidR="009C7232" w:rsidRPr="00FB36A3">
        <w:rPr>
          <w:rFonts w:ascii="Verdana" w:hAnsi="Verdana"/>
          <w:sz w:val="16"/>
          <w:szCs w:val="16"/>
          <w:lang w:val="en-US"/>
        </w:rPr>
        <w:t>para.</w:t>
      </w:r>
      <w:r w:rsidRPr="00FB36A3">
        <w:rPr>
          <w:rFonts w:ascii="Verdana" w:hAnsi="Verdana"/>
          <w:sz w:val="16"/>
          <w:szCs w:val="16"/>
          <w:lang w:val="en-US"/>
        </w:rPr>
        <w:t xml:space="preserve"> 133.</w:t>
      </w:r>
    </w:p>
  </w:footnote>
  <w:footnote w:id="3">
    <w:p w14:paraId="35F8CE9E" w14:textId="734D81EA" w:rsidR="006556A6" w:rsidRPr="00FB36A3" w:rsidRDefault="00B0528F">
      <w:pPr>
        <w:pStyle w:val="Footnotes"/>
        <w:tabs>
          <w:tab w:val="left" w:pos="540"/>
        </w:tabs>
        <w:spacing w:before="0" w:after="120"/>
        <w:rPr>
          <w:rFonts w:cs="Verdana"/>
          <w:bCs/>
          <w:snapToGrid w:val="0"/>
          <w:lang w:val="en-US" w:eastAsia="es-ES"/>
        </w:rPr>
      </w:pPr>
      <w:r w:rsidRPr="00FB36A3">
        <w:rPr>
          <w:rStyle w:val="FootnoteReference"/>
          <w:lang w:val="en-US"/>
        </w:rPr>
        <w:footnoteRef/>
      </w:r>
      <w:r w:rsidRPr="00FB36A3">
        <w:rPr>
          <w:lang w:val="en-US"/>
        </w:rPr>
        <w:t xml:space="preserve"> </w:t>
      </w:r>
      <w:r w:rsidRPr="00FB36A3">
        <w:rPr>
          <w:lang w:val="en-US"/>
        </w:rPr>
        <w:tab/>
      </w:r>
      <w:r w:rsidR="009C7232" w:rsidRPr="00FB36A3">
        <w:rPr>
          <w:i/>
          <w:lang w:val="en-US"/>
        </w:rPr>
        <w:t>Case of</w:t>
      </w:r>
      <w:r w:rsidR="00FB36A3" w:rsidRPr="00FB36A3">
        <w:rPr>
          <w:i/>
          <w:lang w:val="en-US"/>
        </w:rPr>
        <w:t xml:space="preserve"> the</w:t>
      </w:r>
      <w:r w:rsidR="009C7232" w:rsidRPr="00FB36A3">
        <w:rPr>
          <w:rFonts w:cs="Verdana"/>
          <w:bCs/>
          <w:i/>
          <w:snapToGrid w:val="0"/>
          <w:lang w:val="en-US" w:eastAsia="es-ES"/>
        </w:rPr>
        <w:t xml:space="preserve"> Kichwa Indigenous People of Sarayaku v.</w:t>
      </w:r>
      <w:r w:rsidRPr="00FB36A3">
        <w:rPr>
          <w:i/>
          <w:lang w:val="en-US"/>
        </w:rPr>
        <w:t xml:space="preserve"> Ecuador. </w:t>
      </w:r>
      <w:r w:rsidR="00FB36A3" w:rsidRPr="00FB36A3">
        <w:rPr>
          <w:i/>
          <w:lang w:val="en-US"/>
        </w:rPr>
        <w:t xml:space="preserve">Merits and </w:t>
      </w:r>
      <w:r w:rsidR="00F01C40">
        <w:rPr>
          <w:i/>
          <w:lang w:val="en-US"/>
        </w:rPr>
        <w:t>R</w:t>
      </w:r>
      <w:r w:rsidR="00FB36A3" w:rsidRPr="00FB36A3">
        <w:rPr>
          <w:i/>
          <w:lang w:val="en-US"/>
        </w:rPr>
        <w:t>eparations.</w:t>
      </w:r>
      <w:r w:rsidRPr="00FB36A3">
        <w:rPr>
          <w:i/>
          <w:lang w:val="en-US"/>
        </w:rPr>
        <w:t xml:space="preserve"> </w:t>
      </w:r>
      <w:r w:rsidR="009C7232" w:rsidRPr="00FB36A3">
        <w:rPr>
          <w:i/>
          <w:lang w:val="en-US"/>
        </w:rPr>
        <w:t>Judgment of</w:t>
      </w:r>
      <w:r w:rsidRPr="00FB36A3">
        <w:rPr>
          <w:i/>
          <w:lang w:val="en-US"/>
        </w:rPr>
        <w:t xml:space="preserve"> </w:t>
      </w:r>
      <w:r w:rsidR="00FB36A3" w:rsidRPr="00FB36A3">
        <w:rPr>
          <w:i/>
          <w:lang w:val="en-US"/>
        </w:rPr>
        <w:t xml:space="preserve">June 27, </w:t>
      </w:r>
      <w:r w:rsidRPr="00FB36A3">
        <w:rPr>
          <w:i/>
          <w:lang w:val="en-US"/>
        </w:rPr>
        <w:t xml:space="preserve">2012. </w:t>
      </w:r>
      <w:r w:rsidR="009C7232" w:rsidRPr="00FB36A3">
        <w:rPr>
          <w:lang w:val="en-US"/>
        </w:rPr>
        <w:t xml:space="preserve">Series </w:t>
      </w:r>
      <w:r w:rsidRPr="00FB36A3">
        <w:rPr>
          <w:lang w:val="en-US"/>
        </w:rPr>
        <w:t>C No. 245</w:t>
      </w:r>
      <w:r w:rsidRPr="00FB36A3">
        <w:rPr>
          <w:rFonts w:cs="Verdana"/>
          <w:bCs/>
          <w:snapToGrid w:val="0"/>
          <w:lang w:val="en-US" w:eastAsia="es-ES"/>
        </w:rPr>
        <w:t xml:space="preserve">, </w:t>
      </w:r>
      <w:r w:rsidR="009C7232" w:rsidRPr="00FB36A3">
        <w:rPr>
          <w:rFonts w:cs="Verdana"/>
          <w:bCs/>
          <w:snapToGrid w:val="0"/>
          <w:lang w:val="en-US" w:eastAsia="es-ES"/>
        </w:rPr>
        <w:t>para.</w:t>
      </w:r>
      <w:r w:rsidRPr="00FB36A3">
        <w:rPr>
          <w:rFonts w:cs="Verdana"/>
          <w:bCs/>
          <w:snapToGrid w:val="0"/>
          <w:lang w:val="en-US" w:eastAsia="es-ES"/>
        </w:rPr>
        <w:t xml:space="preserve"> 157,</w:t>
      </w:r>
      <w:r w:rsidR="009C7232" w:rsidRPr="00FB36A3">
        <w:rPr>
          <w:rFonts w:cs="Verdana"/>
          <w:bCs/>
          <w:snapToGrid w:val="0"/>
          <w:lang w:val="en-US" w:eastAsia="es-ES"/>
        </w:rPr>
        <w:t xml:space="preserve"> and </w:t>
      </w:r>
      <w:r w:rsidR="009C7232" w:rsidRPr="00FB36A3">
        <w:rPr>
          <w:i/>
          <w:lang w:val="en-US"/>
        </w:rPr>
        <w:t>Case of the Garífuna Community of Triunfo de la Cruz and its members</w:t>
      </w:r>
      <w:r w:rsidR="005301C5" w:rsidRPr="00FB36A3">
        <w:rPr>
          <w:i/>
          <w:lang w:val="en-US"/>
        </w:rPr>
        <w:t xml:space="preserve"> </w:t>
      </w:r>
      <w:r w:rsidR="00FB36A3" w:rsidRPr="00FB36A3">
        <w:rPr>
          <w:i/>
          <w:lang w:val="en-US"/>
        </w:rPr>
        <w:t>v.</w:t>
      </w:r>
      <w:r w:rsidR="005301C5" w:rsidRPr="00FB36A3">
        <w:rPr>
          <w:i/>
          <w:lang w:val="en-US"/>
        </w:rPr>
        <w:t xml:space="preserve"> Honduras. </w:t>
      </w:r>
      <w:r w:rsidR="00FB36A3" w:rsidRPr="00FB36A3">
        <w:rPr>
          <w:i/>
          <w:lang w:val="en-US"/>
        </w:rPr>
        <w:t xml:space="preserve">Merits, </w:t>
      </w:r>
      <w:r w:rsidR="00F01C40">
        <w:rPr>
          <w:i/>
          <w:lang w:val="en-US"/>
        </w:rPr>
        <w:t>R</w:t>
      </w:r>
      <w:r w:rsidR="00FB36A3" w:rsidRPr="00FB36A3">
        <w:rPr>
          <w:i/>
          <w:lang w:val="en-US"/>
        </w:rPr>
        <w:t xml:space="preserve">eparations and </w:t>
      </w:r>
      <w:r w:rsidR="00F01C40">
        <w:rPr>
          <w:i/>
          <w:lang w:val="en-US"/>
        </w:rPr>
        <w:t>C</w:t>
      </w:r>
      <w:r w:rsidR="00FB36A3" w:rsidRPr="00FB36A3">
        <w:rPr>
          <w:i/>
          <w:lang w:val="en-US"/>
        </w:rPr>
        <w:t>osts</w:t>
      </w:r>
      <w:r w:rsidR="005301C5" w:rsidRPr="00FB36A3">
        <w:rPr>
          <w:i/>
          <w:lang w:val="en-US"/>
        </w:rPr>
        <w:t>.</w:t>
      </w:r>
      <w:r w:rsidR="005301C5" w:rsidRPr="00FB36A3">
        <w:rPr>
          <w:lang w:val="en-US"/>
        </w:rPr>
        <w:t xml:space="preserve"> </w:t>
      </w:r>
      <w:r w:rsidR="009C7232" w:rsidRPr="00FB36A3">
        <w:rPr>
          <w:lang w:val="en-US"/>
        </w:rPr>
        <w:t>Judgment of</w:t>
      </w:r>
      <w:r w:rsidR="005301C5" w:rsidRPr="00FB36A3">
        <w:rPr>
          <w:lang w:val="en-US"/>
        </w:rPr>
        <w:t xml:space="preserve"> </w:t>
      </w:r>
      <w:r w:rsidR="00FB36A3" w:rsidRPr="00FB36A3">
        <w:rPr>
          <w:lang w:val="en-US"/>
        </w:rPr>
        <w:t>October 8,</w:t>
      </w:r>
      <w:r w:rsidR="005301C5" w:rsidRPr="00FB36A3">
        <w:rPr>
          <w:lang w:val="en-US"/>
        </w:rPr>
        <w:t xml:space="preserve"> 2015. </w:t>
      </w:r>
      <w:r w:rsidR="009C7232" w:rsidRPr="00FB36A3">
        <w:rPr>
          <w:lang w:val="en-US"/>
        </w:rPr>
        <w:t xml:space="preserve">Series </w:t>
      </w:r>
      <w:r w:rsidR="005301C5" w:rsidRPr="00FB36A3">
        <w:rPr>
          <w:lang w:val="en-US"/>
        </w:rPr>
        <w:t>C No. 305</w:t>
      </w:r>
      <w:r w:rsidRPr="00FB36A3">
        <w:rPr>
          <w:i/>
          <w:lang w:val="en-US"/>
        </w:rPr>
        <w:t>,</w:t>
      </w:r>
      <w:r w:rsidRPr="00FB36A3">
        <w:rPr>
          <w:lang w:val="en-US"/>
        </w:rPr>
        <w:t xml:space="preserve"> </w:t>
      </w:r>
      <w:r w:rsidR="009C7232" w:rsidRPr="00FB36A3">
        <w:rPr>
          <w:lang w:val="en-US"/>
        </w:rPr>
        <w:t>para.</w:t>
      </w:r>
      <w:r w:rsidRPr="00FB36A3">
        <w:rPr>
          <w:lang w:val="en-US"/>
        </w:rPr>
        <w:t xml:space="preserve"> 156.</w:t>
      </w:r>
    </w:p>
  </w:footnote>
  <w:footnote w:id="4">
    <w:p w14:paraId="35F8CE9F" w14:textId="76978B6B" w:rsidR="006556A6" w:rsidRPr="00FB36A3" w:rsidRDefault="00B0528F">
      <w:pPr>
        <w:pStyle w:val="Footnotes"/>
        <w:tabs>
          <w:tab w:val="left" w:pos="540"/>
        </w:tabs>
        <w:spacing w:before="0" w:after="120"/>
        <w:rPr>
          <w:lang w:val="en-US"/>
        </w:rPr>
      </w:pPr>
      <w:r w:rsidRPr="00FB36A3">
        <w:rPr>
          <w:rStyle w:val="FootnoteReference"/>
          <w:lang w:val="en-US"/>
        </w:rPr>
        <w:footnoteRef/>
      </w:r>
      <w:r w:rsidRPr="00FB36A3">
        <w:rPr>
          <w:lang w:val="en-US"/>
        </w:rPr>
        <w:t xml:space="preserve"> </w:t>
      </w:r>
      <w:r w:rsidRPr="00FB36A3">
        <w:rPr>
          <w:lang w:val="en-US"/>
        </w:rPr>
        <w:tab/>
      </w:r>
      <w:r w:rsidR="009C7232" w:rsidRPr="00FB36A3">
        <w:rPr>
          <w:i/>
          <w:lang w:val="en-US"/>
        </w:rPr>
        <w:t>Case of the Garífuna Community of Punta Piedra and its members</w:t>
      </w:r>
      <w:r w:rsidR="00C50548" w:rsidRPr="00FB36A3">
        <w:rPr>
          <w:i/>
          <w:lang w:val="en-US"/>
        </w:rPr>
        <w:t xml:space="preserve"> </w:t>
      </w:r>
      <w:r w:rsidR="00FB36A3" w:rsidRPr="00FB36A3">
        <w:rPr>
          <w:i/>
          <w:lang w:val="en-US"/>
        </w:rPr>
        <w:t>v.</w:t>
      </w:r>
      <w:r w:rsidR="00C50548" w:rsidRPr="00FB36A3">
        <w:rPr>
          <w:i/>
          <w:lang w:val="en-US"/>
        </w:rPr>
        <w:t xml:space="preserve"> Honduras. </w:t>
      </w:r>
      <w:r w:rsidR="00FB36A3" w:rsidRPr="00FB36A3">
        <w:rPr>
          <w:i/>
          <w:lang w:val="en-US"/>
        </w:rPr>
        <w:t xml:space="preserve">Preliminary </w:t>
      </w:r>
      <w:r w:rsidR="00F01C40">
        <w:rPr>
          <w:i/>
          <w:lang w:val="en-US"/>
        </w:rPr>
        <w:t>O</w:t>
      </w:r>
      <w:r w:rsidR="00FB36A3" w:rsidRPr="00FB36A3">
        <w:rPr>
          <w:i/>
          <w:lang w:val="en-US"/>
        </w:rPr>
        <w:t xml:space="preserve">bjections, </w:t>
      </w:r>
      <w:r w:rsidR="00F01C40">
        <w:rPr>
          <w:i/>
          <w:lang w:val="en-US"/>
        </w:rPr>
        <w:t>M</w:t>
      </w:r>
      <w:r w:rsidR="00FB36A3" w:rsidRPr="00FB36A3">
        <w:rPr>
          <w:i/>
          <w:lang w:val="en-US"/>
        </w:rPr>
        <w:t xml:space="preserve">erits, </w:t>
      </w:r>
      <w:r w:rsidR="00F01C40">
        <w:rPr>
          <w:i/>
          <w:lang w:val="en-US"/>
        </w:rPr>
        <w:t>R</w:t>
      </w:r>
      <w:r w:rsidR="00FB36A3" w:rsidRPr="00FB36A3">
        <w:rPr>
          <w:i/>
          <w:lang w:val="en-US"/>
        </w:rPr>
        <w:t xml:space="preserve">eparations and </w:t>
      </w:r>
      <w:r w:rsidR="00F01C40">
        <w:rPr>
          <w:i/>
          <w:lang w:val="en-US"/>
        </w:rPr>
        <w:t>C</w:t>
      </w:r>
      <w:r w:rsidR="00FB36A3" w:rsidRPr="00FB36A3">
        <w:rPr>
          <w:i/>
          <w:lang w:val="en-US"/>
        </w:rPr>
        <w:t>osts</w:t>
      </w:r>
      <w:r w:rsidR="00C50548" w:rsidRPr="00FB36A3">
        <w:rPr>
          <w:i/>
          <w:lang w:val="en-US"/>
        </w:rPr>
        <w:t>.</w:t>
      </w:r>
      <w:r w:rsidR="00C50548" w:rsidRPr="00FB36A3">
        <w:rPr>
          <w:lang w:val="en-US"/>
        </w:rPr>
        <w:t xml:space="preserve"> </w:t>
      </w:r>
      <w:r w:rsidR="009C7232" w:rsidRPr="00FB36A3">
        <w:rPr>
          <w:lang w:val="en-US"/>
        </w:rPr>
        <w:t>Judgment of</w:t>
      </w:r>
      <w:r w:rsidR="00C50548" w:rsidRPr="00FB36A3">
        <w:rPr>
          <w:lang w:val="en-US"/>
        </w:rPr>
        <w:t xml:space="preserve"> </w:t>
      </w:r>
      <w:r w:rsidR="00FB36A3" w:rsidRPr="00FB36A3">
        <w:rPr>
          <w:lang w:val="en-US"/>
        </w:rPr>
        <w:t>Oc</w:t>
      </w:r>
      <w:r w:rsidR="00FB36A3">
        <w:rPr>
          <w:lang w:val="en-US"/>
        </w:rPr>
        <w:t>t</w:t>
      </w:r>
      <w:r w:rsidR="00FB36A3" w:rsidRPr="00FB36A3">
        <w:rPr>
          <w:lang w:val="en-US"/>
        </w:rPr>
        <w:t>ober 8,</w:t>
      </w:r>
      <w:r w:rsidR="00C50548" w:rsidRPr="00FB36A3">
        <w:rPr>
          <w:lang w:val="en-US"/>
        </w:rPr>
        <w:t xml:space="preserve"> 2015. </w:t>
      </w:r>
      <w:r w:rsidR="009C7232" w:rsidRPr="00FB36A3">
        <w:rPr>
          <w:lang w:val="en-US"/>
        </w:rPr>
        <w:t xml:space="preserve">Series </w:t>
      </w:r>
      <w:r w:rsidR="00C50548" w:rsidRPr="00FB36A3">
        <w:rPr>
          <w:lang w:val="en-US"/>
        </w:rPr>
        <w:t xml:space="preserve">C No. 304, </w:t>
      </w:r>
      <w:r w:rsidR="009C7232" w:rsidRPr="00FB36A3">
        <w:rPr>
          <w:lang w:val="en-US"/>
        </w:rPr>
        <w:t>para.</w:t>
      </w:r>
      <w:r w:rsidRPr="00FB36A3">
        <w:rPr>
          <w:lang w:val="en-US"/>
        </w:rPr>
        <w:t xml:space="preserve"> 215.</w:t>
      </w:r>
    </w:p>
  </w:footnote>
  <w:footnote w:id="5">
    <w:p w14:paraId="35F8CEA0" w14:textId="46408FFC" w:rsidR="006556A6" w:rsidRPr="00FB36A3" w:rsidRDefault="00B0528F">
      <w:pPr>
        <w:pStyle w:val="FootnoteText"/>
        <w:tabs>
          <w:tab w:val="left" w:pos="540"/>
          <w:tab w:val="left" w:pos="567"/>
        </w:tabs>
        <w:spacing w:after="120"/>
        <w:jc w:val="both"/>
        <w:rPr>
          <w:rFonts w:ascii="Verdana" w:hAnsi="Verdana"/>
          <w:sz w:val="16"/>
          <w:szCs w:val="16"/>
          <w:lang w:val="en-US"/>
        </w:rPr>
      </w:pPr>
      <w:r w:rsidRPr="00FB36A3">
        <w:rPr>
          <w:rStyle w:val="FootnoteReference"/>
          <w:rFonts w:ascii="Verdana" w:hAnsi="Verdana"/>
          <w:sz w:val="16"/>
          <w:szCs w:val="16"/>
          <w:lang w:val="en-US"/>
        </w:rPr>
        <w:footnoteRef/>
      </w:r>
      <w:r w:rsidRPr="00FB36A3">
        <w:rPr>
          <w:rFonts w:ascii="Verdana" w:hAnsi="Verdana"/>
          <w:sz w:val="16"/>
          <w:szCs w:val="16"/>
          <w:lang w:val="en-US"/>
        </w:rPr>
        <w:t xml:space="preserve"> </w:t>
      </w:r>
      <w:r w:rsidRPr="00FB36A3">
        <w:rPr>
          <w:rFonts w:ascii="Verdana" w:hAnsi="Verdana"/>
          <w:sz w:val="16"/>
          <w:szCs w:val="16"/>
          <w:lang w:val="en-US"/>
        </w:rPr>
        <w:tab/>
      </w:r>
      <w:r w:rsidR="009C7232" w:rsidRPr="00FB36A3">
        <w:rPr>
          <w:rFonts w:ascii="Verdana" w:hAnsi="Verdana"/>
          <w:i/>
          <w:sz w:val="16"/>
          <w:szCs w:val="16"/>
          <w:lang w:val="en-US"/>
        </w:rPr>
        <w:t>Case of the Saramaka People</w:t>
      </w:r>
      <w:r w:rsidR="00EE72B6">
        <w:rPr>
          <w:rFonts w:ascii="Verdana" w:hAnsi="Verdana"/>
          <w:i/>
          <w:sz w:val="16"/>
          <w:szCs w:val="16"/>
          <w:lang w:val="en-US"/>
        </w:rPr>
        <w:t xml:space="preserve">, </w:t>
      </w:r>
      <w:r w:rsidRPr="00FB36A3">
        <w:rPr>
          <w:rFonts w:ascii="Verdana" w:hAnsi="Verdana"/>
          <w:i/>
          <w:sz w:val="16"/>
          <w:szCs w:val="16"/>
          <w:lang w:val="en-US"/>
        </w:rPr>
        <w:t xml:space="preserve">supra, </w:t>
      </w:r>
      <w:r w:rsidR="009C7232" w:rsidRPr="00FB36A3">
        <w:rPr>
          <w:rFonts w:ascii="Verdana" w:hAnsi="Verdana"/>
          <w:sz w:val="16"/>
          <w:szCs w:val="16"/>
          <w:lang w:val="en-US"/>
        </w:rPr>
        <w:t>para.</w:t>
      </w:r>
      <w:r w:rsidRPr="00FB36A3">
        <w:rPr>
          <w:rFonts w:ascii="Verdana" w:hAnsi="Verdana"/>
          <w:sz w:val="16"/>
          <w:szCs w:val="16"/>
          <w:lang w:val="en-US"/>
        </w:rPr>
        <w:t xml:space="preserve"> 95.</w:t>
      </w:r>
    </w:p>
  </w:footnote>
  <w:footnote w:id="6">
    <w:p w14:paraId="35F8CEA1" w14:textId="77777777" w:rsidR="001C303C" w:rsidRPr="00FB36A3" w:rsidRDefault="00B0528F">
      <w:pPr>
        <w:pStyle w:val="FootnoteText"/>
        <w:tabs>
          <w:tab w:val="left" w:pos="540"/>
          <w:tab w:val="left" w:pos="567"/>
        </w:tabs>
        <w:spacing w:after="120"/>
        <w:jc w:val="both"/>
        <w:rPr>
          <w:rFonts w:ascii="Verdana" w:hAnsi="Verdana"/>
          <w:sz w:val="16"/>
          <w:szCs w:val="16"/>
          <w:lang w:val="en-US"/>
        </w:rPr>
      </w:pPr>
      <w:r w:rsidRPr="00FB36A3">
        <w:rPr>
          <w:rStyle w:val="FootnoteReference"/>
          <w:rFonts w:ascii="Verdana" w:hAnsi="Verdana"/>
          <w:sz w:val="16"/>
          <w:szCs w:val="16"/>
          <w:lang w:val="en-US"/>
        </w:rPr>
        <w:footnoteRef/>
      </w:r>
      <w:r w:rsidRPr="00FB36A3">
        <w:rPr>
          <w:rFonts w:ascii="Verdana" w:hAnsi="Verdana"/>
          <w:sz w:val="16"/>
          <w:szCs w:val="16"/>
          <w:lang w:val="en-US"/>
        </w:rPr>
        <w:t xml:space="preserve"> </w:t>
      </w:r>
      <w:r w:rsidRPr="00FB36A3">
        <w:rPr>
          <w:rFonts w:ascii="Verdana" w:hAnsi="Verdana"/>
          <w:sz w:val="16"/>
          <w:szCs w:val="16"/>
          <w:lang w:val="en-US"/>
        </w:rPr>
        <w:tab/>
      </w:r>
      <w:r w:rsidR="00FB36A3">
        <w:rPr>
          <w:rFonts w:ascii="Verdana" w:hAnsi="Verdana"/>
          <w:i/>
          <w:sz w:val="16"/>
          <w:szCs w:val="16"/>
          <w:lang w:val="en-US"/>
        </w:rPr>
        <w:t>Cf.</w:t>
      </w:r>
      <w:r w:rsidR="001C303C" w:rsidRPr="00FB36A3">
        <w:rPr>
          <w:rFonts w:ascii="Verdana" w:hAnsi="Verdana"/>
          <w:sz w:val="16"/>
          <w:szCs w:val="16"/>
          <w:lang w:val="en-US"/>
        </w:rPr>
        <w:t xml:space="preserve"> </w:t>
      </w:r>
      <w:r w:rsidR="00FB36A3">
        <w:rPr>
          <w:rFonts w:ascii="Verdana" w:hAnsi="Verdana"/>
          <w:sz w:val="16"/>
          <w:szCs w:val="16"/>
          <w:lang w:val="en-US"/>
        </w:rPr>
        <w:t>Paragraphs</w:t>
      </w:r>
      <w:r w:rsidRPr="00FB36A3">
        <w:rPr>
          <w:rFonts w:ascii="Verdana" w:hAnsi="Verdana"/>
          <w:sz w:val="16"/>
          <w:szCs w:val="16"/>
          <w:lang w:val="en-US"/>
        </w:rPr>
        <w:t xml:space="preserve"> 122, 123</w:t>
      </w:r>
      <w:r w:rsidR="009C7232" w:rsidRPr="00FB36A3">
        <w:rPr>
          <w:rFonts w:ascii="Verdana" w:hAnsi="Verdana"/>
          <w:sz w:val="16"/>
          <w:szCs w:val="16"/>
          <w:lang w:val="en-US"/>
        </w:rPr>
        <w:t xml:space="preserve"> and </w:t>
      </w:r>
      <w:r w:rsidRPr="00FB36A3">
        <w:rPr>
          <w:rFonts w:ascii="Verdana" w:hAnsi="Verdana"/>
          <w:sz w:val="16"/>
          <w:szCs w:val="16"/>
          <w:lang w:val="en-US"/>
        </w:rPr>
        <w:t xml:space="preserve">124 </w:t>
      </w:r>
      <w:r w:rsidR="00FB36A3">
        <w:rPr>
          <w:rFonts w:ascii="Verdana" w:hAnsi="Verdana"/>
          <w:sz w:val="16"/>
          <w:szCs w:val="16"/>
          <w:lang w:val="en-US"/>
        </w:rPr>
        <w:t>of the Judgment.</w:t>
      </w:r>
      <w:r w:rsidRPr="00FB36A3">
        <w:rPr>
          <w:rFonts w:ascii="Verdana" w:hAnsi="Verdana"/>
          <w:sz w:val="16"/>
          <w:szCs w:val="16"/>
          <w:lang w:val="en-US"/>
        </w:rPr>
        <w:t xml:space="preserve"> </w:t>
      </w:r>
    </w:p>
  </w:footnote>
  <w:footnote w:id="7">
    <w:p w14:paraId="35F8CEA2" w14:textId="77777777" w:rsidR="00B0528F" w:rsidRPr="00FB36A3" w:rsidRDefault="00B0528F">
      <w:pPr>
        <w:pStyle w:val="FootnoteText"/>
        <w:tabs>
          <w:tab w:val="left" w:pos="540"/>
          <w:tab w:val="left" w:pos="567"/>
        </w:tabs>
        <w:spacing w:after="120"/>
        <w:jc w:val="both"/>
        <w:rPr>
          <w:rFonts w:ascii="Verdana" w:hAnsi="Verdana"/>
          <w:sz w:val="16"/>
          <w:szCs w:val="16"/>
          <w:lang w:val="en-US"/>
        </w:rPr>
      </w:pPr>
      <w:r w:rsidRPr="00FB36A3">
        <w:rPr>
          <w:rStyle w:val="FootnoteReference"/>
          <w:rFonts w:ascii="Verdana" w:hAnsi="Verdana"/>
          <w:sz w:val="16"/>
          <w:szCs w:val="16"/>
          <w:lang w:val="en-US"/>
        </w:rPr>
        <w:footnoteRef/>
      </w:r>
      <w:r w:rsidRPr="00FB36A3">
        <w:rPr>
          <w:rFonts w:ascii="Verdana" w:hAnsi="Verdana"/>
          <w:sz w:val="16"/>
          <w:szCs w:val="16"/>
          <w:lang w:val="en-US"/>
        </w:rPr>
        <w:t xml:space="preserve"> </w:t>
      </w:r>
      <w:r w:rsidRPr="00FB36A3">
        <w:rPr>
          <w:rFonts w:ascii="Verdana" w:hAnsi="Verdana"/>
          <w:sz w:val="16"/>
          <w:szCs w:val="16"/>
          <w:lang w:val="en-US"/>
        </w:rPr>
        <w:tab/>
      </w:r>
      <w:r w:rsidR="00FB36A3">
        <w:rPr>
          <w:rFonts w:ascii="Verdana" w:hAnsi="Verdana"/>
          <w:sz w:val="16"/>
          <w:szCs w:val="16"/>
          <w:lang w:val="en-US"/>
        </w:rPr>
        <w:t>Paragraph</w:t>
      </w:r>
      <w:r w:rsidRPr="00FB36A3">
        <w:rPr>
          <w:rFonts w:ascii="Verdana" w:hAnsi="Verdana"/>
          <w:sz w:val="16"/>
          <w:szCs w:val="16"/>
          <w:lang w:val="en-US"/>
        </w:rPr>
        <w:t xml:space="preserve"> 125 </w:t>
      </w:r>
      <w:r w:rsidR="00FB36A3">
        <w:rPr>
          <w:rFonts w:ascii="Verdana" w:hAnsi="Verdana"/>
          <w:sz w:val="16"/>
          <w:szCs w:val="16"/>
          <w:lang w:val="en-US"/>
        </w:rPr>
        <w:t>of the Judgment</w:t>
      </w:r>
      <w:r w:rsidRPr="00FB36A3">
        <w:rPr>
          <w:rFonts w:ascii="Verdana" w:hAnsi="Verdana"/>
          <w:sz w:val="16"/>
          <w:szCs w:val="16"/>
          <w:lang w:val="en-US"/>
        </w:rPr>
        <w:t>.</w:t>
      </w:r>
    </w:p>
  </w:footnote>
  <w:footnote w:id="8">
    <w:p w14:paraId="35F8CEA3" w14:textId="35E084FF" w:rsidR="006556A6" w:rsidRPr="00B648D3" w:rsidRDefault="00B0528F">
      <w:pPr>
        <w:pStyle w:val="NormalWeb"/>
        <w:tabs>
          <w:tab w:val="left" w:pos="540"/>
          <w:tab w:val="left" w:pos="567"/>
        </w:tabs>
        <w:spacing w:before="0" w:beforeAutospacing="0" w:after="120" w:afterAutospacing="0"/>
        <w:jc w:val="both"/>
        <w:rPr>
          <w:rFonts w:ascii="Verdana" w:hAnsi="Verdana"/>
          <w:color w:val="000000"/>
          <w:sz w:val="16"/>
          <w:szCs w:val="16"/>
          <w:lang w:val="en-US"/>
        </w:rPr>
      </w:pPr>
      <w:r w:rsidRPr="00FB36A3">
        <w:rPr>
          <w:rStyle w:val="FootnoteReference"/>
          <w:rFonts w:ascii="Verdana" w:eastAsia="MS Mincho" w:hAnsi="Verdana"/>
          <w:sz w:val="16"/>
          <w:szCs w:val="16"/>
          <w:lang w:val="en-US"/>
        </w:rPr>
        <w:footnoteRef/>
      </w:r>
      <w:r w:rsidR="00FB36A3">
        <w:rPr>
          <w:rFonts w:ascii="Verdana" w:hAnsi="Verdana"/>
          <w:sz w:val="16"/>
          <w:szCs w:val="16"/>
          <w:lang w:val="en-US"/>
        </w:rPr>
        <w:t xml:space="preserve"> </w:t>
      </w:r>
      <w:r w:rsidR="00FB36A3">
        <w:rPr>
          <w:rFonts w:ascii="Verdana" w:hAnsi="Verdana"/>
          <w:sz w:val="16"/>
          <w:szCs w:val="16"/>
          <w:lang w:val="en-US"/>
        </w:rPr>
        <w:tab/>
        <w:t>Article</w:t>
      </w:r>
      <w:r w:rsidRPr="00FB36A3">
        <w:rPr>
          <w:rFonts w:ascii="Verdana" w:hAnsi="Verdana"/>
          <w:sz w:val="16"/>
          <w:szCs w:val="16"/>
          <w:lang w:val="en-US"/>
        </w:rPr>
        <w:t xml:space="preserve"> 18</w:t>
      </w:r>
      <w:r w:rsidR="009C7232" w:rsidRPr="00FB36A3">
        <w:rPr>
          <w:rFonts w:ascii="Verdana" w:hAnsi="Verdana"/>
          <w:sz w:val="16"/>
          <w:szCs w:val="16"/>
          <w:lang w:val="en-US"/>
        </w:rPr>
        <w:t xml:space="preserve"> and </w:t>
      </w:r>
      <w:r w:rsidRPr="00FB36A3">
        <w:rPr>
          <w:rFonts w:ascii="Verdana" w:hAnsi="Verdana"/>
          <w:sz w:val="16"/>
          <w:szCs w:val="16"/>
          <w:lang w:val="en-US"/>
        </w:rPr>
        <w:t xml:space="preserve">32 </w:t>
      </w:r>
      <w:r w:rsidR="00FB36A3" w:rsidRPr="00FB36A3">
        <w:rPr>
          <w:rFonts w:ascii="Verdana" w:hAnsi="Verdana"/>
          <w:sz w:val="16"/>
          <w:szCs w:val="16"/>
          <w:lang w:val="en-US"/>
        </w:rPr>
        <w:t xml:space="preserve">of the United Nations Declaration on the Rights of Indigenous Peoples </w:t>
      </w:r>
      <w:r w:rsidRPr="00FB36A3">
        <w:rPr>
          <w:rFonts w:ascii="Verdana" w:hAnsi="Verdana"/>
          <w:color w:val="000000"/>
          <w:sz w:val="16"/>
          <w:szCs w:val="16"/>
          <w:lang w:val="en-US"/>
        </w:rPr>
        <w:t>(A/RES/61/295</w:t>
      </w:r>
      <w:r w:rsidRPr="00FB36A3">
        <w:rPr>
          <w:rFonts w:ascii="Verdana" w:hAnsi="Verdana" w:cs="Arial"/>
          <w:color w:val="000000"/>
          <w:sz w:val="16"/>
          <w:szCs w:val="16"/>
          <w:lang w:val="en-US"/>
        </w:rPr>
        <w:t>)</w:t>
      </w:r>
      <w:r w:rsidRPr="00FB36A3">
        <w:rPr>
          <w:rFonts w:ascii="Verdana" w:hAnsi="Verdana"/>
          <w:i/>
          <w:color w:val="000000"/>
          <w:sz w:val="16"/>
          <w:szCs w:val="16"/>
          <w:lang w:val="en-US"/>
        </w:rPr>
        <w:t>.</w:t>
      </w:r>
      <w:r w:rsidRPr="00FB36A3">
        <w:rPr>
          <w:rFonts w:ascii="Verdana" w:hAnsi="Verdana"/>
          <w:color w:val="000000"/>
          <w:sz w:val="16"/>
          <w:szCs w:val="16"/>
          <w:lang w:val="en-US"/>
        </w:rPr>
        <w:t xml:space="preserve"> </w:t>
      </w:r>
      <w:r w:rsidR="00FB36A3" w:rsidRPr="00B648D3">
        <w:rPr>
          <w:rFonts w:ascii="Verdana" w:hAnsi="Verdana"/>
          <w:color w:val="000000"/>
          <w:sz w:val="16"/>
          <w:szCs w:val="16"/>
          <w:lang w:val="en-US"/>
        </w:rPr>
        <w:t xml:space="preserve">See also, article 29 of the Declaration. </w:t>
      </w:r>
      <w:r w:rsidR="00FB36A3" w:rsidRPr="00FB36A3">
        <w:rPr>
          <w:rFonts w:ascii="Verdana" w:hAnsi="Verdana"/>
          <w:sz w:val="16"/>
          <w:szCs w:val="16"/>
          <w:lang w:val="en-US"/>
        </w:rPr>
        <w:t xml:space="preserve">Also, article 6 of the Inter-American Democratic Charter states that: “It is the right and responsibility of all citizens to participate in decisions relating to their own development </w:t>
      </w:r>
      <w:r w:rsidRPr="00B648D3">
        <w:rPr>
          <w:rFonts w:ascii="Verdana" w:hAnsi="Verdana"/>
          <w:color w:val="000000"/>
          <w:sz w:val="16"/>
          <w:szCs w:val="16"/>
          <w:lang w:val="en-US"/>
        </w:rPr>
        <w:t>[…]</w:t>
      </w:r>
      <w:r w:rsidR="00FB36A3" w:rsidRPr="00B648D3">
        <w:rPr>
          <w:rFonts w:ascii="Verdana" w:hAnsi="Verdana"/>
          <w:color w:val="000000"/>
          <w:sz w:val="16"/>
          <w:szCs w:val="16"/>
          <w:lang w:val="en-US"/>
        </w:rPr>
        <w:t>.”</w:t>
      </w:r>
    </w:p>
  </w:footnote>
  <w:footnote w:id="9">
    <w:p w14:paraId="35F8CEA4" w14:textId="77777777" w:rsidR="00B0528F" w:rsidRPr="00B648D3" w:rsidRDefault="00B0528F">
      <w:pPr>
        <w:pStyle w:val="FootnoteText"/>
        <w:tabs>
          <w:tab w:val="left" w:pos="540"/>
          <w:tab w:val="left" w:pos="567"/>
        </w:tabs>
        <w:spacing w:after="120"/>
        <w:jc w:val="both"/>
        <w:rPr>
          <w:rFonts w:ascii="Verdana" w:hAnsi="Verdana"/>
          <w:sz w:val="16"/>
          <w:szCs w:val="16"/>
          <w:lang w:val="en-US"/>
        </w:rPr>
      </w:pPr>
      <w:r w:rsidRPr="00FB36A3">
        <w:rPr>
          <w:rStyle w:val="FootnoteReference"/>
          <w:rFonts w:ascii="Verdana" w:hAnsi="Verdana"/>
          <w:sz w:val="16"/>
          <w:szCs w:val="16"/>
          <w:lang w:val="en-US"/>
        </w:rPr>
        <w:footnoteRef/>
      </w:r>
      <w:r w:rsidR="00FB36A3" w:rsidRPr="00B648D3">
        <w:rPr>
          <w:rFonts w:ascii="Verdana" w:hAnsi="Verdana"/>
          <w:sz w:val="16"/>
          <w:szCs w:val="16"/>
          <w:lang w:val="en-US"/>
        </w:rPr>
        <w:t xml:space="preserve"> </w:t>
      </w:r>
      <w:r w:rsidR="00FB36A3" w:rsidRPr="00B648D3">
        <w:rPr>
          <w:rFonts w:ascii="Verdana" w:hAnsi="Verdana"/>
          <w:sz w:val="16"/>
          <w:szCs w:val="16"/>
          <w:lang w:val="en-US"/>
        </w:rPr>
        <w:tab/>
        <w:t>Paragraph</w:t>
      </w:r>
      <w:r w:rsidRPr="00B648D3">
        <w:rPr>
          <w:rFonts w:ascii="Verdana" w:hAnsi="Verdana"/>
          <w:sz w:val="16"/>
          <w:szCs w:val="16"/>
          <w:lang w:val="en-US"/>
        </w:rPr>
        <w:t xml:space="preserve"> 203 </w:t>
      </w:r>
      <w:r w:rsidR="00FB36A3" w:rsidRPr="00B648D3">
        <w:rPr>
          <w:rFonts w:ascii="Verdana" w:hAnsi="Verdana"/>
          <w:sz w:val="16"/>
          <w:szCs w:val="16"/>
          <w:lang w:val="en-US"/>
        </w:rPr>
        <w:t>of the Judgment</w:t>
      </w:r>
      <w:r w:rsidRPr="00B648D3">
        <w:rPr>
          <w:rFonts w:ascii="Verdana" w:hAnsi="Verdana"/>
          <w:sz w:val="16"/>
          <w:szCs w:val="16"/>
          <w:lang w:val="en-US"/>
        </w:rPr>
        <w:t>.</w:t>
      </w:r>
    </w:p>
  </w:footnote>
  <w:footnote w:id="10">
    <w:p w14:paraId="35F8CEA5" w14:textId="015B0B4C" w:rsidR="00FB36A3" w:rsidRPr="00FB36A3" w:rsidRDefault="00FB36A3" w:rsidP="00EA3842">
      <w:pPr>
        <w:pStyle w:val="FootnoteText"/>
        <w:tabs>
          <w:tab w:val="left" w:pos="540"/>
          <w:tab w:val="left" w:pos="567"/>
        </w:tabs>
        <w:spacing w:after="120"/>
        <w:jc w:val="both"/>
        <w:rPr>
          <w:rFonts w:ascii="Verdana" w:hAnsi="Verdana"/>
          <w:sz w:val="16"/>
          <w:szCs w:val="16"/>
          <w:lang w:val="en-US"/>
        </w:rPr>
      </w:pPr>
      <w:r w:rsidRPr="00FB36A3">
        <w:rPr>
          <w:rStyle w:val="FootnoteReference"/>
          <w:rFonts w:ascii="Verdana" w:hAnsi="Verdana"/>
          <w:sz w:val="16"/>
          <w:szCs w:val="16"/>
          <w:lang w:val="en-US"/>
        </w:rPr>
        <w:footnoteRef/>
      </w:r>
      <w:r w:rsidRPr="00FB36A3">
        <w:rPr>
          <w:rFonts w:ascii="Verdana" w:hAnsi="Verdana"/>
          <w:sz w:val="16"/>
          <w:szCs w:val="16"/>
          <w:lang w:val="en-US"/>
        </w:rPr>
        <w:t xml:space="preserve"> </w:t>
      </w:r>
      <w:r w:rsidRPr="00FB36A3">
        <w:rPr>
          <w:rFonts w:ascii="Verdana" w:hAnsi="Verdana"/>
          <w:sz w:val="16"/>
          <w:szCs w:val="16"/>
          <w:lang w:val="en-US"/>
        </w:rPr>
        <w:tab/>
      </w:r>
      <w:r w:rsidRPr="00FB36A3">
        <w:rPr>
          <w:rFonts w:ascii="Verdana" w:hAnsi="Verdana"/>
          <w:i/>
          <w:sz w:val="16"/>
          <w:szCs w:val="16"/>
          <w:lang w:val="en-US"/>
        </w:rPr>
        <w:t>Cf.</w:t>
      </w:r>
      <w:r w:rsidRPr="00FB36A3">
        <w:rPr>
          <w:rFonts w:ascii="Verdana" w:hAnsi="Verdana"/>
          <w:sz w:val="16"/>
          <w:szCs w:val="16"/>
          <w:lang w:val="en-US"/>
        </w:rPr>
        <w:t xml:space="preserve"> </w:t>
      </w:r>
      <w:r w:rsidRPr="00FB36A3">
        <w:rPr>
          <w:rFonts w:ascii="Verdana" w:hAnsi="Verdana"/>
          <w:i/>
          <w:sz w:val="16"/>
          <w:szCs w:val="16"/>
          <w:lang w:val="en-US"/>
        </w:rPr>
        <w:t>Case of the Saramaka People</w:t>
      </w:r>
      <w:r w:rsidRPr="00FB36A3">
        <w:rPr>
          <w:rFonts w:ascii="Verdana" w:hAnsi="Verdana"/>
          <w:i/>
          <w:snapToGrid w:val="0"/>
          <w:sz w:val="16"/>
          <w:szCs w:val="16"/>
          <w:lang w:val="en-US"/>
        </w:rPr>
        <w:t>,</w:t>
      </w:r>
      <w:r w:rsidRPr="00FB36A3">
        <w:rPr>
          <w:rFonts w:ascii="Verdana" w:hAnsi="Verdana"/>
          <w:snapToGrid w:val="0"/>
          <w:sz w:val="16"/>
          <w:szCs w:val="16"/>
          <w:lang w:val="en-US"/>
        </w:rPr>
        <w:t xml:space="preserve"> </w:t>
      </w:r>
      <w:r w:rsidRPr="00FB36A3">
        <w:rPr>
          <w:rFonts w:ascii="Verdana" w:hAnsi="Verdana"/>
          <w:i/>
          <w:snapToGrid w:val="0"/>
          <w:sz w:val="16"/>
          <w:szCs w:val="16"/>
          <w:lang w:val="en-US"/>
        </w:rPr>
        <w:t>supra</w:t>
      </w:r>
      <w:r w:rsidRPr="00FB36A3">
        <w:rPr>
          <w:rFonts w:ascii="Verdana" w:hAnsi="Verdana"/>
          <w:snapToGrid w:val="0"/>
          <w:sz w:val="16"/>
          <w:szCs w:val="16"/>
          <w:lang w:val="en-US"/>
        </w:rPr>
        <w:t xml:space="preserve">, para. 129. Likewise, in the </w:t>
      </w:r>
      <w:r w:rsidRPr="00FB36A3">
        <w:rPr>
          <w:rFonts w:ascii="Verdana" w:hAnsi="Verdana"/>
          <w:i/>
          <w:snapToGrid w:val="0"/>
          <w:sz w:val="16"/>
          <w:szCs w:val="16"/>
          <w:lang w:val="en-US"/>
        </w:rPr>
        <w:t>case</w:t>
      </w:r>
      <w:r w:rsidRPr="00FB36A3">
        <w:rPr>
          <w:rFonts w:ascii="Verdana" w:hAnsi="Verdana"/>
          <w:snapToGrid w:val="0"/>
          <w:sz w:val="16"/>
          <w:szCs w:val="16"/>
          <w:lang w:val="en-US"/>
        </w:rPr>
        <w:t xml:space="preserve"> </w:t>
      </w:r>
      <w:r w:rsidRPr="00FB36A3">
        <w:rPr>
          <w:rFonts w:ascii="Verdana" w:hAnsi="Verdana"/>
          <w:i/>
          <w:sz w:val="16"/>
          <w:szCs w:val="16"/>
          <w:lang w:val="en-US"/>
        </w:rPr>
        <w:t xml:space="preserve">of the Garífuna Community of Punta Piedra and its members, </w:t>
      </w:r>
      <w:r w:rsidRPr="00FB36A3">
        <w:rPr>
          <w:rFonts w:ascii="Verdana" w:hAnsi="Verdana"/>
          <w:sz w:val="16"/>
          <w:szCs w:val="16"/>
          <w:lang w:val="en-US"/>
        </w:rPr>
        <w:t xml:space="preserve">the Court indicated that the consultation must take place beforehand, and must be carried out starting in the initial stages of the development or investment plan so that the indigenous and tribal peoples may truly participate and influence the decision-making process. </w:t>
      </w:r>
      <w:r w:rsidRPr="00FB36A3">
        <w:rPr>
          <w:rFonts w:ascii="Verdana" w:hAnsi="Verdana"/>
          <w:i/>
          <w:sz w:val="16"/>
          <w:szCs w:val="16"/>
          <w:lang w:val="en-US"/>
        </w:rPr>
        <w:t>Cf.</w:t>
      </w:r>
      <w:r w:rsidRPr="00FB36A3">
        <w:rPr>
          <w:rFonts w:ascii="Verdana" w:hAnsi="Verdana"/>
          <w:sz w:val="16"/>
          <w:szCs w:val="16"/>
          <w:lang w:val="en-US"/>
        </w:rPr>
        <w:t xml:space="preserve"> </w:t>
      </w:r>
      <w:r w:rsidRPr="00FB36A3">
        <w:rPr>
          <w:rFonts w:ascii="Verdana" w:hAnsi="Verdana"/>
          <w:i/>
          <w:sz w:val="16"/>
          <w:szCs w:val="16"/>
          <w:lang w:val="en-US"/>
        </w:rPr>
        <w:t>Case of the Garífuna Community of Punta Piedra and its members, supra</w:t>
      </w:r>
      <w:r>
        <w:rPr>
          <w:rFonts w:ascii="Verdana" w:hAnsi="Verdana"/>
          <w:sz w:val="16"/>
          <w:szCs w:val="16"/>
          <w:lang w:val="en-US"/>
        </w:rPr>
        <w:t>, para. 217.</w:t>
      </w:r>
    </w:p>
  </w:footnote>
  <w:footnote w:id="11">
    <w:p w14:paraId="35F8CEA6" w14:textId="77777777" w:rsidR="00EA2E54" w:rsidRPr="00FB36A3" w:rsidRDefault="00B0528F" w:rsidP="00EE72B6">
      <w:pPr>
        <w:pStyle w:val="FootnoteText"/>
        <w:tabs>
          <w:tab w:val="left" w:pos="540"/>
          <w:tab w:val="left" w:pos="567"/>
        </w:tabs>
        <w:spacing w:after="120"/>
        <w:rPr>
          <w:rFonts w:ascii="Verdana" w:hAnsi="Verdana"/>
          <w:sz w:val="16"/>
          <w:szCs w:val="16"/>
          <w:lang w:val="en-US"/>
        </w:rPr>
      </w:pPr>
      <w:r w:rsidRPr="00FB36A3">
        <w:rPr>
          <w:rStyle w:val="FootnoteReference"/>
          <w:rFonts w:ascii="Verdana" w:hAnsi="Verdana"/>
          <w:sz w:val="16"/>
          <w:szCs w:val="16"/>
          <w:lang w:val="en-US"/>
        </w:rPr>
        <w:footnoteRef/>
      </w:r>
      <w:r w:rsidRPr="00FB36A3">
        <w:rPr>
          <w:rFonts w:ascii="Verdana" w:hAnsi="Verdana"/>
          <w:sz w:val="16"/>
          <w:szCs w:val="16"/>
          <w:lang w:val="en-US"/>
        </w:rPr>
        <w:t xml:space="preserve"> </w:t>
      </w:r>
      <w:r w:rsidRPr="00FB36A3">
        <w:rPr>
          <w:rFonts w:ascii="Verdana" w:hAnsi="Verdana"/>
          <w:sz w:val="16"/>
          <w:szCs w:val="16"/>
          <w:lang w:val="en-US"/>
        </w:rPr>
        <w:tab/>
      </w:r>
      <w:r w:rsidR="009C7232" w:rsidRPr="00FB36A3">
        <w:rPr>
          <w:rFonts w:ascii="Verdana" w:hAnsi="Verdana"/>
          <w:i/>
          <w:sz w:val="16"/>
          <w:szCs w:val="16"/>
          <w:lang w:val="en-US"/>
        </w:rPr>
        <w:t xml:space="preserve">Case </w:t>
      </w:r>
      <w:r w:rsidR="00FB36A3">
        <w:rPr>
          <w:rFonts w:ascii="Verdana" w:hAnsi="Verdana"/>
          <w:i/>
          <w:sz w:val="16"/>
          <w:szCs w:val="16"/>
          <w:lang w:val="en-US"/>
        </w:rPr>
        <w:t>of the Saramaka People</w:t>
      </w:r>
      <w:r w:rsidRPr="00FB36A3">
        <w:rPr>
          <w:rFonts w:ascii="Verdana" w:hAnsi="Verdana"/>
          <w:i/>
          <w:sz w:val="16"/>
          <w:szCs w:val="16"/>
          <w:lang w:val="en-US"/>
        </w:rPr>
        <w:t>, supra,</w:t>
      </w:r>
      <w:r w:rsidRPr="00FB36A3">
        <w:rPr>
          <w:rFonts w:ascii="Verdana" w:hAnsi="Verdana"/>
          <w:sz w:val="16"/>
          <w:szCs w:val="16"/>
          <w:lang w:val="en-US"/>
        </w:rPr>
        <w:t xml:space="preserve"> </w:t>
      </w:r>
      <w:r w:rsidR="009C7232" w:rsidRPr="00FB36A3">
        <w:rPr>
          <w:rFonts w:ascii="Verdana" w:hAnsi="Verdana"/>
          <w:sz w:val="16"/>
          <w:szCs w:val="16"/>
          <w:lang w:val="en-US"/>
        </w:rPr>
        <w:t>para.</w:t>
      </w:r>
      <w:r w:rsidRPr="00FB36A3">
        <w:rPr>
          <w:rFonts w:ascii="Verdana" w:hAnsi="Verdana"/>
          <w:sz w:val="16"/>
          <w:szCs w:val="16"/>
          <w:lang w:val="en-US"/>
        </w:rPr>
        <w:t xml:space="preserve"> 129.</w:t>
      </w:r>
    </w:p>
  </w:footnote>
  <w:footnote w:id="12">
    <w:p w14:paraId="35F8CEA7" w14:textId="77777777" w:rsidR="00B0528F" w:rsidRPr="00FB36A3" w:rsidRDefault="00B0528F" w:rsidP="00EE72B6">
      <w:pPr>
        <w:pStyle w:val="ListParagraph"/>
        <w:tabs>
          <w:tab w:val="left" w:pos="540"/>
        </w:tabs>
        <w:spacing w:after="120" w:line="240" w:lineRule="auto"/>
        <w:ind w:left="0"/>
        <w:jc w:val="both"/>
        <w:rPr>
          <w:rFonts w:ascii="Verdana" w:hAnsi="Verdana"/>
          <w:sz w:val="16"/>
          <w:szCs w:val="16"/>
        </w:rPr>
      </w:pPr>
      <w:r w:rsidRPr="00FB36A3">
        <w:rPr>
          <w:rStyle w:val="FootnoteReference"/>
          <w:rFonts w:ascii="Verdana" w:hAnsi="Verdana"/>
          <w:sz w:val="16"/>
          <w:szCs w:val="16"/>
        </w:rPr>
        <w:footnoteRef/>
      </w:r>
      <w:r w:rsidR="00B648D3">
        <w:rPr>
          <w:rFonts w:ascii="Verdana" w:hAnsi="Verdana"/>
          <w:sz w:val="16"/>
          <w:szCs w:val="16"/>
        </w:rPr>
        <w:t xml:space="preserve"> </w:t>
      </w:r>
      <w:r w:rsidR="00B648D3">
        <w:rPr>
          <w:rFonts w:ascii="Verdana" w:hAnsi="Verdana"/>
          <w:sz w:val="16"/>
          <w:szCs w:val="16"/>
        </w:rPr>
        <w:tab/>
      </w:r>
      <w:r w:rsidR="00FB36A3">
        <w:rPr>
          <w:rFonts w:ascii="Verdana" w:hAnsi="Verdana"/>
          <w:i/>
          <w:sz w:val="16"/>
          <w:szCs w:val="16"/>
        </w:rPr>
        <w:t>Cf.</w:t>
      </w:r>
      <w:r w:rsidR="00EA2E54" w:rsidRPr="00FB36A3">
        <w:rPr>
          <w:rFonts w:ascii="Verdana" w:hAnsi="Verdana"/>
          <w:sz w:val="16"/>
          <w:szCs w:val="16"/>
        </w:rPr>
        <w:t xml:space="preserve"> </w:t>
      </w:r>
      <w:r w:rsidRPr="00FB36A3">
        <w:rPr>
          <w:rFonts w:ascii="Verdana" w:hAnsi="Verdana"/>
          <w:sz w:val="16"/>
          <w:szCs w:val="16"/>
        </w:rPr>
        <w:t xml:space="preserve"> </w:t>
      </w:r>
      <w:r w:rsidR="00FB36A3">
        <w:rPr>
          <w:rFonts w:ascii="Verdana" w:hAnsi="Verdana"/>
          <w:sz w:val="16"/>
          <w:szCs w:val="16"/>
        </w:rPr>
        <w:t>Paragraphs</w:t>
      </w:r>
      <w:r w:rsidR="00B648D3">
        <w:rPr>
          <w:rFonts w:ascii="Verdana" w:hAnsi="Verdana"/>
          <w:sz w:val="16"/>
          <w:szCs w:val="16"/>
        </w:rPr>
        <w:t xml:space="preserve"> 216 to</w:t>
      </w:r>
      <w:r w:rsidRPr="00FB36A3">
        <w:rPr>
          <w:rFonts w:ascii="Verdana" w:hAnsi="Verdana"/>
          <w:sz w:val="16"/>
          <w:szCs w:val="16"/>
        </w:rPr>
        <w:t xml:space="preserve"> 222 </w:t>
      </w:r>
      <w:r w:rsidR="00FB36A3">
        <w:rPr>
          <w:rFonts w:ascii="Verdana" w:hAnsi="Verdana"/>
          <w:sz w:val="16"/>
          <w:szCs w:val="16"/>
        </w:rPr>
        <w:t>of the Judgment</w:t>
      </w:r>
      <w:r w:rsidRPr="00FB36A3">
        <w:rPr>
          <w:rFonts w:ascii="Verdana" w:hAnsi="Verdana"/>
          <w:sz w:val="16"/>
          <w:szCs w:val="16"/>
        </w:rPr>
        <w:t>.</w:t>
      </w:r>
    </w:p>
  </w:footnote>
  <w:footnote w:id="13">
    <w:p w14:paraId="35F8CEA8" w14:textId="7395D706" w:rsidR="00313166" w:rsidRPr="00FB36A3" w:rsidRDefault="00B0528F">
      <w:pPr>
        <w:pStyle w:val="FootnoteText"/>
        <w:tabs>
          <w:tab w:val="left" w:pos="540"/>
          <w:tab w:val="left" w:pos="567"/>
        </w:tabs>
        <w:spacing w:after="120"/>
        <w:jc w:val="both"/>
        <w:rPr>
          <w:rFonts w:ascii="Verdana" w:hAnsi="Verdana"/>
          <w:sz w:val="16"/>
          <w:szCs w:val="16"/>
          <w:lang w:val="en-US"/>
        </w:rPr>
      </w:pPr>
      <w:r w:rsidRPr="00FB36A3">
        <w:rPr>
          <w:rStyle w:val="FootnoteReference"/>
          <w:rFonts w:ascii="Verdana" w:hAnsi="Verdana"/>
          <w:sz w:val="16"/>
          <w:szCs w:val="16"/>
          <w:lang w:val="en-US"/>
        </w:rPr>
        <w:footnoteRef/>
      </w:r>
      <w:r w:rsidRPr="00FB36A3">
        <w:rPr>
          <w:rFonts w:ascii="Verdana" w:hAnsi="Verdana"/>
          <w:sz w:val="16"/>
          <w:szCs w:val="16"/>
          <w:lang w:val="en-US"/>
        </w:rPr>
        <w:t xml:space="preserve"> </w:t>
      </w:r>
      <w:r w:rsidRPr="00FB36A3">
        <w:rPr>
          <w:rFonts w:ascii="Verdana" w:hAnsi="Verdana"/>
          <w:sz w:val="16"/>
          <w:szCs w:val="16"/>
          <w:lang w:val="en-US"/>
        </w:rPr>
        <w:tab/>
      </w:r>
      <w:r w:rsidR="00FB36A3">
        <w:rPr>
          <w:rFonts w:ascii="Verdana" w:hAnsi="Verdana"/>
          <w:i/>
          <w:sz w:val="16"/>
          <w:szCs w:val="16"/>
          <w:lang w:val="en-US"/>
        </w:rPr>
        <w:t>Cf.</w:t>
      </w:r>
      <w:r w:rsidRPr="00FB36A3">
        <w:rPr>
          <w:rFonts w:ascii="Verdana" w:hAnsi="Verdana"/>
          <w:i/>
          <w:sz w:val="16"/>
          <w:szCs w:val="16"/>
          <w:lang w:val="en-US"/>
        </w:rPr>
        <w:t xml:space="preserve"> </w:t>
      </w:r>
      <w:r w:rsidR="009C7232" w:rsidRPr="00FB36A3">
        <w:rPr>
          <w:rFonts w:ascii="Verdana" w:hAnsi="Verdana"/>
          <w:i/>
          <w:sz w:val="16"/>
          <w:szCs w:val="16"/>
          <w:lang w:val="en-US"/>
        </w:rPr>
        <w:t>Case of</w:t>
      </w:r>
      <w:r w:rsidRPr="00FB36A3">
        <w:rPr>
          <w:rFonts w:ascii="Verdana" w:hAnsi="Verdana"/>
          <w:i/>
          <w:sz w:val="16"/>
          <w:szCs w:val="16"/>
          <w:lang w:val="en-US"/>
        </w:rPr>
        <w:t xml:space="preserve"> </w:t>
      </w:r>
      <w:r w:rsidR="00B648D3">
        <w:rPr>
          <w:rFonts w:ascii="Verdana" w:hAnsi="Verdana"/>
          <w:i/>
          <w:sz w:val="16"/>
          <w:szCs w:val="16"/>
          <w:lang w:val="en-US"/>
        </w:rPr>
        <w:t xml:space="preserve">the </w:t>
      </w:r>
      <w:r w:rsidRPr="00FB36A3">
        <w:rPr>
          <w:rFonts w:ascii="Verdana" w:hAnsi="Verdana"/>
          <w:i/>
          <w:sz w:val="16"/>
          <w:szCs w:val="16"/>
          <w:lang w:val="en-US"/>
        </w:rPr>
        <w:t>Moiwana</w:t>
      </w:r>
      <w:r w:rsidR="00B648D3">
        <w:rPr>
          <w:rFonts w:ascii="Verdana" w:hAnsi="Verdana"/>
          <w:i/>
          <w:sz w:val="16"/>
          <w:szCs w:val="16"/>
          <w:lang w:val="en-US"/>
        </w:rPr>
        <w:t xml:space="preserve"> Community</w:t>
      </w:r>
      <w:r w:rsidRPr="00FB36A3">
        <w:rPr>
          <w:rFonts w:ascii="Verdana" w:hAnsi="Verdana"/>
          <w:i/>
          <w:sz w:val="16"/>
          <w:szCs w:val="16"/>
          <w:lang w:val="en-US"/>
        </w:rPr>
        <w:t xml:space="preserve"> </w:t>
      </w:r>
      <w:r w:rsidR="00FB36A3" w:rsidRPr="00FB36A3">
        <w:rPr>
          <w:rFonts w:ascii="Verdana" w:hAnsi="Verdana"/>
          <w:i/>
          <w:sz w:val="16"/>
          <w:szCs w:val="16"/>
          <w:lang w:val="en-US"/>
        </w:rPr>
        <w:t>v.</w:t>
      </w:r>
      <w:r w:rsidRPr="00FB36A3">
        <w:rPr>
          <w:rFonts w:ascii="Verdana" w:hAnsi="Verdana"/>
          <w:i/>
          <w:sz w:val="16"/>
          <w:szCs w:val="16"/>
          <w:lang w:val="en-US"/>
        </w:rPr>
        <w:t xml:space="preserve"> </w:t>
      </w:r>
      <w:r w:rsidR="00FB36A3" w:rsidRPr="00FB36A3">
        <w:rPr>
          <w:rFonts w:ascii="Verdana" w:hAnsi="Verdana"/>
          <w:i/>
          <w:sz w:val="16"/>
          <w:szCs w:val="16"/>
          <w:lang w:val="en-US"/>
        </w:rPr>
        <w:t>Suriname.</w:t>
      </w:r>
      <w:r w:rsidRPr="00FB36A3">
        <w:rPr>
          <w:rFonts w:ascii="Verdana" w:hAnsi="Verdana"/>
          <w:i/>
          <w:sz w:val="16"/>
          <w:szCs w:val="16"/>
          <w:lang w:val="en-US"/>
        </w:rPr>
        <w:t xml:space="preserve"> </w:t>
      </w:r>
      <w:r w:rsidR="00FB36A3" w:rsidRPr="00FB36A3">
        <w:rPr>
          <w:rFonts w:ascii="Verdana" w:hAnsi="Verdana"/>
          <w:i/>
          <w:sz w:val="16"/>
          <w:szCs w:val="16"/>
          <w:lang w:val="en-US"/>
        </w:rPr>
        <w:t xml:space="preserve">Preliminary </w:t>
      </w:r>
      <w:r w:rsidR="00F01C40">
        <w:rPr>
          <w:rFonts w:ascii="Verdana" w:hAnsi="Verdana"/>
          <w:i/>
          <w:sz w:val="16"/>
          <w:szCs w:val="16"/>
          <w:lang w:val="en-US"/>
        </w:rPr>
        <w:t>O</w:t>
      </w:r>
      <w:r w:rsidR="00FB36A3" w:rsidRPr="00FB36A3">
        <w:rPr>
          <w:rFonts w:ascii="Verdana" w:hAnsi="Verdana"/>
          <w:i/>
          <w:sz w:val="16"/>
          <w:szCs w:val="16"/>
          <w:lang w:val="en-US"/>
        </w:rPr>
        <w:t xml:space="preserve">bjections, </w:t>
      </w:r>
      <w:r w:rsidR="00F01C40">
        <w:rPr>
          <w:rFonts w:ascii="Verdana" w:hAnsi="Verdana"/>
          <w:i/>
          <w:sz w:val="16"/>
          <w:szCs w:val="16"/>
          <w:lang w:val="en-US"/>
        </w:rPr>
        <w:t>M</w:t>
      </w:r>
      <w:r w:rsidR="00FB36A3" w:rsidRPr="00FB36A3">
        <w:rPr>
          <w:rFonts w:ascii="Verdana" w:hAnsi="Verdana"/>
          <w:i/>
          <w:sz w:val="16"/>
          <w:szCs w:val="16"/>
          <w:lang w:val="en-US"/>
        </w:rPr>
        <w:t xml:space="preserve">erits, </w:t>
      </w:r>
      <w:r w:rsidR="00F01C40">
        <w:rPr>
          <w:rFonts w:ascii="Verdana" w:hAnsi="Verdana"/>
          <w:i/>
          <w:sz w:val="16"/>
          <w:szCs w:val="16"/>
          <w:lang w:val="en-US"/>
        </w:rPr>
        <w:t>R</w:t>
      </w:r>
      <w:r w:rsidR="00FB36A3" w:rsidRPr="00FB36A3">
        <w:rPr>
          <w:rFonts w:ascii="Verdana" w:hAnsi="Verdana"/>
          <w:i/>
          <w:sz w:val="16"/>
          <w:szCs w:val="16"/>
          <w:lang w:val="en-US"/>
        </w:rPr>
        <w:t xml:space="preserve">eparations and </w:t>
      </w:r>
      <w:r w:rsidR="00F01C40">
        <w:rPr>
          <w:rFonts w:ascii="Verdana" w:hAnsi="Verdana"/>
          <w:i/>
          <w:sz w:val="16"/>
          <w:szCs w:val="16"/>
          <w:lang w:val="en-US"/>
        </w:rPr>
        <w:t>C</w:t>
      </w:r>
      <w:r w:rsidR="00FB36A3" w:rsidRPr="00FB36A3">
        <w:rPr>
          <w:rFonts w:ascii="Verdana" w:hAnsi="Verdana"/>
          <w:i/>
          <w:sz w:val="16"/>
          <w:szCs w:val="16"/>
          <w:lang w:val="en-US"/>
        </w:rPr>
        <w:t>osts</w:t>
      </w:r>
      <w:r w:rsidRPr="00FB36A3">
        <w:rPr>
          <w:rFonts w:ascii="Verdana" w:hAnsi="Verdana"/>
          <w:i/>
          <w:sz w:val="16"/>
          <w:szCs w:val="16"/>
          <w:lang w:val="en-US"/>
        </w:rPr>
        <w:t>.</w:t>
      </w:r>
      <w:r w:rsidRPr="00FB36A3">
        <w:rPr>
          <w:rFonts w:ascii="Verdana" w:hAnsi="Verdana"/>
          <w:sz w:val="16"/>
          <w:szCs w:val="16"/>
          <w:lang w:val="en-US"/>
        </w:rPr>
        <w:t xml:space="preserve"> </w:t>
      </w:r>
      <w:r w:rsidR="00B648D3">
        <w:rPr>
          <w:rFonts w:ascii="Verdana" w:hAnsi="Verdana"/>
          <w:sz w:val="16"/>
          <w:szCs w:val="16"/>
          <w:lang w:val="en-US"/>
        </w:rPr>
        <w:t>Judgment of June 15,</w:t>
      </w:r>
      <w:r w:rsidRPr="00FB36A3">
        <w:rPr>
          <w:rFonts w:ascii="Verdana" w:hAnsi="Verdana"/>
          <w:sz w:val="16"/>
          <w:szCs w:val="16"/>
          <w:lang w:val="en-US"/>
        </w:rPr>
        <w:t xml:space="preserve"> 2005. </w:t>
      </w:r>
      <w:r w:rsidR="009C7232" w:rsidRPr="00FB36A3">
        <w:rPr>
          <w:rFonts w:ascii="Verdana" w:hAnsi="Verdana"/>
          <w:sz w:val="16"/>
          <w:szCs w:val="16"/>
          <w:lang w:val="en-US"/>
        </w:rPr>
        <w:t xml:space="preserve">Series </w:t>
      </w:r>
      <w:r w:rsidRPr="00FB36A3">
        <w:rPr>
          <w:rFonts w:ascii="Verdana" w:hAnsi="Verdana"/>
          <w:sz w:val="16"/>
          <w:szCs w:val="16"/>
          <w:lang w:val="en-US"/>
        </w:rPr>
        <w:t xml:space="preserve">C No. 124, </w:t>
      </w:r>
      <w:r w:rsidR="009C7232" w:rsidRPr="00FB36A3">
        <w:rPr>
          <w:rFonts w:ascii="Verdana" w:hAnsi="Verdana"/>
          <w:sz w:val="16"/>
          <w:szCs w:val="16"/>
          <w:lang w:val="en-US"/>
        </w:rPr>
        <w:t>para.</w:t>
      </w:r>
      <w:r w:rsidRPr="00FB36A3">
        <w:rPr>
          <w:rFonts w:ascii="Verdana" w:hAnsi="Verdana"/>
          <w:sz w:val="16"/>
          <w:szCs w:val="16"/>
          <w:lang w:val="en-US"/>
        </w:rPr>
        <w:t xml:space="preserve"> 86.5, </w:t>
      </w:r>
      <w:r w:rsidR="009C7232" w:rsidRPr="00FB36A3">
        <w:rPr>
          <w:rFonts w:ascii="Verdana" w:hAnsi="Verdana"/>
          <w:sz w:val="16"/>
          <w:szCs w:val="16"/>
          <w:lang w:val="en-US"/>
        </w:rPr>
        <w:t xml:space="preserve">and </w:t>
      </w:r>
      <w:r w:rsidR="009C7232" w:rsidRPr="00FB36A3">
        <w:rPr>
          <w:rFonts w:ascii="Verdana" w:hAnsi="Verdana"/>
          <w:i/>
          <w:sz w:val="16"/>
          <w:szCs w:val="16"/>
          <w:lang w:val="en-US"/>
        </w:rPr>
        <w:t xml:space="preserve">Case </w:t>
      </w:r>
      <w:r w:rsidR="00FB36A3">
        <w:rPr>
          <w:rFonts w:ascii="Verdana" w:hAnsi="Verdana"/>
          <w:i/>
          <w:sz w:val="16"/>
          <w:szCs w:val="16"/>
          <w:lang w:val="en-US"/>
        </w:rPr>
        <w:t>of the Saramaka People</w:t>
      </w:r>
      <w:r w:rsidRPr="00FB36A3">
        <w:rPr>
          <w:rFonts w:ascii="Verdana" w:hAnsi="Verdana"/>
          <w:i/>
          <w:sz w:val="16"/>
          <w:szCs w:val="16"/>
          <w:lang w:val="en-US"/>
        </w:rPr>
        <w:t>, supra,</w:t>
      </w:r>
      <w:r w:rsidRPr="00FB36A3">
        <w:rPr>
          <w:rFonts w:ascii="Verdana" w:hAnsi="Verdana"/>
          <w:sz w:val="16"/>
          <w:szCs w:val="16"/>
          <w:lang w:val="en-US"/>
        </w:rPr>
        <w:t xml:space="preserve"> p</w:t>
      </w:r>
      <w:r w:rsidR="00B648D3">
        <w:rPr>
          <w:rFonts w:ascii="Verdana" w:hAnsi="Verdana"/>
          <w:sz w:val="16"/>
          <w:szCs w:val="16"/>
          <w:lang w:val="en-US"/>
        </w:rPr>
        <w:t>ara</w:t>
      </w:r>
      <w:r w:rsidR="00313166" w:rsidRPr="00FB36A3">
        <w:rPr>
          <w:rFonts w:ascii="Verdana" w:hAnsi="Verdana"/>
          <w:sz w:val="16"/>
          <w:szCs w:val="16"/>
          <w:lang w:val="en-US"/>
        </w:rPr>
        <w:t>s</w:t>
      </w:r>
      <w:r w:rsidRPr="00FB36A3">
        <w:rPr>
          <w:rFonts w:ascii="Verdana" w:hAnsi="Verdana"/>
          <w:sz w:val="16"/>
          <w:szCs w:val="16"/>
          <w:lang w:val="en-US"/>
        </w:rPr>
        <w:t xml:space="preserve">. 173 </w:t>
      </w:r>
      <w:r w:rsidR="00B648D3">
        <w:rPr>
          <w:rFonts w:ascii="Verdana" w:hAnsi="Verdana"/>
          <w:sz w:val="16"/>
          <w:szCs w:val="16"/>
          <w:lang w:val="en-US"/>
        </w:rPr>
        <w:t>and</w:t>
      </w:r>
      <w:r w:rsidRPr="00FB36A3">
        <w:rPr>
          <w:rFonts w:ascii="Verdana" w:hAnsi="Verdana"/>
          <w:sz w:val="16"/>
          <w:szCs w:val="16"/>
          <w:lang w:val="en-US"/>
        </w:rPr>
        <w:t xml:space="preserve"> 174.</w:t>
      </w:r>
    </w:p>
  </w:footnote>
  <w:footnote w:id="14">
    <w:p w14:paraId="35F8CEA9" w14:textId="77777777" w:rsidR="00B0528F" w:rsidRPr="00FB36A3" w:rsidRDefault="00B0528F">
      <w:pPr>
        <w:pStyle w:val="FootnoteText"/>
        <w:tabs>
          <w:tab w:val="left" w:pos="540"/>
          <w:tab w:val="left" w:pos="567"/>
        </w:tabs>
        <w:spacing w:after="120"/>
        <w:jc w:val="both"/>
        <w:rPr>
          <w:rFonts w:ascii="Verdana" w:hAnsi="Verdana"/>
          <w:sz w:val="16"/>
          <w:szCs w:val="16"/>
          <w:lang w:val="en-US"/>
        </w:rPr>
      </w:pPr>
      <w:r w:rsidRPr="00FB36A3">
        <w:rPr>
          <w:rStyle w:val="FootnoteReference"/>
          <w:rFonts w:ascii="Verdana" w:hAnsi="Verdana"/>
          <w:sz w:val="16"/>
          <w:szCs w:val="16"/>
          <w:lang w:val="en-US"/>
        </w:rPr>
        <w:footnoteRef/>
      </w:r>
      <w:r w:rsidRPr="00FB36A3">
        <w:rPr>
          <w:rFonts w:ascii="Verdana" w:hAnsi="Verdana"/>
          <w:sz w:val="16"/>
          <w:szCs w:val="16"/>
          <w:lang w:val="en-US"/>
        </w:rPr>
        <w:t xml:space="preserve"> </w:t>
      </w:r>
      <w:r w:rsidRPr="00FB36A3">
        <w:rPr>
          <w:rFonts w:ascii="Verdana" w:hAnsi="Verdana"/>
          <w:sz w:val="16"/>
          <w:szCs w:val="16"/>
          <w:lang w:val="en-US"/>
        </w:rPr>
        <w:tab/>
      </w:r>
      <w:r w:rsidR="00FB36A3">
        <w:rPr>
          <w:rFonts w:ascii="Verdana" w:hAnsi="Verdana"/>
          <w:i/>
          <w:sz w:val="16"/>
          <w:szCs w:val="16"/>
          <w:lang w:val="en-US"/>
        </w:rPr>
        <w:t>Cf.</w:t>
      </w:r>
      <w:r w:rsidR="00D0529A" w:rsidRPr="00FB36A3">
        <w:rPr>
          <w:rFonts w:ascii="Verdana" w:hAnsi="Verdana"/>
          <w:sz w:val="16"/>
          <w:szCs w:val="16"/>
          <w:lang w:val="en-US"/>
        </w:rPr>
        <w:t xml:space="preserve"> </w:t>
      </w:r>
      <w:r w:rsidR="00FB36A3">
        <w:rPr>
          <w:rFonts w:ascii="Verdana" w:hAnsi="Verdana"/>
          <w:sz w:val="16"/>
          <w:szCs w:val="16"/>
          <w:lang w:val="en-US"/>
        </w:rPr>
        <w:t>Paragraph</w:t>
      </w:r>
      <w:r w:rsidRPr="00FB36A3">
        <w:rPr>
          <w:rFonts w:ascii="Verdana" w:hAnsi="Verdana"/>
          <w:sz w:val="16"/>
          <w:szCs w:val="16"/>
          <w:lang w:val="en-US"/>
        </w:rPr>
        <w:t xml:space="preserve"> 113 </w:t>
      </w:r>
      <w:r w:rsidR="00FB36A3">
        <w:rPr>
          <w:rFonts w:ascii="Verdana" w:hAnsi="Verdana"/>
          <w:sz w:val="16"/>
          <w:szCs w:val="16"/>
          <w:lang w:val="en-US"/>
        </w:rPr>
        <w:t>of the Judgment</w:t>
      </w:r>
      <w:r w:rsidRPr="00FB36A3">
        <w:rPr>
          <w:rFonts w:ascii="Verdana" w:hAnsi="Verdana"/>
          <w:sz w:val="16"/>
          <w:szCs w:val="16"/>
          <w:lang w:val="en-US"/>
        </w:rPr>
        <w:t xml:space="preserve">. </w:t>
      </w:r>
    </w:p>
  </w:footnote>
  <w:footnote w:id="15">
    <w:p w14:paraId="35F8CEAA" w14:textId="77777777" w:rsidR="00B0528F" w:rsidRPr="00FB36A3" w:rsidRDefault="00B0528F">
      <w:pPr>
        <w:pStyle w:val="FootnoteText"/>
        <w:tabs>
          <w:tab w:val="left" w:pos="540"/>
          <w:tab w:val="left" w:pos="567"/>
        </w:tabs>
        <w:spacing w:after="120"/>
        <w:jc w:val="both"/>
        <w:rPr>
          <w:rFonts w:ascii="Verdana" w:hAnsi="Verdana"/>
          <w:sz w:val="16"/>
          <w:szCs w:val="16"/>
          <w:lang w:val="en-US"/>
        </w:rPr>
      </w:pPr>
      <w:r w:rsidRPr="00FB36A3">
        <w:rPr>
          <w:rStyle w:val="FootnoteReference"/>
          <w:rFonts w:ascii="Verdana" w:hAnsi="Verdana"/>
          <w:sz w:val="16"/>
          <w:szCs w:val="16"/>
          <w:lang w:val="en-US"/>
        </w:rPr>
        <w:footnoteRef/>
      </w:r>
      <w:r w:rsidRPr="00FB36A3">
        <w:rPr>
          <w:rFonts w:ascii="Verdana" w:hAnsi="Verdana"/>
          <w:sz w:val="16"/>
          <w:szCs w:val="16"/>
          <w:lang w:val="en-US"/>
        </w:rPr>
        <w:t xml:space="preserve"> </w:t>
      </w:r>
      <w:r w:rsidRPr="00FB36A3">
        <w:rPr>
          <w:rFonts w:ascii="Verdana" w:hAnsi="Verdana"/>
          <w:sz w:val="16"/>
          <w:szCs w:val="16"/>
          <w:lang w:val="en-US"/>
        </w:rPr>
        <w:tab/>
      </w:r>
      <w:r w:rsidR="00FB36A3">
        <w:rPr>
          <w:rFonts w:ascii="Verdana" w:hAnsi="Verdana"/>
          <w:i/>
          <w:sz w:val="16"/>
          <w:szCs w:val="16"/>
          <w:lang w:val="en-US"/>
        </w:rPr>
        <w:t>Cf.</w:t>
      </w:r>
      <w:r w:rsidR="00D0529A" w:rsidRPr="00FB36A3">
        <w:rPr>
          <w:rFonts w:ascii="Verdana" w:hAnsi="Verdana"/>
          <w:sz w:val="16"/>
          <w:szCs w:val="16"/>
          <w:lang w:val="en-US"/>
        </w:rPr>
        <w:t xml:space="preserve"> </w:t>
      </w:r>
      <w:r w:rsidR="00FB36A3">
        <w:rPr>
          <w:rFonts w:ascii="Verdana" w:hAnsi="Verdana"/>
          <w:sz w:val="16"/>
          <w:szCs w:val="16"/>
          <w:lang w:val="en-US"/>
        </w:rPr>
        <w:t>Paragraph</w:t>
      </w:r>
      <w:r w:rsidRPr="00FB36A3">
        <w:rPr>
          <w:rFonts w:ascii="Verdana" w:hAnsi="Verdana"/>
          <w:sz w:val="16"/>
          <w:szCs w:val="16"/>
          <w:lang w:val="en-US"/>
        </w:rPr>
        <w:t xml:space="preserve"> 279 a) </w:t>
      </w:r>
      <w:r w:rsidR="00FB36A3">
        <w:rPr>
          <w:rFonts w:ascii="Verdana" w:hAnsi="Verdana"/>
          <w:sz w:val="16"/>
          <w:szCs w:val="16"/>
          <w:lang w:val="en-US"/>
        </w:rPr>
        <w:t>of the Judgment</w:t>
      </w:r>
      <w:r w:rsidRPr="00FB36A3">
        <w:rPr>
          <w:rFonts w:ascii="Verdana" w:hAnsi="Verdana"/>
          <w:sz w:val="16"/>
          <w:szCs w:val="16"/>
          <w:lang w:val="en-US"/>
        </w:rPr>
        <w:t xml:space="preserve">. </w:t>
      </w:r>
    </w:p>
  </w:footnote>
  <w:footnote w:id="16">
    <w:p w14:paraId="35F8CEAB" w14:textId="77777777" w:rsidR="00B0528F" w:rsidRPr="00FB36A3" w:rsidRDefault="00B0528F">
      <w:pPr>
        <w:pStyle w:val="FootnoteText"/>
        <w:tabs>
          <w:tab w:val="left" w:pos="540"/>
          <w:tab w:val="left" w:pos="567"/>
        </w:tabs>
        <w:spacing w:after="120"/>
        <w:jc w:val="both"/>
        <w:rPr>
          <w:rFonts w:ascii="Verdana" w:hAnsi="Verdana"/>
          <w:sz w:val="16"/>
          <w:szCs w:val="16"/>
          <w:lang w:val="en-US"/>
        </w:rPr>
      </w:pPr>
      <w:r w:rsidRPr="00FB36A3">
        <w:rPr>
          <w:rStyle w:val="FootnoteReference"/>
          <w:rFonts w:ascii="Verdana" w:hAnsi="Verdana"/>
          <w:sz w:val="16"/>
          <w:szCs w:val="16"/>
          <w:lang w:val="en-US"/>
        </w:rPr>
        <w:footnoteRef/>
      </w:r>
      <w:r w:rsidRPr="00FB36A3">
        <w:rPr>
          <w:rFonts w:ascii="Verdana" w:hAnsi="Verdana"/>
          <w:sz w:val="16"/>
          <w:szCs w:val="16"/>
          <w:lang w:val="en-US"/>
        </w:rPr>
        <w:tab/>
      </w:r>
      <w:r w:rsidR="00FB36A3">
        <w:rPr>
          <w:rFonts w:ascii="Verdana" w:hAnsi="Verdana"/>
          <w:i/>
          <w:sz w:val="16"/>
          <w:szCs w:val="16"/>
          <w:lang w:val="en-US"/>
        </w:rPr>
        <w:t>Cf.</w:t>
      </w:r>
      <w:r w:rsidR="00D0529A" w:rsidRPr="00FB36A3">
        <w:rPr>
          <w:rFonts w:ascii="Verdana" w:hAnsi="Verdana"/>
          <w:sz w:val="16"/>
          <w:szCs w:val="16"/>
          <w:lang w:val="en-US"/>
        </w:rPr>
        <w:t xml:space="preserve"> </w:t>
      </w:r>
      <w:r w:rsidR="00FB36A3">
        <w:rPr>
          <w:rFonts w:ascii="Verdana" w:hAnsi="Verdana"/>
          <w:sz w:val="16"/>
          <w:szCs w:val="16"/>
          <w:lang w:val="en-US"/>
        </w:rPr>
        <w:t>Paragraph</w:t>
      </w:r>
      <w:r w:rsidRPr="00FB36A3">
        <w:rPr>
          <w:rFonts w:ascii="Verdana" w:hAnsi="Verdana"/>
          <w:sz w:val="16"/>
          <w:szCs w:val="16"/>
          <w:lang w:val="en-US"/>
        </w:rPr>
        <w:t xml:space="preserve"> 305 </w:t>
      </w:r>
      <w:r w:rsidR="00FB36A3">
        <w:rPr>
          <w:rFonts w:ascii="Verdana" w:hAnsi="Verdana"/>
          <w:sz w:val="16"/>
          <w:szCs w:val="16"/>
          <w:lang w:val="en-US"/>
        </w:rPr>
        <w:t>of the Judgment</w:t>
      </w:r>
      <w:r w:rsidRPr="00FB36A3">
        <w:rPr>
          <w:rFonts w:ascii="Verdana" w:hAnsi="Verdana"/>
          <w:sz w:val="16"/>
          <w:szCs w:val="16"/>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665FF"/>
    <w:multiLevelType w:val="hybridMultilevel"/>
    <w:tmpl w:val="6020336E"/>
    <w:lvl w:ilvl="0" w:tplc="E170453C">
      <w:start w:val="206"/>
      <w:numFmt w:val="decimal"/>
      <w:lvlText w:val="%1."/>
      <w:lvlJc w:val="left"/>
      <w:pPr>
        <w:ind w:left="1003" w:hanging="435"/>
      </w:pPr>
      <w:rPr>
        <w:rFonts w:hint="default"/>
      </w:rPr>
    </w:lvl>
    <w:lvl w:ilvl="1" w:tplc="140A0019" w:tentative="1">
      <w:start w:val="1"/>
      <w:numFmt w:val="lowerLetter"/>
      <w:lvlText w:val="%2."/>
      <w:lvlJc w:val="left"/>
      <w:pPr>
        <w:ind w:left="1648" w:hanging="360"/>
      </w:pPr>
    </w:lvl>
    <w:lvl w:ilvl="2" w:tplc="140A001B" w:tentative="1">
      <w:start w:val="1"/>
      <w:numFmt w:val="lowerRoman"/>
      <w:lvlText w:val="%3."/>
      <w:lvlJc w:val="right"/>
      <w:pPr>
        <w:ind w:left="2368" w:hanging="180"/>
      </w:pPr>
    </w:lvl>
    <w:lvl w:ilvl="3" w:tplc="140A000F" w:tentative="1">
      <w:start w:val="1"/>
      <w:numFmt w:val="decimal"/>
      <w:lvlText w:val="%4."/>
      <w:lvlJc w:val="left"/>
      <w:pPr>
        <w:ind w:left="3088" w:hanging="360"/>
      </w:pPr>
    </w:lvl>
    <w:lvl w:ilvl="4" w:tplc="140A0019" w:tentative="1">
      <w:start w:val="1"/>
      <w:numFmt w:val="lowerLetter"/>
      <w:lvlText w:val="%5."/>
      <w:lvlJc w:val="left"/>
      <w:pPr>
        <w:ind w:left="3808" w:hanging="360"/>
      </w:pPr>
    </w:lvl>
    <w:lvl w:ilvl="5" w:tplc="140A001B" w:tentative="1">
      <w:start w:val="1"/>
      <w:numFmt w:val="lowerRoman"/>
      <w:lvlText w:val="%6."/>
      <w:lvlJc w:val="right"/>
      <w:pPr>
        <w:ind w:left="4528" w:hanging="180"/>
      </w:pPr>
    </w:lvl>
    <w:lvl w:ilvl="6" w:tplc="140A000F" w:tentative="1">
      <w:start w:val="1"/>
      <w:numFmt w:val="decimal"/>
      <w:lvlText w:val="%7."/>
      <w:lvlJc w:val="left"/>
      <w:pPr>
        <w:ind w:left="5248" w:hanging="360"/>
      </w:pPr>
    </w:lvl>
    <w:lvl w:ilvl="7" w:tplc="140A0019" w:tentative="1">
      <w:start w:val="1"/>
      <w:numFmt w:val="lowerLetter"/>
      <w:lvlText w:val="%8."/>
      <w:lvlJc w:val="left"/>
      <w:pPr>
        <w:ind w:left="5968" w:hanging="360"/>
      </w:pPr>
    </w:lvl>
    <w:lvl w:ilvl="8" w:tplc="140A001B" w:tentative="1">
      <w:start w:val="1"/>
      <w:numFmt w:val="lowerRoman"/>
      <w:lvlText w:val="%9."/>
      <w:lvlJc w:val="right"/>
      <w:pPr>
        <w:ind w:left="6688" w:hanging="180"/>
      </w:pPr>
    </w:lvl>
  </w:abstractNum>
  <w:abstractNum w:abstractNumId="1">
    <w:nsid w:val="38BF2D83"/>
    <w:multiLevelType w:val="hybridMultilevel"/>
    <w:tmpl w:val="C8EEFB4C"/>
    <w:lvl w:ilvl="0" w:tplc="0C0A000F">
      <w:start w:val="4"/>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46696005"/>
    <w:multiLevelType w:val="hybridMultilevel"/>
    <w:tmpl w:val="5F3C0B08"/>
    <w:lvl w:ilvl="0" w:tplc="E9E472D2">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4EA31B0E"/>
    <w:multiLevelType w:val="hybridMultilevel"/>
    <w:tmpl w:val="D98A3A36"/>
    <w:lvl w:ilvl="0" w:tplc="1E04FEE2">
      <w:start w:val="15"/>
      <w:numFmt w:val="decimal"/>
      <w:lvlText w:val="%1."/>
      <w:lvlJc w:val="left"/>
      <w:pPr>
        <w:ind w:left="1776" w:hanging="360"/>
      </w:pPr>
      <w:rPr>
        <w:rFonts w:eastAsia="Batang" w:cs="Times" w:hint="default"/>
        <w:sz w:val="20"/>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
    <w:nsid w:val="56111E55"/>
    <w:multiLevelType w:val="hybridMultilevel"/>
    <w:tmpl w:val="3988995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6450298B"/>
    <w:multiLevelType w:val="hybridMultilevel"/>
    <w:tmpl w:val="31F85BDE"/>
    <w:lvl w:ilvl="0" w:tplc="E1B67F44">
      <w:start w:val="201"/>
      <w:numFmt w:val="decimal"/>
      <w:lvlText w:val="%1."/>
      <w:lvlJc w:val="left"/>
      <w:pPr>
        <w:ind w:left="1530" w:hanging="360"/>
      </w:pPr>
      <w:rPr>
        <w:rFonts w:ascii="Verdana" w:hAnsi="Verdana" w:hint="default"/>
        <w:b w:val="0"/>
        <w:i w:val="0"/>
        <w:sz w:val="18"/>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69A93FBA"/>
    <w:multiLevelType w:val="hybridMultilevel"/>
    <w:tmpl w:val="11347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DCF6F77"/>
    <w:multiLevelType w:val="hybridMultilevel"/>
    <w:tmpl w:val="6020336E"/>
    <w:lvl w:ilvl="0" w:tplc="E170453C">
      <w:start w:val="206"/>
      <w:numFmt w:val="decimal"/>
      <w:lvlText w:val="%1."/>
      <w:lvlJc w:val="left"/>
      <w:pPr>
        <w:ind w:left="1003" w:hanging="435"/>
      </w:pPr>
      <w:rPr>
        <w:rFonts w:hint="default"/>
      </w:rPr>
    </w:lvl>
    <w:lvl w:ilvl="1" w:tplc="140A0019" w:tentative="1">
      <w:start w:val="1"/>
      <w:numFmt w:val="lowerLetter"/>
      <w:lvlText w:val="%2."/>
      <w:lvlJc w:val="left"/>
      <w:pPr>
        <w:ind w:left="1648" w:hanging="360"/>
      </w:pPr>
    </w:lvl>
    <w:lvl w:ilvl="2" w:tplc="140A001B" w:tentative="1">
      <w:start w:val="1"/>
      <w:numFmt w:val="lowerRoman"/>
      <w:lvlText w:val="%3."/>
      <w:lvlJc w:val="right"/>
      <w:pPr>
        <w:ind w:left="2368" w:hanging="180"/>
      </w:pPr>
    </w:lvl>
    <w:lvl w:ilvl="3" w:tplc="140A000F" w:tentative="1">
      <w:start w:val="1"/>
      <w:numFmt w:val="decimal"/>
      <w:lvlText w:val="%4."/>
      <w:lvlJc w:val="left"/>
      <w:pPr>
        <w:ind w:left="3088" w:hanging="360"/>
      </w:pPr>
    </w:lvl>
    <w:lvl w:ilvl="4" w:tplc="140A0019" w:tentative="1">
      <w:start w:val="1"/>
      <w:numFmt w:val="lowerLetter"/>
      <w:lvlText w:val="%5."/>
      <w:lvlJc w:val="left"/>
      <w:pPr>
        <w:ind w:left="3808" w:hanging="360"/>
      </w:pPr>
    </w:lvl>
    <w:lvl w:ilvl="5" w:tplc="140A001B" w:tentative="1">
      <w:start w:val="1"/>
      <w:numFmt w:val="lowerRoman"/>
      <w:lvlText w:val="%6."/>
      <w:lvlJc w:val="right"/>
      <w:pPr>
        <w:ind w:left="4528" w:hanging="180"/>
      </w:pPr>
    </w:lvl>
    <w:lvl w:ilvl="6" w:tplc="140A000F" w:tentative="1">
      <w:start w:val="1"/>
      <w:numFmt w:val="decimal"/>
      <w:lvlText w:val="%7."/>
      <w:lvlJc w:val="left"/>
      <w:pPr>
        <w:ind w:left="5248" w:hanging="360"/>
      </w:pPr>
    </w:lvl>
    <w:lvl w:ilvl="7" w:tplc="140A0019" w:tentative="1">
      <w:start w:val="1"/>
      <w:numFmt w:val="lowerLetter"/>
      <w:lvlText w:val="%8."/>
      <w:lvlJc w:val="left"/>
      <w:pPr>
        <w:ind w:left="5968" w:hanging="360"/>
      </w:pPr>
    </w:lvl>
    <w:lvl w:ilvl="8" w:tplc="140A001B" w:tentative="1">
      <w:start w:val="1"/>
      <w:numFmt w:val="lowerRoman"/>
      <w:lvlText w:val="%9."/>
      <w:lvlJc w:val="right"/>
      <w:pPr>
        <w:ind w:left="6688" w:hanging="180"/>
      </w:pPr>
    </w:lvl>
  </w:abstractNum>
  <w:abstractNum w:abstractNumId="8">
    <w:nsid w:val="751B6362"/>
    <w:multiLevelType w:val="hybridMultilevel"/>
    <w:tmpl w:val="00120FD8"/>
    <w:lvl w:ilvl="0" w:tplc="6EC282D0">
      <w:start w:val="1"/>
      <w:numFmt w:val="decimal"/>
      <w:lvlText w:val="%1."/>
      <w:lvlJc w:val="left"/>
      <w:pPr>
        <w:ind w:left="502" w:hanging="360"/>
      </w:pPr>
      <w:rPr>
        <w:rFonts w:hint="default"/>
        <w:b w:val="0"/>
        <w:color w:val="auto"/>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7B816689"/>
    <w:multiLevelType w:val="hybridMultilevel"/>
    <w:tmpl w:val="866EBD1C"/>
    <w:lvl w:ilvl="0" w:tplc="B9AED388">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7F384F5B"/>
    <w:multiLevelType w:val="hybridMultilevel"/>
    <w:tmpl w:val="623036EA"/>
    <w:lvl w:ilvl="0" w:tplc="09E4D896">
      <w:start w:val="1"/>
      <w:numFmt w:val="decimal"/>
      <w:lvlText w:val="%1."/>
      <w:lvlJc w:val="left"/>
      <w:pPr>
        <w:ind w:left="720" w:hanging="360"/>
      </w:pPr>
      <w:rPr>
        <w:i w:val="0"/>
      </w:rPr>
    </w:lvl>
    <w:lvl w:ilvl="1" w:tplc="0C0A0019">
      <w:start w:val="1"/>
      <w:numFmt w:val="lowerLetter"/>
      <w:lvlText w:val="%2."/>
      <w:lvlJc w:val="left"/>
      <w:pPr>
        <w:ind w:left="1440" w:hanging="360"/>
      </w:pPr>
    </w:lvl>
    <w:lvl w:ilvl="2" w:tplc="68EEF3DC">
      <w:start w:val="1"/>
      <w:numFmt w:val="lowerLetter"/>
      <w:lvlText w:val="%3)"/>
      <w:lvlJc w:val="left"/>
      <w:pPr>
        <w:ind w:left="2700" w:hanging="72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5"/>
  </w:num>
  <w:num w:numId="5">
    <w:abstractNumId w:val="0"/>
  </w:num>
  <w:num w:numId="6">
    <w:abstractNumId w:val="7"/>
  </w:num>
  <w:num w:numId="7">
    <w:abstractNumId w:val="8"/>
  </w:num>
  <w:num w:numId="8">
    <w:abstractNumId w:val="1"/>
  </w:num>
  <w:num w:numId="9">
    <w:abstractNumId w:val="1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86C"/>
    <w:rsid w:val="00032967"/>
    <w:rsid w:val="00034882"/>
    <w:rsid w:val="00042EBF"/>
    <w:rsid w:val="000C0B25"/>
    <w:rsid w:val="000D367E"/>
    <w:rsid w:val="000E0B89"/>
    <w:rsid w:val="00110EA5"/>
    <w:rsid w:val="0011417F"/>
    <w:rsid w:val="00121388"/>
    <w:rsid w:val="00133520"/>
    <w:rsid w:val="001C303C"/>
    <w:rsid w:val="001F0768"/>
    <w:rsid w:val="002041C5"/>
    <w:rsid w:val="002465FA"/>
    <w:rsid w:val="002667C1"/>
    <w:rsid w:val="002A3DD3"/>
    <w:rsid w:val="002A6AE0"/>
    <w:rsid w:val="002B2383"/>
    <w:rsid w:val="00300069"/>
    <w:rsid w:val="00313166"/>
    <w:rsid w:val="0031391B"/>
    <w:rsid w:val="00351B7D"/>
    <w:rsid w:val="00375867"/>
    <w:rsid w:val="003E3173"/>
    <w:rsid w:val="004057A4"/>
    <w:rsid w:val="00421B82"/>
    <w:rsid w:val="004522A9"/>
    <w:rsid w:val="004A5A10"/>
    <w:rsid w:val="004B6195"/>
    <w:rsid w:val="004D45D3"/>
    <w:rsid w:val="004F0B2A"/>
    <w:rsid w:val="005301C5"/>
    <w:rsid w:val="005B09F1"/>
    <w:rsid w:val="005D1A50"/>
    <w:rsid w:val="00605208"/>
    <w:rsid w:val="0060550D"/>
    <w:rsid w:val="00614FB7"/>
    <w:rsid w:val="006556A6"/>
    <w:rsid w:val="00670AF8"/>
    <w:rsid w:val="0069493D"/>
    <w:rsid w:val="006B7831"/>
    <w:rsid w:val="006E25B7"/>
    <w:rsid w:val="006E3771"/>
    <w:rsid w:val="00717E39"/>
    <w:rsid w:val="00765B6D"/>
    <w:rsid w:val="00775E43"/>
    <w:rsid w:val="007764BD"/>
    <w:rsid w:val="00804350"/>
    <w:rsid w:val="00810C63"/>
    <w:rsid w:val="00847E9C"/>
    <w:rsid w:val="00887C8A"/>
    <w:rsid w:val="00890DA1"/>
    <w:rsid w:val="008A3C30"/>
    <w:rsid w:val="008C02FF"/>
    <w:rsid w:val="008E333E"/>
    <w:rsid w:val="0091125B"/>
    <w:rsid w:val="00972751"/>
    <w:rsid w:val="009C37DB"/>
    <w:rsid w:val="009C7232"/>
    <w:rsid w:val="009D359F"/>
    <w:rsid w:val="00A261F4"/>
    <w:rsid w:val="00A41420"/>
    <w:rsid w:val="00A55A58"/>
    <w:rsid w:val="00A64D6D"/>
    <w:rsid w:val="00A80A6F"/>
    <w:rsid w:val="00AC41E9"/>
    <w:rsid w:val="00AD0946"/>
    <w:rsid w:val="00B0528F"/>
    <w:rsid w:val="00B22263"/>
    <w:rsid w:val="00B266C5"/>
    <w:rsid w:val="00B648D3"/>
    <w:rsid w:val="00B64910"/>
    <w:rsid w:val="00B82B1B"/>
    <w:rsid w:val="00B92EAA"/>
    <w:rsid w:val="00BA0ED4"/>
    <w:rsid w:val="00BE187A"/>
    <w:rsid w:val="00BE48AC"/>
    <w:rsid w:val="00BF0BEE"/>
    <w:rsid w:val="00C2403F"/>
    <w:rsid w:val="00C26248"/>
    <w:rsid w:val="00C50548"/>
    <w:rsid w:val="00CC64BF"/>
    <w:rsid w:val="00D0529A"/>
    <w:rsid w:val="00D1286C"/>
    <w:rsid w:val="00D3248A"/>
    <w:rsid w:val="00D34002"/>
    <w:rsid w:val="00D54550"/>
    <w:rsid w:val="00D608FA"/>
    <w:rsid w:val="00D709CF"/>
    <w:rsid w:val="00D71254"/>
    <w:rsid w:val="00D71E4F"/>
    <w:rsid w:val="00D83083"/>
    <w:rsid w:val="00DB5E94"/>
    <w:rsid w:val="00DC265D"/>
    <w:rsid w:val="00DC4C4F"/>
    <w:rsid w:val="00E058B2"/>
    <w:rsid w:val="00E2432E"/>
    <w:rsid w:val="00EA2E54"/>
    <w:rsid w:val="00EA3842"/>
    <w:rsid w:val="00EB7A9A"/>
    <w:rsid w:val="00EE72B6"/>
    <w:rsid w:val="00F01C40"/>
    <w:rsid w:val="00F17862"/>
    <w:rsid w:val="00F5524B"/>
    <w:rsid w:val="00F64062"/>
    <w:rsid w:val="00F92DA6"/>
    <w:rsid w:val="00FB36A3"/>
    <w:rsid w:val="00FC0995"/>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F8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86C"/>
    <w:pPr>
      <w:spacing w:after="0" w:line="240" w:lineRule="auto"/>
      <w:jc w:val="both"/>
    </w:pPr>
    <w:rPr>
      <w:rFonts w:ascii="Verdana" w:eastAsia="Batang" w:hAnsi="Verdana" w:cs="Times"/>
      <w:noProof/>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1286C"/>
    <w:pPr>
      <w:jc w:val="center"/>
    </w:pPr>
    <w:rPr>
      <w:rFonts w:eastAsia="Times New Roman" w:cs="Times New Roman"/>
      <w:b/>
      <w:szCs w:val="20"/>
    </w:rPr>
  </w:style>
  <w:style w:type="character" w:customStyle="1" w:styleId="TtuloCar">
    <w:name w:val="Título Car"/>
    <w:basedOn w:val="DefaultParagraphFont"/>
    <w:uiPriority w:val="10"/>
    <w:rsid w:val="00D1286C"/>
    <w:rPr>
      <w:rFonts w:asciiTheme="majorHAnsi" w:eastAsiaTheme="majorEastAsia" w:hAnsiTheme="majorHAnsi" w:cstheme="majorBidi"/>
      <w:noProof/>
      <w:color w:val="17365D" w:themeColor="text2" w:themeShade="BF"/>
      <w:spacing w:val="5"/>
      <w:kern w:val="28"/>
      <w:sz w:val="52"/>
      <w:szCs w:val="52"/>
      <w:lang w:val="es-ES_tradnl"/>
    </w:rPr>
  </w:style>
  <w:style w:type="paragraph" w:styleId="Subtitle">
    <w:name w:val="Subtitle"/>
    <w:basedOn w:val="Normal"/>
    <w:next w:val="Normal"/>
    <w:link w:val="SubtitleChar"/>
    <w:uiPriority w:val="11"/>
    <w:qFormat/>
    <w:rsid w:val="00D1286C"/>
    <w:pPr>
      <w:jc w:val="center"/>
    </w:pPr>
    <w:rPr>
      <w:rFonts w:eastAsia="Times New Roman" w:cs="Times New Roman"/>
      <w:b/>
      <w:i/>
      <w:iCs/>
      <w:spacing w:val="15"/>
    </w:rPr>
  </w:style>
  <w:style w:type="character" w:customStyle="1" w:styleId="SubttuloCar">
    <w:name w:val="Subtítulo Car"/>
    <w:basedOn w:val="DefaultParagraphFont"/>
    <w:uiPriority w:val="11"/>
    <w:rsid w:val="00D1286C"/>
    <w:rPr>
      <w:rFonts w:asciiTheme="majorHAnsi" w:eastAsiaTheme="majorEastAsia" w:hAnsiTheme="majorHAnsi" w:cstheme="majorBidi"/>
      <w:i/>
      <w:iCs/>
      <w:noProof/>
      <w:color w:val="4F81BD" w:themeColor="accent1"/>
      <w:spacing w:val="15"/>
      <w:sz w:val="24"/>
      <w:szCs w:val="24"/>
      <w:lang w:val="es-ES_tradnl"/>
    </w:rPr>
  </w:style>
  <w:style w:type="character" w:customStyle="1" w:styleId="TitleChar">
    <w:name w:val="Title Char"/>
    <w:basedOn w:val="DefaultParagraphFont"/>
    <w:link w:val="Title"/>
    <w:locked/>
    <w:rsid w:val="00D1286C"/>
    <w:rPr>
      <w:rFonts w:ascii="Verdana" w:eastAsia="Times New Roman" w:hAnsi="Verdana" w:cs="Times New Roman"/>
      <w:b/>
      <w:noProof/>
      <w:sz w:val="20"/>
      <w:szCs w:val="20"/>
      <w:lang w:val="es-ES_tradnl"/>
    </w:rPr>
  </w:style>
  <w:style w:type="character" w:customStyle="1" w:styleId="SubtitleChar">
    <w:name w:val="Subtitle Char"/>
    <w:basedOn w:val="DefaultParagraphFont"/>
    <w:link w:val="Subtitle"/>
    <w:uiPriority w:val="11"/>
    <w:locked/>
    <w:rsid w:val="00D1286C"/>
    <w:rPr>
      <w:rFonts w:ascii="Verdana" w:eastAsia="Times New Roman" w:hAnsi="Verdana" w:cs="Times New Roman"/>
      <w:b/>
      <w:i/>
      <w:iCs/>
      <w:noProof/>
      <w:spacing w:val="15"/>
      <w:sz w:val="20"/>
      <w:szCs w:val="24"/>
      <w:lang w:val="es-ES_tradnl"/>
    </w:rPr>
  </w:style>
  <w:style w:type="paragraph" w:styleId="ListParagraph">
    <w:name w:val="List Paragraph"/>
    <w:aliases w:val="Colorful List - Accent 11,Párrafo de lista1,Footnote,List Paragraph1,List Paragraph2,Lista vistosa - Énfasis 11"/>
    <w:basedOn w:val="Normal"/>
    <w:link w:val="ListParagraphChar"/>
    <w:uiPriority w:val="99"/>
    <w:qFormat/>
    <w:rsid w:val="00E058B2"/>
    <w:pPr>
      <w:spacing w:after="200" w:line="276" w:lineRule="auto"/>
      <w:ind w:left="720"/>
      <w:contextualSpacing/>
      <w:jc w:val="left"/>
    </w:pPr>
    <w:rPr>
      <w:rFonts w:ascii="Cambria" w:eastAsia="Times New Roman" w:hAnsi="Cambria" w:cs="Times New Roman"/>
      <w:noProof w:val="0"/>
      <w:sz w:val="22"/>
      <w:szCs w:val="22"/>
      <w:lang w:val="en-US"/>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2. Footnote Text,C"/>
    <w:basedOn w:val="Normal"/>
    <w:link w:val="FootnoteTextChar"/>
    <w:uiPriority w:val="99"/>
    <w:unhideWhenUsed/>
    <w:qFormat/>
    <w:rsid w:val="0011417F"/>
    <w:pPr>
      <w:jc w:val="left"/>
    </w:pPr>
    <w:rPr>
      <w:rFonts w:ascii="Cambria" w:eastAsia="MS Mincho" w:hAnsi="Cambria" w:cs="Times New Roman"/>
      <w:noProof w:val="0"/>
      <w:szCs w:val="20"/>
      <w:lang w:eastAsia="es-ES"/>
    </w:rPr>
  </w:style>
  <w:style w:type="character" w:customStyle="1" w:styleId="TextonotapieCar">
    <w:name w:val="Texto nota pie Car"/>
    <w:aliases w:val="2. Footnote Text Car,Footnote Tesina Car"/>
    <w:basedOn w:val="DefaultParagraphFont"/>
    <w:uiPriority w:val="99"/>
    <w:rsid w:val="0011417F"/>
    <w:rPr>
      <w:rFonts w:ascii="Verdana" w:eastAsia="Batang" w:hAnsi="Verdana" w:cs="Times"/>
      <w:noProof/>
      <w:sz w:val="20"/>
      <w:szCs w:val="20"/>
      <w:lang w:val="es-ES_tradnl"/>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rsid w:val="0011417F"/>
    <w:rPr>
      <w:rFonts w:ascii="Cambria" w:eastAsia="MS Mincho" w:hAnsi="Cambria" w:cs="Times New Roman"/>
      <w:sz w:val="20"/>
      <w:szCs w:val="20"/>
      <w:lang w:val="es-ES_tradnl" w:eastAsia="es-ES"/>
    </w:rPr>
  </w:style>
  <w:style w:type="character" w:styleId="FootnoteReference">
    <w:name w:val="footnote reference"/>
    <w:aliases w:val="Texto de nota al pie,Appel note de bas de page,Footnotes refss,f,Footnote number,referencia nota al pie,BVI fnr,4_G,16 Point,Superscript 6 Point,Texto nota al pie,Footnote Reference Char3,Footnote Reference Char1 Char,Ref. de nota al"/>
    <w:basedOn w:val="DefaultParagraphFont"/>
    <w:unhideWhenUsed/>
    <w:qFormat/>
    <w:rsid w:val="0011417F"/>
    <w:rPr>
      <w:vertAlign w:val="superscript"/>
    </w:rPr>
  </w:style>
  <w:style w:type="character" w:styleId="Strong">
    <w:name w:val="Strong"/>
    <w:basedOn w:val="DefaultParagraphFont"/>
    <w:uiPriority w:val="22"/>
    <w:qFormat/>
    <w:rsid w:val="0011417F"/>
    <w:rPr>
      <w:b/>
      <w:bCs/>
    </w:rPr>
  </w:style>
  <w:style w:type="character" w:customStyle="1" w:styleId="ListParagraphChar">
    <w:name w:val="List Paragraph Char"/>
    <w:aliases w:val="Colorful List - Accent 11 Char,Párrafo de lista1 Char,Footnote Char,List Paragraph1 Char,List Paragraph2 Char,Lista vistosa - Énfasis 11 Char"/>
    <w:basedOn w:val="DefaultParagraphFont"/>
    <w:link w:val="ListParagraph"/>
    <w:uiPriority w:val="99"/>
    <w:locked/>
    <w:rsid w:val="000D367E"/>
    <w:rPr>
      <w:rFonts w:ascii="Cambria" w:eastAsia="Times New Roman" w:hAnsi="Cambria" w:cs="Times New Roman"/>
      <w:lang w:val="en-US"/>
    </w:rPr>
  </w:style>
  <w:style w:type="paragraph" w:customStyle="1" w:styleId="Footnotes">
    <w:name w:val="**. Footnotes"/>
    <w:basedOn w:val="FootnoteText"/>
    <w:link w:val="FootnotesChar"/>
    <w:autoRedefine/>
    <w:qFormat/>
    <w:rsid w:val="000D367E"/>
    <w:pPr>
      <w:tabs>
        <w:tab w:val="left" w:pos="567"/>
        <w:tab w:val="left" w:pos="6030"/>
      </w:tabs>
      <w:spacing w:before="120"/>
      <w:jc w:val="both"/>
    </w:pPr>
    <w:rPr>
      <w:rFonts w:ascii="Verdana" w:eastAsia="Batang" w:hAnsi="Verdana" w:cs="Palatino-Italic"/>
      <w:iCs/>
      <w:sz w:val="16"/>
      <w:szCs w:val="16"/>
      <w:lang w:val="es-ES" w:eastAsia="en-US"/>
    </w:rPr>
  </w:style>
  <w:style w:type="character" w:customStyle="1" w:styleId="FootnotesChar">
    <w:name w:val="**. Footnotes Char"/>
    <w:basedOn w:val="DefaultParagraphFont"/>
    <w:link w:val="Footnotes"/>
    <w:rsid w:val="000D367E"/>
    <w:rPr>
      <w:rFonts w:ascii="Verdana" w:eastAsia="Batang" w:hAnsi="Verdana" w:cs="Palatino-Italic"/>
      <w:iCs/>
      <w:sz w:val="16"/>
      <w:szCs w:val="16"/>
      <w:lang w:val="es-ES"/>
    </w:rPr>
  </w:style>
  <w:style w:type="paragraph" w:styleId="NormalWeb">
    <w:name w:val="Normal (Web)"/>
    <w:aliases w:val="Normal (Web) Char1,Normal (Web) Char Char,Normal (Web) Char1 Char,Normal (Web) Char Char Char"/>
    <w:basedOn w:val="Normal"/>
    <w:uiPriority w:val="99"/>
    <w:unhideWhenUsed/>
    <w:rsid w:val="00B92EAA"/>
    <w:pPr>
      <w:spacing w:before="100" w:beforeAutospacing="1" w:after="100" w:afterAutospacing="1"/>
      <w:jc w:val="left"/>
    </w:pPr>
    <w:rPr>
      <w:rFonts w:ascii="Times New Roman" w:eastAsia="Times New Roman" w:hAnsi="Times New Roman" w:cs="Times New Roman"/>
      <w:noProof w:val="0"/>
      <w:sz w:val="24"/>
      <w:lang w:val="es-CR" w:eastAsia="es-CR"/>
    </w:rPr>
  </w:style>
  <w:style w:type="paragraph" w:styleId="Header">
    <w:name w:val="header"/>
    <w:basedOn w:val="Normal"/>
    <w:link w:val="HeaderChar"/>
    <w:uiPriority w:val="99"/>
    <w:unhideWhenUsed/>
    <w:rsid w:val="00D71254"/>
    <w:pPr>
      <w:tabs>
        <w:tab w:val="center" w:pos="4419"/>
        <w:tab w:val="right" w:pos="8838"/>
      </w:tabs>
    </w:pPr>
  </w:style>
  <w:style w:type="character" w:customStyle="1" w:styleId="HeaderChar">
    <w:name w:val="Header Char"/>
    <w:basedOn w:val="DefaultParagraphFont"/>
    <w:link w:val="Header"/>
    <w:uiPriority w:val="99"/>
    <w:rsid w:val="00D71254"/>
    <w:rPr>
      <w:rFonts w:ascii="Verdana" w:eastAsia="Batang" w:hAnsi="Verdana" w:cs="Times"/>
      <w:noProof/>
      <w:sz w:val="20"/>
      <w:szCs w:val="24"/>
      <w:lang w:val="es-ES_tradnl"/>
    </w:rPr>
  </w:style>
  <w:style w:type="paragraph" w:styleId="Footer">
    <w:name w:val="footer"/>
    <w:basedOn w:val="Normal"/>
    <w:link w:val="FooterChar"/>
    <w:uiPriority w:val="99"/>
    <w:unhideWhenUsed/>
    <w:rsid w:val="00D71254"/>
    <w:pPr>
      <w:tabs>
        <w:tab w:val="center" w:pos="4419"/>
        <w:tab w:val="right" w:pos="8838"/>
      </w:tabs>
    </w:pPr>
  </w:style>
  <w:style w:type="character" w:customStyle="1" w:styleId="FooterChar">
    <w:name w:val="Footer Char"/>
    <w:basedOn w:val="DefaultParagraphFont"/>
    <w:link w:val="Footer"/>
    <w:uiPriority w:val="99"/>
    <w:rsid w:val="00D71254"/>
    <w:rPr>
      <w:rFonts w:ascii="Verdana" w:eastAsia="Batang" w:hAnsi="Verdana" w:cs="Times"/>
      <w:noProof/>
      <w:sz w:val="20"/>
      <w:szCs w:val="24"/>
      <w:lang w:val="es-ES_tradnl"/>
    </w:rPr>
  </w:style>
  <w:style w:type="paragraph" w:styleId="BalloonText">
    <w:name w:val="Balloon Text"/>
    <w:basedOn w:val="Normal"/>
    <w:link w:val="BalloonTextChar"/>
    <w:uiPriority w:val="99"/>
    <w:semiHidden/>
    <w:unhideWhenUsed/>
    <w:rsid w:val="00D71254"/>
    <w:rPr>
      <w:rFonts w:ascii="Tahoma" w:hAnsi="Tahoma" w:cs="Tahoma"/>
      <w:sz w:val="16"/>
      <w:szCs w:val="16"/>
    </w:rPr>
  </w:style>
  <w:style w:type="character" w:customStyle="1" w:styleId="BalloonTextChar">
    <w:name w:val="Balloon Text Char"/>
    <w:basedOn w:val="DefaultParagraphFont"/>
    <w:link w:val="BalloonText"/>
    <w:uiPriority w:val="99"/>
    <w:semiHidden/>
    <w:rsid w:val="00D71254"/>
    <w:rPr>
      <w:rFonts w:ascii="Tahoma" w:eastAsia="Batang" w:hAnsi="Tahoma" w:cs="Tahoma"/>
      <w:noProof/>
      <w:sz w:val="16"/>
      <w:szCs w:val="16"/>
      <w:lang w:val="es-ES_tradnl"/>
    </w:rPr>
  </w:style>
  <w:style w:type="character" w:styleId="CommentReference">
    <w:name w:val="annotation reference"/>
    <w:basedOn w:val="DefaultParagraphFont"/>
    <w:uiPriority w:val="99"/>
    <w:semiHidden/>
    <w:unhideWhenUsed/>
    <w:rsid w:val="00775E43"/>
    <w:rPr>
      <w:sz w:val="16"/>
      <w:szCs w:val="16"/>
    </w:rPr>
  </w:style>
  <w:style w:type="paragraph" w:styleId="CommentText">
    <w:name w:val="annotation text"/>
    <w:basedOn w:val="Normal"/>
    <w:link w:val="CommentTextChar"/>
    <w:uiPriority w:val="99"/>
    <w:semiHidden/>
    <w:unhideWhenUsed/>
    <w:rsid w:val="00775E43"/>
    <w:rPr>
      <w:szCs w:val="20"/>
    </w:rPr>
  </w:style>
  <w:style w:type="character" w:customStyle="1" w:styleId="CommentTextChar">
    <w:name w:val="Comment Text Char"/>
    <w:basedOn w:val="DefaultParagraphFont"/>
    <w:link w:val="CommentText"/>
    <w:uiPriority w:val="99"/>
    <w:semiHidden/>
    <w:rsid w:val="00775E43"/>
    <w:rPr>
      <w:rFonts w:ascii="Verdana" w:eastAsia="Batang" w:hAnsi="Verdana" w:cs="Times"/>
      <w:noProof/>
      <w:sz w:val="20"/>
      <w:szCs w:val="20"/>
      <w:lang w:val="es-ES_tradnl"/>
    </w:rPr>
  </w:style>
  <w:style w:type="paragraph" w:styleId="CommentSubject">
    <w:name w:val="annotation subject"/>
    <w:basedOn w:val="CommentText"/>
    <w:next w:val="CommentText"/>
    <w:link w:val="CommentSubjectChar"/>
    <w:uiPriority w:val="99"/>
    <w:semiHidden/>
    <w:unhideWhenUsed/>
    <w:rsid w:val="00775E43"/>
    <w:rPr>
      <w:b/>
      <w:bCs/>
    </w:rPr>
  </w:style>
  <w:style w:type="character" w:customStyle="1" w:styleId="CommentSubjectChar">
    <w:name w:val="Comment Subject Char"/>
    <w:basedOn w:val="CommentTextChar"/>
    <w:link w:val="CommentSubject"/>
    <w:uiPriority w:val="99"/>
    <w:semiHidden/>
    <w:rsid w:val="00775E43"/>
    <w:rPr>
      <w:rFonts w:ascii="Verdana" w:eastAsia="Batang" w:hAnsi="Verdana" w:cs="Times"/>
      <w:b/>
      <w:bCs/>
      <w:noProof/>
      <w:sz w:val="20"/>
      <w:szCs w:val="20"/>
      <w:lang w:val="es-ES_tradnl"/>
    </w:rPr>
  </w:style>
  <w:style w:type="paragraph" w:styleId="Revision">
    <w:name w:val="Revision"/>
    <w:hidden/>
    <w:uiPriority w:val="99"/>
    <w:semiHidden/>
    <w:rsid w:val="002667C1"/>
    <w:pPr>
      <w:spacing w:after="0" w:line="240" w:lineRule="auto"/>
    </w:pPr>
    <w:rPr>
      <w:rFonts w:ascii="Verdana" w:eastAsia="Batang" w:hAnsi="Verdana" w:cs="Times"/>
      <w:noProof/>
      <w:sz w:val="20"/>
      <w:szCs w:val="24"/>
      <w:lang w:val="es-ES_tradnl"/>
    </w:rPr>
  </w:style>
  <w:style w:type="character" w:customStyle="1" w:styleId="apple-converted-space">
    <w:name w:val="apple-converted-space"/>
    <w:basedOn w:val="DefaultParagraphFont"/>
    <w:rsid w:val="005D1A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86C"/>
    <w:pPr>
      <w:spacing w:after="0" w:line="240" w:lineRule="auto"/>
      <w:jc w:val="both"/>
    </w:pPr>
    <w:rPr>
      <w:rFonts w:ascii="Verdana" w:eastAsia="Batang" w:hAnsi="Verdana" w:cs="Times"/>
      <w:noProof/>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1286C"/>
    <w:pPr>
      <w:jc w:val="center"/>
    </w:pPr>
    <w:rPr>
      <w:rFonts w:eastAsia="Times New Roman" w:cs="Times New Roman"/>
      <w:b/>
      <w:szCs w:val="20"/>
    </w:rPr>
  </w:style>
  <w:style w:type="character" w:customStyle="1" w:styleId="TtuloCar">
    <w:name w:val="Título Car"/>
    <w:basedOn w:val="DefaultParagraphFont"/>
    <w:uiPriority w:val="10"/>
    <w:rsid w:val="00D1286C"/>
    <w:rPr>
      <w:rFonts w:asciiTheme="majorHAnsi" w:eastAsiaTheme="majorEastAsia" w:hAnsiTheme="majorHAnsi" w:cstheme="majorBidi"/>
      <w:noProof/>
      <w:color w:val="17365D" w:themeColor="text2" w:themeShade="BF"/>
      <w:spacing w:val="5"/>
      <w:kern w:val="28"/>
      <w:sz w:val="52"/>
      <w:szCs w:val="52"/>
      <w:lang w:val="es-ES_tradnl"/>
    </w:rPr>
  </w:style>
  <w:style w:type="paragraph" w:styleId="Subtitle">
    <w:name w:val="Subtitle"/>
    <w:basedOn w:val="Normal"/>
    <w:next w:val="Normal"/>
    <w:link w:val="SubtitleChar"/>
    <w:uiPriority w:val="11"/>
    <w:qFormat/>
    <w:rsid w:val="00D1286C"/>
    <w:pPr>
      <w:jc w:val="center"/>
    </w:pPr>
    <w:rPr>
      <w:rFonts w:eastAsia="Times New Roman" w:cs="Times New Roman"/>
      <w:b/>
      <w:i/>
      <w:iCs/>
      <w:spacing w:val="15"/>
    </w:rPr>
  </w:style>
  <w:style w:type="character" w:customStyle="1" w:styleId="SubttuloCar">
    <w:name w:val="Subtítulo Car"/>
    <w:basedOn w:val="DefaultParagraphFont"/>
    <w:uiPriority w:val="11"/>
    <w:rsid w:val="00D1286C"/>
    <w:rPr>
      <w:rFonts w:asciiTheme="majorHAnsi" w:eastAsiaTheme="majorEastAsia" w:hAnsiTheme="majorHAnsi" w:cstheme="majorBidi"/>
      <w:i/>
      <w:iCs/>
      <w:noProof/>
      <w:color w:val="4F81BD" w:themeColor="accent1"/>
      <w:spacing w:val="15"/>
      <w:sz w:val="24"/>
      <w:szCs w:val="24"/>
      <w:lang w:val="es-ES_tradnl"/>
    </w:rPr>
  </w:style>
  <w:style w:type="character" w:customStyle="1" w:styleId="TitleChar">
    <w:name w:val="Title Char"/>
    <w:basedOn w:val="DefaultParagraphFont"/>
    <w:link w:val="Title"/>
    <w:locked/>
    <w:rsid w:val="00D1286C"/>
    <w:rPr>
      <w:rFonts w:ascii="Verdana" w:eastAsia="Times New Roman" w:hAnsi="Verdana" w:cs="Times New Roman"/>
      <w:b/>
      <w:noProof/>
      <w:sz w:val="20"/>
      <w:szCs w:val="20"/>
      <w:lang w:val="es-ES_tradnl"/>
    </w:rPr>
  </w:style>
  <w:style w:type="character" w:customStyle="1" w:styleId="SubtitleChar">
    <w:name w:val="Subtitle Char"/>
    <w:basedOn w:val="DefaultParagraphFont"/>
    <w:link w:val="Subtitle"/>
    <w:uiPriority w:val="11"/>
    <w:locked/>
    <w:rsid w:val="00D1286C"/>
    <w:rPr>
      <w:rFonts w:ascii="Verdana" w:eastAsia="Times New Roman" w:hAnsi="Verdana" w:cs="Times New Roman"/>
      <w:b/>
      <w:i/>
      <w:iCs/>
      <w:noProof/>
      <w:spacing w:val="15"/>
      <w:sz w:val="20"/>
      <w:szCs w:val="24"/>
      <w:lang w:val="es-ES_tradnl"/>
    </w:rPr>
  </w:style>
  <w:style w:type="paragraph" w:styleId="ListParagraph">
    <w:name w:val="List Paragraph"/>
    <w:aliases w:val="Colorful List - Accent 11,Párrafo de lista1,Footnote,List Paragraph1,List Paragraph2,Lista vistosa - Énfasis 11"/>
    <w:basedOn w:val="Normal"/>
    <w:link w:val="ListParagraphChar"/>
    <w:uiPriority w:val="99"/>
    <w:qFormat/>
    <w:rsid w:val="00E058B2"/>
    <w:pPr>
      <w:spacing w:after="200" w:line="276" w:lineRule="auto"/>
      <w:ind w:left="720"/>
      <w:contextualSpacing/>
      <w:jc w:val="left"/>
    </w:pPr>
    <w:rPr>
      <w:rFonts w:ascii="Cambria" w:eastAsia="Times New Roman" w:hAnsi="Cambria" w:cs="Times New Roman"/>
      <w:noProof w:val="0"/>
      <w:sz w:val="22"/>
      <w:szCs w:val="22"/>
      <w:lang w:val="en-US"/>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2. Footnote Text,C"/>
    <w:basedOn w:val="Normal"/>
    <w:link w:val="FootnoteTextChar"/>
    <w:uiPriority w:val="99"/>
    <w:unhideWhenUsed/>
    <w:qFormat/>
    <w:rsid w:val="0011417F"/>
    <w:pPr>
      <w:jc w:val="left"/>
    </w:pPr>
    <w:rPr>
      <w:rFonts w:ascii="Cambria" w:eastAsia="MS Mincho" w:hAnsi="Cambria" w:cs="Times New Roman"/>
      <w:noProof w:val="0"/>
      <w:szCs w:val="20"/>
      <w:lang w:eastAsia="es-ES"/>
    </w:rPr>
  </w:style>
  <w:style w:type="character" w:customStyle="1" w:styleId="TextonotapieCar">
    <w:name w:val="Texto nota pie Car"/>
    <w:aliases w:val="2. Footnote Text Car,Footnote Tesina Car"/>
    <w:basedOn w:val="DefaultParagraphFont"/>
    <w:uiPriority w:val="99"/>
    <w:rsid w:val="0011417F"/>
    <w:rPr>
      <w:rFonts w:ascii="Verdana" w:eastAsia="Batang" w:hAnsi="Verdana" w:cs="Times"/>
      <w:noProof/>
      <w:sz w:val="20"/>
      <w:szCs w:val="20"/>
      <w:lang w:val="es-ES_tradnl"/>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rsid w:val="0011417F"/>
    <w:rPr>
      <w:rFonts w:ascii="Cambria" w:eastAsia="MS Mincho" w:hAnsi="Cambria" w:cs="Times New Roman"/>
      <w:sz w:val="20"/>
      <w:szCs w:val="20"/>
      <w:lang w:val="es-ES_tradnl" w:eastAsia="es-ES"/>
    </w:rPr>
  </w:style>
  <w:style w:type="character" w:styleId="FootnoteReference">
    <w:name w:val="footnote reference"/>
    <w:aliases w:val="Texto de nota al pie,Appel note de bas de page,Footnotes refss,f,Footnote number,referencia nota al pie,BVI fnr,4_G,16 Point,Superscript 6 Point,Texto nota al pie,Footnote Reference Char3,Footnote Reference Char1 Char,Ref. de nota al"/>
    <w:basedOn w:val="DefaultParagraphFont"/>
    <w:unhideWhenUsed/>
    <w:qFormat/>
    <w:rsid w:val="0011417F"/>
    <w:rPr>
      <w:vertAlign w:val="superscript"/>
    </w:rPr>
  </w:style>
  <w:style w:type="character" w:styleId="Strong">
    <w:name w:val="Strong"/>
    <w:basedOn w:val="DefaultParagraphFont"/>
    <w:uiPriority w:val="22"/>
    <w:qFormat/>
    <w:rsid w:val="0011417F"/>
    <w:rPr>
      <w:b/>
      <w:bCs/>
    </w:rPr>
  </w:style>
  <w:style w:type="character" w:customStyle="1" w:styleId="ListParagraphChar">
    <w:name w:val="List Paragraph Char"/>
    <w:aliases w:val="Colorful List - Accent 11 Char,Párrafo de lista1 Char,Footnote Char,List Paragraph1 Char,List Paragraph2 Char,Lista vistosa - Énfasis 11 Char"/>
    <w:basedOn w:val="DefaultParagraphFont"/>
    <w:link w:val="ListParagraph"/>
    <w:uiPriority w:val="99"/>
    <w:locked/>
    <w:rsid w:val="000D367E"/>
    <w:rPr>
      <w:rFonts w:ascii="Cambria" w:eastAsia="Times New Roman" w:hAnsi="Cambria" w:cs="Times New Roman"/>
      <w:lang w:val="en-US"/>
    </w:rPr>
  </w:style>
  <w:style w:type="paragraph" w:customStyle="1" w:styleId="Footnotes">
    <w:name w:val="**. Footnotes"/>
    <w:basedOn w:val="FootnoteText"/>
    <w:link w:val="FootnotesChar"/>
    <w:autoRedefine/>
    <w:qFormat/>
    <w:rsid w:val="000D367E"/>
    <w:pPr>
      <w:tabs>
        <w:tab w:val="left" w:pos="567"/>
        <w:tab w:val="left" w:pos="6030"/>
      </w:tabs>
      <w:spacing w:before="120"/>
      <w:jc w:val="both"/>
    </w:pPr>
    <w:rPr>
      <w:rFonts w:ascii="Verdana" w:eastAsia="Batang" w:hAnsi="Verdana" w:cs="Palatino-Italic"/>
      <w:iCs/>
      <w:sz w:val="16"/>
      <w:szCs w:val="16"/>
      <w:lang w:val="es-ES" w:eastAsia="en-US"/>
    </w:rPr>
  </w:style>
  <w:style w:type="character" w:customStyle="1" w:styleId="FootnotesChar">
    <w:name w:val="**. Footnotes Char"/>
    <w:basedOn w:val="DefaultParagraphFont"/>
    <w:link w:val="Footnotes"/>
    <w:rsid w:val="000D367E"/>
    <w:rPr>
      <w:rFonts w:ascii="Verdana" w:eastAsia="Batang" w:hAnsi="Verdana" w:cs="Palatino-Italic"/>
      <w:iCs/>
      <w:sz w:val="16"/>
      <w:szCs w:val="16"/>
      <w:lang w:val="es-ES"/>
    </w:rPr>
  </w:style>
  <w:style w:type="paragraph" w:styleId="NormalWeb">
    <w:name w:val="Normal (Web)"/>
    <w:aliases w:val="Normal (Web) Char1,Normal (Web) Char Char,Normal (Web) Char1 Char,Normal (Web) Char Char Char"/>
    <w:basedOn w:val="Normal"/>
    <w:uiPriority w:val="99"/>
    <w:unhideWhenUsed/>
    <w:rsid w:val="00B92EAA"/>
    <w:pPr>
      <w:spacing w:before="100" w:beforeAutospacing="1" w:after="100" w:afterAutospacing="1"/>
      <w:jc w:val="left"/>
    </w:pPr>
    <w:rPr>
      <w:rFonts w:ascii="Times New Roman" w:eastAsia="Times New Roman" w:hAnsi="Times New Roman" w:cs="Times New Roman"/>
      <w:noProof w:val="0"/>
      <w:sz w:val="24"/>
      <w:lang w:val="es-CR" w:eastAsia="es-CR"/>
    </w:rPr>
  </w:style>
  <w:style w:type="paragraph" w:styleId="Header">
    <w:name w:val="header"/>
    <w:basedOn w:val="Normal"/>
    <w:link w:val="HeaderChar"/>
    <w:uiPriority w:val="99"/>
    <w:unhideWhenUsed/>
    <w:rsid w:val="00D71254"/>
    <w:pPr>
      <w:tabs>
        <w:tab w:val="center" w:pos="4419"/>
        <w:tab w:val="right" w:pos="8838"/>
      </w:tabs>
    </w:pPr>
  </w:style>
  <w:style w:type="character" w:customStyle="1" w:styleId="HeaderChar">
    <w:name w:val="Header Char"/>
    <w:basedOn w:val="DefaultParagraphFont"/>
    <w:link w:val="Header"/>
    <w:uiPriority w:val="99"/>
    <w:rsid w:val="00D71254"/>
    <w:rPr>
      <w:rFonts w:ascii="Verdana" w:eastAsia="Batang" w:hAnsi="Verdana" w:cs="Times"/>
      <w:noProof/>
      <w:sz w:val="20"/>
      <w:szCs w:val="24"/>
      <w:lang w:val="es-ES_tradnl"/>
    </w:rPr>
  </w:style>
  <w:style w:type="paragraph" w:styleId="Footer">
    <w:name w:val="footer"/>
    <w:basedOn w:val="Normal"/>
    <w:link w:val="FooterChar"/>
    <w:uiPriority w:val="99"/>
    <w:unhideWhenUsed/>
    <w:rsid w:val="00D71254"/>
    <w:pPr>
      <w:tabs>
        <w:tab w:val="center" w:pos="4419"/>
        <w:tab w:val="right" w:pos="8838"/>
      </w:tabs>
    </w:pPr>
  </w:style>
  <w:style w:type="character" w:customStyle="1" w:styleId="FooterChar">
    <w:name w:val="Footer Char"/>
    <w:basedOn w:val="DefaultParagraphFont"/>
    <w:link w:val="Footer"/>
    <w:uiPriority w:val="99"/>
    <w:rsid w:val="00D71254"/>
    <w:rPr>
      <w:rFonts w:ascii="Verdana" w:eastAsia="Batang" w:hAnsi="Verdana" w:cs="Times"/>
      <w:noProof/>
      <w:sz w:val="20"/>
      <w:szCs w:val="24"/>
      <w:lang w:val="es-ES_tradnl"/>
    </w:rPr>
  </w:style>
  <w:style w:type="paragraph" w:styleId="BalloonText">
    <w:name w:val="Balloon Text"/>
    <w:basedOn w:val="Normal"/>
    <w:link w:val="BalloonTextChar"/>
    <w:uiPriority w:val="99"/>
    <w:semiHidden/>
    <w:unhideWhenUsed/>
    <w:rsid w:val="00D71254"/>
    <w:rPr>
      <w:rFonts w:ascii="Tahoma" w:hAnsi="Tahoma" w:cs="Tahoma"/>
      <w:sz w:val="16"/>
      <w:szCs w:val="16"/>
    </w:rPr>
  </w:style>
  <w:style w:type="character" w:customStyle="1" w:styleId="BalloonTextChar">
    <w:name w:val="Balloon Text Char"/>
    <w:basedOn w:val="DefaultParagraphFont"/>
    <w:link w:val="BalloonText"/>
    <w:uiPriority w:val="99"/>
    <w:semiHidden/>
    <w:rsid w:val="00D71254"/>
    <w:rPr>
      <w:rFonts w:ascii="Tahoma" w:eastAsia="Batang" w:hAnsi="Tahoma" w:cs="Tahoma"/>
      <w:noProof/>
      <w:sz w:val="16"/>
      <w:szCs w:val="16"/>
      <w:lang w:val="es-ES_tradnl"/>
    </w:rPr>
  </w:style>
  <w:style w:type="character" w:styleId="CommentReference">
    <w:name w:val="annotation reference"/>
    <w:basedOn w:val="DefaultParagraphFont"/>
    <w:uiPriority w:val="99"/>
    <w:semiHidden/>
    <w:unhideWhenUsed/>
    <w:rsid w:val="00775E43"/>
    <w:rPr>
      <w:sz w:val="16"/>
      <w:szCs w:val="16"/>
    </w:rPr>
  </w:style>
  <w:style w:type="paragraph" w:styleId="CommentText">
    <w:name w:val="annotation text"/>
    <w:basedOn w:val="Normal"/>
    <w:link w:val="CommentTextChar"/>
    <w:uiPriority w:val="99"/>
    <w:semiHidden/>
    <w:unhideWhenUsed/>
    <w:rsid w:val="00775E43"/>
    <w:rPr>
      <w:szCs w:val="20"/>
    </w:rPr>
  </w:style>
  <w:style w:type="character" w:customStyle="1" w:styleId="CommentTextChar">
    <w:name w:val="Comment Text Char"/>
    <w:basedOn w:val="DefaultParagraphFont"/>
    <w:link w:val="CommentText"/>
    <w:uiPriority w:val="99"/>
    <w:semiHidden/>
    <w:rsid w:val="00775E43"/>
    <w:rPr>
      <w:rFonts w:ascii="Verdana" w:eastAsia="Batang" w:hAnsi="Verdana" w:cs="Times"/>
      <w:noProof/>
      <w:sz w:val="20"/>
      <w:szCs w:val="20"/>
      <w:lang w:val="es-ES_tradnl"/>
    </w:rPr>
  </w:style>
  <w:style w:type="paragraph" w:styleId="CommentSubject">
    <w:name w:val="annotation subject"/>
    <w:basedOn w:val="CommentText"/>
    <w:next w:val="CommentText"/>
    <w:link w:val="CommentSubjectChar"/>
    <w:uiPriority w:val="99"/>
    <w:semiHidden/>
    <w:unhideWhenUsed/>
    <w:rsid w:val="00775E43"/>
    <w:rPr>
      <w:b/>
      <w:bCs/>
    </w:rPr>
  </w:style>
  <w:style w:type="character" w:customStyle="1" w:styleId="CommentSubjectChar">
    <w:name w:val="Comment Subject Char"/>
    <w:basedOn w:val="CommentTextChar"/>
    <w:link w:val="CommentSubject"/>
    <w:uiPriority w:val="99"/>
    <w:semiHidden/>
    <w:rsid w:val="00775E43"/>
    <w:rPr>
      <w:rFonts w:ascii="Verdana" w:eastAsia="Batang" w:hAnsi="Verdana" w:cs="Times"/>
      <w:b/>
      <w:bCs/>
      <w:noProof/>
      <w:sz w:val="20"/>
      <w:szCs w:val="20"/>
      <w:lang w:val="es-ES_tradnl"/>
    </w:rPr>
  </w:style>
  <w:style w:type="paragraph" w:styleId="Revision">
    <w:name w:val="Revision"/>
    <w:hidden/>
    <w:uiPriority w:val="99"/>
    <w:semiHidden/>
    <w:rsid w:val="002667C1"/>
    <w:pPr>
      <w:spacing w:after="0" w:line="240" w:lineRule="auto"/>
    </w:pPr>
    <w:rPr>
      <w:rFonts w:ascii="Verdana" w:eastAsia="Batang" w:hAnsi="Verdana" w:cs="Times"/>
      <w:noProof/>
      <w:sz w:val="20"/>
      <w:szCs w:val="24"/>
      <w:lang w:val="es-ES_tradnl"/>
    </w:rPr>
  </w:style>
  <w:style w:type="character" w:customStyle="1" w:styleId="apple-converted-space">
    <w:name w:val="apple-converted-space"/>
    <w:basedOn w:val="DefaultParagraphFont"/>
    <w:rsid w:val="005D1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291">
      <w:bodyDiv w:val="1"/>
      <w:marLeft w:val="0"/>
      <w:marRight w:val="0"/>
      <w:marTop w:val="0"/>
      <w:marBottom w:val="0"/>
      <w:divBdr>
        <w:top w:val="none" w:sz="0" w:space="0" w:color="auto"/>
        <w:left w:val="none" w:sz="0" w:space="0" w:color="auto"/>
        <w:bottom w:val="none" w:sz="0" w:space="0" w:color="auto"/>
        <w:right w:val="none" w:sz="0" w:space="0" w:color="auto"/>
      </w:divBdr>
    </w:div>
    <w:div w:id="1950970640">
      <w:bodyDiv w:val="1"/>
      <w:marLeft w:val="0"/>
      <w:marRight w:val="0"/>
      <w:marTop w:val="0"/>
      <w:marBottom w:val="0"/>
      <w:divBdr>
        <w:top w:val="none" w:sz="0" w:space="0" w:color="auto"/>
        <w:left w:val="none" w:sz="0" w:space="0" w:color="auto"/>
        <w:bottom w:val="none" w:sz="0" w:space="0" w:color="auto"/>
        <w:right w:val="none" w:sz="0" w:space="0" w:color="auto"/>
      </w:divBdr>
      <w:divsChild>
        <w:div w:id="915826864">
          <w:marLeft w:val="0"/>
          <w:marRight w:val="0"/>
          <w:marTop w:val="0"/>
          <w:marBottom w:val="0"/>
          <w:divBdr>
            <w:top w:val="none" w:sz="0" w:space="0" w:color="auto"/>
            <w:left w:val="none" w:sz="0" w:space="0" w:color="auto"/>
            <w:bottom w:val="none" w:sz="0" w:space="0" w:color="auto"/>
            <w:right w:val="none" w:sz="0" w:space="0" w:color="auto"/>
          </w:divBdr>
        </w:div>
        <w:div w:id="1218585721">
          <w:marLeft w:val="0"/>
          <w:marRight w:val="0"/>
          <w:marTop w:val="0"/>
          <w:marBottom w:val="0"/>
          <w:divBdr>
            <w:top w:val="none" w:sz="0" w:space="0" w:color="auto"/>
            <w:left w:val="none" w:sz="0" w:space="0" w:color="auto"/>
            <w:bottom w:val="none" w:sz="0" w:space="0" w:color="auto"/>
            <w:right w:val="none" w:sz="0" w:space="0" w:color="auto"/>
          </w:divBdr>
        </w:div>
        <w:div w:id="1023937467">
          <w:marLeft w:val="0"/>
          <w:marRight w:val="0"/>
          <w:marTop w:val="0"/>
          <w:marBottom w:val="0"/>
          <w:divBdr>
            <w:top w:val="none" w:sz="0" w:space="0" w:color="auto"/>
            <w:left w:val="none" w:sz="0" w:space="0" w:color="auto"/>
            <w:bottom w:val="none" w:sz="0" w:space="0" w:color="auto"/>
            <w:right w:val="none" w:sz="0" w:space="0" w:color="auto"/>
          </w:divBdr>
        </w:div>
        <w:div w:id="81806945">
          <w:marLeft w:val="0"/>
          <w:marRight w:val="0"/>
          <w:marTop w:val="0"/>
          <w:marBottom w:val="0"/>
          <w:divBdr>
            <w:top w:val="none" w:sz="0" w:space="0" w:color="auto"/>
            <w:left w:val="none" w:sz="0" w:space="0" w:color="auto"/>
            <w:bottom w:val="none" w:sz="0" w:space="0" w:color="auto"/>
            <w:right w:val="none" w:sz="0" w:space="0" w:color="auto"/>
          </w:divBdr>
        </w:div>
        <w:div w:id="266815183">
          <w:marLeft w:val="0"/>
          <w:marRight w:val="0"/>
          <w:marTop w:val="0"/>
          <w:marBottom w:val="0"/>
          <w:divBdr>
            <w:top w:val="none" w:sz="0" w:space="0" w:color="auto"/>
            <w:left w:val="none" w:sz="0" w:space="0" w:color="auto"/>
            <w:bottom w:val="none" w:sz="0" w:space="0" w:color="auto"/>
            <w:right w:val="none" w:sz="0" w:space="0" w:color="auto"/>
          </w:divBdr>
        </w:div>
        <w:div w:id="472917362">
          <w:marLeft w:val="0"/>
          <w:marRight w:val="0"/>
          <w:marTop w:val="0"/>
          <w:marBottom w:val="0"/>
          <w:divBdr>
            <w:top w:val="none" w:sz="0" w:space="0" w:color="auto"/>
            <w:left w:val="none" w:sz="0" w:space="0" w:color="auto"/>
            <w:bottom w:val="none" w:sz="0" w:space="0" w:color="auto"/>
            <w:right w:val="none" w:sz="0" w:space="0" w:color="auto"/>
          </w:divBdr>
        </w:div>
        <w:div w:id="152141480">
          <w:marLeft w:val="0"/>
          <w:marRight w:val="0"/>
          <w:marTop w:val="0"/>
          <w:marBottom w:val="0"/>
          <w:divBdr>
            <w:top w:val="none" w:sz="0" w:space="0" w:color="auto"/>
            <w:left w:val="none" w:sz="0" w:space="0" w:color="auto"/>
            <w:bottom w:val="none" w:sz="0" w:space="0" w:color="auto"/>
            <w:right w:val="none" w:sz="0" w:space="0" w:color="auto"/>
          </w:divBdr>
        </w:div>
        <w:div w:id="381296163">
          <w:marLeft w:val="0"/>
          <w:marRight w:val="0"/>
          <w:marTop w:val="0"/>
          <w:marBottom w:val="0"/>
          <w:divBdr>
            <w:top w:val="none" w:sz="0" w:space="0" w:color="auto"/>
            <w:left w:val="none" w:sz="0" w:space="0" w:color="auto"/>
            <w:bottom w:val="none" w:sz="0" w:space="0" w:color="auto"/>
            <w:right w:val="none" w:sz="0" w:space="0" w:color="auto"/>
          </w:divBdr>
        </w:div>
        <w:div w:id="1020201583">
          <w:marLeft w:val="0"/>
          <w:marRight w:val="0"/>
          <w:marTop w:val="0"/>
          <w:marBottom w:val="0"/>
          <w:divBdr>
            <w:top w:val="none" w:sz="0" w:space="0" w:color="auto"/>
            <w:left w:val="none" w:sz="0" w:space="0" w:color="auto"/>
            <w:bottom w:val="none" w:sz="0" w:space="0" w:color="auto"/>
            <w:right w:val="none" w:sz="0" w:space="0" w:color="auto"/>
          </w:divBdr>
        </w:div>
        <w:div w:id="1573272787">
          <w:marLeft w:val="0"/>
          <w:marRight w:val="0"/>
          <w:marTop w:val="0"/>
          <w:marBottom w:val="0"/>
          <w:divBdr>
            <w:top w:val="none" w:sz="0" w:space="0" w:color="auto"/>
            <w:left w:val="none" w:sz="0" w:space="0" w:color="auto"/>
            <w:bottom w:val="none" w:sz="0" w:space="0" w:color="auto"/>
            <w:right w:val="none" w:sz="0" w:space="0" w:color="auto"/>
          </w:divBdr>
        </w:div>
        <w:div w:id="178281523">
          <w:marLeft w:val="0"/>
          <w:marRight w:val="0"/>
          <w:marTop w:val="0"/>
          <w:marBottom w:val="0"/>
          <w:divBdr>
            <w:top w:val="none" w:sz="0" w:space="0" w:color="auto"/>
            <w:left w:val="none" w:sz="0" w:space="0" w:color="auto"/>
            <w:bottom w:val="none" w:sz="0" w:space="0" w:color="auto"/>
            <w:right w:val="none" w:sz="0" w:space="0" w:color="auto"/>
          </w:divBdr>
        </w:div>
        <w:div w:id="614020922">
          <w:marLeft w:val="0"/>
          <w:marRight w:val="0"/>
          <w:marTop w:val="0"/>
          <w:marBottom w:val="0"/>
          <w:divBdr>
            <w:top w:val="none" w:sz="0" w:space="0" w:color="auto"/>
            <w:left w:val="none" w:sz="0" w:space="0" w:color="auto"/>
            <w:bottom w:val="none" w:sz="0" w:space="0" w:color="auto"/>
            <w:right w:val="none" w:sz="0" w:space="0" w:color="auto"/>
          </w:divBdr>
        </w:div>
        <w:div w:id="1286503325">
          <w:marLeft w:val="0"/>
          <w:marRight w:val="0"/>
          <w:marTop w:val="0"/>
          <w:marBottom w:val="0"/>
          <w:divBdr>
            <w:top w:val="none" w:sz="0" w:space="0" w:color="auto"/>
            <w:left w:val="none" w:sz="0" w:space="0" w:color="auto"/>
            <w:bottom w:val="none" w:sz="0" w:space="0" w:color="auto"/>
            <w:right w:val="none" w:sz="0" w:space="0" w:color="auto"/>
          </w:divBdr>
        </w:div>
        <w:div w:id="1634629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15BEBE2BF87F40A76A9C926EBECC0C" ma:contentTypeVersion="0" ma:contentTypeDescription="Create a new document." ma:contentTypeScope="" ma:versionID="ad8069bb81a7b5dc5c766ad6aa2648bb">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23EF1-B922-4A31-B36A-9DBFD5507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C88395B-48C5-4E07-8A6E-6DB2AC552724}">
  <ds:schemaRefs>
    <ds:schemaRef ds:uri="http://schemas.microsoft.com/sharepoint/v3/contenttype/forms"/>
  </ds:schemaRefs>
</ds:datastoreItem>
</file>

<file path=customXml/itemProps3.xml><?xml version="1.0" encoding="utf-8"?>
<ds:datastoreItem xmlns:ds="http://schemas.openxmlformats.org/officeDocument/2006/customXml" ds:itemID="{452EAF97-EF63-4719-8319-16FF65060E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32845C-6480-4A83-8017-3AB8F974A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2878</Words>
  <Characters>15834</Characters>
  <Application>Microsoft Office Word</Application>
  <DocSecurity>0</DocSecurity>
  <Lines>131</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2</cp:revision>
  <cp:lastPrinted>2016-01-28T16:44:00Z</cp:lastPrinted>
  <dcterms:created xsi:type="dcterms:W3CDTF">2016-01-28T19:46:00Z</dcterms:created>
  <dcterms:modified xsi:type="dcterms:W3CDTF">2016-01-28T19:46:00Z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0x010100D015BEBE2BF87F40A76A9C926EBECC0C</vt:lpwstr>
  </property>
</Properties>
</file>