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EB256" w14:textId="56218263" w:rsidR="006D3EB3" w:rsidRPr="00764430" w:rsidRDefault="006D3EB3" w:rsidP="00764430">
      <w:pPr>
        <w:spacing w:after="0" w:line="240" w:lineRule="auto"/>
        <w:jc w:val="center"/>
        <w:rPr>
          <w:rFonts w:ascii="Verdana" w:hAnsi="Verdana"/>
          <w:b/>
          <w:sz w:val="20"/>
          <w:szCs w:val="20"/>
          <w:lang w:val="es-CR"/>
        </w:rPr>
      </w:pPr>
      <w:r w:rsidRPr="00764430">
        <w:rPr>
          <w:rFonts w:ascii="Verdana" w:hAnsi="Verdana"/>
          <w:b/>
          <w:sz w:val="20"/>
          <w:szCs w:val="20"/>
          <w:lang w:val="es-CR"/>
        </w:rPr>
        <w:t xml:space="preserve">VOTO </w:t>
      </w:r>
      <w:r w:rsidR="008C08BB" w:rsidRPr="00764430">
        <w:rPr>
          <w:rFonts w:ascii="Verdana" w:hAnsi="Verdana"/>
          <w:b/>
          <w:sz w:val="20"/>
          <w:szCs w:val="20"/>
          <w:lang w:val="es-CR"/>
        </w:rPr>
        <w:t>PARCIALMENTE DISIDENTE</w:t>
      </w:r>
      <w:r w:rsidRPr="00764430">
        <w:rPr>
          <w:rFonts w:ascii="Verdana" w:hAnsi="Verdana"/>
          <w:b/>
          <w:sz w:val="20"/>
          <w:szCs w:val="20"/>
          <w:lang w:val="es-CR"/>
        </w:rPr>
        <w:t xml:space="preserve"> DEL </w:t>
      </w:r>
    </w:p>
    <w:p w14:paraId="0F1C5E65" w14:textId="77777777" w:rsidR="006D3EB3" w:rsidRPr="00764430" w:rsidRDefault="006D3EB3" w:rsidP="00764430">
      <w:pPr>
        <w:spacing w:after="0" w:line="240" w:lineRule="auto"/>
        <w:jc w:val="center"/>
        <w:rPr>
          <w:rFonts w:ascii="Verdana" w:hAnsi="Verdana"/>
          <w:b/>
          <w:sz w:val="20"/>
          <w:szCs w:val="20"/>
          <w:lang w:val="es-CR"/>
        </w:rPr>
      </w:pPr>
      <w:r w:rsidRPr="00764430">
        <w:rPr>
          <w:rFonts w:ascii="Verdana" w:hAnsi="Verdana"/>
          <w:b/>
          <w:sz w:val="20"/>
          <w:szCs w:val="20"/>
          <w:lang w:val="es-CR"/>
        </w:rPr>
        <w:t xml:space="preserve">JUEZ HUMBERTO ANTONIO SIERRA PORTO </w:t>
      </w:r>
    </w:p>
    <w:p w14:paraId="4E5DF14D" w14:textId="77777777" w:rsidR="006D3EB3" w:rsidRPr="00764430" w:rsidRDefault="006D3EB3" w:rsidP="00764430">
      <w:pPr>
        <w:spacing w:after="0" w:line="240" w:lineRule="auto"/>
        <w:jc w:val="center"/>
        <w:rPr>
          <w:rFonts w:ascii="Verdana" w:hAnsi="Verdana"/>
          <w:b/>
          <w:sz w:val="20"/>
          <w:szCs w:val="20"/>
          <w:lang w:val="es-CR"/>
        </w:rPr>
      </w:pPr>
    </w:p>
    <w:p w14:paraId="04FF020D" w14:textId="297AB850" w:rsidR="006D3EB3" w:rsidRPr="00764430" w:rsidRDefault="006D3EB3" w:rsidP="00764430">
      <w:pPr>
        <w:spacing w:after="0" w:line="240" w:lineRule="auto"/>
        <w:jc w:val="center"/>
        <w:rPr>
          <w:rFonts w:ascii="Verdana" w:hAnsi="Verdana"/>
          <w:b/>
          <w:sz w:val="20"/>
          <w:szCs w:val="20"/>
          <w:lang w:val="es-CR"/>
        </w:rPr>
      </w:pPr>
      <w:r w:rsidRPr="00764430">
        <w:rPr>
          <w:rFonts w:ascii="Verdana" w:hAnsi="Verdana"/>
          <w:b/>
          <w:sz w:val="20"/>
          <w:szCs w:val="20"/>
          <w:lang w:val="es-CR"/>
        </w:rPr>
        <w:t xml:space="preserve">A LA SENTENCIA DE </w:t>
      </w:r>
      <w:r w:rsidR="00496CB0" w:rsidRPr="00764430">
        <w:rPr>
          <w:rFonts w:ascii="Verdana" w:hAnsi="Verdana"/>
          <w:b/>
          <w:sz w:val="20"/>
          <w:szCs w:val="20"/>
          <w:lang w:val="es-CR"/>
        </w:rPr>
        <w:t>22</w:t>
      </w:r>
      <w:r w:rsidRPr="00764430">
        <w:rPr>
          <w:rFonts w:ascii="Verdana" w:hAnsi="Verdana"/>
          <w:b/>
          <w:sz w:val="20"/>
          <w:szCs w:val="20"/>
          <w:lang w:val="es-CR"/>
        </w:rPr>
        <w:t xml:space="preserve"> DE </w:t>
      </w:r>
      <w:r w:rsidR="0094555C" w:rsidRPr="00764430">
        <w:rPr>
          <w:rFonts w:ascii="Verdana" w:hAnsi="Verdana"/>
          <w:b/>
          <w:sz w:val="20"/>
          <w:szCs w:val="20"/>
          <w:lang w:val="es-CR"/>
        </w:rPr>
        <w:t>NOVIEMBRE</w:t>
      </w:r>
      <w:r w:rsidRPr="00764430">
        <w:rPr>
          <w:rFonts w:ascii="Verdana" w:hAnsi="Verdana"/>
          <w:b/>
          <w:sz w:val="20"/>
          <w:szCs w:val="20"/>
          <w:lang w:val="es-CR"/>
        </w:rPr>
        <w:t xml:space="preserve"> DE 2019</w:t>
      </w:r>
    </w:p>
    <w:p w14:paraId="45FE4F7D" w14:textId="77777777" w:rsidR="006D3EB3" w:rsidRPr="00764430" w:rsidRDefault="006D3EB3" w:rsidP="00764430">
      <w:pPr>
        <w:spacing w:after="0" w:line="240" w:lineRule="auto"/>
        <w:jc w:val="center"/>
        <w:outlineLvl w:val="0"/>
        <w:rPr>
          <w:rFonts w:ascii="Verdana" w:hAnsi="Verdana"/>
          <w:b/>
          <w:sz w:val="20"/>
          <w:szCs w:val="20"/>
          <w:lang w:val="es-CR"/>
        </w:rPr>
      </w:pPr>
      <w:r w:rsidRPr="00764430">
        <w:rPr>
          <w:rFonts w:ascii="Verdana" w:hAnsi="Verdana"/>
          <w:b/>
          <w:sz w:val="20"/>
          <w:szCs w:val="20"/>
          <w:lang w:val="es-CR"/>
        </w:rPr>
        <w:t>DE LA CORTE INTERAMERICANA DE DERECHOS HUMANOS</w:t>
      </w:r>
    </w:p>
    <w:p w14:paraId="483C530A" w14:textId="77777777" w:rsidR="006D3EB3" w:rsidRPr="00764430" w:rsidRDefault="006D3EB3" w:rsidP="00764430">
      <w:pPr>
        <w:spacing w:after="0" w:line="240" w:lineRule="auto"/>
        <w:jc w:val="center"/>
        <w:rPr>
          <w:rFonts w:ascii="Verdana" w:hAnsi="Verdana"/>
          <w:b/>
          <w:sz w:val="20"/>
          <w:szCs w:val="20"/>
          <w:lang w:val="es-CR"/>
        </w:rPr>
      </w:pPr>
    </w:p>
    <w:p w14:paraId="40AC7B5D" w14:textId="0E2DB6C9" w:rsidR="006D3EB3" w:rsidRPr="00764430" w:rsidRDefault="006D3EB3" w:rsidP="00764430">
      <w:pPr>
        <w:autoSpaceDE w:val="0"/>
        <w:autoSpaceDN w:val="0"/>
        <w:adjustRightInd w:val="0"/>
        <w:spacing w:after="0" w:line="240" w:lineRule="auto"/>
        <w:jc w:val="center"/>
        <w:rPr>
          <w:rFonts w:ascii="Verdana" w:hAnsi="Verdana" w:cs="Times New Roman"/>
          <w:color w:val="000000"/>
          <w:sz w:val="20"/>
          <w:szCs w:val="20"/>
          <w:lang w:val="es-CR"/>
        </w:rPr>
      </w:pPr>
      <w:r w:rsidRPr="00764430">
        <w:rPr>
          <w:rFonts w:ascii="Verdana" w:hAnsi="Verdana"/>
          <w:b/>
          <w:sz w:val="20"/>
          <w:szCs w:val="20"/>
          <w:lang w:val="es-CR"/>
        </w:rPr>
        <w:t xml:space="preserve">EN EL CASO </w:t>
      </w:r>
      <w:r w:rsidR="00653C2B" w:rsidRPr="00764430">
        <w:rPr>
          <w:rFonts w:ascii="Verdana" w:hAnsi="Verdana"/>
          <w:b/>
          <w:sz w:val="20"/>
          <w:szCs w:val="20"/>
          <w:lang w:val="es-CR"/>
        </w:rPr>
        <w:t>HERNÁNDEZ VS. ARGENTINA</w:t>
      </w:r>
    </w:p>
    <w:p w14:paraId="34057FAB" w14:textId="77777777" w:rsidR="006D3EB3" w:rsidRPr="00764430" w:rsidRDefault="006D3EB3" w:rsidP="00764430">
      <w:pPr>
        <w:autoSpaceDE w:val="0"/>
        <w:autoSpaceDN w:val="0"/>
        <w:adjustRightInd w:val="0"/>
        <w:spacing w:after="0" w:line="240" w:lineRule="auto"/>
        <w:jc w:val="both"/>
        <w:rPr>
          <w:rFonts w:ascii="Verdana" w:hAnsi="Verdana" w:cs="Times New Roman"/>
          <w:color w:val="000000"/>
          <w:sz w:val="20"/>
          <w:szCs w:val="20"/>
          <w:lang w:val="es-CR"/>
        </w:rPr>
      </w:pPr>
    </w:p>
    <w:p w14:paraId="379FCDFF" w14:textId="6F4609F9" w:rsidR="0094555C" w:rsidRPr="00764430" w:rsidRDefault="00D052D9" w:rsidP="00764430">
      <w:pPr>
        <w:spacing w:after="0" w:line="240" w:lineRule="auto"/>
        <w:rPr>
          <w:rFonts w:ascii="Verdana" w:hAnsi="Verdana"/>
          <w:b/>
          <w:sz w:val="20"/>
          <w:szCs w:val="20"/>
          <w:lang w:val="es-CR"/>
        </w:rPr>
      </w:pPr>
      <w:r w:rsidRPr="00764430">
        <w:rPr>
          <w:rFonts w:ascii="Verdana" w:hAnsi="Verdana"/>
          <w:b/>
          <w:sz w:val="20"/>
          <w:szCs w:val="20"/>
          <w:lang w:val="es-CR"/>
        </w:rPr>
        <w:t xml:space="preserve">I. </w:t>
      </w:r>
      <w:r w:rsidR="0094555C" w:rsidRPr="00764430">
        <w:rPr>
          <w:rFonts w:ascii="Verdana" w:hAnsi="Verdana"/>
          <w:b/>
          <w:sz w:val="20"/>
          <w:szCs w:val="20"/>
          <w:lang w:val="es-CR"/>
        </w:rPr>
        <w:t>Introducción</w:t>
      </w:r>
    </w:p>
    <w:p w14:paraId="4914FA5F" w14:textId="77777777" w:rsidR="00F47AB2" w:rsidRPr="00764430" w:rsidRDefault="00F47AB2" w:rsidP="00764430">
      <w:pPr>
        <w:spacing w:after="0" w:line="240" w:lineRule="auto"/>
        <w:rPr>
          <w:rFonts w:ascii="Verdana" w:hAnsi="Verdana"/>
          <w:b/>
          <w:i/>
          <w:sz w:val="20"/>
          <w:szCs w:val="20"/>
          <w:lang w:val="es-CR"/>
        </w:rPr>
      </w:pPr>
    </w:p>
    <w:p w14:paraId="03B5203C" w14:textId="7736EDEC" w:rsidR="00DB04F5" w:rsidRPr="00764430" w:rsidRDefault="00313979" w:rsidP="00764430">
      <w:pPr>
        <w:pStyle w:val="Prrafodelista"/>
        <w:numPr>
          <w:ilvl w:val="0"/>
          <w:numId w:val="9"/>
        </w:numPr>
        <w:spacing w:after="0" w:line="240" w:lineRule="auto"/>
        <w:ind w:left="0" w:firstLine="0"/>
        <w:jc w:val="both"/>
        <w:rPr>
          <w:rFonts w:ascii="Verdana" w:hAnsi="Verdana" w:cs="Times New Roman"/>
          <w:color w:val="000000"/>
          <w:sz w:val="20"/>
          <w:szCs w:val="20"/>
          <w:lang w:val="es-CR"/>
        </w:rPr>
      </w:pPr>
      <w:r w:rsidRPr="00764430">
        <w:rPr>
          <w:rFonts w:ascii="Verdana" w:hAnsi="Verdana"/>
          <w:sz w:val="20"/>
          <w:szCs w:val="20"/>
          <w:lang w:val="es-CR"/>
        </w:rPr>
        <w:t xml:space="preserve">En el marco de </w:t>
      </w:r>
      <w:r w:rsidR="00F47AB2" w:rsidRPr="00764430">
        <w:rPr>
          <w:rFonts w:ascii="Verdana" w:hAnsi="Verdana"/>
          <w:sz w:val="20"/>
          <w:szCs w:val="20"/>
          <w:lang w:val="es-CR"/>
        </w:rPr>
        <w:t>mi usual respeto por las decisiones de la Corte Interamericana de Derechos Humanos (en lo adelante “la Corte” o “el Tribunal”), formulo el presente voto para reafirmar</w:t>
      </w:r>
      <w:r w:rsidR="005F5583" w:rsidRPr="00764430">
        <w:rPr>
          <w:rFonts w:ascii="Verdana" w:hAnsi="Verdana"/>
          <w:sz w:val="20"/>
          <w:szCs w:val="20"/>
          <w:lang w:val="es-CR"/>
        </w:rPr>
        <w:t xml:space="preserve"> y profundizar</w:t>
      </w:r>
      <w:r w:rsidR="00F47AB2" w:rsidRPr="00764430">
        <w:rPr>
          <w:rFonts w:ascii="Verdana" w:hAnsi="Verdana"/>
          <w:sz w:val="20"/>
          <w:szCs w:val="20"/>
          <w:lang w:val="es-CR"/>
        </w:rPr>
        <w:t xml:space="preserve"> </w:t>
      </w:r>
      <w:r w:rsidR="003D1808" w:rsidRPr="00764430">
        <w:rPr>
          <w:rFonts w:ascii="Verdana" w:hAnsi="Verdana"/>
          <w:sz w:val="20"/>
          <w:szCs w:val="20"/>
          <w:lang w:val="es-CR"/>
        </w:rPr>
        <w:t>sobre</w:t>
      </w:r>
      <w:r w:rsidR="00F82EA7" w:rsidRPr="00764430">
        <w:rPr>
          <w:rFonts w:ascii="Verdana" w:hAnsi="Verdana"/>
          <w:sz w:val="20"/>
          <w:szCs w:val="20"/>
          <w:lang w:val="es-CR"/>
        </w:rPr>
        <w:t xml:space="preserve"> las diversas contradicciones e inconsistencias lógicas y jurídicas de las que adolece la teoría de la</w:t>
      </w:r>
      <w:r w:rsidR="00F47AB2" w:rsidRPr="00764430">
        <w:rPr>
          <w:rFonts w:ascii="Verdana" w:hAnsi="Verdana"/>
          <w:sz w:val="20"/>
          <w:szCs w:val="20"/>
          <w:lang w:val="es-CR"/>
        </w:rPr>
        <w:t xml:space="preserve"> </w:t>
      </w:r>
      <w:proofErr w:type="spellStart"/>
      <w:r w:rsidR="00F47AB2" w:rsidRPr="00764430">
        <w:rPr>
          <w:rFonts w:ascii="Verdana" w:hAnsi="Verdana"/>
          <w:sz w:val="20"/>
          <w:szCs w:val="20"/>
          <w:lang w:val="es-CR"/>
        </w:rPr>
        <w:t>justiciabilidad</w:t>
      </w:r>
      <w:proofErr w:type="spellEnd"/>
      <w:r w:rsidR="00F47AB2" w:rsidRPr="00764430">
        <w:rPr>
          <w:rFonts w:ascii="Verdana" w:hAnsi="Verdana"/>
          <w:sz w:val="20"/>
          <w:szCs w:val="20"/>
          <w:lang w:val="es-CR"/>
        </w:rPr>
        <w:t xml:space="preserve"> </w:t>
      </w:r>
      <w:r w:rsidR="005F5583" w:rsidRPr="00764430">
        <w:rPr>
          <w:rFonts w:ascii="Verdana" w:hAnsi="Verdana"/>
          <w:sz w:val="20"/>
          <w:szCs w:val="20"/>
          <w:lang w:val="es-CR"/>
        </w:rPr>
        <w:t>directa</w:t>
      </w:r>
      <w:r w:rsidR="00B76579" w:rsidRPr="00764430">
        <w:rPr>
          <w:rFonts w:ascii="Verdana" w:hAnsi="Verdana"/>
          <w:sz w:val="20"/>
          <w:szCs w:val="20"/>
          <w:lang w:val="es-CR"/>
        </w:rPr>
        <w:t xml:space="preserve"> y </w:t>
      </w:r>
      <w:r w:rsidR="00E73CFC" w:rsidRPr="00764430">
        <w:rPr>
          <w:rFonts w:ascii="Verdana" w:hAnsi="Verdana"/>
          <w:sz w:val="20"/>
          <w:szCs w:val="20"/>
          <w:lang w:val="es-CR"/>
        </w:rPr>
        <w:t>autónoma</w:t>
      </w:r>
      <w:r w:rsidR="005F5583" w:rsidRPr="00764430">
        <w:rPr>
          <w:rFonts w:ascii="Verdana" w:hAnsi="Verdana"/>
          <w:sz w:val="20"/>
          <w:szCs w:val="20"/>
          <w:lang w:val="es-CR"/>
        </w:rPr>
        <w:t xml:space="preserve"> de los derechos económicos, sociales, culturales y ambientales (en lo adelante “DESCA”) a través del artículo 26 de la Convención Americana sobre Derechos Humanos (en lo adelante “la Convención”), que ha sido asumida por la mayoría de los jueces del Tribunal desde el caso </w:t>
      </w:r>
      <w:r w:rsidR="005F5583" w:rsidRPr="00764430">
        <w:rPr>
          <w:rFonts w:ascii="Verdana" w:hAnsi="Verdana"/>
          <w:i/>
          <w:sz w:val="20"/>
          <w:szCs w:val="20"/>
          <w:lang w:val="es-CR"/>
        </w:rPr>
        <w:t xml:space="preserve">Lagos del Campo Vs. Perú. </w:t>
      </w:r>
      <w:r w:rsidR="00661E38" w:rsidRPr="00764430">
        <w:rPr>
          <w:rFonts w:ascii="Verdana" w:hAnsi="Verdana"/>
          <w:sz w:val="20"/>
          <w:szCs w:val="20"/>
          <w:lang w:val="es-CR"/>
        </w:rPr>
        <w:t xml:space="preserve">En particular, explicaré mis discrepancias </w:t>
      </w:r>
      <w:r w:rsidR="003D1808" w:rsidRPr="00764430">
        <w:rPr>
          <w:rFonts w:ascii="Verdana" w:hAnsi="Verdana"/>
          <w:sz w:val="20"/>
          <w:szCs w:val="20"/>
          <w:lang w:val="es-CR"/>
        </w:rPr>
        <w:t>respecto a</w:t>
      </w:r>
      <w:r w:rsidR="00661E38" w:rsidRPr="00764430">
        <w:rPr>
          <w:rFonts w:ascii="Verdana" w:hAnsi="Verdana" w:cs="Times New Roman"/>
          <w:color w:val="000000"/>
          <w:sz w:val="20"/>
          <w:szCs w:val="20"/>
        </w:rPr>
        <w:t>l</w:t>
      </w:r>
      <w:r w:rsidR="00661E38" w:rsidRPr="00764430">
        <w:rPr>
          <w:rFonts w:ascii="Verdana" w:hAnsi="Verdana" w:cs="Times New Roman"/>
          <w:color w:val="000000"/>
          <w:sz w:val="20"/>
          <w:szCs w:val="20"/>
          <w:lang w:val="es-CR"/>
        </w:rPr>
        <w:t xml:space="preserve"> análisis de fondo que realizó la Corte para </w:t>
      </w:r>
      <w:r w:rsidRPr="00764430">
        <w:rPr>
          <w:rFonts w:ascii="Verdana" w:hAnsi="Verdana" w:cs="Times New Roman"/>
          <w:color w:val="000000"/>
          <w:sz w:val="20"/>
          <w:szCs w:val="20"/>
          <w:lang w:val="es-CR"/>
        </w:rPr>
        <w:t>determinar</w:t>
      </w:r>
      <w:r w:rsidR="00661E38" w:rsidRPr="00764430">
        <w:rPr>
          <w:rFonts w:ascii="Verdana" w:hAnsi="Verdana" w:cs="Times New Roman"/>
          <w:color w:val="000000"/>
          <w:sz w:val="20"/>
          <w:szCs w:val="20"/>
          <w:lang w:val="es-CR"/>
        </w:rPr>
        <w:t xml:space="preserve"> la responsabilidad internacional de la República Argentina (en adelante “el Estado”</w:t>
      </w:r>
      <w:r w:rsidRPr="00764430">
        <w:rPr>
          <w:rFonts w:ascii="Verdana" w:hAnsi="Verdana" w:cs="Times New Roman"/>
          <w:color w:val="000000"/>
          <w:sz w:val="20"/>
          <w:szCs w:val="20"/>
          <w:lang w:val="es-CR"/>
        </w:rPr>
        <w:t xml:space="preserve">) </w:t>
      </w:r>
      <w:r w:rsidR="00661E38" w:rsidRPr="00764430">
        <w:rPr>
          <w:rFonts w:ascii="Verdana" w:hAnsi="Verdana" w:cs="Times New Roman"/>
          <w:color w:val="000000"/>
          <w:sz w:val="20"/>
          <w:szCs w:val="20"/>
          <w:lang w:val="es-CR"/>
        </w:rPr>
        <w:t>por la violación de</w:t>
      </w:r>
      <w:r w:rsidRPr="00764430">
        <w:rPr>
          <w:rFonts w:ascii="Verdana" w:hAnsi="Verdana" w:cs="Times New Roman"/>
          <w:color w:val="000000"/>
          <w:sz w:val="20"/>
          <w:szCs w:val="20"/>
          <w:lang w:val="es-CR"/>
        </w:rPr>
        <w:t xml:space="preserve">l derecho a la salud, declarada en el punto resolutivo </w:t>
      </w:r>
      <w:r w:rsidR="00D17863" w:rsidRPr="00764430">
        <w:rPr>
          <w:rFonts w:ascii="Verdana" w:hAnsi="Verdana" w:cs="Times New Roman"/>
          <w:color w:val="000000"/>
          <w:sz w:val="20"/>
          <w:szCs w:val="20"/>
          <w:lang w:val="es-CR"/>
        </w:rPr>
        <w:t>3</w:t>
      </w:r>
      <w:r w:rsidRPr="00764430">
        <w:rPr>
          <w:rFonts w:ascii="Verdana" w:hAnsi="Verdana" w:cs="Times New Roman"/>
          <w:color w:val="000000"/>
          <w:sz w:val="20"/>
          <w:szCs w:val="20"/>
          <w:lang w:val="es-CR"/>
        </w:rPr>
        <w:t xml:space="preserve"> de la sentencia</w:t>
      </w:r>
      <w:r w:rsidR="00962F3B" w:rsidRPr="00764430">
        <w:rPr>
          <w:rFonts w:ascii="Verdana" w:hAnsi="Verdana" w:cs="Times New Roman"/>
          <w:color w:val="000000"/>
          <w:sz w:val="20"/>
          <w:szCs w:val="20"/>
          <w:lang w:val="es-CR"/>
        </w:rPr>
        <w:t xml:space="preserve"> del caso </w:t>
      </w:r>
      <w:r w:rsidR="00962F3B" w:rsidRPr="00764430">
        <w:rPr>
          <w:rFonts w:ascii="Verdana" w:hAnsi="Verdana" w:cs="Times New Roman"/>
          <w:i/>
          <w:color w:val="000000"/>
          <w:sz w:val="20"/>
          <w:szCs w:val="20"/>
          <w:lang w:val="es-CR"/>
        </w:rPr>
        <w:t xml:space="preserve">Hernández Vs. Argentina </w:t>
      </w:r>
      <w:r w:rsidR="00962F3B" w:rsidRPr="00764430">
        <w:rPr>
          <w:rFonts w:ascii="Verdana" w:hAnsi="Verdana" w:cs="Times New Roman"/>
          <w:color w:val="000000"/>
          <w:sz w:val="20"/>
          <w:szCs w:val="20"/>
          <w:lang w:val="es-CR"/>
        </w:rPr>
        <w:t xml:space="preserve">(en lo adelante “la Sentencia” o “el caso Hernández”). </w:t>
      </w:r>
    </w:p>
    <w:p w14:paraId="29C1B6E0" w14:textId="77777777" w:rsidR="00DB04F5" w:rsidRPr="00764430" w:rsidRDefault="00DB04F5" w:rsidP="00764430">
      <w:pPr>
        <w:pStyle w:val="Prrafodelista"/>
        <w:spacing w:after="0" w:line="240" w:lineRule="auto"/>
        <w:ind w:left="0"/>
        <w:jc w:val="both"/>
        <w:rPr>
          <w:rFonts w:ascii="Verdana" w:hAnsi="Verdana" w:cs="Times New Roman"/>
          <w:color w:val="000000"/>
          <w:sz w:val="20"/>
          <w:szCs w:val="20"/>
          <w:lang w:val="es-CR"/>
        </w:rPr>
      </w:pPr>
    </w:p>
    <w:p w14:paraId="7E1379F8" w14:textId="77777777" w:rsidR="00B76579" w:rsidRPr="00764430" w:rsidRDefault="00313979" w:rsidP="00764430">
      <w:pPr>
        <w:pStyle w:val="Prrafodelista"/>
        <w:numPr>
          <w:ilvl w:val="0"/>
          <w:numId w:val="9"/>
        </w:numPr>
        <w:spacing w:after="0" w:line="240" w:lineRule="auto"/>
        <w:ind w:left="0" w:firstLine="0"/>
        <w:jc w:val="both"/>
        <w:rPr>
          <w:rFonts w:ascii="Verdana" w:hAnsi="Verdana" w:cs="Times New Roman"/>
          <w:color w:val="000000"/>
          <w:sz w:val="20"/>
          <w:szCs w:val="20"/>
          <w:lang w:val="es-CR"/>
        </w:rPr>
      </w:pPr>
      <w:r w:rsidRPr="00764430">
        <w:rPr>
          <w:rFonts w:ascii="Verdana" w:hAnsi="Verdana" w:cs="Times New Roman"/>
          <w:color w:val="000000"/>
          <w:sz w:val="20"/>
          <w:szCs w:val="20"/>
          <w:lang w:val="es-CR"/>
        </w:rPr>
        <w:t xml:space="preserve">De tal suerte, </w:t>
      </w:r>
      <w:r w:rsidR="005C39A2" w:rsidRPr="00764430">
        <w:rPr>
          <w:rFonts w:ascii="Verdana" w:hAnsi="Verdana" w:cs="Times New Roman"/>
          <w:color w:val="000000"/>
          <w:sz w:val="20"/>
          <w:szCs w:val="20"/>
          <w:lang w:val="es-CR"/>
        </w:rPr>
        <w:t>este</w:t>
      </w:r>
      <w:r w:rsidRPr="00764430">
        <w:rPr>
          <w:rFonts w:ascii="Verdana" w:hAnsi="Verdana" w:cs="Times New Roman"/>
          <w:color w:val="000000"/>
          <w:sz w:val="20"/>
          <w:szCs w:val="20"/>
          <w:lang w:val="es-CR"/>
        </w:rPr>
        <w:t xml:space="preserve"> voto complementa los razonamientos de mis </w:t>
      </w:r>
      <w:r w:rsidR="00661E38" w:rsidRPr="00764430">
        <w:rPr>
          <w:rFonts w:ascii="Verdana" w:hAnsi="Verdana" w:cs="Times New Roman"/>
          <w:color w:val="000000"/>
          <w:sz w:val="20"/>
          <w:szCs w:val="20"/>
          <w:lang w:val="es-CR"/>
        </w:rPr>
        <w:t xml:space="preserve">votos parcialmente disidentes a los casos </w:t>
      </w:r>
      <w:r w:rsidR="00661E38" w:rsidRPr="00764430">
        <w:rPr>
          <w:rFonts w:ascii="Verdana" w:hAnsi="Verdana" w:cs="Times New Roman"/>
          <w:i/>
          <w:color w:val="000000"/>
          <w:sz w:val="20"/>
          <w:szCs w:val="20"/>
          <w:lang w:val="es-CR"/>
        </w:rPr>
        <w:t>Lagos del Campo Vs. Perú</w:t>
      </w:r>
      <w:r w:rsidR="00661E38" w:rsidRPr="00764430">
        <w:rPr>
          <w:vertAlign w:val="superscript"/>
          <w:lang w:val="es-CR"/>
        </w:rPr>
        <w:footnoteReference w:id="1"/>
      </w:r>
      <w:r w:rsidR="00661E38" w:rsidRPr="00764430">
        <w:rPr>
          <w:rFonts w:ascii="Verdana" w:hAnsi="Verdana" w:cs="Times New Roman"/>
          <w:color w:val="000000"/>
          <w:sz w:val="20"/>
          <w:szCs w:val="20"/>
          <w:lang w:val="es-CR"/>
        </w:rPr>
        <w:t xml:space="preserve">, </w:t>
      </w:r>
      <w:r w:rsidR="00661E38" w:rsidRPr="00764430">
        <w:rPr>
          <w:rFonts w:ascii="Verdana" w:hAnsi="Verdana" w:cs="Times New Roman"/>
          <w:i/>
          <w:color w:val="000000"/>
          <w:sz w:val="20"/>
          <w:szCs w:val="20"/>
          <w:lang w:val="es-CR"/>
        </w:rPr>
        <w:t>Trabajadores Cesados de Petroperú y otros Vs. Perú</w:t>
      </w:r>
      <w:r w:rsidR="00661E38" w:rsidRPr="00764430">
        <w:rPr>
          <w:vertAlign w:val="superscript"/>
          <w:lang w:val="es-CR"/>
        </w:rPr>
        <w:footnoteReference w:id="2"/>
      </w:r>
      <w:r w:rsidR="00661E38" w:rsidRPr="00764430">
        <w:rPr>
          <w:rFonts w:ascii="Verdana" w:hAnsi="Verdana" w:cs="Times New Roman"/>
          <w:color w:val="000000"/>
          <w:sz w:val="20"/>
          <w:szCs w:val="20"/>
          <w:lang w:val="es-CR"/>
        </w:rPr>
        <w:t xml:space="preserve">, </w:t>
      </w:r>
      <w:r w:rsidR="00661E38" w:rsidRPr="00764430">
        <w:rPr>
          <w:rFonts w:ascii="Verdana" w:hAnsi="Verdana" w:cs="Times New Roman"/>
          <w:i/>
          <w:color w:val="000000"/>
          <w:sz w:val="20"/>
          <w:szCs w:val="20"/>
          <w:lang w:val="es-CR"/>
        </w:rPr>
        <w:t>San Miguel Sosa y otras Vs. Venezuela</w:t>
      </w:r>
      <w:r w:rsidR="00661E38" w:rsidRPr="00764430">
        <w:rPr>
          <w:vertAlign w:val="superscript"/>
          <w:lang w:val="es-CR"/>
        </w:rPr>
        <w:footnoteReference w:id="3"/>
      </w:r>
      <w:r w:rsidRPr="00764430">
        <w:rPr>
          <w:rFonts w:ascii="Verdana" w:hAnsi="Verdana" w:cs="Times New Roman"/>
          <w:i/>
          <w:color w:val="000000"/>
          <w:sz w:val="20"/>
          <w:szCs w:val="20"/>
          <w:lang w:val="es-CR"/>
        </w:rPr>
        <w:t xml:space="preserve">, </w:t>
      </w:r>
      <w:proofErr w:type="spellStart"/>
      <w:r w:rsidR="00962F3B" w:rsidRPr="00764430">
        <w:rPr>
          <w:rFonts w:ascii="Verdana" w:hAnsi="Verdana" w:cs="Times New Roman"/>
          <w:bCs/>
          <w:i/>
          <w:color w:val="000000"/>
          <w:sz w:val="20"/>
          <w:szCs w:val="20"/>
          <w:lang w:val="es-CR"/>
        </w:rPr>
        <w:t>Cuscul</w:t>
      </w:r>
      <w:proofErr w:type="spellEnd"/>
      <w:r w:rsidR="00962F3B" w:rsidRPr="00764430">
        <w:rPr>
          <w:rFonts w:ascii="Verdana" w:hAnsi="Verdana" w:cs="Times New Roman"/>
          <w:bCs/>
          <w:i/>
          <w:color w:val="000000"/>
          <w:sz w:val="20"/>
          <w:szCs w:val="20"/>
          <w:lang w:val="es-CR"/>
        </w:rPr>
        <w:t xml:space="preserve"> Pivaral y otros Vs. Guatemala</w:t>
      </w:r>
      <w:r w:rsidR="00962F3B" w:rsidRPr="00764430">
        <w:rPr>
          <w:bCs/>
          <w:i/>
          <w:vertAlign w:val="superscript"/>
          <w:lang w:val="es-CR"/>
        </w:rPr>
        <w:footnoteReference w:id="4"/>
      </w:r>
      <w:r w:rsidR="00962F3B" w:rsidRPr="00764430">
        <w:rPr>
          <w:rFonts w:ascii="Verdana" w:hAnsi="Verdana" w:cs="Times New Roman"/>
          <w:bCs/>
          <w:i/>
          <w:color w:val="000000"/>
          <w:sz w:val="20"/>
          <w:szCs w:val="20"/>
          <w:lang w:val="es-CR"/>
        </w:rPr>
        <w:t xml:space="preserve">, </w:t>
      </w:r>
      <w:r w:rsidR="00661E38" w:rsidRPr="00764430">
        <w:rPr>
          <w:rFonts w:ascii="Verdana" w:hAnsi="Verdana" w:cs="Times New Roman"/>
          <w:i/>
          <w:color w:val="000000"/>
          <w:sz w:val="20"/>
          <w:szCs w:val="20"/>
          <w:lang w:val="es-ES_tradnl"/>
        </w:rPr>
        <w:t>Muelle Flores Vs. Perú</w:t>
      </w:r>
      <w:r w:rsidR="00661E38" w:rsidRPr="00764430">
        <w:rPr>
          <w:rStyle w:val="Refdenotaalpie"/>
          <w:i/>
          <w:color w:val="000000"/>
          <w:sz w:val="20"/>
          <w:szCs w:val="20"/>
          <w:lang w:val="es-ES_tradnl"/>
        </w:rPr>
        <w:footnoteReference w:id="5"/>
      </w:r>
      <w:r w:rsidRPr="00764430">
        <w:rPr>
          <w:rFonts w:ascii="Verdana" w:hAnsi="Verdana" w:cs="Times New Roman"/>
          <w:i/>
          <w:color w:val="000000"/>
          <w:sz w:val="20"/>
          <w:szCs w:val="20"/>
          <w:lang w:val="es-ES_tradnl"/>
        </w:rPr>
        <w:t xml:space="preserve"> y </w:t>
      </w:r>
      <w:r w:rsidRPr="00764430">
        <w:rPr>
          <w:rStyle w:val="Textoennegrita"/>
          <w:rFonts w:ascii="Verdana" w:hAnsi="Verdana" w:cstheme="minorHAnsi"/>
          <w:b w:val="0"/>
          <w:i/>
          <w:color w:val="000000"/>
          <w:sz w:val="20"/>
          <w:szCs w:val="20"/>
        </w:rPr>
        <w:t>Asociación Nacional de Cesantes y Jubilados de la Superintendencia Nacional de Administración Tributaria (ANCEJUB-SUNAT) Vs. Perú</w:t>
      </w:r>
      <w:r w:rsidR="005C39A2" w:rsidRPr="00764430">
        <w:rPr>
          <w:rStyle w:val="Refdenotaalpie"/>
          <w:bCs/>
          <w:i/>
          <w:color w:val="000000"/>
        </w:rPr>
        <w:footnoteReference w:id="6"/>
      </w:r>
      <w:r w:rsidRPr="00764430">
        <w:rPr>
          <w:rStyle w:val="Textoennegrita"/>
          <w:rFonts w:ascii="Verdana" w:hAnsi="Verdana" w:cstheme="minorHAnsi"/>
          <w:b w:val="0"/>
          <w:i/>
          <w:color w:val="000000"/>
          <w:sz w:val="20"/>
          <w:szCs w:val="20"/>
        </w:rPr>
        <w:t xml:space="preserve">, </w:t>
      </w:r>
      <w:r w:rsidRPr="00764430">
        <w:rPr>
          <w:rStyle w:val="Textoennegrita"/>
          <w:rFonts w:ascii="Verdana" w:hAnsi="Verdana" w:cstheme="minorHAnsi"/>
          <w:b w:val="0"/>
          <w:color w:val="000000"/>
          <w:sz w:val="20"/>
          <w:szCs w:val="20"/>
        </w:rPr>
        <w:t xml:space="preserve">así </w:t>
      </w:r>
      <w:r w:rsidR="00661E38" w:rsidRPr="00764430">
        <w:rPr>
          <w:rFonts w:ascii="Verdana" w:hAnsi="Verdana" w:cs="Times New Roman"/>
          <w:color w:val="000000"/>
          <w:sz w:val="20"/>
          <w:szCs w:val="20"/>
          <w:lang w:val="es-CR"/>
        </w:rPr>
        <w:t xml:space="preserve">como </w:t>
      </w:r>
      <w:r w:rsidR="005C39A2" w:rsidRPr="00764430">
        <w:rPr>
          <w:rFonts w:ascii="Verdana" w:hAnsi="Verdana" w:cs="Times New Roman"/>
          <w:color w:val="000000"/>
          <w:sz w:val="20"/>
          <w:szCs w:val="20"/>
          <w:lang w:val="es-CR"/>
        </w:rPr>
        <w:t>de</w:t>
      </w:r>
      <w:r w:rsidR="00661E38" w:rsidRPr="00764430">
        <w:rPr>
          <w:rFonts w:ascii="Verdana" w:hAnsi="Verdana" w:cs="Times New Roman"/>
          <w:color w:val="000000"/>
          <w:sz w:val="20"/>
          <w:szCs w:val="20"/>
          <w:lang w:val="es-CR"/>
        </w:rPr>
        <w:t xml:space="preserve"> mis votos concurrentes </w:t>
      </w:r>
      <w:r w:rsidRPr="00764430">
        <w:rPr>
          <w:rFonts w:ascii="Verdana" w:hAnsi="Verdana" w:cs="Times New Roman"/>
          <w:color w:val="000000"/>
          <w:sz w:val="20"/>
          <w:szCs w:val="20"/>
          <w:lang w:val="es-CR"/>
        </w:rPr>
        <w:t xml:space="preserve">a </w:t>
      </w:r>
      <w:r w:rsidR="00661E38" w:rsidRPr="00764430">
        <w:rPr>
          <w:rFonts w:ascii="Verdana" w:hAnsi="Verdana" w:cs="Times New Roman"/>
          <w:color w:val="000000"/>
          <w:sz w:val="20"/>
          <w:szCs w:val="20"/>
          <w:lang w:val="es-CR"/>
        </w:rPr>
        <w:t xml:space="preserve">los casos </w:t>
      </w:r>
      <w:r w:rsidR="00661E38" w:rsidRPr="00764430">
        <w:rPr>
          <w:rFonts w:ascii="Verdana" w:hAnsi="Verdana" w:cs="Times New Roman"/>
          <w:i/>
          <w:color w:val="000000"/>
          <w:sz w:val="20"/>
          <w:szCs w:val="20"/>
          <w:lang w:val="es-CR"/>
        </w:rPr>
        <w:t xml:space="preserve">Gonzales </w:t>
      </w:r>
      <w:proofErr w:type="spellStart"/>
      <w:r w:rsidR="00661E38" w:rsidRPr="00764430">
        <w:rPr>
          <w:rFonts w:ascii="Verdana" w:hAnsi="Verdana" w:cs="Times New Roman"/>
          <w:i/>
          <w:color w:val="000000"/>
          <w:sz w:val="20"/>
          <w:szCs w:val="20"/>
          <w:lang w:val="es-CR"/>
        </w:rPr>
        <w:t>Lluy</w:t>
      </w:r>
      <w:proofErr w:type="spellEnd"/>
      <w:r w:rsidR="00661E38" w:rsidRPr="00764430">
        <w:rPr>
          <w:rFonts w:ascii="Verdana" w:hAnsi="Verdana" w:cs="Times New Roman"/>
          <w:i/>
          <w:color w:val="000000"/>
          <w:sz w:val="20"/>
          <w:szCs w:val="20"/>
          <w:lang w:val="es-CR"/>
        </w:rPr>
        <w:t xml:space="preserve"> y otros Vs. Ecuador</w:t>
      </w:r>
      <w:r w:rsidR="00661E38" w:rsidRPr="00764430">
        <w:rPr>
          <w:vertAlign w:val="superscript"/>
          <w:lang w:val="es-CR"/>
        </w:rPr>
        <w:footnoteReference w:id="7"/>
      </w:r>
      <w:r w:rsidR="00962F3B" w:rsidRPr="00764430">
        <w:rPr>
          <w:rFonts w:ascii="Verdana" w:hAnsi="Verdana" w:cs="Times New Roman"/>
          <w:i/>
          <w:color w:val="000000"/>
          <w:sz w:val="20"/>
          <w:szCs w:val="20"/>
          <w:lang w:val="es-CR"/>
        </w:rPr>
        <w:t>, Poblete Vilches y o</w:t>
      </w:r>
      <w:r w:rsidR="00661E38" w:rsidRPr="00764430">
        <w:rPr>
          <w:rFonts w:ascii="Verdana" w:hAnsi="Verdana" w:cs="Times New Roman"/>
          <w:i/>
          <w:color w:val="000000"/>
          <w:sz w:val="20"/>
          <w:szCs w:val="20"/>
          <w:lang w:val="es-CR"/>
        </w:rPr>
        <w:t>tros Vs. Chile</w:t>
      </w:r>
      <w:r w:rsidR="00661E38" w:rsidRPr="00764430">
        <w:rPr>
          <w:vertAlign w:val="superscript"/>
          <w:lang w:val="es-CR"/>
        </w:rPr>
        <w:footnoteReference w:id="8"/>
      </w:r>
      <w:r w:rsidRPr="00764430">
        <w:rPr>
          <w:rFonts w:ascii="Verdana" w:hAnsi="Verdana" w:cs="Times New Roman"/>
          <w:i/>
          <w:color w:val="000000"/>
          <w:sz w:val="20"/>
          <w:szCs w:val="20"/>
          <w:lang w:val="es-CR"/>
        </w:rPr>
        <w:t>,</w:t>
      </w:r>
      <w:r w:rsidR="00661E38" w:rsidRPr="00764430">
        <w:rPr>
          <w:rFonts w:ascii="Verdana" w:hAnsi="Verdana" w:cs="Times New Roman"/>
          <w:i/>
          <w:color w:val="000000"/>
          <w:sz w:val="20"/>
          <w:szCs w:val="20"/>
          <w:lang w:val="es-CR"/>
        </w:rPr>
        <w:t xml:space="preserve"> </w:t>
      </w:r>
      <w:r w:rsidRPr="00764430">
        <w:rPr>
          <w:rFonts w:ascii="Verdana" w:hAnsi="Verdana" w:cs="Times New Roman"/>
          <w:color w:val="000000"/>
          <w:sz w:val="20"/>
          <w:szCs w:val="20"/>
          <w:lang w:val="es-CR"/>
        </w:rPr>
        <w:t xml:space="preserve">y </w:t>
      </w:r>
      <w:r w:rsidRPr="00764430">
        <w:rPr>
          <w:rFonts w:ascii="Verdana" w:hAnsi="Verdana" w:cs="Times New Roman"/>
          <w:i/>
          <w:color w:val="000000"/>
          <w:sz w:val="20"/>
          <w:szCs w:val="20"/>
          <w:lang w:val="es-CR"/>
        </w:rPr>
        <w:t>Rodríguez Revolorio y otros</w:t>
      </w:r>
      <w:r w:rsidR="005C39A2" w:rsidRPr="00764430">
        <w:rPr>
          <w:rFonts w:ascii="Verdana" w:hAnsi="Verdana" w:cs="Times New Roman"/>
          <w:i/>
          <w:color w:val="000000"/>
          <w:sz w:val="20"/>
          <w:szCs w:val="20"/>
          <w:lang w:val="es-CR"/>
        </w:rPr>
        <w:t xml:space="preserve"> Vs. Guatemala</w:t>
      </w:r>
      <w:r w:rsidR="005C39A2" w:rsidRPr="00764430">
        <w:rPr>
          <w:rStyle w:val="Refdenotaalpie"/>
          <w:i/>
          <w:color w:val="000000"/>
          <w:lang w:val="es-CR"/>
        </w:rPr>
        <w:footnoteReference w:id="9"/>
      </w:r>
      <w:r w:rsidR="005C39A2" w:rsidRPr="00764430">
        <w:rPr>
          <w:rFonts w:ascii="Verdana" w:hAnsi="Verdana" w:cs="Times New Roman"/>
          <w:i/>
          <w:color w:val="000000"/>
          <w:sz w:val="20"/>
          <w:szCs w:val="20"/>
          <w:lang w:val="es-CR"/>
        </w:rPr>
        <w:t xml:space="preserve">. </w:t>
      </w:r>
    </w:p>
    <w:p w14:paraId="4C3B1F98" w14:textId="77777777" w:rsidR="00B76579" w:rsidRPr="00764430" w:rsidRDefault="00B76579" w:rsidP="00764430">
      <w:pPr>
        <w:pStyle w:val="Prrafodelista"/>
        <w:rPr>
          <w:rFonts w:ascii="Verdana" w:hAnsi="Verdana" w:cs="Times New Roman"/>
          <w:color w:val="000000"/>
          <w:sz w:val="20"/>
          <w:szCs w:val="20"/>
          <w:lang w:val="es-CR"/>
        </w:rPr>
      </w:pPr>
    </w:p>
    <w:p w14:paraId="6F8B4A66" w14:textId="24EF285F" w:rsidR="00661E38" w:rsidRPr="00764430" w:rsidRDefault="003D1808" w:rsidP="00764430">
      <w:pPr>
        <w:pStyle w:val="Prrafodelista"/>
        <w:numPr>
          <w:ilvl w:val="0"/>
          <w:numId w:val="9"/>
        </w:numPr>
        <w:spacing w:after="0" w:line="240" w:lineRule="auto"/>
        <w:ind w:left="0" w:firstLine="0"/>
        <w:jc w:val="both"/>
        <w:rPr>
          <w:rFonts w:ascii="Verdana" w:hAnsi="Verdana" w:cs="Times New Roman"/>
          <w:color w:val="000000"/>
          <w:sz w:val="20"/>
          <w:szCs w:val="20"/>
          <w:lang w:val="es-CR"/>
        </w:rPr>
      </w:pPr>
      <w:r w:rsidRPr="00764430">
        <w:rPr>
          <w:rFonts w:ascii="Verdana" w:hAnsi="Verdana" w:cs="Times New Roman"/>
          <w:color w:val="000000"/>
          <w:sz w:val="20"/>
          <w:szCs w:val="20"/>
          <w:lang w:val="es-CR"/>
        </w:rPr>
        <w:t>El desarrollo de mi análisis</w:t>
      </w:r>
      <w:r w:rsidR="005C39A2" w:rsidRPr="00764430">
        <w:rPr>
          <w:rFonts w:ascii="Verdana" w:hAnsi="Verdana" w:cs="Times New Roman"/>
          <w:color w:val="000000"/>
          <w:sz w:val="20"/>
          <w:szCs w:val="20"/>
          <w:lang w:val="es-CR"/>
        </w:rPr>
        <w:t xml:space="preserve"> </w:t>
      </w:r>
      <w:r w:rsidR="007C55AA" w:rsidRPr="00764430">
        <w:rPr>
          <w:rFonts w:ascii="Verdana" w:hAnsi="Verdana" w:cs="Times New Roman"/>
          <w:color w:val="000000"/>
          <w:sz w:val="20"/>
          <w:szCs w:val="20"/>
          <w:lang w:val="es-CR"/>
        </w:rPr>
        <w:t xml:space="preserve">seguirá el </w:t>
      </w:r>
      <w:r w:rsidR="005C39A2" w:rsidRPr="00764430">
        <w:rPr>
          <w:rFonts w:ascii="Verdana" w:hAnsi="Verdana" w:cs="Times New Roman"/>
          <w:color w:val="000000"/>
          <w:sz w:val="20"/>
          <w:szCs w:val="20"/>
          <w:lang w:val="es-CR"/>
        </w:rPr>
        <w:t>orden</w:t>
      </w:r>
      <w:r w:rsidR="007C55AA" w:rsidRPr="00764430">
        <w:rPr>
          <w:rFonts w:ascii="Verdana" w:hAnsi="Verdana" w:cs="Times New Roman"/>
          <w:color w:val="000000"/>
          <w:sz w:val="20"/>
          <w:szCs w:val="20"/>
          <w:lang w:val="es-CR"/>
        </w:rPr>
        <w:t xml:space="preserve"> siguiente</w:t>
      </w:r>
      <w:r w:rsidR="005C39A2" w:rsidRPr="00764430">
        <w:rPr>
          <w:rFonts w:ascii="Verdana" w:hAnsi="Verdana" w:cs="Times New Roman"/>
          <w:color w:val="000000"/>
          <w:sz w:val="20"/>
          <w:szCs w:val="20"/>
          <w:lang w:val="es-CR"/>
        </w:rPr>
        <w:t>: i</w:t>
      </w:r>
      <w:r w:rsidR="00661E38" w:rsidRPr="00764430">
        <w:rPr>
          <w:rFonts w:ascii="Verdana" w:hAnsi="Verdana" w:cs="Times New Roman"/>
          <w:color w:val="000000"/>
          <w:sz w:val="20"/>
          <w:szCs w:val="20"/>
          <w:lang w:val="es-CR"/>
        </w:rPr>
        <w:t>) la naturaleza prestacional del derecho a la salud</w:t>
      </w:r>
      <w:r w:rsidR="005C39A2" w:rsidRPr="00764430">
        <w:rPr>
          <w:rFonts w:ascii="Verdana" w:hAnsi="Verdana" w:cs="Times New Roman"/>
          <w:color w:val="000000"/>
          <w:sz w:val="20"/>
          <w:szCs w:val="20"/>
          <w:lang w:val="es-PE"/>
        </w:rPr>
        <w:t xml:space="preserve">, </w:t>
      </w:r>
      <w:proofErr w:type="spellStart"/>
      <w:r w:rsidR="00661E38" w:rsidRPr="00764430">
        <w:rPr>
          <w:rFonts w:ascii="Verdana" w:hAnsi="Verdana" w:cs="Times New Roman"/>
          <w:color w:val="000000"/>
          <w:sz w:val="20"/>
          <w:szCs w:val="20"/>
          <w:lang w:val="es-CR"/>
        </w:rPr>
        <w:t>ii</w:t>
      </w:r>
      <w:proofErr w:type="spellEnd"/>
      <w:r w:rsidR="00661E38" w:rsidRPr="00764430">
        <w:rPr>
          <w:rFonts w:ascii="Verdana" w:hAnsi="Verdana" w:cs="Times New Roman"/>
          <w:color w:val="000000"/>
          <w:sz w:val="20"/>
          <w:szCs w:val="20"/>
          <w:lang w:val="es-CR"/>
        </w:rPr>
        <w:t xml:space="preserve">) </w:t>
      </w:r>
      <w:r w:rsidR="005C39A2" w:rsidRPr="00764430">
        <w:rPr>
          <w:rFonts w:ascii="Verdana" w:hAnsi="Verdana" w:cs="Times New Roman"/>
          <w:color w:val="000000"/>
          <w:sz w:val="20"/>
          <w:szCs w:val="20"/>
          <w:lang w:val="es-CR"/>
        </w:rPr>
        <w:t xml:space="preserve">la </w:t>
      </w:r>
      <w:r w:rsidR="00661E38" w:rsidRPr="00764430">
        <w:rPr>
          <w:rFonts w:ascii="Verdana" w:hAnsi="Verdana" w:cs="Times New Roman"/>
          <w:color w:val="000000"/>
          <w:sz w:val="20"/>
          <w:szCs w:val="20"/>
          <w:lang w:val="es-CR"/>
        </w:rPr>
        <w:t>inversión de la carga de la prueba en casos de relaciones de especial sujeción</w:t>
      </w:r>
      <w:r w:rsidR="00503BA4" w:rsidRPr="00764430">
        <w:rPr>
          <w:rFonts w:ascii="Verdana" w:hAnsi="Verdana" w:cs="Times New Roman"/>
          <w:color w:val="000000"/>
          <w:sz w:val="20"/>
          <w:szCs w:val="20"/>
          <w:lang w:val="es-CR"/>
        </w:rPr>
        <w:t>,</w:t>
      </w:r>
      <w:r w:rsidR="005C39A2" w:rsidRPr="00764430">
        <w:rPr>
          <w:rFonts w:ascii="Verdana" w:hAnsi="Verdana" w:cs="Times New Roman"/>
          <w:color w:val="000000"/>
          <w:sz w:val="20"/>
          <w:szCs w:val="20"/>
          <w:lang w:val="es-CR"/>
        </w:rPr>
        <w:t xml:space="preserve"> y </w:t>
      </w:r>
      <w:proofErr w:type="spellStart"/>
      <w:r w:rsidR="005C39A2" w:rsidRPr="00764430">
        <w:rPr>
          <w:rFonts w:ascii="Verdana" w:hAnsi="Verdana" w:cs="Times New Roman"/>
          <w:color w:val="000000"/>
          <w:sz w:val="20"/>
          <w:szCs w:val="20"/>
          <w:lang w:val="es-CR"/>
        </w:rPr>
        <w:t>iii</w:t>
      </w:r>
      <w:proofErr w:type="spellEnd"/>
      <w:r w:rsidR="005C39A2" w:rsidRPr="00764430">
        <w:rPr>
          <w:rFonts w:ascii="Verdana" w:hAnsi="Verdana" w:cs="Times New Roman"/>
          <w:color w:val="000000"/>
          <w:sz w:val="20"/>
          <w:szCs w:val="20"/>
          <w:lang w:val="es-CR"/>
        </w:rPr>
        <w:t xml:space="preserve">) el cambio abrupto en la modalidad de declaración de las violaciones en los puntos resolutivos. </w:t>
      </w:r>
    </w:p>
    <w:p w14:paraId="07916B79" w14:textId="77777777" w:rsidR="00DB04F5" w:rsidRPr="00764430" w:rsidRDefault="00DB04F5" w:rsidP="00764430">
      <w:pPr>
        <w:pStyle w:val="Prrafodelista"/>
        <w:spacing w:after="0" w:line="240" w:lineRule="auto"/>
        <w:ind w:left="0"/>
        <w:jc w:val="both"/>
        <w:rPr>
          <w:rFonts w:ascii="Verdana" w:hAnsi="Verdana" w:cs="Times New Roman"/>
          <w:color w:val="000000"/>
          <w:sz w:val="20"/>
          <w:szCs w:val="20"/>
          <w:lang w:val="es-CR"/>
        </w:rPr>
      </w:pPr>
    </w:p>
    <w:p w14:paraId="4DB2117B" w14:textId="2847F817" w:rsidR="00661E38" w:rsidRPr="00764430" w:rsidRDefault="00D052D9" w:rsidP="00764430">
      <w:pPr>
        <w:autoSpaceDE w:val="0"/>
        <w:autoSpaceDN w:val="0"/>
        <w:adjustRightInd w:val="0"/>
        <w:spacing w:after="0" w:line="240" w:lineRule="auto"/>
        <w:jc w:val="both"/>
        <w:rPr>
          <w:rFonts w:ascii="Verdana" w:hAnsi="Verdana" w:cs="Times New Roman"/>
          <w:b/>
          <w:color w:val="000000"/>
          <w:sz w:val="20"/>
          <w:szCs w:val="20"/>
          <w:lang w:val="es-CR"/>
        </w:rPr>
      </w:pPr>
      <w:r w:rsidRPr="00764430">
        <w:rPr>
          <w:rFonts w:ascii="Verdana" w:hAnsi="Verdana" w:cs="Times New Roman"/>
          <w:b/>
          <w:color w:val="000000"/>
          <w:sz w:val="20"/>
          <w:szCs w:val="20"/>
        </w:rPr>
        <w:t xml:space="preserve">II. </w:t>
      </w:r>
      <w:r w:rsidR="00661E38" w:rsidRPr="00764430">
        <w:rPr>
          <w:rFonts w:ascii="Verdana" w:hAnsi="Verdana" w:cs="Times New Roman"/>
          <w:b/>
          <w:color w:val="000000"/>
          <w:sz w:val="20"/>
          <w:szCs w:val="20"/>
        </w:rPr>
        <w:t xml:space="preserve">Naturaleza prestacional del derecho a la salud </w:t>
      </w:r>
    </w:p>
    <w:p w14:paraId="656C1D50" w14:textId="77777777" w:rsidR="00DB04F5" w:rsidRPr="00764430" w:rsidRDefault="00DB04F5" w:rsidP="00764430">
      <w:pPr>
        <w:autoSpaceDE w:val="0"/>
        <w:autoSpaceDN w:val="0"/>
        <w:adjustRightInd w:val="0"/>
        <w:spacing w:after="0" w:line="240" w:lineRule="auto"/>
        <w:jc w:val="both"/>
        <w:rPr>
          <w:rFonts w:ascii="Verdana" w:hAnsi="Verdana" w:cs="Times New Roman"/>
          <w:b/>
          <w:color w:val="000000"/>
          <w:sz w:val="20"/>
          <w:szCs w:val="20"/>
          <w:lang w:val="es-CR"/>
        </w:rPr>
      </w:pPr>
    </w:p>
    <w:p w14:paraId="135D4C84" w14:textId="0990307F" w:rsidR="00DB04F5" w:rsidRPr="00764430" w:rsidRDefault="00E564F8" w:rsidP="00764430">
      <w:pPr>
        <w:pStyle w:val="Prrafodelista"/>
        <w:numPr>
          <w:ilvl w:val="0"/>
          <w:numId w:val="9"/>
        </w:numPr>
        <w:autoSpaceDE w:val="0"/>
        <w:autoSpaceDN w:val="0"/>
        <w:adjustRightInd w:val="0"/>
        <w:spacing w:after="0" w:line="240" w:lineRule="auto"/>
        <w:ind w:left="0" w:firstLine="0"/>
        <w:jc w:val="both"/>
        <w:rPr>
          <w:rFonts w:ascii="Verdana" w:eastAsia="Verdana" w:hAnsi="Verdana"/>
          <w:bCs/>
          <w:sz w:val="20"/>
          <w:szCs w:val="20"/>
          <w:lang w:val="es-CR" w:eastAsia="x-none"/>
        </w:rPr>
      </w:pPr>
      <w:r w:rsidRPr="00764430">
        <w:rPr>
          <w:rFonts w:ascii="Verdana" w:eastAsia="Verdana" w:hAnsi="Verdana"/>
          <w:bCs/>
          <w:sz w:val="20"/>
          <w:szCs w:val="20"/>
          <w:lang w:val="es-CR" w:eastAsia="x-none"/>
        </w:rPr>
        <w:t xml:space="preserve">En la Sentencia, el principal problema jurídico identificado por la Corte es el alcance </w:t>
      </w:r>
      <w:r w:rsidR="00661E38" w:rsidRPr="00764430">
        <w:rPr>
          <w:rFonts w:ascii="Verdana" w:eastAsia="Verdana" w:hAnsi="Verdana"/>
          <w:bCs/>
          <w:sz w:val="20"/>
          <w:szCs w:val="20"/>
          <w:lang w:val="es-CR" w:eastAsia="x-none"/>
        </w:rPr>
        <w:t xml:space="preserve">del derecho a la salud como un derecho autónomo que deriva del artículo 26 de la Convención Americana. </w:t>
      </w:r>
      <w:r w:rsidRPr="00764430">
        <w:rPr>
          <w:rFonts w:ascii="Verdana" w:eastAsia="Verdana" w:hAnsi="Verdana"/>
          <w:bCs/>
          <w:sz w:val="20"/>
          <w:szCs w:val="20"/>
          <w:lang w:val="es-CR" w:eastAsia="x-none"/>
        </w:rPr>
        <w:t xml:space="preserve">Como lo he </w:t>
      </w:r>
      <w:r w:rsidR="00661E38" w:rsidRPr="00764430">
        <w:rPr>
          <w:rFonts w:ascii="Verdana" w:eastAsia="Verdana" w:hAnsi="Verdana"/>
          <w:bCs/>
          <w:sz w:val="20"/>
          <w:szCs w:val="20"/>
          <w:lang w:val="es-CR" w:eastAsia="x-none"/>
        </w:rPr>
        <w:t>e</w:t>
      </w:r>
      <w:r w:rsidRPr="00764430">
        <w:rPr>
          <w:rFonts w:ascii="Verdana" w:eastAsia="Verdana" w:hAnsi="Verdana"/>
          <w:bCs/>
          <w:sz w:val="20"/>
          <w:szCs w:val="20"/>
          <w:lang w:val="es-CR" w:eastAsia="x-none"/>
        </w:rPr>
        <w:t>xpresado en los votos antes mencionados</w:t>
      </w:r>
      <w:r w:rsidR="00661E38" w:rsidRPr="00764430">
        <w:rPr>
          <w:rFonts w:ascii="Verdana" w:eastAsia="Verdana" w:hAnsi="Verdana"/>
          <w:bCs/>
          <w:sz w:val="20"/>
          <w:szCs w:val="20"/>
          <w:lang w:val="es-CR" w:eastAsia="x-none"/>
        </w:rPr>
        <w:t xml:space="preserve">, </w:t>
      </w:r>
      <w:r w:rsidRPr="00764430">
        <w:rPr>
          <w:rFonts w:ascii="Verdana" w:eastAsia="Verdana" w:hAnsi="Verdana"/>
          <w:bCs/>
          <w:sz w:val="20"/>
          <w:szCs w:val="20"/>
          <w:lang w:val="es-CR" w:eastAsia="x-none"/>
        </w:rPr>
        <w:t xml:space="preserve">el razonamiento adoptado por el Tribunal a partir del caso </w:t>
      </w:r>
      <w:r w:rsidRPr="00764430">
        <w:rPr>
          <w:rFonts w:ascii="Verdana" w:eastAsia="Verdana" w:hAnsi="Verdana"/>
          <w:bCs/>
          <w:i/>
          <w:sz w:val="20"/>
          <w:szCs w:val="20"/>
          <w:lang w:val="es-CR" w:eastAsia="x-none"/>
        </w:rPr>
        <w:t>Lagos del Campo Vs. Perú</w:t>
      </w:r>
      <w:r w:rsidRPr="00764430">
        <w:rPr>
          <w:rFonts w:ascii="Verdana" w:eastAsia="Verdana" w:hAnsi="Verdana"/>
          <w:bCs/>
          <w:sz w:val="20"/>
          <w:szCs w:val="20"/>
          <w:lang w:val="es-CR" w:eastAsia="x-none"/>
        </w:rPr>
        <w:t xml:space="preserve">, según el cual los </w:t>
      </w:r>
      <w:r w:rsidR="00661E38" w:rsidRPr="00764430">
        <w:rPr>
          <w:rFonts w:ascii="Verdana" w:eastAsia="Verdana" w:hAnsi="Verdana"/>
          <w:bCs/>
          <w:sz w:val="20"/>
          <w:szCs w:val="20"/>
          <w:lang w:val="es-CR" w:eastAsia="x-none"/>
        </w:rPr>
        <w:t>derechos económicos, sociales, culturales y ambientales (</w:t>
      </w:r>
      <w:r w:rsidRPr="00764430">
        <w:rPr>
          <w:rFonts w:ascii="Verdana" w:eastAsia="Verdana" w:hAnsi="Verdana"/>
          <w:bCs/>
          <w:sz w:val="20"/>
          <w:szCs w:val="20"/>
          <w:lang w:val="es-CR" w:eastAsia="x-none"/>
        </w:rPr>
        <w:t>en lo adelante “</w:t>
      </w:r>
      <w:r w:rsidR="00661E38" w:rsidRPr="00764430">
        <w:rPr>
          <w:rFonts w:ascii="Verdana" w:eastAsia="Verdana" w:hAnsi="Verdana"/>
          <w:bCs/>
          <w:sz w:val="20"/>
          <w:szCs w:val="20"/>
          <w:lang w:val="es-CR" w:eastAsia="x-none"/>
        </w:rPr>
        <w:t>DESCA</w:t>
      </w:r>
      <w:r w:rsidRPr="00764430">
        <w:rPr>
          <w:rFonts w:ascii="Verdana" w:eastAsia="Verdana" w:hAnsi="Verdana"/>
          <w:bCs/>
          <w:sz w:val="20"/>
          <w:szCs w:val="20"/>
          <w:lang w:val="es-CR" w:eastAsia="x-none"/>
        </w:rPr>
        <w:t>”</w:t>
      </w:r>
      <w:r w:rsidR="00661E38" w:rsidRPr="00764430">
        <w:rPr>
          <w:rFonts w:ascii="Verdana" w:eastAsia="Verdana" w:hAnsi="Verdana"/>
          <w:bCs/>
          <w:sz w:val="20"/>
          <w:szCs w:val="20"/>
          <w:lang w:val="es-CR" w:eastAsia="x-none"/>
        </w:rPr>
        <w:t xml:space="preserve">) son </w:t>
      </w:r>
      <w:r w:rsidRPr="00764430">
        <w:rPr>
          <w:rFonts w:ascii="Verdana" w:eastAsia="Verdana" w:hAnsi="Verdana"/>
          <w:bCs/>
          <w:sz w:val="20"/>
          <w:szCs w:val="20"/>
          <w:lang w:val="es-CR" w:eastAsia="x-none"/>
        </w:rPr>
        <w:t xml:space="preserve">directamente </w:t>
      </w:r>
      <w:r w:rsidR="00661E38" w:rsidRPr="00764430">
        <w:rPr>
          <w:rFonts w:ascii="Verdana" w:eastAsia="Verdana" w:hAnsi="Verdana"/>
          <w:bCs/>
          <w:sz w:val="20"/>
          <w:szCs w:val="20"/>
          <w:lang w:val="es-CR" w:eastAsia="x-none"/>
        </w:rPr>
        <w:t>justiciables por la vía de peticiones individuales</w:t>
      </w:r>
      <w:r w:rsidRPr="00764430">
        <w:rPr>
          <w:rFonts w:ascii="Verdana" w:eastAsia="Verdana" w:hAnsi="Verdana"/>
          <w:bCs/>
          <w:sz w:val="20"/>
          <w:szCs w:val="20"/>
          <w:lang w:val="es-CR" w:eastAsia="x-none"/>
        </w:rPr>
        <w:t>,</w:t>
      </w:r>
      <w:r w:rsidR="00661E38" w:rsidRPr="00764430">
        <w:rPr>
          <w:rFonts w:ascii="Verdana" w:eastAsia="Verdana" w:hAnsi="Verdana"/>
          <w:bCs/>
          <w:sz w:val="20"/>
          <w:szCs w:val="20"/>
          <w:lang w:val="es-CR" w:eastAsia="x-none"/>
        </w:rPr>
        <w:t xml:space="preserve"> carece de sustento normativo</w:t>
      </w:r>
      <w:r w:rsidRPr="00764430">
        <w:rPr>
          <w:rFonts w:ascii="Verdana" w:eastAsia="Verdana" w:hAnsi="Verdana"/>
          <w:bCs/>
          <w:sz w:val="20"/>
          <w:szCs w:val="20"/>
          <w:lang w:val="es-CR" w:eastAsia="x-none"/>
        </w:rPr>
        <w:t xml:space="preserve"> porque no se incluye dentro de las competencias expresamente otorgadas al Tribunal tanto por la Convención Americana como por el </w:t>
      </w:r>
      <w:r w:rsidR="001F27B0" w:rsidRPr="00764430">
        <w:rPr>
          <w:rFonts w:ascii="Verdana" w:eastAsia="Verdana" w:hAnsi="Verdana"/>
          <w:bCs/>
          <w:sz w:val="20"/>
          <w:szCs w:val="20"/>
          <w:lang w:val="es-CR" w:eastAsia="x-none"/>
        </w:rPr>
        <w:t xml:space="preserve">artículo 19.6 del </w:t>
      </w:r>
      <w:r w:rsidRPr="00764430">
        <w:rPr>
          <w:rFonts w:ascii="Verdana" w:eastAsia="Verdana" w:hAnsi="Verdana"/>
          <w:bCs/>
          <w:sz w:val="20"/>
          <w:szCs w:val="20"/>
          <w:lang w:val="es-CR" w:eastAsia="x-none"/>
        </w:rPr>
        <w:t>Protocolo Adicional a la Convención Americana sobre Derechos Humanos en materia de Derechos Económicos, Sociales y Culturales (</w:t>
      </w:r>
      <w:r w:rsidR="00EA2929" w:rsidRPr="00764430">
        <w:rPr>
          <w:rFonts w:ascii="Verdana" w:eastAsia="Verdana" w:hAnsi="Verdana"/>
          <w:bCs/>
          <w:sz w:val="20"/>
          <w:szCs w:val="20"/>
          <w:lang w:val="es-CR" w:eastAsia="x-none"/>
        </w:rPr>
        <w:t>en lo adelante “</w:t>
      </w:r>
      <w:r w:rsidRPr="00764430">
        <w:rPr>
          <w:rFonts w:ascii="Verdana" w:eastAsia="Verdana" w:hAnsi="Verdana"/>
          <w:bCs/>
          <w:sz w:val="20"/>
          <w:szCs w:val="20"/>
          <w:lang w:val="es-CR" w:eastAsia="x-none"/>
        </w:rPr>
        <w:t>Protocolo de San Salvador</w:t>
      </w:r>
      <w:r w:rsidR="00EA2929" w:rsidRPr="00764430">
        <w:rPr>
          <w:rFonts w:ascii="Verdana" w:eastAsia="Verdana" w:hAnsi="Verdana"/>
          <w:bCs/>
          <w:sz w:val="20"/>
          <w:szCs w:val="20"/>
          <w:lang w:val="es-CR" w:eastAsia="x-none"/>
        </w:rPr>
        <w:t>”</w:t>
      </w:r>
      <w:r w:rsidRPr="00764430">
        <w:rPr>
          <w:rFonts w:ascii="Verdana" w:eastAsia="Verdana" w:hAnsi="Verdana"/>
          <w:bCs/>
          <w:sz w:val="20"/>
          <w:szCs w:val="20"/>
          <w:lang w:val="es-CR" w:eastAsia="x-none"/>
        </w:rPr>
        <w:t>)</w:t>
      </w:r>
      <w:r w:rsidR="001F27B0" w:rsidRPr="00764430">
        <w:rPr>
          <w:rFonts w:ascii="Verdana" w:eastAsia="Verdana" w:hAnsi="Verdana"/>
          <w:bCs/>
          <w:sz w:val="20"/>
          <w:szCs w:val="20"/>
          <w:lang w:val="es-CR" w:eastAsia="x-none"/>
        </w:rPr>
        <w:t>, interpretados</w:t>
      </w:r>
      <w:r w:rsidR="00661E38" w:rsidRPr="00764430">
        <w:rPr>
          <w:rFonts w:ascii="Verdana" w:eastAsia="Verdana" w:hAnsi="Verdana"/>
          <w:bCs/>
          <w:sz w:val="20"/>
          <w:szCs w:val="20"/>
          <w:lang w:val="es-CR" w:eastAsia="x-none"/>
        </w:rPr>
        <w:t xml:space="preserve"> a la luz de los artículos 30 y 31 de la Convención de Viena sobre el Derecho de los Tratados</w:t>
      </w:r>
      <w:r w:rsidR="00DB04F5" w:rsidRPr="00764430">
        <w:rPr>
          <w:rFonts w:ascii="Verdana" w:eastAsia="Verdana" w:hAnsi="Verdana"/>
          <w:bCs/>
          <w:sz w:val="20"/>
          <w:szCs w:val="20"/>
          <w:lang w:val="es-CR" w:eastAsia="x-none"/>
        </w:rPr>
        <w:t>.</w:t>
      </w:r>
    </w:p>
    <w:p w14:paraId="7BA11CA0" w14:textId="77777777" w:rsidR="00DB04F5" w:rsidRPr="00764430" w:rsidRDefault="00DB04F5" w:rsidP="00764430">
      <w:pPr>
        <w:pStyle w:val="Prrafodelista"/>
        <w:autoSpaceDE w:val="0"/>
        <w:autoSpaceDN w:val="0"/>
        <w:adjustRightInd w:val="0"/>
        <w:spacing w:after="0" w:line="240" w:lineRule="auto"/>
        <w:ind w:left="0"/>
        <w:jc w:val="both"/>
        <w:rPr>
          <w:rFonts w:ascii="Verdana" w:eastAsia="Verdana" w:hAnsi="Verdana"/>
          <w:bCs/>
          <w:sz w:val="20"/>
          <w:szCs w:val="20"/>
          <w:lang w:val="es-CR" w:eastAsia="x-none"/>
        </w:rPr>
      </w:pPr>
    </w:p>
    <w:p w14:paraId="471CE915" w14:textId="6853CB80" w:rsidR="00DB04F5" w:rsidRPr="00764430" w:rsidRDefault="001F27B0" w:rsidP="00764430">
      <w:pPr>
        <w:pStyle w:val="Prrafodelista"/>
        <w:numPr>
          <w:ilvl w:val="0"/>
          <w:numId w:val="9"/>
        </w:numPr>
        <w:autoSpaceDE w:val="0"/>
        <w:autoSpaceDN w:val="0"/>
        <w:adjustRightInd w:val="0"/>
        <w:spacing w:after="0" w:line="240" w:lineRule="auto"/>
        <w:ind w:left="0" w:firstLine="0"/>
        <w:jc w:val="both"/>
        <w:rPr>
          <w:rFonts w:ascii="Verdana" w:eastAsia="Verdana" w:hAnsi="Verdana"/>
          <w:bCs/>
          <w:sz w:val="20"/>
          <w:szCs w:val="20"/>
          <w:lang w:val="es-CR" w:eastAsia="x-none"/>
        </w:rPr>
      </w:pPr>
      <w:r w:rsidRPr="00764430">
        <w:rPr>
          <w:rFonts w:ascii="Verdana" w:eastAsia="Verdana" w:hAnsi="Verdana"/>
          <w:bCs/>
          <w:sz w:val="20"/>
          <w:szCs w:val="20"/>
          <w:lang w:val="es-CR" w:eastAsia="x-none"/>
        </w:rPr>
        <w:t>Además de los límites claramente definidos en los referidos tratados respecto a la competencia contenciosa de la Corte en materia de DESCA</w:t>
      </w:r>
      <w:r w:rsidR="00661E38" w:rsidRPr="00764430">
        <w:rPr>
          <w:rFonts w:ascii="Verdana" w:eastAsia="Verdana" w:hAnsi="Verdana"/>
          <w:bCs/>
          <w:sz w:val="20"/>
          <w:szCs w:val="20"/>
          <w:lang w:val="es-CR" w:eastAsia="x-none"/>
        </w:rPr>
        <w:t xml:space="preserve">, </w:t>
      </w:r>
      <w:r w:rsidRPr="00764430">
        <w:rPr>
          <w:rFonts w:ascii="Verdana" w:eastAsia="Verdana" w:hAnsi="Verdana"/>
          <w:bCs/>
          <w:sz w:val="20"/>
          <w:szCs w:val="20"/>
          <w:lang w:val="es-CR" w:eastAsia="x-none"/>
        </w:rPr>
        <w:t>en primer lugar, es necesario señalar que, contrario lo razonado por la Corte en la Sentencia,</w:t>
      </w:r>
      <w:r w:rsidR="00DB04F5" w:rsidRPr="00764430">
        <w:rPr>
          <w:rFonts w:ascii="Verdana" w:eastAsia="Verdana" w:hAnsi="Verdana"/>
          <w:bCs/>
          <w:sz w:val="20"/>
          <w:szCs w:val="20"/>
          <w:lang w:val="es-CR" w:eastAsia="x-none"/>
        </w:rPr>
        <w:t xml:space="preserve"> y que fue propuesto desde el caso </w:t>
      </w:r>
      <w:r w:rsidR="00DB04F5" w:rsidRPr="00764430">
        <w:rPr>
          <w:rFonts w:ascii="Verdana" w:eastAsia="Verdana" w:hAnsi="Verdana"/>
          <w:bCs/>
          <w:i/>
          <w:sz w:val="20"/>
          <w:szCs w:val="20"/>
          <w:lang w:val="es-CR" w:eastAsia="x-none"/>
        </w:rPr>
        <w:t xml:space="preserve">Poblete Vilches </w:t>
      </w:r>
      <w:r w:rsidR="00DB04F5" w:rsidRPr="00764430">
        <w:rPr>
          <w:rFonts w:ascii="Verdana" w:eastAsia="Verdana" w:hAnsi="Verdana"/>
          <w:bCs/>
          <w:sz w:val="20"/>
          <w:szCs w:val="20"/>
          <w:lang w:val="es-CR" w:eastAsia="x-none"/>
        </w:rPr>
        <w:t xml:space="preserve">y </w:t>
      </w:r>
      <w:proofErr w:type="spellStart"/>
      <w:r w:rsidR="00DB04F5" w:rsidRPr="00764430">
        <w:rPr>
          <w:rFonts w:ascii="Verdana" w:eastAsia="Verdana" w:hAnsi="Verdana"/>
          <w:bCs/>
          <w:i/>
          <w:sz w:val="20"/>
          <w:szCs w:val="20"/>
          <w:lang w:val="es-CR" w:eastAsia="x-none"/>
        </w:rPr>
        <w:t>Cuscul</w:t>
      </w:r>
      <w:proofErr w:type="spellEnd"/>
      <w:r w:rsidR="00DB04F5" w:rsidRPr="00764430">
        <w:rPr>
          <w:rFonts w:ascii="Verdana" w:eastAsia="Verdana" w:hAnsi="Verdana"/>
          <w:bCs/>
          <w:i/>
          <w:sz w:val="20"/>
          <w:szCs w:val="20"/>
          <w:lang w:val="es-CR" w:eastAsia="x-none"/>
        </w:rPr>
        <w:t xml:space="preserve"> Pivaral y otros</w:t>
      </w:r>
      <w:r w:rsidR="00DB04F5" w:rsidRPr="00764430">
        <w:rPr>
          <w:rFonts w:ascii="Verdana" w:eastAsia="Verdana" w:hAnsi="Verdana"/>
          <w:bCs/>
          <w:sz w:val="20"/>
          <w:szCs w:val="20"/>
          <w:lang w:val="es-CR" w:eastAsia="x-none"/>
        </w:rPr>
        <w:t>,</w:t>
      </w:r>
      <w:r w:rsidRPr="00764430">
        <w:rPr>
          <w:rFonts w:ascii="Verdana" w:eastAsia="Verdana" w:hAnsi="Verdana"/>
          <w:bCs/>
          <w:sz w:val="20"/>
          <w:szCs w:val="20"/>
          <w:lang w:val="es-CR" w:eastAsia="x-none"/>
        </w:rPr>
        <w:t xml:space="preserve"> </w:t>
      </w:r>
      <w:r w:rsidR="00B5615D" w:rsidRPr="00764430">
        <w:rPr>
          <w:rFonts w:ascii="Verdana" w:eastAsia="Verdana" w:hAnsi="Verdana"/>
          <w:bCs/>
          <w:sz w:val="20"/>
          <w:szCs w:val="20"/>
          <w:lang w:val="es-CR" w:eastAsia="x-none"/>
        </w:rPr>
        <w:t>no es cierto que los artículos 34.i, 34.l y 45.h de la Carta de la Organización de los Estados Americanos (en lo adelante “Carta de la OEA) contemplen una referencia “con suficiente grado de especificidad” a la salud como para derivar la existencia de un derecho concreto. Tales disposiciones</w:t>
      </w:r>
      <w:r w:rsidR="00661E38" w:rsidRPr="00764430">
        <w:rPr>
          <w:rFonts w:ascii="Verdana" w:eastAsia="Verdana" w:hAnsi="Verdana"/>
          <w:bCs/>
          <w:sz w:val="20"/>
          <w:szCs w:val="20"/>
          <w:lang w:val="es-CR" w:eastAsia="x-none"/>
        </w:rPr>
        <w:t xml:space="preserve"> ni siquiera hacen mención general de un concepto </w:t>
      </w:r>
      <w:r w:rsidR="00B5615D" w:rsidRPr="00764430">
        <w:rPr>
          <w:rFonts w:ascii="Verdana" w:eastAsia="Verdana" w:hAnsi="Verdana"/>
          <w:bCs/>
          <w:sz w:val="20"/>
          <w:szCs w:val="20"/>
          <w:lang w:val="es-CR" w:eastAsia="x-none"/>
        </w:rPr>
        <w:t xml:space="preserve">que pueda asimilarse a </w:t>
      </w:r>
      <w:r w:rsidR="00661E38" w:rsidRPr="00764430">
        <w:rPr>
          <w:rFonts w:ascii="Verdana" w:eastAsia="Verdana" w:hAnsi="Verdana"/>
          <w:bCs/>
          <w:sz w:val="20"/>
          <w:szCs w:val="20"/>
          <w:lang w:val="es-CR" w:eastAsia="x-none"/>
        </w:rPr>
        <w:t xml:space="preserve">un derecho individual, sino simples declaraciones genéricas </w:t>
      </w:r>
      <w:r w:rsidR="00B5615D" w:rsidRPr="00764430">
        <w:rPr>
          <w:rFonts w:ascii="Verdana" w:eastAsia="Verdana" w:hAnsi="Verdana"/>
          <w:bCs/>
          <w:sz w:val="20"/>
          <w:szCs w:val="20"/>
          <w:lang w:val="es-CR" w:eastAsia="x-none"/>
        </w:rPr>
        <w:t xml:space="preserve">sobre la </w:t>
      </w:r>
      <w:r w:rsidR="00661E38" w:rsidRPr="00764430">
        <w:rPr>
          <w:rFonts w:ascii="Verdana" w:eastAsia="Verdana" w:hAnsi="Verdana"/>
          <w:bCs/>
          <w:sz w:val="20"/>
          <w:szCs w:val="20"/>
          <w:lang w:val="es-CR" w:eastAsia="x-none"/>
        </w:rPr>
        <w:t>“[d]</w:t>
      </w:r>
      <w:proofErr w:type="spellStart"/>
      <w:r w:rsidR="00661E38" w:rsidRPr="00764430">
        <w:rPr>
          <w:rFonts w:ascii="Verdana" w:eastAsia="Verdana" w:hAnsi="Verdana"/>
          <w:bCs/>
          <w:sz w:val="20"/>
          <w:szCs w:val="20"/>
          <w:lang w:val="es-CR" w:eastAsia="x-none"/>
        </w:rPr>
        <w:t>efensa</w:t>
      </w:r>
      <w:proofErr w:type="spellEnd"/>
      <w:r w:rsidR="00661E38" w:rsidRPr="00764430">
        <w:rPr>
          <w:rFonts w:ascii="Verdana" w:eastAsia="Verdana" w:hAnsi="Verdana"/>
          <w:bCs/>
          <w:sz w:val="20"/>
          <w:szCs w:val="20"/>
          <w:lang w:val="es-CR" w:eastAsia="x-none"/>
        </w:rPr>
        <w:t xml:space="preserve"> del potencial humano mediante la extensión y aplicación de los modernos conoc</w:t>
      </w:r>
      <w:r w:rsidR="00B5615D" w:rsidRPr="00764430">
        <w:rPr>
          <w:rFonts w:ascii="Verdana" w:eastAsia="Verdana" w:hAnsi="Verdana"/>
          <w:bCs/>
          <w:sz w:val="20"/>
          <w:szCs w:val="20"/>
          <w:lang w:val="es-CR" w:eastAsia="x-none"/>
        </w:rPr>
        <w:t>imientos de la ciencia médica”</w:t>
      </w:r>
      <w:r w:rsidR="00B5615D" w:rsidRPr="00764430">
        <w:rPr>
          <w:rStyle w:val="Refdenotaalpie"/>
          <w:rFonts w:eastAsia="Verdana"/>
          <w:bCs/>
          <w:lang w:val="es-CR" w:eastAsia="x-none"/>
        </w:rPr>
        <w:footnoteReference w:id="10"/>
      </w:r>
      <w:r w:rsidR="00B5615D" w:rsidRPr="00764430">
        <w:rPr>
          <w:rFonts w:ascii="Verdana" w:eastAsia="Verdana" w:hAnsi="Verdana"/>
          <w:bCs/>
          <w:sz w:val="20"/>
          <w:szCs w:val="20"/>
          <w:lang w:val="es-CR" w:eastAsia="x-none"/>
        </w:rPr>
        <w:t xml:space="preserve">, y las </w:t>
      </w:r>
      <w:r w:rsidR="00661E38" w:rsidRPr="00764430">
        <w:rPr>
          <w:rFonts w:ascii="Verdana" w:eastAsia="Verdana" w:hAnsi="Verdana"/>
          <w:bCs/>
          <w:sz w:val="20"/>
          <w:szCs w:val="20"/>
          <w:lang w:val="es-CR" w:eastAsia="x-none"/>
        </w:rPr>
        <w:t>“[c]</w:t>
      </w:r>
      <w:proofErr w:type="spellStart"/>
      <w:r w:rsidR="00661E38" w:rsidRPr="00764430">
        <w:rPr>
          <w:rFonts w:ascii="Verdana" w:eastAsia="Verdana" w:hAnsi="Verdana"/>
          <w:bCs/>
          <w:sz w:val="20"/>
          <w:szCs w:val="20"/>
          <w:lang w:val="es-CR" w:eastAsia="x-none"/>
        </w:rPr>
        <w:t>ondiciones</w:t>
      </w:r>
      <w:proofErr w:type="spellEnd"/>
      <w:r w:rsidR="00661E38" w:rsidRPr="00764430">
        <w:rPr>
          <w:rFonts w:ascii="Verdana" w:eastAsia="Verdana" w:hAnsi="Verdana"/>
          <w:bCs/>
          <w:sz w:val="20"/>
          <w:szCs w:val="20"/>
          <w:lang w:val="es-CR" w:eastAsia="x-none"/>
        </w:rPr>
        <w:t xml:space="preserve"> que hagan posible una vida sana, productiva y digna”</w:t>
      </w:r>
      <w:r w:rsidR="00B5615D" w:rsidRPr="00764430">
        <w:rPr>
          <w:rStyle w:val="Refdenotaalpie"/>
          <w:rFonts w:eastAsia="Verdana"/>
          <w:bCs/>
          <w:lang w:val="es-CR" w:eastAsia="x-none"/>
        </w:rPr>
        <w:footnoteReference w:id="11"/>
      </w:r>
      <w:r w:rsidR="00661E38" w:rsidRPr="00764430">
        <w:rPr>
          <w:rFonts w:ascii="Verdana" w:eastAsia="Verdana" w:hAnsi="Verdana"/>
          <w:bCs/>
          <w:sz w:val="20"/>
          <w:szCs w:val="20"/>
          <w:lang w:val="es-CR" w:eastAsia="x-none"/>
        </w:rPr>
        <w:t xml:space="preserve">. </w:t>
      </w:r>
      <w:r w:rsidR="00D052D9" w:rsidRPr="00764430">
        <w:rPr>
          <w:rFonts w:ascii="Verdana" w:eastAsia="Verdana" w:hAnsi="Verdana"/>
          <w:bCs/>
          <w:sz w:val="20"/>
          <w:szCs w:val="20"/>
          <w:lang w:val="es-CR" w:eastAsia="x-none"/>
        </w:rPr>
        <w:t>Esto no significa que no exista un derecho a la salud reconocido en el ámbito internacional, pues el propio Protocolo de San Salvador lo prevé en su artículo 10, sino que no es posible “derivar” ese derecho de la Carta de la OEA.</w:t>
      </w:r>
    </w:p>
    <w:p w14:paraId="77DA8DD6" w14:textId="77777777" w:rsidR="00DB04F5" w:rsidRPr="00764430" w:rsidRDefault="00DB04F5" w:rsidP="00764430">
      <w:pPr>
        <w:pStyle w:val="Prrafodelista"/>
        <w:rPr>
          <w:rFonts w:ascii="Verdana" w:eastAsia="Verdana" w:hAnsi="Verdana"/>
          <w:bCs/>
          <w:sz w:val="20"/>
          <w:szCs w:val="20"/>
          <w:lang w:val="es-CR" w:eastAsia="x-none"/>
        </w:rPr>
      </w:pPr>
    </w:p>
    <w:p w14:paraId="041724E0" w14:textId="3A8F334F" w:rsidR="00F92EDE" w:rsidRPr="00764430" w:rsidRDefault="00661E38" w:rsidP="00764430">
      <w:pPr>
        <w:pStyle w:val="Prrafodelista"/>
        <w:numPr>
          <w:ilvl w:val="0"/>
          <w:numId w:val="9"/>
        </w:numPr>
        <w:autoSpaceDE w:val="0"/>
        <w:autoSpaceDN w:val="0"/>
        <w:adjustRightInd w:val="0"/>
        <w:spacing w:after="0" w:line="240" w:lineRule="auto"/>
        <w:ind w:left="0" w:firstLine="0"/>
        <w:jc w:val="both"/>
        <w:rPr>
          <w:rFonts w:ascii="Verdana" w:eastAsia="Verdana" w:hAnsi="Verdana"/>
          <w:bCs/>
          <w:sz w:val="20"/>
          <w:szCs w:val="20"/>
          <w:lang w:val="es-CR" w:eastAsia="x-none"/>
        </w:rPr>
      </w:pPr>
      <w:r w:rsidRPr="00764430">
        <w:rPr>
          <w:rFonts w:ascii="Verdana" w:eastAsia="Verdana" w:hAnsi="Verdana"/>
          <w:bCs/>
          <w:sz w:val="20"/>
          <w:szCs w:val="20"/>
          <w:lang w:val="es-CR" w:eastAsia="x-none"/>
        </w:rPr>
        <w:t xml:space="preserve">En segundo lugar, </w:t>
      </w:r>
      <w:r w:rsidR="00E921AE" w:rsidRPr="00764430">
        <w:rPr>
          <w:rFonts w:ascii="Verdana" w:eastAsia="Verdana" w:hAnsi="Verdana"/>
          <w:bCs/>
          <w:sz w:val="20"/>
          <w:szCs w:val="20"/>
          <w:lang w:val="es-CR" w:eastAsia="x-none"/>
        </w:rPr>
        <w:t>me parece</w:t>
      </w:r>
      <w:r w:rsidR="00DB04F5" w:rsidRPr="00764430">
        <w:rPr>
          <w:rFonts w:ascii="Verdana" w:eastAsia="Verdana" w:hAnsi="Verdana"/>
          <w:bCs/>
          <w:sz w:val="20"/>
          <w:szCs w:val="20"/>
          <w:lang w:val="es-CR" w:eastAsia="x-none"/>
        </w:rPr>
        <w:t xml:space="preserve"> igualmente</w:t>
      </w:r>
      <w:r w:rsidRPr="00764430">
        <w:rPr>
          <w:rFonts w:ascii="Verdana" w:eastAsia="Verdana" w:hAnsi="Verdana"/>
          <w:bCs/>
          <w:sz w:val="20"/>
          <w:szCs w:val="20"/>
          <w:lang w:val="es-CR" w:eastAsia="x-none"/>
        </w:rPr>
        <w:t xml:space="preserve"> cuestionable </w:t>
      </w:r>
      <w:r w:rsidR="00EA2929" w:rsidRPr="00764430">
        <w:rPr>
          <w:rFonts w:ascii="Verdana" w:eastAsia="Verdana" w:hAnsi="Verdana"/>
          <w:bCs/>
          <w:sz w:val="20"/>
          <w:szCs w:val="20"/>
          <w:lang w:val="es-CR" w:eastAsia="x-none"/>
        </w:rPr>
        <w:t>el modo</w:t>
      </w:r>
      <w:r w:rsidRPr="00764430">
        <w:rPr>
          <w:rFonts w:ascii="Verdana" w:eastAsia="Verdana" w:hAnsi="Verdana"/>
          <w:bCs/>
          <w:sz w:val="20"/>
          <w:szCs w:val="20"/>
          <w:lang w:val="es-CR" w:eastAsia="x-none"/>
        </w:rPr>
        <w:t xml:space="preserve"> en que la Corte utiliza el artículo 2</w:t>
      </w:r>
      <w:r w:rsidR="00E921AE" w:rsidRPr="00764430">
        <w:rPr>
          <w:rFonts w:ascii="Verdana" w:eastAsia="Verdana" w:hAnsi="Verdana"/>
          <w:bCs/>
          <w:sz w:val="20"/>
          <w:szCs w:val="20"/>
          <w:lang w:val="es-CR" w:eastAsia="x-none"/>
        </w:rPr>
        <w:t>9 de la Convención para extender el alcance de su c</w:t>
      </w:r>
      <w:r w:rsidR="00EA2929" w:rsidRPr="00764430">
        <w:rPr>
          <w:rFonts w:ascii="Verdana" w:eastAsia="Verdana" w:hAnsi="Verdana"/>
          <w:bCs/>
          <w:sz w:val="20"/>
          <w:szCs w:val="20"/>
          <w:lang w:val="es-CR" w:eastAsia="x-none"/>
        </w:rPr>
        <w:t xml:space="preserve">ompetencia, </w:t>
      </w:r>
      <w:r w:rsidR="00E921AE" w:rsidRPr="00764430">
        <w:rPr>
          <w:rFonts w:ascii="Verdana" w:eastAsia="Verdana" w:hAnsi="Verdana"/>
          <w:bCs/>
          <w:sz w:val="20"/>
          <w:szCs w:val="20"/>
          <w:lang w:val="es-CR" w:eastAsia="x-none"/>
        </w:rPr>
        <w:t xml:space="preserve">particularmente </w:t>
      </w:r>
      <w:r w:rsidR="00EA2929" w:rsidRPr="00764430">
        <w:rPr>
          <w:rFonts w:ascii="Verdana" w:eastAsia="Verdana" w:hAnsi="Verdana"/>
          <w:bCs/>
          <w:sz w:val="20"/>
          <w:szCs w:val="20"/>
          <w:lang w:val="es-CR" w:eastAsia="x-none"/>
        </w:rPr>
        <w:t xml:space="preserve">en lo atinente a la </w:t>
      </w:r>
      <w:r w:rsidRPr="00764430">
        <w:rPr>
          <w:rFonts w:ascii="Verdana" w:eastAsia="Verdana" w:hAnsi="Verdana"/>
          <w:bCs/>
          <w:sz w:val="20"/>
          <w:szCs w:val="20"/>
          <w:lang w:val="es-CR" w:eastAsia="x-none"/>
        </w:rPr>
        <w:t xml:space="preserve">remisión al </w:t>
      </w:r>
      <w:r w:rsidRPr="00764430">
        <w:rPr>
          <w:rFonts w:ascii="Verdana" w:eastAsia="Verdana" w:hAnsi="Verdana"/>
          <w:bCs/>
          <w:i/>
          <w:sz w:val="20"/>
          <w:szCs w:val="20"/>
          <w:lang w:val="es-CR" w:eastAsia="x-none"/>
        </w:rPr>
        <w:t>corpus iuris</w:t>
      </w:r>
      <w:r w:rsidRPr="00764430">
        <w:rPr>
          <w:rFonts w:ascii="Verdana" w:eastAsia="Verdana" w:hAnsi="Verdana"/>
          <w:bCs/>
          <w:sz w:val="20"/>
          <w:szCs w:val="20"/>
          <w:lang w:val="es-CR" w:eastAsia="x-none"/>
        </w:rPr>
        <w:t xml:space="preserve"> internacional. </w:t>
      </w:r>
      <w:r w:rsidR="00EA2929" w:rsidRPr="00764430">
        <w:rPr>
          <w:rFonts w:ascii="Verdana" w:eastAsia="Verdana" w:hAnsi="Verdana"/>
          <w:bCs/>
          <w:sz w:val="20"/>
          <w:szCs w:val="20"/>
          <w:lang w:val="es-CR" w:eastAsia="x-none"/>
        </w:rPr>
        <w:t>Si bien en la Sentencia se señala que</w:t>
      </w:r>
      <w:r w:rsidRPr="00764430">
        <w:rPr>
          <w:rFonts w:ascii="Verdana" w:eastAsia="Verdana" w:hAnsi="Verdana"/>
          <w:bCs/>
          <w:sz w:val="20"/>
          <w:szCs w:val="20"/>
          <w:lang w:val="es-CR" w:eastAsia="x-none"/>
        </w:rPr>
        <w:t xml:space="preserve"> </w:t>
      </w:r>
      <w:r w:rsidR="00EA2929" w:rsidRPr="00764430">
        <w:rPr>
          <w:rFonts w:ascii="Verdana" w:eastAsia="Verdana" w:hAnsi="Verdana"/>
          <w:bCs/>
          <w:sz w:val="20"/>
          <w:szCs w:val="20"/>
          <w:lang w:val="es-CR" w:eastAsia="x-none"/>
        </w:rPr>
        <w:t xml:space="preserve">la normativa internacional “(…) </w:t>
      </w:r>
      <w:r w:rsidRPr="00764430">
        <w:rPr>
          <w:rFonts w:ascii="Verdana" w:eastAsia="Verdana" w:hAnsi="Verdana"/>
          <w:bCs/>
          <w:sz w:val="20"/>
          <w:szCs w:val="20"/>
          <w:lang w:val="es-CR" w:eastAsia="x-none"/>
        </w:rPr>
        <w:t>se utilizará en forma complementaria a la normativa conv</w:t>
      </w:r>
      <w:r w:rsidR="00EA2929" w:rsidRPr="00764430">
        <w:rPr>
          <w:rFonts w:ascii="Verdana" w:eastAsia="Verdana" w:hAnsi="Verdana"/>
          <w:bCs/>
          <w:sz w:val="20"/>
          <w:szCs w:val="20"/>
          <w:lang w:val="es-CR" w:eastAsia="x-none"/>
        </w:rPr>
        <w:t xml:space="preserve">encional” y que la Corte “(…) </w:t>
      </w:r>
      <w:r w:rsidRPr="00764430">
        <w:rPr>
          <w:rFonts w:ascii="Verdana" w:eastAsia="Verdana" w:hAnsi="Verdana"/>
          <w:bCs/>
          <w:sz w:val="20"/>
          <w:szCs w:val="20"/>
          <w:lang w:val="es-CR" w:eastAsia="x-none"/>
        </w:rPr>
        <w:t xml:space="preserve">no está asumiendo competencias sobre tratados en los que no la tiene, ni tampoco está otorgando </w:t>
      </w:r>
      <w:r w:rsidRPr="00764430">
        <w:rPr>
          <w:rFonts w:ascii="Verdana" w:eastAsia="Verdana" w:hAnsi="Verdana"/>
          <w:bCs/>
          <w:sz w:val="20"/>
          <w:szCs w:val="20"/>
          <w:lang w:val="es-CR" w:eastAsia="x-none"/>
        </w:rPr>
        <w:lastRenderedPageBreak/>
        <w:t>jerarquía convencional a normas contenidas en otros instrumentos nacionales o internacionales relacionados con los DESCA”, e</w:t>
      </w:r>
      <w:r w:rsidR="00002540" w:rsidRPr="00764430">
        <w:rPr>
          <w:rFonts w:ascii="Verdana" w:eastAsia="Verdana" w:hAnsi="Verdana"/>
          <w:bCs/>
          <w:sz w:val="20"/>
          <w:szCs w:val="20"/>
          <w:lang w:val="es-CR" w:eastAsia="x-none"/>
        </w:rPr>
        <w:t>n realidad lo que se hace es extrapolar las obligaciones allí contenidas al artículo 26 de la Convención para dotarlo de un contenido que expl</w:t>
      </w:r>
      <w:r w:rsidR="00704A7D" w:rsidRPr="00764430">
        <w:rPr>
          <w:rFonts w:ascii="Verdana" w:eastAsia="Verdana" w:hAnsi="Verdana"/>
          <w:bCs/>
          <w:sz w:val="20"/>
          <w:szCs w:val="20"/>
          <w:lang w:val="es-CR" w:eastAsia="x-none"/>
        </w:rPr>
        <w:t xml:space="preserve">ícitamente no dispone. Es decir, a partir de </w:t>
      </w:r>
      <w:r w:rsidR="00704A7D" w:rsidRPr="00764430">
        <w:rPr>
          <w:rFonts w:ascii="Verdana" w:eastAsia="Verdana" w:hAnsi="Verdana"/>
          <w:bCs/>
          <w:i/>
          <w:sz w:val="20"/>
          <w:szCs w:val="20"/>
          <w:lang w:val="es-CR" w:eastAsia="x-none"/>
        </w:rPr>
        <w:t>Lagos del Campo Vs. Perú</w:t>
      </w:r>
      <w:r w:rsidR="00704A7D" w:rsidRPr="00764430">
        <w:rPr>
          <w:rFonts w:ascii="Verdana" w:eastAsia="Verdana" w:hAnsi="Verdana"/>
          <w:bCs/>
          <w:sz w:val="20"/>
          <w:szCs w:val="20"/>
          <w:lang w:val="es-CR" w:eastAsia="x-none"/>
        </w:rPr>
        <w:t xml:space="preserve">, la Corte ha </w:t>
      </w:r>
      <w:r w:rsidR="00F92EDE" w:rsidRPr="00764430">
        <w:rPr>
          <w:rFonts w:ascii="Verdana" w:eastAsia="Verdana" w:hAnsi="Verdana"/>
          <w:bCs/>
          <w:sz w:val="20"/>
          <w:szCs w:val="20"/>
          <w:lang w:val="es-CR" w:eastAsia="x-none"/>
        </w:rPr>
        <w:t>pretendido utilizar</w:t>
      </w:r>
      <w:r w:rsidR="00704A7D" w:rsidRPr="00764430">
        <w:rPr>
          <w:rFonts w:ascii="Verdana" w:eastAsia="Verdana" w:hAnsi="Verdana"/>
          <w:bCs/>
          <w:sz w:val="20"/>
          <w:szCs w:val="20"/>
          <w:lang w:val="es-CR" w:eastAsia="x-none"/>
        </w:rPr>
        <w:t xml:space="preserve"> el artículo 26 como u</w:t>
      </w:r>
      <w:r w:rsidR="008D5C13" w:rsidRPr="00764430">
        <w:rPr>
          <w:rFonts w:ascii="Verdana" w:eastAsia="Verdana" w:hAnsi="Verdana"/>
          <w:bCs/>
          <w:sz w:val="20"/>
          <w:szCs w:val="20"/>
          <w:lang w:val="es-CR" w:eastAsia="x-none"/>
        </w:rPr>
        <w:t>na carta en blanco para trasponer a la Convención obligaciones consagradas en otros tratados respecto a los cuales el Tribunal carece expresamente de competencia.</w:t>
      </w:r>
    </w:p>
    <w:p w14:paraId="035FF784" w14:textId="77777777" w:rsidR="00F92EDE" w:rsidRPr="00764430" w:rsidRDefault="00F92EDE" w:rsidP="00764430">
      <w:pPr>
        <w:pStyle w:val="Prrafodelista"/>
        <w:rPr>
          <w:rFonts w:ascii="Verdana" w:eastAsia="Verdana" w:hAnsi="Verdana"/>
          <w:bCs/>
          <w:sz w:val="20"/>
          <w:szCs w:val="20"/>
          <w:lang w:val="es-CR" w:eastAsia="x-none"/>
        </w:rPr>
      </w:pPr>
    </w:p>
    <w:p w14:paraId="04FD72EA" w14:textId="78447A02" w:rsidR="00F92EDE" w:rsidRPr="00764430" w:rsidRDefault="00661E38" w:rsidP="00764430">
      <w:pPr>
        <w:pStyle w:val="Prrafodelista"/>
        <w:numPr>
          <w:ilvl w:val="0"/>
          <w:numId w:val="9"/>
        </w:numPr>
        <w:autoSpaceDE w:val="0"/>
        <w:autoSpaceDN w:val="0"/>
        <w:adjustRightInd w:val="0"/>
        <w:spacing w:after="0" w:line="240" w:lineRule="auto"/>
        <w:ind w:left="0" w:firstLine="0"/>
        <w:jc w:val="both"/>
        <w:rPr>
          <w:rFonts w:ascii="Verdana" w:eastAsia="Verdana" w:hAnsi="Verdana"/>
          <w:bCs/>
          <w:sz w:val="20"/>
          <w:szCs w:val="20"/>
          <w:lang w:val="es-CR" w:eastAsia="x-none"/>
        </w:rPr>
      </w:pPr>
      <w:r w:rsidRPr="00764430">
        <w:rPr>
          <w:rFonts w:ascii="Verdana" w:eastAsia="Verdana" w:hAnsi="Verdana"/>
          <w:bCs/>
          <w:sz w:val="20"/>
          <w:szCs w:val="20"/>
          <w:lang w:val="es-CR" w:eastAsia="x-none"/>
        </w:rPr>
        <w:t xml:space="preserve">De la misma manera, se </w:t>
      </w:r>
      <w:r w:rsidR="00002540" w:rsidRPr="00764430">
        <w:rPr>
          <w:rFonts w:ascii="Verdana" w:eastAsia="Verdana" w:hAnsi="Verdana"/>
          <w:bCs/>
          <w:sz w:val="20"/>
          <w:szCs w:val="20"/>
          <w:lang w:val="es-CR" w:eastAsia="x-none"/>
        </w:rPr>
        <w:t>recurre a</w:t>
      </w:r>
      <w:r w:rsidRPr="00764430">
        <w:rPr>
          <w:rFonts w:ascii="Verdana" w:eastAsia="Verdana" w:hAnsi="Verdana"/>
          <w:bCs/>
          <w:sz w:val="20"/>
          <w:szCs w:val="20"/>
          <w:lang w:val="es-CR" w:eastAsia="x-none"/>
        </w:rPr>
        <w:t xml:space="preserve"> la interpretación evolutiva, según la cual los tratados son “instrumentos vivos”</w:t>
      </w:r>
      <w:r w:rsidR="00704A7D" w:rsidRPr="00764430">
        <w:rPr>
          <w:rFonts w:ascii="Verdana" w:eastAsia="Verdana" w:hAnsi="Verdana"/>
          <w:bCs/>
          <w:sz w:val="20"/>
          <w:szCs w:val="20"/>
          <w:lang w:val="es-CR" w:eastAsia="x-none"/>
        </w:rPr>
        <w:t>,</w:t>
      </w:r>
      <w:r w:rsidRPr="00764430">
        <w:rPr>
          <w:rFonts w:ascii="Verdana" w:eastAsia="Verdana" w:hAnsi="Verdana"/>
          <w:bCs/>
          <w:sz w:val="20"/>
          <w:szCs w:val="20"/>
          <w:lang w:val="es-CR" w:eastAsia="x-none"/>
        </w:rPr>
        <w:t xml:space="preserve"> para justificar la creación </w:t>
      </w:r>
      <w:r w:rsidRPr="00764430">
        <w:rPr>
          <w:rFonts w:ascii="Verdana" w:eastAsia="Verdana" w:hAnsi="Verdana"/>
          <w:bCs/>
          <w:i/>
          <w:sz w:val="20"/>
          <w:szCs w:val="20"/>
          <w:lang w:val="es-CR" w:eastAsia="x-none"/>
        </w:rPr>
        <w:t>ex post</w:t>
      </w:r>
      <w:r w:rsidR="00704A7D" w:rsidRPr="00764430">
        <w:rPr>
          <w:rFonts w:ascii="Verdana" w:eastAsia="Verdana" w:hAnsi="Verdana"/>
          <w:bCs/>
          <w:sz w:val="20"/>
          <w:szCs w:val="20"/>
          <w:lang w:val="es-CR" w:eastAsia="x-none"/>
        </w:rPr>
        <w:t xml:space="preserve"> de estos derechos, cuando el espíritu del artículo 26 de la Convención </w:t>
      </w:r>
      <w:r w:rsidR="008D5C13" w:rsidRPr="00764430">
        <w:rPr>
          <w:rFonts w:ascii="Verdana" w:eastAsia="Verdana" w:hAnsi="Verdana"/>
          <w:bCs/>
          <w:sz w:val="20"/>
          <w:szCs w:val="20"/>
          <w:lang w:val="es-CR" w:eastAsia="x-none"/>
        </w:rPr>
        <w:t xml:space="preserve">es que </w:t>
      </w:r>
      <w:r w:rsidR="00A7612E" w:rsidRPr="00764430">
        <w:rPr>
          <w:rFonts w:ascii="Verdana" w:eastAsia="Verdana" w:hAnsi="Verdana"/>
          <w:bCs/>
          <w:sz w:val="20"/>
          <w:szCs w:val="20"/>
          <w:lang w:val="es-CR" w:eastAsia="x-none"/>
        </w:rPr>
        <w:t>“los recursos dispon</w:t>
      </w:r>
      <w:r w:rsidR="00F92EDE" w:rsidRPr="00764430">
        <w:rPr>
          <w:rFonts w:ascii="Verdana" w:eastAsia="Verdana" w:hAnsi="Verdana"/>
          <w:bCs/>
          <w:sz w:val="20"/>
          <w:szCs w:val="20"/>
          <w:lang w:val="es-CR" w:eastAsia="x-none"/>
        </w:rPr>
        <w:t>i</w:t>
      </w:r>
      <w:r w:rsidR="00A7612E" w:rsidRPr="00764430">
        <w:rPr>
          <w:rFonts w:ascii="Verdana" w:eastAsia="Verdana" w:hAnsi="Verdana"/>
          <w:bCs/>
          <w:sz w:val="20"/>
          <w:szCs w:val="20"/>
          <w:lang w:val="es-CR" w:eastAsia="x-none"/>
        </w:rPr>
        <w:t>bles”</w:t>
      </w:r>
      <w:r w:rsidR="008D5C13" w:rsidRPr="00764430">
        <w:rPr>
          <w:rFonts w:ascii="Verdana" w:eastAsia="Verdana" w:hAnsi="Verdana"/>
          <w:bCs/>
          <w:sz w:val="20"/>
          <w:szCs w:val="20"/>
          <w:lang w:val="es-CR" w:eastAsia="x-none"/>
        </w:rPr>
        <w:t xml:space="preserve"> de los Estados se oriente</w:t>
      </w:r>
      <w:r w:rsidR="00945257" w:rsidRPr="00764430">
        <w:rPr>
          <w:rFonts w:ascii="Verdana" w:eastAsia="Verdana" w:hAnsi="Verdana"/>
          <w:bCs/>
          <w:sz w:val="20"/>
          <w:szCs w:val="20"/>
          <w:lang w:val="es-CR" w:eastAsia="x-none"/>
        </w:rPr>
        <w:t>n siempre</w:t>
      </w:r>
      <w:r w:rsidR="008D5C13" w:rsidRPr="00764430">
        <w:rPr>
          <w:rFonts w:ascii="Verdana" w:eastAsia="Verdana" w:hAnsi="Verdana"/>
          <w:bCs/>
          <w:sz w:val="20"/>
          <w:szCs w:val="20"/>
          <w:lang w:val="es-CR" w:eastAsia="x-none"/>
        </w:rPr>
        <w:t xml:space="preserve"> a ampliar el espectro de protección de los derechos ya reconocidos por la Convenci</w:t>
      </w:r>
      <w:r w:rsidR="00945257" w:rsidRPr="00764430">
        <w:rPr>
          <w:rFonts w:ascii="Verdana" w:eastAsia="Verdana" w:hAnsi="Verdana"/>
          <w:bCs/>
          <w:sz w:val="20"/>
          <w:szCs w:val="20"/>
          <w:lang w:val="es-CR" w:eastAsia="x-none"/>
        </w:rPr>
        <w:t xml:space="preserve">ón, no pudiendo, salvo bajo circunstancias extraordinarias de interés social, </w:t>
      </w:r>
      <w:r w:rsidR="008D5C13" w:rsidRPr="00764430">
        <w:rPr>
          <w:rFonts w:ascii="Verdana" w:eastAsia="Verdana" w:hAnsi="Verdana"/>
          <w:bCs/>
          <w:sz w:val="20"/>
          <w:szCs w:val="20"/>
          <w:lang w:val="es-CR" w:eastAsia="x-none"/>
        </w:rPr>
        <w:t>disminuir sus garantías luego de alcanza</w:t>
      </w:r>
      <w:r w:rsidR="00945257" w:rsidRPr="00764430">
        <w:rPr>
          <w:rFonts w:ascii="Verdana" w:eastAsia="Verdana" w:hAnsi="Verdana"/>
          <w:bCs/>
          <w:sz w:val="20"/>
          <w:szCs w:val="20"/>
          <w:lang w:val="es-CR" w:eastAsia="x-none"/>
        </w:rPr>
        <w:t>do determinado nivel de tutela o cercenar por completo un derecho particular luego de su consagración positiva. En atención a los últimos precedentes de la Corte en materia de DESCA, hay que preguntarse razonablemente cu</w:t>
      </w:r>
      <w:r w:rsidR="00B7784E" w:rsidRPr="00764430">
        <w:rPr>
          <w:rFonts w:ascii="Verdana" w:eastAsia="Verdana" w:hAnsi="Verdana"/>
          <w:bCs/>
          <w:sz w:val="20"/>
          <w:szCs w:val="20"/>
          <w:lang w:val="es-CR" w:eastAsia="x-none"/>
        </w:rPr>
        <w:t xml:space="preserve">ál es el alcance del artículo 26 de la Convención dado que carece de contenido específico y que la tendencia del Tribunal es expandir las obligaciones que presuntamente de allí se derivan. </w:t>
      </w:r>
    </w:p>
    <w:p w14:paraId="79D6A88E" w14:textId="77777777" w:rsidR="00F92EDE" w:rsidRPr="00764430" w:rsidRDefault="00F92EDE" w:rsidP="00764430">
      <w:pPr>
        <w:pStyle w:val="Prrafodelista"/>
        <w:rPr>
          <w:rFonts w:ascii="Verdana" w:eastAsia="Verdana" w:hAnsi="Verdana"/>
          <w:bCs/>
          <w:sz w:val="20"/>
          <w:szCs w:val="20"/>
          <w:lang w:val="es-CR" w:eastAsia="x-none"/>
        </w:rPr>
      </w:pPr>
    </w:p>
    <w:p w14:paraId="5D07DE20" w14:textId="1FC6F747" w:rsidR="00442A21" w:rsidRPr="00764430" w:rsidRDefault="00A62E2A" w:rsidP="00764430">
      <w:pPr>
        <w:pStyle w:val="Prrafodelista"/>
        <w:numPr>
          <w:ilvl w:val="0"/>
          <w:numId w:val="9"/>
        </w:numPr>
        <w:autoSpaceDE w:val="0"/>
        <w:autoSpaceDN w:val="0"/>
        <w:adjustRightInd w:val="0"/>
        <w:spacing w:after="0" w:line="240" w:lineRule="auto"/>
        <w:ind w:left="0" w:firstLine="0"/>
        <w:jc w:val="both"/>
        <w:rPr>
          <w:rFonts w:ascii="Verdana" w:eastAsia="Verdana" w:hAnsi="Verdana"/>
          <w:bCs/>
          <w:sz w:val="20"/>
          <w:szCs w:val="20"/>
          <w:lang w:val="es-CR" w:eastAsia="x-none"/>
        </w:rPr>
      </w:pPr>
      <w:r w:rsidRPr="00764430">
        <w:rPr>
          <w:rFonts w:ascii="Verdana" w:eastAsia="Verdana" w:hAnsi="Verdana"/>
          <w:bCs/>
          <w:sz w:val="20"/>
          <w:szCs w:val="20"/>
          <w:lang w:val="es-CR" w:eastAsia="x-none"/>
        </w:rPr>
        <w:t>Por otro lado, e</w:t>
      </w:r>
      <w:r w:rsidR="00661E38" w:rsidRPr="00764430">
        <w:rPr>
          <w:rFonts w:ascii="Verdana" w:eastAsia="Verdana" w:hAnsi="Verdana"/>
          <w:bCs/>
          <w:sz w:val="20"/>
          <w:szCs w:val="20"/>
          <w:lang w:val="es-CR" w:eastAsia="x-none"/>
        </w:rPr>
        <w:t>n lo que refiere específicamente al derecho a la salud, en</w:t>
      </w:r>
      <w:r w:rsidR="00661E38" w:rsidRPr="00764430">
        <w:rPr>
          <w:rFonts w:ascii="Verdana" w:eastAsia="Verdana" w:hAnsi="Verdana"/>
          <w:bCs/>
          <w:sz w:val="20"/>
          <w:szCs w:val="20"/>
          <w:lang w:eastAsia="x-none"/>
        </w:rPr>
        <w:t xml:space="preserve"> la Sentencia </w:t>
      </w:r>
      <w:r w:rsidRPr="00764430">
        <w:rPr>
          <w:rFonts w:ascii="Verdana" w:eastAsia="Verdana" w:hAnsi="Verdana"/>
          <w:bCs/>
          <w:sz w:val="20"/>
          <w:szCs w:val="20"/>
          <w:lang w:eastAsia="x-none"/>
        </w:rPr>
        <w:t xml:space="preserve">se reitera que este </w:t>
      </w:r>
      <w:r w:rsidR="00661E38" w:rsidRPr="00764430">
        <w:rPr>
          <w:rFonts w:ascii="Verdana" w:eastAsia="Verdana" w:hAnsi="Verdana"/>
          <w:bCs/>
          <w:sz w:val="20"/>
          <w:szCs w:val="20"/>
          <w:lang w:eastAsia="x-none"/>
        </w:rPr>
        <w:t>“</w:t>
      </w:r>
      <w:r w:rsidRPr="00764430">
        <w:rPr>
          <w:rFonts w:ascii="Verdana" w:eastAsia="Verdana" w:hAnsi="Verdana"/>
          <w:bCs/>
          <w:sz w:val="20"/>
          <w:szCs w:val="20"/>
          <w:lang w:val="es-MX" w:eastAsia="x-none"/>
        </w:rPr>
        <w:t xml:space="preserve">(…) </w:t>
      </w:r>
      <w:r w:rsidR="00661E38" w:rsidRPr="00764430">
        <w:rPr>
          <w:rFonts w:ascii="Verdana" w:eastAsia="Verdana" w:hAnsi="Verdana"/>
          <w:bCs/>
          <w:sz w:val="20"/>
          <w:szCs w:val="20"/>
          <w:lang w:val="es-MX" w:eastAsia="x-none"/>
        </w:rPr>
        <w:t>se refiere al derecho de toda persona a gozar del más alto nivel de bie</w:t>
      </w:r>
      <w:r w:rsidRPr="00764430">
        <w:rPr>
          <w:rFonts w:ascii="Verdana" w:eastAsia="Verdana" w:hAnsi="Verdana"/>
          <w:bCs/>
          <w:sz w:val="20"/>
          <w:szCs w:val="20"/>
          <w:lang w:val="es-MX" w:eastAsia="x-none"/>
        </w:rPr>
        <w:t xml:space="preserve">nestar físico, mental y social” y que “(…) </w:t>
      </w:r>
      <w:r w:rsidR="00661E38" w:rsidRPr="00764430">
        <w:rPr>
          <w:rFonts w:ascii="Verdana" w:eastAsia="Verdana" w:hAnsi="Verdana"/>
          <w:bCs/>
          <w:sz w:val="20"/>
          <w:szCs w:val="20"/>
          <w:lang w:val="es-MX" w:eastAsia="x-none"/>
        </w:rPr>
        <w:t>abarca la atención de salud oportuna y apropiada conforme a los principios de disponibilidad, accesibilidad, aceptabilidad y calidad”.</w:t>
      </w:r>
      <w:r w:rsidRPr="00764430">
        <w:rPr>
          <w:rFonts w:ascii="Verdana" w:eastAsia="Verdana" w:hAnsi="Verdana"/>
          <w:bCs/>
          <w:sz w:val="20"/>
          <w:szCs w:val="20"/>
          <w:lang w:val="es-MX" w:eastAsia="x-none"/>
        </w:rPr>
        <w:t xml:space="preserve"> Igualmente, la Sentencia </w:t>
      </w:r>
      <w:r w:rsidR="0031744D" w:rsidRPr="00764430">
        <w:rPr>
          <w:rFonts w:ascii="Verdana" w:eastAsia="Verdana" w:hAnsi="Verdana"/>
          <w:bCs/>
          <w:sz w:val="20"/>
          <w:szCs w:val="20"/>
          <w:lang w:val="es-MX" w:eastAsia="x-none"/>
        </w:rPr>
        <w:t xml:space="preserve">afirma que </w:t>
      </w:r>
      <w:r w:rsidR="00661E38" w:rsidRPr="00764430">
        <w:rPr>
          <w:rFonts w:ascii="Verdana" w:eastAsia="Verdana" w:hAnsi="Verdana"/>
          <w:bCs/>
          <w:sz w:val="20"/>
          <w:szCs w:val="20"/>
          <w:lang w:val="es-MX" w:eastAsia="x-none"/>
        </w:rPr>
        <w:t>“</w:t>
      </w:r>
      <w:r w:rsidR="0031744D" w:rsidRPr="00764430">
        <w:rPr>
          <w:rFonts w:ascii="Verdana" w:eastAsia="Verdana" w:hAnsi="Verdana"/>
          <w:bCs/>
          <w:sz w:val="20"/>
          <w:szCs w:val="20"/>
          <w:lang w:val="es-MX" w:eastAsia="x-none"/>
        </w:rPr>
        <w:t xml:space="preserve">(…) </w:t>
      </w:r>
      <w:r w:rsidR="00661E38" w:rsidRPr="00764430">
        <w:rPr>
          <w:rFonts w:ascii="Verdana" w:eastAsia="Verdana" w:hAnsi="Verdana"/>
          <w:bCs/>
          <w:sz w:val="20"/>
          <w:szCs w:val="20"/>
          <w:lang w:val="es-MX" w:eastAsia="x-none"/>
        </w:rPr>
        <w:t xml:space="preserve">la naturaleza y alcance de las obligaciones que derivan de la protección del derecho a la salud incluyen aspectos que tienen una exigibilidad inmediata, así como aspectos que tienen un carácter progresivo”. </w:t>
      </w:r>
    </w:p>
    <w:p w14:paraId="0AA5EB14" w14:textId="77777777" w:rsidR="00442A21" w:rsidRPr="00764430" w:rsidRDefault="00442A21" w:rsidP="00764430">
      <w:pPr>
        <w:pStyle w:val="Prrafodelista"/>
        <w:rPr>
          <w:rFonts w:ascii="Verdana" w:eastAsia="Verdana" w:hAnsi="Verdana"/>
          <w:bCs/>
          <w:sz w:val="20"/>
          <w:szCs w:val="20"/>
          <w:lang w:val="es-MX" w:eastAsia="x-none"/>
        </w:rPr>
      </w:pPr>
    </w:p>
    <w:p w14:paraId="3CCFB590" w14:textId="2F0931F7" w:rsidR="00442A21" w:rsidRPr="00764430" w:rsidRDefault="00661E38" w:rsidP="00764430">
      <w:pPr>
        <w:pStyle w:val="Prrafodelista"/>
        <w:numPr>
          <w:ilvl w:val="0"/>
          <w:numId w:val="9"/>
        </w:numPr>
        <w:autoSpaceDE w:val="0"/>
        <w:autoSpaceDN w:val="0"/>
        <w:adjustRightInd w:val="0"/>
        <w:spacing w:after="0" w:line="240" w:lineRule="auto"/>
        <w:ind w:left="0" w:firstLine="0"/>
        <w:jc w:val="both"/>
        <w:rPr>
          <w:rFonts w:ascii="Verdana" w:eastAsia="Verdana" w:hAnsi="Verdana"/>
          <w:bCs/>
          <w:sz w:val="20"/>
          <w:szCs w:val="20"/>
          <w:lang w:val="es-CR" w:eastAsia="x-none"/>
        </w:rPr>
      </w:pPr>
      <w:r w:rsidRPr="00764430">
        <w:rPr>
          <w:rFonts w:ascii="Verdana" w:eastAsia="Verdana" w:hAnsi="Verdana"/>
          <w:bCs/>
          <w:sz w:val="20"/>
          <w:szCs w:val="20"/>
          <w:lang w:val="es-MX" w:eastAsia="x-none"/>
        </w:rPr>
        <w:t xml:space="preserve">En relación con </w:t>
      </w:r>
      <w:r w:rsidR="002D41EC" w:rsidRPr="00764430">
        <w:rPr>
          <w:rFonts w:ascii="Verdana" w:eastAsia="Verdana" w:hAnsi="Verdana"/>
          <w:bCs/>
          <w:sz w:val="20"/>
          <w:szCs w:val="20"/>
          <w:lang w:val="es-MX" w:eastAsia="x-none"/>
        </w:rPr>
        <w:t>dichas obligaciones</w:t>
      </w:r>
      <w:r w:rsidRPr="00764430">
        <w:rPr>
          <w:rFonts w:ascii="Verdana" w:eastAsia="Verdana" w:hAnsi="Verdana"/>
          <w:bCs/>
          <w:sz w:val="20"/>
          <w:szCs w:val="20"/>
          <w:lang w:val="es-MX" w:eastAsia="x-none"/>
        </w:rPr>
        <w:t xml:space="preserve">, la Corte </w:t>
      </w:r>
      <w:r w:rsidR="002D41EC" w:rsidRPr="00764430">
        <w:rPr>
          <w:rFonts w:ascii="Verdana" w:eastAsia="Verdana" w:hAnsi="Verdana"/>
          <w:bCs/>
          <w:sz w:val="20"/>
          <w:szCs w:val="20"/>
          <w:lang w:val="es-MX" w:eastAsia="x-none"/>
        </w:rPr>
        <w:t>consideró</w:t>
      </w:r>
      <w:r w:rsidRPr="00764430">
        <w:rPr>
          <w:rFonts w:ascii="Verdana" w:eastAsia="Verdana" w:hAnsi="Verdana"/>
          <w:bCs/>
          <w:sz w:val="20"/>
          <w:szCs w:val="20"/>
          <w:lang w:val="es-MX" w:eastAsia="x-none"/>
        </w:rPr>
        <w:t xml:space="preserve"> que el señor Hernández sufrió graves daños a su salud como resultado de la enfermedad que contrajo mientras se encontraba detenido y que continuaron con posterioridad al cumplimiento de la pena. En particular</w:t>
      </w:r>
      <w:r w:rsidR="002D41EC" w:rsidRPr="00764430">
        <w:rPr>
          <w:rFonts w:ascii="Verdana" w:eastAsia="Verdana" w:hAnsi="Verdana"/>
          <w:bCs/>
          <w:sz w:val="20"/>
          <w:szCs w:val="20"/>
          <w:lang w:val="es-MX" w:eastAsia="x-none"/>
        </w:rPr>
        <w:t>,</w:t>
      </w:r>
      <w:r w:rsidRPr="00764430">
        <w:rPr>
          <w:rFonts w:ascii="Verdana" w:eastAsia="Verdana" w:hAnsi="Verdana"/>
          <w:bCs/>
          <w:sz w:val="20"/>
          <w:szCs w:val="20"/>
          <w:lang w:val="es-MX" w:eastAsia="x-none"/>
        </w:rPr>
        <w:t xml:space="preserve"> se refirió a que: i) en al menos tres ocasiones, el 29 de agosto de 1990, el 27 de septiembre de 1990, y el 24 de octubre de 1990, el señor Hernández no pudo ser internado en el hospital correspondiente en virtud de la falta de disponibilidad de camas; </w:t>
      </w:r>
      <w:proofErr w:type="spellStart"/>
      <w:r w:rsidRPr="00764430">
        <w:rPr>
          <w:rFonts w:ascii="Verdana" w:eastAsia="Verdana" w:hAnsi="Verdana"/>
          <w:bCs/>
          <w:sz w:val="20"/>
          <w:szCs w:val="20"/>
          <w:lang w:val="es-MX" w:eastAsia="x-none"/>
        </w:rPr>
        <w:t>ii</w:t>
      </w:r>
      <w:proofErr w:type="spellEnd"/>
      <w:r w:rsidRPr="00764430">
        <w:rPr>
          <w:rFonts w:ascii="Verdana" w:eastAsia="Verdana" w:hAnsi="Verdana"/>
          <w:bCs/>
          <w:sz w:val="20"/>
          <w:szCs w:val="20"/>
          <w:lang w:val="es-MX" w:eastAsia="x-none"/>
        </w:rPr>
        <w:t xml:space="preserve">) existieron lapsos de tiempo prolongado, atendiendo a la naturaleza de la enfermedad que padeció, en que dejó de recibir atención médica, y </w:t>
      </w:r>
      <w:proofErr w:type="spellStart"/>
      <w:r w:rsidRPr="00764430">
        <w:rPr>
          <w:rFonts w:ascii="Verdana" w:eastAsia="Verdana" w:hAnsi="Verdana"/>
          <w:bCs/>
          <w:sz w:val="20"/>
          <w:szCs w:val="20"/>
          <w:lang w:val="es-MX" w:eastAsia="x-none"/>
        </w:rPr>
        <w:t>iii</w:t>
      </w:r>
      <w:proofErr w:type="spellEnd"/>
      <w:r w:rsidRPr="00764430">
        <w:rPr>
          <w:rFonts w:ascii="Verdana" w:eastAsia="Verdana" w:hAnsi="Verdana"/>
          <w:bCs/>
          <w:sz w:val="20"/>
          <w:szCs w:val="20"/>
          <w:lang w:val="es-MX" w:eastAsia="x-none"/>
        </w:rPr>
        <w:t>) padeció sufrimientos y afectaciones a su salud y sus capacidades físicas y psíquicas como resultado de su enfermedad</w:t>
      </w:r>
      <w:r w:rsidR="00442A21" w:rsidRPr="00764430">
        <w:rPr>
          <w:rFonts w:ascii="Verdana" w:eastAsia="Verdana" w:hAnsi="Verdana"/>
          <w:bCs/>
          <w:sz w:val="20"/>
          <w:szCs w:val="20"/>
          <w:lang w:val="es-MX" w:eastAsia="x-none"/>
        </w:rPr>
        <w:t>.</w:t>
      </w:r>
    </w:p>
    <w:p w14:paraId="37A9E54E" w14:textId="77777777" w:rsidR="00442A21" w:rsidRPr="00764430" w:rsidRDefault="00442A21" w:rsidP="00764430">
      <w:pPr>
        <w:pStyle w:val="Prrafodelista"/>
        <w:rPr>
          <w:rFonts w:ascii="Verdana" w:eastAsia="Verdana" w:hAnsi="Verdana"/>
          <w:bCs/>
          <w:sz w:val="20"/>
          <w:szCs w:val="20"/>
          <w:lang w:val="es-MX" w:eastAsia="x-none"/>
        </w:rPr>
      </w:pPr>
    </w:p>
    <w:p w14:paraId="70CA0320" w14:textId="5856C079" w:rsidR="00442A21" w:rsidRPr="00764430" w:rsidRDefault="00661E38" w:rsidP="00764430">
      <w:pPr>
        <w:pStyle w:val="Prrafodelista"/>
        <w:numPr>
          <w:ilvl w:val="0"/>
          <w:numId w:val="9"/>
        </w:numPr>
        <w:autoSpaceDE w:val="0"/>
        <w:autoSpaceDN w:val="0"/>
        <w:adjustRightInd w:val="0"/>
        <w:spacing w:after="0" w:line="240" w:lineRule="auto"/>
        <w:ind w:left="0" w:firstLine="0"/>
        <w:jc w:val="both"/>
        <w:rPr>
          <w:rFonts w:ascii="Verdana" w:eastAsia="Verdana" w:hAnsi="Verdana"/>
          <w:bCs/>
          <w:sz w:val="20"/>
          <w:szCs w:val="20"/>
          <w:lang w:val="es-CR" w:eastAsia="x-none"/>
        </w:rPr>
      </w:pPr>
      <w:r w:rsidRPr="00764430">
        <w:rPr>
          <w:rFonts w:ascii="Verdana" w:eastAsia="Verdana" w:hAnsi="Verdana"/>
          <w:bCs/>
          <w:sz w:val="20"/>
          <w:szCs w:val="20"/>
          <w:lang w:val="es-MX" w:eastAsia="x-none"/>
        </w:rPr>
        <w:t xml:space="preserve">Por otra parte, la Corte concluyó que el Estado era responsable por haber violado el derecho a la integridad personal </w:t>
      </w:r>
      <w:r w:rsidR="002D41EC" w:rsidRPr="00764430">
        <w:rPr>
          <w:rFonts w:ascii="Verdana" w:eastAsia="Verdana" w:hAnsi="Verdana"/>
          <w:bCs/>
          <w:sz w:val="20"/>
          <w:szCs w:val="20"/>
          <w:lang w:val="es-MX" w:eastAsia="x-none"/>
        </w:rPr>
        <w:t>consagrado</w:t>
      </w:r>
      <w:r w:rsidRPr="00764430">
        <w:rPr>
          <w:rFonts w:ascii="Verdana" w:eastAsia="Verdana" w:hAnsi="Verdana"/>
          <w:bCs/>
          <w:sz w:val="20"/>
          <w:szCs w:val="20"/>
          <w:lang w:val="es-MX" w:eastAsia="x-none"/>
        </w:rPr>
        <w:t xml:space="preserve"> en el artículo 5 de la Convenció</w:t>
      </w:r>
      <w:r w:rsidR="002D41EC" w:rsidRPr="00764430">
        <w:rPr>
          <w:rFonts w:ascii="Verdana" w:eastAsia="Verdana" w:hAnsi="Verdana"/>
          <w:bCs/>
          <w:sz w:val="20"/>
          <w:szCs w:val="20"/>
          <w:lang w:val="es-MX" w:eastAsia="x-none"/>
        </w:rPr>
        <w:t xml:space="preserve">n Americana. Al respecto, la Corte señaló que: </w:t>
      </w:r>
      <w:r w:rsidRPr="00764430">
        <w:rPr>
          <w:rFonts w:ascii="Verdana" w:eastAsia="Verdana" w:hAnsi="Verdana"/>
          <w:bCs/>
          <w:sz w:val="20"/>
          <w:szCs w:val="20"/>
          <w:lang w:val="es-MX" w:eastAsia="x-none"/>
        </w:rPr>
        <w:t xml:space="preserve">i) </w:t>
      </w:r>
      <w:r w:rsidR="002D41EC" w:rsidRPr="00764430">
        <w:rPr>
          <w:rFonts w:ascii="Verdana" w:eastAsia="Verdana" w:hAnsi="Verdana"/>
          <w:bCs/>
          <w:sz w:val="20"/>
          <w:szCs w:val="20"/>
          <w:lang w:val="es-MX" w:eastAsia="x-none"/>
        </w:rPr>
        <w:t xml:space="preserve">el Estado no cumplió oportunamente las órdenes del Juez de la causa de que se le brindara atención médica al señor Hernández </w:t>
      </w:r>
      <w:r w:rsidR="002B298D" w:rsidRPr="00764430">
        <w:rPr>
          <w:rFonts w:ascii="Verdana" w:eastAsia="Verdana" w:hAnsi="Verdana"/>
          <w:bCs/>
          <w:sz w:val="20"/>
          <w:szCs w:val="20"/>
          <w:lang w:val="es-MX" w:eastAsia="x-none"/>
        </w:rPr>
        <w:t xml:space="preserve">antes las denuncias de su madre respecto a su estado gripal, dolor de oído y dolores encefálicos en 1989 y 1990, y </w:t>
      </w:r>
      <w:proofErr w:type="spellStart"/>
      <w:r w:rsidR="002B298D" w:rsidRPr="00764430">
        <w:rPr>
          <w:rFonts w:ascii="Verdana" w:eastAsia="Verdana" w:hAnsi="Verdana"/>
          <w:bCs/>
          <w:sz w:val="20"/>
          <w:szCs w:val="20"/>
          <w:lang w:val="es-MX" w:eastAsia="x-none"/>
        </w:rPr>
        <w:t>ii</w:t>
      </w:r>
      <w:proofErr w:type="spellEnd"/>
      <w:r w:rsidR="002B298D" w:rsidRPr="00764430">
        <w:rPr>
          <w:rFonts w:ascii="Verdana" w:eastAsia="Verdana" w:hAnsi="Verdana"/>
          <w:bCs/>
          <w:sz w:val="20"/>
          <w:szCs w:val="20"/>
          <w:lang w:val="es-MX" w:eastAsia="x-none"/>
        </w:rPr>
        <w:t xml:space="preserve">) </w:t>
      </w:r>
      <w:r w:rsidRPr="00764430">
        <w:rPr>
          <w:rFonts w:ascii="Verdana" w:eastAsia="Verdana" w:hAnsi="Verdana"/>
          <w:bCs/>
          <w:sz w:val="20"/>
          <w:szCs w:val="20"/>
          <w:lang w:val="es-MX" w:eastAsia="x-none"/>
        </w:rPr>
        <w:t xml:space="preserve">estuvo detenido en la Comisaría de </w:t>
      </w:r>
      <w:r w:rsidR="00E33E94" w:rsidRPr="00764430">
        <w:rPr>
          <w:rFonts w:ascii="Verdana" w:eastAsia="Verdana" w:hAnsi="Verdana"/>
          <w:bCs/>
          <w:sz w:val="20"/>
          <w:szCs w:val="20"/>
          <w:lang w:val="es-MX" w:eastAsia="x-none"/>
        </w:rPr>
        <w:t xml:space="preserve">Monte </w:t>
      </w:r>
      <w:r w:rsidRPr="00764430">
        <w:rPr>
          <w:rFonts w:ascii="Verdana" w:eastAsia="Verdana" w:hAnsi="Verdana"/>
          <w:bCs/>
          <w:sz w:val="20"/>
          <w:szCs w:val="20"/>
          <w:lang w:val="es-MX" w:eastAsia="x-none"/>
        </w:rPr>
        <w:t xml:space="preserve">Grande desde el 7 de febrero de 1989 hasta el 3 de agosto de 1990, aun cuando no existía espacio físico suficiente para albergar al número de detenidos. </w:t>
      </w:r>
    </w:p>
    <w:p w14:paraId="0159F611" w14:textId="77777777" w:rsidR="00442A21" w:rsidRPr="00764430" w:rsidRDefault="00442A21" w:rsidP="00764430">
      <w:pPr>
        <w:pStyle w:val="Prrafodelista"/>
        <w:rPr>
          <w:rFonts w:ascii="Verdana" w:eastAsia="Verdana" w:hAnsi="Verdana" w:cs="Verdana"/>
          <w:sz w:val="20"/>
          <w:szCs w:val="20"/>
        </w:rPr>
      </w:pPr>
    </w:p>
    <w:p w14:paraId="2F7C5BD8" w14:textId="36BE66EF" w:rsidR="00442A21" w:rsidRPr="00764430" w:rsidRDefault="00661E38" w:rsidP="00764430">
      <w:pPr>
        <w:pStyle w:val="Prrafodelista"/>
        <w:numPr>
          <w:ilvl w:val="0"/>
          <w:numId w:val="9"/>
        </w:numPr>
        <w:autoSpaceDE w:val="0"/>
        <w:autoSpaceDN w:val="0"/>
        <w:adjustRightInd w:val="0"/>
        <w:spacing w:after="0" w:line="240" w:lineRule="auto"/>
        <w:ind w:left="0" w:firstLine="0"/>
        <w:jc w:val="both"/>
        <w:rPr>
          <w:rFonts w:ascii="Verdana" w:eastAsia="Verdana" w:hAnsi="Verdana"/>
          <w:bCs/>
          <w:sz w:val="20"/>
          <w:szCs w:val="20"/>
          <w:lang w:val="es-CR" w:eastAsia="x-none"/>
        </w:rPr>
      </w:pPr>
      <w:r w:rsidRPr="00764430">
        <w:rPr>
          <w:rFonts w:ascii="Verdana" w:eastAsia="Verdana" w:hAnsi="Verdana" w:cs="Verdana"/>
          <w:sz w:val="20"/>
          <w:szCs w:val="20"/>
        </w:rPr>
        <w:lastRenderedPageBreak/>
        <w:t>De la lectura de</w:t>
      </w:r>
      <w:r w:rsidR="002B298D" w:rsidRPr="00764430">
        <w:rPr>
          <w:rFonts w:ascii="Verdana" w:hAnsi="Verdana"/>
          <w:sz w:val="20"/>
          <w:szCs w:val="20"/>
          <w:lang w:val="es-MX"/>
        </w:rPr>
        <w:t xml:space="preserve"> tales extractos de la Sentencia</w:t>
      </w:r>
      <w:r w:rsidR="002B298D" w:rsidRPr="00764430">
        <w:rPr>
          <w:rFonts w:ascii="Verdana" w:eastAsia="Verdana" w:hAnsi="Verdana" w:cs="Verdana"/>
          <w:sz w:val="20"/>
          <w:szCs w:val="20"/>
        </w:rPr>
        <w:t xml:space="preserve">, se observa que, </w:t>
      </w:r>
      <w:r w:rsidRPr="00764430">
        <w:rPr>
          <w:rFonts w:ascii="Verdana" w:eastAsia="Verdana" w:hAnsi="Verdana" w:cs="Verdana"/>
          <w:sz w:val="20"/>
          <w:szCs w:val="20"/>
        </w:rPr>
        <w:t xml:space="preserve">al igual que </w:t>
      </w:r>
      <w:r w:rsidR="002B298D" w:rsidRPr="00764430">
        <w:rPr>
          <w:rFonts w:ascii="Verdana" w:eastAsia="Verdana" w:hAnsi="Verdana" w:cs="Verdana"/>
          <w:sz w:val="20"/>
          <w:szCs w:val="20"/>
        </w:rPr>
        <w:t>lo ha hecho en otros casos</w:t>
      </w:r>
      <w:r w:rsidRPr="00764430">
        <w:rPr>
          <w:rStyle w:val="Refdenotaalpie"/>
          <w:rFonts w:eastAsia="Times"/>
          <w:sz w:val="20"/>
          <w:szCs w:val="20"/>
          <w:lang w:val="es-MX"/>
        </w:rPr>
        <w:footnoteReference w:id="12"/>
      </w:r>
      <w:r w:rsidRPr="00764430">
        <w:rPr>
          <w:rFonts w:ascii="Verdana" w:eastAsia="Verdana" w:hAnsi="Verdana" w:cs="Verdana"/>
          <w:sz w:val="20"/>
          <w:szCs w:val="20"/>
        </w:rPr>
        <w:t xml:space="preserve">, el análisis </w:t>
      </w:r>
      <w:r w:rsidR="00366067" w:rsidRPr="00764430">
        <w:rPr>
          <w:rFonts w:ascii="Verdana" w:eastAsia="Verdana" w:hAnsi="Verdana" w:cs="Verdana"/>
          <w:sz w:val="20"/>
          <w:szCs w:val="20"/>
        </w:rPr>
        <w:t>de</w:t>
      </w:r>
      <w:r w:rsidRPr="00764430">
        <w:rPr>
          <w:rFonts w:ascii="Verdana" w:eastAsia="Verdana" w:hAnsi="Verdana" w:cs="Verdana"/>
          <w:sz w:val="20"/>
          <w:szCs w:val="20"/>
        </w:rPr>
        <w:t xml:space="preserve"> la violación al derecho a la salud está íntimamente ligado a las afectaciones</w:t>
      </w:r>
      <w:r w:rsidR="00366067" w:rsidRPr="00764430">
        <w:rPr>
          <w:rFonts w:ascii="Verdana" w:eastAsia="Verdana" w:hAnsi="Verdana" w:cs="Verdana"/>
          <w:sz w:val="20"/>
          <w:szCs w:val="20"/>
        </w:rPr>
        <w:t xml:space="preserve"> a la integridad personal</w:t>
      </w:r>
      <w:r w:rsidRPr="00764430">
        <w:rPr>
          <w:rFonts w:ascii="Verdana" w:eastAsia="Verdana" w:hAnsi="Verdana" w:cs="Verdana"/>
          <w:sz w:val="20"/>
          <w:szCs w:val="20"/>
        </w:rPr>
        <w:t>. En realidad, resulta bastante difícil, discernir d</w:t>
      </w:r>
      <w:r w:rsidR="00366067" w:rsidRPr="00764430">
        <w:rPr>
          <w:rFonts w:ascii="Verdana" w:eastAsia="Verdana" w:hAnsi="Verdana" w:cs="Verdana"/>
          <w:sz w:val="20"/>
          <w:szCs w:val="20"/>
        </w:rPr>
        <w:t>ónde comienzan y dónde terminan las obligaciones atinentes a cada derecho, cuyo incumplimiento derivó en la declaración de la responsabilidad internacional del Estado. Así</w:t>
      </w:r>
      <w:r w:rsidRPr="00764430">
        <w:rPr>
          <w:rFonts w:ascii="Verdana" w:eastAsia="Verdana" w:hAnsi="Verdana" w:cs="Verdana"/>
          <w:sz w:val="20"/>
          <w:szCs w:val="20"/>
        </w:rPr>
        <w:t xml:space="preserve">, es posible afirmar que las consideraciones </w:t>
      </w:r>
      <w:r w:rsidR="00366067" w:rsidRPr="00764430">
        <w:rPr>
          <w:rFonts w:ascii="Verdana" w:eastAsia="Verdana" w:hAnsi="Verdana" w:cs="Verdana"/>
          <w:sz w:val="20"/>
          <w:szCs w:val="20"/>
        </w:rPr>
        <w:t>vertidas en la Sentencia en cuanto a</w:t>
      </w:r>
      <w:r w:rsidRPr="00764430">
        <w:rPr>
          <w:rFonts w:ascii="Verdana" w:eastAsia="Verdana" w:hAnsi="Verdana" w:cs="Verdana"/>
          <w:sz w:val="20"/>
          <w:szCs w:val="20"/>
        </w:rPr>
        <w:t xml:space="preserve"> las obligaciones del Estado en materia de salud cobran sentido práctico una vez que se reflejan en el análisis del artículo 5 de la Convención. </w:t>
      </w:r>
    </w:p>
    <w:p w14:paraId="2DB112FC" w14:textId="77777777" w:rsidR="00442A21" w:rsidRPr="00764430" w:rsidRDefault="00442A21" w:rsidP="00764430">
      <w:pPr>
        <w:pStyle w:val="Prrafodelista"/>
        <w:rPr>
          <w:rFonts w:ascii="Verdana" w:eastAsia="Verdana" w:hAnsi="Verdana" w:cs="Verdana"/>
          <w:sz w:val="20"/>
          <w:szCs w:val="20"/>
        </w:rPr>
      </w:pPr>
    </w:p>
    <w:p w14:paraId="04AD9766" w14:textId="77777777" w:rsidR="00442A21" w:rsidRPr="00764430" w:rsidRDefault="00366067" w:rsidP="00764430">
      <w:pPr>
        <w:pStyle w:val="Prrafodelista"/>
        <w:numPr>
          <w:ilvl w:val="0"/>
          <w:numId w:val="9"/>
        </w:numPr>
        <w:autoSpaceDE w:val="0"/>
        <w:autoSpaceDN w:val="0"/>
        <w:adjustRightInd w:val="0"/>
        <w:spacing w:after="0" w:line="240" w:lineRule="auto"/>
        <w:ind w:left="0" w:firstLine="0"/>
        <w:jc w:val="both"/>
        <w:rPr>
          <w:rFonts w:ascii="Verdana" w:eastAsia="Verdana" w:hAnsi="Verdana"/>
          <w:bCs/>
          <w:sz w:val="20"/>
          <w:szCs w:val="20"/>
          <w:lang w:val="es-CR" w:eastAsia="x-none"/>
        </w:rPr>
      </w:pPr>
      <w:r w:rsidRPr="00764430">
        <w:rPr>
          <w:rFonts w:ascii="Verdana" w:eastAsia="Verdana" w:hAnsi="Verdana" w:cs="Verdana"/>
          <w:sz w:val="20"/>
          <w:szCs w:val="20"/>
        </w:rPr>
        <w:t xml:space="preserve">Al </w:t>
      </w:r>
      <w:r w:rsidR="00661E38" w:rsidRPr="00764430">
        <w:rPr>
          <w:rFonts w:ascii="Verdana" w:eastAsia="Verdana" w:hAnsi="Verdana" w:cs="Verdana"/>
          <w:sz w:val="20"/>
          <w:szCs w:val="20"/>
        </w:rPr>
        <w:t xml:space="preserve">igual que </w:t>
      </w:r>
      <w:r w:rsidRPr="00764430">
        <w:rPr>
          <w:rFonts w:ascii="Verdana" w:eastAsia="Verdana" w:hAnsi="Verdana" w:cs="Verdana"/>
          <w:sz w:val="20"/>
          <w:szCs w:val="20"/>
        </w:rPr>
        <w:t xml:space="preserve">sucedió </w:t>
      </w:r>
      <w:r w:rsidR="00661E38" w:rsidRPr="00764430">
        <w:rPr>
          <w:rFonts w:ascii="Verdana" w:eastAsia="Verdana" w:hAnsi="Verdana" w:cs="Verdana"/>
          <w:sz w:val="20"/>
          <w:szCs w:val="20"/>
        </w:rPr>
        <w:t xml:space="preserve">en el caso </w:t>
      </w:r>
      <w:r w:rsidR="00661E38" w:rsidRPr="00764430">
        <w:rPr>
          <w:rFonts w:ascii="Verdana" w:hAnsi="Verdana"/>
          <w:i/>
          <w:sz w:val="20"/>
          <w:szCs w:val="20"/>
          <w:lang w:val="es-CR"/>
        </w:rPr>
        <w:t xml:space="preserve">Poblete Vilches </w:t>
      </w:r>
      <w:r w:rsidR="00661E38" w:rsidRPr="00764430">
        <w:rPr>
          <w:rFonts w:ascii="Verdana" w:hAnsi="Verdana"/>
          <w:sz w:val="20"/>
          <w:szCs w:val="20"/>
          <w:lang w:val="es-CR"/>
        </w:rPr>
        <w:t xml:space="preserve">y </w:t>
      </w:r>
      <w:proofErr w:type="spellStart"/>
      <w:r w:rsidR="00661E38" w:rsidRPr="00764430">
        <w:rPr>
          <w:rFonts w:ascii="Verdana" w:hAnsi="Verdana" w:cstheme="minorHAnsi"/>
          <w:i/>
          <w:sz w:val="20"/>
          <w:szCs w:val="20"/>
        </w:rPr>
        <w:t>Cuscul</w:t>
      </w:r>
      <w:proofErr w:type="spellEnd"/>
      <w:r w:rsidR="00661E38" w:rsidRPr="00764430">
        <w:rPr>
          <w:rFonts w:ascii="Verdana" w:hAnsi="Verdana" w:cstheme="minorHAnsi"/>
          <w:i/>
          <w:sz w:val="20"/>
          <w:szCs w:val="20"/>
        </w:rPr>
        <w:t xml:space="preserve"> Pivaral</w:t>
      </w:r>
      <w:r w:rsidRPr="00764430">
        <w:rPr>
          <w:rFonts w:ascii="Verdana" w:hAnsi="Verdana" w:cstheme="minorHAnsi"/>
          <w:sz w:val="20"/>
          <w:szCs w:val="20"/>
        </w:rPr>
        <w:t xml:space="preserve">, </w:t>
      </w:r>
      <w:r w:rsidR="00661E38" w:rsidRPr="00764430">
        <w:rPr>
          <w:rFonts w:ascii="Verdana" w:eastAsia="Verdana" w:hAnsi="Verdana" w:cs="Verdana"/>
          <w:sz w:val="20"/>
          <w:szCs w:val="20"/>
        </w:rPr>
        <w:t xml:space="preserve">resulta innecesario el análisis del artículo 26 </w:t>
      </w:r>
      <w:r w:rsidR="00D16644" w:rsidRPr="00764430">
        <w:rPr>
          <w:rFonts w:ascii="Verdana" w:eastAsia="Verdana" w:hAnsi="Verdana" w:cs="Verdana"/>
          <w:sz w:val="20"/>
          <w:szCs w:val="20"/>
        </w:rPr>
        <w:t xml:space="preserve">de manera autónoma. </w:t>
      </w:r>
      <w:r w:rsidR="001178AB" w:rsidRPr="00764430">
        <w:rPr>
          <w:rFonts w:ascii="Verdana" w:eastAsia="Verdana" w:hAnsi="Verdana" w:cs="Verdana"/>
          <w:sz w:val="20"/>
          <w:szCs w:val="20"/>
        </w:rPr>
        <w:t xml:space="preserve">La inutilidad de dicho análisis se pone de manifiesto, por ejemplo, con ocasión del reciente caso </w:t>
      </w:r>
      <w:r w:rsidR="001178AB" w:rsidRPr="00764430">
        <w:rPr>
          <w:rFonts w:ascii="Verdana" w:eastAsia="Verdana" w:hAnsi="Verdana" w:cs="Verdana"/>
          <w:i/>
          <w:sz w:val="20"/>
          <w:szCs w:val="20"/>
        </w:rPr>
        <w:t xml:space="preserve">Rodríguez Revolorio Vs. Guatemala, </w:t>
      </w:r>
      <w:r w:rsidR="001178AB" w:rsidRPr="00764430">
        <w:rPr>
          <w:rFonts w:ascii="Verdana" w:eastAsia="Verdana" w:hAnsi="Verdana" w:cs="Verdana"/>
          <w:sz w:val="20"/>
          <w:szCs w:val="20"/>
        </w:rPr>
        <w:t>en el que los estándares en materia de atención médica de las personas privadas de libertad se subsumen en el examen del artículo 5 de la Convención y configuran uno de los elementos por los que es declarada la violación a la integridad personal</w:t>
      </w:r>
      <w:r w:rsidR="0091322C" w:rsidRPr="00764430">
        <w:rPr>
          <w:rStyle w:val="Refdenotaalpie"/>
          <w:rFonts w:eastAsia="Verdana"/>
        </w:rPr>
        <w:footnoteReference w:id="13"/>
      </w:r>
      <w:r w:rsidR="001178AB" w:rsidRPr="00764430">
        <w:rPr>
          <w:rFonts w:ascii="Verdana" w:eastAsia="Verdana" w:hAnsi="Verdana" w:cs="Verdana"/>
          <w:sz w:val="20"/>
          <w:szCs w:val="20"/>
        </w:rPr>
        <w:t xml:space="preserve">, como tradicionalmente se había hecho en </w:t>
      </w:r>
      <w:r w:rsidR="0091322C" w:rsidRPr="00764430">
        <w:rPr>
          <w:rFonts w:ascii="Verdana" w:eastAsia="Verdana" w:hAnsi="Verdana" w:cs="Verdana"/>
          <w:sz w:val="20"/>
          <w:szCs w:val="20"/>
        </w:rPr>
        <w:t>casos de similar naturaleza</w:t>
      </w:r>
      <w:r w:rsidR="0091322C" w:rsidRPr="00764430">
        <w:rPr>
          <w:rStyle w:val="Refdenotaalpie"/>
          <w:rFonts w:eastAsia="Verdana"/>
        </w:rPr>
        <w:footnoteReference w:id="14"/>
      </w:r>
      <w:r w:rsidR="00DC46F0" w:rsidRPr="00764430">
        <w:rPr>
          <w:rFonts w:ascii="Verdana" w:eastAsia="Verdana" w:hAnsi="Verdana" w:cs="Verdana"/>
          <w:sz w:val="20"/>
          <w:szCs w:val="20"/>
        </w:rPr>
        <w:t>. E</w:t>
      </w:r>
      <w:r w:rsidR="00661E38" w:rsidRPr="00764430">
        <w:rPr>
          <w:rFonts w:ascii="Verdana" w:eastAsia="Verdana" w:hAnsi="Verdana" w:cs="Verdana"/>
          <w:sz w:val="20"/>
          <w:szCs w:val="20"/>
        </w:rPr>
        <w:t xml:space="preserve">n efecto, en el caso </w:t>
      </w:r>
      <w:r w:rsidR="00DC46F0" w:rsidRPr="00764430">
        <w:rPr>
          <w:rFonts w:ascii="Verdana" w:eastAsia="Verdana" w:hAnsi="Verdana" w:cs="Verdana"/>
          <w:i/>
          <w:sz w:val="20"/>
          <w:szCs w:val="20"/>
        </w:rPr>
        <w:t>sub examine</w:t>
      </w:r>
      <w:r w:rsidR="00661E38" w:rsidRPr="00764430">
        <w:rPr>
          <w:rFonts w:ascii="Verdana" w:eastAsia="Verdana" w:hAnsi="Verdana" w:cs="Verdana"/>
          <w:sz w:val="20"/>
          <w:szCs w:val="20"/>
        </w:rPr>
        <w:t xml:space="preserve">, este análisis conlleva una duplicidad innecesaria en cuanto a la declaratoria de los derechos violados, </w:t>
      </w:r>
      <w:r w:rsidR="00DC46F0" w:rsidRPr="00764430">
        <w:rPr>
          <w:rFonts w:ascii="Verdana" w:eastAsia="Verdana" w:hAnsi="Verdana" w:cs="Verdana"/>
          <w:sz w:val="20"/>
          <w:szCs w:val="20"/>
        </w:rPr>
        <w:t xml:space="preserve">lo que se evidencia en el hecho de </w:t>
      </w:r>
      <w:r w:rsidR="001A59E6" w:rsidRPr="00764430">
        <w:rPr>
          <w:rFonts w:ascii="Verdana" w:eastAsia="Verdana" w:hAnsi="Verdana" w:cs="Verdana"/>
          <w:sz w:val="20"/>
          <w:szCs w:val="20"/>
        </w:rPr>
        <w:t xml:space="preserve">las actuaciones y omisiones estatales que configuran la violación del derecho a la salud y de la integridad personal son, en esencia, las mismas. De hecho, si se suprime lo concerniente a la falta de atención médica adecuada y oportuna del análisis del artículo 5, este queda </w:t>
      </w:r>
      <w:r w:rsidR="00F66A08" w:rsidRPr="00764430">
        <w:rPr>
          <w:rFonts w:ascii="Verdana" w:eastAsia="Verdana" w:hAnsi="Verdana" w:cs="Verdana"/>
          <w:sz w:val="20"/>
          <w:szCs w:val="20"/>
        </w:rPr>
        <w:t xml:space="preserve">prácticamente desprovisto de elementos contundentes que justifiquen la violación de la integridad personal. </w:t>
      </w:r>
    </w:p>
    <w:p w14:paraId="18E1F4EF" w14:textId="77777777" w:rsidR="00442A21" w:rsidRPr="00764430" w:rsidRDefault="00442A21" w:rsidP="00764430">
      <w:pPr>
        <w:pStyle w:val="Prrafodelista"/>
        <w:autoSpaceDE w:val="0"/>
        <w:autoSpaceDN w:val="0"/>
        <w:adjustRightInd w:val="0"/>
        <w:spacing w:after="0" w:line="240" w:lineRule="auto"/>
        <w:ind w:left="0"/>
        <w:jc w:val="both"/>
        <w:rPr>
          <w:rFonts w:ascii="Verdana" w:eastAsia="Verdana" w:hAnsi="Verdana"/>
          <w:bCs/>
          <w:sz w:val="20"/>
          <w:szCs w:val="20"/>
          <w:lang w:val="es-CR" w:eastAsia="x-none"/>
        </w:rPr>
      </w:pPr>
    </w:p>
    <w:p w14:paraId="1249DE0E" w14:textId="77777777" w:rsidR="00442A21" w:rsidRPr="00764430" w:rsidRDefault="00661E38" w:rsidP="00764430">
      <w:pPr>
        <w:pStyle w:val="Prrafodelista"/>
        <w:numPr>
          <w:ilvl w:val="0"/>
          <w:numId w:val="9"/>
        </w:numPr>
        <w:autoSpaceDE w:val="0"/>
        <w:autoSpaceDN w:val="0"/>
        <w:adjustRightInd w:val="0"/>
        <w:spacing w:after="0" w:line="240" w:lineRule="auto"/>
        <w:ind w:left="0" w:firstLine="0"/>
        <w:jc w:val="both"/>
        <w:rPr>
          <w:rFonts w:ascii="Verdana" w:eastAsia="Verdana" w:hAnsi="Verdana"/>
          <w:bCs/>
          <w:sz w:val="20"/>
          <w:szCs w:val="20"/>
          <w:lang w:val="es-CR" w:eastAsia="x-none"/>
        </w:rPr>
      </w:pPr>
      <w:r w:rsidRPr="00764430">
        <w:rPr>
          <w:rFonts w:ascii="Verdana" w:eastAsia="Verdana" w:hAnsi="Verdana" w:cs="Verdana"/>
          <w:sz w:val="20"/>
          <w:szCs w:val="20"/>
        </w:rPr>
        <w:t xml:space="preserve">Lo anterior refuerza la prudencia de la tesis que sostiene que el derecho a la salud debe ser analizado, en su faceta “individual”, en relación con los derechos </w:t>
      </w:r>
      <w:r w:rsidR="00F66A08" w:rsidRPr="00764430">
        <w:rPr>
          <w:rFonts w:ascii="Verdana" w:eastAsia="Verdana" w:hAnsi="Verdana" w:cs="Verdana"/>
          <w:sz w:val="20"/>
          <w:szCs w:val="20"/>
        </w:rPr>
        <w:t>civiles y políticos conexos que puedan</w:t>
      </w:r>
      <w:r w:rsidRPr="00764430">
        <w:rPr>
          <w:rFonts w:ascii="Verdana" w:eastAsia="Verdana" w:hAnsi="Verdana" w:cs="Verdana"/>
          <w:sz w:val="20"/>
          <w:szCs w:val="20"/>
        </w:rPr>
        <w:t xml:space="preserve"> verse afectados, en este caso el de</w:t>
      </w:r>
      <w:r w:rsidR="00F66A08" w:rsidRPr="00764430">
        <w:rPr>
          <w:rFonts w:ascii="Verdana" w:eastAsia="Verdana" w:hAnsi="Verdana" w:cs="Verdana"/>
          <w:sz w:val="20"/>
          <w:szCs w:val="20"/>
        </w:rPr>
        <w:t>recho a la integridad personal</w:t>
      </w:r>
      <w:r w:rsidRPr="00764430">
        <w:rPr>
          <w:rFonts w:ascii="Verdana" w:eastAsia="Verdana" w:hAnsi="Verdana" w:cs="Verdana"/>
          <w:sz w:val="20"/>
          <w:szCs w:val="20"/>
        </w:rPr>
        <w:t>, y en su faceta “progresiva”, en relación con la suficiencia de los servicios de salud que el Estado provee. Enfocar el análisis de esta forma le permitiría a la Cor</w:t>
      </w:r>
      <w:r w:rsidR="00B365E1" w:rsidRPr="00764430">
        <w:rPr>
          <w:rFonts w:ascii="Verdana" w:eastAsia="Verdana" w:hAnsi="Verdana" w:cs="Verdana"/>
          <w:sz w:val="20"/>
          <w:szCs w:val="20"/>
        </w:rPr>
        <w:t>te identificar, por un lado, cuá</w:t>
      </w:r>
      <w:r w:rsidRPr="00764430">
        <w:rPr>
          <w:rFonts w:ascii="Verdana" w:eastAsia="Verdana" w:hAnsi="Verdana" w:cs="Verdana"/>
          <w:sz w:val="20"/>
          <w:szCs w:val="20"/>
        </w:rPr>
        <w:t>ndo es posible vincular las acciones del Estado en materia de pr</w:t>
      </w:r>
      <w:r w:rsidR="00F66A08" w:rsidRPr="00764430">
        <w:rPr>
          <w:rFonts w:ascii="Verdana" w:eastAsia="Verdana" w:hAnsi="Verdana" w:cs="Verdana"/>
          <w:sz w:val="20"/>
          <w:szCs w:val="20"/>
        </w:rPr>
        <w:t xml:space="preserve">estación de servicios de salud </w:t>
      </w:r>
      <w:r w:rsidRPr="00764430">
        <w:rPr>
          <w:rFonts w:ascii="Verdana" w:eastAsia="Verdana" w:hAnsi="Verdana" w:cs="Verdana"/>
          <w:sz w:val="20"/>
          <w:szCs w:val="20"/>
        </w:rPr>
        <w:t xml:space="preserve">con la violación </w:t>
      </w:r>
      <w:r w:rsidR="008B0F90" w:rsidRPr="00764430">
        <w:rPr>
          <w:rFonts w:ascii="Verdana" w:eastAsia="Verdana" w:hAnsi="Verdana" w:cs="Verdana"/>
          <w:sz w:val="20"/>
          <w:szCs w:val="20"/>
        </w:rPr>
        <w:t xml:space="preserve">a la integridad personal para así declarar la violación de este derecho en relación con el artículo 26 de la Convención, como se hizo por ejemplo en </w:t>
      </w:r>
      <w:r w:rsidR="008B0F90" w:rsidRPr="00764430">
        <w:rPr>
          <w:rFonts w:ascii="Verdana" w:eastAsia="Verdana" w:hAnsi="Verdana" w:cs="Verdana"/>
          <w:i/>
          <w:sz w:val="20"/>
          <w:szCs w:val="20"/>
        </w:rPr>
        <w:t>Poblete Vilches</w:t>
      </w:r>
      <w:r w:rsidR="00B365E1" w:rsidRPr="00764430">
        <w:rPr>
          <w:rStyle w:val="Refdenotaalpie"/>
          <w:rFonts w:eastAsia="Verdana"/>
          <w:i/>
        </w:rPr>
        <w:footnoteReference w:id="15"/>
      </w:r>
      <w:r w:rsidR="00F458B4" w:rsidRPr="00764430">
        <w:rPr>
          <w:rFonts w:ascii="Verdana" w:eastAsia="Verdana" w:hAnsi="Verdana" w:cs="Verdana"/>
          <w:i/>
          <w:sz w:val="20"/>
          <w:szCs w:val="20"/>
        </w:rPr>
        <w:t xml:space="preserve"> </w:t>
      </w:r>
      <w:r w:rsidR="00F458B4" w:rsidRPr="00764430">
        <w:rPr>
          <w:rFonts w:ascii="Verdana" w:eastAsia="Verdana" w:hAnsi="Verdana" w:cs="Verdana"/>
          <w:sz w:val="20"/>
          <w:szCs w:val="20"/>
        </w:rPr>
        <w:t>y</w:t>
      </w:r>
      <w:r w:rsidR="00F458B4" w:rsidRPr="00764430">
        <w:rPr>
          <w:rFonts w:ascii="Verdana" w:eastAsia="Verdana" w:hAnsi="Verdana" w:cs="Verdana"/>
          <w:i/>
          <w:sz w:val="20"/>
          <w:szCs w:val="20"/>
        </w:rPr>
        <w:t xml:space="preserve"> </w:t>
      </w:r>
      <w:proofErr w:type="spellStart"/>
      <w:r w:rsidR="00F458B4" w:rsidRPr="00764430">
        <w:rPr>
          <w:rFonts w:ascii="Verdana" w:eastAsia="Verdana" w:hAnsi="Verdana" w:cs="Verdana"/>
          <w:i/>
          <w:sz w:val="20"/>
          <w:szCs w:val="20"/>
        </w:rPr>
        <w:t>Cuscul</w:t>
      </w:r>
      <w:proofErr w:type="spellEnd"/>
      <w:r w:rsidR="00F458B4" w:rsidRPr="00764430">
        <w:rPr>
          <w:rFonts w:ascii="Verdana" w:eastAsia="Verdana" w:hAnsi="Verdana" w:cs="Verdana"/>
          <w:i/>
          <w:sz w:val="20"/>
          <w:szCs w:val="20"/>
        </w:rPr>
        <w:t xml:space="preserve"> Pivaral</w:t>
      </w:r>
      <w:r w:rsidR="00B365E1" w:rsidRPr="00764430">
        <w:rPr>
          <w:rStyle w:val="Refdenotaalpie"/>
          <w:rFonts w:eastAsia="Verdana"/>
          <w:i/>
        </w:rPr>
        <w:footnoteReference w:id="16"/>
      </w:r>
      <w:r w:rsidR="00F458B4" w:rsidRPr="00764430">
        <w:rPr>
          <w:rFonts w:ascii="Verdana" w:eastAsia="Verdana" w:hAnsi="Verdana" w:cs="Verdana"/>
          <w:sz w:val="20"/>
          <w:szCs w:val="20"/>
        </w:rPr>
        <w:t xml:space="preserve">. </w:t>
      </w:r>
    </w:p>
    <w:p w14:paraId="287092D5" w14:textId="77777777" w:rsidR="00442A21" w:rsidRPr="00764430" w:rsidRDefault="00442A21" w:rsidP="00764430">
      <w:pPr>
        <w:pStyle w:val="Prrafodelista"/>
        <w:rPr>
          <w:rFonts w:ascii="Verdana" w:eastAsia="Verdana" w:hAnsi="Verdana" w:cs="Verdana"/>
          <w:sz w:val="20"/>
          <w:szCs w:val="20"/>
        </w:rPr>
      </w:pPr>
    </w:p>
    <w:p w14:paraId="35C48B7A" w14:textId="36D870EA" w:rsidR="00661E38" w:rsidRPr="00764430" w:rsidRDefault="00F458B4" w:rsidP="00764430">
      <w:pPr>
        <w:pStyle w:val="Prrafodelista"/>
        <w:numPr>
          <w:ilvl w:val="0"/>
          <w:numId w:val="9"/>
        </w:numPr>
        <w:autoSpaceDE w:val="0"/>
        <w:autoSpaceDN w:val="0"/>
        <w:adjustRightInd w:val="0"/>
        <w:spacing w:after="0" w:line="240" w:lineRule="auto"/>
        <w:ind w:left="0" w:firstLine="0"/>
        <w:jc w:val="both"/>
        <w:rPr>
          <w:rFonts w:ascii="Verdana" w:eastAsia="Verdana" w:hAnsi="Verdana"/>
          <w:bCs/>
          <w:sz w:val="20"/>
          <w:szCs w:val="20"/>
          <w:lang w:val="es-CR" w:eastAsia="x-none"/>
        </w:rPr>
      </w:pPr>
      <w:r w:rsidRPr="00764430">
        <w:rPr>
          <w:rFonts w:ascii="Verdana" w:eastAsia="Verdana" w:hAnsi="Verdana" w:cs="Verdana"/>
          <w:sz w:val="20"/>
          <w:szCs w:val="20"/>
        </w:rPr>
        <w:t xml:space="preserve">Desde </w:t>
      </w:r>
      <w:r w:rsidR="00B365E1" w:rsidRPr="00764430">
        <w:rPr>
          <w:rFonts w:ascii="Verdana" w:eastAsia="Verdana" w:hAnsi="Verdana" w:cs="Verdana"/>
          <w:sz w:val="20"/>
          <w:szCs w:val="20"/>
        </w:rPr>
        <w:t>esta perspectiva</w:t>
      </w:r>
      <w:r w:rsidRPr="00764430">
        <w:rPr>
          <w:rFonts w:ascii="Verdana" w:eastAsia="Verdana" w:hAnsi="Verdana" w:cs="Verdana"/>
          <w:sz w:val="20"/>
          <w:szCs w:val="20"/>
        </w:rPr>
        <w:t>, me parece útil el análisis del artículo 26</w:t>
      </w:r>
      <w:r w:rsidR="00B365E1" w:rsidRPr="00764430">
        <w:rPr>
          <w:rFonts w:ascii="Verdana" w:eastAsia="Verdana" w:hAnsi="Verdana" w:cs="Verdana"/>
          <w:sz w:val="20"/>
          <w:szCs w:val="20"/>
        </w:rPr>
        <w:t xml:space="preserve"> </w:t>
      </w:r>
      <w:r w:rsidRPr="00764430">
        <w:rPr>
          <w:rFonts w:ascii="Verdana" w:eastAsia="Verdana" w:hAnsi="Verdana" w:cs="Verdana"/>
          <w:sz w:val="20"/>
          <w:szCs w:val="20"/>
        </w:rPr>
        <w:t xml:space="preserve">en la medida en que permite ampliar el alcance de los propios derechos consagrados expresamente en la Convención y, en tal sentido, me </w:t>
      </w:r>
      <w:r w:rsidR="00B365E1" w:rsidRPr="00764430">
        <w:rPr>
          <w:rFonts w:ascii="Verdana" w:eastAsia="Verdana" w:hAnsi="Verdana" w:cs="Verdana"/>
          <w:sz w:val="20"/>
          <w:szCs w:val="20"/>
        </w:rPr>
        <w:t>resulta</w:t>
      </w:r>
      <w:r w:rsidRPr="00764430">
        <w:rPr>
          <w:rFonts w:ascii="Verdana" w:eastAsia="Verdana" w:hAnsi="Verdana" w:cs="Verdana"/>
          <w:sz w:val="20"/>
          <w:szCs w:val="20"/>
        </w:rPr>
        <w:t xml:space="preserve"> razonable la fórmula utilizada por los </w:t>
      </w:r>
      <w:r w:rsidRPr="00764430">
        <w:rPr>
          <w:rFonts w:ascii="Verdana" w:eastAsia="Verdana" w:hAnsi="Verdana" w:cs="Verdana"/>
          <w:sz w:val="20"/>
          <w:szCs w:val="20"/>
        </w:rPr>
        <w:lastRenderedPageBreak/>
        <w:t>puntos resolutivos de dichos casos para declarar la violación de la integridad personal y la vida en conexida</w:t>
      </w:r>
      <w:r w:rsidR="00B365E1" w:rsidRPr="00764430">
        <w:rPr>
          <w:rFonts w:ascii="Verdana" w:eastAsia="Verdana" w:hAnsi="Verdana" w:cs="Verdana"/>
          <w:sz w:val="20"/>
          <w:szCs w:val="20"/>
        </w:rPr>
        <w:t xml:space="preserve">d con el deber de progresividad. </w:t>
      </w:r>
      <w:r w:rsidR="00D503D9" w:rsidRPr="00764430">
        <w:rPr>
          <w:rFonts w:ascii="Verdana" w:eastAsia="Verdana" w:hAnsi="Verdana" w:cs="Verdana"/>
          <w:sz w:val="20"/>
          <w:szCs w:val="20"/>
        </w:rPr>
        <w:t>Finalmente</w:t>
      </w:r>
      <w:r w:rsidR="00B365E1" w:rsidRPr="00764430">
        <w:rPr>
          <w:rFonts w:ascii="Verdana" w:eastAsia="Verdana" w:hAnsi="Verdana" w:cs="Verdana"/>
          <w:sz w:val="20"/>
          <w:szCs w:val="20"/>
        </w:rPr>
        <w:t>, dicho enfoque permitiría también que la Corte evalúe directamente cuá</w:t>
      </w:r>
      <w:r w:rsidR="00661E38" w:rsidRPr="00764430">
        <w:rPr>
          <w:rFonts w:ascii="Verdana" w:eastAsia="Verdana" w:hAnsi="Verdana" w:cs="Verdana"/>
          <w:sz w:val="20"/>
          <w:szCs w:val="20"/>
        </w:rPr>
        <w:t>ndo la política pública en materia de DESCA en el Estado es</w:t>
      </w:r>
      <w:r w:rsidR="00B365E1" w:rsidRPr="00764430">
        <w:rPr>
          <w:rFonts w:ascii="Verdana" w:eastAsia="Verdana" w:hAnsi="Verdana" w:cs="Verdana"/>
          <w:sz w:val="20"/>
          <w:szCs w:val="20"/>
        </w:rPr>
        <w:t>,</w:t>
      </w:r>
      <w:r w:rsidR="00661E38" w:rsidRPr="00764430">
        <w:rPr>
          <w:rFonts w:ascii="Verdana" w:eastAsia="Verdana" w:hAnsi="Verdana" w:cs="Verdana"/>
          <w:sz w:val="20"/>
          <w:szCs w:val="20"/>
        </w:rPr>
        <w:t xml:space="preserve"> </w:t>
      </w:r>
      <w:r w:rsidR="00661E38" w:rsidRPr="00764430">
        <w:rPr>
          <w:rFonts w:ascii="Verdana" w:eastAsia="Verdana" w:hAnsi="Verdana" w:cs="Verdana"/>
          <w:i/>
          <w:sz w:val="20"/>
          <w:szCs w:val="20"/>
        </w:rPr>
        <w:t>per se</w:t>
      </w:r>
      <w:r w:rsidR="00B365E1" w:rsidRPr="00764430">
        <w:rPr>
          <w:rFonts w:ascii="Verdana" w:eastAsia="Verdana" w:hAnsi="Verdana" w:cs="Verdana"/>
          <w:sz w:val="20"/>
          <w:szCs w:val="20"/>
        </w:rPr>
        <w:t>,</w:t>
      </w:r>
      <w:r w:rsidR="00661E38" w:rsidRPr="00764430">
        <w:rPr>
          <w:rFonts w:ascii="Verdana" w:eastAsia="Verdana" w:hAnsi="Verdana" w:cs="Verdana"/>
          <w:sz w:val="20"/>
          <w:szCs w:val="20"/>
        </w:rPr>
        <w:t xml:space="preserve"> violatoria de las obligaciones de progresividad establecidas en el artículo 26 de la Convención</w:t>
      </w:r>
      <w:r w:rsidR="00661E38" w:rsidRPr="00764430">
        <w:rPr>
          <w:rStyle w:val="Refdenotaalpie"/>
          <w:rFonts w:eastAsia="Times"/>
          <w:sz w:val="20"/>
          <w:szCs w:val="20"/>
          <w:lang w:val="es-MX"/>
        </w:rPr>
        <w:footnoteReference w:id="17"/>
      </w:r>
      <w:r w:rsidR="00661E38" w:rsidRPr="00764430">
        <w:rPr>
          <w:rFonts w:ascii="Verdana" w:eastAsia="Verdana" w:hAnsi="Verdana" w:cs="Verdana"/>
          <w:sz w:val="20"/>
          <w:szCs w:val="20"/>
        </w:rPr>
        <w:t>.</w:t>
      </w:r>
      <w:r w:rsidR="00F66A08" w:rsidRPr="00764430">
        <w:rPr>
          <w:rFonts w:ascii="Verdana" w:eastAsia="Verdana" w:hAnsi="Verdana" w:cs="Verdana"/>
          <w:sz w:val="20"/>
          <w:szCs w:val="20"/>
        </w:rPr>
        <w:t xml:space="preserve"> </w:t>
      </w:r>
    </w:p>
    <w:p w14:paraId="435A7C31" w14:textId="77777777" w:rsidR="00442A21" w:rsidRPr="00764430" w:rsidRDefault="00442A21" w:rsidP="00764430">
      <w:pPr>
        <w:autoSpaceDE w:val="0"/>
        <w:autoSpaceDN w:val="0"/>
        <w:adjustRightInd w:val="0"/>
        <w:spacing w:after="0" w:line="240" w:lineRule="auto"/>
        <w:jc w:val="both"/>
        <w:rPr>
          <w:rFonts w:ascii="Verdana" w:eastAsia="Verdana" w:hAnsi="Verdana" w:cs="Verdana"/>
          <w:sz w:val="20"/>
          <w:szCs w:val="20"/>
        </w:rPr>
      </w:pPr>
    </w:p>
    <w:p w14:paraId="5027A607" w14:textId="20A62E61" w:rsidR="00661E38" w:rsidRPr="00764430" w:rsidRDefault="00D052D9" w:rsidP="00764430">
      <w:pPr>
        <w:autoSpaceDE w:val="0"/>
        <w:autoSpaceDN w:val="0"/>
        <w:adjustRightInd w:val="0"/>
        <w:spacing w:after="0" w:line="240" w:lineRule="auto"/>
        <w:jc w:val="both"/>
        <w:rPr>
          <w:rFonts w:ascii="Verdana" w:hAnsi="Verdana" w:cs="Times New Roman"/>
          <w:b/>
          <w:color w:val="000000"/>
          <w:sz w:val="20"/>
          <w:szCs w:val="20"/>
          <w:lang w:val="es-CR"/>
        </w:rPr>
      </w:pPr>
      <w:r w:rsidRPr="00764430">
        <w:rPr>
          <w:rFonts w:ascii="Verdana" w:hAnsi="Verdana" w:cs="Times New Roman"/>
          <w:b/>
          <w:color w:val="000000"/>
          <w:sz w:val="20"/>
          <w:szCs w:val="20"/>
        </w:rPr>
        <w:t xml:space="preserve">III. </w:t>
      </w:r>
      <w:r w:rsidR="00661E38" w:rsidRPr="00764430">
        <w:rPr>
          <w:rFonts w:ascii="Verdana" w:hAnsi="Verdana" w:cs="Times New Roman"/>
          <w:b/>
          <w:color w:val="000000"/>
          <w:sz w:val="20"/>
          <w:szCs w:val="20"/>
          <w:lang w:val="es-CR"/>
        </w:rPr>
        <w:t xml:space="preserve">Inversión de la carga de la prueba en casos de </w:t>
      </w:r>
      <w:r w:rsidR="00D503D9" w:rsidRPr="00764430">
        <w:rPr>
          <w:rFonts w:ascii="Verdana" w:hAnsi="Verdana" w:cs="Times New Roman"/>
          <w:b/>
          <w:color w:val="000000"/>
          <w:sz w:val="20"/>
          <w:szCs w:val="20"/>
          <w:lang w:val="es-CR"/>
        </w:rPr>
        <w:t>relaciones de especial sujeción</w:t>
      </w:r>
    </w:p>
    <w:p w14:paraId="37CDDD6B" w14:textId="77777777" w:rsidR="00442A21" w:rsidRPr="00764430" w:rsidRDefault="00442A21" w:rsidP="00764430">
      <w:pPr>
        <w:autoSpaceDE w:val="0"/>
        <w:autoSpaceDN w:val="0"/>
        <w:adjustRightInd w:val="0"/>
        <w:spacing w:after="0" w:line="240" w:lineRule="auto"/>
        <w:jc w:val="both"/>
        <w:rPr>
          <w:rFonts w:ascii="Verdana" w:hAnsi="Verdana" w:cs="Times New Roman"/>
          <w:color w:val="000000"/>
          <w:sz w:val="20"/>
          <w:szCs w:val="20"/>
          <w:lang w:val="es-CR"/>
        </w:rPr>
      </w:pPr>
    </w:p>
    <w:p w14:paraId="1C194B2A" w14:textId="559A83E7" w:rsidR="00661E38" w:rsidRPr="00764430" w:rsidRDefault="00D16644" w:rsidP="00764430">
      <w:pPr>
        <w:pStyle w:val="Prrafodelista"/>
        <w:numPr>
          <w:ilvl w:val="0"/>
          <w:numId w:val="9"/>
        </w:numPr>
        <w:autoSpaceDE w:val="0"/>
        <w:autoSpaceDN w:val="0"/>
        <w:adjustRightInd w:val="0"/>
        <w:spacing w:after="0" w:line="240" w:lineRule="auto"/>
        <w:ind w:left="0" w:firstLine="0"/>
        <w:jc w:val="both"/>
        <w:rPr>
          <w:rFonts w:ascii="Verdana" w:hAnsi="Verdana" w:cs="Times New Roman"/>
          <w:color w:val="000000"/>
          <w:sz w:val="20"/>
          <w:szCs w:val="20"/>
          <w:lang w:val="es-CR"/>
        </w:rPr>
      </w:pPr>
      <w:r w:rsidRPr="00764430">
        <w:rPr>
          <w:rFonts w:ascii="Verdana" w:hAnsi="Verdana" w:cs="Times New Roman"/>
          <w:color w:val="000000"/>
          <w:sz w:val="20"/>
          <w:szCs w:val="20"/>
          <w:lang w:val="es-CR"/>
        </w:rPr>
        <w:t>L</w:t>
      </w:r>
      <w:r w:rsidR="00661E38" w:rsidRPr="00764430">
        <w:rPr>
          <w:rFonts w:ascii="Verdana" w:hAnsi="Verdana" w:cs="Times New Roman"/>
          <w:color w:val="000000"/>
          <w:sz w:val="20"/>
          <w:szCs w:val="20"/>
          <w:lang w:val="es-CR"/>
        </w:rPr>
        <w:t xml:space="preserve">a Sentencia </w:t>
      </w:r>
      <w:r w:rsidR="00B365E1" w:rsidRPr="00764430">
        <w:rPr>
          <w:rFonts w:ascii="Verdana" w:hAnsi="Verdana" w:cs="Times New Roman"/>
          <w:color w:val="000000"/>
          <w:sz w:val="20"/>
          <w:szCs w:val="20"/>
          <w:lang w:val="es-CR"/>
        </w:rPr>
        <w:t xml:space="preserve">afirma que en el caso “(…) </w:t>
      </w:r>
      <w:r w:rsidR="00661E38" w:rsidRPr="00764430">
        <w:rPr>
          <w:rFonts w:ascii="Verdana" w:hAnsi="Verdana" w:cs="Times New Roman"/>
          <w:color w:val="000000"/>
          <w:sz w:val="20"/>
          <w:szCs w:val="20"/>
          <w:lang w:val="es-MX"/>
        </w:rPr>
        <w:t>no está controvertido que el daño sufrido en la salud por parte del señor Hernández tiene un nexo causal con la enfermedad que padeció mientras estuvo bajo la custodia estatal, y correspondía al Estado aportar elementos probatorios que demostrasen la provisión de un tratamiento adecuado y oportuno mientras la presunta víctima estuvo privada de su libertad, lo cual no ocurrió en el presente caso</w:t>
      </w:r>
      <w:r w:rsidR="00661E38" w:rsidRPr="00764430">
        <w:rPr>
          <w:rFonts w:ascii="Verdana" w:hAnsi="Verdana" w:cs="Times New Roman"/>
          <w:color w:val="000000"/>
          <w:sz w:val="20"/>
          <w:szCs w:val="20"/>
          <w:lang w:val="es-CR"/>
        </w:rPr>
        <w:t>”. Considero importante hacer énfasis en que esta inve</w:t>
      </w:r>
      <w:r w:rsidR="00992634" w:rsidRPr="00764430">
        <w:rPr>
          <w:rFonts w:ascii="Verdana" w:hAnsi="Verdana" w:cs="Times New Roman"/>
          <w:color w:val="000000"/>
          <w:sz w:val="20"/>
          <w:szCs w:val="20"/>
          <w:lang w:val="es-CR"/>
        </w:rPr>
        <w:t xml:space="preserve">rsión de la carga de la prueba </w:t>
      </w:r>
      <w:r w:rsidR="00661E38" w:rsidRPr="00764430">
        <w:rPr>
          <w:rFonts w:ascii="Verdana" w:hAnsi="Verdana" w:cs="Times New Roman"/>
          <w:color w:val="000000"/>
          <w:sz w:val="20"/>
          <w:szCs w:val="20"/>
          <w:lang w:val="es-CR"/>
        </w:rPr>
        <w:t>en relación con la responsabilidad internacional del Estado, se corresponde con un criterio ampliamente desarrollado por la Corte</w:t>
      </w:r>
      <w:r w:rsidR="00661E38" w:rsidRPr="00764430">
        <w:rPr>
          <w:rStyle w:val="Refdenotaalpie"/>
          <w:color w:val="000000"/>
          <w:sz w:val="20"/>
          <w:szCs w:val="20"/>
          <w:lang w:val="es-CR"/>
        </w:rPr>
        <w:footnoteReference w:id="18"/>
      </w:r>
      <w:r w:rsidR="00661E38" w:rsidRPr="00764430">
        <w:rPr>
          <w:rFonts w:ascii="Verdana" w:hAnsi="Verdana" w:cs="Times New Roman"/>
          <w:color w:val="000000"/>
          <w:sz w:val="20"/>
          <w:szCs w:val="20"/>
          <w:lang w:val="es-CR"/>
        </w:rPr>
        <w:t xml:space="preserve">, que solo se justifica dada </w:t>
      </w:r>
      <w:r w:rsidR="0092771D" w:rsidRPr="00764430">
        <w:rPr>
          <w:rFonts w:ascii="Verdana" w:hAnsi="Verdana" w:cs="Times New Roman"/>
          <w:color w:val="000000"/>
          <w:sz w:val="20"/>
          <w:szCs w:val="20"/>
          <w:lang w:val="es-CR"/>
        </w:rPr>
        <w:t>l</w:t>
      </w:r>
      <w:r w:rsidR="00661E38" w:rsidRPr="00764430">
        <w:rPr>
          <w:rFonts w:ascii="Verdana" w:hAnsi="Verdana" w:cs="Times New Roman"/>
          <w:color w:val="000000"/>
          <w:sz w:val="20"/>
          <w:szCs w:val="20"/>
          <w:lang w:val="es-CR"/>
        </w:rPr>
        <w:t xml:space="preserve">a relación de especial sujeción en la cual se encontraba el señor Hernández por su condición de persona privada de la libertad. La aclaración resulta pertinente, sobre todo porque esta consideración fue por primera vez fundamento de la declaración de responsabilidad por vulneración del derecho a la salud, y no a la integridad personal. Lo anterior no debe desdibujar los objetivos concretos de la previsión jurisprudencial, ni tener efectos en casos posteriores donde no se cumplan estrictamente los criterios que fundamentan esta relación entre los individuos y el Estado. </w:t>
      </w:r>
    </w:p>
    <w:p w14:paraId="4FED806F" w14:textId="77777777" w:rsidR="00C85E4F" w:rsidRPr="00764430" w:rsidRDefault="00C85E4F" w:rsidP="00764430">
      <w:pPr>
        <w:pStyle w:val="Prrafodelista"/>
        <w:autoSpaceDE w:val="0"/>
        <w:autoSpaceDN w:val="0"/>
        <w:adjustRightInd w:val="0"/>
        <w:spacing w:after="0" w:line="240" w:lineRule="auto"/>
        <w:ind w:left="0"/>
        <w:jc w:val="both"/>
        <w:rPr>
          <w:rFonts w:ascii="Verdana" w:hAnsi="Verdana" w:cs="Times New Roman"/>
          <w:color w:val="000000"/>
          <w:sz w:val="20"/>
          <w:szCs w:val="20"/>
          <w:lang w:val="es-CR"/>
        </w:rPr>
      </w:pPr>
    </w:p>
    <w:p w14:paraId="61BF064C" w14:textId="3E13E325" w:rsidR="00D503D9" w:rsidRPr="00764430" w:rsidRDefault="00FC3320" w:rsidP="00764430">
      <w:pPr>
        <w:autoSpaceDE w:val="0"/>
        <w:autoSpaceDN w:val="0"/>
        <w:adjustRightInd w:val="0"/>
        <w:spacing w:after="0" w:line="240" w:lineRule="auto"/>
        <w:jc w:val="both"/>
        <w:rPr>
          <w:rFonts w:ascii="Verdana" w:hAnsi="Verdana" w:cs="Times New Roman"/>
          <w:b/>
          <w:color w:val="000000"/>
          <w:sz w:val="20"/>
          <w:szCs w:val="20"/>
          <w:lang w:val="es-CR"/>
        </w:rPr>
      </w:pPr>
      <w:r w:rsidRPr="00764430">
        <w:rPr>
          <w:rFonts w:ascii="Verdana" w:hAnsi="Verdana" w:cs="Times New Roman"/>
          <w:b/>
          <w:color w:val="000000"/>
          <w:sz w:val="20"/>
          <w:szCs w:val="20"/>
          <w:lang w:val="es-CR"/>
        </w:rPr>
        <w:t xml:space="preserve">IV. </w:t>
      </w:r>
      <w:r w:rsidR="00D503D9" w:rsidRPr="00764430">
        <w:rPr>
          <w:rFonts w:ascii="Verdana" w:hAnsi="Verdana" w:cs="Times New Roman"/>
          <w:b/>
          <w:color w:val="000000"/>
          <w:sz w:val="20"/>
          <w:szCs w:val="20"/>
          <w:lang w:val="es-CR"/>
        </w:rPr>
        <w:t>Cambio abrupto en la modalidad de declaración de las violaciones en los puntos resolutivos</w:t>
      </w:r>
    </w:p>
    <w:p w14:paraId="65651556" w14:textId="77777777" w:rsidR="00C85E4F" w:rsidRPr="00764430" w:rsidRDefault="00C85E4F" w:rsidP="00764430">
      <w:pPr>
        <w:autoSpaceDE w:val="0"/>
        <w:autoSpaceDN w:val="0"/>
        <w:adjustRightInd w:val="0"/>
        <w:spacing w:after="0" w:line="240" w:lineRule="auto"/>
        <w:jc w:val="both"/>
        <w:rPr>
          <w:rFonts w:ascii="Verdana" w:hAnsi="Verdana" w:cs="Times New Roman"/>
          <w:b/>
          <w:color w:val="000000"/>
          <w:sz w:val="20"/>
          <w:szCs w:val="20"/>
          <w:lang w:val="es-CR"/>
        </w:rPr>
      </w:pPr>
    </w:p>
    <w:p w14:paraId="0C2BA029" w14:textId="77777777" w:rsidR="00FC3320" w:rsidRPr="00764430" w:rsidRDefault="00D503D9" w:rsidP="00764430">
      <w:pPr>
        <w:pStyle w:val="Prrafodelista"/>
        <w:numPr>
          <w:ilvl w:val="0"/>
          <w:numId w:val="9"/>
        </w:numPr>
        <w:autoSpaceDE w:val="0"/>
        <w:autoSpaceDN w:val="0"/>
        <w:adjustRightInd w:val="0"/>
        <w:spacing w:after="0" w:line="240" w:lineRule="auto"/>
        <w:ind w:left="0" w:firstLine="0"/>
        <w:jc w:val="both"/>
        <w:rPr>
          <w:rStyle w:val="Textoennegrita"/>
          <w:rFonts w:ascii="Verdana" w:hAnsi="Verdana" w:cstheme="minorHAnsi"/>
          <w:b w:val="0"/>
          <w:color w:val="000000"/>
          <w:sz w:val="20"/>
          <w:szCs w:val="20"/>
        </w:rPr>
      </w:pPr>
      <w:r w:rsidRPr="00764430">
        <w:rPr>
          <w:rFonts w:ascii="Verdana" w:hAnsi="Verdana" w:cs="Times New Roman"/>
          <w:color w:val="000000"/>
          <w:sz w:val="20"/>
          <w:szCs w:val="20"/>
          <w:lang w:val="es-CR"/>
        </w:rPr>
        <w:t>Los problemas resaltados en la sección II de este voto</w:t>
      </w:r>
      <w:r w:rsidR="00C85E4F" w:rsidRPr="00764430">
        <w:rPr>
          <w:rFonts w:ascii="Verdana" w:hAnsi="Verdana" w:cs="Times New Roman"/>
          <w:color w:val="000000"/>
          <w:sz w:val="20"/>
          <w:szCs w:val="20"/>
          <w:lang w:val="es-CR"/>
        </w:rPr>
        <w:t xml:space="preserve"> </w:t>
      </w:r>
      <w:r w:rsidR="0066336C" w:rsidRPr="00764430">
        <w:rPr>
          <w:rFonts w:ascii="Verdana" w:hAnsi="Verdana" w:cs="Times New Roman"/>
          <w:color w:val="000000"/>
          <w:sz w:val="20"/>
          <w:szCs w:val="20"/>
          <w:lang w:val="es-CR"/>
        </w:rPr>
        <w:t>–que he recalcado reiteradamente en otros votos-</w:t>
      </w:r>
      <w:r w:rsidRPr="00764430">
        <w:rPr>
          <w:rFonts w:ascii="Verdana" w:hAnsi="Verdana" w:cs="Times New Roman"/>
          <w:color w:val="000000"/>
          <w:sz w:val="20"/>
          <w:szCs w:val="20"/>
          <w:lang w:val="es-CR"/>
        </w:rPr>
        <w:t xml:space="preserve"> han derivado en una multiplicidad de modalidades para declarar las violaciones en los puntos resolutivos</w:t>
      </w:r>
      <w:r w:rsidR="0092771D" w:rsidRPr="00764430">
        <w:rPr>
          <w:rFonts w:ascii="Verdana" w:hAnsi="Verdana" w:cs="Times New Roman"/>
          <w:color w:val="000000"/>
          <w:sz w:val="20"/>
          <w:szCs w:val="20"/>
          <w:lang w:val="es-CR"/>
        </w:rPr>
        <w:t xml:space="preserve"> que, por la falta de motivos que justifiquen los cambios en uno y otro caso, pareciera obedecer más al ánimo de la mayoría que a un ejercicio reflexivo por parte de la Corte</w:t>
      </w:r>
      <w:r w:rsidRPr="00764430">
        <w:rPr>
          <w:rFonts w:ascii="Verdana" w:hAnsi="Verdana" w:cs="Times New Roman"/>
          <w:color w:val="000000"/>
          <w:sz w:val="20"/>
          <w:szCs w:val="20"/>
          <w:lang w:val="es-CR"/>
        </w:rPr>
        <w:t>. Como</w:t>
      </w:r>
      <w:r w:rsidR="0092771D" w:rsidRPr="00764430">
        <w:rPr>
          <w:rFonts w:ascii="Verdana" w:hAnsi="Verdana" w:cs="Times New Roman"/>
          <w:color w:val="000000"/>
          <w:sz w:val="20"/>
          <w:szCs w:val="20"/>
          <w:lang w:val="es-CR"/>
        </w:rPr>
        <w:t xml:space="preserve"> señalé en mi voto respecto al caso </w:t>
      </w:r>
      <w:r w:rsidR="0092771D" w:rsidRPr="00764430">
        <w:rPr>
          <w:rStyle w:val="Textoennegrita"/>
          <w:rFonts w:ascii="Verdana" w:hAnsi="Verdana" w:cstheme="minorHAnsi"/>
          <w:b w:val="0"/>
          <w:i/>
          <w:color w:val="000000"/>
          <w:sz w:val="20"/>
          <w:szCs w:val="20"/>
        </w:rPr>
        <w:t>Asociación Nacional de Cesantes y Jubilados de la Superintendencia Nacional de Administración Tributaria (ANCEJUB-SUNAT) Vs. Perú</w:t>
      </w:r>
      <w:r w:rsidR="00BD1743" w:rsidRPr="00764430">
        <w:rPr>
          <w:rStyle w:val="Textoennegrita"/>
          <w:rFonts w:ascii="Verdana" w:hAnsi="Verdana" w:cstheme="minorHAnsi"/>
          <w:b w:val="0"/>
          <w:i/>
          <w:color w:val="000000"/>
          <w:sz w:val="20"/>
          <w:szCs w:val="20"/>
        </w:rPr>
        <w:t xml:space="preserve">, </w:t>
      </w:r>
      <w:r w:rsidR="00BD1743" w:rsidRPr="00764430">
        <w:rPr>
          <w:rStyle w:val="Textoennegrita"/>
          <w:rFonts w:ascii="Verdana" w:hAnsi="Verdana" w:cstheme="minorHAnsi"/>
          <w:b w:val="0"/>
          <w:color w:val="000000"/>
          <w:sz w:val="20"/>
          <w:szCs w:val="20"/>
        </w:rPr>
        <w:t xml:space="preserve">en esa ocasión se agruparon todas las violaciones declaradas en un mismo punto resolutivo. Sin embargo, en el caso </w:t>
      </w:r>
      <w:r w:rsidR="00BD1743" w:rsidRPr="00764430">
        <w:rPr>
          <w:rStyle w:val="Textoennegrita"/>
          <w:rFonts w:ascii="Verdana" w:hAnsi="Verdana" w:cstheme="minorHAnsi"/>
          <w:b w:val="0"/>
          <w:i/>
          <w:color w:val="000000"/>
          <w:sz w:val="20"/>
          <w:szCs w:val="20"/>
        </w:rPr>
        <w:t xml:space="preserve">Hernández </w:t>
      </w:r>
      <w:r w:rsidR="00BD1743" w:rsidRPr="00764430">
        <w:rPr>
          <w:rStyle w:val="Textoennegrita"/>
          <w:rFonts w:ascii="Verdana" w:hAnsi="Verdana" w:cstheme="minorHAnsi"/>
          <w:b w:val="0"/>
          <w:color w:val="000000"/>
          <w:sz w:val="20"/>
          <w:szCs w:val="20"/>
        </w:rPr>
        <w:t>se colocó la violación de la integridad personal y de la salud en puntos resolutivos distintos, pero repitiendo la vulneración del primero</w:t>
      </w:r>
      <w:r w:rsidR="0066336C" w:rsidRPr="00764430">
        <w:rPr>
          <w:rStyle w:val="Textoennegrita"/>
          <w:rFonts w:ascii="Verdana" w:hAnsi="Verdana" w:cstheme="minorHAnsi"/>
          <w:b w:val="0"/>
          <w:color w:val="000000"/>
          <w:sz w:val="20"/>
          <w:szCs w:val="20"/>
        </w:rPr>
        <w:t xml:space="preserve"> en la declaración del segundo.</w:t>
      </w:r>
    </w:p>
    <w:p w14:paraId="61109E6C" w14:textId="77777777" w:rsidR="00FC3320" w:rsidRPr="00764430" w:rsidRDefault="00FC3320" w:rsidP="00764430">
      <w:pPr>
        <w:pStyle w:val="Prrafodelista"/>
        <w:autoSpaceDE w:val="0"/>
        <w:autoSpaceDN w:val="0"/>
        <w:adjustRightInd w:val="0"/>
        <w:spacing w:after="0" w:line="240" w:lineRule="auto"/>
        <w:ind w:left="0"/>
        <w:jc w:val="both"/>
        <w:rPr>
          <w:rStyle w:val="Textoennegrita"/>
          <w:rFonts w:ascii="Verdana" w:hAnsi="Verdana" w:cstheme="minorHAnsi"/>
          <w:b w:val="0"/>
          <w:color w:val="000000"/>
          <w:sz w:val="20"/>
          <w:szCs w:val="20"/>
        </w:rPr>
      </w:pPr>
    </w:p>
    <w:p w14:paraId="48E69181" w14:textId="38C9B8EE" w:rsidR="00CD47FC" w:rsidRPr="00764430" w:rsidRDefault="00B61200" w:rsidP="00764430">
      <w:pPr>
        <w:pStyle w:val="Prrafodelista"/>
        <w:numPr>
          <w:ilvl w:val="0"/>
          <w:numId w:val="9"/>
        </w:numPr>
        <w:autoSpaceDE w:val="0"/>
        <w:autoSpaceDN w:val="0"/>
        <w:adjustRightInd w:val="0"/>
        <w:spacing w:after="0" w:line="240" w:lineRule="auto"/>
        <w:ind w:left="0" w:firstLine="0"/>
        <w:jc w:val="both"/>
        <w:rPr>
          <w:rStyle w:val="Textoennegrita"/>
          <w:rFonts w:ascii="Verdana" w:hAnsi="Verdana" w:cstheme="minorHAnsi"/>
          <w:b w:val="0"/>
          <w:color w:val="000000"/>
          <w:sz w:val="20"/>
          <w:szCs w:val="20"/>
        </w:rPr>
      </w:pPr>
      <w:r w:rsidRPr="00764430">
        <w:rPr>
          <w:rStyle w:val="Textoennegrita"/>
          <w:rFonts w:ascii="Verdana" w:hAnsi="Verdana" w:cstheme="minorHAnsi"/>
          <w:b w:val="0"/>
          <w:color w:val="000000"/>
          <w:sz w:val="20"/>
          <w:szCs w:val="20"/>
        </w:rPr>
        <w:t>Ante</w:t>
      </w:r>
      <w:r w:rsidR="00BD1743" w:rsidRPr="00764430">
        <w:rPr>
          <w:rStyle w:val="Textoennegrita"/>
          <w:rFonts w:ascii="Verdana" w:hAnsi="Verdana" w:cstheme="minorHAnsi"/>
          <w:b w:val="0"/>
          <w:color w:val="000000"/>
          <w:sz w:val="20"/>
          <w:szCs w:val="20"/>
        </w:rPr>
        <w:t xml:space="preserve"> lo abrupto de tales cambios (debe recordarse que ambas sentencias </w:t>
      </w:r>
      <w:r w:rsidR="0066336C" w:rsidRPr="00764430">
        <w:rPr>
          <w:rStyle w:val="Textoennegrita"/>
          <w:rFonts w:ascii="Verdana" w:hAnsi="Verdana" w:cstheme="minorHAnsi"/>
          <w:b w:val="0"/>
          <w:color w:val="000000"/>
          <w:sz w:val="20"/>
          <w:szCs w:val="20"/>
        </w:rPr>
        <w:t xml:space="preserve">votadas con un </w:t>
      </w:r>
      <w:r w:rsidR="00CD47FC" w:rsidRPr="00764430">
        <w:rPr>
          <w:rStyle w:val="Textoennegrita"/>
          <w:rFonts w:ascii="Verdana" w:hAnsi="Verdana" w:cstheme="minorHAnsi"/>
          <w:b w:val="0"/>
          <w:color w:val="000000"/>
          <w:sz w:val="20"/>
          <w:szCs w:val="20"/>
        </w:rPr>
        <w:t>día</w:t>
      </w:r>
      <w:r w:rsidR="0066336C" w:rsidRPr="00764430">
        <w:rPr>
          <w:rStyle w:val="Textoennegrita"/>
          <w:rFonts w:ascii="Verdana" w:hAnsi="Verdana" w:cstheme="minorHAnsi"/>
          <w:b w:val="0"/>
          <w:color w:val="000000"/>
          <w:sz w:val="20"/>
          <w:szCs w:val="20"/>
        </w:rPr>
        <w:t xml:space="preserve"> de diferencia</w:t>
      </w:r>
      <w:r w:rsidR="00BD1743" w:rsidRPr="00764430">
        <w:rPr>
          <w:rStyle w:val="Textoennegrita"/>
          <w:rFonts w:ascii="Verdana" w:hAnsi="Verdana" w:cstheme="minorHAnsi"/>
          <w:b w:val="0"/>
          <w:color w:val="000000"/>
          <w:sz w:val="20"/>
          <w:szCs w:val="20"/>
        </w:rPr>
        <w:t>), hay que preguntarse por qué</w:t>
      </w:r>
      <w:r w:rsidRPr="00764430">
        <w:rPr>
          <w:rStyle w:val="Textoennegrita"/>
          <w:rFonts w:ascii="Verdana" w:hAnsi="Verdana" w:cstheme="minorHAnsi"/>
          <w:b w:val="0"/>
          <w:color w:val="000000"/>
          <w:sz w:val="20"/>
          <w:szCs w:val="20"/>
        </w:rPr>
        <w:t>,</w:t>
      </w:r>
      <w:r w:rsidR="00BD1743" w:rsidRPr="00764430">
        <w:rPr>
          <w:rStyle w:val="Textoennegrita"/>
          <w:rFonts w:ascii="Verdana" w:hAnsi="Verdana" w:cstheme="minorHAnsi"/>
          <w:b w:val="0"/>
          <w:color w:val="000000"/>
          <w:sz w:val="20"/>
          <w:szCs w:val="20"/>
        </w:rPr>
        <w:t xml:space="preserve"> si ambos abordan la violación del artículo 26</w:t>
      </w:r>
      <w:r w:rsidRPr="00764430">
        <w:rPr>
          <w:rStyle w:val="Textoennegrita"/>
          <w:rFonts w:ascii="Verdana" w:hAnsi="Verdana" w:cstheme="minorHAnsi"/>
          <w:b w:val="0"/>
          <w:color w:val="000000"/>
          <w:sz w:val="20"/>
          <w:szCs w:val="20"/>
        </w:rPr>
        <w:t xml:space="preserve"> de modo autónomo, en </w:t>
      </w:r>
      <w:r w:rsidRPr="00764430">
        <w:rPr>
          <w:rStyle w:val="Textoennegrita"/>
          <w:rFonts w:ascii="Verdana" w:hAnsi="Verdana" w:cstheme="minorHAnsi"/>
          <w:b w:val="0"/>
          <w:i/>
          <w:color w:val="000000"/>
          <w:sz w:val="20"/>
          <w:szCs w:val="20"/>
        </w:rPr>
        <w:t xml:space="preserve">Hernández </w:t>
      </w:r>
      <w:r w:rsidRPr="00764430">
        <w:rPr>
          <w:rStyle w:val="Textoennegrita"/>
          <w:rFonts w:ascii="Verdana" w:hAnsi="Verdana" w:cstheme="minorHAnsi"/>
          <w:b w:val="0"/>
          <w:color w:val="000000"/>
          <w:sz w:val="20"/>
          <w:szCs w:val="20"/>
        </w:rPr>
        <w:t>la Corte declaró la vulneración del derecho a la salud junto a la de la integridad personal, reitera</w:t>
      </w:r>
      <w:r w:rsidR="00CD47FC" w:rsidRPr="00764430">
        <w:rPr>
          <w:rStyle w:val="Textoennegrita"/>
          <w:rFonts w:ascii="Verdana" w:hAnsi="Verdana" w:cstheme="minorHAnsi"/>
          <w:b w:val="0"/>
          <w:color w:val="000000"/>
          <w:sz w:val="20"/>
          <w:szCs w:val="20"/>
        </w:rPr>
        <w:t>n</w:t>
      </w:r>
      <w:r w:rsidRPr="00764430">
        <w:rPr>
          <w:rStyle w:val="Textoennegrita"/>
          <w:rFonts w:ascii="Verdana" w:hAnsi="Verdana" w:cstheme="minorHAnsi"/>
          <w:b w:val="0"/>
          <w:color w:val="000000"/>
          <w:sz w:val="20"/>
          <w:szCs w:val="20"/>
        </w:rPr>
        <w:t xml:space="preserve">do dos </w:t>
      </w:r>
      <w:r w:rsidRPr="00764430">
        <w:rPr>
          <w:rStyle w:val="Textoennegrita"/>
          <w:rFonts w:ascii="Verdana" w:hAnsi="Verdana" w:cstheme="minorHAnsi"/>
          <w:b w:val="0"/>
          <w:color w:val="000000"/>
          <w:sz w:val="20"/>
          <w:szCs w:val="20"/>
        </w:rPr>
        <w:lastRenderedPageBreak/>
        <w:t xml:space="preserve">veces </w:t>
      </w:r>
      <w:proofErr w:type="gramStart"/>
      <w:r w:rsidRPr="00764430">
        <w:rPr>
          <w:rStyle w:val="Textoennegrita"/>
          <w:rFonts w:ascii="Verdana" w:hAnsi="Verdana" w:cstheme="minorHAnsi"/>
          <w:b w:val="0"/>
          <w:color w:val="000000"/>
          <w:sz w:val="20"/>
          <w:szCs w:val="20"/>
        </w:rPr>
        <w:t>las declaración</w:t>
      </w:r>
      <w:proofErr w:type="gramEnd"/>
      <w:r w:rsidRPr="00764430">
        <w:rPr>
          <w:rStyle w:val="Textoennegrita"/>
          <w:rFonts w:ascii="Verdana" w:hAnsi="Verdana" w:cstheme="minorHAnsi"/>
          <w:b w:val="0"/>
          <w:color w:val="000000"/>
          <w:sz w:val="20"/>
          <w:szCs w:val="20"/>
        </w:rPr>
        <w:t xml:space="preserve"> de responsabilidad respecto a este último. Como fue </w:t>
      </w:r>
      <w:r w:rsidR="00D17863" w:rsidRPr="00764430">
        <w:rPr>
          <w:rStyle w:val="Textoennegrita"/>
          <w:rFonts w:ascii="Verdana" w:hAnsi="Verdana" w:cstheme="minorHAnsi"/>
          <w:b w:val="0"/>
          <w:color w:val="000000"/>
          <w:sz w:val="20"/>
          <w:szCs w:val="20"/>
        </w:rPr>
        <w:t>redactado, el punto resolutivo 3</w:t>
      </w:r>
      <w:r w:rsidRPr="00764430">
        <w:rPr>
          <w:rStyle w:val="Textoennegrita"/>
          <w:rFonts w:ascii="Verdana" w:hAnsi="Verdana" w:cstheme="minorHAnsi"/>
          <w:b w:val="0"/>
          <w:color w:val="000000"/>
          <w:sz w:val="20"/>
          <w:szCs w:val="20"/>
        </w:rPr>
        <w:t xml:space="preserve"> parece </w:t>
      </w:r>
      <w:r w:rsidR="00454B7E" w:rsidRPr="00764430">
        <w:rPr>
          <w:rStyle w:val="Textoennegrita"/>
          <w:rFonts w:ascii="Verdana" w:hAnsi="Verdana" w:cstheme="minorHAnsi"/>
          <w:b w:val="0"/>
          <w:color w:val="000000"/>
          <w:sz w:val="20"/>
          <w:szCs w:val="20"/>
        </w:rPr>
        <w:t xml:space="preserve">entrever </w:t>
      </w:r>
      <w:r w:rsidRPr="00764430">
        <w:rPr>
          <w:rStyle w:val="Textoennegrita"/>
          <w:rFonts w:ascii="Verdana" w:hAnsi="Verdana" w:cstheme="minorHAnsi"/>
          <w:b w:val="0"/>
          <w:color w:val="000000"/>
          <w:sz w:val="20"/>
          <w:szCs w:val="20"/>
        </w:rPr>
        <w:t>que la violación del derecho a la salud no puede subsistir por sí misma, sino en conexidad con la del derecho a la integridad personal, que es justamente lo que se había hecho (pero sin coloc</w:t>
      </w:r>
      <w:r w:rsidR="00454B7E" w:rsidRPr="00764430">
        <w:rPr>
          <w:rStyle w:val="Textoennegrita"/>
          <w:rFonts w:ascii="Verdana" w:hAnsi="Verdana" w:cstheme="minorHAnsi"/>
          <w:b w:val="0"/>
          <w:color w:val="000000"/>
          <w:sz w:val="20"/>
          <w:szCs w:val="20"/>
        </w:rPr>
        <w:t xml:space="preserve">arlo en los puntos resolutivos) en los casos </w:t>
      </w:r>
      <w:r w:rsidR="00454B7E" w:rsidRPr="00764430">
        <w:rPr>
          <w:rStyle w:val="Textoennegrita"/>
          <w:rFonts w:ascii="Verdana" w:hAnsi="Verdana" w:cstheme="minorHAnsi"/>
          <w:b w:val="0"/>
          <w:i/>
          <w:color w:val="000000"/>
          <w:sz w:val="20"/>
          <w:szCs w:val="20"/>
        </w:rPr>
        <w:t xml:space="preserve">Vera </w:t>
      </w:r>
      <w:proofErr w:type="spellStart"/>
      <w:r w:rsidR="00454B7E" w:rsidRPr="00764430">
        <w:rPr>
          <w:rStyle w:val="Textoennegrita"/>
          <w:rFonts w:ascii="Verdana" w:hAnsi="Verdana" w:cstheme="minorHAnsi"/>
          <w:b w:val="0"/>
          <w:i/>
          <w:color w:val="000000"/>
          <w:sz w:val="20"/>
          <w:szCs w:val="20"/>
        </w:rPr>
        <w:t>Vera</w:t>
      </w:r>
      <w:proofErr w:type="spellEnd"/>
      <w:r w:rsidR="00454B7E" w:rsidRPr="00764430">
        <w:rPr>
          <w:rStyle w:val="Textoennegrita"/>
          <w:rFonts w:ascii="Verdana" w:hAnsi="Verdana" w:cstheme="minorHAnsi"/>
          <w:b w:val="0"/>
          <w:i/>
          <w:color w:val="000000"/>
          <w:sz w:val="20"/>
          <w:szCs w:val="20"/>
        </w:rPr>
        <w:t xml:space="preserve"> y otra Vs. Ecuador</w:t>
      </w:r>
      <w:r w:rsidR="00454B7E" w:rsidRPr="00764430">
        <w:rPr>
          <w:rStyle w:val="Textoennegrita"/>
          <w:rFonts w:ascii="Verdana" w:hAnsi="Verdana" w:cstheme="minorHAnsi"/>
          <w:b w:val="0"/>
          <w:color w:val="000000"/>
          <w:sz w:val="20"/>
          <w:szCs w:val="20"/>
        </w:rPr>
        <w:t xml:space="preserve"> y </w:t>
      </w:r>
      <w:r w:rsidR="00454B7E" w:rsidRPr="00764430">
        <w:rPr>
          <w:rStyle w:val="Textoennegrita"/>
          <w:rFonts w:ascii="Verdana" w:hAnsi="Verdana" w:cstheme="minorHAnsi"/>
          <w:b w:val="0"/>
          <w:i/>
          <w:color w:val="000000"/>
          <w:sz w:val="20"/>
          <w:szCs w:val="20"/>
        </w:rPr>
        <w:t>Chinchilla Sandoval Vs. Guatemala</w:t>
      </w:r>
      <w:r w:rsidR="00CD47FC" w:rsidRPr="00764430">
        <w:rPr>
          <w:rStyle w:val="Textoennegrita"/>
          <w:rFonts w:ascii="Verdana" w:hAnsi="Verdana" w:cstheme="minorHAnsi"/>
          <w:b w:val="0"/>
          <w:i/>
          <w:color w:val="000000"/>
          <w:sz w:val="20"/>
          <w:szCs w:val="20"/>
        </w:rPr>
        <w:t xml:space="preserve">, </w:t>
      </w:r>
      <w:r w:rsidR="00CD47FC" w:rsidRPr="00764430">
        <w:rPr>
          <w:rStyle w:val="Textoennegrita"/>
          <w:rFonts w:ascii="Verdana" w:hAnsi="Verdana" w:cstheme="minorHAnsi"/>
          <w:b w:val="0"/>
          <w:color w:val="000000"/>
          <w:sz w:val="20"/>
          <w:szCs w:val="20"/>
        </w:rPr>
        <w:t>por mencionar dos ejemplos</w:t>
      </w:r>
      <w:r w:rsidR="00454B7E" w:rsidRPr="00764430">
        <w:rPr>
          <w:rStyle w:val="Textoennegrita"/>
          <w:rFonts w:ascii="Verdana" w:hAnsi="Verdana" w:cstheme="minorHAnsi"/>
          <w:b w:val="0"/>
          <w:i/>
          <w:color w:val="000000"/>
          <w:sz w:val="20"/>
          <w:szCs w:val="20"/>
        </w:rPr>
        <w:t>.</w:t>
      </w:r>
      <w:r w:rsidR="00CD47FC" w:rsidRPr="00764430">
        <w:rPr>
          <w:rStyle w:val="Textoennegrita"/>
          <w:rFonts w:ascii="Verdana" w:hAnsi="Verdana" w:cstheme="minorHAnsi"/>
          <w:b w:val="0"/>
          <w:color w:val="000000"/>
          <w:sz w:val="20"/>
          <w:szCs w:val="20"/>
        </w:rPr>
        <w:t xml:space="preserve"> Una vez más se evidencia</w:t>
      </w:r>
      <w:r w:rsidR="00454B7E" w:rsidRPr="00764430">
        <w:rPr>
          <w:rStyle w:val="Textoennegrita"/>
          <w:rFonts w:ascii="Verdana" w:hAnsi="Verdana" w:cstheme="minorHAnsi"/>
          <w:b w:val="0"/>
          <w:color w:val="000000"/>
          <w:sz w:val="20"/>
          <w:szCs w:val="20"/>
        </w:rPr>
        <w:t xml:space="preserve"> la inutilidad del análisis del artículo 26 de la Convención de la manera en que lo ha hecho la Corte a partir de </w:t>
      </w:r>
      <w:r w:rsidR="00454B7E" w:rsidRPr="00764430">
        <w:rPr>
          <w:rStyle w:val="Textoennegrita"/>
          <w:rFonts w:ascii="Verdana" w:hAnsi="Verdana" w:cstheme="minorHAnsi"/>
          <w:b w:val="0"/>
          <w:i/>
          <w:color w:val="000000"/>
          <w:sz w:val="20"/>
          <w:szCs w:val="20"/>
        </w:rPr>
        <w:t>Lagos del Campo.</w:t>
      </w:r>
    </w:p>
    <w:p w14:paraId="5890B38E" w14:textId="0EBE96E6" w:rsidR="00152AC5" w:rsidRPr="00764430" w:rsidRDefault="00152AC5" w:rsidP="00764430">
      <w:pPr>
        <w:spacing w:after="0" w:line="240" w:lineRule="auto"/>
        <w:jc w:val="both"/>
        <w:rPr>
          <w:rFonts w:ascii="Verdana" w:eastAsia="Cambria" w:hAnsi="Verdana" w:cs="Cambria"/>
          <w:color w:val="000000"/>
          <w:sz w:val="20"/>
          <w:szCs w:val="20"/>
          <w:u w:color="000000"/>
          <w:lang w:val="es-CR" w:eastAsia="es-ES"/>
        </w:rPr>
      </w:pPr>
    </w:p>
    <w:p w14:paraId="25AA7AD2" w14:textId="1836A315" w:rsidR="00BC441A" w:rsidRPr="00764430" w:rsidRDefault="00BC441A" w:rsidP="00764430">
      <w:pPr>
        <w:spacing w:after="0" w:line="240" w:lineRule="auto"/>
        <w:jc w:val="both"/>
        <w:rPr>
          <w:rFonts w:ascii="Verdana" w:eastAsia="Cambria" w:hAnsi="Verdana" w:cs="Cambria"/>
          <w:color w:val="000000"/>
          <w:sz w:val="20"/>
          <w:szCs w:val="20"/>
          <w:u w:color="000000"/>
          <w:lang w:val="es-CR" w:eastAsia="es-ES"/>
        </w:rPr>
      </w:pPr>
    </w:p>
    <w:p w14:paraId="031B197A" w14:textId="41ACFD51" w:rsidR="00BC441A" w:rsidRPr="00764430" w:rsidRDefault="00BC441A" w:rsidP="00764430">
      <w:pPr>
        <w:spacing w:after="0" w:line="240" w:lineRule="auto"/>
        <w:jc w:val="both"/>
        <w:rPr>
          <w:rFonts w:ascii="Verdana" w:eastAsia="Cambria" w:hAnsi="Verdana" w:cs="Cambria"/>
          <w:color w:val="000000"/>
          <w:sz w:val="20"/>
          <w:szCs w:val="20"/>
          <w:u w:color="000000"/>
          <w:lang w:val="es-CR" w:eastAsia="es-ES"/>
        </w:rPr>
      </w:pPr>
    </w:p>
    <w:p w14:paraId="247ED569" w14:textId="30CDE47A" w:rsidR="00BC441A" w:rsidRPr="00764430" w:rsidRDefault="00BC441A" w:rsidP="00764430">
      <w:pPr>
        <w:spacing w:after="0" w:line="240" w:lineRule="auto"/>
        <w:jc w:val="both"/>
        <w:rPr>
          <w:rFonts w:ascii="Verdana" w:eastAsia="Cambria" w:hAnsi="Verdana" w:cs="Cambria"/>
          <w:color w:val="000000"/>
          <w:sz w:val="20"/>
          <w:szCs w:val="20"/>
          <w:u w:color="000000"/>
          <w:lang w:val="es-CR" w:eastAsia="es-ES"/>
        </w:rPr>
      </w:pPr>
    </w:p>
    <w:p w14:paraId="65C2F329" w14:textId="1EA61E7E" w:rsidR="00BC441A" w:rsidRPr="00764430" w:rsidRDefault="00BC441A" w:rsidP="00764430">
      <w:pPr>
        <w:spacing w:after="0" w:line="240" w:lineRule="auto"/>
        <w:jc w:val="both"/>
        <w:rPr>
          <w:rFonts w:ascii="Verdana" w:eastAsia="Cambria" w:hAnsi="Verdana" w:cs="Cambria"/>
          <w:color w:val="000000"/>
          <w:sz w:val="20"/>
          <w:szCs w:val="20"/>
          <w:u w:color="000000"/>
          <w:lang w:val="es-CR" w:eastAsia="es-ES"/>
        </w:rPr>
      </w:pPr>
    </w:p>
    <w:p w14:paraId="663A8C70" w14:textId="40AFA582" w:rsidR="00BC441A" w:rsidRPr="00764430" w:rsidRDefault="00BC441A" w:rsidP="00764430">
      <w:pPr>
        <w:spacing w:after="0" w:line="240" w:lineRule="auto"/>
        <w:jc w:val="both"/>
        <w:rPr>
          <w:rFonts w:ascii="Verdana" w:eastAsia="Cambria" w:hAnsi="Verdana" w:cs="Cambria"/>
          <w:color w:val="000000"/>
          <w:sz w:val="20"/>
          <w:szCs w:val="20"/>
          <w:u w:color="000000"/>
          <w:lang w:val="es-CR" w:eastAsia="es-ES"/>
        </w:rPr>
      </w:pPr>
      <w:bookmarkStart w:id="0" w:name="_GoBack"/>
      <w:bookmarkEnd w:id="0"/>
    </w:p>
    <w:p w14:paraId="42453BC2" w14:textId="77777777" w:rsidR="00152AC5" w:rsidRPr="00764430" w:rsidRDefault="00152AC5" w:rsidP="00764430">
      <w:pPr>
        <w:spacing w:after="0" w:line="240" w:lineRule="auto"/>
        <w:ind w:left="4248"/>
        <w:jc w:val="center"/>
        <w:rPr>
          <w:rFonts w:ascii="Verdana" w:hAnsi="Verdana"/>
          <w:sz w:val="20"/>
          <w:szCs w:val="20"/>
          <w:lang w:val="es-CR"/>
        </w:rPr>
      </w:pPr>
      <w:r w:rsidRPr="00764430">
        <w:rPr>
          <w:rFonts w:ascii="Verdana" w:hAnsi="Verdana"/>
          <w:sz w:val="20"/>
          <w:szCs w:val="20"/>
          <w:lang w:val="es-CR"/>
        </w:rPr>
        <w:t>Humberto Antonio Sierra Porto</w:t>
      </w:r>
    </w:p>
    <w:p w14:paraId="75124DE7" w14:textId="77777777" w:rsidR="00152AC5" w:rsidRPr="00764430" w:rsidRDefault="00152AC5" w:rsidP="00764430">
      <w:pPr>
        <w:spacing w:after="0" w:line="240" w:lineRule="auto"/>
        <w:ind w:left="4248"/>
        <w:jc w:val="center"/>
        <w:rPr>
          <w:rFonts w:ascii="Verdana" w:hAnsi="Verdana"/>
          <w:sz w:val="20"/>
          <w:szCs w:val="20"/>
          <w:lang w:val="es-CR"/>
        </w:rPr>
      </w:pPr>
      <w:r w:rsidRPr="00764430">
        <w:rPr>
          <w:rFonts w:ascii="Verdana" w:hAnsi="Verdana"/>
          <w:sz w:val="20"/>
          <w:szCs w:val="20"/>
          <w:lang w:val="es-CR"/>
        </w:rPr>
        <w:t>Juez</w:t>
      </w:r>
    </w:p>
    <w:p w14:paraId="384A17C2" w14:textId="77777777" w:rsidR="00152AC5" w:rsidRPr="00764430" w:rsidRDefault="00152AC5" w:rsidP="00764430">
      <w:pPr>
        <w:tabs>
          <w:tab w:val="left" w:pos="1440"/>
        </w:tabs>
        <w:spacing w:after="0" w:line="240" w:lineRule="auto"/>
        <w:rPr>
          <w:rFonts w:ascii="Verdana" w:hAnsi="Verdana"/>
          <w:sz w:val="20"/>
          <w:szCs w:val="20"/>
          <w:lang w:val="es-CR"/>
        </w:rPr>
      </w:pPr>
    </w:p>
    <w:p w14:paraId="0D7E45AC" w14:textId="77777777" w:rsidR="00152AC5" w:rsidRPr="00764430" w:rsidRDefault="00152AC5" w:rsidP="00764430">
      <w:pPr>
        <w:tabs>
          <w:tab w:val="left" w:pos="1440"/>
        </w:tabs>
        <w:spacing w:after="0" w:line="240" w:lineRule="auto"/>
        <w:rPr>
          <w:rFonts w:ascii="Verdana" w:hAnsi="Verdana"/>
          <w:sz w:val="20"/>
          <w:szCs w:val="20"/>
          <w:lang w:val="es-CR"/>
        </w:rPr>
      </w:pPr>
    </w:p>
    <w:p w14:paraId="430EC831" w14:textId="77777777" w:rsidR="00D17863" w:rsidRPr="00764430" w:rsidRDefault="00D17863" w:rsidP="00764430">
      <w:pPr>
        <w:tabs>
          <w:tab w:val="left" w:pos="1440"/>
        </w:tabs>
        <w:spacing w:after="0" w:line="240" w:lineRule="auto"/>
        <w:rPr>
          <w:rFonts w:ascii="Verdana" w:hAnsi="Verdana"/>
          <w:sz w:val="20"/>
          <w:szCs w:val="20"/>
          <w:lang w:val="es-CR"/>
        </w:rPr>
      </w:pPr>
    </w:p>
    <w:p w14:paraId="2922CCC1" w14:textId="77777777" w:rsidR="00D17863" w:rsidRPr="00764430" w:rsidRDefault="00D17863" w:rsidP="00764430">
      <w:pPr>
        <w:tabs>
          <w:tab w:val="left" w:pos="1440"/>
        </w:tabs>
        <w:spacing w:after="0" w:line="240" w:lineRule="auto"/>
        <w:rPr>
          <w:rFonts w:ascii="Verdana" w:hAnsi="Verdana"/>
          <w:sz w:val="20"/>
          <w:szCs w:val="20"/>
          <w:lang w:val="es-CR"/>
        </w:rPr>
      </w:pPr>
    </w:p>
    <w:p w14:paraId="404382F1" w14:textId="613D120F" w:rsidR="00152AC5" w:rsidRPr="00764430" w:rsidRDefault="00152AC5" w:rsidP="00764430">
      <w:pPr>
        <w:tabs>
          <w:tab w:val="left" w:pos="1440"/>
        </w:tabs>
        <w:spacing w:after="0" w:line="240" w:lineRule="auto"/>
        <w:rPr>
          <w:rFonts w:ascii="Verdana" w:hAnsi="Verdana"/>
          <w:sz w:val="20"/>
          <w:szCs w:val="20"/>
          <w:lang w:val="es-CR"/>
        </w:rPr>
      </w:pPr>
    </w:p>
    <w:p w14:paraId="79033EE0" w14:textId="77777777" w:rsidR="00152AC5" w:rsidRPr="00764430" w:rsidRDefault="00152AC5" w:rsidP="00764430">
      <w:pPr>
        <w:tabs>
          <w:tab w:val="left" w:pos="1440"/>
        </w:tabs>
        <w:spacing w:after="0" w:line="240" w:lineRule="auto"/>
        <w:rPr>
          <w:rFonts w:ascii="Verdana" w:hAnsi="Verdana"/>
          <w:sz w:val="20"/>
          <w:szCs w:val="20"/>
          <w:lang w:val="es-CR"/>
        </w:rPr>
      </w:pPr>
    </w:p>
    <w:p w14:paraId="0C9003BA" w14:textId="77777777" w:rsidR="00152AC5" w:rsidRPr="00764430" w:rsidRDefault="00152AC5" w:rsidP="00764430">
      <w:pPr>
        <w:tabs>
          <w:tab w:val="left" w:pos="1440"/>
        </w:tabs>
        <w:spacing w:after="0" w:line="240" w:lineRule="auto"/>
        <w:rPr>
          <w:rFonts w:ascii="Verdana" w:hAnsi="Verdana"/>
          <w:sz w:val="20"/>
          <w:szCs w:val="20"/>
          <w:lang w:val="es-CR"/>
        </w:rPr>
      </w:pPr>
      <w:r w:rsidRPr="00764430">
        <w:rPr>
          <w:rFonts w:ascii="Verdana" w:hAnsi="Verdana"/>
          <w:sz w:val="20"/>
          <w:szCs w:val="20"/>
          <w:lang w:val="es-CR"/>
        </w:rPr>
        <w:t xml:space="preserve">        Pablo Saavedra Alessandri </w:t>
      </w:r>
    </w:p>
    <w:p w14:paraId="0BEB9CDD" w14:textId="77777777" w:rsidR="00152AC5" w:rsidRPr="00313979" w:rsidRDefault="00152AC5" w:rsidP="00764430">
      <w:pPr>
        <w:tabs>
          <w:tab w:val="left" w:pos="1440"/>
        </w:tabs>
        <w:spacing w:after="0" w:line="240" w:lineRule="auto"/>
        <w:rPr>
          <w:rFonts w:ascii="Verdana" w:hAnsi="Verdana"/>
          <w:sz w:val="20"/>
          <w:szCs w:val="20"/>
          <w:lang w:val="es-CR"/>
        </w:rPr>
      </w:pPr>
      <w:r w:rsidRPr="00764430">
        <w:rPr>
          <w:rFonts w:ascii="Verdana" w:hAnsi="Verdana"/>
          <w:sz w:val="20"/>
          <w:szCs w:val="20"/>
          <w:lang w:val="es-CR"/>
        </w:rPr>
        <w:t xml:space="preserve">                 Secretario</w:t>
      </w:r>
    </w:p>
    <w:p w14:paraId="68ED76CA" w14:textId="77777777" w:rsidR="00152AC5" w:rsidRPr="00313979" w:rsidRDefault="00152AC5" w:rsidP="00764430">
      <w:pPr>
        <w:spacing w:after="0" w:line="240" w:lineRule="auto"/>
        <w:jc w:val="both"/>
        <w:rPr>
          <w:rFonts w:ascii="Verdana" w:eastAsia="Cambria" w:hAnsi="Verdana" w:cs="Cambria"/>
          <w:color w:val="000000"/>
          <w:sz w:val="20"/>
          <w:szCs w:val="20"/>
          <w:u w:color="000000"/>
          <w:lang w:val="es-CR" w:eastAsia="es-ES"/>
        </w:rPr>
      </w:pPr>
    </w:p>
    <w:p w14:paraId="7E070F22" w14:textId="77777777" w:rsidR="00152AC5" w:rsidRPr="00313979" w:rsidRDefault="00152AC5" w:rsidP="00764430">
      <w:pPr>
        <w:autoSpaceDE w:val="0"/>
        <w:autoSpaceDN w:val="0"/>
        <w:adjustRightInd w:val="0"/>
        <w:spacing w:after="0" w:line="240" w:lineRule="auto"/>
        <w:jc w:val="both"/>
        <w:rPr>
          <w:rFonts w:ascii="Verdana" w:hAnsi="Verdana"/>
          <w:sz w:val="20"/>
          <w:szCs w:val="20"/>
          <w:lang w:val="es-CR"/>
        </w:rPr>
      </w:pPr>
    </w:p>
    <w:sectPr w:rsidR="00152AC5" w:rsidRPr="00313979" w:rsidSect="000E79DD">
      <w:footerReference w:type="default" r:id="rId8"/>
      <w:pgSz w:w="12240" w:h="15840"/>
      <w:pgMar w:top="1417" w:right="1701" w:bottom="1417"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2CF6B" w14:textId="77777777" w:rsidR="00A961A1" w:rsidRDefault="00A961A1" w:rsidP="00984F07">
      <w:pPr>
        <w:spacing w:after="0" w:line="240" w:lineRule="auto"/>
      </w:pPr>
      <w:r>
        <w:separator/>
      </w:r>
    </w:p>
  </w:endnote>
  <w:endnote w:type="continuationSeparator" w:id="0">
    <w:p w14:paraId="228C373D" w14:textId="77777777" w:rsidR="00A961A1" w:rsidRDefault="00A961A1" w:rsidP="0098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356949"/>
      <w:docPartObj>
        <w:docPartGallery w:val="Page Numbers (Bottom of Page)"/>
        <w:docPartUnique/>
      </w:docPartObj>
    </w:sdtPr>
    <w:sdtEndPr>
      <w:rPr>
        <w:rFonts w:ascii="Verdana" w:hAnsi="Verdana"/>
        <w:noProof/>
        <w:sz w:val="20"/>
        <w:szCs w:val="20"/>
      </w:rPr>
    </w:sdtEndPr>
    <w:sdtContent>
      <w:p w14:paraId="1DF9773B" w14:textId="241B631A" w:rsidR="00D052D9" w:rsidRPr="00D052D9" w:rsidRDefault="00D052D9">
        <w:pPr>
          <w:pStyle w:val="Piedepgina"/>
          <w:jc w:val="center"/>
          <w:rPr>
            <w:rFonts w:ascii="Verdana" w:hAnsi="Verdana"/>
            <w:sz w:val="20"/>
            <w:szCs w:val="20"/>
          </w:rPr>
        </w:pPr>
        <w:r w:rsidRPr="00D052D9">
          <w:rPr>
            <w:rFonts w:ascii="Verdana" w:hAnsi="Verdana"/>
            <w:sz w:val="20"/>
            <w:szCs w:val="20"/>
          </w:rPr>
          <w:fldChar w:fldCharType="begin"/>
        </w:r>
        <w:r w:rsidRPr="00D052D9">
          <w:rPr>
            <w:rFonts w:ascii="Verdana" w:hAnsi="Verdana"/>
            <w:sz w:val="20"/>
            <w:szCs w:val="20"/>
          </w:rPr>
          <w:instrText xml:space="preserve"> PAGE   \* MERGEFORMAT </w:instrText>
        </w:r>
        <w:r w:rsidRPr="00D052D9">
          <w:rPr>
            <w:rFonts w:ascii="Verdana" w:hAnsi="Verdana"/>
            <w:sz w:val="20"/>
            <w:szCs w:val="20"/>
          </w:rPr>
          <w:fldChar w:fldCharType="separate"/>
        </w:r>
        <w:r w:rsidR="009805BF">
          <w:rPr>
            <w:rFonts w:ascii="Verdana" w:hAnsi="Verdana"/>
            <w:noProof/>
            <w:sz w:val="20"/>
            <w:szCs w:val="20"/>
          </w:rPr>
          <w:t>6</w:t>
        </w:r>
        <w:r w:rsidRPr="00D052D9">
          <w:rPr>
            <w:rFonts w:ascii="Verdana" w:hAnsi="Verdana"/>
            <w:noProof/>
            <w:sz w:val="20"/>
            <w:szCs w:val="20"/>
          </w:rPr>
          <w:fldChar w:fldCharType="end"/>
        </w:r>
      </w:p>
    </w:sdtContent>
  </w:sdt>
  <w:p w14:paraId="29D08690" w14:textId="77777777" w:rsidR="008B0F90" w:rsidRDefault="008B0F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CA1F6" w14:textId="77777777" w:rsidR="00A961A1" w:rsidRDefault="00A961A1" w:rsidP="00984F07">
      <w:pPr>
        <w:spacing w:after="0" w:line="240" w:lineRule="auto"/>
      </w:pPr>
      <w:r>
        <w:separator/>
      </w:r>
    </w:p>
  </w:footnote>
  <w:footnote w:type="continuationSeparator" w:id="0">
    <w:p w14:paraId="0474DFD5" w14:textId="77777777" w:rsidR="00A961A1" w:rsidRDefault="00A961A1" w:rsidP="00984F07">
      <w:pPr>
        <w:spacing w:after="0" w:line="240" w:lineRule="auto"/>
      </w:pPr>
      <w:r>
        <w:continuationSeparator/>
      </w:r>
    </w:p>
  </w:footnote>
  <w:footnote w:id="1">
    <w:p w14:paraId="7406C694" w14:textId="77777777" w:rsidR="008B0F90" w:rsidRPr="0092771D" w:rsidRDefault="008B0F90" w:rsidP="00963237">
      <w:pPr>
        <w:pStyle w:val="Textonotapie"/>
        <w:spacing w:after="120"/>
        <w:jc w:val="both"/>
        <w:rPr>
          <w:rFonts w:ascii="Verdana" w:hAnsi="Verdana" w:cstheme="minorHAnsi"/>
          <w:b/>
          <w:bCs/>
          <w:i/>
          <w:color w:val="000000"/>
          <w:sz w:val="16"/>
          <w:szCs w:val="16"/>
          <w:shd w:val="clear" w:color="auto" w:fill="FFFFFF"/>
        </w:rPr>
      </w:pPr>
      <w:r w:rsidRPr="0092771D">
        <w:rPr>
          <w:rStyle w:val="Refdenotaalpie"/>
          <w:rFonts w:cstheme="minorHAnsi"/>
          <w:i/>
        </w:rPr>
        <w:footnoteRef/>
      </w:r>
      <w:r w:rsidRPr="0092771D">
        <w:rPr>
          <w:rFonts w:ascii="Verdana" w:hAnsi="Verdana" w:cstheme="minorHAnsi"/>
          <w:i/>
          <w:sz w:val="16"/>
          <w:szCs w:val="16"/>
        </w:rPr>
        <w:tab/>
        <w:t xml:space="preserve">Cfr. </w:t>
      </w:r>
      <w:r w:rsidRPr="0092771D">
        <w:rPr>
          <w:rStyle w:val="Textoennegrita"/>
          <w:rFonts w:ascii="Verdana" w:hAnsi="Verdana" w:cstheme="minorHAnsi"/>
          <w:b w:val="0"/>
          <w:i/>
          <w:color w:val="000000"/>
          <w:sz w:val="16"/>
          <w:szCs w:val="16"/>
        </w:rPr>
        <w:t>Caso Lagos del Campo Vs. Perú.</w:t>
      </w:r>
      <w:r w:rsidRPr="0092771D">
        <w:rPr>
          <w:rStyle w:val="Textoennegrita"/>
          <w:rFonts w:ascii="Verdana" w:hAnsi="Verdana" w:cstheme="minorHAnsi"/>
          <w:i/>
          <w:color w:val="000000"/>
          <w:sz w:val="16"/>
          <w:szCs w:val="16"/>
        </w:rPr>
        <w:t xml:space="preserve"> </w:t>
      </w:r>
      <w:r w:rsidRPr="0092771D">
        <w:rPr>
          <w:rFonts w:ascii="Verdana" w:hAnsi="Verdana" w:cstheme="minorHAnsi"/>
          <w:bCs/>
          <w:i/>
          <w:color w:val="000000"/>
          <w:sz w:val="16"/>
          <w:szCs w:val="16"/>
        </w:rPr>
        <w:t xml:space="preserve">Excepciones Preliminares, Fondo, Reparaciones y Costas. </w:t>
      </w:r>
      <w:r w:rsidRPr="0092771D">
        <w:rPr>
          <w:rFonts w:ascii="Verdana" w:hAnsi="Verdana" w:cstheme="minorHAnsi"/>
          <w:bCs/>
          <w:color w:val="000000"/>
          <w:sz w:val="16"/>
          <w:szCs w:val="16"/>
        </w:rPr>
        <w:t>Sentencia de 31 de</w:t>
      </w:r>
      <w:r w:rsidRPr="00764430">
        <w:rPr>
          <w:rFonts w:ascii="Verdana" w:hAnsi="Verdana" w:cstheme="minorHAnsi"/>
          <w:bCs/>
          <w:color w:val="000000"/>
          <w:sz w:val="16"/>
          <w:szCs w:val="16"/>
        </w:rPr>
        <w:t xml:space="preserve"> </w:t>
      </w:r>
      <w:r w:rsidRPr="0092771D">
        <w:rPr>
          <w:rFonts w:ascii="Verdana" w:hAnsi="Verdana" w:cstheme="minorHAnsi"/>
          <w:bCs/>
          <w:color w:val="000000"/>
          <w:sz w:val="16"/>
          <w:szCs w:val="16"/>
        </w:rPr>
        <w:t xml:space="preserve">agosto de 2017. Serie C No. 340. </w:t>
      </w:r>
      <w:r w:rsidRPr="0092771D">
        <w:rPr>
          <w:rStyle w:val="Textoennegrita"/>
          <w:rFonts w:ascii="Verdana" w:hAnsi="Verdana" w:cstheme="minorHAnsi"/>
          <w:b w:val="0"/>
          <w:color w:val="000000"/>
          <w:sz w:val="16"/>
          <w:szCs w:val="16"/>
        </w:rPr>
        <w:t>Voto parcialmente disidente del Juez Antonio Humberto Sierra Porto.</w:t>
      </w:r>
      <w:r w:rsidRPr="0092771D">
        <w:rPr>
          <w:rStyle w:val="Textoennegrita"/>
          <w:rFonts w:ascii="Verdana" w:hAnsi="Verdana" w:cstheme="minorHAnsi"/>
          <w:b w:val="0"/>
          <w:color w:val="000000"/>
          <w:sz w:val="16"/>
          <w:szCs w:val="16"/>
          <w:shd w:val="clear" w:color="auto" w:fill="FFFFFF"/>
        </w:rPr>
        <w:t xml:space="preserve"> </w:t>
      </w:r>
    </w:p>
  </w:footnote>
  <w:footnote w:id="2">
    <w:p w14:paraId="42FD0F28" w14:textId="77777777" w:rsidR="008B0F90" w:rsidRPr="0092771D" w:rsidRDefault="008B0F90" w:rsidP="00963237">
      <w:pPr>
        <w:pStyle w:val="Textonotapie"/>
        <w:spacing w:after="120"/>
        <w:jc w:val="both"/>
        <w:rPr>
          <w:rFonts w:ascii="Verdana" w:eastAsia="Calibri" w:hAnsi="Verdana" w:cstheme="minorHAnsi"/>
          <w:b/>
          <w:bCs/>
          <w:i/>
          <w:color w:val="000000"/>
          <w:sz w:val="16"/>
          <w:szCs w:val="16"/>
          <w:shd w:val="clear" w:color="auto" w:fill="FFFFFF"/>
        </w:rPr>
      </w:pPr>
      <w:r w:rsidRPr="0092771D">
        <w:rPr>
          <w:rStyle w:val="Refdenotaalpie"/>
          <w:rFonts w:cstheme="minorHAnsi"/>
          <w:i/>
        </w:rPr>
        <w:footnoteRef/>
      </w:r>
      <w:r w:rsidRPr="0092771D">
        <w:rPr>
          <w:rFonts w:ascii="Verdana" w:hAnsi="Verdana" w:cstheme="minorHAnsi"/>
          <w:i/>
          <w:sz w:val="16"/>
          <w:szCs w:val="16"/>
        </w:rPr>
        <w:tab/>
        <w:t xml:space="preserve">Cfr. </w:t>
      </w:r>
      <w:r w:rsidRPr="0092771D">
        <w:rPr>
          <w:rFonts w:ascii="Verdana" w:hAnsi="Verdana" w:cstheme="minorHAnsi"/>
          <w:bCs/>
          <w:i/>
          <w:sz w:val="16"/>
          <w:szCs w:val="16"/>
        </w:rPr>
        <w:t xml:space="preserve">Caso Trabajadores Cesados de Petroperú y otros Vs. Perú. Excepciones Preliminares, Fondo, Reparaciones y Costas. </w:t>
      </w:r>
      <w:r w:rsidRPr="0092771D">
        <w:rPr>
          <w:rFonts w:ascii="Verdana" w:hAnsi="Verdana" w:cstheme="minorHAnsi"/>
          <w:bCs/>
          <w:sz w:val="16"/>
          <w:szCs w:val="16"/>
        </w:rPr>
        <w:t xml:space="preserve">Sentencia de 23 de noviembre de 2017. Serie C No. 344. </w:t>
      </w:r>
      <w:r w:rsidRPr="0092771D">
        <w:rPr>
          <w:rStyle w:val="Textoennegrita"/>
          <w:rFonts w:ascii="Verdana" w:hAnsi="Verdana" w:cstheme="minorHAnsi"/>
          <w:b w:val="0"/>
          <w:color w:val="000000"/>
          <w:sz w:val="16"/>
          <w:szCs w:val="16"/>
        </w:rPr>
        <w:t>Voto parcialmente disidente del Juez Antonio Humberto</w:t>
      </w:r>
      <w:r w:rsidRPr="00764430">
        <w:rPr>
          <w:rStyle w:val="Textoennegrita"/>
          <w:rFonts w:ascii="Verdana" w:hAnsi="Verdana" w:cstheme="minorHAnsi"/>
          <w:b w:val="0"/>
          <w:color w:val="000000"/>
          <w:sz w:val="16"/>
          <w:szCs w:val="16"/>
        </w:rPr>
        <w:t xml:space="preserve"> </w:t>
      </w:r>
      <w:r w:rsidRPr="0092771D">
        <w:rPr>
          <w:rStyle w:val="Textoennegrita"/>
          <w:rFonts w:ascii="Verdana" w:hAnsi="Verdana" w:cstheme="minorHAnsi"/>
          <w:b w:val="0"/>
          <w:color w:val="000000"/>
          <w:sz w:val="16"/>
          <w:szCs w:val="16"/>
        </w:rPr>
        <w:t>Sierra Porto.</w:t>
      </w:r>
      <w:r w:rsidRPr="0092771D">
        <w:rPr>
          <w:rStyle w:val="Textoennegrita"/>
          <w:rFonts w:ascii="Verdana" w:hAnsi="Verdana" w:cstheme="minorHAnsi"/>
          <w:b w:val="0"/>
          <w:i/>
          <w:color w:val="000000"/>
          <w:sz w:val="16"/>
          <w:szCs w:val="16"/>
          <w:shd w:val="clear" w:color="auto" w:fill="FFFFFF"/>
        </w:rPr>
        <w:t xml:space="preserve"> </w:t>
      </w:r>
    </w:p>
  </w:footnote>
  <w:footnote w:id="3">
    <w:p w14:paraId="013B40E2" w14:textId="77777777" w:rsidR="008B0F90" w:rsidRPr="0092771D" w:rsidRDefault="008B0F90" w:rsidP="00963237">
      <w:pPr>
        <w:pStyle w:val="Textonotapie"/>
        <w:spacing w:after="120"/>
        <w:jc w:val="both"/>
        <w:rPr>
          <w:rFonts w:ascii="Verdana" w:hAnsi="Verdana" w:cstheme="minorHAnsi"/>
          <w:b/>
          <w:i/>
          <w:sz w:val="16"/>
          <w:szCs w:val="16"/>
        </w:rPr>
      </w:pPr>
      <w:r w:rsidRPr="0092771D">
        <w:rPr>
          <w:rStyle w:val="Refdenotaalpie"/>
          <w:rFonts w:cstheme="minorHAnsi"/>
          <w:i/>
        </w:rPr>
        <w:footnoteRef/>
      </w:r>
      <w:r w:rsidRPr="0092771D">
        <w:rPr>
          <w:rFonts w:ascii="Verdana" w:hAnsi="Verdana" w:cstheme="minorHAnsi"/>
          <w:i/>
          <w:sz w:val="16"/>
          <w:szCs w:val="16"/>
        </w:rPr>
        <w:tab/>
        <w:t xml:space="preserve">Cfr. </w:t>
      </w:r>
      <w:r w:rsidRPr="0092771D">
        <w:rPr>
          <w:rStyle w:val="Textoennegrita"/>
          <w:rFonts w:ascii="Verdana" w:hAnsi="Verdana" w:cstheme="minorHAnsi"/>
          <w:b w:val="0"/>
          <w:i/>
          <w:color w:val="000000"/>
          <w:sz w:val="16"/>
          <w:szCs w:val="16"/>
        </w:rPr>
        <w:t xml:space="preserve">Caso San Miguel Sosa y otras Vs. Venezuela. Fondo, Reparaciones y Costas. </w:t>
      </w:r>
      <w:r w:rsidRPr="0092771D">
        <w:rPr>
          <w:rStyle w:val="Textoennegrita"/>
          <w:rFonts w:ascii="Verdana" w:hAnsi="Verdana" w:cstheme="minorHAnsi"/>
          <w:b w:val="0"/>
          <w:color w:val="000000"/>
          <w:sz w:val="16"/>
          <w:szCs w:val="16"/>
        </w:rPr>
        <w:t>Sentencia de 8 de febrero de</w:t>
      </w:r>
      <w:r w:rsidRPr="00764430">
        <w:rPr>
          <w:rStyle w:val="Textoennegrita"/>
          <w:rFonts w:ascii="Verdana" w:hAnsi="Verdana" w:cstheme="minorHAnsi"/>
          <w:b w:val="0"/>
          <w:color w:val="000000"/>
          <w:sz w:val="16"/>
          <w:szCs w:val="16"/>
        </w:rPr>
        <w:t xml:space="preserve"> </w:t>
      </w:r>
      <w:r w:rsidRPr="0092771D">
        <w:rPr>
          <w:rStyle w:val="Textoennegrita"/>
          <w:rFonts w:ascii="Verdana" w:hAnsi="Verdana" w:cstheme="minorHAnsi"/>
          <w:b w:val="0"/>
          <w:color w:val="000000"/>
          <w:sz w:val="16"/>
          <w:szCs w:val="16"/>
        </w:rPr>
        <w:t>2018. Serie C No. 348. Voto parcialmente disidente del Juez Humberto Antonio Sierra Porto.</w:t>
      </w:r>
    </w:p>
  </w:footnote>
  <w:footnote w:id="4">
    <w:p w14:paraId="3B70DEC1" w14:textId="77777777" w:rsidR="008B0F90" w:rsidRPr="0092771D" w:rsidRDefault="008B0F90" w:rsidP="00963237">
      <w:pPr>
        <w:pStyle w:val="Textonotapie"/>
        <w:spacing w:after="120"/>
        <w:jc w:val="both"/>
        <w:rPr>
          <w:rFonts w:ascii="Verdana" w:hAnsi="Verdana"/>
          <w:sz w:val="16"/>
          <w:szCs w:val="16"/>
          <w:lang w:val="es-CR"/>
        </w:rPr>
      </w:pPr>
      <w:r w:rsidRPr="0092771D">
        <w:rPr>
          <w:rStyle w:val="Refdenotaalpie"/>
          <w:rFonts w:cstheme="minorHAnsi"/>
          <w:i/>
        </w:rPr>
        <w:footnoteRef/>
      </w:r>
      <w:r w:rsidRPr="0092771D">
        <w:rPr>
          <w:rFonts w:ascii="Verdana" w:hAnsi="Verdana" w:cstheme="minorHAnsi"/>
          <w:i/>
          <w:sz w:val="16"/>
          <w:szCs w:val="16"/>
        </w:rPr>
        <w:t xml:space="preserve"> </w:t>
      </w:r>
      <w:r w:rsidRPr="0092771D">
        <w:rPr>
          <w:rFonts w:ascii="Verdana" w:hAnsi="Verdana" w:cstheme="minorHAnsi"/>
          <w:i/>
          <w:sz w:val="16"/>
          <w:szCs w:val="16"/>
        </w:rPr>
        <w:tab/>
        <w:t xml:space="preserve">Cfr. Caso </w:t>
      </w:r>
      <w:proofErr w:type="spellStart"/>
      <w:r w:rsidRPr="0092771D">
        <w:rPr>
          <w:rFonts w:ascii="Verdana" w:hAnsi="Verdana" w:cstheme="minorHAnsi"/>
          <w:i/>
          <w:sz w:val="16"/>
          <w:szCs w:val="16"/>
        </w:rPr>
        <w:t>Cuscul</w:t>
      </w:r>
      <w:proofErr w:type="spellEnd"/>
      <w:r w:rsidRPr="0092771D">
        <w:rPr>
          <w:rFonts w:ascii="Verdana" w:hAnsi="Verdana" w:cstheme="minorHAnsi"/>
          <w:i/>
          <w:sz w:val="16"/>
          <w:szCs w:val="16"/>
        </w:rPr>
        <w:t xml:space="preserve"> Pivaral y otros Vs. Guatemala. Excepción Preliminar, Fondo, Reparaciones y Costas. </w:t>
      </w:r>
      <w:r w:rsidRPr="0092771D">
        <w:rPr>
          <w:rFonts w:ascii="Verdana" w:hAnsi="Verdana" w:cstheme="minorHAnsi"/>
          <w:sz w:val="16"/>
          <w:szCs w:val="16"/>
        </w:rPr>
        <w:t xml:space="preserve">Sentencia de 23 de agosto de 2018. Serie C No. 359. </w:t>
      </w:r>
      <w:r w:rsidRPr="0092771D">
        <w:rPr>
          <w:rStyle w:val="Textoennegrita"/>
          <w:rFonts w:ascii="Verdana" w:hAnsi="Verdana" w:cstheme="minorHAnsi"/>
          <w:b w:val="0"/>
          <w:color w:val="000000"/>
          <w:sz w:val="16"/>
          <w:szCs w:val="16"/>
        </w:rPr>
        <w:t>Voto parcialmente disidente del Juez Humberto Antonio Sierra Porto.</w:t>
      </w:r>
    </w:p>
  </w:footnote>
  <w:footnote w:id="5">
    <w:p w14:paraId="5934DF4A" w14:textId="77777777" w:rsidR="008B0F90" w:rsidRPr="0092771D" w:rsidRDefault="008B0F90" w:rsidP="00963237">
      <w:pPr>
        <w:pStyle w:val="Textonotapie"/>
        <w:spacing w:after="120"/>
        <w:jc w:val="both"/>
        <w:rPr>
          <w:rFonts w:ascii="Verdana" w:hAnsi="Verdana"/>
          <w:sz w:val="16"/>
          <w:szCs w:val="16"/>
        </w:rPr>
      </w:pPr>
      <w:r w:rsidRPr="0092771D">
        <w:rPr>
          <w:rStyle w:val="Refdenotaalpie"/>
        </w:rPr>
        <w:footnoteRef/>
      </w:r>
      <w:r w:rsidRPr="0092771D">
        <w:rPr>
          <w:rFonts w:ascii="Verdana" w:hAnsi="Verdana"/>
          <w:sz w:val="16"/>
          <w:szCs w:val="16"/>
        </w:rPr>
        <w:t xml:space="preserve"> </w:t>
      </w:r>
      <w:r w:rsidRPr="0092771D">
        <w:rPr>
          <w:rFonts w:ascii="Verdana" w:hAnsi="Verdana"/>
          <w:sz w:val="16"/>
          <w:szCs w:val="16"/>
        </w:rPr>
        <w:tab/>
      </w:r>
      <w:r w:rsidRPr="0092771D">
        <w:rPr>
          <w:rFonts w:ascii="Verdana" w:hAnsi="Verdana"/>
          <w:i/>
          <w:sz w:val="16"/>
          <w:szCs w:val="16"/>
        </w:rPr>
        <w:t xml:space="preserve">Cfr. </w:t>
      </w:r>
      <w:r w:rsidRPr="00764430">
        <w:rPr>
          <w:rStyle w:val="Textoennegrita"/>
          <w:rFonts w:ascii="Verdana" w:hAnsi="Verdana"/>
          <w:b w:val="0"/>
          <w:i/>
          <w:color w:val="000000"/>
          <w:sz w:val="16"/>
          <w:szCs w:val="16"/>
        </w:rPr>
        <w:t>Caso Muelle Flores Vs. Perú. Excepciones Preliminares, Fondo, Reparaciones y Costas.</w:t>
      </w:r>
      <w:r w:rsidRPr="00764430">
        <w:rPr>
          <w:rStyle w:val="Textoennegrita"/>
          <w:rFonts w:ascii="Verdana" w:hAnsi="Verdana"/>
          <w:b w:val="0"/>
          <w:color w:val="000000"/>
          <w:sz w:val="16"/>
          <w:szCs w:val="16"/>
        </w:rPr>
        <w:t xml:space="preserve"> Sentencia de 6 de marzo de 2019. Serie C No. 375. </w:t>
      </w:r>
      <w:r w:rsidRPr="00764430">
        <w:rPr>
          <w:rFonts w:ascii="Verdana" w:hAnsi="Verdana"/>
          <w:bCs/>
          <w:color w:val="000000"/>
          <w:sz w:val="16"/>
          <w:szCs w:val="16"/>
        </w:rPr>
        <w:t>Voto parcialmente disidente del Juez Humberto Antonio Sierra Porto.</w:t>
      </w:r>
    </w:p>
  </w:footnote>
  <w:footnote w:id="6">
    <w:p w14:paraId="2ACD0B01" w14:textId="36DCBC91" w:rsidR="008B0F90" w:rsidRPr="0092771D" w:rsidRDefault="008B0F90" w:rsidP="00963237">
      <w:pPr>
        <w:pStyle w:val="Textonotapie"/>
        <w:spacing w:after="120"/>
        <w:jc w:val="both"/>
        <w:rPr>
          <w:rFonts w:ascii="Verdana" w:hAnsi="Verdana"/>
          <w:sz w:val="16"/>
          <w:szCs w:val="16"/>
        </w:rPr>
      </w:pPr>
      <w:r w:rsidRPr="0092771D">
        <w:rPr>
          <w:rStyle w:val="Refdenotaalpie"/>
        </w:rPr>
        <w:footnoteRef/>
      </w:r>
      <w:r w:rsidRPr="0092771D">
        <w:rPr>
          <w:rFonts w:ascii="Verdana" w:hAnsi="Verdana"/>
          <w:sz w:val="16"/>
          <w:szCs w:val="16"/>
        </w:rPr>
        <w:t xml:space="preserve"> </w:t>
      </w:r>
      <w:r w:rsidRPr="0092771D">
        <w:rPr>
          <w:rFonts w:ascii="Verdana" w:hAnsi="Verdana"/>
          <w:sz w:val="16"/>
          <w:szCs w:val="16"/>
        </w:rPr>
        <w:tab/>
      </w:r>
      <w:r w:rsidRPr="0092771D">
        <w:rPr>
          <w:rFonts w:ascii="Verdana" w:hAnsi="Verdana"/>
          <w:i/>
          <w:sz w:val="16"/>
          <w:szCs w:val="16"/>
        </w:rPr>
        <w:t xml:space="preserve">Cfr. Caso </w:t>
      </w:r>
      <w:r w:rsidRPr="0092771D">
        <w:rPr>
          <w:rStyle w:val="Textoennegrita"/>
          <w:rFonts w:ascii="Verdana" w:hAnsi="Verdana" w:cstheme="minorHAnsi"/>
          <w:b w:val="0"/>
          <w:i/>
          <w:color w:val="000000"/>
          <w:sz w:val="16"/>
          <w:szCs w:val="16"/>
        </w:rPr>
        <w:t xml:space="preserve">Asociación Nacional de Cesantes y Jubilados de la Superintendencia Nacional de Administración Tributaria (ANCEJUB-SUNAT) Vs. Perú. Excepciones Preliminares, Fondo, Reparaciones y Costas. </w:t>
      </w:r>
      <w:r w:rsidRPr="00764430">
        <w:rPr>
          <w:rStyle w:val="Textoennegrita"/>
          <w:rFonts w:ascii="Verdana" w:hAnsi="Verdana" w:cstheme="minorHAnsi"/>
          <w:b w:val="0"/>
          <w:color w:val="000000"/>
          <w:sz w:val="16"/>
          <w:szCs w:val="16"/>
        </w:rPr>
        <w:t xml:space="preserve">Sentencia de 21 de noviembre de 2019. Serie C No. </w:t>
      </w:r>
      <w:r w:rsidR="00E73CFC" w:rsidRPr="00764430">
        <w:rPr>
          <w:rStyle w:val="Textoennegrita"/>
          <w:rFonts w:ascii="Verdana" w:hAnsi="Verdana" w:cstheme="minorHAnsi"/>
          <w:b w:val="0"/>
          <w:color w:val="000000"/>
          <w:sz w:val="16"/>
          <w:szCs w:val="16"/>
        </w:rPr>
        <w:t>394</w:t>
      </w:r>
      <w:r w:rsidRPr="00764430">
        <w:rPr>
          <w:rStyle w:val="Textoennegrita"/>
          <w:rFonts w:ascii="Verdana" w:hAnsi="Verdana" w:cstheme="minorHAnsi"/>
          <w:b w:val="0"/>
          <w:color w:val="000000"/>
          <w:sz w:val="16"/>
          <w:szCs w:val="16"/>
        </w:rPr>
        <w:t xml:space="preserve">. </w:t>
      </w:r>
      <w:r w:rsidRPr="00764430">
        <w:rPr>
          <w:rFonts w:ascii="Verdana" w:hAnsi="Verdana"/>
          <w:bCs/>
          <w:color w:val="000000"/>
          <w:sz w:val="16"/>
          <w:szCs w:val="16"/>
        </w:rPr>
        <w:t>Voto parcialmente disidente del Juez Humberto Antonio Sierra Porto.</w:t>
      </w:r>
    </w:p>
  </w:footnote>
  <w:footnote w:id="7">
    <w:p w14:paraId="5C66F4C5" w14:textId="76E464A7" w:rsidR="008B0F90" w:rsidRPr="0092771D" w:rsidRDefault="008B0F90" w:rsidP="00963237">
      <w:pPr>
        <w:pStyle w:val="Textonotapie"/>
        <w:spacing w:after="120"/>
        <w:jc w:val="both"/>
        <w:rPr>
          <w:rFonts w:ascii="Verdana" w:hAnsi="Verdana" w:cstheme="minorHAnsi"/>
          <w:bCs/>
          <w:i/>
          <w:color w:val="000000"/>
          <w:sz w:val="16"/>
          <w:szCs w:val="16"/>
          <w:shd w:val="clear" w:color="auto" w:fill="FFFFFF"/>
        </w:rPr>
      </w:pPr>
      <w:r w:rsidRPr="0092771D">
        <w:rPr>
          <w:rStyle w:val="Refdenotaalpie"/>
          <w:rFonts w:cstheme="minorHAnsi"/>
          <w:i/>
        </w:rPr>
        <w:footnoteRef/>
      </w:r>
      <w:r w:rsidRPr="0092771D">
        <w:rPr>
          <w:rFonts w:ascii="Verdana" w:hAnsi="Verdana" w:cstheme="minorHAnsi"/>
          <w:i/>
          <w:sz w:val="16"/>
          <w:szCs w:val="16"/>
        </w:rPr>
        <w:tab/>
        <w:t xml:space="preserve">Cfr. </w:t>
      </w:r>
      <w:r w:rsidRPr="0092771D">
        <w:rPr>
          <w:rStyle w:val="Textoennegrita"/>
          <w:rFonts w:ascii="Verdana" w:hAnsi="Verdana" w:cstheme="minorHAnsi"/>
          <w:b w:val="0"/>
          <w:i/>
          <w:color w:val="000000"/>
          <w:sz w:val="16"/>
          <w:szCs w:val="16"/>
        </w:rPr>
        <w:t xml:space="preserve">Caso Gonzales </w:t>
      </w:r>
      <w:proofErr w:type="spellStart"/>
      <w:r w:rsidRPr="0092771D">
        <w:rPr>
          <w:rStyle w:val="Textoennegrita"/>
          <w:rFonts w:ascii="Verdana" w:hAnsi="Verdana" w:cstheme="minorHAnsi"/>
          <w:b w:val="0"/>
          <w:i/>
          <w:color w:val="000000"/>
          <w:sz w:val="16"/>
          <w:szCs w:val="16"/>
        </w:rPr>
        <w:t>Lluy</w:t>
      </w:r>
      <w:proofErr w:type="spellEnd"/>
      <w:r w:rsidRPr="0092771D">
        <w:rPr>
          <w:rStyle w:val="Textoennegrita"/>
          <w:rFonts w:ascii="Verdana" w:hAnsi="Verdana" w:cstheme="minorHAnsi"/>
          <w:b w:val="0"/>
          <w:i/>
          <w:color w:val="000000"/>
          <w:sz w:val="16"/>
          <w:szCs w:val="16"/>
        </w:rPr>
        <w:t xml:space="preserve"> y otros Vs. Ecuador. </w:t>
      </w:r>
      <w:r w:rsidRPr="0092771D">
        <w:rPr>
          <w:rFonts w:ascii="Verdana" w:hAnsi="Verdana" w:cstheme="minorHAnsi"/>
          <w:bCs/>
          <w:i/>
          <w:color w:val="000000"/>
          <w:sz w:val="16"/>
          <w:szCs w:val="16"/>
        </w:rPr>
        <w:t xml:space="preserve">Excepciones Preliminares, Fondo, Reparaciones y Costas. </w:t>
      </w:r>
      <w:r w:rsidRPr="0092771D">
        <w:rPr>
          <w:rFonts w:ascii="Verdana" w:hAnsi="Verdana" w:cstheme="minorHAnsi"/>
          <w:bCs/>
          <w:color w:val="000000"/>
          <w:sz w:val="16"/>
          <w:szCs w:val="16"/>
        </w:rPr>
        <w:t>Sentencia de</w:t>
      </w:r>
      <w:r w:rsidRPr="00764430">
        <w:rPr>
          <w:rFonts w:ascii="Verdana" w:hAnsi="Verdana" w:cstheme="minorHAnsi"/>
          <w:bCs/>
          <w:color w:val="000000"/>
          <w:sz w:val="16"/>
          <w:szCs w:val="16"/>
        </w:rPr>
        <w:t xml:space="preserve"> </w:t>
      </w:r>
      <w:r w:rsidRPr="0092771D">
        <w:rPr>
          <w:rFonts w:ascii="Verdana" w:hAnsi="Verdana" w:cstheme="minorHAnsi"/>
          <w:bCs/>
          <w:color w:val="000000"/>
          <w:sz w:val="16"/>
          <w:szCs w:val="16"/>
        </w:rPr>
        <w:t>1 de septiembre de 2015. Serie C No. 298.</w:t>
      </w:r>
      <w:r w:rsidRPr="0092771D">
        <w:rPr>
          <w:rStyle w:val="Textoennegrita"/>
          <w:rFonts w:ascii="Verdana" w:hAnsi="Verdana" w:cstheme="minorHAnsi"/>
          <w:color w:val="000000"/>
          <w:sz w:val="16"/>
          <w:szCs w:val="16"/>
        </w:rPr>
        <w:t xml:space="preserve"> </w:t>
      </w:r>
      <w:r w:rsidRPr="0092771D">
        <w:rPr>
          <w:rStyle w:val="Textoennegrita"/>
          <w:rFonts w:ascii="Verdana" w:hAnsi="Verdana" w:cstheme="minorHAnsi"/>
          <w:b w:val="0"/>
          <w:color w:val="000000"/>
          <w:sz w:val="16"/>
          <w:szCs w:val="16"/>
        </w:rPr>
        <w:t>Voto concurrente del Juez Humberto Antonio Sierra Porto.</w:t>
      </w:r>
      <w:r w:rsidRPr="0092771D">
        <w:rPr>
          <w:rStyle w:val="Textoennegrita"/>
          <w:rFonts w:ascii="Verdana" w:hAnsi="Verdana" w:cstheme="minorHAnsi"/>
          <w:i/>
          <w:color w:val="000000"/>
          <w:sz w:val="16"/>
          <w:szCs w:val="16"/>
          <w:shd w:val="clear" w:color="auto" w:fill="FFFFFF"/>
        </w:rPr>
        <w:t xml:space="preserve"> </w:t>
      </w:r>
    </w:p>
  </w:footnote>
  <w:footnote w:id="8">
    <w:p w14:paraId="74C91B88" w14:textId="150C7ABA" w:rsidR="008B0F90" w:rsidRPr="0092771D" w:rsidRDefault="008B0F90" w:rsidP="00963237">
      <w:pPr>
        <w:spacing w:after="120" w:line="240" w:lineRule="auto"/>
        <w:jc w:val="both"/>
        <w:rPr>
          <w:rFonts w:ascii="Verdana" w:hAnsi="Verdana" w:cstheme="minorHAnsi"/>
          <w:b/>
          <w:bCs/>
          <w:i/>
          <w:color w:val="000000"/>
          <w:sz w:val="16"/>
          <w:szCs w:val="16"/>
          <w:shd w:val="clear" w:color="auto" w:fill="FFFFFF"/>
          <w:lang w:val="es-CR"/>
        </w:rPr>
      </w:pPr>
      <w:r w:rsidRPr="0092771D">
        <w:rPr>
          <w:rStyle w:val="Refdenotaalpie"/>
          <w:rFonts w:cstheme="minorHAnsi"/>
          <w:i/>
        </w:rPr>
        <w:footnoteRef/>
      </w:r>
      <w:r w:rsidRPr="0092771D">
        <w:rPr>
          <w:rFonts w:ascii="Verdana" w:hAnsi="Verdana" w:cstheme="minorHAnsi"/>
          <w:i/>
          <w:sz w:val="16"/>
          <w:szCs w:val="16"/>
          <w:lang w:val="es-CR"/>
        </w:rPr>
        <w:tab/>
        <w:t xml:space="preserve">Cfr. </w:t>
      </w:r>
      <w:r w:rsidRPr="0092771D">
        <w:rPr>
          <w:rStyle w:val="Textoennegrita"/>
          <w:rFonts w:ascii="Verdana" w:hAnsi="Verdana" w:cstheme="minorHAnsi"/>
          <w:b w:val="0"/>
          <w:i/>
          <w:sz w:val="16"/>
          <w:szCs w:val="16"/>
          <w:lang w:val="es-CR"/>
        </w:rPr>
        <w:t xml:space="preserve">Caso Poblete Vilches y otros Vs. Chile. Fondo, Reparaciones y Costas. </w:t>
      </w:r>
      <w:r w:rsidRPr="0092771D">
        <w:rPr>
          <w:rStyle w:val="Textoennegrita"/>
          <w:rFonts w:ascii="Verdana" w:hAnsi="Verdana" w:cstheme="minorHAnsi"/>
          <w:b w:val="0"/>
          <w:sz w:val="16"/>
          <w:szCs w:val="16"/>
          <w:lang w:val="es-CR"/>
        </w:rPr>
        <w:t>Sentencia de 8 de marzo de 2018. Serie C No. 349.</w:t>
      </w:r>
      <w:r w:rsidRPr="0092771D">
        <w:rPr>
          <w:rStyle w:val="Textoennegrita"/>
          <w:rFonts w:ascii="Verdana" w:hAnsi="Verdana" w:cstheme="minorHAnsi"/>
          <w:b w:val="0"/>
          <w:color w:val="000000"/>
          <w:sz w:val="16"/>
          <w:szCs w:val="16"/>
          <w:lang w:val="es-CR"/>
        </w:rPr>
        <w:t xml:space="preserve"> Voto concurrente del Juez Humberto Antonio Sierra </w:t>
      </w:r>
      <w:r w:rsidRPr="0092771D">
        <w:rPr>
          <w:rStyle w:val="Textoennegrita"/>
          <w:rFonts w:ascii="Verdana" w:hAnsi="Verdana" w:cstheme="minorHAnsi"/>
          <w:b w:val="0"/>
          <w:i/>
          <w:color w:val="000000"/>
          <w:sz w:val="16"/>
          <w:szCs w:val="16"/>
          <w:lang w:val="es-CR"/>
        </w:rPr>
        <w:t>Porto.</w:t>
      </w:r>
    </w:p>
  </w:footnote>
  <w:footnote w:id="9">
    <w:p w14:paraId="25470C52" w14:textId="18654750" w:rsidR="008B0F90" w:rsidRPr="0092771D" w:rsidRDefault="008B0F90" w:rsidP="00963237">
      <w:pPr>
        <w:pStyle w:val="Textonotapie"/>
        <w:spacing w:after="120"/>
        <w:jc w:val="both"/>
        <w:rPr>
          <w:rFonts w:ascii="Verdana" w:hAnsi="Verdana"/>
          <w:sz w:val="16"/>
          <w:szCs w:val="16"/>
          <w:lang w:val="es-CR"/>
        </w:rPr>
      </w:pPr>
      <w:r w:rsidRPr="0092771D">
        <w:rPr>
          <w:rStyle w:val="Refdenotaalpie"/>
        </w:rPr>
        <w:footnoteRef/>
      </w:r>
      <w:r w:rsidRPr="0092771D">
        <w:rPr>
          <w:rFonts w:ascii="Verdana" w:hAnsi="Verdana"/>
          <w:sz w:val="16"/>
          <w:szCs w:val="16"/>
        </w:rPr>
        <w:t xml:space="preserve"> </w:t>
      </w:r>
      <w:r w:rsidRPr="0092771D">
        <w:rPr>
          <w:rFonts w:ascii="Verdana" w:hAnsi="Verdana"/>
          <w:sz w:val="16"/>
          <w:szCs w:val="16"/>
        </w:rPr>
        <w:tab/>
      </w:r>
      <w:r w:rsidRPr="0092771D">
        <w:rPr>
          <w:rFonts w:ascii="Verdana" w:hAnsi="Verdana"/>
          <w:i/>
          <w:sz w:val="16"/>
          <w:szCs w:val="16"/>
        </w:rPr>
        <w:t xml:space="preserve">Cfr. Caso Rodríguez Revolorio y otros Vs. Guatemala. Excepción Preliminar, Fondo, Reparaciones y Costas. </w:t>
      </w:r>
      <w:r w:rsidRPr="0092771D">
        <w:rPr>
          <w:rFonts w:ascii="Verdana" w:hAnsi="Verdana"/>
          <w:sz w:val="16"/>
          <w:szCs w:val="16"/>
        </w:rPr>
        <w:t xml:space="preserve">Sentencia de 14 de octubre de 2019. Serie C No. 387. Voto concurrente </w:t>
      </w:r>
      <w:r w:rsidRPr="0092771D">
        <w:rPr>
          <w:rStyle w:val="Textoennegrita"/>
          <w:rFonts w:ascii="Verdana" w:hAnsi="Verdana" w:cstheme="minorHAnsi"/>
          <w:b w:val="0"/>
          <w:color w:val="000000"/>
          <w:sz w:val="16"/>
          <w:szCs w:val="16"/>
        </w:rPr>
        <w:t>del Juez Humberto Antonio Sierra Porto.</w:t>
      </w:r>
    </w:p>
  </w:footnote>
  <w:footnote w:id="10">
    <w:p w14:paraId="4DD24F14" w14:textId="7629B214" w:rsidR="008B0F90" w:rsidRPr="0092771D" w:rsidRDefault="008B0F90" w:rsidP="00963237">
      <w:pPr>
        <w:pStyle w:val="Textonotapie"/>
        <w:spacing w:after="120"/>
        <w:jc w:val="both"/>
        <w:rPr>
          <w:rFonts w:ascii="Verdana" w:hAnsi="Verdana"/>
          <w:sz w:val="16"/>
          <w:szCs w:val="16"/>
        </w:rPr>
      </w:pPr>
      <w:r w:rsidRPr="0092771D">
        <w:rPr>
          <w:rStyle w:val="Refdenotaalpie"/>
        </w:rPr>
        <w:footnoteRef/>
      </w:r>
      <w:r w:rsidRPr="0092771D">
        <w:rPr>
          <w:rFonts w:ascii="Verdana" w:hAnsi="Verdana"/>
          <w:sz w:val="16"/>
          <w:szCs w:val="16"/>
        </w:rPr>
        <w:t xml:space="preserve"> </w:t>
      </w:r>
      <w:r w:rsidRPr="0092771D">
        <w:rPr>
          <w:rFonts w:ascii="Verdana" w:hAnsi="Verdana"/>
          <w:sz w:val="16"/>
          <w:szCs w:val="16"/>
        </w:rPr>
        <w:tab/>
        <w:t xml:space="preserve">Carta de la Organización de Estados Americanos. Firmada en la IX Conferencia Internacional Americana de 30 de abril de 1948 y reformada, </w:t>
      </w:r>
      <w:r w:rsidRPr="0092771D">
        <w:rPr>
          <w:rFonts w:ascii="Verdana" w:hAnsi="Verdana"/>
          <w:i/>
          <w:sz w:val="16"/>
          <w:szCs w:val="16"/>
        </w:rPr>
        <w:t xml:space="preserve">inter </w:t>
      </w:r>
      <w:proofErr w:type="spellStart"/>
      <w:r w:rsidRPr="00764430">
        <w:rPr>
          <w:rFonts w:ascii="Verdana" w:hAnsi="Verdana"/>
          <w:sz w:val="16"/>
          <w:szCs w:val="16"/>
        </w:rPr>
        <w:t>alia</w:t>
      </w:r>
      <w:proofErr w:type="spellEnd"/>
      <w:r w:rsidRPr="00764430">
        <w:rPr>
          <w:rFonts w:ascii="Verdana" w:hAnsi="Verdana"/>
          <w:sz w:val="16"/>
          <w:szCs w:val="16"/>
        </w:rPr>
        <w:t xml:space="preserve">, por </w:t>
      </w:r>
      <w:r w:rsidRPr="00764430">
        <w:rPr>
          <w:rFonts w:ascii="Verdana" w:hAnsi="Verdana" w:cs="Tahoma"/>
          <w:color w:val="000000"/>
          <w:sz w:val="16"/>
          <w:szCs w:val="16"/>
        </w:rPr>
        <w:t>el Protocolo de Reformas a la Carta de la Organización de Estados Americanos (Protocolo de Managua), suscrito en el XIX período extraordinario de sesiones de la Asamblea General de 10 de junio de 1993. Artículo 34.i</w:t>
      </w:r>
    </w:p>
  </w:footnote>
  <w:footnote w:id="11">
    <w:p w14:paraId="7AAAD776" w14:textId="4C86EE48" w:rsidR="008B0F90" w:rsidRPr="0092771D" w:rsidRDefault="008B0F90" w:rsidP="00963237">
      <w:pPr>
        <w:pStyle w:val="Textonotapie"/>
        <w:spacing w:after="120"/>
        <w:jc w:val="both"/>
        <w:rPr>
          <w:rFonts w:ascii="Verdana" w:hAnsi="Verdana"/>
          <w:sz w:val="16"/>
          <w:szCs w:val="16"/>
          <w:lang w:val="es-DO"/>
        </w:rPr>
      </w:pPr>
      <w:r w:rsidRPr="0092771D">
        <w:rPr>
          <w:rStyle w:val="Refdenotaalpie"/>
        </w:rPr>
        <w:footnoteRef/>
      </w:r>
      <w:r w:rsidRPr="0092771D">
        <w:rPr>
          <w:rFonts w:ascii="Verdana" w:hAnsi="Verdana"/>
          <w:sz w:val="16"/>
          <w:szCs w:val="16"/>
        </w:rPr>
        <w:t xml:space="preserve"> </w:t>
      </w:r>
      <w:r w:rsidRPr="0092771D">
        <w:rPr>
          <w:rFonts w:ascii="Verdana" w:hAnsi="Verdana"/>
          <w:sz w:val="16"/>
          <w:szCs w:val="16"/>
        </w:rPr>
        <w:tab/>
      </w:r>
      <w:proofErr w:type="spellStart"/>
      <w:r w:rsidRPr="0092771D">
        <w:rPr>
          <w:rFonts w:ascii="Verdana" w:hAnsi="Verdana"/>
          <w:sz w:val="16"/>
          <w:szCs w:val="16"/>
        </w:rPr>
        <w:t>Ibídem</w:t>
      </w:r>
      <w:proofErr w:type="spellEnd"/>
      <w:r w:rsidRPr="0092771D">
        <w:rPr>
          <w:rFonts w:ascii="Verdana" w:hAnsi="Verdana"/>
          <w:sz w:val="16"/>
          <w:szCs w:val="16"/>
        </w:rPr>
        <w:t>. Artículo 34.l</w:t>
      </w:r>
    </w:p>
  </w:footnote>
  <w:footnote w:id="12">
    <w:p w14:paraId="2A787812" w14:textId="0A552889" w:rsidR="008B0F90" w:rsidRPr="0092771D" w:rsidRDefault="008B0F90" w:rsidP="00963237">
      <w:pPr>
        <w:pStyle w:val="Textonotapie"/>
        <w:spacing w:after="120"/>
        <w:jc w:val="both"/>
        <w:rPr>
          <w:rFonts w:ascii="Verdana" w:hAnsi="Verdana"/>
          <w:b/>
          <w:sz w:val="16"/>
          <w:szCs w:val="16"/>
        </w:rPr>
      </w:pPr>
      <w:r w:rsidRPr="0092771D">
        <w:rPr>
          <w:rStyle w:val="Refdenotaalpie"/>
        </w:rPr>
        <w:footnoteRef/>
      </w:r>
      <w:r w:rsidRPr="0092771D">
        <w:rPr>
          <w:rFonts w:ascii="Verdana" w:hAnsi="Verdana"/>
          <w:sz w:val="16"/>
          <w:szCs w:val="16"/>
        </w:rPr>
        <w:tab/>
      </w:r>
      <w:r w:rsidRPr="0092771D">
        <w:rPr>
          <w:rFonts w:ascii="Verdana" w:hAnsi="Verdana"/>
          <w:i/>
          <w:sz w:val="16"/>
          <w:szCs w:val="16"/>
          <w:lang w:val="es-CR"/>
        </w:rPr>
        <w:t xml:space="preserve">Cfr. Caso Poblete </w:t>
      </w:r>
      <w:r w:rsidRPr="00764430">
        <w:rPr>
          <w:rFonts w:ascii="Verdana" w:hAnsi="Verdana"/>
          <w:i/>
          <w:sz w:val="16"/>
          <w:szCs w:val="16"/>
          <w:lang w:val="es-CR"/>
        </w:rPr>
        <w:t>Vilches y otros Vs. Chile. Fondo, Reparaciones y Costas.</w:t>
      </w:r>
      <w:r w:rsidRPr="00764430">
        <w:rPr>
          <w:rFonts w:ascii="Verdana" w:hAnsi="Verdana"/>
          <w:sz w:val="16"/>
          <w:szCs w:val="16"/>
          <w:lang w:val="es-CR"/>
        </w:rPr>
        <w:t xml:space="preserve"> Sentencia de 8 de marzo de 2018. Serie C No. 349.</w:t>
      </w:r>
      <w:r w:rsidRPr="00764430">
        <w:rPr>
          <w:rFonts w:ascii="Verdana" w:hAnsi="Verdana"/>
          <w:b/>
          <w:sz w:val="16"/>
          <w:szCs w:val="16"/>
          <w:lang w:val="es-CR"/>
        </w:rPr>
        <w:t xml:space="preserve"> </w:t>
      </w:r>
      <w:r w:rsidRPr="00764430">
        <w:rPr>
          <w:rStyle w:val="Textoennegrita"/>
          <w:rFonts w:ascii="Verdana" w:hAnsi="Verdana"/>
          <w:b w:val="0"/>
          <w:color w:val="000000"/>
          <w:sz w:val="16"/>
          <w:szCs w:val="16"/>
        </w:rPr>
        <w:t>Voto concurrente del Juez Humberto Antonio Sierra Porto,</w:t>
      </w:r>
      <w:r w:rsidRPr="00764430">
        <w:rPr>
          <w:rFonts w:ascii="Verdana" w:eastAsia="Verdana" w:hAnsi="Verdana"/>
          <w:b/>
          <w:sz w:val="16"/>
          <w:szCs w:val="16"/>
        </w:rPr>
        <w:t xml:space="preserve"> </w:t>
      </w:r>
      <w:r w:rsidRPr="00764430">
        <w:rPr>
          <w:rFonts w:ascii="Verdana" w:eastAsia="Verdana" w:hAnsi="Verdana"/>
          <w:sz w:val="16"/>
          <w:szCs w:val="16"/>
        </w:rPr>
        <w:t>párr. 6</w:t>
      </w:r>
      <w:r w:rsidRPr="00764430">
        <w:rPr>
          <w:rFonts w:ascii="Verdana" w:hAnsi="Verdana"/>
          <w:sz w:val="16"/>
          <w:szCs w:val="16"/>
          <w:lang w:val="es-CR"/>
        </w:rPr>
        <w:t xml:space="preserve">, y </w:t>
      </w:r>
      <w:r w:rsidRPr="00764430">
        <w:rPr>
          <w:rFonts w:ascii="Verdana" w:hAnsi="Verdana" w:cstheme="minorHAnsi"/>
          <w:i/>
          <w:sz w:val="16"/>
          <w:szCs w:val="16"/>
        </w:rPr>
        <w:t xml:space="preserve">Caso </w:t>
      </w:r>
      <w:proofErr w:type="spellStart"/>
      <w:r w:rsidRPr="00764430">
        <w:rPr>
          <w:rFonts w:ascii="Verdana" w:hAnsi="Verdana" w:cstheme="minorHAnsi"/>
          <w:i/>
          <w:sz w:val="16"/>
          <w:szCs w:val="16"/>
        </w:rPr>
        <w:t>Cuscul</w:t>
      </w:r>
      <w:proofErr w:type="spellEnd"/>
      <w:r w:rsidRPr="00764430">
        <w:rPr>
          <w:rFonts w:ascii="Verdana" w:hAnsi="Verdana" w:cstheme="minorHAnsi"/>
          <w:i/>
          <w:sz w:val="16"/>
          <w:szCs w:val="16"/>
        </w:rPr>
        <w:t xml:space="preserve"> Pivaral y otros Vs. Guatemala. Excepción Preliminar, Fondo, Reparaciones y Costas</w:t>
      </w:r>
      <w:r w:rsidRPr="0092771D">
        <w:rPr>
          <w:rFonts w:ascii="Verdana" w:hAnsi="Verdana" w:cstheme="minorHAnsi"/>
          <w:i/>
          <w:sz w:val="16"/>
          <w:szCs w:val="16"/>
        </w:rPr>
        <w:t xml:space="preserve">. </w:t>
      </w:r>
      <w:r w:rsidRPr="0092771D">
        <w:rPr>
          <w:rFonts w:ascii="Verdana" w:hAnsi="Verdana" w:cstheme="minorHAnsi"/>
          <w:sz w:val="16"/>
          <w:szCs w:val="16"/>
        </w:rPr>
        <w:t xml:space="preserve">Sentencia de 23 de agosto de 2018. Serie C No. 359. </w:t>
      </w:r>
      <w:r w:rsidRPr="0092771D">
        <w:rPr>
          <w:rStyle w:val="Textoennegrita"/>
          <w:rFonts w:ascii="Verdana" w:hAnsi="Verdana" w:cstheme="minorHAnsi"/>
          <w:b w:val="0"/>
          <w:color w:val="000000"/>
          <w:sz w:val="16"/>
          <w:szCs w:val="16"/>
        </w:rPr>
        <w:t>Voto parcialmente disidente del Juez Humberto Antonio Sierra Porto, párr. 5.</w:t>
      </w:r>
      <w:r w:rsidRPr="0092771D">
        <w:rPr>
          <w:rStyle w:val="Textoennegrita"/>
          <w:rFonts w:ascii="Verdana" w:hAnsi="Verdana" w:cstheme="minorHAnsi"/>
          <w:b w:val="0"/>
          <w:i/>
          <w:color w:val="000000"/>
          <w:sz w:val="16"/>
          <w:szCs w:val="16"/>
        </w:rPr>
        <w:t xml:space="preserve"> </w:t>
      </w:r>
    </w:p>
  </w:footnote>
  <w:footnote w:id="13">
    <w:p w14:paraId="24BAA959" w14:textId="27F055B0" w:rsidR="008B0F90" w:rsidRPr="0092771D" w:rsidRDefault="008B0F90" w:rsidP="00963237">
      <w:pPr>
        <w:pStyle w:val="Textonotapie"/>
        <w:spacing w:after="120"/>
        <w:jc w:val="both"/>
        <w:rPr>
          <w:rFonts w:ascii="Verdana" w:hAnsi="Verdana"/>
          <w:sz w:val="16"/>
          <w:szCs w:val="16"/>
          <w:lang w:val="es-DO"/>
        </w:rPr>
      </w:pPr>
      <w:r w:rsidRPr="0092771D">
        <w:rPr>
          <w:rStyle w:val="Refdenotaalpie"/>
        </w:rPr>
        <w:footnoteRef/>
      </w:r>
      <w:r w:rsidRPr="0092771D">
        <w:rPr>
          <w:rFonts w:ascii="Verdana" w:hAnsi="Verdana"/>
          <w:sz w:val="16"/>
          <w:szCs w:val="16"/>
        </w:rPr>
        <w:t xml:space="preserve"> </w:t>
      </w:r>
      <w:r w:rsidRPr="0092771D">
        <w:rPr>
          <w:rFonts w:ascii="Verdana" w:hAnsi="Verdana"/>
          <w:sz w:val="16"/>
          <w:szCs w:val="16"/>
        </w:rPr>
        <w:tab/>
      </w:r>
      <w:r w:rsidRPr="0092771D">
        <w:rPr>
          <w:rFonts w:ascii="Verdana" w:hAnsi="Verdana"/>
          <w:i/>
          <w:sz w:val="16"/>
          <w:szCs w:val="16"/>
        </w:rPr>
        <w:t xml:space="preserve">Cfr. Caso Rodríguez Revolorio y otros Vs. Guatemala. Excepción Preliminar, Fondo, Reparaciones y Costas. </w:t>
      </w:r>
      <w:r w:rsidRPr="0092771D">
        <w:rPr>
          <w:rFonts w:ascii="Verdana" w:hAnsi="Verdana"/>
          <w:sz w:val="16"/>
          <w:szCs w:val="16"/>
        </w:rPr>
        <w:t xml:space="preserve">Sentencia de 14 de octubre de 2019. Serie C No. 387, párr. 90. </w:t>
      </w:r>
    </w:p>
  </w:footnote>
  <w:footnote w:id="14">
    <w:p w14:paraId="31415CDF" w14:textId="38FA0BF0" w:rsidR="008B0F90" w:rsidRPr="0092771D" w:rsidRDefault="008B0F90" w:rsidP="00963237">
      <w:pPr>
        <w:pStyle w:val="Textonotapie"/>
        <w:spacing w:after="120"/>
        <w:jc w:val="both"/>
        <w:rPr>
          <w:rFonts w:ascii="Verdana" w:hAnsi="Verdana"/>
          <w:sz w:val="16"/>
          <w:szCs w:val="16"/>
          <w:lang w:val="es-DO"/>
        </w:rPr>
      </w:pPr>
      <w:r w:rsidRPr="0092771D">
        <w:rPr>
          <w:rStyle w:val="Refdenotaalpie"/>
        </w:rPr>
        <w:footnoteRef/>
      </w:r>
      <w:r w:rsidRPr="0092771D">
        <w:rPr>
          <w:rFonts w:ascii="Verdana" w:hAnsi="Verdana"/>
          <w:sz w:val="16"/>
          <w:szCs w:val="16"/>
        </w:rPr>
        <w:t xml:space="preserve"> </w:t>
      </w:r>
      <w:r w:rsidRPr="0092771D">
        <w:rPr>
          <w:rFonts w:ascii="Verdana" w:hAnsi="Verdana"/>
          <w:sz w:val="16"/>
          <w:szCs w:val="16"/>
        </w:rPr>
        <w:tab/>
      </w:r>
      <w:r w:rsidRPr="0092771D">
        <w:rPr>
          <w:rFonts w:ascii="Verdana" w:hAnsi="Verdana"/>
          <w:i/>
          <w:sz w:val="16"/>
          <w:szCs w:val="16"/>
        </w:rPr>
        <w:t xml:space="preserve">Cfr. Caso Vera </w:t>
      </w:r>
      <w:proofErr w:type="spellStart"/>
      <w:r w:rsidRPr="0092771D">
        <w:rPr>
          <w:rFonts w:ascii="Verdana" w:hAnsi="Verdana"/>
          <w:i/>
          <w:sz w:val="16"/>
          <w:szCs w:val="16"/>
        </w:rPr>
        <w:t>Vera</w:t>
      </w:r>
      <w:proofErr w:type="spellEnd"/>
      <w:r w:rsidRPr="0092771D">
        <w:rPr>
          <w:rFonts w:ascii="Verdana" w:hAnsi="Verdana"/>
          <w:i/>
          <w:sz w:val="16"/>
          <w:szCs w:val="16"/>
        </w:rPr>
        <w:t xml:space="preserve"> y otra Vs. Ecuador</w:t>
      </w:r>
      <w:r w:rsidRPr="0092771D">
        <w:rPr>
          <w:rFonts w:ascii="Verdana" w:hAnsi="Verdana"/>
          <w:sz w:val="16"/>
          <w:szCs w:val="16"/>
        </w:rPr>
        <w:t xml:space="preserve">. </w:t>
      </w:r>
      <w:r w:rsidRPr="0092771D">
        <w:rPr>
          <w:rFonts w:ascii="Verdana" w:hAnsi="Verdana"/>
          <w:i/>
          <w:sz w:val="16"/>
          <w:szCs w:val="16"/>
        </w:rPr>
        <w:t xml:space="preserve">Excepción Preliminar, Fondo, Reparaciones y Costas. </w:t>
      </w:r>
      <w:r w:rsidRPr="0092771D">
        <w:rPr>
          <w:rFonts w:ascii="Verdana" w:hAnsi="Verdana"/>
          <w:sz w:val="16"/>
          <w:szCs w:val="16"/>
        </w:rPr>
        <w:t xml:space="preserve">Sentencia de 19 de mayo de 2011. Serie C No. 26, párr. 44, y </w:t>
      </w:r>
      <w:r w:rsidRPr="0092771D">
        <w:rPr>
          <w:rFonts w:ascii="Verdana" w:hAnsi="Verdana"/>
          <w:i/>
          <w:sz w:val="16"/>
          <w:szCs w:val="16"/>
        </w:rPr>
        <w:t xml:space="preserve">Caso Chinchilla Sandoval Vs. Guatemala. Excepción Preliminar, Fondo, Reparaciones y Costas. </w:t>
      </w:r>
      <w:r w:rsidRPr="0092771D">
        <w:rPr>
          <w:rFonts w:ascii="Verdana" w:hAnsi="Verdana"/>
          <w:sz w:val="16"/>
          <w:szCs w:val="16"/>
        </w:rPr>
        <w:t xml:space="preserve">Sentencia de 29 de febrero de 2016. Serie C No. 312, </w:t>
      </w:r>
      <w:proofErr w:type="spellStart"/>
      <w:r w:rsidRPr="0092771D">
        <w:rPr>
          <w:rFonts w:ascii="Verdana" w:hAnsi="Verdana"/>
          <w:sz w:val="16"/>
          <w:szCs w:val="16"/>
        </w:rPr>
        <w:t>párrs</w:t>
      </w:r>
      <w:proofErr w:type="spellEnd"/>
      <w:r w:rsidRPr="0092771D">
        <w:rPr>
          <w:rFonts w:ascii="Verdana" w:hAnsi="Verdana"/>
          <w:sz w:val="16"/>
          <w:szCs w:val="16"/>
        </w:rPr>
        <w:t xml:space="preserve">. 188 y 189. </w:t>
      </w:r>
    </w:p>
  </w:footnote>
  <w:footnote w:id="15">
    <w:p w14:paraId="1AF6BE7B" w14:textId="5B9615E2" w:rsidR="00B365E1" w:rsidRPr="0092771D" w:rsidRDefault="00B365E1" w:rsidP="00963237">
      <w:pPr>
        <w:pStyle w:val="Textonotapie"/>
        <w:spacing w:after="120"/>
        <w:jc w:val="both"/>
        <w:rPr>
          <w:rFonts w:ascii="Verdana" w:hAnsi="Verdana"/>
          <w:sz w:val="16"/>
          <w:szCs w:val="16"/>
          <w:lang w:val="es-DO"/>
        </w:rPr>
      </w:pPr>
      <w:r w:rsidRPr="0092771D">
        <w:rPr>
          <w:rStyle w:val="Refdenotaalpie"/>
        </w:rPr>
        <w:footnoteRef/>
      </w:r>
      <w:r w:rsidRPr="0092771D">
        <w:rPr>
          <w:rFonts w:ascii="Verdana" w:hAnsi="Verdana"/>
          <w:sz w:val="16"/>
          <w:szCs w:val="16"/>
        </w:rPr>
        <w:t xml:space="preserve"> </w:t>
      </w:r>
      <w:r w:rsidR="0092771D">
        <w:rPr>
          <w:rFonts w:ascii="Verdana" w:hAnsi="Verdana"/>
          <w:sz w:val="16"/>
          <w:szCs w:val="16"/>
        </w:rPr>
        <w:tab/>
      </w:r>
      <w:r w:rsidRPr="0092771D">
        <w:rPr>
          <w:rFonts w:ascii="Verdana" w:hAnsi="Verdana"/>
          <w:i/>
          <w:sz w:val="16"/>
          <w:szCs w:val="16"/>
          <w:lang w:val="es-CR"/>
        </w:rPr>
        <w:t>Cfr. Caso Poblete Vilches y otros Vs. Chile. Fondo, Reparaciones y Costas.</w:t>
      </w:r>
      <w:r w:rsidRPr="0092771D">
        <w:rPr>
          <w:rFonts w:ascii="Verdana" w:hAnsi="Verdana"/>
          <w:sz w:val="16"/>
          <w:szCs w:val="16"/>
          <w:lang w:val="es-CR"/>
        </w:rPr>
        <w:t xml:space="preserve"> Sentencia de 8 de marzo de 2018. Serie C No. 349, puntos resolutivos 3 y 4. </w:t>
      </w:r>
    </w:p>
  </w:footnote>
  <w:footnote w:id="16">
    <w:p w14:paraId="3B0EBBE6" w14:textId="27D25B1E" w:rsidR="00B365E1" w:rsidRPr="0092771D" w:rsidRDefault="00B365E1" w:rsidP="00963237">
      <w:pPr>
        <w:pStyle w:val="Textonotapie"/>
        <w:spacing w:after="120"/>
        <w:jc w:val="both"/>
        <w:rPr>
          <w:rFonts w:ascii="Verdana" w:hAnsi="Verdana"/>
          <w:sz w:val="16"/>
          <w:szCs w:val="16"/>
          <w:lang w:val="es-DO"/>
        </w:rPr>
      </w:pPr>
      <w:r w:rsidRPr="0092771D">
        <w:rPr>
          <w:rStyle w:val="Refdenotaalpie"/>
        </w:rPr>
        <w:footnoteRef/>
      </w:r>
      <w:r w:rsidRPr="0092771D">
        <w:rPr>
          <w:rFonts w:ascii="Verdana" w:hAnsi="Verdana"/>
          <w:sz w:val="16"/>
          <w:szCs w:val="16"/>
        </w:rPr>
        <w:t xml:space="preserve"> </w:t>
      </w:r>
      <w:r w:rsidR="0092771D">
        <w:rPr>
          <w:rFonts w:ascii="Verdana" w:hAnsi="Verdana"/>
          <w:sz w:val="16"/>
          <w:szCs w:val="16"/>
        </w:rPr>
        <w:tab/>
      </w:r>
      <w:r w:rsidR="0092771D" w:rsidRPr="0092771D">
        <w:rPr>
          <w:rFonts w:ascii="Verdana" w:hAnsi="Verdana"/>
          <w:i/>
          <w:sz w:val="16"/>
          <w:szCs w:val="16"/>
        </w:rPr>
        <w:t>Cfr.</w:t>
      </w:r>
      <w:r w:rsidR="0092771D">
        <w:rPr>
          <w:rFonts w:ascii="Verdana" w:hAnsi="Verdana"/>
          <w:sz w:val="16"/>
          <w:szCs w:val="16"/>
        </w:rPr>
        <w:t xml:space="preserve"> </w:t>
      </w:r>
      <w:r w:rsidRPr="0092771D">
        <w:rPr>
          <w:rFonts w:ascii="Verdana" w:hAnsi="Verdana" w:cstheme="minorHAnsi"/>
          <w:i/>
          <w:sz w:val="16"/>
          <w:szCs w:val="16"/>
        </w:rPr>
        <w:t xml:space="preserve">Caso </w:t>
      </w:r>
      <w:proofErr w:type="spellStart"/>
      <w:r w:rsidRPr="0092771D">
        <w:rPr>
          <w:rFonts w:ascii="Verdana" w:hAnsi="Verdana" w:cstheme="minorHAnsi"/>
          <w:i/>
          <w:sz w:val="16"/>
          <w:szCs w:val="16"/>
        </w:rPr>
        <w:t>Cuscul</w:t>
      </w:r>
      <w:proofErr w:type="spellEnd"/>
      <w:r w:rsidRPr="0092771D">
        <w:rPr>
          <w:rFonts w:ascii="Verdana" w:hAnsi="Verdana" w:cstheme="minorHAnsi"/>
          <w:i/>
          <w:sz w:val="16"/>
          <w:szCs w:val="16"/>
        </w:rPr>
        <w:t xml:space="preserve"> Pivaral y otros Vs. Guatemala. Excepción Preliminar, Fondo, Reparaciones y Costas. </w:t>
      </w:r>
      <w:r w:rsidRPr="0092771D">
        <w:rPr>
          <w:rFonts w:ascii="Verdana" w:hAnsi="Verdana" w:cstheme="minorHAnsi"/>
          <w:sz w:val="16"/>
          <w:szCs w:val="16"/>
        </w:rPr>
        <w:t xml:space="preserve">Sentencia de 23 de agosto de 2018. Serie C No. 359, puntos resolutivos 5 y 6. </w:t>
      </w:r>
    </w:p>
  </w:footnote>
  <w:footnote w:id="17">
    <w:p w14:paraId="6AA303EF" w14:textId="31205369" w:rsidR="008B0F90" w:rsidRPr="0092771D" w:rsidRDefault="008B0F90" w:rsidP="00963237">
      <w:pPr>
        <w:pStyle w:val="Textonotapie"/>
        <w:spacing w:after="120"/>
        <w:jc w:val="both"/>
        <w:rPr>
          <w:rFonts w:ascii="Verdana" w:hAnsi="Verdana"/>
          <w:b/>
          <w:sz w:val="16"/>
          <w:szCs w:val="16"/>
        </w:rPr>
      </w:pPr>
      <w:r w:rsidRPr="0092771D">
        <w:rPr>
          <w:rStyle w:val="Refdenotaalpie"/>
        </w:rPr>
        <w:footnoteRef/>
      </w:r>
      <w:r w:rsidRPr="0092771D">
        <w:rPr>
          <w:rFonts w:ascii="Verdana" w:hAnsi="Verdana"/>
          <w:sz w:val="16"/>
          <w:szCs w:val="16"/>
        </w:rPr>
        <w:tab/>
      </w:r>
      <w:r w:rsidRPr="0092771D">
        <w:rPr>
          <w:rFonts w:ascii="Verdana" w:hAnsi="Verdana"/>
          <w:i/>
          <w:sz w:val="16"/>
          <w:szCs w:val="16"/>
          <w:lang w:val="es-CR"/>
        </w:rPr>
        <w:t>Cfr. Caso Poblete Vilches y otros Vs. Chile. Fondo, Reparaciones y Costas.</w:t>
      </w:r>
      <w:r w:rsidRPr="0092771D">
        <w:rPr>
          <w:rFonts w:ascii="Verdana" w:hAnsi="Verdana"/>
          <w:sz w:val="16"/>
          <w:szCs w:val="16"/>
          <w:lang w:val="es-CR"/>
        </w:rPr>
        <w:t xml:space="preserve"> Sentencia de 8 de </w:t>
      </w:r>
      <w:r w:rsidR="00B365E1" w:rsidRPr="0092771D">
        <w:rPr>
          <w:rFonts w:ascii="Verdana" w:hAnsi="Verdana"/>
          <w:sz w:val="16"/>
          <w:szCs w:val="16"/>
          <w:lang w:val="es-CR"/>
        </w:rPr>
        <w:t xml:space="preserve">marzo de 2018. </w:t>
      </w:r>
      <w:r w:rsidR="00B365E1" w:rsidRPr="00764430">
        <w:rPr>
          <w:rFonts w:ascii="Verdana" w:hAnsi="Verdana"/>
          <w:sz w:val="16"/>
          <w:szCs w:val="16"/>
          <w:lang w:val="es-CR"/>
        </w:rPr>
        <w:t xml:space="preserve">Serie C No. 349. </w:t>
      </w:r>
      <w:r w:rsidRPr="00764430">
        <w:rPr>
          <w:rStyle w:val="Textoennegrita"/>
          <w:rFonts w:ascii="Verdana" w:hAnsi="Verdana"/>
          <w:b w:val="0"/>
          <w:color w:val="000000"/>
          <w:sz w:val="16"/>
          <w:szCs w:val="16"/>
        </w:rPr>
        <w:t>Voto concurrente del Juez Humberto Antonio Sierra Porto,</w:t>
      </w:r>
      <w:r w:rsidRPr="00764430">
        <w:rPr>
          <w:rFonts w:ascii="Verdana" w:eastAsia="Verdana" w:hAnsi="Verdana"/>
          <w:b/>
          <w:sz w:val="16"/>
          <w:szCs w:val="16"/>
        </w:rPr>
        <w:t xml:space="preserve"> </w:t>
      </w:r>
      <w:r w:rsidRPr="00764430">
        <w:rPr>
          <w:rFonts w:ascii="Verdana" w:eastAsia="Verdana" w:hAnsi="Verdana"/>
          <w:sz w:val="16"/>
          <w:szCs w:val="16"/>
        </w:rPr>
        <w:t>párr</w:t>
      </w:r>
      <w:r w:rsidRPr="0092771D">
        <w:rPr>
          <w:rFonts w:ascii="Verdana" w:eastAsia="Verdana" w:hAnsi="Verdana"/>
          <w:sz w:val="16"/>
          <w:szCs w:val="16"/>
        </w:rPr>
        <w:t>. 12</w:t>
      </w:r>
      <w:r w:rsidR="00B365E1" w:rsidRPr="0092771D">
        <w:rPr>
          <w:rFonts w:ascii="Verdana" w:hAnsi="Verdana"/>
          <w:sz w:val="16"/>
          <w:szCs w:val="16"/>
          <w:lang w:val="es-CR"/>
        </w:rPr>
        <w:t xml:space="preserve">, y </w:t>
      </w:r>
      <w:r w:rsidRPr="0092771D">
        <w:rPr>
          <w:rFonts w:ascii="Verdana" w:hAnsi="Verdana" w:cstheme="minorHAnsi"/>
          <w:i/>
          <w:sz w:val="16"/>
          <w:szCs w:val="16"/>
        </w:rPr>
        <w:t xml:space="preserve">Caso </w:t>
      </w:r>
      <w:proofErr w:type="spellStart"/>
      <w:r w:rsidRPr="0092771D">
        <w:rPr>
          <w:rFonts w:ascii="Verdana" w:hAnsi="Verdana" w:cstheme="minorHAnsi"/>
          <w:i/>
          <w:sz w:val="16"/>
          <w:szCs w:val="16"/>
        </w:rPr>
        <w:t>Cuscul</w:t>
      </w:r>
      <w:proofErr w:type="spellEnd"/>
      <w:r w:rsidRPr="0092771D">
        <w:rPr>
          <w:rFonts w:ascii="Verdana" w:hAnsi="Verdana" w:cstheme="minorHAnsi"/>
          <w:i/>
          <w:sz w:val="16"/>
          <w:szCs w:val="16"/>
        </w:rPr>
        <w:t xml:space="preserve"> Pivaral y otros Vs. Guatemala. Excepción Preliminar, Fondo, Reparaciones y Costas. </w:t>
      </w:r>
      <w:r w:rsidRPr="0092771D">
        <w:rPr>
          <w:rFonts w:ascii="Verdana" w:hAnsi="Verdana" w:cstheme="minorHAnsi"/>
          <w:sz w:val="16"/>
          <w:szCs w:val="16"/>
        </w:rPr>
        <w:t xml:space="preserve">Sentencia de 23 de agosto de 2018. Serie C No. 359. </w:t>
      </w:r>
      <w:r w:rsidRPr="0092771D">
        <w:rPr>
          <w:rStyle w:val="Textoennegrita"/>
          <w:rFonts w:ascii="Verdana" w:hAnsi="Verdana" w:cstheme="minorHAnsi"/>
          <w:b w:val="0"/>
          <w:color w:val="000000"/>
          <w:sz w:val="16"/>
          <w:szCs w:val="16"/>
        </w:rPr>
        <w:t>Voto parcialmente disidente del Juez Humberto Antonio Sierra Porto, párr. 6.</w:t>
      </w:r>
    </w:p>
  </w:footnote>
  <w:footnote w:id="18">
    <w:p w14:paraId="060D9F61" w14:textId="7C490674" w:rsidR="008B0F90" w:rsidRPr="0092771D" w:rsidRDefault="008B0F90" w:rsidP="00963237">
      <w:pPr>
        <w:pStyle w:val="Textonotapie"/>
        <w:spacing w:after="120"/>
        <w:jc w:val="both"/>
        <w:rPr>
          <w:rFonts w:ascii="Verdana" w:hAnsi="Verdana"/>
          <w:sz w:val="16"/>
          <w:szCs w:val="16"/>
        </w:rPr>
      </w:pPr>
      <w:r w:rsidRPr="0092771D">
        <w:rPr>
          <w:rStyle w:val="Refdenotaalpie"/>
        </w:rPr>
        <w:footnoteRef/>
      </w:r>
      <w:r w:rsidRPr="0092771D">
        <w:rPr>
          <w:rFonts w:ascii="Verdana" w:hAnsi="Verdana"/>
          <w:sz w:val="16"/>
          <w:szCs w:val="16"/>
        </w:rPr>
        <w:t xml:space="preserve"> </w:t>
      </w:r>
      <w:r w:rsidRPr="0092771D">
        <w:rPr>
          <w:rFonts w:ascii="Verdana" w:hAnsi="Verdana"/>
          <w:sz w:val="16"/>
          <w:szCs w:val="16"/>
        </w:rPr>
        <w:tab/>
      </w:r>
      <w:r w:rsidRPr="0092771D">
        <w:rPr>
          <w:rFonts w:ascii="Verdana" w:hAnsi="Verdana"/>
          <w:i/>
          <w:sz w:val="16"/>
          <w:szCs w:val="16"/>
          <w:lang w:val="es-MX"/>
        </w:rPr>
        <w:t xml:space="preserve">Cfr. Caso Bulacio Vs. Argentina. Fondo, Reparaciones y Costas. </w:t>
      </w:r>
      <w:r w:rsidRPr="0092771D">
        <w:rPr>
          <w:rFonts w:ascii="Verdana" w:hAnsi="Verdana"/>
          <w:sz w:val="16"/>
          <w:szCs w:val="16"/>
          <w:lang w:val="es-MX"/>
        </w:rPr>
        <w:t>Sentencia de 18 de septiembre de 2003. Serie C No. 100, párr.</w:t>
      </w:r>
      <w:r w:rsidR="00963237">
        <w:rPr>
          <w:rFonts w:ascii="Verdana" w:hAnsi="Verdana"/>
          <w:sz w:val="16"/>
          <w:szCs w:val="16"/>
          <w:lang w:val="es-MX"/>
        </w:rPr>
        <w:t xml:space="preserve"> </w:t>
      </w:r>
      <w:r w:rsidRPr="0092771D">
        <w:rPr>
          <w:rFonts w:ascii="Verdana" w:hAnsi="Verdana"/>
          <w:sz w:val="16"/>
          <w:szCs w:val="16"/>
          <w:lang w:val="es-MX"/>
        </w:rPr>
        <w:t>138</w:t>
      </w:r>
      <w:r w:rsidR="00963237">
        <w:rPr>
          <w:rFonts w:ascii="Verdana" w:hAnsi="Verdana"/>
          <w:sz w:val="16"/>
          <w:szCs w:val="16"/>
          <w:lang w:val="es-MX"/>
        </w:rPr>
        <w:t>,</w:t>
      </w:r>
      <w:r w:rsidRPr="0092771D">
        <w:rPr>
          <w:rFonts w:ascii="Verdana" w:hAnsi="Verdana"/>
          <w:i/>
          <w:sz w:val="16"/>
          <w:szCs w:val="16"/>
          <w:lang w:val="es-MX"/>
        </w:rPr>
        <w:t xml:space="preserve"> </w:t>
      </w:r>
      <w:r w:rsidRPr="0092771D">
        <w:rPr>
          <w:rFonts w:ascii="Verdana" w:hAnsi="Verdana"/>
          <w:sz w:val="16"/>
          <w:szCs w:val="16"/>
          <w:lang w:val="es-MX"/>
        </w:rPr>
        <w:t xml:space="preserve">y </w:t>
      </w:r>
      <w:r w:rsidRPr="0092771D">
        <w:rPr>
          <w:rFonts w:ascii="Verdana" w:hAnsi="Verdana"/>
          <w:bCs/>
          <w:i/>
          <w:sz w:val="16"/>
          <w:szCs w:val="16"/>
          <w:lang w:val="es-MX"/>
        </w:rPr>
        <w:t>Caso Chinchilla Sandoval y otros Vs. Guatemala. Excepción Preliminar, Fondo, Reparaciones y Costas.</w:t>
      </w:r>
      <w:r w:rsidRPr="0092771D">
        <w:rPr>
          <w:rFonts w:ascii="Verdana" w:hAnsi="Verdana"/>
          <w:bCs/>
          <w:sz w:val="16"/>
          <w:szCs w:val="16"/>
          <w:lang w:val="es-MX"/>
        </w:rPr>
        <w:t xml:space="preserve"> Sentencia de 29 de febrero de 2016. Serie C No. 312, párr. 173.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0D66"/>
    <w:multiLevelType w:val="hybridMultilevel"/>
    <w:tmpl w:val="55B0A46C"/>
    <w:lvl w:ilvl="0" w:tplc="2CD43BFC">
      <w:start w:val="1"/>
      <w:numFmt w:val="upp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4939CC"/>
    <w:multiLevelType w:val="hybridMultilevel"/>
    <w:tmpl w:val="A86A7CBA"/>
    <w:lvl w:ilvl="0" w:tplc="EBFE0A0A">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C320B"/>
    <w:multiLevelType w:val="hybridMultilevel"/>
    <w:tmpl w:val="95FC487E"/>
    <w:lvl w:ilvl="0" w:tplc="94809758">
      <w:start w:val="1"/>
      <w:numFmt w:val="decimal"/>
      <w:lvlText w:val="%1."/>
      <w:lvlJc w:val="left"/>
      <w:pPr>
        <w:ind w:left="720" w:hanging="360"/>
      </w:pPr>
      <w:rPr>
        <w:rFonts w:ascii="Verdana" w:hAnsi="Verdana" w:hint="default"/>
        <w:sz w:val="20"/>
        <w:szCs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A4C3C10"/>
    <w:multiLevelType w:val="hybridMultilevel"/>
    <w:tmpl w:val="3196C5E2"/>
    <w:lvl w:ilvl="0" w:tplc="6E72A1FE">
      <w:numFmt w:val="bullet"/>
      <w:lvlText w:val=""/>
      <w:lvlJc w:val="left"/>
      <w:pPr>
        <w:ind w:left="720" w:hanging="360"/>
      </w:pPr>
      <w:rPr>
        <w:rFonts w:ascii="Wingdings" w:eastAsiaTheme="minorHAnsi" w:hAnsi="Wingdings"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ED47224"/>
    <w:multiLevelType w:val="hybridMultilevel"/>
    <w:tmpl w:val="60ECA322"/>
    <w:lvl w:ilvl="0" w:tplc="EBFE0A0A">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9C17D6"/>
    <w:multiLevelType w:val="hybridMultilevel"/>
    <w:tmpl w:val="23666372"/>
    <w:lvl w:ilvl="0" w:tplc="2B34F8AE">
      <w:start w:val="3"/>
      <w:numFmt w:val="upperRoman"/>
      <w:lvlText w:val="%1."/>
      <w:lvlJc w:val="left"/>
      <w:pPr>
        <w:ind w:left="142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9423DA"/>
    <w:multiLevelType w:val="hybridMultilevel"/>
    <w:tmpl w:val="5EA68DAA"/>
    <w:lvl w:ilvl="0" w:tplc="98CC3E0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0185554"/>
    <w:multiLevelType w:val="hybridMultilevel"/>
    <w:tmpl w:val="257A1C26"/>
    <w:lvl w:ilvl="0" w:tplc="954E7DB0">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61C47941"/>
    <w:multiLevelType w:val="hybridMultilevel"/>
    <w:tmpl w:val="D63AEAFA"/>
    <w:lvl w:ilvl="0" w:tplc="A848518C">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9567A5"/>
    <w:multiLevelType w:val="hybridMultilevel"/>
    <w:tmpl w:val="BF20C022"/>
    <w:lvl w:ilvl="0" w:tplc="BE984D8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7"/>
  </w:num>
  <w:num w:numId="6">
    <w:abstractNumId w:val="8"/>
  </w:num>
  <w:num w:numId="7">
    <w:abstractNumId w:val="5"/>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CO" w:vendorID="64" w:dllVersion="6" w:nlCheck="1" w:checkStyle="1"/>
  <w:activeWritingStyle w:appName="MSWord" w:lang="es-CR"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_tradnl" w:vendorID="64" w:dllVersion="4096" w:nlCheck="1" w:checkStyle="0"/>
  <w:activeWritingStyle w:appName="MSWord" w:lang="es-CR" w:vendorID="64" w:dllVersion="4096" w:nlCheck="1" w:checkStyle="0"/>
  <w:activeWritingStyle w:appName="MSWord" w:lang="es-CO"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80"/>
    <w:rsid w:val="00002540"/>
    <w:rsid w:val="00022391"/>
    <w:rsid w:val="0003261A"/>
    <w:rsid w:val="000758C0"/>
    <w:rsid w:val="000A147E"/>
    <w:rsid w:val="000A3E6B"/>
    <w:rsid w:val="000B2F27"/>
    <w:rsid w:val="000E79DD"/>
    <w:rsid w:val="001178AB"/>
    <w:rsid w:val="00126109"/>
    <w:rsid w:val="0014462B"/>
    <w:rsid w:val="00144F76"/>
    <w:rsid w:val="00152AC5"/>
    <w:rsid w:val="00185794"/>
    <w:rsid w:val="00190B13"/>
    <w:rsid w:val="00191F3E"/>
    <w:rsid w:val="001A1FA3"/>
    <w:rsid w:val="001A59E6"/>
    <w:rsid w:val="001E1EAF"/>
    <w:rsid w:val="001E251B"/>
    <w:rsid w:val="001F27B0"/>
    <w:rsid w:val="002348ED"/>
    <w:rsid w:val="002A3147"/>
    <w:rsid w:val="002B298D"/>
    <w:rsid w:val="002D41EC"/>
    <w:rsid w:val="00313979"/>
    <w:rsid w:val="0031744D"/>
    <w:rsid w:val="00322C65"/>
    <w:rsid w:val="0033482A"/>
    <w:rsid w:val="00357AF5"/>
    <w:rsid w:val="003659D2"/>
    <w:rsid w:val="00366067"/>
    <w:rsid w:val="003D1808"/>
    <w:rsid w:val="003F1962"/>
    <w:rsid w:val="004009CE"/>
    <w:rsid w:val="00442A21"/>
    <w:rsid w:val="00454B7E"/>
    <w:rsid w:val="0045632F"/>
    <w:rsid w:val="004964E9"/>
    <w:rsid w:val="00496CB0"/>
    <w:rsid w:val="004A4A2E"/>
    <w:rsid w:val="004B322E"/>
    <w:rsid w:val="00503BA4"/>
    <w:rsid w:val="00582917"/>
    <w:rsid w:val="005C39A2"/>
    <w:rsid w:val="005F5583"/>
    <w:rsid w:val="0060021E"/>
    <w:rsid w:val="00613911"/>
    <w:rsid w:val="00627B94"/>
    <w:rsid w:val="006350F8"/>
    <w:rsid w:val="0064274F"/>
    <w:rsid w:val="00653C2B"/>
    <w:rsid w:val="00653C87"/>
    <w:rsid w:val="00661E38"/>
    <w:rsid w:val="0066336C"/>
    <w:rsid w:val="006A3C06"/>
    <w:rsid w:val="006D3EB3"/>
    <w:rsid w:val="00704A7D"/>
    <w:rsid w:val="00711276"/>
    <w:rsid w:val="00724FCC"/>
    <w:rsid w:val="00764430"/>
    <w:rsid w:val="007B0650"/>
    <w:rsid w:val="007B5980"/>
    <w:rsid w:val="007C55AA"/>
    <w:rsid w:val="007F188B"/>
    <w:rsid w:val="007F605B"/>
    <w:rsid w:val="008016A4"/>
    <w:rsid w:val="0082603C"/>
    <w:rsid w:val="008B0F90"/>
    <w:rsid w:val="008B5CB6"/>
    <w:rsid w:val="008C08BB"/>
    <w:rsid w:val="008D53D5"/>
    <w:rsid w:val="008D5C13"/>
    <w:rsid w:val="009031AA"/>
    <w:rsid w:val="0091322C"/>
    <w:rsid w:val="0092771D"/>
    <w:rsid w:val="0093451A"/>
    <w:rsid w:val="00945257"/>
    <w:rsid w:val="0094555C"/>
    <w:rsid w:val="00962F3B"/>
    <w:rsid w:val="00963237"/>
    <w:rsid w:val="009767D6"/>
    <w:rsid w:val="009805BF"/>
    <w:rsid w:val="00984F07"/>
    <w:rsid w:val="00992634"/>
    <w:rsid w:val="00996B2C"/>
    <w:rsid w:val="00A22C29"/>
    <w:rsid w:val="00A27F50"/>
    <w:rsid w:val="00A50DD2"/>
    <w:rsid w:val="00A62E2A"/>
    <w:rsid w:val="00A7612E"/>
    <w:rsid w:val="00A961A1"/>
    <w:rsid w:val="00AC4D5F"/>
    <w:rsid w:val="00AC53DF"/>
    <w:rsid w:val="00AD212E"/>
    <w:rsid w:val="00B21569"/>
    <w:rsid w:val="00B27E27"/>
    <w:rsid w:val="00B365E1"/>
    <w:rsid w:val="00B5615D"/>
    <w:rsid w:val="00B573D7"/>
    <w:rsid w:val="00B61200"/>
    <w:rsid w:val="00B719D4"/>
    <w:rsid w:val="00B755B1"/>
    <w:rsid w:val="00B76579"/>
    <w:rsid w:val="00B7784E"/>
    <w:rsid w:val="00BC441A"/>
    <w:rsid w:val="00BC665A"/>
    <w:rsid w:val="00BD1743"/>
    <w:rsid w:val="00C1318D"/>
    <w:rsid w:val="00C85E4F"/>
    <w:rsid w:val="00CB4A8C"/>
    <w:rsid w:val="00CC2A3F"/>
    <w:rsid w:val="00CD47FC"/>
    <w:rsid w:val="00CF5A3D"/>
    <w:rsid w:val="00D03268"/>
    <w:rsid w:val="00D052D9"/>
    <w:rsid w:val="00D16644"/>
    <w:rsid w:val="00D17863"/>
    <w:rsid w:val="00D222F9"/>
    <w:rsid w:val="00D269DF"/>
    <w:rsid w:val="00D35F04"/>
    <w:rsid w:val="00D503D9"/>
    <w:rsid w:val="00D708EB"/>
    <w:rsid w:val="00D85FC4"/>
    <w:rsid w:val="00DB04F5"/>
    <w:rsid w:val="00DC46F0"/>
    <w:rsid w:val="00DE01EE"/>
    <w:rsid w:val="00E200B0"/>
    <w:rsid w:val="00E2600C"/>
    <w:rsid w:val="00E33E94"/>
    <w:rsid w:val="00E564F8"/>
    <w:rsid w:val="00E73CFC"/>
    <w:rsid w:val="00E921AE"/>
    <w:rsid w:val="00EA2780"/>
    <w:rsid w:val="00EA2929"/>
    <w:rsid w:val="00ED29EB"/>
    <w:rsid w:val="00EE16E8"/>
    <w:rsid w:val="00EE7331"/>
    <w:rsid w:val="00F458B4"/>
    <w:rsid w:val="00F47AB2"/>
    <w:rsid w:val="00F66A08"/>
    <w:rsid w:val="00F82EA7"/>
    <w:rsid w:val="00F92EDE"/>
    <w:rsid w:val="00FB5E73"/>
    <w:rsid w:val="00FC3320"/>
    <w:rsid w:val="00FD4E8A"/>
    <w:rsid w:val="00FE25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79F7"/>
  <w15:docId w15:val="{50F01AF2-BDD8-412C-BB18-C23AAFC9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olorful List - Accent 11,Lista vistosa - Énfasis 11,Footnote,List Paragraph1,Párrafo de lista1"/>
    <w:basedOn w:val="Normal"/>
    <w:link w:val="PrrafodelistaCar"/>
    <w:uiPriority w:val="34"/>
    <w:qFormat/>
    <w:rsid w:val="007B5980"/>
    <w:pPr>
      <w:ind w:left="720"/>
      <w:contextualSpacing/>
    </w:pPr>
  </w:style>
  <w:style w:type="paragraph" w:styleId="Textonotapie">
    <w:name w:val="footnote text"/>
    <w:aliases w:val="FA Fu,Footnote Text Char Char Char Char Char,Footnote Text Char Char Char Char,Footnote reference,Footnote Text Char Char Char,FA Fu Car,FA Fu Car Car,Footnote Text Cha,FA Fußnotentext,FA Fuﬂnotentext,FA Fu?notentext,Ca"/>
    <w:basedOn w:val="Normal"/>
    <w:link w:val="TextonotapieCar"/>
    <w:uiPriority w:val="99"/>
    <w:unhideWhenUsed/>
    <w:qFormat/>
    <w:rsid w:val="00984F07"/>
    <w:pPr>
      <w:spacing w:after="0" w:line="240" w:lineRule="auto"/>
    </w:pPr>
    <w:rPr>
      <w:sz w:val="20"/>
      <w:szCs w:val="20"/>
    </w:rPr>
  </w:style>
  <w:style w:type="character" w:customStyle="1" w:styleId="TextonotapieCar">
    <w:name w:val="Texto nota pie Car"/>
    <w:aliases w:val="FA Fu Car1,Footnote Text Char Char Char Char Char Car,Footnote Text Char Char Char Char Car,Footnote reference Car,Footnote Text Char Char Char Car,FA Fu Car Car1,FA Fu Car Car Car,Footnote Text Cha Car,FA Fußnotentext Car,Ca Car"/>
    <w:basedOn w:val="Fuentedeprrafopredeter"/>
    <w:link w:val="Textonotapie"/>
    <w:uiPriority w:val="99"/>
    <w:semiHidden/>
    <w:rsid w:val="00984F07"/>
    <w:rPr>
      <w:sz w:val="20"/>
      <w:szCs w:val="20"/>
    </w:rPr>
  </w:style>
  <w:style w:type="character" w:styleId="Refdenotaalpie">
    <w:name w:val="footnote reference"/>
    <w:aliases w:val="Texto de nota al pie,Appel note de bas de page,Footnotes refss,Footnote number,referencia nota al pie,BVI fnr,f,4_G,16 Point,Superscript 6 Point,Footnote Reference Char3,Footnote Reference Char1 Char,Footnote Reference Char Char Char"/>
    <w:basedOn w:val="Fuentedeprrafopredeter"/>
    <w:link w:val="4GChar"/>
    <w:uiPriority w:val="99"/>
    <w:qFormat/>
    <w:rsid w:val="00984F07"/>
    <w:rPr>
      <w:rFonts w:ascii="Verdana" w:hAnsi="Verdana" w:cs="Verdana"/>
      <w:sz w:val="16"/>
      <w:szCs w:val="16"/>
      <w:vertAlign w:val="superscript"/>
    </w:rPr>
  </w:style>
  <w:style w:type="character" w:styleId="Textoennegrita">
    <w:name w:val="Strong"/>
    <w:aliases w:val="Heading 2.1"/>
    <w:basedOn w:val="Fuentedeprrafopredeter"/>
    <w:uiPriority w:val="22"/>
    <w:qFormat/>
    <w:rsid w:val="00984F07"/>
    <w:rPr>
      <w:b/>
      <w:bCs/>
    </w:rPr>
  </w:style>
  <w:style w:type="character" w:customStyle="1" w:styleId="PrrafodelistaCar">
    <w:name w:val="Párrafo de lista Car"/>
    <w:aliases w:val="Colorful List - Accent 11 Car,Lista vistosa - Énfasis 11 Car,Footnote Car,List Paragraph1 Car,Párrafo de lista1 Car"/>
    <w:basedOn w:val="Fuentedeprrafopredeter"/>
    <w:link w:val="Prrafodelista"/>
    <w:locked/>
    <w:rsid w:val="0094555C"/>
  </w:style>
  <w:style w:type="paragraph" w:styleId="Textodeglobo">
    <w:name w:val="Balloon Text"/>
    <w:basedOn w:val="Normal"/>
    <w:link w:val="TextodegloboCar"/>
    <w:uiPriority w:val="99"/>
    <w:semiHidden/>
    <w:unhideWhenUsed/>
    <w:rsid w:val="00653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3C2B"/>
    <w:rPr>
      <w:rFonts w:ascii="Tahoma" w:hAnsi="Tahoma" w:cs="Tahoma"/>
      <w:sz w:val="16"/>
      <w:szCs w:val="16"/>
    </w:rPr>
  </w:style>
  <w:style w:type="paragraph" w:styleId="Encabezado">
    <w:name w:val="header"/>
    <w:basedOn w:val="Normal"/>
    <w:link w:val="EncabezadoCar"/>
    <w:uiPriority w:val="99"/>
    <w:unhideWhenUsed/>
    <w:rsid w:val="003659D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659D2"/>
  </w:style>
  <w:style w:type="paragraph" w:styleId="Piedepgina">
    <w:name w:val="footer"/>
    <w:basedOn w:val="Normal"/>
    <w:link w:val="PiedepginaCar"/>
    <w:uiPriority w:val="99"/>
    <w:unhideWhenUsed/>
    <w:rsid w:val="003659D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659D2"/>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61E38"/>
    <w:pPr>
      <w:spacing w:after="0" w:line="240" w:lineRule="auto"/>
      <w:jc w:val="both"/>
    </w:pPr>
    <w:rPr>
      <w:rFonts w:ascii="Verdana" w:hAnsi="Verdana" w:cs="Verdana"/>
      <w:sz w:val="16"/>
      <w:szCs w:val="16"/>
      <w:vertAlign w:val="superscript"/>
    </w:rPr>
  </w:style>
  <w:style w:type="character" w:styleId="Textodelmarcadordeposicin">
    <w:name w:val="Placeholder Text"/>
    <w:basedOn w:val="Fuentedeprrafopredeter"/>
    <w:uiPriority w:val="99"/>
    <w:semiHidden/>
    <w:rsid w:val="00F66A08"/>
    <w:rPr>
      <w:color w:val="808080"/>
    </w:rPr>
  </w:style>
  <w:style w:type="character" w:styleId="Refdecomentario">
    <w:name w:val="annotation reference"/>
    <w:basedOn w:val="Fuentedeprrafopredeter"/>
    <w:uiPriority w:val="99"/>
    <w:semiHidden/>
    <w:unhideWhenUsed/>
    <w:rsid w:val="00B76579"/>
    <w:rPr>
      <w:sz w:val="16"/>
      <w:szCs w:val="16"/>
    </w:rPr>
  </w:style>
  <w:style w:type="paragraph" w:styleId="Textocomentario">
    <w:name w:val="annotation text"/>
    <w:basedOn w:val="Normal"/>
    <w:link w:val="TextocomentarioCar"/>
    <w:uiPriority w:val="99"/>
    <w:semiHidden/>
    <w:unhideWhenUsed/>
    <w:rsid w:val="00B765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6579"/>
    <w:rPr>
      <w:sz w:val="20"/>
      <w:szCs w:val="20"/>
    </w:rPr>
  </w:style>
  <w:style w:type="paragraph" w:styleId="Asuntodelcomentario">
    <w:name w:val="annotation subject"/>
    <w:basedOn w:val="Textocomentario"/>
    <w:next w:val="Textocomentario"/>
    <w:link w:val="AsuntodelcomentarioCar"/>
    <w:uiPriority w:val="99"/>
    <w:semiHidden/>
    <w:unhideWhenUsed/>
    <w:rsid w:val="00B76579"/>
    <w:rPr>
      <w:b/>
      <w:bCs/>
    </w:rPr>
  </w:style>
  <w:style w:type="character" w:customStyle="1" w:styleId="AsuntodelcomentarioCar">
    <w:name w:val="Asunto del comentario Car"/>
    <w:basedOn w:val="TextocomentarioCar"/>
    <w:link w:val="Asuntodelcomentario"/>
    <w:uiPriority w:val="99"/>
    <w:semiHidden/>
    <w:rsid w:val="00B765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65A4-2893-407C-A41E-C0121489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2284</Words>
  <Characters>12564</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Hannia Sanchez</cp:lastModifiedBy>
  <cp:revision>2</cp:revision>
  <cp:lastPrinted>2019-12-20T18:51:00Z</cp:lastPrinted>
  <dcterms:created xsi:type="dcterms:W3CDTF">2019-12-20T20:04:00Z</dcterms:created>
  <dcterms:modified xsi:type="dcterms:W3CDTF">2019-12-20T20:04:00Z</dcterms:modified>
</cp:coreProperties>
</file>