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F1" w:rsidRDefault="005340F1" w:rsidP="00056E6D">
      <w:pPr>
        <w:spacing w:after="0"/>
        <w:jc w:val="center"/>
        <w:rPr>
          <w:b/>
          <w:lang w:val="es-ES"/>
        </w:rPr>
      </w:pPr>
      <w:bookmarkStart w:id="0" w:name="_GoBack"/>
      <w:bookmarkEnd w:id="0"/>
    </w:p>
    <w:p w:rsidR="00141286" w:rsidRDefault="00141286" w:rsidP="00056E6D">
      <w:pPr>
        <w:spacing w:after="0"/>
        <w:jc w:val="center"/>
        <w:rPr>
          <w:b/>
          <w:lang w:val="es-ES"/>
        </w:rPr>
      </w:pPr>
    </w:p>
    <w:p w:rsidR="00141286" w:rsidRDefault="00141286" w:rsidP="00056E6D">
      <w:pPr>
        <w:spacing w:after="0"/>
        <w:jc w:val="center"/>
        <w:rPr>
          <w:b/>
          <w:lang w:val="es-ES"/>
        </w:rPr>
      </w:pPr>
    </w:p>
    <w:p w:rsidR="00141286" w:rsidRDefault="00141286" w:rsidP="00056E6D">
      <w:pPr>
        <w:spacing w:after="0"/>
        <w:jc w:val="center"/>
        <w:rPr>
          <w:b/>
          <w:lang w:val="es-ES"/>
        </w:rPr>
      </w:pPr>
    </w:p>
    <w:p w:rsidR="00141286" w:rsidRDefault="00141286" w:rsidP="00056E6D">
      <w:pPr>
        <w:spacing w:after="0"/>
        <w:jc w:val="center"/>
        <w:rPr>
          <w:b/>
          <w:lang w:val="es-ES"/>
        </w:rPr>
      </w:pPr>
    </w:p>
    <w:p w:rsidR="00141286" w:rsidRDefault="00141286" w:rsidP="00056E6D">
      <w:pPr>
        <w:spacing w:after="0"/>
        <w:jc w:val="center"/>
        <w:rPr>
          <w:b/>
          <w:lang w:val="es-ES"/>
        </w:rPr>
      </w:pPr>
    </w:p>
    <w:p w:rsidR="002A3612" w:rsidRPr="00056E6D" w:rsidRDefault="002A3612" w:rsidP="00056E6D">
      <w:pPr>
        <w:spacing w:after="0"/>
        <w:jc w:val="center"/>
        <w:rPr>
          <w:b/>
          <w:lang w:val="es-ES"/>
        </w:rPr>
      </w:pPr>
      <w:r w:rsidRPr="00056E6D">
        <w:rPr>
          <w:b/>
          <w:lang w:val="es-ES"/>
        </w:rPr>
        <w:t>VOTO INDIVIDUAL DISIDENTE DEL JUEZ EDUARDO VIO GROSSI,</w:t>
      </w:r>
    </w:p>
    <w:p w:rsidR="002A3612" w:rsidRPr="00056E6D" w:rsidRDefault="002A3612" w:rsidP="00056E6D">
      <w:pPr>
        <w:spacing w:after="0"/>
        <w:jc w:val="center"/>
        <w:rPr>
          <w:b/>
          <w:lang w:val="es-ES"/>
        </w:rPr>
      </w:pPr>
      <w:r w:rsidRPr="00056E6D">
        <w:rPr>
          <w:b/>
          <w:lang w:val="es-ES"/>
        </w:rPr>
        <w:t>CORTE INTERAMERICANA DE DERECHOS HUMANOS,</w:t>
      </w:r>
    </w:p>
    <w:p w:rsidR="002A3612" w:rsidRPr="00056E6D" w:rsidRDefault="002A3612" w:rsidP="00056E6D">
      <w:pPr>
        <w:spacing w:after="0"/>
        <w:jc w:val="center"/>
        <w:rPr>
          <w:b/>
          <w:lang w:val="es-ES"/>
        </w:rPr>
      </w:pPr>
      <w:r w:rsidRPr="00056E6D">
        <w:rPr>
          <w:b/>
          <w:lang w:val="es-ES"/>
        </w:rPr>
        <w:t xml:space="preserve">CASO GÓMEZ MURILLO Y OTROS </w:t>
      </w:r>
      <w:r w:rsidRPr="00D332E6">
        <w:rPr>
          <w:b/>
          <w:i/>
          <w:lang w:val="es-ES"/>
        </w:rPr>
        <w:t>VS</w:t>
      </w:r>
      <w:r w:rsidRPr="00056E6D">
        <w:rPr>
          <w:b/>
          <w:lang w:val="es-ES"/>
        </w:rPr>
        <w:t>. COSTA RICA,</w:t>
      </w:r>
    </w:p>
    <w:p w:rsidR="00C26898" w:rsidRPr="00056E6D" w:rsidRDefault="00D332E6" w:rsidP="00D332E6">
      <w:pPr>
        <w:spacing w:after="0"/>
        <w:jc w:val="center"/>
        <w:rPr>
          <w:b/>
          <w:lang w:val="es-ES"/>
        </w:rPr>
      </w:pPr>
      <w:r>
        <w:rPr>
          <w:b/>
          <w:lang w:val="es-ES"/>
        </w:rPr>
        <w:t>SENTENCIA DE 29 DE NOVIEMBRE DE 2016</w:t>
      </w:r>
      <w:r w:rsidR="002A3612" w:rsidRPr="00056E6D">
        <w:rPr>
          <w:b/>
          <w:lang w:val="es-ES"/>
        </w:rPr>
        <w:t>.</w:t>
      </w:r>
    </w:p>
    <w:p w:rsidR="00141286" w:rsidRDefault="00141286" w:rsidP="009E5CEE">
      <w:pPr>
        <w:jc w:val="both"/>
        <w:rPr>
          <w:b/>
          <w:u w:val="single"/>
          <w:lang w:val="es-ES"/>
        </w:rPr>
      </w:pPr>
    </w:p>
    <w:p w:rsidR="004E55D1" w:rsidRDefault="004E55D1" w:rsidP="009E5CEE">
      <w:pPr>
        <w:jc w:val="both"/>
        <w:rPr>
          <w:b/>
          <w:lang w:val="es-ES"/>
        </w:rPr>
      </w:pPr>
      <w:r w:rsidRPr="004E55D1">
        <w:rPr>
          <w:b/>
          <w:u w:val="single"/>
          <w:lang w:val="es-ES"/>
        </w:rPr>
        <w:t>Introducción</w:t>
      </w:r>
      <w:r>
        <w:rPr>
          <w:b/>
          <w:lang w:val="es-ES"/>
        </w:rPr>
        <w:t>.</w:t>
      </w:r>
    </w:p>
    <w:p w:rsidR="00030AAC" w:rsidRDefault="006C041E" w:rsidP="009E5CEE">
      <w:pPr>
        <w:jc w:val="both"/>
        <w:rPr>
          <w:lang w:val="es-ES"/>
        </w:rPr>
      </w:pPr>
      <w:r w:rsidRPr="006C5082">
        <w:rPr>
          <w:lang w:val="es-ES"/>
        </w:rPr>
        <w:t xml:space="preserve">Se emite el presente voto </w:t>
      </w:r>
      <w:r w:rsidR="001234F5" w:rsidRPr="006C5082">
        <w:rPr>
          <w:lang w:val="es-ES"/>
        </w:rPr>
        <w:t xml:space="preserve">individual </w:t>
      </w:r>
      <w:r w:rsidRPr="006C5082">
        <w:rPr>
          <w:lang w:val="es-ES"/>
        </w:rPr>
        <w:t>disidente</w:t>
      </w:r>
      <w:r w:rsidR="001234F5">
        <w:rPr>
          <w:rStyle w:val="FootnoteReference"/>
          <w:lang w:val="es-ES"/>
        </w:rPr>
        <w:footnoteReference w:id="1"/>
      </w:r>
      <w:r w:rsidRPr="006C5082">
        <w:rPr>
          <w:lang w:val="es-ES"/>
        </w:rPr>
        <w:t xml:space="preserve"> re</w:t>
      </w:r>
      <w:r w:rsidR="00D82E6F" w:rsidRPr="006C5082">
        <w:rPr>
          <w:lang w:val="es-ES"/>
        </w:rPr>
        <w:t>specto de la Sentencia del epígr</w:t>
      </w:r>
      <w:r w:rsidRPr="006C5082">
        <w:rPr>
          <w:lang w:val="es-ES"/>
        </w:rPr>
        <w:t>afe</w:t>
      </w:r>
      <w:r>
        <w:rPr>
          <w:rStyle w:val="FootnoteReference"/>
          <w:lang w:val="es-ES"/>
        </w:rPr>
        <w:footnoteReference w:id="2"/>
      </w:r>
      <w:r w:rsidRPr="006C5082">
        <w:rPr>
          <w:lang w:val="es-ES"/>
        </w:rPr>
        <w:t xml:space="preserve"> en atención a que no se comparte</w:t>
      </w:r>
      <w:r w:rsidR="00D332E6">
        <w:rPr>
          <w:lang w:val="es-ES"/>
        </w:rPr>
        <w:t xml:space="preserve"> lo resuelto en ella en orden a</w:t>
      </w:r>
      <w:r w:rsidR="00D332E6" w:rsidRPr="00D332E6">
        <w:rPr>
          <w:lang w:val="es-ES"/>
        </w:rPr>
        <w:t xml:space="preserve"> </w:t>
      </w:r>
      <w:r w:rsidR="00877D65">
        <w:rPr>
          <w:lang w:val="es-ES"/>
        </w:rPr>
        <w:t xml:space="preserve">“(h)omologar … </w:t>
      </w:r>
      <w:r w:rsidRPr="006C5082">
        <w:rPr>
          <w:lang w:val="es-ES"/>
        </w:rPr>
        <w:t>el “Acuerdo de arreglo amistoso suscrito entre el Estado de Costa Rica y la parte demandante”, suscrito por Costa Rica y el representante de las víctimas”</w:t>
      </w:r>
      <w:r>
        <w:rPr>
          <w:rStyle w:val="FootnoteReference"/>
          <w:lang w:val="es-ES"/>
        </w:rPr>
        <w:footnoteReference w:id="3"/>
      </w:r>
      <w:r w:rsidR="005E4DF7" w:rsidRPr="006C5082">
        <w:rPr>
          <w:lang w:val="es-ES"/>
        </w:rPr>
        <w:t xml:space="preserve"> </w:t>
      </w:r>
      <w:r w:rsidR="005E4DF7">
        <w:rPr>
          <w:rStyle w:val="FootnoteReference"/>
          <w:lang w:val="es-ES"/>
        </w:rPr>
        <w:footnoteReference w:id="4"/>
      </w:r>
      <w:r w:rsidR="00B337A2" w:rsidRPr="006C5082">
        <w:rPr>
          <w:lang w:val="es-ES"/>
        </w:rPr>
        <w:t>, por las raz</w:t>
      </w:r>
      <w:r w:rsidR="00030AAC">
        <w:rPr>
          <w:lang w:val="es-ES"/>
        </w:rPr>
        <w:t>ones que más adelante</w:t>
      </w:r>
      <w:r w:rsidR="009E5CEE">
        <w:rPr>
          <w:lang w:val="es-ES"/>
        </w:rPr>
        <w:t xml:space="preserve"> se indican</w:t>
      </w:r>
      <w:r w:rsidR="00584FF4">
        <w:rPr>
          <w:lang w:val="es-ES"/>
        </w:rPr>
        <w:t xml:space="preserve">. </w:t>
      </w:r>
    </w:p>
    <w:p w:rsidR="009E5CEE" w:rsidRDefault="00030AAC" w:rsidP="009E5CEE">
      <w:pPr>
        <w:jc w:val="both"/>
        <w:rPr>
          <w:lang w:val="es-ES"/>
        </w:rPr>
      </w:pPr>
      <w:r>
        <w:rPr>
          <w:lang w:val="es-ES"/>
        </w:rPr>
        <w:t>Dichas</w:t>
      </w:r>
      <w:r w:rsidR="00304B41">
        <w:rPr>
          <w:lang w:val="es-ES"/>
        </w:rPr>
        <w:t xml:space="preserve"> razones </w:t>
      </w:r>
      <w:r w:rsidR="00584FF4">
        <w:rPr>
          <w:lang w:val="es-ES"/>
        </w:rPr>
        <w:t>se formulan con pleno respeto</w:t>
      </w:r>
      <w:r w:rsidR="00B7792A">
        <w:rPr>
          <w:lang w:val="es-ES"/>
        </w:rPr>
        <w:t xml:space="preserve"> a lo resuelto en autos por la Corte Interamericana de Derechos Humanos</w:t>
      </w:r>
      <w:r w:rsidR="00B7792A">
        <w:rPr>
          <w:rStyle w:val="FootnoteReference"/>
          <w:lang w:val="es-ES"/>
        </w:rPr>
        <w:footnoteReference w:id="5"/>
      </w:r>
      <w:r w:rsidR="00B7792A">
        <w:rPr>
          <w:lang w:val="es-ES"/>
        </w:rPr>
        <w:t xml:space="preserve"> y a la opinión de los colegas miembros</w:t>
      </w:r>
      <w:r w:rsidR="00584FF4">
        <w:rPr>
          <w:lang w:val="es-ES"/>
        </w:rPr>
        <w:t xml:space="preserve">, </w:t>
      </w:r>
      <w:r w:rsidR="00693311">
        <w:rPr>
          <w:lang w:val="es-ES"/>
        </w:rPr>
        <w:t xml:space="preserve">lo que obliga a recordar, a título preliminar, </w:t>
      </w:r>
      <w:r w:rsidR="009E3D47">
        <w:rPr>
          <w:lang w:val="es-ES"/>
        </w:rPr>
        <w:t xml:space="preserve">tres </w:t>
      </w:r>
      <w:r w:rsidR="00B00F26">
        <w:rPr>
          <w:lang w:val="es-ES"/>
        </w:rPr>
        <w:t>consideraciones</w:t>
      </w:r>
      <w:r w:rsidR="00693311">
        <w:rPr>
          <w:lang w:val="es-ES"/>
        </w:rPr>
        <w:t xml:space="preserve"> que se tienen presentes en este voto disidente y que, en gran medida, lo sustentan</w:t>
      </w:r>
      <w:r w:rsidR="00B00F26">
        <w:rPr>
          <w:lang w:val="es-ES"/>
        </w:rPr>
        <w:t xml:space="preserve">. </w:t>
      </w:r>
      <w:r w:rsidR="00693311">
        <w:rPr>
          <w:lang w:val="es-ES"/>
        </w:rPr>
        <w:t>Una,</w:t>
      </w:r>
      <w:r w:rsidR="009E3D47">
        <w:rPr>
          <w:lang w:val="es-ES"/>
        </w:rPr>
        <w:t xml:space="preserve"> </w:t>
      </w:r>
      <w:r w:rsidR="009E3D47" w:rsidRPr="009E3D47">
        <w:rPr>
          <w:lang w:val="es-ES"/>
        </w:rPr>
        <w:t>que la sentencia que la Corte emite es obligatoria sol</w:t>
      </w:r>
      <w:r w:rsidR="00C56804">
        <w:rPr>
          <w:lang w:val="es-ES"/>
        </w:rPr>
        <w:t>o</w:t>
      </w:r>
      <w:r w:rsidR="009E3D47" w:rsidRPr="009E3D47">
        <w:rPr>
          <w:lang w:val="es-ES"/>
        </w:rPr>
        <w:t xml:space="preserve"> para el Estado parte del caso de que se trate y respecto de lo que el mismo verse, pudiendo, por ende, otro fallo pronunciarse en un sentido diferente, todo ello </w:t>
      </w:r>
      <w:r w:rsidR="00C56804">
        <w:rPr>
          <w:lang w:val="es-ES"/>
        </w:rPr>
        <w:t>acorde a lo previsto, asimismo,</w:t>
      </w:r>
      <w:r w:rsidR="009E3D47" w:rsidRPr="009E3D47">
        <w:rPr>
          <w:lang w:val="es-ES"/>
        </w:rPr>
        <w:t xml:space="preserve"> tanto en la Convención </w:t>
      </w:r>
      <w:r w:rsidR="00C56804">
        <w:rPr>
          <w:lang w:val="es-ES"/>
        </w:rPr>
        <w:t xml:space="preserve">Americana sobre Derechos </w:t>
      </w:r>
      <w:r w:rsidR="00C56804">
        <w:rPr>
          <w:lang w:val="es-ES"/>
        </w:rPr>
        <w:lastRenderedPageBreak/>
        <w:t>Humanos</w:t>
      </w:r>
      <w:r w:rsidR="00C56804">
        <w:rPr>
          <w:rStyle w:val="FootnoteReference"/>
          <w:lang w:val="es-ES"/>
        </w:rPr>
        <w:footnoteReference w:id="6"/>
      </w:r>
      <w:r w:rsidR="00C56804">
        <w:rPr>
          <w:lang w:val="es-ES"/>
        </w:rPr>
        <w:t xml:space="preserve"> </w:t>
      </w:r>
      <w:r w:rsidR="009E3D47" w:rsidRPr="009E3D47">
        <w:rPr>
          <w:lang w:val="es-ES"/>
        </w:rPr>
        <w:t>como en el</w:t>
      </w:r>
      <w:r w:rsidR="009E3D47">
        <w:rPr>
          <w:lang w:val="es-ES"/>
        </w:rPr>
        <w:t xml:space="preserve"> Derecho Internacional General</w:t>
      </w:r>
      <w:r w:rsidR="009E3D47">
        <w:rPr>
          <w:rStyle w:val="FootnoteReference"/>
          <w:lang w:val="es-ES"/>
        </w:rPr>
        <w:footnoteReference w:id="7"/>
      </w:r>
      <w:r w:rsidR="009E3D47">
        <w:rPr>
          <w:lang w:val="es-ES"/>
        </w:rPr>
        <w:t xml:space="preserve">. La segunda, </w:t>
      </w:r>
      <w:r w:rsidR="00693311">
        <w:rPr>
          <w:lang w:val="es-ES"/>
        </w:rPr>
        <w:t xml:space="preserve">que </w:t>
      </w:r>
      <w:r w:rsidR="00D15E21">
        <w:rPr>
          <w:lang w:val="es-ES"/>
        </w:rPr>
        <w:t xml:space="preserve">lo que le corresponde a </w:t>
      </w:r>
      <w:r w:rsidR="00B00F26">
        <w:rPr>
          <w:lang w:val="es-ES"/>
        </w:rPr>
        <w:t xml:space="preserve">la Corte </w:t>
      </w:r>
      <w:r w:rsidR="00D15E21">
        <w:rPr>
          <w:lang w:val="es-ES"/>
        </w:rPr>
        <w:t>es interpretar</w:t>
      </w:r>
      <w:r w:rsidR="00F95A83">
        <w:rPr>
          <w:lang w:val="es-ES"/>
        </w:rPr>
        <w:t xml:space="preserve"> y aplicar</w:t>
      </w:r>
      <w:r w:rsidR="00D15E21">
        <w:rPr>
          <w:lang w:val="es-ES"/>
        </w:rPr>
        <w:t xml:space="preserve"> la Convención </w:t>
      </w:r>
      <w:r w:rsidR="00F95A83">
        <w:rPr>
          <w:lang w:val="es-ES"/>
        </w:rPr>
        <w:t xml:space="preserve">es decir, señalar lo que el Derecho expresa </w:t>
      </w:r>
      <w:r w:rsidR="00D15E21">
        <w:rPr>
          <w:lang w:val="es-ES"/>
        </w:rPr>
        <w:t xml:space="preserve">y no </w:t>
      </w:r>
      <w:r>
        <w:rPr>
          <w:lang w:val="es-ES"/>
        </w:rPr>
        <w:t>lo que ella</w:t>
      </w:r>
      <w:r w:rsidR="00F95A83" w:rsidRPr="00F95A83">
        <w:rPr>
          <w:lang w:val="es-ES"/>
        </w:rPr>
        <w:t xml:space="preserve"> desea</w:t>
      </w:r>
      <w:r w:rsidR="00E96EAD">
        <w:rPr>
          <w:lang w:val="es-ES"/>
        </w:rPr>
        <w:t>, no debiendo asumir</w:t>
      </w:r>
      <w:r w:rsidR="00F95A83">
        <w:rPr>
          <w:lang w:val="es-ES"/>
        </w:rPr>
        <w:t xml:space="preserve"> al re</w:t>
      </w:r>
      <w:r w:rsidR="009E5CEE">
        <w:rPr>
          <w:lang w:val="es-ES"/>
        </w:rPr>
        <w:t>s</w:t>
      </w:r>
      <w:r w:rsidR="00F95A83">
        <w:rPr>
          <w:lang w:val="es-ES"/>
        </w:rPr>
        <w:t>pecto</w:t>
      </w:r>
      <w:r w:rsidR="00AC1E6F">
        <w:rPr>
          <w:lang w:val="es-ES"/>
        </w:rPr>
        <w:t>, en consecuencia,</w:t>
      </w:r>
      <w:r w:rsidR="009E5CEE">
        <w:rPr>
          <w:lang w:val="es-ES"/>
        </w:rPr>
        <w:t xml:space="preserve"> la función normativa</w:t>
      </w:r>
      <w:r w:rsidR="00F95A83">
        <w:rPr>
          <w:lang w:val="es-ES"/>
        </w:rPr>
        <w:t xml:space="preserve"> asignada </w:t>
      </w:r>
      <w:r w:rsidR="00167004">
        <w:rPr>
          <w:lang w:val="es-ES"/>
        </w:rPr>
        <w:t>por</w:t>
      </w:r>
      <w:r w:rsidR="004D49F0">
        <w:rPr>
          <w:lang w:val="es-ES"/>
        </w:rPr>
        <w:t xml:space="preserve"> </w:t>
      </w:r>
      <w:r w:rsidR="00F95A83">
        <w:rPr>
          <w:lang w:val="es-ES"/>
        </w:rPr>
        <w:t xml:space="preserve">expresamente </w:t>
      </w:r>
      <w:r w:rsidR="00167004">
        <w:rPr>
          <w:lang w:val="es-ES"/>
        </w:rPr>
        <w:t xml:space="preserve">por aquella </w:t>
      </w:r>
      <w:r w:rsidR="00F95A83">
        <w:rPr>
          <w:lang w:val="es-ES"/>
        </w:rPr>
        <w:t xml:space="preserve">a </w:t>
      </w:r>
      <w:r w:rsidR="004D49F0">
        <w:rPr>
          <w:lang w:val="es-ES"/>
        </w:rPr>
        <w:t>sus</w:t>
      </w:r>
      <w:r w:rsidR="00D15E21">
        <w:rPr>
          <w:lang w:val="es-ES"/>
        </w:rPr>
        <w:t xml:space="preserve"> Estados</w:t>
      </w:r>
      <w:r w:rsidR="00F95A83">
        <w:rPr>
          <w:lang w:val="es-ES"/>
        </w:rPr>
        <w:t xml:space="preserve"> </w:t>
      </w:r>
      <w:r w:rsidR="004D49F0">
        <w:rPr>
          <w:lang w:val="es-ES"/>
        </w:rPr>
        <w:t>partes</w:t>
      </w:r>
      <w:r w:rsidR="00AC1E6F">
        <w:rPr>
          <w:rStyle w:val="FootnoteReference"/>
          <w:lang w:val="es-ES"/>
        </w:rPr>
        <w:footnoteReference w:id="8"/>
      </w:r>
      <w:r w:rsidR="00B00F26">
        <w:rPr>
          <w:lang w:val="es-ES"/>
        </w:rPr>
        <w:t xml:space="preserve"> y </w:t>
      </w:r>
      <w:r w:rsidR="00304B41">
        <w:rPr>
          <w:lang w:val="es-ES"/>
        </w:rPr>
        <w:t xml:space="preserve">también </w:t>
      </w:r>
      <w:r w:rsidR="00B00F26">
        <w:rPr>
          <w:lang w:val="es-ES"/>
        </w:rPr>
        <w:t>p</w:t>
      </w:r>
      <w:r w:rsidR="00AC1E6F">
        <w:rPr>
          <w:lang w:val="es-ES"/>
        </w:rPr>
        <w:t>or el Derecho Internacional</w:t>
      </w:r>
      <w:r w:rsidR="00D44C0C">
        <w:rPr>
          <w:lang w:val="es-ES"/>
        </w:rPr>
        <w:t xml:space="preserve"> General</w:t>
      </w:r>
      <w:r w:rsidR="00F95A83">
        <w:rPr>
          <w:rStyle w:val="FootnoteReference"/>
          <w:lang w:val="es-ES"/>
        </w:rPr>
        <w:footnoteReference w:id="9"/>
      </w:r>
      <w:r w:rsidR="00B00F26">
        <w:rPr>
          <w:lang w:val="es-ES"/>
        </w:rPr>
        <w:t>. Y</w:t>
      </w:r>
      <w:r w:rsidR="009E3D47">
        <w:rPr>
          <w:lang w:val="es-ES"/>
        </w:rPr>
        <w:t xml:space="preserve"> la tercera consideración se refiere a que la mayor garantía que se puede proporcionar en lo atingente a la defensa de los derechos humanos es que las instituciones que velan por ello ejerzan sus facultades con estricto apego a las normas que las rigen, lo que en lo que respecta a la Corte es particularmente relevante, habida cuenta la prácticamente absoluta  autonomía e independencia de que goza.</w:t>
      </w:r>
    </w:p>
    <w:p w:rsidR="005B13D5" w:rsidRPr="004E55D1" w:rsidRDefault="00942AFC" w:rsidP="0009275F">
      <w:pPr>
        <w:pStyle w:val="ListParagraph"/>
        <w:numPr>
          <w:ilvl w:val="0"/>
          <w:numId w:val="4"/>
        </w:numPr>
        <w:jc w:val="both"/>
        <w:rPr>
          <w:b/>
          <w:lang w:val="es-ES"/>
        </w:rPr>
      </w:pPr>
      <w:r w:rsidRPr="004E55D1">
        <w:rPr>
          <w:b/>
          <w:u w:val="single"/>
          <w:lang w:val="es-ES"/>
        </w:rPr>
        <w:t>L</w:t>
      </w:r>
      <w:r w:rsidR="00B7792A" w:rsidRPr="004E55D1">
        <w:rPr>
          <w:b/>
          <w:u w:val="single"/>
          <w:lang w:val="es-ES"/>
        </w:rPr>
        <w:t>a h</w:t>
      </w:r>
      <w:r w:rsidR="00584FF4" w:rsidRPr="004E55D1">
        <w:rPr>
          <w:b/>
          <w:u w:val="single"/>
          <w:lang w:val="es-ES"/>
        </w:rPr>
        <w:t>omologación</w:t>
      </w:r>
      <w:r w:rsidRPr="004E55D1">
        <w:rPr>
          <w:b/>
          <w:u w:val="single"/>
          <w:lang w:val="es-ES"/>
        </w:rPr>
        <w:t xml:space="preserve"> y la </w:t>
      </w:r>
      <w:r w:rsidRPr="004E55D1">
        <w:rPr>
          <w:b/>
          <w:i/>
          <w:u w:val="single"/>
          <w:lang w:val="es-ES"/>
        </w:rPr>
        <w:t>ratio decidendi</w:t>
      </w:r>
      <w:r w:rsidR="00B06344" w:rsidRPr="004E55D1">
        <w:rPr>
          <w:b/>
          <w:lang w:val="es-ES"/>
        </w:rPr>
        <w:t>.</w:t>
      </w:r>
    </w:p>
    <w:p w:rsidR="00942AFC" w:rsidRPr="004D49F0" w:rsidRDefault="004D49F0" w:rsidP="004D49F0">
      <w:pPr>
        <w:jc w:val="both"/>
        <w:rPr>
          <w:lang w:val="es-ES"/>
        </w:rPr>
      </w:pPr>
      <w:r>
        <w:rPr>
          <w:lang w:val="es-ES"/>
        </w:rPr>
        <w:lastRenderedPageBreak/>
        <w:t xml:space="preserve">La primera razón del disenso se relaciona con el alcance de la homologación y </w:t>
      </w:r>
      <w:r w:rsidR="004933B4">
        <w:rPr>
          <w:lang w:val="es-ES"/>
        </w:rPr>
        <w:t xml:space="preserve">de </w:t>
      </w:r>
      <w:r>
        <w:rPr>
          <w:lang w:val="es-ES"/>
        </w:rPr>
        <w:t xml:space="preserve">la </w:t>
      </w:r>
      <w:r w:rsidRPr="004D49F0">
        <w:rPr>
          <w:i/>
          <w:lang w:val="es-ES"/>
        </w:rPr>
        <w:t>ratio decidendi</w:t>
      </w:r>
      <w:r>
        <w:rPr>
          <w:i/>
          <w:lang w:val="es-ES"/>
        </w:rPr>
        <w:t xml:space="preserve"> </w:t>
      </w:r>
      <w:r w:rsidRPr="004D49F0">
        <w:rPr>
          <w:lang w:val="es-ES"/>
        </w:rPr>
        <w:t>de la Sentencia que la decreta.</w:t>
      </w:r>
    </w:p>
    <w:p w:rsidR="00942AFC" w:rsidRPr="004E55D1" w:rsidRDefault="00942AFC" w:rsidP="00942AFC">
      <w:pPr>
        <w:pStyle w:val="ListParagraph"/>
        <w:numPr>
          <w:ilvl w:val="0"/>
          <w:numId w:val="5"/>
        </w:numPr>
        <w:jc w:val="both"/>
        <w:rPr>
          <w:b/>
          <w:lang w:val="es-ES"/>
        </w:rPr>
      </w:pPr>
      <w:r w:rsidRPr="004E55D1">
        <w:rPr>
          <w:b/>
          <w:lang w:val="es-ES"/>
        </w:rPr>
        <w:t>El alcance de la homologación.</w:t>
      </w:r>
    </w:p>
    <w:p w:rsidR="008F0B30" w:rsidRDefault="00F61A5B" w:rsidP="00600DA9">
      <w:pPr>
        <w:jc w:val="both"/>
        <w:rPr>
          <w:lang w:val="es-ES"/>
        </w:rPr>
      </w:pPr>
      <w:r>
        <w:rPr>
          <w:lang w:val="es-ES"/>
        </w:rPr>
        <w:t>C</w:t>
      </w:r>
      <w:r w:rsidR="008F0B30">
        <w:rPr>
          <w:lang w:val="es-ES"/>
        </w:rPr>
        <w:t xml:space="preserve">omo </w:t>
      </w:r>
      <w:r w:rsidR="00DC6A16">
        <w:rPr>
          <w:lang w:val="es-ES"/>
        </w:rPr>
        <w:t xml:space="preserve">primera </w:t>
      </w:r>
      <w:r w:rsidR="008F0B30">
        <w:rPr>
          <w:lang w:val="es-ES"/>
        </w:rPr>
        <w:t>observación</w:t>
      </w:r>
      <w:r w:rsidR="004933B4">
        <w:rPr>
          <w:lang w:val="es-ES"/>
        </w:rPr>
        <w:t xml:space="preserve"> </w:t>
      </w:r>
      <w:r w:rsidR="00DC6A16">
        <w:rPr>
          <w:lang w:val="es-ES"/>
        </w:rPr>
        <w:t>sobre el particular</w:t>
      </w:r>
      <w:r w:rsidR="00600DA9">
        <w:rPr>
          <w:lang w:val="es-ES"/>
        </w:rPr>
        <w:t>, es menester llamar la atención acerca de</w:t>
      </w:r>
      <w:r w:rsidR="005B13D5">
        <w:rPr>
          <w:lang w:val="es-ES"/>
        </w:rPr>
        <w:t xml:space="preserve"> que la Convención solo contempla a la solución amistosa en su artículo 49</w:t>
      </w:r>
      <w:r w:rsidR="005B13D5">
        <w:rPr>
          <w:rStyle w:val="FootnoteReference"/>
          <w:lang w:val="es-ES"/>
        </w:rPr>
        <w:footnoteReference w:id="10"/>
      </w:r>
      <w:r w:rsidR="00600DA9">
        <w:rPr>
          <w:lang w:val="es-ES"/>
        </w:rPr>
        <w:t xml:space="preserve"> y, por ende, únicamente en el marco del procedimiento llevado a cabo ante la Comisión Interamericana de Derechos Humanos</w:t>
      </w:r>
      <w:r w:rsidR="00600DA9">
        <w:rPr>
          <w:rStyle w:val="FootnoteReference"/>
          <w:lang w:val="es-ES"/>
        </w:rPr>
        <w:footnoteReference w:id="11"/>
      </w:r>
      <w:r w:rsidR="00600DA9">
        <w:rPr>
          <w:lang w:val="es-ES"/>
        </w:rPr>
        <w:t>.</w:t>
      </w:r>
      <w:r w:rsidR="00DA2AF3">
        <w:rPr>
          <w:lang w:val="es-ES"/>
        </w:rPr>
        <w:t xml:space="preserve"> </w:t>
      </w:r>
      <w:r>
        <w:rPr>
          <w:lang w:val="es-ES"/>
        </w:rPr>
        <w:t xml:space="preserve">En lo atingente </w:t>
      </w:r>
      <w:r w:rsidR="00600DA9">
        <w:rPr>
          <w:lang w:val="es-ES"/>
        </w:rPr>
        <w:t>al procedimiento ante la Corte, la Convención, pues, nada expresa al respecto.</w:t>
      </w:r>
      <w:r w:rsidR="008F0B30">
        <w:rPr>
          <w:lang w:val="es-ES"/>
        </w:rPr>
        <w:t xml:space="preserve"> </w:t>
      </w:r>
      <w:r w:rsidR="00600DA9">
        <w:rPr>
          <w:lang w:val="es-ES"/>
        </w:rPr>
        <w:t>La</w:t>
      </w:r>
      <w:r w:rsidR="008F0B30">
        <w:rPr>
          <w:lang w:val="es-ES"/>
        </w:rPr>
        <w:t>s</w:t>
      </w:r>
      <w:r w:rsidR="00600DA9">
        <w:rPr>
          <w:lang w:val="es-ES"/>
        </w:rPr>
        <w:t xml:space="preserve"> norma</w:t>
      </w:r>
      <w:r w:rsidR="008F0B30">
        <w:rPr>
          <w:lang w:val="es-ES"/>
        </w:rPr>
        <w:t>s</w:t>
      </w:r>
      <w:r w:rsidR="00600DA9">
        <w:rPr>
          <w:lang w:val="es-ES"/>
        </w:rPr>
        <w:t xml:space="preserve"> que, en cambio, regula</w:t>
      </w:r>
      <w:r w:rsidR="008F0B30">
        <w:rPr>
          <w:lang w:val="es-ES"/>
        </w:rPr>
        <w:t>n</w:t>
      </w:r>
      <w:r w:rsidR="00600DA9">
        <w:rPr>
          <w:lang w:val="es-ES"/>
        </w:rPr>
        <w:t xml:space="preserve"> la materia en lo pertinente al procedimiento que se sigue ante la Corte</w:t>
      </w:r>
      <w:r w:rsidR="000E76A1">
        <w:rPr>
          <w:lang w:val="es-ES"/>
        </w:rPr>
        <w:t xml:space="preserve"> son</w:t>
      </w:r>
      <w:r w:rsidR="00600DA9">
        <w:rPr>
          <w:lang w:val="es-ES"/>
        </w:rPr>
        <w:t xml:space="preserve"> de carácter reglamentario</w:t>
      </w:r>
      <w:r w:rsidR="00942AFC">
        <w:rPr>
          <w:lang w:val="es-ES"/>
        </w:rPr>
        <w:t>, específicamente, los</w:t>
      </w:r>
      <w:r w:rsidR="008F0B30">
        <w:rPr>
          <w:lang w:val="es-ES"/>
        </w:rPr>
        <w:t xml:space="preserve"> artículos 63</w:t>
      </w:r>
      <w:r w:rsidR="008F0B30">
        <w:rPr>
          <w:rStyle w:val="FootnoteReference"/>
          <w:lang w:val="es-ES"/>
        </w:rPr>
        <w:footnoteReference w:id="12"/>
      </w:r>
      <w:r w:rsidR="008F0B30">
        <w:rPr>
          <w:lang w:val="es-ES"/>
        </w:rPr>
        <w:t xml:space="preserve"> y </w:t>
      </w:r>
      <w:r w:rsidR="008F0B30" w:rsidRPr="008F0B30">
        <w:rPr>
          <w:lang w:val="es-ES"/>
        </w:rPr>
        <w:t>64</w:t>
      </w:r>
      <w:r w:rsidR="008F0B30">
        <w:rPr>
          <w:rStyle w:val="FootnoteReference"/>
          <w:lang w:val="es-ES"/>
        </w:rPr>
        <w:footnoteReference w:id="13"/>
      </w:r>
      <w:r w:rsidR="008F0B30" w:rsidRPr="008F0B30">
        <w:rPr>
          <w:lang w:val="es-ES"/>
        </w:rPr>
        <w:t xml:space="preserve"> </w:t>
      </w:r>
      <w:r w:rsidR="008F0B30">
        <w:rPr>
          <w:lang w:val="es-ES"/>
        </w:rPr>
        <w:t>del Reglamento de la misma</w:t>
      </w:r>
      <w:r w:rsidR="00DC6A16">
        <w:rPr>
          <w:lang w:val="es-ES"/>
        </w:rPr>
        <w:t>, los que</w:t>
      </w:r>
      <w:r w:rsidR="000E76A1">
        <w:rPr>
          <w:lang w:val="es-ES"/>
        </w:rPr>
        <w:t>, por ende, deben</w:t>
      </w:r>
      <w:r w:rsidR="00DC6A16">
        <w:rPr>
          <w:lang w:val="es-ES"/>
        </w:rPr>
        <w:t xml:space="preserve"> interpretarse acorde a la preeminencia que</w:t>
      </w:r>
      <w:r w:rsidR="000E76A1">
        <w:rPr>
          <w:lang w:val="es-ES"/>
        </w:rPr>
        <w:t xml:space="preserve">, </w:t>
      </w:r>
      <w:r w:rsidR="00DC6A16">
        <w:rPr>
          <w:lang w:val="es-ES"/>
        </w:rPr>
        <w:t>en</w:t>
      </w:r>
      <w:r w:rsidR="0010550D">
        <w:rPr>
          <w:lang w:val="es-ES"/>
        </w:rPr>
        <w:t xml:space="preserve"> última instancia, </w:t>
      </w:r>
      <w:r w:rsidR="00DC6A16">
        <w:rPr>
          <w:lang w:val="es-ES"/>
        </w:rPr>
        <w:t>tienen las disposiciones convencionales sobre ellos</w:t>
      </w:r>
      <w:r w:rsidR="000E76A1">
        <w:rPr>
          <w:lang w:val="es-ES"/>
        </w:rPr>
        <w:t>.</w:t>
      </w:r>
    </w:p>
    <w:p w:rsidR="0010550D" w:rsidRDefault="0010550D" w:rsidP="00600DA9">
      <w:pPr>
        <w:jc w:val="both"/>
        <w:rPr>
          <w:lang w:val="es-ES"/>
        </w:rPr>
      </w:pPr>
      <w:r>
        <w:rPr>
          <w:lang w:val="es-ES"/>
        </w:rPr>
        <w:t>En tal sentido, tampoco debe omitirse la circunstancia de que la Convención s</w:t>
      </w:r>
      <w:r w:rsidR="009260C7">
        <w:rPr>
          <w:lang w:val="es-ES"/>
        </w:rPr>
        <w:t xml:space="preserve">olo prevé el fallo de la Corte </w:t>
      </w:r>
      <w:r>
        <w:rPr>
          <w:lang w:val="es-ES"/>
        </w:rPr>
        <w:t>como medio de solució</w:t>
      </w:r>
      <w:r w:rsidR="009260C7">
        <w:rPr>
          <w:lang w:val="es-ES"/>
        </w:rPr>
        <w:t xml:space="preserve">n del caso que le es </w:t>
      </w:r>
      <w:r>
        <w:rPr>
          <w:lang w:val="es-ES"/>
        </w:rPr>
        <w:t>some</w:t>
      </w:r>
      <w:r w:rsidR="00C62A42">
        <w:rPr>
          <w:lang w:val="es-ES"/>
        </w:rPr>
        <w:t>tido</w:t>
      </w:r>
      <w:r>
        <w:rPr>
          <w:rStyle w:val="FootnoteReference"/>
          <w:lang w:val="es-ES"/>
        </w:rPr>
        <w:footnoteReference w:id="14"/>
      </w:r>
      <w:r w:rsidR="009260C7">
        <w:rPr>
          <w:lang w:val="es-ES"/>
        </w:rPr>
        <w:t xml:space="preserve">. </w:t>
      </w:r>
      <w:r w:rsidR="00C62A42">
        <w:rPr>
          <w:lang w:val="es-ES"/>
        </w:rPr>
        <w:t>De manera, en con</w:t>
      </w:r>
      <w:r w:rsidR="00755EB0">
        <w:rPr>
          <w:lang w:val="es-ES"/>
        </w:rPr>
        <w:t xml:space="preserve">secuencia, que considerando </w:t>
      </w:r>
      <w:r w:rsidR="00C62A42" w:rsidRPr="00C62A42">
        <w:rPr>
          <w:lang w:val="es-ES"/>
        </w:rPr>
        <w:t>que lo que las partes en el caso de autos solicitan a la Corte en el Acuerdo de Solución Amistosa, es qu</w:t>
      </w:r>
      <w:r w:rsidR="00942AFC">
        <w:rPr>
          <w:lang w:val="es-ES"/>
        </w:rPr>
        <w:t>e</w:t>
      </w:r>
      <w:r w:rsidR="00C62A42">
        <w:rPr>
          <w:lang w:val="es-ES"/>
        </w:rPr>
        <w:t xml:space="preserve"> “valore su homologación”</w:t>
      </w:r>
      <w:r w:rsidR="00C62A42">
        <w:rPr>
          <w:rStyle w:val="FootnoteReference"/>
          <w:lang w:val="es-ES"/>
        </w:rPr>
        <w:footnoteReference w:id="15"/>
      </w:r>
      <w:r w:rsidR="00C62A42">
        <w:rPr>
          <w:lang w:val="es-ES"/>
        </w:rPr>
        <w:t xml:space="preserve"> y habida cuenta</w:t>
      </w:r>
      <w:r w:rsidR="00C62A42" w:rsidRPr="00C62A42">
        <w:rPr>
          <w:lang w:val="es-ES"/>
        </w:rPr>
        <w:t xml:space="preserve"> tanto el significado del término </w:t>
      </w:r>
      <w:r w:rsidR="00C62A42" w:rsidRPr="00C62A42">
        <w:rPr>
          <w:lang w:val="es-ES"/>
        </w:rPr>
        <w:lastRenderedPageBreak/>
        <w:t>homologar</w:t>
      </w:r>
      <w:r w:rsidR="007F0EDA">
        <w:rPr>
          <w:rStyle w:val="FootnoteReference"/>
          <w:lang w:val="es-ES"/>
        </w:rPr>
        <w:footnoteReference w:id="16"/>
      </w:r>
      <w:r w:rsidR="00C62A42" w:rsidRPr="00C62A42">
        <w:rPr>
          <w:lang w:val="es-ES"/>
        </w:rPr>
        <w:t xml:space="preserve"> como que cada vez que la Corte ha homologado un acuerdo entre las partes del pertinent</w:t>
      </w:r>
      <w:r w:rsidR="00030AAC">
        <w:rPr>
          <w:lang w:val="es-ES"/>
        </w:rPr>
        <w:t xml:space="preserve">e caso, lo ha hecho dictando </w:t>
      </w:r>
      <w:r w:rsidR="00C62A42" w:rsidRPr="00C62A42">
        <w:rPr>
          <w:lang w:val="es-ES"/>
        </w:rPr>
        <w:t>sentencia</w:t>
      </w:r>
      <w:r w:rsidR="00030AAC">
        <w:rPr>
          <w:lang w:val="es-ES"/>
        </w:rPr>
        <w:t xml:space="preserve"> o fallo</w:t>
      </w:r>
      <w:r w:rsidR="00584FF4">
        <w:rPr>
          <w:rStyle w:val="FootnoteReference"/>
          <w:lang w:val="es-ES"/>
        </w:rPr>
        <w:footnoteReference w:id="17"/>
      </w:r>
      <w:r w:rsidR="00C62A42" w:rsidRPr="00C62A42">
        <w:rPr>
          <w:lang w:val="es-ES"/>
        </w:rPr>
        <w:t xml:space="preserve">, </w:t>
      </w:r>
      <w:r w:rsidR="00030AAC">
        <w:rPr>
          <w:lang w:val="es-ES"/>
        </w:rPr>
        <w:t xml:space="preserve">lógico es concluir que </w:t>
      </w:r>
      <w:r w:rsidR="00942AFC">
        <w:rPr>
          <w:lang w:val="es-ES"/>
        </w:rPr>
        <w:t xml:space="preserve">la Sentencia </w:t>
      </w:r>
      <w:r w:rsidR="0009275F">
        <w:rPr>
          <w:lang w:val="es-ES"/>
        </w:rPr>
        <w:t>le ha proporcionado</w:t>
      </w:r>
      <w:r w:rsidR="00030AAC">
        <w:rPr>
          <w:lang w:val="es-ES"/>
        </w:rPr>
        <w:t xml:space="preserve"> así </w:t>
      </w:r>
      <w:r w:rsidR="00942AFC">
        <w:rPr>
          <w:lang w:val="es-ES"/>
        </w:rPr>
        <w:t xml:space="preserve">al referido Acuerdo el </w:t>
      </w:r>
      <w:r w:rsidR="00C62A42" w:rsidRPr="00C62A42">
        <w:rPr>
          <w:lang w:val="es-ES"/>
        </w:rPr>
        <w:t xml:space="preserve"> valor de co</w:t>
      </w:r>
      <w:r w:rsidR="00942AFC">
        <w:rPr>
          <w:lang w:val="es-ES"/>
        </w:rPr>
        <w:t xml:space="preserve">sa juzgada. </w:t>
      </w:r>
    </w:p>
    <w:p w:rsidR="005B0B95" w:rsidRDefault="0009275F" w:rsidP="00600DA9">
      <w:pPr>
        <w:jc w:val="both"/>
        <w:rPr>
          <w:lang w:val="es-ES"/>
        </w:rPr>
      </w:pPr>
      <w:r>
        <w:rPr>
          <w:lang w:val="es-ES"/>
        </w:rPr>
        <w:t>Lo anterior es muy relevante</w:t>
      </w:r>
      <w:r w:rsidR="00755EB0">
        <w:rPr>
          <w:lang w:val="es-ES"/>
        </w:rPr>
        <w:t xml:space="preserve"> cuando se tiene presente que, conforme a las citadas normas reglamentarias</w:t>
      </w:r>
      <w:r w:rsidR="004933B4">
        <w:rPr>
          <w:lang w:val="es-ES"/>
        </w:rPr>
        <w:t xml:space="preserve">, </w:t>
      </w:r>
      <w:r w:rsidR="009260C7">
        <w:rPr>
          <w:lang w:val="es-ES"/>
        </w:rPr>
        <w:t xml:space="preserve">la Corte, al </w:t>
      </w:r>
      <w:r w:rsidR="004933B4">
        <w:rPr>
          <w:lang w:val="es-ES"/>
        </w:rPr>
        <w:t xml:space="preserve">resolver sobre la </w:t>
      </w:r>
      <w:r w:rsidR="00755EB0">
        <w:rPr>
          <w:lang w:val="es-ES"/>
        </w:rPr>
        <w:t>procedencia y  efectos jurídicos</w:t>
      </w:r>
      <w:r w:rsidR="004933B4">
        <w:rPr>
          <w:lang w:val="es-ES"/>
        </w:rPr>
        <w:t xml:space="preserve"> del Acuerdo de Solución Amistosa presentado</w:t>
      </w:r>
      <w:r w:rsidR="00DA2AF3" w:rsidRPr="00DA2AF3">
        <w:rPr>
          <w:lang w:val="es-ES"/>
        </w:rPr>
        <w:t xml:space="preserve">, </w:t>
      </w:r>
      <w:r w:rsidR="00755EB0">
        <w:rPr>
          <w:lang w:val="es-ES"/>
        </w:rPr>
        <w:t>no solo podí</w:t>
      </w:r>
      <w:r>
        <w:rPr>
          <w:lang w:val="es-ES"/>
        </w:rPr>
        <w:t>a homologarlo, sino también pod</w:t>
      </w:r>
      <w:r w:rsidR="00755EB0">
        <w:rPr>
          <w:lang w:val="es-ES"/>
        </w:rPr>
        <w:t>ía, por ejemplo, haberlo</w:t>
      </w:r>
      <w:r w:rsidR="00DA2AF3" w:rsidRPr="00DA2AF3">
        <w:rPr>
          <w:lang w:val="es-ES"/>
        </w:rPr>
        <w:t xml:space="preserve"> rechaza</w:t>
      </w:r>
      <w:r w:rsidR="00755EB0">
        <w:rPr>
          <w:lang w:val="es-ES"/>
        </w:rPr>
        <w:t>do</w:t>
      </w:r>
      <w:r w:rsidR="00DA2AF3" w:rsidRPr="00DA2AF3">
        <w:rPr>
          <w:lang w:val="es-ES"/>
        </w:rPr>
        <w:t xml:space="preserve"> total o parcialmente y, por ende, haber continuado con el conocimiento de la causa por considerar que era menester establecer la verdad judicial sobre lo ocurrido o que aquél no cubre todo el pertinente conflicto o que era menester precisar el alcance del mismo o de la responsabilidad internacional del Estado que conlleva,</w:t>
      </w:r>
      <w:r w:rsidR="005B0B95">
        <w:rPr>
          <w:lang w:val="es-ES"/>
        </w:rPr>
        <w:t xml:space="preserve"> etc. </w:t>
      </w:r>
    </w:p>
    <w:p w:rsidR="005B0B95" w:rsidRDefault="005B0B95" w:rsidP="00600DA9">
      <w:pPr>
        <w:jc w:val="both"/>
        <w:rPr>
          <w:lang w:val="es-ES"/>
        </w:rPr>
      </w:pPr>
      <w:r>
        <w:rPr>
          <w:lang w:val="es-ES"/>
        </w:rPr>
        <w:t xml:space="preserve">En tal orden de ideas, </w:t>
      </w:r>
      <w:r w:rsidRPr="005B0B95">
        <w:rPr>
          <w:lang w:val="es-ES"/>
        </w:rPr>
        <w:t xml:space="preserve">lo que </w:t>
      </w:r>
      <w:r>
        <w:rPr>
          <w:lang w:val="es-ES"/>
        </w:rPr>
        <w:t xml:space="preserve">las referidas normas reglamentarias disponen </w:t>
      </w:r>
      <w:r w:rsidR="0009275F">
        <w:rPr>
          <w:lang w:val="es-ES"/>
        </w:rPr>
        <w:t>es</w:t>
      </w:r>
      <w:r w:rsidR="00082018">
        <w:rPr>
          <w:lang w:val="es-ES"/>
        </w:rPr>
        <w:t>, por lo tanto,</w:t>
      </w:r>
      <w:r w:rsidR="0009275F">
        <w:rPr>
          <w:lang w:val="es-ES"/>
        </w:rPr>
        <w:t xml:space="preserve"> </w:t>
      </w:r>
      <w:r>
        <w:rPr>
          <w:lang w:val="es-ES"/>
        </w:rPr>
        <w:t xml:space="preserve">que, ante la presentación </w:t>
      </w:r>
      <w:r w:rsidR="004933B4">
        <w:rPr>
          <w:lang w:val="es-ES"/>
        </w:rPr>
        <w:t>de un acuerdo como el elevado</w:t>
      </w:r>
      <w:r>
        <w:rPr>
          <w:lang w:val="es-ES"/>
        </w:rPr>
        <w:t xml:space="preserve"> en autos, la Corte no debe proceder como</w:t>
      </w:r>
      <w:r w:rsidRPr="005B0B95">
        <w:rPr>
          <w:lang w:val="es-ES"/>
        </w:rPr>
        <w:t xml:space="preserve"> un mero </w:t>
      </w:r>
      <w:r w:rsidR="00AC39AF">
        <w:rPr>
          <w:lang w:val="es-ES"/>
        </w:rPr>
        <w:t>registro o buzón</w:t>
      </w:r>
      <w:r>
        <w:rPr>
          <w:lang w:val="es-ES"/>
        </w:rPr>
        <w:t>, sino que, p</w:t>
      </w:r>
      <w:r w:rsidRPr="005B0B95">
        <w:rPr>
          <w:lang w:val="es-ES"/>
        </w:rPr>
        <w:t>or el contrario, ella debe</w:t>
      </w:r>
      <w:r w:rsidR="00A530D1">
        <w:rPr>
          <w:lang w:val="es-ES"/>
        </w:rPr>
        <w:t xml:space="preserve"> cumplir respecto del mismo, su mandato convencional de </w:t>
      </w:r>
      <w:r w:rsidRPr="005B0B95">
        <w:rPr>
          <w:lang w:val="es-ES"/>
        </w:rPr>
        <w:t>aplicar e interpretar la Co</w:t>
      </w:r>
      <w:r w:rsidR="00A530D1">
        <w:rPr>
          <w:lang w:val="es-ES"/>
        </w:rPr>
        <w:t>nvención</w:t>
      </w:r>
      <w:r w:rsidR="00A530D1">
        <w:rPr>
          <w:rStyle w:val="FootnoteReference"/>
          <w:lang w:val="es-ES"/>
        </w:rPr>
        <w:footnoteReference w:id="18"/>
      </w:r>
      <w:r w:rsidR="0009275F">
        <w:rPr>
          <w:lang w:val="es-ES"/>
        </w:rPr>
        <w:t>.</w:t>
      </w:r>
    </w:p>
    <w:p w:rsidR="00DA2AF3" w:rsidRDefault="00755EB0" w:rsidP="00600DA9">
      <w:pPr>
        <w:jc w:val="both"/>
        <w:rPr>
          <w:lang w:val="es-ES"/>
        </w:rPr>
      </w:pPr>
      <w:r>
        <w:rPr>
          <w:lang w:val="es-ES"/>
        </w:rPr>
        <w:t>Al homologar el Acuerdo de Solución Amistosa,</w:t>
      </w:r>
      <w:r w:rsidR="00E96EAD">
        <w:rPr>
          <w:lang w:val="es-ES"/>
        </w:rPr>
        <w:t xml:space="preserve"> la Corte</w:t>
      </w:r>
      <w:r>
        <w:rPr>
          <w:lang w:val="es-ES"/>
        </w:rPr>
        <w:t xml:space="preserve"> lo hace, entonces, dictando</w:t>
      </w:r>
      <w:r w:rsidR="0009275F">
        <w:rPr>
          <w:lang w:val="es-ES"/>
        </w:rPr>
        <w:t xml:space="preserve"> </w:t>
      </w:r>
      <w:r>
        <w:rPr>
          <w:lang w:val="es-ES"/>
        </w:rPr>
        <w:t>un fallo definitivo e inapelable</w:t>
      </w:r>
      <w:r w:rsidR="005B0B95">
        <w:rPr>
          <w:lang w:val="es-ES"/>
        </w:rPr>
        <w:t xml:space="preserve">, </w:t>
      </w:r>
      <w:r w:rsidR="00E96EAD">
        <w:rPr>
          <w:lang w:val="es-ES"/>
        </w:rPr>
        <w:t xml:space="preserve">otorgándole así </w:t>
      </w:r>
      <w:r w:rsidR="00A530D1">
        <w:rPr>
          <w:lang w:val="es-ES"/>
        </w:rPr>
        <w:t xml:space="preserve">a aquél el mismo valor vinculante que una sentencia, </w:t>
      </w:r>
      <w:r w:rsidR="005B0B95">
        <w:rPr>
          <w:lang w:val="es-ES"/>
        </w:rPr>
        <w:t>el que, además, como todas las sentencias, queda sujeto a la correspondiente supervisión de cumplimiento</w:t>
      </w:r>
      <w:r w:rsidR="00A530D1">
        <w:rPr>
          <w:rStyle w:val="FootnoteReference"/>
          <w:lang w:val="es-ES"/>
        </w:rPr>
        <w:footnoteReference w:id="19"/>
      </w:r>
      <w:r w:rsidR="005B0B95">
        <w:rPr>
          <w:lang w:val="es-ES"/>
        </w:rPr>
        <w:t xml:space="preserve">. </w:t>
      </w:r>
    </w:p>
    <w:p w:rsidR="00B7792A" w:rsidRPr="004E55D1" w:rsidRDefault="00B7792A" w:rsidP="00942AFC">
      <w:pPr>
        <w:pStyle w:val="ListParagraph"/>
        <w:numPr>
          <w:ilvl w:val="0"/>
          <w:numId w:val="5"/>
        </w:numPr>
        <w:jc w:val="both"/>
        <w:rPr>
          <w:b/>
          <w:lang w:val="es-ES"/>
        </w:rPr>
      </w:pPr>
      <w:r w:rsidRPr="004E55D1">
        <w:rPr>
          <w:b/>
          <w:lang w:val="es-ES"/>
        </w:rPr>
        <w:t xml:space="preserve">La </w:t>
      </w:r>
      <w:r w:rsidRPr="004E55D1">
        <w:rPr>
          <w:b/>
          <w:i/>
          <w:lang w:val="es-ES"/>
        </w:rPr>
        <w:t>ratio decidendi</w:t>
      </w:r>
      <w:r w:rsidRPr="004E55D1">
        <w:rPr>
          <w:b/>
          <w:lang w:val="es-ES"/>
        </w:rPr>
        <w:t xml:space="preserve"> de la homologación.</w:t>
      </w:r>
    </w:p>
    <w:p w:rsidR="00B06344" w:rsidRPr="00B7792A" w:rsidRDefault="0009275F" w:rsidP="00B7792A">
      <w:pPr>
        <w:jc w:val="both"/>
        <w:rPr>
          <w:lang w:val="es-ES"/>
        </w:rPr>
      </w:pPr>
      <w:r w:rsidRPr="00B7792A">
        <w:rPr>
          <w:lang w:val="es-ES"/>
        </w:rPr>
        <w:t xml:space="preserve">Ahora bien, siendo ello así, </w:t>
      </w:r>
      <w:r w:rsidR="00B06344" w:rsidRPr="00B7792A">
        <w:rPr>
          <w:lang w:val="es-ES"/>
        </w:rPr>
        <w:t>parece indispensable resaltar la circunstancia de que el Acuerdo de Solución Amistosa y la</w:t>
      </w:r>
      <w:r w:rsidR="009260C7">
        <w:rPr>
          <w:lang w:val="es-ES"/>
        </w:rPr>
        <w:t xml:space="preserve"> propia Sentencia al homologarlo</w:t>
      </w:r>
      <w:r w:rsidR="00B06344" w:rsidRPr="00B7792A">
        <w:rPr>
          <w:lang w:val="es-ES"/>
        </w:rPr>
        <w:t>, se sustentan en el fallo dictado por la C</w:t>
      </w:r>
      <w:r w:rsidR="005A6AF1" w:rsidRPr="00B7792A">
        <w:rPr>
          <w:lang w:val="es-ES"/>
        </w:rPr>
        <w:t>orte en el Caso Artavia Murillo y Otros (“</w:t>
      </w:r>
      <w:r w:rsidR="005A6AF1" w:rsidRPr="00B7792A">
        <w:rPr>
          <w:i/>
          <w:lang w:val="es-ES"/>
        </w:rPr>
        <w:t>Fecundación in Vitro</w:t>
      </w:r>
      <w:r w:rsidR="005A6AF1" w:rsidRPr="00B7792A">
        <w:rPr>
          <w:lang w:val="es-ES"/>
        </w:rPr>
        <w:t xml:space="preserve">”) </w:t>
      </w:r>
      <w:r w:rsidR="005A6AF1" w:rsidRPr="00DE035F">
        <w:rPr>
          <w:i/>
          <w:lang w:val="es-ES"/>
        </w:rPr>
        <w:t>Vs</w:t>
      </w:r>
      <w:r w:rsidR="005A6AF1" w:rsidRPr="00B7792A">
        <w:rPr>
          <w:lang w:val="es-ES"/>
        </w:rPr>
        <w:t>. Costa Rica</w:t>
      </w:r>
      <w:r w:rsidR="00B06344" w:rsidRPr="00B7792A">
        <w:rPr>
          <w:lang w:val="es-ES"/>
        </w:rPr>
        <w:t xml:space="preserve">. </w:t>
      </w:r>
      <w:r w:rsidR="00275ABC" w:rsidRPr="00B7792A">
        <w:rPr>
          <w:lang w:val="es-ES"/>
        </w:rPr>
        <w:t xml:space="preserve">Ello queda en evidencia al constatarse </w:t>
      </w:r>
      <w:r w:rsidRPr="00B7792A">
        <w:rPr>
          <w:lang w:val="es-ES"/>
        </w:rPr>
        <w:t xml:space="preserve">que </w:t>
      </w:r>
      <w:r w:rsidR="00B06344" w:rsidRPr="00B7792A">
        <w:rPr>
          <w:lang w:val="es-ES"/>
        </w:rPr>
        <w:t>cuatro de las cinco consideraciones que se indican en aquél para celebrarlo, se refieren a</w:t>
      </w:r>
      <w:r w:rsidR="00275ABC" w:rsidRPr="00B7792A">
        <w:rPr>
          <w:lang w:val="es-ES"/>
        </w:rPr>
        <w:t xml:space="preserve"> tal caso </w:t>
      </w:r>
      <w:r w:rsidR="00B06344" w:rsidRPr="00B7792A">
        <w:rPr>
          <w:lang w:val="es-ES"/>
        </w:rPr>
        <w:t>y que</w:t>
      </w:r>
      <w:r w:rsidRPr="00B7792A">
        <w:rPr>
          <w:lang w:val="es-ES"/>
        </w:rPr>
        <w:t>,</w:t>
      </w:r>
      <w:r w:rsidR="00B06344" w:rsidRPr="00B7792A">
        <w:rPr>
          <w:lang w:val="es-ES"/>
        </w:rPr>
        <w:t xml:space="preserve"> de los catorce puntos que contempla dicho Acuerdo, ocho se refieren directamente a lo dispuesto en el mismo. En lo que respecta a la Senten</w:t>
      </w:r>
      <w:r w:rsidR="009260C7">
        <w:rPr>
          <w:lang w:val="es-ES"/>
        </w:rPr>
        <w:t xml:space="preserve">cia, al menos dieciséis de sus </w:t>
      </w:r>
      <w:r w:rsidR="00B06344" w:rsidRPr="00B7792A">
        <w:rPr>
          <w:lang w:val="es-ES"/>
        </w:rPr>
        <w:t xml:space="preserve">párrafos </w:t>
      </w:r>
      <w:r w:rsidR="004B2A65" w:rsidRPr="00B7792A">
        <w:rPr>
          <w:lang w:val="es-ES"/>
        </w:rPr>
        <w:t>lo aluden expresamente.</w:t>
      </w:r>
    </w:p>
    <w:p w:rsidR="00B06344" w:rsidRDefault="00B06344" w:rsidP="00B06344">
      <w:pPr>
        <w:jc w:val="both"/>
        <w:rPr>
          <w:lang w:val="es-ES"/>
        </w:rPr>
      </w:pPr>
      <w:r w:rsidRPr="00B06344">
        <w:rPr>
          <w:lang w:val="es-ES"/>
        </w:rPr>
        <w:t>De allí se puede d</w:t>
      </w:r>
      <w:r w:rsidR="00203FB8">
        <w:rPr>
          <w:lang w:val="es-ES"/>
        </w:rPr>
        <w:t xml:space="preserve">esprender que </w:t>
      </w:r>
      <w:r w:rsidR="00A650EA">
        <w:rPr>
          <w:lang w:val="es-ES"/>
        </w:rPr>
        <w:t>“(l)</w:t>
      </w:r>
      <w:r w:rsidR="00A650EA" w:rsidRPr="00A650EA">
        <w:rPr>
          <w:lang w:val="es-ES"/>
        </w:rPr>
        <w:t xml:space="preserve">a Sentencia no se limita en su efecto vinculante a la parte dispositiva del fallo, sino que incluye todos los fundamentos, motivaciones, alcances y efectos del mismo, de modo </w:t>
      </w:r>
      <w:r w:rsidR="00A650EA" w:rsidRPr="00A650EA">
        <w:rPr>
          <w:lang w:val="es-ES"/>
        </w:rPr>
        <w:lastRenderedPageBreak/>
        <w:t xml:space="preserve">que aquélla es vinculante en su integridad, incluyendo su </w:t>
      </w:r>
      <w:r w:rsidR="00A650EA" w:rsidRPr="00A650EA">
        <w:rPr>
          <w:i/>
          <w:lang w:val="es-ES"/>
        </w:rPr>
        <w:t>ratio decidendi</w:t>
      </w:r>
      <w:r w:rsidR="00A650EA">
        <w:rPr>
          <w:lang w:val="es-ES"/>
        </w:rPr>
        <w:t>”</w:t>
      </w:r>
      <w:r w:rsidR="00A650EA">
        <w:rPr>
          <w:rStyle w:val="FootnoteReference"/>
          <w:lang w:val="es-ES"/>
        </w:rPr>
        <w:footnoteReference w:id="20"/>
      </w:r>
      <w:r w:rsidR="00A650EA">
        <w:rPr>
          <w:lang w:val="es-ES"/>
        </w:rPr>
        <w:t>. Cabe agregar que</w:t>
      </w:r>
      <w:r w:rsidR="00A650EA" w:rsidRPr="00A650EA">
        <w:rPr>
          <w:lang w:val="es-ES"/>
        </w:rPr>
        <w:t xml:space="preserve"> en casi todas las sentencias</w:t>
      </w:r>
      <w:r w:rsidR="00A650EA">
        <w:rPr>
          <w:lang w:val="es-ES"/>
        </w:rPr>
        <w:t xml:space="preserve">, </w:t>
      </w:r>
      <w:r w:rsidR="00A650EA" w:rsidRPr="00A650EA">
        <w:rPr>
          <w:lang w:val="es-ES"/>
        </w:rPr>
        <w:t xml:space="preserve">la </w:t>
      </w:r>
      <w:r w:rsidR="00A650EA">
        <w:rPr>
          <w:lang w:val="es-ES"/>
        </w:rPr>
        <w:t xml:space="preserve">correspondiente parte resolutiva </w:t>
      </w:r>
      <w:r w:rsidR="00A650EA" w:rsidRPr="00A650EA">
        <w:rPr>
          <w:lang w:val="es-ES"/>
        </w:rPr>
        <w:t xml:space="preserve">se remite </w:t>
      </w:r>
      <w:r w:rsidR="00A650EA">
        <w:rPr>
          <w:lang w:val="es-ES"/>
        </w:rPr>
        <w:t>a los párrafos pertinentes de la</w:t>
      </w:r>
      <w:r w:rsidR="00A650EA" w:rsidRPr="00A650EA">
        <w:rPr>
          <w:lang w:val="es-ES"/>
        </w:rPr>
        <w:t xml:space="preserve"> parte consid</w:t>
      </w:r>
      <w:r w:rsidR="00A650EA">
        <w:rPr>
          <w:lang w:val="es-ES"/>
        </w:rPr>
        <w:t xml:space="preserve">erativa donde se establecen determinadas obligaciones, </w:t>
      </w:r>
      <w:r w:rsidR="00A650EA" w:rsidRPr="00A650EA">
        <w:rPr>
          <w:lang w:val="es-ES"/>
        </w:rPr>
        <w:t xml:space="preserve"> lo que</w:t>
      </w:r>
      <w:r w:rsidR="00A650EA">
        <w:rPr>
          <w:lang w:val="es-ES"/>
        </w:rPr>
        <w:t>,</w:t>
      </w:r>
      <w:r w:rsidR="00A650EA" w:rsidRPr="00A650EA">
        <w:rPr>
          <w:lang w:val="es-ES"/>
        </w:rPr>
        <w:t xml:space="preserve"> de alguna manera</w:t>
      </w:r>
      <w:r w:rsidR="00A650EA">
        <w:rPr>
          <w:lang w:val="es-ES"/>
        </w:rPr>
        <w:t>,</w:t>
      </w:r>
      <w:r w:rsidR="009260C7">
        <w:rPr>
          <w:lang w:val="es-ES"/>
        </w:rPr>
        <w:t xml:space="preserve"> </w:t>
      </w:r>
      <w:r w:rsidR="00A650EA" w:rsidRPr="00A650EA">
        <w:rPr>
          <w:lang w:val="es-ES"/>
        </w:rPr>
        <w:t>refuerza la idea de que, por lo menos esos párrafos a los que se remiten</w:t>
      </w:r>
      <w:r w:rsidR="00A650EA">
        <w:rPr>
          <w:lang w:val="es-ES"/>
        </w:rPr>
        <w:t>,</w:t>
      </w:r>
      <w:r w:rsidR="00A650EA" w:rsidRPr="00A650EA">
        <w:rPr>
          <w:lang w:val="es-ES"/>
        </w:rPr>
        <w:t xml:space="preserve"> son de obligatorio cumplimiento.</w:t>
      </w:r>
    </w:p>
    <w:p w:rsidR="004D49F0" w:rsidRPr="00247C11" w:rsidRDefault="004D49F0" w:rsidP="00B06344">
      <w:pPr>
        <w:jc w:val="both"/>
        <w:rPr>
          <w:lang w:val="es-ES"/>
        </w:rPr>
      </w:pPr>
      <w:r>
        <w:rPr>
          <w:lang w:val="es-ES"/>
        </w:rPr>
        <w:t>En el presente caso, lo anterior es más evidente aún en m</w:t>
      </w:r>
      <w:r w:rsidR="00247C11">
        <w:rPr>
          <w:lang w:val="es-ES"/>
        </w:rPr>
        <w:t>érito de que en el Acuerdo de Solución Amistosa, se deja expresa constancia de que “(e)l Estado de Costa Rica es respetuoso … de la fuerza vinculante de (las) decisiones” de la Corte y que “es por ello q</w:t>
      </w:r>
      <w:r w:rsidR="009260C7">
        <w:rPr>
          <w:lang w:val="es-ES"/>
        </w:rPr>
        <w:t xml:space="preserve">ue emitió el Decreto Ejecutivo” </w:t>
      </w:r>
      <w:r w:rsidR="00247C11">
        <w:rPr>
          <w:lang w:val="es-ES"/>
        </w:rPr>
        <w:t xml:space="preserve">“denominado </w:t>
      </w:r>
      <w:r w:rsidR="00247C11" w:rsidRPr="00247C11">
        <w:rPr>
          <w:i/>
          <w:lang w:val="es-ES"/>
        </w:rPr>
        <w:t>Autorización para la realización de la técnica de la reproducción asistida de fecundación in vitro y transferencia embrionaria</w:t>
      </w:r>
      <w:r w:rsidR="00247C11">
        <w:rPr>
          <w:lang w:val="es-ES"/>
        </w:rPr>
        <w:t xml:space="preserve">”, “cuyo objetivo es dar cabal cumplimiento a lo ordenado por la Corte” en el caso Artavia Murillo y Otros </w:t>
      </w:r>
      <w:r w:rsidR="00247C11">
        <w:rPr>
          <w:i/>
          <w:lang w:val="es-ES"/>
        </w:rPr>
        <w:t>Vs.</w:t>
      </w:r>
      <w:r w:rsidR="00247C11">
        <w:rPr>
          <w:lang w:val="es-ES"/>
        </w:rPr>
        <w:t xml:space="preserve"> Costa Rica</w:t>
      </w:r>
      <w:r w:rsidR="0060568E">
        <w:rPr>
          <w:rStyle w:val="FootnoteReference"/>
          <w:lang w:val="es-ES"/>
        </w:rPr>
        <w:footnoteReference w:id="21"/>
      </w:r>
      <w:r w:rsidR="009260C7">
        <w:rPr>
          <w:lang w:val="es-ES"/>
        </w:rPr>
        <w:t xml:space="preserve">, por lo que debe </w:t>
      </w:r>
      <w:r w:rsidR="0060568E">
        <w:rPr>
          <w:lang w:val="es-ES"/>
        </w:rPr>
        <w:t>“dar efectivo cumplimiento a su deber de ofrecer” tal técnica</w:t>
      </w:r>
      <w:r w:rsidR="0060568E">
        <w:rPr>
          <w:rStyle w:val="FootnoteReference"/>
          <w:lang w:val="es-ES"/>
        </w:rPr>
        <w:footnoteReference w:id="22"/>
      </w:r>
      <w:r w:rsidR="0060568E">
        <w:rPr>
          <w:lang w:val="es-ES"/>
        </w:rPr>
        <w:t>.</w:t>
      </w:r>
    </w:p>
    <w:p w:rsidR="00B06344" w:rsidRPr="00B06344" w:rsidRDefault="00A650EA" w:rsidP="00B06344">
      <w:pPr>
        <w:jc w:val="both"/>
        <w:rPr>
          <w:lang w:val="es-ES"/>
        </w:rPr>
      </w:pPr>
      <w:r>
        <w:rPr>
          <w:lang w:val="es-ES"/>
        </w:rPr>
        <w:t xml:space="preserve">En consecuencia, la homologación del Acuerdo de Solución Amistosa </w:t>
      </w:r>
      <w:r w:rsidR="00082018">
        <w:rPr>
          <w:lang w:val="es-ES"/>
        </w:rPr>
        <w:t>que se realiza en el fallo del Caso Gómez Murillo</w:t>
      </w:r>
      <w:r w:rsidR="00BC5368">
        <w:rPr>
          <w:lang w:val="es-ES"/>
        </w:rPr>
        <w:t xml:space="preserve"> y Otros </w:t>
      </w:r>
      <w:r w:rsidR="00BC5368">
        <w:rPr>
          <w:i/>
          <w:lang w:val="es-ES"/>
        </w:rPr>
        <w:t>Vs.</w:t>
      </w:r>
      <w:r w:rsidR="00BC5368">
        <w:rPr>
          <w:lang w:val="es-ES"/>
        </w:rPr>
        <w:t xml:space="preserve"> Costa Rica, </w:t>
      </w:r>
      <w:r w:rsidR="00B06344" w:rsidRPr="00B06344">
        <w:rPr>
          <w:lang w:val="es-ES"/>
        </w:rPr>
        <w:t xml:space="preserve">conlleva la aceptación de lo resuelto en el </w:t>
      </w:r>
      <w:r w:rsidR="005A6AF1" w:rsidRPr="005A6AF1">
        <w:rPr>
          <w:lang w:val="es-ES"/>
        </w:rPr>
        <w:t>Caso Artavia Murillo y Otros (“</w:t>
      </w:r>
      <w:r w:rsidR="005A6AF1" w:rsidRPr="005A6AF1">
        <w:rPr>
          <w:i/>
          <w:lang w:val="es-ES"/>
        </w:rPr>
        <w:t>Fecundación in Vitro</w:t>
      </w:r>
      <w:r w:rsidR="005A6AF1" w:rsidRPr="005A6AF1">
        <w:rPr>
          <w:lang w:val="es-ES"/>
        </w:rPr>
        <w:t xml:space="preserve">”) </w:t>
      </w:r>
      <w:r w:rsidR="005A6AF1" w:rsidRPr="00DE035F">
        <w:rPr>
          <w:i/>
          <w:lang w:val="es-ES"/>
        </w:rPr>
        <w:t>Vs</w:t>
      </w:r>
      <w:r w:rsidR="005A6AF1" w:rsidRPr="005A6AF1">
        <w:rPr>
          <w:lang w:val="es-ES"/>
        </w:rPr>
        <w:t xml:space="preserve">. Costa Rica </w:t>
      </w:r>
      <w:r w:rsidR="00B06344" w:rsidRPr="00B06344">
        <w:rPr>
          <w:lang w:val="es-ES"/>
        </w:rPr>
        <w:t xml:space="preserve"> y muy especialmente su </w:t>
      </w:r>
      <w:r w:rsidR="00B06344" w:rsidRPr="004B2A65">
        <w:rPr>
          <w:i/>
          <w:lang w:val="es-ES"/>
        </w:rPr>
        <w:t>ratio decidendi</w:t>
      </w:r>
      <w:r w:rsidR="00B06344" w:rsidRPr="00B06344">
        <w:rPr>
          <w:lang w:val="es-ES"/>
        </w:rPr>
        <w:t>, lo que obliga a quién no compartió dicho fallo a reiterar su parecer en cuanto al mismo y a obrar en consecuencia, lo que el infrascrito hace en este acto, dando por reproducido el voto individual disidente emitido con o</w:t>
      </w:r>
      <w:r w:rsidR="004B2A65">
        <w:rPr>
          <w:lang w:val="es-ES"/>
        </w:rPr>
        <w:t>casió</w:t>
      </w:r>
      <w:r w:rsidR="004933B4">
        <w:rPr>
          <w:lang w:val="es-ES"/>
        </w:rPr>
        <w:t>n del fallo</w:t>
      </w:r>
      <w:r w:rsidR="00BC5368">
        <w:rPr>
          <w:lang w:val="es-ES"/>
        </w:rPr>
        <w:t xml:space="preserve"> </w:t>
      </w:r>
      <w:r w:rsidR="004B2A65">
        <w:rPr>
          <w:lang w:val="es-ES"/>
        </w:rPr>
        <w:t>sobre el</w:t>
      </w:r>
      <w:r w:rsidR="009260C7">
        <w:rPr>
          <w:lang w:val="es-ES"/>
        </w:rPr>
        <w:t xml:space="preserve"> recién indicado caso</w:t>
      </w:r>
      <w:r w:rsidR="00EB5135">
        <w:rPr>
          <w:rStyle w:val="FootnoteReference"/>
          <w:lang w:val="es-ES"/>
        </w:rPr>
        <w:footnoteReference w:id="23"/>
      </w:r>
      <w:r w:rsidR="00B06344" w:rsidRPr="00B06344">
        <w:rPr>
          <w:lang w:val="es-ES"/>
        </w:rPr>
        <w:t>.</w:t>
      </w:r>
    </w:p>
    <w:p w:rsidR="007041AC" w:rsidRDefault="004B2A65" w:rsidP="00CD130D">
      <w:pPr>
        <w:jc w:val="both"/>
        <w:rPr>
          <w:lang w:val="es-ES"/>
        </w:rPr>
      </w:pPr>
      <w:r>
        <w:rPr>
          <w:lang w:val="es-ES"/>
        </w:rPr>
        <w:t>Sin perjuicio de tal remisión, resulta indispensab</w:t>
      </w:r>
      <w:r w:rsidR="00681B62">
        <w:rPr>
          <w:lang w:val="es-ES"/>
        </w:rPr>
        <w:t xml:space="preserve">le reiterar </w:t>
      </w:r>
      <w:r w:rsidR="009462DB">
        <w:rPr>
          <w:lang w:val="es-ES"/>
        </w:rPr>
        <w:t xml:space="preserve">el aludido desacuerdo. Por de pronto, dado </w:t>
      </w:r>
      <w:r w:rsidR="00DC6C2A">
        <w:rPr>
          <w:lang w:val="es-ES"/>
        </w:rPr>
        <w:t xml:space="preserve">que la fecundación </w:t>
      </w:r>
      <w:r w:rsidR="00DC6C2A" w:rsidRPr="00DC6C2A">
        <w:rPr>
          <w:i/>
          <w:lang w:val="es-ES"/>
        </w:rPr>
        <w:t>in vitro</w:t>
      </w:r>
      <w:r w:rsidR="00DC6C2A" w:rsidRPr="00DC6C2A">
        <w:rPr>
          <w:lang w:val="es-ES"/>
        </w:rPr>
        <w:t xml:space="preserve"> </w:t>
      </w:r>
      <w:r w:rsidR="00DC6C2A">
        <w:rPr>
          <w:lang w:val="es-ES"/>
        </w:rPr>
        <w:t>no ha sido regulada por el Derecho Intern</w:t>
      </w:r>
      <w:r w:rsidR="009462DB">
        <w:rPr>
          <w:lang w:val="es-ES"/>
        </w:rPr>
        <w:t xml:space="preserve">acional y, por ende, se entiende que integra </w:t>
      </w:r>
      <w:r w:rsidR="00DC6C2A" w:rsidRPr="009462DB">
        <w:rPr>
          <w:lang w:val="es-ES"/>
        </w:rPr>
        <w:t>el ámbito de la jurisdicción interna, doméstica o exclusiva de</w:t>
      </w:r>
      <w:r w:rsidR="009462DB">
        <w:rPr>
          <w:lang w:val="es-ES"/>
        </w:rPr>
        <w:t>l Estado</w:t>
      </w:r>
      <w:r w:rsidR="009462DB">
        <w:rPr>
          <w:rStyle w:val="FootnoteReference"/>
          <w:lang w:val="es-ES"/>
        </w:rPr>
        <w:footnoteReference w:id="24"/>
      </w:r>
      <w:r w:rsidR="009462DB">
        <w:rPr>
          <w:lang w:val="es-ES"/>
        </w:rPr>
        <w:t xml:space="preserve"> o de</w:t>
      </w:r>
      <w:r w:rsidR="00DC6C2A" w:rsidRPr="009462DB">
        <w:rPr>
          <w:lang w:val="es-ES"/>
        </w:rPr>
        <w:t xml:space="preserve"> lo que se conoce como margen de apreciación de éste</w:t>
      </w:r>
      <w:r w:rsidR="009462DB">
        <w:rPr>
          <w:rStyle w:val="FootnoteReference"/>
          <w:lang w:val="es-ES"/>
        </w:rPr>
        <w:footnoteReference w:id="25"/>
      </w:r>
      <w:r w:rsidR="00DC6C2A" w:rsidRPr="009462DB">
        <w:rPr>
          <w:lang w:val="es-ES"/>
        </w:rPr>
        <w:t>, esto es, se tra</w:t>
      </w:r>
      <w:r w:rsidR="009462DB">
        <w:rPr>
          <w:lang w:val="es-ES"/>
        </w:rPr>
        <w:t xml:space="preserve">ta de una materia no específica y expresamente regulada por el Derecho Internacional. Pero, </w:t>
      </w:r>
      <w:r w:rsidR="007F5680" w:rsidRPr="00DC6C2A">
        <w:rPr>
          <w:lang w:val="es-ES"/>
        </w:rPr>
        <w:t>en</w:t>
      </w:r>
      <w:r w:rsidR="005A6AF1">
        <w:rPr>
          <w:lang w:val="es-ES"/>
        </w:rPr>
        <w:t xml:space="preserve"> especial, </w:t>
      </w:r>
      <w:r w:rsidR="009462DB">
        <w:rPr>
          <w:lang w:val="es-ES"/>
        </w:rPr>
        <w:t xml:space="preserve">la discrepancia lo es </w:t>
      </w:r>
      <w:r w:rsidR="005A6AF1">
        <w:rPr>
          <w:lang w:val="es-ES"/>
        </w:rPr>
        <w:t>en</w:t>
      </w:r>
      <w:r w:rsidR="007F5680" w:rsidRPr="007F5680">
        <w:rPr>
          <w:lang w:val="es-ES"/>
        </w:rPr>
        <w:t xml:space="preserve"> cuanto a las afirmaciones contenidas en la mencionada sentencia </w:t>
      </w:r>
      <w:r w:rsidR="009462DB">
        <w:rPr>
          <w:lang w:val="es-ES"/>
        </w:rPr>
        <w:t xml:space="preserve">en orden </w:t>
      </w:r>
      <w:r w:rsidR="00923A13">
        <w:rPr>
          <w:lang w:val="es-ES"/>
        </w:rPr>
        <w:t xml:space="preserve"> a</w:t>
      </w:r>
      <w:r w:rsidR="005A6AF1">
        <w:rPr>
          <w:lang w:val="es-ES"/>
        </w:rPr>
        <w:t xml:space="preserve"> que</w:t>
      </w:r>
      <w:r w:rsidR="005A6AF1" w:rsidRPr="00CD130D">
        <w:rPr>
          <w:lang w:val="es-ES"/>
        </w:rPr>
        <w:t xml:space="preserve"> </w:t>
      </w:r>
      <w:r w:rsidR="00CD130D" w:rsidRPr="00CD130D">
        <w:rPr>
          <w:lang w:val="es-ES"/>
        </w:rPr>
        <w:t xml:space="preserve">“la “concepción” en el sentido del artículo 4.1 </w:t>
      </w:r>
      <w:r w:rsidR="00203FB8">
        <w:rPr>
          <w:lang w:val="es-ES"/>
        </w:rPr>
        <w:t xml:space="preserve">(de la Convención) </w:t>
      </w:r>
      <w:r w:rsidR="00CD130D" w:rsidRPr="00CD130D">
        <w:rPr>
          <w:lang w:val="es-ES"/>
        </w:rPr>
        <w:t xml:space="preserve">tiene lugar desde el momento en que el embrión se implanta en el útero, </w:t>
      </w:r>
      <w:r w:rsidR="00CD130D" w:rsidRPr="00CD130D">
        <w:rPr>
          <w:lang w:val="es-ES"/>
        </w:rPr>
        <w:lastRenderedPageBreak/>
        <w:t xml:space="preserve">razón por la cual antes de este evento no </w:t>
      </w:r>
      <w:r w:rsidR="00600BE4">
        <w:rPr>
          <w:lang w:val="es-ES"/>
        </w:rPr>
        <w:t>habría lugar a la aplicación de</w:t>
      </w:r>
      <w:r w:rsidR="005A6AF1">
        <w:rPr>
          <w:lang w:val="es-ES"/>
        </w:rPr>
        <w:t>”</w:t>
      </w:r>
      <w:r w:rsidR="00600BE4">
        <w:rPr>
          <w:lang w:val="es-ES"/>
        </w:rPr>
        <w:t xml:space="preserve"> la citada disposición</w:t>
      </w:r>
      <w:r w:rsidR="00543876">
        <w:rPr>
          <w:rStyle w:val="FootnoteReference"/>
          <w:lang w:val="es-ES"/>
        </w:rPr>
        <w:footnoteReference w:id="26"/>
      </w:r>
      <w:r w:rsidR="005A6AF1">
        <w:rPr>
          <w:lang w:val="es-ES"/>
        </w:rPr>
        <w:t xml:space="preserve">; que </w:t>
      </w:r>
      <w:r w:rsidR="00CD130D" w:rsidRPr="00CD130D">
        <w:rPr>
          <w:lang w:val="es-ES"/>
        </w:rPr>
        <w:t>“no es procedente otorgar el est</w:t>
      </w:r>
      <w:r w:rsidR="004617FC">
        <w:rPr>
          <w:lang w:val="es-ES"/>
        </w:rPr>
        <w:t>atus de persona al embrión”</w:t>
      </w:r>
      <w:r w:rsidR="00543876">
        <w:rPr>
          <w:rStyle w:val="FootnoteReference"/>
          <w:lang w:val="es-ES"/>
        </w:rPr>
        <w:footnoteReference w:id="27"/>
      </w:r>
      <w:r w:rsidR="005A6AF1">
        <w:rPr>
          <w:lang w:val="es-ES"/>
        </w:rPr>
        <w:t xml:space="preserve">; y que </w:t>
      </w:r>
      <w:r w:rsidR="00CD130D" w:rsidRPr="00CD130D">
        <w:rPr>
          <w:lang w:val="es-ES"/>
        </w:rPr>
        <w:t>“el embrión no puede ser entendido como persona para efectos del artículo 4.1 de la Convención Americana</w:t>
      </w:r>
      <w:r w:rsidR="00923A13">
        <w:rPr>
          <w:lang w:val="es-ES"/>
        </w:rPr>
        <w:t>”</w:t>
      </w:r>
      <w:r w:rsidR="00543876">
        <w:rPr>
          <w:rStyle w:val="FootnoteReference"/>
          <w:lang w:val="es-ES"/>
        </w:rPr>
        <w:footnoteReference w:id="28"/>
      </w:r>
      <w:r w:rsidR="00634D90">
        <w:rPr>
          <w:lang w:val="es-ES"/>
        </w:rPr>
        <w:t>.</w:t>
      </w:r>
      <w:r w:rsidR="009462DB">
        <w:rPr>
          <w:lang w:val="es-ES"/>
        </w:rPr>
        <w:t>En suma se disiente</w:t>
      </w:r>
      <w:r w:rsidR="00600BE4">
        <w:rPr>
          <w:lang w:val="es-ES"/>
        </w:rPr>
        <w:t xml:space="preserve"> del fallo emitido en el</w:t>
      </w:r>
      <w:r w:rsidR="00600BE4" w:rsidRPr="00600BE4">
        <w:rPr>
          <w:lang w:val="es-ES"/>
        </w:rPr>
        <w:t xml:space="preserve"> Caso Artavia Murillo y Otros (“</w:t>
      </w:r>
      <w:r w:rsidR="00600BE4" w:rsidRPr="00775ECA">
        <w:rPr>
          <w:i/>
          <w:lang w:val="es-ES"/>
        </w:rPr>
        <w:t>Fecundación in Vitro</w:t>
      </w:r>
      <w:r w:rsidR="00600BE4" w:rsidRPr="00600BE4">
        <w:rPr>
          <w:lang w:val="es-ES"/>
        </w:rPr>
        <w:t xml:space="preserve">”) </w:t>
      </w:r>
      <w:r w:rsidR="00600BE4" w:rsidRPr="00DE035F">
        <w:rPr>
          <w:i/>
          <w:lang w:val="es-ES"/>
        </w:rPr>
        <w:t>Vs</w:t>
      </w:r>
      <w:r w:rsidR="00600BE4" w:rsidRPr="00600BE4">
        <w:rPr>
          <w:lang w:val="es-ES"/>
        </w:rPr>
        <w:t xml:space="preserve">. Costa Rica </w:t>
      </w:r>
      <w:r w:rsidR="004F0269">
        <w:rPr>
          <w:lang w:val="es-ES"/>
        </w:rPr>
        <w:t>por sostener, en base a una de las posturas médicas sobre la materia,</w:t>
      </w:r>
      <w:r w:rsidR="004F0269" w:rsidRPr="004F0269">
        <w:rPr>
          <w:lang w:val="es-ES"/>
        </w:rPr>
        <w:t xml:space="preserve"> </w:t>
      </w:r>
      <w:r w:rsidR="004617FC">
        <w:rPr>
          <w:lang w:val="es-ES"/>
        </w:rPr>
        <w:t xml:space="preserve">que </w:t>
      </w:r>
      <w:r w:rsidR="004F0269">
        <w:rPr>
          <w:lang w:val="es-ES"/>
        </w:rPr>
        <w:t>sigue desechando sin mayor fundamento otras</w:t>
      </w:r>
      <w:r w:rsidR="002746FA">
        <w:rPr>
          <w:lang w:val="es-ES"/>
        </w:rPr>
        <w:t xml:space="preserve"> y sin que ni siquiera exista consenso entre las legislaciones internas de los Estados partes de la Convención acerca </w:t>
      </w:r>
      <w:r w:rsidR="00176912">
        <w:rPr>
          <w:lang w:val="es-ES"/>
        </w:rPr>
        <w:t>de la misma</w:t>
      </w:r>
      <w:r w:rsidR="004F0269">
        <w:rPr>
          <w:lang w:val="es-ES"/>
        </w:rPr>
        <w:t xml:space="preserve">, </w:t>
      </w:r>
      <w:r w:rsidR="004F0269" w:rsidRPr="004F0269">
        <w:rPr>
          <w:lang w:val="es-ES"/>
        </w:rPr>
        <w:t>que la protección del embrión humano es gradual y progresiva, no siendo exigible desde la fusión de óvulo y espermat</w:t>
      </w:r>
      <w:r w:rsidR="00A35851">
        <w:rPr>
          <w:lang w:val="es-ES"/>
        </w:rPr>
        <w:t>ozoide sino desde la implantación</w:t>
      </w:r>
      <w:r w:rsidR="00176912">
        <w:rPr>
          <w:lang w:val="es-ES"/>
        </w:rPr>
        <w:t xml:space="preserve"> del embrión</w:t>
      </w:r>
      <w:r w:rsidR="00203FB8">
        <w:rPr>
          <w:lang w:val="es-ES"/>
        </w:rPr>
        <w:t xml:space="preserve">. </w:t>
      </w:r>
      <w:r w:rsidR="00600BE4" w:rsidRPr="00600BE4">
        <w:rPr>
          <w:lang w:val="es-ES"/>
        </w:rPr>
        <w:t xml:space="preserve"> </w:t>
      </w:r>
    </w:p>
    <w:p w:rsidR="00923A13" w:rsidRDefault="00923A13" w:rsidP="00CD130D">
      <w:pPr>
        <w:jc w:val="both"/>
        <w:rPr>
          <w:lang w:val="es-ES"/>
        </w:rPr>
      </w:pPr>
      <w:r>
        <w:rPr>
          <w:lang w:val="es-ES"/>
        </w:rPr>
        <w:t>Parece me</w:t>
      </w:r>
      <w:r w:rsidR="004617FC">
        <w:rPr>
          <w:lang w:val="es-ES"/>
        </w:rPr>
        <w:t xml:space="preserve">nester, por lo tanto, insistir </w:t>
      </w:r>
      <w:r>
        <w:rPr>
          <w:lang w:val="es-ES"/>
        </w:rPr>
        <w:t xml:space="preserve">en la disidencia en </w:t>
      </w:r>
      <w:r w:rsidR="007F5680" w:rsidRPr="007F5680">
        <w:rPr>
          <w:lang w:val="es-ES"/>
        </w:rPr>
        <w:t>atención a que tales expresiones podrían eventualmente ser empleadas para intentar justificar que la Convención permitiría el aborto, lo que no sería ajustado a</w:t>
      </w:r>
      <w:r w:rsidR="00BC358B">
        <w:rPr>
          <w:lang w:val="es-ES"/>
        </w:rPr>
        <w:t xml:space="preserve"> su letra y espíritu</w:t>
      </w:r>
      <w:r w:rsidR="009462DB">
        <w:rPr>
          <w:lang w:val="es-ES"/>
        </w:rPr>
        <w:t>.</w:t>
      </w:r>
    </w:p>
    <w:p w:rsidR="001132BE" w:rsidRDefault="004617FC" w:rsidP="00CD130D">
      <w:pPr>
        <w:jc w:val="both"/>
        <w:rPr>
          <w:lang w:val="es-ES"/>
        </w:rPr>
      </w:pPr>
      <w:r>
        <w:rPr>
          <w:lang w:val="es-ES"/>
        </w:rPr>
        <w:t xml:space="preserve">Efectivamente y </w:t>
      </w:r>
      <w:r w:rsidR="009462DB">
        <w:rPr>
          <w:lang w:val="es-ES"/>
        </w:rPr>
        <w:t>al</w:t>
      </w:r>
      <w:r w:rsidR="004F0269">
        <w:rPr>
          <w:lang w:val="es-ES"/>
        </w:rPr>
        <w:t xml:space="preserve"> cont</w:t>
      </w:r>
      <w:r w:rsidR="00203FB8">
        <w:rPr>
          <w:lang w:val="es-ES"/>
        </w:rPr>
        <w:t xml:space="preserve">rario de lo afirmado en la </w:t>
      </w:r>
      <w:r w:rsidR="004F0269">
        <w:rPr>
          <w:lang w:val="es-ES"/>
        </w:rPr>
        <w:t>sentencia</w:t>
      </w:r>
      <w:r w:rsidR="00203FB8">
        <w:rPr>
          <w:lang w:val="es-ES"/>
        </w:rPr>
        <w:t xml:space="preserve"> del </w:t>
      </w:r>
      <w:r w:rsidR="00203FB8" w:rsidRPr="00203FB8">
        <w:rPr>
          <w:lang w:val="es-ES"/>
        </w:rPr>
        <w:t>Caso Artavia Murillo y Otros (“</w:t>
      </w:r>
      <w:r w:rsidR="00203FB8" w:rsidRPr="009A4E5A">
        <w:rPr>
          <w:i/>
          <w:lang w:val="es-ES"/>
        </w:rPr>
        <w:t>Fecundación in Vitro</w:t>
      </w:r>
      <w:r w:rsidR="00203FB8" w:rsidRPr="00203FB8">
        <w:rPr>
          <w:lang w:val="es-ES"/>
        </w:rPr>
        <w:t xml:space="preserve">”) </w:t>
      </w:r>
      <w:r w:rsidR="00203FB8" w:rsidRPr="008A0B50">
        <w:rPr>
          <w:i/>
          <w:lang w:val="es-ES"/>
        </w:rPr>
        <w:t>Vs</w:t>
      </w:r>
      <w:r w:rsidR="00203FB8" w:rsidRPr="00203FB8">
        <w:rPr>
          <w:lang w:val="es-ES"/>
        </w:rPr>
        <w:t>. Costa Rica</w:t>
      </w:r>
      <w:r w:rsidR="00923A13">
        <w:rPr>
          <w:lang w:val="es-ES"/>
        </w:rPr>
        <w:t>, se debe llamar la atención en que</w:t>
      </w:r>
      <w:r w:rsidR="00EB5135" w:rsidRPr="00EB5135">
        <w:rPr>
          <w:lang w:val="es-ES"/>
        </w:rPr>
        <w:t xml:space="preserve"> lo que regula la Convención son los derechos humanos de todo ser humano</w:t>
      </w:r>
      <w:r w:rsidR="007041AC">
        <w:rPr>
          <w:rStyle w:val="FootnoteReference"/>
          <w:lang w:val="es-ES"/>
        </w:rPr>
        <w:footnoteReference w:id="29"/>
      </w:r>
      <w:r w:rsidR="00EB5135" w:rsidRPr="00EB5135">
        <w:rPr>
          <w:lang w:val="es-ES"/>
        </w:rPr>
        <w:t>, entre los que se destaca el “derecho a que se respete su vida</w:t>
      </w:r>
      <w:r>
        <w:rPr>
          <w:lang w:val="es-ES"/>
        </w:rPr>
        <w:t xml:space="preserve">”, </w:t>
      </w:r>
      <w:r w:rsidR="00EB5135" w:rsidRPr="00EB5135">
        <w:rPr>
          <w:lang w:val="es-ES"/>
        </w:rPr>
        <w:t xml:space="preserve">el que debe estar “protegido por la ley y, en general, a partir del momento de la concepción.” Este derecho ha sido catalogado por la propia Corte como fundamental, por lo que no </w:t>
      </w:r>
      <w:r w:rsidR="00923A13">
        <w:rPr>
          <w:lang w:val="es-ES"/>
        </w:rPr>
        <w:t>se debe admitir</w:t>
      </w:r>
      <w:r w:rsidR="00EB5135" w:rsidRPr="00EB5135">
        <w:rPr>
          <w:lang w:val="es-ES"/>
        </w:rPr>
        <w:t xml:space="preserve"> un enfoque r</w:t>
      </w:r>
      <w:r w:rsidR="001132BE">
        <w:rPr>
          <w:lang w:val="es-ES"/>
        </w:rPr>
        <w:t>estrictivo de mismo</w:t>
      </w:r>
      <w:r w:rsidR="00775ECA">
        <w:rPr>
          <w:rStyle w:val="FootnoteReference"/>
          <w:lang w:val="es-ES"/>
        </w:rPr>
        <w:footnoteReference w:id="30"/>
      </w:r>
      <w:r w:rsidR="001132BE">
        <w:rPr>
          <w:lang w:val="es-ES"/>
        </w:rPr>
        <w:t xml:space="preserve">. De allí que, </w:t>
      </w:r>
      <w:r w:rsidR="00EB5135" w:rsidRPr="00EB5135">
        <w:rPr>
          <w:lang w:val="es-ES"/>
        </w:rPr>
        <w:t xml:space="preserve">conforme a las reglas de interpretación contempladas en la Convención de Viena sobre el Derecho de los Tratados, </w:t>
      </w:r>
      <w:r w:rsidR="004F0269">
        <w:rPr>
          <w:lang w:val="es-ES"/>
        </w:rPr>
        <w:t>que, a criterio del suscrito, no se siguen en la sentencia antes aludida,</w:t>
      </w:r>
      <w:r>
        <w:rPr>
          <w:lang w:val="es-ES"/>
        </w:rPr>
        <w:t xml:space="preserve"> en especial, por invocar cuerpos normativos no vinculantes para Costa Rica o </w:t>
      </w:r>
      <w:r w:rsidR="00007692">
        <w:rPr>
          <w:lang w:val="es-ES"/>
        </w:rPr>
        <w:t xml:space="preserve">para </w:t>
      </w:r>
      <w:r>
        <w:rPr>
          <w:lang w:val="es-ES"/>
        </w:rPr>
        <w:t>los Estados partes de la Convención,</w:t>
      </w:r>
      <w:r w:rsidR="004F0269">
        <w:rPr>
          <w:lang w:val="es-ES"/>
        </w:rPr>
        <w:t xml:space="preserve"> </w:t>
      </w:r>
      <w:r w:rsidR="00C14296">
        <w:rPr>
          <w:lang w:val="es-ES"/>
        </w:rPr>
        <w:t xml:space="preserve">jurídicamente </w:t>
      </w:r>
      <w:r w:rsidR="001132BE">
        <w:rPr>
          <w:lang w:val="es-ES"/>
        </w:rPr>
        <w:t>se debe entender que</w:t>
      </w:r>
      <w:r w:rsidR="00CD6708">
        <w:rPr>
          <w:lang w:val="es-ES"/>
        </w:rPr>
        <w:t xml:space="preserve"> </w:t>
      </w:r>
      <w:r w:rsidR="001132BE">
        <w:rPr>
          <w:lang w:val="es-ES"/>
        </w:rPr>
        <w:t xml:space="preserve"> </w:t>
      </w:r>
      <w:r w:rsidR="004F0269">
        <w:rPr>
          <w:lang w:val="es-ES"/>
        </w:rPr>
        <w:t>el conc</w:t>
      </w:r>
      <w:r w:rsidR="00C14296">
        <w:rPr>
          <w:lang w:val="es-ES"/>
        </w:rPr>
        <w:t>epto de concepción d</w:t>
      </w:r>
      <w:r w:rsidR="004F0269">
        <w:rPr>
          <w:lang w:val="es-ES"/>
        </w:rPr>
        <w:t xml:space="preserve">el mencionado artículo 4.1 </w:t>
      </w:r>
      <w:r>
        <w:rPr>
          <w:lang w:val="es-ES"/>
        </w:rPr>
        <w:t xml:space="preserve"> de esta última </w:t>
      </w:r>
      <w:r w:rsidR="004F0269" w:rsidRPr="004F0269">
        <w:rPr>
          <w:lang w:val="es-ES"/>
        </w:rPr>
        <w:t xml:space="preserve">era </w:t>
      </w:r>
      <w:r w:rsidR="00C14296">
        <w:rPr>
          <w:lang w:val="es-ES"/>
        </w:rPr>
        <w:t xml:space="preserve">el normalmente empleado  </w:t>
      </w:r>
      <w:r>
        <w:rPr>
          <w:lang w:val="es-ES"/>
        </w:rPr>
        <w:t>al momento de su</w:t>
      </w:r>
      <w:r w:rsidR="004F0269" w:rsidRPr="004F0269">
        <w:rPr>
          <w:lang w:val="es-ES"/>
        </w:rPr>
        <w:t xml:space="preserve"> firm</w:t>
      </w:r>
      <w:r>
        <w:rPr>
          <w:lang w:val="es-ES"/>
        </w:rPr>
        <w:t xml:space="preserve">a y aprobación </w:t>
      </w:r>
      <w:r w:rsidR="004F0269" w:rsidRPr="004F0269">
        <w:rPr>
          <w:lang w:val="es-ES"/>
        </w:rPr>
        <w:t>y de los acuerdos adoptados posteriormente</w:t>
      </w:r>
      <w:r w:rsidR="00007692">
        <w:rPr>
          <w:lang w:val="es-ES"/>
        </w:rPr>
        <w:t xml:space="preserve"> por lo</w:t>
      </w:r>
      <w:r w:rsidR="007041AC">
        <w:rPr>
          <w:lang w:val="es-ES"/>
        </w:rPr>
        <w:t>s Estados partes</w:t>
      </w:r>
      <w:r>
        <w:rPr>
          <w:lang w:val="es-ES"/>
        </w:rPr>
        <w:t xml:space="preserve"> de la misma</w:t>
      </w:r>
      <w:r w:rsidR="007041AC">
        <w:rPr>
          <w:lang w:val="es-ES"/>
        </w:rPr>
        <w:t xml:space="preserve">, lo que conduce a concluir que dicho hecho acontece en </w:t>
      </w:r>
      <w:r w:rsidR="004F0269">
        <w:rPr>
          <w:lang w:val="es-ES"/>
        </w:rPr>
        <w:t xml:space="preserve">el </w:t>
      </w:r>
      <w:r w:rsidR="00BB0EA0">
        <w:rPr>
          <w:lang w:val="es-ES"/>
        </w:rPr>
        <w:t>momento en que el espermatozoide se une al óvulo. Por lo tanto, se deb</w:t>
      </w:r>
      <w:r w:rsidR="00203FB8">
        <w:rPr>
          <w:lang w:val="es-ES"/>
        </w:rPr>
        <w:t>e</w:t>
      </w:r>
      <w:r>
        <w:rPr>
          <w:lang w:val="es-ES"/>
        </w:rPr>
        <w:t xml:space="preserve"> entender</w:t>
      </w:r>
      <w:r w:rsidR="00BB0EA0">
        <w:rPr>
          <w:lang w:val="es-ES"/>
        </w:rPr>
        <w:t xml:space="preserve"> que </w:t>
      </w:r>
      <w:r w:rsidR="001132BE">
        <w:rPr>
          <w:lang w:val="es-ES"/>
        </w:rPr>
        <w:t xml:space="preserve">la Convención, al </w:t>
      </w:r>
      <w:r w:rsidR="00BB0EA0">
        <w:rPr>
          <w:lang w:val="es-ES"/>
        </w:rPr>
        <w:t>consagrar</w:t>
      </w:r>
      <w:r w:rsidR="001132BE">
        <w:rPr>
          <w:lang w:val="es-ES"/>
        </w:rPr>
        <w:t xml:space="preserve"> el derecho a la protección d</w:t>
      </w:r>
      <w:r w:rsidR="00BB0EA0">
        <w:rPr>
          <w:lang w:val="es-ES"/>
        </w:rPr>
        <w:t>e la vida de</w:t>
      </w:r>
      <w:r w:rsidR="00203FB8">
        <w:rPr>
          <w:lang w:val="es-ES"/>
        </w:rPr>
        <w:t>sde  la conc</w:t>
      </w:r>
      <w:r>
        <w:rPr>
          <w:lang w:val="es-ES"/>
        </w:rPr>
        <w:t xml:space="preserve">epción, </w:t>
      </w:r>
      <w:r w:rsidR="00CD6708">
        <w:rPr>
          <w:lang w:val="es-ES"/>
        </w:rPr>
        <w:t xml:space="preserve">reconoce </w:t>
      </w:r>
      <w:r w:rsidR="00C72FBF">
        <w:rPr>
          <w:lang w:val="es-ES"/>
        </w:rPr>
        <w:t>al</w:t>
      </w:r>
      <w:r w:rsidR="001132BE">
        <w:rPr>
          <w:lang w:val="es-ES"/>
        </w:rPr>
        <w:t xml:space="preserve"> concebido </w:t>
      </w:r>
      <w:r w:rsidR="00720D86">
        <w:rPr>
          <w:lang w:val="es-ES"/>
        </w:rPr>
        <w:t xml:space="preserve">pero </w:t>
      </w:r>
      <w:r w:rsidR="001132BE">
        <w:rPr>
          <w:lang w:val="es-ES"/>
        </w:rPr>
        <w:t>aún no nacido</w:t>
      </w:r>
      <w:r w:rsidR="007041AC">
        <w:rPr>
          <w:lang w:val="es-ES"/>
        </w:rPr>
        <w:t xml:space="preserve"> como persona o ser humano</w:t>
      </w:r>
      <w:r w:rsidR="001132BE">
        <w:rPr>
          <w:lang w:val="es-ES"/>
        </w:rPr>
        <w:t xml:space="preserve">. </w:t>
      </w:r>
    </w:p>
    <w:p w:rsidR="00EB5135" w:rsidRPr="005A02B2" w:rsidRDefault="00BB0EA0" w:rsidP="00CD130D">
      <w:pPr>
        <w:jc w:val="both"/>
        <w:rPr>
          <w:lang w:val="es-ES"/>
        </w:rPr>
      </w:pPr>
      <w:r>
        <w:rPr>
          <w:lang w:val="es-ES"/>
        </w:rPr>
        <w:lastRenderedPageBreak/>
        <w:t>Así las cosas y teniendo presente que t</w:t>
      </w:r>
      <w:r w:rsidR="00720D86">
        <w:rPr>
          <w:lang w:val="es-ES"/>
        </w:rPr>
        <w:t xml:space="preserve">anto en el </w:t>
      </w:r>
      <w:r w:rsidR="00720D86" w:rsidRPr="00720D86">
        <w:rPr>
          <w:lang w:val="es-ES"/>
        </w:rPr>
        <w:t>Caso Artavia Murillo y Otros (“</w:t>
      </w:r>
      <w:r w:rsidR="00720D86" w:rsidRPr="00720D86">
        <w:rPr>
          <w:i/>
          <w:lang w:val="es-ES"/>
        </w:rPr>
        <w:t>Fecundación in Vitro</w:t>
      </w:r>
      <w:r w:rsidR="00720D86" w:rsidRPr="00720D86">
        <w:rPr>
          <w:lang w:val="es-ES"/>
        </w:rPr>
        <w:t xml:space="preserve">”) </w:t>
      </w:r>
      <w:r w:rsidR="00720D86" w:rsidRPr="008A0B50">
        <w:rPr>
          <w:i/>
          <w:lang w:val="es-ES"/>
        </w:rPr>
        <w:t>Vs</w:t>
      </w:r>
      <w:r w:rsidR="00720D86" w:rsidRPr="00720D86">
        <w:rPr>
          <w:lang w:val="es-ES"/>
        </w:rPr>
        <w:t xml:space="preserve">. Costa Rica </w:t>
      </w:r>
      <w:r w:rsidR="008A0B50">
        <w:rPr>
          <w:lang w:val="es-ES"/>
        </w:rPr>
        <w:t xml:space="preserve">como en el presente caso, es decir, Caso Gómez Murillo </w:t>
      </w:r>
      <w:r w:rsidR="008A0B50" w:rsidRPr="008A0B50">
        <w:rPr>
          <w:lang w:val="es-ES"/>
        </w:rPr>
        <w:t>y Otros</w:t>
      </w:r>
      <w:r w:rsidR="008A0B50">
        <w:rPr>
          <w:lang w:val="es-ES"/>
        </w:rPr>
        <w:t xml:space="preserve"> </w:t>
      </w:r>
      <w:r w:rsidR="008A0B50">
        <w:rPr>
          <w:i/>
          <w:lang w:val="es-ES"/>
        </w:rPr>
        <w:t>Vs.</w:t>
      </w:r>
      <w:r w:rsidR="008A0B50">
        <w:rPr>
          <w:lang w:val="es-ES"/>
        </w:rPr>
        <w:t xml:space="preserve"> Costa Rica,</w:t>
      </w:r>
      <w:r w:rsidR="008A0B50" w:rsidRPr="008A0B50">
        <w:rPr>
          <w:lang w:val="es-ES"/>
        </w:rPr>
        <w:t xml:space="preserve"> </w:t>
      </w:r>
      <w:r w:rsidR="00EB5135" w:rsidRPr="00EB5135">
        <w:rPr>
          <w:lang w:val="es-ES"/>
        </w:rPr>
        <w:t>no se trata, por ende, de decidir entre el derecho a la vida de la madre y el derecho a la vida del que s</w:t>
      </w:r>
      <w:r w:rsidR="00720D86">
        <w:rPr>
          <w:lang w:val="es-ES"/>
        </w:rPr>
        <w:t>e encuentra en su vientre</w:t>
      </w:r>
      <w:r w:rsidR="00EB5135" w:rsidRPr="00EB5135">
        <w:rPr>
          <w:lang w:val="es-ES"/>
        </w:rPr>
        <w:t>, sino entre este último y el derecho de aquella a la integridad personal y a la vida privada y familiar</w:t>
      </w:r>
      <w:r w:rsidR="00C14296">
        <w:rPr>
          <w:lang w:val="es-ES"/>
        </w:rPr>
        <w:t>.</w:t>
      </w:r>
      <w:r w:rsidR="00203FB8">
        <w:rPr>
          <w:lang w:val="es-ES"/>
        </w:rPr>
        <w:t xml:space="preserve"> Ante tal situación, obviamente que </w:t>
      </w:r>
      <w:r w:rsidR="000128E1">
        <w:rPr>
          <w:lang w:val="es-ES"/>
        </w:rPr>
        <w:t xml:space="preserve">el </w:t>
      </w:r>
      <w:r w:rsidR="00203FB8">
        <w:rPr>
          <w:lang w:val="es-ES"/>
        </w:rPr>
        <w:t xml:space="preserve">derecho a la vida </w:t>
      </w:r>
      <w:r w:rsidR="00EB5135" w:rsidRPr="00EB5135">
        <w:rPr>
          <w:lang w:val="es-ES"/>
        </w:rPr>
        <w:t xml:space="preserve">debe ser interpretado conforme  el principio </w:t>
      </w:r>
      <w:r w:rsidR="00EB5135" w:rsidRPr="00720D86">
        <w:rPr>
          <w:i/>
          <w:lang w:val="es-ES"/>
        </w:rPr>
        <w:t>pro personae</w:t>
      </w:r>
      <w:r w:rsidR="00EB5135" w:rsidRPr="00EB5135">
        <w:rPr>
          <w:lang w:val="es-ES"/>
        </w:rPr>
        <w:t xml:space="preserve"> que consagra l</w:t>
      </w:r>
      <w:r w:rsidR="00720D86">
        <w:rPr>
          <w:lang w:val="es-ES"/>
        </w:rPr>
        <w:t>a Convención, vale decir</w:t>
      </w:r>
      <w:r w:rsidR="00EB5135" w:rsidRPr="00EB5135">
        <w:rPr>
          <w:lang w:val="es-ES"/>
        </w:rPr>
        <w:t>, de l</w:t>
      </w:r>
      <w:r w:rsidR="00C80176">
        <w:rPr>
          <w:lang w:val="es-ES"/>
        </w:rPr>
        <w:t xml:space="preserve">a manera más extensiva posible. Ello es particularmente necesario y obligatorio </w:t>
      </w:r>
      <w:r w:rsidR="00EB5135" w:rsidRPr="00EB5135">
        <w:rPr>
          <w:lang w:val="es-ES"/>
        </w:rPr>
        <w:t>en cas</w:t>
      </w:r>
      <w:r w:rsidR="00C80176">
        <w:rPr>
          <w:lang w:val="es-ES"/>
        </w:rPr>
        <w:t>os como en el d</w:t>
      </w:r>
      <w:r w:rsidR="00176912">
        <w:rPr>
          <w:lang w:val="es-ES"/>
        </w:rPr>
        <w:t xml:space="preserve">e autos, </w:t>
      </w:r>
      <w:r w:rsidR="008A0B50">
        <w:rPr>
          <w:lang w:val="es-ES"/>
        </w:rPr>
        <w:t xml:space="preserve">en que </w:t>
      </w:r>
      <w:r w:rsidR="000128E1">
        <w:rPr>
          <w:lang w:val="es-ES"/>
        </w:rPr>
        <w:t>el Estado no perseveró en su  posición sostenida</w:t>
      </w:r>
      <w:r w:rsidR="00C80176">
        <w:rPr>
          <w:lang w:val="es-ES"/>
        </w:rPr>
        <w:t xml:space="preserve"> en el </w:t>
      </w:r>
      <w:r w:rsidR="00C80176" w:rsidRPr="00C80176">
        <w:rPr>
          <w:lang w:val="es-ES"/>
        </w:rPr>
        <w:t>Caso Artavia Murillo y Otros (“</w:t>
      </w:r>
      <w:r w:rsidR="00C80176" w:rsidRPr="008F4AEB">
        <w:rPr>
          <w:i/>
          <w:lang w:val="es-ES"/>
        </w:rPr>
        <w:t>Fecundación in Vitro</w:t>
      </w:r>
      <w:r w:rsidR="00C80176" w:rsidRPr="00C80176">
        <w:rPr>
          <w:lang w:val="es-ES"/>
        </w:rPr>
        <w:t xml:space="preserve">”) </w:t>
      </w:r>
      <w:r w:rsidR="00C80176" w:rsidRPr="008A0B50">
        <w:rPr>
          <w:i/>
          <w:lang w:val="es-ES"/>
        </w:rPr>
        <w:t>Vs.</w:t>
      </w:r>
      <w:r w:rsidR="00C80176" w:rsidRPr="00C80176">
        <w:rPr>
          <w:lang w:val="es-ES"/>
        </w:rPr>
        <w:t xml:space="preserve"> Costa Rica</w:t>
      </w:r>
      <w:r w:rsidR="00C80176">
        <w:rPr>
          <w:lang w:val="es-ES"/>
        </w:rPr>
        <w:t xml:space="preserve"> y, por ende, no intentó</w:t>
      </w:r>
      <w:r w:rsidR="00C80176" w:rsidRPr="00C80176">
        <w:rPr>
          <w:lang w:val="es-ES"/>
        </w:rPr>
        <w:t xml:space="preserve"> cambiar la jurisprudencia derivada de</w:t>
      </w:r>
      <w:r w:rsidR="00EE7C26">
        <w:rPr>
          <w:lang w:val="es-ES"/>
        </w:rPr>
        <w:t xml:space="preserve"> la sentencia dictada en dicha causa</w:t>
      </w:r>
      <w:r w:rsidR="00C80176">
        <w:rPr>
          <w:lang w:val="es-ES"/>
        </w:rPr>
        <w:t xml:space="preserve">.  </w:t>
      </w:r>
      <w:r w:rsidR="008A0B50">
        <w:rPr>
          <w:lang w:val="es-ES"/>
        </w:rPr>
        <w:t>Por el contrario, en el caso de autos</w:t>
      </w:r>
      <w:r w:rsidR="00C14296">
        <w:rPr>
          <w:lang w:val="es-ES"/>
        </w:rPr>
        <w:t>,</w:t>
      </w:r>
      <w:r w:rsidR="008A0B50">
        <w:rPr>
          <w:lang w:val="es-ES"/>
        </w:rPr>
        <w:t xml:space="preserve"> optó por reconocer las alegadas violaci</w:t>
      </w:r>
      <w:r w:rsidR="00176912">
        <w:rPr>
          <w:lang w:val="es-ES"/>
        </w:rPr>
        <w:t xml:space="preserve">ones a los derechos humanos y </w:t>
      </w:r>
      <w:r w:rsidR="008A0B50">
        <w:rPr>
          <w:lang w:val="es-ES"/>
        </w:rPr>
        <w:t xml:space="preserve">allanarse a las pretensiones de los peticionarios, variando así su posición original. </w:t>
      </w:r>
      <w:r w:rsidR="00C80176">
        <w:rPr>
          <w:lang w:val="es-ES"/>
        </w:rPr>
        <w:t>De es</w:t>
      </w:r>
      <w:r w:rsidR="00F94266">
        <w:rPr>
          <w:lang w:val="es-ES"/>
        </w:rPr>
        <w:t>e modo</w:t>
      </w:r>
      <w:r w:rsidR="008A0B50">
        <w:rPr>
          <w:lang w:val="es-ES"/>
        </w:rPr>
        <w:t>,</w:t>
      </w:r>
      <w:r w:rsidR="00176912">
        <w:rPr>
          <w:lang w:val="es-ES"/>
        </w:rPr>
        <w:t xml:space="preserve"> en </w:t>
      </w:r>
      <w:r w:rsidR="00C80176">
        <w:rPr>
          <w:lang w:val="es-ES"/>
        </w:rPr>
        <w:t>realidad no hubo un proceso contradictorio</w:t>
      </w:r>
      <w:r w:rsidR="00EC30C3">
        <w:rPr>
          <w:lang w:val="es-ES"/>
        </w:rPr>
        <w:t>, como lo constata la propia Sentencia</w:t>
      </w:r>
      <w:r w:rsidR="00EE2CE1">
        <w:rPr>
          <w:rStyle w:val="FootnoteReference"/>
          <w:lang w:val="es-ES"/>
        </w:rPr>
        <w:footnoteReference w:id="31"/>
      </w:r>
      <w:r w:rsidR="00EC30C3">
        <w:rPr>
          <w:lang w:val="es-ES"/>
        </w:rPr>
        <w:t xml:space="preserve"> y, por ende, </w:t>
      </w:r>
      <w:r w:rsidR="00C80176">
        <w:rPr>
          <w:lang w:val="es-ES"/>
        </w:rPr>
        <w:t xml:space="preserve">nadie defendió el derecho a la vida del </w:t>
      </w:r>
      <w:r w:rsidR="00D539EF">
        <w:rPr>
          <w:lang w:val="es-ES"/>
        </w:rPr>
        <w:t>concebido</w:t>
      </w:r>
      <w:r w:rsidR="000128E1">
        <w:rPr>
          <w:lang w:val="es-ES"/>
        </w:rPr>
        <w:t>, quedando</w:t>
      </w:r>
      <w:r w:rsidR="008F4AEB">
        <w:rPr>
          <w:lang w:val="es-ES"/>
        </w:rPr>
        <w:t xml:space="preserve"> éste</w:t>
      </w:r>
      <w:r w:rsidR="00D539EF">
        <w:rPr>
          <w:lang w:val="es-ES"/>
        </w:rPr>
        <w:t>, pues, en total</w:t>
      </w:r>
      <w:r w:rsidR="00F94266">
        <w:rPr>
          <w:lang w:val="es-ES"/>
        </w:rPr>
        <w:t xml:space="preserve"> </w:t>
      </w:r>
      <w:r w:rsidR="000128E1">
        <w:rPr>
          <w:lang w:val="es-ES"/>
        </w:rPr>
        <w:t>indefensión</w:t>
      </w:r>
      <w:r w:rsidR="00F94266">
        <w:rPr>
          <w:lang w:val="es-ES"/>
        </w:rPr>
        <w:t xml:space="preserve"> y </w:t>
      </w:r>
      <w:r w:rsidR="008A0B50">
        <w:rPr>
          <w:lang w:val="es-ES"/>
        </w:rPr>
        <w:t>vulnerabilidad</w:t>
      </w:r>
      <w:r w:rsidR="005A02B2">
        <w:rPr>
          <w:lang w:val="es-ES"/>
        </w:rPr>
        <w:t>.</w:t>
      </w:r>
    </w:p>
    <w:p w:rsidR="00720D86" w:rsidRPr="009D34EB" w:rsidRDefault="00720D86" w:rsidP="00CD130D">
      <w:pPr>
        <w:jc w:val="both"/>
        <w:rPr>
          <w:color w:val="FF0000"/>
          <w:lang w:val="es-ES"/>
        </w:rPr>
      </w:pPr>
      <w:r>
        <w:rPr>
          <w:lang w:val="es-ES"/>
        </w:rPr>
        <w:t>En mérito de lo expuesto, la homologación dispue</w:t>
      </w:r>
      <w:r w:rsidR="004D49F0">
        <w:rPr>
          <w:lang w:val="es-ES"/>
        </w:rPr>
        <w:t xml:space="preserve">sta por la Sentencia </w:t>
      </w:r>
      <w:r w:rsidR="00C56804">
        <w:rPr>
          <w:lang w:val="es-ES"/>
        </w:rPr>
        <w:t>i</w:t>
      </w:r>
      <w:r>
        <w:rPr>
          <w:lang w:val="es-ES"/>
        </w:rPr>
        <w:t xml:space="preserve">mplica la aceptación de la </w:t>
      </w:r>
      <w:r w:rsidRPr="00720D86">
        <w:rPr>
          <w:i/>
          <w:lang w:val="es-ES"/>
        </w:rPr>
        <w:t>radio decidendi</w:t>
      </w:r>
      <w:r>
        <w:rPr>
          <w:i/>
          <w:lang w:val="es-ES"/>
        </w:rPr>
        <w:t xml:space="preserve"> </w:t>
      </w:r>
      <w:r>
        <w:rPr>
          <w:lang w:val="es-ES"/>
        </w:rPr>
        <w:t xml:space="preserve"> del fallo del </w:t>
      </w:r>
      <w:r w:rsidRPr="00720D86">
        <w:rPr>
          <w:lang w:val="es-ES"/>
        </w:rPr>
        <w:t>Caso Artavia Murillo y Otros (“</w:t>
      </w:r>
      <w:r w:rsidRPr="00720D86">
        <w:rPr>
          <w:i/>
          <w:lang w:val="es-ES"/>
        </w:rPr>
        <w:t>Fecundación in Vitro</w:t>
      </w:r>
      <w:r w:rsidR="00176912">
        <w:rPr>
          <w:lang w:val="es-ES"/>
        </w:rPr>
        <w:t>”) Vs. Costa Rica</w:t>
      </w:r>
      <w:r w:rsidR="00445B35">
        <w:rPr>
          <w:lang w:val="es-ES"/>
        </w:rPr>
        <w:t xml:space="preserve">, </w:t>
      </w:r>
      <w:r w:rsidR="0092691B">
        <w:rPr>
          <w:lang w:val="es-ES"/>
        </w:rPr>
        <w:t>la</w:t>
      </w:r>
      <w:r>
        <w:rPr>
          <w:lang w:val="es-ES"/>
        </w:rPr>
        <w:t xml:space="preserve"> que infrascrito no puede compartir.</w:t>
      </w:r>
      <w:r w:rsidR="009D34EB">
        <w:rPr>
          <w:lang w:val="es-ES"/>
        </w:rPr>
        <w:t xml:space="preserve">  </w:t>
      </w:r>
    </w:p>
    <w:p w:rsidR="00B612EF" w:rsidRPr="004E55D1" w:rsidRDefault="007B1338" w:rsidP="007A541A">
      <w:pPr>
        <w:pStyle w:val="ListParagraph"/>
        <w:numPr>
          <w:ilvl w:val="0"/>
          <w:numId w:val="4"/>
        </w:numPr>
        <w:jc w:val="both"/>
        <w:rPr>
          <w:b/>
          <w:lang w:val="es-ES"/>
        </w:rPr>
      </w:pPr>
      <w:r w:rsidRPr="004E55D1">
        <w:rPr>
          <w:b/>
          <w:u w:val="single"/>
          <w:lang w:val="es-ES"/>
        </w:rPr>
        <w:t>Nuevo Caso</w:t>
      </w:r>
      <w:r w:rsidR="00C31AB1" w:rsidRPr="004E55D1">
        <w:rPr>
          <w:b/>
          <w:lang w:val="es-ES"/>
        </w:rPr>
        <w:t>.</w:t>
      </w:r>
    </w:p>
    <w:p w:rsidR="005B13D5" w:rsidRPr="006C5082" w:rsidRDefault="007A541A" w:rsidP="006C5082">
      <w:pPr>
        <w:jc w:val="both"/>
        <w:rPr>
          <w:lang w:val="es-ES"/>
        </w:rPr>
      </w:pPr>
      <w:r>
        <w:rPr>
          <w:lang w:val="es-ES"/>
        </w:rPr>
        <w:t xml:space="preserve">El segundo motivo por el que </w:t>
      </w:r>
      <w:r w:rsidR="00C31AB1">
        <w:rPr>
          <w:lang w:val="es-ES"/>
        </w:rPr>
        <w:t>se disiente de la</w:t>
      </w:r>
      <w:r w:rsidR="00176912">
        <w:rPr>
          <w:lang w:val="es-ES"/>
        </w:rPr>
        <w:t xml:space="preserve"> Sentencia que homologa </w:t>
      </w:r>
      <w:r>
        <w:rPr>
          <w:lang w:val="es-ES"/>
        </w:rPr>
        <w:t xml:space="preserve">el </w:t>
      </w:r>
      <w:r w:rsidR="00C31AB1">
        <w:rPr>
          <w:lang w:val="es-ES"/>
        </w:rPr>
        <w:t xml:space="preserve">Acuerdo de Solución Amistosa, </w:t>
      </w:r>
      <w:r>
        <w:rPr>
          <w:lang w:val="es-ES"/>
        </w:rPr>
        <w:t xml:space="preserve">es que éste </w:t>
      </w:r>
      <w:r w:rsidR="00EE7C26">
        <w:rPr>
          <w:lang w:val="es-ES"/>
        </w:rPr>
        <w:t>se refiere</w:t>
      </w:r>
      <w:r w:rsidR="00C31AB1">
        <w:rPr>
          <w:lang w:val="es-ES"/>
        </w:rPr>
        <w:t xml:space="preserve"> a un </w:t>
      </w:r>
      <w:r w:rsidR="007B1338">
        <w:rPr>
          <w:lang w:val="es-ES"/>
        </w:rPr>
        <w:t xml:space="preserve">nuevo </w:t>
      </w:r>
      <w:r w:rsidR="00C31AB1">
        <w:rPr>
          <w:lang w:val="es-ES"/>
        </w:rPr>
        <w:t>caso</w:t>
      </w:r>
      <w:r w:rsidR="007B1338">
        <w:rPr>
          <w:lang w:val="es-ES"/>
        </w:rPr>
        <w:t>,</w:t>
      </w:r>
      <w:r w:rsidR="00C31AB1">
        <w:rPr>
          <w:lang w:val="es-ES"/>
        </w:rPr>
        <w:t xml:space="preserve"> distinto</w:t>
      </w:r>
      <w:r w:rsidR="0092691B">
        <w:rPr>
          <w:lang w:val="es-ES"/>
        </w:rPr>
        <w:t xml:space="preserve"> del que conoce</w:t>
      </w:r>
      <w:r>
        <w:rPr>
          <w:lang w:val="es-ES"/>
        </w:rPr>
        <w:t xml:space="preserve"> la Corte</w:t>
      </w:r>
      <w:r w:rsidR="00EE7C26">
        <w:rPr>
          <w:lang w:val="es-ES"/>
        </w:rPr>
        <w:t xml:space="preserve"> en autos</w:t>
      </w:r>
      <w:r w:rsidR="00C31AB1">
        <w:rPr>
          <w:lang w:val="es-ES"/>
        </w:rPr>
        <w:t xml:space="preserve">, </w:t>
      </w:r>
      <w:r>
        <w:rPr>
          <w:lang w:val="es-ES"/>
        </w:rPr>
        <w:t>dado que tiene</w:t>
      </w:r>
      <w:r w:rsidR="00EE7C26">
        <w:rPr>
          <w:lang w:val="es-ES"/>
        </w:rPr>
        <w:t xml:space="preserve"> diferente l</w:t>
      </w:r>
      <w:r>
        <w:rPr>
          <w:lang w:val="es-ES"/>
        </w:rPr>
        <w:t>a</w:t>
      </w:r>
      <w:r w:rsidR="00C31AB1">
        <w:rPr>
          <w:lang w:val="es-ES"/>
        </w:rPr>
        <w:t xml:space="preserve"> </w:t>
      </w:r>
      <w:r w:rsidR="00C31AB1" w:rsidRPr="00EB58B4">
        <w:rPr>
          <w:i/>
          <w:lang w:val="es-ES"/>
        </w:rPr>
        <w:t>causa petendi</w:t>
      </w:r>
      <w:r w:rsidR="00C31AB1">
        <w:rPr>
          <w:lang w:val="es-ES"/>
        </w:rPr>
        <w:t xml:space="preserve"> y</w:t>
      </w:r>
      <w:r w:rsidR="00EB58B4">
        <w:rPr>
          <w:lang w:val="es-ES"/>
        </w:rPr>
        <w:t xml:space="preserve"> </w:t>
      </w:r>
      <w:r w:rsidR="00EE7C26">
        <w:rPr>
          <w:lang w:val="es-ES"/>
        </w:rPr>
        <w:t>l</w:t>
      </w:r>
      <w:r>
        <w:rPr>
          <w:lang w:val="es-ES"/>
        </w:rPr>
        <w:t xml:space="preserve">a </w:t>
      </w:r>
      <w:r w:rsidR="00EB58B4">
        <w:rPr>
          <w:lang w:val="es-ES"/>
        </w:rPr>
        <w:t>pretensión</w:t>
      </w:r>
      <w:r w:rsidR="00EE7C26">
        <w:rPr>
          <w:lang w:val="es-ES"/>
        </w:rPr>
        <w:t xml:space="preserve"> correspondiente</w:t>
      </w:r>
      <w:r w:rsidR="00600BE4">
        <w:rPr>
          <w:lang w:val="es-ES"/>
        </w:rPr>
        <w:t xml:space="preserve"> y</w:t>
      </w:r>
      <w:r w:rsidR="0092691B">
        <w:rPr>
          <w:lang w:val="es-ES"/>
        </w:rPr>
        <w:t xml:space="preserve">, por ende, a su respecto </w:t>
      </w:r>
      <w:r w:rsidR="00A84648">
        <w:rPr>
          <w:lang w:val="es-ES"/>
        </w:rPr>
        <w:t xml:space="preserve">debe aplicarse </w:t>
      </w:r>
      <w:r w:rsidR="00600BE4">
        <w:rPr>
          <w:lang w:val="es-ES"/>
        </w:rPr>
        <w:t>el principio de la coadyuvancia o complementariedad</w:t>
      </w:r>
      <w:r w:rsidR="007A4C28">
        <w:rPr>
          <w:lang w:val="es-ES"/>
        </w:rPr>
        <w:t>.</w:t>
      </w:r>
    </w:p>
    <w:p w:rsidR="007A541A" w:rsidRPr="004E55D1" w:rsidRDefault="007A541A" w:rsidP="007A541A">
      <w:pPr>
        <w:pStyle w:val="ListParagraph"/>
        <w:numPr>
          <w:ilvl w:val="0"/>
          <w:numId w:val="6"/>
        </w:numPr>
        <w:jc w:val="both"/>
        <w:rPr>
          <w:b/>
          <w:lang w:val="es-ES"/>
        </w:rPr>
      </w:pPr>
      <w:r w:rsidRPr="004E55D1">
        <w:rPr>
          <w:b/>
          <w:i/>
          <w:lang w:val="es-ES"/>
        </w:rPr>
        <w:t>Causa pretendi</w:t>
      </w:r>
      <w:r w:rsidRPr="004E55D1">
        <w:rPr>
          <w:b/>
          <w:lang w:val="es-ES"/>
        </w:rPr>
        <w:t>.</w:t>
      </w:r>
    </w:p>
    <w:p w:rsidR="00EE7C26" w:rsidRDefault="00EB58B4" w:rsidP="007A541A">
      <w:pPr>
        <w:jc w:val="both"/>
        <w:rPr>
          <w:lang w:val="es-ES"/>
        </w:rPr>
      </w:pPr>
      <w:r w:rsidRPr="007A541A">
        <w:rPr>
          <w:lang w:val="es-ES"/>
        </w:rPr>
        <w:t>E</w:t>
      </w:r>
      <w:r w:rsidR="00D35F9B" w:rsidRPr="007A541A">
        <w:rPr>
          <w:lang w:val="es-ES"/>
        </w:rPr>
        <w:t>n lo atinente</w:t>
      </w:r>
      <w:r w:rsidRPr="007A541A">
        <w:rPr>
          <w:lang w:val="es-ES"/>
        </w:rPr>
        <w:t xml:space="preserve"> a la </w:t>
      </w:r>
      <w:r w:rsidRPr="007A541A">
        <w:rPr>
          <w:i/>
          <w:lang w:val="es-ES"/>
        </w:rPr>
        <w:t>causa petendi</w:t>
      </w:r>
      <w:r w:rsidR="00D35F9B" w:rsidRPr="007A541A">
        <w:rPr>
          <w:lang w:val="es-ES"/>
        </w:rPr>
        <w:t xml:space="preserve">, procede llamar la atención, primeramente, acerca de que el </w:t>
      </w:r>
      <w:r w:rsidR="0084597F" w:rsidRPr="0084597F">
        <w:rPr>
          <w:lang w:val="es-ES"/>
        </w:rPr>
        <w:t xml:space="preserve">Caso Gómez Murillo y Otros </w:t>
      </w:r>
      <w:r w:rsidR="0084597F" w:rsidRPr="0092691B">
        <w:rPr>
          <w:i/>
          <w:lang w:val="es-ES"/>
        </w:rPr>
        <w:t>Vs</w:t>
      </w:r>
      <w:r w:rsidR="0084597F" w:rsidRPr="0084597F">
        <w:rPr>
          <w:lang w:val="es-ES"/>
        </w:rPr>
        <w:t xml:space="preserve">. Costa Rica </w:t>
      </w:r>
      <w:r w:rsidR="00830C79" w:rsidRPr="00830C79">
        <w:rPr>
          <w:lang w:val="es-ES"/>
        </w:rPr>
        <w:t>se ref</w:t>
      </w:r>
      <w:r w:rsidR="00D155E3">
        <w:rPr>
          <w:lang w:val="es-ES"/>
        </w:rPr>
        <w:t xml:space="preserve">iere </w:t>
      </w:r>
      <w:r w:rsidR="002A1503">
        <w:rPr>
          <w:lang w:val="es-ES"/>
        </w:rPr>
        <w:t>“</w:t>
      </w:r>
      <w:r w:rsidR="00830C79" w:rsidRPr="00830C79">
        <w:rPr>
          <w:lang w:val="es-ES"/>
        </w:rPr>
        <w:t xml:space="preserve">a las violaciones de los derechos a la integridad personal, libertad personal, vida privada y familiar, a fundar una familia y a la igualdad y no discriminación, ocurridas como consecuencia de la prohibición general de practicar la técnica de reproducción asistida de la fecundación </w:t>
      </w:r>
      <w:r w:rsidR="00830C79" w:rsidRPr="00EC30C3">
        <w:rPr>
          <w:i/>
          <w:lang w:val="es-ES"/>
        </w:rPr>
        <w:t>in vitro</w:t>
      </w:r>
      <w:r w:rsidR="00830C79" w:rsidRPr="00830C79">
        <w:rPr>
          <w:lang w:val="es-ES"/>
        </w:rPr>
        <w:t xml:space="preserve"> (en adelante también “FIV”) que estuvo vigente en Costa Rica desde el año 2000, después de una decisión emitida por la Sala Constitucional de la Corte Suprema de Justicia (en adelante también “Sala Constitucional”) de dicho país, en perjuicio</w:t>
      </w:r>
      <w:r w:rsidR="00176912">
        <w:rPr>
          <w:lang w:val="es-ES"/>
        </w:rPr>
        <w:t xml:space="preserve">” </w:t>
      </w:r>
      <w:r w:rsidR="00830C79">
        <w:rPr>
          <w:lang w:val="es-ES"/>
        </w:rPr>
        <w:t>de las personas que señala</w:t>
      </w:r>
      <w:r w:rsidR="00830C79">
        <w:rPr>
          <w:rStyle w:val="FootnoteReference"/>
          <w:lang w:val="es-ES"/>
        </w:rPr>
        <w:footnoteReference w:id="32"/>
      </w:r>
      <w:r w:rsidR="00830C79">
        <w:rPr>
          <w:lang w:val="es-ES"/>
        </w:rPr>
        <w:t>.</w:t>
      </w:r>
      <w:r w:rsidR="00EE7C26">
        <w:rPr>
          <w:lang w:val="es-ES"/>
        </w:rPr>
        <w:t xml:space="preserve"> </w:t>
      </w:r>
    </w:p>
    <w:p w:rsidR="0096606E" w:rsidRDefault="002005B6" w:rsidP="007A541A">
      <w:pPr>
        <w:jc w:val="both"/>
        <w:rPr>
          <w:lang w:val="es-ES"/>
        </w:rPr>
      </w:pPr>
      <w:r w:rsidRPr="007A541A">
        <w:rPr>
          <w:lang w:val="es-ES"/>
        </w:rPr>
        <w:t xml:space="preserve">Y </w:t>
      </w:r>
      <w:r w:rsidR="00830C79">
        <w:rPr>
          <w:lang w:val="es-ES"/>
        </w:rPr>
        <w:t>p</w:t>
      </w:r>
      <w:r w:rsidR="00D155E3">
        <w:rPr>
          <w:lang w:val="es-ES"/>
        </w:rPr>
        <w:t xml:space="preserve">or lo mismo, </w:t>
      </w:r>
      <w:r w:rsidR="00904DDD">
        <w:rPr>
          <w:lang w:val="es-ES"/>
        </w:rPr>
        <w:t xml:space="preserve">la Comisión solicita a la Corte que </w:t>
      </w:r>
      <w:r w:rsidR="00904DDD" w:rsidRPr="00904DDD">
        <w:rPr>
          <w:lang w:val="es-ES"/>
        </w:rPr>
        <w:t>“declarara la responsabilidad internacional del Estado por las violaciones señaladas en Informe de Fondo Nº 1/15 y se ordenara a Costa Rica, como medidas de reparación, las recomendaciones contenidas en dicho Informe”</w:t>
      </w:r>
      <w:r w:rsidR="00904DDD">
        <w:rPr>
          <w:lang w:val="es-ES"/>
        </w:rPr>
        <w:t>,</w:t>
      </w:r>
      <w:r w:rsidR="00904DDD" w:rsidRPr="00904DDD">
        <w:rPr>
          <w:lang w:val="es-ES"/>
        </w:rPr>
        <w:t xml:space="preserve">  </w:t>
      </w:r>
      <w:r w:rsidR="00904DDD">
        <w:rPr>
          <w:lang w:val="es-ES"/>
        </w:rPr>
        <w:t xml:space="preserve">la primera de las cuales es </w:t>
      </w:r>
      <w:r w:rsidR="00830C79">
        <w:rPr>
          <w:lang w:val="es-ES"/>
        </w:rPr>
        <w:t>que ordene</w:t>
      </w:r>
      <w:r w:rsidR="00176912">
        <w:rPr>
          <w:lang w:val="es-ES"/>
        </w:rPr>
        <w:t xml:space="preserve"> </w:t>
      </w:r>
      <w:r w:rsidR="00634D90">
        <w:rPr>
          <w:lang w:val="es-ES"/>
        </w:rPr>
        <w:t>“</w:t>
      </w:r>
      <w:r w:rsidR="00830C79">
        <w:rPr>
          <w:lang w:val="es-ES"/>
        </w:rPr>
        <w:t xml:space="preserve">(l)evantar </w:t>
      </w:r>
      <w:r w:rsidR="00830C79" w:rsidRPr="00830C79">
        <w:rPr>
          <w:lang w:val="es-ES"/>
        </w:rPr>
        <w:t xml:space="preserve"> la prohibición de la fecundación in vitro en el país</w:t>
      </w:r>
      <w:r w:rsidR="001D6116">
        <w:rPr>
          <w:lang w:val="es-ES"/>
        </w:rPr>
        <w:t xml:space="preserve"> a través de los procedimientos </w:t>
      </w:r>
      <w:r w:rsidR="00830C79" w:rsidRPr="00830C79">
        <w:rPr>
          <w:lang w:val="es-ES"/>
        </w:rPr>
        <w:t xml:space="preserve">legales </w:t>
      </w:r>
      <w:r w:rsidR="00830C79" w:rsidRPr="00830C79">
        <w:rPr>
          <w:lang w:val="es-ES"/>
        </w:rPr>
        <w:lastRenderedPageBreak/>
        <w:t>correspondientes</w:t>
      </w:r>
      <w:r w:rsidR="00830C79">
        <w:rPr>
          <w:lang w:val="es-ES"/>
        </w:rPr>
        <w:t>”</w:t>
      </w:r>
      <w:r w:rsidR="00830C79">
        <w:rPr>
          <w:rStyle w:val="FootnoteReference"/>
          <w:lang w:val="es-ES"/>
        </w:rPr>
        <w:footnoteReference w:id="33"/>
      </w:r>
      <w:r w:rsidR="00A237E7">
        <w:rPr>
          <w:lang w:val="es-ES"/>
        </w:rPr>
        <w:t xml:space="preserve">. </w:t>
      </w:r>
      <w:r w:rsidR="00630A17" w:rsidRPr="007A541A">
        <w:rPr>
          <w:lang w:val="es-ES"/>
        </w:rPr>
        <w:t>De modo, entonces, que</w:t>
      </w:r>
      <w:r w:rsidR="001D6116">
        <w:rPr>
          <w:lang w:val="es-ES"/>
        </w:rPr>
        <w:t>,</w:t>
      </w:r>
      <w:r w:rsidR="00630A17" w:rsidRPr="007A541A">
        <w:rPr>
          <w:lang w:val="es-ES"/>
        </w:rPr>
        <w:t xml:space="preserve"> a la fecha del sometimiento del caso a</w:t>
      </w:r>
      <w:r w:rsidR="001D6116">
        <w:rPr>
          <w:lang w:val="es-ES"/>
        </w:rPr>
        <w:t>nte la Corte, esto es, el 18 de enero de 2016, aquél</w:t>
      </w:r>
      <w:r w:rsidR="001D6116" w:rsidRPr="001D6116">
        <w:rPr>
          <w:lang w:val="es-ES"/>
        </w:rPr>
        <w:t xml:space="preserve"> tenía por causa la vigencia, en ese momento, de la citada prohibición de practicar la fecundación </w:t>
      </w:r>
      <w:r w:rsidR="001D6116" w:rsidRPr="00471768">
        <w:rPr>
          <w:i/>
          <w:lang w:val="es-ES"/>
        </w:rPr>
        <w:t>in vitro</w:t>
      </w:r>
      <w:r w:rsidR="001D6116" w:rsidRPr="001D6116">
        <w:rPr>
          <w:lang w:val="es-ES"/>
        </w:rPr>
        <w:t xml:space="preserve">. </w:t>
      </w:r>
    </w:p>
    <w:p w:rsidR="00C30445" w:rsidRDefault="00C30445" w:rsidP="00BE50AE">
      <w:pPr>
        <w:jc w:val="both"/>
        <w:rPr>
          <w:lang w:val="es-ES"/>
        </w:rPr>
      </w:pPr>
      <w:r>
        <w:rPr>
          <w:lang w:val="es-ES"/>
        </w:rPr>
        <w:t xml:space="preserve">Por el contrario, </w:t>
      </w:r>
      <w:r w:rsidR="005B4CFC">
        <w:rPr>
          <w:lang w:val="es-ES"/>
        </w:rPr>
        <w:t>el Acuerdo de Solución Ami</w:t>
      </w:r>
      <w:r>
        <w:rPr>
          <w:lang w:val="es-ES"/>
        </w:rPr>
        <w:t xml:space="preserve">stosa </w:t>
      </w:r>
      <w:r w:rsidR="00A66767" w:rsidRPr="00BE50AE">
        <w:rPr>
          <w:lang w:val="es-ES"/>
        </w:rPr>
        <w:t>dice relación</w:t>
      </w:r>
      <w:r w:rsidR="004F0E4B" w:rsidRPr="00BE50AE">
        <w:rPr>
          <w:lang w:val="es-ES"/>
        </w:rPr>
        <w:t xml:space="preserve"> más bien</w:t>
      </w:r>
      <w:r w:rsidR="00F35825" w:rsidRPr="00BE50AE">
        <w:rPr>
          <w:lang w:val="es-ES"/>
        </w:rPr>
        <w:t xml:space="preserve"> con “reconocer que el tiempo transcurrido desde la emisión de la sentencia de la Sala Constitucional de Costa Rica … del 15 de marzo de 2000 hasta el 11 de septiembre de 2015, fecha en que se emite el Decreto Ejecutivo 39210-MP-S, … ha generado la vulneración de los derechos humanos de las parejas actoras de este caso”</w:t>
      </w:r>
      <w:r w:rsidR="00F35825">
        <w:rPr>
          <w:rStyle w:val="FootnoteReference"/>
          <w:lang w:val="es-ES"/>
        </w:rPr>
        <w:footnoteReference w:id="34"/>
      </w:r>
      <w:r w:rsidR="00806F28" w:rsidRPr="00BE50AE">
        <w:rPr>
          <w:lang w:val="es-ES"/>
        </w:rPr>
        <w:t>.</w:t>
      </w:r>
      <w:r>
        <w:rPr>
          <w:lang w:val="es-ES"/>
        </w:rPr>
        <w:t xml:space="preserve"> </w:t>
      </w:r>
    </w:p>
    <w:p w:rsidR="00B80EC3" w:rsidRPr="00BE50AE" w:rsidRDefault="00C30445" w:rsidP="00BE50AE">
      <w:pPr>
        <w:jc w:val="both"/>
        <w:rPr>
          <w:lang w:val="es-ES"/>
        </w:rPr>
      </w:pPr>
      <w:r>
        <w:rPr>
          <w:lang w:val="es-ES"/>
        </w:rPr>
        <w:t xml:space="preserve">Lo anterior se debe, sin duda, a </w:t>
      </w:r>
      <w:r w:rsidRPr="00C30445">
        <w:rPr>
          <w:lang w:val="es-ES"/>
        </w:rPr>
        <w:t xml:space="preserve">que el 11 de septiembre de 2015 había entrado en vigencia el Decreto Ejecutivo No. 39210-MP-S, denominado “Autorización para la realización de la técnica de reproducción asistida de fecundación </w:t>
      </w:r>
      <w:r w:rsidRPr="0084597F">
        <w:rPr>
          <w:i/>
          <w:lang w:val="es-ES"/>
        </w:rPr>
        <w:t>in vitro</w:t>
      </w:r>
      <w:r w:rsidRPr="00C30445">
        <w:rPr>
          <w:lang w:val="es-ES"/>
        </w:rPr>
        <w:t xml:space="preserve"> y transferencia embrionaria”, emitido por el Presidente de la República y los Ministros de la Presidencia y de Salud de Costa Rica, y que levantó la antes referida prohibición; y que, por resolución de la Sala Constitucional de la Corte Suprema de Justicia de dicho Estado, de fecha 7 de octubre de 2015, el señalado Decreto Ejecutivo había </w:t>
      </w:r>
      <w:r w:rsidR="00007692">
        <w:rPr>
          <w:lang w:val="es-ES"/>
        </w:rPr>
        <w:t>sido suspendido, más no anulado</w:t>
      </w:r>
      <w:r w:rsidRPr="00C30445">
        <w:rPr>
          <w:lang w:val="es-ES"/>
        </w:rPr>
        <w:t>.</w:t>
      </w:r>
    </w:p>
    <w:p w:rsidR="00CC2DCE" w:rsidRDefault="00C30445" w:rsidP="00056E6D">
      <w:pPr>
        <w:jc w:val="both"/>
        <w:rPr>
          <w:lang w:val="es-ES"/>
        </w:rPr>
      </w:pPr>
      <w:r>
        <w:rPr>
          <w:lang w:val="es-ES"/>
        </w:rPr>
        <w:t xml:space="preserve">Y así, entonces, mientras las reparaciones </w:t>
      </w:r>
      <w:r w:rsidR="00176912">
        <w:rPr>
          <w:lang w:val="es-ES"/>
        </w:rPr>
        <w:t xml:space="preserve">que </w:t>
      </w:r>
      <w:r>
        <w:rPr>
          <w:lang w:val="es-ES"/>
        </w:rPr>
        <w:t>se reclamaban en autos</w:t>
      </w:r>
      <w:r w:rsidR="00CC2DCE">
        <w:rPr>
          <w:lang w:val="es-ES"/>
        </w:rPr>
        <w:t xml:space="preserve"> </w:t>
      </w:r>
      <w:r>
        <w:rPr>
          <w:lang w:val="es-ES"/>
        </w:rPr>
        <w:t xml:space="preserve">lo fueron </w:t>
      </w:r>
      <w:r w:rsidR="00CC2DCE">
        <w:rPr>
          <w:lang w:val="es-ES"/>
        </w:rPr>
        <w:t xml:space="preserve">en vista de la vigencia de la prohibición de practicar la fecundación </w:t>
      </w:r>
      <w:r w:rsidR="00CC2DCE" w:rsidRPr="00010096">
        <w:rPr>
          <w:i/>
          <w:lang w:val="es-ES"/>
        </w:rPr>
        <w:t>in vitro</w:t>
      </w:r>
      <w:r w:rsidR="00CC2DCE">
        <w:rPr>
          <w:lang w:val="es-ES"/>
        </w:rPr>
        <w:t>, las que se contemplan en el Acuerdo de Solución Amistosa que se homologa encuentran su fundamento</w:t>
      </w:r>
      <w:r w:rsidR="00212198">
        <w:rPr>
          <w:rStyle w:val="FootnoteReference"/>
          <w:lang w:val="es-ES"/>
        </w:rPr>
        <w:footnoteReference w:id="35"/>
      </w:r>
      <w:r w:rsidR="00CC2DCE">
        <w:rPr>
          <w:lang w:val="es-ES"/>
        </w:rPr>
        <w:t xml:space="preserve"> en el fallo que la Corte emitió en el </w:t>
      </w:r>
      <w:r w:rsidR="00645E22" w:rsidRPr="00645E22">
        <w:rPr>
          <w:lang w:val="es-ES"/>
        </w:rPr>
        <w:t>Caso Artavia Murillo y Otros (“</w:t>
      </w:r>
      <w:r w:rsidR="00645E22" w:rsidRPr="008F4AEB">
        <w:rPr>
          <w:i/>
          <w:lang w:val="es-ES"/>
        </w:rPr>
        <w:t>Fecundación in Vitro</w:t>
      </w:r>
      <w:r w:rsidR="00176912">
        <w:rPr>
          <w:lang w:val="es-ES"/>
        </w:rPr>
        <w:t>”) Vs. Costa Rica</w:t>
      </w:r>
      <w:r w:rsidR="00CC2DCE">
        <w:rPr>
          <w:lang w:val="es-ES"/>
        </w:rPr>
        <w:t>, del 28 de noviembre del 2012</w:t>
      </w:r>
      <w:r w:rsidR="00D82E6F">
        <w:rPr>
          <w:lang w:val="es-ES"/>
        </w:rPr>
        <w:t xml:space="preserve"> y </w:t>
      </w:r>
      <w:r w:rsidR="00CC2DCE">
        <w:rPr>
          <w:lang w:val="es-ES"/>
        </w:rPr>
        <w:t>en la</w:t>
      </w:r>
      <w:r w:rsidR="00D82E6F">
        <w:rPr>
          <w:lang w:val="es-ES"/>
        </w:rPr>
        <w:t xml:space="preserve"> Resolución sobre Supervisión de Cumplimiento de Sentencia de dicho caso</w:t>
      </w:r>
      <w:r w:rsidR="00D82E6F">
        <w:rPr>
          <w:rStyle w:val="FootnoteReference"/>
          <w:lang w:val="es-ES"/>
        </w:rPr>
        <w:footnoteReference w:id="36"/>
      </w:r>
      <w:r w:rsidR="005E4DF7">
        <w:rPr>
          <w:lang w:val="es-ES"/>
        </w:rPr>
        <w:t xml:space="preserve"> </w:t>
      </w:r>
      <w:r w:rsidR="005E4DF7">
        <w:rPr>
          <w:rStyle w:val="FootnoteReference"/>
          <w:lang w:val="es-ES"/>
        </w:rPr>
        <w:footnoteReference w:id="37"/>
      </w:r>
      <w:r w:rsidR="00D82E6F">
        <w:rPr>
          <w:lang w:val="es-ES"/>
        </w:rPr>
        <w:t>.</w:t>
      </w:r>
    </w:p>
    <w:p w:rsidR="0078550D" w:rsidRDefault="0078550D" w:rsidP="00056E6D">
      <w:pPr>
        <w:jc w:val="both"/>
        <w:rPr>
          <w:lang w:val="es-ES"/>
        </w:rPr>
      </w:pPr>
      <w:r>
        <w:rPr>
          <w:lang w:val="es-ES"/>
        </w:rPr>
        <w:t xml:space="preserve">A mayor abundamiento, </w:t>
      </w:r>
      <w:r w:rsidR="00C30445">
        <w:rPr>
          <w:lang w:val="es-ES"/>
        </w:rPr>
        <w:t xml:space="preserve">se debe tener presente que la propia </w:t>
      </w:r>
      <w:r>
        <w:rPr>
          <w:lang w:val="es-ES"/>
        </w:rPr>
        <w:t>Sentencia t</w:t>
      </w:r>
      <w:r w:rsidR="00916F1A">
        <w:rPr>
          <w:lang w:val="es-ES"/>
        </w:rPr>
        <w:t xml:space="preserve">ácitamente reconoce que </w:t>
      </w:r>
      <w:r>
        <w:rPr>
          <w:lang w:val="es-ES"/>
        </w:rPr>
        <w:t>son d</w:t>
      </w:r>
      <w:r w:rsidR="00176912">
        <w:rPr>
          <w:lang w:val="es-ES"/>
        </w:rPr>
        <w:t xml:space="preserve">os casos diferentes al señalar </w:t>
      </w:r>
      <w:r>
        <w:rPr>
          <w:lang w:val="es-ES"/>
        </w:rPr>
        <w:t>que “</w:t>
      </w:r>
      <w:r w:rsidRPr="0078550D">
        <w:rPr>
          <w:lang w:val="es-ES"/>
        </w:rPr>
        <w:t>homologa</w:t>
      </w:r>
      <w:r>
        <w:rPr>
          <w:lang w:val="es-ES"/>
        </w:rPr>
        <w:t xml:space="preserve">” el Acuerdo de Solución Amistosa </w:t>
      </w:r>
      <w:r w:rsidR="00D65CED">
        <w:rPr>
          <w:lang w:val="es-ES"/>
        </w:rPr>
        <w:t>que incluye la violación al artículo 4.1 de la Convención, no contemplada, empero,  en el fallo del C</w:t>
      </w:r>
      <w:r w:rsidRPr="0078550D">
        <w:rPr>
          <w:lang w:val="es-ES"/>
        </w:rPr>
        <w:t>aso Artavia Murillo y otros</w:t>
      </w:r>
      <w:r w:rsidR="00A84648">
        <w:rPr>
          <w:lang w:val="es-ES"/>
        </w:rPr>
        <w:t xml:space="preserve"> </w:t>
      </w:r>
      <w:r w:rsidR="008F4AEB" w:rsidRPr="008F4AEB">
        <w:rPr>
          <w:lang w:val="es-ES"/>
        </w:rPr>
        <w:t>(“</w:t>
      </w:r>
      <w:r w:rsidR="008F4AEB" w:rsidRPr="00A84648">
        <w:rPr>
          <w:i/>
          <w:lang w:val="es-ES"/>
        </w:rPr>
        <w:t>Fecundación in Vitro</w:t>
      </w:r>
      <w:r w:rsidR="008F4AEB" w:rsidRPr="008F4AEB">
        <w:rPr>
          <w:lang w:val="es-ES"/>
        </w:rPr>
        <w:t xml:space="preserve">”) </w:t>
      </w:r>
      <w:r w:rsidRPr="0078550D">
        <w:rPr>
          <w:lang w:val="es-ES"/>
        </w:rPr>
        <w:t xml:space="preserve"> </w:t>
      </w:r>
      <w:r w:rsidR="008F4AEB">
        <w:rPr>
          <w:i/>
          <w:lang w:val="es-ES"/>
        </w:rPr>
        <w:t>V</w:t>
      </w:r>
      <w:r w:rsidRPr="005C1BAA">
        <w:rPr>
          <w:i/>
          <w:lang w:val="es-ES"/>
        </w:rPr>
        <w:t>s</w:t>
      </w:r>
      <w:r w:rsidRPr="0078550D">
        <w:rPr>
          <w:lang w:val="es-ES"/>
        </w:rPr>
        <w:t>. Costa Rica</w:t>
      </w:r>
      <w:r>
        <w:rPr>
          <w:rStyle w:val="FootnoteReference"/>
          <w:lang w:val="es-ES"/>
        </w:rPr>
        <w:footnoteReference w:id="38"/>
      </w:r>
      <w:r w:rsidR="00176912">
        <w:rPr>
          <w:lang w:val="es-ES"/>
        </w:rPr>
        <w:t>.</w:t>
      </w:r>
    </w:p>
    <w:p w:rsidR="007A4C28" w:rsidRDefault="005E4DF7" w:rsidP="006C5082">
      <w:pPr>
        <w:jc w:val="both"/>
        <w:rPr>
          <w:lang w:val="es-ES"/>
        </w:rPr>
      </w:pPr>
      <w:r>
        <w:rPr>
          <w:lang w:val="es-ES"/>
        </w:rPr>
        <w:t>No solo, por lo t</w:t>
      </w:r>
      <w:r w:rsidR="00176912">
        <w:rPr>
          <w:lang w:val="es-ES"/>
        </w:rPr>
        <w:t xml:space="preserve">anto, hay una clara diferencia </w:t>
      </w:r>
      <w:r>
        <w:rPr>
          <w:lang w:val="es-ES"/>
        </w:rPr>
        <w:t xml:space="preserve">en lo atingente a la </w:t>
      </w:r>
      <w:r w:rsidRPr="005E4DF7">
        <w:rPr>
          <w:i/>
          <w:lang w:val="es-ES"/>
        </w:rPr>
        <w:t>causa petendi</w:t>
      </w:r>
      <w:r>
        <w:rPr>
          <w:lang w:val="es-ES"/>
        </w:rPr>
        <w:t xml:space="preserve"> en el caso de autos y al fundamento del Acuerdo de Solución Amistosa, sino que también difieren en la </w:t>
      </w:r>
      <w:r w:rsidRPr="00DB672A">
        <w:rPr>
          <w:i/>
          <w:lang w:val="es-ES"/>
        </w:rPr>
        <w:t>pretensión</w:t>
      </w:r>
      <w:r w:rsidR="00176912">
        <w:rPr>
          <w:lang w:val="es-ES"/>
        </w:rPr>
        <w:t xml:space="preserve"> que se </w:t>
      </w:r>
      <w:r w:rsidR="00176912">
        <w:rPr>
          <w:lang w:val="es-ES"/>
        </w:rPr>
        <w:lastRenderedPageBreak/>
        <w:t xml:space="preserve">perseguía en aquél </w:t>
      </w:r>
      <w:r>
        <w:rPr>
          <w:lang w:val="es-ES"/>
        </w:rPr>
        <w:t>y en el que se contempla en éste. Se trata, pues, de dos casos distintos, uno que fue sometido a la jurisdicción de la Corte y el otro que emerge a partir d</w:t>
      </w:r>
      <w:r w:rsidR="008F4AEB">
        <w:rPr>
          <w:lang w:val="es-ES"/>
        </w:rPr>
        <w:t xml:space="preserve">e la sentencia dictada </w:t>
      </w:r>
      <w:r>
        <w:rPr>
          <w:lang w:val="es-ES"/>
        </w:rPr>
        <w:t xml:space="preserve">en el </w:t>
      </w:r>
      <w:r w:rsidR="00645E22" w:rsidRPr="00645E22">
        <w:rPr>
          <w:lang w:val="es-ES"/>
        </w:rPr>
        <w:t>Caso Artavia Murillo y Otros (“</w:t>
      </w:r>
      <w:r w:rsidR="00645E22" w:rsidRPr="00075208">
        <w:rPr>
          <w:i/>
          <w:lang w:val="es-ES"/>
        </w:rPr>
        <w:t>Fecundación in Vitro</w:t>
      </w:r>
      <w:r w:rsidR="00645E22" w:rsidRPr="00645E22">
        <w:rPr>
          <w:lang w:val="es-ES"/>
        </w:rPr>
        <w:t xml:space="preserve">”) </w:t>
      </w:r>
      <w:r w:rsidR="00645E22" w:rsidRPr="00A84648">
        <w:rPr>
          <w:i/>
          <w:lang w:val="es-ES"/>
        </w:rPr>
        <w:t>Vs</w:t>
      </w:r>
      <w:r w:rsidR="00645E22" w:rsidRPr="00645E22">
        <w:rPr>
          <w:lang w:val="es-ES"/>
        </w:rPr>
        <w:t>. Costa Rica ,</w:t>
      </w:r>
      <w:r w:rsidR="00DB672A">
        <w:rPr>
          <w:lang w:val="es-ES"/>
        </w:rPr>
        <w:t>y que</w:t>
      </w:r>
      <w:r w:rsidR="00E21287">
        <w:rPr>
          <w:lang w:val="es-ES"/>
        </w:rPr>
        <w:t xml:space="preserve">, por lo tanto, </w:t>
      </w:r>
      <w:r w:rsidR="00DB672A">
        <w:rPr>
          <w:lang w:val="es-ES"/>
        </w:rPr>
        <w:t xml:space="preserve"> no ha sido conocido por ella.</w:t>
      </w:r>
    </w:p>
    <w:p w:rsidR="005C325D" w:rsidRPr="004E55D1" w:rsidRDefault="005C325D" w:rsidP="00600BE4">
      <w:pPr>
        <w:pStyle w:val="ListParagraph"/>
        <w:numPr>
          <w:ilvl w:val="0"/>
          <w:numId w:val="6"/>
        </w:numPr>
        <w:jc w:val="both"/>
        <w:rPr>
          <w:b/>
          <w:lang w:val="es-ES"/>
        </w:rPr>
      </w:pPr>
      <w:r w:rsidRPr="004E55D1">
        <w:rPr>
          <w:b/>
          <w:lang w:val="es-ES"/>
        </w:rPr>
        <w:t xml:space="preserve">El principio de la coadyuvancia o complementariedad. </w:t>
      </w:r>
    </w:p>
    <w:p w:rsidR="005C325D" w:rsidRPr="005C325D" w:rsidRDefault="005C325D" w:rsidP="005C325D">
      <w:pPr>
        <w:jc w:val="both"/>
        <w:rPr>
          <w:lang w:val="es-ES"/>
        </w:rPr>
      </w:pPr>
      <w:r w:rsidRPr="005C325D">
        <w:rPr>
          <w:lang w:val="es-ES"/>
        </w:rPr>
        <w:t>Una razón adicional para estimar improcedente la homologación d</w:t>
      </w:r>
      <w:r w:rsidR="00A84648">
        <w:rPr>
          <w:lang w:val="es-ES"/>
        </w:rPr>
        <w:t>ecretada en autos, se vincula</w:t>
      </w:r>
      <w:r w:rsidRPr="005C325D">
        <w:rPr>
          <w:lang w:val="es-ES"/>
        </w:rPr>
        <w:t xml:space="preserve"> con el carácter coadyuvante o complementario de </w:t>
      </w:r>
      <w:r w:rsidR="00176912">
        <w:rPr>
          <w:lang w:val="es-ES"/>
        </w:rPr>
        <w:t xml:space="preserve">la jurisdicción interamericana </w:t>
      </w:r>
      <w:r w:rsidRPr="005C325D">
        <w:rPr>
          <w:lang w:val="es-ES"/>
        </w:rPr>
        <w:t>respecto de la jurisdicción interna o nacional, lo que importa que aquella no debe ni puede sustituir a ésta.  Teniendo en cuenta esta perspectiva, no se visualiza el motivo por el que se solicite la homologación del Acuerdo de Solución Ami</w:t>
      </w:r>
      <w:r w:rsidR="00A84648">
        <w:rPr>
          <w:lang w:val="es-ES"/>
        </w:rPr>
        <w:t>stosa, puesto que lo lógico era</w:t>
      </w:r>
      <w:r w:rsidRPr="005C325D">
        <w:rPr>
          <w:lang w:val="es-ES"/>
        </w:rPr>
        <w:t xml:space="preserve"> que sencillamente </w:t>
      </w:r>
      <w:r w:rsidR="00A84648">
        <w:rPr>
          <w:lang w:val="es-ES"/>
        </w:rPr>
        <w:t xml:space="preserve">las partes hubiesen procedido </w:t>
      </w:r>
      <w:r w:rsidRPr="005C325D">
        <w:rPr>
          <w:lang w:val="es-ES"/>
        </w:rPr>
        <w:t xml:space="preserve">en </w:t>
      </w:r>
      <w:r w:rsidR="00A84648">
        <w:rPr>
          <w:lang w:val="es-ES"/>
        </w:rPr>
        <w:t>el orden interno o nacional conforme a</w:t>
      </w:r>
      <w:r w:rsidRPr="005C325D">
        <w:rPr>
          <w:lang w:val="es-ES"/>
        </w:rPr>
        <w:t xml:space="preserve"> lo han convenido</w:t>
      </w:r>
      <w:r w:rsidR="00FE32C8">
        <w:rPr>
          <w:lang w:val="es-ES"/>
        </w:rPr>
        <w:t>,</w:t>
      </w:r>
      <w:r w:rsidR="00A84648">
        <w:rPr>
          <w:lang w:val="es-ES"/>
        </w:rPr>
        <w:t xml:space="preserve"> sin necesidad, por ende, de demandar ante  la Corte su</w:t>
      </w:r>
      <w:r w:rsidRPr="005C325D">
        <w:rPr>
          <w:lang w:val="es-ES"/>
        </w:rPr>
        <w:t xml:space="preserve"> homologación y ello máxime si se toma</w:t>
      </w:r>
      <w:r w:rsidR="00A84648">
        <w:rPr>
          <w:lang w:val="es-ES"/>
        </w:rPr>
        <w:t xml:space="preserve"> nota de que no se acordó </w:t>
      </w:r>
      <w:r w:rsidRPr="005C325D">
        <w:rPr>
          <w:lang w:val="es-ES"/>
        </w:rPr>
        <w:t>que su vigencia dependiera de esta última</w:t>
      </w:r>
      <w:r w:rsidR="00A84648">
        <w:rPr>
          <w:rStyle w:val="FootnoteReference"/>
          <w:lang w:val="es-ES"/>
        </w:rPr>
        <w:footnoteReference w:id="39"/>
      </w:r>
      <w:r w:rsidRPr="005C325D">
        <w:rPr>
          <w:lang w:val="es-ES"/>
        </w:rPr>
        <w:t xml:space="preserve">. La eventual intervención respecto a dicho Acuerdo se justificaría únicamente si algún órgano interno del Estado se negase a cumplirlo y así  eventualmente se alegara que ha surgido un hecho ilícito internacional, del que, en todo caso, habría que reclamar primeramente ante la jurisdicción nacional y tan sólo si ésta no falla acorde a la Convención, </w:t>
      </w:r>
      <w:r w:rsidR="00FE32C8">
        <w:rPr>
          <w:lang w:val="es-ES"/>
        </w:rPr>
        <w:t xml:space="preserve">luego </w:t>
      </w:r>
      <w:r w:rsidRPr="005C325D">
        <w:rPr>
          <w:lang w:val="es-ES"/>
        </w:rPr>
        <w:t>ante a la jurisdicción interamericana.</w:t>
      </w:r>
    </w:p>
    <w:p w:rsidR="005C325D" w:rsidRPr="00BE50AE" w:rsidRDefault="005C325D" w:rsidP="005C325D">
      <w:pPr>
        <w:jc w:val="both"/>
        <w:rPr>
          <w:lang w:val="es-ES"/>
        </w:rPr>
      </w:pPr>
      <w:r w:rsidRPr="005C325D">
        <w:rPr>
          <w:lang w:val="es-ES"/>
        </w:rPr>
        <w:t>Tal vez otra explicación de la petición de homologación sea la necesidad de contar con un título ejecutivo suficiente a nivel interno para decretar las medidas incluidas en el Acuerdo de Solu</w:t>
      </w:r>
      <w:r w:rsidR="00176912">
        <w:rPr>
          <w:lang w:val="es-ES"/>
        </w:rPr>
        <w:t xml:space="preserve">ción Amistosa. Sin embargo, si </w:t>
      </w:r>
      <w:r w:rsidRPr="005C325D">
        <w:rPr>
          <w:lang w:val="es-ES"/>
        </w:rPr>
        <w:t>ello fuese así, no sólo se estaría utilizando a la jurisdicción interamericana para un objetivo ajeno para el que fue establecida, sino que, además, se estaría declarando la violación de derechos humanos sin que, en realidad, el Estado haya incurrido en el hecho ilícito internacional de mantener la prohibición de realizar la fecundac</w:t>
      </w:r>
      <w:r w:rsidR="00007692">
        <w:rPr>
          <w:lang w:val="es-ES"/>
        </w:rPr>
        <w:t xml:space="preserve">ión in vitro o de no acceder a </w:t>
      </w:r>
      <w:r w:rsidRPr="005C325D">
        <w:rPr>
          <w:lang w:val="es-ES"/>
        </w:rPr>
        <w:t xml:space="preserve">reparar los daños provocados mientras ella se mantuvo. </w:t>
      </w:r>
      <w:r w:rsidR="001E2ADB">
        <w:rPr>
          <w:lang w:val="es-ES"/>
        </w:rPr>
        <w:t>Ninguna de esas hipótesis tienen lugar</w:t>
      </w:r>
      <w:r w:rsidRPr="005C325D">
        <w:rPr>
          <w:lang w:val="es-ES"/>
        </w:rPr>
        <w:t xml:space="preserve"> en la realidad puesto que se ha levantado la citada prohibición y el Estado está dispuesto a reparar los men</w:t>
      </w:r>
      <w:r w:rsidR="00600BE4">
        <w:rPr>
          <w:lang w:val="es-ES"/>
        </w:rPr>
        <w:t>cionados daños, según lo establece</w:t>
      </w:r>
      <w:r w:rsidRPr="005C325D">
        <w:rPr>
          <w:lang w:val="es-ES"/>
        </w:rPr>
        <w:t>, por lo demás, el propio Acuerdo de Solución Amistosa.</w:t>
      </w:r>
    </w:p>
    <w:p w:rsidR="00BE50AE" w:rsidRPr="004E55D1" w:rsidRDefault="00BE50AE" w:rsidP="00056E6D">
      <w:pPr>
        <w:jc w:val="both"/>
        <w:rPr>
          <w:b/>
          <w:lang w:val="es-ES"/>
        </w:rPr>
      </w:pPr>
      <w:r w:rsidRPr="004E55D1">
        <w:rPr>
          <w:b/>
          <w:u w:val="single"/>
          <w:lang w:val="es-ES"/>
        </w:rPr>
        <w:t>Conclusión</w:t>
      </w:r>
      <w:r w:rsidRPr="004E55D1">
        <w:rPr>
          <w:b/>
          <w:lang w:val="es-ES"/>
        </w:rPr>
        <w:t>.</w:t>
      </w:r>
    </w:p>
    <w:p w:rsidR="00286416" w:rsidRDefault="00690A53" w:rsidP="00645E22">
      <w:pPr>
        <w:jc w:val="both"/>
        <w:rPr>
          <w:lang w:val="es-ES"/>
        </w:rPr>
      </w:pPr>
      <w:r>
        <w:rPr>
          <w:lang w:val="es-ES"/>
        </w:rPr>
        <w:t>En síntesis, el suscrito es del parecer que</w:t>
      </w:r>
      <w:r w:rsidR="00ED50D6">
        <w:rPr>
          <w:lang w:val="es-ES"/>
        </w:rPr>
        <w:t xml:space="preserve">, </w:t>
      </w:r>
      <w:r w:rsidR="00645E22">
        <w:rPr>
          <w:lang w:val="es-ES"/>
        </w:rPr>
        <w:t xml:space="preserve">por las razones expuestas y </w:t>
      </w:r>
      <w:r w:rsidR="00ED50D6">
        <w:rPr>
          <w:lang w:val="es-ES"/>
        </w:rPr>
        <w:t>considerando que la Corte dispone de facultades para proceder en consecuencia,</w:t>
      </w:r>
      <w:r w:rsidR="00C706A5">
        <w:rPr>
          <w:lang w:val="es-ES"/>
        </w:rPr>
        <w:t xml:space="preserve"> lo que correspondía </w:t>
      </w:r>
      <w:r w:rsidR="000D4739">
        <w:rPr>
          <w:lang w:val="es-ES"/>
        </w:rPr>
        <w:t xml:space="preserve">en autos </w:t>
      </w:r>
      <w:r>
        <w:rPr>
          <w:lang w:val="es-ES"/>
        </w:rPr>
        <w:t>era sencillamente tomar nota del Acuerdo de Solución Amistosa, no dar l</w:t>
      </w:r>
      <w:r w:rsidR="00286416">
        <w:rPr>
          <w:lang w:val="es-ES"/>
        </w:rPr>
        <w:t xml:space="preserve">ugar a su homologación, considerar </w:t>
      </w:r>
      <w:r>
        <w:rPr>
          <w:lang w:val="es-ES"/>
        </w:rPr>
        <w:t xml:space="preserve">finalizado el </w:t>
      </w:r>
      <w:r w:rsidR="00EE07C5">
        <w:rPr>
          <w:lang w:val="es-ES"/>
        </w:rPr>
        <w:t>presente c</w:t>
      </w:r>
      <w:r w:rsidR="00645E22" w:rsidRPr="00645E22">
        <w:rPr>
          <w:lang w:val="es-ES"/>
        </w:rPr>
        <w:t xml:space="preserve">aso </w:t>
      </w:r>
      <w:r>
        <w:rPr>
          <w:lang w:val="es-ES"/>
        </w:rPr>
        <w:t>y arch</w:t>
      </w:r>
      <w:r w:rsidR="00286416">
        <w:rPr>
          <w:lang w:val="es-ES"/>
        </w:rPr>
        <w:t xml:space="preserve">ivar el expediente. </w:t>
      </w:r>
    </w:p>
    <w:p w:rsidR="006B329D" w:rsidRDefault="00286416" w:rsidP="00645E22">
      <w:pPr>
        <w:jc w:val="both"/>
        <w:rPr>
          <w:lang w:val="es-ES"/>
        </w:rPr>
      </w:pPr>
      <w:r>
        <w:rPr>
          <w:lang w:val="es-ES"/>
        </w:rPr>
        <w:lastRenderedPageBreak/>
        <w:t>En cambio, al proceder como se ha hecho, la Sentencia ha</w:t>
      </w:r>
      <w:r w:rsidR="00EE07C5">
        <w:rPr>
          <w:lang w:val="es-ES"/>
        </w:rPr>
        <w:t xml:space="preserve"> ratificado</w:t>
      </w:r>
      <w:r w:rsidR="006E0FE1">
        <w:rPr>
          <w:lang w:val="es-ES"/>
        </w:rPr>
        <w:t>, sin proporcionar mayor fundamento,</w:t>
      </w:r>
      <w:r w:rsidR="00EE07C5">
        <w:rPr>
          <w:lang w:val="es-ES"/>
        </w:rPr>
        <w:t xml:space="preserve"> lo sostenido en el Caso</w:t>
      </w:r>
      <w:r w:rsidR="00EE07C5" w:rsidRPr="00EE07C5">
        <w:rPr>
          <w:lang w:val="es-ES"/>
        </w:rPr>
        <w:t xml:space="preserve"> Artavia Murillo y Otros (“</w:t>
      </w:r>
      <w:r w:rsidR="00EE07C5" w:rsidRPr="00775ECA">
        <w:rPr>
          <w:i/>
          <w:lang w:val="es-ES"/>
        </w:rPr>
        <w:t>Fecunda</w:t>
      </w:r>
      <w:r w:rsidRPr="00775ECA">
        <w:rPr>
          <w:i/>
          <w:lang w:val="es-ES"/>
        </w:rPr>
        <w:t>ción in Vitro</w:t>
      </w:r>
      <w:r>
        <w:rPr>
          <w:lang w:val="es-ES"/>
        </w:rPr>
        <w:t xml:space="preserve">”) </w:t>
      </w:r>
      <w:r w:rsidRPr="00417794">
        <w:rPr>
          <w:i/>
          <w:lang w:val="es-ES"/>
        </w:rPr>
        <w:t>Vs</w:t>
      </w:r>
      <w:r>
        <w:rPr>
          <w:lang w:val="es-ES"/>
        </w:rPr>
        <w:t>. Costa Rica</w:t>
      </w:r>
      <w:r w:rsidR="00696666">
        <w:rPr>
          <w:lang w:val="es-ES"/>
        </w:rPr>
        <w:t xml:space="preserve">. De esa forma, se </w:t>
      </w:r>
      <w:r w:rsidR="006E0FE1">
        <w:rPr>
          <w:lang w:val="es-ES"/>
        </w:rPr>
        <w:t>ha perdido</w:t>
      </w:r>
      <w:r w:rsidR="00775ECA">
        <w:rPr>
          <w:lang w:val="es-ES"/>
        </w:rPr>
        <w:t>, a propósito d</w:t>
      </w:r>
      <w:r w:rsidR="00D65CED">
        <w:rPr>
          <w:lang w:val="es-ES"/>
        </w:rPr>
        <w:t xml:space="preserve">el Caso Gómez Murillo y Otros </w:t>
      </w:r>
      <w:r w:rsidR="00D65CED">
        <w:rPr>
          <w:i/>
          <w:lang w:val="es-ES"/>
        </w:rPr>
        <w:t>Vs.</w:t>
      </w:r>
      <w:r w:rsidR="00D65CED">
        <w:rPr>
          <w:lang w:val="es-ES"/>
        </w:rPr>
        <w:t xml:space="preserve"> Costa Rica, </w:t>
      </w:r>
      <w:r w:rsidR="006E0FE1">
        <w:rPr>
          <w:lang w:val="es-ES"/>
        </w:rPr>
        <w:t xml:space="preserve"> una buena oportunidad para</w:t>
      </w:r>
      <w:r w:rsidR="000C469D">
        <w:rPr>
          <w:lang w:val="es-ES"/>
        </w:rPr>
        <w:t>, con la nueva integración de la Corte</w:t>
      </w:r>
      <w:r w:rsidR="000C469D">
        <w:rPr>
          <w:rStyle w:val="FootnoteReference"/>
          <w:lang w:val="es-ES"/>
        </w:rPr>
        <w:footnoteReference w:id="40"/>
      </w:r>
      <w:r w:rsidR="00007692">
        <w:rPr>
          <w:lang w:val="es-ES"/>
        </w:rPr>
        <w:t xml:space="preserve">, </w:t>
      </w:r>
      <w:r w:rsidR="006E0FE1">
        <w:rPr>
          <w:lang w:val="es-ES"/>
        </w:rPr>
        <w:t>rectificar y retomar la defensa del der</w:t>
      </w:r>
      <w:r w:rsidR="00775ECA">
        <w:rPr>
          <w:lang w:val="es-ES"/>
        </w:rPr>
        <w:t>echo a la vida</w:t>
      </w:r>
      <w:r w:rsidR="00E80459">
        <w:rPr>
          <w:lang w:val="es-ES"/>
        </w:rPr>
        <w:t xml:space="preserve">, </w:t>
      </w:r>
      <w:r w:rsidR="00167004">
        <w:rPr>
          <w:lang w:val="es-ES"/>
        </w:rPr>
        <w:t xml:space="preserve">al </w:t>
      </w:r>
      <w:r w:rsidR="00E80459">
        <w:rPr>
          <w:lang w:val="es-ES"/>
        </w:rPr>
        <w:t>que</w:t>
      </w:r>
      <w:r w:rsidR="00921D32">
        <w:rPr>
          <w:lang w:val="es-ES"/>
        </w:rPr>
        <w:t>, como ya se expresó,</w:t>
      </w:r>
      <w:r w:rsidR="00E80459">
        <w:rPr>
          <w:lang w:val="es-ES"/>
        </w:rPr>
        <w:t xml:space="preserve"> la Corte catalogaba como “</w:t>
      </w:r>
      <w:r w:rsidR="00B0053E">
        <w:rPr>
          <w:lang w:val="es-ES"/>
        </w:rPr>
        <w:t>f</w:t>
      </w:r>
      <w:r w:rsidR="00E80459">
        <w:rPr>
          <w:lang w:val="es-ES"/>
        </w:rPr>
        <w:t>undamental</w:t>
      </w:r>
      <w:r w:rsidR="00B0053E">
        <w:rPr>
          <w:lang w:val="es-ES"/>
        </w:rPr>
        <w:t>”</w:t>
      </w:r>
      <w:r w:rsidR="00E80459">
        <w:rPr>
          <w:lang w:val="es-ES"/>
        </w:rPr>
        <w:t>, por lo que estimaba que no era</w:t>
      </w:r>
      <w:r w:rsidR="006B6CCF">
        <w:rPr>
          <w:lang w:val="es-ES"/>
        </w:rPr>
        <w:t>n</w:t>
      </w:r>
      <w:r w:rsidR="00E80459">
        <w:rPr>
          <w:lang w:val="es-ES"/>
        </w:rPr>
        <w:t xml:space="preserve"> </w:t>
      </w:r>
      <w:r w:rsidR="00B0053E">
        <w:rPr>
          <w:lang w:val="es-ES"/>
        </w:rPr>
        <w:t>“</w:t>
      </w:r>
      <w:r w:rsidR="00E80459">
        <w:rPr>
          <w:lang w:val="es-ES"/>
        </w:rPr>
        <w:t>admisible</w:t>
      </w:r>
      <w:r w:rsidR="006B6CCF">
        <w:rPr>
          <w:lang w:val="es-ES"/>
        </w:rPr>
        <w:t xml:space="preserve">s </w:t>
      </w:r>
      <w:r w:rsidR="00E80459">
        <w:rPr>
          <w:lang w:val="es-ES"/>
        </w:rPr>
        <w:t>enfo</w:t>
      </w:r>
      <w:r w:rsidR="00B0053E">
        <w:rPr>
          <w:lang w:val="es-ES"/>
        </w:rPr>
        <w:t>que</w:t>
      </w:r>
      <w:r w:rsidR="006B6CCF">
        <w:rPr>
          <w:lang w:val="es-ES"/>
        </w:rPr>
        <w:t>s</w:t>
      </w:r>
      <w:r w:rsidR="00B0053E">
        <w:rPr>
          <w:lang w:val="es-ES"/>
        </w:rPr>
        <w:t xml:space="preserve"> restrictivo</w:t>
      </w:r>
      <w:r w:rsidR="006B6CCF">
        <w:rPr>
          <w:lang w:val="es-ES"/>
        </w:rPr>
        <w:t>s</w:t>
      </w:r>
      <w:r w:rsidR="00B0053E">
        <w:rPr>
          <w:lang w:val="es-ES"/>
        </w:rPr>
        <w:t xml:space="preserve"> de mismo”</w:t>
      </w:r>
      <w:r w:rsidR="00B0053E">
        <w:rPr>
          <w:rStyle w:val="FootnoteReference"/>
          <w:lang w:val="es-ES"/>
        </w:rPr>
        <w:footnoteReference w:id="41"/>
      </w:r>
      <w:r w:rsidR="006B6CCF">
        <w:rPr>
          <w:lang w:val="es-ES"/>
        </w:rPr>
        <w:t xml:space="preserve"> </w:t>
      </w:r>
      <w:r w:rsidR="00B9610D">
        <w:rPr>
          <w:lang w:val="es-ES"/>
        </w:rPr>
        <w:t xml:space="preserve">y, además, </w:t>
      </w:r>
      <w:r w:rsidR="006B6CCF">
        <w:rPr>
          <w:lang w:val="es-ES"/>
        </w:rPr>
        <w:t xml:space="preserve">que </w:t>
      </w:r>
      <w:r w:rsidR="006B6CCF" w:rsidRPr="006B6CCF">
        <w:rPr>
          <w:lang w:val="es-ES"/>
        </w:rPr>
        <w:t>“</w:t>
      </w:r>
      <w:r w:rsidR="00C56804">
        <w:rPr>
          <w:lang w:val="es-ES"/>
        </w:rPr>
        <w:t>[</w:t>
      </w:r>
      <w:r w:rsidR="006B6CCF" w:rsidRPr="006B6CCF">
        <w:rPr>
          <w:lang w:val="es-ES"/>
        </w:rPr>
        <w:t>l</w:t>
      </w:r>
      <w:r w:rsidR="00C56804">
        <w:rPr>
          <w:lang w:val="es-ES"/>
        </w:rPr>
        <w:t>]</w:t>
      </w:r>
      <w:r w:rsidR="006B6CCF" w:rsidRPr="006B6CCF">
        <w:rPr>
          <w:lang w:val="es-ES"/>
        </w:rPr>
        <w:t>os Estados tienen la obligación de garantizar la creación de las condiciones que se requieran para que no se produzcan violaciones de ese derecho inalienable</w:t>
      </w:r>
      <w:r w:rsidR="006B6CCF">
        <w:rPr>
          <w:lang w:val="es-ES"/>
        </w:rPr>
        <w:t>”</w:t>
      </w:r>
      <w:r w:rsidR="006B6CCF">
        <w:rPr>
          <w:rStyle w:val="FootnoteReference"/>
          <w:lang w:val="es-ES"/>
        </w:rPr>
        <w:footnoteReference w:id="42"/>
      </w:r>
      <w:r w:rsidR="00696666">
        <w:rPr>
          <w:lang w:val="es-ES"/>
        </w:rPr>
        <w:t>.</w:t>
      </w:r>
      <w:r w:rsidR="000D4739">
        <w:rPr>
          <w:lang w:val="es-ES"/>
        </w:rPr>
        <w:t xml:space="preserve"> </w:t>
      </w:r>
      <w:r w:rsidR="00696666">
        <w:rPr>
          <w:lang w:val="es-ES"/>
        </w:rPr>
        <w:t>Ello</w:t>
      </w:r>
      <w:r w:rsidR="00921D32">
        <w:rPr>
          <w:lang w:val="es-ES"/>
        </w:rPr>
        <w:t xml:space="preserve"> </w:t>
      </w:r>
      <w:r w:rsidR="00DC436E">
        <w:rPr>
          <w:lang w:val="es-ES"/>
        </w:rPr>
        <w:t>justifica</w:t>
      </w:r>
      <w:r w:rsidR="00921D32">
        <w:rPr>
          <w:lang w:val="es-ES"/>
        </w:rPr>
        <w:t>, amplia y consecuentemente,</w:t>
      </w:r>
      <w:r w:rsidR="00775ECA">
        <w:rPr>
          <w:lang w:val="es-ES"/>
        </w:rPr>
        <w:t xml:space="preserve"> </w:t>
      </w:r>
      <w:r w:rsidR="00DC436E">
        <w:rPr>
          <w:lang w:val="es-ES"/>
        </w:rPr>
        <w:t>el presente voto disidente</w:t>
      </w:r>
      <w:r w:rsidR="00D65CED">
        <w:rPr>
          <w:rStyle w:val="FootnoteReference"/>
          <w:lang w:val="es-ES"/>
        </w:rPr>
        <w:footnoteReference w:id="43"/>
      </w:r>
      <w:r w:rsidR="004E55D1">
        <w:rPr>
          <w:lang w:val="es-ES"/>
        </w:rPr>
        <w:t>.</w:t>
      </w:r>
    </w:p>
    <w:p w:rsidR="00141286" w:rsidRDefault="00141286" w:rsidP="004E55D1">
      <w:pPr>
        <w:spacing w:after="0"/>
        <w:jc w:val="right"/>
        <w:rPr>
          <w:b/>
          <w:lang w:val="es-ES"/>
        </w:rPr>
      </w:pPr>
    </w:p>
    <w:p w:rsidR="00141286" w:rsidRDefault="00141286" w:rsidP="004E55D1">
      <w:pPr>
        <w:spacing w:after="0"/>
        <w:jc w:val="right"/>
        <w:rPr>
          <w:b/>
          <w:lang w:val="es-ES"/>
        </w:rPr>
      </w:pPr>
    </w:p>
    <w:p w:rsidR="00141286" w:rsidRDefault="00141286" w:rsidP="004E55D1">
      <w:pPr>
        <w:spacing w:after="0"/>
        <w:jc w:val="right"/>
        <w:rPr>
          <w:b/>
          <w:lang w:val="es-ES"/>
        </w:rPr>
      </w:pPr>
    </w:p>
    <w:p w:rsidR="00141286" w:rsidRPr="00141286" w:rsidRDefault="00141286" w:rsidP="004E55D1">
      <w:pPr>
        <w:spacing w:after="0"/>
        <w:jc w:val="right"/>
        <w:rPr>
          <w:lang w:val="es-ES"/>
        </w:rPr>
      </w:pPr>
    </w:p>
    <w:p w:rsidR="00141286" w:rsidRPr="00141286" w:rsidRDefault="00141286" w:rsidP="004E55D1">
      <w:pPr>
        <w:spacing w:after="0"/>
        <w:jc w:val="right"/>
        <w:rPr>
          <w:lang w:val="es-ES"/>
        </w:rPr>
      </w:pPr>
    </w:p>
    <w:p w:rsidR="00141286" w:rsidRPr="00141286" w:rsidRDefault="00141286" w:rsidP="004E55D1">
      <w:pPr>
        <w:spacing w:after="0"/>
        <w:jc w:val="right"/>
        <w:rPr>
          <w:lang w:val="es-ES"/>
        </w:rPr>
      </w:pPr>
    </w:p>
    <w:p w:rsidR="007B6F6C" w:rsidRPr="00141286" w:rsidRDefault="007B6F6C" w:rsidP="00141286">
      <w:pPr>
        <w:spacing w:after="0"/>
        <w:ind w:left="6480"/>
        <w:rPr>
          <w:lang w:val="es-ES"/>
        </w:rPr>
      </w:pPr>
      <w:r w:rsidRPr="00141286">
        <w:rPr>
          <w:lang w:val="es-ES"/>
        </w:rPr>
        <w:t>Eduardo Vio Grossi</w:t>
      </w:r>
    </w:p>
    <w:p w:rsidR="006D0752" w:rsidRPr="00141286" w:rsidRDefault="007B6F6C" w:rsidP="00141286">
      <w:pPr>
        <w:spacing w:after="0"/>
        <w:ind w:left="6480" w:firstLine="720"/>
        <w:rPr>
          <w:lang w:val="es-ES"/>
        </w:rPr>
      </w:pPr>
      <w:r w:rsidRPr="00141286">
        <w:rPr>
          <w:lang w:val="es-ES"/>
        </w:rPr>
        <w:t>Juez</w:t>
      </w:r>
    </w:p>
    <w:p w:rsidR="00141286" w:rsidRPr="00141286" w:rsidRDefault="00141286" w:rsidP="00141286">
      <w:pPr>
        <w:spacing w:after="0"/>
        <w:rPr>
          <w:lang w:val="es-ES"/>
        </w:rPr>
      </w:pPr>
    </w:p>
    <w:p w:rsidR="00141286" w:rsidRPr="00141286" w:rsidRDefault="00141286" w:rsidP="00141286">
      <w:pPr>
        <w:spacing w:after="0"/>
        <w:rPr>
          <w:lang w:val="es-ES"/>
        </w:rPr>
      </w:pPr>
    </w:p>
    <w:p w:rsidR="00141286" w:rsidRPr="00141286" w:rsidRDefault="00141286" w:rsidP="00141286">
      <w:pPr>
        <w:spacing w:after="0"/>
        <w:rPr>
          <w:lang w:val="es-ES"/>
        </w:rPr>
      </w:pPr>
    </w:p>
    <w:p w:rsidR="00141286" w:rsidRPr="00141286" w:rsidRDefault="00141286" w:rsidP="00141286">
      <w:pPr>
        <w:spacing w:after="0"/>
        <w:rPr>
          <w:lang w:val="es-ES"/>
        </w:rPr>
      </w:pPr>
    </w:p>
    <w:p w:rsidR="00141286" w:rsidRPr="00141286" w:rsidRDefault="00141286" w:rsidP="00141286">
      <w:pPr>
        <w:spacing w:after="0"/>
        <w:rPr>
          <w:lang w:val="es-ES"/>
        </w:rPr>
      </w:pPr>
    </w:p>
    <w:p w:rsidR="00141286" w:rsidRPr="00141286" w:rsidRDefault="00141286" w:rsidP="00141286">
      <w:pPr>
        <w:spacing w:after="0"/>
        <w:rPr>
          <w:lang w:val="es-ES"/>
        </w:rPr>
      </w:pPr>
      <w:r>
        <w:rPr>
          <w:lang w:val="es-ES"/>
        </w:rPr>
        <w:t xml:space="preserve">              </w:t>
      </w:r>
      <w:r w:rsidRPr="00141286">
        <w:rPr>
          <w:lang w:val="es-ES"/>
        </w:rPr>
        <w:t>Pablo Saavedra Alessandri</w:t>
      </w:r>
    </w:p>
    <w:p w:rsidR="00141286" w:rsidRPr="00141286" w:rsidRDefault="00141286" w:rsidP="00141286">
      <w:pPr>
        <w:spacing w:after="0"/>
        <w:rPr>
          <w:lang w:val="es-ES"/>
        </w:rPr>
      </w:pPr>
      <w:r w:rsidRPr="00141286">
        <w:rPr>
          <w:lang w:val="es-ES"/>
        </w:rPr>
        <w:t xml:space="preserve">        </w:t>
      </w:r>
      <w:r>
        <w:rPr>
          <w:lang w:val="es-ES"/>
        </w:rPr>
        <w:t xml:space="preserve">                  </w:t>
      </w:r>
      <w:r w:rsidRPr="00141286">
        <w:rPr>
          <w:lang w:val="es-ES"/>
        </w:rPr>
        <w:t xml:space="preserve">  Secretario </w:t>
      </w:r>
    </w:p>
    <w:p w:rsidR="006D0752" w:rsidRPr="006C041E" w:rsidRDefault="006D0752" w:rsidP="00056E6D">
      <w:pPr>
        <w:spacing w:after="0"/>
        <w:jc w:val="right"/>
        <w:rPr>
          <w:lang w:val="es-ES"/>
        </w:rPr>
      </w:pPr>
    </w:p>
    <w:sectPr w:rsidR="006D0752" w:rsidRPr="006C041E" w:rsidSect="00141286">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3F" w:rsidRDefault="00B2243F" w:rsidP="006C041E">
      <w:pPr>
        <w:spacing w:after="0" w:line="240" w:lineRule="auto"/>
      </w:pPr>
      <w:r>
        <w:separator/>
      </w:r>
    </w:p>
  </w:endnote>
  <w:endnote w:type="continuationSeparator" w:id="0">
    <w:p w:rsidR="00B2243F" w:rsidRDefault="00B2243F" w:rsidP="006C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578703"/>
      <w:docPartObj>
        <w:docPartGallery w:val="Page Numbers (Bottom of Page)"/>
        <w:docPartUnique/>
      </w:docPartObj>
    </w:sdtPr>
    <w:sdtEndPr>
      <w:rPr>
        <w:noProof/>
      </w:rPr>
    </w:sdtEndPr>
    <w:sdtContent>
      <w:p w:rsidR="00D5158B" w:rsidRDefault="00D5158B">
        <w:pPr>
          <w:pStyle w:val="Footer"/>
          <w:jc w:val="right"/>
        </w:pPr>
        <w:r>
          <w:fldChar w:fldCharType="begin"/>
        </w:r>
        <w:r>
          <w:instrText xml:space="preserve"> PAGE   \* MERGEFORMAT </w:instrText>
        </w:r>
        <w:r>
          <w:fldChar w:fldCharType="separate"/>
        </w:r>
        <w:r w:rsidR="00E637E0">
          <w:rPr>
            <w:noProof/>
          </w:rPr>
          <w:t>1</w:t>
        </w:r>
        <w:r>
          <w:rPr>
            <w:noProof/>
          </w:rPr>
          <w:fldChar w:fldCharType="end"/>
        </w:r>
      </w:p>
    </w:sdtContent>
  </w:sdt>
  <w:p w:rsidR="00D5158B" w:rsidRDefault="00D51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3F" w:rsidRDefault="00B2243F" w:rsidP="006C041E">
      <w:pPr>
        <w:spacing w:after="0" w:line="240" w:lineRule="auto"/>
      </w:pPr>
      <w:r>
        <w:separator/>
      </w:r>
    </w:p>
  </w:footnote>
  <w:footnote w:type="continuationSeparator" w:id="0">
    <w:p w:rsidR="00B2243F" w:rsidRDefault="00B2243F" w:rsidP="006C041E">
      <w:pPr>
        <w:spacing w:after="0" w:line="240" w:lineRule="auto"/>
      </w:pPr>
      <w:r>
        <w:continuationSeparator/>
      </w:r>
    </w:p>
  </w:footnote>
  <w:footnote w:id="1">
    <w:p w:rsidR="00D5158B" w:rsidRPr="009907FF" w:rsidRDefault="00D5158B" w:rsidP="009907FF">
      <w:pPr>
        <w:pStyle w:val="FootnoteText"/>
        <w:jc w:val="both"/>
        <w:rPr>
          <w:lang w:val="es-ES"/>
        </w:rPr>
      </w:pPr>
      <w:r w:rsidRPr="009907FF">
        <w:rPr>
          <w:rStyle w:val="FootnoteReference"/>
        </w:rPr>
        <w:footnoteRef/>
      </w:r>
      <w:r w:rsidRPr="009907FF">
        <w:rPr>
          <w:lang w:val="es-ES"/>
        </w:rPr>
        <w:t xml:space="preserve"> Art. 66.2 de la Convención Americana sobre Derechos Humanos, en adelante la Convención: “Si el fallo no expresare en todo o en parte la opinión unánime de los jueces, cualquiera de éstos tendrá derecho a que se agregue al fallo su opinión disidente o individual”; </w:t>
      </w:r>
    </w:p>
    <w:p w:rsidR="00D5158B" w:rsidRPr="009907FF" w:rsidRDefault="00D5158B" w:rsidP="009907FF">
      <w:pPr>
        <w:pStyle w:val="FootnoteText"/>
        <w:jc w:val="both"/>
        <w:rPr>
          <w:lang w:val="es-ES"/>
        </w:rPr>
      </w:pPr>
      <w:r w:rsidRPr="009907FF">
        <w:rPr>
          <w:lang w:val="es-ES"/>
        </w:rPr>
        <w:t>Art. 24.3 del Estatuto de la Corte Interamericana de Derech</w:t>
      </w:r>
      <w:r w:rsidR="00D332E6" w:rsidRPr="009907FF">
        <w:rPr>
          <w:lang w:val="es-ES"/>
        </w:rPr>
        <w:t>os Humanos</w:t>
      </w:r>
      <w:r w:rsidRPr="009907FF">
        <w:rPr>
          <w:lang w:val="es-ES"/>
        </w:rPr>
        <w:t xml:space="preserve">: “Las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 y </w:t>
      </w:r>
    </w:p>
    <w:p w:rsidR="00D5158B" w:rsidRPr="009907FF" w:rsidRDefault="00D5158B" w:rsidP="009907FF">
      <w:pPr>
        <w:pStyle w:val="FootnoteText"/>
        <w:jc w:val="both"/>
        <w:rPr>
          <w:lang w:val="es-ES"/>
        </w:rPr>
      </w:pPr>
      <w:r w:rsidRPr="009907FF">
        <w:rPr>
          <w:lang w:val="es-ES"/>
        </w:rPr>
        <w:t>Art. 65.2 del Reglamento de la Corte: “Todo Juez que haya participado en el examen de un caso tiene derecho a unir a la sentencia su voto concurrente o disidente que deberá ser razonado. Estos votos deberán ser presentados dentro del plazo fijado por la Presidencia, de modo que puedan ser conocidos por los Jueces antes de la notificación de la sentencia. Dichos votos sólo podrán referirse a lo tratado en las sentencias.”</w:t>
      </w:r>
    </w:p>
    <w:p w:rsidR="00EC035D" w:rsidRPr="009907FF" w:rsidRDefault="00D5158B" w:rsidP="009907FF">
      <w:pPr>
        <w:pStyle w:val="FootnoteText"/>
        <w:jc w:val="both"/>
        <w:rPr>
          <w:lang w:val="es-ES"/>
        </w:rPr>
      </w:pPr>
      <w:r w:rsidRPr="009907FF">
        <w:rPr>
          <w:lang w:val="es-ES"/>
        </w:rPr>
        <w:t>Cada vez que se haga referencia a “art.” se entenderá que es un artículo de la Convención.</w:t>
      </w:r>
    </w:p>
    <w:p w:rsidR="00B34C13" w:rsidRPr="009907FF" w:rsidRDefault="00B34C13" w:rsidP="009907FF">
      <w:pPr>
        <w:pStyle w:val="FootnoteText"/>
        <w:jc w:val="both"/>
        <w:rPr>
          <w:lang w:val="es-ES"/>
        </w:rPr>
      </w:pPr>
    </w:p>
  </w:footnote>
  <w:footnote w:id="2">
    <w:p w:rsidR="00EC035D" w:rsidRPr="009907FF" w:rsidRDefault="00D5158B" w:rsidP="009907FF">
      <w:pPr>
        <w:pStyle w:val="FootnoteText"/>
        <w:jc w:val="both"/>
        <w:rPr>
          <w:lang w:val="es-ES"/>
        </w:rPr>
      </w:pPr>
      <w:r w:rsidRPr="009907FF">
        <w:rPr>
          <w:rStyle w:val="FootnoteReference"/>
        </w:rPr>
        <w:footnoteRef/>
      </w:r>
      <w:r w:rsidRPr="009907FF">
        <w:rPr>
          <w:lang w:val="es-ES"/>
        </w:rPr>
        <w:t xml:space="preserve"> En adelante, la Sentencia.</w:t>
      </w:r>
    </w:p>
    <w:p w:rsidR="00B34C13" w:rsidRPr="009907FF" w:rsidRDefault="00B34C13" w:rsidP="009907FF">
      <w:pPr>
        <w:pStyle w:val="FootnoteText"/>
        <w:jc w:val="both"/>
        <w:rPr>
          <w:lang w:val="es-ES"/>
        </w:rPr>
      </w:pPr>
    </w:p>
  </w:footnote>
  <w:footnote w:id="3">
    <w:p w:rsidR="00D5158B" w:rsidRPr="009907FF" w:rsidRDefault="00D5158B" w:rsidP="009907FF">
      <w:pPr>
        <w:pStyle w:val="FootnoteText"/>
        <w:jc w:val="both"/>
        <w:rPr>
          <w:lang w:val="es-ES"/>
        </w:rPr>
      </w:pPr>
      <w:r w:rsidRPr="009907FF">
        <w:rPr>
          <w:rStyle w:val="FootnoteReference"/>
        </w:rPr>
        <w:footnoteRef/>
      </w:r>
      <w:r w:rsidRPr="009907FF">
        <w:rPr>
          <w:lang w:val="es-ES"/>
        </w:rPr>
        <w:t xml:space="preserve"> Punto Resolutivo Nº 1 de la Sentencia.</w:t>
      </w:r>
    </w:p>
    <w:p w:rsidR="00B34C13" w:rsidRPr="009907FF" w:rsidRDefault="00B34C13" w:rsidP="009907FF">
      <w:pPr>
        <w:pStyle w:val="FootnoteText"/>
        <w:jc w:val="both"/>
        <w:rPr>
          <w:lang w:val="es-ES"/>
        </w:rPr>
      </w:pPr>
    </w:p>
  </w:footnote>
  <w:footnote w:id="4">
    <w:p w:rsidR="00D5158B" w:rsidRPr="009907FF" w:rsidRDefault="00D5158B" w:rsidP="009907FF">
      <w:pPr>
        <w:pStyle w:val="FootnoteText"/>
        <w:jc w:val="both"/>
        <w:rPr>
          <w:lang w:val="es-ES"/>
        </w:rPr>
      </w:pPr>
      <w:r w:rsidRPr="009907FF">
        <w:rPr>
          <w:rStyle w:val="FootnoteReference"/>
        </w:rPr>
        <w:footnoteRef/>
      </w:r>
      <w:r w:rsidRPr="009907FF">
        <w:rPr>
          <w:lang w:val="es-ES"/>
        </w:rPr>
        <w:t xml:space="preserve"> En adelante, el Acuerdo de Solución Amistosa.</w:t>
      </w:r>
    </w:p>
    <w:p w:rsidR="00B34C13" w:rsidRPr="009907FF" w:rsidRDefault="00B34C13" w:rsidP="009907FF">
      <w:pPr>
        <w:pStyle w:val="FootnoteText"/>
        <w:jc w:val="both"/>
        <w:rPr>
          <w:lang w:val="es-ES"/>
        </w:rPr>
      </w:pPr>
    </w:p>
  </w:footnote>
  <w:footnote w:id="5">
    <w:p w:rsidR="00B34C13" w:rsidRPr="009907FF" w:rsidRDefault="00B7792A" w:rsidP="009907FF">
      <w:pPr>
        <w:pStyle w:val="FootnoteText"/>
        <w:jc w:val="both"/>
        <w:rPr>
          <w:lang w:val="es-ES"/>
        </w:rPr>
      </w:pPr>
      <w:r w:rsidRPr="009907FF">
        <w:rPr>
          <w:rStyle w:val="FootnoteReference"/>
        </w:rPr>
        <w:footnoteRef/>
      </w:r>
      <w:r w:rsidRPr="009907FF">
        <w:rPr>
          <w:lang w:val="es-ES"/>
        </w:rPr>
        <w:t xml:space="preserve"> En adelante, la Corte.</w:t>
      </w:r>
    </w:p>
    <w:p w:rsidR="00B34C13" w:rsidRPr="009907FF" w:rsidRDefault="00B34C13" w:rsidP="009907FF">
      <w:pPr>
        <w:pStyle w:val="FootnoteText"/>
        <w:jc w:val="both"/>
        <w:rPr>
          <w:lang w:val="es-ES"/>
        </w:rPr>
      </w:pPr>
    </w:p>
  </w:footnote>
  <w:footnote w:id="6">
    <w:p w:rsidR="00C56804" w:rsidRPr="009907FF" w:rsidRDefault="00C56804" w:rsidP="00C56804">
      <w:pPr>
        <w:pStyle w:val="FootnoteText"/>
        <w:jc w:val="both"/>
        <w:rPr>
          <w:lang w:val="es-ES"/>
        </w:rPr>
      </w:pPr>
      <w:r w:rsidRPr="009907FF">
        <w:rPr>
          <w:rStyle w:val="FootnoteReference"/>
        </w:rPr>
        <w:footnoteRef/>
      </w:r>
      <w:r w:rsidRPr="009907FF">
        <w:rPr>
          <w:lang w:val="es-ES"/>
        </w:rPr>
        <w:t xml:space="preserve"> En adelante, </w:t>
      </w:r>
      <w:r w:rsidR="00116EEE">
        <w:rPr>
          <w:lang w:val="es-ES"/>
        </w:rPr>
        <w:t>l</w:t>
      </w:r>
      <w:r w:rsidRPr="009907FF">
        <w:rPr>
          <w:lang w:val="es-ES"/>
        </w:rPr>
        <w:t>a Convención.</w:t>
      </w:r>
    </w:p>
    <w:p w:rsidR="00C56804" w:rsidRPr="009907FF" w:rsidRDefault="00C56804" w:rsidP="00C56804">
      <w:pPr>
        <w:pStyle w:val="FootnoteText"/>
        <w:jc w:val="both"/>
        <w:rPr>
          <w:lang w:val="es-ES"/>
        </w:rPr>
      </w:pPr>
    </w:p>
  </w:footnote>
  <w:footnote w:id="7">
    <w:p w:rsidR="009E3D47" w:rsidRPr="009907FF" w:rsidRDefault="009E3D47" w:rsidP="009907FF">
      <w:pPr>
        <w:pStyle w:val="FootnoteText"/>
        <w:jc w:val="both"/>
        <w:rPr>
          <w:lang w:val="es-ES"/>
        </w:rPr>
      </w:pPr>
      <w:r w:rsidRPr="009907FF">
        <w:rPr>
          <w:rStyle w:val="FootnoteReference"/>
        </w:rPr>
        <w:footnoteRef/>
      </w:r>
      <w:r w:rsidRPr="009907FF">
        <w:rPr>
          <w:lang w:val="es-ES"/>
        </w:rPr>
        <w:t xml:space="preserve"> Art. 68.1: “Los Estados Partes en la Convención se comprometen a cumplir la decisión de la Corte en todo caso en que sean partes.”</w:t>
      </w:r>
    </w:p>
    <w:p w:rsidR="009E3D47" w:rsidRPr="009907FF" w:rsidRDefault="009E3D47" w:rsidP="009907FF">
      <w:pPr>
        <w:pStyle w:val="FootnoteText"/>
        <w:jc w:val="both"/>
        <w:rPr>
          <w:lang w:val="es-ES"/>
        </w:rPr>
      </w:pPr>
    </w:p>
  </w:footnote>
  <w:footnote w:id="8">
    <w:p w:rsidR="00AC1E6F" w:rsidRPr="009907FF" w:rsidRDefault="00AC1E6F" w:rsidP="009907FF">
      <w:pPr>
        <w:pStyle w:val="FootnoteText"/>
        <w:jc w:val="both"/>
        <w:rPr>
          <w:lang w:val="es-ES"/>
        </w:rPr>
      </w:pPr>
      <w:r w:rsidRPr="009907FF">
        <w:rPr>
          <w:rStyle w:val="FootnoteReference"/>
        </w:rPr>
        <w:footnoteRef/>
      </w:r>
      <w:r w:rsidRPr="009907FF">
        <w:rPr>
          <w:lang w:val="es-ES"/>
        </w:rPr>
        <w:t xml:space="preserve"> </w:t>
      </w:r>
      <w:r w:rsidR="007A1283" w:rsidRPr="009907FF">
        <w:rPr>
          <w:lang w:val="es-ES"/>
        </w:rPr>
        <w:t>Art. 31: “R</w:t>
      </w:r>
      <w:r w:rsidR="00D332E6" w:rsidRPr="009907FF">
        <w:rPr>
          <w:lang w:val="es-ES"/>
        </w:rPr>
        <w:t xml:space="preserve">econocimiento de Otros Derechos. </w:t>
      </w:r>
      <w:r w:rsidR="007A1283" w:rsidRPr="009907FF">
        <w:rPr>
          <w:lang w:val="es-ES"/>
        </w:rPr>
        <w:t>Podrán ser incluidos en el régimen de protección de esta Convención otros derechos y libertades que sean reconocidos de acuerdo con los procedimientos establecidos en los artículos 76 y 77.”</w:t>
      </w:r>
    </w:p>
    <w:p w:rsidR="007A1283" w:rsidRPr="009907FF" w:rsidRDefault="007A1283" w:rsidP="009907FF">
      <w:pPr>
        <w:pStyle w:val="FootnoteText"/>
        <w:jc w:val="both"/>
        <w:rPr>
          <w:lang w:val="es-ES"/>
        </w:rPr>
      </w:pPr>
      <w:r w:rsidRPr="009907FF">
        <w:rPr>
          <w:lang w:val="es-ES"/>
        </w:rPr>
        <w:t>Art.</w:t>
      </w:r>
      <w:r w:rsidR="00A02476">
        <w:rPr>
          <w:lang w:val="es-ES"/>
        </w:rPr>
        <w:t xml:space="preserve"> </w:t>
      </w:r>
      <w:r w:rsidRPr="009907FF">
        <w:rPr>
          <w:lang w:val="es-ES"/>
        </w:rPr>
        <w:t xml:space="preserve">76: “1. Cualquier Estado parte directamente y la Comisión o la Corte por conducto del Secretario General, pueden someter a la Asamblea General, para lo que estime conveniente, una propuesta de enmienda a esta Convención. </w:t>
      </w:r>
    </w:p>
    <w:p w:rsidR="007A1283" w:rsidRPr="009907FF" w:rsidRDefault="007A1283" w:rsidP="009907FF">
      <w:pPr>
        <w:pStyle w:val="FootnoteText"/>
        <w:jc w:val="both"/>
        <w:rPr>
          <w:lang w:val="es-ES"/>
        </w:rPr>
      </w:pPr>
      <w:r w:rsidRPr="009907FF">
        <w:rPr>
          <w:lang w:val="es-ES"/>
        </w:rPr>
        <w:t>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rsidR="007A1283" w:rsidRPr="009907FF" w:rsidRDefault="007A1283" w:rsidP="009907FF">
      <w:pPr>
        <w:pStyle w:val="FootnoteText"/>
        <w:jc w:val="both"/>
        <w:rPr>
          <w:lang w:val="es-ES"/>
        </w:rPr>
      </w:pPr>
      <w:r w:rsidRPr="009907FF">
        <w:rPr>
          <w:lang w:val="es-ES"/>
        </w:rPr>
        <w:t>Art. 77:</w:t>
      </w:r>
      <w:r w:rsidR="000E7FF7" w:rsidRPr="000E7FF7">
        <w:rPr>
          <w:lang w:val="es-ES"/>
        </w:rPr>
        <w:t xml:space="preserve"> </w:t>
      </w:r>
      <w:r w:rsidR="000E7FF7" w:rsidRPr="009907FF">
        <w:rPr>
          <w:lang w:val="es-ES"/>
        </w:rPr>
        <w:t>“</w:t>
      </w:r>
      <w:r w:rsidRPr="009907FF">
        <w:rPr>
          <w:lang w:val="es-ES"/>
        </w:rPr>
        <w:t xml:space="preserve">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 </w:t>
      </w:r>
    </w:p>
    <w:p w:rsidR="007A1283" w:rsidRPr="009907FF" w:rsidRDefault="007A1283" w:rsidP="009907FF">
      <w:pPr>
        <w:pStyle w:val="FootnoteText"/>
        <w:jc w:val="both"/>
        <w:rPr>
          <w:lang w:val="es-ES"/>
        </w:rPr>
      </w:pPr>
      <w:r w:rsidRPr="009907FF">
        <w:rPr>
          <w:lang w:val="es-ES"/>
        </w:rPr>
        <w:t>2. Cada protocolo debe fijar las modalidades de su entrada en vigor, y se aplicará sólo entre los Estados Partes en el mismo.”</w:t>
      </w:r>
    </w:p>
    <w:p w:rsidR="00B34C13" w:rsidRPr="009907FF" w:rsidRDefault="00B34C13" w:rsidP="009907FF">
      <w:pPr>
        <w:pStyle w:val="FootnoteText"/>
        <w:jc w:val="both"/>
        <w:rPr>
          <w:lang w:val="es-ES"/>
        </w:rPr>
      </w:pPr>
    </w:p>
  </w:footnote>
  <w:footnote w:id="9">
    <w:p w:rsidR="007A1283" w:rsidRPr="009907FF" w:rsidRDefault="00F95A83" w:rsidP="009907FF">
      <w:pPr>
        <w:pStyle w:val="FootnoteText"/>
        <w:jc w:val="both"/>
        <w:rPr>
          <w:lang w:val="es-ES"/>
        </w:rPr>
      </w:pPr>
      <w:r w:rsidRPr="009907FF">
        <w:rPr>
          <w:rStyle w:val="FootnoteReference"/>
        </w:rPr>
        <w:footnoteRef/>
      </w:r>
      <w:r w:rsidRPr="009907FF">
        <w:rPr>
          <w:lang w:val="es-ES"/>
        </w:rPr>
        <w:t xml:space="preserve"> </w:t>
      </w:r>
      <w:r w:rsidR="007A1283" w:rsidRPr="009907FF">
        <w:rPr>
          <w:lang w:val="es-ES"/>
        </w:rPr>
        <w:t>Art.</w:t>
      </w:r>
      <w:r w:rsidR="00D332E6" w:rsidRPr="009907FF">
        <w:rPr>
          <w:lang w:val="es-ES"/>
        </w:rPr>
        <w:t xml:space="preserve"> </w:t>
      </w:r>
      <w:r w:rsidR="007A1283" w:rsidRPr="009907FF">
        <w:rPr>
          <w:lang w:val="es-ES"/>
        </w:rPr>
        <w:t>40 de la Convención de Viena sobre el Derecho de los Tratados: “Enmienda de los tratados multilaterales. 1. Salvo que el tratado disponga otra cosa, la enmienda de los tratados multilaterales se regirá por los párrafos siguientes.</w:t>
      </w:r>
    </w:p>
    <w:p w:rsidR="007A1283" w:rsidRPr="009907FF" w:rsidRDefault="007A1283" w:rsidP="009907FF">
      <w:pPr>
        <w:pStyle w:val="FootnoteText"/>
        <w:jc w:val="both"/>
        <w:rPr>
          <w:lang w:val="es-ES"/>
        </w:rPr>
      </w:pPr>
      <w:r w:rsidRPr="009907FF">
        <w:rPr>
          <w:lang w:val="es-ES"/>
        </w:rPr>
        <w:t>2. Toda propuesta de enmienda de un tratado multilateral en las relaciones entre todas las partes habrá de ser notificada a todos los Estados contratantes, cada uno de los cuales tendrá derecho a participar:</w:t>
      </w:r>
    </w:p>
    <w:p w:rsidR="007A1283" w:rsidRPr="009907FF" w:rsidRDefault="007A1283" w:rsidP="009907FF">
      <w:pPr>
        <w:pStyle w:val="FootnoteText"/>
        <w:jc w:val="both"/>
        <w:rPr>
          <w:lang w:val="es-ES"/>
        </w:rPr>
      </w:pPr>
      <w:r w:rsidRPr="009907FF">
        <w:rPr>
          <w:lang w:val="es-ES"/>
        </w:rPr>
        <w:t>a) en la decisión sobre las medidas que haya que adoptar con relación a tal propuesta:</w:t>
      </w:r>
    </w:p>
    <w:p w:rsidR="007A1283" w:rsidRPr="009907FF" w:rsidRDefault="007A1283" w:rsidP="009907FF">
      <w:pPr>
        <w:pStyle w:val="FootnoteText"/>
        <w:jc w:val="both"/>
        <w:rPr>
          <w:lang w:val="es-ES"/>
        </w:rPr>
      </w:pPr>
      <w:r w:rsidRPr="009907FF">
        <w:rPr>
          <w:lang w:val="es-ES"/>
        </w:rPr>
        <w:t>b) en la negociación y la celebración de cualquier acuerdo que tenga por objeto enmendar el tratado.</w:t>
      </w:r>
    </w:p>
    <w:p w:rsidR="007A1283" w:rsidRPr="009907FF" w:rsidRDefault="007A1283" w:rsidP="009907FF">
      <w:pPr>
        <w:pStyle w:val="FootnoteText"/>
        <w:jc w:val="both"/>
        <w:rPr>
          <w:lang w:val="es-ES"/>
        </w:rPr>
      </w:pPr>
      <w:r w:rsidRPr="009907FF">
        <w:rPr>
          <w:lang w:val="es-ES"/>
        </w:rPr>
        <w:t>3. Todo Estado facultado para llegar a ser parte en el tratado estará también facultado para llegar a ser parte en el tratado en su forma enmendada.</w:t>
      </w:r>
    </w:p>
    <w:p w:rsidR="007A1283" w:rsidRPr="009907FF" w:rsidRDefault="007A1283" w:rsidP="009907FF">
      <w:pPr>
        <w:pStyle w:val="FootnoteText"/>
        <w:jc w:val="both"/>
        <w:rPr>
          <w:lang w:val="es-ES"/>
        </w:rPr>
      </w:pPr>
      <w:r w:rsidRPr="009907FF">
        <w:rPr>
          <w:lang w:val="es-ES"/>
        </w:rPr>
        <w:t>4. El acuerdo en virtud del cual se enmiende el tratado no obligará a ningún Estado que sea ya parte en el tratado que no llegue a serlo en ese acuerdo, con respecto a tal Estado se aplicará el apartado b) del párrafo 4 del artículo 30.</w:t>
      </w:r>
    </w:p>
    <w:p w:rsidR="007A1283" w:rsidRPr="009907FF" w:rsidRDefault="007A1283" w:rsidP="009907FF">
      <w:pPr>
        <w:pStyle w:val="FootnoteText"/>
        <w:jc w:val="both"/>
        <w:rPr>
          <w:lang w:val="es-ES"/>
        </w:rPr>
      </w:pPr>
      <w:r w:rsidRPr="009907FF">
        <w:rPr>
          <w:lang w:val="es-ES"/>
        </w:rPr>
        <w:t>5. Todo Estado que llegue a ser parte en el tratado después de la entrada en vigor del acuerdo en virtud del cual se enmiende el tratado será considerado, de no haber manifestado ese Estado una intención diferente:</w:t>
      </w:r>
    </w:p>
    <w:p w:rsidR="007A1283" w:rsidRPr="009907FF" w:rsidRDefault="007A1283" w:rsidP="009907FF">
      <w:pPr>
        <w:pStyle w:val="FootnoteText"/>
        <w:jc w:val="both"/>
        <w:rPr>
          <w:lang w:val="es-ES"/>
        </w:rPr>
      </w:pPr>
      <w:r w:rsidRPr="009907FF">
        <w:rPr>
          <w:lang w:val="es-ES"/>
        </w:rPr>
        <w:t>a) parte en el tratado en su forma enmendada; y</w:t>
      </w:r>
    </w:p>
    <w:p w:rsidR="00F95A83" w:rsidRPr="009907FF" w:rsidRDefault="007A1283" w:rsidP="009907FF">
      <w:pPr>
        <w:pStyle w:val="FootnoteText"/>
        <w:jc w:val="both"/>
        <w:rPr>
          <w:lang w:val="es-ES"/>
        </w:rPr>
      </w:pPr>
      <w:r w:rsidRPr="009907FF">
        <w:rPr>
          <w:lang w:val="es-ES"/>
        </w:rPr>
        <w:t>b) parte en el tratado no enmendado con respecto a toda parte en el tratado que no esté obligada por el acuerdo en virtud del cual se enmiende el tratado.”</w:t>
      </w:r>
    </w:p>
    <w:p w:rsidR="00B34C13" w:rsidRPr="009907FF" w:rsidRDefault="00B34C13" w:rsidP="009907FF">
      <w:pPr>
        <w:pStyle w:val="FootnoteText"/>
        <w:jc w:val="both"/>
        <w:rPr>
          <w:lang w:val="es-ES"/>
        </w:rPr>
      </w:pPr>
    </w:p>
  </w:footnote>
  <w:footnote w:id="10">
    <w:p w:rsidR="005B13D5" w:rsidRPr="009907FF" w:rsidRDefault="005B13D5" w:rsidP="009907FF">
      <w:pPr>
        <w:pStyle w:val="FootnoteText"/>
        <w:jc w:val="both"/>
        <w:rPr>
          <w:lang w:val="es-ES"/>
        </w:rPr>
      </w:pPr>
      <w:r w:rsidRPr="009907FF">
        <w:rPr>
          <w:rStyle w:val="FootnoteReference"/>
        </w:rPr>
        <w:footnoteRef/>
      </w:r>
      <w:r w:rsidR="007A1283" w:rsidRPr="009907FF">
        <w:rPr>
          <w:lang w:val="es-ES"/>
        </w:rPr>
        <w:t xml:space="preserve"> Art.</w:t>
      </w:r>
      <w:r w:rsidRPr="009907FF">
        <w:rPr>
          <w:lang w:val="es-ES"/>
        </w:rPr>
        <w:t xml:space="preserve"> 49</w:t>
      </w:r>
      <w:r w:rsidR="007A1283" w:rsidRPr="009907FF">
        <w:rPr>
          <w:lang w:val="es-ES"/>
        </w:rPr>
        <w:t>:</w:t>
      </w:r>
      <w:r w:rsidR="00763995" w:rsidRPr="009907FF">
        <w:rPr>
          <w:lang w:val="es-ES"/>
        </w:rPr>
        <w:t xml:space="preserve"> “</w:t>
      </w:r>
      <w:r w:rsidRPr="009907FF">
        <w:rPr>
          <w:lang w:val="es-ES"/>
        </w:rPr>
        <w:t>Si se ha llegado a una solución amistosa con arreglo a las disposiciones del inciso 1.f. del artículo 48 la Comisión redactará un informe que será transmitido al peticionario y a los Estados Partes en esta Convención y comunicado después, para su publicación, al Secretario General de la Organización de los Estados Americanos.  Este informe contendrá una breve exposición de los hechos y de la solución lograda.  Si cualquiera de las partes en el caso lo solicitan, se les suministrará la más amplia información posible.</w:t>
      </w:r>
      <w:r w:rsidR="00763995" w:rsidRPr="009907FF">
        <w:rPr>
          <w:lang w:val="es-ES"/>
        </w:rPr>
        <w:t>”</w:t>
      </w:r>
    </w:p>
    <w:p w:rsidR="00B34C13" w:rsidRPr="009907FF" w:rsidRDefault="00B34C13" w:rsidP="009907FF">
      <w:pPr>
        <w:pStyle w:val="FootnoteText"/>
        <w:jc w:val="both"/>
        <w:rPr>
          <w:lang w:val="es-ES"/>
        </w:rPr>
      </w:pPr>
    </w:p>
  </w:footnote>
  <w:footnote w:id="11">
    <w:p w:rsidR="00600DA9" w:rsidRPr="009907FF" w:rsidRDefault="00600DA9" w:rsidP="009907FF">
      <w:pPr>
        <w:pStyle w:val="FootnoteText"/>
        <w:jc w:val="both"/>
        <w:rPr>
          <w:lang w:val="es-ES"/>
        </w:rPr>
      </w:pPr>
      <w:r w:rsidRPr="009907FF">
        <w:rPr>
          <w:rStyle w:val="FootnoteReference"/>
        </w:rPr>
        <w:footnoteRef/>
      </w:r>
      <w:r w:rsidRPr="009907FF">
        <w:rPr>
          <w:lang w:val="es-ES"/>
        </w:rPr>
        <w:t xml:space="preserve"> En adelante, la Comisión.</w:t>
      </w:r>
    </w:p>
    <w:p w:rsidR="00B34C13" w:rsidRPr="009907FF" w:rsidRDefault="00B34C13" w:rsidP="009907FF">
      <w:pPr>
        <w:pStyle w:val="FootnoteText"/>
        <w:jc w:val="both"/>
        <w:rPr>
          <w:lang w:val="es-ES"/>
        </w:rPr>
      </w:pPr>
    </w:p>
  </w:footnote>
  <w:footnote w:id="12">
    <w:p w:rsidR="008F0B30" w:rsidRPr="009907FF" w:rsidRDefault="008F0B30" w:rsidP="009907FF">
      <w:pPr>
        <w:pStyle w:val="FootnoteText"/>
        <w:jc w:val="both"/>
        <w:rPr>
          <w:lang w:val="es-ES"/>
        </w:rPr>
      </w:pPr>
      <w:r w:rsidRPr="009907FF">
        <w:rPr>
          <w:rStyle w:val="FootnoteReference"/>
        </w:rPr>
        <w:footnoteRef/>
      </w:r>
      <w:r w:rsidRPr="009907FF">
        <w:rPr>
          <w:lang w:val="es-ES"/>
        </w:rPr>
        <w:t xml:space="preserve"> “Cuando la Comisión, las víctimas o presuntas víctimas o sus representantes, el Estado demandando y, en su caso, el Estado demandante, en un caso ante la Corte comunicaren a ésta la existencia de una solución amistosa, de un avenimiento o de otro hecho idóneo para la solución del litigio, la Corte resolverá en el momento procesal oportuno sobre su procedencia y sus efectos jurídicos.”</w:t>
      </w:r>
    </w:p>
    <w:p w:rsidR="00B34C13" w:rsidRPr="009907FF" w:rsidRDefault="00B34C13" w:rsidP="009907FF">
      <w:pPr>
        <w:pStyle w:val="FootnoteText"/>
        <w:jc w:val="both"/>
        <w:rPr>
          <w:lang w:val="es-ES"/>
        </w:rPr>
      </w:pPr>
    </w:p>
  </w:footnote>
  <w:footnote w:id="13">
    <w:p w:rsidR="008F0B30" w:rsidRPr="009907FF" w:rsidRDefault="008F0B30" w:rsidP="009907FF">
      <w:pPr>
        <w:pStyle w:val="FootnoteText"/>
        <w:jc w:val="both"/>
        <w:rPr>
          <w:lang w:val="es-ES"/>
        </w:rPr>
      </w:pPr>
      <w:r w:rsidRPr="009907FF">
        <w:rPr>
          <w:rStyle w:val="FootnoteReference"/>
        </w:rPr>
        <w:footnoteRef/>
      </w:r>
      <w:r w:rsidRPr="009907FF">
        <w:rPr>
          <w:lang w:val="es-ES"/>
        </w:rPr>
        <w:t xml:space="preserve"> “La Corte, teniendo en cuenta las responsabilidades que le incumben de proteger los derechos humanos, podrá decidir que prosiga el examen del caso, aun en presencia de los supuestos señalados en los artículos precedentes.”</w:t>
      </w:r>
    </w:p>
    <w:p w:rsidR="00B34C13" w:rsidRPr="009907FF" w:rsidRDefault="00B34C13" w:rsidP="009907FF">
      <w:pPr>
        <w:pStyle w:val="FootnoteText"/>
        <w:jc w:val="both"/>
        <w:rPr>
          <w:lang w:val="es-ES"/>
        </w:rPr>
      </w:pPr>
    </w:p>
  </w:footnote>
  <w:footnote w:id="14">
    <w:p w:rsidR="0010550D" w:rsidRPr="009907FF" w:rsidRDefault="0010550D" w:rsidP="009907FF">
      <w:pPr>
        <w:pStyle w:val="FootnoteText"/>
        <w:jc w:val="both"/>
        <w:rPr>
          <w:lang w:val="es-ES"/>
        </w:rPr>
      </w:pPr>
      <w:r w:rsidRPr="009907FF">
        <w:rPr>
          <w:rStyle w:val="FootnoteReference"/>
        </w:rPr>
        <w:footnoteRef/>
      </w:r>
      <w:r w:rsidRPr="009907FF">
        <w:rPr>
          <w:lang w:val="es-ES"/>
        </w:rPr>
        <w:t xml:space="preserve"> Artículo 66</w:t>
      </w:r>
      <w:r w:rsidR="00645E22" w:rsidRPr="009907FF">
        <w:rPr>
          <w:lang w:val="es-ES"/>
        </w:rPr>
        <w:t>:</w:t>
      </w:r>
      <w:r w:rsidRPr="009907FF">
        <w:rPr>
          <w:lang w:val="es-ES"/>
        </w:rPr>
        <w:t xml:space="preserve"> </w:t>
      </w:r>
      <w:r w:rsidR="00645E22" w:rsidRPr="009907FF">
        <w:rPr>
          <w:lang w:val="es-ES"/>
        </w:rPr>
        <w:t>“</w:t>
      </w:r>
      <w:r w:rsidRPr="009907FF">
        <w:rPr>
          <w:lang w:val="es-ES"/>
        </w:rPr>
        <w:t xml:space="preserve">1. El fallo de la Corte será motivado. </w:t>
      </w:r>
    </w:p>
    <w:p w:rsidR="0010550D" w:rsidRPr="009907FF" w:rsidRDefault="0010550D" w:rsidP="009907FF">
      <w:pPr>
        <w:pStyle w:val="FootnoteText"/>
        <w:jc w:val="both"/>
        <w:rPr>
          <w:lang w:val="es-ES"/>
        </w:rPr>
      </w:pPr>
      <w:r w:rsidRPr="009907FF">
        <w:rPr>
          <w:lang w:val="es-ES"/>
        </w:rPr>
        <w:t xml:space="preserve"> 2. Si el fallo no expresare en todo o en parte la opinión unánime de los jueces, cualquiera de éstos tendrá derecho a que se agregue al fallo su opinión disidente o individual.</w:t>
      </w:r>
      <w:r w:rsidR="00645E22" w:rsidRPr="009907FF">
        <w:rPr>
          <w:lang w:val="es-ES"/>
        </w:rPr>
        <w:t>”</w:t>
      </w:r>
      <w:r w:rsidRPr="009907FF">
        <w:rPr>
          <w:lang w:val="es-ES"/>
        </w:rPr>
        <w:t xml:space="preserve"> </w:t>
      </w:r>
    </w:p>
    <w:p w:rsidR="0010550D" w:rsidRPr="009907FF" w:rsidRDefault="0010550D" w:rsidP="009907FF">
      <w:pPr>
        <w:pStyle w:val="FootnoteText"/>
        <w:jc w:val="both"/>
        <w:rPr>
          <w:lang w:val="es-ES"/>
        </w:rPr>
      </w:pPr>
      <w:r w:rsidRPr="009907FF">
        <w:rPr>
          <w:lang w:val="es-ES"/>
        </w:rPr>
        <w:t>Artículo 67</w:t>
      </w:r>
      <w:r w:rsidR="00645E22" w:rsidRPr="009907FF">
        <w:rPr>
          <w:lang w:val="es-ES"/>
        </w:rPr>
        <w:t>:</w:t>
      </w:r>
      <w:r w:rsidR="00C56804">
        <w:rPr>
          <w:lang w:val="es-ES"/>
        </w:rPr>
        <w:t xml:space="preserve"> “</w:t>
      </w:r>
      <w:r w:rsidRPr="009907FF">
        <w:rPr>
          <w:lang w:val="es-ES"/>
        </w:rPr>
        <w:t>El fallo de la Corte</w:t>
      </w:r>
      <w:r w:rsidR="007F0EDA" w:rsidRPr="009907FF">
        <w:rPr>
          <w:lang w:val="es-ES"/>
        </w:rPr>
        <w:t xml:space="preserve"> será definitivo e inapelable. </w:t>
      </w:r>
      <w:r w:rsidRPr="009907FF">
        <w:rPr>
          <w:lang w:val="es-ES"/>
        </w:rPr>
        <w:t>En caso de desacuerdo sobre el sentido o alcance del fallo, la Corte lo interpretará a solicitud de cualquiera de las partes, siempre que dicha solicitud se presente dentro de los noventa días a partir de la fecha de la notificación del fallo.</w:t>
      </w:r>
      <w:r w:rsidR="00645E22" w:rsidRPr="009907FF">
        <w:rPr>
          <w:lang w:val="es-ES"/>
        </w:rPr>
        <w:t>”</w:t>
      </w:r>
      <w:r w:rsidRPr="009907FF">
        <w:rPr>
          <w:lang w:val="es-ES"/>
        </w:rPr>
        <w:t xml:space="preserve"> </w:t>
      </w:r>
    </w:p>
    <w:p w:rsidR="0010550D" w:rsidRPr="009907FF" w:rsidRDefault="0010550D" w:rsidP="009907FF">
      <w:pPr>
        <w:pStyle w:val="FootnoteText"/>
        <w:jc w:val="both"/>
        <w:rPr>
          <w:lang w:val="es-ES"/>
        </w:rPr>
      </w:pPr>
      <w:r w:rsidRPr="009907FF">
        <w:rPr>
          <w:lang w:val="es-ES"/>
        </w:rPr>
        <w:t>Artículo 68</w:t>
      </w:r>
      <w:r w:rsidR="00645E22" w:rsidRPr="009907FF">
        <w:rPr>
          <w:lang w:val="es-ES"/>
        </w:rPr>
        <w:t>:</w:t>
      </w:r>
      <w:r w:rsidR="00C56804" w:rsidRPr="009907FF">
        <w:rPr>
          <w:lang w:val="es-ES"/>
        </w:rPr>
        <w:t>“</w:t>
      </w:r>
      <w:r w:rsidRPr="009907FF">
        <w:rPr>
          <w:lang w:val="es-ES"/>
        </w:rPr>
        <w:t xml:space="preserve">1. Los Estados Partes en la Convención se comprometen a cumplir la decisión de la Corte en todo caso en que sean partes. </w:t>
      </w:r>
    </w:p>
    <w:p w:rsidR="0010550D" w:rsidRPr="009907FF" w:rsidRDefault="0010550D" w:rsidP="009907FF">
      <w:pPr>
        <w:pStyle w:val="FootnoteText"/>
        <w:jc w:val="both"/>
        <w:rPr>
          <w:lang w:val="es-ES"/>
        </w:rPr>
      </w:pPr>
      <w:r w:rsidRPr="009907FF">
        <w:rPr>
          <w:lang w:val="es-ES"/>
        </w:rPr>
        <w:t xml:space="preserve"> 2. La parte del fallo que disponga indemnización compensatoria se podrá ejecutar en el respectivo país por el procedimiento interno vigente para la ejecución de sentencias contra el Estado.</w:t>
      </w:r>
      <w:r w:rsidR="00645E22" w:rsidRPr="009907FF">
        <w:rPr>
          <w:lang w:val="es-ES"/>
        </w:rPr>
        <w:t>”</w:t>
      </w:r>
      <w:r w:rsidRPr="009907FF">
        <w:rPr>
          <w:lang w:val="es-ES"/>
        </w:rPr>
        <w:t xml:space="preserve"> </w:t>
      </w:r>
    </w:p>
    <w:p w:rsidR="00B34C13" w:rsidRPr="009907FF" w:rsidRDefault="00B34C13" w:rsidP="009907FF">
      <w:pPr>
        <w:pStyle w:val="FootnoteText"/>
        <w:jc w:val="both"/>
        <w:rPr>
          <w:lang w:val="es-ES"/>
        </w:rPr>
      </w:pPr>
    </w:p>
  </w:footnote>
  <w:footnote w:id="15">
    <w:p w:rsidR="00C62A42" w:rsidRPr="009907FF" w:rsidRDefault="00C62A42" w:rsidP="009907FF">
      <w:pPr>
        <w:pStyle w:val="FootnoteText"/>
        <w:jc w:val="both"/>
        <w:rPr>
          <w:lang w:val="es-ES"/>
        </w:rPr>
      </w:pPr>
      <w:r w:rsidRPr="009907FF">
        <w:rPr>
          <w:rStyle w:val="FootnoteReference"/>
        </w:rPr>
        <w:footnoteRef/>
      </w:r>
      <w:r w:rsidRPr="009907FF">
        <w:rPr>
          <w:lang w:val="es-ES"/>
        </w:rPr>
        <w:t xml:space="preserve"> </w:t>
      </w:r>
      <w:r w:rsidR="007F0EDA" w:rsidRPr="009907FF">
        <w:rPr>
          <w:lang w:val="es-ES"/>
        </w:rPr>
        <w:t>Párr.</w:t>
      </w:r>
      <w:r w:rsidR="00C56804">
        <w:rPr>
          <w:lang w:val="es-ES"/>
        </w:rPr>
        <w:t xml:space="preserve"> </w:t>
      </w:r>
      <w:r w:rsidR="007F0EDA" w:rsidRPr="009907FF">
        <w:rPr>
          <w:lang w:val="es-ES"/>
        </w:rPr>
        <w:t>11 de la Sentencia. Cada vez que se indique “párr.” se entenderá que es al párrafo pertinente de la Sentencia.</w:t>
      </w:r>
    </w:p>
    <w:p w:rsidR="00B34C13" w:rsidRPr="009907FF" w:rsidRDefault="00B34C13" w:rsidP="009907FF">
      <w:pPr>
        <w:pStyle w:val="FootnoteText"/>
        <w:jc w:val="both"/>
        <w:rPr>
          <w:lang w:val="es-ES"/>
        </w:rPr>
      </w:pPr>
    </w:p>
  </w:footnote>
  <w:footnote w:id="16">
    <w:p w:rsidR="007F0EDA" w:rsidRPr="009907FF" w:rsidRDefault="007F0EDA" w:rsidP="009907FF">
      <w:pPr>
        <w:pStyle w:val="FootnoteText"/>
        <w:jc w:val="both"/>
        <w:rPr>
          <w:lang w:val="es-ES"/>
        </w:rPr>
      </w:pPr>
      <w:r w:rsidRPr="009907FF">
        <w:rPr>
          <w:rStyle w:val="FootnoteReference"/>
        </w:rPr>
        <w:footnoteRef/>
      </w:r>
      <w:r w:rsidRPr="009907FF">
        <w:rPr>
          <w:lang w:val="es-ES"/>
        </w:rPr>
        <w:t xml:space="preserve"> </w:t>
      </w:r>
      <w:r w:rsidR="00CE243C" w:rsidRPr="009907FF">
        <w:rPr>
          <w:lang w:val="es-ES"/>
        </w:rPr>
        <w:t>“1. tr. Equiparar, poner en relación de igualdad dos cosas. 2. tr. Dicho de una autoridad: Contrastar el cumplimiento de determinadas especificaciones o características de un objeto o de una acción. 3. tr. Dicho de un organismo autorizado: Registrar y confirmar el resultado de una prueba deportiva realizada con arreglo a ciertas normas.” Diccionario de la Lengua Española, Real Academia Española, 23ª edición, 2014.</w:t>
      </w:r>
    </w:p>
    <w:p w:rsidR="00B34C13" w:rsidRPr="009907FF" w:rsidRDefault="00B34C13" w:rsidP="009907FF">
      <w:pPr>
        <w:pStyle w:val="FootnoteText"/>
        <w:jc w:val="both"/>
        <w:rPr>
          <w:lang w:val="es-ES"/>
        </w:rPr>
      </w:pPr>
    </w:p>
  </w:footnote>
  <w:footnote w:id="17">
    <w:p w:rsidR="00584FF4" w:rsidRPr="009907FF" w:rsidRDefault="00584FF4" w:rsidP="009907FF">
      <w:pPr>
        <w:pStyle w:val="FootnoteText"/>
        <w:jc w:val="both"/>
        <w:rPr>
          <w:lang w:val="es-ES"/>
        </w:rPr>
      </w:pPr>
      <w:r w:rsidRPr="009907FF">
        <w:rPr>
          <w:rStyle w:val="FootnoteReference"/>
        </w:rPr>
        <w:footnoteRef/>
      </w:r>
      <w:r w:rsidRPr="009907FF">
        <w:rPr>
          <w:lang w:val="es-ES"/>
        </w:rPr>
        <w:t xml:space="preserve"> </w:t>
      </w:r>
      <w:r w:rsidR="000471C0" w:rsidRPr="009907FF">
        <w:rPr>
          <w:lang w:val="es-ES"/>
        </w:rPr>
        <w:t>Pie de Nota Nº 10 de la Sentencia.</w:t>
      </w:r>
    </w:p>
    <w:p w:rsidR="00B34C13" w:rsidRPr="009907FF" w:rsidRDefault="00B34C13" w:rsidP="009907FF">
      <w:pPr>
        <w:pStyle w:val="FootnoteText"/>
        <w:jc w:val="both"/>
        <w:rPr>
          <w:lang w:val="es-ES"/>
        </w:rPr>
      </w:pPr>
    </w:p>
  </w:footnote>
  <w:footnote w:id="18">
    <w:p w:rsidR="00A530D1" w:rsidRPr="009907FF" w:rsidRDefault="00A530D1" w:rsidP="009907FF">
      <w:pPr>
        <w:pStyle w:val="FootnoteText"/>
        <w:jc w:val="both"/>
        <w:rPr>
          <w:lang w:val="es-ES"/>
        </w:rPr>
      </w:pPr>
      <w:r w:rsidRPr="009907FF">
        <w:rPr>
          <w:rStyle w:val="FootnoteReference"/>
        </w:rPr>
        <w:footnoteRef/>
      </w:r>
      <w:r w:rsidRPr="009907FF">
        <w:rPr>
          <w:lang w:val="es-ES"/>
        </w:rPr>
        <w:t xml:space="preserve"> Art.</w:t>
      </w:r>
      <w:r w:rsidR="00A02476">
        <w:rPr>
          <w:lang w:val="es-ES"/>
        </w:rPr>
        <w:t xml:space="preserve"> </w:t>
      </w:r>
      <w:r w:rsidRPr="009907FF">
        <w:rPr>
          <w:lang w:val="es-ES"/>
        </w:rPr>
        <w:t>62.3 de la Convención: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rsidR="00B34C13" w:rsidRPr="009907FF" w:rsidRDefault="00B34C13" w:rsidP="009907FF">
      <w:pPr>
        <w:pStyle w:val="FootnoteText"/>
        <w:jc w:val="both"/>
        <w:rPr>
          <w:lang w:val="es-ES"/>
        </w:rPr>
      </w:pPr>
    </w:p>
  </w:footnote>
  <w:footnote w:id="19">
    <w:p w:rsidR="00A530D1" w:rsidRPr="009907FF" w:rsidRDefault="00A530D1" w:rsidP="009907FF">
      <w:pPr>
        <w:pStyle w:val="FootnoteText"/>
        <w:jc w:val="both"/>
        <w:rPr>
          <w:lang w:val="es-ES"/>
        </w:rPr>
      </w:pPr>
      <w:r w:rsidRPr="009907FF">
        <w:rPr>
          <w:rStyle w:val="FootnoteReference"/>
        </w:rPr>
        <w:footnoteRef/>
      </w:r>
      <w:r w:rsidRPr="009907FF">
        <w:rPr>
          <w:lang w:val="es-ES"/>
        </w:rPr>
        <w:t xml:space="preserve"> </w:t>
      </w:r>
      <w:r w:rsidR="002A1503" w:rsidRPr="009907FF">
        <w:rPr>
          <w:lang w:val="es-ES"/>
        </w:rPr>
        <w:t>Punto R</w:t>
      </w:r>
      <w:r w:rsidR="00645E22" w:rsidRPr="009907FF">
        <w:rPr>
          <w:lang w:val="es-ES"/>
        </w:rPr>
        <w:t>esolut</w:t>
      </w:r>
      <w:r w:rsidR="00082018" w:rsidRPr="009907FF">
        <w:rPr>
          <w:lang w:val="es-ES"/>
        </w:rPr>
        <w:t>ivo Nº10</w:t>
      </w:r>
      <w:r w:rsidR="002A1503" w:rsidRPr="009907FF">
        <w:rPr>
          <w:lang w:val="es-ES"/>
        </w:rPr>
        <w:t xml:space="preserve"> de la Sentencia.</w:t>
      </w:r>
    </w:p>
    <w:p w:rsidR="00B34C13" w:rsidRPr="009907FF" w:rsidRDefault="00B34C13" w:rsidP="009907FF">
      <w:pPr>
        <w:pStyle w:val="FootnoteText"/>
        <w:jc w:val="both"/>
        <w:rPr>
          <w:lang w:val="es-ES"/>
        </w:rPr>
      </w:pPr>
    </w:p>
  </w:footnote>
  <w:footnote w:id="20">
    <w:p w:rsidR="00B34C13" w:rsidRPr="009907FF" w:rsidRDefault="00A650EA" w:rsidP="009907FF">
      <w:pPr>
        <w:pStyle w:val="FootnoteText"/>
        <w:jc w:val="both"/>
        <w:rPr>
          <w:lang w:val="es-ES"/>
        </w:rPr>
      </w:pPr>
      <w:r w:rsidRPr="009907FF">
        <w:rPr>
          <w:rStyle w:val="FootnoteReference"/>
        </w:rPr>
        <w:footnoteRef/>
      </w:r>
      <w:r w:rsidRPr="009907FF">
        <w:rPr>
          <w:lang w:val="es-ES"/>
        </w:rPr>
        <w:t xml:space="preserve"> </w:t>
      </w:r>
      <w:r w:rsidR="00EE2CE1" w:rsidRPr="009907FF">
        <w:rPr>
          <w:lang w:val="es-ES"/>
        </w:rPr>
        <w:t xml:space="preserve">Caso </w:t>
      </w:r>
      <w:r w:rsidR="00BC5368" w:rsidRPr="009907FF">
        <w:rPr>
          <w:lang w:val="es-ES"/>
        </w:rPr>
        <w:t xml:space="preserve">Gelman Vs. Uruguay, </w:t>
      </w:r>
      <w:r w:rsidR="00082018" w:rsidRPr="009907FF">
        <w:rPr>
          <w:lang w:val="es-ES"/>
        </w:rPr>
        <w:t>Supervisión de Cumplimiento de Sentencia. Resolución de la Corte Interamericana de Derechos Humanos 20 de marzo de 2013, párr.</w:t>
      </w:r>
      <w:r w:rsidR="00634D90">
        <w:rPr>
          <w:lang w:val="es-ES"/>
        </w:rPr>
        <w:t xml:space="preserve"> </w:t>
      </w:r>
      <w:r w:rsidR="00082018" w:rsidRPr="009907FF">
        <w:rPr>
          <w:lang w:val="es-ES"/>
        </w:rPr>
        <w:t>102.</w:t>
      </w:r>
    </w:p>
    <w:p w:rsidR="00A650EA" w:rsidRPr="009907FF" w:rsidRDefault="00BC5368" w:rsidP="009907FF">
      <w:pPr>
        <w:pStyle w:val="FootnoteText"/>
        <w:jc w:val="both"/>
        <w:rPr>
          <w:lang w:val="es-ES"/>
        </w:rPr>
      </w:pPr>
      <w:r w:rsidRPr="009907FF">
        <w:rPr>
          <w:lang w:val="es-ES"/>
        </w:rPr>
        <w:t xml:space="preserve"> </w:t>
      </w:r>
    </w:p>
  </w:footnote>
  <w:footnote w:id="21">
    <w:p w:rsidR="0060568E" w:rsidRPr="009907FF" w:rsidRDefault="0060568E" w:rsidP="009907FF">
      <w:pPr>
        <w:pStyle w:val="FootnoteText"/>
        <w:jc w:val="both"/>
        <w:rPr>
          <w:lang w:val="es-ES"/>
        </w:rPr>
      </w:pPr>
      <w:r w:rsidRPr="009907FF">
        <w:rPr>
          <w:rStyle w:val="FootnoteReference"/>
        </w:rPr>
        <w:footnoteRef/>
      </w:r>
      <w:r w:rsidR="002A1503" w:rsidRPr="009907FF">
        <w:rPr>
          <w:lang w:val="es-ES"/>
        </w:rPr>
        <w:t xml:space="preserve"> Tercera C</w:t>
      </w:r>
      <w:r w:rsidRPr="009907FF">
        <w:rPr>
          <w:lang w:val="es-ES"/>
        </w:rPr>
        <w:t>onsideración</w:t>
      </w:r>
      <w:r w:rsidR="002A1503" w:rsidRPr="009907FF">
        <w:rPr>
          <w:lang w:val="es-ES"/>
        </w:rPr>
        <w:t xml:space="preserve"> del Acuerdo de Solución Amistosa</w:t>
      </w:r>
      <w:r w:rsidRPr="009907FF">
        <w:rPr>
          <w:lang w:val="es-ES"/>
        </w:rPr>
        <w:t>.</w:t>
      </w:r>
    </w:p>
    <w:p w:rsidR="00B34C13" w:rsidRPr="009907FF" w:rsidRDefault="00B34C13" w:rsidP="009907FF">
      <w:pPr>
        <w:pStyle w:val="FootnoteText"/>
        <w:jc w:val="both"/>
        <w:rPr>
          <w:lang w:val="es-ES"/>
        </w:rPr>
      </w:pPr>
    </w:p>
  </w:footnote>
  <w:footnote w:id="22">
    <w:p w:rsidR="0060568E" w:rsidRPr="009907FF" w:rsidRDefault="0060568E" w:rsidP="009907FF">
      <w:pPr>
        <w:pStyle w:val="FootnoteText"/>
        <w:jc w:val="both"/>
        <w:rPr>
          <w:lang w:val="es-ES"/>
        </w:rPr>
      </w:pPr>
      <w:r w:rsidRPr="009907FF">
        <w:rPr>
          <w:rStyle w:val="FootnoteReference"/>
        </w:rPr>
        <w:footnoteRef/>
      </w:r>
      <w:r w:rsidRPr="009907FF">
        <w:rPr>
          <w:lang w:val="es-ES"/>
        </w:rPr>
        <w:t xml:space="preserve"> Numeral 4º</w:t>
      </w:r>
      <w:r w:rsidR="002A1503" w:rsidRPr="009907FF">
        <w:rPr>
          <w:lang w:val="es-ES"/>
        </w:rPr>
        <w:t xml:space="preserve"> del Acuerdo de Solución Amistosa</w:t>
      </w:r>
      <w:r w:rsidRPr="009907FF">
        <w:rPr>
          <w:lang w:val="es-ES"/>
        </w:rPr>
        <w:t>.</w:t>
      </w:r>
    </w:p>
    <w:p w:rsidR="00B34C13" w:rsidRPr="009907FF" w:rsidRDefault="00B34C13" w:rsidP="009907FF">
      <w:pPr>
        <w:pStyle w:val="FootnoteText"/>
        <w:jc w:val="both"/>
        <w:rPr>
          <w:lang w:val="es-ES"/>
        </w:rPr>
      </w:pPr>
    </w:p>
  </w:footnote>
  <w:footnote w:id="23">
    <w:p w:rsidR="00EB5135" w:rsidRPr="009907FF" w:rsidRDefault="00EB5135" w:rsidP="009907FF">
      <w:pPr>
        <w:pStyle w:val="FootnoteText"/>
        <w:jc w:val="both"/>
        <w:rPr>
          <w:lang w:val="es-ES"/>
        </w:rPr>
      </w:pPr>
      <w:r w:rsidRPr="009907FF">
        <w:rPr>
          <w:rStyle w:val="FootnoteReference"/>
        </w:rPr>
        <w:footnoteRef/>
      </w:r>
      <w:r w:rsidR="009260C7" w:rsidRPr="009907FF">
        <w:rPr>
          <w:lang w:val="es-ES"/>
        </w:rPr>
        <w:t xml:space="preserve"> </w:t>
      </w:r>
      <w:r w:rsidR="007F5680" w:rsidRPr="009907FF">
        <w:rPr>
          <w:lang w:val="es-ES"/>
        </w:rPr>
        <w:t>Voto Disidente del Juez Eduardo Vio Grossi, Corte Interamericana de Derechos</w:t>
      </w:r>
      <w:r w:rsidR="00331386">
        <w:rPr>
          <w:lang w:val="es-ES"/>
        </w:rPr>
        <w:t xml:space="preserve"> Humanos, Caso Artavia Murillo </w:t>
      </w:r>
      <w:r w:rsidR="007F5680" w:rsidRPr="009907FF">
        <w:rPr>
          <w:lang w:val="es-ES"/>
        </w:rPr>
        <w:t xml:space="preserve">y Otros (“Fecundación </w:t>
      </w:r>
      <w:r w:rsidR="007F5680" w:rsidRPr="009907FF">
        <w:rPr>
          <w:i/>
          <w:lang w:val="es-ES"/>
        </w:rPr>
        <w:t>in Vitro”)</w:t>
      </w:r>
      <w:r w:rsidR="007F5680" w:rsidRPr="009907FF">
        <w:rPr>
          <w:lang w:val="es-ES"/>
        </w:rPr>
        <w:t xml:space="preserve"> </w:t>
      </w:r>
      <w:r w:rsidR="007F5680" w:rsidRPr="009907FF">
        <w:rPr>
          <w:i/>
          <w:lang w:val="es-ES"/>
        </w:rPr>
        <w:t xml:space="preserve">Vs. </w:t>
      </w:r>
      <w:r w:rsidR="007F5680" w:rsidRPr="009907FF">
        <w:rPr>
          <w:lang w:val="es-ES"/>
        </w:rPr>
        <w:t>Costa Rica, Sentencia de 28 de noviembre de 2012, (Excepciones Preliminares, Fondo, Reparaciones y Costas)</w:t>
      </w:r>
      <w:r w:rsidR="00B34C13" w:rsidRPr="009907FF">
        <w:rPr>
          <w:lang w:val="es-ES"/>
        </w:rPr>
        <w:t>.</w:t>
      </w:r>
    </w:p>
    <w:p w:rsidR="00B34C13" w:rsidRPr="009907FF" w:rsidRDefault="00B34C13" w:rsidP="009907FF">
      <w:pPr>
        <w:pStyle w:val="FootnoteText"/>
        <w:jc w:val="both"/>
        <w:rPr>
          <w:lang w:val="es-ES"/>
        </w:rPr>
      </w:pPr>
    </w:p>
  </w:footnote>
  <w:footnote w:id="24">
    <w:p w:rsidR="009462DB" w:rsidRPr="009907FF" w:rsidRDefault="009462DB" w:rsidP="009907FF">
      <w:pPr>
        <w:pStyle w:val="FootnoteText"/>
        <w:jc w:val="both"/>
        <w:rPr>
          <w:lang w:val="es-ES"/>
        </w:rPr>
      </w:pPr>
      <w:r w:rsidRPr="009907FF">
        <w:rPr>
          <w:rStyle w:val="FootnoteReference"/>
        </w:rPr>
        <w:footnoteRef/>
      </w:r>
      <w:r w:rsidRPr="009907FF">
        <w:rPr>
          <w:lang w:val="es-ES"/>
        </w:rPr>
        <w:t xml:space="preserve"> Voto Concurrente del Juez Eduardo Vio Grossi, Resolución de la Corte Interamericana de Derechos Humanos, de 18 de nov</w:t>
      </w:r>
      <w:r w:rsidR="00C72FBF">
        <w:rPr>
          <w:lang w:val="es-ES"/>
        </w:rPr>
        <w:t>iembre de 2010, Caso Bámaca Velásquez</w:t>
      </w:r>
      <w:r w:rsidRPr="009907FF">
        <w:rPr>
          <w:lang w:val="es-ES"/>
        </w:rPr>
        <w:t xml:space="preserve"> Vs.</w:t>
      </w:r>
      <w:r w:rsidR="00C56804">
        <w:rPr>
          <w:lang w:val="es-ES"/>
        </w:rPr>
        <w:t xml:space="preserve"> </w:t>
      </w:r>
      <w:r w:rsidRPr="009907FF">
        <w:rPr>
          <w:lang w:val="es-ES"/>
        </w:rPr>
        <w:t>Guatemala, Supervisión de Cumplimiento de Sentencia, párr.5.</w:t>
      </w:r>
    </w:p>
    <w:p w:rsidR="009462DB" w:rsidRPr="009907FF" w:rsidRDefault="009462DB" w:rsidP="009907FF">
      <w:pPr>
        <w:pStyle w:val="FootnoteText"/>
        <w:jc w:val="both"/>
        <w:rPr>
          <w:lang w:val="es-ES"/>
        </w:rPr>
      </w:pPr>
    </w:p>
  </w:footnote>
  <w:footnote w:id="25">
    <w:p w:rsidR="009462DB" w:rsidRPr="009907FF" w:rsidRDefault="009462DB" w:rsidP="009907FF">
      <w:pPr>
        <w:pStyle w:val="FootnoteText"/>
        <w:jc w:val="both"/>
        <w:rPr>
          <w:lang w:val="es-ES"/>
        </w:rPr>
      </w:pPr>
      <w:r w:rsidRPr="009907FF">
        <w:rPr>
          <w:rStyle w:val="FootnoteReference"/>
        </w:rPr>
        <w:footnoteRef/>
      </w:r>
      <w:r w:rsidRPr="00AE40CB">
        <w:rPr>
          <w:lang w:val="es-CR"/>
        </w:rPr>
        <w:t xml:space="preserve"> Arrët, Affaire Chapin et Charpenti</w:t>
      </w:r>
      <w:r w:rsidR="00C56804" w:rsidRPr="00AE40CB">
        <w:rPr>
          <w:lang w:val="es-CR"/>
        </w:rPr>
        <w:t>e</w:t>
      </w:r>
      <w:r w:rsidRPr="00AE40CB">
        <w:rPr>
          <w:lang w:val="es-CR"/>
        </w:rPr>
        <w:t xml:space="preserve">r c. France, (Requête no 40183/07), Cinquième Section, Strasbourg, 9 juin 2016, párrs. </w:t>
      </w:r>
      <w:r w:rsidRPr="009907FF">
        <w:rPr>
          <w:lang w:val="es-ES"/>
        </w:rPr>
        <w:t>48 a 51</w:t>
      </w:r>
      <w:r w:rsidR="00AB6F87" w:rsidRPr="009907FF">
        <w:rPr>
          <w:lang w:val="es-ES"/>
        </w:rPr>
        <w:t>.</w:t>
      </w:r>
    </w:p>
    <w:p w:rsidR="00AB6F87" w:rsidRPr="009907FF" w:rsidRDefault="00AB6F87" w:rsidP="009907FF">
      <w:pPr>
        <w:pStyle w:val="FootnoteText"/>
        <w:jc w:val="both"/>
        <w:rPr>
          <w:lang w:val="es-ES"/>
        </w:rPr>
      </w:pPr>
    </w:p>
  </w:footnote>
  <w:footnote w:id="26">
    <w:p w:rsidR="00543876" w:rsidRDefault="00543876" w:rsidP="00543876">
      <w:pPr>
        <w:pStyle w:val="FootnoteText"/>
        <w:jc w:val="both"/>
        <w:rPr>
          <w:lang w:val="es-ES"/>
        </w:rPr>
      </w:pPr>
      <w:r>
        <w:rPr>
          <w:rStyle w:val="FootnoteReference"/>
        </w:rPr>
        <w:footnoteRef/>
      </w:r>
      <w:r w:rsidRPr="00543876">
        <w:rPr>
          <w:lang w:val="es-ES"/>
        </w:rPr>
        <w:t xml:space="preserve"> </w:t>
      </w:r>
      <w:r>
        <w:rPr>
          <w:lang w:val="es-ES"/>
        </w:rPr>
        <w:t xml:space="preserve">Sentencia del </w:t>
      </w:r>
      <w:r w:rsidRPr="00543876">
        <w:rPr>
          <w:lang w:val="es-ES"/>
        </w:rPr>
        <w:t>Caso Artavia Murillo y otros ("Fecundación in vitro") Vs. Costa Rica. Excepciones Preliminares, Fondo, Reparaciones y Costas Sentencia de 28 nov</w:t>
      </w:r>
      <w:r>
        <w:rPr>
          <w:lang w:val="es-ES"/>
        </w:rPr>
        <w:t>iembre de 2012. Serie C No. 257, párr. 264</w:t>
      </w:r>
    </w:p>
    <w:p w:rsidR="00543876" w:rsidRPr="00543876" w:rsidRDefault="00543876">
      <w:pPr>
        <w:pStyle w:val="FootnoteText"/>
        <w:rPr>
          <w:lang w:val="es-ES"/>
        </w:rPr>
      </w:pPr>
    </w:p>
  </w:footnote>
  <w:footnote w:id="27">
    <w:p w:rsidR="00543876" w:rsidRDefault="00543876">
      <w:pPr>
        <w:pStyle w:val="FootnoteText"/>
        <w:rPr>
          <w:lang w:val="es-ES"/>
        </w:rPr>
      </w:pPr>
      <w:r>
        <w:rPr>
          <w:rStyle w:val="FootnoteReference"/>
        </w:rPr>
        <w:footnoteRef/>
      </w:r>
      <w:r w:rsidRPr="00543876">
        <w:rPr>
          <w:lang w:val="es-ES"/>
        </w:rPr>
        <w:t xml:space="preserve"> </w:t>
      </w:r>
      <w:r>
        <w:rPr>
          <w:i/>
          <w:lang w:val="es-ES"/>
        </w:rPr>
        <w:t xml:space="preserve">Idem, </w:t>
      </w:r>
      <w:r>
        <w:rPr>
          <w:lang w:val="es-ES"/>
        </w:rPr>
        <w:t>p</w:t>
      </w:r>
      <w:r w:rsidRPr="00543876">
        <w:rPr>
          <w:lang w:val="es-ES"/>
        </w:rPr>
        <w:t>árr. 223</w:t>
      </w:r>
      <w:r>
        <w:rPr>
          <w:lang w:val="es-ES"/>
        </w:rPr>
        <w:t>.</w:t>
      </w:r>
    </w:p>
    <w:p w:rsidR="003B5E90" w:rsidRPr="00543876" w:rsidRDefault="003B5E90">
      <w:pPr>
        <w:pStyle w:val="FootnoteText"/>
        <w:rPr>
          <w:lang w:val="es-ES"/>
        </w:rPr>
      </w:pPr>
    </w:p>
  </w:footnote>
  <w:footnote w:id="28">
    <w:p w:rsidR="00543876" w:rsidRDefault="00543876">
      <w:pPr>
        <w:pStyle w:val="FootnoteText"/>
        <w:rPr>
          <w:lang w:val="es-ES"/>
        </w:rPr>
      </w:pPr>
      <w:r>
        <w:rPr>
          <w:rStyle w:val="FootnoteReference"/>
        </w:rPr>
        <w:footnoteRef/>
      </w:r>
      <w:r w:rsidRPr="00543876">
        <w:rPr>
          <w:lang w:val="es-ES"/>
        </w:rPr>
        <w:t xml:space="preserve"> </w:t>
      </w:r>
      <w:r w:rsidRPr="00543876">
        <w:rPr>
          <w:i/>
          <w:lang w:val="es-ES"/>
        </w:rPr>
        <w:t>Idem</w:t>
      </w:r>
      <w:r>
        <w:rPr>
          <w:lang w:val="es-ES"/>
        </w:rPr>
        <w:t>, párr. 264.</w:t>
      </w:r>
    </w:p>
    <w:p w:rsidR="003B5E90" w:rsidRPr="00543876" w:rsidRDefault="003B5E90">
      <w:pPr>
        <w:pStyle w:val="FootnoteText"/>
        <w:rPr>
          <w:lang w:val="es-ES"/>
        </w:rPr>
      </w:pPr>
    </w:p>
  </w:footnote>
  <w:footnote w:id="29">
    <w:p w:rsidR="007041AC" w:rsidRPr="009907FF" w:rsidRDefault="007041AC" w:rsidP="009907FF">
      <w:pPr>
        <w:pStyle w:val="FootnoteText"/>
        <w:jc w:val="both"/>
        <w:rPr>
          <w:lang w:val="es-ES"/>
        </w:rPr>
      </w:pPr>
      <w:r w:rsidRPr="009907FF">
        <w:rPr>
          <w:rStyle w:val="FootnoteReference"/>
        </w:rPr>
        <w:footnoteRef/>
      </w:r>
      <w:r w:rsidRPr="009907FF">
        <w:rPr>
          <w:lang w:val="es-ES"/>
        </w:rPr>
        <w:t xml:space="preserve"> Art. 1: “Obligación de Respetar los Derechos.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rsidR="007041AC" w:rsidRPr="009907FF" w:rsidRDefault="007041AC" w:rsidP="009907FF">
      <w:pPr>
        <w:pStyle w:val="FootnoteText"/>
        <w:jc w:val="both"/>
        <w:rPr>
          <w:lang w:val="es-ES"/>
        </w:rPr>
      </w:pPr>
      <w:r w:rsidRPr="009907FF">
        <w:rPr>
          <w:lang w:val="es-ES"/>
        </w:rPr>
        <w:t>2. Para los efectos de esta Convención, persona es todo ser humano.”</w:t>
      </w:r>
    </w:p>
    <w:p w:rsidR="00B34C13" w:rsidRPr="009907FF" w:rsidRDefault="00B34C13" w:rsidP="009907FF">
      <w:pPr>
        <w:pStyle w:val="FootnoteText"/>
        <w:jc w:val="both"/>
        <w:rPr>
          <w:lang w:val="es-ES"/>
        </w:rPr>
      </w:pPr>
    </w:p>
  </w:footnote>
  <w:footnote w:id="30">
    <w:p w:rsidR="00775ECA" w:rsidRPr="009907FF" w:rsidRDefault="00775ECA" w:rsidP="009907FF">
      <w:pPr>
        <w:pStyle w:val="FootnoteText"/>
        <w:jc w:val="both"/>
        <w:rPr>
          <w:lang w:val="es-ES"/>
        </w:rPr>
      </w:pPr>
      <w:r w:rsidRPr="009907FF">
        <w:rPr>
          <w:rStyle w:val="FootnoteReference"/>
        </w:rPr>
        <w:footnoteRef/>
      </w:r>
      <w:r w:rsidRPr="009907FF">
        <w:rPr>
          <w:lang w:val="es-ES"/>
        </w:rPr>
        <w:t xml:space="preserve"> Caso de los “Niños de la Calle (Villagrán Morales y Otros</w:t>
      </w:r>
      <w:r w:rsidR="00FD37FC">
        <w:rPr>
          <w:lang w:val="es-ES"/>
        </w:rPr>
        <w:t xml:space="preserve"> </w:t>
      </w:r>
      <w:r w:rsidR="00C56804">
        <w:rPr>
          <w:lang w:val="es-ES"/>
        </w:rPr>
        <w:t>(Fondo).</w:t>
      </w:r>
      <w:r w:rsidR="00C56804" w:rsidRPr="009907FF">
        <w:rPr>
          <w:lang w:val="es-ES"/>
        </w:rPr>
        <w:t xml:space="preserve"> </w:t>
      </w:r>
      <w:r w:rsidRPr="009907FF">
        <w:rPr>
          <w:lang w:val="es-ES"/>
        </w:rPr>
        <w:t>Sentencia de 19 de noviembre de 1999, Serie C N° 63, párr. 144.</w:t>
      </w:r>
    </w:p>
    <w:p w:rsidR="00B34C13" w:rsidRPr="009907FF" w:rsidRDefault="00B34C13" w:rsidP="009907FF">
      <w:pPr>
        <w:pStyle w:val="FootnoteText"/>
        <w:jc w:val="both"/>
        <w:rPr>
          <w:lang w:val="es-ES"/>
        </w:rPr>
      </w:pPr>
    </w:p>
    <w:p w:rsidR="00B34C13" w:rsidRPr="009907FF" w:rsidRDefault="00B34C13" w:rsidP="009907FF">
      <w:pPr>
        <w:pStyle w:val="FootnoteText"/>
        <w:jc w:val="both"/>
        <w:rPr>
          <w:lang w:val="es-ES"/>
        </w:rPr>
      </w:pPr>
    </w:p>
  </w:footnote>
  <w:footnote w:id="31">
    <w:p w:rsidR="00EE2CE1" w:rsidRPr="009907FF" w:rsidRDefault="00EE2CE1" w:rsidP="009907FF">
      <w:pPr>
        <w:pStyle w:val="FootnoteText"/>
        <w:jc w:val="both"/>
        <w:rPr>
          <w:lang w:val="es-ES"/>
        </w:rPr>
      </w:pPr>
      <w:r w:rsidRPr="009907FF">
        <w:rPr>
          <w:rStyle w:val="FootnoteReference"/>
        </w:rPr>
        <w:footnoteRef/>
      </w:r>
      <w:r w:rsidRPr="009907FF">
        <w:rPr>
          <w:lang w:val="es-ES"/>
        </w:rPr>
        <w:t xml:space="preserve"> Párr.</w:t>
      </w:r>
      <w:r w:rsidR="00A02476">
        <w:rPr>
          <w:lang w:val="es-ES"/>
        </w:rPr>
        <w:t xml:space="preserve"> </w:t>
      </w:r>
      <w:r w:rsidRPr="009907FF">
        <w:rPr>
          <w:lang w:val="es-ES"/>
        </w:rPr>
        <w:t>18.</w:t>
      </w:r>
    </w:p>
    <w:p w:rsidR="00B34C13" w:rsidRPr="009907FF" w:rsidRDefault="00B34C13" w:rsidP="009907FF">
      <w:pPr>
        <w:pStyle w:val="FootnoteText"/>
        <w:jc w:val="both"/>
        <w:rPr>
          <w:lang w:val="es-ES"/>
        </w:rPr>
      </w:pPr>
    </w:p>
  </w:footnote>
  <w:footnote w:id="32">
    <w:p w:rsidR="00830C79" w:rsidRPr="009907FF" w:rsidRDefault="00830C79" w:rsidP="009907FF">
      <w:pPr>
        <w:pStyle w:val="FootnoteText"/>
        <w:jc w:val="both"/>
        <w:rPr>
          <w:lang w:val="es-ES"/>
        </w:rPr>
      </w:pPr>
      <w:r w:rsidRPr="009907FF">
        <w:rPr>
          <w:rStyle w:val="FootnoteReference"/>
        </w:rPr>
        <w:footnoteRef/>
      </w:r>
      <w:r w:rsidRPr="009907FF">
        <w:rPr>
          <w:lang w:val="es-ES"/>
        </w:rPr>
        <w:t xml:space="preserve"> Párr.2</w:t>
      </w:r>
      <w:r w:rsidR="00B34C13" w:rsidRPr="009907FF">
        <w:rPr>
          <w:lang w:val="es-ES"/>
        </w:rPr>
        <w:t>.</w:t>
      </w:r>
    </w:p>
    <w:p w:rsidR="00B34C13" w:rsidRPr="009907FF" w:rsidRDefault="00B34C13" w:rsidP="009907FF">
      <w:pPr>
        <w:pStyle w:val="FootnoteText"/>
        <w:jc w:val="both"/>
        <w:rPr>
          <w:lang w:val="es-ES"/>
        </w:rPr>
      </w:pPr>
    </w:p>
  </w:footnote>
  <w:footnote w:id="33">
    <w:p w:rsidR="00830C79" w:rsidRPr="009907FF" w:rsidRDefault="00830C79" w:rsidP="009907FF">
      <w:pPr>
        <w:pStyle w:val="FootnoteText"/>
        <w:jc w:val="both"/>
        <w:rPr>
          <w:lang w:val="es-ES"/>
        </w:rPr>
      </w:pPr>
      <w:r w:rsidRPr="009907FF">
        <w:rPr>
          <w:rStyle w:val="FootnoteReference"/>
        </w:rPr>
        <w:footnoteRef/>
      </w:r>
      <w:r w:rsidR="00EE2CE1" w:rsidRPr="009907FF">
        <w:rPr>
          <w:lang w:val="es-ES"/>
        </w:rPr>
        <w:t xml:space="preserve"> Párr.3, </w:t>
      </w:r>
      <w:r w:rsidR="00C56804">
        <w:rPr>
          <w:lang w:val="es-ES"/>
        </w:rPr>
        <w:t>d</w:t>
      </w:r>
      <w:r w:rsidR="00EE2CE1" w:rsidRPr="009907FF">
        <w:rPr>
          <w:lang w:val="es-ES"/>
        </w:rPr>
        <w:t>)</w:t>
      </w:r>
      <w:r w:rsidR="00C56804">
        <w:rPr>
          <w:lang w:val="es-ES"/>
        </w:rPr>
        <w:t>ii</w:t>
      </w:r>
      <w:r w:rsidR="002A1647">
        <w:rPr>
          <w:lang w:val="es-ES"/>
        </w:rPr>
        <w:t>)</w:t>
      </w:r>
      <w:r w:rsidR="00C56804">
        <w:rPr>
          <w:lang w:val="es-ES"/>
        </w:rPr>
        <w:t>1.</w:t>
      </w:r>
    </w:p>
    <w:p w:rsidR="00B34C13" w:rsidRPr="009907FF" w:rsidRDefault="00B34C13" w:rsidP="009907FF">
      <w:pPr>
        <w:pStyle w:val="FootnoteText"/>
        <w:jc w:val="both"/>
        <w:rPr>
          <w:lang w:val="es-ES"/>
        </w:rPr>
      </w:pPr>
    </w:p>
  </w:footnote>
  <w:footnote w:id="34">
    <w:p w:rsidR="00D5158B" w:rsidRPr="009907FF" w:rsidRDefault="00D5158B" w:rsidP="009907FF">
      <w:pPr>
        <w:pStyle w:val="FootnoteText"/>
        <w:jc w:val="both"/>
        <w:rPr>
          <w:lang w:val="es-ES"/>
        </w:rPr>
      </w:pPr>
      <w:r w:rsidRPr="009907FF">
        <w:rPr>
          <w:rStyle w:val="FootnoteReference"/>
        </w:rPr>
        <w:footnoteRef/>
      </w:r>
      <w:r w:rsidRPr="009907FF">
        <w:rPr>
          <w:lang w:val="es-ES"/>
        </w:rPr>
        <w:t xml:space="preserve"> Punto 1 del Acuerdo de Solución Amistosa.</w:t>
      </w:r>
    </w:p>
    <w:p w:rsidR="00B34C13" w:rsidRPr="009907FF" w:rsidRDefault="00B34C13" w:rsidP="009907FF">
      <w:pPr>
        <w:pStyle w:val="FootnoteText"/>
        <w:jc w:val="both"/>
        <w:rPr>
          <w:lang w:val="es-ES"/>
        </w:rPr>
      </w:pPr>
    </w:p>
  </w:footnote>
  <w:footnote w:id="35">
    <w:p w:rsidR="00212198" w:rsidRPr="009907FF" w:rsidRDefault="00212198" w:rsidP="009907FF">
      <w:pPr>
        <w:pStyle w:val="FootnoteText"/>
        <w:jc w:val="both"/>
        <w:rPr>
          <w:lang w:val="es-ES"/>
        </w:rPr>
      </w:pPr>
      <w:r w:rsidRPr="009907FF">
        <w:rPr>
          <w:rStyle w:val="FootnoteReference"/>
        </w:rPr>
        <w:footnoteRef/>
      </w:r>
      <w:r w:rsidRPr="009907FF">
        <w:rPr>
          <w:lang w:val="es-ES"/>
        </w:rPr>
        <w:t xml:space="preserve"> Punto 3 del Acuerdo de Solución Amistosa.</w:t>
      </w:r>
    </w:p>
    <w:p w:rsidR="00212198" w:rsidRPr="009907FF" w:rsidRDefault="00212198" w:rsidP="009907FF">
      <w:pPr>
        <w:pStyle w:val="FootnoteText"/>
        <w:jc w:val="both"/>
        <w:rPr>
          <w:lang w:val="es-ES"/>
        </w:rPr>
      </w:pPr>
    </w:p>
  </w:footnote>
  <w:footnote w:id="36">
    <w:p w:rsidR="00EC035D" w:rsidRPr="009907FF" w:rsidRDefault="00D5158B" w:rsidP="009907FF">
      <w:pPr>
        <w:pStyle w:val="FootnoteText"/>
        <w:jc w:val="both"/>
        <w:rPr>
          <w:lang w:val="es-ES"/>
        </w:rPr>
      </w:pPr>
      <w:r w:rsidRPr="009907FF">
        <w:rPr>
          <w:rStyle w:val="FootnoteReference"/>
        </w:rPr>
        <w:footnoteRef/>
      </w:r>
      <w:r w:rsidRPr="009907FF">
        <w:rPr>
          <w:lang w:val="es-ES"/>
        </w:rPr>
        <w:t xml:space="preserve"> Caso Artavia Murillo y otros ("</w:t>
      </w:r>
      <w:r w:rsidRPr="009907FF">
        <w:rPr>
          <w:i/>
          <w:lang w:val="es-ES"/>
        </w:rPr>
        <w:t>Fecundación In Vitro</w:t>
      </w:r>
      <w:r w:rsidRPr="009907FF">
        <w:rPr>
          <w:lang w:val="es-ES"/>
        </w:rPr>
        <w:t xml:space="preserve">") </w:t>
      </w:r>
      <w:r w:rsidRPr="009907FF">
        <w:rPr>
          <w:i/>
          <w:lang w:val="es-ES"/>
        </w:rPr>
        <w:t>Vs</w:t>
      </w:r>
      <w:r w:rsidRPr="009907FF">
        <w:rPr>
          <w:lang w:val="es-ES"/>
        </w:rPr>
        <w:t>. Costa Rica. Supervisión de Cumplimiento de Sentencia. Resolución de la Corte Interamericana de Derechos Humanos de 26 de febrero de 2016.</w:t>
      </w:r>
    </w:p>
    <w:p w:rsidR="00176912" w:rsidRPr="009907FF" w:rsidRDefault="00176912" w:rsidP="009907FF">
      <w:pPr>
        <w:pStyle w:val="FootnoteText"/>
        <w:jc w:val="both"/>
        <w:rPr>
          <w:lang w:val="es-ES"/>
        </w:rPr>
      </w:pPr>
    </w:p>
  </w:footnote>
  <w:footnote w:id="37">
    <w:p w:rsidR="00B34C13" w:rsidRDefault="00D5158B" w:rsidP="009907FF">
      <w:pPr>
        <w:pStyle w:val="FootnoteText"/>
        <w:jc w:val="both"/>
        <w:rPr>
          <w:lang w:val="es-ES"/>
        </w:rPr>
      </w:pPr>
      <w:r w:rsidRPr="009907FF">
        <w:rPr>
          <w:rStyle w:val="FootnoteReference"/>
        </w:rPr>
        <w:footnoteRef/>
      </w:r>
      <w:r w:rsidRPr="009907FF">
        <w:rPr>
          <w:lang w:val="es-ES"/>
        </w:rPr>
        <w:t xml:space="preserve"> </w:t>
      </w:r>
      <w:r w:rsidR="00133729" w:rsidRPr="009907FF">
        <w:rPr>
          <w:lang w:val="es-ES"/>
        </w:rPr>
        <w:t xml:space="preserve">Cabe señalar que el suscrito disintió de la Resolución indicada, en especial por estimar que establecía una obligación para el Estado no contemplada en la Sentencia, afectado así el carácter definitivo de ésta y, por lo tanto, extralimitándose en sus facultades. Voto Individual Disidente del Juez Eduardo Vio Grossi, Resolución de la Corte Interamericana de Derechos Humanos, Caso Artavia Murillo y Otros (“Fecundación in Vitro”) Vs. Costa Rica, Supervisión de Cumplimiento de Sentencia, </w:t>
      </w:r>
      <w:r w:rsidR="009907FF" w:rsidRPr="009907FF">
        <w:rPr>
          <w:lang w:val="es-ES"/>
        </w:rPr>
        <w:t>Resolución de 26 de Febrero de 2016.</w:t>
      </w:r>
    </w:p>
    <w:p w:rsidR="001368AE" w:rsidRPr="009907FF" w:rsidRDefault="001368AE" w:rsidP="009907FF">
      <w:pPr>
        <w:pStyle w:val="FootnoteText"/>
        <w:jc w:val="both"/>
        <w:rPr>
          <w:lang w:val="es-ES"/>
        </w:rPr>
      </w:pPr>
    </w:p>
  </w:footnote>
  <w:footnote w:id="38">
    <w:p w:rsidR="00D5158B" w:rsidRPr="009907FF" w:rsidRDefault="00D5158B" w:rsidP="009907FF">
      <w:pPr>
        <w:pStyle w:val="FootnoteText"/>
        <w:jc w:val="both"/>
        <w:rPr>
          <w:lang w:val="es-ES"/>
        </w:rPr>
      </w:pPr>
      <w:r w:rsidRPr="009907FF">
        <w:rPr>
          <w:rStyle w:val="FootnoteReference"/>
        </w:rPr>
        <w:footnoteRef/>
      </w:r>
      <w:r w:rsidR="00EC30C3" w:rsidRPr="009907FF">
        <w:rPr>
          <w:lang w:val="es-ES"/>
        </w:rPr>
        <w:t xml:space="preserve"> Punto Declarativo Nº 4</w:t>
      </w:r>
      <w:r w:rsidR="000471C0" w:rsidRPr="009907FF">
        <w:rPr>
          <w:lang w:val="es-ES"/>
        </w:rPr>
        <w:t xml:space="preserve"> </w:t>
      </w:r>
      <w:r w:rsidR="00D93F88">
        <w:rPr>
          <w:lang w:val="es-ES"/>
        </w:rPr>
        <w:t xml:space="preserve">de la Sentencia </w:t>
      </w:r>
      <w:r w:rsidR="00EC30C3" w:rsidRPr="009907FF">
        <w:rPr>
          <w:lang w:val="es-ES"/>
        </w:rPr>
        <w:t>y párr.</w:t>
      </w:r>
      <w:r w:rsidR="00C56804">
        <w:rPr>
          <w:lang w:val="es-ES"/>
        </w:rPr>
        <w:t xml:space="preserve"> </w:t>
      </w:r>
      <w:r w:rsidR="00EC30C3" w:rsidRPr="009907FF">
        <w:rPr>
          <w:lang w:val="es-ES"/>
        </w:rPr>
        <w:t>4</w:t>
      </w:r>
      <w:r w:rsidR="00D93F88">
        <w:rPr>
          <w:lang w:val="es-ES"/>
        </w:rPr>
        <w:t>5</w:t>
      </w:r>
      <w:r w:rsidR="00EC30C3" w:rsidRPr="009907FF">
        <w:rPr>
          <w:lang w:val="es-ES"/>
        </w:rPr>
        <w:t>.</w:t>
      </w:r>
    </w:p>
    <w:p w:rsidR="00EC035D" w:rsidRPr="009907FF" w:rsidRDefault="00EC035D" w:rsidP="009907FF">
      <w:pPr>
        <w:pStyle w:val="FootnoteText"/>
        <w:jc w:val="both"/>
        <w:rPr>
          <w:lang w:val="es-ES"/>
        </w:rPr>
      </w:pPr>
    </w:p>
  </w:footnote>
  <w:footnote w:id="39">
    <w:p w:rsidR="00A84648" w:rsidRPr="009907FF" w:rsidRDefault="00A84648" w:rsidP="009907FF">
      <w:pPr>
        <w:pStyle w:val="FootnoteText"/>
        <w:jc w:val="both"/>
        <w:rPr>
          <w:lang w:val="es-ES"/>
        </w:rPr>
      </w:pPr>
      <w:r w:rsidRPr="009907FF">
        <w:rPr>
          <w:rStyle w:val="FootnoteReference"/>
        </w:rPr>
        <w:footnoteRef/>
      </w:r>
      <w:r w:rsidRPr="009907FF">
        <w:rPr>
          <w:lang w:val="es-ES"/>
        </w:rPr>
        <w:t xml:space="preserve"> </w:t>
      </w:r>
      <w:r w:rsidR="00381E73" w:rsidRPr="009907FF">
        <w:rPr>
          <w:lang w:val="es-ES"/>
        </w:rPr>
        <w:t>Punto Nº 13</w:t>
      </w:r>
      <w:r w:rsidR="000471C0" w:rsidRPr="009907FF">
        <w:rPr>
          <w:lang w:val="es-ES"/>
        </w:rPr>
        <w:t xml:space="preserve"> del Acuerdo de Solución Amistosa</w:t>
      </w:r>
      <w:r w:rsidR="00381E73" w:rsidRPr="009907FF">
        <w:rPr>
          <w:lang w:val="es-ES"/>
        </w:rPr>
        <w:t>: “Poner fin al proceso Gómez Murillo contra Costa Rica, a partir del logro del presente arreglo amistoso.”</w:t>
      </w:r>
    </w:p>
    <w:p w:rsidR="00381E73" w:rsidRPr="009907FF" w:rsidRDefault="00381E73" w:rsidP="009907FF">
      <w:pPr>
        <w:pStyle w:val="FootnoteText"/>
        <w:jc w:val="both"/>
        <w:rPr>
          <w:lang w:val="es-ES"/>
        </w:rPr>
      </w:pPr>
      <w:r w:rsidRPr="009907FF">
        <w:rPr>
          <w:lang w:val="es-ES"/>
        </w:rPr>
        <w:t>Punto Nº 14</w:t>
      </w:r>
      <w:r w:rsidR="000471C0" w:rsidRPr="009907FF">
        <w:rPr>
          <w:lang w:val="es-ES"/>
        </w:rPr>
        <w:t xml:space="preserve"> del Acuerdo de Solución Amistosa</w:t>
      </w:r>
      <w:r w:rsidRPr="009907FF">
        <w:rPr>
          <w:lang w:val="es-ES"/>
        </w:rPr>
        <w:t>: “Trasladar este acuerdo a la Honorable Corte Interamericana de Derechos Humanos para que valore su homologación.”</w:t>
      </w:r>
    </w:p>
    <w:p w:rsidR="00381E73" w:rsidRPr="009907FF" w:rsidRDefault="00381E73" w:rsidP="009907FF">
      <w:pPr>
        <w:pStyle w:val="FootnoteText"/>
        <w:jc w:val="both"/>
        <w:rPr>
          <w:lang w:val="es-ES"/>
        </w:rPr>
      </w:pPr>
    </w:p>
    <w:p w:rsidR="00381E73" w:rsidRPr="009907FF" w:rsidRDefault="00381E73" w:rsidP="009907FF">
      <w:pPr>
        <w:pStyle w:val="FootnoteText"/>
        <w:jc w:val="both"/>
        <w:rPr>
          <w:lang w:val="es-ES"/>
        </w:rPr>
      </w:pPr>
    </w:p>
    <w:p w:rsidR="00B34C13" w:rsidRPr="009907FF" w:rsidRDefault="00B34C13" w:rsidP="009907FF">
      <w:pPr>
        <w:pStyle w:val="FootnoteText"/>
        <w:jc w:val="both"/>
        <w:rPr>
          <w:lang w:val="es-ES"/>
        </w:rPr>
      </w:pPr>
    </w:p>
  </w:footnote>
  <w:footnote w:id="40">
    <w:p w:rsidR="000C469D" w:rsidRPr="009907FF" w:rsidRDefault="000C469D" w:rsidP="009907FF">
      <w:pPr>
        <w:pStyle w:val="FootnoteText"/>
        <w:jc w:val="both"/>
        <w:rPr>
          <w:lang w:val="es-ES"/>
        </w:rPr>
      </w:pPr>
      <w:r w:rsidRPr="009907FF">
        <w:rPr>
          <w:rStyle w:val="FootnoteReference"/>
        </w:rPr>
        <w:footnoteRef/>
      </w:r>
      <w:r w:rsidRPr="009907FF">
        <w:rPr>
          <w:lang w:val="es-ES"/>
        </w:rPr>
        <w:t xml:space="preserve"> De los seis jueces que participaron en el conocimiento del Caso Gómez Murillo y Otros </w:t>
      </w:r>
      <w:r w:rsidRPr="009907FF">
        <w:rPr>
          <w:i/>
          <w:lang w:val="es-ES"/>
        </w:rPr>
        <w:t>Vs.</w:t>
      </w:r>
      <w:r w:rsidR="00133729" w:rsidRPr="009907FF">
        <w:rPr>
          <w:i/>
          <w:lang w:val="es-ES"/>
        </w:rPr>
        <w:t xml:space="preserve"> </w:t>
      </w:r>
      <w:r w:rsidRPr="009907FF">
        <w:rPr>
          <w:lang w:val="es-ES"/>
        </w:rPr>
        <w:t>Costa Rica, solo el suscrito integraba la Corte que resolvió sobre el Caso Artavia Murillo y Otros (“</w:t>
      </w:r>
      <w:r w:rsidRPr="009907FF">
        <w:rPr>
          <w:i/>
          <w:lang w:val="es-ES"/>
        </w:rPr>
        <w:t>Fecundación in Vitro</w:t>
      </w:r>
      <w:r w:rsidRPr="009907FF">
        <w:rPr>
          <w:lang w:val="es-ES"/>
        </w:rPr>
        <w:t>”) Vs. Costa Rica.</w:t>
      </w:r>
    </w:p>
    <w:p w:rsidR="000C469D" w:rsidRPr="009907FF" w:rsidRDefault="000C469D" w:rsidP="009907FF">
      <w:pPr>
        <w:pStyle w:val="FootnoteText"/>
        <w:jc w:val="both"/>
        <w:rPr>
          <w:lang w:val="es-ES"/>
        </w:rPr>
      </w:pPr>
      <w:r w:rsidRPr="009907FF">
        <w:rPr>
          <w:lang w:val="es-ES"/>
        </w:rPr>
        <w:t xml:space="preserve"> </w:t>
      </w:r>
    </w:p>
  </w:footnote>
  <w:footnote w:id="41">
    <w:p w:rsidR="00EC035D" w:rsidRPr="009907FF" w:rsidRDefault="00B0053E" w:rsidP="009907FF">
      <w:pPr>
        <w:pStyle w:val="FootnoteText"/>
        <w:jc w:val="both"/>
        <w:rPr>
          <w:lang w:val="es-ES"/>
        </w:rPr>
      </w:pPr>
      <w:r w:rsidRPr="009907FF">
        <w:rPr>
          <w:rStyle w:val="FootnoteReference"/>
        </w:rPr>
        <w:footnoteRef/>
      </w:r>
      <w:r w:rsidRPr="009907FF">
        <w:rPr>
          <w:lang w:val="es-ES"/>
        </w:rPr>
        <w:t xml:space="preserve"> Caso de los “Niños de la Calle (Villagrán Morales y Otros) </w:t>
      </w:r>
      <w:r w:rsidRPr="009907FF">
        <w:rPr>
          <w:i/>
          <w:lang w:val="es-ES"/>
        </w:rPr>
        <w:t xml:space="preserve">Vs. </w:t>
      </w:r>
      <w:r w:rsidRPr="009907FF">
        <w:rPr>
          <w:lang w:val="es-ES"/>
        </w:rPr>
        <w:t>Guatemala</w:t>
      </w:r>
      <w:r w:rsidR="00C56804">
        <w:rPr>
          <w:lang w:val="es-ES"/>
        </w:rPr>
        <w:t>.</w:t>
      </w:r>
      <w:r w:rsidRPr="009907FF">
        <w:rPr>
          <w:lang w:val="es-ES"/>
        </w:rPr>
        <w:t xml:space="preserve"> (Fondo),</w:t>
      </w:r>
      <w:r w:rsidRPr="009907FF">
        <w:rPr>
          <w:i/>
          <w:lang w:val="es-ES"/>
        </w:rPr>
        <w:t xml:space="preserve"> </w:t>
      </w:r>
      <w:r w:rsidRPr="009907FF">
        <w:rPr>
          <w:lang w:val="es-ES"/>
        </w:rPr>
        <w:t>Sentencia de 19 de noviembre de 1999, Serie C N° 63, párr. 144.</w:t>
      </w:r>
    </w:p>
    <w:p w:rsidR="00B34C13" w:rsidRPr="009907FF" w:rsidRDefault="00B34C13" w:rsidP="009907FF">
      <w:pPr>
        <w:pStyle w:val="FootnoteText"/>
        <w:jc w:val="both"/>
        <w:rPr>
          <w:lang w:val="es-ES"/>
        </w:rPr>
      </w:pPr>
    </w:p>
  </w:footnote>
  <w:footnote w:id="42">
    <w:p w:rsidR="006B6CCF" w:rsidRPr="009907FF" w:rsidRDefault="006B6CCF" w:rsidP="009907FF">
      <w:pPr>
        <w:pStyle w:val="FootnoteText"/>
        <w:jc w:val="both"/>
        <w:rPr>
          <w:lang w:val="es-ES"/>
        </w:rPr>
      </w:pPr>
      <w:r w:rsidRPr="009907FF">
        <w:rPr>
          <w:rStyle w:val="FootnoteReference"/>
        </w:rPr>
        <w:footnoteRef/>
      </w:r>
      <w:r w:rsidRPr="009907FF">
        <w:rPr>
          <w:lang w:val="es-ES"/>
        </w:rPr>
        <w:t xml:space="preserve"> Caso Familia Barrios Vs. Venezuela. Fondo, Reparaciones y Costas. Sentencia de 24 de noviembre de 2011. Serie C No. 237, párr. 48.</w:t>
      </w:r>
    </w:p>
    <w:p w:rsidR="006B6CCF" w:rsidRPr="009907FF" w:rsidRDefault="006B6CCF" w:rsidP="009907FF">
      <w:pPr>
        <w:pStyle w:val="FootnoteText"/>
        <w:jc w:val="both"/>
        <w:rPr>
          <w:lang w:val="es-ES"/>
        </w:rPr>
      </w:pPr>
    </w:p>
  </w:footnote>
  <w:footnote w:id="43">
    <w:p w:rsidR="00D65CED" w:rsidRPr="009907FF" w:rsidRDefault="00D65CED" w:rsidP="009907FF">
      <w:pPr>
        <w:pStyle w:val="FootnoteText"/>
        <w:jc w:val="both"/>
        <w:rPr>
          <w:lang w:val="es-ES"/>
        </w:rPr>
      </w:pPr>
      <w:r w:rsidRPr="009907FF">
        <w:rPr>
          <w:rStyle w:val="FootnoteReference"/>
        </w:rPr>
        <w:footnoteRef/>
      </w:r>
      <w:r w:rsidRPr="009907FF">
        <w:rPr>
          <w:lang w:val="es-ES"/>
        </w:rPr>
        <w:t xml:space="preserve"> Se deja constancia que, al votar en contra</w:t>
      </w:r>
      <w:r w:rsidR="00174331" w:rsidRPr="009907FF">
        <w:rPr>
          <w:lang w:val="es-ES"/>
        </w:rPr>
        <w:t xml:space="preserve"> también respecto del </w:t>
      </w:r>
      <w:r w:rsidRPr="009907FF">
        <w:rPr>
          <w:lang w:val="es-ES"/>
        </w:rPr>
        <w:t>Punto Dispositivo Nº 10</w:t>
      </w:r>
      <w:r w:rsidR="00174331" w:rsidRPr="009907FF">
        <w:rPr>
          <w:lang w:val="es-ES"/>
        </w:rPr>
        <w:t xml:space="preserve"> de la Sentencia</w:t>
      </w:r>
      <w:r w:rsidRPr="009907FF">
        <w:rPr>
          <w:lang w:val="es-ES"/>
        </w:rPr>
        <w:t>, concerniente a su supervisión, el suscrito lo hizo en mérito de que, por las razones expuestas,  estima que la homologación decretada era improcedente</w:t>
      </w:r>
      <w:r w:rsidR="00174331" w:rsidRPr="009907FF">
        <w:rPr>
          <w:lang w:val="es-ES"/>
        </w:rPr>
        <w:t xml:space="preserve"> y, por consiguiente, igualmente lo sería su supervisión, pero, como lo manifestó ver</w:t>
      </w:r>
      <w:r w:rsidR="00167004">
        <w:rPr>
          <w:lang w:val="es-ES"/>
        </w:rPr>
        <w:t>balmente en su oportunidad</w:t>
      </w:r>
      <w:r w:rsidR="00174331" w:rsidRPr="009907FF">
        <w:rPr>
          <w:lang w:val="es-ES"/>
        </w:rPr>
        <w:t>, ello no implicaba que desconociera el ejercicio, una vez dictado el fallo, de tal facultad.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276A"/>
    <w:multiLevelType w:val="hybridMultilevel"/>
    <w:tmpl w:val="1506D2DE"/>
    <w:lvl w:ilvl="0" w:tplc="3814E13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93BAD"/>
    <w:multiLevelType w:val="hybridMultilevel"/>
    <w:tmpl w:val="2264A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D1A69"/>
    <w:multiLevelType w:val="hybridMultilevel"/>
    <w:tmpl w:val="35348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B727E"/>
    <w:multiLevelType w:val="hybridMultilevel"/>
    <w:tmpl w:val="C71E5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41E62"/>
    <w:multiLevelType w:val="hybridMultilevel"/>
    <w:tmpl w:val="B9965ECA"/>
    <w:lvl w:ilvl="0" w:tplc="E07467EE">
      <w:start w:val="1"/>
      <w:numFmt w:val="lowerLetter"/>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BA64B04"/>
    <w:multiLevelType w:val="hybridMultilevel"/>
    <w:tmpl w:val="DAB03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1E"/>
    <w:rsid w:val="00007692"/>
    <w:rsid w:val="00010096"/>
    <w:rsid w:val="000128E1"/>
    <w:rsid w:val="00022C7B"/>
    <w:rsid w:val="00030AAC"/>
    <w:rsid w:val="000471C0"/>
    <w:rsid w:val="00047B2F"/>
    <w:rsid w:val="00051F04"/>
    <w:rsid w:val="00052812"/>
    <w:rsid w:val="00056E6D"/>
    <w:rsid w:val="000643CA"/>
    <w:rsid w:val="00071391"/>
    <w:rsid w:val="00075208"/>
    <w:rsid w:val="00077FA1"/>
    <w:rsid w:val="00082018"/>
    <w:rsid w:val="0009275F"/>
    <w:rsid w:val="000C04A0"/>
    <w:rsid w:val="000C469D"/>
    <w:rsid w:val="000D4739"/>
    <w:rsid w:val="000E76A1"/>
    <w:rsid w:val="000E7FF7"/>
    <w:rsid w:val="0010550D"/>
    <w:rsid w:val="001132BE"/>
    <w:rsid w:val="00116EEE"/>
    <w:rsid w:val="001234F5"/>
    <w:rsid w:val="00133729"/>
    <w:rsid w:val="001368AE"/>
    <w:rsid w:val="00141286"/>
    <w:rsid w:val="001530DE"/>
    <w:rsid w:val="00161DBB"/>
    <w:rsid w:val="001629F9"/>
    <w:rsid w:val="00167004"/>
    <w:rsid w:val="00174331"/>
    <w:rsid w:val="00176912"/>
    <w:rsid w:val="0019511D"/>
    <w:rsid w:val="001964AC"/>
    <w:rsid w:val="001A7519"/>
    <w:rsid w:val="001B338F"/>
    <w:rsid w:val="001C1996"/>
    <w:rsid w:val="001D6116"/>
    <w:rsid w:val="001D7479"/>
    <w:rsid w:val="001E261A"/>
    <w:rsid w:val="001E2ADB"/>
    <w:rsid w:val="001F14E3"/>
    <w:rsid w:val="002005B6"/>
    <w:rsid w:val="0020299F"/>
    <w:rsid w:val="00203FB8"/>
    <w:rsid w:val="0021041A"/>
    <w:rsid w:val="00212198"/>
    <w:rsid w:val="00220476"/>
    <w:rsid w:val="00233492"/>
    <w:rsid w:val="00247C11"/>
    <w:rsid w:val="00251070"/>
    <w:rsid w:val="00253CEC"/>
    <w:rsid w:val="00265558"/>
    <w:rsid w:val="002746FA"/>
    <w:rsid w:val="00275ABC"/>
    <w:rsid w:val="00286416"/>
    <w:rsid w:val="00287559"/>
    <w:rsid w:val="002875A6"/>
    <w:rsid w:val="002A025A"/>
    <w:rsid w:val="002A1503"/>
    <w:rsid w:val="002A1647"/>
    <w:rsid w:val="002A3612"/>
    <w:rsid w:val="002B50DF"/>
    <w:rsid w:val="002C35FB"/>
    <w:rsid w:val="002E3A85"/>
    <w:rsid w:val="002E6370"/>
    <w:rsid w:val="00304B41"/>
    <w:rsid w:val="0030717D"/>
    <w:rsid w:val="00314729"/>
    <w:rsid w:val="00321116"/>
    <w:rsid w:val="00331386"/>
    <w:rsid w:val="0033232B"/>
    <w:rsid w:val="00335884"/>
    <w:rsid w:val="0034131E"/>
    <w:rsid w:val="003470CC"/>
    <w:rsid w:val="00353AC2"/>
    <w:rsid w:val="003556D9"/>
    <w:rsid w:val="003818E2"/>
    <w:rsid w:val="00381E73"/>
    <w:rsid w:val="0039595F"/>
    <w:rsid w:val="003A0CF8"/>
    <w:rsid w:val="003A0FBA"/>
    <w:rsid w:val="003A24F1"/>
    <w:rsid w:val="003B5E90"/>
    <w:rsid w:val="003F6636"/>
    <w:rsid w:val="00400B84"/>
    <w:rsid w:val="004116D8"/>
    <w:rsid w:val="00417794"/>
    <w:rsid w:val="00424B9A"/>
    <w:rsid w:val="00435484"/>
    <w:rsid w:val="0044282A"/>
    <w:rsid w:val="00442F6B"/>
    <w:rsid w:val="00445B35"/>
    <w:rsid w:val="004617FC"/>
    <w:rsid w:val="00466E60"/>
    <w:rsid w:val="00471768"/>
    <w:rsid w:val="004933B4"/>
    <w:rsid w:val="004935CA"/>
    <w:rsid w:val="00496795"/>
    <w:rsid w:val="004A3696"/>
    <w:rsid w:val="004B2A65"/>
    <w:rsid w:val="004C736C"/>
    <w:rsid w:val="004D08FC"/>
    <w:rsid w:val="004D49F0"/>
    <w:rsid w:val="004D5391"/>
    <w:rsid w:val="004D6F83"/>
    <w:rsid w:val="004E55D1"/>
    <w:rsid w:val="004F0269"/>
    <w:rsid w:val="004F0E4B"/>
    <w:rsid w:val="004F2F13"/>
    <w:rsid w:val="00527CFA"/>
    <w:rsid w:val="005320F3"/>
    <w:rsid w:val="00532742"/>
    <w:rsid w:val="00533DDB"/>
    <w:rsid w:val="005340F1"/>
    <w:rsid w:val="00543876"/>
    <w:rsid w:val="00562729"/>
    <w:rsid w:val="00584FF4"/>
    <w:rsid w:val="005A02B2"/>
    <w:rsid w:val="005A6AF1"/>
    <w:rsid w:val="005A7955"/>
    <w:rsid w:val="005B0B95"/>
    <w:rsid w:val="005B13D5"/>
    <w:rsid w:val="005B4CFC"/>
    <w:rsid w:val="005C1BAA"/>
    <w:rsid w:val="005C325D"/>
    <w:rsid w:val="005D2545"/>
    <w:rsid w:val="005D6179"/>
    <w:rsid w:val="005E4DF7"/>
    <w:rsid w:val="005F1567"/>
    <w:rsid w:val="005F28FF"/>
    <w:rsid w:val="00600BE4"/>
    <w:rsid w:val="00600DA9"/>
    <w:rsid w:val="00604AFB"/>
    <w:rsid w:val="006053E1"/>
    <w:rsid w:val="0060568E"/>
    <w:rsid w:val="00614D30"/>
    <w:rsid w:val="00615E4D"/>
    <w:rsid w:val="00620865"/>
    <w:rsid w:val="00630A17"/>
    <w:rsid w:val="00634D90"/>
    <w:rsid w:val="00644300"/>
    <w:rsid w:val="00645E22"/>
    <w:rsid w:val="0066518A"/>
    <w:rsid w:val="00676E97"/>
    <w:rsid w:val="00681B62"/>
    <w:rsid w:val="006850ED"/>
    <w:rsid w:val="00690A53"/>
    <w:rsid w:val="006928F5"/>
    <w:rsid w:val="006931C4"/>
    <w:rsid w:val="00693311"/>
    <w:rsid w:val="0069479F"/>
    <w:rsid w:val="00696666"/>
    <w:rsid w:val="006B2FBA"/>
    <w:rsid w:val="006B329D"/>
    <w:rsid w:val="006B5E5C"/>
    <w:rsid w:val="006B6CCF"/>
    <w:rsid w:val="006C041E"/>
    <w:rsid w:val="006C5082"/>
    <w:rsid w:val="006D0752"/>
    <w:rsid w:val="006E0FE1"/>
    <w:rsid w:val="006E32E6"/>
    <w:rsid w:val="006E4A0A"/>
    <w:rsid w:val="006F7ADD"/>
    <w:rsid w:val="0070219B"/>
    <w:rsid w:val="0070388A"/>
    <w:rsid w:val="007041AC"/>
    <w:rsid w:val="00705ED6"/>
    <w:rsid w:val="00720D86"/>
    <w:rsid w:val="00721F92"/>
    <w:rsid w:val="00724F01"/>
    <w:rsid w:val="00740A97"/>
    <w:rsid w:val="00755EB0"/>
    <w:rsid w:val="00763995"/>
    <w:rsid w:val="00765859"/>
    <w:rsid w:val="00775ECA"/>
    <w:rsid w:val="0078550D"/>
    <w:rsid w:val="00793CD7"/>
    <w:rsid w:val="007A1283"/>
    <w:rsid w:val="007A4C28"/>
    <w:rsid w:val="007A541A"/>
    <w:rsid w:val="007A679B"/>
    <w:rsid w:val="007B1338"/>
    <w:rsid w:val="007B6F6C"/>
    <w:rsid w:val="007F0EDA"/>
    <w:rsid w:val="007F5680"/>
    <w:rsid w:val="007F7EE7"/>
    <w:rsid w:val="00801000"/>
    <w:rsid w:val="00801D04"/>
    <w:rsid w:val="0080503E"/>
    <w:rsid w:val="00806F28"/>
    <w:rsid w:val="00822C3F"/>
    <w:rsid w:val="00830C79"/>
    <w:rsid w:val="008312A2"/>
    <w:rsid w:val="0084597F"/>
    <w:rsid w:val="00846BD1"/>
    <w:rsid w:val="00877D65"/>
    <w:rsid w:val="00890069"/>
    <w:rsid w:val="008953B9"/>
    <w:rsid w:val="008A0B50"/>
    <w:rsid w:val="008E036D"/>
    <w:rsid w:val="008E2549"/>
    <w:rsid w:val="008F0B30"/>
    <w:rsid w:val="008F4AEB"/>
    <w:rsid w:val="00904DDD"/>
    <w:rsid w:val="00916F1A"/>
    <w:rsid w:val="00921D32"/>
    <w:rsid w:val="00923A13"/>
    <w:rsid w:val="009260C7"/>
    <w:rsid w:val="0092691B"/>
    <w:rsid w:val="00936221"/>
    <w:rsid w:val="00937AED"/>
    <w:rsid w:val="00942AFC"/>
    <w:rsid w:val="009462DB"/>
    <w:rsid w:val="00951478"/>
    <w:rsid w:val="0096606E"/>
    <w:rsid w:val="00971C6F"/>
    <w:rsid w:val="00974668"/>
    <w:rsid w:val="00985D0F"/>
    <w:rsid w:val="0098626E"/>
    <w:rsid w:val="009865B8"/>
    <w:rsid w:val="009907FF"/>
    <w:rsid w:val="0099384F"/>
    <w:rsid w:val="009950EA"/>
    <w:rsid w:val="009A1AF1"/>
    <w:rsid w:val="009A4E5A"/>
    <w:rsid w:val="009A63A6"/>
    <w:rsid w:val="009B261A"/>
    <w:rsid w:val="009B2853"/>
    <w:rsid w:val="009B553D"/>
    <w:rsid w:val="009C1DDF"/>
    <w:rsid w:val="009D34EB"/>
    <w:rsid w:val="009D4FCD"/>
    <w:rsid w:val="009D5B20"/>
    <w:rsid w:val="009E3D47"/>
    <w:rsid w:val="009E5CEE"/>
    <w:rsid w:val="00A02476"/>
    <w:rsid w:val="00A237E7"/>
    <w:rsid w:val="00A35851"/>
    <w:rsid w:val="00A530D1"/>
    <w:rsid w:val="00A650EA"/>
    <w:rsid w:val="00A66767"/>
    <w:rsid w:val="00A819B9"/>
    <w:rsid w:val="00A84648"/>
    <w:rsid w:val="00A855E5"/>
    <w:rsid w:val="00A90441"/>
    <w:rsid w:val="00A96F74"/>
    <w:rsid w:val="00AB6F87"/>
    <w:rsid w:val="00AC1E6F"/>
    <w:rsid w:val="00AC39AF"/>
    <w:rsid w:val="00AC5C43"/>
    <w:rsid w:val="00AC7B7A"/>
    <w:rsid w:val="00AC7B9E"/>
    <w:rsid w:val="00AC7C51"/>
    <w:rsid w:val="00AE339A"/>
    <w:rsid w:val="00AE40CB"/>
    <w:rsid w:val="00AF584D"/>
    <w:rsid w:val="00B0053E"/>
    <w:rsid w:val="00B00F26"/>
    <w:rsid w:val="00B00F35"/>
    <w:rsid w:val="00B06344"/>
    <w:rsid w:val="00B06814"/>
    <w:rsid w:val="00B2243F"/>
    <w:rsid w:val="00B337A2"/>
    <w:rsid w:val="00B34C13"/>
    <w:rsid w:val="00B426B1"/>
    <w:rsid w:val="00B475DE"/>
    <w:rsid w:val="00B612EF"/>
    <w:rsid w:val="00B632B6"/>
    <w:rsid w:val="00B6436B"/>
    <w:rsid w:val="00B71B14"/>
    <w:rsid w:val="00B74637"/>
    <w:rsid w:val="00B7792A"/>
    <w:rsid w:val="00B80EC3"/>
    <w:rsid w:val="00B8732D"/>
    <w:rsid w:val="00B9077E"/>
    <w:rsid w:val="00B9610D"/>
    <w:rsid w:val="00BB09EC"/>
    <w:rsid w:val="00BB0EA0"/>
    <w:rsid w:val="00BB294B"/>
    <w:rsid w:val="00BC358B"/>
    <w:rsid w:val="00BC5368"/>
    <w:rsid w:val="00BC549D"/>
    <w:rsid w:val="00BE4D6B"/>
    <w:rsid w:val="00BE50AE"/>
    <w:rsid w:val="00BF5082"/>
    <w:rsid w:val="00C05562"/>
    <w:rsid w:val="00C11DBD"/>
    <w:rsid w:val="00C14296"/>
    <w:rsid w:val="00C26898"/>
    <w:rsid w:val="00C30445"/>
    <w:rsid w:val="00C31AB1"/>
    <w:rsid w:val="00C50D48"/>
    <w:rsid w:val="00C536D3"/>
    <w:rsid w:val="00C56804"/>
    <w:rsid w:val="00C62A42"/>
    <w:rsid w:val="00C64B04"/>
    <w:rsid w:val="00C706A5"/>
    <w:rsid w:val="00C72FBF"/>
    <w:rsid w:val="00C74D28"/>
    <w:rsid w:val="00C80176"/>
    <w:rsid w:val="00C95221"/>
    <w:rsid w:val="00CA4B96"/>
    <w:rsid w:val="00CB345C"/>
    <w:rsid w:val="00CC2DCE"/>
    <w:rsid w:val="00CD130D"/>
    <w:rsid w:val="00CD1998"/>
    <w:rsid w:val="00CD6708"/>
    <w:rsid w:val="00CE243C"/>
    <w:rsid w:val="00CF0F0D"/>
    <w:rsid w:val="00CF4B4F"/>
    <w:rsid w:val="00D051A2"/>
    <w:rsid w:val="00D155E3"/>
    <w:rsid w:val="00D15E21"/>
    <w:rsid w:val="00D17176"/>
    <w:rsid w:val="00D332E6"/>
    <w:rsid w:val="00D35F9B"/>
    <w:rsid w:val="00D44C0C"/>
    <w:rsid w:val="00D46F0F"/>
    <w:rsid w:val="00D5158B"/>
    <w:rsid w:val="00D539EF"/>
    <w:rsid w:val="00D57B97"/>
    <w:rsid w:val="00D65CED"/>
    <w:rsid w:val="00D70FFD"/>
    <w:rsid w:val="00D82E6F"/>
    <w:rsid w:val="00D93F88"/>
    <w:rsid w:val="00D974B7"/>
    <w:rsid w:val="00DA2AF3"/>
    <w:rsid w:val="00DA2B13"/>
    <w:rsid w:val="00DB43C0"/>
    <w:rsid w:val="00DB672A"/>
    <w:rsid w:val="00DC1196"/>
    <w:rsid w:val="00DC1939"/>
    <w:rsid w:val="00DC25CE"/>
    <w:rsid w:val="00DC436E"/>
    <w:rsid w:val="00DC446A"/>
    <w:rsid w:val="00DC6A16"/>
    <w:rsid w:val="00DC6C2A"/>
    <w:rsid w:val="00DD4E4E"/>
    <w:rsid w:val="00DE035F"/>
    <w:rsid w:val="00E02165"/>
    <w:rsid w:val="00E07805"/>
    <w:rsid w:val="00E21287"/>
    <w:rsid w:val="00E31B02"/>
    <w:rsid w:val="00E352DE"/>
    <w:rsid w:val="00E35B4F"/>
    <w:rsid w:val="00E43D42"/>
    <w:rsid w:val="00E50ABE"/>
    <w:rsid w:val="00E60654"/>
    <w:rsid w:val="00E637E0"/>
    <w:rsid w:val="00E80459"/>
    <w:rsid w:val="00E96EAD"/>
    <w:rsid w:val="00E97996"/>
    <w:rsid w:val="00EB5135"/>
    <w:rsid w:val="00EB58B4"/>
    <w:rsid w:val="00EC035D"/>
    <w:rsid w:val="00EC30C3"/>
    <w:rsid w:val="00EC4040"/>
    <w:rsid w:val="00EC4755"/>
    <w:rsid w:val="00ED3A08"/>
    <w:rsid w:val="00ED50D6"/>
    <w:rsid w:val="00EE07C5"/>
    <w:rsid w:val="00EE2CE1"/>
    <w:rsid w:val="00EE7C26"/>
    <w:rsid w:val="00EF3106"/>
    <w:rsid w:val="00F222ED"/>
    <w:rsid w:val="00F2356D"/>
    <w:rsid w:val="00F35825"/>
    <w:rsid w:val="00F45755"/>
    <w:rsid w:val="00F4629F"/>
    <w:rsid w:val="00F47C3F"/>
    <w:rsid w:val="00F543DD"/>
    <w:rsid w:val="00F55D02"/>
    <w:rsid w:val="00F61A5B"/>
    <w:rsid w:val="00F61D9A"/>
    <w:rsid w:val="00F65A17"/>
    <w:rsid w:val="00F74F32"/>
    <w:rsid w:val="00F75056"/>
    <w:rsid w:val="00F85AB5"/>
    <w:rsid w:val="00F928D6"/>
    <w:rsid w:val="00F94266"/>
    <w:rsid w:val="00F95A83"/>
    <w:rsid w:val="00FD37FC"/>
    <w:rsid w:val="00FD422F"/>
    <w:rsid w:val="00FD5FFE"/>
    <w:rsid w:val="00FE2FCD"/>
    <w:rsid w:val="00FE32C8"/>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041E"/>
    <w:pPr>
      <w:spacing w:after="0" w:line="240" w:lineRule="auto"/>
    </w:pPr>
    <w:rPr>
      <w:sz w:val="20"/>
      <w:szCs w:val="20"/>
    </w:rPr>
  </w:style>
  <w:style w:type="character" w:customStyle="1" w:styleId="FootnoteTextChar">
    <w:name w:val="Footnote Text Char"/>
    <w:basedOn w:val="DefaultParagraphFont"/>
    <w:link w:val="FootnoteText"/>
    <w:uiPriority w:val="99"/>
    <w:rsid w:val="006C041E"/>
    <w:rPr>
      <w:sz w:val="20"/>
      <w:szCs w:val="20"/>
    </w:rPr>
  </w:style>
  <w:style w:type="character" w:styleId="FootnoteReference">
    <w:name w:val="footnote reference"/>
    <w:basedOn w:val="DefaultParagraphFont"/>
    <w:uiPriority w:val="99"/>
    <w:semiHidden/>
    <w:unhideWhenUsed/>
    <w:rsid w:val="006C041E"/>
    <w:rPr>
      <w:vertAlign w:val="superscript"/>
    </w:rPr>
  </w:style>
  <w:style w:type="paragraph" w:styleId="Header">
    <w:name w:val="header"/>
    <w:basedOn w:val="Normal"/>
    <w:link w:val="HeaderChar"/>
    <w:uiPriority w:val="99"/>
    <w:unhideWhenUsed/>
    <w:rsid w:val="009950EA"/>
    <w:pPr>
      <w:tabs>
        <w:tab w:val="center" w:pos="4419"/>
        <w:tab w:val="right" w:pos="8838"/>
      </w:tabs>
      <w:spacing w:after="0" w:line="240" w:lineRule="auto"/>
    </w:pPr>
  </w:style>
  <w:style w:type="character" w:customStyle="1" w:styleId="HeaderChar">
    <w:name w:val="Header Char"/>
    <w:basedOn w:val="DefaultParagraphFont"/>
    <w:link w:val="Header"/>
    <w:uiPriority w:val="99"/>
    <w:rsid w:val="009950EA"/>
  </w:style>
  <w:style w:type="paragraph" w:styleId="Footer">
    <w:name w:val="footer"/>
    <w:basedOn w:val="Normal"/>
    <w:link w:val="FooterChar"/>
    <w:uiPriority w:val="99"/>
    <w:unhideWhenUsed/>
    <w:rsid w:val="009950EA"/>
    <w:pPr>
      <w:tabs>
        <w:tab w:val="center" w:pos="4419"/>
        <w:tab w:val="right" w:pos="8838"/>
      </w:tabs>
      <w:spacing w:after="0" w:line="240" w:lineRule="auto"/>
    </w:pPr>
  </w:style>
  <w:style w:type="character" w:customStyle="1" w:styleId="FooterChar">
    <w:name w:val="Footer Char"/>
    <w:basedOn w:val="DefaultParagraphFont"/>
    <w:link w:val="Footer"/>
    <w:uiPriority w:val="99"/>
    <w:rsid w:val="009950EA"/>
  </w:style>
  <w:style w:type="paragraph" w:styleId="BalloonText">
    <w:name w:val="Balloon Text"/>
    <w:basedOn w:val="Normal"/>
    <w:link w:val="BalloonTextChar"/>
    <w:uiPriority w:val="99"/>
    <w:semiHidden/>
    <w:unhideWhenUsed/>
    <w:rsid w:val="004F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4B"/>
    <w:rPr>
      <w:rFonts w:ascii="Tahoma" w:hAnsi="Tahoma" w:cs="Tahoma"/>
      <w:sz w:val="16"/>
      <w:szCs w:val="16"/>
    </w:rPr>
  </w:style>
  <w:style w:type="paragraph" w:styleId="NoSpacing">
    <w:name w:val="No Spacing"/>
    <w:uiPriority w:val="1"/>
    <w:qFormat/>
    <w:rsid w:val="00056E6D"/>
    <w:pPr>
      <w:spacing w:after="0" w:line="240" w:lineRule="auto"/>
    </w:pPr>
  </w:style>
  <w:style w:type="paragraph" w:styleId="ListParagraph">
    <w:name w:val="List Paragraph"/>
    <w:basedOn w:val="Normal"/>
    <w:uiPriority w:val="34"/>
    <w:qFormat/>
    <w:rsid w:val="00D51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041E"/>
    <w:pPr>
      <w:spacing w:after="0" w:line="240" w:lineRule="auto"/>
    </w:pPr>
    <w:rPr>
      <w:sz w:val="20"/>
      <w:szCs w:val="20"/>
    </w:rPr>
  </w:style>
  <w:style w:type="character" w:customStyle="1" w:styleId="FootnoteTextChar">
    <w:name w:val="Footnote Text Char"/>
    <w:basedOn w:val="DefaultParagraphFont"/>
    <w:link w:val="FootnoteText"/>
    <w:uiPriority w:val="99"/>
    <w:rsid w:val="006C041E"/>
    <w:rPr>
      <w:sz w:val="20"/>
      <w:szCs w:val="20"/>
    </w:rPr>
  </w:style>
  <w:style w:type="character" w:styleId="FootnoteReference">
    <w:name w:val="footnote reference"/>
    <w:basedOn w:val="DefaultParagraphFont"/>
    <w:uiPriority w:val="99"/>
    <w:semiHidden/>
    <w:unhideWhenUsed/>
    <w:rsid w:val="006C041E"/>
    <w:rPr>
      <w:vertAlign w:val="superscript"/>
    </w:rPr>
  </w:style>
  <w:style w:type="paragraph" w:styleId="Header">
    <w:name w:val="header"/>
    <w:basedOn w:val="Normal"/>
    <w:link w:val="HeaderChar"/>
    <w:uiPriority w:val="99"/>
    <w:unhideWhenUsed/>
    <w:rsid w:val="009950EA"/>
    <w:pPr>
      <w:tabs>
        <w:tab w:val="center" w:pos="4419"/>
        <w:tab w:val="right" w:pos="8838"/>
      </w:tabs>
      <w:spacing w:after="0" w:line="240" w:lineRule="auto"/>
    </w:pPr>
  </w:style>
  <w:style w:type="character" w:customStyle="1" w:styleId="HeaderChar">
    <w:name w:val="Header Char"/>
    <w:basedOn w:val="DefaultParagraphFont"/>
    <w:link w:val="Header"/>
    <w:uiPriority w:val="99"/>
    <w:rsid w:val="009950EA"/>
  </w:style>
  <w:style w:type="paragraph" w:styleId="Footer">
    <w:name w:val="footer"/>
    <w:basedOn w:val="Normal"/>
    <w:link w:val="FooterChar"/>
    <w:uiPriority w:val="99"/>
    <w:unhideWhenUsed/>
    <w:rsid w:val="009950EA"/>
    <w:pPr>
      <w:tabs>
        <w:tab w:val="center" w:pos="4419"/>
        <w:tab w:val="right" w:pos="8838"/>
      </w:tabs>
      <w:spacing w:after="0" w:line="240" w:lineRule="auto"/>
    </w:pPr>
  </w:style>
  <w:style w:type="character" w:customStyle="1" w:styleId="FooterChar">
    <w:name w:val="Footer Char"/>
    <w:basedOn w:val="DefaultParagraphFont"/>
    <w:link w:val="Footer"/>
    <w:uiPriority w:val="99"/>
    <w:rsid w:val="009950EA"/>
  </w:style>
  <w:style w:type="paragraph" w:styleId="BalloonText">
    <w:name w:val="Balloon Text"/>
    <w:basedOn w:val="Normal"/>
    <w:link w:val="BalloonTextChar"/>
    <w:uiPriority w:val="99"/>
    <w:semiHidden/>
    <w:unhideWhenUsed/>
    <w:rsid w:val="004F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4B"/>
    <w:rPr>
      <w:rFonts w:ascii="Tahoma" w:hAnsi="Tahoma" w:cs="Tahoma"/>
      <w:sz w:val="16"/>
      <w:szCs w:val="16"/>
    </w:rPr>
  </w:style>
  <w:style w:type="paragraph" w:styleId="NoSpacing">
    <w:name w:val="No Spacing"/>
    <w:uiPriority w:val="1"/>
    <w:qFormat/>
    <w:rsid w:val="00056E6D"/>
    <w:pPr>
      <w:spacing w:after="0" w:line="240" w:lineRule="auto"/>
    </w:pPr>
  </w:style>
  <w:style w:type="paragraph" w:styleId="ListParagraph">
    <w:name w:val="List Paragraph"/>
    <w:basedOn w:val="Normal"/>
    <w:uiPriority w:val="34"/>
    <w:qFormat/>
    <w:rsid w:val="00D51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40B3-A806-476C-9ADC-AA9081EF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2996</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2</cp:revision>
  <cp:lastPrinted>2016-12-20T19:07:00Z</cp:lastPrinted>
  <dcterms:created xsi:type="dcterms:W3CDTF">2016-12-20T19:28:00Z</dcterms:created>
  <dcterms:modified xsi:type="dcterms:W3CDTF">2016-12-20T19:28:00Z</dcterms:modified>
</cp:coreProperties>
</file>