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0BEBC" w14:textId="77777777" w:rsidR="00B83E00" w:rsidRDefault="00B83E00" w:rsidP="00150531">
      <w:pPr>
        <w:spacing w:after="0"/>
        <w:jc w:val="center"/>
        <w:rPr>
          <w:rFonts w:ascii="Verdana" w:hAnsi="Verdana" w:cstheme="minorHAnsi"/>
          <w:b/>
          <w:lang w:val="es-ES"/>
        </w:rPr>
      </w:pPr>
    </w:p>
    <w:p w14:paraId="4F51F20F" w14:textId="77777777" w:rsidR="00B83E00" w:rsidRDefault="00B83E00" w:rsidP="00150531">
      <w:pPr>
        <w:spacing w:after="0"/>
        <w:jc w:val="center"/>
        <w:rPr>
          <w:rFonts w:ascii="Verdana" w:hAnsi="Verdana" w:cstheme="minorHAnsi"/>
          <w:b/>
          <w:lang w:val="es-ES"/>
        </w:rPr>
      </w:pPr>
    </w:p>
    <w:p w14:paraId="15C01965" w14:textId="77777777" w:rsidR="00B83E00" w:rsidRDefault="00B83E00" w:rsidP="00150531">
      <w:pPr>
        <w:spacing w:after="0"/>
        <w:jc w:val="center"/>
        <w:rPr>
          <w:rFonts w:ascii="Verdana" w:hAnsi="Verdana" w:cstheme="minorHAnsi"/>
          <w:b/>
          <w:lang w:val="es-ES"/>
        </w:rPr>
      </w:pPr>
    </w:p>
    <w:p w14:paraId="059AF968" w14:textId="77777777" w:rsidR="00B83E00" w:rsidRDefault="00B83E00" w:rsidP="00150531">
      <w:pPr>
        <w:spacing w:after="0"/>
        <w:jc w:val="center"/>
        <w:rPr>
          <w:rFonts w:ascii="Verdana" w:hAnsi="Verdana" w:cstheme="minorHAnsi"/>
          <w:b/>
          <w:lang w:val="es-ES"/>
        </w:rPr>
      </w:pPr>
    </w:p>
    <w:p w14:paraId="255EC9B9" w14:textId="77777777" w:rsidR="00B83E00" w:rsidRDefault="00B83E00" w:rsidP="00150531">
      <w:pPr>
        <w:spacing w:after="0"/>
        <w:jc w:val="center"/>
        <w:rPr>
          <w:rFonts w:ascii="Verdana" w:hAnsi="Verdana" w:cstheme="minorHAnsi"/>
          <w:b/>
          <w:lang w:val="es-ES"/>
        </w:rPr>
      </w:pPr>
    </w:p>
    <w:p w14:paraId="075DDF60" w14:textId="77777777" w:rsidR="00150531" w:rsidRPr="00B533BB" w:rsidRDefault="00150531" w:rsidP="00150531">
      <w:pPr>
        <w:spacing w:after="0"/>
        <w:jc w:val="center"/>
        <w:rPr>
          <w:rFonts w:ascii="Verdana" w:hAnsi="Verdana" w:cstheme="minorHAnsi"/>
          <w:b/>
          <w:lang w:val="es-ES"/>
        </w:rPr>
      </w:pPr>
      <w:r w:rsidRPr="00B533BB">
        <w:rPr>
          <w:rFonts w:ascii="Verdana" w:hAnsi="Verdana" w:cstheme="minorHAnsi"/>
          <w:b/>
          <w:lang w:val="es-ES"/>
        </w:rPr>
        <w:t>VOTO INDIVIDUAL DEL JUEZ EDUARDO VIO GROSSI</w:t>
      </w:r>
      <w:r w:rsidR="00D27A3A">
        <w:rPr>
          <w:rFonts w:ascii="Verdana" w:hAnsi="Verdana" w:cstheme="minorHAnsi"/>
          <w:b/>
          <w:lang w:val="es-ES"/>
        </w:rPr>
        <w:t>,</w:t>
      </w:r>
    </w:p>
    <w:p w14:paraId="374F1F7F" w14:textId="77777777" w:rsidR="00150531" w:rsidRPr="00B533BB" w:rsidRDefault="00150531" w:rsidP="00150531">
      <w:pPr>
        <w:tabs>
          <w:tab w:val="left" w:pos="567"/>
          <w:tab w:val="left" w:pos="1134"/>
        </w:tabs>
        <w:spacing w:after="0"/>
        <w:ind w:right="29"/>
        <w:jc w:val="center"/>
        <w:rPr>
          <w:rFonts w:ascii="Verdana" w:hAnsi="Verdana" w:cstheme="minorHAnsi"/>
          <w:b/>
          <w:snapToGrid w:val="0"/>
          <w:lang w:val="es-CR"/>
        </w:rPr>
      </w:pPr>
      <w:r w:rsidRPr="00B533BB">
        <w:rPr>
          <w:rFonts w:ascii="Verdana" w:hAnsi="Verdana" w:cstheme="minorHAnsi"/>
          <w:b/>
          <w:snapToGrid w:val="0"/>
          <w:lang w:val="es-CR"/>
        </w:rPr>
        <w:t>CORTE INTERAMERICANA DE DERECHOS HUMANOS</w:t>
      </w:r>
      <w:r w:rsidR="00D27A3A">
        <w:rPr>
          <w:rFonts w:ascii="Verdana" w:hAnsi="Verdana" w:cstheme="minorHAnsi"/>
          <w:b/>
          <w:snapToGrid w:val="0"/>
          <w:lang w:val="es-CR"/>
        </w:rPr>
        <w:t>,</w:t>
      </w:r>
    </w:p>
    <w:p w14:paraId="717818C2" w14:textId="77777777" w:rsidR="00150531" w:rsidRPr="00B533BB" w:rsidRDefault="00150531" w:rsidP="00150531">
      <w:pPr>
        <w:tabs>
          <w:tab w:val="left" w:pos="567"/>
          <w:tab w:val="left" w:pos="1134"/>
        </w:tabs>
        <w:spacing w:after="0"/>
        <w:ind w:right="29"/>
        <w:jc w:val="center"/>
        <w:rPr>
          <w:rFonts w:ascii="Verdana" w:hAnsi="Verdana" w:cstheme="minorHAnsi"/>
          <w:b/>
          <w:lang w:val="es-CR"/>
        </w:rPr>
      </w:pPr>
      <w:r w:rsidRPr="00B533BB">
        <w:rPr>
          <w:rFonts w:ascii="Verdana" w:hAnsi="Verdana" w:cstheme="minorHAnsi"/>
          <w:b/>
          <w:lang w:val="es-CR"/>
        </w:rPr>
        <w:t>CASO AMRHEIN Y OTROS VS. COSTA RICA</w:t>
      </w:r>
      <w:r w:rsidR="00D27A3A">
        <w:rPr>
          <w:rFonts w:ascii="Verdana" w:hAnsi="Verdana" w:cstheme="minorHAnsi"/>
          <w:b/>
          <w:lang w:val="es-CR"/>
        </w:rPr>
        <w:t>,</w:t>
      </w:r>
    </w:p>
    <w:p w14:paraId="275AD193" w14:textId="77777777" w:rsidR="00150531" w:rsidRPr="00B533BB" w:rsidRDefault="001A67E9" w:rsidP="00150531">
      <w:pPr>
        <w:tabs>
          <w:tab w:val="left" w:pos="567"/>
          <w:tab w:val="left" w:pos="1134"/>
          <w:tab w:val="center" w:pos="4680"/>
          <w:tab w:val="left" w:pos="8328"/>
        </w:tabs>
        <w:spacing w:after="0"/>
        <w:ind w:right="29"/>
        <w:jc w:val="center"/>
        <w:rPr>
          <w:rFonts w:ascii="Verdana" w:hAnsi="Verdana" w:cstheme="minorHAnsi"/>
          <w:b/>
          <w:snapToGrid w:val="0"/>
          <w:lang w:val="es-CR"/>
        </w:rPr>
      </w:pPr>
      <w:r w:rsidRPr="00B533BB">
        <w:rPr>
          <w:rFonts w:ascii="Verdana" w:hAnsi="Verdana" w:cstheme="minorHAnsi"/>
          <w:b/>
          <w:snapToGrid w:val="0"/>
          <w:lang w:val="es-CR"/>
        </w:rPr>
        <w:t xml:space="preserve">SENTENCIA DE 25 </w:t>
      </w:r>
      <w:r w:rsidR="00150531" w:rsidRPr="00B533BB">
        <w:rPr>
          <w:rFonts w:ascii="Verdana" w:hAnsi="Verdana" w:cstheme="minorHAnsi"/>
          <w:b/>
          <w:snapToGrid w:val="0"/>
          <w:lang w:val="es-CR"/>
        </w:rPr>
        <w:t>DE ABRIL DE 201</w:t>
      </w:r>
      <w:r w:rsidR="00C87AD6">
        <w:rPr>
          <w:rFonts w:ascii="Verdana" w:hAnsi="Verdana" w:cstheme="minorHAnsi"/>
          <w:b/>
          <w:snapToGrid w:val="0"/>
          <w:lang w:val="es-CR"/>
        </w:rPr>
        <w:t>8</w:t>
      </w:r>
    </w:p>
    <w:p w14:paraId="6226BB0F" w14:textId="77777777" w:rsidR="00150531" w:rsidRPr="00B533BB" w:rsidRDefault="00150531" w:rsidP="00150531">
      <w:pPr>
        <w:tabs>
          <w:tab w:val="left" w:pos="567"/>
          <w:tab w:val="left" w:pos="1134"/>
        </w:tabs>
        <w:spacing w:after="0"/>
        <w:ind w:right="29"/>
        <w:jc w:val="center"/>
        <w:rPr>
          <w:rFonts w:ascii="Verdana" w:hAnsi="Verdana" w:cstheme="minorHAnsi"/>
          <w:caps/>
          <w:snapToGrid w:val="0"/>
          <w:lang w:val="es-CR"/>
        </w:rPr>
      </w:pPr>
      <w:r w:rsidRPr="00B533BB">
        <w:rPr>
          <w:rFonts w:ascii="Verdana" w:hAnsi="Verdana" w:cstheme="minorHAnsi"/>
          <w:b/>
          <w:snapToGrid w:val="0"/>
          <w:lang w:val="es-CR"/>
        </w:rPr>
        <w:t>(</w:t>
      </w:r>
      <w:r w:rsidRPr="00B533BB">
        <w:rPr>
          <w:rFonts w:ascii="Verdana" w:hAnsi="Verdana" w:cstheme="minorHAnsi"/>
          <w:b/>
          <w:i/>
          <w:snapToGrid w:val="0"/>
          <w:lang w:val="es-CR"/>
        </w:rPr>
        <w:t>Excepciones Preliminares, Fondo, Reparaciones y Costas</w:t>
      </w:r>
      <w:r w:rsidRPr="00B533BB">
        <w:rPr>
          <w:rFonts w:ascii="Verdana" w:hAnsi="Verdana" w:cstheme="minorHAnsi"/>
          <w:i/>
          <w:snapToGrid w:val="0"/>
          <w:lang w:val="es-CR"/>
        </w:rPr>
        <w:t>)</w:t>
      </w:r>
    </w:p>
    <w:p w14:paraId="02E3134F" w14:textId="77777777" w:rsidR="00150531" w:rsidRPr="00B533BB" w:rsidRDefault="00150531" w:rsidP="00150531">
      <w:pPr>
        <w:jc w:val="both"/>
        <w:rPr>
          <w:rFonts w:ascii="Verdana" w:hAnsi="Verdana"/>
          <w:b/>
          <w:lang w:val="es-ES"/>
        </w:rPr>
      </w:pPr>
    </w:p>
    <w:p w14:paraId="5C685D8B" w14:textId="77777777" w:rsidR="00FF2901" w:rsidRPr="00B533BB" w:rsidRDefault="00FF2901" w:rsidP="00150531">
      <w:pPr>
        <w:jc w:val="both"/>
        <w:rPr>
          <w:rFonts w:ascii="Verdana" w:hAnsi="Verdana"/>
          <w:b/>
          <w:lang w:val="es-ES"/>
        </w:rPr>
      </w:pPr>
      <w:r w:rsidRPr="00B533BB">
        <w:rPr>
          <w:rFonts w:ascii="Verdana" w:hAnsi="Verdana"/>
          <w:b/>
          <w:lang w:val="es-ES"/>
        </w:rPr>
        <w:t>Introducción.</w:t>
      </w:r>
    </w:p>
    <w:p w14:paraId="2AD97EE8" w14:textId="23B80B2D" w:rsidR="00D40613" w:rsidRPr="00B533BB" w:rsidRDefault="003D5245" w:rsidP="00150531">
      <w:pPr>
        <w:jc w:val="both"/>
        <w:rPr>
          <w:rFonts w:ascii="Verdana" w:hAnsi="Verdana"/>
          <w:lang w:val="es-ES"/>
        </w:rPr>
      </w:pPr>
      <w:r w:rsidRPr="00EE0619">
        <w:rPr>
          <w:rFonts w:ascii="Verdana" w:hAnsi="Verdana"/>
          <w:sz w:val="20"/>
          <w:szCs w:val="20"/>
          <w:lang w:val="es-ES"/>
        </w:rPr>
        <w:t>Conforme a lo dispuesto en la correspondiente norma aplicable</w:t>
      </w:r>
      <w:r w:rsidRPr="00B533BB">
        <w:rPr>
          <w:rStyle w:val="FootnoteReference"/>
          <w:rFonts w:ascii="Verdana" w:hAnsi="Verdana"/>
          <w:lang w:val="es-ES"/>
        </w:rPr>
        <w:footnoteReference w:id="1"/>
      </w:r>
      <w:r w:rsidRPr="00B533BB">
        <w:rPr>
          <w:rFonts w:ascii="Verdana" w:hAnsi="Verdana"/>
          <w:lang w:val="es-ES"/>
        </w:rPr>
        <w:t xml:space="preserve">, </w:t>
      </w:r>
      <w:r w:rsidRPr="00EE0619">
        <w:rPr>
          <w:rFonts w:ascii="Verdana" w:hAnsi="Verdana"/>
          <w:sz w:val="20"/>
          <w:szCs w:val="20"/>
          <w:lang w:val="es-ES"/>
        </w:rPr>
        <w:t>en e</w:t>
      </w:r>
      <w:r w:rsidR="00150531" w:rsidRPr="00EE0619">
        <w:rPr>
          <w:rFonts w:ascii="Verdana" w:hAnsi="Verdana"/>
          <w:sz w:val="20"/>
          <w:szCs w:val="20"/>
          <w:lang w:val="es-ES"/>
        </w:rPr>
        <w:t>l presente voto individual</w:t>
      </w:r>
      <w:r w:rsidR="00E608DB" w:rsidRPr="00EE0619">
        <w:rPr>
          <w:rFonts w:ascii="Verdana" w:hAnsi="Verdana"/>
          <w:sz w:val="20"/>
          <w:szCs w:val="20"/>
          <w:lang w:val="es-ES"/>
        </w:rPr>
        <w:t xml:space="preserve"> </w:t>
      </w:r>
      <w:r w:rsidR="001E2E0B" w:rsidRPr="00EE0619">
        <w:rPr>
          <w:rFonts w:ascii="Verdana" w:hAnsi="Verdana"/>
          <w:sz w:val="20"/>
          <w:szCs w:val="20"/>
          <w:lang w:val="es-ES"/>
        </w:rPr>
        <w:t>relativo a</w:t>
      </w:r>
      <w:r w:rsidR="00150531" w:rsidRPr="00EE0619">
        <w:rPr>
          <w:rFonts w:ascii="Verdana" w:hAnsi="Verdana"/>
          <w:sz w:val="20"/>
          <w:szCs w:val="20"/>
          <w:lang w:val="es-ES"/>
        </w:rPr>
        <w:t xml:space="preserve"> la Sentencia del epígrafe</w:t>
      </w:r>
      <w:r w:rsidR="00150531" w:rsidRPr="00B533BB">
        <w:rPr>
          <w:rStyle w:val="FootnoteReference"/>
          <w:rFonts w:ascii="Verdana" w:hAnsi="Verdana"/>
          <w:lang w:val="es-ES"/>
        </w:rPr>
        <w:footnoteReference w:id="2"/>
      </w:r>
      <w:r w:rsidR="001A67E9" w:rsidRPr="00B533BB">
        <w:rPr>
          <w:rFonts w:ascii="Verdana" w:hAnsi="Verdana"/>
          <w:lang w:val="es-ES"/>
        </w:rPr>
        <w:t>,</w:t>
      </w:r>
      <w:r w:rsidRPr="00B533BB">
        <w:rPr>
          <w:rFonts w:ascii="Verdana" w:hAnsi="Verdana"/>
          <w:lang w:val="es-ES"/>
        </w:rPr>
        <w:t xml:space="preserve"> </w:t>
      </w:r>
      <w:r w:rsidR="00891071" w:rsidRPr="00EE0619">
        <w:rPr>
          <w:rFonts w:ascii="Verdana" w:hAnsi="Verdana"/>
          <w:sz w:val="20"/>
          <w:szCs w:val="20"/>
          <w:lang w:val="es-ES"/>
        </w:rPr>
        <w:t xml:space="preserve">la </w:t>
      </w:r>
      <w:r w:rsidRPr="00EE0619">
        <w:rPr>
          <w:rFonts w:ascii="Verdana" w:hAnsi="Verdana"/>
          <w:sz w:val="20"/>
          <w:szCs w:val="20"/>
          <w:lang w:val="es-ES"/>
        </w:rPr>
        <w:t>que consta de 25 Puntos Resolutivos,</w:t>
      </w:r>
      <w:r w:rsidR="001A67E9" w:rsidRPr="00EE0619">
        <w:rPr>
          <w:rFonts w:ascii="Verdana" w:hAnsi="Verdana"/>
          <w:sz w:val="20"/>
          <w:szCs w:val="20"/>
          <w:lang w:val="es-ES"/>
        </w:rPr>
        <w:t xml:space="preserve"> </w:t>
      </w:r>
      <w:r w:rsidRPr="00EE0619">
        <w:rPr>
          <w:rFonts w:ascii="Verdana" w:hAnsi="Verdana"/>
          <w:sz w:val="20"/>
          <w:szCs w:val="20"/>
          <w:lang w:val="es-ES"/>
        </w:rPr>
        <w:t xml:space="preserve">se </w:t>
      </w:r>
      <w:r w:rsidR="001A67E9" w:rsidRPr="00EE0619">
        <w:rPr>
          <w:rFonts w:ascii="Verdana" w:hAnsi="Verdana"/>
          <w:sz w:val="20"/>
          <w:szCs w:val="20"/>
          <w:lang w:val="es-ES"/>
        </w:rPr>
        <w:t>da cuenta</w:t>
      </w:r>
      <w:r w:rsidRPr="00EE0619">
        <w:rPr>
          <w:rFonts w:ascii="Verdana" w:hAnsi="Verdana"/>
          <w:sz w:val="20"/>
          <w:szCs w:val="20"/>
          <w:lang w:val="es-ES"/>
        </w:rPr>
        <w:t xml:space="preserve"> de </w:t>
      </w:r>
      <w:r w:rsidR="00D35D2B" w:rsidRPr="00EE0619">
        <w:rPr>
          <w:rFonts w:ascii="Verdana" w:hAnsi="Verdana"/>
          <w:sz w:val="20"/>
          <w:szCs w:val="20"/>
          <w:lang w:val="es-ES"/>
        </w:rPr>
        <w:t>tan solo de los</w:t>
      </w:r>
      <w:r w:rsidRPr="00EE0619">
        <w:rPr>
          <w:rFonts w:ascii="Verdana" w:hAnsi="Verdana"/>
          <w:sz w:val="20"/>
          <w:szCs w:val="20"/>
          <w:lang w:val="es-ES"/>
        </w:rPr>
        <w:t xml:space="preserve"> </w:t>
      </w:r>
      <w:r w:rsidR="001A67E9" w:rsidRPr="00EE0619">
        <w:rPr>
          <w:rFonts w:ascii="Verdana" w:hAnsi="Verdana"/>
          <w:sz w:val="20"/>
          <w:szCs w:val="20"/>
          <w:lang w:val="es-ES"/>
        </w:rPr>
        <w:t>5</w:t>
      </w:r>
      <w:r w:rsidR="00D40613" w:rsidRPr="00EE0619">
        <w:rPr>
          <w:rFonts w:ascii="Verdana" w:hAnsi="Verdana"/>
          <w:sz w:val="20"/>
          <w:szCs w:val="20"/>
          <w:lang w:val="es-ES"/>
        </w:rPr>
        <w:t xml:space="preserve"> de ellos </w:t>
      </w:r>
      <w:r w:rsidR="007B5CF4" w:rsidRPr="00EE0619">
        <w:rPr>
          <w:rFonts w:ascii="Verdana" w:hAnsi="Verdana"/>
          <w:sz w:val="20"/>
          <w:szCs w:val="20"/>
          <w:lang w:val="es-ES"/>
        </w:rPr>
        <w:t xml:space="preserve">en que no se concuerda con </w:t>
      </w:r>
      <w:r w:rsidRPr="00EE0619">
        <w:rPr>
          <w:rFonts w:ascii="Verdana" w:hAnsi="Verdana"/>
          <w:sz w:val="20"/>
          <w:szCs w:val="20"/>
          <w:lang w:val="es-ES"/>
        </w:rPr>
        <w:t>lo decidid</w:t>
      </w:r>
      <w:r w:rsidR="00FF2901" w:rsidRPr="00EE0619">
        <w:rPr>
          <w:rFonts w:ascii="Verdana" w:hAnsi="Verdana"/>
          <w:sz w:val="20"/>
          <w:szCs w:val="20"/>
          <w:lang w:val="es-ES"/>
        </w:rPr>
        <w:t xml:space="preserve">o </w:t>
      </w:r>
      <w:r w:rsidR="00891071" w:rsidRPr="00EE0619">
        <w:rPr>
          <w:rFonts w:ascii="Verdana" w:hAnsi="Verdana"/>
          <w:sz w:val="20"/>
          <w:szCs w:val="20"/>
          <w:lang w:val="es-ES"/>
        </w:rPr>
        <w:t>en el presente caso</w:t>
      </w:r>
      <w:r w:rsidRPr="00EE0619">
        <w:rPr>
          <w:rFonts w:ascii="Verdana" w:hAnsi="Verdana"/>
          <w:sz w:val="20"/>
          <w:szCs w:val="20"/>
          <w:lang w:val="es-ES"/>
        </w:rPr>
        <w:t xml:space="preserve">. </w:t>
      </w:r>
    </w:p>
    <w:p w14:paraId="74E659DA" w14:textId="77777777" w:rsidR="00D40613" w:rsidRDefault="00FF2901" w:rsidP="00150531">
      <w:pPr>
        <w:jc w:val="both"/>
        <w:rPr>
          <w:rFonts w:ascii="Verdana" w:hAnsi="Verdana"/>
          <w:lang w:val="es-ES"/>
        </w:rPr>
      </w:pPr>
      <w:r w:rsidRPr="00EE0619">
        <w:rPr>
          <w:rFonts w:ascii="Verdana" w:hAnsi="Verdana"/>
          <w:sz w:val="20"/>
          <w:szCs w:val="20"/>
          <w:lang w:val="es-ES"/>
        </w:rPr>
        <w:t xml:space="preserve">Obviamente, </w:t>
      </w:r>
      <w:r w:rsidR="007B5CF4" w:rsidRPr="00EE0619">
        <w:rPr>
          <w:rFonts w:ascii="Verdana" w:hAnsi="Verdana"/>
          <w:sz w:val="20"/>
          <w:szCs w:val="20"/>
          <w:lang w:val="es-ES"/>
        </w:rPr>
        <w:t xml:space="preserve">antes de abordar las aludidas disidencias, </w:t>
      </w:r>
      <w:r w:rsidRPr="00EE0619">
        <w:rPr>
          <w:rFonts w:ascii="Verdana" w:hAnsi="Verdana"/>
          <w:sz w:val="20"/>
          <w:szCs w:val="20"/>
          <w:lang w:val="es-ES"/>
        </w:rPr>
        <w:t>es menester re</w:t>
      </w:r>
      <w:r w:rsidR="007B5CF4" w:rsidRPr="00EE0619">
        <w:rPr>
          <w:rFonts w:ascii="Verdana" w:hAnsi="Verdana"/>
          <w:sz w:val="20"/>
          <w:szCs w:val="20"/>
          <w:lang w:val="es-ES"/>
        </w:rPr>
        <w:t>iterar, como asunto previo, que</w:t>
      </w:r>
      <w:r w:rsidRPr="00EE0619">
        <w:rPr>
          <w:rFonts w:ascii="Verdana" w:hAnsi="Verdana"/>
          <w:sz w:val="20"/>
          <w:szCs w:val="20"/>
          <w:lang w:val="es-ES"/>
        </w:rPr>
        <w:t xml:space="preserve"> este voto </w:t>
      </w:r>
      <w:r w:rsidR="007B5CF4" w:rsidRPr="00EE0619">
        <w:rPr>
          <w:rFonts w:ascii="Verdana" w:hAnsi="Verdana"/>
          <w:sz w:val="20"/>
          <w:szCs w:val="20"/>
          <w:lang w:val="es-ES"/>
        </w:rPr>
        <w:t>se emit</w:t>
      </w:r>
      <w:r w:rsidR="00822610" w:rsidRPr="00EE0619">
        <w:rPr>
          <w:rFonts w:ascii="Verdana" w:hAnsi="Verdana"/>
          <w:sz w:val="20"/>
          <w:szCs w:val="20"/>
          <w:lang w:val="es-ES"/>
        </w:rPr>
        <w:t xml:space="preserve">e en el entendido que no puede afectar, en modo alguno, el </w:t>
      </w:r>
      <w:r w:rsidRPr="00EE0619">
        <w:rPr>
          <w:rFonts w:ascii="Verdana" w:hAnsi="Verdana"/>
          <w:sz w:val="20"/>
          <w:szCs w:val="20"/>
          <w:lang w:val="es-ES"/>
        </w:rPr>
        <w:t>ple</w:t>
      </w:r>
      <w:r w:rsidR="007B5CF4" w:rsidRPr="00EE0619">
        <w:rPr>
          <w:rFonts w:ascii="Verdana" w:hAnsi="Verdana"/>
          <w:sz w:val="20"/>
          <w:szCs w:val="20"/>
          <w:lang w:val="es-ES"/>
        </w:rPr>
        <w:t xml:space="preserve">no </w:t>
      </w:r>
      <w:r w:rsidR="00822610" w:rsidRPr="00EE0619">
        <w:rPr>
          <w:rFonts w:ascii="Verdana" w:hAnsi="Verdana"/>
          <w:sz w:val="20"/>
          <w:szCs w:val="20"/>
          <w:lang w:val="es-ES"/>
        </w:rPr>
        <w:t xml:space="preserve">y absoluto </w:t>
      </w:r>
      <w:r w:rsidR="007B5CF4" w:rsidRPr="00EE0619">
        <w:rPr>
          <w:rFonts w:ascii="Verdana" w:hAnsi="Verdana"/>
          <w:sz w:val="20"/>
          <w:szCs w:val="20"/>
          <w:lang w:val="es-ES"/>
        </w:rPr>
        <w:t>acatamiento</w:t>
      </w:r>
      <w:r w:rsidRPr="00EE0619">
        <w:rPr>
          <w:rFonts w:ascii="Verdana" w:hAnsi="Verdana"/>
          <w:sz w:val="20"/>
          <w:szCs w:val="20"/>
          <w:lang w:val="es-ES"/>
        </w:rPr>
        <w:t xml:space="preserve"> de lo resuelto </w:t>
      </w:r>
      <w:r w:rsidR="00095EEB" w:rsidRPr="00EE0619">
        <w:rPr>
          <w:rFonts w:ascii="Verdana" w:hAnsi="Verdana"/>
          <w:sz w:val="20"/>
          <w:szCs w:val="20"/>
          <w:lang w:val="es-ES"/>
        </w:rPr>
        <w:t>por la Corte</w:t>
      </w:r>
      <w:r w:rsidR="00891071" w:rsidRPr="00EE0619">
        <w:rPr>
          <w:rFonts w:ascii="Verdana" w:hAnsi="Verdana"/>
          <w:sz w:val="20"/>
          <w:szCs w:val="20"/>
          <w:lang w:val="es-ES"/>
        </w:rPr>
        <w:t xml:space="preserve"> Interamericana de Derechos Humanos</w:t>
      </w:r>
      <w:r w:rsidR="00891071" w:rsidRPr="00B533BB">
        <w:rPr>
          <w:rStyle w:val="FootnoteReference"/>
          <w:rFonts w:ascii="Verdana" w:hAnsi="Verdana"/>
          <w:lang w:val="es-ES"/>
        </w:rPr>
        <w:footnoteReference w:id="3"/>
      </w:r>
      <w:r w:rsidR="00095EEB" w:rsidRPr="00B533BB">
        <w:rPr>
          <w:rFonts w:ascii="Verdana" w:hAnsi="Verdana"/>
          <w:lang w:val="es-ES"/>
        </w:rPr>
        <w:t xml:space="preserve"> </w:t>
      </w:r>
      <w:r w:rsidR="00822610" w:rsidRPr="00EE0619">
        <w:rPr>
          <w:rFonts w:ascii="Verdana" w:hAnsi="Verdana"/>
          <w:sz w:val="20"/>
          <w:szCs w:val="20"/>
          <w:lang w:val="es-ES"/>
        </w:rPr>
        <w:t>ni la debida</w:t>
      </w:r>
      <w:r w:rsidR="007B5CF4" w:rsidRPr="00EE0619">
        <w:rPr>
          <w:rFonts w:ascii="Verdana" w:hAnsi="Verdana"/>
          <w:sz w:val="20"/>
          <w:szCs w:val="20"/>
          <w:lang w:val="es-ES"/>
        </w:rPr>
        <w:t xml:space="preserve"> </w:t>
      </w:r>
      <w:r w:rsidR="00822610" w:rsidRPr="00EE0619">
        <w:rPr>
          <w:rFonts w:ascii="Verdana" w:hAnsi="Verdana"/>
          <w:sz w:val="20"/>
          <w:szCs w:val="20"/>
          <w:lang w:val="es-ES"/>
        </w:rPr>
        <w:t xml:space="preserve">consideración </w:t>
      </w:r>
      <w:r w:rsidR="007B5CF4" w:rsidRPr="00EE0619">
        <w:rPr>
          <w:rFonts w:ascii="Verdana" w:hAnsi="Verdana"/>
          <w:sz w:val="20"/>
          <w:szCs w:val="20"/>
          <w:lang w:val="es-ES"/>
        </w:rPr>
        <w:t>que</w:t>
      </w:r>
      <w:r w:rsidR="00822610" w:rsidRPr="00EE0619">
        <w:rPr>
          <w:rFonts w:ascii="Verdana" w:hAnsi="Verdana"/>
          <w:sz w:val="20"/>
          <w:szCs w:val="20"/>
          <w:lang w:val="es-ES"/>
        </w:rPr>
        <w:t>, con toda justicia,</w:t>
      </w:r>
      <w:r w:rsidR="00095EEB" w:rsidRPr="00EE0619">
        <w:rPr>
          <w:rFonts w:ascii="Verdana" w:hAnsi="Verdana"/>
          <w:sz w:val="20"/>
          <w:szCs w:val="20"/>
          <w:lang w:val="es-ES"/>
        </w:rPr>
        <w:t xml:space="preserve"> se merecen sus </w:t>
      </w:r>
      <w:r w:rsidR="007B5CF4" w:rsidRPr="00EE0619">
        <w:rPr>
          <w:rFonts w:ascii="Verdana" w:hAnsi="Verdana"/>
          <w:sz w:val="20"/>
          <w:szCs w:val="20"/>
          <w:lang w:val="es-ES"/>
        </w:rPr>
        <w:t>integrantes, y, por ende, deb</w:t>
      </w:r>
      <w:r w:rsidR="00822610" w:rsidRPr="00EE0619">
        <w:rPr>
          <w:rFonts w:ascii="Verdana" w:hAnsi="Verdana"/>
          <w:sz w:val="20"/>
          <w:szCs w:val="20"/>
          <w:lang w:val="es-ES"/>
        </w:rPr>
        <w:t>e ser comprendido</w:t>
      </w:r>
      <w:r w:rsidR="007B5CF4" w:rsidRPr="00EE0619">
        <w:rPr>
          <w:rFonts w:ascii="Verdana" w:hAnsi="Verdana"/>
          <w:sz w:val="20"/>
          <w:szCs w:val="20"/>
          <w:lang w:val="es-ES"/>
        </w:rPr>
        <w:t>, por una parte, como contribución a la comprensión de la Sentencia y por la otra, en tanto ex</w:t>
      </w:r>
      <w:r w:rsidR="00F416BD" w:rsidRPr="00EE0619">
        <w:rPr>
          <w:rFonts w:ascii="Verdana" w:hAnsi="Verdana"/>
          <w:sz w:val="20"/>
          <w:szCs w:val="20"/>
          <w:lang w:val="es-ES"/>
        </w:rPr>
        <w:t>presión del pluralismo</w:t>
      </w:r>
      <w:r w:rsidR="00891071" w:rsidRPr="00EE0619">
        <w:rPr>
          <w:rFonts w:ascii="Verdana" w:hAnsi="Verdana"/>
          <w:sz w:val="20"/>
          <w:szCs w:val="20"/>
          <w:lang w:val="es-ES"/>
        </w:rPr>
        <w:t xml:space="preserve"> que impera</w:t>
      </w:r>
      <w:r w:rsidR="00822610" w:rsidRPr="00EE0619">
        <w:rPr>
          <w:rFonts w:ascii="Verdana" w:hAnsi="Verdana"/>
          <w:sz w:val="20"/>
          <w:szCs w:val="20"/>
          <w:lang w:val="es-ES"/>
        </w:rPr>
        <w:t xml:space="preserve"> en la Corte.</w:t>
      </w:r>
      <w:r w:rsidR="007B5CF4" w:rsidRPr="00B533BB">
        <w:rPr>
          <w:rFonts w:ascii="Verdana" w:hAnsi="Verdana"/>
          <w:lang w:val="es-ES"/>
        </w:rPr>
        <w:t xml:space="preserve"> </w:t>
      </w:r>
    </w:p>
    <w:p w14:paraId="69CECE72" w14:textId="1614BAD9" w:rsidR="00B83E00" w:rsidRDefault="00B83E00">
      <w:pPr>
        <w:spacing w:after="120" w:line="300" w:lineRule="auto"/>
        <w:ind w:left="851"/>
        <w:jc w:val="both"/>
        <w:rPr>
          <w:rFonts w:ascii="Verdana" w:hAnsi="Verdana"/>
          <w:lang w:val="es-ES"/>
        </w:rPr>
      </w:pPr>
      <w:r>
        <w:rPr>
          <w:rFonts w:ascii="Verdana" w:hAnsi="Verdana"/>
          <w:lang w:val="es-ES"/>
        </w:rPr>
        <w:br w:type="page"/>
      </w:r>
    </w:p>
    <w:p w14:paraId="4411FCA7" w14:textId="77777777" w:rsidR="009D225E" w:rsidRPr="00EE0619" w:rsidRDefault="009D225E" w:rsidP="00150531">
      <w:pPr>
        <w:jc w:val="both"/>
        <w:rPr>
          <w:rFonts w:ascii="Verdana" w:hAnsi="Verdana"/>
          <w:sz w:val="20"/>
          <w:szCs w:val="20"/>
          <w:lang w:val="es-ES"/>
        </w:rPr>
      </w:pPr>
      <w:r w:rsidRPr="00EE0619">
        <w:rPr>
          <w:rFonts w:ascii="Verdana" w:hAnsi="Verdana"/>
          <w:sz w:val="20"/>
          <w:szCs w:val="20"/>
          <w:lang w:val="es-ES"/>
        </w:rPr>
        <w:lastRenderedPageBreak/>
        <w:t>Asimismo, el presente documento se sustenta en la convicción de que</w:t>
      </w:r>
      <w:r w:rsidR="00891071" w:rsidRPr="00EE0619">
        <w:rPr>
          <w:rFonts w:ascii="Verdana" w:hAnsi="Verdana"/>
          <w:sz w:val="20"/>
          <w:szCs w:val="20"/>
        </w:rPr>
        <w:t xml:space="preserve"> el respeto a</w:t>
      </w:r>
      <w:r w:rsidRPr="00EE0619">
        <w:rPr>
          <w:rFonts w:ascii="Verdana" w:hAnsi="Verdana"/>
          <w:sz w:val="20"/>
          <w:szCs w:val="20"/>
        </w:rPr>
        <w:t>l ordenamiento jurídico interamericano en materia de derechos humanos, tanto sustantivo como procesal, conlleva, consecuente</w:t>
      </w:r>
      <w:r w:rsidR="00F416BD" w:rsidRPr="00EE0619">
        <w:rPr>
          <w:rFonts w:ascii="Verdana" w:hAnsi="Verdana"/>
          <w:sz w:val="20"/>
          <w:szCs w:val="20"/>
        </w:rPr>
        <w:t>mente</w:t>
      </w:r>
      <w:r w:rsidRPr="00EE0619">
        <w:rPr>
          <w:rFonts w:ascii="Verdana" w:hAnsi="Verdana"/>
          <w:sz w:val="20"/>
          <w:szCs w:val="20"/>
        </w:rPr>
        <w:t xml:space="preserve">, </w:t>
      </w:r>
      <w:r w:rsidR="00891071" w:rsidRPr="00EE0619">
        <w:rPr>
          <w:rFonts w:ascii="Verdana" w:hAnsi="Verdana"/>
          <w:sz w:val="20"/>
          <w:szCs w:val="20"/>
        </w:rPr>
        <w:t xml:space="preserve">el correspondiente al </w:t>
      </w:r>
      <w:r w:rsidR="00095EEB" w:rsidRPr="00EE0619">
        <w:rPr>
          <w:rFonts w:ascii="Verdana" w:hAnsi="Verdana"/>
          <w:sz w:val="20"/>
          <w:szCs w:val="20"/>
        </w:rPr>
        <w:t xml:space="preserve">principio de </w:t>
      </w:r>
      <w:r w:rsidRPr="00EE0619">
        <w:rPr>
          <w:rFonts w:ascii="Verdana" w:hAnsi="Verdana"/>
          <w:sz w:val="20"/>
          <w:szCs w:val="20"/>
        </w:rPr>
        <w:t>la</w:t>
      </w:r>
      <w:r w:rsidR="00095EEB" w:rsidRPr="00EE0619">
        <w:rPr>
          <w:rFonts w:ascii="Verdana" w:hAnsi="Verdana"/>
          <w:sz w:val="20"/>
          <w:szCs w:val="20"/>
        </w:rPr>
        <w:t xml:space="preserve"> seguridad jurídica</w:t>
      </w:r>
      <w:r w:rsidRPr="00EE0619">
        <w:rPr>
          <w:rFonts w:ascii="Verdana" w:hAnsi="Verdana"/>
          <w:sz w:val="20"/>
          <w:szCs w:val="20"/>
        </w:rPr>
        <w:t xml:space="preserve">. En tal sentido, de lo que se trata es, pues, que </w:t>
      </w:r>
      <w:r w:rsidR="00095EEB" w:rsidRPr="00EE0619">
        <w:rPr>
          <w:rFonts w:ascii="Verdana" w:hAnsi="Verdana"/>
          <w:sz w:val="20"/>
          <w:szCs w:val="20"/>
        </w:rPr>
        <w:t xml:space="preserve">el </w:t>
      </w:r>
      <w:r w:rsidRPr="00EE0619">
        <w:rPr>
          <w:rFonts w:ascii="Verdana" w:hAnsi="Verdana"/>
          <w:sz w:val="20"/>
          <w:szCs w:val="20"/>
        </w:rPr>
        <w:t xml:space="preserve">actuar de la Corte </w:t>
      </w:r>
      <w:r w:rsidR="00F301EC" w:rsidRPr="00EE0619">
        <w:rPr>
          <w:rFonts w:ascii="Verdana" w:hAnsi="Verdana"/>
          <w:sz w:val="20"/>
          <w:szCs w:val="20"/>
        </w:rPr>
        <w:t>en la búsqueda de la Justicia a través del Derecho</w:t>
      </w:r>
      <w:r w:rsidR="00F416BD" w:rsidRPr="00B533BB">
        <w:rPr>
          <w:rStyle w:val="FootnoteReference"/>
          <w:rFonts w:ascii="Verdana" w:hAnsi="Verdana"/>
        </w:rPr>
        <w:footnoteReference w:id="4"/>
      </w:r>
      <w:r w:rsidR="00F301EC" w:rsidRPr="00B533BB">
        <w:rPr>
          <w:rFonts w:ascii="Verdana" w:hAnsi="Verdana"/>
        </w:rPr>
        <w:t xml:space="preserve">, </w:t>
      </w:r>
      <w:r w:rsidR="00F416BD" w:rsidRPr="00EE0619">
        <w:rPr>
          <w:rFonts w:ascii="Verdana" w:hAnsi="Verdana"/>
          <w:sz w:val="20"/>
          <w:szCs w:val="20"/>
        </w:rPr>
        <w:t xml:space="preserve">sea lo </w:t>
      </w:r>
      <w:r w:rsidR="00522C00" w:rsidRPr="00EE0619">
        <w:rPr>
          <w:rFonts w:ascii="Verdana" w:hAnsi="Verdana"/>
          <w:sz w:val="20"/>
          <w:szCs w:val="20"/>
        </w:rPr>
        <w:t>más eficiente y eficaz po</w:t>
      </w:r>
      <w:r w:rsidR="00F416BD" w:rsidRPr="00EE0619">
        <w:rPr>
          <w:rFonts w:ascii="Verdana" w:hAnsi="Verdana"/>
          <w:sz w:val="20"/>
          <w:szCs w:val="20"/>
        </w:rPr>
        <w:t xml:space="preserve">sible </w:t>
      </w:r>
      <w:r w:rsidRPr="00EE0619">
        <w:rPr>
          <w:rFonts w:ascii="Verdana" w:hAnsi="Verdana"/>
          <w:sz w:val="20"/>
          <w:szCs w:val="20"/>
        </w:rPr>
        <w:t xml:space="preserve">en </w:t>
      </w:r>
      <w:r w:rsidR="00F416BD" w:rsidRPr="00EE0619">
        <w:rPr>
          <w:rFonts w:ascii="Verdana" w:hAnsi="Verdana"/>
          <w:sz w:val="20"/>
          <w:szCs w:val="20"/>
        </w:rPr>
        <w:t xml:space="preserve">vista de </w:t>
      </w:r>
      <w:r w:rsidR="00891071" w:rsidRPr="00EE0619">
        <w:rPr>
          <w:rFonts w:ascii="Verdana" w:hAnsi="Verdana"/>
          <w:sz w:val="20"/>
          <w:szCs w:val="20"/>
        </w:rPr>
        <w:t>garantizar la vigencia de los derechos humanos o, en su caso, su</w:t>
      </w:r>
      <w:r w:rsidRPr="00EE0619">
        <w:rPr>
          <w:rFonts w:ascii="Verdana" w:hAnsi="Verdana"/>
          <w:sz w:val="20"/>
          <w:szCs w:val="20"/>
        </w:rPr>
        <w:t xml:space="preserve"> </w:t>
      </w:r>
      <w:r w:rsidR="00891071" w:rsidRPr="00EE0619">
        <w:rPr>
          <w:rFonts w:ascii="Verdana" w:hAnsi="Verdana"/>
          <w:sz w:val="20"/>
          <w:szCs w:val="20"/>
        </w:rPr>
        <w:t>pronto restablecimiento</w:t>
      </w:r>
      <w:r w:rsidRPr="00EE0619">
        <w:rPr>
          <w:rFonts w:ascii="Verdana" w:hAnsi="Verdana"/>
          <w:sz w:val="20"/>
          <w:szCs w:val="20"/>
        </w:rPr>
        <w:t>.</w:t>
      </w:r>
    </w:p>
    <w:p w14:paraId="01166146" w14:textId="5E979FB0" w:rsidR="00E96668" w:rsidRDefault="00E96668" w:rsidP="00150531">
      <w:pPr>
        <w:jc w:val="both"/>
        <w:rPr>
          <w:rFonts w:ascii="Verdana" w:hAnsi="Verdana"/>
          <w:lang w:val="es-ES"/>
        </w:rPr>
      </w:pPr>
      <w:r w:rsidRPr="00EE0619">
        <w:rPr>
          <w:rFonts w:ascii="Verdana" w:hAnsi="Verdana"/>
          <w:sz w:val="20"/>
          <w:szCs w:val="20"/>
          <w:lang w:val="es-ES"/>
        </w:rPr>
        <w:t>Finamente, procede reiterar que lo que se señala en este texto</w:t>
      </w:r>
      <w:r w:rsidR="00D902CA" w:rsidRPr="00EE0619">
        <w:rPr>
          <w:rFonts w:ascii="Verdana" w:hAnsi="Verdana"/>
          <w:sz w:val="20"/>
          <w:szCs w:val="20"/>
          <w:lang w:val="es-ES"/>
        </w:rPr>
        <w:t xml:space="preserve"> lo es con la esperanza de que </w:t>
      </w:r>
      <w:r w:rsidRPr="00EE0619">
        <w:rPr>
          <w:rFonts w:ascii="Verdana" w:hAnsi="Verdana"/>
          <w:sz w:val="20"/>
          <w:szCs w:val="20"/>
          <w:lang w:val="es-ES"/>
        </w:rPr>
        <w:t>la jurisprudencia de la Corte sobre el particular, sea en el futuro modificada de acuerdo a su naturaleza intríns</w:t>
      </w:r>
      <w:r w:rsidR="00FA5C9A" w:rsidRPr="00EE0619">
        <w:rPr>
          <w:rFonts w:ascii="Verdana" w:hAnsi="Verdana"/>
          <w:sz w:val="20"/>
          <w:szCs w:val="20"/>
          <w:lang w:val="es-ES"/>
        </w:rPr>
        <w:t>e</w:t>
      </w:r>
      <w:r w:rsidRPr="00EE0619">
        <w:rPr>
          <w:rFonts w:ascii="Verdana" w:hAnsi="Verdana"/>
          <w:sz w:val="20"/>
          <w:szCs w:val="20"/>
          <w:lang w:val="es-ES"/>
        </w:rPr>
        <w:t>ca</w:t>
      </w:r>
      <w:r w:rsidR="00FE1A30" w:rsidRPr="00EE0619">
        <w:rPr>
          <w:rFonts w:ascii="Verdana" w:hAnsi="Verdana"/>
          <w:sz w:val="20"/>
          <w:szCs w:val="20"/>
          <w:lang w:val="es-ES"/>
        </w:rPr>
        <w:t>,</w:t>
      </w:r>
      <w:r w:rsidRPr="00EE0619">
        <w:rPr>
          <w:rFonts w:ascii="Verdana" w:hAnsi="Verdana"/>
          <w:sz w:val="20"/>
          <w:szCs w:val="20"/>
          <w:lang w:val="es-ES"/>
        </w:rPr>
        <w:t xml:space="preserve"> </w:t>
      </w:r>
      <w:r w:rsidR="004C27DF" w:rsidRPr="00EE0619">
        <w:rPr>
          <w:rFonts w:ascii="Verdana" w:hAnsi="Verdana"/>
          <w:sz w:val="20"/>
          <w:szCs w:val="20"/>
          <w:lang w:val="es-ES"/>
        </w:rPr>
        <w:t xml:space="preserve">es decir, </w:t>
      </w:r>
      <w:r w:rsidRPr="00EE0619">
        <w:rPr>
          <w:rFonts w:ascii="Verdana" w:hAnsi="Verdana"/>
          <w:sz w:val="20"/>
          <w:szCs w:val="20"/>
          <w:lang w:val="es-ES"/>
        </w:rPr>
        <w:t>en tanto fuente auxiliar del Der</w:t>
      </w:r>
      <w:r w:rsidR="004C27DF" w:rsidRPr="00EE0619">
        <w:rPr>
          <w:rFonts w:ascii="Verdana" w:hAnsi="Verdana"/>
          <w:sz w:val="20"/>
          <w:szCs w:val="20"/>
          <w:lang w:val="es-ES"/>
        </w:rPr>
        <w:t xml:space="preserve">echo Internacional o </w:t>
      </w:r>
      <w:r w:rsidRPr="00EE0619">
        <w:rPr>
          <w:rFonts w:ascii="Verdana" w:hAnsi="Verdana"/>
          <w:sz w:val="20"/>
          <w:szCs w:val="20"/>
          <w:lang w:val="es-ES"/>
        </w:rPr>
        <w:t>medio para la determinación de las reglas de derecho</w:t>
      </w:r>
      <w:r>
        <w:rPr>
          <w:rStyle w:val="FootnoteReference"/>
          <w:rFonts w:ascii="Verdana" w:hAnsi="Verdana"/>
          <w:lang w:val="es-ES"/>
        </w:rPr>
        <w:footnoteReference w:id="5"/>
      </w:r>
      <w:r>
        <w:rPr>
          <w:rFonts w:ascii="Verdana" w:hAnsi="Verdana"/>
          <w:lang w:val="es-ES"/>
        </w:rPr>
        <w:t xml:space="preserve"> </w:t>
      </w:r>
      <w:r w:rsidRPr="00EE0619">
        <w:rPr>
          <w:rFonts w:ascii="Verdana" w:hAnsi="Verdana"/>
          <w:sz w:val="20"/>
          <w:szCs w:val="20"/>
          <w:lang w:val="es-ES"/>
        </w:rPr>
        <w:t xml:space="preserve">y, por ende, no inmutable, salvo </w:t>
      </w:r>
      <w:r w:rsidR="00D35D2B" w:rsidRPr="00EE0619">
        <w:rPr>
          <w:rFonts w:ascii="Verdana" w:hAnsi="Verdana"/>
          <w:sz w:val="20"/>
          <w:szCs w:val="20"/>
          <w:lang w:val="es-ES"/>
        </w:rPr>
        <w:t xml:space="preserve">para </w:t>
      </w:r>
      <w:r w:rsidR="005E6342" w:rsidRPr="00EE0619">
        <w:rPr>
          <w:rFonts w:ascii="Verdana" w:hAnsi="Verdana"/>
          <w:sz w:val="20"/>
          <w:szCs w:val="20"/>
          <w:lang w:val="es-ES"/>
        </w:rPr>
        <w:t xml:space="preserve">en el caso </w:t>
      </w:r>
      <w:r w:rsidR="00D35D2B" w:rsidRPr="00EE0619">
        <w:rPr>
          <w:rFonts w:ascii="Verdana" w:hAnsi="Verdana"/>
          <w:sz w:val="20"/>
          <w:szCs w:val="20"/>
          <w:lang w:val="es-ES"/>
        </w:rPr>
        <w:t xml:space="preserve">respecto del </w:t>
      </w:r>
      <w:r w:rsidR="005E6342" w:rsidRPr="00EE0619">
        <w:rPr>
          <w:rFonts w:ascii="Verdana" w:hAnsi="Verdana"/>
          <w:sz w:val="20"/>
          <w:szCs w:val="20"/>
          <w:lang w:val="es-ES"/>
        </w:rPr>
        <w:t>que la respectiva sentencia haya sido dictada</w:t>
      </w:r>
      <w:r w:rsidR="005E6342">
        <w:rPr>
          <w:rStyle w:val="FootnoteReference"/>
          <w:rFonts w:ascii="Verdana" w:hAnsi="Verdana"/>
          <w:lang w:val="es-ES"/>
        </w:rPr>
        <w:footnoteReference w:id="6"/>
      </w:r>
      <w:r w:rsidR="005E6342">
        <w:rPr>
          <w:rFonts w:ascii="Verdana" w:hAnsi="Verdana"/>
          <w:lang w:val="es-ES"/>
        </w:rPr>
        <w:t>.</w:t>
      </w:r>
      <w:r>
        <w:rPr>
          <w:rFonts w:ascii="Verdana" w:hAnsi="Verdana"/>
          <w:lang w:val="es-ES"/>
        </w:rPr>
        <w:t xml:space="preserve"> </w:t>
      </w:r>
    </w:p>
    <w:p w14:paraId="529E5C4C" w14:textId="77777777" w:rsidR="00FF2901" w:rsidRPr="00B533BB" w:rsidRDefault="00D40613" w:rsidP="00150531">
      <w:pPr>
        <w:jc w:val="both"/>
        <w:rPr>
          <w:rFonts w:ascii="Verdana" w:hAnsi="Verdana"/>
          <w:lang w:val="es-ES"/>
        </w:rPr>
      </w:pPr>
      <w:r w:rsidRPr="00EE0619">
        <w:rPr>
          <w:rFonts w:ascii="Verdana" w:hAnsi="Verdana"/>
          <w:sz w:val="20"/>
          <w:szCs w:val="20"/>
          <w:lang w:val="es-ES"/>
        </w:rPr>
        <w:t>Ahora bien, cabe señalar que 2 de los Puntos Resolutivos con los que se disiente, dicen relación con la excepción del previo a</w:t>
      </w:r>
      <w:r w:rsidR="009D225E" w:rsidRPr="00EE0619">
        <w:rPr>
          <w:rFonts w:ascii="Verdana" w:hAnsi="Verdana"/>
          <w:sz w:val="20"/>
          <w:szCs w:val="20"/>
          <w:lang w:val="es-ES"/>
        </w:rPr>
        <w:t>gotamiento de los recursos inter</w:t>
      </w:r>
      <w:r w:rsidRPr="00EE0619">
        <w:rPr>
          <w:rFonts w:ascii="Verdana" w:hAnsi="Verdana"/>
          <w:sz w:val="20"/>
          <w:szCs w:val="20"/>
          <w:lang w:val="es-ES"/>
        </w:rPr>
        <w:t>nos</w:t>
      </w:r>
      <w:r w:rsidRPr="00EE0619">
        <w:rPr>
          <w:rStyle w:val="FootnoteReference"/>
          <w:rFonts w:ascii="Verdana" w:hAnsi="Verdana"/>
          <w:sz w:val="20"/>
          <w:szCs w:val="20"/>
          <w:lang w:val="es-ES"/>
        </w:rPr>
        <w:footnoteReference w:id="7"/>
      </w:r>
      <w:r w:rsidR="00927452" w:rsidRPr="00EE0619">
        <w:rPr>
          <w:rFonts w:ascii="Verdana" w:hAnsi="Verdana"/>
          <w:sz w:val="20"/>
          <w:szCs w:val="20"/>
          <w:lang w:val="es-ES"/>
        </w:rPr>
        <w:t xml:space="preserve"> y que otros 3</w:t>
      </w:r>
      <w:r w:rsidRPr="00EE0619">
        <w:rPr>
          <w:rFonts w:ascii="Verdana" w:hAnsi="Verdana"/>
          <w:sz w:val="20"/>
          <w:szCs w:val="20"/>
          <w:lang w:val="es-ES"/>
        </w:rPr>
        <w:t xml:space="preserve"> con la detención preventiva</w:t>
      </w:r>
      <w:r w:rsidR="005E4337" w:rsidRPr="00B533BB">
        <w:rPr>
          <w:rStyle w:val="FootnoteReference"/>
          <w:rFonts w:ascii="Verdana" w:hAnsi="Verdana"/>
          <w:lang w:val="es-ES"/>
        </w:rPr>
        <w:footnoteReference w:id="8"/>
      </w:r>
      <w:r w:rsidRPr="00B533BB">
        <w:rPr>
          <w:rFonts w:ascii="Verdana" w:hAnsi="Verdana"/>
          <w:lang w:val="es-ES"/>
        </w:rPr>
        <w:t>.</w:t>
      </w:r>
    </w:p>
    <w:p w14:paraId="2047AD59" w14:textId="77777777" w:rsidR="00FF2901" w:rsidRPr="00B533BB" w:rsidRDefault="00FF2901" w:rsidP="00E253ED">
      <w:pPr>
        <w:pStyle w:val="ListParagraph"/>
        <w:numPr>
          <w:ilvl w:val="0"/>
          <w:numId w:val="8"/>
        </w:numPr>
        <w:spacing w:after="120"/>
        <w:ind w:left="1003"/>
        <w:jc w:val="both"/>
        <w:rPr>
          <w:rFonts w:ascii="Verdana" w:hAnsi="Verdana"/>
          <w:b/>
          <w:lang w:val="es-ES"/>
        </w:rPr>
      </w:pPr>
      <w:r w:rsidRPr="00B533BB">
        <w:rPr>
          <w:rFonts w:ascii="Verdana" w:hAnsi="Verdana"/>
          <w:b/>
          <w:lang w:val="es-ES"/>
        </w:rPr>
        <w:lastRenderedPageBreak/>
        <w:t>Agotamiento previo de los recursos internos.</w:t>
      </w:r>
    </w:p>
    <w:p w14:paraId="78D1F72F" w14:textId="77777777" w:rsidR="00150531" w:rsidRPr="00B533BB" w:rsidRDefault="00150531" w:rsidP="00FF2901">
      <w:pPr>
        <w:jc w:val="both"/>
        <w:rPr>
          <w:rFonts w:ascii="Verdana" w:hAnsi="Verdana"/>
          <w:lang w:val="es-ES"/>
        </w:rPr>
      </w:pPr>
      <w:r w:rsidRPr="00EE0619">
        <w:rPr>
          <w:rFonts w:ascii="Verdana" w:hAnsi="Verdana"/>
          <w:sz w:val="20"/>
          <w:szCs w:val="20"/>
          <w:lang w:val="es-ES"/>
        </w:rPr>
        <w:t>En</w:t>
      </w:r>
      <w:r w:rsidR="00822610" w:rsidRPr="00EE0619">
        <w:rPr>
          <w:rFonts w:ascii="Verdana" w:hAnsi="Verdana"/>
          <w:sz w:val="20"/>
          <w:szCs w:val="20"/>
          <w:lang w:val="es-ES"/>
        </w:rPr>
        <w:t xml:space="preserve"> cuanto </w:t>
      </w:r>
      <w:r w:rsidR="00D40613" w:rsidRPr="00EE0619">
        <w:rPr>
          <w:rFonts w:ascii="Verdana" w:hAnsi="Verdana"/>
          <w:sz w:val="20"/>
          <w:szCs w:val="20"/>
          <w:lang w:val="es-ES"/>
        </w:rPr>
        <w:t>a los Puntos R</w:t>
      </w:r>
      <w:r w:rsidR="00822610" w:rsidRPr="00EE0619">
        <w:rPr>
          <w:rFonts w:ascii="Verdana" w:hAnsi="Verdana"/>
          <w:sz w:val="20"/>
          <w:szCs w:val="20"/>
          <w:lang w:val="es-ES"/>
        </w:rPr>
        <w:t>esolutivo</w:t>
      </w:r>
      <w:r w:rsidR="0073138B" w:rsidRPr="00EE0619">
        <w:rPr>
          <w:rFonts w:ascii="Verdana" w:hAnsi="Verdana"/>
          <w:sz w:val="20"/>
          <w:szCs w:val="20"/>
          <w:lang w:val="es-ES"/>
        </w:rPr>
        <w:t xml:space="preserve">s de la Sentencia al acoger </w:t>
      </w:r>
      <w:r w:rsidR="00822610" w:rsidRPr="00EE0619">
        <w:rPr>
          <w:rFonts w:ascii="Verdana" w:hAnsi="Verdana"/>
          <w:sz w:val="20"/>
          <w:szCs w:val="20"/>
          <w:lang w:val="es-ES"/>
        </w:rPr>
        <w:t>la excepción del previo agotamiento de los recursos internos</w:t>
      </w:r>
      <w:r w:rsidR="0073138B" w:rsidRPr="00EE0619">
        <w:rPr>
          <w:rFonts w:ascii="Verdana" w:hAnsi="Verdana"/>
          <w:sz w:val="20"/>
          <w:szCs w:val="20"/>
          <w:lang w:val="es-ES"/>
        </w:rPr>
        <w:t xml:space="preserve"> interpuesta por Costa Rica</w:t>
      </w:r>
      <w:r w:rsidR="0073138B" w:rsidRPr="00B533BB">
        <w:rPr>
          <w:rStyle w:val="FootnoteReference"/>
          <w:rFonts w:ascii="Verdana" w:hAnsi="Verdana"/>
          <w:lang w:val="es-ES"/>
        </w:rPr>
        <w:footnoteReference w:id="9"/>
      </w:r>
      <w:r w:rsidR="00822610" w:rsidRPr="00B533BB">
        <w:rPr>
          <w:rFonts w:ascii="Verdana" w:hAnsi="Verdana"/>
          <w:lang w:val="es-ES"/>
        </w:rPr>
        <w:t xml:space="preserve">, </w:t>
      </w:r>
      <w:r w:rsidR="00822610" w:rsidRPr="00EE0619">
        <w:rPr>
          <w:rFonts w:ascii="Verdana" w:hAnsi="Verdana"/>
          <w:sz w:val="20"/>
          <w:szCs w:val="20"/>
          <w:lang w:val="es-ES"/>
        </w:rPr>
        <w:t xml:space="preserve">cabe señalar que </w:t>
      </w:r>
      <w:r w:rsidRPr="00EE0619">
        <w:rPr>
          <w:rFonts w:ascii="Verdana" w:hAnsi="Verdana"/>
          <w:sz w:val="20"/>
          <w:szCs w:val="20"/>
          <w:lang w:val="es-ES"/>
        </w:rPr>
        <w:t xml:space="preserve">en la Sentencia se sigue el criterio de que el </w:t>
      </w:r>
      <w:r w:rsidR="000A5FE0" w:rsidRPr="00EE0619">
        <w:rPr>
          <w:rFonts w:ascii="Verdana" w:hAnsi="Verdana"/>
          <w:sz w:val="20"/>
          <w:szCs w:val="20"/>
          <w:lang w:val="es-ES"/>
        </w:rPr>
        <w:t xml:space="preserve">cumplimiento del requisito del previo agotamiento de los recursos internos, es exigible </w:t>
      </w:r>
      <w:r w:rsidRPr="00EE0619">
        <w:rPr>
          <w:rFonts w:ascii="Verdana" w:hAnsi="Verdana"/>
          <w:sz w:val="20"/>
          <w:szCs w:val="20"/>
          <w:lang w:val="es-ES"/>
        </w:rPr>
        <w:t>al momento en que la Comisión Interamericana de Derechos</w:t>
      </w:r>
      <w:r w:rsidR="00B87A73" w:rsidRPr="00EE0619">
        <w:rPr>
          <w:rFonts w:ascii="Verdana" w:hAnsi="Verdana"/>
          <w:sz w:val="20"/>
          <w:szCs w:val="20"/>
          <w:lang w:val="es-ES"/>
        </w:rPr>
        <w:t xml:space="preserve"> Humanos</w:t>
      </w:r>
      <w:r w:rsidR="000A5FE0" w:rsidRPr="00B533BB">
        <w:rPr>
          <w:rStyle w:val="FootnoteReference"/>
          <w:rFonts w:ascii="Verdana" w:hAnsi="Verdana"/>
          <w:lang w:val="es-ES"/>
        </w:rPr>
        <w:footnoteReference w:id="10"/>
      </w:r>
      <w:r w:rsidRPr="00B533BB">
        <w:rPr>
          <w:rFonts w:ascii="Verdana" w:hAnsi="Verdana"/>
          <w:lang w:val="es-ES"/>
        </w:rPr>
        <w:t xml:space="preserve"> </w:t>
      </w:r>
      <w:r w:rsidR="00822610" w:rsidRPr="00EE0619">
        <w:rPr>
          <w:rFonts w:ascii="Verdana" w:hAnsi="Verdana"/>
          <w:sz w:val="20"/>
          <w:szCs w:val="20"/>
          <w:lang w:val="es-ES"/>
        </w:rPr>
        <w:t xml:space="preserve">resuelve sobre </w:t>
      </w:r>
      <w:r w:rsidR="000A5FE0" w:rsidRPr="00EE0619">
        <w:rPr>
          <w:rFonts w:ascii="Verdana" w:hAnsi="Verdana"/>
          <w:sz w:val="20"/>
          <w:szCs w:val="20"/>
          <w:lang w:val="es-ES"/>
        </w:rPr>
        <w:t>l</w:t>
      </w:r>
      <w:r w:rsidR="00822610" w:rsidRPr="00EE0619">
        <w:rPr>
          <w:rFonts w:ascii="Verdana" w:hAnsi="Verdana"/>
          <w:sz w:val="20"/>
          <w:szCs w:val="20"/>
          <w:lang w:val="es-ES"/>
        </w:rPr>
        <w:t xml:space="preserve">a admisibilidad </w:t>
      </w:r>
      <w:r w:rsidR="000A5FE0" w:rsidRPr="00EE0619">
        <w:rPr>
          <w:rFonts w:ascii="Verdana" w:hAnsi="Verdana"/>
          <w:sz w:val="20"/>
          <w:szCs w:val="20"/>
          <w:lang w:val="es-ES"/>
        </w:rPr>
        <w:t>de la</w:t>
      </w:r>
      <w:r w:rsidR="00822610" w:rsidRPr="00EE0619">
        <w:rPr>
          <w:rFonts w:ascii="Verdana" w:hAnsi="Verdana"/>
          <w:sz w:val="20"/>
          <w:szCs w:val="20"/>
          <w:lang w:val="es-ES"/>
        </w:rPr>
        <w:t xml:space="preserve"> </w:t>
      </w:r>
      <w:r w:rsidR="000A5FE0" w:rsidRPr="00EE0619">
        <w:rPr>
          <w:rFonts w:ascii="Verdana" w:hAnsi="Verdana"/>
          <w:sz w:val="20"/>
          <w:szCs w:val="20"/>
          <w:lang w:val="es-ES"/>
        </w:rPr>
        <w:t>correspondiente petición</w:t>
      </w:r>
      <w:r w:rsidR="000F6E82" w:rsidRPr="00EE0619">
        <w:rPr>
          <w:rFonts w:ascii="Verdana" w:hAnsi="Verdana"/>
          <w:sz w:val="20"/>
          <w:szCs w:val="20"/>
          <w:lang w:val="es-ES"/>
        </w:rPr>
        <w:t xml:space="preserve"> </w:t>
      </w:r>
      <w:r w:rsidRPr="00EE0619">
        <w:rPr>
          <w:rFonts w:ascii="Verdana" w:hAnsi="Verdana"/>
          <w:sz w:val="20"/>
          <w:szCs w:val="20"/>
          <w:lang w:val="es-ES"/>
        </w:rPr>
        <w:t>que le ha</w:t>
      </w:r>
      <w:r w:rsidR="000A5FE0" w:rsidRPr="00EE0619">
        <w:rPr>
          <w:rFonts w:ascii="Verdana" w:hAnsi="Verdana"/>
          <w:sz w:val="20"/>
          <w:szCs w:val="20"/>
          <w:lang w:val="es-ES"/>
        </w:rPr>
        <w:t xml:space="preserve"> sido presentada y no en el momento de su presentación</w:t>
      </w:r>
      <w:r w:rsidR="000A5FE0" w:rsidRPr="00B533BB">
        <w:rPr>
          <w:rStyle w:val="FootnoteReference"/>
          <w:rFonts w:ascii="Verdana" w:hAnsi="Verdana"/>
          <w:lang w:val="es-ES"/>
        </w:rPr>
        <w:footnoteReference w:id="11"/>
      </w:r>
      <w:r w:rsidR="00615C2F" w:rsidRPr="00B533BB">
        <w:rPr>
          <w:rFonts w:ascii="Verdana" w:hAnsi="Verdana"/>
          <w:lang w:val="es-ES"/>
        </w:rPr>
        <w:t>.</w:t>
      </w:r>
      <w:r w:rsidR="00822610" w:rsidRPr="00B533BB">
        <w:rPr>
          <w:rFonts w:ascii="Verdana" w:hAnsi="Verdana"/>
          <w:lang w:val="es-ES"/>
        </w:rPr>
        <w:t xml:space="preserve"> </w:t>
      </w:r>
    </w:p>
    <w:p w14:paraId="2A04CDB2" w14:textId="77777777" w:rsidR="0073138B" w:rsidRPr="00EE0619" w:rsidRDefault="00615C2F" w:rsidP="00D40613">
      <w:pPr>
        <w:jc w:val="both"/>
        <w:rPr>
          <w:rFonts w:ascii="Verdana" w:hAnsi="Verdana"/>
          <w:sz w:val="20"/>
          <w:szCs w:val="20"/>
          <w:lang w:val="es-ES"/>
        </w:rPr>
      </w:pPr>
      <w:r w:rsidRPr="00EE0619">
        <w:rPr>
          <w:rFonts w:ascii="Verdana" w:hAnsi="Verdana"/>
          <w:sz w:val="20"/>
          <w:szCs w:val="20"/>
          <w:lang w:val="es-ES"/>
        </w:rPr>
        <w:t>Por el contrario, en este voto se sostiene e</w:t>
      </w:r>
      <w:r w:rsidR="00150531" w:rsidRPr="00EE0619">
        <w:rPr>
          <w:rFonts w:ascii="Verdana" w:hAnsi="Verdana"/>
          <w:sz w:val="20"/>
          <w:szCs w:val="20"/>
          <w:lang w:val="es-ES"/>
        </w:rPr>
        <w:t>l parecer de que el cumplimiento del</w:t>
      </w:r>
      <w:r w:rsidR="00D40613" w:rsidRPr="00EE0619">
        <w:rPr>
          <w:rFonts w:ascii="Verdana" w:hAnsi="Verdana"/>
          <w:sz w:val="20"/>
          <w:szCs w:val="20"/>
          <w:lang w:val="es-ES"/>
        </w:rPr>
        <w:t xml:space="preserve"> referido requisito es exigible al momento en que la respectiva petición es presentada ante la Comisión y, consecuentemente, su admisibilidad de dependerá de si en aquél instante se cumplió con aquél</w:t>
      </w:r>
      <w:r w:rsidR="0073138B" w:rsidRPr="00EE0619">
        <w:rPr>
          <w:rFonts w:ascii="Verdana" w:hAnsi="Verdana"/>
          <w:sz w:val="20"/>
          <w:szCs w:val="20"/>
          <w:lang w:val="es-ES"/>
        </w:rPr>
        <w:t>.</w:t>
      </w:r>
    </w:p>
    <w:p w14:paraId="1553F6D0" w14:textId="77777777" w:rsidR="00D40613" w:rsidRPr="00B533BB" w:rsidRDefault="0073138B" w:rsidP="00D40613">
      <w:pPr>
        <w:jc w:val="both"/>
        <w:rPr>
          <w:rFonts w:ascii="Verdana" w:hAnsi="Verdana"/>
          <w:lang w:val="es-ES"/>
        </w:rPr>
      </w:pPr>
      <w:r w:rsidRPr="00EE0619">
        <w:rPr>
          <w:rFonts w:ascii="Verdana" w:hAnsi="Verdana"/>
          <w:sz w:val="20"/>
          <w:szCs w:val="20"/>
          <w:lang w:val="es-ES"/>
        </w:rPr>
        <w:t>Es por tal motivo, que en el presente documento no se está sosteniendo que se debía rechazar la excepción preliminar interpuesta por el Estado o acoger las razones expuestas por los representantes de las presuntas víctimas sobre el particular, si no tan solo que, al proceder como lo hace, impidió que se pudiera debatir si, al instante de presentarse las peticiones correspondientes, se había o no dado cumplimiento al citado requisito</w:t>
      </w:r>
      <w:r w:rsidRPr="00B533BB">
        <w:rPr>
          <w:rFonts w:ascii="Verdana" w:hAnsi="Verdana"/>
          <w:lang w:val="es-ES"/>
        </w:rPr>
        <w:t>.</w:t>
      </w:r>
    </w:p>
    <w:p w14:paraId="51305889" w14:textId="645CC717" w:rsidR="00885D81" w:rsidRPr="003A4DE1" w:rsidRDefault="00150531" w:rsidP="00150531">
      <w:pPr>
        <w:spacing w:after="240"/>
        <w:jc w:val="both"/>
        <w:rPr>
          <w:rFonts w:ascii="Verdana" w:hAnsi="Verdana"/>
          <w:sz w:val="20"/>
          <w:szCs w:val="20"/>
          <w:lang w:val="es-ES"/>
        </w:rPr>
      </w:pPr>
      <w:r w:rsidRPr="00EE0619">
        <w:rPr>
          <w:rFonts w:ascii="Verdana" w:hAnsi="Verdana"/>
          <w:sz w:val="20"/>
          <w:szCs w:val="20"/>
          <w:lang w:val="es-ES"/>
        </w:rPr>
        <w:t>Ahora bien, para una mejor comprensión de lo</w:t>
      </w:r>
      <w:r w:rsidR="00615C2F" w:rsidRPr="00EE0619">
        <w:rPr>
          <w:rFonts w:ascii="Verdana" w:hAnsi="Verdana"/>
          <w:sz w:val="20"/>
          <w:szCs w:val="20"/>
          <w:lang w:val="es-ES"/>
        </w:rPr>
        <w:t xml:space="preserve"> que sostiene en este documento</w:t>
      </w:r>
      <w:r w:rsidRPr="00EE0619">
        <w:rPr>
          <w:rFonts w:ascii="Verdana" w:hAnsi="Verdana"/>
          <w:sz w:val="20"/>
          <w:szCs w:val="20"/>
          <w:lang w:val="es-ES"/>
        </w:rPr>
        <w:t xml:space="preserve">, procede </w:t>
      </w:r>
      <w:r w:rsidR="005F0327" w:rsidRPr="00EE0619">
        <w:rPr>
          <w:rFonts w:ascii="Verdana" w:hAnsi="Verdana"/>
          <w:sz w:val="20"/>
          <w:szCs w:val="20"/>
          <w:lang w:val="es-ES"/>
        </w:rPr>
        <w:t>reiterar lo que se ha indicado en otras ocasiones</w:t>
      </w:r>
      <w:r w:rsidR="005F0327" w:rsidRPr="00EE0619">
        <w:rPr>
          <w:rStyle w:val="FootnoteReference"/>
          <w:rFonts w:ascii="Verdana" w:hAnsi="Verdana"/>
          <w:sz w:val="20"/>
          <w:szCs w:val="20"/>
          <w:lang w:val="es-ES"/>
        </w:rPr>
        <w:footnoteReference w:id="12"/>
      </w:r>
      <w:r w:rsidR="005F0327" w:rsidRPr="00EE0619">
        <w:rPr>
          <w:rFonts w:ascii="Verdana" w:hAnsi="Verdana"/>
          <w:sz w:val="20"/>
          <w:szCs w:val="20"/>
          <w:lang w:val="es-ES"/>
        </w:rPr>
        <w:t xml:space="preserve">, esto es, </w:t>
      </w:r>
      <w:r w:rsidRPr="00EE0619">
        <w:rPr>
          <w:rFonts w:ascii="Verdana" w:hAnsi="Verdana"/>
          <w:sz w:val="20"/>
          <w:szCs w:val="20"/>
          <w:lang w:val="es-ES"/>
        </w:rPr>
        <w:t xml:space="preserve">aludir, </w:t>
      </w:r>
      <w:r w:rsidR="005F0327" w:rsidRPr="00EE0619">
        <w:rPr>
          <w:rFonts w:ascii="Verdana" w:hAnsi="Verdana"/>
          <w:sz w:val="20"/>
          <w:szCs w:val="20"/>
          <w:lang w:val="es-ES"/>
        </w:rPr>
        <w:t>en</w:t>
      </w:r>
      <w:r w:rsidRPr="00EE0619">
        <w:rPr>
          <w:rFonts w:ascii="Verdana" w:hAnsi="Verdana"/>
          <w:sz w:val="20"/>
          <w:szCs w:val="20"/>
          <w:lang w:val="es-ES"/>
        </w:rPr>
        <w:t xml:space="preserve"> primer lugar, a lo que establece</w:t>
      </w:r>
      <w:r w:rsidR="00885D81" w:rsidRPr="00EE0619">
        <w:rPr>
          <w:rFonts w:ascii="Verdana" w:hAnsi="Verdana"/>
          <w:sz w:val="20"/>
          <w:szCs w:val="20"/>
          <w:lang w:val="es-ES"/>
        </w:rPr>
        <w:t xml:space="preserve">n las correspondientes normas de la Convención Americana </w:t>
      </w:r>
      <w:r w:rsidR="00885D81" w:rsidRPr="003A4DE1">
        <w:rPr>
          <w:rFonts w:ascii="Verdana" w:hAnsi="Verdana"/>
          <w:sz w:val="20"/>
          <w:szCs w:val="20"/>
          <w:lang w:val="es-ES"/>
        </w:rPr>
        <w:lastRenderedPageBreak/>
        <w:t>sobre Derechos Humanos</w:t>
      </w:r>
      <w:r w:rsidR="00885D81" w:rsidRPr="003A4DE1">
        <w:rPr>
          <w:rStyle w:val="FootnoteReference"/>
          <w:rFonts w:ascii="Verdana" w:hAnsi="Verdana"/>
          <w:sz w:val="20"/>
          <w:szCs w:val="20"/>
          <w:lang w:val="es-ES"/>
        </w:rPr>
        <w:footnoteReference w:id="13"/>
      </w:r>
      <w:r w:rsidR="00EE0619" w:rsidRPr="003A4DE1">
        <w:rPr>
          <w:rFonts w:ascii="Verdana" w:hAnsi="Verdana"/>
          <w:sz w:val="20"/>
          <w:szCs w:val="20"/>
          <w:lang w:val="es-ES"/>
        </w:rPr>
        <w:t xml:space="preserve"> </w:t>
      </w:r>
      <w:r w:rsidRPr="003A4DE1">
        <w:rPr>
          <w:rFonts w:ascii="Verdana" w:hAnsi="Verdana"/>
          <w:sz w:val="20"/>
          <w:szCs w:val="20"/>
          <w:lang w:val="es-ES"/>
        </w:rPr>
        <w:t xml:space="preserve">sobre </w:t>
      </w:r>
      <w:r w:rsidR="001054D1" w:rsidRPr="003A4DE1">
        <w:rPr>
          <w:rFonts w:ascii="Verdana" w:hAnsi="Verdana"/>
          <w:sz w:val="20"/>
          <w:szCs w:val="20"/>
          <w:lang w:val="es-ES"/>
        </w:rPr>
        <w:t>el requisito del previo agotamiento de los recursos internos</w:t>
      </w:r>
      <w:r w:rsidRPr="003A4DE1">
        <w:rPr>
          <w:rFonts w:ascii="Verdana" w:hAnsi="Verdana"/>
          <w:sz w:val="20"/>
          <w:szCs w:val="20"/>
          <w:lang w:val="es-ES"/>
        </w:rPr>
        <w:t>, luego a lo dispuesto sobre la misma cuestión por el Reglamento de la Comisión</w:t>
      </w:r>
      <w:r w:rsidR="001054D1" w:rsidRPr="003A4DE1">
        <w:rPr>
          <w:rStyle w:val="FootnoteReference"/>
          <w:rFonts w:ascii="Verdana" w:hAnsi="Verdana"/>
          <w:sz w:val="20"/>
          <w:szCs w:val="20"/>
          <w:lang w:val="es-ES"/>
        </w:rPr>
        <w:footnoteReference w:id="14"/>
      </w:r>
      <w:r w:rsidR="00B878BB" w:rsidRPr="003A4DE1">
        <w:rPr>
          <w:rFonts w:ascii="Verdana" w:hAnsi="Verdana"/>
          <w:sz w:val="20"/>
          <w:szCs w:val="20"/>
          <w:lang w:val="es-ES"/>
        </w:rPr>
        <w:t xml:space="preserve">, y </w:t>
      </w:r>
      <w:r w:rsidRPr="003A4DE1">
        <w:rPr>
          <w:rFonts w:ascii="Verdana" w:hAnsi="Verdana"/>
          <w:sz w:val="20"/>
          <w:szCs w:val="20"/>
          <w:lang w:val="es-ES"/>
        </w:rPr>
        <w:t>en tercer término, a las consecuencias</w:t>
      </w:r>
      <w:r w:rsidR="00B878BB" w:rsidRPr="003A4DE1">
        <w:rPr>
          <w:rFonts w:ascii="Verdana" w:hAnsi="Verdana"/>
          <w:sz w:val="20"/>
          <w:szCs w:val="20"/>
          <w:lang w:val="es-ES"/>
        </w:rPr>
        <w:t>, particularmente en el presente caso,</w:t>
      </w:r>
      <w:r w:rsidRPr="003A4DE1">
        <w:rPr>
          <w:rFonts w:ascii="Verdana" w:hAnsi="Verdana"/>
          <w:sz w:val="20"/>
          <w:szCs w:val="20"/>
          <w:lang w:val="es-ES"/>
        </w:rPr>
        <w:t xml:space="preserve"> de aceptar el criterio hasta </w:t>
      </w:r>
      <w:r w:rsidR="005F0327" w:rsidRPr="003A4DE1">
        <w:rPr>
          <w:rFonts w:ascii="Verdana" w:hAnsi="Verdana"/>
          <w:sz w:val="20"/>
          <w:szCs w:val="20"/>
          <w:lang w:val="es-ES"/>
        </w:rPr>
        <w:t xml:space="preserve">ahora seguido </w:t>
      </w:r>
      <w:r w:rsidRPr="003A4DE1">
        <w:rPr>
          <w:rFonts w:ascii="Verdana" w:hAnsi="Verdana"/>
          <w:sz w:val="20"/>
          <w:szCs w:val="20"/>
          <w:lang w:val="es-ES"/>
        </w:rPr>
        <w:t>por la Corte.</w:t>
      </w:r>
    </w:p>
    <w:p w14:paraId="46C16AD8" w14:textId="77777777" w:rsidR="00150531" w:rsidRPr="00B533BB" w:rsidRDefault="00150531" w:rsidP="00E253ED">
      <w:pPr>
        <w:pStyle w:val="ListParagraph"/>
        <w:numPr>
          <w:ilvl w:val="0"/>
          <w:numId w:val="3"/>
        </w:numPr>
        <w:spacing w:after="240"/>
        <w:ind w:left="927"/>
        <w:jc w:val="both"/>
        <w:rPr>
          <w:rFonts w:ascii="Verdana" w:hAnsi="Verdana"/>
          <w:b/>
          <w:lang w:val="es-ES"/>
        </w:rPr>
      </w:pPr>
      <w:r w:rsidRPr="00B533BB">
        <w:rPr>
          <w:rFonts w:ascii="Verdana" w:hAnsi="Verdana"/>
          <w:b/>
          <w:lang w:val="es-ES"/>
        </w:rPr>
        <w:t>Normas convencionales</w:t>
      </w:r>
      <w:r w:rsidR="00885D81" w:rsidRPr="00B533BB">
        <w:rPr>
          <w:rFonts w:ascii="Verdana" w:hAnsi="Verdana"/>
          <w:b/>
          <w:lang w:val="es-ES"/>
        </w:rPr>
        <w:t>.</w:t>
      </w:r>
    </w:p>
    <w:p w14:paraId="052CA99A" w14:textId="77777777" w:rsidR="00150531" w:rsidRPr="00EE0619" w:rsidRDefault="00150531" w:rsidP="0018622B">
      <w:pPr>
        <w:spacing w:after="120"/>
        <w:jc w:val="both"/>
        <w:rPr>
          <w:rFonts w:ascii="Verdana" w:hAnsi="Verdana"/>
          <w:b/>
          <w:sz w:val="20"/>
          <w:szCs w:val="18"/>
          <w:lang w:val="es-ES"/>
        </w:rPr>
      </w:pPr>
      <w:r w:rsidRPr="00EE0619">
        <w:rPr>
          <w:rFonts w:ascii="Verdana" w:hAnsi="Verdana"/>
          <w:sz w:val="20"/>
          <w:szCs w:val="18"/>
          <w:lang w:val="es-ES"/>
        </w:rPr>
        <w:t xml:space="preserve">La regla del previo agotamiento de los recursos internos está contemplada en el artículo 46 de la Convención en los siguientes términos: </w:t>
      </w:r>
    </w:p>
    <w:p w14:paraId="1D733737" w14:textId="77777777" w:rsidR="00150531" w:rsidRPr="00E05B0B" w:rsidRDefault="00150531" w:rsidP="00150531">
      <w:pPr>
        <w:spacing w:after="0" w:line="240" w:lineRule="auto"/>
        <w:ind w:left="1134"/>
        <w:jc w:val="both"/>
        <w:rPr>
          <w:rFonts w:ascii="Verdana" w:hAnsi="Verdana"/>
          <w:i/>
          <w:sz w:val="20"/>
          <w:szCs w:val="20"/>
          <w:lang w:val="es-ES"/>
        </w:rPr>
      </w:pPr>
      <w:r w:rsidRPr="00E05B0B">
        <w:rPr>
          <w:rFonts w:ascii="Verdana" w:hAnsi="Verdana"/>
          <w:i/>
          <w:sz w:val="20"/>
          <w:szCs w:val="20"/>
          <w:lang w:val="es-ES"/>
        </w:rPr>
        <w:t xml:space="preserve">“1. Para que una petición o comunicación presentada conforme a los artículos 44 </w:t>
      </w:r>
      <w:proofErr w:type="spellStart"/>
      <w:r w:rsidRPr="00E05B0B">
        <w:rPr>
          <w:rFonts w:ascii="Verdana" w:hAnsi="Verdana"/>
          <w:i/>
          <w:sz w:val="20"/>
          <w:szCs w:val="20"/>
          <w:lang w:val="es-ES"/>
        </w:rPr>
        <w:t>ó</w:t>
      </w:r>
      <w:proofErr w:type="spellEnd"/>
      <w:r w:rsidRPr="00E05B0B">
        <w:rPr>
          <w:rFonts w:ascii="Verdana" w:hAnsi="Verdana"/>
          <w:i/>
          <w:sz w:val="20"/>
          <w:szCs w:val="20"/>
          <w:lang w:val="es-ES"/>
        </w:rPr>
        <w:t xml:space="preserve"> 45 sea admitida por la Comisión, se requerirá:</w:t>
      </w:r>
    </w:p>
    <w:p w14:paraId="6819EA48" w14:textId="77777777" w:rsidR="00150531" w:rsidRPr="00E05B0B" w:rsidRDefault="00150531" w:rsidP="00150531">
      <w:pPr>
        <w:spacing w:after="0" w:line="240" w:lineRule="auto"/>
        <w:ind w:left="1134"/>
        <w:jc w:val="both"/>
        <w:rPr>
          <w:rFonts w:ascii="Verdana" w:hAnsi="Verdana"/>
          <w:i/>
          <w:sz w:val="20"/>
          <w:szCs w:val="20"/>
          <w:lang w:val="es-ES"/>
        </w:rPr>
      </w:pPr>
      <w:r w:rsidRPr="00E05B0B">
        <w:rPr>
          <w:rFonts w:ascii="Verdana" w:hAnsi="Verdana"/>
          <w:i/>
          <w:sz w:val="20"/>
          <w:szCs w:val="20"/>
          <w:lang w:val="es-ES"/>
        </w:rPr>
        <w:t>a) que se hayan interpuesto y agotado los recursos de jurisdicción interna, conforme a los principios del Derecho Internacional generalmente reconocidos;</w:t>
      </w:r>
    </w:p>
    <w:p w14:paraId="453DB9ED" w14:textId="77777777" w:rsidR="00150531" w:rsidRPr="00E05B0B" w:rsidRDefault="00150531" w:rsidP="00150531">
      <w:pPr>
        <w:spacing w:after="0" w:line="240" w:lineRule="auto"/>
        <w:ind w:left="1134"/>
        <w:jc w:val="both"/>
        <w:rPr>
          <w:rFonts w:ascii="Verdana" w:hAnsi="Verdana"/>
          <w:i/>
          <w:sz w:val="20"/>
          <w:szCs w:val="20"/>
          <w:lang w:val="es-ES"/>
        </w:rPr>
      </w:pPr>
      <w:r w:rsidRPr="00E05B0B">
        <w:rPr>
          <w:rFonts w:ascii="Verdana" w:hAnsi="Verdana"/>
          <w:i/>
          <w:sz w:val="20"/>
          <w:szCs w:val="20"/>
          <w:lang w:val="es-ES"/>
        </w:rPr>
        <w:t>b) que sea presentada dentro del plazo de seis meses, a partir de la fecha en que el presunto lesionado en sus derechos haya sido notificado de la decisión definitiva;</w:t>
      </w:r>
    </w:p>
    <w:p w14:paraId="6C1296E8" w14:textId="77777777" w:rsidR="00150531" w:rsidRPr="00E05B0B" w:rsidRDefault="00150531" w:rsidP="00150531">
      <w:pPr>
        <w:spacing w:after="0" w:line="240" w:lineRule="auto"/>
        <w:ind w:left="1134"/>
        <w:jc w:val="both"/>
        <w:rPr>
          <w:rFonts w:ascii="Verdana" w:hAnsi="Verdana"/>
          <w:i/>
          <w:sz w:val="20"/>
          <w:szCs w:val="20"/>
          <w:lang w:val="es-ES"/>
        </w:rPr>
      </w:pPr>
      <w:r w:rsidRPr="00E05B0B">
        <w:rPr>
          <w:rFonts w:ascii="Verdana" w:hAnsi="Verdana"/>
          <w:i/>
          <w:sz w:val="20"/>
          <w:szCs w:val="20"/>
          <w:lang w:val="es-ES"/>
        </w:rPr>
        <w:t xml:space="preserve">c) que la materia de la petición o comunicación no esté pendiente de otro procedimiento de arreglo internacional, y </w:t>
      </w:r>
    </w:p>
    <w:p w14:paraId="20342C02" w14:textId="77777777" w:rsidR="00150531" w:rsidRPr="00E05B0B" w:rsidRDefault="00150531" w:rsidP="00150531">
      <w:pPr>
        <w:spacing w:after="0" w:line="240" w:lineRule="auto"/>
        <w:ind w:left="1134"/>
        <w:jc w:val="both"/>
        <w:rPr>
          <w:rFonts w:ascii="Verdana" w:hAnsi="Verdana"/>
          <w:i/>
          <w:sz w:val="20"/>
          <w:szCs w:val="20"/>
          <w:lang w:val="es-ES"/>
        </w:rPr>
      </w:pPr>
      <w:r w:rsidRPr="00E05B0B">
        <w:rPr>
          <w:rFonts w:ascii="Verdana" w:hAnsi="Verdana"/>
          <w:i/>
          <w:sz w:val="20"/>
          <w:szCs w:val="20"/>
          <w:lang w:val="es-ES"/>
        </w:rPr>
        <w:t>d) que en el caso del artículo 44 la petición contenga el nombre, la nacionalidad, la profesión, el domicilio y la firma de la persona o personas o del representante legal de la entidad que somete la petición.</w:t>
      </w:r>
    </w:p>
    <w:p w14:paraId="0C890798" w14:textId="77777777" w:rsidR="00150531" w:rsidRPr="00E05B0B" w:rsidRDefault="00150531" w:rsidP="00150531">
      <w:pPr>
        <w:spacing w:after="0" w:line="240" w:lineRule="auto"/>
        <w:ind w:left="1134"/>
        <w:jc w:val="both"/>
        <w:rPr>
          <w:rFonts w:ascii="Verdana" w:hAnsi="Verdana"/>
          <w:i/>
          <w:sz w:val="20"/>
          <w:szCs w:val="20"/>
          <w:lang w:val="es-ES"/>
        </w:rPr>
      </w:pPr>
      <w:r w:rsidRPr="00E05B0B">
        <w:rPr>
          <w:rFonts w:ascii="Verdana" w:hAnsi="Verdana"/>
          <w:i/>
          <w:sz w:val="20"/>
          <w:szCs w:val="20"/>
          <w:lang w:val="es-ES"/>
        </w:rPr>
        <w:t xml:space="preserve">2. Las disposiciones de los incisos 1.a) y 1.b) del presente artículo no se aplicarán cuando: </w:t>
      </w:r>
    </w:p>
    <w:p w14:paraId="7FF514E7" w14:textId="77777777" w:rsidR="00150531" w:rsidRPr="00E05B0B" w:rsidRDefault="00150531" w:rsidP="00150531">
      <w:pPr>
        <w:spacing w:after="0" w:line="240" w:lineRule="auto"/>
        <w:ind w:left="1134"/>
        <w:jc w:val="both"/>
        <w:rPr>
          <w:rFonts w:ascii="Verdana" w:hAnsi="Verdana"/>
          <w:i/>
          <w:sz w:val="20"/>
          <w:szCs w:val="20"/>
          <w:lang w:val="es-ES"/>
        </w:rPr>
      </w:pPr>
      <w:r w:rsidRPr="00E05B0B">
        <w:rPr>
          <w:rFonts w:ascii="Verdana" w:hAnsi="Verdana"/>
          <w:i/>
          <w:sz w:val="20"/>
          <w:szCs w:val="20"/>
          <w:lang w:val="es-ES"/>
        </w:rPr>
        <w:t xml:space="preserve">a) no exista en la legislación interna del Estado de que se trata el debido proceso legal para la protección del derecho o derechos que se alega han sido violados; </w:t>
      </w:r>
    </w:p>
    <w:p w14:paraId="782FD514" w14:textId="77777777" w:rsidR="00150531" w:rsidRPr="00E05B0B" w:rsidRDefault="00150531" w:rsidP="00150531">
      <w:pPr>
        <w:spacing w:after="0" w:line="240" w:lineRule="auto"/>
        <w:ind w:left="1134"/>
        <w:jc w:val="both"/>
        <w:rPr>
          <w:rFonts w:ascii="Verdana" w:hAnsi="Verdana"/>
          <w:i/>
          <w:sz w:val="20"/>
          <w:szCs w:val="20"/>
          <w:lang w:val="es-ES"/>
        </w:rPr>
      </w:pPr>
      <w:r w:rsidRPr="00E05B0B">
        <w:rPr>
          <w:rFonts w:ascii="Verdana" w:hAnsi="Verdana"/>
          <w:i/>
          <w:sz w:val="20"/>
          <w:szCs w:val="20"/>
          <w:lang w:val="es-ES"/>
        </w:rPr>
        <w:t>b) no se haya permitido al presunto lesionado en sus derechos el acceso a los recursos de la jurisdicción interna, o haya sido impedido de agotarlos, y</w:t>
      </w:r>
    </w:p>
    <w:p w14:paraId="5E0E6782" w14:textId="77777777" w:rsidR="00150531" w:rsidRPr="00E05B0B" w:rsidRDefault="00150531" w:rsidP="00150531">
      <w:pPr>
        <w:spacing w:after="0" w:line="240" w:lineRule="auto"/>
        <w:ind w:left="1134"/>
        <w:jc w:val="both"/>
        <w:rPr>
          <w:rFonts w:ascii="Verdana" w:hAnsi="Verdana"/>
          <w:i/>
          <w:sz w:val="20"/>
          <w:szCs w:val="20"/>
          <w:lang w:val="es-ES"/>
        </w:rPr>
      </w:pPr>
      <w:r w:rsidRPr="00E05B0B">
        <w:rPr>
          <w:rFonts w:ascii="Verdana" w:hAnsi="Verdana"/>
          <w:i/>
          <w:sz w:val="20"/>
          <w:szCs w:val="20"/>
          <w:lang w:val="es-ES"/>
        </w:rPr>
        <w:t xml:space="preserve">c) </w:t>
      </w:r>
      <w:proofErr w:type="gramStart"/>
      <w:r w:rsidRPr="00E05B0B">
        <w:rPr>
          <w:rFonts w:ascii="Verdana" w:hAnsi="Verdana"/>
          <w:i/>
          <w:sz w:val="20"/>
          <w:szCs w:val="20"/>
          <w:lang w:val="es-ES"/>
        </w:rPr>
        <w:t>haya</w:t>
      </w:r>
      <w:proofErr w:type="gramEnd"/>
      <w:r w:rsidRPr="00E05B0B">
        <w:rPr>
          <w:rFonts w:ascii="Verdana" w:hAnsi="Verdana"/>
          <w:i/>
          <w:sz w:val="20"/>
          <w:szCs w:val="20"/>
          <w:lang w:val="es-ES"/>
        </w:rPr>
        <w:t xml:space="preserve"> retardo injustificado en la decisión sobre los mencionados recursos.”</w:t>
      </w:r>
    </w:p>
    <w:p w14:paraId="69A5E12F" w14:textId="77777777" w:rsidR="00150531" w:rsidRPr="00B533BB" w:rsidRDefault="00150531" w:rsidP="00150531">
      <w:pPr>
        <w:spacing w:after="0" w:line="240" w:lineRule="auto"/>
        <w:ind w:left="1134"/>
        <w:jc w:val="both"/>
        <w:rPr>
          <w:rFonts w:ascii="Verdana" w:hAnsi="Verdana"/>
          <w:i/>
          <w:lang w:val="es-ES"/>
        </w:rPr>
      </w:pPr>
    </w:p>
    <w:p w14:paraId="1BBCA4B0" w14:textId="77777777" w:rsidR="00150531" w:rsidRPr="00B533BB" w:rsidRDefault="00150531" w:rsidP="00150531">
      <w:pPr>
        <w:jc w:val="both"/>
        <w:rPr>
          <w:rFonts w:ascii="Verdana" w:hAnsi="Verdana"/>
          <w:lang w:val="es-ES"/>
        </w:rPr>
      </w:pPr>
      <w:r w:rsidRPr="00EE0619">
        <w:rPr>
          <w:rFonts w:ascii="Verdana" w:hAnsi="Verdana"/>
          <w:sz w:val="20"/>
          <w:szCs w:val="20"/>
          <w:lang w:val="es-ES"/>
        </w:rPr>
        <w:t>Y el artículo 47 a) y b</w:t>
      </w:r>
      <w:r w:rsidR="0059112E" w:rsidRPr="00EE0619">
        <w:rPr>
          <w:rFonts w:ascii="Verdana" w:hAnsi="Verdana"/>
          <w:sz w:val="20"/>
          <w:szCs w:val="20"/>
          <w:lang w:val="es-ES"/>
        </w:rPr>
        <w:t>)</w:t>
      </w:r>
      <w:r w:rsidRPr="00EE0619">
        <w:rPr>
          <w:rFonts w:ascii="Verdana" w:hAnsi="Verdana"/>
          <w:sz w:val="20"/>
          <w:szCs w:val="20"/>
          <w:lang w:val="es-ES"/>
        </w:rPr>
        <w:t xml:space="preserve"> añade que</w:t>
      </w:r>
      <w:r w:rsidRPr="00B533BB">
        <w:rPr>
          <w:rFonts w:ascii="Verdana" w:hAnsi="Verdana"/>
          <w:lang w:val="es-ES"/>
        </w:rPr>
        <w:t>:</w:t>
      </w:r>
    </w:p>
    <w:p w14:paraId="2F06BAE5" w14:textId="77777777" w:rsidR="00150531" w:rsidRPr="00E05B0B" w:rsidRDefault="00150531" w:rsidP="00150531">
      <w:pPr>
        <w:spacing w:after="0"/>
        <w:ind w:left="1134"/>
        <w:jc w:val="both"/>
        <w:rPr>
          <w:rFonts w:ascii="Verdana" w:hAnsi="Verdana"/>
          <w:i/>
          <w:sz w:val="20"/>
          <w:szCs w:val="20"/>
          <w:lang w:val="es-ES"/>
        </w:rPr>
      </w:pPr>
      <w:r w:rsidRPr="00E05B0B">
        <w:rPr>
          <w:rFonts w:ascii="Verdana" w:hAnsi="Verdana"/>
          <w:i/>
          <w:sz w:val="20"/>
          <w:szCs w:val="20"/>
          <w:lang w:val="es-ES"/>
        </w:rPr>
        <w:t xml:space="preserve">“La Comisión declarará inadmisible toda petición o comunicación presentada de acuerdo con los artículos 44 </w:t>
      </w:r>
      <w:proofErr w:type="spellStart"/>
      <w:r w:rsidRPr="00E05B0B">
        <w:rPr>
          <w:rFonts w:ascii="Verdana" w:hAnsi="Verdana"/>
          <w:i/>
          <w:sz w:val="20"/>
          <w:szCs w:val="20"/>
          <w:lang w:val="es-ES"/>
        </w:rPr>
        <w:t>ó</w:t>
      </w:r>
      <w:proofErr w:type="spellEnd"/>
      <w:r w:rsidRPr="00E05B0B">
        <w:rPr>
          <w:rFonts w:ascii="Verdana" w:hAnsi="Verdana"/>
          <w:i/>
          <w:sz w:val="20"/>
          <w:szCs w:val="20"/>
          <w:lang w:val="es-ES"/>
        </w:rPr>
        <w:t xml:space="preserve"> 45 cuando:</w:t>
      </w:r>
    </w:p>
    <w:p w14:paraId="303CBD8E" w14:textId="77777777" w:rsidR="00150531" w:rsidRPr="00E05B0B" w:rsidRDefault="00150531" w:rsidP="00E05B0B">
      <w:pPr>
        <w:pStyle w:val="ListParagraph"/>
        <w:numPr>
          <w:ilvl w:val="0"/>
          <w:numId w:val="1"/>
        </w:numPr>
        <w:spacing w:after="0"/>
        <w:ind w:left="1494"/>
        <w:jc w:val="both"/>
        <w:rPr>
          <w:rFonts w:ascii="Verdana" w:hAnsi="Verdana"/>
          <w:i/>
          <w:sz w:val="20"/>
          <w:szCs w:val="20"/>
          <w:lang w:val="es-ES"/>
        </w:rPr>
      </w:pPr>
      <w:r w:rsidRPr="00E05B0B">
        <w:rPr>
          <w:rFonts w:ascii="Verdana" w:hAnsi="Verdana"/>
          <w:i/>
          <w:sz w:val="20"/>
          <w:szCs w:val="20"/>
          <w:lang w:val="es-ES"/>
        </w:rPr>
        <w:t>falte alguno de los requis</w:t>
      </w:r>
      <w:bookmarkStart w:id="0" w:name="_GoBack"/>
      <w:bookmarkEnd w:id="0"/>
      <w:r w:rsidRPr="00E05B0B">
        <w:rPr>
          <w:rFonts w:ascii="Verdana" w:hAnsi="Verdana"/>
          <w:i/>
          <w:sz w:val="20"/>
          <w:szCs w:val="20"/>
          <w:lang w:val="es-ES"/>
        </w:rPr>
        <w:t>itos indicados en el artículo 46;”</w:t>
      </w:r>
    </w:p>
    <w:p w14:paraId="2540CCAD" w14:textId="77777777" w:rsidR="00150531" w:rsidRPr="00E05B0B" w:rsidRDefault="00150531" w:rsidP="00E05B0B">
      <w:pPr>
        <w:pStyle w:val="ListParagraph"/>
        <w:numPr>
          <w:ilvl w:val="0"/>
          <w:numId w:val="1"/>
        </w:numPr>
        <w:spacing w:after="0"/>
        <w:ind w:left="1494"/>
        <w:jc w:val="both"/>
        <w:rPr>
          <w:rFonts w:ascii="Verdana" w:hAnsi="Verdana"/>
          <w:i/>
          <w:sz w:val="20"/>
          <w:szCs w:val="20"/>
          <w:lang w:val="es-ES"/>
        </w:rPr>
      </w:pPr>
      <w:r w:rsidRPr="00E05B0B">
        <w:rPr>
          <w:rFonts w:ascii="Verdana" w:hAnsi="Verdana"/>
          <w:i/>
          <w:sz w:val="20"/>
          <w:szCs w:val="20"/>
          <w:lang w:val="es-ES"/>
        </w:rPr>
        <w:t>que sea presentada dentro del plazo de seis meses, a partir de la fecha en que el presunto lesionado en sus derechos haya sido notificado de la decisión definitiva;</w:t>
      </w:r>
    </w:p>
    <w:p w14:paraId="41F8C564" w14:textId="77777777" w:rsidR="00150531" w:rsidRPr="00B533BB" w:rsidRDefault="00150531" w:rsidP="00150531">
      <w:pPr>
        <w:pStyle w:val="ListParagraph"/>
        <w:ind w:left="972"/>
        <w:jc w:val="both"/>
        <w:rPr>
          <w:rFonts w:ascii="Verdana" w:hAnsi="Verdana"/>
          <w:i/>
          <w:lang w:val="es-ES"/>
        </w:rPr>
      </w:pPr>
    </w:p>
    <w:p w14:paraId="7FB95E2C" w14:textId="77777777" w:rsidR="00150531" w:rsidRPr="00B533BB" w:rsidRDefault="00150531" w:rsidP="00E253ED">
      <w:pPr>
        <w:pStyle w:val="ListParagraph"/>
        <w:numPr>
          <w:ilvl w:val="0"/>
          <w:numId w:val="7"/>
        </w:numPr>
        <w:ind w:left="1210"/>
        <w:jc w:val="both"/>
        <w:rPr>
          <w:rFonts w:ascii="Verdana" w:hAnsi="Verdana"/>
          <w:i/>
          <w:u w:val="single"/>
          <w:lang w:val="es-ES"/>
        </w:rPr>
      </w:pPr>
      <w:r w:rsidRPr="00B533BB">
        <w:rPr>
          <w:rFonts w:ascii="Verdana" w:hAnsi="Verdana"/>
          <w:u w:val="single"/>
          <w:lang w:val="es-ES"/>
        </w:rPr>
        <w:t>Naturaleza coadyuvante o complementaria de la regla.</w:t>
      </w:r>
    </w:p>
    <w:p w14:paraId="055EBDD1" w14:textId="43CA34F5" w:rsidR="00150531" w:rsidRPr="00AD79CA" w:rsidRDefault="00150531" w:rsidP="00AD79CA">
      <w:pPr>
        <w:jc w:val="both"/>
        <w:rPr>
          <w:rFonts w:ascii="Verdana" w:hAnsi="Verdana"/>
          <w:lang w:val="es-ES"/>
        </w:rPr>
      </w:pPr>
      <w:r w:rsidRPr="00EE0619">
        <w:rPr>
          <w:rFonts w:ascii="Verdana" w:hAnsi="Verdana"/>
          <w:sz w:val="20"/>
          <w:szCs w:val="20"/>
          <w:lang w:val="es-ES"/>
        </w:rPr>
        <w:t xml:space="preserve">Como primera observación, procede llamar la atención acerca que la indicada regla responde a lo previsto en el tercer párrafo del Preámbulo de la Convención en orden a </w:t>
      </w:r>
      <w:r w:rsidRPr="00EE0619">
        <w:rPr>
          <w:rFonts w:ascii="Verdana" w:hAnsi="Verdana"/>
          <w:sz w:val="20"/>
          <w:szCs w:val="20"/>
          <w:lang w:val="es-ES"/>
        </w:rPr>
        <w:lastRenderedPageBreak/>
        <w:t xml:space="preserve">que la </w:t>
      </w:r>
      <w:r w:rsidRPr="00E05B0B">
        <w:rPr>
          <w:rFonts w:ascii="Verdana" w:hAnsi="Verdana"/>
          <w:i/>
          <w:sz w:val="20"/>
          <w:szCs w:val="20"/>
          <w:lang w:val="es-ES"/>
        </w:rPr>
        <w:t>“protección internacional</w:t>
      </w:r>
      <w:r w:rsidR="0059112E">
        <w:rPr>
          <w:rFonts w:ascii="Verdana" w:hAnsi="Verdana"/>
          <w:i/>
          <w:sz w:val="20"/>
          <w:szCs w:val="20"/>
          <w:lang w:val="es-ES"/>
        </w:rPr>
        <w:t xml:space="preserve"> </w:t>
      </w:r>
      <w:r w:rsidR="0059112E">
        <w:rPr>
          <w:rFonts w:ascii="Verdana" w:hAnsi="Verdana"/>
          <w:i/>
          <w:sz w:val="20"/>
          <w:szCs w:val="20"/>
          <w:lang w:val="es-CO"/>
        </w:rPr>
        <w:t>[</w:t>
      </w:r>
      <w:r w:rsidRPr="00E05B0B">
        <w:rPr>
          <w:rFonts w:ascii="Verdana" w:hAnsi="Verdana"/>
          <w:i/>
          <w:sz w:val="20"/>
          <w:szCs w:val="20"/>
          <w:lang w:val="es-ES"/>
        </w:rPr>
        <w:t>es</w:t>
      </w:r>
      <w:r w:rsidR="0059112E">
        <w:rPr>
          <w:rFonts w:ascii="Verdana" w:hAnsi="Verdana"/>
          <w:i/>
          <w:sz w:val="20"/>
          <w:szCs w:val="20"/>
          <w:lang w:val="es-ES"/>
        </w:rPr>
        <w:t>]</w:t>
      </w:r>
      <w:r w:rsidRPr="00E05B0B">
        <w:rPr>
          <w:rFonts w:ascii="Verdana" w:hAnsi="Verdana"/>
          <w:i/>
          <w:sz w:val="20"/>
          <w:szCs w:val="20"/>
          <w:lang w:val="es-ES"/>
        </w:rPr>
        <w:t xml:space="preserve"> de naturaleza convencional coadyuvante o complementaria de la que ofrece el derecho interno de los Estados americanos”</w:t>
      </w:r>
      <w:r w:rsidRPr="00E05B0B">
        <w:rPr>
          <w:rFonts w:ascii="Verdana" w:hAnsi="Verdana"/>
          <w:sz w:val="20"/>
          <w:szCs w:val="20"/>
          <w:lang w:val="es-ES"/>
        </w:rPr>
        <w:t>.</w:t>
      </w:r>
    </w:p>
    <w:p w14:paraId="1EA4A9E8"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Esto es, ello importa que la jurisdicción interamericana no sustituye ni reemplaza a la jurisdicción interna, solo la coadyuva o complementa, vale decir, contribuye o ayuda a que ésta restablezca, lo más pronto posible, la vigencia de los derechos humanos que se aleguen violados. A este respecto, no se debe olvidar que el obligado por la Convención es el Estado</w:t>
      </w:r>
      <w:r w:rsidRPr="00B533BB">
        <w:rPr>
          <w:rStyle w:val="FootnoteReference"/>
          <w:rFonts w:ascii="Verdana" w:hAnsi="Verdana"/>
          <w:lang w:val="es-ES"/>
        </w:rPr>
        <w:footnoteReference w:id="15"/>
      </w:r>
      <w:r w:rsidRPr="00B533BB">
        <w:rPr>
          <w:rFonts w:ascii="Verdana" w:hAnsi="Verdana"/>
          <w:lang w:val="es-ES"/>
        </w:rPr>
        <w:t xml:space="preserve"> </w:t>
      </w:r>
      <w:r w:rsidRPr="00EE0619">
        <w:rPr>
          <w:rFonts w:ascii="Verdana" w:hAnsi="Verdana"/>
          <w:sz w:val="20"/>
          <w:szCs w:val="20"/>
          <w:lang w:val="es-ES"/>
        </w:rPr>
        <w:t xml:space="preserve">y, por ende, no solo tiene la obligación internacional de respetar y de hacer respetar los derechos consagrados en ella sino que, además, en no pocas ocasiones, ello lo puede hacer únicamente a través de sus tribunales de justicia. </w:t>
      </w:r>
    </w:p>
    <w:p w14:paraId="2E16FEDA"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Es por tal razón que, como lo ha señalado la Corte, “</w:t>
      </w:r>
      <w:r w:rsidRPr="00EE0619">
        <w:rPr>
          <w:rFonts w:ascii="Verdana" w:hAnsi="Verdana"/>
          <w:i/>
          <w:sz w:val="20"/>
          <w:szCs w:val="20"/>
          <w:lang w:val="es-ES"/>
        </w:rPr>
        <w:t>la regla del previo agotamiento de los recursos internos está concebida en interés del Estado, pues busca dispensarlo de responder ante un órgano internacional por actos que se le imputen, antes de haber tenido la ocasión de remediarlos con sus propios medios</w:t>
      </w:r>
      <w:r w:rsidRPr="00EE0619">
        <w:rPr>
          <w:rFonts w:ascii="Verdana" w:hAnsi="Verdana"/>
          <w:sz w:val="20"/>
          <w:szCs w:val="20"/>
          <w:lang w:val="es-ES"/>
        </w:rPr>
        <w:t xml:space="preserve">”. En tal sentido, la señalada regla es, por lo tanto, un mecanismo para incentivar al Estado para que cumpla sus obligaciones en materia de derechos humanos sin esperar que el </w:t>
      </w:r>
      <w:r w:rsidR="00D14FB0" w:rsidRPr="00EE0619">
        <w:rPr>
          <w:rFonts w:ascii="Verdana" w:hAnsi="Verdana"/>
          <w:sz w:val="20"/>
          <w:szCs w:val="20"/>
          <w:lang w:val="es-ES"/>
        </w:rPr>
        <w:t>S</w:t>
      </w:r>
      <w:r w:rsidRPr="00EE0619">
        <w:rPr>
          <w:rFonts w:ascii="Verdana" w:hAnsi="Verdana"/>
          <w:sz w:val="20"/>
          <w:szCs w:val="20"/>
          <w:lang w:val="es-ES"/>
        </w:rPr>
        <w:t xml:space="preserve">istema </w:t>
      </w:r>
      <w:r w:rsidR="00D14FB0" w:rsidRPr="00EE0619">
        <w:rPr>
          <w:rFonts w:ascii="Verdana" w:hAnsi="Verdana"/>
          <w:sz w:val="20"/>
          <w:szCs w:val="20"/>
          <w:lang w:val="es-ES"/>
        </w:rPr>
        <w:t>I</w:t>
      </w:r>
      <w:r w:rsidRPr="00EE0619">
        <w:rPr>
          <w:rFonts w:ascii="Verdana" w:hAnsi="Verdana"/>
          <w:sz w:val="20"/>
          <w:szCs w:val="20"/>
          <w:lang w:val="es-ES"/>
        </w:rPr>
        <w:t xml:space="preserve">nteramericano eventualmente le ordene, luego de un proceso, lo mismo. La aludida regla pretende, en definitiva, que se le proporcione al Estado la posibilidad de disponer cuanto antes la efectiva vigencia y respeto de los derechos humanos violados, que es el objeto y fin de la Convención y, por ende, lo que en definitiva interesa que ocurra lo más pronto posible, haciendo innecesaria la intervención posterior de la jurisdicción interamericana.  </w:t>
      </w:r>
    </w:p>
    <w:p w14:paraId="433BB54E"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 xml:space="preserve">La regla del previo agotamiento de los recursos internos importa, en consecuencia, que, en aquellas situaciones en que ya se ha alegado en el respectivo ámbito de la jurisdicción interna que el Estado no ha cumplido con los compromisos que contrajo en cuanto a respetar y garantizar el libre y pleno ejercicio de los derechos humanos, es posible reclamar la intervención de la instancia jurisdiccional internacional para que, si procede, le ordene cumplir con las obligaciones internacionales que ha violado, dé garantía de que no volverá a violarlas y repare todas las consecuencias de tales violaciones.  </w:t>
      </w:r>
    </w:p>
    <w:p w14:paraId="64A74F72" w14:textId="77777777" w:rsidR="00150531" w:rsidRPr="00EE0619" w:rsidRDefault="00150531" w:rsidP="001054D1">
      <w:pPr>
        <w:pStyle w:val="ListParagraph"/>
        <w:numPr>
          <w:ilvl w:val="0"/>
          <w:numId w:val="7"/>
        </w:numPr>
        <w:jc w:val="both"/>
        <w:rPr>
          <w:rFonts w:ascii="Verdana" w:hAnsi="Verdana"/>
          <w:sz w:val="20"/>
          <w:szCs w:val="20"/>
          <w:u w:val="single"/>
          <w:lang w:val="es-ES"/>
        </w:rPr>
      </w:pPr>
      <w:r w:rsidRPr="00EE0619">
        <w:rPr>
          <w:rFonts w:ascii="Verdana" w:hAnsi="Verdana"/>
          <w:sz w:val="20"/>
          <w:szCs w:val="20"/>
          <w:u w:val="single"/>
          <w:lang w:val="es-ES"/>
        </w:rPr>
        <w:t>Titular de la obligación.</w:t>
      </w:r>
    </w:p>
    <w:p w14:paraId="019FA7A7" w14:textId="50196B69"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 xml:space="preserve">El efecto útil de la mencionada regla es, entonces, que el Estado restablezca lo antes posible el respeto de los derechos humanos violados, </w:t>
      </w:r>
      <w:r w:rsidR="00B878BB" w:rsidRPr="00EE0619">
        <w:rPr>
          <w:rFonts w:ascii="Verdana" w:hAnsi="Verdana"/>
          <w:sz w:val="20"/>
          <w:szCs w:val="20"/>
          <w:lang w:val="es-ES"/>
        </w:rPr>
        <w:t xml:space="preserve">objeto y fin de la Convención, </w:t>
      </w:r>
      <w:r w:rsidRPr="00EE0619">
        <w:rPr>
          <w:rFonts w:ascii="Verdana" w:hAnsi="Verdana"/>
          <w:sz w:val="20"/>
          <w:szCs w:val="20"/>
          <w:lang w:val="es-ES"/>
        </w:rPr>
        <w:t>y, por tal motivo, dicha regla, no s</w:t>
      </w:r>
      <w:r w:rsidR="00D35D2B" w:rsidRPr="00EE0619">
        <w:rPr>
          <w:rFonts w:ascii="Verdana" w:hAnsi="Verdana"/>
          <w:sz w:val="20"/>
          <w:szCs w:val="20"/>
          <w:lang w:val="es-ES"/>
        </w:rPr>
        <w:t>o</w:t>
      </w:r>
      <w:r w:rsidRPr="00EE0619">
        <w:rPr>
          <w:rFonts w:ascii="Verdana" w:hAnsi="Verdana"/>
          <w:sz w:val="20"/>
          <w:szCs w:val="20"/>
          <w:lang w:val="es-ES"/>
        </w:rPr>
        <w:t>lo está establecida principalmente en beneficio de la víctima de la violación de derechos humanos, sino que, además, es ella o el peticionario qui</w:t>
      </w:r>
      <w:r w:rsidR="00291558" w:rsidRPr="00EE0619">
        <w:rPr>
          <w:rFonts w:ascii="Verdana" w:hAnsi="Verdana"/>
          <w:sz w:val="20"/>
          <w:szCs w:val="20"/>
          <w:lang w:val="es-ES"/>
        </w:rPr>
        <w:t>e</w:t>
      </w:r>
      <w:r w:rsidRPr="00EE0619">
        <w:rPr>
          <w:rFonts w:ascii="Verdana" w:hAnsi="Verdana"/>
          <w:sz w:val="20"/>
          <w:szCs w:val="20"/>
          <w:lang w:val="es-ES"/>
        </w:rPr>
        <w:t>n debe cumplirla.</w:t>
      </w:r>
    </w:p>
    <w:p w14:paraId="64EF5FF9" w14:textId="52964B68"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lastRenderedPageBreak/>
        <w:t>El transcrito artículo 46 es categórico al respecto. Para que la petición o comunicación pertinente sea admitida debe haberse agotado los recursos de jurisdicción interna y, evidentemente, a quién le corresponde hacerlo es a la presunta víctima,</w:t>
      </w:r>
      <w:r w:rsidR="00667410" w:rsidRPr="00EE0619">
        <w:rPr>
          <w:rFonts w:ascii="Verdana" w:hAnsi="Verdana"/>
          <w:sz w:val="20"/>
          <w:szCs w:val="20"/>
          <w:lang w:val="es-ES"/>
        </w:rPr>
        <w:t xml:space="preserve"> a su representación o</w:t>
      </w:r>
      <w:r w:rsidRPr="00EE0619">
        <w:rPr>
          <w:rFonts w:ascii="Verdana" w:hAnsi="Verdana"/>
          <w:sz w:val="20"/>
          <w:szCs w:val="20"/>
          <w:lang w:val="es-ES"/>
        </w:rPr>
        <w:t xml:space="preserve"> al peticionario. Evidentemente, no resultaría lógico o comprensible hacer depender la admisibilidad de una petición o comunicación por violación de derechos humanos, a que el Estado en contra del cual ésta se dirige, haya agotado los recursos internos en contra de su propio actuar consistente precisamente por haber violado derechos humanos, pues en tal absurda hipótesis, jamás se podría recurrir a la instancia internacional.</w:t>
      </w:r>
    </w:p>
    <w:p w14:paraId="4E41B70A"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 xml:space="preserve">Lo anterior parece evidente y si se hace mención a ello es para recalcar, sin que quede margen de duda alguna, que la referencia que la jurisprudencia de la Corte ha hecho a la circunstancia de que la regla en comenta </w:t>
      </w:r>
      <w:r w:rsidRPr="00EE0619">
        <w:rPr>
          <w:rFonts w:ascii="Verdana" w:hAnsi="Verdana"/>
          <w:i/>
          <w:sz w:val="20"/>
          <w:szCs w:val="20"/>
          <w:lang w:val="es-ES"/>
        </w:rPr>
        <w:t>“está concebida en interés del Estado</w:t>
      </w:r>
      <w:r w:rsidRPr="00EE0619">
        <w:rPr>
          <w:rFonts w:ascii="Verdana" w:hAnsi="Verdana"/>
          <w:sz w:val="20"/>
          <w:szCs w:val="20"/>
          <w:lang w:val="es-ES"/>
        </w:rPr>
        <w:t>” no significa, consecuentemente, que él sea el titular de la obligación de cumplirla</w:t>
      </w:r>
      <w:r w:rsidR="001876B5" w:rsidRPr="00EE0619">
        <w:rPr>
          <w:rFonts w:ascii="Verdana" w:hAnsi="Verdana"/>
          <w:sz w:val="20"/>
          <w:szCs w:val="20"/>
          <w:lang w:val="es-ES"/>
        </w:rPr>
        <w:t>.</w:t>
      </w:r>
      <w:r w:rsidRPr="00EE0619">
        <w:rPr>
          <w:rFonts w:ascii="Verdana" w:hAnsi="Verdana"/>
          <w:sz w:val="20"/>
          <w:szCs w:val="20"/>
          <w:lang w:val="es-ES"/>
        </w:rPr>
        <w:t xml:space="preserve"> El obligado a ello no puede, entonces, ser sino la presunta víctima, su representante o el peticionario, pero no el Estado</w:t>
      </w:r>
      <w:r w:rsidR="001876B5" w:rsidRPr="00EE0619">
        <w:rPr>
          <w:rFonts w:ascii="Verdana" w:hAnsi="Verdana"/>
          <w:sz w:val="20"/>
          <w:szCs w:val="20"/>
          <w:lang w:val="es-ES"/>
        </w:rPr>
        <w:t>.</w:t>
      </w:r>
    </w:p>
    <w:p w14:paraId="4A17C8EF" w14:textId="77777777" w:rsidR="00150531" w:rsidRPr="00EE0619" w:rsidRDefault="00150531" w:rsidP="001054D1">
      <w:pPr>
        <w:pStyle w:val="ListParagraph"/>
        <w:numPr>
          <w:ilvl w:val="0"/>
          <w:numId w:val="7"/>
        </w:numPr>
        <w:jc w:val="both"/>
        <w:rPr>
          <w:rFonts w:ascii="Verdana" w:hAnsi="Verdana"/>
          <w:b/>
          <w:sz w:val="20"/>
          <w:szCs w:val="20"/>
          <w:lang w:val="es-ES"/>
        </w:rPr>
      </w:pPr>
      <w:r w:rsidRPr="00EE0619">
        <w:rPr>
          <w:rFonts w:ascii="Verdana" w:hAnsi="Verdana"/>
          <w:sz w:val="20"/>
          <w:szCs w:val="20"/>
          <w:u w:val="single"/>
          <w:lang w:val="es-ES"/>
        </w:rPr>
        <w:t>Oportunidad de la petición</w:t>
      </w:r>
      <w:r w:rsidRPr="00EE0619">
        <w:rPr>
          <w:rFonts w:ascii="Verdana" w:hAnsi="Verdana"/>
          <w:b/>
          <w:sz w:val="20"/>
          <w:szCs w:val="20"/>
          <w:lang w:val="es-ES"/>
        </w:rPr>
        <w:t>.</w:t>
      </w:r>
    </w:p>
    <w:p w14:paraId="0D844B8C"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 xml:space="preserve">En tanto segundo comentario, es procedente indicar que la regla del previo agotamiento de los recursos internos lógicamente constituye un requisito </w:t>
      </w:r>
      <w:r w:rsidR="001876B5" w:rsidRPr="00EE0619">
        <w:rPr>
          <w:rFonts w:ascii="Verdana" w:hAnsi="Verdana"/>
          <w:sz w:val="20"/>
          <w:szCs w:val="20"/>
          <w:lang w:val="es-ES"/>
        </w:rPr>
        <w:t xml:space="preserve">que </w:t>
      </w:r>
      <w:r w:rsidRPr="00EE0619">
        <w:rPr>
          <w:rFonts w:ascii="Verdana" w:hAnsi="Verdana"/>
          <w:sz w:val="20"/>
          <w:szCs w:val="20"/>
          <w:lang w:val="es-ES"/>
        </w:rPr>
        <w:t>se debe cumplir con anterioridad a la presentación de la petición ante la Comisión</w:t>
      </w:r>
      <w:r w:rsidR="00CE51CF" w:rsidRPr="00EE0619">
        <w:rPr>
          <w:rFonts w:ascii="Verdana" w:hAnsi="Verdana"/>
          <w:sz w:val="20"/>
          <w:szCs w:val="20"/>
          <w:lang w:val="es-ES"/>
        </w:rPr>
        <w:t xml:space="preserve"> </w:t>
      </w:r>
      <w:r w:rsidRPr="00EE0619">
        <w:rPr>
          <w:rFonts w:ascii="Verdana" w:hAnsi="Verdana"/>
          <w:sz w:val="20"/>
          <w:szCs w:val="20"/>
          <w:lang w:val="es-ES"/>
        </w:rPr>
        <w:t xml:space="preserve">y que en ella se debe dar cuenta de tal cumplimiento o de la imposibilidad de hacerlo. </w:t>
      </w:r>
    </w:p>
    <w:p w14:paraId="275301B8"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En efecto, téngase presente</w:t>
      </w:r>
      <w:r w:rsidR="00911849" w:rsidRPr="00EE0619">
        <w:rPr>
          <w:rFonts w:ascii="Verdana" w:hAnsi="Verdana"/>
          <w:sz w:val="20"/>
          <w:szCs w:val="20"/>
          <w:lang w:val="es-ES"/>
        </w:rPr>
        <w:t xml:space="preserve"> que</w:t>
      </w:r>
      <w:r w:rsidRPr="00EE0619">
        <w:rPr>
          <w:rFonts w:ascii="Verdana" w:hAnsi="Verdana"/>
          <w:sz w:val="20"/>
          <w:szCs w:val="20"/>
          <w:lang w:val="es-ES"/>
        </w:rPr>
        <w:t xml:space="preserve"> los artículos 46 y 47 citados se refieren a la </w:t>
      </w:r>
      <w:r w:rsidRPr="00EE0619">
        <w:rPr>
          <w:rFonts w:ascii="Verdana" w:hAnsi="Verdana"/>
          <w:i/>
          <w:sz w:val="20"/>
          <w:szCs w:val="20"/>
          <w:lang w:val="es-ES"/>
        </w:rPr>
        <w:t>“petición o comunicación presentada”</w:t>
      </w:r>
      <w:r w:rsidRPr="00EE0619">
        <w:rPr>
          <w:rFonts w:ascii="Verdana" w:hAnsi="Verdana"/>
          <w:sz w:val="20"/>
          <w:szCs w:val="20"/>
          <w:lang w:val="es-ES"/>
        </w:rPr>
        <w:t>, vale decir, a un acto instantáneo, que se produce en un momento determinado y que no se prolonga en el tiempo. Lo mismo se puede sostener respecto del artículo 48.1.a) de la Convención, cuando establece que:</w:t>
      </w:r>
    </w:p>
    <w:p w14:paraId="3675AABD" w14:textId="77777777" w:rsidR="00150531" w:rsidRPr="00EE0619" w:rsidRDefault="00150531" w:rsidP="00150531">
      <w:pPr>
        <w:ind w:left="567"/>
        <w:jc w:val="both"/>
        <w:rPr>
          <w:rFonts w:ascii="Verdana" w:hAnsi="Verdana"/>
          <w:i/>
          <w:sz w:val="20"/>
          <w:szCs w:val="20"/>
          <w:lang w:val="es-ES"/>
        </w:rPr>
      </w:pPr>
      <w:r w:rsidRPr="00EE0619">
        <w:rPr>
          <w:rFonts w:ascii="Verdana" w:hAnsi="Verdana"/>
          <w:i/>
          <w:sz w:val="20"/>
          <w:szCs w:val="20"/>
          <w:lang w:val="es-ES"/>
        </w:rPr>
        <w:t>“La Comisión, al recibir una petición o comunicación en la que se alegue la violación de cualquiera de los derechos que consagra esta Convención, procederá en los siguientes términos:</w:t>
      </w:r>
    </w:p>
    <w:p w14:paraId="5B23E5A8" w14:textId="77777777" w:rsidR="00150531" w:rsidRPr="00EE0619" w:rsidRDefault="00150531" w:rsidP="00150531">
      <w:pPr>
        <w:pStyle w:val="ListParagraph"/>
        <w:numPr>
          <w:ilvl w:val="0"/>
          <w:numId w:val="2"/>
        </w:numPr>
        <w:ind w:left="927"/>
        <w:jc w:val="both"/>
        <w:rPr>
          <w:rFonts w:ascii="Verdana" w:hAnsi="Verdana"/>
          <w:sz w:val="20"/>
          <w:szCs w:val="20"/>
          <w:lang w:val="es-ES"/>
        </w:rPr>
      </w:pPr>
      <w:r w:rsidRPr="00EE0619">
        <w:rPr>
          <w:rFonts w:ascii="Verdana" w:hAnsi="Verdana"/>
          <w:i/>
          <w:sz w:val="20"/>
          <w:szCs w:val="20"/>
          <w:lang w:val="es-ES"/>
        </w:rPr>
        <w:t xml:space="preserve">si reconoce la admisibilidad de la petición o comunicación solicitará informaciones al Gobierno del Estado al cual pertenezca la autoridad señalada como responsable de la violación alegada, transcribiendo las partes pertinentes de la petición o comunicación. Dichas informaciones deben ser enviadas dentro de un plazo razonable, fijado por la Comisión al considerar las circunstancias de cada caso; </w:t>
      </w:r>
      <w:r w:rsidR="00911849" w:rsidRPr="00EE0619">
        <w:rPr>
          <w:rFonts w:ascii="Verdana" w:hAnsi="Verdana"/>
          <w:i/>
          <w:sz w:val="20"/>
          <w:szCs w:val="20"/>
          <w:lang w:val="es-ES"/>
        </w:rPr>
        <w:t>[</w:t>
      </w:r>
      <w:r w:rsidRPr="00EE0619">
        <w:rPr>
          <w:rFonts w:ascii="Verdana" w:hAnsi="Verdana"/>
          <w:i/>
          <w:sz w:val="20"/>
          <w:szCs w:val="20"/>
          <w:lang w:val="es-ES"/>
        </w:rPr>
        <w:t>...</w:t>
      </w:r>
      <w:r w:rsidR="00911849" w:rsidRPr="00EE0619">
        <w:rPr>
          <w:rFonts w:ascii="Verdana" w:hAnsi="Verdana"/>
          <w:i/>
          <w:sz w:val="20"/>
          <w:szCs w:val="20"/>
          <w:lang w:val="es-ES"/>
        </w:rPr>
        <w:t>]</w:t>
      </w:r>
      <w:r w:rsidRPr="00EE0619">
        <w:rPr>
          <w:rFonts w:ascii="Verdana" w:hAnsi="Verdana"/>
          <w:i/>
          <w:sz w:val="20"/>
          <w:szCs w:val="20"/>
          <w:lang w:val="es-ES"/>
        </w:rPr>
        <w:t>”</w:t>
      </w:r>
    </w:p>
    <w:p w14:paraId="0B2E4570"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 xml:space="preserve">Vale decir, lo que la Convención señala es que es la </w:t>
      </w:r>
      <w:r w:rsidRPr="00EE0619">
        <w:rPr>
          <w:rFonts w:ascii="Verdana" w:hAnsi="Verdana"/>
          <w:i/>
          <w:sz w:val="20"/>
          <w:szCs w:val="20"/>
          <w:lang w:val="es-ES"/>
        </w:rPr>
        <w:t>“petición o comunicación presentada”</w:t>
      </w:r>
      <w:r w:rsidRPr="00EE0619">
        <w:rPr>
          <w:rFonts w:ascii="Verdana" w:hAnsi="Verdana"/>
          <w:sz w:val="20"/>
          <w:szCs w:val="20"/>
          <w:lang w:val="es-ES"/>
        </w:rPr>
        <w:t xml:space="preserve">, cuyas </w:t>
      </w:r>
      <w:r w:rsidRPr="00EE0619">
        <w:rPr>
          <w:rFonts w:ascii="Verdana" w:hAnsi="Verdana"/>
          <w:i/>
          <w:sz w:val="20"/>
          <w:szCs w:val="20"/>
          <w:lang w:val="es-ES"/>
        </w:rPr>
        <w:t>“partes pertinentes</w:t>
      </w:r>
      <w:r w:rsidRPr="00EE0619">
        <w:rPr>
          <w:rFonts w:ascii="Verdana" w:hAnsi="Verdana"/>
          <w:sz w:val="20"/>
          <w:szCs w:val="20"/>
          <w:lang w:val="es-ES"/>
        </w:rPr>
        <w:t>” son, por lo demás, las que se transmiten al Estado concernido, todo lo cual significa que es en ella que debe indicarse el cumplimiento del requisito del previo agotamiento de los recursos internos o la imposibilidad de hacerlo por la ocurrencia de alguna de las circunstancias previstas en el transcrito artículo 46.2., lo que implica que, al momento de presentarse la petición correspondiente, ello debe haber ya acontecido</w:t>
      </w:r>
      <w:r w:rsidR="00911849" w:rsidRPr="00EE0619">
        <w:rPr>
          <w:rFonts w:ascii="Verdana" w:hAnsi="Verdana"/>
          <w:sz w:val="20"/>
          <w:szCs w:val="20"/>
          <w:lang w:val="es-ES"/>
        </w:rPr>
        <w:t>.</w:t>
      </w:r>
    </w:p>
    <w:p w14:paraId="092A8047"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lastRenderedPageBreak/>
        <w:t>Abona esta interpretación lo señalado en los mencionados artículos 46.1.b) y 47.b) en orden a que la petición debe haber sido</w:t>
      </w:r>
      <w:r w:rsidR="00911849" w:rsidRPr="00EE0619">
        <w:rPr>
          <w:rFonts w:ascii="Verdana" w:hAnsi="Verdana"/>
          <w:sz w:val="20"/>
          <w:szCs w:val="20"/>
          <w:lang w:val="es-ES"/>
        </w:rPr>
        <w:t>:</w:t>
      </w:r>
      <w:r w:rsidRPr="00EE0619">
        <w:rPr>
          <w:rFonts w:ascii="Verdana" w:hAnsi="Verdana"/>
          <w:sz w:val="20"/>
          <w:szCs w:val="20"/>
          <w:lang w:val="es-ES"/>
        </w:rPr>
        <w:t xml:space="preserve"> </w:t>
      </w:r>
    </w:p>
    <w:p w14:paraId="3E87EC2D" w14:textId="77777777" w:rsidR="00150531" w:rsidRPr="00EE0619" w:rsidRDefault="00150531" w:rsidP="00150531">
      <w:pPr>
        <w:ind w:left="567"/>
        <w:jc w:val="both"/>
        <w:rPr>
          <w:rFonts w:ascii="Verdana" w:hAnsi="Verdana"/>
          <w:sz w:val="20"/>
          <w:szCs w:val="20"/>
          <w:lang w:val="es-ES"/>
        </w:rPr>
      </w:pPr>
      <w:r w:rsidRPr="00EE0619">
        <w:rPr>
          <w:rFonts w:ascii="Verdana" w:hAnsi="Verdana"/>
          <w:sz w:val="20"/>
          <w:szCs w:val="20"/>
          <w:lang w:val="es-ES"/>
        </w:rPr>
        <w:t>“</w:t>
      </w:r>
      <w:r w:rsidRPr="00EE0619">
        <w:rPr>
          <w:rFonts w:ascii="Verdana" w:hAnsi="Verdana"/>
          <w:i/>
          <w:sz w:val="20"/>
          <w:szCs w:val="20"/>
          <w:lang w:val="es-ES"/>
        </w:rPr>
        <w:t>presentada dentro del plazo de seis meses, a partir de la fecha en que el presunto lesionado en sus derechos haya sido notificado de la decisión definitiva</w:t>
      </w:r>
      <w:r w:rsidRPr="00EE0619">
        <w:rPr>
          <w:rFonts w:ascii="Verdana" w:hAnsi="Verdana"/>
          <w:sz w:val="20"/>
          <w:szCs w:val="20"/>
          <w:lang w:val="es-ES"/>
        </w:rPr>
        <w:t xml:space="preserve">”. </w:t>
      </w:r>
    </w:p>
    <w:p w14:paraId="7F7C3FA7"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 xml:space="preserve">Ciertamente, hay que entender que la aludida decisión definitiva es la recaída en el último recurso interpuesto, sin que hayan otros susceptibles de ser accionados. Es decir, el plazo indicado para presentar la solicitud se cuenta desde el momento de la notificación de la resolución definitiva de las autoridades o los tribunales nacionales sobre los recursos que se hayan interpuestos ante ellos y que son, por ende, los que pueden haber generado la responsabilidad internacional del Estado, lo que obviamente implica que, al momento de ser aquella </w:t>
      </w:r>
      <w:r w:rsidRPr="00EE0619">
        <w:rPr>
          <w:rFonts w:ascii="Verdana" w:hAnsi="Verdana"/>
          <w:i/>
          <w:sz w:val="20"/>
          <w:szCs w:val="20"/>
          <w:lang w:val="es-ES"/>
        </w:rPr>
        <w:t>“presentada</w:t>
      </w:r>
      <w:r w:rsidRPr="00EE0619">
        <w:rPr>
          <w:rFonts w:ascii="Verdana" w:hAnsi="Verdana"/>
          <w:sz w:val="20"/>
          <w:szCs w:val="20"/>
          <w:lang w:val="es-ES"/>
        </w:rPr>
        <w:t>”, éstos deben haber estado agotados.</w:t>
      </w:r>
    </w:p>
    <w:p w14:paraId="5CA2EA8B"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Refuerza lo afirmado</w:t>
      </w:r>
      <w:r w:rsidR="00911849" w:rsidRPr="00EE0619">
        <w:rPr>
          <w:rFonts w:ascii="Verdana" w:hAnsi="Verdana"/>
          <w:sz w:val="20"/>
          <w:szCs w:val="20"/>
          <w:lang w:val="es-ES"/>
        </w:rPr>
        <w:t>,</w:t>
      </w:r>
      <w:r w:rsidRPr="00EE0619">
        <w:rPr>
          <w:rFonts w:ascii="Verdana" w:hAnsi="Verdana"/>
          <w:sz w:val="20"/>
          <w:szCs w:val="20"/>
          <w:lang w:val="es-ES"/>
        </w:rPr>
        <w:t xml:space="preserve"> el tenor del referido artículo </w:t>
      </w:r>
      <w:r w:rsidR="00911849" w:rsidRPr="00EE0619">
        <w:rPr>
          <w:rFonts w:ascii="Verdana" w:hAnsi="Verdana"/>
          <w:sz w:val="20"/>
          <w:szCs w:val="20"/>
          <w:lang w:val="es-ES"/>
        </w:rPr>
        <w:t>4</w:t>
      </w:r>
      <w:r w:rsidRPr="00EE0619">
        <w:rPr>
          <w:rFonts w:ascii="Verdana" w:hAnsi="Verdana"/>
          <w:sz w:val="20"/>
          <w:szCs w:val="20"/>
          <w:lang w:val="es-ES"/>
        </w:rPr>
        <w:t>6.1.a) en cuanto a que se refiere a que “</w:t>
      </w:r>
      <w:r w:rsidRPr="00EE0619">
        <w:rPr>
          <w:rFonts w:ascii="Verdana" w:hAnsi="Verdana"/>
          <w:i/>
          <w:sz w:val="20"/>
          <w:szCs w:val="20"/>
          <w:lang w:val="es-ES"/>
        </w:rPr>
        <w:t>se hayan interpuesto y agotado los r</w:t>
      </w:r>
      <w:r w:rsidR="00885D81" w:rsidRPr="00EE0619">
        <w:rPr>
          <w:rFonts w:ascii="Verdana" w:hAnsi="Verdana"/>
          <w:i/>
          <w:sz w:val="20"/>
          <w:szCs w:val="20"/>
          <w:lang w:val="es-ES"/>
        </w:rPr>
        <w:t>ecursos de jurisdicción interna”</w:t>
      </w:r>
      <w:r w:rsidRPr="00EE0619">
        <w:rPr>
          <w:rFonts w:ascii="Verdana" w:hAnsi="Verdana"/>
          <w:sz w:val="20"/>
          <w:szCs w:val="20"/>
          <w:lang w:val="es-ES"/>
        </w:rPr>
        <w:t>, esto es, en tanto alude a algo que haya ya acontecido antes de la presentación de la petición correspondiente.</w:t>
      </w:r>
    </w:p>
    <w:p w14:paraId="710CC084" w14:textId="77777777" w:rsidR="00150531" w:rsidRPr="00EE0619" w:rsidRDefault="00150531" w:rsidP="001054D1">
      <w:pPr>
        <w:pStyle w:val="ListParagraph"/>
        <w:numPr>
          <w:ilvl w:val="0"/>
          <w:numId w:val="7"/>
        </w:numPr>
        <w:jc w:val="both"/>
        <w:rPr>
          <w:rFonts w:ascii="Verdana" w:hAnsi="Verdana"/>
          <w:sz w:val="20"/>
          <w:szCs w:val="20"/>
          <w:u w:val="single"/>
          <w:lang w:val="es-ES"/>
        </w:rPr>
      </w:pPr>
      <w:r w:rsidRPr="00EE0619">
        <w:rPr>
          <w:rFonts w:ascii="Verdana" w:hAnsi="Verdana"/>
          <w:sz w:val="20"/>
          <w:szCs w:val="20"/>
          <w:u w:val="single"/>
          <w:lang w:val="es-ES"/>
        </w:rPr>
        <w:t>Norma imperativa</w:t>
      </w:r>
    </w:p>
    <w:p w14:paraId="114288FC"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En concordancia con lo sostenido, se puede asimismo recordar el artículo 47.a) en cuanto dispone que</w:t>
      </w:r>
      <w:r w:rsidR="00911849" w:rsidRPr="00EE0619">
        <w:rPr>
          <w:rFonts w:ascii="Verdana" w:hAnsi="Verdana"/>
          <w:sz w:val="20"/>
          <w:szCs w:val="20"/>
          <w:lang w:val="es-ES"/>
        </w:rPr>
        <w:t>:</w:t>
      </w:r>
      <w:r w:rsidRPr="00EE0619">
        <w:rPr>
          <w:rFonts w:ascii="Verdana" w:hAnsi="Verdana"/>
          <w:sz w:val="20"/>
          <w:szCs w:val="20"/>
          <w:lang w:val="es-ES"/>
        </w:rPr>
        <w:t xml:space="preserve"> </w:t>
      </w:r>
    </w:p>
    <w:p w14:paraId="408DD6EE" w14:textId="77777777" w:rsidR="00150531" w:rsidRPr="00EE0619" w:rsidRDefault="00150531" w:rsidP="00150531">
      <w:pPr>
        <w:ind w:left="567"/>
        <w:jc w:val="both"/>
        <w:rPr>
          <w:rFonts w:ascii="Verdana" w:hAnsi="Verdana"/>
          <w:sz w:val="20"/>
          <w:szCs w:val="20"/>
          <w:lang w:val="es-ES"/>
        </w:rPr>
      </w:pPr>
      <w:r w:rsidRPr="00EE0619">
        <w:rPr>
          <w:rFonts w:ascii="Verdana" w:hAnsi="Verdana"/>
          <w:i/>
          <w:sz w:val="20"/>
          <w:szCs w:val="20"/>
          <w:lang w:val="es-ES"/>
        </w:rPr>
        <w:t>“(l</w:t>
      </w:r>
      <w:proofErr w:type="gramStart"/>
      <w:r w:rsidRPr="00EE0619">
        <w:rPr>
          <w:rFonts w:ascii="Verdana" w:hAnsi="Verdana"/>
          <w:i/>
          <w:sz w:val="20"/>
          <w:szCs w:val="20"/>
          <w:lang w:val="es-ES"/>
        </w:rPr>
        <w:t>)a</w:t>
      </w:r>
      <w:proofErr w:type="gramEnd"/>
      <w:r w:rsidRPr="00EE0619">
        <w:rPr>
          <w:rFonts w:ascii="Verdana" w:hAnsi="Verdana"/>
          <w:i/>
          <w:sz w:val="20"/>
          <w:szCs w:val="20"/>
          <w:lang w:val="es-ES"/>
        </w:rPr>
        <w:t xml:space="preserve"> Comisión decla</w:t>
      </w:r>
      <w:r w:rsidR="000A76D5" w:rsidRPr="00EE0619">
        <w:rPr>
          <w:rFonts w:ascii="Verdana" w:hAnsi="Verdana"/>
          <w:i/>
          <w:sz w:val="20"/>
          <w:szCs w:val="20"/>
          <w:lang w:val="es-ES"/>
        </w:rPr>
        <w:t>ra</w:t>
      </w:r>
      <w:r w:rsidRPr="00EE0619">
        <w:rPr>
          <w:rFonts w:ascii="Verdana" w:hAnsi="Verdana"/>
          <w:i/>
          <w:sz w:val="20"/>
          <w:szCs w:val="20"/>
          <w:lang w:val="es-ES"/>
        </w:rPr>
        <w:t xml:space="preserve">rá inadmisible toda petición o comunicación presentada de acuerdo con los artículos 44 </w:t>
      </w:r>
      <w:proofErr w:type="spellStart"/>
      <w:r w:rsidRPr="00EE0619">
        <w:rPr>
          <w:rFonts w:ascii="Verdana" w:hAnsi="Verdana"/>
          <w:i/>
          <w:sz w:val="20"/>
          <w:szCs w:val="20"/>
          <w:lang w:val="es-ES"/>
        </w:rPr>
        <w:t>ó</w:t>
      </w:r>
      <w:proofErr w:type="spellEnd"/>
      <w:r w:rsidRPr="00EE0619">
        <w:rPr>
          <w:rFonts w:ascii="Verdana" w:hAnsi="Verdana"/>
          <w:i/>
          <w:sz w:val="20"/>
          <w:szCs w:val="20"/>
          <w:lang w:val="es-ES"/>
        </w:rPr>
        <w:t xml:space="preserve"> 45 cuando: falte alguno de los requisitos indicados en el artículo 46”</w:t>
      </w:r>
      <w:r w:rsidRPr="00EE0619">
        <w:rPr>
          <w:rFonts w:ascii="Verdana" w:hAnsi="Verdana"/>
          <w:sz w:val="20"/>
          <w:szCs w:val="20"/>
          <w:lang w:val="es-ES"/>
        </w:rPr>
        <w:t xml:space="preserve">. </w:t>
      </w:r>
    </w:p>
    <w:p w14:paraId="1C7B48D2"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Es decir, tal disposición es imperativa. La Comisión debe declarar inadmisible “</w:t>
      </w:r>
      <w:r w:rsidRPr="00EE0619">
        <w:rPr>
          <w:rFonts w:ascii="Verdana" w:hAnsi="Verdana"/>
          <w:i/>
          <w:sz w:val="20"/>
          <w:szCs w:val="20"/>
          <w:lang w:val="es-ES"/>
        </w:rPr>
        <w:t>toda petición o comunicación presentada</w:t>
      </w:r>
      <w:r w:rsidRPr="00EE0619">
        <w:rPr>
          <w:rFonts w:ascii="Verdana" w:hAnsi="Verdana"/>
          <w:sz w:val="20"/>
          <w:szCs w:val="20"/>
          <w:lang w:val="es-ES"/>
        </w:rPr>
        <w:t xml:space="preserve">” que no haya agotado los recursos internos o que no se encuentre en alguna de las situaciones previstas en el transcrito artículo 46.2. </w:t>
      </w:r>
    </w:p>
    <w:p w14:paraId="40A56A65"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Evidentemente, la Comisión no puede hacer otra cosa que lo señalado, como, por ejemplo, declarar admisible una petición o comunicación no obstante que, al momento de ser “</w:t>
      </w:r>
      <w:r w:rsidRPr="00EE0619">
        <w:rPr>
          <w:rFonts w:ascii="Verdana" w:hAnsi="Verdana"/>
          <w:i/>
          <w:sz w:val="20"/>
          <w:szCs w:val="20"/>
          <w:lang w:val="es-ES"/>
        </w:rPr>
        <w:t>presentada</w:t>
      </w:r>
      <w:r w:rsidRPr="00EE0619">
        <w:rPr>
          <w:rFonts w:ascii="Verdana" w:hAnsi="Verdana"/>
          <w:sz w:val="20"/>
          <w:szCs w:val="20"/>
          <w:lang w:val="es-ES"/>
        </w:rPr>
        <w:t>”, no se haya cumplido con el requisito del previo agotamiento de los recursos internos pero que sí se han cumplido al momento en que es “</w:t>
      </w:r>
      <w:r w:rsidRPr="00EE0619">
        <w:rPr>
          <w:rFonts w:ascii="Verdana" w:hAnsi="Verdana"/>
          <w:i/>
          <w:sz w:val="20"/>
          <w:szCs w:val="20"/>
          <w:lang w:val="es-ES"/>
        </w:rPr>
        <w:t>admitida</w:t>
      </w:r>
      <w:r w:rsidRPr="00EE0619">
        <w:rPr>
          <w:rFonts w:ascii="Verdana" w:hAnsi="Verdana"/>
          <w:sz w:val="20"/>
          <w:szCs w:val="20"/>
          <w:lang w:val="es-ES"/>
        </w:rPr>
        <w:t>”, puesto que si lo hace, como efectiva y reiteradamente lo ha hecho, deja a aquella sin senti</w:t>
      </w:r>
      <w:r w:rsidR="00885D81" w:rsidRPr="00EE0619">
        <w:rPr>
          <w:rFonts w:ascii="Verdana" w:hAnsi="Verdana"/>
          <w:sz w:val="20"/>
          <w:szCs w:val="20"/>
          <w:lang w:val="es-ES"/>
        </w:rPr>
        <w:t xml:space="preserve">do el mencionado artículo 46.1 </w:t>
      </w:r>
      <w:r w:rsidRPr="00EE0619">
        <w:rPr>
          <w:rFonts w:ascii="Verdana" w:hAnsi="Verdana"/>
          <w:sz w:val="20"/>
          <w:szCs w:val="20"/>
          <w:lang w:val="es-ES"/>
        </w:rPr>
        <w:t>y aún</w:t>
      </w:r>
      <w:r w:rsidR="00885D81" w:rsidRPr="00EE0619">
        <w:rPr>
          <w:rFonts w:ascii="Verdana" w:hAnsi="Verdana"/>
          <w:sz w:val="20"/>
          <w:szCs w:val="20"/>
          <w:lang w:val="es-ES"/>
        </w:rPr>
        <w:t>,</w:t>
      </w:r>
      <w:r w:rsidRPr="00EE0619">
        <w:rPr>
          <w:rFonts w:ascii="Verdana" w:hAnsi="Verdana"/>
          <w:sz w:val="20"/>
          <w:szCs w:val="20"/>
          <w:lang w:val="es-ES"/>
        </w:rPr>
        <w:t xml:space="preserve"> la petición misma. </w:t>
      </w:r>
    </w:p>
    <w:p w14:paraId="24EF70D2"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En efecto, si no exige que los recursos internos se hayan agotado antes de la presentación de la petición o que ésta lo haya sido dentro del plazo de seis meses de la notificación definitiva, tampoco podría exigir que “</w:t>
      </w:r>
      <w:r w:rsidRPr="00EE0619">
        <w:rPr>
          <w:rFonts w:ascii="Verdana" w:hAnsi="Verdana"/>
          <w:i/>
          <w:sz w:val="20"/>
          <w:szCs w:val="20"/>
          <w:lang w:val="es-ES"/>
        </w:rPr>
        <w:t>la materia de la petición o comunicación no esté pendiente de otro procedimiento de arreglo internacional</w:t>
      </w:r>
      <w:r w:rsidR="000A76D5" w:rsidRPr="00EE0619">
        <w:rPr>
          <w:rFonts w:ascii="Verdana" w:hAnsi="Verdana"/>
          <w:sz w:val="20"/>
          <w:szCs w:val="20"/>
          <w:lang w:val="es-ES"/>
        </w:rPr>
        <w:t xml:space="preserve">” </w:t>
      </w:r>
      <w:r w:rsidRPr="00EE0619">
        <w:rPr>
          <w:rFonts w:ascii="Verdana" w:hAnsi="Verdana"/>
          <w:sz w:val="20"/>
          <w:szCs w:val="20"/>
          <w:lang w:val="es-ES"/>
        </w:rPr>
        <w:t xml:space="preserve">o que </w:t>
      </w:r>
      <w:r w:rsidRPr="00EE0619">
        <w:rPr>
          <w:rFonts w:ascii="Verdana" w:hAnsi="Verdana"/>
          <w:i/>
          <w:sz w:val="20"/>
          <w:szCs w:val="20"/>
          <w:lang w:val="es-ES"/>
        </w:rPr>
        <w:t xml:space="preserve">“contenga el nombre, la nacionalidad, la profesión, el domicilio y la firma de la persona o personas o del representante legal de la entidad que somete la petición”, </w:t>
      </w:r>
      <w:r w:rsidRPr="00EE0619">
        <w:rPr>
          <w:rFonts w:ascii="Verdana" w:hAnsi="Verdana"/>
          <w:sz w:val="20"/>
          <w:szCs w:val="20"/>
          <w:lang w:val="es-ES"/>
        </w:rPr>
        <w:t xml:space="preserve">requisitos también exigidos por el artículo 46 de la Convención, puesto que todo ello podría ser </w:t>
      </w:r>
      <w:r w:rsidRPr="00EE0619">
        <w:rPr>
          <w:rFonts w:ascii="Verdana" w:hAnsi="Verdana"/>
          <w:sz w:val="20"/>
          <w:szCs w:val="20"/>
          <w:lang w:val="es-ES"/>
        </w:rPr>
        <w:lastRenderedPageBreak/>
        <w:t xml:space="preserve">subsanado con posterioridad y, en todo caso, antes de la declaración de admisibilidad, lo que, evidentemente, no se compadece con lo previsto en la norma recién citada. </w:t>
      </w:r>
    </w:p>
    <w:p w14:paraId="10C7F0BF" w14:textId="77777777" w:rsidR="00150531" w:rsidRPr="00EE0619" w:rsidRDefault="00150531" w:rsidP="001054D1">
      <w:pPr>
        <w:pStyle w:val="ListParagraph"/>
        <w:numPr>
          <w:ilvl w:val="0"/>
          <w:numId w:val="7"/>
        </w:numPr>
        <w:jc w:val="both"/>
        <w:rPr>
          <w:rFonts w:ascii="Verdana" w:hAnsi="Verdana"/>
          <w:sz w:val="20"/>
          <w:szCs w:val="20"/>
          <w:lang w:val="es-ES"/>
        </w:rPr>
      </w:pPr>
      <w:r w:rsidRPr="00EE0619">
        <w:rPr>
          <w:rFonts w:ascii="Verdana" w:hAnsi="Verdana"/>
          <w:sz w:val="20"/>
          <w:szCs w:val="20"/>
          <w:u w:val="single"/>
          <w:lang w:val="es-ES"/>
        </w:rPr>
        <w:t>Presentación y admisibilidad de la petición</w:t>
      </w:r>
      <w:r w:rsidRPr="00EE0619">
        <w:rPr>
          <w:rFonts w:ascii="Verdana" w:hAnsi="Verdana"/>
          <w:b/>
          <w:sz w:val="20"/>
          <w:szCs w:val="20"/>
          <w:lang w:val="es-ES"/>
        </w:rPr>
        <w:t>.</w:t>
      </w:r>
    </w:p>
    <w:p w14:paraId="616B9BA9"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Finalmente, cabe advertir, también, que los referidos artículos convencionales no indican que los indicados requisitos deban cumplirse al momento en que la Comisión se pronuncia sobre la admisibilidad de la petición o comunicación. Más bien, se puede sostener que lo mencionados artículos de la Convención distinguen entre dos momentos, a saber, uno, en el que aquella es “</w:t>
      </w:r>
      <w:r w:rsidRPr="00EE0619">
        <w:rPr>
          <w:rFonts w:ascii="Verdana" w:hAnsi="Verdana"/>
          <w:i/>
          <w:sz w:val="20"/>
          <w:szCs w:val="20"/>
          <w:lang w:val="es-ES"/>
        </w:rPr>
        <w:t>presentada</w:t>
      </w:r>
      <w:r w:rsidRPr="00EE0619">
        <w:rPr>
          <w:rFonts w:ascii="Verdana" w:hAnsi="Verdana"/>
          <w:sz w:val="20"/>
          <w:szCs w:val="20"/>
          <w:lang w:val="es-ES"/>
        </w:rPr>
        <w:t>” y otro, en el que es “</w:t>
      </w:r>
      <w:r w:rsidRPr="00EE0619">
        <w:rPr>
          <w:rFonts w:ascii="Verdana" w:hAnsi="Verdana"/>
          <w:i/>
          <w:sz w:val="20"/>
          <w:szCs w:val="20"/>
          <w:lang w:val="es-ES"/>
        </w:rPr>
        <w:t>admitida</w:t>
      </w:r>
      <w:r w:rsidRPr="00EE0619">
        <w:rPr>
          <w:rFonts w:ascii="Verdana" w:hAnsi="Verdana"/>
          <w:sz w:val="20"/>
          <w:szCs w:val="20"/>
          <w:lang w:val="es-ES"/>
        </w:rPr>
        <w:t>”. Ello se sustentaría, adicionalmente, en lo prescrito en el ya transcrito artículo 48.1.a) y, asimismo, en lo previsto en las b) y c) del mismo, que establecen que</w:t>
      </w:r>
      <w:r w:rsidR="001545CE" w:rsidRPr="00EE0619">
        <w:rPr>
          <w:rFonts w:ascii="Verdana" w:hAnsi="Verdana"/>
          <w:sz w:val="20"/>
          <w:szCs w:val="20"/>
          <w:lang w:val="es-ES"/>
        </w:rPr>
        <w:t>:</w:t>
      </w:r>
    </w:p>
    <w:p w14:paraId="783F9F26" w14:textId="77777777" w:rsidR="00150531" w:rsidRPr="00EE0619" w:rsidRDefault="00150531" w:rsidP="00150531">
      <w:pPr>
        <w:ind w:left="567"/>
        <w:jc w:val="both"/>
        <w:rPr>
          <w:rFonts w:ascii="Verdana" w:hAnsi="Verdana"/>
          <w:i/>
          <w:sz w:val="20"/>
          <w:szCs w:val="20"/>
          <w:lang w:val="es-ES"/>
        </w:rPr>
      </w:pPr>
      <w:r w:rsidRPr="00EE0619">
        <w:rPr>
          <w:rFonts w:ascii="Verdana" w:hAnsi="Verdana"/>
          <w:i/>
          <w:sz w:val="20"/>
          <w:szCs w:val="20"/>
          <w:lang w:val="es-ES"/>
        </w:rPr>
        <w:t xml:space="preserve">“La Comisión, al recibir una petición o comunicación en la que se alegue la violación de cualquiera de los derechos que consagra esta Convención, procederá en los siguientes términos: </w:t>
      </w:r>
      <w:r w:rsidR="001545CE" w:rsidRPr="00EE0619">
        <w:rPr>
          <w:rFonts w:ascii="Verdana" w:hAnsi="Verdana"/>
          <w:i/>
          <w:sz w:val="20"/>
          <w:szCs w:val="20"/>
          <w:lang w:val="es-ES"/>
        </w:rPr>
        <w:t>[</w:t>
      </w:r>
      <w:r w:rsidRPr="00EE0619">
        <w:rPr>
          <w:rFonts w:ascii="Verdana" w:hAnsi="Verdana"/>
          <w:i/>
          <w:sz w:val="20"/>
          <w:szCs w:val="20"/>
          <w:lang w:val="es-ES"/>
        </w:rPr>
        <w:t>...</w:t>
      </w:r>
      <w:r w:rsidR="001545CE" w:rsidRPr="00EE0619">
        <w:rPr>
          <w:rFonts w:ascii="Verdana" w:hAnsi="Verdana"/>
          <w:i/>
          <w:sz w:val="20"/>
          <w:szCs w:val="20"/>
          <w:lang w:val="es-ES"/>
        </w:rPr>
        <w:t>]</w:t>
      </w:r>
    </w:p>
    <w:p w14:paraId="3BC95F34" w14:textId="77777777" w:rsidR="00150531" w:rsidRPr="00EE0619" w:rsidRDefault="00150531" w:rsidP="00150531">
      <w:pPr>
        <w:ind w:left="567"/>
        <w:jc w:val="both"/>
        <w:rPr>
          <w:rFonts w:ascii="Verdana" w:hAnsi="Verdana"/>
          <w:i/>
          <w:sz w:val="20"/>
          <w:szCs w:val="20"/>
          <w:lang w:val="es-ES"/>
        </w:rPr>
      </w:pPr>
      <w:r w:rsidRPr="00EE0619">
        <w:rPr>
          <w:rFonts w:ascii="Verdana" w:hAnsi="Verdana"/>
          <w:i/>
          <w:sz w:val="20"/>
          <w:szCs w:val="20"/>
          <w:lang w:val="es-ES"/>
        </w:rPr>
        <w:t xml:space="preserve"> b) recibidas las informaciones </w:t>
      </w:r>
      <w:r w:rsidRPr="00EE0619">
        <w:rPr>
          <w:rFonts w:ascii="Verdana" w:hAnsi="Verdana"/>
          <w:sz w:val="20"/>
          <w:szCs w:val="20"/>
          <w:lang w:val="es-ES"/>
        </w:rPr>
        <w:t xml:space="preserve">(por el Estado de </w:t>
      </w:r>
      <w:r w:rsidRPr="00EE0619">
        <w:rPr>
          <w:rFonts w:ascii="Verdana" w:hAnsi="Verdana"/>
          <w:i/>
          <w:sz w:val="20"/>
          <w:szCs w:val="20"/>
          <w:lang w:val="es-ES"/>
        </w:rPr>
        <w:t>“las partes pertinentes de la petición o comunicación</w:t>
      </w:r>
      <w:r w:rsidRPr="00EE0619">
        <w:rPr>
          <w:rFonts w:ascii="Verdana" w:hAnsi="Verdana"/>
          <w:sz w:val="20"/>
          <w:szCs w:val="20"/>
          <w:lang w:val="es-ES"/>
        </w:rPr>
        <w:t>” que le fueron transmitidas)</w:t>
      </w:r>
      <w:r w:rsidRPr="00EE0619">
        <w:rPr>
          <w:rFonts w:ascii="Verdana" w:hAnsi="Verdana"/>
          <w:i/>
          <w:sz w:val="20"/>
          <w:szCs w:val="20"/>
          <w:lang w:val="es-ES"/>
        </w:rPr>
        <w:t xml:space="preserve"> o transcurrido el plazo fijado sin que sean recibidas, verificará si existen o subsisten los motivos de la petición o comunicación. De no existir o subsistir, mandará archivar el expediente;</w:t>
      </w:r>
    </w:p>
    <w:p w14:paraId="37562508" w14:textId="77777777" w:rsidR="00150531" w:rsidRPr="00B533BB" w:rsidRDefault="000A76D5" w:rsidP="00150531">
      <w:pPr>
        <w:ind w:left="567"/>
        <w:jc w:val="both"/>
        <w:rPr>
          <w:rFonts w:ascii="Verdana" w:hAnsi="Verdana"/>
          <w:i/>
          <w:lang w:val="es-ES"/>
        </w:rPr>
      </w:pPr>
      <w:proofErr w:type="gramStart"/>
      <w:r>
        <w:rPr>
          <w:rFonts w:ascii="Verdana" w:hAnsi="Verdana"/>
          <w:i/>
          <w:lang w:val="es-ES"/>
        </w:rPr>
        <w:t>c</w:t>
      </w:r>
      <w:proofErr w:type="gramEnd"/>
      <w:r>
        <w:rPr>
          <w:rFonts w:ascii="Verdana" w:hAnsi="Verdana"/>
          <w:i/>
          <w:lang w:val="es-ES"/>
        </w:rPr>
        <w:t xml:space="preserve">) </w:t>
      </w:r>
      <w:r w:rsidR="00150531" w:rsidRPr="00B533BB">
        <w:rPr>
          <w:rFonts w:ascii="Verdana" w:hAnsi="Verdana"/>
          <w:i/>
          <w:lang w:val="es-ES"/>
        </w:rPr>
        <w:t>podrá también declarar la inadmisibilidad o la improcedencia de la petición o comunicación, sobre la base de una información o prueba sobrevinientes;”</w:t>
      </w:r>
    </w:p>
    <w:p w14:paraId="7ED78742"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Tales normas establecen, por lo tanto, que una vez “</w:t>
      </w:r>
      <w:r w:rsidRPr="00EE0619">
        <w:rPr>
          <w:rFonts w:ascii="Verdana" w:hAnsi="Verdana"/>
          <w:i/>
          <w:sz w:val="20"/>
          <w:szCs w:val="20"/>
          <w:lang w:val="es-ES"/>
        </w:rPr>
        <w:t>presentada</w:t>
      </w:r>
      <w:r w:rsidRPr="00EE0619">
        <w:rPr>
          <w:rFonts w:ascii="Verdana" w:hAnsi="Verdana"/>
          <w:sz w:val="20"/>
          <w:szCs w:val="20"/>
          <w:lang w:val="es-ES"/>
        </w:rPr>
        <w:t>” la petición o comunicación ante la Comisión, comienza el procedimiento de admisibilidad, en el que se traba la “</w:t>
      </w:r>
      <w:proofErr w:type="spellStart"/>
      <w:r w:rsidRPr="00EE0619">
        <w:rPr>
          <w:rFonts w:ascii="Verdana" w:hAnsi="Verdana"/>
          <w:i/>
          <w:sz w:val="20"/>
          <w:szCs w:val="20"/>
          <w:lang w:val="es-ES"/>
        </w:rPr>
        <w:t>litis</w:t>
      </w:r>
      <w:proofErr w:type="spellEnd"/>
      <w:r w:rsidRPr="00EE0619">
        <w:rPr>
          <w:rFonts w:ascii="Verdana" w:hAnsi="Verdana"/>
          <w:sz w:val="20"/>
          <w:szCs w:val="20"/>
          <w:lang w:val="es-ES"/>
        </w:rPr>
        <w:t>” acerca de si aquella, debe ser declarada “</w:t>
      </w:r>
      <w:r w:rsidRPr="00EE0619">
        <w:rPr>
          <w:rFonts w:ascii="Verdana" w:hAnsi="Verdana"/>
          <w:i/>
          <w:sz w:val="20"/>
          <w:szCs w:val="20"/>
          <w:lang w:val="es-ES"/>
        </w:rPr>
        <w:t>admisible</w:t>
      </w:r>
      <w:r w:rsidRPr="00EE0619">
        <w:rPr>
          <w:rFonts w:ascii="Verdana" w:hAnsi="Verdana"/>
          <w:sz w:val="20"/>
          <w:szCs w:val="20"/>
          <w:lang w:val="es-ES"/>
        </w:rPr>
        <w:t>” o “</w:t>
      </w:r>
      <w:r w:rsidRPr="00EE0619">
        <w:rPr>
          <w:rFonts w:ascii="Verdana" w:hAnsi="Verdana"/>
          <w:i/>
          <w:sz w:val="20"/>
          <w:szCs w:val="20"/>
          <w:lang w:val="es-ES"/>
        </w:rPr>
        <w:t>inadmisible</w:t>
      </w:r>
      <w:r w:rsidRPr="00EE0619">
        <w:rPr>
          <w:rFonts w:ascii="Verdana" w:hAnsi="Verdana"/>
          <w:sz w:val="20"/>
          <w:szCs w:val="20"/>
          <w:lang w:val="es-ES"/>
        </w:rPr>
        <w:t>”, esto es, si en el momento en que fue “</w:t>
      </w:r>
      <w:r w:rsidRPr="00EE0619">
        <w:rPr>
          <w:rFonts w:ascii="Verdana" w:hAnsi="Verdana"/>
          <w:i/>
          <w:sz w:val="20"/>
          <w:szCs w:val="20"/>
          <w:lang w:val="es-ES"/>
        </w:rPr>
        <w:t>presentada</w:t>
      </w:r>
      <w:r w:rsidRPr="00EE0619">
        <w:rPr>
          <w:rFonts w:ascii="Verdana" w:hAnsi="Verdana"/>
          <w:sz w:val="20"/>
          <w:szCs w:val="20"/>
          <w:lang w:val="es-ES"/>
        </w:rPr>
        <w:t>” y tal como lo fue, cumplía o no con los requisitos estipulados en el evocado artículo 46. Por el contrario, no dispone que en el momento en que la Comisión se pronuncia sobre la admisibilidad de</w:t>
      </w:r>
      <w:r w:rsidR="00CF1BEC" w:rsidRPr="00EE0619">
        <w:rPr>
          <w:rFonts w:ascii="Verdana" w:hAnsi="Verdana"/>
          <w:sz w:val="20"/>
          <w:szCs w:val="20"/>
          <w:lang w:val="es-ES"/>
        </w:rPr>
        <w:t xml:space="preserve"> </w:t>
      </w:r>
      <w:r w:rsidRPr="00EE0619">
        <w:rPr>
          <w:rFonts w:ascii="Verdana" w:hAnsi="Verdana"/>
          <w:sz w:val="20"/>
          <w:szCs w:val="20"/>
          <w:lang w:val="es-ES"/>
        </w:rPr>
        <w:t>la petición, ésta cumpla con esos requisitos. Nótese, a este respecto, que una vez más, la norma indica que es sobre la petición o comunicación “</w:t>
      </w:r>
      <w:r w:rsidRPr="00EE0619">
        <w:rPr>
          <w:rFonts w:ascii="Verdana" w:hAnsi="Verdana"/>
          <w:i/>
          <w:sz w:val="20"/>
          <w:szCs w:val="20"/>
          <w:lang w:val="es-ES"/>
        </w:rPr>
        <w:t>presentada</w:t>
      </w:r>
      <w:r w:rsidRPr="00EE0619">
        <w:rPr>
          <w:rFonts w:ascii="Verdana" w:hAnsi="Verdana"/>
          <w:sz w:val="20"/>
          <w:szCs w:val="20"/>
          <w:lang w:val="es-ES"/>
        </w:rPr>
        <w:t xml:space="preserve">” que la Comisión se debe pronunciar sobre su admisibilidad y obviamente considera que esa presentación dio lugar al caso correspondiente y que, consecuentemente, en ese instante cumplía con el requisito del agotamiento previo de los recursos internos o que se alegó que ello no procedía y no después. </w:t>
      </w:r>
    </w:p>
    <w:p w14:paraId="2D6CE9A3" w14:textId="77777777" w:rsidR="00076157" w:rsidRPr="00B533BB" w:rsidRDefault="00150531" w:rsidP="00150531">
      <w:pPr>
        <w:pStyle w:val="ListParagraph"/>
        <w:numPr>
          <w:ilvl w:val="0"/>
          <w:numId w:val="3"/>
        </w:numPr>
        <w:jc w:val="both"/>
        <w:rPr>
          <w:rFonts w:ascii="Verdana" w:hAnsi="Verdana"/>
          <w:lang w:val="es-ES"/>
        </w:rPr>
      </w:pPr>
      <w:r w:rsidRPr="00B533BB">
        <w:rPr>
          <w:rFonts w:ascii="Verdana" w:hAnsi="Verdana"/>
          <w:b/>
          <w:lang w:val="es-ES"/>
        </w:rPr>
        <w:t>Reglamento de la Comisió</w:t>
      </w:r>
      <w:r w:rsidR="00076157" w:rsidRPr="00B533BB">
        <w:rPr>
          <w:rFonts w:ascii="Verdana" w:hAnsi="Verdana"/>
          <w:b/>
          <w:lang w:val="es-ES"/>
        </w:rPr>
        <w:t>n.</w:t>
      </w:r>
    </w:p>
    <w:p w14:paraId="464BD307" w14:textId="77777777" w:rsidR="00150531" w:rsidRPr="00EE0619" w:rsidRDefault="00076157" w:rsidP="00076157">
      <w:pPr>
        <w:jc w:val="both"/>
        <w:rPr>
          <w:rFonts w:ascii="Verdana" w:hAnsi="Verdana"/>
          <w:sz w:val="20"/>
          <w:szCs w:val="20"/>
          <w:lang w:val="es-ES"/>
        </w:rPr>
      </w:pPr>
      <w:r w:rsidRPr="00EE0619">
        <w:rPr>
          <w:rFonts w:ascii="Verdana" w:hAnsi="Verdana"/>
          <w:sz w:val="20"/>
          <w:szCs w:val="20"/>
          <w:lang w:val="es-ES"/>
        </w:rPr>
        <w:t>E</w:t>
      </w:r>
      <w:r w:rsidR="00150531" w:rsidRPr="00EE0619">
        <w:rPr>
          <w:rFonts w:ascii="Verdana" w:hAnsi="Verdana"/>
          <w:sz w:val="20"/>
          <w:szCs w:val="20"/>
          <w:lang w:val="es-ES"/>
        </w:rPr>
        <w:t xml:space="preserve">l Reglamento de la propia Comisión vigente a la época de la presentación </w:t>
      </w:r>
      <w:r w:rsidR="004C5F94" w:rsidRPr="00EE0619">
        <w:rPr>
          <w:rFonts w:ascii="Verdana" w:hAnsi="Verdana"/>
          <w:sz w:val="20"/>
          <w:szCs w:val="20"/>
          <w:lang w:val="es-ES"/>
        </w:rPr>
        <w:t xml:space="preserve">ante la Comisión </w:t>
      </w:r>
      <w:r w:rsidR="00150531" w:rsidRPr="00EE0619">
        <w:rPr>
          <w:rFonts w:ascii="Verdana" w:hAnsi="Verdana"/>
          <w:sz w:val="20"/>
          <w:szCs w:val="20"/>
          <w:lang w:val="es-ES"/>
        </w:rPr>
        <w:t>de la</w:t>
      </w:r>
      <w:r w:rsidR="004C5F94" w:rsidRPr="00EE0619">
        <w:rPr>
          <w:rFonts w:ascii="Verdana" w:hAnsi="Verdana"/>
          <w:sz w:val="20"/>
          <w:szCs w:val="20"/>
          <w:lang w:val="es-ES"/>
        </w:rPr>
        <w:t>s peticiones</w:t>
      </w:r>
      <w:r w:rsidRPr="00EE0619">
        <w:rPr>
          <w:rFonts w:ascii="Verdana" w:hAnsi="Verdana"/>
          <w:sz w:val="20"/>
          <w:szCs w:val="20"/>
          <w:lang w:val="es-ES"/>
        </w:rPr>
        <w:t xml:space="preserve"> de que se trata,</w:t>
      </w:r>
      <w:r w:rsidR="00150531" w:rsidRPr="00EE0619">
        <w:rPr>
          <w:rFonts w:ascii="Verdana" w:hAnsi="Verdana"/>
          <w:sz w:val="20"/>
          <w:szCs w:val="20"/>
          <w:lang w:val="es-ES"/>
        </w:rPr>
        <w:t xml:space="preserve"> </w:t>
      </w:r>
      <w:r w:rsidRPr="00EE0619">
        <w:rPr>
          <w:rFonts w:ascii="Verdana" w:hAnsi="Verdana"/>
          <w:sz w:val="20"/>
          <w:szCs w:val="20"/>
          <w:lang w:val="es-ES"/>
        </w:rPr>
        <w:t>también regula</w:t>
      </w:r>
      <w:r w:rsidR="00150531" w:rsidRPr="00EE0619">
        <w:rPr>
          <w:rFonts w:ascii="Verdana" w:hAnsi="Verdana"/>
          <w:sz w:val="20"/>
          <w:szCs w:val="20"/>
          <w:lang w:val="es-ES"/>
        </w:rPr>
        <w:t xml:space="preserve"> el procedimiento de </w:t>
      </w:r>
      <w:r w:rsidR="004C5F94" w:rsidRPr="00EE0619">
        <w:rPr>
          <w:rFonts w:ascii="Verdana" w:hAnsi="Verdana"/>
          <w:sz w:val="20"/>
          <w:szCs w:val="20"/>
          <w:lang w:val="es-ES"/>
        </w:rPr>
        <w:t xml:space="preserve">su admisibilidad </w:t>
      </w:r>
      <w:r w:rsidRPr="00EE0619">
        <w:rPr>
          <w:rFonts w:ascii="Verdana" w:hAnsi="Verdana"/>
          <w:sz w:val="20"/>
          <w:szCs w:val="20"/>
          <w:lang w:val="es-ES"/>
        </w:rPr>
        <w:t xml:space="preserve">y, al hacerlo, </w:t>
      </w:r>
      <w:r w:rsidR="00150531" w:rsidRPr="00EE0619">
        <w:rPr>
          <w:rFonts w:ascii="Verdana" w:hAnsi="Verdana"/>
          <w:sz w:val="20"/>
          <w:szCs w:val="20"/>
          <w:lang w:val="es-ES"/>
        </w:rPr>
        <w:t>refleja la interpretación que</w:t>
      </w:r>
      <w:r w:rsidR="00150531" w:rsidRPr="00B533BB">
        <w:rPr>
          <w:rFonts w:ascii="Verdana" w:hAnsi="Verdana"/>
          <w:lang w:val="es-ES"/>
        </w:rPr>
        <w:t xml:space="preserve"> ella le daba al artículo 46 de </w:t>
      </w:r>
      <w:r w:rsidR="00150531" w:rsidRPr="00EE0619">
        <w:rPr>
          <w:rFonts w:ascii="Verdana" w:hAnsi="Verdana"/>
          <w:sz w:val="20"/>
          <w:szCs w:val="20"/>
          <w:lang w:val="es-ES"/>
        </w:rPr>
        <w:lastRenderedPageBreak/>
        <w:t>la Convención</w:t>
      </w:r>
      <w:r w:rsidR="00150531" w:rsidRPr="00B533BB">
        <w:rPr>
          <w:rStyle w:val="FootnoteReference"/>
          <w:rFonts w:ascii="Verdana" w:hAnsi="Verdana"/>
          <w:lang w:val="es-ES"/>
        </w:rPr>
        <w:footnoteReference w:id="16"/>
      </w:r>
      <w:r w:rsidR="00150531" w:rsidRPr="00B533BB">
        <w:rPr>
          <w:rFonts w:ascii="Verdana" w:hAnsi="Verdana"/>
          <w:lang w:val="es-ES"/>
        </w:rPr>
        <w:t xml:space="preserve">. </w:t>
      </w:r>
      <w:r w:rsidR="00150531" w:rsidRPr="00EE0619">
        <w:rPr>
          <w:rFonts w:ascii="Verdana" w:hAnsi="Verdana"/>
          <w:sz w:val="20"/>
          <w:szCs w:val="20"/>
          <w:lang w:val="es-ES"/>
        </w:rPr>
        <w:t>En dicho procedimiento se distingue entre la presentación de la petición y su revisión inic</w:t>
      </w:r>
      <w:r w:rsidR="004C5F94" w:rsidRPr="00EE0619">
        <w:rPr>
          <w:rFonts w:ascii="Verdana" w:hAnsi="Verdana"/>
          <w:sz w:val="20"/>
          <w:szCs w:val="20"/>
          <w:lang w:val="es-ES"/>
        </w:rPr>
        <w:t>ial, el traslado de aquella</w:t>
      </w:r>
      <w:r w:rsidR="00150531" w:rsidRPr="00EE0619">
        <w:rPr>
          <w:rFonts w:ascii="Verdana" w:hAnsi="Verdana"/>
          <w:sz w:val="20"/>
          <w:szCs w:val="20"/>
          <w:lang w:val="es-ES"/>
        </w:rPr>
        <w:t xml:space="preserve"> al Estado, la respuesta de éste y las observaciones de las partes y, por último, la decisión sobre su admisibilidad.</w:t>
      </w:r>
    </w:p>
    <w:p w14:paraId="65EB91F3" w14:textId="77777777" w:rsidR="00150531" w:rsidRPr="00B533BB" w:rsidRDefault="00150531" w:rsidP="00150531">
      <w:pPr>
        <w:pStyle w:val="ListParagraph"/>
        <w:numPr>
          <w:ilvl w:val="0"/>
          <w:numId w:val="5"/>
        </w:numPr>
        <w:jc w:val="both"/>
        <w:rPr>
          <w:rFonts w:ascii="Verdana" w:hAnsi="Verdana"/>
          <w:b/>
          <w:lang w:val="es-ES"/>
        </w:rPr>
      </w:pPr>
      <w:r w:rsidRPr="00B533BB">
        <w:rPr>
          <w:rFonts w:ascii="Verdana" w:hAnsi="Verdana"/>
          <w:u w:val="single"/>
          <w:lang w:val="es-ES"/>
        </w:rPr>
        <w:t>Revisión inicial por parte de la Comisión</w:t>
      </w:r>
      <w:r w:rsidRPr="002D5634">
        <w:rPr>
          <w:rFonts w:ascii="Verdana" w:hAnsi="Verdana"/>
          <w:lang w:val="es-ES"/>
        </w:rPr>
        <w:t xml:space="preserve">. </w:t>
      </w:r>
    </w:p>
    <w:p w14:paraId="194B1263" w14:textId="77777777" w:rsidR="00150531" w:rsidRPr="00EE0619" w:rsidRDefault="00150531" w:rsidP="00150531">
      <w:pPr>
        <w:jc w:val="both"/>
        <w:rPr>
          <w:rFonts w:ascii="Verdana" w:hAnsi="Verdana"/>
          <w:i/>
          <w:sz w:val="20"/>
          <w:szCs w:val="20"/>
          <w:lang w:val="es-ES"/>
        </w:rPr>
      </w:pPr>
      <w:r w:rsidRPr="00EE0619">
        <w:rPr>
          <w:rFonts w:ascii="Verdana" w:hAnsi="Verdana"/>
          <w:sz w:val="20"/>
          <w:szCs w:val="20"/>
          <w:lang w:val="es-ES"/>
        </w:rPr>
        <w:t xml:space="preserve">Efectivamente, por de pronto, procede considerar lo que señala el artículo 26 de dicho Reglamento, denominado </w:t>
      </w:r>
      <w:r w:rsidRPr="00EE0619">
        <w:rPr>
          <w:rFonts w:ascii="Verdana" w:hAnsi="Verdana"/>
          <w:i/>
          <w:sz w:val="20"/>
          <w:szCs w:val="20"/>
          <w:lang w:val="es-ES"/>
        </w:rPr>
        <w:t>“Revisión inicial:</w:t>
      </w:r>
    </w:p>
    <w:p w14:paraId="700D2426" w14:textId="77777777" w:rsidR="00150531" w:rsidRPr="00EE0619" w:rsidRDefault="00150531" w:rsidP="00150531">
      <w:pPr>
        <w:ind w:left="567"/>
        <w:jc w:val="both"/>
        <w:rPr>
          <w:rFonts w:ascii="Verdana" w:hAnsi="Verdana"/>
          <w:i/>
          <w:sz w:val="20"/>
          <w:szCs w:val="20"/>
          <w:lang w:val="es-ES"/>
        </w:rPr>
      </w:pPr>
      <w:r w:rsidRPr="00EE0619">
        <w:rPr>
          <w:rFonts w:ascii="Verdana" w:hAnsi="Verdana"/>
          <w:i/>
          <w:sz w:val="20"/>
          <w:szCs w:val="20"/>
          <w:lang w:val="es-ES"/>
        </w:rPr>
        <w:t>1. La Secretaría Ejecutiva de la Comisión tendrá la responsabilidad del estudio y tramitación inicial de las peticiones presentadas a la Comisión que llenen todos los requisitos establecidos en el Estatuto y en el artículo 28 del presente Reglamento.</w:t>
      </w:r>
    </w:p>
    <w:p w14:paraId="4330AAE2" w14:textId="77777777" w:rsidR="00150531" w:rsidRPr="00EE0619" w:rsidRDefault="00150531" w:rsidP="00150531">
      <w:pPr>
        <w:ind w:left="567"/>
        <w:jc w:val="both"/>
        <w:rPr>
          <w:rFonts w:ascii="Verdana" w:hAnsi="Verdana"/>
          <w:i/>
          <w:sz w:val="20"/>
          <w:szCs w:val="20"/>
          <w:lang w:val="es-ES"/>
        </w:rPr>
      </w:pPr>
      <w:r w:rsidRPr="00EE0619">
        <w:rPr>
          <w:rFonts w:ascii="Verdana" w:hAnsi="Verdana"/>
          <w:i/>
          <w:sz w:val="20"/>
          <w:szCs w:val="20"/>
          <w:lang w:val="es-ES"/>
        </w:rPr>
        <w:t>2. Si una petición no reúne los requisitos exigidos en el presente Reglamento, la Secretaría Ejecutiva podrá solicitar al peticionario o a su representante que los complete.</w:t>
      </w:r>
    </w:p>
    <w:p w14:paraId="3D187B4A" w14:textId="77777777" w:rsidR="00150531" w:rsidRPr="00B533BB" w:rsidRDefault="00150531" w:rsidP="00150531">
      <w:pPr>
        <w:ind w:left="567"/>
        <w:jc w:val="both"/>
        <w:rPr>
          <w:rFonts w:ascii="Verdana" w:hAnsi="Verdana"/>
          <w:lang w:val="es-ES"/>
        </w:rPr>
      </w:pPr>
      <w:r w:rsidRPr="00EE0619">
        <w:rPr>
          <w:rFonts w:ascii="Verdana" w:hAnsi="Verdana"/>
          <w:i/>
          <w:sz w:val="20"/>
          <w:szCs w:val="20"/>
          <w:lang w:val="es-ES"/>
        </w:rPr>
        <w:t>3. Si la Secretaría Ejecutiva tuviera alguna duda sobre el cumplimiento de los requisitos mencionados, consultará a la Comisión.</w:t>
      </w:r>
      <w:r w:rsidRPr="00B533BB">
        <w:rPr>
          <w:rFonts w:ascii="Verdana" w:hAnsi="Verdana"/>
          <w:i/>
          <w:lang w:val="es-ES"/>
        </w:rPr>
        <w:t>”</w:t>
      </w:r>
      <w:r w:rsidRPr="00B533BB">
        <w:rPr>
          <w:rStyle w:val="FootnoteReference"/>
          <w:rFonts w:ascii="Verdana" w:hAnsi="Verdana"/>
          <w:i/>
          <w:lang w:val="es-ES"/>
        </w:rPr>
        <w:footnoteReference w:id="17"/>
      </w:r>
    </w:p>
    <w:p w14:paraId="6F3EA1E4" w14:textId="77777777" w:rsidR="00150531" w:rsidRPr="00EE0619" w:rsidRDefault="00150531" w:rsidP="00150531">
      <w:pPr>
        <w:jc w:val="both"/>
        <w:rPr>
          <w:rFonts w:ascii="Verdana" w:hAnsi="Verdana"/>
          <w:b/>
          <w:sz w:val="20"/>
          <w:szCs w:val="20"/>
          <w:lang w:val="es-ES"/>
        </w:rPr>
      </w:pPr>
      <w:r w:rsidRPr="00EE0619">
        <w:rPr>
          <w:rFonts w:ascii="Verdana" w:hAnsi="Verdana"/>
          <w:sz w:val="20"/>
          <w:szCs w:val="20"/>
          <w:lang w:val="es-ES"/>
        </w:rPr>
        <w:t xml:space="preserve">A su turno, el artículo 27 de dicho cuerpo normativo, denominado </w:t>
      </w:r>
      <w:r w:rsidRPr="00EE0619">
        <w:rPr>
          <w:rFonts w:ascii="Verdana" w:hAnsi="Verdana"/>
          <w:i/>
          <w:sz w:val="20"/>
          <w:szCs w:val="20"/>
          <w:lang w:val="es-ES"/>
        </w:rPr>
        <w:t>“Condición para considerar la petición”</w:t>
      </w:r>
      <w:r w:rsidRPr="00EE0619">
        <w:rPr>
          <w:rFonts w:ascii="Verdana" w:hAnsi="Verdana"/>
          <w:sz w:val="20"/>
          <w:szCs w:val="20"/>
          <w:lang w:val="es-ES"/>
        </w:rPr>
        <w:t>, establece que:</w:t>
      </w:r>
    </w:p>
    <w:p w14:paraId="50D5AA21" w14:textId="77777777" w:rsidR="00150531" w:rsidRPr="00B533BB" w:rsidRDefault="00150531" w:rsidP="00150531">
      <w:pPr>
        <w:ind w:left="567"/>
        <w:jc w:val="both"/>
        <w:rPr>
          <w:rFonts w:ascii="Verdana" w:hAnsi="Verdana"/>
          <w:lang w:val="es-ES"/>
        </w:rPr>
      </w:pPr>
      <w:r w:rsidRPr="00EE0619">
        <w:rPr>
          <w:rFonts w:ascii="Verdana" w:hAnsi="Verdana"/>
          <w:i/>
          <w:sz w:val="20"/>
          <w:szCs w:val="20"/>
          <w:lang w:val="es-ES"/>
        </w:rPr>
        <w:t>“La Comisión tomará en consideración las peticiones sobre presuntas violaciones de los derechos humanos consagrados en la Convención Americana sobre Derechos Humanos y otros instrumentos aplicables, con relación a los Estados miembros de la OEA, solamente cuando llenen los requisitos establecidos en tales instrumentos, en el Estatuto y en el presente Reglamento.”</w:t>
      </w:r>
      <w:r w:rsidRPr="00B533BB">
        <w:rPr>
          <w:rStyle w:val="FootnoteReference"/>
          <w:rFonts w:ascii="Verdana" w:hAnsi="Verdana"/>
          <w:i/>
          <w:lang w:val="es-ES"/>
        </w:rPr>
        <w:footnoteReference w:id="18"/>
      </w:r>
    </w:p>
    <w:p w14:paraId="2FEC8908"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Por su parte, el artículo 28 del Reglamento citado, denominado precisamente “</w:t>
      </w:r>
      <w:r w:rsidRPr="00EE0619">
        <w:rPr>
          <w:rFonts w:ascii="Verdana" w:hAnsi="Verdana"/>
          <w:i/>
          <w:sz w:val="20"/>
          <w:szCs w:val="20"/>
          <w:lang w:val="es-ES"/>
        </w:rPr>
        <w:t>Requisitos para la consideración de peticiones”</w:t>
      </w:r>
      <w:r w:rsidRPr="00EE0619">
        <w:rPr>
          <w:rFonts w:ascii="Verdana" w:hAnsi="Verdana"/>
          <w:sz w:val="20"/>
          <w:szCs w:val="20"/>
          <w:lang w:val="es-ES"/>
        </w:rPr>
        <w:t>, dispone, en su letra h), que</w:t>
      </w:r>
      <w:r w:rsidR="00793366" w:rsidRPr="00EE0619">
        <w:rPr>
          <w:rFonts w:ascii="Verdana" w:hAnsi="Verdana"/>
          <w:sz w:val="20"/>
          <w:szCs w:val="20"/>
          <w:lang w:val="es-ES"/>
        </w:rPr>
        <w:t>:</w:t>
      </w:r>
      <w:r w:rsidRPr="00EE0619">
        <w:rPr>
          <w:rFonts w:ascii="Verdana" w:hAnsi="Verdana"/>
          <w:sz w:val="20"/>
          <w:szCs w:val="20"/>
          <w:lang w:val="es-ES"/>
        </w:rPr>
        <w:t xml:space="preserve"> </w:t>
      </w:r>
    </w:p>
    <w:p w14:paraId="2051D7F7" w14:textId="77777777" w:rsidR="00150531" w:rsidRPr="00B533BB" w:rsidRDefault="00150531" w:rsidP="00150531">
      <w:pPr>
        <w:ind w:left="567"/>
        <w:jc w:val="both"/>
        <w:rPr>
          <w:rFonts w:ascii="Verdana" w:hAnsi="Verdana"/>
          <w:lang w:val="es-ES"/>
        </w:rPr>
      </w:pPr>
      <w:r w:rsidRPr="00EE0619">
        <w:rPr>
          <w:rFonts w:ascii="Verdana" w:hAnsi="Verdana"/>
          <w:sz w:val="20"/>
          <w:szCs w:val="20"/>
          <w:lang w:val="es-ES"/>
        </w:rPr>
        <w:t>“</w:t>
      </w:r>
      <w:r w:rsidRPr="00EE0619">
        <w:rPr>
          <w:rFonts w:ascii="Verdana" w:hAnsi="Verdana"/>
          <w:i/>
          <w:sz w:val="20"/>
          <w:szCs w:val="20"/>
          <w:lang w:val="es-ES"/>
        </w:rPr>
        <w:t xml:space="preserve">las peticiones dirigidas a la Comisión deberán contener la siguiente información: </w:t>
      </w:r>
      <w:r w:rsidR="00793366" w:rsidRPr="00EE0619">
        <w:rPr>
          <w:rFonts w:ascii="Verdana" w:hAnsi="Verdana"/>
          <w:i/>
          <w:sz w:val="20"/>
          <w:szCs w:val="20"/>
          <w:lang w:val="es-ES"/>
        </w:rPr>
        <w:t>[</w:t>
      </w:r>
      <w:r w:rsidRPr="00EE0619">
        <w:rPr>
          <w:rFonts w:ascii="Verdana" w:hAnsi="Verdana"/>
          <w:i/>
          <w:sz w:val="20"/>
          <w:szCs w:val="20"/>
          <w:lang w:val="es-ES"/>
        </w:rPr>
        <w:t>...</w:t>
      </w:r>
      <w:r w:rsidR="00793366" w:rsidRPr="00EE0619">
        <w:rPr>
          <w:rFonts w:ascii="Verdana" w:hAnsi="Verdana"/>
          <w:i/>
          <w:sz w:val="20"/>
          <w:szCs w:val="20"/>
          <w:lang w:val="es-ES"/>
        </w:rPr>
        <w:t>]</w:t>
      </w:r>
      <w:r w:rsidRPr="00EE0619">
        <w:rPr>
          <w:rFonts w:ascii="Verdana" w:hAnsi="Verdana"/>
          <w:i/>
          <w:sz w:val="20"/>
          <w:szCs w:val="20"/>
          <w:lang w:val="es-ES"/>
        </w:rPr>
        <w:t xml:space="preserve"> las gestiones emprendidas para agotar los recursos de la jurisdicción interna o la imposibilidad de hacerlo conforme al artículo 31 del Presente Reglamento</w:t>
      </w:r>
      <w:r w:rsidRPr="00B533BB">
        <w:rPr>
          <w:rFonts w:ascii="Verdana" w:hAnsi="Verdana"/>
          <w:i/>
          <w:lang w:val="es-ES"/>
        </w:rPr>
        <w:t>”</w:t>
      </w:r>
      <w:r w:rsidRPr="00B533BB">
        <w:rPr>
          <w:rFonts w:ascii="Verdana" w:hAnsi="Verdana"/>
          <w:lang w:val="es-ES"/>
        </w:rPr>
        <w:t>.</w:t>
      </w:r>
      <w:r w:rsidRPr="00B533BB">
        <w:rPr>
          <w:rStyle w:val="FootnoteReference"/>
          <w:rFonts w:ascii="Verdana" w:hAnsi="Verdana"/>
          <w:lang w:val="es-ES"/>
        </w:rPr>
        <w:footnoteReference w:id="19"/>
      </w:r>
    </w:p>
    <w:p w14:paraId="7ED6F352"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Cabe llamar la atención acerca de que el artículo 29.1.y 3 del mismo cuerpo normativo, titulado “</w:t>
      </w:r>
      <w:r w:rsidRPr="00EE0619">
        <w:rPr>
          <w:rFonts w:ascii="Verdana" w:hAnsi="Verdana"/>
          <w:i/>
          <w:sz w:val="20"/>
          <w:szCs w:val="20"/>
          <w:lang w:val="es-ES"/>
        </w:rPr>
        <w:t>Tramitación inicial”</w:t>
      </w:r>
      <w:r w:rsidRPr="00EE0619">
        <w:rPr>
          <w:rFonts w:ascii="Verdana" w:hAnsi="Verdana"/>
          <w:sz w:val="20"/>
          <w:szCs w:val="20"/>
          <w:lang w:val="es-ES"/>
        </w:rPr>
        <w:t xml:space="preserve">, reitera lo señalado en el artículo 26.2: </w:t>
      </w:r>
    </w:p>
    <w:p w14:paraId="174193C4" w14:textId="77777777" w:rsidR="00150531" w:rsidRPr="00EE0619" w:rsidRDefault="00150531" w:rsidP="00150531">
      <w:pPr>
        <w:ind w:left="567"/>
        <w:jc w:val="both"/>
        <w:rPr>
          <w:rFonts w:ascii="Verdana" w:hAnsi="Verdana"/>
          <w:i/>
          <w:sz w:val="20"/>
          <w:szCs w:val="20"/>
          <w:lang w:val="es-ES"/>
        </w:rPr>
      </w:pPr>
      <w:r w:rsidRPr="00EE0619">
        <w:rPr>
          <w:rFonts w:ascii="Verdana" w:hAnsi="Verdana"/>
          <w:i/>
          <w:sz w:val="20"/>
          <w:szCs w:val="20"/>
          <w:lang w:val="es-ES"/>
        </w:rPr>
        <w:lastRenderedPageBreak/>
        <w:t>“1. La Comisión, actuando inicialmente por intermedio de su Secretaría Ejecutiva, recibirá y procesará en su tramitación inicial las peticiones que le sean presentadas.  Cada petición se registrará, se hará constar en ella la fecha de recepción y se acusará recibo al peticionario.</w:t>
      </w:r>
    </w:p>
    <w:p w14:paraId="49CE8D29" w14:textId="77777777" w:rsidR="00150531" w:rsidRPr="00B533BB" w:rsidRDefault="00150531" w:rsidP="00150531">
      <w:pPr>
        <w:ind w:left="567"/>
        <w:jc w:val="both"/>
        <w:rPr>
          <w:rFonts w:ascii="Verdana" w:hAnsi="Verdana"/>
          <w:lang w:val="es-ES"/>
        </w:rPr>
      </w:pPr>
      <w:r w:rsidRPr="00EE0619">
        <w:rPr>
          <w:rFonts w:ascii="Verdana" w:hAnsi="Verdana"/>
          <w:i/>
          <w:sz w:val="20"/>
          <w:szCs w:val="20"/>
          <w:lang w:val="es-ES"/>
        </w:rPr>
        <w:t>3. Si la petición no reúne los requisitos exigidos en el presente Reglamento, la Comisión podrá solicitar al peticionario o a su representante que los complete conforme al artículo 26.2 del presente Reglamento.</w:t>
      </w:r>
      <w:r w:rsidRPr="00B533BB">
        <w:rPr>
          <w:rFonts w:ascii="Verdana" w:hAnsi="Verdana"/>
          <w:i/>
          <w:lang w:val="es-ES"/>
        </w:rPr>
        <w:t>”</w:t>
      </w:r>
      <w:r w:rsidRPr="00B533BB">
        <w:rPr>
          <w:rStyle w:val="FootnoteReference"/>
          <w:rFonts w:ascii="Verdana" w:hAnsi="Verdana"/>
          <w:i/>
          <w:lang w:val="es-ES"/>
        </w:rPr>
        <w:footnoteReference w:id="20"/>
      </w:r>
    </w:p>
    <w:p w14:paraId="140A3843"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De ello se infiere, entonces, que la información requerida para que se pudiera dar “</w:t>
      </w:r>
      <w:r w:rsidRPr="00EE0619">
        <w:rPr>
          <w:rFonts w:ascii="Verdana" w:hAnsi="Verdana"/>
          <w:i/>
          <w:sz w:val="20"/>
          <w:szCs w:val="20"/>
          <w:lang w:val="es-ES"/>
        </w:rPr>
        <w:t>trámite</w:t>
      </w:r>
      <w:r w:rsidRPr="00EE0619">
        <w:rPr>
          <w:rFonts w:ascii="Verdana" w:hAnsi="Verdana"/>
          <w:sz w:val="20"/>
          <w:szCs w:val="20"/>
          <w:lang w:val="es-ES"/>
        </w:rPr>
        <w:t>” o “</w:t>
      </w:r>
      <w:r w:rsidRPr="00EE0619">
        <w:rPr>
          <w:rFonts w:ascii="Verdana" w:hAnsi="Verdana"/>
          <w:i/>
          <w:sz w:val="20"/>
          <w:szCs w:val="20"/>
          <w:lang w:val="es-ES"/>
        </w:rPr>
        <w:t>considerar</w:t>
      </w:r>
      <w:r w:rsidRPr="00EE0619">
        <w:rPr>
          <w:rFonts w:ascii="Verdana" w:hAnsi="Verdana"/>
          <w:sz w:val="20"/>
          <w:szCs w:val="20"/>
          <w:lang w:val="es-ES"/>
        </w:rPr>
        <w:t xml:space="preserve">” a la pertinente petición debe referirse sea a las gestiones realizadas para agotar los recursos de la jurisdicción interna sea a la imposibilidad de agotarlos. Es decir, la petición debe dar cuenta de lo hecho para que los recursos en cuestión se agotaran o que era imposible agotarlos y que si en ella nada se expresa sobre el particular, la Comisión debe exigir al peticionario que lo haga bajo el apercibimiento reglamentario de no considerarla. </w:t>
      </w:r>
    </w:p>
    <w:p w14:paraId="671D1810"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En el sentido indicado, la Comisión, actuando a través de su Secretaría Ejecutiva, debe realizar un primer control de convencionalidad de la petición, contrastándola con lo dispuesto por la Convención y por el citado Reglamento</w:t>
      </w:r>
      <w:r w:rsidR="0033644D" w:rsidRPr="00EE0619">
        <w:rPr>
          <w:rFonts w:ascii="Verdana" w:hAnsi="Verdana"/>
          <w:sz w:val="20"/>
          <w:szCs w:val="20"/>
          <w:lang w:val="es-ES"/>
        </w:rPr>
        <w:t>;</w:t>
      </w:r>
      <w:r w:rsidRPr="00EE0619">
        <w:rPr>
          <w:rFonts w:ascii="Verdana" w:hAnsi="Verdana"/>
          <w:sz w:val="20"/>
          <w:szCs w:val="20"/>
          <w:lang w:val="es-ES"/>
        </w:rPr>
        <w:t xml:space="preserve"> en otras palabras, debe determinar si ella cumpl</w:t>
      </w:r>
      <w:r w:rsidR="0033644D" w:rsidRPr="00EE0619">
        <w:rPr>
          <w:rFonts w:ascii="Verdana" w:hAnsi="Verdana"/>
          <w:sz w:val="20"/>
          <w:szCs w:val="20"/>
          <w:lang w:val="es-ES"/>
        </w:rPr>
        <w:t>e</w:t>
      </w:r>
      <w:r w:rsidRPr="00EE0619">
        <w:rPr>
          <w:rFonts w:ascii="Verdana" w:hAnsi="Verdana"/>
          <w:sz w:val="20"/>
          <w:szCs w:val="20"/>
          <w:lang w:val="es-ES"/>
        </w:rPr>
        <w:t xml:space="preserve"> con los requisitos correspondientes al momento de ser </w:t>
      </w:r>
      <w:r w:rsidRPr="00EE0619">
        <w:rPr>
          <w:rFonts w:ascii="Verdana" w:hAnsi="Verdana"/>
          <w:i/>
          <w:sz w:val="20"/>
          <w:szCs w:val="20"/>
          <w:lang w:val="es-ES"/>
        </w:rPr>
        <w:t>“presentada”</w:t>
      </w:r>
      <w:r w:rsidRPr="00EE0619">
        <w:rPr>
          <w:rFonts w:ascii="Verdana" w:hAnsi="Verdana"/>
          <w:sz w:val="20"/>
          <w:szCs w:val="20"/>
          <w:lang w:val="es-ES"/>
        </w:rPr>
        <w:t xml:space="preserve"> y si tal constata que no cumple, debe exigir se haga. De otra manera</w:t>
      </w:r>
      <w:r w:rsidR="0033644D" w:rsidRPr="00EE0619">
        <w:rPr>
          <w:rFonts w:ascii="Verdana" w:hAnsi="Verdana"/>
          <w:sz w:val="20"/>
          <w:szCs w:val="20"/>
          <w:lang w:val="es-ES"/>
        </w:rPr>
        <w:t>,</w:t>
      </w:r>
      <w:r w:rsidRPr="00EE0619">
        <w:rPr>
          <w:rFonts w:ascii="Verdana" w:hAnsi="Verdana"/>
          <w:sz w:val="20"/>
          <w:szCs w:val="20"/>
          <w:lang w:val="es-ES"/>
        </w:rPr>
        <w:t xml:space="preserve"> no se entiende la lógica y necesidad del </w:t>
      </w:r>
      <w:r w:rsidRPr="00EE0619">
        <w:rPr>
          <w:rFonts w:ascii="Verdana" w:hAnsi="Verdana"/>
          <w:i/>
          <w:sz w:val="20"/>
          <w:szCs w:val="20"/>
          <w:lang w:val="es-ES"/>
        </w:rPr>
        <w:t>“estudio y tramitación inicial”</w:t>
      </w:r>
      <w:r w:rsidRPr="00EE0619">
        <w:rPr>
          <w:rFonts w:ascii="Verdana" w:hAnsi="Verdana"/>
          <w:sz w:val="20"/>
          <w:szCs w:val="20"/>
          <w:lang w:val="es-ES"/>
        </w:rPr>
        <w:t xml:space="preserve"> de la petición ni tampoco la razón por la que se deba requerir al peticionario que la complete indicando las gestiones emprendidas para agotar los recursos internos o la imposibilidad de cumplirlos. </w:t>
      </w:r>
    </w:p>
    <w:p w14:paraId="623100B7" w14:textId="77777777" w:rsidR="00150531" w:rsidRPr="00EE0619" w:rsidRDefault="00150531" w:rsidP="00150531">
      <w:pPr>
        <w:pStyle w:val="ListParagraph"/>
        <w:numPr>
          <w:ilvl w:val="0"/>
          <w:numId w:val="5"/>
        </w:numPr>
        <w:jc w:val="both"/>
        <w:rPr>
          <w:rFonts w:ascii="Verdana" w:hAnsi="Verdana"/>
          <w:u w:val="single"/>
          <w:lang w:val="es-ES"/>
        </w:rPr>
      </w:pPr>
      <w:r w:rsidRPr="00EE0619">
        <w:rPr>
          <w:rFonts w:ascii="Verdana" w:hAnsi="Verdana"/>
          <w:u w:val="single"/>
          <w:lang w:val="es-ES"/>
        </w:rPr>
        <w:t>El traslado de la petición al Estado involucrado.</w:t>
      </w:r>
    </w:p>
    <w:p w14:paraId="0CF563B2"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 xml:space="preserve">También en lo que respecta al traslado de la petición al </w:t>
      </w:r>
      <w:r w:rsidR="0033644D" w:rsidRPr="00EE0619">
        <w:rPr>
          <w:rFonts w:ascii="Verdana" w:hAnsi="Verdana"/>
          <w:sz w:val="20"/>
          <w:szCs w:val="20"/>
          <w:lang w:val="es-ES"/>
        </w:rPr>
        <w:t>E</w:t>
      </w:r>
      <w:r w:rsidRPr="00EE0619">
        <w:rPr>
          <w:rFonts w:ascii="Verdana" w:hAnsi="Verdana"/>
          <w:sz w:val="20"/>
          <w:szCs w:val="20"/>
          <w:lang w:val="es-ES"/>
        </w:rPr>
        <w:t>stado concernido, el Reglamento de la Comisión confirma la interpretación aludida, esto es, que el agotamiento de los recursos internos es un requisito que debe cumplirse previamente a la presentación de la petición ante la Comisión.</w:t>
      </w:r>
    </w:p>
    <w:p w14:paraId="3CFE56C4"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 xml:space="preserve"> En efecto, el artículo 30.1.</w:t>
      </w:r>
      <w:r w:rsidR="0033644D" w:rsidRPr="00EE0619">
        <w:rPr>
          <w:rFonts w:ascii="Verdana" w:hAnsi="Verdana"/>
          <w:sz w:val="20"/>
          <w:szCs w:val="20"/>
          <w:lang w:val="es-ES"/>
        </w:rPr>
        <w:t xml:space="preserve"> </w:t>
      </w:r>
      <w:proofErr w:type="gramStart"/>
      <w:r w:rsidRPr="00EE0619">
        <w:rPr>
          <w:rFonts w:ascii="Verdana" w:hAnsi="Verdana"/>
          <w:sz w:val="20"/>
          <w:szCs w:val="20"/>
          <w:lang w:val="es-ES"/>
        </w:rPr>
        <w:t>y</w:t>
      </w:r>
      <w:proofErr w:type="gramEnd"/>
      <w:r w:rsidRPr="00EE0619">
        <w:rPr>
          <w:rFonts w:ascii="Verdana" w:hAnsi="Verdana"/>
          <w:sz w:val="20"/>
          <w:szCs w:val="20"/>
          <w:lang w:val="es-ES"/>
        </w:rPr>
        <w:t xml:space="preserve"> 2., del Reglamento mencionado, titulado </w:t>
      </w:r>
      <w:r w:rsidRPr="00EE0619">
        <w:rPr>
          <w:rFonts w:ascii="Verdana" w:hAnsi="Verdana"/>
          <w:i/>
          <w:sz w:val="20"/>
          <w:szCs w:val="20"/>
          <w:lang w:val="es-ES"/>
        </w:rPr>
        <w:t xml:space="preserve">“Procedimiento de admisibilidad”, </w:t>
      </w:r>
      <w:r w:rsidRPr="00EE0619">
        <w:rPr>
          <w:rFonts w:ascii="Verdana" w:hAnsi="Verdana"/>
          <w:sz w:val="20"/>
          <w:szCs w:val="20"/>
          <w:lang w:val="es-ES"/>
        </w:rPr>
        <w:t>establece:</w:t>
      </w:r>
    </w:p>
    <w:p w14:paraId="04537267" w14:textId="77777777" w:rsidR="00150531" w:rsidRPr="00B533BB" w:rsidRDefault="00150531" w:rsidP="00150531">
      <w:pPr>
        <w:ind w:left="567"/>
        <w:jc w:val="both"/>
        <w:rPr>
          <w:rFonts w:ascii="Verdana" w:hAnsi="Verdana"/>
          <w:i/>
          <w:lang w:val="es-ES"/>
        </w:rPr>
      </w:pPr>
      <w:r w:rsidRPr="00EE0619">
        <w:rPr>
          <w:rFonts w:ascii="Verdana" w:hAnsi="Verdana"/>
          <w:i/>
          <w:sz w:val="20"/>
          <w:szCs w:val="20"/>
          <w:lang w:val="es-ES"/>
        </w:rPr>
        <w:t>“1. La Comisión, a través de su Secretaría Ejecutiva, dará trámite a las peticiones que reúnan los requisitos previstos en el artículo 28 del presente Reglamento</w:t>
      </w:r>
      <w:r w:rsidRPr="00B533BB">
        <w:rPr>
          <w:rFonts w:ascii="Verdana" w:hAnsi="Verdana"/>
          <w:i/>
          <w:lang w:val="es-ES"/>
        </w:rPr>
        <w:t>.</w:t>
      </w:r>
    </w:p>
    <w:p w14:paraId="10587AB0" w14:textId="77777777" w:rsidR="00150531" w:rsidRPr="00B533BB" w:rsidRDefault="00150531" w:rsidP="00150531">
      <w:pPr>
        <w:ind w:left="567"/>
        <w:jc w:val="both"/>
        <w:rPr>
          <w:rFonts w:ascii="Verdana" w:hAnsi="Verdana"/>
          <w:lang w:val="es-ES"/>
        </w:rPr>
      </w:pPr>
      <w:r w:rsidRPr="00EE0619">
        <w:rPr>
          <w:rFonts w:ascii="Verdana" w:hAnsi="Verdana"/>
          <w:i/>
          <w:sz w:val="20"/>
          <w:szCs w:val="20"/>
          <w:lang w:val="es-ES"/>
        </w:rPr>
        <w:t xml:space="preserve">2. A tal efecto, transmitirá las partes pertinentes de la petición al Estado en cuestión. </w:t>
      </w:r>
      <w:r w:rsidR="0033644D" w:rsidRPr="00EE0619">
        <w:rPr>
          <w:rFonts w:ascii="Verdana" w:hAnsi="Verdana"/>
          <w:i/>
          <w:sz w:val="20"/>
          <w:szCs w:val="20"/>
          <w:lang w:val="es-ES"/>
        </w:rPr>
        <w:t>[</w:t>
      </w:r>
      <w:r w:rsidRPr="00EE0619">
        <w:rPr>
          <w:rFonts w:ascii="Verdana" w:hAnsi="Verdana"/>
          <w:i/>
          <w:sz w:val="20"/>
          <w:szCs w:val="20"/>
          <w:lang w:val="es-ES"/>
        </w:rPr>
        <w:t>...</w:t>
      </w:r>
      <w:r w:rsidR="0033644D" w:rsidRPr="00EE0619">
        <w:rPr>
          <w:rFonts w:ascii="Verdana" w:hAnsi="Verdana"/>
          <w:i/>
          <w:sz w:val="20"/>
          <w:szCs w:val="20"/>
          <w:lang w:val="es-ES"/>
        </w:rPr>
        <w:t>]</w:t>
      </w:r>
      <w:r w:rsidRPr="00EE0619">
        <w:rPr>
          <w:rFonts w:ascii="Verdana" w:hAnsi="Verdana"/>
          <w:i/>
          <w:sz w:val="20"/>
          <w:szCs w:val="20"/>
          <w:lang w:val="es-ES"/>
        </w:rPr>
        <w:t xml:space="preserve"> La solicitud de información al Estado no prejuzgará sobre la decisión de admisibilidad que adopte la Comisión.</w:t>
      </w:r>
      <w:r w:rsidRPr="00B533BB">
        <w:rPr>
          <w:rFonts w:ascii="Verdana" w:hAnsi="Verdana"/>
          <w:i/>
          <w:lang w:val="es-ES"/>
        </w:rPr>
        <w:t>”</w:t>
      </w:r>
      <w:r w:rsidRPr="00B533BB">
        <w:rPr>
          <w:rStyle w:val="FootnoteReference"/>
          <w:rFonts w:ascii="Verdana" w:hAnsi="Verdana"/>
          <w:i/>
          <w:lang w:val="es-ES"/>
        </w:rPr>
        <w:footnoteReference w:id="21"/>
      </w:r>
    </w:p>
    <w:p w14:paraId="2D677E4A"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lastRenderedPageBreak/>
        <w:t>Téngase presente, a este respecto, que lo que el traslado al Estado concernido decretado por la Comisión debe ser de la petición misma y ello siempre y cuando ella cumpla con, entre otros, el requisito relativo</w:t>
      </w:r>
      <w:r w:rsidR="00F47B43" w:rsidRPr="00EE0619">
        <w:rPr>
          <w:rFonts w:ascii="Verdana" w:hAnsi="Verdana"/>
          <w:sz w:val="20"/>
          <w:szCs w:val="20"/>
          <w:lang w:val="es-ES"/>
        </w:rPr>
        <w:t xml:space="preserve"> a</w:t>
      </w:r>
      <w:r w:rsidRPr="00EE0619">
        <w:rPr>
          <w:rFonts w:ascii="Verdana" w:hAnsi="Verdana"/>
          <w:sz w:val="20"/>
          <w:szCs w:val="20"/>
          <w:lang w:val="es-ES"/>
        </w:rPr>
        <w:t xml:space="preserve"> la información acerca de las gestiones emprendidas para agotar los recursos de la jurisdicción interna o la imposibilidad de hacerlo. Es decir, dicho traslado de la petición debe proceder en el supuesto de que ella cumple con el tan mencionado requisito. La referida norma no establece, por ende, que dicho requisito debe o puede cumplirse en un momento posterior al de la presentación de la petición. Igualmente</w:t>
      </w:r>
      <w:r w:rsidR="00F47B43" w:rsidRPr="00EE0619">
        <w:rPr>
          <w:rFonts w:ascii="Verdana" w:hAnsi="Verdana"/>
          <w:sz w:val="20"/>
          <w:szCs w:val="20"/>
          <w:lang w:val="es-ES"/>
        </w:rPr>
        <w:t>,</w:t>
      </w:r>
      <w:r w:rsidRPr="00EE0619">
        <w:rPr>
          <w:rFonts w:ascii="Verdana" w:hAnsi="Verdana"/>
          <w:sz w:val="20"/>
          <w:szCs w:val="20"/>
          <w:lang w:val="es-ES"/>
        </w:rPr>
        <w:t xml:space="preserve"> debe ponerse atención en cuanto a que el citado traslado debe ser de la petición tal como fue presentada y que, por tanto, debe incluir la referencia al citado requisito.</w:t>
      </w:r>
    </w:p>
    <w:p w14:paraId="7664BA3E" w14:textId="77777777" w:rsidR="00150531" w:rsidRPr="00B533BB" w:rsidRDefault="00150531" w:rsidP="00150531">
      <w:pPr>
        <w:pStyle w:val="ListParagraph"/>
        <w:numPr>
          <w:ilvl w:val="0"/>
          <w:numId w:val="5"/>
        </w:numPr>
        <w:jc w:val="both"/>
        <w:rPr>
          <w:rFonts w:ascii="Verdana" w:hAnsi="Verdana"/>
          <w:b/>
          <w:lang w:val="es-ES"/>
        </w:rPr>
      </w:pPr>
      <w:r w:rsidRPr="00B533BB">
        <w:rPr>
          <w:rFonts w:ascii="Verdana" w:hAnsi="Verdana"/>
          <w:u w:val="single"/>
          <w:lang w:val="es-ES"/>
        </w:rPr>
        <w:t>Respuesta del Estado y observaciones de las partes</w:t>
      </w:r>
      <w:r w:rsidRPr="002D5634">
        <w:rPr>
          <w:rFonts w:ascii="Verdana" w:hAnsi="Verdana"/>
          <w:lang w:val="es-ES"/>
        </w:rPr>
        <w:t>.</w:t>
      </w:r>
    </w:p>
    <w:p w14:paraId="1149C2CE"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 xml:space="preserve">Ahora bien, de acuerdo a lo previsto en el artículo 30.3, primera frase, y 5 del Reglamento en comento, </w:t>
      </w:r>
    </w:p>
    <w:p w14:paraId="55C30A10" w14:textId="77777777" w:rsidR="00150531" w:rsidRPr="00EE0619" w:rsidRDefault="00150531" w:rsidP="00F47B43">
      <w:pPr>
        <w:ind w:left="567"/>
        <w:jc w:val="both"/>
        <w:rPr>
          <w:rFonts w:ascii="Verdana" w:hAnsi="Verdana"/>
          <w:i/>
          <w:sz w:val="20"/>
          <w:szCs w:val="20"/>
          <w:lang w:val="es-ES"/>
        </w:rPr>
      </w:pPr>
      <w:r w:rsidRPr="00EE0619">
        <w:rPr>
          <w:rFonts w:ascii="Verdana" w:hAnsi="Verdana"/>
          <w:i/>
          <w:sz w:val="20"/>
          <w:szCs w:val="20"/>
          <w:lang w:val="es-ES"/>
        </w:rPr>
        <w:t>“3. El Estado presentará su respuesta dentro del plazo de dos meses contados desde la fecha de transmisión.</w:t>
      </w:r>
    </w:p>
    <w:p w14:paraId="3665EE9D" w14:textId="77777777" w:rsidR="00150531" w:rsidRPr="00EE0619" w:rsidRDefault="00F47B43" w:rsidP="00F47B43">
      <w:pPr>
        <w:ind w:left="567"/>
        <w:jc w:val="both"/>
        <w:rPr>
          <w:rFonts w:ascii="Verdana" w:hAnsi="Verdana"/>
          <w:i/>
          <w:sz w:val="20"/>
          <w:szCs w:val="20"/>
          <w:lang w:val="es-ES"/>
        </w:rPr>
      </w:pPr>
      <w:r w:rsidRPr="00EE0619">
        <w:rPr>
          <w:rFonts w:ascii="Verdana" w:hAnsi="Verdana"/>
          <w:i/>
          <w:sz w:val="20"/>
          <w:szCs w:val="20"/>
          <w:lang w:val="es-ES"/>
        </w:rPr>
        <w:t>[</w:t>
      </w:r>
      <w:r w:rsidR="00150531" w:rsidRPr="00EE0619">
        <w:rPr>
          <w:rFonts w:ascii="Verdana" w:hAnsi="Verdana"/>
          <w:i/>
          <w:sz w:val="20"/>
          <w:szCs w:val="20"/>
          <w:lang w:val="es-ES"/>
        </w:rPr>
        <w:t>...</w:t>
      </w:r>
      <w:r w:rsidRPr="00EE0619">
        <w:rPr>
          <w:rFonts w:ascii="Verdana" w:hAnsi="Verdana"/>
          <w:i/>
          <w:sz w:val="20"/>
          <w:szCs w:val="20"/>
          <w:lang w:val="es-ES"/>
        </w:rPr>
        <w:t>]</w:t>
      </w:r>
    </w:p>
    <w:p w14:paraId="7F7FDEF6" w14:textId="77777777" w:rsidR="00150531" w:rsidRPr="002D5634" w:rsidRDefault="00F47B43" w:rsidP="002D5634">
      <w:pPr>
        <w:ind w:left="567"/>
        <w:jc w:val="both"/>
        <w:rPr>
          <w:rFonts w:ascii="Verdana" w:hAnsi="Verdana"/>
          <w:i/>
          <w:lang w:val="es-ES"/>
        </w:rPr>
      </w:pPr>
      <w:r w:rsidRPr="00EE0619">
        <w:rPr>
          <w:rFonts w:ascii="Verdana" w:hAnsi="Verdana"/>
          <w:i/>
          <w:sz w:val="20"/>
          <w:szCs w:val="20"/>
          <w:lang w:val="es-ES"/>
        </w:rPr>
        <w:t xml:space="preserve">5. </w:t>
      </w:r>
      <w:r w:rsidR="00150531" w:rsidRPr="00EE0619">
        <w:rPr>
          <w:rFonts w:ascii="Verdana" w:hAnsi="Verdana"/>
          <w:i/>
          <w:sz w:val="20"/>
          <w:szCs w:val="20"/>
          <w:lang w:val="es-ES"/>
        </w:rPr>
        <w:t>Antes de pronunciarse sobre la admisibilidad de la petición, la Comisión podrá invitar a las partes a presentar observaciones adicionales, ya sea por escrito o en una audiencia, conforme a lo establecido en el Capí</w:t>
      </w:r>
      <w:r w:rsidR="008B42F5" w:rsidRPr="00EE0619">
        <w:rPr>
          <w:rFonts w:ascii="Verdana" w:hAnsi="Verdana"/>
          <w:i/>
          <w:sz w:val="20"/>
          <w:szCs w:val="20"/>
          <w:lang w:val="es-ES"/>
        </w:rPr>
        <w:t>tulo VI del presente Reglamento</w:t>
      </w:r>
      <w:r w:rsidR="00150531" w:rsidRPr="002D5634">
        <w:rPr>
          <w:rFonts w:ascii="Verdana" w:hAnsi="Verdana"/>
          <w:i/>
          <w:lang w:val="es-ES"/>
        </w:rPr>
        <w:t>”</w:t>
      </w:r>
      <w:r w:rsidR="00150531" w:rsidRPr="00B533BB">
        <w:rPr>
          <w:rStyle w:val="FootnoteReference"/>
          <w:rFonts w:ascii="Verdana" w:hAnsi="Verdana"/>
          <w:i/>
          <w:lang w:val="es-ES"/>
        </w:rPr>
        <w:footnoteReference w:id="22"/>
      </w:r>
      <w:r w:rsidR="008B42F5" w:rsidRPr="002D5634">
        <w:rPr>
          <w:rFonts w:ascii="Verdana" w:hAnsi="Verdana"/>
          <w:i/>
          <w:lang w:val="es-ES"/>
        </w:rPr>
        <w:t>.</w:t>
      </w:r>
    </w:p>
    <w:p w14:paraId="67999314" w14:textId="455D317C" w:rsidR="008B42F5" w:rsidRPr="008B42F5" w:rsidRDefault="008B42F5" w:rsidP="008B42F5">
      <w:pPr>
        <w:jc w:val="both"/>
        <w:rPr>
          <w:rFonts w:ascii="Verdana" w:hAnsi="Verdana"/>
          <w:lang w:val="es-ES"/>
        </w:rPr>
      </w:pPr>
      <w:r w:rsidRPr="00EE0619">
        <w:rPr>
          <w:rFonts w:ascii="Verdana" w:hAnsi="Verdana"/>
          <w:sz w:val="20"/>
          <w:szCs w:val="20"/>
          <w:lang w:val="es-ES"/>
        </w:rPr>
        <w:t xml:space="preserve">Es, por lo tanto, en relación a lo dispuesto que debe entender la afirmación de la Corte en cuanto a </w:t>
      </w:r>
      <w:r w:rsidRPr="00EE0619">
        <w:rPr>
          <w:rFonts w:ascii="Verdana" w:hAnsi="Verdana"/>
          <w:i/>
          <w:sz w:val="20"/>
          <w:szCs w:val="20"/>
          <w:lang w:val="es-ES"/>
        </w:rPr>
        <w:t>“</w:t>
      </w:r>
      <w:r w:rsidRPr="00EE0619">
        <w:rPr>
          <w:rFonts w:ascii="Verdana" w:eastAsia="Batang" w:hAnsi="Verdana" w:cs="Times"/>
          <w:i/>
          <w:sz w:val="20"/>
          <w:szCs w:val="20"/>
          <w:lang w:val="es-CR"/>
        </w:rPr>
        <w:t>que una objeción al ejercicio de su jurisdicción basada en la supuesta falta de agotamiento de los recursos internos debe ser presentada en el momento procesal oportuno, esto es, durante el procedimiento de admisibilidad ante la Comisión</w:t>
      </w:r>
      <w:r w:rsidR="004921BC">
        <w:rPr>
          <w:rFonts w:ascii="Verdana" w:eastAsia="Batang" w:hAnsi="Verdana" w:cs="Times"/>
          <w:i/>
          <w:lang w:val="es-CR"/>
        </w:rPr>
        <w:t>.</w:t>
      </w:r>
      <w:r>
        <w:rPr>
          <w:rFonts w:ascii="Verdana" w:eastAsia="Batang" w:hAnsi="Verdana" w:cs="Times"/>
          <w:i/>
          <w:lang w:val="es-CR"/>
        </w:rPr>
        <w:t>”</w:t>
      </w:r>
      <w:r>
        <w:rPr>
          <w:rStyle w:val="FootnoteReference"/>
          <w:rFonts w:ascii="Verdana" w:eastAsia="Batang" w:hAnsi="Verdana" w:cs="Times"/>
          <w:i/>
          <w:lang w:val="es-CR"/>
        </w:rPr>
        <w:footnoteReference w:id="23"/>
      </w:r>
    </w:p>
    <w:p w14:paraId="09AC4F18" w14:textId="77777777" w:rsidR="00150531" w:rsidRPr="00B533BB" w:rsidRDefault="00150531" w:rsidP="00150531">
      <w:pPr>
        <w:jc w:val="both"/>
        <w:rPr>
          <w:rFonts w:ascii="Verdana" w:hAnsi="Verdana"/>
          <w:lang w:val="es-ES"/>
        </w:rPr>
      </w:pPr>
      <w:r w:rsidRPr="00EE0619">
        <w:rPr>
          <w:rFonts w:ascii="Verdana" w:hAnsi="Verdana"/>
          <w:sz w:val="20"/>
          <w:szCs w:val="20"/>
          <w:lang w:val="es-ES"/>
        </w:rPr>
        <w:t>Obviamente, la respuesta del Estado al traslado conce</w:t>
      </w:r>
      <w:r w:rsidR="004921BC" w:rsidRPr="00EE0619">
        <w:rPr>
          <w:rFonts w:ascii="Verdana" w:hAnsi="Verdana"/>
          <w:sz w:val="20"/>
          <w:szCs w:val="20"/>
          <w:lang w:val="es-ES"/>
        </w:rPr>
        <w:t>rn</w:t>
      </w:r>
      <w:r w:rsidRPr="00EE0619">
        <w:rPr>
          <w:rFonts w:ascii="Verdana" w:hAnsi="Verdana"/>
          <w:sz w:val="20"/>
          <w:szCs w:val="20"/>
          <w:lang w:val="es-ES"/>
        </w:rPr>
        <w:t>ido y las observaciones adicionales de las partes en respuesta a la invitación que se les formula, deben referirse a la petición pertinente, la que, se repite, debe cumplir con todos los requisitos establecidos, entre ellos, el informar sobre las gestiones realizadas para agotar antes de su presentación los recursos de jurisdicción interna</w:t>
      </w:r>
      <w:r w:rsidRPr="00B533BB">
        <w:rPr>
          <w:rFonts w:ascii="Verdana" w:hAnsi="Verdana"/>
          <w:lang w:val="es-ES"/>
        </w:rPr>
        <w:t>.</w:t>
      </w:r>
    </w:p>
    <w:p w14:paraId="3263039E"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Es por ese motivo que el artículo 31.3 del Reglamento de la Comisión estipula que</w:t>
      </w:r>
      <w:r w:rsidR="004921BC" w:rsidRPr="00EE0619">
        <w:rPr>
          <w:rFonts w:ascii="Verdana" w:hAnsi="Verdana"/>
          <w:sz w:val="20"/>
          <w:szCs w:val="20"/>
          <w:lang w:val="es-ES"/>
        </w:rPr>
        <w:t>:</w:t>
      </w:r>
    </w:p>
    <w:p w14:paraId="1B8E8B35" w14:textId="77777777" w:rsidR="00150531" w:rsidRPr="00B533BB" w:rsidRDefault="00150531" w:rsidP="00150531">
      <w:pPr>
        <w:ind w:left="567"/>
        <w:jc w:val="both"/>
        <w:rPr>
          <w:rFonts w:ascii="Verdana" w:hAnsi="Verdana"/>
          <w:lang w:val="es-ES"/>
        </w:rPr>
      </w:pPr>
      <w:r w:rsidRPr="00EE0619">
        <w:rPr>
          <w:rFonts w:ascii="Verdana" w:hAnsi="Verdana"/>
          <w:sz w:val="20"/>
          <w:szCs w:val="20"/>
          <w:lang w:val="es-ES"/>
        </w:rPr>
        <w:t>“</w:t>
      </w:r>
      <w:r w:rsidRPr="00EE0619">
        <w:rPr>
          <w:rFonts w:ascii="Verdana" w:hAnsi="Verdana"/>
          <w:i/>
          <w:sz w:val="20"/>
          <w:szCs w:val="20"/>
          <w:lang w:val="es-ES"/>
        </w:rPr>
        <w:t xml:space="preserve">Cuando el peticionario alegue la imposibilidad de comprobar el cumplimiento del requisito señalado en este artículo, corresponderá al Estado en cuestión </w:t>
      </w:r>
      <w:r w:rsidRPr="00EE0619">
        <w:rPr>
          <w:rFonts w:ascii="Verdana" w:hAnsi="Verdana"/>
          <w:i/>
          <w:sz w:val="20"/>
          <w:szCs w:val="20"/>
          <w:lang w:val="es-ES"/>
        </w:rPr>
        <w:lastRenderedPageBreak/>
        <w:t>demostrar que los recursos internos no han sido agotados, a menos que ello se deduzca claramente del expediente.</w:t>
      </w:r>
      <w:r w:rsidRPr="00B533BB">
        <w:rPr>
          <w:rFonts w:ascii="Verdana" w:hAnsi="Verdana"/>
          <w:i/>
          <w:lang w:val="es-ES"/>
        </w:rPr>
        <w:t>”</w:t>
      </w:r>
      <w:r w:rsidRPr="00B533BB">
        <w:rPr>
          <w:rStyle w:val="FootnoteReference"/>
          <w:rFonts w:ascii="Verdana" w:hAnsi="Verdana"/>
          <w:i/>
          <w:lang w:val="es-ES"/>
        </w:rPr>
        <w:footnoteReference w:id="24"/>
      </w:r>
    </w:p>
    <w:p w14:paraId="467F3CAE"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Pero, cabe hacer presente que lógicamente también en el evento, no expresamente considerado en el Reglamento de la Comisión, de que el peticionario indique, en su petición, que ha agotado previamente los recursos internos, es decir, que ha dado cumplimiento a lo ordenado en el artículo 46.1.a) de la Convención, el Estado puede interponer la excepción u objeción de que ello no ha acontecido.</w:t>
      </w:r>
    </w:p>
    <w:p w14:paraId="1A47C38B" w14:textId="77777777" w:rsidR="00150531" w:rsidRPr="00B533BB" w:rsidRDefault="00150531" w:rsidP="00150531">
      <w:pPr>
        <w:jc w:val="both"/>
        <w:rPr>
          <w:rFonts w:ascii="Verdana" w:hAnsi="Verdana"/>
          <w:lang w:val="es-ES"/>
        </w:rPr>
      </w:pPr>
      <w:r w:rsidRPr="00B533BB">
        <w:rPr>
          <w:rFonts w:ascii="Verdana" w:hAnsi="Verdana"/>
          <w:lang w:val="es-ES"/>
        </w:rPr>
        <w:t xml:space="preserve">Es indiscutible, en consecuencia, que la citada respuesta estatal lógica y necesariamente lo debe ser respecto de la petición </w:t>
      </w:r>
      <w:r w:rsidRPr="00B533BB">
        <w:rPr>
          <w:rFonts w:ascii="Verdana" w:hAnsi="Verdana"/>
          <w:i/>
          <w:lang w:val="es-ES"/>
        </w:rPr>
        <w:t>“presentada”</w:t>
      </w:r>
      <w:r w:rsidRPr="00B533BB">
        <w:rPr>
          <w:rFonts w:ascii="Verdana" w:hAnsi="Verdana"/>
          <w:lang w:val="es-ES"/>
        </w:rPr>
        <w:t xml:space="preserve"> ante la Comisión y que es en ese instante y no después, cuando se traba la </w:t>
      </w:r>
      <w:proofErr w:type="spellStart"/>
      <w:r w:rsidRPr="00B533BB">
        <w:rPr>
          <w:rFonts w:ascii="Verdana" w:hAnsi="Verdana"/>
          <w:i/>
          <w:lang w:val="es-ES"/>
        </w:rPr>
        <w:t>litis</w:t>
      </w:r>
      <w:proofErr w:type="spellEnd"/>
      <w:r w:rsidRPr="00B533BB">
        <w:rPr>
          <w:rFonts w:ascii="Verdana" w:hAnsi="Verdana"/>
          <w:lang w:val="es-ES"/>
        </w:rPr>
        <w:t xml:space="preserve"> o el contradictorio en lo atingente al previo agotamiento de los recursos internos</w:t>
      </w:r>
      <w:r w:rsidR="00A35463">
        <w:rPr>
          <w:rFonts w:ascii="Verdana" w:hAnsi="Verdana"/>
          <w:lang w:val="es-ES"/>
        </w:rPr>
        <w:t>.</w:t>
      </w:r>
    </w:p>
    <w:p w14:paraId="4E25674A"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Así, entonces, resulta evidente que el cumplimiento de la regla del previo agotamiento de los recursos internos o la imposibilidad de cumplirlo, debe señalarse en la petición, puesto que de otra manera, el Estado no podría dar respuesta sobre el particular. En otras palabras, únicamente si en la petición se indica que se ha dado cumplimiento a la regla en comento o que es imposible hacerlo, el Estado puede estar en condiciones de alegar su incumplimiento y, como lo ha establecido la Corte</w:t>
      </w:r>
      <w:r w:rsidR="007676C0" w:rsidRPr="00EE0619">
        <w:rPr>
          <w:rFonts w:ascii="Verdana" w:hAnsi="Verdana"/>
          <w:sz w:val="20"/>
          <w:szCs w:val="20"/>
          <w:lang w:val="es-ES"/>
        </w:rPr>
        <w:t xml:space="preserve">, en </w:t>
      </w:r>
      <w:r w:rsidR="007676C0" w:rsidRPr="00EE0619">
        <w:rPr>
          <w:rFonts w:ascii="Verdana" w:hAnsi="Verdana"/>
          <w:i/>
          <w:sz w:val="20"/>
          <w:szCs w:val="20"/>
          <w:lang w:val="es-ES"/>
        </w:rPr>
        <w:t>“</w:t>
      </w:r>
      <w:r w:rsidR="007676C0" w:rsidRPr="00EE0619">
        <w:rPr>
          <w:rFonts w:ascii="Verdana" w:eastAsia="Verdana" w:hAnsi="Verdana" w:cs="Verdana"/>
          <w:i/>
          <w:spacing w:val="1"/>
          <w:sz w:val="20"/>
          <w:szCs w:val="20"/>
          <w:lang w:val="es-CR"/>
        </w:rPr>
        <w:t>e</w:t>
      </w:r>
      <w:r w:rsidR="007676C0" w:rsidRPr="00EE0619">
        <w:rPr>
          <w:rFonts w:ascii="Verdana" w:eastAsia="Verdana" w:hAnsi="Verdana" w:cs="Verdana"/>
          <w:i/>
          <w:sz w:val="20"/>
          <w:szCs w:val="20"/>
          <w:lang w:val="es-CR"/>
        </w:rPr>
        <w:t>sp</w:t>
      </w:r>
      <w:r w:rsidR="007676C0" w:rsidRPr="00EE0619">
        <w:rPr>
          <w:rFonts w:ascii="Verdana" w:eastAsia="Verdana" w:hAnsi="Verdana" w:cs="Verdana"/>
          <w:i/>
          <w:spacing w:val="-1"/>
          <w:sz w:val="20"/>
          <w:szCs w:val="20"/>
          <w:lang w:val="es-CR"/>
        </w:rPr>
        <w:t>e</w:t>
      </w:r>
      <w:r w:rsidR="007676C0" w:rsidRPr="00EE0619">
        <w:rPr>
          <w:rFonts w:ascii="Verdana" w:eastAsia="Verdana" w:hAnsi="Verdana" w:cs="Verdana"/>
          <w:i/>
          <w:sz w:val="20"/>
          <w:szCs w:val="20"/>
          <w:lang w:val="es-CR"/>
        </w:rPr>
        <w:t>c</w:t>
      </w:r>
      <w:r w:rsidR="007676C0" w:rsidRPr="00EE0619">
        <w:rPr>
          <w:rFonts w:ascii="Verdana" w:eastAsia="Verdana" w:hAnsi="Verdana" w:cs="Verdana"/>
          <w:i/>
          <w:spacing w:val="2"/>
          <w:sz w:val="20"/>
          <w:szCs w:val="20"/>
          <w:lang w:val="es-CR"/>
        </w:rPr>
        <w:t>i</w:t>
      </w:r>
      <w:r w:rsidR="007676C0" w:rsidRPr="00EE0619">
        <w:rPr>
          <w:rFonts w:ascii="Verdana" w:eastAsia="Verdana" w:hAnsi="Verdana" w:cs="Verdana"/>
          <w:i/>
          <w:sz w:val="20"/>
          <w:szCs w:val="20"/>
          <w:lang w:val="es-CR"/>
        </w:rPr>
        <w:t>f</w:t>
      </w:r>
      <w:r w:rsidR="007676C0" w:rsidRPr="00EE0619">
        <w:rPr>
          <w:rFonts w:ascii="Verdana" w:eastAsia="Verdana" w:hAnsi="Verdana" w:cs="Verdana"/>
          <w:i/>
          <w:spacing w:val="2"/>
          <w:sz w:val="20"/>
          <w:szCs w:val="20"/>
          <w:lang w:val="es-CR"/>
        </w:rPr>
        <w:t>i</w:t>
      </w:r>
      <w:r w:rsidR="007676C0" w:rsidRPr="00EE0619">
        <w:rPr>
          <w:rFonts w:ascii="Verdana" w:eastAsia="Verdana" w:hAnsi="Verdana" w:cs="Verdana"/>
          <w:i/>
          <w:sz w:val="20"/>
          <w:szCs w:val="20"/>
          <w:lang w:val="es-CR"/>
        </w:rPr>
        <w:t>car</w:t>
      </w:r>
      <w:r w:rsidR="007676C0" w:rsidRPr="00EE0619">
        <w:rPr>
          <w:rFonts w:ascii="Verdana" w:eastAsia="Verdana" w:hAnsi="Verdana" w:cs="Verdana"/>
          <w:i/>
          <w:spacing w:val="-11"/>
          <w:sz w:val="20"/>
          <w:szCs w:val="20"/>
          <w:lang w:val="es-CR"/>
        </w:rPr>
        <w:t xml:space="preserve"> </w:t>
      </w:r>
      <w:r w:rsidR="007676C0" w:rsidRPr="00EE0619">
        <w:rPr>
          <w:rFonts w:ascii="Verdana" w:eastAsia="Verdana" w:hAnsi="Verdana" w:cs="Verdana"/>
          <w:i/>
          <w:spacing w:val="3"/>
          <w:sz w:val="20"/>
          <w:szCs w:val="20"/>
          <w:lang w:val="es-CR"/>
        </w:rPr>
        <w:t>cuáles</w:t>
      </w:r>
      <w:r w:rsidR="007676C0" w:rsidRPr="00EE0619">
        <w:rPr>
          <w:rFonts w:ascii="Verdana" w:eastAsia="Verdana" w:hAnsi="Verdana" w:cs="Verdana"/>
          <w:i/>
          <w:spacing w:val="-4"/>
          <w:sz w:val="20"/>
          <w:szCs w:val="20"/>
          <w:lang w:val="es-CR"/>
        </w:rPr>
        <w:t xml:space="preserve"> </w:t>
      </w:r>
      <w:r w:rsidR="007676C0" w:rsidRPr="00EE0619">
        <w:rPr>
          <w:rFonts w:ascii="Verdana" w:eastAsia="Verdana" w:hAnsi="Verdana" w:cs="Verdana"/>
          <w:i/>
          <w:sz w:val="20"/>
          <w:szCs w:val="20"/>
          <w:lang w:val="es-CR"/>
        </w:rPr>
        <w:t>a</w:t>
      </w:r>
      <w:r w:rsidR="007676C0" w:rsidRPr="00EE0619">
        <w:rPr>
          <w:rFonts w:ascii="Verdana" w:eastAsia="Verdana" w:hAnsi="Verdana" w:cs="Verdana"/>
          <w:i/>
          <w:spacing w:val="1"/>
          <w:sz w:val="20"/>
          <w:szCs w:val="20"/>
          <w:lang w:val="es-CR"/>
        </w:rPr>
        <w:t>ú</w:t>
      </w:r>
      <w:r w:rsidR="007676C0" w:rsidRPr="00EE0619">
        <w:rPr>
          <w:rFonts w:ascii="Verdana" w:eastAsia="Verdana" w:hAnsi="Verdana" w:cs="Verdana"/>
          <w:i/>
          <w:sz w:val="20"/>
          <w:szCs w:val="20"/>
          <w:lang w:val="es-CR"/>
        </w:rPr>
        <w:t>n</w:t>
      </w:r>
      <w:r w:rsidR="007676C0" w:rsidRPr="00EE0619">
        <w:rPr>
          <w:rFonts w:ascii="Verdana" w:eastAsia="Verdana" w:hAnsi="Verdana" w:cs="Verdana"/>
          <w:i/>
          <w:spacing w:val="-2"/>
          <w:sz w:val="20"/>
          <w:szCs w:val="20"/>
          <w:lang w:val="es-CR"/>
        </w:rPr>
        <w:t xml:space="preserve"> </w:t>
      </w:r>
      <w:r w:rsidR="007676C0" w:rsidRPr="00EE0619">
        <w:rPr>
          <w:rFonts w:ascii="Verdana" w:eastAsia="Verdana" w:hAnsi="Verdana" w:cs="Verdana"/>
          <w:i/>
          <w:spacing w:val="1"/>
          <w:sz w:val="20"/>
          <w:szCs w:val="20"/>
          <w:lang w:val="es-CR"/>
        </w:rPr>
        <w:t>n</w:t>
      </w:r>
      <w:r w:rsidR="007676C0" w:rsidRPr="00EE0619">
        <w:rPr>
          <w:rFonts w:ascii="Verdana" w:eastAsia="Verdana" w:hAnsi="Verdana" w:cs="Verdana"/>
          <w:i/>
          <w:sz w:val="20"/>
          <w:szCs w:val="20"/>
          <w:lang w:val="es-CR"/>
        </w:rPr>
        <w:t>o</w:t>
      </w:r>
      <w:r w:rsidR="007676C0" w:rsidRPr="00EE0619">
        <w:rPr>
          <w:rFonts w:ascii="Verdana" w:eastAsia="Verdana" w:hAnsi="Verdana" w:cs="Verdana"/>
          <w:i/>
          <w:spacing w:val="-2"/>
          <w:sz w:val="20"/>
          <w:szCs w:val="20"/>
          <w:lang w:val="es-CR"/>
        </w:rPr>
        <w:t xml:space="preserve"> </w:t>
      </w:r>
      <w:r w:rsidR="007676C0" w:rsidRPr="00EE0619">
        <w:rPr>
          <w:rFonts w:ascii="Verdana" w:eastAsia="Verdana" w:hAnsi="Verdana" w:cs="Verdana"/>
          <w:i/>
          <w:spacing w:val="2"/>
          <w:sz w:val="20"/>
          <w:szCs w:val="20"/>
          <w:lang w:val="es-CR"/>
        </w:rPr>
        <w:t>s</w:t>
      </w:r>
      <w:r w:rsidR="007676C0" w:rsidRPr="00EE0619">
        <w:rPr>
          <w:rFonts w:ascii="Verdana" w:eastAsia="Verdana" w:hAnsi="Verdana" w:cs="Verdana"/>
          <w:i/>
          <w:sz w:val="20"/>
          <w:szCs w:val="20"/>
          <w:lang w:val="es-CR"/>
        </w:rPr>
        <w:t>e</w:t>
      </w:r>
      <w:r w:rsidR="007676C0" w:rsidRPr="00EE0619">
        <w:rPr>
          <w:rFonts w:ascii="Verdana" w:eastAsia="Verdana" w:hAnsi="Verdana" w:cs="Verdana"/>
          <w:i/>
          <w:spacing w:val="1"/>
          <w:sz w:val="20"/>
          <w:szCs w:val="20"/>
          <w:lang w:val="es-CR"/>
        </w:rPr>
        <w:t xml:space="preserve"> h</w:t>
      </w:r>
      <w:r w:rsidR="007676C0" w:rsidRPr="00EE0619">
        <w:rPr>
          <w:rFonts w:ascii="Verdana" w:eastAsia="Verdana" w:hAnsi="Verdana" w:cs="Verdana"/>
          <w:i/>
          <w:sz w:val="20"/>
          <w:szCs w:val="20"/>
          <w:lang w:val="es-CR"/>
        </w:rPr>
        <w:t>an</w:t>
      </w:r>
      <w:r w:rsidR="007676C0" w:rsidRPr="00EE0619">
        <w:rPr>
          <w:rFonts w:ascii="Verdana" w:eastAsia="Verdana" w:hAnsi="Verdana" w:cs="Verdana"/>
          <w:i/>
          <w:spacing w:val="-1"/>
          <w:sz w:val="20"/>
          <w:szCs w:val="20"/>
          <w:lang w:val="es-CR"/>
        </w:rPr>
        <w:t xml:space="preserve"> </w:t>
      </w:r>
      <w:r w:rsidR="007676C0" w:rsidRPr="00EE0619">
        <w:rPr>
          <w:rFonts w:ascii="Verdana" w:eastAsia="Verdana" w:hAnsi="Verdana" w:cs="Verdana"/>
          <w:i/>
          <w:sz w:val="20"/>
          <w:szCs w:val="20"/>
          <w:lang w:val="es-CR"/>
        </w:rPr>
        <w:t>a</w:t>
      </w:r>
      <w:r w:rsidR="007676C0" w:rsidRPr="00EE0619">
        <w:rPr>
          <w:rFonts w:ascii="Verdana" w:eastAsia="Verdana" w:hAnsi="Verdana" w:cs="Verdana"/>
          <w:i/>
          <w:spacing w:val="1"/>
          <w:sz w:val="20"/>
          <w:szCs w:val="20"/>
          <w:lang w:val="es-CR"/>
        </w:rPr>
        <w:t>g</w:t>
      </w:r>
      <w:r w:rsidR="007676C0" w:rsidRPr="00EE0619">
        <w:rPr>
          <w:rFonts w:ascii="Verdana" w:eastAsia="Verdana" w:hAnsi="Verdana" w:cs="Verdana"/>
          <w:i/>
          <w:spacing w:val="-1"/>
          <w:sz w:val="20"/>
          <w:szCs w:val="20"/>
          <w:lang w:val="es-CR"/>
        </w:rPr>
        <w:t>o</w:t>
      </w:r>
      <w:r w:rsidR="007676C0" w:rsidRPr="00EE0619">
        <w:rPr>
          <w:rFonts w:ascii="Verdana" w:eastAsia="Verdana" w:hAnsi="Verdana" w:cs="Verdana"/>
          <w:i/>
          <w:spacing w:val="1"/>
          <w:sz w:val="20"/>
          <w:szCs w:val="20"/>
          <w:lang w:val="es-CR"/>
        </w:rPr>
        <w:t>t</w:t>
      </w:r>
      <w:r w:rsidR="007676C0" w:rsidRPr="00EE0619">
        <w:rPr>
          <w:rFonts w:ascii="Verdana" w:eastAsia="Verdana" w:hAnsi="Verdana" w:cs="Verdana"/>
          <w:i/>
          <w:sz w:val="20"/>
          <w:szCs w:val="20"/>
          <w:lang w:val="es-CR"/>
        </w:rPr>
        <w:t>a</w:t>
      </w:r>
      <w:r w:rsidR="007676C0" w:rsidRPr="00EE0619">
        <w:rPr>
          <w:rFonts w:ascii="Verdana" w:eastAsia="Verdana" w:hAnsi="Verdana" w:cs="Verdana"/>
          <w:i/>
          <w:spacing w:val="1"/>
          <w:sz w:val="20"/>
          <w:szCs w:val="20"/>
          <w:lang w:val="es-CR"/>
        </w:rPr>
        <w:t>d</w:t>
      </w:r>
      <w:r w:rsidR="007676C0" w:rsidRPr="00EE0619">
        <w:rPr>
          <w:rFonts w:ascii="Verdana" w:eastAsia="Verdana" w:hAnsi="Verdana" w:cs="Verdana"/>
          <w:i/>
          <w:spacing w:val="-1"/>
          <w:sz w:val="20"/>
          <w:szCs w:val="20"/>
          <w:lang w:val="es-CR"/>
        </w:rPr>
        <w:t>o</w:t>
      </w:r>
      <w:r w:rsidR="007676C0" w:rsidRPr="00EE0619">
        <w:rPr>
          <w:rFonts w:ascii="Verdana" w:eastAsia="Verdana" w:hAnsi="Verdana" w:cs="Verdana"/>
          <w:i/>
          <w:sz w:val="20"/>
          <w:szCs w:val="20"/>
          <w:lang w:val="es-CR"/>
        </w:rPr>
        <w:t>,</w:t>
      </w:r>
      <w:r w:rsidR="007676C0" w:rsidRPr="00EE0619">
        <w:rPr>
          <w:rFonts w:ascii="Verdana" w:eastAsia="Verdana" w:hAnsi="Verdana" w:cs="Verdana"/>
          <w:i/>
          <w:spacing w:val="-8"/>
          <w:sz w:val="20"/>
          <w:szCs w:val="20"/>
          <w:lang w:val="es-CR"/>
        </w:rPr>
        <w:t xml:space="preserve"> </w:t>
      </w:r>
      <w:r w:rsidR="007676C0" w:rsidRPr="00EE0619">
        <w:rPr>
          <w:rFonts w:ascii="Verdana" w:eastAsia="Verdana" w:hAnsi="Verdana" w:cs="Verdana"/>
          <w:i/>
          <w:sz w:val="20"/>
          <w:szCs w:val="20"/>
          <w:lang w:val="es-CR"/>
        </w:rPr>
        <w:t xml:space="preserve">y </w:t>
      </w:r>
      <w:r w:rsidR="007676C0" w:rsidRPr="00EE0619">
        <w:rPr>
          <w:rFonts w:ascii="Verdana" w:eastAsia="Verdana" w:hAnsi="Verdana" w:cs="Verdana"/>
          <w:i/>
          <w:spacing w:val="3"/>
          <w:sz w:val="20"/>
          <w:szCs w:val="20"/>
          <w:lang w:val="es-CR"/>
        </w:rPr>
        <w:t>d</w:t>
      </w:r>
      <w:r w:rsidR="007676C0" w:rsidRPr="00EE0619">
        <w:rPr>
          <w:rFonts w:ascii="Verdana" w:eastAsia="Verdana" w:hAnsi="Verdana" w:cs="Verdana"/>
          <w:i/>
          <w:spacing w:val="-1"/>
          <w:sz w:val="20"/>
          <w:szCs w:val="20"/>
          <w:lang w:val="es-CR"/>
        </w:rPr>
        <w:t>e</w:t>
      </w:r>
      <w:r w:rsidR="007676C0" w:rsidRPr="00EE0619">
        <w:rPr>
          <w:rFonts w:ascii="Verdana" w:eastAsia="Verdana" w:hAnsi="Verdana" w:cs="Verdana"/>
          <w:i/>
          <w:sz w:val="20"/>
          <w:szCs w:val="20"/>
          <w:lang w:val="es-CR"/>
        </w:rPr>
        <w:t>m</w:t>
      </w:r>
      <w:r w:rsidR="007676C0" w:rsidRPr="00EE0619">
        <w:rPr>
          <w:rFonts w:ascii="Verdana" w:eastAsia="Verdana" w:hAnsi="Verdana" w:cs="Verdana"/>
          <w:i/>
          <w:spacing w:val="2"/>
          <w:sz w:val="20"/>
          <w:szCs w:val="20"/>
          <w:lang w:val="es-CR"/>
        </w:rPr>
        <w:t>o</w:t>
      </w:r>
      <w:r w:rsidR="007676C0" w:rsidRPr="00EE0619">
        <w:rPr>
          <w:rFonts w:ascii="Verdana" w:eastAsia="Verdana" w:hAnsi="Verdana" w:cs="Verdana"/>
          <w:i/>
          <w:sz w:val="20"/>
          <w:szCs w:val="20"/>
          <w:lang w:val="es-CR"/>
        </w:rPr>
        <w:t>st</w:t>
      </w:r>
      <w:r w:rsidR="007676C0" w:rsidRPr="00EE0619">
        <w:rPr>
          <w:rFonts w:ascii="Verdana" w:eastAsia="Verdana" w:hAnsi="Verdana" w:cs="Verdana"/>
          <w:i/>
          <w:spacing w:val="1"/>
          <w:sz w:val="20"/>
          <w:szCs w:val="20"/>
          <w:lang w:val="es-CR"/>
        </w:rPr>
        <w:t>r</w:t>
      </w:r>
      <w:r w:rsidR="007676C0" w:rsidRPr="00EE0619">
        <w:rPr>
          <w:rFonts w:ascii="Verdana" w:eastAsia="Verdana" w:hAnsi="Verdana" w:cs="Verdana"/>
          <w:i/>
          <w:sz w:val="20"/>
          <w:szCs w:val="20"/>
          <w:lang w:val="es-CR"/>
        </w:rPr>
        <w:t>ar</w:t>
      </w:r>
      <w:r w:rsidR="007676C0" w:rsidRPr="00EE0619">
        <w:rPr>
          <w:rFonts w:ascii="Verdana" w:eastAsia="Verdana" w:hAnsi="Verdana" w:cs="Verdana"/>
          <w:i/>
          <w:spacing w:val="-10"/>
          <w:sz w:val="20"/>
          <w:szCs w:val="20"/>
          <w:lang w:val="es-CR"/>
        </w:rPr>
        <w:t xml:space="preserve"> </w:t>
      </w:r>
      <w:r w:rsidR="007676C0" w:rsidRPr="00EE0619">
        <w:rPr>
          <w:rFonts w:ascii="Verdana" w:eastAsia="Verdana" w:hAnsi="Verdana" w:cs="Verdana"/>
          <w:i/>
          <w:spacing w:val="1"/>
          <w:sz w:val="20"/>
          <w:szCs w:val="20"/>
          <w:lang w:val="es-CR"/>
        </w:rPr>
        <w:t>qu</w:t>
      </w:r>
      <w:r w:rsidR="007676C0" w:rsidRPr="00EE0619">
        <w:rPr>
          <w:rFonts w:ascii="Verdana" w:eastAsia="Verdana" w:hAnsi="Verdana" w:cs="Verdana"/>
          <w:i/>
          <w:sz w:val="20"/>
          <w:szCs w:val="20"/>
          <w:lang w:val="es-CR"/>
        </w:rPr>
        <w:t xml:space="preserve">e </w:t>
      </w:r>
      <w:r w:rsidR="007676C0" w:rsidRPr="00EE0619">
        <w:rPr>
          <w:rFonts w:ascii="Verdana" w:eastAsia="Verdana" w:hAnsi="Verdana" w:cs="Verdana"/>
          <w:i/>
          <w:spacing w:val="2"/>
          <w:sz w:val="20"/>
          <w:szCs w:val="20"/>
          <w:lang w:val="es-CR"/>
        </w:rPr>
        <w:t>s</w:t>
      </w:r>
      <w:r w:rsidR="007676C0" w:rsidRPr="00EE0619">
        <w:rPr>
          <w:rFonts w:ascii="Verdana" w:eastAsia="Verdana" w:hAnsi="Verdana" w:cs="Verdana"/>
          <w:i/>
          <w:sz w:val="20"/>
          <w:szCs w:val="20"/>
          <w:lang w:val="es-CR"/>
        </w:rPr>
        <w:t>e</w:t>
      </w:r>
      <w:r w:rsidR="007676C0" w:rsidRPr="00EE0619">
        <w:rPr>
          <w:rFonts w:ascii="Verdana" w:eastAsia="Verdana" w:hAnsi="Verdana" w:cs="Verdana"/>
          <w:i/>
          <w:spacing w:val="8"/>
          <w:sz w:val="20"/>
          <w:szCs w:val="20"/>
          <w:lang w:val="es-CR"/>
        </w:rPr>
        <w:t xml:space="preserve"> </w:t>
      </w:r>
      <w:r w:rsidR="007676C0" w:rsidRPr="00EE0619">
        <w:rPr>
          <w:rFonts w:ascii="Verdana" w:eastAsia="Verdana" w:hAnsi="Verdana" w:cs="Verdana"/>
          <w:i/>
          <w:spacing w:val="-1"/>
          <w:sz w:val="20"/>
          <w:szCs w:val="20"/>
          <w:lang w:val="es-CR"/>
        </w:rPr>
        <w:t>e</w:t>
      </w:r>
      <w:r w:rsidR="007676C0" w:rsidRPr="00EE0619">
        <w:rPr>
          <w:rFonts w:ascii="Verdana" w:eastAsia="Verdana" w:hAnsi="Verdana" w:cs="Verdana"/>
          <w:i/>
          <w:spacing w:val="3"/>
          <w:sz w:val="20"/>
          <w:szCs w:val="20"/>
          <w:lang w:val="es-CR"/>
        </w:rPr>
        <w:t>n</w:t>
      </w:r>
      <w:r w:rsidR="007676C0" w:rsidRPr="00EE0619">
        <w:rPr>
          <w:rFonts w:ascii="Verdana" w:eastAsia="Verdana" w:hAnsi="Verdana" w:cs="Verdana"/>
          <w:i/>
          <w:sz w:val="20"/>
          <w:szCs w:val="20"/>
          <w:lang w:val="es-CR"/>
        </w:rPr>
        <w:t>c</w:t>
      </w:r>
      <w:r w:rsidR="007676C0" w:rsidRPr="00EE0619">
        <w:rPr>
          <w:rFonts w:ascii="Verdana" w:eastAsia="Verdana" w:hAnsi="Verdana" w:cs="Verdana"/>
          <w:i/>
          <w:spacing w:val="1"/>
          <w:sz w:val="20"/>
          <w:szCs w:val="20"/>
          <w:lang w:val="es-CR"/>
        </w:rPr>
        <w:t>ont</w:t>
      </w:r>
      <w:r w:rsidR="007676C0" w:rsidRPr="00EE0619">
        <w:rPr>
          <w:rFonts w:ascii="Verdana" w:eastAsia="Verdana" w:hAnsi="Verdana" w:cs="Verdana"/>
          <w:i/>
          <w:spacing w:val="-1"/>
          <w:sz w:val="20"/>
          <w:szCs w:val="20"/>
          <w:lang w:val="es-CR"/>
        </w:rPr>
        <w:t>r</w:t>
      </w:r>
      <w:r w:rsidR="007676C0" w:rsidRPr="00EE0619">
        <w:rPr>
          <w:rFonts w:ascii="Verdana" w:eastAsia="Verdana" w:hAnsi="Verdana" w:cs="Verdana"/>
          <w:i/>
          <w:sz w:val="20"/>
          <w:szCs w:val="20"/>
          <w:lang w:val="es-CR"/>
        </w:rPr>
        <w:t>a</w:t>
      </w:r>
      <w:r w:rsidR="007676C0" w:rsidRPr="00EE0619">
        <w:rPr>
          <w:rFonts w:ascii="Verdana" w:eastAsia="Verdana" w:hAnsi="Verdana" w:cs="Verdana"/>
          <w:i/>
          <w:spacing w:val="1"/>
          <w:sz w:val="20"/>
          <w:szCs w:val="20"/>
          <w:lang w:val="es-CR"/>
        </w:rPr>
        <w:t>b</w:t>
      </w:r>
      <w:r w:rsidR="007676C0" w:rsidRPr="00EE0619">
        <w:rPr>
          <w:rFonts w:ascii="Verdana" w:eastAsia="Verdana" w:hAnsi="Verdana" w:cs="Verdana"/>
          <w:i/>
          <w:sz w:val="20"/>
          <w:szCs w:val="20"/>
          <w:lang w:val="es-CR"/>
        </w:rPr>
        <w:t>an</w:t>
      </w:r>
      <w:r w:rsidR="007676C0" w:rsidRPr="00EE0619">
        <w:rPr>
          <w:rFonts w:ascii="Verdana" w:eastAsia="Verdana" w:hAnsi="Verdana" w:cs="Verdana"/>
          <w:i/>
          <w:spacing w:val="1"/>
          <w:sz w:val="20"/>
          <w:szCs w:val="20"/>
          <w:lang w:val="es-CR"/>
        </w:rPr>
        <w:t xml:space="preserve"> d</w:t>
      </w:r>
      <w:r w:rsidR="007676C0" w:rsidRPr="00EE0619">
        <w:rPr>
          <w:rFonts w:ascii="Verdana" w:eastAsia="Verdana" w:hAnsi="Verdana" w:cs="Verdana"/>
          <w:i/>
          <w:spacing w:val="3"/>
          <w:sz w:val="20"/>
          <w:szCs w:val="20"/>
          <w:lang w:val="es-CR"/>
        </w:rPr>
        <w:t>i</w:t>
      </w:r>
      <w:r w:rsidR="007676C0" w:rsidRPr="00EE0619">
        <w:rPr>
          <w:rFonts w:ascii="Verdana" w:eastAsia="Verdana" w:hAnsi="Verdana" w:cs="Verdana"/>
          <w:i/>
          <w:sz w:val="20"/>
          <w:szCs w:val="20"/>
          <w:lang w:val="es-CR"/>
        </w:rPr>
        <w:t>sp</w:t>
      </w:r>
      <w:r w:rsidR="007676C0" w:rsidRPr="00EE0619">
        <w:rPr>
          <w:rFonts w:ascii="Verdana" w:eastAsia="Verdana" w:hAnsi="Verdana" w:cs="Verdana"/>
          <w:i/>
          <w:spacing w:val="-1"/>
          <w:sz w:val="20"/>
          <w:szCs w:val="20"/>
          <w:lang w:val="es-CR"/>
        </w:rPr>
        <w:t>on</w:t>
      </w:r>
      <w:r w:rsidR="007676C0" w:rsidRPr="00EE0619">
        <w:rPr>
          <w:rFonts w:ascii="Verdana" w:eastAsia="Verdana" w:hAnsi="Verdana" w:cs="Verdana"/>
          <w:i/>
          <w:spacing w:val="3"/>
          <w:sz w:val="20"/>
          <w:szCs w:val="20"/>
          <w:lang w:val="es-CR"/>
        </w:rPr>
        <w:t>i</w:t>
      </w:r>
      <w:r w:rsidR="007676C0" w:rsidRPr="00EE0619">
        <w:rPr>
          <w:rFonts w:ascii="Verdana" w:eastAsia="Verdana" w:hAnsi="Verdana" w:cs="Verdana"/>
          <w:i/>
          <w:spacing w:val="-2"/>
          <w:sz w:val="20"/>
          <w:szCs w:val="20"/>
          <w:lang w:val="es-CR"/>
        </w:rPr>
        <w:t>b</w:t>
      </w:r>
      <w:r w:rsidR="007676C0" w:rsidRPr="00EE0619">
        <w:rPr>
          <w:rFonts w:ascii="Verdana" w:eastAsia="Verdana" w:hAnsi="Verdana" w:cs="Verdana"/>
          <w:i/>
          <w:spacing w:val="3"/>
          <w:sz w:val="20"/>
          <w:szCs w:val="20"/>
          <w:lang w:val="es-CR"/>
        </w:rPr>
        <w:t>l</w:t>
      </w:r>
      <w:r w:rsidR="007676C0" w:rsidRPr="00EE0619">
        <w:rPr>
          <w:rFonts w:ascii="Verdana" w:eastAsia="Verdana" w:hAnsi="Verdana" w:cs="Verdana"/>
          <w:i/>
          <w:spacing w:val="-1"/>
          <w:sz w:val="20"/>
          <w:szCs w:val="20"/>
          <w:lang w:val="es-CR"/>
        </w:rPr>
        <w:t>e</w:t>
      </w:r>
      <w:r w:rsidR="007676C0" w:rsidRPr="00EE0619">
        <w:rPr>
          <w:rFonts w:ascii="Verdana" w:eastAsia="Verdana" w:hAnsi="Verdana" w:cs="Verdana"/>
          <w:i/>
          <w:sz w:val="20"/>
          <w:szCs w:val="20"/>
          <w:lang w:val="es-CR"/>
        </w:rPr>
        <w:t>s y</w:t>
      </w:r>
      <w:r w:rsidR="007676C0" w:rsidRPr="00EE0619">
        <w:rPr>
          <w:rFonts w:ascii="Verdana" w:eastAsia="Verdana" w:hAnsi="Verdana" w:cs="Verdana"/>
          <w:i/>
          <w:spacing w:val="10"/>
          <w:sz w:val="20"/>
          <w:szCs w:val="20"/>
          <w:lang w:val="es-CR"/>
        </w:rPr>
        <w:t xml:space="preserve"> </w:t>
      </w:r>
      <w:r w:rsidR="007676C0" w:rsidRPr="00EE0619">
        <w:rPr>
          <w:rFonts w:ascii="Verdana" w:eastAsia="Verdana" w:hAnsi="Verdana" w:cs="Verdana"/>
          <w:i/>
          <w:spacing w:val="1"/>
          <w:sz w:val="20"/>
          <w:szCs w:val="20"/>
          <w:lang w:val="es-CR"/>
        </w:rPr>
        <w:t>e</w:t>
      </w:r>
      <w:r w:rsidR="007676C0" w:rsidRPr="00EE0619">
        <w:rPr>
          <w:rFonts w:ascii="Verdana" w:eastAsia="Verdana" w:hAnsi="Verdana" w:cs="Verdana"/>
          <w:i/>
          <w:spacing w:val="-1"/>
          <w:sz w:val="20"/>
          <w:szCs w:val="20"/>
          <w:lang w:val="es-CR"/>
        </w:rPr>
        <w:t>r</w:t>
      </w:r>
      <w:r w:rsidR="007676C0" w:rsidRPr="00EE0619">
        <w:rPr>
          <w:rFonts w:ascii="Verdana" w:eastAsia="Verdana" w:hAnsi="Verdana" w:cs="Verdana"/>
          <w:i/>
          <w:sz w:val="20"/>
          <w:szCs w:val="20"/>
          <w:lang w:val="es-CR"/>
        </w:rPr>
        <w:t>an</w:t>
      </w:r>
      <w:r w:rsidR="007676C0" w:rsidRPr="00EE0619">
        <w:rPr>
          <w:rFonts w:ascii="Verdana" w:eastAsia="Verdana" w:hAnsi="Verdana" w:cs="Verdana"/>
          <w:i/>
          <w:spacing w:val="9"/>
          <w:sz w:val="20"/>
          <w:szCs w:val="20"/>
          <w:lang w:val="es-CR"/>
        </w:rPr>
        <w:t xml:space="preserve"> </w:t>
      </w:r>
      <w:r w:rsidR="007676C0" w:rsidRPr="00EE0619">
        <w:rPr>
          <w:rFonts w:ascii="Verdana" w:eastAsia="Verdana" w:hAnsi="Verdana" w:cs="Verdana"/>
          <w:i/>
          <w:sz w:val="20"/>
          <w:szCs w:val="20"/>
          <w:lang w:val="es-CR"/>
        </w:rPr>
        <w:t>a</w:t>
      </w:r>
      <w:r w:rsidR="007676C0" w:rsidRPr="00EE0619">
        <w:rPr>
          <w:rFonts w:ascii="Verdana" w:eastAsia="Verdana" w:hAnsi="Verdana" w:cs="Verdana"/>
          <w:i/>
          <w:spacing w:val="1"/>
          <w:sz w:val="20"/>
          <w:szCs w:val="20"/>
          <w:lang w:val="es-CR"/>
        </w:rPr>
        <w:t>d</w:t>
      </w:r>
      <w:r w:rsidR="007676C0" w:rsidRPr="00EE0619">
        <w:rPr>
          <w:rFonts w:ascii="Verdana" w:eastAsia="Verdana" w:hAnsi="Verdana" w:cs="Verdana"/>
          <w:i/>
          <w:spacing w:val="-1"/>
          <w:sz w:val="20"/>
          <w:szCs w:val="20"/>
          <w:lang w:val="es-CR"/>
        </w:rPr>
        <w:t>e</w:t>
      </w:r>
      <w:r w:rsidR="007676C0" w:rsidRPr="00EE0619">
        <w:rPr>
          <w:rFonts w:ascii="Verdana" w:eastAsia="Verdana" w:hAnsi="Verdana" w:cs="Verdana"/>
          <w:i/>
          <w:sz w:val="20"/>
          <w:szCs w:val="20"/>
          <w:lang w:val="es-CR"/>
        </w:rPr>
        <w:t>cu</w:t>
      </w:r>
      <w:r w:rsidR="007676C0" w:rsidRPr="00EE0619">
        <w:rPr>
          <w:rFonts w:ascii="Verdana" w:eastAsia="Verdana" w:hAnsi="Verdana" w:cs="Verdana"/>
          <w:i/>
          <w:spacing w:val="1"/>
          <w:sz w:val="20"/>
          <w:szCs w:val="20"/>
          <w:lang w:val="es-CR"/>
        </w:rPr>
        <w:t>a</w:t>
      </w:r>
      <w:r w:rsidR="007676C0" w:rsidRPr="00EE0619">
        <w:rPr>
          <w:rFonts w:ascii="Verdana" w:eastAsia="Verdana" w:hAnsi="Verdana" w:cs="Verdana"/>
          <w:i/>
          <w:spacing w:val="3"/>
          <w:sz w:val="20"/>
          <w:szCs w:val="20"/>
          <w:lang w:val="es-CR"/>
        </w:rPr>
        <w:t>d</w:t>
      </w:r>
      <w:r w:rsidR="007676C0" w:rsidRPr="00EE0619">
        <w:rPr>
          <w:rFonts w:ascii="Verdana" w:eastAsia="Verdana" w:hAnsi="Verdana" w:cs="Verdana"/>
          <w:i/>
          <w:spacing w:val="-1"/>
          <w:sz w:val="20"/>
          <w:szCs w:val="20"/>
          <w:lang w:val="es-CR"/>
        </w:rPr>
        <w:t>o</w:t>
      </w:r>
      <w:r w:rsidR="007676C0" w:rsidRPr="00EE0619">
        <w:rPr>
          <w:rFonts w:ascii="Verdana" w:eastAsia="Verdana" w:hAnsi="Verdana" w:cs="Verdana"/>
          <w:i/>
          <w:sz w:val="20"/>
          <w:szCs w:val="20"/>
          <w:lang w:val="es-CR"/>
        </w:rPr>
        <w:t xml:space="preserve">s, </w:t>
      </w:r>
      <w:r w:rsidR="007676C0" w:rsidRPr="00EE0619">
        <w:rPr>
          <w:rFonts w:ascii="Verdana" w:eastAsia="Verdana" w:hAnsi="Verdana" w:cs="Verdana"/>
          <w:i/>
          <w:spacing w:val="3"/>
          <w:sz w:val="20"/>
          <w:szCs w:val="20"/>
          <w:lang w:val="es-CR"/>
        </w:rPr>
        <w:t>i</w:t>
      </w:r>
      <w:r w:rsidR="007676C0" w:rsidRPr="00EE0619">
        <w:rPr>
          <w:rFonts w:ascii="Verdana" w:eastAsia="Verdana" w:hAnsi="Verdana" w:cs="Verdana"/>
          <w:i/>
          <w:spacing w:val="1"/>
          <w:sz w:val="20"/>
          <w:szCs w:val="20"/>
          <w:lang w:val="es-CR"/>
        </w:rPr>
        <w:t>d</w:t>
      </w:r>
      <w:r w:rsidR="007676C0" w:rsidRPr="00EE0619">
        <w:rPr>
          <w:rFonts w:ascii="Verdana" w:eastAsia="Verdana" w:hAnsi="Verdana" w:cs="Verdana"/>
          <w:i/>
          <w:spacing w:val="-1"/>
          <w:sz w:val="20"/>
          <w:szCs w:val="20"/>
          <w:lang w:val="es-CR"/>
        </w:rPr>
        <w:t>ó</w:t>
      </w:r>
      <w:r w:rsidR="007676C0" w:rsidRPr="00EE0619">
        <w:rPr>
          <w:rFonts w:ascii="Verdana" w:eastAsia="Verdana" w:hAnsi="Verdana" w:cs="Verdana"/>
          <w:i/>
          <w:spacing w:val="1"/>
          <w:sz w:val="20"/>
          <w:szCs w:val="20"/>
          <w:lang w:val="es-CR"/>
        </w:rPr>
        <w:t>n</w:t>
      </w:r>
      <w:r w:rsidR="007676C0" w:rsidRPr="00EE0619">
        <w:rPr>
          <w:rFonts w:ascii="Verdana" w:eastAsia="Verdana" w:hAnsi="Verdana" w:cs="Verdana"/>
          <w:i/>
          <w:spacing w:val="-1"/>
          <w:sz w:val="20"/>
          <w:szCs w:val="20"/>
          <w:lang w:val="es-CR"/>
        </w:rPr>
        <w:t>e</w:t>
      </w:r>
      <w:r w:rsidR="007676C0" w:rsidRPr="00EE0619">
        <w:rPr>
          <w:rFonts w:ascii="Verdana" w:eastAsia="Verdana" w:hAnsi="Verdana" w:cs="Verdana"/>
          <w:i/>
          <w:spacing w:val="1"/>
          <w:sz w:val="20"/>
          <w:szCs w:val="20"/>
          <w:lang w:val="es-CR"/>
        </w:rPr>
        <w:t>o</w:t>
      </w:r>
      <w:r w:rsidR="007676C0" w:rsidRPr="00EE0619">
        <w:rPr>
          <w:rFonts w:ascii="Verdana" w:eastAsia="Verdana" w:hAnsi="Verdana" w:cs="Verdana"/>
          <w:i/>
          <w:sz w:val="20"/>
          <w:szCs w:val="20"/>
          <w:lang w:val="es-CR"/>
        </w:rPr>
        <w:t>s</w:t>
      </w:r>
      <w:r w:rsidR="007676C0" w:rsidRPr="00EE0619">
        <w:rPr>
          <w:rFonts w:ascii="Verdana" w:eastAsia="Verdana" w:hAnsi="Verdana" w:cs="Verdana"/>
          <w:i/>
          <w:spacing w:val="6"/>
          <w:sz w:val="20"/>
          <w:szCs w:val="20"/>
          <w:lang w:val="es-CR"/>
        </w:rPr>
        <w:t xml:space="preserve"> </w:t>
      </w:r>
      <w:r w:rsidR="007676C0" w:rsidRPr="00EE0619">
        <w:rPr>
          <w:rFonts w:ascii="Verdana" w:eastAsia="Verdana" w:hAnsi="Verdana" w:cs="Verdana"/>
          <w:i/>
          <w:sz w:val="20"/>
          <w:szCs w:val="20"/>
          <w:lang w:val="es-CR"/>
        </w:rPr>
        <w:t>y</w:t>
      </w:r>
      <w:r w:rsidR="007676C0" w:rsidRPr="00EE0619">
        <w:rPr>
          <w:rFonts w:ascii="Verdana" w:eastAsia="Verdana" w:hAnsi="Verdana" w:cs="Verdana"/>
          <w:i/>
          <w:spacing w:val="10"/>
          <w:sz w:val="20"/>
          <w:szCs w:val="20"/>
          <w:lang w:val="es-CR"/>
        </w:rPr>
        <w:t xml:space="preserve"> </w:t>
      </w:r>
      <w:r w:rsidR="007676C0" w:rsidRPr="00EE0619">
        <w:rPr>
          <w:rFonts w:ascii="Verdana" w:eastAsia="Verdana" w:hAnsi="Verdana" w:cs="Verdana"/>
          <w:i/>
          <w:spacing w:val="-1"/>
          <w:sz w:val="20"/>
          <w:szCs w:val="20"/>
          <w:lang w:val="es-CR"/>
        </w:rPr>
        <w:t>e</w:t>
      </w:r>
      <w:r w:rsidR="007676C0" w:rsidRPr="00EE0619">
        <w:rPr>
          <w:rFonts w:ascii="Verdana" w:eastAsia="Verdana" w:hAnsi="Verdana" w:cs="Verdana"/>
          <w:i/>
          <w:spacing w:val="2"/>
          <w:sz w:val="20"/>
          <w:szCs w:val="20"/>
          <w:lang w:val="es-CR"/>
        </w:rPr>
        <w:t>f</w:t>
      </w:r>
      <w:r w:rsidR="007676C0" w:rsidRPr="00EE0619">
        <w:rPr>
          <w:rFonts w:ascii="Verdana" w:eastAsia="Verdana" w:hAnsi="Verdana" w:cs="Verdana"/>
          <w:i/>
          <w:spacing w:val="-1"/>
          <w:sz w:val="20"/>
          <w:szCs w:val="20"/>
          <w:lang w:val="es-CR"/>
        </w:rPr>
        <w:t>e</w:t>
      </w:r>
      <w:r w:rsidR="007676C0" w:rsidRPr="00EE0619">
        <w:rPr>
          <w:rFonts w:ascii="Verdana" w:eastAsia="Verdana" w:hAnsi="Verdana" w:cs="Verdana"/>
          <w:i/>
          <w:sz w:val="20"/>
          <w:szCs w:val="20"/>
          <w:lang w:val="es-CR"/>
        </w:rPr>
        <w:t>ct</w:t>
      </w:r>
      <w:r w:rsidR="007676C0" w:rsidRPr="00EE0619">
        <w:rPr>
          <w:rFonts w:ascii="Verdana" w:eastAsia="Verdana" w:hAnsi="Verdana" w:cs="Verdana"/>
          <w:i/>
          <w:spacing w:val="3"/>
          <w:sz w:val="20"/>
          <w:szCs w:val="20"/>
          <w:lang w:val="es-CR"/>
        </w:rPr>
        <w:t>i</w:t>
      </w:r>
      <w:r w:rsidR="007676C0" w:rsidRPr="00EE0619">
        <w:rPr>
          <w:rFonts w:ascii="Verdana" w:eastAsia="Verdana" w:hAnsi="Verdana" w:cs="Verdana"/>
          <w:i/>
          <w:sz w:val="20"/>
          <w:szCs w:val="20"/>
          <w:lang w:val="es-CR"/>
        </w:rPr>
        <w:t>v</w:t>
      </w:r>
      <w:r w:rsidR="007676C0" w:rsidRPr="00EE0619">
        <w:rPr>
          <w:rFonts w:ascii="Verdana" w:eastAsia="Verdana" w:hAnsi="Verdana" w:cs="Verdana"/>
          <w:i/>
          <w:spacing w:val="-1"/>
          <w:sz w:val="20"/>
          <w:szCs w:val="20"/>
          <w:lang w:val="es-CR"/>
        </w:rPr>
        <w:t>o</w:t>
      </w:r>
      <w:r w:rsidR="007676C0" w:rsidRPr="00EE0619">
        <w:rPr>
          <w:rFonts w:ascii="Verdana" w:eastAsia="Verdana" w:hAnsi="Verdana" w:cs="Verdana"/>
          <w:i/>
          <w:spacing w:val="10"/>
          <w:sz w:val="20"/>
          <w:szCs w:val="20"/>
          <w:lang w:val="es-CR"/>
        </w:rPr>
        <w:t>s</w:t>
      </w:r>
      <w:r w:rsidR="007676C0" w:rsidRPr="007676C0">
        <w:rPr>
          <w:rFonts w:ascii="Verdana" w:eastAsia="Verdana" w:hAnsi="Verdana" w:cs="Verdana"/>
          <w:i/>
          <w:spacing w:val="10"/>
          <w:lang w:val="es-CR"/>
        </w:rPr>
        <w:t>”</w:t>
      </w:r>
      <w:r w:rsidR="007676C0">
        <w:rPr>
          <w:rStyle w:val="FootnoteReference"/>
          <w:rFonts w:ascii="Verdana" w:eastAsia="Verdana" w:hAnsi="Verdana" w:cs="Verdana"/>
          <w:i/>
          <w:spacing w:val="10"/>
          <w:lang w:val="es-CR"/>
        </w:rPr>
        <w:footnoteReference w:id="25"/>
      </w:r>
      <w:r w:rsidRPr="007676C0">
        <w:rPr>
          <w:rFonts w:ascii="Verdana" w:hAnsi="Verdana"/>
          <w:i/>
          <w:lang w:val="es-ES"/>
        </w:rPr>
        <w:t>,</w:t>
      </w:r>
      <w:r w:rsidRPr="00B533BB">
        <w:rPr>
          <w:rFonts w:ascii="Verdana" w:hAnsi="Verdana"/>
          <w:lang w:val="es-ES"/>
        </w:rPr>
        <w:t xml:space="preserve"> </w:t>
      </w:r>
      <w:r w:rsidRPr="00EE0619">
        <w:rPr>
          <w:rFonts w:ascii="Verdana" w:hAnsi="Verdana"/>
          <w:sz w:val="20"/>
          <w:szCs w:val="20"/>
          <w:lang w:val="es-ES"/>
        </w:rPr>
        <w:t xml:space="preserve">todo lo cual importa, una vez más, que tal requisito debe haberse cumplido previamente, es decir, antes de formular la petición de cuyas partes pertinentes se da traslado al Estado precisamente para que les dé respuesta. </w:t>
      </w:r>
    </w:p>
    <w:p w14:paraId="0BF859C7" w14:textId="1976B51F"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En cambio, si en la petición no se hace alusión alguna al requisito en cuestión, al Estado únicamente le corresponde señalar tal circunstancia, esto es, que la petición no cumple con aquél. Imponerle al Estado, en tal situación, la obligación de demostrar, de todas maneras, la existencia de los recursos adecuados, idóneos y efectivos no agotados,  significa sustituir al peticionario por el Estado en tanto titular de la obligación de agotar previamente los recursos internos prevista en la Convención y en el Reglamento de la Comisión e imponerle una carga por una obligación ajena.</w:t>
      </w:r>
    </w:p>
    <w:p w14:paraId="5198DD3E"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 xml:space="preserve">Cabe añadir que, por lo mismo, es al momento en que se presenta la petición en que  los recursos internos deben haberse agotados o bien haberse indicado la imposibilidad de que lo sean, puesto que, sostener que esos recursos podrían agotarse después de </w:t>
      </w:r>
      <w:r w:rsidRPr="00EE0619">
        <w:rPr>
          <w:rFonts w:ascii="Verdana" w:hAnsi="Verdana"/>
          <w:i/>
          <w:sz w:val="20"/>
          <w:szCs w:val="20"/>
          <w:lang w:val="es-ES"/>
        </w:rPr>
        <w:t>“presentada”</w:t>
      </w:r>
      <w:r w:rsidRPr="00EE0619">
        <w:rPr>
          <w:rFonts w:ascii="Verdana" w:hAnsi="Verdana"/>
          <w:sz w:val="20"/>
          <w:szCs w:val="20"/>
          <w:lang w:val="es-ES"/>
        </w:rPr>
        <w:t xml:space="preserve"> aquella y, consecuentemente, de su notificación al Estado, afectaría el indispensable equilibrio procesal y dejaría a aquél en la indefensión, ya que no podría interponer en tiempo y forma la pertinente excepción preliminar.</w:t>
      </w:r>
    </w:p>
    <w:p w14:paraId="706C64F8" w14:textId="77777777" w:rsidR="00150531" w:rsidRPr="00B533BB" w:rsidRDefault="00150531" w:rsidP="00150531">
      <w:pPr>
        <w:pStyle w:val="ListParagraph"/>
        <w:numPr>
          <w:ilvl w:val="0"/>
          <w:numId w:val="5"/>
        </w:numPr>
        <w:jc w:val="both"/>
        <w:rPr>
          <w:rFonts w:ascii="Verdana" w:hAnsi="Verdana"/>
          <w:b/>
          <w:lang w:val="es-ES"/>
        </w:rPr>
      </w:pPr>
      <w:r w:rsidRPr="00B533BB">
        <w:rPr>
          <w:rFonts w:ascii="Verdana" w:hAnsi="Verdana"/>
          <w:u w:val="single"/>
          <w:lang w:val="es-ES"/>
        </w:rPr>
        <w:t>Decisión sobre la admisibilidad</w:t>
      </w:r>
      <w:r w:rsidRPr="00B533BB">
        <w:rPr>
          <w:rFonts w:ascii="Verdana" w:hAnsi="Verdana"/>
          <w:b/>
          <w:lang w:val="es-ES"/>
        </w:rPr>
        <w:t>.</w:t>
      </w:r>
    </w:p>
    <w:p w14:paraId="096A68F2"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 xml:space="preserve">Efectivamente, el artículo 31.1 del mismo texto reglamentario, titulado </w:t>
      </w:r>
      <w:r w:rsidRPr="00EE0619">
        <w:rPr>
          <w:rFonts w:ascii="Verdana" w:hAnsi="Verdana"/>
          <w:i/>
          <w:sz w:val="20"/>
          <w:szCs w:val="20"/>
          <w:lang w:val="es-ES"/>
        </w:rPr>
        <w:t>“Agotamiento de los recursos internos”</w:t>
      </w:r>
      <w:r w:rsidRPr="00EE0619">
        <w:rPr>
          <w:rFonts w:ascii="Verdana" w:hAnsi="Verdana"/>
          <w:sz w:val="20"/>
          <w:szCs w:val="20"/>
          <w:lang w:val="es-ES"/>
        </w:rPr>
        <w:t>, establece que:</w:t>
      </w:r>
    </w:p>
    <w:p w14:paraId="5248C04A" w14:textId="77777777" w:rsidR="00150531" w:rsidRPr="00B533BB" w:rsidRDefault="00150531" w:rsidP="00150531">
      <w:pPr>
        <w:ind w:left="567"/>
        <w:jc w:val="both"/>
        <w:rPr>
          <w:rFonts w:ascii="Verdana" w:hAnsi="Verdana"/>
          <w:lang w:val="es-ES"/>
        </w:rPr>
      </w:pPr>
      <w:r w:rsidRPr="00EE0619">
        <w:rPr>
          <w:rFonts w:ascii="Verdana" w:hAnsi="Verdana"/>
          <w:i/>
          <w:sz w:val="20"/>
          <w:szCs w:val="20"/>
          <w:lang w:val="es-ES"/>
        </w:rPr>
        <w:lastRenderedPageBreak/>
        <w:t>“Con el fin de decidir sobre la admisibilidad del asunto la Comisión verificará si se han interpuesto y agotado los recursos de la jurisdicción interna, conforme a los principios del derecho interna</w:t>
      </w:r>
      <w:r w:rsidR="008B42F5" w:rsidRPr="00EE0619">
        <w:rPr>
          <w:rFonts w:ascii="Verdana" w:hAnsi="Verdana"/>
          <w:i/>
          <w:sz w:val="20"/>
          <w:szCs w:val="20"/>
          <w:lang w:val="es-ES"/>
        </w:rPr>
        <w:t>cional generalmente reconocidos</w:t>
      </w:r>
      <w:r w:rsidRPr="00B533BB">
        <w:rPr>
          <w:rFonts w:ascii="Verdana" w:hAnsi="Verdana"/>
          <w:i/>
          <w:lang w:val="es-ES"/>
        </w:rPr>
        <w:t>”</w:t>
      </w:r>
      <w:r w:rsidRPr="00B533BB">
        <w:rPr>
          <w:rStyle w:val="FootnoteReference"/>
          <w:rFonts w:ascii="Verdana" w:hAnsi="Verdana"/>
          <w:i/>
          <w:lang w:val="es-ES"/>
        </w:rPr>
        <w:footnoteReference w:id="26"/>
      </w:r>
      <w:r w:rsidR="008B42F5">
        <w:rPr>
          <w:rFonts w:ascii="Verdana" w:hAnsi="Verdana"/>
          <w:i/>
          <w:lang w:val="es-ES"/>
        </w:rPr>
        <w:t>.</w:t>
      </w:r>
    </w:p>
    <w:p w14:paraId="4C05AF73"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 xml:space="preserve">Nótese que esta norma indica que, para poder decidir sobre la admisibilidad del asunto, la Comisión debe </w:t>
      </w:r>
      <w:r w:rsidRPr="00EE0619">
        <w:rPr>
          <w:rFonts w:ascii="Verdana" w:hAnsi="Verdana"/>
          <w:i/>
          <w:sz w:val="20"/>
          <w:szCs w:val="20"/>
          <w:lang w:val="es-ES"/>
        </w:rPr>
        <w:t>“verificar”</w:t>
      </w:r>
      <w:r w:rsidRPr="00EE0619">
        <w:rPr>
          <w:rFonts w:ascii="Verdana" w:hAnsi="Verdana"/>
          <w:sz w:val="20"/>
          <w:szCs w:val="20"/>
          <w:lang w:val="es-ES"/>
        </w:rPr>
        <w:t xml:space="preserve">, es decir, comprobar o examinar, si se han interpuesto y agotado previamente los recursos de jurisdicción interna, pero no dispone que tal verificación deba realizarse respecto a recursos agotados e interpuestos antes de la misma pero después de la presentación de la petición. Tampoco establece que ellos puedan interponerse y agotarse con posterioridad a la presentación de la petición.  </w:t>
      </w:r>
    </w:p>
    <w:p w14:paraId="11289D15"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 xml:space="preserve">Por otra parte, el artículo 32.1 de dicho Reglamento, denominado </w:t>
      </w:r>
      <w:r w:rsidRPr="00EE0619">
        <w:rPr>
          <w:rFonts w:ascii="Verdana" w:hAnsi="Verdana"/>
          <w:i/>
          <w:sz w:val="20"/>
          <w:szCs w:val="20"/>
          <w:lang w:val="es-ES"/>
        </w:rPr>
        <w:t xml:space="preserve">“Plazo para la presentación de peticiones”, </w:t>
      </w:r>
      <w:r w:rsidRPr="00EE0619">
        <w:rPr>
          <w:rFonts w:ascii="Verdana" w:hAnsi="Verdana"/>
          <w:sz w:val="20"/>
          <w:szCs w:val="20"/>
          <w:lang w:val="es-ES"/>
        </w:rPr>
        <w:t>es coincidente con la interpretación expuesta al indicar que</w:t>
      </w:r>
      <w:r w:rsidR="002E08A3" w:rsidRPr="00EE0619">
        <w:rPr>
          <w:rFonts w:ascii="Verdana" w:hAnsi="Verdana"/>
          <w:sz w:val="20"/>
          <w:szCs w:val="20"/>
          <w:lang w:val="es-ES"/>
        </w:rPr>
        <w:t>:</w:t>
      </w:r>
    </w:p>
    <w:p w14:paraId="5E1EDAFC" w14:textId="77777777" w:rsidR="00150531" w:rsidRPr="00B533BB" w:rsidRDefault="00150531" w:rsidP="00150531">
      <w:pPr>
        <w:ind w:left="567"/>
        <w:jc w:val="both"/>
        <w:rPr>
          <w:rFonts w:ascii="Verdana" w:hAnsi="Verdana"/>
          <w:lang w:val="es-ES"/>
        </w:rPr>
      </w:pPr>
      <w:r w:rsidRPr="00EE0619">
        <w:rPr>
          <w:rFonts w:ascii="Verdana" w:hAnsi="Verdana"/>
          <w:i/>
          <w:sz w:val="20"/>
          <w:szCs w:val="20"/>
          <w:lang w:val="es-ES"/>
        </w:rPr>
        <w:t xml:space="preserve">“La Comisión considerará las peticiones presentadas dentro de los seis meses contados a partir de la fecha en que la presunta víctima haya sido notificada de la decisión </w:t>
      </w:r>
      <w:r w:rsidR="008B42F5" w:rsidRPr="00EE0619">
        <w:rPr>
          <w:rFonts w:ascii="Verdana" w:hAnsi="Verdana"/>
          <w:i/>
          <w:sz w:val="20"/>
          <w:szCs w:val="20"/>
          <w:lang w:val="es-ES"/>
        </w:rPr>
        <w:t>que agota los recursos internos</w:t>
      </w:r>
      <w:r w:rsidRPr="00B533BB">
        <w:rPr>
          <w:rFonts w:ascii="Verdana" w:hAnsi="Verdana"/>
          <w:i/>
          <w:lang w:val="es-ES"/>
        </w:rPr>
        <w:t>”</w:t>
      </w:r>
      <w:r w:rsidRPr="00B533BB">
        <w:rPr>
          <w:rStyle w:val="FootnoteReference"/>
          <w:rFonts w:ascii="Verdana" w:hAnsi="Verdana"/>
          <w:i/>
          <w:lang w:val="es-ES"/>
        </w:rPr>
        <w:footnoteReference w:id="27"/>
      </w:r>
      <w:r w:rsidR="008B42F5">
        <w:rPr>
          <w:rFonts w:ascii="Verdana" w:hAnsi="Verdana"/>
          <w:i/>
          <w:lang w:val="es-ES"/>
        </w:rPr>
        <w:t>.</w:t>
      </w:r>
    </w:p>
    <w:p w14:paraId="60C3E3C4"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 xml:space="preserve">Vale decir, tal disposición establece las peticiones que serán objeto de consideración por parte de la Comisión respecto de su admisibilidad y al efecto reitera lo prescrito en el artículo 46.1.b de la Convención, esto es, que el plazo indicado para presentar aquellas se debe contar desde el momento de la notificación de la resolución definitiva de las autoridades o los tribunales nacionales sobre los recursos que se han interpuesto ante ellos y que son, por ende, los que podrían haber generado la responsabilidad internacional del Estado, lo que obviamente implicaba que, al momento de ser aquella </w:t>
      </w:r>
      <w:r w:rsidRPr="00EE0619">
        <w:rPr>
          <w:rFonts w:ascii="Verdana" w:hAnsi="Verdana"/>
          <w:i/>
          <w:sz w:val="20"/>
          <w:szCs w:val="20"/>
          <w:lang w:val="es-ES"/>
        </w:rPr>
        <w:t>“presentadas”,</w:t>
      </w:r>
      <w:r w:rsidRPr="00EE0619">
        <w:rPr>
          <w:rFonts w:ascii="Verdana" w:hAnsi="Verdana"/>
          <w:sz w:val="20"/>
          <w:szCs w:val="20"/>
          <w:lang w:val="es-ES"/>
        </w:rPr>
        <w:t xml:space="preserve"> éstos deben haber sido agotados.</w:t>
      </w:r>
    </w:p>
    <w:p w14:paraId="5605B776" w14:textId="77777777" w:rsidR="00150531" w:rsidRPr="00EE0619" w:rsidRDefault="00150531" w:rsidP="00150531">
      <w:pPr>
        <w:jc w:val="both"/>
        <w:rPr>
          <w:rFonts w:ascii="Verdana" w:hAnsi="Verdana"/>
          <w:i/>
          <w:sz w:val="20"/>
          <w:szCs w:val="20"/>
          <w:lang w:val="es-ES"/>
        </w:rPr>
      </w:pPr>
      <w:r w:rsidRPr="00EE0619">
        <w:rPr>
          <w:rFonts w:ascii="Verdana" w:hAnsi="Verdana"/>
          <w:sz w:val="20"/>
          <w:szCs w:val="20"/>
          <w:lang w:val="es-ES"/>
        </w:rPr>
        <w:t xml:space="preserve">Pues bien, de acuerdo al artículo 37 del Reglamento en comento, titulado </w:t>
      </w:r>
      <w:r w:rsidRPr="00EE0619">
        <w:rPr>
          <w:rFonts w:ascii="Verdana" w:hAnsi="Verdana"/>
          <w:i/>
          <w:sz w:val="20"/>
          <w:szCs w:val="20"/>
          <w:lang w:val="es-ES"/>
        </w:rPr>
        <w:t>“Decisión sobre admisibilidad”</w:t>
      </w:r>
    </w:p>
    <w:p w14:paraId="345BFADE" w14:textId="77777777" w:rsidR="00150531" w:rsidRPr="00EE0619" w:rsidRDefault="00150531" w:rsidP="00150531">
      <w:pPr>
        <w:ind w:left="567"/>
        <w:jc w:val="both"/>
        <w:rPr>
          <w:rFonts w:ascii="Verdana" w:hAnsi="Verdana"/>
          <w:i/>
          <w:sz w:val="20"/>
          <w:szCs w:val="20"/>
          <w:lang w:val="es-ES"/>
        </w:rPr>
      </w:pPr>
      <w:r w:rsidRPr="00EE0619">
        <w:rPr>
          <w:rFonts w:ascii="Verdana" w:hAnsi="Verdana"/>
          <w:i/>
          <w:sz w:val="20"/>
          <w:szCs w:val="20"/>
          <w:lang w:val="es-ES"/>
        </w:rPr>
        <w:t xml:space="preserve">“1. Una vez consideradas las posiciones de las partes, la Comisión se pronunciará sobre la admisibilidad del asunto. Los informes de admisibilidad e </w:t>
      </w:r>
      <w:r w:rsidR="000A76D5" w:rsidRPr="00EE0619">
        <w:rPr>
          <w:rFonts w:ascii="Verdana" w:hAnsi="Verdana"/>
          <w:i/>
          <w:sz w:val="20"/>
          <w:szCs w:val="20"/>
          <w:lang w:val="es-ES"/>
        </w:rPr>
        <w:t>inadmisibilidad</w:t>
      </w:r>
      <w:r w:rsidRPr="00EE0619">
        <w:rPr>
          <w:rFonts w:ascii="Verdana" w:hAnsi="Verdana"/>
          <w:i/>
          <w:sz w:val="20"/>
          <w:szCs w:val="20"/>
          <w:lang w:val="es-ES"/>
        </w:rPr>
        <w:t xml:space="preserve"> serán públicos y la Comisión los incluirá en su Informe Anual a la Asamblea General de la OEA.</w:t>
      </w:r>
    </w:p>
    <w:p w14:paraId="47B3D7B0" w14:textId="77777777" w:rsidR="00150531" w:rsidRPr="00EE0619" w:rsidRDefault="00150531" w:rsidP="00150531">
      <w:pPr>
        <w:ind w:left="567"/>
        <w:jc w:val="both"/>
        <w:rPr>
          <w:rFonts w:ascii="Verdana" w:hAnsi="Verdana"/>
          <w:i/>
          <w:sz w:val="20"/>
          <w:szCs w:val="20"/>
          <w:lang w:val="es-ES"/>
        </w:rPr>
      </w:pPr>
      <w:r w:rsidRPr="00EE0619">
        <w:rPr>
          <w:rFonts w:ascii="Verdana" w:hAnsi="Verdana"/>
          <w:i/>
          <w:sz w:val="20"/>
          <w:szCs w:val="20"/>
          <w:lang w:val="es-ES"/>
        </w:rPr>
        <w:t>2. Con ocasión de la adopción del informe de admisibilidad, la petición será registrada como caso y se iniciará el procedimiento sobre el fondo. La adopción del informe de admisibilidad no prejuzga sobre el fondo del asunto.</w:t>
      </w:r>
    </w:p>
    <w:p w14:paraId="596647E3" w14:textId="77777777" w:rsidR="00150531" w:rsidRPr="00B533BB" w:rsidRDefault="00150531" w:rsidP="00150531">
      <w:pPr>
        <w:ind w:left="567"/>
        <w:jc w:val="both"/>
        <w:rPr>
          <w:rFonts w:ascii="Verdana" w:hAnsi="Verdana"/>
          <w:lang w:val="es-ES"/>
        </w:rPr>
      </w:pPr>
      <w:r w:rsidRPr="00EE0619">
        <w:rPr>
          <w:rFonts w:ascii="Verdana" w:hAnsi="Verdana"/>
          <w:i/>
          <w:sz w:val="20"/>
          <w:szCs w:val="20"/>
          <w:lang w:val="es-ES"/>
        </w:rPr>
        <w:t xml:space="preserve">3. En circunstancias excepcionales, y luego de haber solicitado información a las partes de acuerdo a lo dispuesto en el artículo 30 del presente Reglamento, la Comisión podrá abrir el caso pero diferir el tratamiento de la admisibilidad hasta </w:t>
      </w:r>
      <w:r w:rsidRPr="00EE0619">
        <w:rPr>
          <w:rFonts w:ascii="Verdana" w:hAnsi="Verdana"/>
          <w:i/>
          <w:sz w:val="20"/>
          <w:szCs w:val="20"/>
          <w:lang w:val="es-ES"/>
        </w:rPr>
        <w:lastRenderedPageBreak/>
        <w:t>el debate y decisión sobre el fondo. La apertura del caso se efectuará mediante una comunicación escrita a ambas partes</w:t>
      </w:r>
      <w:r w:rsidRPr="00B533BB">
        <w:rPr>
          <w:rFonts w:ascii="Verdana" w:hAnsi="Verdana"/>
          <w:i/>
          <w:lang w:val="es-ES"/>
        </w:rPr>
        <w:t>.”</w:t>
      </w:r>
      <w:r w:rsidRPr="00B533BB">
        <w:rPr>
          <w:rStyle w:val="FootnoteReference"/>
          <w:rFonts w:ascii="Verdana" w:hAnsi="Verdana"/>
          <w:i/>
          <w:lang w:val="es-ES"/>
        </w:rPr>
        <w:footnoteReference w:id="28"/>
      </w:r>
    </w:p>
    <w:p w14:paraId="43E0BE35" w14:textId="77777777" w:rsidR="00150531" w:rsidRPr="00EE0619" w:rsidRDefault="00150531" w:rsidP="00150531">
      <w:pPr>
        <w:jc w:val="both"/>
        <w:rPr>
          <w:rFonts w:ascii="Verdana" w:hAnsi="Verdana"/>
          <w:sz w:val="20"/>
          <w:szCs w:val="20"/>
          <w:lang w:val="es-ES"/>
        </w:rPr>
      </w:pPr>
      <w:r w:rsidRPr="00EE0619">
        <w:rPr>
          <w:rFonts w:ascii="Verdana" w:hAnsi="Verdana"/>
          <w:sz w:val="20"/>
          <w:szCs w:val="20"/>
          <w:lang w:val="es-ES"/>
        </w:rPr>
        <w:t>Sobre este particular, es procedente señalar que la norma recién aludida no dispone que los recursos de la jurisdicción interna necesariamente se deban haber agotado para poder adoptar la decisión sobre la admisibilidad, puesto que tal decisión puede ser la de no admitir la petición precisamente por no haberse agotado tales recursos.</w:t>
      </w:r>
    </w:p>
    <w:p w14:paraId="1FEDE2EE" w14:textId="71A279E4" w:rsidR="00904DBF" w:rsidRPr="00EE0619" w:rsidRDefault="00150531" w:rsidP="00904DBF">
      <w:pPr>
        <w:jc w:val="both"/>
        <w:rPr>
          <w:rFonts w:ascii="Verdana" w:hAnsi="Verdana"/>
          <w:sz w:val="20"/>
          <w:szCs w:val="20"/>
          <w:lang w:val="es-ES"/>
        </w:rPr>
      </w:pPr>
      <w:r w:rsidRPr="00EE0619">
        <w:rPr>
          <w:rFonts w:ascii="Verdana" w:hAnsi="Verdana"/>
          <w:sz w:val="20"/>
          <w:szCs w:val="20"/>
          <w:lang w:val="es-ES"/>
        </w:rPr>
        <w:t>Asimismo, es de destacar que dicha norma tampoco establece que deba ser en el momento en que se adopta la decisión sobre la admisibilidad el que deban estar agotados los recursos internos aunque no lo hayan estado previamente al mismo, sino que sencillamente dispone que</w:t>
      </w:r>
      <w:r w:rsidRPr="00EE0619">
        <w:rPr>
          <w:rFonts w:ascii="Verdana" w:hAnsi="Verdana"/>
          <w:i/>
          <w:sz w:val="20"/>
          <w:szCs w:val="20"/>
          <w:lang w:val="es-ES"/>
        </w:rPr>
        <w:t>, “una vez consideradas las posiciones de las partes, la Comisión se pronunciará sobre la admisibilidad del asunto”</w:t>
      </w:r>
      <w:r w:rsidRPr="00EE0619">
        <w:rPr>
          <w:rFonts w:ascii="Verdana" w:hAnsi="Verdana"/>
          <w:sz w:val="20"/>
          <w:szCs w:val="20"/>
          <w:lang w:val="es-ES"/>
        </w:rPr>
        <w:t xml:space="preserve">, nada más. Esta norma no se refiere </w:t>
      </w:r>
      <w:r w:rsidR="00391A90" w:rsidRPr="00EE0619">
        <w:rPr>
          <w:rFonts w:ascii="Verdana" w:hAnsi="Verdana"/>
          <w:sz w:val="20"/>
          <w:szCs w:val="20"/>
          <w:lang w:val="es-ES"/>
        </w:rPr>
        <w:t xml:space="preserve">en </w:t>
      </w:r>
      <w:r w:rsidRPr="00EE0619">
        <w:rPr>
          <w:rFonts w:ascii="Verdana" w:hAnsi="Verdana"/>
          <w:sz w:val="20"/>
          <w:szCs w:val="20"/>
          <w:lang w:val="es-ES"/>
        </w:rPr>
        <w:t xml:space="preserve">específicamente, pues, a la oportunidad en que se debe haber cumplido con el requisito del previo agotamiento de los recursos internos, sino a la oportunidad en que se debe adoptar la decisión sobre la admisibilidad de la petición </w:t>
      </w:r>
      <w:r w:rsidRPr="00EE0619">
        <w:rPr>
          <w:rFonts w:ascii="Verdana" w:hAnsi="Verdana"/>
          <w:i/>
          <w:sz w:val="20"/>
          <w:szCs w:val="20"/>
          <w:lang w:val="es-ES"/>
        </w:rPr>
        <w:t>“presentada”</w:t>
      </w:r>
      <w:r w:rsidRPr="00EE0619">
        <w:rPr>
          <w:rFonts w:ascii="Verdana" w:hAnsi="Verdana"/>
          <w:sz w:val="20"/>
          <w:szCs w:val="20"/>
          <w:lang w:val="es-ES"/>
        </w:rPr>
        <w:t>.</w:t>
      </w:r>
    </w:p>
    <w:p w14:paraId="0427789D" w14:textId="77777777" w:rsidR="00DD0F1C" w:rsidRPr="00EE0619" w:rsidRDefault="00150531" w:rsidP="00DD0F1C">
      <w:pPr>
        <w:jc w:val="both"/>
        <w:rPr>
          <w:rFonts w:ascii="Verdana" w:hAnsi="Verdana"/>
          <w:sz w:val="20"/>
          <w:szCs w:val="20"/>
          <w:lang w:val="es-ES"/>
        </w:rPr>
      </w:pPr>
      <w:r w:rsidRPr="00EE0619">
        <w:rPr>
          <w:rFonts w:ascii="Verdana" w:hAnsi="Verdana"/>
          <w:sz w:val="20"/>
          <w:szCs w:val="20"/>
          <w:lang w:val="es-ES"/>
        </w:rPr>
        <w:t xml:space="preserve">En suma, </w:t>
      </w:r>
      <w:r w:rsidR="00904DBF" w:rsidRPr="00EE0619">
        <w:rPr>
          <w:rFonts w:ascii="Verdana" w:hAnsi="Verdana"/>
          <w:sz w:val="20"/>
          <w:szCs w:val="20"/>
          <w:lang w:val="es-ES"/>
        </w:rPr>
        <w:t xml:space="preserve">entonces, </w:t>
      </w:r>
      <w:r w:rsidRPr="00EE0619">
        <w:rPr>
          <w:rFonts w:ascii="Verdana" w:hAnsi="Verdana"/>
          <w:sz w:val="20"/>
          <w:szCs w:val="20"/>
          <w:lang w:val="es-ES"/>
        </w:rPr>
        <w:t>para poder decidir si admite o no la petición</w:t>
      </w:r>
      <w:r w:rsidR="009C5A43" w:rsidRPr="00EE0619">
        <w:rPr>
          <w:rFonts w:ascii="Verdana" w:hAnsi="Verdana"/>
          <w:sz w:val="20"/>
          <w:szCs w:val="20"/>
          <w:lang w:val="es-ES"/>
        </w:rPr>
        <w:t xml:space="preserve"> presentada</w:t>
      </w:r>
      <w:r w:rsidRPr="00EE0619">
        <w:rPr>
          <w:rFonts w:ascii="Verdana" w:hAnsi="Verdana"/>
          <w:sz w:val="20"/>
          <w:szCs w:val="20"/>
          <w:lang w:val="es-ES"/>
        </w:rPr>
        <w:t xml:space="preserve">, la Comisión </w:t>
      </w:r>
      <w:r w:rsidR="003904AA" w:rsidRPr="00EE0619">
        <w:rPr>
          <w:rFonts w:ascii="Verdana" w:hAnsi="Verdana"/>
          <w:sz w:val="20"/>
          <w:szCs w:val="20"/>
          <w:lang w:val="es-ES"/>
        </w:rPr>
        <w:t xml:space="preserve">debe </w:t>
      </w:r>
      <w:r w:rsidRPr="00EE0619">
        <w:rPr>
          <w:rFonts w:ascii="Verdana" w:hAnsi="Verdana"/>
          <w:sz w:val="20"/>
          <w:szCs w:val="20"/>
          <w:lang w:val="es-ES"/>
        </w:rPr>
        <w:t>realiza</w:t>
      </w:r>
      <w:r w:rsidR="003904AA" w:rsidRPr="00EE0619">
        <w:rPr>
          <w:rFonts w:ascii="Verdana" w:hAnsi="Verdana"/>
          <w:sz w:val="20"/>
          <w:szCs w:val="20"/>
          <w:lang w:val="es-ES"/>
        </w:rPr>
        <w:t>r</w:t>
      </w:r>
      <w:r w:rsidRPr="00EE0619">
        <w:rPr>
          <w:rFonts w:ascii="Verdana" w:hAnsi="Verdana"/>
          <w:sz w:val="20"/>
          <w:szCs w:val="20"/>
          <w:lang w:val="es-ES"/>
        </w:rPr>
        <w:t xml:space="preserve"> un segundo control de convencionalidad de la misma, confrontándola con lo dispuesto en la Convención en lo atinente a los requisitos que lógicamente pudo y debe haber cumplido únicamente cuando ella tuvo lugar, vale decir, cuando fue </w:t>
      </w:r>
      <w:r w:rsidRPr="00EE0619">
        <w:rPr>
          <w:rFonts w:ascii="Verdana" w:hAnsi="Verdana"/>
          <w:i/>
          <w:sz w:val="20"/>
          <w:szCs w:val="20"/>
          <w:lang w:val="es-ES"/>
        </w:rPr>
        <w:t>“presentada”</w:t>
      </w:r>
      <w:r w:rsidRPr="00EE0619">
        <w:rPr>
          <w:rFonts w:ascii="Verdana" w:hAnsi="Verdana"/>
          <w:sz w:val="20"/>
          <w:szCs w:val="20"/>
          <w:lang w:val="es-ES"/>
        </w:rPr>
        <w:t xml:space="preserve">. </w:t>
      </w:r>
    </w:p>
    <w:p w14:paraId="794AE2B1" w14:textId="77777777" w:rsidR="00CE51CF" w:rsidRPr="007F26EE" w:rsidRDefault="007F26EE" w:rsidP="007F26EE">
      <w:pPr>
        <w:pStyle w:val="ListParagraph"/>
        <w:numPr>
          <w:ilvl w:val="0"/>
          <w:numId w:val="3"/>
        </w:numPr>
        <w:spacing w:before="240" w:after="120"/>
        <w:ind w:left="927"/>
        <w:jc w:val="both"/>
        <w:rPr>
          <w:rFonts w:ascii="Verdana" w:hAnsi="Verdana"/>
          <w:u w:val="single"/>
          <w:lang w:val="es-ES"/>
        </w:rPr>
      </w:pPr>
      <w:r>
        <w:rPr>
          <w:rFonts w:ascii="Verdana" w:hAnsi="Verdana"/>
          <w:b/>
          <w:lang w:val="es-ES"/>
        </w:rPr>
        <w:t>Consecuencias en general.</w:t>
      </w:r>
    </w:p>
    <w:p w14:paraId="48E7A154" w14:textId="77777777" w:rsidR="00E1638D" w:rsidRPr="00EE0619" w:rsidRDefault="00E1638D" w:rsidP="00E1638D">
      <w:pPr>
        <w:jc w:val="both"/>
        <w:rPr>
          <w:rFonts w:ascii="Verdana" w:hAnsi="Verdana"/>
          <w:sz w:val="20"/>
          <w:szCs w:val="20"/>
          <w:lang w:val="es-ES"/>
        </w:rPr>
      </w:pPr>
      <w:r w:rsidRPr="00EE0619">
        <w:rPr>
          <w:rFonts w:ascii="Verdana" w:hAnsi="Verdana"/>
          <w:sz w:val="20"/>
          <w:szCs w:val="20"/>
          <w:lang w:val="es-ES"/>
        </w:rPr>
        <w:t>En abono a lo sostenido en orden a que la regla del previo agotamiento de los recursos internos debe cumplirse antes de formular la petición ante la Comisión, se puede reiterar que, en caso contrario, es decir, si la norma permitiese que lo fuese después, podría ocurrir que, en el evento en que no se ha invocado una de las excepciones a dicha regla o no se ha resuelto sobre ella y al menos durante un tiempo, vale decir, entre el momento en que se eleva la petición y en el que se adopta la resolución sobre su admisibilidad, que en muchas situaciones podría estimarse que resulta extremadamente extenso, un mismo caso fuese tratado en forma simultánea por la jurisdicción interna y la jurisdicción internacional, lo que evidentemente dejaría sin sentido alguno lo indicado en el citado segundo párrafo del Preámbulo y aún a la referida regla. Vale decir, la jurisdicción interamericana no sería, en tal eventualidad y como ya se señaló, coadyuvante o complementaria de la nacional, sino más bien la sustituiría o, al menos, podría ser empleada como un elemento de presión a su respecto, lo que, sin duda, no es lo buscado por la Convención.</w:t>
      </w:r>
    </w:p>
    <w:p w14:paraId="7924E542" w14:textId="77777777" w:rsidR="00E1638D" w:rsidRPr="00EE0619" w:rsidRDefault="00E1638D" w:rsidP="00E1638D">
      <w:pPr>
        <w:jc w:val="both"/>
        <w:rPr>
          <w:rFonts w:ascii="Verdana" w:hAnsi="Verdana"/>
          <w:sz w:val="20"/>
          <w:szCs w:val="20"/>
          <w:lang w:val="es-ES"/>
        </w:rPr>
      </w:pPr>
      <w:r w:rsidRPr="00EE0619">
        <w:rPr>
          <w:rFonts w:ascii="Verdana" w:hAnsi="Verdana"/>
          <w:sz w:val="20"/>
          <w:szCs w:val="20"/>
          <w:lang w:val="es-ES"/>
        </w:rPr>
        <w:t>Además, en esa hipótesis, ello podría constituir un incentivo, que podría ser considerado perverso, a que se eleven presentaciones ante la Comisión a</w:t>
      </w:r>
      <w:r w:rsidR="00860365" w:rsidRPr="00EE0619">
        <w:rPr>
          <w:rFonts w:ascii="Verdana" w:hAnsi="Verdana"/>
          <w:sz w:val="20"/>
          <w:szCs w:val="20"/>
          <w:lang w:val="es-ES"/>
        </w:rPr>
        <w:t>u</w:t>
      </w:r>
      <w:r w:rsidRPr="00EE0619">
        <w:rPr>
          <w:rFonts w:ascii="Verdana" w:hAnsi="Verdana"/>
          <w:sz w:val="20"/>
          <w:szCs w:val="20"/>
          <w:lang w:val="es-ES"/>
        </w:rPr>
        <w:t>n cuando no se haya cumplido con el referido requisito, con la esperanza de que</w:t>
      </w:r>
      <w:r w:rsidRPr="00E1638D">
        <w:rPr>
          <w:rFonts w:ascii="Verdana" w:hAnsi="Verdana"/>
          <w:lang w:val="es-ES"/>
        </w:rPr>
        <w:t xml:space="preserve"> ello se pueda </w:t>
      </w:r>
      <w:r w:rsidRPr="00EE0619">
        <w:rPr>
          <w:rFonts w:ascii="Verdana" w:hAnsi="Verdana"/>
          <w:sz w:val="20"/>
          <w:szCs w:val="20"/>
          <w:lang w:val="es-ES"/>
        </w:rPr>
        <w:t>lograr en forma previa al pronunciamiento de dicha instancia respecto de su</w:t>
      </w:r>
      <w:r w:rsidRPr="00E1638D">
        <w:rPr>
          <w:rFonts w:ascii="Verdana" w:hAnsi="Verdana"/>
          <w:lang w:val="es-ES"/>
        </w:rPr>
        <w:t xml:space="preserve"> </w:t>
      </w:r>
      <w:r w:rsidRPr="00EE0619">
        <w:rPr>
          <w:rFonts w:ascii="Verdana" w:hAnsi="Verdana"/>
          <w:sz w:val="20"/>
          <w:szCs w:val="20"/>
          <w:lang w:val="es-ES"/>
        </w:rPr>
        <w:t xml:space="preserve">admisibilidad, lo que, por cierto, tampoco pudo haber sido previsto ni perseguido por la Convención. </w:t>
      </w:r>
    </w:p>
    <w:p w14:paraId="177C1BB3" w14:textId="77777777" w:rsidR="00E1638D" w:rsidRPr="00EE0619" w:rsidRDefault="00E1638D" w:rsidP="00E1638D">
      <w:pPr>
        <w:jc w:val="both"/>
        <w:rPr>
          <w:rFonts w:ascii="Verdana" w:hAnsi="Verdana"/>
          <w:sz w:val="20"/>
          <w:szCs w:val="20"/>
          <w:lang w:val="es-ES"/>
        </w:rPr>
      </w:pPr>
      <w:r w:rsidRPr="00EE0619">
        <w:rPr>
          <w:rFonts w:ascii="Verdana" w:hAnsi="Verdana"/>
          <w:sz w:val="20"/>
          <w:szCs w:val="20"/>
          <w:lang w:val="es-ES"/>
        </w:rPr>
        <w:lastRenderedPageBreak/>
        <w:t xml:space="preserve">Por otra parte, cabe interrogarse si tendría sentido el </w:t>
      </w:r>
      <w:r w:rsidRPr="00EE0619">
        <w:rPr>
          <w:rFonts w:ascii="Verdana" w:hAnsi="Verdana"/>
          <w:i/>
          <w:sz w:val="20"/>
          <w:szCs w:val="20"/>
          <w:lang w:val="es-ES"/>
        </w:rPr>
        <w:t>“estudio y tramitación inicial”</w:t>
      </w:r>
      <w:r w:rsidRPr="00EE0619">
        <w:rPr>
          <w:rFonts w:ascii="Verdana" w:hAnsi="Verdana"/>
          <w:sz w:val="20"/>
          <w:szCs w:val="20"/>
          <w:lang w:val="es-ES"/>
        </w:rPr>
        <w:t xml:space="preserve"> de la petición si no fuese necesario, para presentarla, que se hayan agotado previamente los recursos internos. Efectivamente, si tal requisito fuese exigible solo al momento de decidir sobre la admisibilidad de la petición, procedería preguntarse qué sentido tendría estudiar inicialmente esta última. Y aún más, cuál sería el motivo y el efecto práctico por el que la Convención distingue entre el momento de la presentación de la petición y el de su admisibilidad. En otros términos, si se considerara que el referido requisito o regla debe estar cumplido al momento en que se adopta la decisión sobre la admisibilidad de la petición y no al instante en que ésta se presenta, es lógico interrogarse qué sentido tendría la petición misma. </w:t>
      </w:r>
    </w:p>
    <w:p w14:paraId="0F3F6C49" w14:textId="77777777" w:rsidR="00E1638D" w:rsidRPr="00EE0619" w:rsidRDefault="00E1638D" w:rsidP="00E1638D">
      <w:pPr>
        <w:jc w:val="both"/>
        <w:rPr>
          <w:rFonts w:ascii="Verdana" w:hAnsi="Verdana"/>
          <w:sz w:val="20"/>
          <w:szCs w:val="20"/>
          <w:lang w:val="es-ES"/>
        </w:rPr>
      </w:pPr>
      <w:r w:rsidRPr="00EE0619">
        <w:rPr>
          <w:rFonts w:ascii="Verdana" w:hAnsi="Verdana"/>
          <w:sz w:val="20"/>
          <w:szCs w:val="20"/>
          <w:lang w:val="es-ES"/>
        </w:rPr>
        <w:t>También es del caso advertir que</w:t>
      </w:r>
      <w:r w:rsidR="00860365" w:rsidRPr="00EE0619">
        <w:rPr>
          <w:rFonts w:ascii="Verdana" w:hAnsi="Verdana"/>
          <w:sz w:val="20"/>
          <w:szCs w:val="20"/>
          <w:lang w:val="es-ES"/>
        </w:rPr>
        <w:t>,</w:t>
      </w:r>
      <w:r w:rsidRPr="00EE0619">
        <w:rPr>
          <w:rFonts w:ascii="Verdana" w:hAnsi="Verdana"/>
          <w:sz w:val="20"/>
          <w:szCs w:val="20"/>
          <w:lang w:val="es-ES"/>
        </w:rPr>
        <w:t xml:space="preserve"> de no seguirse el criterio de que el aludido requisito debe cumplirse al momento de la presentación o complemento de la petición y que, en cambio, de adoptarse la tesis de que dicha exigencia está determinada por el instante en que la Comisión se pronuncia sobre la admisibilidad de aquella, se generarían situaciones de abierta injusticia o arbitrariedad en la medida en que la oportunidad para cumplir con el requisito en cuestión en definitiva dependería, no de la víctima o del peticionario ni de una norma válida para todos, sino de la decisión de la Comisión de resolver sobre la admisibilidad o inadmisibilidad de la petición, la que en no pocas ocasiones tarda años en ser adoptada y que, en ocasiones, podría ser catalogada de arbitraria</w:t>
      </w:r>
      <w:r w:rsidR="00963D85" w:rsidRPr="00EE0619">
        <w:rPr>
          <w:rFonts w:ascii="Verdana" w:hAnsi="Verdana"/>
          <w:sz w:val="20"/>
          <w:szCs w:val="20"/>
          <w:lang w:val="es-ES"/>
        </w:rPr>
        <w:t>.</w:t>
      </w:r>
    </w:p>
    <w:p w14:paraId="0F29E039" w14:textId="77777777" w:rsidR="00E1638D" w:rsidRPr="00EE0619" w:rsidRDefault="00E1638D" w:rsidP="00E1638D">
      <w:pPr>
        <w:jc w:val="both"/>
        <w:rPr>
          <w:rFonts w:ascii="Verdana" w:hAnsi="Verdana"/>
          <w:sz w:val="20"/>
          <w:szCs w:val="20"/>
          <w:lang w:val="es-ES"/>
        </w:rPr>
      </w:pPr>
      <w:r w:rsidRPr="00EE0619">
        <w:rPr>
          <w:rFonts w:ascii="Verdana" w:hAnsi="Verdana"/>
          <w:sz w:val="20"/>
          <w:szCs w:val="20"/>
          <w:lang w:val="es-ES"/>
        </w:rPr>
        <w:t xml:space="preserve">Por último, es procedente presumir que, de haber una más ágil tramitación y, por ende, unos más expeditos pronunciamientos de parte de la Comisión con respecto a la admisibilidad de las peticiones </w:t>
      </w:r>
      <w:r w:rsidRPr="00EE0619">
        <w:rPr>
          <w:rFonts w:ascii="Verdana" w:hAnsi="Verdana"/>
          <w:i/>
          <w:sz w:val="20"/>
          <w:szCs w:val="20"/>
          <w:lang w:val="es-ES"/>
        </w:rPr>
        <w:t>“presentadas”</w:t>
      </w:r>
      <w:r w:rsidRPr="00EE0619">
        <w:rPr>
          <w:rFonts w:ascii="Verdana" w:hAnsi="Verdana"/>
          <w:sz w:val="20"/>
          <w:szCs w:val="20"/>
          <w:lang w:val="es-ES"/>
        </w:rPr>
        <w:t>, para lo que muy probablemente requeriría de más recursos y de reglamentación adecuada para el señalado objetivo, seguramente se evitarían retrasos o demoras en la tramitación de un número considerable de casos.</w:t>
      </w:r>
    </w:p>
    <w:p w14:paraId="548BAAEB" w14:textId="77777777" w:rsidR="00E1638D" w:rsidRPr="007F26EE" w:rsidRDefault="007F26EE" w:rsidP="007F26EE">
      <w:pPr>
        <w:pStyle w:val="ListParagraph"/>
        <w:numPr>
          <w:ilvl w:val="0"/>
          <w:numId w:val="3"/>
        </w:numPr>
        <w:spacing w:before="120" w:after="120"/>
        <w:jc w:val="both"/>
        <w:rPr>
          <w:rFonts w:ascii="Verdana" w:hAnsi="Verdana"/>
          <w:b/>
          <w:lang w:val="es-ES"/>
        </w:rPr>
      </w:pPr>
      <w:r>
        <w:rPr>
          <w:rFonts w:ascii="Verdana" w:hAnsi="Verdana"/>
          <w:b/>
          <w:lang w:val="es-ES"/>
        </w:rPr>
        <w:t>Consecuencias e</w:t>
      </w:r>
      <w:r w:rsidR="00210281" w:rsidRPr="007F26EE">
        <w:rPr>
          <w:rFonts w:ascii="Verdana" w:hAnsi="Verdana"/>
          <w:b/>
          <w:lang w:val="es-ES"/>
        </w:rPr>
        <w:t>n el presente caso.</w:t>
      </w:r>
    </w:p>
    <w:p w14:paraId="0D28ECC4" w14:textId="77777777" w:rsidR="00EF253F" w:rsidRPr="00EE0619" w:rsidRDefault="00076157" w:rsidP="00076157">
      <w:pPr>
        <w:jc w:val="both"/>
        <w:rPr>
          <w:rFonts w:ascii="Verdana" w:hAnsi="Verdana"/>
          <w:sz w:val="20"/>
          <w:szCs w:val="20"/>
          <w:lang w:val="es-ES"/>
        </w:rPr>
      </w:pPr>
      <w:r w:rsidRPr="00EE0619">
        <w:rPr>
          <w:rFonts w:ascii="Verdana" w:hAnsi="Verdana"/>
          <w:sz w:val="20"/>
          <w:szCs w:val="20"/>
          <w:lang w:val="es-ES"/>
        </w:rPr>
        <w:t>La primera consecuencia que se deriva de considerar, como lo hace la Sentencia, a la regla del previo agotamiento de los recursos internos como requisito de la admisibili</w:t>
      </w:r>
      <w:r w:rsidR="00EF253F" w:rsidRPr="00EE0619">
        <w:rPr>
          <w:rFonts w:ascii="Verdana" w:hAnsi="Verdana"/>
          <w:sz w:val="20"/>
          <w:szCs w:val="20"/>
          <w:lang w:val="es-ES"/>
        </w:rPr>
        <w:t xml:space="preserve">dad de la petición y no de ésta, es que hace posible que, en definitiva, la </w:t>
      </w:r>
      <w:proofErr w:type="spellStart"/>
      <w:r w:rsidR="00EF253F" w:rsidRPr="00EE0619">
        <w:rPr>
          <w:rFonts w:ascii="Verdana" w:hAnsi="Verdana"/>
          <w:i/>
          <w:sz w:val="20"/>
          <w:szCs w:val="20"/>
          <w:lang w:val="es-ES"/>
        </w:rPr>
        <w:t>litis</w:t>
      </w:r>
      <w:proofErr w:type="spellEnd"/>
      <w:r w:rsidR="0025155E" w:rsidRPr="00EE0619">
        <w:rPr>
          <w:rFonts w:ascii="Verdana" w:hAnsi="Verdana"/>
          <w:sz w:val="20"/>
          <w:szCs w:val="20"/>
          <w:lang w:val="es-ES"/>
        </w:rPr>
        <w:t xml:space="preserve"> que se planteó</w:t>
      </w:r>
      <w:r w:rsidR="00EF253F" w:rsidRPr="00EE0619">
        <w:rPr>
          <w:rFonts w:ascii="Verdana" w:hAnsi="Verdana"/>
          <w:sz w:val="20"/>
          <w:szCs w:val="20"/>
          <w:lang w:val="es-ES"/>
        </w:rPr>
        <w:t xml:space="preserve"> </w:t>
      </w:r>
      <w:r w:rsidR="0025155E" w:rsidRPr="00EE0619">
        <w:rPr>
          <w:rFonts w:ascii="Verdana" w:hAnsi="Verdana"/>
          <w:sz w:val="20"/>
          <w:szCs w:val="20"/>
          <w:lang w:val="es-ES"/>
        </w:rPr>
        <w:t xml:space="preserve">en autos </w:t>
      </w:r>
      <w:r w:rsidR="00EF253F" w:rsidRPr="00EE0619">
        <w:rPr>
          <w:rFonts w:ascii="Verdana" w:hAnsi="Verdana"/>
          <w:sz w:val="20"/>
          <w:szCs w:val="20"/>
          <w:lang w:val="es-ES"/>
        </w:rPr>
        <w:t>con la</w:t>
      </w:r>
      <w:r w:rsidR="0025155E" w:rsidRPr="00EE0619">
        <w:rPr>
          <w:rFonts w:ascii="Verdana" w:hAnsi="Verdana"/>
          <w:sz w:val="20"/>
          <w:szCs w:val="20"/>
          <w:lang w:val="es-ES"/>
        </w:rPr>
        <w:t xml:space="preserve"> interposición de aquella variara </w:t>
      </w:r>
      <w:r w:rsidR="00EF253F" w:rsidRPr="00EE0619">
        <w:rPr>
          <w:rFonts w:ascii="Verdana" w:hAnsi="Verdana"/>
          <w:sz w:val="20"/>
          <w:szCs w:val="20"/>
          <w:lang w:val="es-ES"/>
        </w:rPr>
        <w:t xml:space="preserve">considerablemente, transformando su objeto y afectando muy seriamente los </w:t>
      </w:r>
      <w:r w:rsidR="0025155E" w:rsidRPr="00EE0619">
        <w:rPr>
          <w:rFonts w:ascii="Verdana" w:hAnsi="Verdana"/>
          <w:sz w:val="20"/>
          <w:szCs w:val="20"/>
          <w:lang w:val="es-ES"/>
        </w:rPr>
        <w:t>derechos de una o ambas partes y todo ello hasta tal punto que, e</w:t>
      </w:r>
      <w:r w:rsidR="00981FF8" w:rsidRPr="00EE0619">
        <w:rPr>
          <w:rFonts w:ascii="Verdana" w:hAnsi="Verdana"/>
          <w:sz w:val="20"/>
          <w:szCs w:val="20"/>
          <w:lang w:val="es-ES"/>
        </w:rPr>
        <w:t>n suma, la Corte finali</w:t>
      </w:r>
      <w:r w:rsidR="0025155E" w:rsidRPr="00EE0619">
        <w:rPr>
          <w:rFonts w:ascii="Verdana" w:hAnsi="Verdana"/>
          <w:sz w:val="20"/>
          <w:szCs w:val="20"/>
          <w:lang w:val="es-ES"/>
        </w:rPr>
        <w:t>za pronunciándose sobre una excepción distinta a la planteada, variando incluso el caso</w:t>
      </w:r>
      <w:r w:rsidR="00210281" w:rsidRPr="00EE0619">
        <w:rPr>
          <w:rFonts w:ascii="Verdana" w:hAnsi="Verdana"/>
          <w:sz w:val="20"/>
          <w:szCs w:val="20"/>
          <w:lang w:val="es-ES"/>
        </w:rPr>
        <w:t>.</w:t>
      </w:r>
      <w:r w:rsidR="00EF253F" w:rsidRPr="00EE0619">
        <w:rPr>
          <w:rFonts w:ascii="Verdana" w:hAnsi="Verdana"/>
          <w:sz w:val="20"/>
          <w:szCs w:val="20"/>
          <w:lang w:val="es-ES"/>
        </w:rPr>
        <w:t xml:space="preserve"> </w:t>
      </w:r>
    </w:p>
    <w:p w14:paraId="760FC430" w14:textId="7A33349F" w:rsidR="00EF253F" w:rsidRPr="00EE0619" w:rsidRDefault="00EF253F" w:rsidP="00076157">
      <w:pPr>
        <w:jc w:val="both"/>
        <w:rPr>
          <w:rFonts w:ascii="Verdana" w:hAnsi="Verdana"/>
          <w:sz w:val="20"/>
          <w:szCs w:val="20"/>
          <w:lang w:val="es-ES"/>
        </w:rPr>
      </w:pPr>
      <w:r w:rsidRPr="00EE0619">
        <w:rPr>
          <w:rFonts w:ascii="Verdana" w:hAnsi="Verdana"/>
          <w:sz w:val="20"/>
          <w:szCs w:val="20"/>
          <w:lang w:val="es-ES"/>
        </w:rPr>
        <w:t>En efecto, lo alegado en autos era</w:t>
      </w:r>
      <w:r w:rsidR="00D24FB6" w:rsidRPr="00EE0619">
        <w:rPr>
          <w:rFonts w:ascii="Verdana" w:hAnsi="Verdana"/>
          <w:sz w:val="20"/>
          <w:szCs w:val="20"/>
          <w:lang w:val="es-ES"/>
        </w:rPr>
        <w:t xml:space="preserve"> </w:t>
      </w:r>
      <w:r w:rsidR="003904AA" w:rsidRPr="00EE0619">
        <w:rPr>
          <w:rFonts w:ascii="Verdana" w:hAnsi="Verdana"/>
          <w:sz w:val="20"/>
          <w:szCs w:val="20"/>
          <w:lang w:val="es-ES"/>
        </w:rPr>
        <w:t>qu</w:t>
      </w:r>
      <w:r w:rsidR="00D24FB6" w:rsidRPr="00EE0619">
        <w:rPr>
          <w:rFonts w:ascii="Verdana" w:hAnsi="Verdana"/>
          <w:sz w:val="20"/>
          <w:szCs w:val="20"/>
          <w:lang w:val="es-ES"/>
        </w:rPr>
        <w:t xml:space="preserve">e, lógicamente, </w:t>
      </w:r>
      <w:r w:rsidR="00B816EF" w:rsidRPr="00EE0619">
        <w:rPr>
          <w:rFonts w:ascii="Verdana" w:hAnsi="Verdana"/>
          <w:sz w:val="20"/>
          <w:szCs w:val="20"/>
          <w:lang w:val="es-ES"/>
        </w:rPr>
        <w:t>el ilícito internacional ya se había cometido a la fech</w:t>
      </w:r>
      <w:r w:rsidR="00D24FB6" w:rsidRPr="00EE0619">
        <w:rPr>
          <w:rFonts w:ascii="Verdana" w:hAnsi="Verdana"/>
          <w:sz w:val="20"/>
          <w:szCs w:val="20"/>
          <w:lang w:val="es-ES"/>
        </w:rPr>
        <w:t>a de las pertinentes peticiones</w:t>
      </w:r>
      <w:r w:rsidR="00D24FB6">
        <w:rPr>
          <w:rStyle w:val="FootnoteReference"/>
          <w:rFonts w:ascii="Verdana" w:hAnsi="Verdana"/>
          <w:lang w:val="es-ES"/>
        </w:rPr>
        <w:footnoteReference w:id="29"/>
      </w:r>
      <w:r w:rsidR="007676C0">
        <w:rPr>
          <w:rFonts w:ascii="Verdana" w:hAnsi="Verdana"/>
          <w:lang w:val="es-ES"/>
        </w:rPr>
        <w:t xml:space="preserve"> </w:t>
      </w:r>
      <w:r w:rsidR="00D24FB6" w:rsidRPr="00EE0619">
        <w:rPr>
          <w:rFonts w:ascii="Verdana" w:hAnsi="Verdana"/>
          <w:sz w:val="20"/>
          <w:szCs w:val="20"/>
          <w:lang w:val="es-ES"/>
        </w:rPr>
        <w:t>y a ello el Estado dio debida respuesta</w:t>
      </w:r>
      <w:r w:rsidR="00D24FB6">
        <w:rPr>
          <w:rStyle w:val="FootnoteReference"/>
          <w:rFonts w:ascii="Verdana" w:hAnsi="Verdana"/>
          <w:lang w:val="es-ES"/>
        </w:rPr>
        <w:footnoteReference w:id="30"/>
      </w:r>
      <w:r w:rsidR="00D24FB6">
        <w:rPr>
          <w:rFonts w:ascii="Verdana" w:hAnsi="Verdana"/>
          <w:lang w:val="es-ES"/>
        </w:rPr>
        <w:t xml:space="preserve">, </w:t>
      </w:r>
      <w:r w:rsidR="00D24FB6" w:rsidRPr="00EE0619">
        <w:rPr>
          <w:rFonts w:ascii="Verdana" w:hAnsi="Verdana"/>
          <w:sz w:val="20"/>
          <w:szCs w:val="20"/>
          <w:lang w:val="es-ES"/>
        </w:rPr>
        <w:t>esto es, todo ello obviamente antes de la vigencia de la ley</w:t>
      </w:r>
      <w:r w:rsidR="00D24FB6" w:rsidRPr="00EE0619">
        <w:rPr>
          <w:rFonts w:ascii="Verdana" w:hAnsi="Verdana"/>
          <w:spacing w:val="-2"/>
          <w:sz w:val="20"/>
          <w:szCs w:val="20"/>
          <w:lang w:val="es-PR"/>
        </w:rPr>
        <w:t xml:space="preserve"> 8503, “Ley de Apertura de la Casación Penal” y su Transitorio I</w:t>
      </w:r>
      <w:r w:rsidR="00BD2268" w:rsidRPr="00EE0619">
        <w:rPr>
          <w:rFonts w:ascii="Verdana" w:hAnsi="Verdana"/>
          <w:spacing w:val="-2"/>
          <w:sz w:val="20"/>
          <w:szCs w:val="20"/>
          <w:lang w:val="es-PR"/>
        </w:rPr>
        <w:t>, de 2006</w:t>
      </w:r>
      <w:r w:rsidR="00BD2268">
        <w:rPr>
          <w:rFonts w:ascii="Verdana" w:hAnsi="Verdana"/>
          <w:spacing w:val="-2"/>
          <w:lang w:val="es-PR"/>
        </w:rPr>
        <w:t>,</w:t>
      </w:r>
      <w:r w:rsidR="00D24FB6" w:rsidRPr="00D24FB6">
        <w:rPr>
          <w:rStyle w:val="FootnoteReference"/>
          <w:rFonts w:ascii="Verdana" w:hAnsi="Verdana"/>
          <w:lang w:val="es-ES"/>
        </w:rPr>
        <w:footnoteReference w:id="31"/>
      </w:r>
      <w:r w:rsidR="00D24FB6" w:rsidRPr="00D24FB6">
        <w:rPr>
          <w:rFonts w:ascii="Verdana" w:hAnsi="Verdana"/>
          <w:spacing w:val="-2"/>
          <w:lang w:val="es-PR"/>
        </w:rPr>
        <w:t xml:space="preserve"> </w:t>
      </w:r>
      <w:r w:rsidR="00D24FB6" w:rsidRPr="00EE0619">
        <w:rPr>
          <w:rFonts w:ascii="Verdana" w:hAnsi="Verdana"/>
          <w:spacing w:val="-2"/>
          <w:sz w:val="20"/>
          <w:szCs w:val="20"/>
          <w:lang w:val="es-PR"/>
        </w:rPr>
        <w:t xml:space="preserve">y, por cierto, de la Ley no. </w:t>
      </w:r>
      <w:r w:rsidR="00D24FB6" w:rsidRPr="00EE0619">
        <w:rPr>
          <w:rFonts w:ascii="Verdana" w:hAnsi="Verdana"/>
          <w:spacing w:val="-2"/>
          <w:sz w:val="20"/>
          <w:szCs w:val="20"/>
          <w:lang w:val="es-PR"/>
        </w:rPr>
        <w:lastRenderedPageBreak/>
        <w:t xml:space="preserve">8837 </w:t>
      </w:r>
      <w:r w:rsidR="00D24FB6" w:rsidRPr="00EE0619">
        <w:rPr>
          <w:rFonts w:ascii="Verdana" w:hAnsi="Verdana"/>
          <w:sz w:val="20"/>
          <w:szCs w:val="20"/>
          <w:lang w:val="es-CR"/>
        </w:rPr>
        <w:t>“Creación del Recurso de Apelación de la Sentencia, otras Reformas al régimen de impugnación e implementación de Nuevas Reglas de oralidad den el Proceso Penal”</w:t>
      </w:r>
      <w:r w:rsidR="00BD2268" w:rsidRPr="00EE0619">
        <w:rPr>
          <w:rFonts w:ascii="Verdana" w:hAnsi="Verdana"/>
          <w:sz w:val="20"/>
          <w:szCs w:val="20"/>
          <w:lang w:val="es-CR"/>
        </w:rPr>
        <w:t>, de 2011</w:t>
      </w:r>
      <w:r w:rsidR="00D24FB6">
        <w:rPr>
          <w:rStyle w:val="FootnoteReference"/>
          <w:rFonts w:ascii="Verdana" w:hAnsi="Verdana"/>
          <w:lang w:val="es-CR"/>
        </w:rPr>
        <w:footnoteReference w:id="32"/>
      </w:r>
      <w:r w:rsidR="00D24FB6">
        <w:rPr>
          <w:rFonts w:ascii="Verdana" w:hAnsi="Verdana"/>
          <w:lang w:val="es-CR"/>
        </w:rPr>
        <w:t xml:space="preserve">. </w:t>
      </w:r>
      <w:r w:rsidR="00D24FB6" w:rsidRPr="00EE0619">
        <w:rPr>
          <w:rFonts w:ascii="Verdana" w:hAnsi="Verdana"/>
          <w:sz w:val="20"/>
          <w:szCs w:val="20"/>
          <w:lang w:val="es-CR"/>
        </w:rPr>
        <w:t xml:space="preserve">Sin embargo, la Sentencia analiza </w:t>
      </w:r>
      <w:r w:rsidR="009C6B6D" w:rsidRPr="00EE0619">
        <w:rPr>
          <w:rFonts w:ascii="Verdana" w:hAnsi="Verdana"/>
          <w:sz w:val="20"/>
          <w:szCs w:val="20"/>
          <w:lang w:val="es-CR"/>
        </w:rPr>
        <w:t>lo relativo a la excepción atin</w:t>
      </w:r>
      <w:r w:rsidR="00D24FB6" w:rsidRPr="00EE0619">
        <w:rPr>
          <w:rFonts w:ascii="Verdana" w:hAnsi="Verdana"/>
          <w:sz w:val="20"/>
          <w:szCs w:val="20"/>
          <w:lang w:val="es-CR"/>
        </w:rPr>
        <w:t>ente al requisito de previo agotamiento de los recursos internos, para aceptarla o desecharla, no en referencia a la legislación vigente al momento de la presentación de las correspondientes petici</w:t>
      </w:r>
      <w:r w:rsidR="00362724" w:rsidRPr="00EE0619">
        <w:rPr>
          <w:rFonts w:ascii="Verdana" w:hAnsi="Verdana"/>
          <w:sz w:val="20"/>
          <w:szCs w:val="20"/>
          <w:lang w:val="es-CR"/>
        </w:rPr>
        <w:t>ones, sino con respecto a las antes señaladas</w:t>
      </w:r>
      <w:r w:rsidR="00D24FB6" w:rsidRPr="00EE0619">
        <w:rPr>
          <w:rFonts w:ascii="Verdana" w:hAnsi="Verdana"/>
          <w:sz w:val="20"/>
          <w:szCs w:val="20"/>
          <w:lang w:val="es-CR"/>
        </w:rPr>
        <w:t xml:space="preserve"> leyes, no vigentes, se reitera, en aquella época.</w:t>
      </w:r>
    </w:p>
    <w:p w14:paraId="55E64CFD" w14:textId="77777777" w:rsidR="00362724" w:rsidRDefault="00D24FB6" w:rsidP="00076157">
      <w:pPr>
        <w:jc w:val="both"/>
        <w:rPr>
          <w:rFonts w:ascii="Verdana" w:hAnsi="Verdana"/>
          <w:lang w:val="es-ES"/>
        </w:rPr>
      </w:pPr>
      <w:r w:rsidRPr="00EE0619">
        <w:rPr>
          <w:rFonts w:ascii="Verdana" w:hAnsi="Verdana"/>
          <w:sz w:val="20"/>
          <w:szCs w:val="20"/>
          <w:lang w:val="es-ES"/>
        </w:rPr>
        <w:t>Así</w:t>
      </w:r>
      <w:r w:rsidR="001C6D94" w:rsidRPr="00EE0619">
        <w:rPr>
          <w:rFonts w:ascii="Verdana" w:hAnsi="Verdana"/>
          <w:sz w:val="20"/>
          <w:szCs w:val="20"/>
          <w:lang w:val="es-ES"/>
        </w:rPr>
        <w:t>, lo que en defi</w:t>
      </w:r>
      <w:r w:rsidR="00B816EF" w:rsidRPr="00EE0619">
        <w:rPr>
          <w:rFonts w:ascii="Verdana" w:hAnsi="Verdana"/>
          <w:sz w:val="20"/>
          <w:szCs w:val="20"/>
          <w:lang w:val="es-ES"/>
        </w:rPr>
        <w:t>nitiva hizo</w:t>
      </w:r>
      <w:r w:rsidR="001C6D94" w:rsidRPr="00EE0619">
        <w:rPr>
          <w:rFonts w:ascii="Verdana" w:hAnsi="Verdana"/>
          <w:sz w:val="20"/>
          <w:szCs w:val="20"/>
          <w:lang w:val="es-ES"/>
        </w:rPr>
        <w:t xml:space="preserve"> la</w:t>
      </w:r>
      <w:r w:rsidR="00B816EF" w:rsidRPr="00EE0619">
        <w:rPr>
          <w:rFonts w:ascii="Verdana" w:hAnsi="Verdana"/>
          <w:sz w:val="20"/>
          <w:szCs w:val="20"/>
          <w:lang w:val="es-ES"/>
        </w:rPr>
        <w:t xml:space="preserve"> Sentencia fue</w:t>
      </w:r>
      <w:r w:rsidR="001C6D94" w:rsidRPr="00EE0619">
        <w:rPr>
          <w:rFonts w:ascii="Verdana" w:hAnsi="Verdana"/>
          <w:sz w:val="20"/>
          <w:szCs w:val="20"/>
          <w:lang w:val="es-ES"/>
        </w:rPr>
        <w:t xml:space="preserve"> efectuar el control de convencionalidad de</w:t>
      </w:r>
      <w:r w:rsidR="00B816EF" w:rsidRPr="00EE0619">
        <w:rPr>
          <w:rFonts w:ascii="Verdana" w:hAnsi="Verdana"/>
          <w:sz w:val="20"/>
          <w:szCs w:val="20"/>
          <w:lang w:val="es-ES"/>
        </w:rPr>
        <w:t xml:space="preserve"> lo dispuest</w:t>
      </w:r>
      <w:r w:rsidR="001C6D94" w:rsidRPr="00EE0619">
        <w:rPr>
          <w:rFonts w:ascii="Verdana" w:hAnsi="Verdana"/>
          <w:sz w:val="20"/>
          <w:szCs w:val="20"/>
          <w:lang w:val="es-ES"/>
        </w:rPr>
        <w:t xml:space="preserve">o por las leyes </w:t>
      </w:r>
      <w:proofErr w:type="spellStart"/>
      <w:r w:rsidR="001C6D94" w:rsidRPr="00EE0619">
        <w:rPr>
          <w:rFonts w:ascii="Verdana" w:hAnsi="Verdana"/>
          <w:sz w:val="20"/>
          <w:szCs w:val="20"/>
          <w:lang w:val="es-ES"/>
        </w:rPr>
        <w:t>N°s</w:t>
      </w:r>
      <w:proofErr w:type="spellEnd"/>
      <w:r w:rsidR="001C6D94" w:rsidRPr="00EE0619">
        <w:rPr>
          <w:rFonts w:ascii="Verdana" w:hAnsi="Verdana"/>
          <w:sz w:val="20"/>
          <w:szCs w:val="20"/>
          <w:lang w:val="es-ES"/>
        </w:rPr>
        <w:t>.</w:t>
      </w:r>
      <w:r w:rsidR="00FC07AB" w:rsidRPr="00EE0619">
        <w:rPr>
          <w:rFonts w:ascii="Verdana" w:hAnsi="Verdana"/>
          <w:sz w:val="20"/>
          <w:szCs w:val="20"/>
          <w:lang w:val="es-ES"/>
        </w:rPr>
        <w:t xml:space="preserve"> </w:t>
      </w:r>
      <w:r w:rsidRPr="00EE0619">
        <w:rPr>
          <w:rFonts w:ascii="Verdana" w:hAnsi="Verdana"/>
          <w:sz w:val="20"/>
          <w:szCs w:val="20"/>
          <w:lang w:val="es-ES"/>
        </w:rPr>
        <w:t>8503</w:t>
      </w:r>
      <w:r w:rsidR="00BD2268" w:rsidRPr="00EE0619">
        <w:rPr>
          <w:rFonts w:ascii="Verdana" w:hAnsi="Verdana"/>
          <w:sz w:val="20"/>
          <w:szCs w:val="20"/>
          <w:lang w:val="es-ES"/>
        </w:rPr>
        <w:t xml:space="preserve">, de 2006, </w:t>
      </w:r>
      <w:r w:rsidR="001C6D94" w:rsidRPr="00EE0619">
        <w:rPr>
          <w:rFonts w:ascii="Verdana" w:hAnsi="Verdana"/>
          <w:sz w:val="20"/>
          <w:szCs w:val="20"/>
          <w:lang w:val="es-ES"/>
        </w:rPr>
        <w:t>y</w:t>
      </w:r>
      <w:r w:rsidRPr="00EE0619">
        <w:rPr>
          <w:rFonts w:ascii="Verdana" w:hAnsi="Verdana"/>
          <w:sz w:val="20"/>
          <w:szCs w:val="20"/>
          <w:lang w:val="es-ES"/>
        </w:rPr>
        <w:t xml:space="preserve"> 8837</w:t>
      </w:r>
      <w:r w:rsidR="00BD2268" w:rsidRPr="00EE0619">
        <w:rPr>
          <w:rFonts w:ascii="Verdana" w:hAnsi="Verdana"/>
          <w:sz w:val="20"/>
          <w:szCs w:val="20"/>
          <w:lang w:val="es-ES"/>
        </w:rPr>
        <w:t>, de 2011, distinguiendo</w:t>
      </w:r>
      <w:r w:rsidR="00B816EF" w:rsidRPr="00EE0619">
        <w:rPr>
          <w:rFonts w:ascii="Verdana" w:hAnsi="Verdana"/>
          <w:sz w:val="20"/>
          <w:szCs w:val="20"/>
          <w:lang w:val="es-ES"/>
        </w:rPr>
        <w:t xml:space="preserve"> entre las peticiones que habían dado cumplimiento a lo previsto </w:t>
      </w:r>
      <w:r w:rsidRPr="00EE0619">
        <w:rPr>
          <w:rFonts w:ascii="Verdana" w:hAnsi="Verdana"/>
          <w:sz w:val="20"/>
          <w:szCs w:val="20"/>
          <w:lang w:val="es-ES"/>
        </w:rPr>
        <w:t xml:space="preserve">en particular, </w:t>
      </w:r>
      <w:r w:rsidR="00B816EF" w:rsidRPr="00EE0619">
        <w:rPr>
          <w:rFonts w:ascii="Verdana" w:hAnsi="Verdana"/>
          <w:sz w:val="20"/>
          <w:szCs w:val="20"/>
          <w:lang w:val="es-ES"/>
        </w:rPr>
        <w:t xml:space="preserve">en </w:t>
      </w:r>
      <w:r w:rsidRPr="00EE0619">
        <w:rPr>
          <w:rFonts w:ascii="Verdana" w:hAnsi="Verdana"/>
          <w:sz w:val="20"/>
          <w:szCs w:val="20"/>
          <w:lang w:val="es-ES"/>
        </w:rPr>
        <w:t xml:space="preserve">la primera de ellas </w:t>
      </w:r>
      <w:r w:rsidR="00B816EF" w:rsidRPr="00EE0619">
        <w:rPr>
          <w:rFonts w:ascii="Verdana" w:hAnsi="Verdana"/>
          <w:sz w:val="20"/>
          <w:szCs w:val="20"/>
          <w:lang w:val="es-ES"/>
        </w:rPr>
        <w:t>y las que no lo hicieron</w:t>
      </w:r>
      <w:r w:rsidR="00B816EF" w:rsidRPr="00B533BB">
        <w:rPr>
          <w:rStyle w:val="FootnoteReference"/>
          <w:rFonts w:ascii="Verdana" w:hAnsi="Verdana"/>
          <w:lang w:val="es-ES"/>
        </w:rPr>
        <w:footnoteReference w:id="33"/>
      </w:r>
      <w:r w:rsidR="00B816EF" w:rsidRPr="00B533BB">
        <w:rPr>
          <w:rFonts w:ascii="Verdana" w:hAnsi="Verdana"/>
          <w:lang w:val="es-ES"/>
        </w:rPr>
        <w:t xml:space="preserve">, </w:t>
      </w:r>
      <w:r w:rsidR="00B816EF" w:rsidRPr="00EE0619">
        <w:rPr>
          <w:rFonts w:ascii="Verdana" w:hAnsi="Verdana"/>
          <w:sz w:val="20"/>
          <w:szCs w:val="20"/>
          <w:lang w:val="es-ES"/>
        </w:rPr>
        <w:t>por lo demás olvidándo</w:t>
      </w:r>
      <w:r w:rsidR="00BD2268" w:rsidRPr="00EE0619">
        <w:rPr>
          <w:rFonts w:ascii="Verdana" w:hAnsi="Verdana"/>
          <w:sz w:val="20"/>
          <w:szCs w:val="20"/>
          <w:lang w:val="es-ES"/>
        </w:rPr>
        <w:t xml:space="preserve">se que </w:t>
      </w:r>
      <w:r w:rsidR="00241CAE" w:rsidRPr="00EE0619">
        <w:rPr>
          <w:rFonts w:ascii="Verdana" w:hAnsi="Verdana"/>
          <w:sz w:val="20"/>
          <w:szCs w:val="20"/>
          <w:lang w:val="es-ES"/>
        </w:rPr>
        <w:t xml:space="preserve">dicha ley </w:t>
      </w:r>
      <w:r w:rsidR="00BD2268" w:rsidRPr="00EE0619">
        <w:rPr>
          <w:rFonts w:ascii="Verdana" w:hAnsi="Verdana"/>
          <w:sz w:val="20"/>
          <w:szCs w:val="20"/>
          <w:lang w:val="es-ES"/>
        </w:rPr>
        <w:t>no establece</w:t>
      </w:r>
      <w:r w:rsidR="00B816EF" w:rsidRPr="00EE0619">
        <w:rPr>
          <w:rFonts w:ascii="Verdana" w:hAnsi="Verdana"/>
          <w:sz w:val="20"/>
          <w:szCs w:val="20"/>
          <w:lang w:val="es-ES"/>
        </w:rPr>
        <w:t xml:space="preserve"> la</w:t>
      </w:r>
      <w:r w:rsidR="00BD2268" w:rsidRPr="00EE0619">
        <w:rPr>
          <w:rFonts w:ascii="Verdana" w:hAnsi="Verdana"/>
          <w:sz w:val="20"/>
          <w:szCs w:val="20"/>
          <w:lang w:val="es-ES"/>
        </w:rPr>
        <w:t xml:space="preserve"> obligatoriedad de presentar el recursos que contempla</w:t>
      </w:r>
      <w:r w:rsidR="00B816EF" w:rsidRPr="00B533BB">
        <w:rPr>
          <w:rStyle w:val="FootnoteReference"/>
          <w:rFonts w:ascii="Verdana" w:hAnsi="Verdana"/>
          <w:lang w:val="es-ES"/>
        </w:rPr>
        <w:footnoteReference w:id="34"/>
      </w:r>
      <w:r w:rsidR="00241CAE">
        <w:rPr>
          <w:rFonts w:ascii="Verdana" w:hAnsi="Verdana"/>
          <w:lang w:val="es-ES"/>
        </w:rPr>
        <w:t xml:space="preserve">. </w:t>
      </w:r>
    </w:p>
    <w:p w14:paraId="7F2460F2" w14:textId="77777777" w:rsidR="001C6D94" w:rsidRPr="00EE0619" w:rsidRDefault="00362724" w:rsidP="00076157">
      <w:pPr>
        <w:jc w:val="both"/>
        <w:rPr>
          <w:rFonts w:ascii="Verdana" w:hAnsi="Verdana"/>
          <w:sz w:val="20"/>
          <w:szCs w:val="20"/>
          <w:lang w:val="es-ES"/>
        </w:rPr>
      </w:pPr>
      <w:r w:rsidRPr="00EE0619">
        <w:rPr>
          <w:rFonts w:ascii="Verdana" w:hAnsi="Verdana"/>
          <w:sz w:val="20"/>
          <w:szCs w:val="20"/>
          <w:lang w:val="es-ES"/>
        </w:rPr>
        <w:t xml:space="preserve">En suma, la Sentencia </w:t>
      </w:r>
      <w:r w:rsidR="00B816EF" w:rsidRPr="00EE0619">
        <w:rPr>
          <w:rFonts w:ascii="Verdana" w:hAnsi="Verdana"/>
          <w:sz w:val="20"/>
          <w:szCs w:val="20"/>
          <w:lang w:val="es-ES"/>
        </w:rPr>
        <w:t xml:space="preserve">no consideró </w:t>
      </w:r>
      <w:r w:rsidRPr="00EE0619">
        <w:rPr>
          <w:rFonts w:ascii="Verdana" w:hAnsi="Verdana"/>
          <w:sz w:val="20"/>
          <w:szCs w:val="20"/>
          <w:lang w:val="es-ES"/>
        </w:rPr>
        <w:t xml:space="preserve">que la posibilidad que procedía era que se planteara, por los peticionarios si así lo estimaban, </w:t>
      </w:r>
      <w:r w:rsidR="00480442" w:rsidRPr="00EE0619">
        <w:rPr>
          <w:rFonts w:ascii="Verdana" w:hAnsi="Verdana"/>
          <w:sz w:val="20"/>
          <w:szCs w:val="20"/>
          <w:lang w:val="es-ES"/>
        </w:rPr>
        <w:t xml:space="preserve">y en la oportunidad pertinente, </w:t>
      </w:r>
      <w:r w:rsidR="00B816EF" w:rsidRPr="00EE0619">
        <w:rPr>
          <w:rFonts w:ascii="Verdana" w:hAnsi="Verdana"/>
          <w:sz w:val="20"/>
          <w:szCs w:val="20"/>
          <w:lang w:val="es-ES"/>
        </w:rPr>
        <w:t xml:space="preserve">el </w:t>
      </w:r>
      <w:r w:rsidRPr="00EE0619">
        <w:rPr>
          <w:rFonts w:ascii="Verdana" w:hAnsi="Verdana"/>
          <w:sz w:val="20"/>
          <w:szCs w:val="20"/>
          <w:lang w:val="es-ES"/>
        </w:rPr>
        <w:t xml:space="preserve">eventual </w:t>
      </w:r>
      <w:r w:rsidR="00B816EF" w:rsidRPr="00EE0619">
        <w:rPr>
          <w:rFonts w:ascii="Verdana" w:hAnsi="Verdana"/>
          <w:sz w:val="20"/>
          <w:szCs w:val="20"/>
          <w:lang w:val="es-ES"/>
        </w:rPr>
        <w:t>incu</w:t>
      </w:r>
      <w:r w:rsidRPr="00EE0619">
        <w:rPr>
          <w:rFonts w:ascii="Verdana" w:hAnsi="Verdana"/>
          <w:sz w:val="20"/>
          <w:szCs w:val="20"/>
          <w:lang w:val="es-ES"/>
        </w:rPr>
        <w:t xml:space="preserve">mplimiento de lo previsto en dichas leyes en tanto </w:t>
      </w:r>
      <w:r w:rsidR="00B816EF" w:rsidRPr="00EE0619">
        <w:rPr>
          <w:rFonts w:ascii="Verdana" w:hAnsi="Verdana"/>
          <w:sz w:val="20"/>
          <w:szCs w:val="20"/>
          <w:lang w:val="es-ES"/>
        </w:rPr>
        <w:t>un cas</w:t>
      </w:r>
      <w:r w:rsidRPr="00EE0619">
        <w:rPr>
          <w:rFonts w:ascii="Verdana" w:hAnsi="Verdana"/>
          <w:sz w:val="20"/>
          <w:szCs w:val="20"/>
          <w:lang w:val="es-ES"/>
        </w:rPr>
        <w:t xml:space="preserve">o </w:t>
      </w:r>
      <w:r w:rsidR="00480442" w:rsidRPr="00EE0619">
        <w:rPr>
          <w:rFonts w:ascii="Verdana" w:hAnsi="Verdana"/>
          <w:sz w:val="20"/>
          <w:szCs w:val="20"/>
          <w:lang w:val="es-ES"/>
        </w:rPr>
        <w:t xml:space="preserve">totalmente diferente al resuelto </w:t>
      </w:r>
      <w:r w:rsidRPr="00EE0619">
        <w:rPr>
          <w:rFonts w:ascii="Verdana" w:hAnsi="Verdana"/>
          <w:sz w:val="20"/>
          <w:szCs w:val="20"/>
          <w:lang w:val="es-ES"/>
        </w:rPr>
        <w:t>en autos</w:t>
      </w:r>
      <w:r w:rsidR="00B816EF" w:rsidRPr="00EE0619">
        <w:rPr>
          <w:rFonts w:ascii="Verdana" w:hAnsi="Verdana"/>
          <w:sz w:val="20"/>
          <w:szCs w:val="20"/>
          <w:lang w:val="es-ES"/>
        </w:rPr>
        <w:t>.</w:t>
      </w:r>
    </w:p>
    <w:p w14:paraId="31A8185B" w14:textId="77777777" w:rsidR="006914B8" w:rsidRPr="00EE0619" w:rsidRDefault="00362724" w:rsidP="00150531">
      <w:pPr>
        <w:jc w:val="both"/>
        <w:rPr>
          <w:rFonts w:ascii="Verdana" w:hAnsi="Verdana"/>
          <w:sz w:val="20"/>
          <w:szCs w:val="20"/>
          <w:lang w:val="es-ES"/>
        </w:rPr>
      </w:pPr>
      <w:r w:rsidRPr="00EE0619">
        <w:rPr>
          <w:rFonts w:ascii="Verdana" w:hAnsi="Verdana"/>
          <w:sz w:val="20"/>
          <w:szCs w:val="20"/>
          <w:lang w:val="es-ES"/>
        </w:rPr>
        <w:t xml:space="preserve">Asimismo, en este caso acontece que es abordado </w:t>
      </w:r>
      <w:r w:rsidR="00150531" w:rsidRPr="00EE0619">
        <w:rPr>
          <w:rFonts w:ascii="Verdana" w:hAnsi="Verdana"/>
          <w:sz w:val="20"/>
          <w:szCs w:val="20"/>
          <w:lang w:val="es-ES"/>
        </w:rPr>
        <w:t>en forma simultánea por la jurisdicción interna y la jurisdicción internaciona</w:t>
      </w:r>
      <w:r w:rsidR="009C5A43" w:rsidRPr="00EE0619">
        <w:rPr>
          <w:rFonts w:ascii="Verdana" w:hAnsi="Verdana"/>
          <w:sz w:val="20"/>
          <w:szCs w:val="20"/>
          <w:lang w:val="es-ES"/>
        </w:rPr>
        <w:t xml:space="preserve">l, </w:t>
      </w:r>
      <w:r w:rsidRPr="00EE0619">
        <w:rPr>
          <w:rFonts w:ascii="Verdana" w:hAnsi="Verdana"/>
          <w:sz w:val="20"/>
          <w:szCs w:val="20"/>
          <w:lang w:val="es-ES"/>
        </w:rPr>
        <w:t>como queda demostrado por todos los recursos interpuestos</w:t>
      </w:r>
      <w:r w:rsidR="00D90A7F" w:rsidRPr="00EE0619">
        <w:rPr>
          <w:rFonts w:ascii="Verdana" w:hAnsi="Verdana"/>
          <w:sz w:val="20"/>
          <w:szCs w:val="20"/>
          <w:lang w:val="es-ES"/>
        </w:rPr>
        <w:t xml:space="preserve"> en los casos que en definitiva son considerados por la Sentencia</w:t>
      </w:r>
      <w:r w:rsidR="00D90A7F">
        <w:rPr>
          <w:rFonts w:ascii="Verdana" w:hAnsi="Verdana"/>
          <w:lang w:val="es-ES"/>
        </w:rPr>
        <w:t>,</w:t>
      </w:r>
      <w:r w:rsidR="00D90A7F">
        <w:rPr>
          <w:rStyle w:val="FootnoteReference"/>
          <w:rFonts w:ascii="Verdana" w:hAnsi="Verdana"/>
          <w:lang w:val="es-ES"/>
        </w:rPr>
        <w:footnoteReference w:id="35"/>
      </w:r>
      <w:r>
        <w:rPr>
          <w:rFonts w:ascii="Verdana" w:hAnsi="Verdana"/>
          <w:lang w:val="es-ES"/>
        </w:rPr>
        <w:t xml:space="preserve"> </w:t>
      </w:r>
      <w:r w:rsidRPr="00EE0619">
        <w:rPr>
          <w:rFonts w:ascii="Verdana" w:hAnsi="Verdana"/>
          <w:sz w:val="20"/>
          <w:szCs w:val="20"/>
          <w:lang w:val="es-ES"/>
        </w:rPr>
        <w:t xml:space="preserve">entre </w:t>
      </w:r>
      <w:r w:rsidR="00480442" w:rsidRPr="00EE0619">
        <w:rPr>
          <w:rFonts w:ascii="Verdana" w:hAnsi="Verdana"/>
          <w:sz w:val="20"/>
          <w:szCs w:val="20"/>
          <w:lang w:val="es-ES"/>
        </w:rPr>
        <w:t>los momentos en que se presentan las peticiones</w:t>
      </w:r>
      <w:r w:rsidR="00D90A7F" w:rsidRPr="00EE0619">
        <w:rPr>
          <w:rFonts w:ascii="Verdana" w:hAnsi="Verdana"/>
          <w:sz w:val="20"/>
          <w:szCs w:val="20"/>
          <w:lang w:val="es-ES"/>
        </w:rPr>
        <w:t>, es decir, entre marzo de 2004 y noviembre de 2006</w:t>
      </w:r>
      <w:r w:rsidR="00480442" w:rsidRPr="00EE0619">
        <w:rPr>
          <w:rFonts w:ascii="Verdana" w:hAnsi="Verdana"/>
          <w:sz w:val="20"/>
          <w:szCs w:val="20"/>
          <w:lang w:val="es-ES"/>
        </w:rPr>
        <w:t xml:space="preserve"> y se resuelve su admisibilidad</w:t>
      </w:r>
      <w:r w:rsidR="00D90A7F" w:rsidRPr="00EE0619">
        <w:rPr>
          <w:rFonts w:ascii="Verdana" w:hAnsi="Verdana"/>
          <w:sz w:val="20"/>
          <w:szCs w:val="20"/>
          <w:lang w:val="es-ES"/>
        </w:rPr>
        <w:t>, esto es, el 22 de julio de 2011</w:t>
      </w:r>
      <w:r w:rsidR="00480442" w:rsidRPr="00EE0619">
        <w:rPr>
          <w:rFonts w:ascii="Verdana" w:hAnsi="Verdana"/>
          <w:sz w:val="20"/>
          <w:szCs w:val="20"/>
          <w:lang w:val="es-ES"/>
        </w:rPr>
        <w:t xml:space="preserve"> </w:t>
      </w:r>
      <w:r w:rsidR="009C5A43" w:rsidRPr="00EE0619">
        <w:rPr>
          <w:rFonts w:ascii="Verdana" w:hAnsi="Verdana"/>
          <w:sz w:val="20"/>
          <w:szCs w:val="20"/>
          <w:lang w:val="es-ES"/>
        </w:rPr>
        <w:t xml:space="preserve">lo que </w:t>
      </w:r>
      <w:r w:rsidRPr="00EE0619">
        <w:rPr>
          <w:rFonts w:ascii="Verdana" w:hAnsi="Verdana"/>
          <w:sz w:val="20"/>
          <w:szCs w:val="20"/>
          <w:lang w:val="es-ES"/>
        </w:rPr>
        <w:t>a todas luces</w:t>
      </w:r>
      <w:r w:rsidR="00D90A7F" w:rsidRPr="00EE0619">
        <w:rPr>
          <w:rFonts w:ascii="Verdana" w:hAnsi="Verdana"/>
          <w:sz w:val="20"/>
          <w:szCs w:val="20"/>
          <w:lang w:val="es-ES"/>
        </w:rPr>
        <w:t xml:space="preserve"> </w:t>
      </w:r>
      <w:r w:rsidRPr="00EE0619">
        <w:rPr>
          <w:rFonts w:ascii="Verdana" w:hAnsi="Verdana"/>
          <w:sz w:val="20"/>
          <w:szCs w:val="20"/>
          <w:lang w:val="es-ES"/>
        </w:rPr>
        <w:t>no se compadece con lo previsto</w:t>
      </w:r>
      <w:r w:rsidR="00B07BE8" w:rsidRPr="00EE0619">
        <w:rPr>
          <w:rFonts w:ascii="Verdana" w:hAnsi="Verdana"/>
          <w:sz w:val="20"/>
          <w:szCs w:val="20"/>
          <w:lang w:val="es-ES"/>
        </w:rPr>
        <w:t xml:space="preserve"> en </w:t>
      </w:r>
      <w:r w:rsidRPr="00EE0619">
        <w:rPr>
          <w:rFonts w:ascii="Verdana" w:hAnsi="Verdana"/>
          <w:sz w:val="20"/>
          <w:szCs w:val="20"/>
          <w:lang w:val="es-ES"/>
        </w:rPr>
        <w:t>la Convención</w:t>
      </w:r>
      <w:r w:rsidR="00D90A7F" w:rsidRPr="00EE0619">
        <w:rPr>
          <w:rFonts w:ascii="Verdana" w:hAnsi="Verdana"/>
          <w:sz w:val="20"/>
          <w:szCs w:val="20"/>
          <w:lang w:val="es-ES"/>
        </w:rPr>
        <w:t xml:space="preserve">. </w:t>
      </w:r>
    </w:p>
    <w:p w14:paraId="18BB1907" w14:textId="77777777" w:rsidR="00150531" w:rsidRPr="00201581" w:rsidRDefault="00D90A7F" w:rsidP="00150531">
      <w:pPr>
        <w:jc w:val="both"/>
        <w:rPr>
          <w:rFonts w:ascii="Verdana" w:hAnsi="Verdana"/>
          <w:sz w:val="20"/>
          <w:szCs w:val="20"/>
          <w:lang w:val="es-ES"/>
        </w:rPr>
      </w:pPr>
      <w:r w:rsidRPr="00201581">
        <w:rPr>
          <w:rFonts w:ascii="Verdana" w:hAnsi="Verdana"/>
          <w:sz w:val="20"/>
          <w:szCs w:val="20"/>
          <w:lang w:val="es-ES"/>
        </w:rPr>
        <w:t>Adicionalmente, cabe llamar</w:t>
      </w:r>
      <w:r w:rsidR="006914B8" w:rsidRPr="00201581">
        <w:rPr>
          <w:rFonts w:ascii="Verdana" w:hAnsi="Verdana"/>
          <w:sz w:val="20"/>
          <w:szCs w:val="20"/>
          <w:lang w:val="es-ES"/>
        </w:rPr>
        <w:t xml:space="preserve"> </w:t>
      </w:r>
      <w:r w:rsidRPr="00201581">
        <w:rPr>
          <w:rFonts w:ascii="Verdana" w:hAnsi="Verdana"/>
          <w:sz w:val="20"/>
          <w:szCs w:val="20"/>
          <w:lang w:val="es-ES"/>
        </w:rPr>
        <w:t>la atención</w:t>
      </w:r>
      <w:r w:rsidR="006914B8" w:rsidRPr="00201581">
        <w:rPr>
          <w:rFonts w:ascii="Verdana" w:hAnsi="Verdana"/>
          <w:sz w:val="20"/>
          <w:szCs w:val="20"/>
          <w:lang w:val="es-ES"/>
        </w:rPr>
        <w:t>, por una parte,</w:t>
      </w:r>
      <w:r w:rsidRPr="00201581">
        <w:rPr>
          <w:rFonts w:ascii="Verdana" w:hAnsi="Verdana"/>
          <w:sz w:val="20"/>
          <w:szCs w:val="20"/>
          <w:lang w:val="es-ES"/>
        </w:rPr>
        <w:t xml:space="preserve"> </w:t>
      </w:r>
      <w:r w:rsidR="006914B8" w:rsidRPr="00201581">
        <w:rPr>
          <w:rFonts w:ascii="Verdana" w:hAnsi="Verdana"/>
          <w:sz w:val="20"/>
          <w:szCs w:val="20"/>
          <w:lang w:val="es-ES"/>
        </w:rPr>
        <w:t xml:space="preserve">acerca de que no hay constancia alguna de haya tenido lugar el </w:t>
      </w:r>
      <w:r w:rsidR="00150531" w:rsidRPr="00201581">
        <w:rPr>
          <w:rFonts w:ascii="Verdana" w:hAnsi="Verdana"/>
          <w:i/>
          <w:sz w:val="20"/>
          <w:szCs w:val="20"/>
          <w:lang w:val="es-ES"/>
        </w:rPr>
        <w:t>“estudio y tramitación inicial”</w:t>
      </w:r>
      <w:r w:rsidR="00150531" w:rsidRPr="00201581">
        <w:rPr>
          <w:rFonts w:ascii="Verdana" w:hAnsi="Verdana"/>
          <w:sz w:val="20"/>
          <w:szCs w:val="20"/>
          <w:lang w:val="es-ES"/>
        </w:rPr>
        <w:t xml:space="preserve"> de la petición </w:t>
      </w:r>
      <w:r w:rsidR="00D51B94" w:rsidRPr="00201581">
        <w:rPr>
          <w:rFonts w:ascii="Verdana" w:hAnsi="Verdana"/>
          <w:sz w:val="20"/>
          <w:szCs w:val="20"/>
          <w:lang w:val="es-ES"/>
        </w:rPr>
        <w:t xml:space="preserve">previsto </w:t>
      </w:r>
      <w:r w:rsidR="006914B8" w:rsidRPr="00201581">
        <w:rPr>
          <w:rFonts w:ascii="Verdana" w:hAnsi="Verdana"/>
          <w:sz w:val="20"/>
          <w:szCs w:val="20"/>
          <w:lang w:val="es-ES"/>
        </w:rPr>
        <w:t>en la normativa aplicable y por otra parte,</w:t>
      </w:r>
      <w:r w:rsidR="00D51B94" w:rsidRPr="00201581">
        <w:rPr>
          <w:rFonts w:ascii="Verdana" w:hAnsi="Verdana"/>
          <w:sz w:val="20"/>
          <w:szCs w:val="20"/>
          <w:lang w:val="es-ES"/>
        </w:rPr>
        <w:t xml:space="preserve"> </w:t>
      </w:r>
      <w:r w:rsidR="006914B8" w:rsidRPr="00201581">
        <w:rPr>
          <w:rFonts w:ascii="Verdana" w:hAnsi="Verdana"/>
          <w:sz w:val="20"/>
          <w:szCs w:val="20"/>
          <w:lang w:val="es-ES"/>
        </w:rPr>
        <w:t xml:space="preserve">respecto de los 4 a 6 años que la Comisión se tomó para pronunciarse sobre la admisibilidad, dando margen así para que tuviera lugar el fenómeno antes referido. </w:t>
      </w:r>
    </w:p>
    <w:p w14:paraId="5CBBDD56" w14:textId="77777777" w:rsidR="0025155E" w:rsidRPr="00201581" w:rsidRDefault="006914B8" w:rsidP="006914B8">
      <w:pPr>
        <w:jc w:val="both"/>
        <w:rPr>
          <w:rFonts w:ascii="Verdana" w:hAnsi="Verdana"/>
          <w:sz w:val="20"/>
          <w:szCs w:val="20"/>
          <w:lang w:val="es-ES"/>
        </w:rPr>
      </w:pPr>
      <w:r w:rsidRPr="00201581">
        <w:rPr>
          <w:rFonts w:ascii="Verdana" w:hAnsi="Verdana"/>
          <w:sz w:val="20"/>
          <w:szCs w:val="20"/>
          <w:lang w:val="es-ES"/>
        </w:rPr>
        <w:t xml:space="preserve">En síntesis, el presente caso es una demostración </w:t>
      </w:r>
      <w:r w:rsidR="00A86C51" w:rsidRPr="00201581">
        <w:rPr>
          <w:rFonts w:ascii="Verdana" w:hAnsi="Verdana"/>
          <w:sz w:val="20"/>
          <w:szCs w:val="20"/>
          <w:lang w:val="es-ES"/>
        </w:rPr>
        <w:t xml:space="preserve">más que </w:t>
      </w:r>
      <w:r w:rsidRPr="00201581">
        <w:rPr>
          <w:rFonts w:ascii="Verdana" w:hAnsi="Verdana"/>
          <w:sz w:val="20"/>
          <w:szCs w:val="20"/>
          <w:lang w:val="es-ES"/>
        </w:rPr>
        <w:t xml:space="preserve">evidente de lo improcedente que es </w:t>
      </w:r>
      <w:r w:rsidR="00C559C9" w:rsidRPr="00201581">
        <w:rPr>
          <w:rFonts w:ascii="Verdana" w:hAnsi="Verdana"/>
          <w:sz w:val="20"/>
          <w:szCs w:val="20"/>
          <w:lang w:val="es-ES"/>
        </w:rPr>
        <w:t>el haber exigido</w:t>
      </w:r>
      <w:r w:rsidR="001B1416" w:rsidRPr="00201581">
        <w:rPr>
          <w:rFonts w:ascii="Verdana" w:hAnsi="Verdana"/>
          <w:sz w:val="20"/>
          <w:szCs w:val="20"/>
          <w:lang w:val="es-ES"/>
        </w:rPr>
        <w:t xml:space="preserve"> la acreditación d</w:t>
      </w:r>
      <w:r w:rsidR="00A86C51" w:rsidRPr="00201581">
        <w:rPr>
          <w:rFonts w:ascii="Verdana" w:hAnsi="Verdana"/>
          <w:sz w:val="20"/>
          <w:szCs w:val="20"/>
          <w:lang w:val="es-ES"/>
        </w:rPr>
        <w:t>el cumplimiento del requisito del previo agotamiento de l</w:t>
      </w:r>
      <w:r w:rsidRPr="00201581">
        <w:rPr>
          <w:rFonts w:ascii="Verdana" w:hAnsi="Verdana"/>
          <w:sz w:val="20"/>
          <w:szCs w:val="20"/>
          <w:lang w:val="es-ES"/>
        </w:rPr>
        <w:t xml:space="preserve">os recursos internos o que ello no procede, </w:t>
      </w:r>
      <w:r w:rsidR="00A86C51" w:rsidRPr="00201581">
        <w:rPr>
          <w:rFonts w:ascii="Verdana" w:hAnsi="Verdana"/>
          <w:sz w:val="20"/>
          <w:szCs w:val="20"/>
          <w:lang w:val="es-ES"/>
        </w:rPr>
        <w:t>al momento en que l</w:t>
      </w:r>
      <w:r w:rsidR="00C559C9" w:rsidRPr="00201581">
        <w:rPr>
          <w:rFonts w:ascii="Verdana" w:hAnsi="Verdana"/>
          <w:sz w:val="20"/>
          <w:szCs w:val="20"/>
          <w:lang w:val="es-ES"/>
        </w:rPr>
        <w:t>a Comisión se pronunció sobre la</w:t>
      </w:r>
      <w:r w:rsidR="00A86C51" w:rsidRPr="00201581">
        <w:rPr>
          <w:rFonts w:ascii="Verdana" w:hAnsi="Verdana"/>
          <w:sz w:val="20"/>
          <w:szCs w:val="20"/>
          <w:lang w:val="es-ES"/>
        </w:rPr>
        <w:t xml:space="preserve"> admisibilidad</w:t>
      </w:r>
      <w:r w:rsidR="00C559C9" w:rsidRPr="00201581">
        <w:rPr>
          <w:rFonts w:ascii="Verdana" w:hAnsi="Verdana"/>
          <w:sz w:val="20"/>
          <w:szCs w:val="20"/>
          <w:lang w:val="es-ES"/>
        </w:rPr>
        <w:t xml:space="preserve"> de las correspondientes peticiones</w:t>
      </w:r>
      <w:r w:rsidR="00A86C51" w:rsidRPr="00201581">
        <w:rPr>
          <w:rFonts w:ascii="Verdana" w:hAnsi="Verdana"/>
          <w:sz w:val="20"/>
          <w:szCs w:val="20"/>
          <w:lang w:val="es-ES"/>
        </w:rPr>
        <w:t xml:space="preserve"> y no cuando </w:t>
      </w:r>
      <w:r w:rsidR="00C559C9" w:rsidRPr="00201581">
        <w:rPr>
          <w:rFonts w:ascii="Verdana" w:hAnsi="Verdana"/>
          <w:sz w:val="20"/>
          <w:szCs w:val="20"/>
          <w:lang w:val="es-ES"/>
        </w:rPr>
        <w:t>ellas fueron</w:t>
      </w:r>
      <w:r w:rsidRPr="00201581">
        <w:rPr>
          <w:rFonts w:ascii="Verdana" w:hAnsi="Verdana"/>
          <w:sz w:val="20"/>
          <w:szCs w:val="20"/>
          <w:lang w:val="es-ES"/>
        </w:rPr>
        <w:t xml:space="preserve"> presentadas, </w:t>
      </w:r>
      <w:r w:rsidR="001B1416" w:rsidRPr="00201581">
        <w:rPr>
          <w:rFonts w:ascii="Verdana" w:hAnsi="Verdana"/>
          <w:sz w:val="20"/>
          <w:szCs w:val="20"/>
          <w:lang w:val="es-ES"/>
        </w:rPr>
        <w:t>tal como lo dispone</w:t>
      </w:r>
      <w:r w:rsidR="00A86C51" w:rsidRPr="00201581">
        <w:rPr>
          <w:rFonts w:ascii="Verdana" w:hAnsi="Verdana"/>
          <w:sz w:val="20"/>
          <w:szCs w:val="20"/>
          <w:lang w:val="es-ES"/>
        </w:rPr>
        <w:t xml:space="preserve"> la Convención.</w:t>
      </w:r>
    </w:p>
    <w:p w14:paraId="2E270422" w14:textId="2B7C94D7" w:rsidR="0025155E" w:rsidRPr="00B533BB" w:rsidRDefault="00582CDB" w:rsidP="00150531">
      <w:pPr>
        <w:jc w:val="both"/>
        <w:rPr>
          <w:rFonts w:ascii="Verdana" w:hAnsi="Verdana"/>
          <w:lang w:val="es-ES"/>
        </w:rPr>
      </w:pPr>
      <w:r w:rsidRPr="00201581">
        <w:rPr>
          <w:rFonts w:ascii="Verdana" w:hAnsi="Verdana"/>
          <w:sz w:val="20"/>
          <w:szCs w:val="20"/>
          <w:lang w:val="es-ES"/>
        </w:rPr>
        <w:lastRenderedPageBreak/>
        <w:t xml:space="preserve">Es, por ende, en virtud de </w:t>
      </w:r>
      <w:r w:rsidR="00C559C9" w:rsidRPr="00201581">
        <w:rPr>
          <w:rFonts w:ascii="Verdana" w:hAnsi="Verdana"/>
          <w:sz w:val="20"/>
          <w:szCs w:val="20"/>
          <w:lang w:val="es-ES"/>
        </w:rPr>
        <w:t>todo lo precedentemente expuesto que se disiente de lo dispuesto en los Puntos Resolutivos</w:t>
      </w:r>
      <w:r w:rsidR="00E020E7" w:rsidRPr="00201581">
        <w:rPr>
          <w:rFonts w:ascii="Verdana" w:hAnsi="Verdana"/>
          <w:sz w:val="20"/>
          <w:szCs w:val="20"/>
          <w:lang w:val="es-ES"/>
        </w:rPr>
        <w:t xml:space="preserve"> </w:t>
      </w:r>
      <w:proofErr w:type="spellStart"/>
      <w:r w:rsidR="00E020E7" w:rsidRPr="00201581">
        <w:rPr>
          <w:rFonts w:ascii="Verdana" w:hAnsi="Verdana"/>
          <w:sz w:val="20"/>
          <w:szCs w:val="20"/>
          <w:lang w:val="es-ES"/>
        </w:rPr>
        <w:t>N°s</w:t>
      </w:r>
      <w:proofErr w:type="spellEnd"/>
      <w:r w:rsidR="00E020E7" w:rsidRPr="00201581">
        <w:rPr>
          <w:rFonts w:ascii="Verdana" w:hAnsi="Verdana"/>
          <w:sz w:val="20"/>
          <w:szCs w:val="20"/>
          <w:lang w:val="es-ES"/>
        </w:rPr>
        <w:t xml:space="preserve"> </w:t>
      </w:r>
      <w:r w:rsidRPr="00201581">
        <w:rPr>
          <w:rFonts w:ascii="Verdana" w:hAnsi="Verdana"/>
          <w:sz w:val="20"/>
          <w:szCs w:val="20"/>
          <w:lang w:val="es-ES"/>
        </w:rPr>
        <w:t>1 y 6</w:t>
      </w:r>
      <w:r w:rsidR="00C559C9">
        <w:rPr>
          <w:rStyle w:val="FootnoteReference"/>
          <w:rFonts w:ascii="Verdana" w:hAnsi="Verdana"/>
          <w:lang w:val="es-ES"/>
        </w:rPr>
        <w:footnoteReference w:id="36"/>
      </w:r>
      <w:r w:rsidR="00C559C9">
        <w:rPr>
          <w:rFonts w:ascii="Verdana" w:hAnsi="Verdana"/>
          <w:lang w:val="es-ES"/>
        </w:rPr>
        <w:t xml:space="preserve"> </w:t>
      </w:r>
      <w:r w:rsidR="00C559C9" w:rsidRPr="00201581">
        <w:rPr>
          <w:rFonts w:ascii="Verdana" w:hAnsi="Verdana"/>
          <w:sz w:val="20"/>
          <w:szCs w:val="20"/>
          <w:lang w:val="es-ES"/>
        </w:rPr>
        <w:t>de la Sentencia</w:t>
      </w:r>
      <w:r w:rsidRPr="00201581">
        <w:rPr>
          <w:rFonts w:ascii="Verdana" w:hAnsi="Verdana"/>
          <w:sz w:val="20"/>
          <w:szCs w:val="20"/>
          <w:lang w:val="es-ES"/>
        </w:rPr>
        <w:t xml:space="preserve"> y, asimismo por tales razones, consecuentemente se concuerda con dispuesto en los Puntos Resolutivos </w:t>
      </w:r>
      <w:proofErr w:type="spellStart"/>
      <w:r w:rsidRPr="00201581">
        <w:rPr>
          <w:rFonts w:ascii="Verdana" w:hAnsi="Verdana"/>
          <w:sz w:val="20"/>
          <w:szCs w:val="20"/>
          <w:lang w:val="es-ES"/>
        </w:rPr>
        <w:t>N°s</w:t>
      </w:r>
      <w:proofErr w:type="spellEnd"/>
      <w:r w:rsidRPr="00201581">
        <w:rPr>
          <w:rFonts w:ascii="Verdana" w:hAnsi="Verdana"/>
          <w:sz w:val="20"/>
          <w:szCs w:val="20"/>
          <w:lang w:val="es-ES"/>
        </w:rPr>
        <w:t xml:space="preserve"> 12 a 19 de la misma</w:t>
      </w:r>
      <w:r w:rsidR="00075FD1">
        <w:rPr>
          <w:rStyle w:val="FootnoteReference"/>
          <w:rFonts w:ascii="Verdana" w:hAnsi="Verdana"/>
          <w:lang w:val="es-ES"/>
        </w:rPr>
        <w:footnoteReference w:id="37"/>
      </w:r>
      <w:r w:rsidR="00C559C9">
        <w:rPr>
          <w:rFonts w:ascii="Verdana" w:hAnsi="Verdana"/>
          <w:lang w:val="es-ES"/>
        </w:rPr>
        <w:t>.</w:t>
      </w:r>
    </w:p>
    <w:p w14:paraId="29D668AA" w14:textId="77777777" w:rsidR="00E253ED" w:rsidRDefault="00B94119" w:rsidP="00E253ED">
      <w:pPr>
        <w:pStyle w:val="ListParagraph"/>
        <w:numPr>
          <w:ilvl w:val="0"/>
          <w:numId w:val="8"/>
        </w:numPr>
        <w:ind w:left="1003"/>
        <w:jc w:val="both"/>
        <w:rPr>
          <w:rFonts w:ascii="Verdana" w:hAnsi="Verdana"/>
          <w:b/>
          <w:lang w:val="es-ES"/>
        </w:rPr>
      </w:pPr>
      <w:r w:rsidRPr="00B533BB">
        <w:rPr>
          <w:rFonts w:ascii="Verdana" w:hAnsi="Verdana"/>
          <w:b/>
          <w:lang w:val="es-ES"/>
        </w:rPr>
        <w:t>Detención preventiva</w:t>
      </w:r>
      <w:r w:rsidR="00E253ED">
        <w:rPr>
          <w:rFonts w:ascii="Verdana" w:hAnsi="Verdana"/>
          <w:b/>
          <w:lang w:val="es-ES"/>
        </w:rPr>
        <w:t>.</w:t>
      </w:r>
    </w:p>
    <w:p w14:paraId="217A1335" w14:textId="44E01473" w:rsidR="00E066C6" w:rsidRPr="00201581" w:rsidRDefault="00E253ED" w:rsidP="003A3BBA">
      <w:pPr>
        <w:spacing w:after="120"/>
        <w:jc w:val="both"/>
        <w:rPr>
          <w:rFonts w:ascii="Verdana" w:hAnsi="Verdana"/>
          <w:sz w:val="20"/>
          <w:szCs w:val="20"/>
          <w:lang w:val="es-ES"/>
        </w:rPr>
      </w:pPr>
      <w:r w:rsidRPr="00201581">
        <w:rPr>
          <w:rFonts w:ascii="Verdana" w:hAnsi="Verdana"/>
          <w:sz w:val="20"/>
          <w:szCs w:val="20"/>
          <w:lang w:val="es-ES"/>
        </w:rPr>
        <w:t xml:space="preserve">El presente voto da cuenta también del disenso respecto de lo resuelto </w:t>
      </w:r>
      <w:r w:rsidR="00927452" w:rsidRPr="00201581">
        <w:rPr>
          <w:rFonts w:ascii="Verdana" w:hAnsi="Verdana"/>
          <w:sz w:val="20"/>
          <w:szCs w:val="20"/>
          <w:lang w:val="es-ES"/>
        </w:rPr>
        <w:t xml:space="preserve">en los </w:t>
      </w:r>
      <w:r w:rsidR="00E020E7" w:rsidRPr="00201581">
        <w:rPr>
          <w:rFonts w:ascii="Verdana" w:hAnsi="Verdana"/>
          <w:sz w:val="20"/>
          <w:szCs w:val="20"/>
          <w:lang w:val="es-ES"/>
        </w:rPr>
        <w:t xml:space="preserve">en los Puntos Resolutivos </w:t>
      </w:r>
      <w:proofErr w:type="spellStart"/>
      <w:r w:rsidR="00E020E7" w:rsidRPr="00201581">
        <w:rPr>
          <w:rFonts w:ascii="Verdana" w:hAnsi="Verdana"/>
          <w:sz w:val="20"/>
          <w:szCs w:val="20"/>
          <w:lang w:val="es-ES"/>
        </w:rPr>
        <w:t>N°s</w:t>
      </w:r>
      <w:proofErr w:type="spellEnd"/>
      <w:r w:rsidR="00E020E7" w:rsidRPr="00201581">
        <w:rPr>
          <w:rFonts w:ascii="Verdana" w:hAnsi="Verdana"/>
          <w:sz w:val="20"/>
          <w:szCs w:val="20"/>
          <w:lang w:val="es-ES"/>
        </w:rPr>
        <w:t xml:space="preserve"> 11, 20 y 22</w:t>
      </w:r>
      <w:r w:rsidR="00E020E7">
        <w:rPr>
          <w:rStyle w:val="FootnoteReference"/>
          <w:rFonts w:ascii="Verdana" w:hAnsi="Verdana"/>
          <w:lang w:val="es-ES"/>
        </w:rPr>
        <w:footnoteReference w:id="38"/>
      </w:r>
      <w:r w:rsidR="00E020E7">
        <w:rPr>
          <w:rFonts w:ascii="Verdana" w:hAnsi="Verdana"/>
          <w:lang w:val="es-ES"/>
        </w:rPr>
        <w:t xml:space="preserve"> </w:t>
      </w:r>
      <w:r w:rsidR="00E020E7" w:rsidRPr="00201581">
        <w:rPr>
          <w:rFonts w:ascii="Verdana" w:hAnsi="Verdana"/>
          <w:sz w:val="20"/>
          <w:szCs w:val="20"/>
          <w:lang w:val="es-ES"/>
        </w:rPr>
        <w:t xml:space="preserve">de la Sentencia. </w:t>
      </w:r>
    </w:p>
    <w:p w14:paraId="633F9CBD" w14:textId="77777777" w:rsidR="00886363" w:rsidRPr="00ED331E" w:rsidRDefault="00B734E1" w:rsidP="00ED331E">
      <w:pPr>
        <w:pStyle w:val="ListParagraph"/>
        <w:spacing w:after="0"/>
        <w:ind w:left="0"/>
        <w:jc w:val="both"/>
        <w:rPr>
          <w:rFonts w:ascii="Verdana" w:hAnsi="Verdana"/>
          <w:b/>
          <w:i/>
          <w:lang w:val="es-CR"/>
        </w:rPr>
      </w:pPr>
      <w:r w:rsidRPr="00201581">
        <w:rPr>
          <w:rFonts w:ascii="Verdana" w:hAnsi="Verdana"/>
          <w:sz w:val="20"/>
          <w:szCs w:val="20"/>
          <w:lang w:val="es-ES"/>
        </w:rPr>
        <w:t>Sobre este particular, procede, primeramente, hacer presente que la</w:t>
      </w:r>
      <w:r w:rsidR="00A660A2" w:rsidRPr="00201581">
        <w:rPr>
          <w:rFonts w:ascii="Verdana" w:hAnsi="Verdana"/>
          <w:sz w:val="20"/>
          <w:szCs w:val="20"/>
          <w:lang w:val="es-ES"/>
        </w:rPr>
        <w:t xml:space="preserve"> Sentencia</w:t>
      </w:r>
      <w:r w:rsidR="00A660A2" w:rsidRPr="00201581">
        <w:rPr>
          <w:rFonts w:ascii="Verdana" w:hAnsi="Verdana"/>
          <w:sz w:val="20"/>
          <w:szCs w:val="20"/>
          <w:lang w:val="es-CR"/>
        </w:rPr>
        <w:t xml:space="preserve"> </w:t>
      </w:r>
      <w:r w:rsidRPr="00201581">
        <w:rPr>
          <w:rFonts w:ascii="Verdana" w:hAnsi="Verdana"/>
          <w:sz w:val="20"/>
          <w:szCs w:val="20"/>
          <w:lang w:val="es-CR"/>
        </w:rPr>
        <w:t>“</w:t>
      </w:r>
      <w:r w:rsidRPr="00201581">
        <w:rPr>
          <w:rFonts w:ascii="Verdana" w:hAnsi="Verdana"/>
          <w:i/>
          <w:sz w:val="20"/>
          <w:szCs w:val="20"/>
          <w:lang w:val="es-CR"/>
        </w:rPr>
        <w:t xml:space="preserve">advierte que la extensión de la detención preventiva de señor Martínez por parte del </w:t>
      </w:r>
      <w:r w:rsidR="00963C53" w:rsidRPr="00201581">
        <w:rPr>
          <w:rFonts w:ascii="Verdana" w:hAnsi="Verdana"/>
          <w:i/>
          <w:sz w:val="20"/>
          <w:szCs w:val="20"/>
          <w:lang w:val="es-CR"/>
        </w:rPr>
        <w:t>T</w:t>
      </w:r>
      <w:r w:rsidRPr="00201581">
        <w:rPr>
          <w:rFonts w:ascii="Verdana" w:hAnsi="Verdana"/>
          <w:i/>
          <w:sz w:val="20"/>
          <w:szCs w:val="20"/>
          <w:lang w:val="es-CR"/>
        </w:rPr>
        <w:t xml:space="preserve">ribunal de </w:t>
      </w:r>
      <w:r w:rsidR="00963C53" w:rsidRPr="00201581">
        <w:rPr>
          <w:rFonts w:ascii="Verdana" w:hAnsi="Verdana"/>
          <w:i/>
          <w:sz w:val="20"/>
          <w:szCs w:val="20"/>
          <w:lang w:val="es-CR"/>
        </w:rPr>
        <w:t>J</w:t>
      </w:r>
      <w:r w:rsidRPr="00201581">
        <w:rPr>
          <w:rFonts w:ascii="Verdana" w:hAnsi="Verdana"/>
          <w:i/>
          <w:sz w:val="20"/>
          <w:szCs w:val="20"/>
          <w:lang w:val="es-CR"/>
        </w:rPr>
        <w:t>uicio pudo ser legal, toda vez que, aparentemente, la jurisprudencia de la Sala Constitucional permitía la extensión de la prisión preventiva con fundamento en el artículo 329 del CPP</w:t>
      </w:r>
      <w:r w:rsidR="00FB5DF4" w:rsidRPr="00201581">
        <w:rPr>
          <w:rFonts w:ascii="Verdana" w:hAnsi="Verdana"/>
          <w:i/>
          <w:sz w:val="20"/>
          <w:szCs w:val="20"/>
          <w:lang w:val="es-CR"/>
        </w:rPr>
        <w:t>”</w:t>
      </w:r>
      <w:r w:rsidR="00FB5DF4" w:rsidRPr="00201581">
        <w:rPr>
          <w:rStyle w:val="FootnoteReference"/>
          <w:rFonts w:ascii="Verdana" w:hAnsi="Verdana"/>
          <w:sz w:val="20"/>
          <w:szCs w:val="20"/>
          <w:lang w:val="es-CR"/>
        </w:rPr>
        <w:footnoteReference w:id="39"/>
      </w:r>
      <w:r w:rsidR="00BC4A81" w:rsidRPr="00201581">
        <w:rPr>
          <w:rFonts w:ascii="Verdana" w:hAnsi="Verdana"/>
          <w:i/>
          <w:sz w:val="20"/>
          <w:szCs w:val="20"/>
          <w:lang w:val="es-CR"/>
        </w:rPr>
        <w:t xml:space="preserve"> </w:t>
      </w:r>
      <w:r w:rsidR="00BC4A81" w:rsidRPr="00201581">
        <w:rPr>
          <w:rFonts w:ascii="Verdana" w:hAnsi="Verdana"/>
          <w:sz w:val="20"/>
          <w:szCs w:val="20"/>
          <w:lang w:val="es-CR"/>
        </w:rPr>
        <w:t>y que</w:t>
      </w:r>
      <w:r w:rsidR="00D33414" w:rsidRPr="00201581">
        <w:rPr>
          <w:rFonts w:ascii="Verdana" w:hAnsi="Verdana"/>
          <w:sz w:val="20"/>
          <w:szCs w:val="20"/>
          <w:lang w:val="es-CR"/>
        </w:rPr>
        <w:t xml:space="preserve"> “</w:t>
      </w:r>
      <w:r w:rsidR="00BC4A81" w:rsidRPr="00201581">
        <w:rPr>
          <w:rFonts w:ascii="Verdana" w:hAnsi="Verdana"/>
          <w:i/>
          <w:sz w:val="20"/>
          <w:szCs w:val="20"/>
          <w:lang w:val="es-CR"/>
        </w:rPr>
        <w:t>en la sentencia condenatoria del señor Martínez se prorrogó la detención preventiva por 6 meses más</w:t>
      </w:r>
      <w:r w:rsidR="00D33414" w:rsidRPr="00201581">
        <w:rPr>
          <w:rFonts w:ascii="Verdana" w:hAnsi="Verdana"/>
          <w:i/>
          <w:sz w:val="20"/>
          <w:szCs w:val="20"/>
          <w:lang w:val="es-CR"/>
        </w:rPr>
        <w:t xml:space="preserve"> </w:t>
      </w:r>
      <w:r w:rsidR="00BC4A81" w:rsidRPr="00201581">
        <w:rPr>
          <w:rFonts w:ascii="Verdana" w:hAnsi="Verdana"/>
          <w:i/>
          <w:sz w:val="20"/>
          <w:szCs w:val="20"/>
          <w:lang w:val="es-CR"/>
        </w:rPr>
        <w:t>y, mediante resolución de 29 de febrero de 2008, por otros 2 meses, lo cual estaba permitido por el mencionado artículo 378 del CPP</w:t>
      </w:r>
      <w:r w:rsidR="00BC4A81" w:rsidRPr="00ED331E">
        <w:rPr>
          <w:rFonts w:ascii="Verdana" w:hAnsi="Verdana"/>
          <w:i/>
          <w:lang w:val="es-CR"/>
        </w:rPr>
        <w:t>”</w:t>
      </w:r>
      <w:r w:rsidR="00BC4A81" w:rsidRPr="00ED331E">
        <w:rPr>
          <w:rStyle w:val="FootnoteReference"/>
          <w:rFonts w:ascii="Verdana" w:hAnsi="Verdana"/>
          <w:lang w:val="es-CR"/>
        </w:rPr>
        <w:footnoteReference w:id="40"/>
      </w:r>
      <w:r w:rsidR="00886363" w:rsidRPr="00ED331E">
        <w:rPr>
          <w:rFonts w:ascii="Verdana" w:hAnsi="Verdana"/>
          <w:i/>
          <w:lang w:val="es-CR"/>
        </w:rPr>
        <w:t>.</w:t>
      </w:r>
    </w:p>
    <w:p w14:paraId="1A6CD940" w14:textId="77777777" w:rsidR="00886363" w:rsidRPr="00ED331E" w:rsidRDefault="00886363" w:rsidP="00ED331E">
      <w:pPr>
        <w:pStyle w:val="ListParagraph"/>
        <w:spacing w:after="0"/>
        <w:ind w:left="0"/>
        <w:jc w:val="both"/>
        <w:rPr>
          <w:rFonts w:ascii="Verdana" w:hAnsi="Verdana"/>
          <w:b/>
          <w:lang w:val="es-CR"/>
        </w:rPr>
      </w:pPr>
    </w:p>
    <w:p w14:paraId="5CD736E1" w14:textId="77777777" w:rsidR="00A660A2" w:rsidRDefault="00886363" w:rsidP="00ED331E">
      <w:pPr>
        <w:pStyle w:val="ListParagraph"/>
        <w:spacing w:after="0"/>
        <w:ind w:left="0"/>
        <w:jc w:val="both"/>
        <w:rPr>
          <w:rFonts w:ascii="Verdana" w:hAnsi="Verdana"/>
          <w:lang w:val="es-CR"/>
        </w:rPr>
      </w:pPr>
      <w:r w:rsidRPr="00201581">
        <w:rPr>
          <w:rFonts w:ascii="Verdana" w:hAnsi="Verdana"/>
          <w:sz w:val="20"/>
          <w:szCs w:val="20"/>
          <w:lang w:val="es-CR"/>
        </w:rPr>
        <w:t xml:space="preserve">En segundo término, se debe igualmente llamar la atención acerca de que, según la Sentencia, </w:t>
      </w:r>
      <w:r w:rsidR="00C3172C" w:rsidRPr="00201581">
        <w:rPr>
          <w:rFonts w:ascii="Verdana" w:hAnsi="Verdana"/>
          <w:sz w:val="20"/>
          <w:szCs w:val="20"/>
          <w:lang w:val="es-CR"/>
        </w:rPr>
        <w:t xml:space="preserve">existe </w:t>
      </w:r>
      <w:r w:rsidR="00A660A2" w:rsidRPr="00201581">
        <w:rPr>
          <w:rFonts w:ascii="Verdana" w:hAnsi="Verdana"/>
          <w:sz w:val="20"/>
          <w:szCs w:val="20"/>
          <w:lang w:val="es-CR"/>
        </w:rPr>
        <w:t>la “</w:t>
      </w:r>
      <w:r w:rsidR="00A660A2" w:rsidRPr="00201581">
        <w:rPr>
          <w:rFonts w:ascii="Verdana" w:hAnsi="Verdana"/>
          <w:i/>
          <w:sz w:val="20"/>
          <w:szCs w:val="20"/>
          <w:lang w:val="es-CR"/>
        </w:rPr>
        <w:t xml:space="preserve">obligación estatal de no restringir la libertad del detenido más allá </w:t>
      </w:r>
      <w:r w:rsidR="00A660A2" w:rsidRPr="00201581">
        <w:rPr>
          <w:rFonts w:ascii="Verdana" w:hAnsi="Verdana"/>
          <w:i/>
          <w:sz w:val="20"/>
          <w:szCs w:val="20"/>
          <w:lang w:val="es-CR"/>
        </w:rPr>
        <w:lastRenderedPageBreak/>
        <w:t>de los límites estrictamente necesarios para asegurar que aquél no impedirá el desarrollo del procedimiento ni eludirá la acción de la justicia</w:t>
      </w:r>
      <w:r w:rsidR="00A660A2" w:rsidRPr="00ED331E">
        <w:rPr>
          <w:rFonts w:ascii="Verdana" w:hAnsi="Verdana"/>
          <w:lang w:val="es-CR"/>
        </w:rPr>
        <w:t>”</w:t>
      </w:r>
      <w:r w:rsidR="00A660A2">
        <w:rPr>
          <w:rStyle w:val="FootnoteReference"/>
          <w:rFonts w:ascii="Verdana" w:hAnsi="Verdana"/>
          <w:lang w:val="es-CR"/>
        </w:rPr>
        <w:footnoteReference w:id="41"/>
      </w:r>
      <w:r w:rsidR="00A660A2">
        <w:rPr>
          <w:rFonts w:ascii="Verdana" w:hAnsi="Verdana"/>
          <w:lang w:val="es-CR"/>
        </w:rPr>
        <w:t>.</w:t>
      </w:r>
    </w:p>
    <w:p w14:paraId="47612C48" w14:textId="77777777" w:rsidR="00A660A2" w:rsidRPr="00514061" w:rsidRDefault="00A660A2" w:rsidP="00ED331E">
      <w:pPr>
        <w:pStyle w:val="ListParagraph"/>
        <w:spacing w:after="0"/>
        <w:ind w:left="0"/>
        <w:jc w:val="both"/>
        <w:rPr>
          <w:rFonts w:ascii="Verdana" w:hAnsi="Verdana"/>
          <w:sz w:val="18"/>
          <w:lang w:val="es-CR"/>
        </w:rPr>
      </w:pPr>
    </w:p>
    <w:p w14:paraId="75EC9820" w14:textId="77777777" w:rsidR="00A94615" w:rsidRDefault="004C27DF" w:rsidP="00A94615">
      <w:pPr>
        <w:pStyle w:val="ListParagraph"/>
        <w:spacing w:after="120"/>
        <w:ind w:left="0"/>
        <w:jc w:val="both"/>
        <w:rPr>
          <w:rFonts w:ascii="Verdana" w:hAnsi="Verdana"/>
          <w:i/>
          <w:lang w:val="es-CR"/>
        </w:rPr>
      </w:pPr>
      <w:r w:rsidRPr="00201581">
        <w:rPr>
          <w:rFonts w:ascii="Verdana" w:hAnsi="Verdana"/>
          <w:sz w:val="20"/>
          <w:szCs w:val="20"/>
          <w:lang w:val="es-CR"/>
        </w:rPr>
        <w:t>En tercer lu</w:t>
      </w:r>
      <w:r w:rsidR="00A94615" w:rsidRPr="00201581">
        <w:rPr>
          <w:rFonts w:ascii="Verdana" w:hAnsi="Verdana"/>
          <w:sz w:val="20"/>
          <w:szCs w:val="20"/>
          <w:lang w:val="es-CR"/>
        </w:rPr>
        <w:t>g</w:t>
      </w:r>
      <w:r w:rsidRPr="00201581">
        <w:rPr>
          <w:rFonts w:ascii="Verdana" w:hAnsi="Verdana"/>
          <w:sz w:val="20"/>
          <w:szCs w:val="20"/>
          <w:lang w:val="es-CR"/>
        </w:rPr>
        <w:t>ar</w:t>
      </w:r>
      <w:r w:rsidR="00A660A2" w:rsidRPr="00201581">
        <w:rPr>
          <w:rFonts w:ascii="Verdana" w:hAnsi="Verdana"/>
          <w:sz w:val="20"/>
          <w:szCs w:val="20"/>
          <w:lang w:val="es-CR"/>
        </w:rPr>
        <w:t>, es procedente tener presente que l</w:t>
      </w:r>
      <w:r w:rsidR="00B67D73" w:rsidRPr="00201581">
        <w:rPr>
          <w:rFonts w:ascii="Verdana" w:hAnsi="Verdana"/>
          <w:sz w:val="20"/>
          <w:szCs w:val="20"/>
          <w:lang w:val="es-CR"/>
        </w:rPr>
        <w:t xml:space="preserve">a Sentencia reprocha que </w:t>
      </w:r>
      <w:r w:rsidR="00A660A2" w:rsidRPr="00201581">
        <w:rPr>
          <w:rFonts w:ascii="Verdana" w:hAnsi="Verdana"/>
          <w:sz w:val="20"/>
          <w:szCs w:val="20"/>
          <w:lang w:val="es-CR"/>
        </w:rPr>
        <w:t>se haya sujetado la detención preventiva de la v</w:t>
      </w:r>
      <w:r w:rsidR="00B67D73" w:rsidRPr="00201581">
        <w:rPr>
          <w:rFonts w:ascii="Verdana" w:hAnsi="Verdana"/>
          <w:sz w:val="20"/>
          <w:szCs w:val="20"/>
          <w:lang w:val="es-CR"/>
        </w:rPr>
        <w:t>íctima “</w:t>
      </w:r>
      <w:r w:rsidR="00B67D73" w:rsidRPr="00201581">
        <w:rPr>
          <w:rFonts w:ascii="Verdana" w:hAnsi="Verdana"/>
          <w:i/>
          <w:sz w:val="20"/>
          <w:szCs w:val="20"/>
          <w:lang w:val="es-CR"/>
        </w:rPr>
        <w:t>a la duración del proceso</w:t>
      </w:r>
      <w:r w:rsidR="00B67D73">
        <w:rPr>
          <w:rFonts w:ascii="Verdana" w:hAnsi="Verdana"/>
          <w:i/>
          <w:lang w:val="es-CR"/>
        </w:rPr>
        <w:t>”</w:t>
      </w:r>
      <w:r w:rsidR="00B67D73">
        <w:rPr>
          <w:rStyle w:val="FootnoteReference"/>
          <w:rFonts w:ascii="Verdana" w:hAnsi="Verdana"/>
          <w:i/>
          <w:lang w:val="es-CR"/>
        </w:rPr>
        <w:footnoteReference w:id="42"/>
      </w:r>
      <w:r w:rsidR="00B67D73">
        <w:rPr>
          <w:rFonts w:ascii="Verdana" w:hAnsi="Verdana"/>
          <w:i/>
          <w:lang w:val="es-CR"/>
        </w:rPr>
        <w:t>.</w:t>
      </w:r>
    </w:p>
    <w:p w14:paraId="1094F8E4" w14:textId="77777777" w:rsidR="00A94615" w:rsidRPr="00514061" w:rsidRDefault="00A94615" w:rsidP="00A94615">
      <w:pPr>
        <w:pStyle w:val="ListParagraph"/>
        <w:spacing w:after="120"/>
        <w:ind w:left="0"/>
        <w:jc w:val="both"/>
        <w:rPr>
          <w:rFonts w:ascii="Verdana" w:hAnsi="Verdana"/>
          <w:i/>
          <w:sz w:val="18"/>
          <w:lang w:val="es-CR"/>
        </w:rPr>
      </w:pPr>
    </w:p>
    <w:p w14:paraId="79AE8E28" w14:textId="3C3ABB65" w:rsidR="006E43BB" w:rsidRDefault="00A94615" w:rsidP="006E43BB">
      <w:pPr>
        <w:pStyle w:val="ListParagraph"/>
        <w:spacing w:after="360"/>
        <w:ind w:left="0"/>
        <w:jc w:val="both"/>
        <w:rPr>
          <w:lang w:val="es-GT"/>
        </w:rPr>
      </w:pPr>
      <w:r w:rsidRPr="00201581">
        <w:rPr>
          <w:rFonts w:ascii="Verdana" w:hAnsi="Verdana"/>
          <w:sz w:val="20"/>
          <w:szCs w:val="20"/>
          <w:lang w:val="es-CR"/>
        </w:rPr>
        <w:t xml:space="preserve">Y es </w:t>
      </w:r>
      <w:r w:rsidR="00B67D73" w:rsidRPr="00201581">
        <w:rPr>
          <w:rFonts w:ascii="Verdana" w:hAnsi="Verdana"/>
          <w:sz w:val="20"/>
          <w:szCs w:val="20"/>
          <w:lang w:val="es-CR"/>
        </w:rPr>
        <w:t>en virtud de lo anterior,</w:t>
      </w:r>
      <w:r w:rsidRPr="00201581">
        <w:rPr>
          <w:rFonts w:ascii="Verdana" w:hAnsi="Verdana"/>
          <w:sz w:val="20"/>
          <w:szCs w:val="20"/>
          <w:lang w:val="es-CR"/>
        </w:rPr>
        <w:t xml:space="preserve"> en consecuencia,</w:t>
      </w:r>
      <w:r w:rsidR="00B67D73" w:rsidRPr="00201581">
        <w:rPr>
          <w:rFonts w:ascii="Verdana" w:hAnsi="Verdana"/>
          <w:sz w:val="20"/>
          <w:szCs w:val="20"/>
          <w:lang w:val="es-CR"/>
        </w:rPr>
        <w:t xml:space="preserve"> que, invocando, además, el principio </w:t>
      </w:r>
      <w:r w:rsidR="00B67D73" w:rsidRPr="00201581">
        <w:rPr>
          <w:rFonts w:ascii="Verdana" w:hAnsi="Verdana"/>
          <w:i/>
          <w:sz w:val="20"/>
          <w:szCs w:val="20"/>
          <w:lang w:val="es-CR"/>
        </w:rPr>
        <w:t xml:space="preserve">pro </w:t>
      </w:r>
      <w:proofErr w:type="spellStart"/>
      <w:r w:rsidR="00B67D73" w:rsidRPr="00201581">
        <w:rPr>
          <w:rFonts w:ascii="Verdana" w:hAnsi="Verdana"/>
          <w:i/>
          <w:sz w:val="20"/>
          <w:szCs w:val="20"/>
          <w:lang w:val="es-CR"/>
        </w:rPr>
        <w:t>homine</w:t>
      </w:r>
      <w:proofErr w:type="spellEnd"/>
      <w:r w:rsidR="00B67D73" w:rsidRPr="00201581">
        <w:rPr>
          <w:rFonts w:ascii="Verdana" w:hAnsi="Verdana"/>
          <w:i/>
          <w:sz w:val="20"/>
          <w:szCs w:val="20"/>
          <w:lang w:val="es-CR"/>
        </w:rPr>
        <w:t>,</w:t>
      </w:r>
      <w:r w:rsidR="008D77B2" w:rsidRPr="00201581">
        <w:rPr>
          <w:rFonts w:ascii="Verdana" w:hAnsi="Verdana"/>
          <w:sz w:val="20"/>
          <w:szCs w:val="20"/>
          <w:lang w:val="es-CR"/>
        </w:rPr>
        <w:t xml:space="preserve"> </w:t>
      </w:r>
      <w:r w:rsidR="00B67D73" w:rsidRPr="00201581">
        <w:rPr>
          <w:rFonts w:ascii="Verdana" w:hAnsi="Verdana"/>
          <w:sz w:val="20"/>
          <w:szCs w:val="20"/>
          <w:lang w:val="es-CR"/>
        </w:rPr>
        <w:t>la Sentencia declara que</w:t>
      </w:r>
      <w:r w:rsidR="008D77B2" w:rsidRPr="00201581">
        <w:rPr>
          <w:rFonts w:ascii="Verdana" w:hAnsi="Verdana"/>
          <w:i/>
          <w:sz w:val="20"/>
          <w:szCs w:val="20"/>
          <w:lang w:val="es-CR"/>
        </w:rPr>
        <w:t xml:space="preserve"> </w:t>
      </w:r>
      <w:r w:rsidR="005E7F94" w:rsidRPr="00201581">
        <w:rPr>
          <w:rFonts w:ascii="Verdana" w:hAnsi="Verdana"/>
          <w:i/>
          <w:sz w:val="20"/>
          <w:szCs w:val="20"/>
          <w:lang w:val="es-CR"/>
        </w:rPr>
        <w:t>“</w:t>
      </w:r>
      <w:r w:rsidR="00B67D73" w:rsidRPr="00201581">
        <w:rPr>
          <w:rFonts w:ascii="Verdana" w:hAnsi="Verdana"/>
          <w:i/>
          <w:sz w:val="20"/>
          <w:szCs w:val="20"/>
          <w:lang w:val="es-CR"/>
        </w:rPr>
        <w:t>convirtió la detención preventiva en la regla para el señor Martínez</w:t>
      </w:r>
      <w:r w:rsidR="00B67D73" w:rsidRPr="000C68B7">
        <w:rPr>
          <w:rFonts w:ascii="Verdana" w:hAnsi="Verdana"/>
          <w:lang w:val="es-CR"/>
        </w:rPr>
        <w:t>”</w:t>
      </w:r>
      <w:r w:rsidR="00B67D73" w:rsidRPr="000C68B7">
        <w:rPr>
          <w:rStyle w:val="FootnoteReference"/>
          <w:rFonts w:ascii="Verdana" w:hAnsi="Verdana"/>
          <w:lang w:val="es-CR"/>
        </w:rPr>
        <w:footnoteReference w:id="43"/>
      </w:r>
      <w:r w:rsidR="005E7F94" w:rsidRPr="000C68B7">
        <w:rPr>
          <w:rFonts w:ascii="Verdana" w:hAnsi="Verdana"/>
          <w:lang w:val="es-CR"/>
        </w:rPr>
        <w:t xml:space="preserve"> </w:t>
      </w:r>
      <w:r w:rsidR="005E7F94" w:rsidRPr="00201581">
        <w:rPr>
          <w:rFonts w:ascii="Verdana" w:hAnsi="Verdana"/>
          <w:sz w:val="20"/>
          <w:szCs w:val="20"/>
          <w:lang w:val="es-CR"/>
        </w:rPr>
        <w:t>y que ella “</w:t>
      </w:r>
      <w:r w:rsidR="005E7F94" w:rsidRPr="00201581">
        <w:rPr>
          <w:rFonts w:ascii="Verdana" w:hAnsi="Verdana"/>
          <w:i/>
          <w:sz w:val="20"/>
          <w:szCs w:val="20"/>
          <w:lang w:val="es-CR"/>
        </w:rPr>
        <w:t>excedió los límites de lo razonable</w:t>
      </w:r>
      <w:r w:rsidR="004C27DF" w:rsidRPr="000C68B7">
        <w:rPr>
          <w:rFonts w:ascii="Verdana" w:hAnsi="Verdana"/>
          <w:lang w:val="es-CR"/>
        </w:rPr>
        <w:t>”</w:t>
      </w:r>
      <w:r w:rsidR="000C68B7">
        <w:rPr>
          <w:rStyle w:val="FootnoteReference"/>
          <w:lang w:val="es-GT"/>
        </w:rPr>
        <w:footnoteReference w:id="44"/>
      </w:r>
      <w:r>
        <w:rPr>
          <w:lang w:val="es-GT"/>
        </w:rPr>
        <w:t>.</w:t>
      </w:r>
    </w:p>
    <w:p w14:paraId="38909B07" w14:textId="77777777" w:rsidR="00184ED4" w:rsidRPr="00201581" w:rsidRDefault="00A94615" w:rsidP="00514061">
      <w:pPr>
        <w:pStyle w:val="ListParagraph"/>
        <w:spacing w:after="360" w:line="240" w:lineRule="auto"/>
        <w:ind w:left="0"/>
        <w:jc w:val="both"/>
        <w:rPr>
          <w:rFonts w:ascii="Verdana" w:hAnsi="Verdana"/>
          <w:i/>
          <w:sz w:val="20"/>
          <w:szCs w:val="20"/>
          <w:lang w:val="es-CR"/>
        </w:rPr>
      </w:pPr>
      <w:r w:rsidRPr="00201581">
        <w:rPr>
          <w:rFonts w:ascii="Verdana" w:hAnsi="Verdana"/>
          <w:sz w:val="20"/>
          <w:szCs w:val="20"/>
          <w:lang w:val="es-GT"/>
        </w:rPr>
        <w:t>Pues bien, al proceder as</w:t>
      </w:r>
      <w:r w:rsidR="00184ED4" w:rsidRPr="00201581">
        <w:rPr>
          <w:rFonts w:ascii="Verdana" w:hAnsi="Verdana"/>
          <w:sz w:val="20"/>
          <w:szCs w:val="20"/>
          <w:lang w:val="es-GT"/>
        </w:rPr>
        <w:t xml:space="preserve">í, la Sentencia, </w:t>
      </w:r>
      <w:r w:rsidRPr="00201581">
        <w:rPr>
          <w:rFonts w:ascii="Verdana" w:hAnsi="Verdana"/>
          <w:sz w:val="20"/>
          <w:szCs w:val="20"/>
          <w:lang w:val="es-GT"/>
        </w:rPr>
        <w:t>no valora adecuadamente que la detención decretada en autos se realizó, como ella lo misma la indica, conforme al Derecho del Estado, por lo que se ajusta precisamente a lo previsto expresamente en el artículo 7.2 de la Convención, el que alude</w:t>
      </w:r>
      <w:r w:rsidR="00184ED4" w:rsidRPr="00201581">
        <w:rPr>
          <w:rFonts w:ascii="Verdana" w:hAnsi="Verdana"/>
          <w:sz w:val="20"/>
          <w:szCs w:val="20"/>
          <w:lang w:val="es-GT"/>
        </w:rPr>
        <w:t xml:space="preserve"> a lo que dispongan al efecto </w:t>
      </w:r>
      <w:r w:rsidRPr="00201581">
        <w:rPr>
          <w:rFonts w:ascii="Verdana" w:hAnsi="Verdana"/>
          <w:sz w:val="20"/>
          <w:szCs w:val="20"/>
          <w:lang w:val="es-GT"/>
        </w:rPr>
        <w:t>las “</w:t>
      </w:r>
      <w:r w:rsidRPr="00201581">
        <w:rPr>
          <w:rFonts w:ascii="Verdana" w:hAnsi="Verdana"/>
          <w:i/>
          <w:sz w:val="20"/>
          <w:szCs w:val="20"/>
          <w:lang w:val="es-GT"/>
        </w:rPr>
        <w:t>leyes</w:t>
      </w:r>
      <w:r w:rsidRPr="00201581">
        <w:rPr>
          <w:rFonts w:ascii="Verdana" w:hAnsi="Verdana"/>
          <w:sz w:val="20"/>
          <w:szCs w:val="20"/>
          <w:lang w:val="es-GT"/>
        </w:rPr>
        <w:t>” de aqu</w:t>
      </w:r>
      <w:r w:rsidR="00184ED4" w:rsidRPr="00201581">
        <w:rPr>
          <w:rFonts w:ascii="Verdana" w:hAnsi="Verdana"/>
          <w:sz w:val="20"/>
          <w:szCs w:val="20"/>
          <w:lang w:val="es-GT"/>
        </w:rPr>
        <w:t>él.</w:t>
      </w:r>
    </w:p>
    <w:p w14:paraId="1E98372F" w14:textId="77777777" w:rsidR="00184ED4" w:rsidRPr="00201581" w:rsidRDefault="00184ED4" w:rsidP="00184ED4">
      <w:pPr>
        <w:jc w:val="both"/>
        <w:rPr>
          <w:rFonts w:ascii="Verdana" w:hAnsi="Verdana"/>
          <w:sz w:val="20"/>
          <w:szCs w:val="20"/>
          <w:lang w:val="es-GT"/>
        </w:rPr>
      </w:pPr>
      <w:r w:rsidRPr="00201581">
        <w:rPr>
          <w:rFonts w:ascii="Verdana" w:hAnsi="Verdana"/>
          <w:sz w:val="20"/>
          <w:szCs w:val="20"/>
          <w:lang w:val="es-GT"/>
        </w:rPr>
        <w:t xml:space="preserve">Tampoco la Sentencia parece ponderar que </w:t>
      </w:r>
      <w:r w:rsidR="00A94615" w:rsidRPr="00201581">
        <w:rPr>
          <w:rFonts w:ascii="Verdana" w:hAnsi="Verdana"/>
          <w:sz w:val="20"/>
          <w:szCs w:val="20"/>
          <w:lang w:val="es-GT"/>
        </w:rPr>
        <w:t>la razonabilidad aludida en el artículo</w:t>
      </w:r>
      <w:r w:rsidRPr="00201581">
        <w:rPr>
          <w:rFonts w:ascii="Verdana" w:hAnsi="Verdana"/>
          <w:sz w:val="20"/>
          <w:szCs w:val="20"/>
          <w:lang w:val="es-GT"/>
        </w:rPr>
        <w:t xml:space="preserve"> 7.5 de la Convención</w:t>
      </w:r>
      <w:r w:rsidR="00A94615" w:rsidRPr="00201581">
        <w:rPr>
          <w:rFonts w:ascii="Verdana" w:hAnsi="Verdana"/>
          <w:sz w:val="20"/>
          <w:szCs w:val="20"/>
          <w:lang w:val="es-GT"/>
        </w:rPr>
        <w:t xml:space="preserve"> debe ser determinada primeramente por el correspondiente juez nacional y posteriormente, si ello procede, como en el presente caso, por la Corte</w:t>
      </w:r>
      <w:r w:rsidRPr="00201581">
        <w:rPr>
          <w:rFonts w:ascii="Verdana" w:hAnsi="Verdana"/>
          <w:sz w:val="20"/>
          <w:szCs w:val="20"/>
          <w:lang w:val="es-GT"/>
        </w:rPr>
        <w:t xml:space="preserve"> y en ambas instancias, de confo</w:t>
      </w:r>
      <w:r w:rsidR="00A94615" w:rsidRPr="00201581">
        <w:rPr>
          <w:rFonts w:ascii="Verdana" w:hAnsi="Verdana"/>
          <w:sz w:val="20"/>
          <w:szCs w:val="20"/>
          <w:lang w:val="es-GT"/>
        </w:rPr>
        <w:t>rmidad a lo prescrito en la Convención</w:t>
      </w:r>
      <w:r w:rsidRPr="00201581">
        <w:rPr>
          <w:rFonts w:ascii="Verdana" w:hAnsi="Verdana"/>
          <w:sz w:val="20"/>
          <w:szCs w:val="20"/>
          <w:lang w:val="es-GT"/>
        </w:rPr>
        <w:t xml:space="preserve"> y no solo ni principalmente a lo prescrito en el mencionado Derecho nacional. Aquella le proporciona, entonces, especialmente a la Corte, un cierto margen de apreciación de acuerdo a las circunstancia de cada caso que conoce y no le impone, por tanto, </w:t>
      </w:r>
      <w:r w:rsidR="008A554B" w:rsidRPr="00201581">
        <w:rPr>
          <w:rFonts w:ascii="Verdana" w:hAnsi="Verdana"/>
          <w:sz w:val="20"/>
          <w:szCs w:val="20"/>
          <w:lang w:val="es-GT"/>
        </w:rPr>
        <w:t>la estricta sujeción a lo previsto en el citado Derecho Interno</w:t>
      </w:r>
      <w:r w:rsidRPr="00201581">
        <w:rPr>
          <w:rFonts w:ascii="Verdana" w:hAnsi="Verdana"/>
          <w:sz w:val="20"/>
          <w:szCs w:val="20"/>
          <w:lang w:val="es-GT"/>
        </w:rPr>
        <w:t>.</w:t>
      </w:r>
      <w:r w:rsidR="008A554B" w:rsidRPr="00201581">
        <w:rPr>
          <w:rFonts w:ascii="Verdana" w:hAnsi="Verdana"/>
          <w:sz w:val="20"/>
          <w:szCs w:val="20"/>
          <w:lang w:val="es-GT"/>
        </w:rPr>
        <w:t xml:space="preserve"> No debe olvidarse que a la Corte le compete aplicar e interpretar la Convención en los casos que le son sometidos</w:t>
      </w:r>
      <w:r w:rsidR="008A554B">
        <w:rPr>
          <w:rStyle w:val="FootnoteReference"/>
          <w:rFonts w:ascii="Verdana" w:hAnsi="Verdana"/>
          <w:lang w:val="es-GT"/>
        </w:rPr>
        <w:footnoteReference w:id="45"/>
      </w:r>
      <w:r w:rsidR="006E43BB">
        <w:rPr>
          <w:rFonts w:ascii="Verdana" w:hAnsi="Verdana"/>
          <w:lang w:val="es-GT"/>
        </w:rPr>
        <w:t xml:space="preserve">, </w:t>
      </w:r>
      <w:r w:rsidR="006E43BB" w:rsidRPr="00201581">
        <w:rPr>
          <w:rFonts w:ascii="Verdana" w:hAnsi="Verdana"/>
          <w:sz w:val="20"/>
          <w:szCs w:val="20"/>
          <w:lang w:val="es-GT"/>
        </w:rPr>
        <w:t>esto es, debe fallar de conformidad a ella y no al Derecho Nacional del Estado concernido</w:t>
      </w:r>
      <w:r w:rsidR="004C69CD" w:rsidRPr="00201581">
        <w:rPr>
          <w:rFonts w:ascii="Verdana" w:hAnsi="Verdana"/>
          <w:sz w:val="20"/>
          <w:szCs w:val="20"/>
          <w:lang w:val="es-GT"/>
        </w:rPr>
        <w:t>, salvo que aquella la remita a este último, situación que no es la de autos</w:t>
      </w:r>
      <w:r w:rsidR="008A554B" w:rsidRPr="00201581">
        <w:rPr>
          <w:rFonts w:ascii="Verdana" w:hAnsi="Verdana"/>
          <w:sz w:val="20"/>
          <w:szCs w:val="20"/>
          <w:lang w:val="es-GT"/>
        </w:rPr>
        <w:t>.</w:t>
      </w:r>
      <w:r w:rsidR="004C69CD" w:rsidRPr="00201581">
        <w:rPr>
          <w:rFonts w:ascii="Verdana" w:hAnsi="Verdana"/>
          <w:sz w:val="20"/>
          <w:szCs w:val="20"/>
          <w:lang w:val="es-GT"/>
        </w:rPr>
        <w:t xml:space="preserve"> Efectivamente, la razonabilidad del plazo</w:t>
      </w:r>
      <w:r w:rsidR="007B1A21" w:rsidRPr="00201581">
        <w:rPr>
          <w:rFonts w:ascii="Verdana" w:hAnsi="Verdana"/>
          <w:sz w:val="20"/>
          <w:szCs w:val="20"/>
          <w:lang w:val="es-GT"/>
        </w:rPr>
        <w:t xml:space="preserve"> a que se refiere el citado artículo 7.5 está condicionada a las “</w:t>
      </w:r>
      <w:r w:rsidR="007B1A21" w:rsidRPr="00201581">
        <w:rPr>
          <w:rFonts w:ascii="Verdana" w:hAnsi="Verdana"/>
          <w:i/>
          <w:sz w:val="20"/>
          <w:szCs w:val="20"/>
          <w:lang w:val="es-ES"/>
        </w:rPr>
        <w:t xml:space="preserve">garantías que aseguren </w:t>
      </w:r>
      <w:r w:rsidR="007B1A21" w:rsidRPr="00201581">
        <w:rPr>
          <w:rFonts w:ascii="Verdana" w:hAnsi="Verdana"/>
          <w:sz w:val="20"/>
          <w:szCs w:val="20"/>
          <w:lang w:val="es-ES"/>
        </w:rPr>
        <w:t>(la)</w:t>
      </w:r>
      <w:r w:rsidR="007B1A21" w:rsidRPr="00201581">
        <w:rPr>
          <w:rFonts w:ascii="Verdana" w:hAnsi="Verdana"/>
          <w:i/>
          <w:sz w:val="20"/>
          <w:szCs w:val="20"/>
          <w:lang w:val="es-ES"/>
        </w:rPr>
        <w:t xml:space="preserve"> comparecencia </w:t>
      </w:r>
      <w:r w:rsidR="007B1A21" w:rsidRPr="00201581">
        <w:rPr>
          <w:rFonts w:ascii="Verdana" w:hAnsi="Verdana"/>
          <w:sz w:val="20"/>
          <w:szCs w:val="20"/>
          <w:lang w:val="es-ES"/>
        </w:rPr>
        <w:t>(del detenido)</w:t>
      </w:r>
      <w:r w:rsidR="007B1A21" w:rsidRPr="00201581">
        <w:rPr>
          <w:rFonts w:ascii="Verdana" w:hAnsi="Verdana"/>
          <w:i/>
          <w:sz w:val="20"/>
          <w:szCs w:val="20"/>
          <w:lang w:val="es-ES"/>
        </w:rPr>
        <w:t xml:space="preserve"> en el juicio”</w:t>
      </w:r>
      <w:r w:rsidR="007B1A21" w:rsidRPr="00201581">
        <w:rPr>
          <w:rFonts w:ascii="Verdana" w:hAnsi="Verdana"/>
          <w:sz w:val="20"/>
          <w:szCs w:val="20"/>
          <w:lang w:val="es-ES"/>
        </w:rPr>
        <w:t>, supuesto que se dio en autos.</w:t>
      </w:r>
    </w:p>
    <w:p w14:paraId="5089BF2B" w14:textId="77777777" w:rsidR="00197AFB" w:rsidRPr="00201581" w:rsidRDefault="007B1A21" w:rsidP="006E43BB">
      <w:pPr>
        <w:jc w:val="both"/>
        <w:rPr>
          <w:rFonts w:ascii="Verdana" w:hAnsi="Verdana"/>
          <w:sz w:val="20"/>
          <w:szCs w:val="20"/>
          <w:lang w:val="es-ES"/>
        </w:rPr>
      </w:pPr>
      <w:r w:rsidRPr="00201581">
        <w:rPr>
          <w:rFonts w:ascii="Verdana" w:hAnsi="Verdana"/>
          <w:sz w:val="20"/>
          <w:szCs w:val="20"/>
          <w:lang w:val="es-GT"/>
        </w:rPr>
        <w:t>Efectivamente</w:t>
      </w:r>
      <w:r w:rsidR="008A554B" w:rsidRPr="00201581">
        <w:rPr>
          <w:rFonts w:ascii="Verdana" w:hAnsi="Verdana"/>
          <w:sz w:val="20"/>
          <w:szCs w:val="20"/>
          <w:lang w:val="es-GT"/>
        </w:rPr>
        <w:t>, es indispensable re</w:t>
      </w:r>
      <w:r w:rsidRPr="00201581">
        <w:rPr>
          <w:rFonts w:ascii="Verdana" w:hAnsi="Verdana"/>
          <w:sz w:val="20"/>
          <w:szCs w:val="20"/>
          <w:lang w:val="es-GT"/>
        </w:rPr>
        <w:t xml:space="preserve">cordar, </w:t>
      </w:r>
      <w:r w:rsidR="006E43BB" w:rsidRPr="00201581">
        <w:rPr>
          <w:rFonts w:ascii="Verdana" w:hAnsi="Verdana"/>
          <w:sz w:val="20"/>
          <w:szCs w:val="20"/>
          <w:lang w:val="es-ES"/>
        </w:rPr>
        <w:t>tal como queda consignada en la propia Sentencia</w:t>
      </w:r>
      <w:r w:rsidR="006E43BB" w:rsidRPr="00201581">
        <w:rPr>
          <w:rStyle w:val="FootnoteReference"/>
          <w:rFonts w:ascii="Verdana" w:hAnsi="Verdana"/>
          <w:sz w:val="20"/>
          <w:szCs w:val="20"/>
          <w:lang w:val="es-ES"/>
        </w:rPr>
        <w:footnoteReference w:id="46"/>
      </w:r>
      <w:r w:rsidR="006E43BB" w:rsidRPr="00201581">
        <w:rPr>
          <w:rFonts w:ascii="Verdana" w:hAnsi="Verdana"/>
          <w:sz w:val="20"/>
          <w:szCs w:val="20"/>
          <w:lang w:val="es-ES"/>
        </w:rPr>
        <w:t>, que la comparecencia del detenido en la causa en comento, lo fue gracias al procedimiento de su extradición que se siguió para hacerlo regresar</w:t>
      </w:r>
      <w:r w:rsidRPr="00201581">
        <w:rPr>
          <w:rFonts w:ascii="Verdana" w:hAnsi="Verdana"/>
          <w:sz w:val="20"/>
          <w:szCs w:val="20"/>
          <w:lang w:val="es-ES"/>
        </w:rPr>
        <w:t xml:space="preserve"> desde Canadá, debido a</w:t>
      </w:r>
      <w:r w:rsidR="004C69CD" w:rsidRPr="00201581">
        <w:rPr>
          <w:rFonts w:ascii="Verdana" w:hAnsi="Verdana"/>
          <w:sz w:val="20"/>
          <w:szCs w:val="20"/>
          <w:lang w:val="es-ES"/>
        </w:rPr>
        <w:t xml:space="preserve"> que intentó eludir la justicia permaneciendo en dicho pa</w:t>
      </w:r>
      <w:r w:rsidRPr="00201581">
        <w:rPr>
          <w:rFonts w:ascii="Verdana" w:hAnsi="Verdana"/>
          <w:sz w:val="20"/>
          <w:szCs w:val="20"/>
          <w:lang w:val="es-ES"/>
        </w:rPr>
        <w:t>ís extranjero</w:t>
      </w:r>
      <w:r w:rsidR="004C69CD" w:rsidRPr="00201581">
        <w:rPr>
          <w:rFonts w:ascii="Verdana" w:hAnsi="Verdana"/>
          <w:sz w:val="20"/>
          <w:szCs w:val="20"/>
          <w:lang w:val="es-ES"/>
        </w:rPr>
        <w:t>,</w:t>
      </w:r>
      <w:r w:rsidR="006E43BB" w:rsidRPr="00201581">
        <w:rPr>
          <w:rFonts w:ascii="Verdana" w:hAnsi="Verdana"/>
          <w:sz w:val="20"/>
          <w:szCs w:val="20"/>
          <w:lang w:val="es-ES"/>
        </w:rPr>
        <w:t xml:space="preserve"> </w:t>
      </w:r>
      <w:r w:rsidR="004C69CD" w:rsidRPr="00201581">
        <w:rPr>
          <w:rFonts w:ascii="Verdana" w:hAnsi="Verdana"/>
          <w:sz w:val="20"/>
          <w:szCs w:val="20"/>
          <w:lang w:val="es-ES"/>
        </w:rPr>
        <w:t xml:space="preserve">resulta evidente que </w:t>
      </w:r>
      <w:r w:rsidR="006E43BB" w:rsidRPr="00201581">
        <w:rPr>
          <w:rFonts w:ascii="Verdana" w:hAnsi="Verdana"/>
          <w:sz w:val="20"/>
          <w:szCs w:val="20"/>
          <w:lang w:val="es-ES"/>
        </w:rPr>
        <w:t xml:space="preserve">su detención </w:t>
      </w:r>
      <w:r w:rsidR="004C69CD" w:rsidRPr="00201581">
        <w:rPr>
          <w:rFonts w:ascii="Verdana" w:hAnsi="Verdana"/>
          <w:sz w:val="20"/>
          <w:szCs w:val="20"/>
          <w:lang w:val="es-ES"/>
        </w:rPr>
        <w:t>fue</w:t>
      </w:r>
      <w:r w:rsidR="00425049" w:rsidRPr="00201581">
        <w:rPr>
          <w:rFonts w:ascii="Verdana" w:hAnsi="Verdana"/>
          <w:sz w:val="20"/>
          <w:szCs w:val="20"/>
          <w:lang w:val="es-ES"/>
        </w:rPr>
        <w:t xml:space="preserve"> la manera de garantizar aquella, debido al fundado temor de que</w:t>
      </w:r>
      <w:r w:rsidR="004C69CD" w:rsidRPr="00201581">
        <w:rPr>
          <w:rFonts w:ascii="Verdana" w:hAnsi="Verdana"/>
          <w:sz w:val="20"/>
          <w:szCs w:val="20"/>
          <w:lang w:val="es-ES"/>
        </w:rPr>
        <w:t xml:space="preserve"> volviera a intentar eludir</w:t>
      </w:r>
      <w:r w:rsidR="00425049" w:rsidRPr="00201581">
        <w:rPr>
          <w:rFonts w:ascii="Verdana" w:hAnsi="Verdana"/>
          <w:sz w:val="20"/>
          <w:szCs w:val="20"/>
          <w:lang w:val="es-ES"/>
        </w:rPr>
        <w:t xml:space="preserve"> la acción de la justicia.</w:t>
      </w:r>
    </w:p>
    <w:p w14:paraId="4F77BE32" w14:textId="02DAAA41" w:rsidR="000A5FE0" w:rsidRDefault="001F439C" w:rsidP="000A76D5">
      <w:pPr>
        <w:jc w:val="both"/>
        <w:rPr>
          <w:rFonts w:ascii="Verdana" w:hAnsi="Verdana"/>
          <w:lang w:val="es-ES"/>
        </w:rPr>
      </w:pPr>
      <w:r w:rsidRPr="00201581">
        <w:rPr>
          <w:rFonts w:ascii="Verdana" w:hAnsi="Verdana"/>
          <w:sz w:val="20"/>
          <w:szCs w:val="20"/>
          <w:lang w:val="es-ES"/>
        </w:rPr>
        <w:lastRenderedPageBreak/>
        <w:t>Es por los expuestos motivos por los que</w:t>
      </w:r>
      <w:r w:rsidR="004515D4" w:rsidRPr="00201581">
        <w:rPr>
          <w:rFonts w:ascii="Verdana" w:hAnsi="Verdana"/>
          <w:sz w:val="20"/>
          <w:szCs w:val="20"/>
          <w:lang w:val="es-ES"/>
        </w:rPr>
        <w:t>,</w:t>
      </w:r>
      <w:r w:rsidRPr="00201581">
        <w:rPr>
          <w:rFonts w:ascii="Verdana" w:hAnsi="Verdana"/>
          <w:sz w:val="20"/>
          <w:szCs w:val="20"/>
          <w:lang w:val="es-ES"/>
        </w:rPr>
        <w:t xml:space="preserve"> en consecuencia, no se puede compartir lo resuelto por la Sentencia sobre este particular. Y</w:t>
      </w:r>
      <w:r w:rsidR="000A76D5" w:rsidRPr="00201581">
        <w:rPr>
          <w:rFonts w:ascii="Verdana" w:hAnsi="Verdana"/>
          <w:sz w:val="20"/>
          <w:szCs w:val="20"/>
          <w:lang w:val="es-ES"/>
        </w:rPr>
        <w:t xml:space="preserve"> es</w:t>
      </w:r>
      <w:r w:rsidRPr="00201581">
        <w:rPr>
          <w:rFonts w:ascii="Verdana" w:hAnsi="Verdana"/>
          <w:sz w:val="20"/>
          <w:szCs w:val="20"/>
          <w:lang w:val="es-ES"/>
        </w:rPr>
        <w:t>o explica</w:t>
      </w:r>
      <w:r w:rsidR="004515D4" w:rsidRPr="00201581">
        <w:rPr>
          <w:rFonts w:ascii="Verdana" w:hAnsi="Verdana"/>
          <w:sz w:val="20"/>
          <w:szCs w:val="20"/>
          <w:lang w:val="es-ES"/>
        </w:rPr>
        <w:t>,</w:t>
      </w:r>
      <w:r w:rsidRPr="00201581">
        <w:rPr>
          <w:rFonts w:ascii="Verdana" w:hAnsi="Verdana"/>
          <w:sz w:val="20"/>
          <w:szCs w:val="20"/>
          <w:lang w:val="es-ES"/>
        </w:rPr>
        <w:t xml:space="preserve"> asimismo</w:t>
      </w:r>
      <w:r w:rsidR="004515D4" w:rsidRPr="00201581">
        <w:rPr>
          <w:rFonts w:ascii="Verdana" w:hAnsi="Verdana"/>
          <w:sz w:val="20"/>
          <w:szCs w:val="20"/>
          <w:lang w:val="es-ES"/>
        </w:rPr>
        <w:t>,</w:t>
      </w:r>
      <w:r w:rsidRPr="00201581">
        <w:rPr>
          <w:rFonts w:ascii="Verdana" w:hAnsi="Verdana"/>
          <w:sz w:val="20"/>
          <w:szCs w:val="20"/>
          <w:lang w:val="es-ES"/>
        </w:rPr>
        <w:t xml:space="preserve"> que no se estima necesario declarar, como </w:t>
      </w:r>
      <w:r w:rsidR="000A76D5" w:rsidRPr="00201581">
        <w:rPr>
          <w:rFonts w:ascii="Verdana" w:hAnsi="Verdana"/>
          <w:sz w:val="20"/>
          <w:szCs w:val="20"/>
          <w:lang w:val="es-ES"/>
        </w:rPr>
        <w:t xml:space="preserve">ella </w:t>
      </w:r>
      <w:r w:rsidRPr="00201581">
        <w:rPr>
          <w:rFonts w:ascii="Verdana" w:hAnsi="Verdana"/>
          <w:sz w:val="20"/>
          <w:szCs w:val="20"/>
          <w:lang w:val="es-ES"/>
        </w:rPr>
        <w:t>lo hace</w:t>
      </w:r>
      <w:r w:rsidR="000A76D5" w:rsidRPr="00201581">
        <w:rPr>
          <w:rFonts w:ascii="Verdana" w:hAnsi="Verdana"/>
          <w:sz w:val="20"/>
          <w:szCs w:val="20"/>
          <w:lang w:val="es-ES"/>
        </w:rPr>
        <w:t>, que constituye “</w:t>
      </w:r>
      <w:r w:rsidR="000A76D5" w:rsidRPr="00201581">
        <w:rPr>
          <w:rFonts w:ascii="Verdana" w:hAnsi="Verdana"/>
          <w:i/>
          <w:sz w:val="20"/>
          <w:szCs w:val="20"/>
          <w:lang w:val="es-ES"/>
        </w:rPr>
        <w:t>por sí misma, una forma de reparación</w:t>
      </w:r>
      <w:r w:rsidR="000A76D5">
        <w:rPr>
          <w:rFonts w:ascii="Verdana" w:hAnsi="Verdana"/>
          <w:lang w:val="es-ES"/>
        </w:rPr>
        <w:t>”</w:t>
      </w:r>
      <w:r w:rsidR="005F2815">
        <w:rPr>
          <w:rFonts w:ascii="Verdana" w:hAnsi="Verdana"/>
          <w:lang w:val="es-ES"/>
        </w:rPr>
        <w:t>.</w:t>
      </w:r>
    </w:p>
    <w:p w14:paraId="2A06898C" w14:textId="77777777" w:rsidR="0020556C" w:rsidRDefault="0020556C" w:rsidP="000A76D5">
      <w:pPr>
        <w:jc w:val="both"/>
        <w:rPr>
          <w:rFonts w:ascii="Verdana" w:hAnsi="Verdana"/>
          <w:lang w:val="es-ES"/>
        </w:rPr>
      </w:pPr>
    </w:p>
    <w:p w14:paraId="31F82BD9" w14:textId="77777777" w:rsidR="00AB509A" w:rsidRDefault="00AB509A" w:rsidP="000A76D5">
      <w:pPr>
        <w:jc w:val="both"/>
        <w:rPr>
          <w:rFonts w:ascii="Verdana" w:hAnsi="Verdana"/>
          <w:lang w:val="es-ES"/>
        </w:rPr>
      </w:pPr>
    </w:p>
    <w:p w14:paraId="18B6F26F" w14:textId="295C38D7" w:rsidR="00AB509A" w:rsidRDefault="00AB509A" w:rsidP="000A76D5">
      <w:pPr>
        <w:jc w:val="both"/>
        <w:rPr>
          <w:rFonts w:ascii="Verdana" w:hAnsi="Verdana"/>
          <w:lang w:val="es-ES"/>
        </w:rPr>
      </w:pPr>
    </w:p>
    <w:p w14:paraId="3D7F548E" w14:textId="18CF5FE5" w:rsidR="00AB509A" w:rsidRDefault="00AB509A" w:rsidP="000A76D5">
      <w:pPr>
        <w:jc w:val="both"/>
        <w:rPr>
          <w:rFonts w:ascii="Verdana" w:hAnsi="Verdana"/>
          <w:lang w:val="es-ES"/>
        </w:rPr>
      </w:pPr>
    </w:p>
    <w:p w14:paraId="58DBA952" w14:textId="77777777" w:rsidR="00AB509A" w:rsidRDefault="00AB509A" w:rsidP="000A76D5">
      <w:pPr>
        <w:jc w:val="both"/>
        <w:rPr>
          <w:rFonts w:ascii="Verdana" w:hAnsi="Verdana"/>
          <w:lang w:val="es-ES"/>
        </w:rPr>
      </w:pPr>
    </w:p>
    <w:p w14:paraId="7DFB918B" w14:textId="77777777" w:rsidR="00AB509A" w:rsidRDefault="00AB509A" w:rsidP="00AB509A">
      <w:pPr>
        <w:spacing w:after="0" w:line="240" w:lineRule="auto"/>
        <w:ind w:left="4956"/>
        <w:jc w:val="center"/>
        <w:rPr>
          <w:rFonts w:ascii="Verdana" w:hAnsi="Verdana"/>
          <w:lang w:val="es-ES"/>
        </w:rPr>
      </w:pPr>
    </w:p>
    <w:p w14:paraId="57D78BB0" w14:textId="51FD532A" w:rsidR="0020556C" w:rsidRPr="00201581" w:rsidRDefault="0020556C" w:rsidP="00AB509A">
      <w:pPr>
        <w:spacing w:after="0" w:line="240" w:lineRule="auto"/>
        <w:ind w:left="4956"/>
        <w:jc w:val="center"/>
        <w:rPr>
          <w:rFonts w:ascii="Verdana" w:hAnsi="Verdana"/>
          <w:sz w:val="20"/>
          <w:szCs w:val="20"/>
          <w:lang w:val="es-ES"/>
        </w:rPr>
      </w:pPr>
      <w:r w:rsidRPr="00201581">
        <w:rPr>
          <w:rFonts w:ascii="Verdana" w:hAnsi="Verdana"/>
          <w:sz w:val="20"/>
          <w:szCs w:val="20"/>
          <w:lang w:val="es-ES"/>
        </w:rPr>
        <w:t>Eduardo Vio Grossi</w:t>
      </w:r>
    </w:p>
    <w:p w14:paraId="0316B1E3" w14:textId="3C655076" w:rsidR="0020556C" w:rsidRPr="00201581" w:rsidRDefault="00AB509A" w:rsidP="00AB509A">
      <w:pPr>
        <w:spacing w:after="0" w:line="240" w:lineRule="auto"/>
        <w:ind w:left="4956"/>
        <w:jc w:val="center"/>
        <w:rPr>
          <w:rFonts w:ascii="Verdana" w:hAnsi="Verdana"/>
          <w:sz w:val="20"/>
          <w:szCs w:val="20"/>
          <w:lang w:val="es-ES"/>
        </w:rPr>
      </w:pPr>
      <w:r w:rsidRPr="00201581">
        <w:rPr>
          <w:rFonts w:ascii="Verdana" w:hAnsi="Verdana"/>
          <w:sz w:val="20"/>
          <w:szCs w:val="20"/>
          <w:lang w:val="es-ES"/>
        </w:rPr>
        <w:t>Juez</w:t>
      </w:r>
    </w:p>
    <w:p w14:paraId="36CA800E" w14:textId="77777777" w:rsidR="00AB509A" w:rsidRPr="00201581" w:rsidRDefault="00AB509A" w:rsidP="00AB509A">
      <w:pPr>
        <w:spacing w:after="0" w:line="240" w:lineRule="auto"/>
        <w:jc w:val="right"/>
        <w:rPr>
          <w:rFonts w:ascii="Verdana" w:hAnsi="Verdana"/>
          <w:sz w:val="20"/>
          <w:szCs w:val="20"/>
          <w:lang w:val="es-ES"/>
        </w:rPr>
      </w:pPr>
    </w:p>
    <w:p w14:paraId="119F7301" w14:textId="77777777" w:rsidR="00AB509A" w:rsidRPr="00201581" w:rsidRDefault="00AB509A" w:rsidP="00AB509A">
      <w:pPr>
        <w:spacing w:after="0" w:line="240" w:lineRule="auto"/>
        <w:jc w:val="right"/>
        <w:rPr>
          <w:rFonts w:ascii="Verdana" w:hAnsi="Verdana"/>
          <w:sz w:val="20"/>
          <w:szCs w:val="20"/>
          <w:lang w:val="es-ES"/>
        </w:rPr>
      </w:pPr>
    </w:p>
    <w:p w14:paraId="2D0B9FA4" w14:textId="77777777" w:rsidR="00AB509A" w:rsidRPr="00201581" w:rsidRDefault="00AB509A" w:rsidP="00AB509A">
      <w:pPr>
        <w:spacing w:after="0" w:line="240" w:lineRule="auto"/>
        <w:jc w:val="right"/>
        <w:rPr>
          <w:rFonts w:ascii="Verdana" w:hAnsi="Verdana"/>
          <w:sz w:val="20"/>
          <w:szCs w:val="20"/>
          <w:lang w:val="es-CR"/>
        </w:rPr>
      </w:pPr>
    </w:p>
    <w:p w14:paraId="643672FE" w14:textId="77777777" w:rsidR="00AB509A" w:rsidRPr="00201581" w:rsidRDefault="00AB509A" w:rsidP="00AB509A">
      <w:pPr>
        <w:spacing w:after="0" w:line="240" w:lineRule="auto"/>
        <w:jc w:val="right"/>
        <w:rPr>
          <w:rFonts w:ascii="Verdana" w:hAnsi="Verdana"/>
          <w:sz w:val="20"/>
          <w:szCs w:val="20"/>
          <w:lang w:val="es-CR"/>
        </w:rPr>
      </w:pPr>
    </w:p>
    <w:p w14:paraId="17E67815" w14:textId="02279F33" w:rsidR="00AB509A" w:rsidRPr="00201581" w:rsidRDefault="00AB509A" w:rsidP="00AB509A">
      <w:pPr>
        <w:spacing w:after="0" w:line="240" w:lineRule="auto"/>
        <w:jc w:val="right"/>
        <w:rPr>
          <w:rFonts w:ascii="Verdana" w:hAnsi="Verdana"/>
          <w:sz w:val="20"/>
          <w:szCs w:val="20"/>
          <w:lang w:val="es-CR"/>
        </w:rPr>
      </w:pPr>
    </w:p>
    <w:p w14:paraId="3FC85B62" w14:textId="77777777" w:rsidR="000A5FE0" w:rsidRPr="00201581" w:rsidRDefault="000A5FE0" w:rsidP="00AB509A">
      <w:pPr>
        <w:spacing w:after="0" w:line="240" w:lineRule="auto"/>
        <w:rPr>
          <w:rFonts w:ascii="Verdana" w:hAnsi="Verdana"/>
          <w:sz w:val="20"/>
          <w:szCs w:val="20"/>
        </w:rPr>
      </w:pPr>
    </w:p>
    <w:p w14:paraId="370B6AC5" w14:textId="77777777" w:rsidR="00AB509A" w:rsidRPr="00201581" w:rsidRDefault="00AB509A" w:rsidP="00AB509A">
      <w:pPr>
        <w:spacing w:after="0" w:line="240" w:lineRule="auto"/>
        <w:rPr>
          <w:rFonts w:ascii="Verdana" w:hAnsi="Verdana"/>
          <w:sz w:val="20"/>
          <w:szCs w:val="20"/>
        </w:rPr>
      </w:pPr>
    </w:p>
    <w:p w14:paraId="4C0BE959" w14:textId="2E5227F1" w:rsidR="00AB509A" w:rsidRPr="00201581" w:rsidRDefault="00AB509A" w:rsidP="00AB509A">
      <w:pPr>
        <w:spacing w:after="0" w:line="240" w:lineRule="auto"/>
        <w:rPr>
          <w:rFonts w:ascii="Verdana" w:hAnsi="Verdana"/>
          <w:sz w:val="20"/>
          <w:szCs w:val="20"/>
        </w:rPr>
      </w:pPr>
      <w:r w:rsidRPr="00201581">
        <w:rPr>
          <w:rFonts w:ascii="Verdana" w:hAnsi="Verdana"/>
          <w:sz w:val="20"/>
          <w:szCs w:val="20"/>
        </w:rPr>
        <w:t>Pablo Saavedra Alessandri</w:t>
      </w:r>
    </w:p>
    <w:p w14:paraId="0003D6C0" w14:textId="15CC932A" w:rsidR="00AB509A" w:rsidRPr="00201581" w:rsidRDefault="00AB509A" w:rsidP="00AB509A">
      <w:pPr>
        <w:spacing w:after="0" w:line="240" w:lineRule="auto"/>
        <w:rPr>
          <w:rFonts w:ascii="Verdana" w:hAnsi="Verdana"/>
          <w:sz w:val="20"/>
          <w:szCs w:val="20"/>
        </w:rPr>
      </w:pPr>
      <w:r w:rsidRPr="00201581">
        <w:rPr>
          <w:rFonts w:ascii="Verdana" w:hAnsi="Verdana"/>
          <w:sz w:val="20"/>
          <w:szCs w:val="20"/>
        </w:rPr>
        <w:t xml:space="preserve">            Secretario</w:t>
      </w:r>
    </w:p>
    <w:sectPr w:rsidR="00AB509A" w:rsidRPr="00201581" w:rsidSect="00514061">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0D29B" w14:textId="77777777" w:rsidR="0053136F" w:rsidRDefault="0053136F" w:rsidP="00150531">
      <w:pPr>
        <w:spacing w:after="0" w:line="240" w:lineRule="auto"/>
      </w:pPr>
      <w:r>
        <w:separator/>
      </w:r>
    </w:p>
  </w:endnote>
  <w:endnote w:type="continuationSeparator" w:id="0">
    <w:p w14:paraId="637FB6FB" w14:textId="77777777" w:rsidR="0053136F" w:rsidRDefault="0053136F" w:rsidP="0015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Arial Cursiv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344818"/>
      <w:docPartObj>
        <w:docPartGallery w:val="Page Numbers (Bottom of Page)"/>
        <w:docPartUnique/>
      </w:docPartObj>
    </w:sdtPr>
    <w:sdtEndPr>
      <w:rPr>
        <w:noProof/>
      </w:rPr>
    </w:sdtEndPr>
    <w:sdtContent>
      <w:p w14:paraId="47E3880B" w14:textId="77777777" w:rsidR="00667410" w:rsidRDefault="00EF005D">
        <w:pPr>
          <w:pStyle w:val="Footer"/>
          <w:jc w:val="right"/>
        </w:pPr>
        <w:r>
          <w:fldChar w:fldCharType="begin"/>
        </w:r>
        <w:r>
          <w:instrText xml:space="preserve"> PAGE   \* MERGEFORMAT </w:instrText>
        </w:r>
        <w:r>
          <w:fldChar w:fldCharType="separate"/>
        </w:r>
        <w:r w:rsidR="003151C2">
          <w:rPr>
            <w:noProof/>
          </w:rPr>
          <w:t>6</w:t>
        </w:r>
        <w:r>
          <w:rPr>
            <w:noProof/>
          </w:rPr>
          <w:fldChar w:fldCharType="end"/>
        </w:r>
      </w:p>
    </w:sdtContent>
  </w:sdt>
  <w:p w14:paraId="7EE6DA6B" w14:textId="77777777" w:rsidR="00667410" w:rsidRDefault="00667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E1913" w14:textId="77777777" w:rsidR="0053136F" w:rsidRDefault="0053136F" w:rsidP="00150531">
      <w:pPr>
        <w:spacing w:after="0" w:line="240" w:lineRule="auto"/>
      </w:pPr>
      <w:r>
        <w:separator/>
      </w:r>
    </w:p>
  </w:footnote>
  <w:footnote w:type="continuationSeparator" w:id="0">
    <w:p w14:paraId="6AFC1416" w14:textId="77777777" w:rsidR="0053136F" w:rsidRDefault="0053136F" w:rsidP="00150531">
      <w:pPr>
        <w:spacing w:after="0" w:line="240" w:lineRule="auto"/>
      </w:pPr>
      <w:r>
        <w:continuationSeparator/>
      </w:r>
    </w:p>
  </w:footnote>
  <w:footnote w:id="1">
    <w:p w14:paraId="04D7BE6F" w14:textId="77777777" w:rsidR="003D5245" w:rsidRPr="00C0139B" w:rsidRDefault="003D5245" w:rsidP="009C6B6D">
      <w:pPr>
        <w:spacing w:after="0" w:line="240" w:lineRule="auto"/>
        <w:jc w:val="both"/>
        <w:rPr>
          <w:rFonts w:ascii="Verdana" w:hAnsi="Verdana"/>
          <w:sz w:val="16"/>
          <w:szCs w:val="16"/>
          <w:lang w:val="es-ES"/>
        </w:rPr>
      </w:pPr>
      <w:r w:rsidRPr="00C0139B">
        <w:rPr>
          <w:rStyle w:val="FootnoteReference"/>
          <w:rFonts w:ascii="Verdana" w:hAnsi="Verdana"/>
          <w:sz w:val="16"/>
          <w:szCs w:val="16"/>
        </w:rPr>
        <w:footnoteRef/>
      </w:r>
      <w:r w:rsidRPr="00C0139B">
        <w:rPr>
          <w:rFonts w:ascii="Verdana" w:hAnsi="Verdana"/>
          <w:sz w:val="16"/>
          <w:szCs w:val="16"/>
        </w:rPr>
        <w:t xml:space="preserve"> Art.65.2 de la Convención Americana sobre Derechos Humanos: “</w:t>
      </w:r>
      <w:r w:rsidRPr="00C0139B">
        <w:rPr>
          <w:rFonts w:ascii="Verdana" w:hAnsi="Verdana"/>
          <w:i/>
          <w:sz w:val="16"/>
          <w:szCs w:val="16"/>
          <w:lang w:val="es-ES"/>
        </w:rPr>
        <w:t>Si el fallo no expresare en todo o en parte la opinión unánime de los jueces, cualquiera de éstos tendrá derecho a que se agregue al fallo su opinión disidente o individual.”</w:t>
      </w:r>
      <w:r w:rsidRPr="00C0139B">
        <w:rPr>
          <w:rFonts w:ascii="Verdana" w:hAnsi="Verdana"/>
          <w:sz w:val="16"/>
          <w:szCs w:val="16"/>
          <w:lang w:val="es-ES"/>
        </w:rPr>
        <w:t xml:space="preserve"> </w:t>
      </w:r>
    </w:p>
    <w:p w14:paraId="63B16131" w14:textId="77777777" w:rsidR="003D5245" w:rsidRPr="00C0139B" w:rsidRDefault="003D5245" w:rsidP="009C6B6D">
      <w:pPr>
        <w:spacing w:after="0" w:line="240" w:lineRule="auto"/>
        <w:jc w:val="both"/>
        <w:rPr>
          <w:rFonts w:ascii="Verdana" w:hAnsi="Verdana"/>
          <w:color w:val="000000"/>
          <w:sz w:val="16"/>
          <w:szCs w:val="16"/>
          <w:shd w:val="clear" w:color="auto" w:fill="FFFFFF"/>
        </w:rPr>
      </w:pPr>
      <w:r w:rsidRPr="00C0139B">
        <w:rPr>
          <w:rFonts w:ascii="Verdana" w:hAnsi="Verdana"/>
          <w:color w:val="000000"/>
          <w:sz w:val="16"/>
          <w:szCs w:val="16"/>
          <w:shd w:val="clear" w:color="auto" w:fill="FFFFFF"/>
        </w:rPr>
        <w:t>Art. 24. Del Estatuto de la Corte Interamericana de Derechos Humanos: “</w:t>
      </w:r>
      <w:r w:rsidRPr="00C0139B">
        <w:rPr>
          <w:rFonts w:ascii="Verdana" w:hAnsi="Verdana"/>
          <w:i/>
          <w:color w:val="000000"/>
          <w:sz w:val="16"/>
          <w:szCs w:val="16"/>
          <w:shd w:val="clear" w:color="auto" w:fill="FFFFFF"/>
        </w:rPr>
        <w:t>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w:t>
      </w:r>
      <w:r w:rsidRPr="00C0139B">
        <w:rPr>
          <w:rFonts w:ascii="Verdana" w:hAnsi="Verdana"/>
          <w:color w:val="000000"/>
          <w:sz w:val="16"/>
          <w:szCs w:val="16"/>
          <w:shd w:val="clear" w:color="auto" w:fill="FFFFFF"/>
        </w:rPr>
        <w:t>.”</w:t>
      </w:r>
    </w:p>
    <w:p w14:paraId="26EA8FD6" w14:textId="77777777" w:rsidR="003D5245" w:rsidRPr="00C0139B" w:rsidRDefault="003D5245" w:rsidP="009C6B6D">
      <w:pPr>
        <w:spacing w:after="120" w:line="240" w:lineRule="auto"/>
        <w:jc w:val="both"/>
        <w:rPr>
          <w:rFonts w:ascii="Verdana" w:hAnsi="Verdana"/>
          <w:i/>
          <w:sz w:val="16"/>
          <w:szCs w:val="16"/>
          <w:lang w:val="es-ES"/>
        </w:rPr>
      </w:pPr>
      <w:r w:rsidRPr="00C0139B">
        <w:rPr>
          <w:rFonts w:ascii="Verdana" w:hAnsi="Verdana"/>
          <w:color w:val="000000"/>
          <w:sz w:val="16"/>
          <w:szCs w:val="16"/>
          <w:shd w:val="clear" w:color="auto" w:fill="FFFFFF"/>
        </w:rPr>
        <w:t>Art.32.1.a del Reglamento de la Corte Inter</w:t>
      </w:r>
      <w:r w:rsidR="00D40613" w:rsidRPr="00C0139B">
        <w:rPr>
          <w:rFonts w:ascii="Verdana" w:hAnsi="Verdana"/>
          <w:color w:val="000000"/>
          <w:sz w:val="16"/>
          <w:szCs w:val="16"/>
          <w:shd w:val="clear" w:color="auto" w:fill="FFFFFF"/>
        </w:rPr>
        <w:t>ame</w:t>
      </w:r>
      <w:r w:rsidRPr="00C0139B">
        <w:rPr>
          <w:rFonts w:ascii="Verdana" w:hAnsi="Verdana"/>
          <w:color w:val="000000"/>
          <w:sz w:val="16"/>
          <w:szCs w:val="16"/>
          <w:shd w:val="clear" w:color="auto" w:fill="FFFFFF"/>
        </w:rPr>
        <w:t>ricana</w:t>
      </w:r>
      <w:r w:rsidR="00D40613" w:rsidRPr="00C0139B">
        <w:rPr>
          <w:rFonts w:ascii="Verdana" w:hAnsi="Verdana"/>
          <w:color w:val="000000"/>
          <w:sz w:val="16"/>
          <w:szCs w:val="16"/>
          <w:shd w:val="clear" w:color="auto" w:fill="FFFFFF"/>
        </w:rPr>
        <w:t xml:space="preserve"> de Derechos Humanos</w:t>
      </w:r>
      <w:r w:rsidRPr="00C0139B">
        <w:rPr>
          <w:rFonts w:ascii="Verdana" w:hAnsi="Verdana"/>
          <w:color w:val="000000"/>
          <w:sz w:val="16"/>
          <w:szCs w:val="16"/>
          <w:shd w:val="clear" w:color="auto" w:fill="FFFFFF"/>
        </w:rPr>
        <w:t xml:space="preserve">: </w:t>
      </w:r>
      <w:r w:rsidRPr="00C0139B">
        <w:rPr>
          <w:rFonts w:ascii="Verdana" w:hAnsi="Verdana"/>
          <w:i/>
          <w:color w:val="000000"/>
          <w:sz w:val="16"/>
          <w:szCs w:val="16"/>
          <w:shd w:val="clear" w:color="auto" w:fill="FFFFFF"/>
        </w:rPr>
        <w:t>“La Corte hará público: sus sentencias, resoluciones, opiniones y otras decisiones, incluyendo los votos concurrentes o disidentes, cuando cumplan los requisitos señalados en el artículo 65.2 del presente Reglamento</w:t>
      </w:r>
      <w:r w:rsidRPr="00C0139B">
        <w:rPr>
          <w:rFonts w:ascii="Verdana" w:hAnsi="Verdana"/>
          <w:color w:val="000000"/>
          <w:sz w:val="16"/>
          <w:szCs w:val="16"/>
          <w:shd w:val="clear" w:color="auto" w:fill="FFFFFF"/>
        </w:rPr>
        <w:t>;</w:t>
      </w:r>
      <w:r w:rsidR="005F2815" w:rsidRPr="00C0139B">
        <w:rPr>
          <w:rFonts w:ascii="Verdana" w:hAnsi="Verdana"/>
          <w:color w:val="000000"/>
          <w:sz w:val="16"/>
          <w:szCs w:val="16"/>
          <w:shd w:val="clear" w:color="auto" w:fill="FFFFFF"/>
        </w:rPr>
        <w:t>”.</w:t>
      </w:r>
    </w:p>
  </w:footnote>
  <w:footnote w:id="2">
    <w:p w14:paraId="0F9CC1F6" w14:textId="77777777" w:rsidR="00150531" w:rsidRPr="00C0139B" w:rsidRDefault="00150531" w:rsidP="009C6B6D">
      <w:pPr>
        <w:pStyle w:val="FootnoteText"/>
        <w:spacing w:after="120"/>
        <w:jc w:val="both"/>
        <w:rPr>
          <w:rFonts w:ascii="Verdana" w:hAnsi="Verdana"/>
          <w:sz w:val="16"/>
          <w:szCs w:val="16"/>
          <w:lang w:val="es-ES"/>
        </w:rPr>
      </w:pPr>
      <w:r w:rsidRPr="00C0139B">
        <w:rPr>
          <w:rStyle w:val="FootnoteReference"/>
          <w:rFonts w:ascii="Verdana" w:hAnsi="Verdana"/>
          <w:sz w:val="16"/>
          <w:szCs w:val="16"/>
        </w:rPr>
        <w:footnoteRef/>
      </w:r>
      <w:r w:rsidRPr="00C0139B">
        <w:rPr>
          <w:rFonts w:ascii="Verdana" w:hAnsi="Verdana"/>
          <w:sz w:val="16"/>
          <w:szCs w:val="16"/>
          <w:lang w:val="es-ES"/>
        </w:rPr>
        <w:t xml:space="preserve"> En adelante, la Sentencia.</w:t>
      </w:r>
    </w:p>
  </w:footnote>
  <w:footnote w:id="3">
    <w:p w14:paraId="0BC9BD35" w14:textId="77777777" w:rsidR="00891071" w:rsidRPr="00C0139B" w:rsidRDefault="00891071" w:rsidP="009C6B6D">
      <w:pPr>
        <w:pStyle w:val="FootnoteText"/>
        <w:spacing w:after="120"/>
        <w:jc w:val="both"/>
        <w:rPr>
          <w:rFonts w:ascii="Verdana" w:hAnsi="Verdana"/>
          <w:sz w:val="16"/>
          <w:szCs w:val="16"/>
        </w:rPr>
      </w:pPr>
      <w:r w:rsidRPr="00C0139B">
        <w:rPr>
          <w:rStyle w:val="FootnoteReference"/>
          <w:rFonts w:ascii="Verdana" w:hAnsi="Verdana"/>
          <w:sz w:val="16"/>
          <w:szCs w:val="16"/>
        </w:rPr>
        <w:footnoteRef/>
      </w:r>
      <w:r w:rsidRPr="00C0139B">
        <w:rPr>
          <w:rFonts w:ascii="Verdana" w:hAnsi="Verdana"/>
          <w:sz w:val="16"/>
          <w:szCs w:val="16"/>
        </w:rPr>
        <w:t xml:space="preserve"> </w:t>
      </w:r>
      <w:r w:rsidR="004C27DF" w:rsidRPr="00C0139B">
        <w:rPr>
          <w:rFonts w:ascii="Verdana" w:hAnsi="Verdana"/>
          <w:sz w:val="16"/>
          <w:szCs w:val="16"/>
        </w:rPr>
        <w:t>En</w:t>
      </w:r>
      <w:r w:rsidRPr="00C0139B">
        <w:rPr>
          <w:rFonts w:ascii="Verdana" w:hAnsi="Verdana"/>
          <w:sz w:val="16"/>
          <w:szCs w:val="16"/>
        </w:rPr>
        <w:t xml:space="preserve"> adelante, la Corte.</w:t>
      </w:r>
    </w:p>
  </w:footnote>
  <w:footnote w:id="4">
    <w:p w14:paraId="556C4EA1" w14:textId="77777777" w:rsidR="00F416BD" w:rsidRPr="00C0139B" w:rsidRDefault="00F416BD" w:rsidP="009C6B6D">
      <w:pPr>
        <w:pStyle w:val="FootnoteText"/>
        <w:spacing w:after="120"/>
        <w:jc w:val="both"/>
        <w:rPr>
          <w:rFonts w:ascii="Verdana" w:hAnsi="Verdana"/>
          <w:i/>
          <w:sz w:val="16"/>
          <w:szCs w:val="16"/>
        </w:rPr>
      </w:pPr>
      <w:r w:rsidRPr="00C0139B">
        <w:rPr>
          <w:rStyle w:val="FootnoteReference"/>
          <w:rFonts w:ascii="Verdana" w:hAnsi="Verdana"/>
          <w:sz w:val="16"/>
          <w:szCs w:val="16"/>
        </w:rPr>
        <w:footnoteRef/>
      </w:r>
      <w:r w:rsidRPr="00C0139B">
        <w:rPr>
          <w:rFonts w:ascii="Verdana" w:hAnsi="Verdana"/>
          <w:sz w:val="16"/>
          <w:szCs w:val="16"/>
        </w:rPr>
        <w:t xml:space="preserve"> Art. 2º del Código Modelo Iberoamericano de Ética Judicial</w:t>
      </w:r>
      <w:r w:rsidR="00486E22" w:rsidRPr="00C0139B">
        <w:rPr>
          <w:rFonts w:ascii="Verdana" w:hAnsi="Verdana"/>
          <w:sz w:val="16"/>
          <w:szCs w:val="16"/>
        </w:rPr>
        <w:t xml:space="preserve">, XIII Cumbre Judicial Iberoamericana, </w:t>
      </w:r>
      <w:r w:rsidR="00486E22" w:rsidRPr="00C0139B">
        <w:rPr>
          <w:rFonts w:ascii="Verdana" w:hAnsi="Verdana"/>
          <w:color w:val="000000"/>
          <w:sz w:val="16"/>
          <w:szCs w:val="16"/>
        </w:rPr>
        <w:t xml:space="preserve">Santo </w:t>
      </w:r>
      <w:r w:rsidR="00A16656" w:rsidRPr="00C0139B">
        <w:rPr>
          <w:rFonts w:ascii="Verdana" w:hAnsi="Verdana"/>
          <w:color w:val="000000"/>
          <w:sz w:val="16"/>
          <w:szCs w:val="16"/>
        </w:rPr>
        <w:t>Domingo, República</w:t>
      </w:r>
      <w:r w:rsidR="00486E22" w:rsidRPr="00C0139B">
        <w:rPr>
          <w:rFonts w:ascii="Verdana" w:hAnsi="Verdana"/>
          <w:color w:val="000000"/>
          <w:sz w:val="16"/>
          <w:szCs w:val="16"/>
        </w:rPr>
        <w:t xml:space="preserve"> Dominicana, a Junio de 2006</w:t>
      </w:r>
      <w:r w:rsidR="00486E22" w:rsidRPr="00C0139B">
        <w:rPr>
          <w:rFonts w:ascii="Verdana" w:hAnsi="Verdana"/>
          <w:sz w:val="16"/>
          <w:szCs w:val="16"/>
        </w:rPr>
        <w:t xml:space="preserve"> </w:t>
      </w:r>
      <w:r w:rsidRPr="00C0139B">
        <w:rPr>
          <w:rFonts w:ascii="Verdana" w:hAnsi="Verdana"/>
          <w:sz w:val="16"/>
          <w:szCs w:val="16"/>
        </w:rPr>
        <w:t>: “</w:t>
      </w:r>
      <w:r w:rsidRPr="00C0139B">
        <w:rPr>
          <w:rFonts w:ascii="Verdana" w:hAnsi="Verdana"/>
          <w:i/>
          <w:sz w:val="16"/>
          <w:szCs w:val="16"/>
        </w:rPr>
        <w:t>El juez independiente es aquel que determina desde el Derecho vigente la decisión justa, sin dejarse influir real o aparentemente por factores ajenos al Derecho mismo</w:t>
      </w:r>
      <w:r w:rsidR="005F2815" w:rsidRPr="00C0139B">
        <w:rPr>
          <w:rFonts w:ascii="Verdana" w:hAnsi="Verdana"/>
          <w:i/>
          <w:sz w:val="16"/>
          <w:szCs w:val="16"/>
        </w:rPr>
        <w:t>.</w:t>
      </w:r>
      <w:r w:rsidRPr="00C0139B">
        <w:rPr>
          <w:rFonts w:ascii="Verdana" w:hAnsi="Verdana"/>
          <w:i/>
          <w:sz w:val="16"/>
          <w:szCs w:val="16"/>
        </w:rPr>
        <w:t>”</w:t>
      </w:r>
    </w:p>
  </w:footnote>
  <w:footnote w:id="5">
    <w:p w14:paraId="37114F0E" w14:textId="77777777" w:rsidR="00E96668" w:rsidRPr="00C0139B" w:rsidRDefault="00E96668" w:rsidP="009C6B6D">
      <w:pPr>
        <w:pStyle w:val="FootnoteText"/>
        <w:jc w:val="both"/>
        <w:rPr>
          <w:rFonts w:ascii="Verdana" w:hAnsi="Verdana"/>
          <w:i/>
          <w:sz w:val="16"/>
          <w:szCs w:val="16"/>
        </w:rPr>
      </w:pPr>
      <w:r w:rsidRPr="00C0139B">
        <w:rPr>
          <w:rStyle w:val="FootnoteReference"/>
          <w:rFonts w:ascii="Verdana" w:hAnsi="Verdana"/>
          <w:sz w:val="16"/>
          <w:szCs w:val="16"/>
        </w:rPr>
        <w:footnoteRef/>
      </w:r>
      <w:r w:rsidRPr="00C0139B">
        <w:rPr>
          <w:rFonts w:ascii="Verdana" w:hAnsi="Verdana"/>
          <w:sz w:val="16"/>
          <w:szCs w:val="16"/>
        </w:rPr>
        <w:t xml:space="preserve"> Art.38 del Estatuto de la Corte Internacional de Justicia: “</w:t>
      </w:r>
      <w:r w:rsidRPr="00C0139B">
        <w:rPr>
          <w:rFonts w:ascii="Verdana" w:hAnsi="Verdana"/>
          <w:i/>
          <w:sz w:val="16"/>
          <w:szCs w:val="16"/>
        </w:rPr>
        <w:t xml:space="preserve"> 1. La Corte, cuya función es decidir conforme al derecho internacional las controversias que le sean sometidas, deberá aplicar:  </w:t>
      </w:r>
    </w:p>
    <w:p w14:paraId="2E129A63" w14:textId="77777777" w:rsidR="00E96668" w:rsidRPr="00C0139B" w:rsidRDefault="00E96668" w:rsidP="009C6B6D">
      <w:pPr>
        <w:pStyle w:val="FootnoteText"/>
        <w:jc w:val="both"/>
        <w:rPr>
          <w:rFonts w:ascii="Verdana" w:hAnsi="Verdana"/>
          <w:i/>
          <w:sz w:val="16"/>
          <w:szCs w:val="16"/>
        </w:rPr>
      </w:pPr>
      <w:r w:rsidRPr="00C0139B">
        <w:rPr>
          <w:rFonts w:ascii="Verdana" w:hAnsi="Verdana"/>
          <w:i/>
          <w:sz w:val="16"/>
          <w:szCs w:val="16"/>
        </w:rPr>
        <w:t xml:space="preserve">a. las convenciones internacionales, sean generales o particulares, que establecen reglas expresamente reconocidas por los Estados litigantes;  </w:t>
      </w:r>
    </w:p>
    <w:p w14:paraId="1AB99AB0" w14:textId="77777777" w:rsidR="00E96668" w:rsidRPr="00C0139B" w:rsidRDefault="00E96668" w:rsidP="009C6B6D">
      <w:pPr>
        <w:pStyle w:val="FootnoteText"/>
        <w:jc w:val="both"/>
        <w:rPr>
          <w:rFonts w:ascii="Verdana" w:hAnsi="Verdana"/>
          <w:i/>
          <w:sz w:val="16"/>
          <w:szCs w:val="16"/>
        </w:rPr>
      </w:pPr>
      <w:r w:rsidRPr="00C0139B">
        <w:rPr>
          <w:rFonts w:ascii="Verdana" w:hAnsi="Verdana"/>
          <w:i/>
          <w:sz w:val="16"/>
          <w:szCs w:val="16"/>
        </w:rPr>
        <w:t xml:space="preserve">b. la costumbre internacional como prueba de una práctica generalmente aceptada como derecho;  </w:t>
      </w:r>
    </w:p>
    <w:p w14:paraId="5D7019CB" w14:textId="77777777" w:rsidR="00E96668" w:rsidRPr="00C0139B" w:rsidRDefault="00E96668" w:rsidP="009C6B6D">
      <w:pPr>
        <w:pStyle w:val="FootnoteText"/>
        <w:jc w:val="both"/>
        <w:rPr>
          <w:rFonts w:ascii="Verdana" w:hAnsi="Verdana"/>
          <w:i/>
          <w:sz w:val="16"/>
          <w:szCs w:val="16"/>
        </w:rPr>
      </w:pPr>
      <w:r w:rsidRPr="00C0139B">
        <w:rPr>
          <w:rFonts w:ascii="Verdana" w:hAnsi="Verdana"/>
          <w:i/>
          <w:sz w:val="16"/>
          <w:szCs w:val="16"/>
        </w:rPr>
        <w:t xml:space="preserve">c. los principios generales de derecho reconocidos por las naciones civilizadas;  </w:t>
      </w:r>
    </w:p>
    <w:p w14:paraId="309A6201" w14:textId="77777777" w:rsidR="00E96668" w:rsidRPr="00C0139B" w:rsidRDefault="00E96668" w:rsidP="009C6B6D">
      <w:pPr>
        <w:pStyle w:val="FootnoteText"/>
        <w:jc w:val="both"/>
        <w:rPr>
          <w:rFonts w:ascii="Verdana" w:hAnsi="Verdana"/>
          <w:i/>
          <w:sz w:val="16"/>
          <w:szCs w:val="16"/>
        </w:rPr>
      </w:pPr>
      <w:r w:rsidRPr="00C0139B">
        <w:rPr>
          <w:rFonts w:ascii="Verdana" w:hAnsi="Verdana"/>
          <w:i/>
          <w:sz w:val="16"/>
          <w:szCs w:val="16"/>
        </w:rPr>
        <w:t xml:space="preserve">d. las decisiones judiciales y las doctrinas de los publicistas de mayor competencia de las distintas naciones, como medio auxiliar para la determinación de las reglas de derecho, sin perjuicio de lo dispuesto en el artículo 59.  </w:t>
      </w:r>
    </w:p>
    <w:p w14:paraId="2DAE915D" w14:textId="77777777" w:rsidR="00E96668" w:rsidRPr="00C0139B" w:rsidRDefault="00E96668" w:rsidP="009C6B6D">
      <w:pPr>
        <w:pStyle w:val="FootnoteText"/>
        <w:spacing w:after="120"/>
        <w:jc w:val="both"/>
        <w:rPr>
          <w:rFonts w:ascii="Verdana" w:hAnsi="Verdana"/>
          <w:sz w:val="16"/>
          <w:szCs w:val="16"/>
        </w:rPr>
      </w:pPr>
      <w:r w:rsidRPr="00C0139B">
        <w:rPr>
          <w:rFonts w:ascii="Verdana" w:hAnsi="Verdana"/>
          <w:i/>
          <w:sz w:val="16"/>
          <w:szCs w:val="16"/>
        </w:rPr>
        <w:t>2. La presente disposición no restringe la facultad de la Corte para decidir un litigio ex aequo et bono, si las partes así lo convinieren.”</w:t>
      </w:r>
      <w:r w:rsidRPr="00C0139B">
        <w:rPr>
          <w:rFonts w:ascii="Verdana" w:hAnsi="Verdana"/>
          <w:sz w:val="16"/>
          <w:szCs w:val="16"/>
        </w:rPr>
        <w:t xml:space="preserve">  </w:t>
      </w:r>
    </w:p>
  </w:footnote>
  <w:footnote w:id="6">
    <w:p w14:paraId="1D0B5DD3" w14:textId="77777777" w:rsidR="005E6342" w:rsidRPr="00C0139B" w:rsidRDefault="005E6342" w:rsidP="009C6B6D">
      <w:pPr>
        <w:spacing w:after="0" w:line="240" w:lineRule="auto"/>
        <w:jc w:val="both"/>
        <w:rPr>
          <w:rFonts w:ascii="Verdana" w:hAnsi="Verdana"/>
          <w:i/>
          <w:sz w:val="16"/>
          <w:szCs w:val="16"/>
          <w:lang w:val="es-ES"/>
        </w:rPr>
      </w:pPr>
      <w:r w:rsidRPr="00C0139B">
        <w:rPr>
          <w:rStyle w:val="FootnoteReference"/>
          <w:rFonts w:ascii="Verdana" w:hAnsi="Verdana"/>
          <w:sz w:val="16"/>
          <w:szCs w:val="16"/>
        </w:rPr>
        <w:footnoteRef/>
      </w:r>
      <w:r w:rsidRPr="00C0139B">
        <w:rPr>
          <w:rFonts w:ascii="Verdana" w:hAnsi="Verdana"/>
          <w:sz w:val="16"/>
          <w:szCs w:val="16"/>
        </w:rPr>
        <w:t xml:space="preserve"> Art.</w:t>
      </w:r>
      <w:r w:rsidRPr="00C0139B">
        <w:rPr>
          <w:rFonts w:ascii="Verdana" w:hAnsi="Verdana"/>
          <w:sz w:val="16"/>
          <w:szCs w:val="16"/>
          <w:lang w:val="es-ES"/>
        </w:rPr>
        <w:t xml:space="preserve"> 68: “</w:t>
      </w:r>
      <w:r w:rsidRPr="00C0139B">
        <w:rPr>
          <w:rFonts w:ascii="Verdana" w:hAnsi="Verdana"/>
          <w:i/>
          <w:sz w:val="16"/>
          <w:szCs w:val="16"/>
          <w:lang w:val="es-ES"/>
        </w:rPr>
        <w:t>1. Los Estados Partes en la Convención se comprometen a cumplir la decisión de la Corte en todo caso en que sean partes.</w:t>
      </w:r>
    </w:p>
    <w:p w14:paraId="581B349A" w14:textId="77777777" w:rsidR="005E6342" w:rsidRPr="00C0139B" w:rsidRDefault="005E6342" w:rsidP="009C6B6D">
      <w:pPr>
        <w:spacing w:after="0" w:line="240" w:lineRule="auto"/>
        <w:jc w:val="both"/>
        <w:rPr>
          <w:rFonts w:ascii="Verdana" w:hAnsi="Verdana"/>
          <w:sz w:val="16"/>
          <w:szCs w:val="16"/>
          <w:lang w:val="es-ES"/>
        </w:rPr>
      </w:pPr>
      <w:r w:rsidRPr="00C0139B">
        <w:rPr>
          <w:rFonts w:ascii="Verdana" w:hAnsi="Verdana"/>
          <w:i/>
          <w:sz w:val="16"/>
          <w:szCs w:val="16"/>
          <w:lang w:val="es-ES"/>
        </w:rPr>
        <w:t>2. La parte del fallo que disponga indemnización compensatoria se podrá ejecutar en el respectivo país por el procedimiento interno vigente para la ejecución de sentencias contra el Estado</w:t>
      </w:r>
      <w:r w:rsidRPr="00C0139B">
        <w:rPr>
          <w:rFonts w:ascii="Verdana" w:hAnsi="Verdana"/>
          <w:sz w:val="16"/>
          <w:szCs w:val="16"/>
          <w:lang w:val="es-ES"/>
        </w:rPr>
        <w:t>.”</w:t>
      </w:r>
    </w:p>
    <w:p w14:paraId="26BDE6B1" w14:textId="77777777" w:rsidR="005E6342" w:rsidRPr="00C0139B" w:rsidRDefault="005E6342" w:rsidP="009C6B6D">
      <w:pPr>
        <w:pStyle w:val="FootnoteText"/>
        <w:spacing w:after="120"/>
        <w:jc w:val="both"/>
        <w:rPr>
          <w:rFonts w:ascii="Verdana" w:hAnsi="Verdana"/>
          <w:sz w:val="16"/>
          <w:szCs w:val="16"/>
        </w:rPr>
      </w:pPr>
      <w:r w:rsidRPr="00C0139B">
        <w:rPr>
          <w:rFonts w:ascii="Verdana" w:hAnsi="Verdana"/>
          <w:sz w:val="16"/>
          <w:szCs w:val="16"/>
        </w:rPr>
        <w:t>Art.59 del Estatuto de l</w:t>
      </w:r>
      <w:r w:rsidR="00A16656" w:rsidRPr="00C0139B">
        <w:rPr>
          <w:rFonts w:ascii="Verdana" w:hAnsi="Verdana"/>
          <w:sz w:val="16"/>
          <w:szCs w:val="16"/>
        </w:rPr>
        <w:t>a</w:t>
      </w:r>
      <w:r w:rsidRPr="00C0139B">
        <w:rPr>
          <w:rFonts w:ascii="Verdana" w:hAnsi="Verdana"/>
          <w:sz w:val="16"/>
          <w:szCs w:val="16"/>
        </w:rPr>
        <w:t xml:space="preserve"> Corte Internacional de Justicia: “</w:t>
      </w:r>
      <w:r w:rsidRPr="00C0139B">
        <w:rPr>
          <w:rFonts w:ascii="Verdana" w:hAnsi="Verdana"/>
          <w:i/>
          <w:sz w:val="16"/>
          <w:szCs w:val="16"/>
        </w:rPr>
        <w:t>La decisión de la Corte no es obligatoria sino para las partes en litigio y respecto del caso que ha sido decidido</w:t>
      </w:r>
      <w:r w:rsidRPr="00C0139B">
        <w:rPr>
          <w:rFonts w:ascii="Verdana" w:hAnsi="Verdana"/>
          <w:sz w:val="16"/>
          <w:szCs w:val="16"/>
        </w:rPr>
        <w:t>.”</w:t>
      </w:r>
    </w:p>
  </w:footnote>
  <w:footnote w:id="7">
    <w:p w14:paraId="5E47D99C" w14:textId="77777777" w:rsidR="00D40613" w:rsidRPr="00C0139B" w:rsidRDefault="00D40613" w:rsidP="009C6B6D">
      <w:pPr>
        <w:pStyle w:val="ListParagraph"/>
        <w:tabs>
          <w:tab w:val="left" w:pos="720"/>
        </w:tabs>
        <w:spacing w:after="120" w:line="240" w:lineRule="auto"/>
        <w:ind w:left="0"/>
        <w:jc w:val="both"/>
        <w:rPr>
          <w:rFonts w:ascii="Verdana" w:hAnsi="Verdana"/>
          <w:i/>
          <w:sz w:val="16"/>
          <w:szCs w:val="16"/>
          <w:lang w:val="es-GT"/>
        </w:rPr>
      </w:pPr>
      <w:r w:rsidRPr="00C0139B">
        <w:rPr>
          <w:rStyle w:val="FootnoteReference"/>
          <w:rFonts w:ascii="Verdana" w:hAnsi="Verdana"/>
          <w:sz w:val="16"/>
          <w:szCs w:val="16"/>
        </w:rPr>
        <w:footnoteRef/>
      </w:r>
      <w:r w:rsidRPr="00C0139B">
        <w:rPr>
          <w:rFonts w:ascii="Verdana" w:hAnsi="Verdana"/>
          <w:sz w:val="16"/>
          <w:szCs w:val="16"/>
        </w:rPr>
        <w:t xml:space="preserve"> </w:t>
      </w:r>
      <w:r w:rsidR="00C559C9" w:rsidRPr="00C0139B">
        <w:rPr>
          <w:rFonts w:ascii="Verdana" w:hAnsi="Verdana"/>
          <w:sz w:val="16"/>
          <w:szCs w:val="16"/>
        </w:rPr>
        <w:t>“</w:t>
      </w:r>
      <w:r w:rsidR="00C559C9" w:rsidRPr="002D5634">
        <w:rPr>
          <w:rFonts w:ascii="Verdana" w:hAnsi="Verdana"/>
          <w:i/>
          <w:sz w:val="16"/>
          <w:szCs w:val="16"/>
        </w:rPr>
        <w:t>1</w:t>
      </w:r>
      <w:r w:rsidR="005E4337" w:rsidRPr="002D5634">
        <w:rPr>
          <w:rFonts w:ascii="Verdana" w:hAnsi="Verdana"/>
          <w:i/>
          <w:sz w:val="16"/>
          <w:szCs w:val="16"/>
        </w:rPr>
        <w:t>.</w:t>
      </w:r>
      <w:r w:rsidR="005E4337" w:rsidRPr="00C0139B">
        <w:rPr>
          <w:rFonts w:ascii="Verdana" w:hAnsi="Verdana"/>
          <w:sz w:val="16"/>
          <w:szCs w:val="16"/>
        </w:rPr>
        <w:t xml:space="preserve"> </w:t>
      </w:r>
      <w:r w:rsidR="005E4337" w:rsidRPr="00C0139B">
        <w:rPr>
          <w:rFonts w:ascii="Verdana" w:eastAsia="Cambria" w:hAnsi="Verdana"/>
          <w:i/>
          <w:sz w:val="16"/>
          <w:szCs w:val="16"/>
          <w:lang w:val="es-GT"/>
        </w:rPr>
        <w:t xml:space="preserve">Declarar procedente la excepción de </w:t>
      </w:r>
      <w:r w:rsidR="005E4337" w:rsidRPr="00D94035">
        <w:rPr>
          <w:rFonts w:ascii="Verdana" w:eastAsia="MS Mincho" w:hAnsi="Verdana"/>
          <w:i/>
          <w:sz w:val="16"/>
          <w:szCs w:val="16"/>
          <w:lang w:val="es-GT"/>
        </w:rPr>
        <w:t>falta</w:t>
      </w:r>
      <w:r w:rsidR="005E4337" w:rsidRPr="00D94035">
        <w:rPr>
          <w:rFonts w:ascii="Verdana" w:hAnsi="Verdana"/>
          <w:i/>
          <w:sz w:val="16"/>
          <w:szCs w:val="16"/>
          <w:lang w:val="es-GT"/>
        </w:rPr>
        <w:t xml:space="preserve"> de agotamiento de los recursos internos respecto de los Grupos 1 (</w:t>
      </w:r>
      <w:proofErr w:type="spellStart"/>
      <w:r w:rsidR="005E4337" w:rsidRPr="00D94035">
        <w:rPr>
          <w:rFonts w:ascii="Verdana" w:hAnsi="Verdana"/>
          <w:i/>
          <w:sz w:val="16"/>
          <w:szCs w:val="16"/>
          <w:lang w:val="es-GT"/>
        </w:rPr>
        <w:t>Manfred</w:t>
      </w:r>
      <w:proofErr w:type="spellEnd"/>
      <w:r w:rsidR="005E4337" w:rsidRPr="00D94035">
        <w:rPr>
          <w:rFonts w:ascii="Verdana" w:hAnsi="Verdana"/>
          <w:i/>
          <w:sz w:val="16"/>
          <w:szCs w:val="16"/>
          <w:lang w:val="es-GT"/>
        </w:rPr>
        <w:t xml:space="preserve"> </w:t>
      </w:r>
      <w:proofErr w:type="spellStart"/>
      <w:r w:rsidR="005E4337" w:rsidRPr="00D94035">
        <w:rPr>
          <w:rFonts w:ascii="Verdana" w:hAnsi="Verdana"/>
          <w:i/>
          <w:sz w:val="16"/>
          <w:szCs w:val="16"/>
          <w:lang w:val="es-GT"/>
        </w:rPr>
        <w:t>Amrhein</w:t>
      </w:r>
      <w:proofErr w:type="spellEnd"/>
      <w:r w:rsidR="005E4337" w:rsidRPr="002D5634">
        <w:rPr>
          <w:rFonts w:ascii="Verdana" w:hAnsi="Verdana"/>
          <w:i/>
          <w:sz w:val="16"/>
          <w:szCs w:val="16"/>
          <w:lang w:val="es-GT"/>
        </w:rPr>
        <w:t xml:space="preserve"> Pinto y otros) y 5 (Guillermo Rodríguez Silva y Martín Rojas Hernández); así como respecto de los Grupos 2 (Rafael Rojas), expediente No. No. 099-0029291-042-PE; 7 (Miguel Mora Calvo), expediente No. 99-003994-0042-PE, y 8 (Damas Vega </w:t>
      </w:r>
      <w:proofErr w:type="spellStart"/>
      <w:r w:rsidR="005E4337" w:rsidRPr="002D5634">
        <w:rPr>
          <w:rFonts w:ascii="Verdana" w:hAnsi="Verdana"/>
          <w:i/>
          <w:sz w:val="16"/>
          <w:szCs w:val="16"/>
          <w:lang w:val="es-GT"/>
        </w:rPr>
        <w:t>Atencio</w:t>
      </w:r>
      <w:proofErr w:type="spellEnd"/>
      <w:r w:rsidR="005E4337" w:rsidRPr="002D5634">
        <w:rPr>
          <w:rFonts w:ascii="Verdana" w:hAnsi="Verdana"/>
          <w:i/>
          <w:sz w:val="16"/>
          <w:szCs w:val="16"/>
          <w:lang w:val="es-GT"/>
        </w:rPr>
        <w:t xml:space="preserve">), expedientes No. 99-000506-062-PE y No. 01-002231-0063-PE. También se declara con lugar la excepción respecto de las siguientes personas del Grupo 3: Carlos Eduardo Yepes Cruz, Miguel Antonio Valverde Montoya, y Fernando Saldarriaga </w:t>
      </w:r>
      <w:proofErr w:type="spellStart"/>
      <w:r w:rsidR="005E4337" w:rsidRPr="002D5634">
        <w:rPr>
          <w:rFonts w:ascii="Verdana" w:hAnsi="Verdana"/>
          <w:i/>
          <w:sz w:val="16"/>
          <w:szCs w:val="16"/>
          <w:lang w:val="es-GT"/>
        </w:rPr>
        <w:t>Saldarriaga</w:t>
      </w:r>
      <w:proofErr w:type="spellEnd"/>
      <w:r w:rsidR="005E4337" w:rsidRPr="002D5634">
        <w:rPr>
          <w:rFonts w:ascii="Verdana" w:hAnsi="Verdana"/>
          <w:i/>
          <w:sz w:val="16"/>
          <w:szCs w:val="16"/>
          <w:lang w:val="es-GT"/>
        </w:rPr>
        <w:t xml:space="preserve">. Todo ello, en </w:t>
      </w:r>
      <w:r w:rsidR="009972DC" w:rsidRPr="002D5634">
        <w:rPr>
          <w:rFonts w:ascii="Verdana" w:hAnsi="Verdana"/>
          <w:i/>
          <w:sz w:val="16"/>
          <w:szCs w:val="16"/>
          <w:lang w:val="es-GT"/>
        </w:rPr>
        <w:t>los términos de los párrafos</w:t>
      </w:r>
      <w:r w:rsidR="00B87A73" w:rsidRPr="002D5634">
        <w:rPr>
          <w:rFonts w:ascii="Verdana" w:hAnsi="Verdana"/>
          <w:i/>
          <w:sz w:val="16"/>
          <w:szCs w:val="16"/>
          <w:lang w:val="es-GT"/>
        </w:rPr>
        <w:t xml:space="preserve"> </w:t>
      </w:r>
      <w:r w:rsidR="009972DC" w:rsidRPr="002D5634">
        <w:rPr>
          <w:rFonts w:ascii="Verdana" w:hAnsi="Verdana"/>
          <w:sz w:val="16"/>
          <w:szCs w:val="16"/>
          <w:lang w:val="es-GT"/>
        </w:rPr>
        <w:t xml:space="preserve">39 a 56 de esta </w:t>
      </w:r>
      <w:r w:rsidR="00B87A73" w:rsidRPr="002D5634">
        <w:rPr>
          <w:rFonts w:ascii="Verdana" w:hAnsi="Verdana"/>
          <w:sz w:val="16"/>
          <w:szCs w:val="16"/>
          <w:lang w:val="es-GT"/>
        </w:rPr>
        <w:t>S</w:t>
      </w:r>
      <w:r w:rsidR="009972DC" w:rsidRPr="002D5634">
        <w:rPr>
          <w:rFonts w:ascii="Verdana" w:hAnsi="Verdana"/>
          <w:sz w:val="16"/>
          <w:szCs w:val="16"/>
          <w:lang w:val="es-GT"/>
        </w:rPr>
        <w:t>entencia.</w:t>
      </w:r>
      <w:r w:rsidR="00957C88" w:rsidRPr="002D5634">
        <w:rPr>
          <w:rFonts w:ascii="Verdana" w:hAnsi="Verdana"/>
          <w:sz w:val="16"/>
          <w:szCs w:val="16"/>
          <w:lang w:val="es-GT"/>
        </w:rPr>
        <w:t>”</w:t>
      </w:r>
      <w:r w:rsidR="00B533BB" w:rsidRPr="00C0139B">
        <w:rPr>
          <w:rFonts w:ascii="Verdana" w:hAnsi="Verdana"/>
          <w:sz w:val="16"/>
          <w:szCs w:val="16"/>
          <w:lang w:val="es-GT"/>
        </w:rPr>
        <w:t xml:space="preserve"> y </w:t>
      </w:r>
      <w:r w:rsidR="005E4337" w:rsidRPr="00C0139B">
        <w:rPr>
          <w:rFonts w:ascii="Verdana" w:hAnsi="Verdana"/>
          <w:sz w:val="16"/>
          <w:szCs w:val="16"/>
          <w:lang w:val="es-GT"/>
        </w:rPr>
        <w:t>“</w:t>
      </w:r>
      <w:r w:rsidR="005E4337" w:rsidRPr="00D94035">
        <w:rPr>
          <w:rFonts w:ascii="Verdana" w:hAnsi="Verdana"/>
          <w:i/>
          <w:sz w:val="16"/>
          <w:szCs w:val="16"/>
          <w:lang w:val="es-GT"/>
        </w:rPr>
        <w:t xml:space="preserve">6. Desestimar la excepción de </w:t>
      </w:r>
      <w:r w:rsidR="005E4337" w:rsidRPr="002D5634">
        <w:rPr>
          <w:rFonts w:ascii="Verdana" w:eastAsia="MS Mincho" w:hAnsi="Verdana"/>
          <w:i/>
          <w:sz w:val="16"/>
          <w:szCs w:val="16"/>
          <w:lang w:val="es-GT"/>
        </w:rPr>
        <w:t>falta</w:t>
      </w:r>
      <w:r w:rsidR="005E4337" w:rsidRPr="002D5634">
        <w:rPr>
          <w:rFonts w:ascii="Verdana" w:hAnsi="Verdana"/>
          <w:i/>
          <w:sz w:val="16"/>
          <w:szCs w:val="16"/>
          <w:lang w:val="es-GT"/>
        </w:rPr>
        <w:t xml:space="preserve"> de agotamiento de los recursos internos respecto de los Grupos 2 (Rafael Rojas Madrigal), expedientes No. 99-000136-065-PE y </w:t>
      </w:r>
      <w:r w:rsidR="005E4337" w:rsidRPr="002D5634">
        <w:rPr>
          <w:rFonts w:ascii="Verdana" w:hAnsi="Verdana"/>
          <w:i/>
          <w:spacing w:val="-2"/>
          <w:sz w:val="16"/>
          <w:szCs w:val="16"/>
          <w:lang w:val="es-GT"/>
        </w:rPr>
        <w:t>02-004656-</w:t>
      </w:r>
      <w:r w:rsidR="005E4337" w:rsidRPr="002D5634">
        <w:rPr>
          <w:rFonts w:ascii="Verdana" w:hAnsi="Verdana"/>
          <w:i/>
          <w:sz w:val="16"/>
          <w:szCs w:val="16"/>
          <w:lang w:val="es-GT"/>
        </w:rPr>
        <w:t>0647</w:t>
      </w:r>
      <w:r w:rsidR="005E4337" w:rsidRPr="002D5634">
        <w:rPr>
          <w:rFonts w:ascii="Verdana" w:hAnsi="Verdana"/>
          <w:i/>
          <w:spacing w:val="-2"/>
          <w:sz w:val="16"/>
          <w:szCs w:val="16"/>
          <w:lang w:val="es-GT"/>
        </w:rPr>
        <w:t>-TP</w:t>
      </w:r>
      <w:r w:rsidR="005E4337" w:rsidRPr="002D5634">
        <w:rPr>
          <w:rFonts w:ascii="Verdana" w:hAnsi="Verdana"/>
          <w:i/>
          <w:sz w:val="16"/>
          <w:szCs w:val="16"/>
          <w:lang w:val="es-GT"/>
        </w:rPr>
        <w:t xml:space="preserve">; </w:t>
      </w:r>
      <w:r w:rsidR="005E4337" w:rsidRPr="002D5634">
        <w:rPr>
          <w:rFonts w:ascii="Verdana" w:hAnsi="Verdana"/>
          <w:i/>
          <w:spacing w:val="-2"/>
          <w:sz w:val="16"/>
          <w:szCs w:val="16"/>
          <w:lang w:val="es-GT"/>
        </w:rPr>
        <w:t>4 (Jorge Alberto Martínez Meléndez)</w:t>
      </w:r>
      <w:r w:rsidR="00957C88" w:rsidRPr="002D5634">
        <w:rPr>
          <w:rFonts w:ascii="Verdana" w:hAnsi="Verdana"/>
          <w:i/>
          <w:spacing w:val="-2"/>
          <w:sz w:val="16"/>
          <w:szCs w:val="16"/>
          <w:lang w:val="es-GT"/>
        </w:rPr>
        <w:t xml:space="preserve"> expedientes </w:t>
      </w:r>
      <w:r w:rsidR="00957C88" w:rsidRPr="002D5634">
        <w:rPr>
          <w:rFonts w:ascii="Verdana" w:hAnsi="Verdana"/>
          <w:i/>
          <w:sz w:val="16"/>
          <w:szCs w:val="16"/>
          <w:lang w:val="es-MX"/>
        </w:rPr>
        <w:t>No. 03-000082-016-TP y No. 05-007495-0647-TP</w:t>
      </w:r>
      <w:r w:rsidR="005E4337" w:rsidRPr="00C0139B">
        <w:rPr>
          <w:rFonts w:ascii="Verdana" w:hAnsi="Verdana"/>
          <w:i/>
          <w:sz w:val="16"/>
          <w:szCs w:val="16"/>
          <w:lang w:val="es-GT"/>
        </w:rPr>
        <w:t>; 6 (Manuel Hernández Quesada),</w:t>
      </w:r>
      <w:r w:rsidR="00957C88" w:rsidRPr="00C0139B">
        <w:rPr>
          <w:rFonts w:ascii="Verdana" w:hAnsi="Verdana"/>
          <w:i/>
          <w:sz w:val="16"/>
          <w:szCs w:val="16"/>
          <w:lang w:val="es-GT"/>
        </w:rPr>
        <w:t xml:space="preserve"> </w:t>
      </w:r>
      <w:r w:rsidR="00957C88" w:rsidRPr="00D94035">
        <w:rPr>
          <w:rFonts w:ascii="Verdana" w:hAnsi="Verdana"/>
          <w:i/>
          <w:sz w:val="16"/>
          <w:szCs w:val="16"/>
          <w:lang w:val="es-MX"/>
        </w:rPr>
        <w:t xml:space="preserve">expediente No. </w:t>
      </w:r>
      <w:r w:rsidR="00957C88" w:rsidRPr="00D94035">
        <w:rPr>
          <w:rFonts w:ascii="Verdana" w:hAnsi="Verdana"/>
          <w:i/>
          <w:sz w:val="16"/>
          <w:szCs w:val="16"/>
          <w:lang w:val="es-CR"/>
        </w:rPr>
        <w:t>01-203116-0305-PE</w:t>
      </w:r>
      <w:r w:rsidR="005E4337" w:rsidRPr="002D5634">
        <w:rPr>
          <w:rFonts w:ascii="Verdana" w:hAnsi="Verdana"/>
          <w:i/>
          <w:sz w:val="16"/>
          <w:szCs w:val="16"/>
          <w:lang w:val="es-GT"/>
        </w:rPr>
        <w:t xml:space="preserve"> y 7 (Miguel Mora Calvo), expediente No. 97-000061-301-PE,</w:t>
      </w:r>
      <w:r w:rsidR="005E4337" w:rsidRPr="002D5634">
        <w:rPr>
          <w:rFonts w:ascii="Verdana" w:hAnsi="Verdana"/>
          <w:i/>
          <w:spacing w:val="-2"/>
          <w:sz w:val="16"/>
          <w:szCs w:val="16"/>
          <w:lang w:val="es-GT"/>
        </w:rPr>
        <w:t xml:space="preserve"> así como respecto de</w:t>
      </w:r>
      <w:r w:rsidR="005E4337" w:rsidRPr="002D5634">
        <w:rPr>
          <w:rFonts w:ascii="Verdana" w:hAnsi="Verdana"/>
          <w:i/>
          <w:sz w:val="16"/>
          <w:szCs w:val="16"/>
          <w:lang w:val="es-GT"/>
        </w:rPr>
        <w:t xml:space="preserve"> las siguientes personas del Grupo 3: </w:t>
      </w:r>
      <w:r w:rsidR="00524783" w:rsidRPr="002D5634">
        <w:rPr>
          <w:rFonts w:ascii="Verdana" w:hAnsi="Verdana"/>
          <w:i/>
          <w:sz w:val="16"/>
          <w:szCs w:val="16"/>
          <w:lang w:val="es-GT"/>
        </w:rPr>
        <w:t>(</w:t>
      </w:r>
      <w:r w:rsidR="005E4337" w:rsidRPr="002D5634">
        <w:rPr>
          <w:rFonts w:ascii="Verdana" w:hAnsi="Verdana"/>
          <w:i/>
          <w:sz w:val="16"/>
          <w:szCs w:val="16"/>
          <w:lang w:val="es-GT"/>
        </w:rPr>
        <w:t xml:space="preserve">Enrique </w:t>
      </w:r>
      <w:proofErr w:type="spellStart"/>
      <w:r w:rsidR="005E4337" w:rsidRPr="002D5634">
        <w:rPr>
          <w:rFonts w:ascii="Verdana" w:hAnsi="Verdana"/>
          <w:i/>
          <w:sz w:val="16"/>
          <w:szCs w:val="16"/>
          <w:lang w:val="es-GT"/>
        </w:rPr>
        <w:t>Archbold</w:t>
      </w:r>
      <w:proofErr w:type="spellEnd"/>
      <w:r w:rsidR="005E4337" w:rsidRPr="002D5634">
        <w:rPr>
          <w:rFonts w:ascii="Verdana" w:hAnsi="Verdana"/>
          <w:i/>
          <w:sz w:val="16"/>
          <w:szCs w:val="16"/>
          <w:lang w:val="es-GT"/>
        </w:rPr>
        <w:t xml:space="preserve"> </w:t>
      </w:r>
      <w:proofErr w:type="spellStart"/>
      <w:r w:rsidR="005E4337" w:rsidRPr="002D5634">
        <w:rPr>
          <w:rFonts w:ascii="Verdana" w:hAnsi="Verdana"/>
          <w:i/>
          <w:sz w:val="16"/>
          <w:szCs w:val="16"/>
          <w:lang w:val="es-GT"/>
        </w:rPr>
        <w:t>Jay</w:t>
      </w:r>
      <w:proofErr w:type="spellEnd"/>
      <w:r w:rsidR="005E4337" w:rsidRPr="002D5634">
        <w:rPr>
          <w:rFonts w:ascii="Verdana" w:hAnsi="Verdana"/>
          <w:i/>
          <w:sz w:val="16"/>
          <w:szCs w:val="16"/>
          <w:lang w:val="es-GT"/>
        </w:rPr>
        <w:t xml:space="preserve"> y Luis </w:t>
      </w:r>
      <w:proofErr w:type="spellStart"/>
      <w:r w:rsidR="005E4337" w:rsidRPr="002D5634">
        <w:rPr>
          <w:rFonts w:ascii="Verdana" w:hAnsi="Verdana"/>
          <w:i/>
          <w:sz w:val="16"/>
          <w:szCs w:val="16"/>
          <w:lang w:val="es-GT"/>
        </w:rPr>
        <w:t>Archbold</w:t>
      </w:r>
      <w:proofErr w:type="spellEnd"/>
      <w:r w:rsidR="005E4337" w:rsidRPr="002D5634">
        <w:rPr>
          <w:rFonts w:ascii="Verdana" w:hAnsi="Verdana"/>
          <w:i/>
          <w:sz w:val="16"/>
          <w:szCs w:val="16"/>
          <w:lang w:val="es-GT"/>
        </w:rPr>
        <w:t xml:space="preserve"> </w:t>
      </w:r>
      <w:proofErr w:type="spellStart"/>
      <w:r w:rsidR="005E4337" w:rsidRPr="002D5634">
        <w:rPr>
          <w:rFonts w:ascii="Verdana" w:hAnsi="Verdana"/>
          <w:i/>
          <w:sz w:val="16"/>
          <w:szCs w:val="16"/>
          <w:lang w:val="es-GT"/>
        </w:rPr>
        <w:t>Jay</w:t>
      </w:r>
      <w:proofErr w:type="spellEnd"/>
      <w:r w:rsidR="00524783" w:rsidRPr="002D5634">
        <w:rPr>
          <w:rFonts w:ascii="Verdana" w:hAnsi="Verdana"/>
          <w:i/>
          <w:sz w:val="16"/>
          <w:szCs w:val="16"/>
          <w:lang w:val="es-GT"/>
        </w:rPr>
        <w:t>)</w:t>
      </w:r>
      <w:r w:rsidR="005E4337" w:rsidRPr="002D5634">
        <w:rPr>
          <w:rFonts w:ascii="Verdana" w:hAnsi="Verdana"/>
          <w:i/>
          <w:sz w:val="16"/>
          <w:szCs w:val="16"/>
          <w:lang w:val="es-GT"/>
        </w:rPr>
        <w:t>,</w:t>
      </w:r>
      <w:r w:rsidR="00524783" w:rsidRPr="002D5634">
        <w:rPr>
          <w:rFonts w:ascii="Verdana" w:hAnsi="Verdana"/>
          <w:i/>
          <w:sz w:val="16"/>
          <w:szCs w:val="16"/>
          <w:lang w:val="es-GT"/>
        </w:rPr>
        <w:t xml:space="preserve"> </w:t>
      </w:r>
      <w:r w:rsidR="00524783" w:rsidRPr="002D5634">
        <w:rPr>
          <w:rFonts w:ascii="Verdana" w:hAnsi="Verdana"/>
          <w:i/>
          <w:sz w:val="16"/>
          <w:szCs w:val="16"/>
          <w:lang w:val="es-PR"/>
        </w:rPr>
        <w:t xml:space="preserve">expediente No. </w:t>
      </w:r>
      <w:r w:rsidR="00524783" w:rsidRPr="002D5634">
        <w:rPr>
          <w:rFonts w:ascii="Verdana" w:hAnsi="Verdana"/>
          <w:i/>
          <w:sz w:val="16"/>
          <w:szCs w:val="16"/>
          <w:lang w:val="es-MX"/>
        </w:rPr>
        <w:t>02-000759-455-PE-2; todo ello</w:t>
      </w:r>
      <w:r w:rsidR="005E4337" w:rsidRPr="002D5634">
        <w:rPr>
          <w:rFonts w:ascii="Verdana" w:hAnsi="Verdana"/>
          <w:i/>
          <w:sz w:val="16"/>
          <w:szCs w:val="16"/>
          <w:lang w:val="es-GT"/>
        </w:rPr>
        <w:t xml:space="preserve"> en los términos de los párrafos</w:t>
      </w:r>
      <w:r w:rsidR="00D87E35">
        <w:rPr>
          <w:rFonts w:ascii="Verdana" w:hAnsi="Verdana"/>
          <w:i/>
          <w:sz w:val="16"/>
          <w:szCs w:val="16"/>
          <w:lang w:val="es-GT"/>
        </w:rPr>
        <w:t xml:space="preserve"> </w:t>
      </w:r>
      <w:r w:rsidR="00321245">
        <w:rPr>
          <w:rFonts w:ascii="Verdana" w:hAnsi="Verdana"/>
          <w:sz w:val="16"/>
          <w:szCs w:val="16"/>
          <w:lang w:val="es-GT"/>
        </w:rPr>
        <w:t>39 a 57</w:t>
      </w:r>
      <w:r w:rsidR="009972DC" w:rsidRPr="002D5634">
        <w:rPr>
          <w:rFonts w:ascii="Verdana" w:hAnsi="Verdana"/>
          <w:sz w:val="16"/>
          <w:szCs w:val="16"/>
          <w:lang w:val="es-GT"/>
        </w:rPr>
        <w:t xml:space="preserve"> </w:t>
      </w:r>
      <w:r w:rsidR="005E4337" w:rsidRPr="00C0139B">
        <w:rPr>
          <w:rFonts w:ascii="Verdana" w:hAnsi="Verdana"/>
          <w:i/>
          <w:sz w:val="16"/>
          <w:szCs w:val="16"/>
          <w:lang w:val="es-GT"/>
        </w:rPr>
        <w:t>de esta Sentencia.”</w:t>
      </w:r>
    </w:p>
    <w:p w14:paraId="05741030" w14:textId="77777777" w:rsidR="005F2815" w:rsidRPr="002D5634" w:rsidRDefault="005F2815" w:rsidP="009C6B6D">
      <w:pPr>
        <w:pStyle w:val="ListParagraph"/>
        <w:tabs>
          <w:tab w:val="left" w:pos="720"/>
        </w:tabs>
        <w:spacing w:after="120" w:line="240" w:lineRule="auto"/>
        <w:ind w:left="0"/>
        <w:jc w:val="both"/>
        <w:rPr>
          <w:rFonts w:ascii="Verdana" w:eastAsia="Cambria" w:hAnsi="Verdana"/>
          <w:sz w:val="16"/>
          <w:szCs w:val="16"/>
          <w:lang w:val="es-GT"/>
        </w:rPr>
      </w:pPr>
    </w:p>
  </w:footnote>
  <w:footnote w:id="8">
    <w:p w14:paraId="509DC519" w14:textId="3BE0A1FB" w:rsidR="005E4337" w:rsidRPr="00D94035" w:rsidRDefault="005E4337" w:rsidP="009C6B6D">
      <w:pPr>
        <w:pStyle w:val="ListParagraph"/>
        <w:tabs>
          <w:tab w:val="left" w:pos="720"/>
        </w:tabs>
        <w:spacing w:after="120" w:line="240" w:lineRule="auto"/>
        <w:ind w:left="0"/>
        <w:jc w:val="both"/>
        <w:rPr>
          <w:rFonts w:ascii="Verdana" w:hAnsi="Verdana" w:cs="Courier New"/>
          <w:sz w:val="16"/>
          <w:szCs w:val="16"/>
          <w:lang w:val="es-GT" w:eastAsia="es-CR"/>
        </w:rPr>
      </w:pPr>
      <w:r w:rsidRPr="00C0139B">
        <w:rPr>
          <w:rStyle w:val="FootnoteReference"/>
          <w:rFonts w:ascii="Verdana" w:hAnsi="Verdana"/>
          <w:sz w:val="16"/>
          <w:szCs w:val="16"/>
        </w:rPr>
        <w:footnoteRef/>
      </w:r>
      <w:r w:rsidRPr="00C0139B">
        <w:rPr>
          <w:rFonts w:ascii="Verdana" w:hAnsi="Verdana"/>
          <w:sz w:val="16"/>
          <w:szCs w:val="16"/>
        </w:rPr>
        <w:t xml:space="preserve"> “</w:t>
      </w:r>
      <w:r w:rsidRPr="00C0139B">
        <w:rPr>
          <w:rFonts w:ascii="Verdana" w:hAnsi="Verdana"/>
          <w:i/>
          <w:sz w:val="16"/>
          <w:szCs w:val="16"/>
        </w:rPr>
        <w:t xml:space="preserve">11. </w:t>
      </w:r>
      <w:r w:rsidRPr="00D94035">
        <w:rPr>
          <w:rFonts w:ascii="Verdana" w:hAnsi="Verdana"/>
          <w:i/>
          <w:sz w:val="16"/>
          <w:szCs w:val="16"/>
          <w:lang w:val="es-GT"/>
        </w:rPr>
        <w:t xml:space="preserve">El Estado es responsable por la violación del derecho a la libertad personal contenido en los artículos 7.1, 7.3 y 7.5 de la Convención Americana, en relación con el artículo 1.1 de la misma, en perjuicio </w:t>
      </w:r>
      <w:r w:rsidRPr="002D5634">
        <w:rPr>
          <w:rFonts w:ascii="Verdana" w:hAnsi="Verdana"/>
          <w:bCs/>
          <w:i/>
          <w:iCs/>
          <w:sz w:val="16"/>
          <w:szCs w:val="16"/>
          <w:lang w:val="es-GT"/>
        </w:rPr>
        <w:t>del Grupo 4 (Jorge Martínez Meléndez)</w:t>
      </w:r>
      <w:r w:rsidRPr="002D5634">
        <w:rPr>
          <w:rFonts w:ascii="Verdana" w:hAnsi="Verdana"/>
          <w:i/>
          <w:sz w:val="16"/>
          <w:szCs w:val="16"/>
          <w:lang w:val="es-GT"/>
        </w:rPr>
        <w:t>, en los términos de los p</w:t>
      </w:r>
      <w:r w:rsidR="009972DC" w:rsidRPr="002D5634">
        <w:rPr>
          <w:rFonts w:ascii="Verdana" w:hAnsi="Verdana"/>
          <w:i/>
          <w:sz w:val="16"/>
          <w:szCs w:val="16"/>
          <w:lang w:val="es-GT"/>
        </w:rPr>
        <w:t xml:space="preserve">árrafos </w:t>
      </w:r>
      <w:r w:rsidR="009972DC" w:rsidRPr="002D5634">
        <w:rPr>
          <w:rFonts w:ascii="Verdana" w:hAnsi="Verdana"/>
          <w:sz w:val="16"/>
          <w:szCs w:val="16"/>
          <w:lang w:val="es-GT"/>
        </w:rPr>
        <w:t xml:space="preserve">350 a 369 </w:t>
      </w:r>
      <w:r w:rsidR="00927452" w:rsidRPr="00C0139B">
        <w:rPr>
          <w:rFonts w:ascii="Verdana" w:hAnsi="Verdana"/>
          <w:i/>
          <w:sz w:val="16"/>
          <w:szCs w:val="16"/>
          <w:lang w:val="es-GT"/>
        </w:rPr>
        <w:t xml:space="preserve"> de esta Sentencia”;</w:t>
      </w:r>
      <w:r w:rsidR="00E066C6" w:rsidRPr="00C0139B">
        <w:rPr>
          <w:rFonts w:ascii="Verdana" w:hAnsi="Verdana"/>
          <w:sz w:val="16"/>
          <w:szCs w:val="16"/>
        </w:rPr>
        <w:t xml:space="preserve"> </w:t>
      </w:r>
      <w:r w:rsidR="008D77B2">
        <w:rPr>
          <w:rFonts w:ascii="Verdana" w:hAnsi="Verdana"/>
          <w:sz w:val="16"/>
          <w:szCs w:val="16"/>
        </w:rPr>
        <w:t>“</w:t>
      </w:r>
      <w:r w:rsidR="00321245">
        <w:rPr>
          <w:rFonts w:ascii="Verdana" w:hAnsi="Verdana"/>
          <w:i/>
          <w:sz w:val="16"/>
          <w:szCs w:val="16"/>
        </w:rPr>
        <w:t>20</w:t>
      </w:r>
      <w:r w:rsidR="00E066C6" w:rsidRPr="00C0139B">
        <w:rPr>
          <w:rFonts w:ascii="Verdana" w:hAnsi="Verdana"/>
          <w:sz w:val="16"/>
          <w:szCs w:val="16"/>
        </w:rPr>
        <w:t xml:space="preserve">. </w:t>
      </w:r>
      <w:r w:rsidR="00E066C6" w:rsidRPr="00C0139B">
        <w:rPr>
          <w:rFonts w:ascii="Verdana" w:eastAsia="Cambria" w:hAnsi="Verdana"/>
          <w:i/>
          <w:sz w:val="16"/>
          <w:szCs w:val="16"/>
          <w:lang w:val="es-GT"/>
        </w:rPr>
        <w:t>Esta</w:t>
      </w:r>
      <w:r w:rsidR="00E066C6" w:rsidRPr="00D94035">
        <w:rPr>
          <w:rFonts w:ascii="Verdana" w:eastAsia="Cambria" w:hAnsi="Verdana"/>
          <w:bCs/>
          <w:i/>
          <w:sz w:val="16"/>
          <w:szCs w:val="16"/>
          <w:lang w:val="es-GT"/>
        </w:rPr>
        <w:t xml:space="preserve"> Sentencia constituye, por si misma, una forma de reparación</w:t>
      </w:r>
      <w:r w:rsidR="00E066C6" w:rsidRPr="002D5634">
        <w:rPr>
          <w:rFonts w:ascii="Verdana" w:eastAsia="Cambria" w:hAnsi="Verdana"/>
          <w:bCs/>
          <w:sz w:val="16"/>
          <w:szCs w:val="16"/>
          <w:lang w:val="es-GT"/>
        </w:rPr>
        <w:t>”</w:t>
      </w:r>
      <w:r w:rsidR="00E066C6" w:rsidRPr="002D5634">
        <w:rPr>
          <w:rFonts w:ascii="Verdana" w:hAnsi="Verdana" w:cs="Courier New"/>
          <w:sz w:val="16"/>
          <w:szCs w:val="16"/>
          <w:lang w:val="es-GT" w:eastAsia="es-CR"/>
        </w:rPr>
        <w:t xml:space="preserve"> y</w:t>
      </w:r>
      <w:r w:rsidR="00321245">
        <w:rPr>
          <w:rFonts w:ascii="Verdana" w:hAnsi="Verdana"/>
          <w:i/>
          <w:sz w:val="16"/>
          <w:szCs w:val="16"/>
          <w:lang w:val="es-GT"/>
        </w:rPr>
        <w:t xml:space="preserve"> “22</w:t>
      </w:r>
      <w:r w:rsidRPr="002D5634">
        <w:rPr>
          <w:rFonts w:ascii="Verdana" w:hAnsi="Verdana"/>
          <w:i/>
          <w:sz w:val="16"/>
          <w:szCs w:val="16"/>
          <w:lang w:val="es-GT"/>
        </w:rPr>
        <w:t>.</w:t>
      </w:r>
      <w:r w:rsidRPr="002D5634">
        <w:rPr>
          <w:rFonts w:ascii="Verdana" w:eastAsia="Cambria" w:hAnsi="Verdana"/>
          <w:bCs/>
          <w:i/>
          <w:sz w:val="16"/>
          <w:szCs w:val="16"/>
          <w:lang w:val="es-GT"/>
        </w:rPr>
        <w:t xml:space="preserve"> El </w:t>
      </w:r>
      <w:r w:rsidRPr="002D5634">
        <w:rPr>
          <w:rFonts w:ascii="Verdana" w:eastAsia="Cambria" w:hAnsi="Verdana"/>
          <w:i/>
          <w:sz w:val="16"/>
          <w:szCs w:val="16"/>
          <w:lang w:val="es-GT"/>
        </w:rPr>
        <w:t>Estado</w:t>
      </w:r>
      <w:r w:rsidRPr="002D5634">
        <w:rPr>
          <w:rFonts w:ascii="Verdana" w:eastAsia="Cambria" w:hAnsi="Verdana"/>
          <w:bCs/>
          <w:i/>
          <w:sz w:val="16"/>
          <w:szCs w:val="16"/>
          <w:lang w:val="es-GT"/>
        </w:rPr>
        <w:t xml:space="preserve"> debe pagar las cantidades fijadas en los párrafos </w:t>
      </w:r>
      <w:r w:rsidR="00B87A73" w:rsidRPr="002D5634">
        <w:rPr>
          <w:rFonts w:ascii="Verdana" w:eastAsia="Cambria" w:hAnsi="Verdana"/>
          <w:bCs/>
          <w:i/>
          <w:sz w:val="16"/>
          <w:szCs w:val="16"/>
          <w:lang w:val="es-GT"/>
        </w:rPr>
        <w:t xml:space="preserve">483, 490 y 497 </w:t>
      </w:r>
      <w:r w:rsidRPr="002D5634">
        <w:rPr>
          <w:rFonts w:ascii="Verdana" w:eastAsia="Cambria" w:hAnsi="Verdana"/>
          <w:bCs/>
          <w:i/>
          <w:sz w:val="16"/>
          <w:szCs w:val="16"/>
          <w:lang w:val="es-GT"/>
        </w:rPr>
        <w:t xml:space="preserve">de esta Sentencia, por concepto de compensación por daño inmaterial y material, y por el reintegro de costas y gastos, </w:t>
      </w:r>
      <w:r w:rsidRPr="002D5634">
        <w:rPr>
          <w:rFonts w:ascii="Verdana" w:hAnsi="Verdana" w:cs="Verdana"/>
          <w:i/>
          <w:sz w:val="16"/>
          <w:szCs w:val="16"/>
          <w:lang w:val="es-GT"/>
        </w:rPr>
        <w:t xml:space="preserve">en </w:t>
      </w:r>
      <w:r w:rsidRPr="002D5634">
        <w:rPr>
          <w:rFonts w:ascii="Verdana" w:hAnsi="Verdana" w:cs="Courier New"/>
          <w:i/>
          <w:sz w:val="16"/>
          <w:szCs w:val="16"/>
          <w:lang w:val="es-GT" w:eastAsia="es-CR"/>
        </w:rPr>
        <w:t>los términos de los párrafos referidos y de lo previsto en lo</w:t>
      </w:r>
      <w:r w:rsidR="00B533BB" w:rsidRPr="002D5634">
        <w:rPr>
          <w:rFonts w:ascii="Verdana" w:hAnsi="Verdana" w:cs="Courier New"/>
          <w:i/>
          <w:sz w:val="16"/>
          <w:szCs w:val="16"/>
          <w:lang w:val="es-GT" w:eastAsia="es-CR"/>
        </w:rPr>
        <w:t xml:space="preserve">s párrafos </w:t>
      </w:r>
      <w:r w:rsidR="009972DC" w:rsidRPr="002D5634">
        <w:rPr>
          <w:rFonts w:ascii="Verdana" w:hAnsi="Verdana" w:cs="Courier New"/>
          <w:sz w:val="16"/>
          <w:szCs w:val="16"/>
          <w:lang w:val="es-GT" w:eastAsia="es-CR"/>
        </w:rPr>
        <w:t xml:space="preserve">479 a 497 </w:t>
      </w:r>
      <w:r w:rsidR="00B533BB" w:rsidRPr="00C0139B">
        <w:rPr>
          <w:rFonts w:ascii="Verdana" w:hAnsi="Verdana" w:cs="Courier New"/>
          <w:i/>
          <w:sz w:val="16"/>
          <w:szCs w:val="16"/>
          <w:lang w:val="es-GT" w:eastAsia="es-CR"/>
        </w:rPr>
        <w:t>de esta Sentencia</w:t>
      </w:r>
      <w:r w:rsidRPr="00C0139B">
        <w:rPr>
          <w:rFonts w:ascii="Verdana" w:hAnsi="Verdana" w:cs="Courier New"/>
          <w:i/>
          <w:sz w:val="16"/>
          <w:szCs w:val="16"/>
          <w:lang w:val="es-GT" w:eastAsia="es-CR"/>
        </w:rPr>
        <w:t>”</w:t>
      </w:r>
      <w:r w:rsidR="00E066C6" w:rsidRPr="00D94035">
        <w:rPr>
          <w:rFonts w:ascii="Verdana" w:hAnsi="Verdana" w:cs="Courier New"/>
          <w:i/>
          <w:sz w:val="16"/>
          <w:szCs w:val="16"/>
          <w:lang w:val="es-GT" w:eastAsia="es-CR"/>
        </w:rPr>
        <w:t>.</w:t>
      </w:r>
    </w:p>
  </w:footnote>
  <w:footnote w:id="9">
    <w:p w14:paraId="4F9F2ABF" w14:textId="77777777" w:rsidR="0073138B" w:rsidRPr="00C0139B" w:rsidRDefault="0073138B" w:rsidP="009C6B6D">
      <w:pPr>
        <w:pStyle w:val="FootnoteText"/>
        <w:spacing w:after="120"/>
        <w:jc w:val="both"/>
        <w:rPr>
          <w:rFonts w:ascii="Verdana" w:hAnsi="Verdana"/>
          <w:sz w:val="16"/>
          <w:szCs w:val="16"/>
        </w:rPr>
      </w:pPr>
      <w:r w:rsidRPr="00C0139B">
        <w:rPr>
          <w:rStyle w:val="FootnoteReference"/>
          <w:rFonts w:ascii="Verdana" w:hAnsi="Verdana"/>
          <w:sz w:val="16"/>
          <w:szCs w:val="16"/>
        </w:rPr>
        <w:footnoteRef/>
      </w:r>
      <w:r w:rsidRPr="00C0139B">
        <w:rPr>
          <w:rFonts w:ascii="Verdana" w:hAnsi="Verdana"/>
          <w:sz w:val="16"/>
          <w:szCs w:val="16"/>
        </w:rPr>
        <w:t xml:space="preserve"> En adelante, el Estado.</w:t>
      </w:r>
    </w:p>
  </w:footnote>
  <w:footnote w:id="10">
    <w:p w14:paraId="2837B2FC" w14:textId="77777777" w:rsidR="000A5FE0" w:rsidRPr="00C0139B" w:rsidRDefault="000A5FE0" w:rsidP="009C6B6D">
      <w:pPr>
        <w:pStyle w:val="FootnoteText"/>
        <w:spacing w:after="120"/>
        <w:jc w:val="both"/>
        <w:rPr>
          <w:rFonts w:ascii="Verdana" w:hAnsi="Verdana"/>
          <w:sz w:val="16"/>
          <w:szCs w:val="16"/>
        </w:rPr>
      </w:pPr>
      <w:r w:rsidRPr="00C0139B">
        <w:rPr>
          <w:rStyle w:val="FootnoteReference"/>
          <w:rFonts w:ascii="Verdana" w:hAnsi="Verdana"/>
          <w:sz w:val="16"/>
          <w:szCs w:val="16"/>
        </w:rPr>
        <w:footnoteRef/>
      </w:r>
      <w:r w:rsidRPr="00C0139B">
        <w:rPr>
          <w:rFonts w:ascii="Verdana" w:hAnsi="Verdana"/>
          <w:sz w:val="16"/>
          <w:szCs w:val="16"/>
        </w:rPr>
        <w:t xml:space="preserve"> En adelante, la Comisión.</w:t>
      </w:r>
    </w:p>
  </w:footnote>
  <w:footnote w:id="11">
    <w:p w14:paraId="7BDA3FF7" w14:textId="729FBFE4" w:rsidR="000A5FE0" w:rsidRPr="002D5634" w:rsidRDefault="000A5FE0" w:rsidP="009C6B6D">
      <w:pPr>
        <w:pStyle w:val="FootnoteText"/>
        <w:spacing w:after="120"/>
        <w:jc w:val="both"/>
        <w:rPr>
          <w:rFonts w:ascii="Verdana" w:hAnsi="Verdana"/>
          <w:i/>
          <w:sz w:val="16"/>
          <w:szCs w:val="16"/>
        </w:rPr>
      </w:pPr>
      <w:r w:rsidRPr="00C0139B">
        <w:rPr>
          <w:rStyle w:val="FootnoteReference"/>
          <w:rFonts w:ascii="Verdana" w:hAnsi="Verdana"/>
          <w:sz w:val="16"/>
          <w:szCs w:val="16"/>
        </w:rPr>
        <w:footnoteRef/>
      </w:r>
      <w:r w:rsidRPr="00C0139B">
        <w:rPr>
          <w:rFonts w:ascii="Verdana" w:hAnsi="Verdana"/>
          <w:sz w:val="16"/>
          <w:szCs w:val="16"/>
        </w:rPr>
        <w:t xml:space="preserve"> </w:t>
      </w:r>
      <w:r w:rsidR="005E4337" w:rsidRPr="00C0139B">
        <w:rPr>
          <w:rFonts w:ascii="Verdana" w:hAnsi="Verdana"/>
          <w:sz w:val="16"/>
          <w:szCs w:val="16"/>
        </w:rPr>
        <w:t xml:space="preserve">Párrafo </w:t>
      </w:r>
      <w:r w:rsidR="00D35D2B">
        <w:rPr>
          <w:rFonts w:ascii="Verdana" w:hAnsi="Verdana"/>
          <w:sz w:val="16"/>
          <w:szCs w:val="16"/>
        </w:rPr>
        <w:t>41</w:t>
      </w:r>
      <w:r w:rsidR="005E4337" w:rsidRPr="00C0139B">
        <w:rPr>
          <w:rFonts w:ascii="Verdana" w:hAnsi="Verdana"/>
          <w:sz w:val="16"/>
          <w:szCs w:val="16"/>
        </w:rPr>
        <w:t xml:space="preserve"> </w:t>
      </w:r>
      <w:r w:rsidRPr="00D94035">
        <w:rPr>
          <w:rFonts w:ascii="Verdana" w:hAnsi="Verdana"/>
          <w:sz w:val="16"/>
          <w:szCs w:val="16"/>
        </w:rPr>
        <w:t>de la Sentencia. En adelante, cada vez que se indique “párr.” o “</w:t>
      </w:r>
      <w:proofErr w:type="spellStart"/>
      <w:r w:rsidRPr="00D94035">
        <w:rPr>
          <w:rFonts w:ascii="Verdana" w:hAnsi="Verdana"/>
          <w:sz w:val="16"/>
          <w:szCs w:val="16"/>
        </w:rPr>
        <w:t>párrs</w:t>
      </w:r>
      <w:proofErr w:type="spellEnd"/>
      <w:r w:rsidRPr="00D94035">
        <w:rPr>
          <w:rFonts w:ascii="Verdana" w:hAnsi="Verdana"/>
          <w:sz w:val="16"/>
          <w:szCs w:val="16"/>
        </w:rPr>
        <w:t>.”se entenderá como “</w:t>
      </w:r>
      <w:r w:rsidRPr="00D94035">
        <w:rPr>
          <w:rFonts w:ascii="Verdana" w:hAnsi="Verdana"/>
          <w:i/>
          <w:sz w:val="16"/>
          <w:szCs w:val="16"/>
        </w:rPr>
        <w:t>párrafo” o “párrafos”, respectivamente</w:t>
      </w:r>
      <w:r w:rsidR="00A41256" w:rsidRPr="002D5634">
        <w:rPr>
          <w:rFonts w:ascii="Verdana" w:hAnsi="Verdana"/>
          <w:i/>
          <w:sz w:val="16"/>
          <w:szCs w:val="16"/>
        </w:rPr>
        <w:t>, correspondiente de la Sentencia</w:t>
      </w:r>
      <w:r w:rsidRPr="002D5634">
        <w:rPr>
          <w:rFonts w:ascii="Verdana" w:hAnsi="Verdana"/>
          <w:i/>
          <w:sz w:val="16"/>
          <w:szCs w:val="16"/>
        </w:rPr>
        <w:t xml:space="preserve">.  </w:t>
      </w:r>
    </w:p>
  </w:footnote>
  <w:footnote w:id="12">
    <w:p w14:paraId="7ED4DF70" w14:textId="77777777" w:rsidR="005F0327" w:rsidRPr="00C0139B" w:rsidRDefault="005F0327" w:rsidP="009C6B6D">
      <w:pPr>
        <w:spacing w:after="120" w:line="240" w:lineRule="auto"/>
        <w:jc w:val="both"/>
        <w:rPr>
          <w:rFonts w:ascii="Verdana" w:hAnsi="Verdana"/>
          <w:i/>
          <w:sz w:val="16"/>
          <w:szCs w:val="16"/>
          <w:lang w:val="es-ES"/>
        </w:rPr>
      </w:pPr>
      <w:r w:rsidRPr="00C0139B">
        <w:rPr>
          <w:rStyle w:val="FootnoteReference"/>
          <w:rFonts w:ascii="Verdana" w:hAnsi="Verdana"/>
          <w:i/>
          <w:sz w:val="16"/>
          <w:szCs w:val="16"/>
        </w:rPr>
        <w:footnoteRef/>
      </w:r>
      <w:r w:rsidR="00522C00" w:rsidRPr="00C0139B">
        <w:rPr>
          <w:rFonts w:ascii="Verdana" w:hAnsi="Verdana"/>
          <w:i/>
          <w:sz w:val="16"/>
          <w:szCs w:val="16"/>
        </w:rPr>
        <w:t xml:space="preserve"> </w:t>
      </w:r>
      <w:r w:rsidR="00522C00" w:rsidRPr="00C0139B">
        <w:rPr>
          <w:rFonts w:ascii="Verdana" w:hAnsi="Verdana"/>
          <w:i/>
          <w:sz w:val="16"/>
          <w:szCs w:val="16"/>
          <w:lang w:val="es-ES"/>
        </w:rPr>
        <w:t>Voto Individual Concurrente del Juez Eduardo Vio</w:t>
      </w:r>
      <w:r w:rsidR="00522C00" w:rsidRPr="00D94035">
        <w:rPr>
          <w:rFonts w:ascii="Verdana" w:hAnsi="Verdana"/>
          <w:i/>
          <w:sz w:val="16"/>
          <w:szCs w:val="16"/>
          <w:lang w:val="es-ES"/>
        </w:rPr>
        <w:t xml:space="preserve"> Grossi,</w:t>
      </w:r>
      <w:r w:rsidR="007B6655" w:rsidRPr="00D94035">
        <w:rPr>
          <w:rFonts w:ascii="Verdana" w:hAnsi="Verdana"/>
          <w:i/>
          <w:sz w:val="16"/>
          <w:szCs w:val="16"/>
          <w:lang w:val="es-ES"/>
        </w:rPr>
        <w:t xml:space="preserve"> Corte Interamericana de Derechos Humanos</w:t>
      </w:r>
      <w:r w:rsidR="00A56C52" w:rsidRPr="00D94035">
        <w:rPr>
          <w:rFonts w:ascii="Verdana" w:hAnsi="Verdana"/>
          <w:i/>
          <w:sz w:val="16"/>
          <w:szCs w:val="16"/>
          <w:lang w:val="es-ES"/>
        </w:rPr>
        <w:t>,</w:t>
      </w:r>
      <w:r w:rsidR="00522C00" w:rsidRPr="00D94035">
        <w:rPr>
          <w:rFonts w:ascii="Verdana" w:hAnsi="Verdana"/>
          <w:i/>
          <w:sz w:val="16"/>
          <w:szCs w:val="16"/>
          <w:lang w:val="es-ES"/>
        </w:rPr>
        <w:t xml:space="preserve"> Caso </w:t>
      </w:r>
      <w:proofErr w:type="spellStart"/>
      <w:r w:rsidR="00522C00" w:rsidRPr="00D94035">
        <w:rPr>
          <w:rFonts w:ascii="Verdana" w:hAnsi="Verdana"/>
          <w:i/>
          <w:sz w:val="16"/>
          <w:szCs w:val="16"/>
          <w:lang w:val="es-ES"/>
        </w:rPr>
        <w:t>Yarce</w:t>
      </w:r>
      <w:proofErr w:type="spellEnd"/>
      <w:r w:rsidR="00522C00" w:rsidRPr="00D94035">
        <w:rPr>
          <w:rFonts w:ascii="Verdana" w:hAnsi="Verdana"/>
          <w:i/>
          <w:sz w:val="16"/>
          <w:szCs w:val="16"/>
          <w:lang w:val="es-ES"/>
        </w:rPr>
        <w:t xml:space="preserve"> y Otras Vs. Colombia</w:t>
      </w:r>
      <w:r w:rsidR="007B6655" w:rsidRPr="00D94035">
        <w:rPr>
          <w:rFonts w:ascii="Verdana" w:hAnsi="Verdana"/>
          <w:bCs/>
          <w:i/>
          <w:sz w:val="16"/>
          <w:szCs w:val="16"/>
          <w:lang w:val="pt-BR"/>
        </w:rPr>
        <w:t>. Excepción Preliminar, Fondo, Reparaciones y Costas</w:t>
      </w:r>
      <w:r w:rsidR="007E726E" w:rsidRPr="002D5634">
        <w:rPr>
          <w:rFonts w:ascii="Verdana" w:hAnsi="Verdana"/>
          <w:i/>
          <w:sz w:val="16"/>
          <w:szCs w:val="16"/>
          <w:lang w:val="es-ES"/>
        </w:rPr>
        <w:t>.</w:t>
      </w:r>
      <w:r w:rsidR="00522C00" w:rsidRPr="002D5634">
        <w:rPr>
          <w:rFonts w:ascii="Verdana" w:hAnsi="Verdana"/>
          <w:i/>
          <w:sz w:val="16"/>
          <w:szCs w:val="16"/>
          <w:lang w:val="es-ES"/>
        </w:rPr>
        <w:t xml:space="preserve"> </w:t>
      </w:r>
      <w:r w:rsidR="00522C00" w:rsidRPr="002D5634">
        <w:rPr>
          <w:rFonts w:ascii="Verdana" w:hAnsi="Verdana"/>
          <w:sz w:val="16"/>
          <w:szCs w:val="16"/>
          <w:lang w:val="es-ES"/>
        </w:rPr>
        <w:t>Sentencia de 22 de Noviembre de 2016</w:t>
      </w:r>
      <w:r w:rsidR="007E726E" w:rsidRPr="00C0139B">
        <w:rPr>
          <w:rFonts w:ascii="Verdana" w:hAnsi="Verdana"/>
          <w:sz w:val="16"/>
          <w:szCs w:val="16"/>
          <w:lang w:val="es-ES"/>
        </w:rPr>
        <w:t xml:space="preserve">. </w:t>
      </w:r>
      <w:r w:rsidR="007E726E" w:rsidRPr="002D5634">
        <w:rPr>
          <w:rFonts w:ascii="Verdana" w:hAnsi="Verdana"/>
          <w:bCs/>
          <w:sz w:val="16"/>
          <w:szCs w:val="16"/>
          <w:lang w:val="pt-BR"/>
        </w:rPr>
        <w:t>Serie C No. 325</w:t>
      </w:r>
      <w:r w:rsidR="00B878BB" w:rsidRPr="00D94035">
        <w:rPr>
          <w:rFonts w:ascii="Verdana" w:hAnsi="Verdana"/>
          <w:i/>
          <w:sz w:val="16"/>
          <w:szCs w:val="16"/>
          <w:lang w:val="es-ES"/>
        </w:rPr>
        <w:t>;</w:t>
      </w:r>
      <w:r w:rsidR="00522C00" w:rsidRPr="00D94035">
        <w:rPr>
          <w:rFonts w:ascii="Verdana" w:hAnsi="Verdana"/>
          <w:i/>
          <w:sz w:val="16"/>
          <w:szCs w:val="16"/>
          <w:lang w:val="es-ES"/>
        </w:rPr>
        <w:t>Voto Concurrente del Juez Eduardo Vio Grossi, Corte Interamericana de Derechos Humanos, Caso Herrera Espinoza y Otros Vs. Ecuador</w:t>
      </w:r>
      <w:r w:rsidR="00A56C52" w:rsidRPr="002D5634">
        <w:rPr>
          <w:rFonts w:ascii="Verdana" w:hAnsi="Verdana"/>
          <w:i/>
          <w:sz w:val="16"/>
          <w:szCs w:val="16"/>
          <w:lang w:val="pt-BR"/>
        </w:rPr>
        <w:t>. Excepciones Preliminares, Fondo, Reparaciones y Costas</w:t>
      </w:r>
      <w:r w:rsidR="00A56C52" w:rsidRPr="002D5634">
        <w:rPr>
          <w:rFonts w:ascii="Verdana" w:hAnsi="Verdana"/>
          <w:i/>
          <w:sz w:val="16"/>
          <w:szCs w:val="16"/>
          <w:lang w:val="es-ES"/>
        </w:rPr>
        <w:t>.</w:t>
      </w:r>
      <w:r w:rsidR="00522C00" w:rsidRPr="002D5634">
        <w:rPr>
          <w:rFonts w:ascii="Verdana" w:hAnsi="Verdana"/>
          <w:sz w:val="16"/>
          <w:szCs w:val="16"/>
          <w:lang w:val="es-ES"/>
        </w:rPr>
        <w:t xml:space="preserve"> Sentencia de 1 de septiembre de 2016</w:t>
      </w:r>
      <w:r w:rsidR="00A56C52" w:rsidRPr="00C0139B">
        <w:rPr>
          <w:rFonts w:ascii="Verdana" w:hAnsi="Verdana"/>
          <w:sz w:val="16"/>
          <w:szCs w:val="16"/>
          <w:lang w:val="es-ES"/>
        </w:rPr>
        <w:t>. Serie C No. 316</w:t>
      </w:r>
      <w:r w:rsidR="00522C00" w:rsidRPr="00D94035">
        <w:rPr>
          <w:rFonts w:ascii="Verdana" w:hAnsi="Verdana"/>
          <w:i/>
          <w:sz w:val="16"/>
          <w:szCs w:val="16"/>
          <w:lang w:val="es-ES"/>
        </w:rPr>
        <w:t xml:space="preserve">; Voto Concurrente del Juez Eduardo Vio Grossi, </w:t>
      </w:r>
      <w:r w:rsidR="00A56C52" w:rsidRPr="002D5634">
        <w:rPr>
          <w:rFonts w:ascii="Verdana" w:hAnsi="Verdana"/>
          <w:i/>
          <w:sz w:val="16"/>
          <w:szCs w:val="16"/>
          <w:lang w:val="es-ES"/>
        </w:rPr>
        <w:t xml:space="preserve">Corte Interamericana de Derechos Humanos, </w:t>
      </w:r>
      <w:r w:rsidR="00522C00" w:rsidRPr="002D5634">
        <w:rPr>
          <w:rFonts w:ascii="Verdana" w:hAnsi="Verdana"/>
          <w:i/>
          <w:sz w:val="16"/>
          <w:szCs w:val="16"/>
          <w:lang w:val="es-ES"/>
        </w:rPr>
        <w:t xml:space="preserve">Caso Velásquez </w:t>
      </w:r>
      <w:proofErr w:type="spellStart"/>
      <w:r w:rsidR="00522C00" w:rsidRPr="002D5634">
        <w:rPr>
          <w:rFonts w:ascii="Verdana" w:hAnsi="Verdana"/>
          <w:i/>
          <w:sz w:val="16"/>
          <w:szCs w:val="16"/>
          <w:lang w:val="es-ES"/>
        </w:rPr>
        <w:t>Paiz</w:t>
      </w:r>
      <w:proofErr w:type="spellEnd"/>
      <w:r w:rsidR="00522C00" w:rsidRPr="002D5634">
        <w:rPr>
          <w:rFonts w:ascii="Verdana" w:hAnsi="Verdana"/>
          <w:i/>
          <w:sz w:val="16"/>
          <w:szCs w:val="16"/>
          <w:lang w:val="es-ES"/>
        </w:rPr>
        <w:t xml:space="preserve"> y Otros Vs Guatemala</w:t>
      </w:r>
      <w:r w:rsidR="00A56C52" w:rsidRPr="002D5634">
        <w:rPr>
          <w:rFonts w:ascii="Verdana" w:hAnsi="Verdana"/>
          <w:i/>
          <w:sz w:val="16"/>
          <w:szCs w:val="16"/>
          <w:lang w:val="pt-BR"/>
        </w:rPr>
        <w:t xml:space="preserve">. Excepciones Preliminares, Fondo, Reparaciones y Costas. </w:t>
      </w:r>
      <w:r w:rsidR="00522C00" w:rsidRPr="002D5634">
        <w:rPr>
          <w:rFonts w:ascii="Verdana" w:hAnsi="Verdana"/>
          <w:sz w:val="16"/>
          <w:szCs w:val="16"/>
          <w:lang w:val="es-ES"/>
        </w:rPr>
        <w:t>Sentencia del 19 de noviembre de 2015</w:t>
      </w:r>
      <w:r w:rsidR="00A56C52" w:rsidRPr="00C0139B">
        <w:rPr>
          <w:rFonts w:ascii="Verdana" w:hAnsi="Verdana"/>
          <w:sz w:val="16"/>
          <w:szCs w:val="16"/>
          <w:lang w:val="es-ES"/>
        </w:rPr>
        <w:t>.</w:t>
      </w:r>
      <w:r w:rsidR="00A56C52" w:rsidRPr="00C0139B">
        <w:rPr>
          <w:rFonts w:ascii="Verdana" w:hAnsi="Verdana"/>
          <w:i/>
          <w:sz w:val="16"/>
          <w:szCs w:val="16"/>
          <w:lang w:val="pt-BR"/>
        </w:rPr>
        <w:t xml:space="preserve"> </w:t>
      </w:r>
      <w:r w:rsidR="00A56C52" w:rsidRPr="002D5634">
        <w:rPr>
          <w:rFonts w:ascii="Verdana" w:hAnsi="Verdana"/>
          <w:sz w:val="16"/>
          <w:szCs w:val="16"/>
          <w:lang w:val="pt-BR"/>
        </w:rPr>
        <w:t>Serie C No. 307</w:t>
      </w:r>
      <w:r w:rsidR="00522C00" w:rsidRPr="00C0139B">
        <w:rPr>
          <w:rFonts w:ascii="Verdana" w:hAnsi="Verdana"/>
          <w:i/>
          <w:sz w:val="16"/>
          <w:szCs w:val="16"/>
          <w:lang w:val="es-ES"/>
        </w:rPr>
        <w:t>; Voto Disidente del Juez Eduardo Vio Grossi,</w:t>
      </w:r>
      <w:r w:rsidR="00B4381D" w:rsidRPr="00D94035">
        <w:rPr>
          <w:rFonts w:ascii="Verdana" w:hAnsi="Verdana"/>
          <w:i/>
          <w:sz w:val="16"/>
          <w:szCs w:val="16"/>
          <w:lang w:val="es-ES"/>
        </w:rPr>
        <w:t xml:space="preserve"> Corte Interamericana de Derechos Humanos,</w:t>
      </w:r>
      <w:r w:rsidR="00522C00" w:rsidRPr="002D5634">
        <w:rPr>
          <w:rFonts w:ascii="Verdana" w:hAnsi="Verdana"/>
          <w:i/>
          <w:sz w:val="16"/>
          <w:szCs w:val="16"/>
          <w:lang w:val="es-ES"/>
        </w:rPr>
        <w:t xml:space="preserve"> Caso Comunidad Campesina Santa Bárbara Vs. Perú</w:t>
      </w:r>
      <w:r w:rsidR="00B4381D" w:rsidRPr="002D5634">
        <w:rPr>
          <w:rFonts w:ascii="Verdana" w:hAnsi="Verdana"/>
          <w:i/>
          <w:sz w:val="16"/>
          <w:szCs w:val="16"/>
          <w:lang w:val="es-ES"/>
        </w:rPr>
        <w:t xml:space="preserve">. </w:t>
      </w:r>
      <w:r w:rsidR="00B4381D" w:rsidRPr="002D5634">
        <w:rPr>
          <w:rFonts w:ascii="Verdana" w:hAnsi="Verdana"/>
          <w:i/>
          <w:sz w:val="16"/>
          <w:szCs w:val="16"/>
          <w:lang w:val="pt-BR"/>
        </w:rPr>
        <w:t>Excepciones Preliminares, Fondo, Reparaciones y Costas.</w:t>
      </w:r>
      <w:r w:rsidR="00522C00" w:rsidRPr="002D5634">
        <w:rPr>
          <w:rFonts w:ascii="Verdana" w:hAnsi="Verdana"/>
          <w:i/>
          <w:sz w:val="16"/>
          <w:szCs w:val="16"/>
          <w:lang w:val="es-ES"/>
        </w:rPr>
        <w:t xml:space="preserve"> </w:t>
      </w:r>
      <w:r w:rsidR="00522C00" w:rsidRPr="002D5634">
        <w:rPr>
          <w:rFonts w:ascii="Verdana" w:hAnsi="Verdana"/>
          <w:sz w:val="16"/>
          <w:szCs w:val="16"/>
          <w:lang w:val="es-ES"/>
        </w:rPr>
        <w:t>Sentencia de 1 de Septiembre de 2015</w:t>
      </w:r>
      <w:r w:rsidR="00B4381D" w:rsidRPr="00C0139B">
        <w:rPr>
          <w:rFonts w:ascii="Verdana" w:hAnsi="Verdana"/>
          <w:i/>
          <w:sz w:val="16"/>
          <w:szCs w:val="16"/>
          <w:lang w:val="es-ES"/>
        </w:rPr>
        <w:t xml:space="preserve">. </w:t>
      </w:r>
      <w:r w:rsidR="00B4381D" w:rsidRPr="002D5634">
        <w:rPr>
          <w:rFonts w:ascii="Verdana" w:hAnsi="Verdana"/>
          <w:sz w:val="16"/>
          <w:szCs w:val="16"/>
          <w:lang w:val="pt-BR"/>
        </w:rPr>
        <w:t>Serie C No. 299</w:t>
      </w:r>
      <w:r w:rsidR="00522C00" w:rsidRPr="00C0139B">
        <w:rPr>
          <w:rFonts w:ascii="Verdana" w:hAnsi="Verdana"/>
          <w:i/>
          <w:sz w:val="16"/>
          <w:szCs w:val="16"/>
          <w:lang w:val="es-ES"/>
        </w:rPr>
        <w:t>; Voto Individual Disidente del Juez Eduardo Vio Grossi,</w:t>
      </w:r>
      <w:r w:rsidR="00B4381D" w:rsidRPr="002D5634">
        <w:rPr>
          <w:rFonts w:ascii="Verdana" w:hAnsi="Verdana"/>
          <w:i/>
          <w:sz w:val="16"/>
          <w:szCs w:val="16"/>
          <w:lang w:val="es-ES"/>
        </w:rPr>
        <w:t xml:space="preserve"> Corte Interamericana de Derechos Humanos,</w:t>
      </w:r>
      <w:r w:rsidR="00522C00" w:rsidRPr="002D5634">
        <w:rPr>
          <w:rFonts w:ascii="Verdana" w:hAnsi="Verdana"/>
          <w:i/>
          <w:sz w:val="16"/>
          <w:szCs w:val="16"/>
          <w:lang w:val="es-ES"/>
        </w:rPr>
        <w:t xml:space="preserve"> Caso Wong Ho </w:t>
      </w:r>
      <w:proofErr w:type="spellStart"/>
      <w:r w:rsidR="00522C00" w:rsidRPr="002D5634">
        <w:rPr>
          <w:rFonts w:ascii="Verdana" w:hAnsi="Verdana"/>
          <w:i/>
          <w:sz w:val="16"/>
          <w:szCs w:val="16"/>
          <w:lang w:val="es-ES"/>
        </w:rPr>
        <w:t>Wing</w:t>
      </w:r>
      <w:proofErr w:type="spellEnd"/>
      <w:r w:rsidR="00522C00" w:rsidRPr="002D5634">
        <w:rPr>
          <w:rFonts w:ascii="Verdana" w:hAnsi="Verdana"/>
          <w:i/>
          <w:sz w:val="16"/>
          <w:szCs w:val="16"/>
          <w:lang w:val="es-ES"/>
        </w:rPr>
        <w:t xml:space="preserve"> Vs. Perú</w:t>
      </w:r>
      <w:r w:rsidR="00B4381D" w:rsidRPr="002D5634">
        <w:rPr>
          <w:rFonts w:ascii="Verdana" w:hAnsi="Verdana"/>
          <w:i/>
          <w:sz w:val="16"/>
          <w:szCs w:val="16"/>
          <w:lang w:val="es-ES"/>
        </w:rPr>
        <w:t>.</w:t>
      </w:r>
      <w:r w:rsidR="00B4381D" w:rsidRPr="002D5634">
        <w:rPr>
          <w:rFonts w:ascii="Verdana" w:hAnsi="Verdana"/>
          <w:i/>
          <w:sz w:val="16"/>
          <w:szCs w:val="16"/>
          <w:lang w:val="pt-BR"/>
        </w:rPr>
        <w:t xml:space="preserve"> Excepción Preliminar, Fondo, Reparaciones y Costas</w:t>
      </w:r>
      <w:r w:rsidR="00B4381D" w:rsidRPr="002D5634">
        <w:rPr>
          <w:rFonts w:ascii="Verdana" w:hAnsi="Verdana"/>
          <w:sz w:val="16"/>
          <w:szCs w:val="16"/>
          <w:lang w:val="pt-BR"/>
        </w:rPr>
        <w:t>. Sentencia de 30 de junio de 2015. Serie C No. 297</w:t>
      </w:r>
      <w:r w:rsidR="00522C00" w:rsidRPr="00C0139B">
        <w:rPr>
          <w:rFonts w:ascii="Verdana" w:hAnsi="Verdana"/>
          <w:i/>
          <w:sz w:val="16"/>
          <w:szCs w:val="16"/>
          <w:lang w:val="es-ES"/>
        </w:rPr>
        <w:t xml:space="preserve">; Voto Individual Disidente del Juez Eduardo Vio Grossi, </w:t>
      </w:r>
      <w:r w:rsidR="00B4381D" w:rsidRPr="002D5634">
        <w:rPr>
          <w:rFonts w:ascii="Verdana" w:hAnsi="Verdana"/>
          <w:i/>
          <w:sz w:val="16"/>
          <w:szCs w:val="16"/>
          <w:lang w:val="es-ES"/>
        </w:rPr>
        <w:t xml:space="preserve">Corte Interamericana de Derechos Humanos, </w:t>
      </w:r>
      <w:r w:rsidR="00522C00" w:rsidRPr="002D5634">
        <w:rPr>
          <w:rFonts w:ascii="Verdana" w:hAnsi="Verdana"/>
          <w:i/>
          <w:sz w:val="16"/>
          <w:szCs w:val="16"/>
          <w:lang w:val="es-ES"/>
        </w:rPr>
        <w:t>Caso Cruz Sánchez y otros Vs. Perú</w:t>
      </w:r>
      <w:r w:rsidR="00B4381D" w:rsidRPr="002D5634">
        <w:rPr>
          <w:rFonts w:ascii="Verdana" w:hAnsi="Verdana"/>
          <w:i/>
          <w:sz w:val="16"/>
          <w:szCs w:val="16"/>
          <w:lang w:val="pt-BR"/>
        </w:rPr>
        <w:t xml:space="preserve">. Excepciones Preliminares, Fondo, Reparaciones y Costas. </w:t>
      </w:r>
      <w:r w:rsidR="00B4381D" w:rsidRPr="002D5634">
        <w:rPr>
          <w:rFonts w:ascii="Verdana" w:hAnsi="Verdana"/>
          <w:sz w:val="16"/>
          <w:szCs w:val="16"/>
          <w:lang w:val="pt-BR"/>
        </w:rPr>
        <w:t>Sentencia de 17 de abril de 2015. Serie C No. 292</w:t>
      </w:r>
      <w:r w:rsidR="00522C00" w:rsidRPr="00D94035">
        <w:rPr>
          <w:rFonts w:ascii="Verdana" w:hAnsi="Verdana"/>
          <w:i/>
          <w:sz w:val="16"/>
          <w:szCs w:val="16"/>
          <w:lang w:val="es-ES"/>
        </w:rPr>
        <w:t>; Voto Individual Disidente del Juez Eduardo Vio Grossi,</w:t>
      </w:r>
      <w:r w:rsidR="00B4381D" w:rsidRPr="00D94035">
        <w:rPr>
          <w:rFonts w:ascii="Verdana" w:hAnsi="Verdana"/>
          <w:i/>
          <w:sz w:val="16"/>
          <w:szCs w:val="16"/>
          <w:lang w:val="es-ES"/>
        </w:rPr>
        <w:t xml:space="preserve"> Corte Interamericana de Derechos Humanos</w:t>
      </w:r>
      <w:r w:rsidR="00B4381D" w:rsidRPr="002D5634">
        <w:rPr>
          <w:rFonts w:ascii="Verdana" w:hAnsi="Verdana"/>
          <w:i/>
          <w:sz w:val="16"/>
          <w:szCs w:val="16"/>
          <w:lang w:val="es-ES"/>
        </w:rPr>
        <w:t>,</w:t>
      </w:r>
      <w:r w:rsidR="00522C00" w:rsidRPr="002D5634">
        <w:rPr>
          <w:rFonts w:ascii="Verdana" w:hAnsi="Verdana"/>
          <w:i/>
          <w:sz w:val="16"/>
          <w:szCs w:val="16"/>
          <w:lang w:val="es-ES"/>
        </w:rPr>
        <w:t xml:space="preserve"> Caso </w:t>
      </w:r>
      <w:proofErr w:type="spellStart"/>
      <w:r w:rsidR="00522C00" w:rsidRPr="002D5634">
        <w:rPr>
          <w:rFonts w:ascii="Verdana" w:hAnsi="Verdana"/>
          <w:i/>
          <w:sz w:val="16"/>
          <w:szCs w:val="16"/>
          <w:lang w:val="es-ES"/>
        </w:rPr>
        <w:t>Liakat</w:t>
      </w:r>
      <w:proofErr w:type="spellEnd"/>
      <w:r w:rsidR="00522C00" w:rsidRPr="002D5634">
        <w:rPr>
          <w:rFonts w:ascii="Verdana" w:hAnsi="Verdana"/>
          <w:i/>
          <w:sz w:val="16"/>
          <w:szCs w:val="16"/>
          <w:lang w:val="es-ES"/>
        </w:rPr>
        <w:t xml:space="preserve"> Ali </w:t>
      </w:r>
      <w:proofErr w:type="spellStart"/>
      <w:r w:rsidR="00522C00" w:rsidRPr="002D5634">
        <w:rPr>
          <w:rFonts w:ascii="Verdana" w:hAnsi="Verdana"/>
          <w:i/>
          <w:sz w:val="16"/>
          <w:szCs w:val="16"/>
          <w:lang w:val="es-ES"/>
        </w:rPr>
        <w:t>Alibux</w:t>
      </w:r>
      <w:proofErr w:type="spellEnd"/>
      <w:r w:rsidR="00522C00" w:rsidRPr="002D5634">
        <w:rPr>
          <w:rFonts w:ascii="Verdana" w:hAnsi="Verdana"/>
          <w:i/>
          <w:sz w:val="16"/>
          <w:szCs w:val="16"/>
          <w:lang w:val="es-ES"/>
        </w:rPr>
        <w:t xml:space="preserve"> Vs. </w:t>
      </w:r>
      <w:proofErr w:type="spellStart"/>
      <w:r w:rsidR="00522C00" w:rsidRPr="002D5634">
        <w:rPr>
          <w:rFonts w:ascii="Verdana" w:hAnsi="Verdana"/>
          <w:i/>
          <w:sz w:val="16"/>
          <w:szCs w:val="16"/>
          <w:lang w:val="es-ES"/>
        </w:rPr>
        <w:t>Suriname</w:t>
      </w:r>
      <w:proofErr w:type="spellEnd"/>
      <w:r w:rsidR="00B4381D" w:rsidRPr="002D5634">
        <w:rPr>
          <w:rFonts w:ascii="Verdana" w:hAnsi="Verdana"/>
          <w:i/>
          <w:sz w:val="16"/>
          <w:szCs w:val="16"/>
          <w:lang w:val="pt-BR"/>
        </w:rPr>
        <w:t xml:space="preserve">. Excepciones Preliminares, Fondo, Reparaciones y Costas. </w:t>
      </w:r>
      <w:r w:rsidR="00B4381D" w:rsidRPr="002D5634">
        <w:rPr>
          <w:rFonts w:ascii="Verdana" w:hAnsi="Verdana"/>
          <w:sz w:val="16"/>
          <w:szCs w:val="16"/>
          <w:lang w:val="pt-BR"/>
        </w:rPr>
        <w:t>Sentencia de 30 de enero de 2014. Serie C No. 276</w:t>
      </w:r>
      <w:r w:rsidR="00522C00" w:rsidRPr="00C0139B">
        <w:rPr>
          <w:rFonts w:ascii="Verdana" w:hAnsi="Verdana"/>
          <w:i/>
          <w:sz w:val="16"/>
          <w:szCs w:val="16"/>
          <w:lang w:val="es-ES"/>
        </w:rPr>
        <w:t xml:space="preserve">, </w:t>
      </w:r>
      <w:r w:rsidR="00522C00" w:rsidRPr="002D5634">
        <w:rPr>
          <w:rFonts w:ascii="Verdana" w:hAnsi="Verdana"/>
          <w:sz w:val="16"/>
          <w:szCs w:val="16"/>
          <w:lang w:val="es-ES"/>
        </w:rPr>
        <w:t>y</w:t>
      </w:r>
      <w:r w:rsidR="00522C00" w:rsidRPr="00C0139B">
        <w:rPr>
          <w:rFonts w:ascii="Verdana" w:hAnsi="Verdana"/>
          <w:i/>
          <w:sz w:val="16"/>
          <w:szCs w:val="16"/>
          <w:lang w:val="es-ES"/>
        </w:rPr>
        <w:t xml:space="preserve"> Voto Individual Disidente del Juez Eduardo Vio Grossi, </w:t>
      </w:r>
      <w:r w:rsidR="00DD3593" w:rsidRPr="00D94035">
        <w:rPr>
          <w:rFonts w:ascii="Verdana" w:hAnsi="Verdana"/>
          <w:i/>
          <w:sz w:val="16"/>
          <w:szCs w:val="16"/>
          <w:lang w:val="es-ES"/>
        </w:rPr>
        <w:t xml:space="preserve">Corte Interamericana de Derechos Humanos, </w:t>
      </w:r>
      <w:r w:rsidR="00522C00" w:rsidRPr="00D94035">
        <w:rPr>
          <w:rFonts w:ascii="Verdana" w:hAnsi="Verdana"/>
          <w:i/>
          <w:sz w:val="16"/>
          <w:szCs w:val="16"/>
          <w:lang w:val="es-ES"/>
        </w:rPr>
        <w:t>Caso Díaz Peña Vs. Venezuela</w:t>
      </w:r>
      <w:r w:rsidR="00DD3593" w:rsidRPr="00D94035">
        <w:rPr>
          <w:rFonts w:ascii="Verdana" w:hAnsi="Verdana"/>
          <w:i/>
          <w:sz w:val="16"/>
          <w:szCs w:val="16"/>
          <w:lang w:val="pt-BR"/>
        </w:rPr>
        <w:t xml:space="preserve">. Excepción Preliminar, Fondo, Reparaciones y Costas. </w:t>
      </w:r>
      <w:r w:rsidR="00DD3593" w:rsidRPr="002D5634">
        <w:rPr>
          <w:rFonts w:ascii="Verdana" w:hAnsi="Verdana"/>
          <w:sz w:val="16"/>
          <w:szCs w:val="16"/>
          <w:lang w:val="pt-BR"/>
        </w:rPr>
        <w:t>Sentencia de 26 de junio de 2012. Serie C No. 244</w:t>
      </w:r>
      <w:r w:rsidR="00522C00" w:rsidRPr="002D5634">
        <w:rPr>
          <w:rFonts w:ascii="Verdana" w:hAnsi="Verdana"/>
          <w:sz w:val="16"/>
          <w:szCs w:val="16"/>
          <w:lang w:val="es-ES"/>
        </w:rPr>
        <w:t>.</w:t>
      </w:r>
    </w:p>
  </w:footnote>
  <w:footnote w:id="13">
    <w:p w14:paraId="478CBD81" w14:textId="77777777" w:rsidR="00885D81" w:rsidRPr="00C0139B" w:rsidRDefault="00885D81" w:rsidP="009C6B6D">
      <w:pPr>
        <w:pStyle w:val="FootnoteText"/>
        <w:spacing w:after="120"/>
        <w:jc w:val="both"/>
        <w:rPr>
          <w:rFonts w:ascii="Verdana" w:hAnsi="Verdana"/>
          <w:sz w:val="16"/>
          <w:szCs w:val="16"/>
          <w:lang w:val="es-ES"/>
        </w:rPr>
      </w:pPr>
      <w:r w:rsidRPr="00C0139B">
        <w:rPr>
          <w:rStyle w:val="FootnoteReference"/>
          <w:rFonts w:ascii="Verdana" w:hAnsi="Verdana"/>
          <w:sz w:val="16"/>
          <w:szCs w:val="16"/>
        </w:rPr>
        <w:footnoteRef/>
      </w:r>
      <w:r w:rsidRPr="00C0139B">
        <w:rPr>
          <w:rFonts w:ascii="Verdana" w:hAnsi="Verdana"/>
          <w:sz w:val="16"/>
          <w:szCs w:val="16"/>
          <w:lang w:val="es-ES"/>
        </w:rPr>
        <w:t xml:space="preserve"> En adelante, la Convención.</w:t>
      </w:r>
    </w:p>
  </w:footnote>
  <w:footnote w:id="14">
    <w:p w14:paraId="7D4ED467" w14:textId="77777777" w:rsidR="001054D1" w:rsidRPr="00D94035" w:rsidRDefault="001054D1" w:rsidP="009C6B6D">
      <w:pPr>
        <w:pStyle w:val="FootnoteText"/>
        <w:spacing w:after="120"/>
        <w:jc w:val="both"/>
        <w:rPr>
          <w:rFonts w:ascii="Verdana" w:hAnsi="Verdana"/>
          <w:sz w:val="16"/>
          <w:szCs w:val="16"/>
        </w:rPr>
      </w:pPr>
      <w:r w:rsidRPr="00C0139B">
        <w:rPr>
          <w:rStyle w:val="FootnoteReference"/>
          <w:rFonts w:ascii="Verdana" w:hAnsi="Verdana"/>
          <w:sz w:val="16"/>
          <w:szCs w:val="16"/>
        </w:rPr>
        <w:footnoteRef/>
      </w:r>
      <w:r w:rsidRPr="00C0139B">
        <w:rPr>
          <w:rFonts w:ascii="Verdana" w:hAnsi="Verdana"/>
          <w:sz w:val="16"/>
          <w:szCs w:val="16"/>
        </w:rPr>
        <w:t xml:space="preserve"> En adelante, el Reglamento</w:t>
      </w:r>
      <w:r w:rsidR="00B878BB" w:rsidRPr="00C0139B">
        <w:rPr>
          <w:rFonts w:ascii="Verdana" w:hAnsi="Verdana"/>
          <w:sz w:val="16"/>
          <w:szCs w:val="16"/>
        </w:rPr>
        <w:t>.</w:t>
      </w:r>
    </w:p>
  </w:footnote>
  <w:footnote w:id="15">
    <w:p w14:paraId="54376BC0" w14:textId="77777777" w:rsidR="005F2815" w:rsidRPr="002D5634" w:rsidRDefault="00150531" w:rsidP="009C6B6D">
      <w:pPr>
        <w:pStyle w:val="FootnoteText"/>
        <w:spacing w:after="120"/>
        <w:jc w:val="both"/>
        <w:rPr>
          <w:rFonts w:ascii="Verdana" w:hAnsi="Verdana"/>
          <w:sz w:val="16"/>
          <w:szCs w:val="16"/>
          <w:lang w:val="es-ES"/>
        </w:rPr>
      </w:pPr>
      <w:r w:rsidRPr="00C0139B">
        <w:rPr>
          <w:rStyle w:val="FootnoteReference"/>
          <w:rFonts w:ascii="Verdana" w:hAnsi="Verdana"/>
          <w:sz w:val="16"/>
          <w:szCs w:val="16"/>
        </w:rPr>
        <w:footnoteRef/>
      </w:r>
      <w:r w:rsidRPr="00C0139B">
        <w:rPr>
          <w:rFonts w:ascii="Verdana" w:hAnsi="Verdana"/>
          <w:sz w:val="16"/>
          <w:szCs w:val="16"/>
          <w:lang w:val="es-ES"/>
        </w:rPr>
        <w:t xml:space="preserve"> Arts. de la Convención: 1.1 “</w:t>
      </w:r>
      <w:r w:rsidRPr="00D94035">
        <w:rPr>
          <w:rFonts w:ascii="Verdana" w:hAnsi="Verdana"/>
          <w:i/>
          <w:sz w:val="16"/>
          <w:szCs w:val="16"/>
          <w:lang w:val="es-ES"/>
        </w:rPr>
        <w:t xml:space="preserve">Los Estados Partes en esta Convención se comprometen a respetar los derechos y libertades reconocidos en ella y a garantizar su libre y pleno ejercicio a toda persona que esté sujeta a su jurisdicción, sin discriminación alguna por motivos de raza, color, </w:t>
      </w:r>
      <w:r w:rsidRPr="002D5634">
        <w:rPr>
          <w:rFonts w:ascii="Verdana" w:hAnsi="Verdana"/>
          <w:i/>
          <w:sz w:val="16"/>
          <w:szCs w:val="16"/>
          <w:lang w:val="es-ES"/>
        </w:rPr>
        <w:t xml:space="preserve">sexo, idioma, religión, opiniones políticas o de cualquier otra índole, origen nacional o social, posición económica, nacimiento o cualquier otra condición </w:t>
      </w:r>
      <w:r w:rsidR="00CE51CF" w:rsidRPr="002D5634">
        <w:rPr>
          <w:rFonts w:ascii="Verdana" w:hAnsi="Verdana"/>
          <w:i/>
          <w:sz w:val="16"/>
          <w:szCs w:val="16"/>
          <w:lang w:val="es-ES"/>
        </w:rPr>
        <w:t>social.”</w:t>
      </w:r>
    </w:p>
    <w:p w14:paraId="6D2D9A29" w14:textId="77777777" w:rsidR="00150531" w:rsidRPr="002D5634" w:rsidRDefault="005F2815" w:rsidP="009C6B6D">
      <w:pPr>
        <w:pStyle w:val="FootnoteText"/>
        <w:jc w:val="both"/>
        <w:rPr>
          <w:rFonts w:ascii="Verdana" w:hAnsi="Verdana"/>
          <w:i/>
          <w:sz w:val="16"/>
          <w:szCs w:val="16"/>
          <w:lang w:val="es-ES"/>
        </w:rPr>
      </w:pPr>
      <w:r w:rsidRPr="002D5634">
        <w:rPr>
          <w:rFonts w:ascii="Verdana" w:hAnsi="Verdana"/>
          <w:sz w:val="16"/>
          <w:szCs w:val="16"/>
          <w:lang w:val="es-ES"/>
        </w:rPr>
        <w:t>Art</w:t>
      </w:r>
      <w:r w:rsidR="00291558" w:rsidRPr="002D5634">
        <w:rPr>
          <w:rFonts w:ascii="Verdana" w:hAnsi="Verdana"/>
          <w:sz w:val="16"/>
          <w:szCs w:val="16"/>
          <w:lang w:val="es-ES"/>
        </w:rPr>
        <w:t>.</w:t>
      </w:r>
      <w:r w:rsidRPr="002D5634">
        <w:rPr>
          <w:rFonts w:ascii="Verdana" w:hAnsi="Verdana"/>
          <w:sz w:val="16"/>
          <w:szCs w:val="16"/>
          <w:lang w:val="es-ES"/>
        </w:rPr>
        <w:t xml:space="preserve"> </w:t>
      </w:r>
      <w:r w:rsidR="008B0158" w:rsidRPr="002D5634">
        <w:rPr>
          <w:rFonts w:ascii="Verdana" w:hAnsi="Verdana"/>
          <w:sz w:val="16"/>
          <w:szCs w:val="16"/>
          <w:lang w:val="es-ES"/>
        </w:rPr>
        <w:t>33</w:t>
      </w:r>
      <w:r w:rsidR="00291558" w:rsidRPr="002D5634">
        <w:rPr>
          <w:rFonts w:ascii="Verdana" w:hAnsi="Verdana"/>
          <w:sz w:val="16"/>
          <w:szCs w:val="16"/>
          <w:lang w:val="es-ES"/>
        </w:rPr>
        <w:t xml:space="preserve"> </w:t>
      </w:r>
      <w:r w:rsidR="008B0158" w:rsidRPr="002D5634">
        <w:rPr>
          <w:rFonts w:ascii="Verdana" w:hAnsi="Verdana"/>
          <w:i/>
          <w:sz w:val="16"/>
          <w:szCs w:val="16"/>
          <w:lang w:val="es-ES"/>
        </w:rPr>
        <w:t>”</w:t>
      </w:r>
      <w:r w:rsidR="00150531" w:rsidRPr="002D5634">
        <w:rPr>
          <w:rFonts w:ascii="Verdana" w:hAnsi="Verdana"/>
          <w:i/>
          <w:sz w:val="16"/>
          <w:szCs w:val="16"/>
          <w:lang w:val="es-ES"/>
        </w:rPr>
        <w:t>Son competentes para conocer de los asuntos relacionados con el cumplimiento de los compromisos contraídos por los Estados Partes en esta Convención:</w:t>
      </w:r>
    </w:p>
    <w:p w14:paraId="098008F0" w14:textId="77777777" w:rsidR="00150531" w:rsidRPr="002D5634" w:rsidRDefault="00150531" w:rsidP="009C6B6D">
      <w:pPr>
        <w:pStyle w:val="FootnoteText"/>
        <w:jc w:val="both"/>
        <w:rPr>
          <w:rFonts w:ascii="Verdana" w:hAnsi="Verdana"/>
          <w:i/>
          <w:sz w:val="16"/>
          <w:szCs w:val="16"/>
          <w:lang w:val="es-ES"/>
        </w:rPr>
      </w:pPr>
      <w:r w:rsidRPr="002D5634">
        <w:rPr>
          <w:rFonts w:ascii="Verdana" w:hAnsi="Verdana"/>
          <w:i/>
          <w:sz w:val="16"/>
          <w:szCs w:val="16"/>
          <w:lang w:val="es-ES"/>
        </w:rPr>
        <w:t xml:space="preserve"> a) la Comisión Interamericana de Derechos Humanos, llamada en adelante la Comisión, y</w:t>
      </w:r>
    </w:p>
    <w:p w14:paraId="0FE3A459" w14:textId="77777777" w:rsidR="00150531" w:rsidRPr="002D5634" w:rsidRDefault="00150531" w:rsidP="009C6B6D">
      <w:pPr>
        <w:pStyle w:val="FootnoteText"/>
        <w:jc w:val="both"/>
        <w:rPr>
          <w:rFonts w:ascii="Verdana" w:hAnsi="Verdana"/>
          <w:sz w:val="16"/>
          <w:szCs w:val="16"/>
          <w:lang w:val="es-ES"/>
        </w:rPr>
      </w:pPr>
      <w:r w:rsidRPr="002D5634">
        <w:rPr>
          <w:rFonts w:ascii="Verdana" w:hAnsi="Verdana"/>
          <w:i/>
          <w:sz w:val="16"/>
          <w:szCs w:val="16"/>
          <w:lang w:val="es-ES"/>
        </w:rPr>
        <w:t xml:space="preserve"> b) la Corte Interamericana de Derechos Humanos, llamada en adelante la Corte.</w:t>
      </w:r>
      <w:r w:rsidR="005F2815" w:rsidRPr="002D5634">
        <w:rPr>
          <w:rFonts w:ascii="Verdana" w:hAnsi="Verdana"/>
          <w:i/>
          <w:sz w:val="16"/>
          <w:szCs w:val="16"/>
          <w:lang w:val="es-ES"/>
        </w:rPr>
        <w:t>”</w:t>
      </w:r>
    </w:p>
  </w:footnote>
  <w:footnote w:id="16">
    <w:p w14:paraId="2B24B6E9" w14:textId="77777777" w:rsidR="00D64BB1" w:rsidRPr="002D5634" w:rsidRDefault="00150531" w:rsidP="009C6B6D">
      <w:pPr>
        <w:pStyle w:val="FootnoteText"/>
        <w:spacing w:after="120"/>
        <w:jc w:val="both"/>
        <w:rPr>
          <w:rFonts w:ascii="Verdana" w:hAnsi="Verdana"/>
          <w:sz w:val="16"/>
          <w:szCs w:val="16"/>
          <w:lang w:val="es-ES"/>
        </w:rPr>
      </w:pPr>
      <w:r w:rsidRPr="00C0139B">
        <w:rPr>
          <w:rStyle w:val="FootnoteReference"/>
          <w:rFonts w:ascii="Verdana" w:hAnsi="Verdana"/>
          <w:sz w:val="16"/>
          <w:szCs w:val="16"/>
        </w:rPr>
        <w:footnoteRef/>
      </w:r>
      <w:r w:rsidRPr="00C0139B">
        <w:rPr>
          <w:rFonts w:ascii="Verdana" w:hAnsi="Verdana"/>
          <w:sz w:val="16"/>
          <w:szCs w:val="16"/>
          <w:lang w:val="es-ES"/>
        </w:rPr>
        <w:t xml:space="preserve"> </w:t>
      </w:r>
      <w:r w:rsidR="004C5F94" w:rsidRPr="00C0139B">
        <w:rPr>
          <w:rFonts w:ascii="Verdana" w:hAnsi="Verdana"/>
          <w:sz w:val="16"/>
          <w:szCs w:val="16"/>
        </w:rPr>
        <w:t xml:space="preserve">Aprobado por la </w:t>
      </w:r>
      <w:r w:rsidR="004C5F94" w:rsidRPr="00D94035">
        <w:rPr>
          <w:rFonts w:ascii="Verdana" w:hAnsi="Verdana"/>
          <w:sz w:val="16"/>
          <w:szCs w:val="16"/>
        </w:rPr>
        <w:t>Comisión en su 109º período extraordinario de sesiones celebrado del 4 al 8 de diciembre de 2000, y modificado en su 116º período ordinario de sesiones, celebrado del 7 al 25 de octubre de 2002, y en su 118° período ordinario de sesiones, celebrado del 6 a</w:t>
      </w:r>
      <w:r w:rsidR="004C5F94" w:rsidRPr="002D5634">
        <w:rPr>
          <w:rFonts w:ascii="Verdana" w:hAnsi="Verdana"/>
          <w:sz w:val="16"/>
          <w:szCs w:val="16"/>
        </w:rPr>
        <w:t>l 24 de octubre de 2003</w:t>
      </w:r>
      <w:r w:rsidR="00793366" w:rsidRPr="002D5634">
        <w:rPr>
          <w:rFonts w:ascii="Verdana" w:hAnsi="Verdana"/>
          <w:sz w:val="16"/>
          <w:szCs w:val="16"/>
        </w:rPr>
        <w:t>.</w:t>
      </w:r>
      <w:r w:rsidR="004C5F94" w:rsidRPr="002D5634">
        <w:rPr>
          <w:rFonts w:ascii="Verdana" w:hAnsi="Verdana"/>
          <w:sz w:val="16"/>
          <w:szCs w:val="16"/>
          <w:lang w:val="es-ES"/>
        </w:rPr>
        <w:t xml:space="preserve"> </w:t>
      </w:r>
      <w:r w:rsidRPr="002D5634">
        <w:rPr>
          <w:rFonts w:ascii="Verdana" w:hAnsi="Verdana"/>
          <w:sz w:val="16"/>
          <w:szCs w:val="16"/>
          <w:lang w:val="es-ES"/>
        </w:rPr>
        <w:t>En notas de pie de páginas se irá indicando la norma actualmente en vigor equivalente a la vigente en</w:t>
      </w:r>
      <w:r w:rsidR="004C5F94" w:rsidRPr="002D5634">
        <w:rPr>
          <w:rFonts w:ascii="Verdana" w:hAnsi="Verdana"/>
          <w:sz w:val="16"/>
          <w:szCs w:val="16"/>
          <w:lang w:val="es-ES"/>
        </w:rPr>
        <w:t>tre</w:t>
      </w:r>
      <w:r w:rsidRPr="002D5634">
        <w:rPr>
          <w:rFonts w:ascii="Verdana" w:hAnsi="Verdana"/>
          <w:sz w:val="16"/>
          <w:szCs w:val="16"/>
          <w:lang w:val="es-ES"/>
        </w:rPr>
        <w:t xml:space="preserve"> el 2004</w:t>
      </w:r>
      <w:r w:rsidR="004C5F94" w:rsidRPr="002D5634">
        <w:rPr>
          <w:rFonts w:ascii="Verdana" w:hAnsi="Verdana"/>
          <w:sz w:val="16"/>
          <w:szCs w:val="16"/>
          <w:lang w:val="es-ES"/>
        </w:rPr>
        <w:t xml:space="preserve"> y el 2</w:t>
      </w:r>
      <w:r w:rsidR="00793366" w:rsidRPr="002D5634">
        <w:rPr>
          <w:rFonts w:ascii="Verdana" w:hAnsi="Verdana"/>
          <w:sz w:val="16"/>
          <w:szCs w:val="16"/>
          <w:lang w:val="es-ES"/>
        </w:rPr>
        <w:t>0</w:t>
      </w:r>
      <w:r w:rsidR="004C5F94" w:rsidRPr="002D5634">
        <w:rPr>
          <w:rFonts w:ascii="Verdana" w:hAnsi="Verdana"/>
          <w:sz w:val="16"/>
          <w:szCs w:val="16"/>
          <w:lang w:val="es-ES"/>
        </w:rPr>
        <w:t xml:space="preserve">06, años en que fueron presentadas las peticiones del presente caso ante la </w:t>
      </w:r>
      <w:r w:rsidR="00A16656" w:rsidRPr="002D5634">
        <w:rPr>
          <w:rFonts w:ascii="Verdana" w:hAnsi="Verdana"/>
          <w:sz w:val="16"/>
          <w:szCs w:val="16"/>
          <w:lang w:val="es-ES"/>
        </w:rPr>
        <w:t>Comisión</w:t>
      </w:r>
      <w:r w:rsidR="004C5F94" w:rsidRPr="002D5634">
        <w:rPr>
          <w:rFonts w:ascii="Verdana" w:hAnsi="Verdana"/>
          <w:sz w:val="16"/>
          <w:szCs w:val="16"/>
          <w:lang w:val="es-ES"/>
        </w:rPr>
        <w:t>.</w:t>
      </w:r>
    </w:p>
  </w:footnote>
  <w:footnote w:id="17">
    <w:p w14:paraId="3A89D48C" w14:textId="77777777" w:rsidR="00150531" w:rsidRPr="00D94035" w:rsidRDefault="00150531" w:rsidP="009C6B6D">
      <w:pPr>
        <w:pStyle w:val="FootnoteText"/>
        <w:spacing w:after="120"/>
        <w:jc w:val="both"/>
        <w:rPr>
          <w:rFonts w:ascii="Verdana" w:hAnsi="Verdana"/>
          <w:sz w:val="16"/>
          <w:szCs w:val="16"/>
          <w:lang w:val="es-ES"/>
        </w:rPr>
      </w:pPr>
      <w:r w:rsidRPr="00C0139B">
        <w:rPr>
          <w:rStyle w:val="FootnoteReference"/>
          <w:rFonts w:ascii="Verdana" w:hAnsi="Verdana"/>
          <w:sz w:val="16"/>
          <w:szCs w:val="16"/>
        </w:rPr>
        <w:footnoteRef/>
      </w:r>
      <w:r w:rsidRPr="00C0139B">
        <w:rPr>
          <w:rFonts w:ascii="Verdana" w:hAnsi="Verdana"/>
          <w:sz w:val="16"/>
          <w:szCs w:val="16"/>
          <w:lang w:val="es-ES"/>
        </w:rPr>
        <w:t xml:space="preserve"> El artículo 26 del Reglamento en vigor, es del mismo tenor.</w:t>
      </w:r>
    </w:p>
  </w:footnote>
  <w:footnote w:id="18">
    <w:p w14:paraId="54ABD8C6" w14:textId="77777777" w:rsidR="00150531" w:rsidRPr="00D94035" w:rsidRDefault="00150531" w:rsidP="009C6B6D">
      <w:pPr>
        <w:pStyle w:val="FootnoteText"/>
        <w:spacing w:after="120"/>
        <w:jc w:val="both"/>
        <w:rPr>
          <w:rFonts w:ascii="Verdana" w:hAnsi="Verdana"/>
          <w:sz w:val="16"/>
          <w:szCs w:val="16"/>
          <w:lang w:val="es-ES"/>
        </w:rPr>
      </w:pPr>
      <w:r w:rsidRPr="00C0139B">
        <w:rPr>
          <w:rStyle w:val="FootnoteReference"/>
          <w:rFonts w:ascii="Verdana" w:hAnsi="Verdana"/>
          <w:sz w:val="16"/>
          <w:szCs w:val="16"/>
        </w:rPr>
        <w:footnoteRef/>
      </w:r>
      <w:r w:rsidRPr="00C0139B">
        <w:rPr>
          <w:rFonts w:ascii="Verdana" w:hAnsi="Verdana"/>
          <w:sz w:val="16"/>
          <w:szCs w:val="16"/>
          <w:lang w:val="es-ES"/>
        </w:rPr>
        <w:t xml:space="preserve"> </w:t>
      </w:r>
      <w:proofErr w:type="spellStart"/>
      <w:r w:rsidRPr="00C0139B">
        <w:rPr>
          <w:rFonts w:ascii="Verdana" w:hAnsi="Verdana"/>
          <w:i/>
          <w:sz w:val="16"/>
          <w:szCs w:val="16"/>
          <w:lang w:val="es-ES"/>
        </w:rPr>
        <w:t>Idem</w:t>
      </w:r>
      <w:proofErr w:type="spellEnd"/>
      <w:r w:rsidRPr="00D94035">
        <w:rPr>
          <w:rFonts w:ascii="Verdana" w:hAnsi="Verdana"/>
          <w:sz w:val="16"/>
          <w:szCs w:val="16"/>
          <w:lang w:val="es-ES"/>
        </w:rPr>
        <w:t xml:space="preserve"> respecto al artículo 27 del vigente Reglamento.</w:t>
      </w:r>
    </w:p>
  </w:footnote>
  <w:footnote w:id="19">
    <w:p w14:paraId="5FA7FC91" w14:textId="77777777" w:rsidR="00150531" w:rsidRPr="00D94035" w:rsidRDefault="00150531" w:rsidP="009C6B6D">
      <w:pPr>
        <w:pStyle w:val="FootnoteText"/>
        <w:spacing w:after="120"/>
        <w:jc w:val="both"/>
        <w:rPr>
          <w:rFonts w:ascii="Verdana" w:hAnsi="Verdana"/>
          <w:i/>
          <w:sz w:val="16"/>
          <w:szCs w:val="16"/>
          <w:lang w:val="es-ES"/>
        </w:rPr>
      </w:pPr>
      <w:r w:rsidRPr="00C0139B">
        <w:rPr>
          <w:rStyle w:val="FootnoteReference"/>
          <w:rFonts w:ascii="Verdana" w:hAnsi="Verdana"/>
          <w:sz w:val="16"/>
          <w:szCs w:val="16"/>
        </w:rPr>
        <w:footnoteRef/>
      </w:r>
      <w:r w:rsidRPr="00C0139B">
        <w:rPr>
          <w:rFonts w:ascii="Verdana" w:hAnsi="Verdana"/>
          <w:sz w:val="16"/>
          <w:szCs w:val="16"/>
          <w:lang w:val="es-ES"/>
        </w:rPr>
        <w:t xml:space="preserve"> </w:t>
      </w:r>
      <w:proofErr w:type="spellStart"/>
      <w:r w:rsidRPr="00C0139B">
        <w:rPr>
          <w:rFonts w:ascii="Verdana" w:hAnsi="Verdana"/>
          <w:i/>
          <w:sz w:val="16"/>
          <w:szCs w:val="16"/>
          <w:lang w:val="es-ES"/>
        </w:rPr>
        <w:t>Idem</w:t>
      </w:r>
      <w:proofErr w:type="spellEnd"/>
      <w:r w:rsidRPr="00C0139B">
        <w:rPr>
          <w:rFonts w:ascii="Verdana" w:hAnsi="Verdana"/>
          <w:i/>
          <w:sz w:val="16"/>
          <w:szCs w:val="16"/>
          <w:lang w:val="es-ES"/>
        </w:rPr>
        <w:t xml:space="preserve"> </w:t>
      </w:r>
      <w:r w:rsidRPr="00D94035">
        <w:rPr>
          <w:rFonts w:ascii="Verdana" w:hAnsi="Verdana"/>
          <w:sz w:val="16"/>
          <w:szCs w:val="16"/>
          <w:lang w:val="es-ES"/>
        </w:rPr>
        <w:t>en cuanto al artículo 28.h) del actual Reglamento.</w:t>
      </w:r>
    </w:p>
  </w:footnote>
  <w:footnote w:id="20">
    <w:p w14:paraId="4A91424F" w14:textId="77777777" w:rsidR="00150531" w:rsidRPr="002D5634" w:rsidRDefault="00150531" w:rsidP="009C6B6D">
      <w:pPr>
        <w:pStyle w:val="FootnoteText"/>
        <w:spacing w:after="120"/>
        <w:jc w:val="both"/>
        <w:rPr>
          <w:rFonts w:ascii="Verdana" w:hAnsi="Verdana"/>
          <w:sz w:val="16"/>
          <w:szCs w:val="16"/>
          <w:lang w:val="es-ES"/>
        </w:rPr>
      </w:pPr>
      <w:r w:rsidRPr="00C0139B">
        <w:rPr>
          <w:rStyle w:val="FootnoteReference"/>
          <w:rFonts w:ascii="Verdana" w:hAnsi="Verdana"/>
          <w:sz w:val="16"/>
          <w:szCs w:val="16"/>
        </w:rPr>
        <w:footnoteRef/>
      </w:r>
      <w:r w:rsidRPr="00C0139B">
        <w:rPr>
          <w:rFonts w:ascii="Verdana" w:hAnsi="Verdana"/>
          <w:sz w:val="16"/>
          <w:szCs w:val="16"/>
          <w:lang w:val="es-ES"/>
        </w:rPr>
        <w:t xml:space="preserve"> Lo dispuesto en el artículo 29.1.y 3. Corresponde a lo señalado en el artículo 29.1.,</w:t>
      </w:r>
      <w:r w:rsidR="00793366" w:rsidRPr="00C0139B">
        <w:rPr>
          <w:rFonts w:ascii="Verdana" w:hAnsi="Verdana"/>
          <w:sz w:val="16"/>
          <w:szCs w:val="16"/>
          <w:lang w:val="es-ES"/>
        </w:rPr>
        <w:t xml:space="preserve"> </w:t>
      </w:r>
      <w:proofErr w:type="spellStart"/>
      <w:r w:rsidRPr="00D94035">
        <w:rPr>
          <w:rFonts w:ascii="Verdana" w:hAnsi="Verdana"/>
          <w:sz w:val="16"/>
          <w:szCs w:val="16"/>
          <w:lang w:val="es-ES"/>
        </w:rPr>
        <w:t>a.y</w:t>
      </w:r>
      <w:proofErr w:type="spellEnd"/>
      <w:r w:rsidRPr="00D94035">
        <w:rPr>
          <w:rFonts w:ascii="Verdana" w:hAnsi="Verdana"/>
          <w:sz w:val="16"/>
          <w:szCs w:val="16"/>
          <w:lang w:val="es-ES"/>
        </w:rPr>
        <w:t xml:space="preserve"> b.</w:t>
      </w:r>
      <w:r w:rsidR="003904AA" w:rsidRPr="00D94035">
        <w:rPr>
          <w:rFonts w:ascii="Verdana" w:hAnsi="Verdana"/>
          <w:sz w:val="16"/>
          <w:szCs w:val="16"/>
          <w:lang w:val="es-ES"/>
        </w:rPr>
        <w:t xml:space="preserve"> </w:t>
      </w:r>
      <w:r w:rsidRPr="00D94035">
        <w:rPr>
          <w:rFonts w:ascii="Verdana" w:hAnsi="Verdana"/>
          <w:sz w:val="16"/>
          <w:szCs w:val="16"/>
          <w:lang w:val="es-ES"/>
        </w:rPr>
        <w:t>del Reglamento en vigor.</w:t>
      </w:r>
    </w:p>
  </w:footnote>
  <w:footnote w:id="21">
    <w:p w14:paraId="41A99F4D" w14:textId="77777777" w:rsidR="00150531" w:rsidRPr="002D5634" w:rsidRDefault="00150531" w:rsidP="009C6B6D">
      <w:pPr>
        <w:pStyle w:val="FootnoteText"/>
        <w:spacing w:after="120"/>
        <w:jc w:val="both"/>
        <w:rPr>
          <w:rFonts w:ascii="Verdana" w:hAnsi="Verdana"/>
          <w:sz w:val="16"/>
          <w:szCs w:val="16"/>
          <w:lang w:val="es-ES"/>
        </w:rPr>
      </w:pPr>
      <w:r w:rsidRPr="00C0139B">
        <w:rPr>
          <w:rStyle w:val="FootnoteReference"/>
          <w:rFonts w:ascii="Verdana" w:hAnsi="Verdana"/>
          <w:sz w:val="16"/>
          <w:szCs w:val="16"/>
        </w:rPr>
        <w:footnoteRef/>
      </w:r>
      <w:r w:rsidRPr="00C0139B">
        <w:rPr>
          <w:rFonts w:ascii="Verdana" w:hAnsi="Verdana"/>
          <w:sz w:val="16"/>
          <w:szCs w:val="16"/>
          <w:lang w:val="es-ES"/>
        </w:rPr>
        <w:t xml:space="preserve"> Del mismo tenor que lo previsto en el artículo 30</w:t>
      </w:r>
      <w:r w:rsidR="0033644D" w:rsidRPr="00C0139B">
        <w:rPr>
          <w:rFonts w:ascii="Verdana" w:hAnsi="Verdana"/>
          <w:sz w:val="16"/>
          <w:szCs w:val="16"/>
          <w:lang w:val="es-ES"/>
        </w:rPr>
        <w:t>.</w:t>
      </w:r>
      <w:r w:rsidRPr="00D94035">
        <w:rPr>
          <w:rFonts w:ascii="Verdana" w:hAnsi="Verdana"/>
          <w:sz w:val="16"/>
          <w:szCs w:val="16"/>
          <w:lang w:val="es-ES"/>
        </w:rPr>
        <w:t xml:space="preserve">1. </w:t>
      </w:r>
      <w:r w:rsidR="0033644D" w:rsidRPr="00D94035">
        <w:rPr>
          <w:rFonts w:ascii="Verdana" w:hAnsi="Verdana"/>
          <w:sz w:val="16"/>
          <w:szCs w:val="16"/>
          <w:lang w:val="es-ES"/>
        </w:rPr>
        <w:t>y</w:t>
      </w:r>
      <w:r w:rsidRPr="002D5634">
        <w:rPr>
          <w:rFonts w:ascii="Verdana" w:hAnsi="Verdana"/>
          <w:sz w:val="16"/>
          <w:szCs w:val="16"/>
          <w:lang w:val="es-ES"/>
        </w:rPr>
        <w:t xml:space="preserve"> 2 del Reglamento vigente.</w:t>
      </w:r>
    </w:p>
  </w:footnote>
  <w:footnote w:id="22">
    <w:p w14:paraId="23511535" w14:textId="77777777" w:rsidR="00150531" w:rsidRPr="00C0139B" w:rsidRDefault="00150531" w:rsidP="009C6B6D">
      <w:pPr>
        <w:pStyle w:val="FootnoteText"/>
        <w:spacing w:after="120"/>
        <w:jc w:val="both"/>
        <w:rPr>
          <w:rFonts w:ascii="Verdana" w:hAnsi="Verdana"/>
          <w:sz w:val="16"/>
          <w:szCs w:val="16"/>
          <w:lang w:val="es-ES"/>
        </w:rPr>
      </w:pPr>
      <w:r w:rsidRPr="00C0139B">
        <w:rPr>
          <w:rStyle w:val="FootnoteReference"/>
          <w:rFonts w:ascii="Verdana" w:hAnsi="Verdana"/>
          <w:sz w:val="16"/>
          <w:szCs w:val="16"/>
        </w:rPr>
        <w:footnoteRef/>
      </w:r>
      <w:r w:rsidRPr="00C0139B">
        <w:rPr>
          <w:rFonts w:ascii="Verdana" w:hAnsi="Verdana"/>
          <w:sz w:val="16"/>
          <w:szCs w:val="16"/>
          <w:lang w:val="es-ES"/>
        </w:rPr>
        <w:t xml:space="preserve"> De idénticos términos que el artículo 30.3, primera frase, y 5 del actual Reglamento.</w:t>
      </w:r>
    </w:p>
  </w:footnote>
  <w:footnote w:id="23">
    <w:p w14:paraId="78A7499F" w14:textId="77777777" w:rsidR="008B42F5" w:rsidRPr="00D94035" w:rsidRDefault="008B42F5" w:rsidP="009C6B6D">
      <w:pPr>
        <w:pStyle w:val="FootnoteText"/>
        <w:spacing w:after="120"/>
        <w:jc w:val="both"/>
        <w:rPr>
          <w:rFonts w:ascii="Verdana" w:hAnsi="Verdana"/>
          <w:sz w:val="16"/>
          <w:szCs w:val="16"/>
        </w:rPr>
      </w:pPr>
      <w:r w:rsidRPr="00C0139B">
        <w:rPr>
          <w:rStyle w:val="FootnoteReference"/>
          <w:rFonts w:ascii="Verdana" w:hAnsi="Verdana"/>
          <w:sz w:val="16"/>
          <w:szCs w:val="16"/>
        </w:rPr>
        <w:footnoteRef/>
      </w:r>
      <w:r w:rsidRPr="00C0139B">
        <w:rPr>
          <w:rFonts w:ascii="Verdana" w:hAnsi="Verdana"/>
          <w:sz w:val="16"/>
          <w:szCs w:val="16"/>
        </w:rPr>
        <w:t xml:space="preserve"> Párr.</w:t>
      </w:r>
      <w:r w:rsidR="004921BC" w:rsidRPr="00C0139B">
        <w:rPr>
          <w:rFonts w:ascii="Verdana" w:hAnsi="Verdana"/>
          <w:sz w:val="16"/>
          <w:szCs w:val="16"/>
        </w:rPr>
        <w:t xml:space="preserve"> </w:t>
      </w:r>
      <w:r w:rsidRPr="00D94035">
        <w:rPr>
          <w:rFonts w:ascii="Verdana" w:hAnsi="Verdana"/>
          <w:sz w:val="16"/>
          <w:szCs w:val="16"/>
        </w:rPr>
        <w:t>39.</w:t>
      </w:r>
    </w:p>
  </w:footnote>
  <w:footnote w:id="24">
    <w:p w14:paraId="44C061E1" w14:textId="77777777" w:rsidR="00150531" w:rsidRPr="00D94035" w:rsidRDefault="00150531" w:rsidP="009C6B6D">
      <w:pPr>
        <w:pStyle w:val="FootnoteText"/>
        <w:spacing w:after="120"/>
        <w:jc w:val="both"/>
        <w:rPr>
          <w:rFonts w:ascii="Verdana" w:hAnsi="Verdana"/>
          <w:i/>
          <w:sz w:val="16"/>
          <w:szCs w:val="16"/>
          <w:lang w:val="es-ES"/>
        </w:rPr>
      </w:pPr>
      <w:r w:rsidRPr="00C0139B">
        <w:rPr>
          <w:rStyle w:val="FootnoteReference"/>
          <w:rFonts w:ascii="Verdana" w:hAnsi="Verdana"/>
          <w:sz w:val="16"/>
          <w:szCs w:val="16"/>
        </w:rPr>
        <w:footnoteRef/>
      </w:r>
      <w:r w:rsidRPr="00C0139B">
        <w:rPr>
          <w:rFonts w:ascii="Verdana" w:hAnsi="Verdana"/>
          <w:sz w:val="16"/>
          <w:szCs w:val="16"/>
          <w:lang w:val="es-ES"/>
        </w:rPr>
        <w:t xml:space="preserve"> </w:t>
      </w:r>
      <w:proofErr w:type="spellStart"/>
      <w:r w:rsidRPr="00C0139B">
        <w:rPr>
          <w:rFonts w:ascii="Verdana" w:hAnsi="Verdana"/>
          <w:i/>
          <w:sz w:val="16"/>
          <w:szCs w:val="16"/>
          <w:lang w:val="es-ES"/>
        </w:rPr>
        <w:t>Idem</w:t>
      </w:r>
      <w:proofErr w:type="spellEnd"/>
      <w:r w:rsidRPr="00C0139B">
        <w:rPr>
          <w:rFonts w:ascii="Verdana" w:hAnsi="Verdana"/>
          <w:i/>
          <w:sz w:val="16"/>
          <w:szCs w:val="16"/>
          <w:lang w:val="es-ES"/>
        </w:rPr>
        <w:t xml:space="preserve"> </w:t>
      </w:r>
      <w:r w:rsidRPr="00D94035">
        <w:rPr>
          <w:rFonts w:ascii="Verdana" w:hAnsi="Verdana"/>
          <w:sz w:val="16"/>
          <w:szCs w:val="16"/>
          <w:lang w:val="es-ES"/>
        </w:rPr>
        <w:t>en cuanto al artículo 31.3. del Reglamento vigente.</w:t>
      </w:r>
    </w:p>
  </w:footnote>
  <w:footnote w:id="25">
    <w:p w14:paraId="2377DE2A" w14:textId="77777777" w:rsidR="007676C0" w:rsidRPr="00D94035" w:rsidRDefault="007676C0" w:rsidP="009C6B6D">
      <w:pPr>
        <w:pStyle w:val="FootnoteText"/>
        <w:spacing w:after="120"/>
        <w:jc w:val="both"/>
        <w:rPr>
          <w:rFonts w:ascii="Verdana" w:hAnsi="Verdana"/>
          <w:sz w:val="16"/>
          <w:szCs w:val="16"/>
        </w:rPr>
      </w:pPr>
      <w:r w:rsidRPr="00C0139B">
        <w:rPr>
          <w:rStyle w:val="FootnoteReference"/>
          <w:rFonts w:ascii="Verdana" w:hAnsi="Verdana"/>
          <w:sz w:val="16"/>
          <w:szCs w:val="16"/>
        </w:rPr>
        <w:footnoteRef/>
      </w:r>
      <w:r w:rsidRPr="00C0139B">
        <w:rPr>
          <w:rFonts w:ascii="Verdana" w:hAnsi="Verdana"/>
          <w:sz w:val="16"/>
          <w:szCs w:val="16"/>
        </w:rPr>
        <w:t xml:space="preserve"> Párr.</w:t>
      </w:r>
      <w:r w:rsidR="00A35463" w:rsidRPr="00C0139B">
        <w:rPr>
          <w:rFonts w:ascii="Verdana" w:hAnsi="Verdana"/>
          <w:sz w:val="16"/>
          <w:szCs w:val="16"/>
        </w:rPr>
        <w:t xml:space="preserve"> </w:t>
      </w:r>
      <w:r w:rsidRPr="00D94035">
        <w:rPr>
          <w:rFonts w:ascii="Verdana" w:hAnsi="Verdana"/>
          <w:sz w:val="16"/>
          <w:szCs w:val="16"/>
        </w:rPr>
        <w:t>39.</w:t>
      </w:r>
    </w:p>
  </w:footnote>
  <w:footnote w:id="26">
    <w:p w14:paraId="4892BA8A" w14:textId="77777777" w:rsidR="00150531" w:rsidRPr="002D5634" w:rsidRDefault="00150531" w:rsidP="009C6B6D">
      <w:pPr>
        <w:pStyle w:val="FootnoteText"/>
        <w:spacing w:after="120"/>
        <w:jc w:val="both"/>
        <w:rPr>
          <w:rFonts w:ascii="Verdana" w:hAnsi="Verdana"/>
          <w:sz w:val="16"/>
          <w:szCs w:val="16"/>
          <w:lang w:val="es-ES"/>
        </w:rPr>
      </w:pPr>
      <w:r w:rsidRPr="00C0139B">
        <w:rPr>
          <w:rStyle w:val="FootnoteReference"/>
          <w:rFonts w:ascii="Verdana" w:hAnsi="Verdana"/>
          <w:sz w:val="16"/>
          <w:szCs w:val="16"/>
        </w:rPr>
        <w:footnoteRef/>
      </w:r>
      <w:r w:rsidRPr="00C0139B">
        <w:rPr>
          <w:rFonts w:ascii="Verdana" w:hAnsi="Verdana"/>
          <w:sz w:val="16"/>
          <w:szCs w:val="16"/>
          <w:lang w:val="es-ES"/>
        </w:rPr>
        <w:t xml:space="preserve"> Del mismo tenor que el artículo 31</w:t>
      </w:r>
      <w:r w:rsidR="002E08A3" w:rsidRPr="00C0139B">
        <w:rPr>
          <w:rFonts w:ascii="Verdana" w:hAnsi="Verdana"/>
          <w:sz w:val="16"/>
          <w:szCs w:val="16"/>
          <w:lang w:val="es-ES"/>
        </w:rPr>
        <w:t>.</w:t>
      </w:r>
      <w:r w:rsidRPr="00D94035">
        <w:rPr>
          <w:rFonts w:ascii="Verdana" w:hAnsi="Verdana"/>
          <w:sz w:val="16"/>
          <w:szCs w:val="16"/>
          <w:lang w:val="es-ES"/>
        </w:rPr>
        <w:t xml:space="preserve">1. </w:t>
      </w:r>
      <w:r w:rsidR="002E08A3" w:rsidRPr="00D94035">
        <w:rPr>
          <w:rFonts w:ascii="Verdana" w:hAnsi="Verdana"/>
          <w:sz w:val="16"/>
          <w:szCs w:val="16"/>
          <w:lang w:val="es-ES"/>
        </w:rPr>
        <w:t>y</w:t>
      </w:r>
      <w:r w:rsidRPr="002D5634">
        <w:rPr>
          <w:rFonts w:ascii="Verdana" w:hAnsi="Verdana"/>
          <w:sz w:val="16"/>
          <w:szCs w:val="16"/>
          <w:lang w:val="es-ES"/>
        </w:rPr>
        <w:t xml:space="preserve"> 3 </w:t>
      </w:r>
      <w:r w:rsidR="002E08A3" w:rsidRPr="002D5634">
        <w:rPr>
          <w:rFonts w:ascii="Verdana" w:hAnsi="Verdana"/>
          <w:sz w:val="16"/>
          <w:szCs w:val="16"/>
          <w:lang w:val="es-ES"/>
        </w:rPr>
        <w:t>d</w:t>
      </w:r>
      <w:r w:rsidRPr="002D5634">
        <w:rPr>
          <w:rFonts w:ascii="Verdana" w:hAnsi="Verdana"/>
          <w:sz w:val="16"/>
          <w:szCs w:val="16"/>
          <w:lang w:val="es-ES"/>
        </w:rPr>
        <w:t>el Reglamento en vigor.</w:t>
      </w:r>
    </w:p>
  </w:footnote>
  <w:footnote w:id="27">
    <w:p w14:paraId="400B0C56" w14:textId="77777777" w:rsidR="00150531" w:rsidRPr="00D94035" w:rsidRDefault="00150531" w:rsidP="009C6B6D">
      <w:pPr>
        <w:pStyle w:val="FootnoteText"/>
        <w:spacing w:after="120"/>
        <w:jc w:val="both"/>
        <w:rPr>
          <w:rFonts w:ascii="Verdana" w:hAnsi="Verdana"/>
          <w:sz w:val="16"/>
          <w:szCs w:val="16"/>
          <w:lang w:val="es-ES"/>
        </w:rPr>
      </w:pPr>
      <w:r w:rsidRPr="00C0139B">
        <w:rPr>
          <w:rStyle w:val="FootnoteReference"/>
          <w:rFonts w:ascii="Verdana" w:hAnsi="Verdana"/>
          <w:sz w:val="16"/>
          <w:szCs w:val="16"/>
        </w:rPr>
        <w:footnoteRef/>
      </w:r>
      <w:r w:rsidRPr="00C0139B">
        <w:rPr>
          <w:rFonts w:ascii="Verdana" w:hAnsi="Verdana"/>
          <w:sz w:val="16"/>
          <w:szCs w:val="16"/>
          <w:lang w:val="es-ES"/>
        </w:rPr>
        <w:t xml:space="preserve"> </w:t>
      </w:r>
      <w:r w:rsidRPr="00C0139B">
        <w:rPr>
          <w:rFonts w:ascii="Verdana" w:hAnsi="Verdana"/>
          <w:i/>
          <w:sz w:val="16"/>
          <w:szCs w:val="16"/>
          <w:lang w:val="es-ES"/>
        </w:rPr>
        <w:t>Ídem</w:t>
      </w:r>
      <w:r w:rsidRPr="00D94035">
        <w:rPr>
          <w:rFonts w:ascii="Verdana" w:hAnsi="Verdana"/>
          <w:sz w:val="16"/>
          <w:szCs w:val="16"/>
          <w:lang w:val="es-ES"/>
        </w:rPr>
        <w:t xml:space="preserve"> respecto al artículo 32.1 del actual Reglamento.</w:t>
      </w:r>
    </w:p>
  </w:footnote>
  <w:footnote w:id="28">
    <w:p w14:paraId="02E50EAC" w14:textId="77777777" w:rsidR="00150531" w:rsidRPr="00C0139B" w:rsidRDefault="00150531" w:rsidP="009C6B6D">
      <w:pPr>
        <w:pStyle w:val="FootnoteText"/>
        <w:spacing w:after="120"/>
        <w:jc w:val="both"/>
        <w:rPr>
          <w:rFonts w:ascii="Verdana" w:hAnsi="Verdana"/>
          <w:sz w:val="16"/>
          <w:szCs w:val="16"/>
          <w:lang w:val="es-ES"/>
        </w:rPr>
      </w:pPr>
      <w:r w:rsidRPr="00C0139B">
        <w:rPr>
          <w:rStyle w:val="FootnoteReference"/>
          <w:rFonts w:ascii="Verdana" w:hAnsi="Verdana"/>
          <w:sz w:val="16"/>
          <w:szCs w:val="16"/>
        </w:rPr>
        <w:footnoteRef/>
      </w:r>
      <w:r w:rsidRPr="00C0139B">
        <w:rPr>
          <w:rFonts w:ascii="Verdana" w:hAnsi="Verdana"/>
          <w:sz w:val="16"/>
          <w:szCs w:val="16"/>
          <w:lang w:val="es-ES"/>
        </w:rPr>
        <w:t xml:space="preserve"> Corresponde a lo contemplado en el artículo 36 del Reglamento vigente.</w:t>
      </w:r>
    </w:p>
  </w:footnote>
  <w:footnote w:id="29">
    <w:p w14:paraId="28707E47" w14:textId="77777777" w:rsidR="00D24FB6" w:rsidRPr="002D5634" w:rsidRDefault="00D24FB6" w:rsidP="009C6B6D">
      <w:pPr>
        <w:pStyle w:val="FootnoteText"/>
        <w:spacing w:after="120"/>
        <w:jc w:val="both"/>
        <w:rPr>
          <w:rFonts w:ascii="Verdana" w:hAnsi="Verdana"/>
          <w:sz w:val="16"/>
          <w:szCs w:val="16"/>
        </w:rPr>
      </w:pPr>
      <w:r w:rsidRPr="00C0139B">
        <w:rPr>
          <w:rStyle w:val="FootnoteReference"/>
          <w:rFonts w:ascii="Verdana" w:hAnsi="Verdana"/>
          <w:sz w:val="16"/>
          <w:szCs w:val="16"/>
        </w:rPr>
        <w:footnoteRef/>
      </w:r>
      <w:r w:rsidRPr="00C0139B">
        <w:rPr>
          <w:rFonts w:ascii="Verdana" w:hAnsi="Verdana"/>
          <w:sz w:val="16"/>
          <w:szCs w:val="16"/>
        </w:rPr>
        <w:t xml:space="preserve"> </w:t>
      </w:r>
      <w:proofErr w:type="spellStart"/>
      <w:r w:rsidR="00FC07AB" w:rsidRPr="00C0139B">
        <w:rPr>
          <w:rFonts w:ascii="Verdana" w:hAnsi="Verdana"/>
          <w:sz w:val="16"/>
          <w:szCs w:val="16"/>
        </w:rPr>
        <w:t>Párr</w:t>
      </w:r>
      <w:r w:rsidR="00DD0F1C" w:rsidRPr="00D94035">
        <w:rPr>
          <w:rFonts w:ascii="Verdana" w:hAnsi="Verdana"/>
          <w:sz w:val="16"/>
          <w:szCs w:val="16"/>
        </w:rPr>
        <w:t>s</w:t>
      </w:r>
      <w:proofErr w:type="spellEnd"/>
      <w:r w:rsidR="00FC07AB" w:rsidRPr="00D94035">
        <w:rPr>
          <w:rFonts w:ascii="Verdana" w:hAnsi="Verdana"/>
          <w:sz w:val="16"/>
          <w:szCs w:val="16"/>
        </w:rPr>
        <w:t>.</w:t>
      </w:r>
      <w:r w:rsidR="00963D85" w:rsidRPr="00D94035">
        <w:rPr>
          <w:rFonts w:ascii="Verdana" w:hAnsi="Verdana"/>
          <w:sz w:val="16"/>
          <w:szCs w:val="16"/>
        </w:rPr>
        <w:t xml:space="preserve"> </w:t>
      </w:r>
      <w:r w:rsidR="00FC07AB" w:rsidRPr="002D5634">
        <w:rPr>
          <w:rFonts w:ascii="Verdana" w:hAnsi="Verdana"/>
          <w:sz w:val="16"/>
          <w:szCs w:val="16"/>
        </w:rPr>
        <w:t>3</w:t>
      </w:r>
      <w:r w:rsidR="00DD0F1C" w:rsidRPr="002D5634">
        <w:rPr>
          <w:rFonts w:ascii="Verdana" w:hAnsi="Verdana"/>
          <w:sz w:val="16"/>
          <w:szCs w:val="16"/>
        </w:rPr>
        <w:t xml:space="preserve"> y 41</w:t>
      </w:r>
      <w:r w:rsidR="00FC07AB" w:rsidRPr="002D5634">
        <w:rPr>
          <w:rFonts w:ascii="Verdana" w:hAnsi="Verdana"/>
          <w:sz w:val="16"/>
          <w:szCs w:val="16"/>
        </w:rPr>
        <w:t>.</w:t>
      </w:r>
    </w:p>
  </w:footnote>
  <w:footnote w:id="30">
    <w:p w14:paraId="7EA9408F" w14:textId="77777777" w:rsidR="00D24FB6" w:rsidRPr="002D5634" w:rsidRDefault="00D24FB6" w:rsidP="009C6B6D">
      <w:pPr>
        <w:pStyle w:val="FootnoteText"/>
        <w:spacing w:after="120"/>
        <w:jc w:val="both"/>
        <w:rPr>
          <w:rFonts w:ascii="Verdana" w:hAnsi="Verdana"/>
          <w:sz w:val="16"/>
          <w:szCs w:val="16"/>
        </w:rPr>
      </w:pPr>
      <w:r w:rsidRPr="00C0139B">
        <w:rPr>
          <w:rStyle w:val="FootnoteReference"/>
          <w:rFonts w:ascii="Verdana" w:hAnsi="Verdana"/>
          <w:sz w:val="16"/>
          <w:szCs w:val="16"/>
        </w:rPr>
        <w:footnoteRef/>
      </w:r>
      <w:r w:rsidR="007676C0" w:rsidRPr="00C0139B">
        <w:rPr>
          <w:rFonts w:ascii="Verdana" w:hAnsi="Verdana"/>
          <w:sz w:val="16"/>
          <w:szCs w:val="16"/>
        </w:rPr>
        <w:t xml:space="preserve"> P</w:t>
      </w:r>
      <w:r w:rsidR="00FC07AB" w:rsidRPr="00C0139B">
        <w:rPr>
          <w:rFonts w:ascii="Verdana" w:hAnsi="Verdana"/>
          <w:sz w:val="16"/>
          <w:szCs w:val="16"/>
        </w:rPr>
        <w:t>árr.</w:t>
      </w:r>
      <w:r w:rsidR="00963D85" w:rsidRPr="00D94035">
        <w:rPr>
          <w:rFonts w:ascii="Verdana" w:hAnsi="Verdana"/>
          <w:sz w:val="16"/>
          <w:szCs w:val="16"/>
        </w:rPr>
        <w:t xml:space="preserve"> </w:t>
      </w:r>
      <w:r w:rsidR="00FC07AB" w:rsidRPr="00D94035">
        <w:rPr>
          <w:rFonts w:ascii="Verdana" w:hAnsi="Verdana"/>
          <w:sz w:val="16"/>
          <w:szCs w:val="16"/>
        </w:rPr>
        <w:t>40</w:t>
      </w:r>
      <w:r w:rsidR="007676C0" w:rsidRPr="00D94035">
        <w:rPr>
          <w:rFonts w:ascii="Verdana" w:hAnsi="Verdana"/>
          <w:sz w:val="16"/>
          <w:szCs w:val="16"/>
        </w:rPr>
        <w:t>.</w:t>
      </w:r>
    </w:p>
  </w:footnote>
  <w:footnote w:id="31">
    <w:p w14:paraId="3E1EABD4" w14:textId="77777777" w:rsidR="00D24FB6" w:rsidRPr="00D94035" w:rsidRDefault="00D24FB6" w:rsidP="009C6B6D">
      <w:pPr>
        <w:pStyle w:val="FootnoteText"/>
        <w:spacing w:after="120"/>
        <w:jc w:val="both"/>
        <w:rPr>
          <w:rFonts w:ascii="Verdana" w:hAnsi="Verdana"/>
          <w:sz w:val="16"/>
          <w:szCs w:val="16"/>
        </w:rPr>
      </w:pPr>
      <w:r w:rsidRPr="00C0139B">
        <w:rPr>
          <w:rStyle w:val="FootnoteReference"/>
          <w:rFonts w:ascii="Verdana" w:hAnsi="Verdana"/>
          <w:sz w:val="16"/>
          <w:szCs w:val="16"/>
        </w:rPr>
        <w:footnoteRef/>
      </w:r>
      <w:r w:rsidRPr="00C0139B">
        <w:rPr>
          <w:rFonts w:ascii="Verdana" w:hAnsi="Verdana"/>
          <w:sz w:val="16"/>
          <w:szCs w:val="16"/>
        </w:rPr>
        <w:t xml:space="preserve"> Párr.</w:t>
      </w:r>
      <w:r w:rsidR="00963D85" w:rsidRPr="00C0139B">
        <w:rPr>
          <w:rFonts w:ascii="Verdana" w:hAnsi="Verdana"/>
          <w:sz w:val="16"/>
          <w:szCs w:val="16"/>
        </w:rPr>
        <w:t xml:space="preserve"> </w:t>
      </w:r>
      <w:r w:rsidRPr="00D94035">
        <w:rPr>
          <w:rFonts w:ascii="Verdana" w:hAnsi="Verdana"/>
          <w:sz w:val="16"/>
          <w:szCs w:val="16"/>
        </w:rPr>
        <w:t>46.</w:t>
      </w:r>
    </w:p>
  </w:footnote>
  <w:footnote w:id="32">
    <w:p w14:paraId="39B2C3DA" w14:textId="77777777" w:rsidR="00D24FB6" w:rsidRPr="00D94035" w:rsidRDefault="00D24FB6" w:rsidP="009C6B6D">
      <w:pPr>
        <w:pStyle w:val="FootnoteText"/>
        <w:spacing w:after="120"/>
        <w:jc w:val="both"/>
        <w:rPr>
          <w:rFonts w:ascii="Verdana" w:hAnsi="Verdana"/>
          <w:sz w:val="16"/>
          <w:szCs w:val="16"/>
        </w:rPr>
      </w:pPr>
      <w:r w:rsidRPr="00C0139B">
        <w:rPr>
          <w:rStyle w:val="FootnoteReference"/>
          <w:rFonts w:ascii="Verdana" w:hAnsi="Verdana"/>
          <w:sz w:val="16"/>
          <w:szCs w:val="16"/>
        </w:rPr>
        <w:footnoteRef/>
      </w:r>
      <w:r w:rsidRPr="00C0139B">
        <w:rPr>
          <w:rFonts w:ascii="Verdana" w:hAnsi="Verdana"/>
          <w:sz w:val="16"/>
          <w:szCs w:val="16"/>
        </w:rPr>
        <w:t xml:space="preserve"> Párr.</w:t>
      </w:r>
      <w:r w:rsidR="00963D85" w:rsidRPr="00C0139B">
        <w:rPr>
          <w:rFonts w:ascii="Verdana" w:hAnsi="Verdana"/>
          <w:sz w:val="16"/>
          <w:szCs w:val="16"/>
        </w:rPr>
        <w:t xml:space="preserve"> </w:t>
      </w:r>
      <w:r w:rsidRPr="00D94035">
        <w:rPr>
          <w:rFonts w:ascii="Verdana" w:hAnsi="Verdana"/>
          <w:sz w:val="16"/>
          <w:szCs w:val="16"/>
        </w:rPr>
        <w:t>55.</w:t>
      </w:r>
    </w:p>
  </w:footnote>
  <w:footnote w:id="33">
    <w:p w14:paraId="1A1041E3" w14:textId="77777777" w:rsidR="00B816EF" w:rsidRPr="00D94035" w:rsidRDefault="00B816EF" w:rsidP="009C6B6D">
      <w:pPr>
        <w:pStyle w:val="FootnoteText"/>
        <w:spacing w:after="120"/>
        <w:jc w:val="both"/>
        <w:rPr>
          <w:rFonts w:ascii="Verdana" w:hAnsi="Verdana"/>
          <w:sz w:val="16"/>
          <w:szCs w:val="16"/>
        </w:rPr>
      </w:pPr>
      <w:r w:rsidRPr="00C0139B">
        <w:rPr>
          <w:rStyle w:val="FootnoteReference"/>
          <w:rFonts w:ascii="Verdana" w:hAnsi="Verdana"/>
          <w:sz w:val="16"/>
          <w:szCs w:val="16"/>
        </w:rPr>
        <w:footnoteRef/>
      </w:r>
      <w:r w:rsidRPr="00C0139B">
        <w:rPr>
          <w:rFonts w:ascii="Verdana" w:hAnsi="Verdana"/>
          <w:sz w:val="16"/>
          <w:szCs w:val="16"/>
        </w:rPr>
        <w:t xml:space="preserve"> </w:t>
      </w:r>
      <w:proofErr w:type="spellStart"/>
      <w:r w:rsidR="00D24FB6" w:rsidRPr="00C0139B">
        <w:rPr>
          <w:rFonts w:ascii="Verdana" w:hAnsi="Verdana"/>
          <w:sz w:val="16"/>
          <w:szCs w:val="16"/>
        </w:rPr>
        <w:t>Párrs</w:t>
      </w:r>
      <w:proofErr w:type="spellEnd"/>
      <w:r w:rsidR="00D24FB6" w:rsidRPr="00C0139B">
        <w:rPr>
          <w:rFonts w:ascii="Verdana" w:hAnsi="Verdana"/>
          <w:sz w:val="16"/>
          <w:szCs w:val="16"/>
        </w:rPr>
        <w:t>. 48 a 57.</w:t>
      </w:r>
    </w:p>
  </w:footnote>
  <w:footnote w:id="34">
    <w:p w14:paraId="7CBC6413" w14:textId="3E5C7493" w:rsidR="00B816EF" w:rsidRPr="002D5634" w:rsidRDefault="00B816EF" w:rsidP="009C6B6D">
      <w:pPr>
        <w:pStyle w:val="FootnoteText"/>
        <w:spacing w:after="120"/>
        <w:jc w:val="both"/>
        <w:rPr>
          <w:rFonts w:ascii="Verdana" w:hAnsi="Verdana"/>
          <w:spacing w:val="-2"/>
          <w:sz w:val="16"/>
          <w:szCs w:val="16"/>
          <w:lang w:val="es-PR"/>
        </w:rPr>
      </w:pPr>
      <w:r w:rsidRPr="00C0139B">
        <w:rPr>
          <w:rStyle w:val="FootnoteReference"/>
          <w:rFonts w:ascii="Verdana" w:hAnsi="Verdana"/>
          <w:sz w:val="16"/>
          <w:szCs w:val="16"/>
        </w:rPr>
        <w:footnoteRef/>
      </w:r>
      <w:r w:rsidRPr="00C0139B">
        <w:rPr>
          <w:rFonts w:ascii="Verdana" w:hAnsi="Verdana"/>
          <w:sz w:val="16"/>
          <w:szCs w:val="16"/>
        </w:rPr>
        <w:t xml:space="preserve"> </w:t>
      </w:r>
      <w:r w:rsidR="00BD2268" w:rsidRPr="00C0139B">
        <w:rPr>
          <w:rFonts w:ascii="Verdana" w:hAnsi="Verdana"/>
          <w:i/>
          <w:sz w:val="16"/>
          <w:szCs w:val="16"/>
        </w:rPr>
        <w:t>“</w:t>
      </w:r>
      <w:r w:rsidR="00BD2268" w:rsidRPr="00D94035">
        <w:rPr>
          <w:rFonts w:ascii="Verdana" w:hAnsi="Verdana"/>
          <w:i/>
          <w:spacing w:val="-2"/>
          <w:sz w:val="16"/>
          <w:szCs w:val="16"/>
          <w:lang w:val="es-PR"/>
        </w:rPr>
        <w:t xml:space="preserve">Las personas condenadas por un hecho delictivo con fecha anterior a esta Ley, a quienes se les haya obstaculizado formular recurso de casación contra la sentencia, en razón de las reglas que regulaban </w:t>
      </w:r>
      <w:r w:rsidR="00BD2268" w:rsidRPr="002D5634">
        <w:rPr>
          <w:rFonts w:ascii="Verdana" w:hAnsi="Verdana"/>
          <w:i/>
          <w:spacing w:val="-2"/>
          <w:sz w:val="16"/>
          <w:szCs w:val="16"/>
          <w:lang w:val="es-PR"/>
        </w:rPr>
        <w:t>su admisibilidad en aquella fecha, podrán plantear la revisión de la sentencia ante el tribunal competente, invocando, en cada caso, el agravio y los aspectos de hecho y de derecho que no fueron posibles de conocer en casación</w:t>
      </w:r>
      <w:r w:rsidR="00B07BE8" w:rsidRPr="002D5634">
        <w:rPr>
          <w:rFonts w:ascii="Verdana" w:hAnsi="Verdana"/>
          <w:spacing w:val="-2"/>
          <w:sz w:val="16"/>
          <w:szCs w:val="16"/>
          <w:lang w:val="es-PR"/>
        </w:rPr>
        <w:t xml:space="preserve">.” </w:t>
      </w:r>
      <w:r w:rsidR="00BD2268" w:rsidRPr="002D5634">
        <w:rPr>
          <w:rFonts w:ascii="Verdana" w:hAnsi="Verdana"/>
          <w:spacing w:val="-2"/>
          <w:sz w:val="16"/>
          <w:szCs w:val="16"/>
          <w:lang w:val="es-PR"/>
        </w:rPr>
        <w:t>Párr.</w:t>
      </w:r>
      <w:r w:rsidR="003B0970">
        <w:rPr>
          <w:rFonts w:ascii="Verdana" w:hAnsi="Verdana"/>
          <w:spacing w:val="-2"/>
          <w:sz w:val="16"/>
          <w:szCs w:val="16"/>
          <w:lang w:val="es-PR"/>
        </w:rPr>
        <w:t xml:space="preserve"> </w:t>
      </w:r>
      <w:r w:rsidR="00BD2268" w:rsidRPr="002D5634">
        <w:rPr>
          <w:rFonts w:ascii="Verdana" w:hAnsi="Verdana"/>
          <w:spacing w:val="-2"/>
          <w:sz w:val="16"/>
          <w:szCs w:val="16"/>
          <w:lang w:val="es-PR"/>
        </w:rPr>
        <w:t>46.</w:t>
      </w:r>
    </w:p>
  </w:footnote>
  <w:footnote w:id="35">
    <w:p w14:paraId="62581919" w14:textId="77777777" w:rsidR="00D90A7F" w:rsidRPr="00C0139B" w:rsidRDefault="00D90A7F" w:rsidP="009C6B6D">
      <w:pPr>
        <w:pStyle w:val="FootnoteText"/>
        <w:spacing w:after="120"/>
        <w:jc w:val="both"/>
        <w:rPr>
          <w:rFonts w:ascii="Verdana" w:hAnsi="Verdana"/>
          <w:sz w:val="16"/>
          <w:szCs w:val="16"/>
        </w:rPr>
      </w:pPr>
      <w:r w:rsidRPr="00C0139B">
        <w:rPr>
          <w:rStyle w:val="FootnoteReference"/>
          <w:rFonts w:ascii="Verdana" w:hAnsi="Verdana"/>
          <w:sz w:val="16"/>
          <w:szCs w:val="16"/>
        </w:rPr>
        <w:footnoteRef/>
      </w:r>
      <w:r w:rsidRPr="00C0139B">
        <w:rPr>
          <w:rFonts w:ascii="Verdana" w:hAnsi="Verdana"/>
          <w:sz w:val="16"/>
          <w:szCs w:val="16"/>
        </w:rPr>
        <w:t xml:space="preserve"> Párr.17</w:t>
      </w:r>
      <w:r w:rsidR="0053371C" w:rsidRPr="00C0139B">
        <w:rPr>
          <w:rFonts w:ascii="Verdana" w:hAnsi="Verdana"/>
          <w:sz w:val="16"/>
          <w:szCs w:val="16"/>
        </w:rPr>
        <w:t>2</w:t>
      </w:r>
      <w:r w:rsidRPr="00C0139B">
        <w:rPr>
          <w:rFonts w:ascii="Verdana" w:hAnsi="Verdana"/>
          <w:sz w:val="16"/>
          <w:szCs w:val="16"/>
        </w:rPr>
        <w:t xml:space="preserve"> y ss.</w:t>
      </w:r>
    </w:p>
  </w:footnote>
  <w:footnote w:id="36">
    <w:p w14:paraId="68C7B902" w14:textId="2787332E" w:rsidR="00C559C9" w:rsidRPr="00C0139B" w:rsidRDefault="00C559C9" w:rsidP="009C6B6D">
      <w:pPr>
        <w:pStyle w:val="FootnoteText"/>
        <w:spacing w:after="120"/>
        <w:jc w:val="both"/>
        <w:rPr>
          <w:rFonts w:ascii="Verdana" w:hAnsi="Verdana"/>
          <w:sz w:val="16"/>
          <w:szCs w:val="16"/>
        </w:rPr>
      </w:pPr>
      <w:r w:rsidRPr="00C0139B">
        <w:rPr>
          <w:rStyle w:val="FootnoteReference"/>
          <w:rFonts w:ascii="Verdana" w:hAnsi="Verdana"/>
          <w:sz w:val="16"/>
          <w:szCs w:val="16"/>
        </w:rPr>
        <w:footnoteRef/>
      </w:r>
      <w:r w:rsidRPr="00C0139B">
        <w:rPr>
          <w:rFonts w:ascii="Verdana" w:hAnsi="Verdana"/>
          <w:sz w:val="16"/>
          <w:szCs w:val="16"/>
        </w:rPr>
        <w:t xml:space="preserve"> </w:t>
      </w:r>
      <w:r w:rsidR="00E253ED" w:rsidRPr="00C0139B">
        <w:rPr>
          <w:rFonts w:ascii="Verdana" w:hAnsi="Verdana"/>
          <w:i/>
          <w:sz w:val="16"/>
          <w:szCs w:val="16"/>
        </w:rPr>
        <w:t>Supra</w:t>
      </w:r>
      <w:r w:rsidRPr="00C0139B">
        <w:rPr>
          <w:rFonts w:ascii="Verdana" w:hAnsi="Verdana"/>
          <w:sz w:val="16"/>
          <w:szCs w:val="16"/>
        </w:rPr>
        <w:t>, nota N°</w:t>
      </w:r>
      <w:r w:rsidR="008D77B2">
        <w:rPr>
          <w:rFonts w:ascii="Verdana" w:hAnsi="Verdana"/>
          <w:sz w:val="16"/>
          <w:szCs w:val="16"/>
        </w:rPr>
        <w:t xml:space="preserve"> 7</w:t>
      </w:r>
      <w:r w:rsidR="00E253ED" w:rsidRPr="00C0139B">
        <w:rPr>
          <w:rFonts w:ascii="Verdana" w:hAnsi="Verdana"/>
          <w:sz w:val="16"/>
          <w:szCs w:val="16"/>
        </w:rPr>
        <w:t>.</w:t>
      </w:r>
    </w:p>
  </w:footnote>
  <w:footnote w:id="37">
    <w:p w14:paraId="51117544" w14:textId="77777777" w:rsidR="00C4739F" w:rsidRPr="002D5634" w:rsidRDefault="00075FD1" w:rsidP="009C6B6D">
      <w:pPr>
        <w:contextualSpacing/>
        <w:jc w:val="both"/>
        <w:rPr>
          <w:rFonts w:ascii="Verdana" w:hAnsi="Verdana"/>
          <w:i/>
          <w:sz w:val="16"/>
          <w:szCs w:val="16"/>
          <w:lang w:val="es-GT"/>
        </w:rPr>
      </w:pPr>
      <w:r w:rsidRPr="00C0139B">
        <w:rPr>
          <w:rStyle w:val="FootnoteReference"/>
          <w:rFonts w:ascii="Verdana" w:hAnsi="Verdana"/>
          <w:sz w:val="16"/>
          <w:szCs w:val="16"/>
        </w:rPr>
        <w:footnoteRef/>
      </w:r>
      <w:r w:rsidR="008B0158" w:rsidRPr="00C0139B">
        <w:rPr>
          <w:rFonts w:ascii="Verdana" w:eastAsia="MS Mincho" w:hAnsi="Verdana"/>
          <w:sz w:val="16"/>
          <w:szCs w:val="16"/>
          <w:lang w:val="es-GT" w:bidi="en-US"/>
        </w:rPr>
        <w:t>“</w:t>
      </w:r>
      <w:r w:rsidR="008B0158" w:rsidRPr="00C0139B">
        <w:rPr>
          <w:rFonts w:ascii="Verdana" w:hAnsi="Verdana"/>
          <w:i/>
          <w:sz w:val="16"/>
          <w:szCs w:val="16"/>
          <w:lang w:val="es-GT"/>
        </w:rPr>
        <w:t xml:space="preserve">12.El Estado no es responsable por la violación del derecho a recurrir el fallo contenido en el artículo 8.2.h de la Convención Americana, en relación con el artículo 8.1 de la misma, en perjuicio del Grupo 2 (Rafael Rojas Madrigal), Grupo 3 (Luis </w:t>
      </w:r>
      <w:proofErr w:type="spellStart"/>
      <w:r w:rsidR="008B0158" w:rsidRPr="00C0139B">
        <w:rPr>
          <w:rFonts w:ascii="Verdana" w:hAnsi="Verdana"/>
          <w:i/>
          <w:sz w:val="16"/>
          <w:szCs w:val="16"/>
          <w:lang w:val="es-GT"/>
        </w:rPr>
        <w:t>Archbold</w:t>
      </w:r>
      <w:proofErr w:type="spellEnd"/>
      <w:r w:rsidR="008B0158" w:rsidRPr="002D5634">
        <w:rPr>
          <w:rFonts w:ascii="Verdana" w:hAnsi="Verdana"/>
          <w:i/>
          <w:sz w:val="16"/>
          <w:szCs w:val="16"/>
          <w:lang w:val="es-GT"/>
        </w:rPr>
        <w:t xml:space="preserve"> </w:t>
      </w:r>
      <w:proofErr w:type="spellStart"/>
      <w:r w:rsidR="008B0158" w:rsidRPr="002D5634">
        <w:rPr>
          <w:rFonts w:ascii="Verdana" w:hAnsi="Verdana"/>
          <w:i/>
          <w:sz w:val="16"/>
          <w:szCs w:val="16"/>
          <w:lang w:val="es-GT"/>
        </w:rPr>
        <w:t>Jay</w:t>
      </w:r>
      <w:proofErr w:type="spellEnd"/>
      <w:r w:rsidR="008B0158" w:rsidRPr="002D5634">
        <w:rPr>
          <w:rFonts w:ascii="Verdana" w:hAnsi="Verdana"/>
          <w:i/>
          <w:sz w:val="16"/>
          <w:szCs w:val="16"/>
          <w:lang w:val="es-GT"/>
        </w:rPr>
        <w:t xml:space="preserve"> y Enrique </w:t>
      </w:r>
      <w:proofErr w:type="spellStart"/>
      <w:r w:rsidR="008B0158" w:rsidRPr="002D5634">
        <w:rPr>
          <w:rFonts w:ascii="Verdana" w:hAnsi="Verdana"/>
          <w:i/>
          <w:sz w:val="16"/>
          <w:szCs w:val="16"/>
          <w:lang w:val="es-GT"/>
        </w:rPr>
        <w:t>Archbold</w:t>
      </w:r>
      <w:proofErr w:type="spellEnd"/>
      <w:r w:rsidR="008B0158" w:rsidRPr="002D5634">
        <w:rPr>
          <w:rFonts w:ascii="Verdana" w:hAnsi="Verdana"/>
          <w:i/>
          <w:sz w:val="16"/>
          <w:szCs w:val="16"/>
          <w:lang w:val="es-GT"/>
        </w:rPr>
        <w:t xml:space="preserve"> </w:t>
      </w:r>
      <w:proofErr w:type="spellStart"/>
      <w:r w:rsidR="008B0158" w:rsidRPr="002D5634">
        <w:rPr>
          <w:rFonts w:ascii="Verdana" w:hAnsi="Verdana"/>
          <w:i/>
          <w:sz w:val="16"/>
          <w:szCs w:val="16"/>
          <w:lang w:val="es-GT"/>
        </w:rPr>
        <w:t>Jay</w:t>
      </w:r>
      <w:proofErr w:type="spellEnd"/>
      <w:r w:rsidR="008B0158" w:rsidRPr="002D5634">
        <w:rPr>
          <w:rFonts w:ascii="Verdana" w:hAnsi="Verdana"/>
          <w:i/>
          <w:sz w:val="16"/>
          <w:szCs w:val="16"/>
          <w:lang w:val="es-GT"/>
        </w:rPr>
        <w:t xml:space="preserve">), </w:t>
      </w:r>
      <w:r w:rsidR="008B0158" w:rsidRPr="002D5634">
        <w:rPr>
          <w:rFonts w:ascii="Verdana" w:hAnsi="Verdana"/>
          <w:bCs/>
          <w:i/>
          <w:iCs/>
          <w:sz w:val="16"/>
          <w:szCs w:val="16"/>
          <w:lang w:val="es-GT"/>
        </w:rPr>
        <w:t>Grupo 4 (Jorge Martínez Meléndez)</w:t>
      </w:r>
      <w:r w:rsidR="008B0158" w:rsidRPr="002D5634">
        <w:rPr>
          <w:rFonts w:ascii="Verdana" w:hAnsi="Verdana"/>
          <w:i/>
          <w:sz w:val="16"/>
          <w:szCs w:val="16"/>
          <w:lang w:val="es-GT"/>
        </w:rPr>
        <w:t xml:space="preserve"> y Grupo 7 (Miguel Mora Calvo) en los términos de los párrafos </w:t>
      </w:r>
      <w:r w:rsidR="00B07BE8" w:rsidRPr="002D5634">
        <w:rPr>
          <w:rFonts w:ascii="Verdana" w:hAnsi="Verdana"/>
          <w:sz w:val="16"/>
          <w:szCs w:val="16"/>
          <w:lang w:val="es-GT"/>
        </w:rPr>
        <w:t xml:space="preserve">255 a 345 </w:t>
      </w:r>
      <w:r w:rsidR="008B0158" w:rsidRPr="002D5634">
        <w:rPr>
          <w:rFonts w:ascii="Verdana" w:hAnsi="Verdana"/>
          <w:i/>
          <w:sz w:val="16"/>
          <w:szCs w:val="16"/>
          <w:lang w:val="es-GT"/>
        </w:rPr>
        <w:t>de esta Sentencia.</w:t>
      </w:r>
    </w:p>
    <w:p w14:paraId="25CC8EFE" w14:textId="77777777" w:rsidR="00B07BE8" w:rsidRPr="00C0139B" w:rsidRDefault="008B0158" w:rsidP="009C6B6D">
      <w:pPr>
        <w:contextualSpacing/>
        <w:jc w:val="both"/>
        <w:rPr>
          <w:rFonts w:ascii="Verdana" w:eastAsia="MS Mincho" w:hAnsi="Verdana"/>
          <w:i/>
          <w:sz w:val="16"/>
          <w:szCs w:val="16"/>
          <w:lang w:val="es-GT" w:bidi="en-US"/>
        </w:rPr>
      </w:pPr>
      <w:r w:rsidRPr="002D5634">
        <w:rPr>
          <w:rFonts w:ascii="Verdana" w:hAnsi="Verdana"/>
          <w:i/>
          <w:iCs/>
          <w:sz w:val="16"/>
          <w:szCs w:val="16"/>
          <w:lang w:val="es-GT"/>
        </w:rPr>
        <w:t xml:space="preserve">13. El Estado no </w:t>
      </w:r>
      <w:r w:rsidRPr="002D5634">
        <w:rPr>
          <w:rFonts w:ascii="Verdana" w:hAnsi="Verdana"/>
          <w:i/>
          <w:sz w:val="16"/>
          <w:szCs w:val="16"/>
          <w:lang w:val="es-GT"/>
        </w:rPr>
        <w:t xml:space="preserve">es responsable por la violación de los derechos a un juez imparcial establecido en el </w:t>
      </w:r>
      <w:r w:rsidRPr="002D5634">
        <w:rPr>
          <w:rFonts w:ascii="Verdana" w:hAnsi="Verdana"/>
          <w:bCs/>
          <w:i/>
          <w:iCs/>
          <w:sz w:val="16"/>
          <w:szCs w:val="16"/>
          <w:lang w:val="es-GT"/>
        </w:rPr>
        <w:t>artículo 8.1 de la Convención Americana, en relación con el artículo 1.1 de la misma, en perjuicio del Grupo 4 (Jorge Martínez Meléndez) y el Grupo 2 (Rafael Rojas Madrigal)</w:t>
      </w:r>
      <w:r w:rsidR="00C4739F" w:rsidRPr="00C0139B">
        <w:rPr>
          <w:rFonts w:ascii="Verdana" w:hAnsi="Verdana"/>
          <w:bCs/>
          <w:i/>
          <w:iCs/>
          <w:sz w:val="16"/>
          <w:szCs w:val="16"/>
          <w:lang w:val="es-GT"/>
        </w:rPr>
        <w:t xml:space="preserve"> y el Grupo 7 (Miguel Mora Calvo),</w:t>
      </w:r>
      <w:r w:rsidR="00B07BE8" w:rsidRPr="002D5634">
        <w:rPr>
          <w:rFonts w:ascii="Verdana" w:hAnsi="Verdana"/>
          <w:bCs/>
          <w:i/>
          <w:iCs/>
          <w:sz w:val="16"/>
          <w:szCs w:val="16"/>
          <w:lang w:val="es-GT"/>
        </w:rPr>
        <w:t xml:space="preserve"> en los términos de los párrafos 383 a 417 y 456 de esta Sentencia.</w:t>
      </w:r>
      <w:r w:rsidR="00B07BE8" w:rsidRPr="00C0139B">
        <w:rPr>
          <w:rFonts w:ascii="Verdana" w:hAnsi="Verdana"/>
          <w:bCs/>
          <w:iCs/>
          <w:sz w:val="16"/>
          <w:szCs w:val="16"/>
          <w:lang w:val="es-GT"/>
        </w:rPr>
        <w:t xml:space="preserve"> </w:t>
      </w:r>
    </w:p>
    <w:p w14:paraId="33965F38" w14:textId="77777777" w:rsidR="008B0158" w:rsidRPr="002D5634" w:rsidRDefault="008B0158" w:rsidP="009C6B6D">
      <w:pPr>
        <w:spacing w:after="0" w:line="240" w:lineRule="auto"/>
        <w:jc w:val="both"/>
        <w:rPr>
          <w:rFonts w:ascii="Verdana" w:hAnsi="Verdana"/>
          <w:i/>
          <w:sz w:val="16"/>
          <w:szCs w:val="16"/>
          <w:lang w:val="es-GT"/>
        </w:rPr>
      </w:pPr>
      <w:r w:rsidRPr="002D5634">
        <w:rPr>
          <w:rFonts w:ascii="Verdana" w:hAnsi="Verdana"/>
          <w:bCs/>
          <w:i/>
          <w:iCs/>
          <w:sz w:val="16"/>
          <w:szCs w:val="16"/>
          <w:lang w:val="es-GT"/>
        </w:rPr>
        <w:t>14. El Estado no es responsable por la violación a la</w:t>
      </w:r>
      <w:r w:rsidRPr="002D5634">
        <w:rPr>
          <w:rFonts w:ascii="Verdana" w:hAnsi="Verdana"/>
          <w:i/>
          <w:sz w:val="16"/>
          <w:szCs w:val="16"/>
          <w:lang w:val="es-GT"/>
        </w:rPr>
        <w:t xml:space="preserve"> presunción de inocencia </w:t>
      </w:r>
      <w:proofErr w:type="gramStart"/>
      <w:r w:rsidRPr="002D5634">
        <w:rPr>
          <w:rFonts w:ascii="Verdana" w:hAnsi="Verdana"/>
          <w:i/>
          <w:sz w:val="16"/>
          <w:szCs w:val="16"/>
          <w:lang w:val="es-GT"/>
        </w:rPr>
        <w:t>establecido</w:t>
      </w:r>
      <w:proofErr w:type="gramEnd"/>
      <w:r w:rsidRPr="002D5634">
        <w:rPr>
          <w:rFonts w:ascii="Verdana" w:hAnsi="Verdana"/>
          <w:i/>
          <w:sz w:val="16"/>
          <w:szCs w:val="16"/>
          <w:lang w:val="es-GT"/>
        </w:rPr>
        <w:t xml:space="preserve"> en el </w:t>
      </w:r>
      <w:r w:rsidRPr="002D5634">
        <w:rPr>
          <w:rFonts w:ascii="Verdana" w:hAnsi="Verdana"/>
          <w:bCs/>
          <w:i/>
          <w:iCs/>
          <w:sz w:val="16"/>
          <w:szCs w:val="16"/>
          <w:lang w:val="es-GT"/>
        </w:rPr>
        <w:t>artículo 8.2 de la Convención Americana en perjuicio del Grupo 4 (Jorge Martínez Me</w:t>
      </w:r>
      <w:r w:rsidR="00706D95" w:rsidRPr="002D5634">
        <w:rPr>
          <w:rFonts w:ascii="Verdana" w:hAnsi="Verdana"/>
          <w:bCs/>
          <w:i/>
          <w:iCs/>
          <w:sz w:val="16"/>
          <w:szCs w:val="16"/>
          <w:lang w:val="es-GT"/>
        </w:rPr>
        <w:t>léndez), en los términos del párrafo</w:t>
      </w:r>
      <w:r w:rsidRPr="002D5634">
        <w:rPr>
          <w:rFonts w:ascii="Verdana" w:hAnsi="Verdana"/>
          <w:bCs/>
          <w:i/>
          <w:iCs/>
          <w:sz w:val="16"/>
          <w:szCs w:val="16"/>
          <w:lang w:val="es-GT"/>
        </w:rPr>
        <w:t xml:space="preserve"> </w:t>
      </w:r>
      <w:r w:rsidR="00706D95" w:rsidRPr="002D5634">
        <w:rPr>
          <w:rFonts w:ascii="Verdana" w:hAnsi="Verdana"/>
          <w:bCs/>
          <w:iCs/>
          <w:sz w:val="16"/>
          <w:szCs w:val="16"/>
          <w:lang w:val="es-GT"/>
        </w:rPr>
        <w:t xml:space="preserve">390 </w:t>
      </w:r>
      <w:r w:rsidRPr="002D5634">
        <w:rPr>
          <w:rFonts w:ascii="Verdana" w:hAnsi="Verdana"/>
          <w:bCs/>
          <w:i/>
          <w:iCs/>
          <w:sz w:val="16"/>
          <w:szCs w:val="16"/>
          <w:lang w:val="es-GT"/>
        </w:rPr>
        <w:t>de esta Sentencia</w:t>
      </w:r>
      <w:r w:rsidRPr="002D5634">
        <w:rPr>
          <w:rFonts w:ascii="Verdana" w:hAnsi="Verdana"/>
          <w:i/>
          <w:sz w:val="16"/>
          <w:szCs w:val="16"/>
          <w:lang w:val="es-GT"/>
        </w:rPr>
        <w:t>.</w:t>
      </w:r>
    </w:p>
    <w:p w14:paraId="2ACFC2FC" w14:textId="77777777" w:rsidR="008B0158" w:rsidRPr="002D5634" w:rsidRDefault="008B0158" w:rsidP="009C6B6D">
      <w:pPr>
        <w:spacing w:after="0" w:line="240" w:lineRule="auto"/>
        <w:jc w:val="both"/>
        <w:rPr>
          <w:rFonts w:ascii="Verdana" w:hAnsi="Verdana"/>
          <w:i/>
          <w:sz w:val="16"/>
          <w:szCs w:val="16"/>
          <w:lang w:val="es-GT"/>
        </w:rPr>
      </w:pPr>
      <w:r w:rsidRPr="002D5634">
        <w:rPr>
          <w:rFonts w:ascii="Verdana" w:hAnsi="Verdana"/>
          <w:i/>
          <w:sz w:val="16"/>
          <w:szCs w:val="16"/>
          <w:lang w:val="es-GT"/>
        </w:rPr>
        <w:t>15.</w:t>
      </w:r>
      <w:r w:rsidR="00A16656" w:rsidRPr="002D5634">
        <w:rPr>
          <w:rFonts w:ascii="Verdana" w:hAnsi="Verdana"/>
          <w:i/>
          <w:sz w:val="16"/>
          <w:szCs w:val="16"/>
          <w:lang w:val="es-GT"/>
        </w:rPr>
        <w:t xml:space="preserve"> </w:t>
      </w:r>
      <w:r w:rsidRPr="002D5634">
        <w:rPr>
          <w:rFonts w:ascii="Verdana" w:hAnsi="Verdana"/>
          <w:i/>
          <w:sz w:val="16"/>
          <w:szCs w:val="16"/>
          <w:lang w:val="es-GT"/>
        </w:rPr>
        <w:t xml:space="preserve">El Estado no es responsable por la violación del derecho a un juicio en un plazo razonable establecido en el </w:t>
      </w:r>
      <w:r w:rsidR="00C4739F" w:rsidRPr="002D5634">
        <w:rPr>
          <w:rFonts w:ascii="Verdana" w:hAnsi="Verdana"/>
          <w:i/>
          <w:sz w:val="16"/>
          <w:szCs w:val="16"/>
          <w:lang w:val="es-GT"/>
        </w:rPr>
        <w:t xml:space="preserve">artículo 8.1 de la Convención Americana en perjuicio del </w:t>
      </w:r>
      <w:r w:rsidR="00C4739F" w:rsidRPr="002D5634">
        <w:rPr>
          <w:rFonts w:ascii="Verdana" w:hAnsi="Verdana"/>
          <w:bCs/>
          <w:i/>
          <w:iCs/>
          <w:sz w:val="16"/>
          <w:szCs w:val="16"/>
          <w:lang w:val="es-GT"/>
        </w:rPr>
        <w:t>Grupo 4 (Jorge Martínez Meléndez)</w:t>
      </w:r>
      <w:r w:rsidR="00C4739F" w:rsidRPr="002D5634">
        <w:rPr>
          <w:rFonts w:ascii="Verdana" w:hAnsi="Verdana"/>
          <w:i/>
          <w:sz w:val="16"/>
          <w:szCs w:val="16"/>
          <w:lang w:val="es-GT"/>
        </w:rPr>
        <w:t xml:space="preserve">, </w:t>
      </w:r>
      <w:r w:rsidR="00C4739F" w:rsidRPr="002D5634">
        <w:rPr>
          <w:rFonts w:ascii="Verdana" w:hAnsi="Verdana"/>
          <w:i/>
          <w:iCs/>
          <w:sz w:val="16"/>
          <w:szCs w:val="16"/>
          <w:lang w:val="es-GT"/>
        </w:rPr>
        <w:t xml:space="preserve">en los términos </w:t>
      </w:r>
      <w:r w:rsidRPr="002D5634">
        <w:rPr>
          <w:rFonts w:ascii="Verdana" w:hAnsi="Verdana"/>
          <w:i/>
          <w:iCs/>
          <w:sz w:val="16"/>
          <w:szCs w:val="16"/>
          <w:lang w:val="es-GT"/>
        </w:rPr>
        <w:t xml:space="preserve">de los párrafos </w:t>
      </w:r>
      <w:r w:rsidR="00C4739F" w:rsidRPr="002D5634">
        <w:rPr>
          <w:rFonts w:ascii="Verdana" w:hAnsi="Verdana"/>
          <w:i/>
          <w:iCs/>
          <w:sz w:val="16"/>
          <w:szCs w:val="16"/>
          <w:lang w:val="es-GT"/>
        </w:rPr>
        <w:t>419 a</w:t>
      </w:r>
      <w:r w:rsidR="001B6437" w:rsidRPr="002D5634">
        <w:rPr>
          <w:rFonts w:ascii="Verdana" w:hAnsi="Verdana"/>
          <w:i/>
          <w:iCs/>
          <w:sz w:val="16"/>
          <w:szCs w:val="16"/>
          <w:lang w:val="es-GT"/>
        </w:rPr>
        <w:t xml:space="preserve"> </w:t>
      </w:r>
      <w:r w:rsidR="00C4739F" w:rsidRPr="002D5634">
        <w:rPr>
          <w:rFonts w:ascii="Verdana" w:hAnsi="Verdana"/>
          <w:i/>
          <w:iCs/>
          <w:sz w:val="16"/>
          <w:szCs w:val="16"/>
          <w:lang w:val="es-GT"/>
        </w:rPr>
        <w:t xml:space="preserve">429 y 456 </w:t>
      </w:r>
      <w:r w:rsidRPr="002D5634">
        <w:rPr>
          <w:rFonts w:ascii="Verdana" w:hAnsi="Verdana"/>
          <w:i/>
          <w:iCs/>
          <w:sz w:val="16"/>
          <w:szCs w:val="16"/>
          <w:lang w:val="es-GT"/>
        </w:rPr>
        <w:t>de esta Sentencia</w:t>
      </w:r>
      <w:r w:rsidRPr="002D5634">
        <w:rPr>
          <w:rFonts w:ascii="Verdana" w:hAnsi="Verdana"/>
          <w:i/>
          <w:sz w:val="16"/>
          <w:szCs w:val="16"/>
          <w:lang w:val="es-GT"/>
        </w:rPr>
        <w:t>.</w:t>
      </w:r>
    </w:p>
    <w:p w14:paraId="7F77F6A4" w14:textId="77777777" w:rsidR="008B0158" w:rsidRPr="002D5634" w:rsidRDefault="008B0158" w:rsidP="009C6B6D">
      <w:pPr>
        <w:spacing w:after="0" w:line="240" w:lineRule="auto"/>
        <w:jc w:val="both"/>
        <w:rPr>
          <w:rFonts w:ascii="Verdana" w:hAnsi="Verdana"/>
          <w:i/>
          <w:sz w:val="16"/>
          <w:szCs w:val="16"/>
          <w:lang w:val="es-GT"/>
        </w:rPr>
      </w:pPr>
      <w:r w:rsidRPr="002D5634">
        <w:rPr>
          <w:rFonts w:ascii="Verdana" w:hAnsi="Verdana" w:cs="Arial Cursiva"/>
          <w:i/>
          <w:iCs/>
          <w:sz w:val="16"/>
          <w:szCs w:val="16"/>
          <w:lang w:val="es-GT"/>
        </w:rPr>
        <w:t>16</w:t>
      </w:r>
      <w:proofErr w:type="gramStart"/>
      <w:r w:rsidRPr="002D5634">
        <w:rPr>
          <w:rFonts w:ascii="Verdana" w:hAnsi="Verdana" w:cs="Arial Cursiva"/>
          <w:i/>
          <w:iCs/>
          <w:sz w:val="16"/>
          <w:szCs w:val="16"/>
          <w:lang w:val="es-GT"/>
        </w:rPr>
        <w:t>.El</w:t>
      </w:r>
      <w:proofErr w:type="gramEnd"/>
      <w:r w:rsidRPr="002D5634">
        <w:rPr>
          <w:rFonts w:ascii="Verdana" w:hAnsi="Verdana" w:cs="Arial Cursiva"/>
          <w:i/>
          <w:iCs/>
          <w:sz w:val="16"/>
          <w:szCs w:val="16"/>
          <w:lang w:val="es-GT"/>
        </w:rPr>
        <w:t xml:space="preserve"> Estado </w:t>
      </w:r>
      <w:r w:rsidRPr="002D5634">
        <w:rPr>
          <w:rFonts w:ascii="Verdana" w:hAnsi="Verdana"/>
          <w:i/>
          <w:sz w:val="16"/>
          <w:szCs w:val="16"/>
          <w:lang w:val="es-GT"/>
        </w:rPr>
        <w:t>no es responsable por la violación del</w:t>
      </w:r>
      <w:r w:rsidRPr="002D5634">
        <w:rPr>
          <w:rFonts w:ascii="Verdana" w:hAnsi="Verdana" w:cs="Arial Cursiva"/>
          <w:i/>
          <w:iCs/>
          <w:sz w:val="16"/>
          <w:szCs w:val="16"/>
          <w:lang w:val="es-GT"/>
        </w:rPr>
        <w:t xml:space="preserve"> derecho a la defensa establecido en el artículo 8.2</w:t>
      </w:r>
      <w:r w:rsidRPr="002D5634">
        <w:rPr>
          <w:rFonts w:ascii="Verdana" w:hAnsi="Verdana"/>
          <w:bCs/>
          <w:i/>
          <w:iCs/>
          <w:sz w:val="16"/>
          <w:szCs w:val="16"/>
          <w:lang w:val="es-GT"/>
        </w:rPr>
        <w:t xml:space="preserve"> de la Convención Americana en perjuicio del de los miembros del Grupo 3</w:t>
      </w:r>
      <w:r w:rsidR="00C4739F" w:rsidRPr="002D5634">
        <w:rPr>
          <w:rFonts w:ascii="Verdana" w:hAnsi="Verdana"/>
          <w:bCs/>
          <w:i/>
          <w:iCs/>
          <w:sz w:val="16"/>
          <w:szCs w:val="16"/>
          <w:lang w:val="es-GT"/>
        </w:rPr>
        <w:t xml:space="preserve"> (</w:t>
      </w:r>
      <w:r w:rsidRPr="002D5634">
        <w:rPr>
          <w:rFonts w:ascii="Verdana" w:hAnsi="Verdana"/>
          <w:bCs/>
          <w:i/>
          <w:iCs/>
          <w:sz w:val="16"/>
          <w:szCs w:val="16"/>
          <w:lang w:val="es-GT"/>
        </w:rPr>
        <w:t xml:space="preserve">Luis </w:t>
      </w:r>
      <w:proofErr w:type="spellStart"/>
      <w:r w:rsidRPr="002D5634">
        <w:rPr>
          <w:rFonts w:ascii="Verdana" w:hAnsi="Verdana"/>
          <w:bCs/>
          <w:i/>
          <w:iCs/>
          <w:sz w:val="16"/>
          <w:szCs w:val="16"/>
          <w:lang w:val="es-GT"/>
        </w:rPr>
        <w:t>Archbold</w:t>
      </w:r>
      <w:proofErr w:type="spellEnd"/>
      <w:r w:rsidRPr="002D5634">
        <w:rPr>
          <w:rFonts w:ascii="Verdana" w:hAnsi="Verdana"/>
          <w:bCs/>
          <w:i/>
          <w:iCs/>
          <w:sz w:val="16"/>
          <w:szCs w:val="16"/>
          <w:lang w:val="es-GT"/>
        </w:rPr>
        <w:t xml:space="preserve"> </w:t>
      </w:r>
      <w:proofErr w:type="spellStart"/>
      <w:r w:rsidRPr="002D5634">
        <w:rPr>
          <w:rFonts w:ascii="Verdana" w:hAnsi="Verdana"/>
          <w:bCs/>
          <w:i/>
          <w:iCs/>
          <w:sz w:val="16"/>
          <w:szCs w:val="16"/>
          <w:lang w:val="es-GT"/>
        </w:rPr>
        <w:t>Jay</w:t>
      </w:r>
      <w:proofErr w:type="spellEnd"/>
      <w:r w:rsidRPr="002D5634">
        <w:rPr>
          <w:rFonts w:ascii="Verdana" w:hAnsi="Verdana"/>
          <w:bCs/>
          <w:i/>
          <w:iCs/>
          <w:sz w:val="16"/>
          <w:szCs w:val="16"/>
          <w:lang w:val="es-GT"/>
        </w:rPr>
        <w:t xml:space="preserve"> y Enrique </w:t>
      </w:r>
      <w:proofErr w:type="spellStart"/>
      <w:r w:rsidRPr="002D5634">
        <w:rPr>
          <w:rFonts w:ascii="Verdana" w:hAnsi="Verdana"/>
          <w:bCs/>
          <w:i/>
          <w:iCs/>
          <w:sz w:val="16"/>
          <w:szCs w:val="16"/>
          <w:lang w:val="es-GT"/>
        </w:rPr>
        <w:t>Archbold</w:t>
      </w:r>
      <w:proofErr w:type="spellEnd"/>
      <w:r w:rsidRPr="002D5634">
        <w:rPr>
          <w:rFonts w:ascii="Verdana" w:hAnsi="Verdana"/>
          <w:bCs/>
          <w:i/>
          <w:iCs/>
          <w:sz w:val="16"/>
          <w:szCs w:val="16"/>
          <w:lang w:val="es-GT"/>
        </w:rPr>
        <w:t xml:space="preserve"> </w:t>
      </w:r>
      <w:proofErr w:type="spellStart"/>
      <w:r w:rsidRPr="002D5634">
        <w:rPr>
          <w:rFonts w:ascii="Verdana" w:hAnsi="Verdana"/>
          <w:bCs/>
          <w:i/>
          <w:iCs/>
          <w:sz w:val="16"/>
          <w:szCs w:val="16"/>
          <w:lang w:val="es-GT"/>
        </w:rPr>
        <w:t>Jay</w:t>
      </w:r>
      <w:proofErr w:type="spellEnd"/>
      <w:r w:rsidR="00C4739F" w:rsidRPr="002D5634">
        <w:rPr>
          <w:rFonts w:ascii="Verdana" w:hAnsi="Verdana"/>
          <w:bCs/>
          <w:i/>
          <w:iCs/>
          <w:sz w:val="16"/>
          <w:szCs w:val="16"/>
          <w:lang w:val="es-GT"/>
        </w:rPr>
        <w:t>);</w:t>
      </w:r>
      <w:r w:rsidRPr="002D5634">
        <w:rPr>
          <w:rFonts w:ascii="Verdana" w:hAnsi="Verdana"/>
          <w:bCs/>
          <w:i/>
          <w:iCs/>
          <w:sz w:val="16"/>
          <w:szCs w:val="16"/>
          <w:lang w:val="es-GT"/>
        </w:rPr>
        <w:t xml:space="preserve"> </w:t>
      </w:r>
      <w:r w:rsidR="00C4739F" w:rsidRPr="002D5634">
        <w:rPr>
          <w:rFonts w:ascii="Verdana" w:hAnsi="Verdana"/>
          <w:bCs/>
          <w:i/>
          <w:iCs/>
          <w:sz w:val="16"/>
          <w:szCs w:val="16"/>
          <w:lang w:val="es-GT"/>
        </w:rPr>
        <w:t xml:space="preserve">del </w:t>
      </w:r>
      <w:r w:rsidRPr="002D5634">
        <w:rPr>
          <w:rFonts w:ascii="Verdana" w:hAnsi="Verdana"/>
          <w:bCs/>
          <w:i/>
          <w:iCs/>
          <w:sz w:val="16"/>
          <w:szCs w:val="16"/>
          <w:lang w:val="es-GT"/>
        </w:rPr>
        <w:t xml:space="preserve">Grupo 4 (Jorge Martínez Meléndez), en los términos de los párrafos </w:t>
      </w:r>
      <w:r w:rsidR="001B6437" w:rsidRPr="002D5634">
        <w:rPr>
          <w:rFonts w:ascii="Verdana" w:hAnsi="Verdana"/>
          <w:bCs/>
          <w:i/>
          <w:iCs/>
          <w:sz w:val="16"/>
          <w:szCs w:val="16"/>
          <w:lang w:val="es-GT"/>
        </w:rPr>
        <w:t xml:space="preserve">436 a 456 </w:t>
      </w:r>
      <w:r w:rsidRPr="002D5634">
        <w:rPr>
          <w:rFonts w:ascii="Verdana" w:hAnsi="Verdana"/>
          <w:bCs/>
          <w:i/>
          <w:iCs/>
          <w:sz w:val="16"/>
          <w:szCs w:val="16"/>
          <w:lang w:val="es-GT"/>
        </w:rPr>
        <w:t>de esta Sentencia</w:t>
      </w:r>
      <w:r w:rsidRPr="002D5634">
        <w:rPr>
          <w:rFonts w:ascii="Verdana" w:hAnsi="Verdana"/>
          <w:i/>
          <w:sz w:val="16"/>
          <w:szCs w:val="16"/>
          <w:lang w:val="es-GT"/>
        </w:rPr>
        <w:t>.</w:t>
      </w:r>
    </w:p>
    <w:p w14:paraId="383DDB27" w14:textId="77777777" w:rsidR="008B0158" w:rsidRPr="00C0139B" w:rsidRDefault="008B0158" w:rsidP="009C6B6D">
      <w:pPr>
        <w:spacing w:after="0" w:line="240" w:lineRule="auto"/>
        <w:jc w:val="both"/>
        <w:rPr>
          <w:rFonts w:ascii="Verdana" w:hAnsi="Verdana"/>
          <w:i/>
          <w:sz w:val="16"/>
          <w:szCs w:val="16"/>
          <w:lang w:val="es-GT"/>
        </w:rPr>
      </w:pPr>
      <w:r w:rsidRPr="002D5634">
        <w:rPr>
          <w:rFonts w:ascii="Verdana" w:hAnsi="Verdana"/>
          <w:i/>
          <w:sz w:val="16"/>
          <w:szCs w:val="16"/>
          <w:lang w:val="es-GT"/>
        </w:rPr>
        <w:t xml:space="preserve">17. El Estado no es responsable por la violación del derecho a la defensa contenido en el artículo 8.2.f </w:t>
      </w:r>
      <w:r w:rsidRPr="002D5634">
        <w:rPr>
          <w:rFonts w:ascii="Verdana" w:hAnsi="Verdana"/>
          <w:bCs/>
          <w:i/>
          <w:iCs/>
          <w:sz w:val="16"/>
          <w:szCs w:val="16"/>
          <w:lang w:val="es-GT"/>
        </w:rPr>
        <w:t xml:space="preserve">de la Convención Americana en perjuicio </w:t>
      </w:r>
      <w:r w:rsidRPr="002D5634">
        <w:rPr>
          <w:rFonts w:ascii="Verdana" w:hAnsi="Verdana"/>
          <w:i/>
          <w:sz w:val="16"/>
          <w:szCs w:val="16"/>
          <w:lang w:val="es-GT"/>
        </w:rPr>
        <w:t xml:space="preserve">del </w:t>
      </w:r>
      <w:r w:rsidRPr="002D5634">
        <w:rPr>
          <w:rFonts w:ascii="Verdana" w:hAnsi="Verdana"/>
          <w:bCs/>
          <w:i/>
          <w:iCs/>
          <w:sz w:val="16"/>
          <w:szCs w:val="16"/>
          <w:lang w:val="es-GT"/>
        </w:rPr>
        <w:t>Grupo 4 (Jorge Martínez Meléndez)</w:t>
      </w:r>
      <w:r w:rsidRPr="002D5634">
        <w:rPr>
          <w:rFonts w:ascii="Verdana" w:hAnsi="Verdana"/>
          <w:i/>
          <w:sz w:val="16"/>
          <w:szCs w:val="16"/>
          <w:lang w:val="es-GT"/>
        </w:rPr>
        <w:t xml:space="preserve">, en los términos de los párrafos </w:t>
      </w:r>
      <w:r w:rsidR="00E15E33" w:rsidRPr="002D5634">
        <w:rPr>
          <w:rFonts w:ascii="Verdana" w:hAnsi="Verdana"/>
          <w:i/>
          <w:sz w:val="16"/>
          <w:szCs w:val="16"/>
          <w:lang w:val="es-GT"/>
        </w:rPr>
        <w:t>450 a 452 y 458</w:t>
      </w:r>
      <w:r w:rsidR="00E15E33" w:rsidRPr="002D5634">
        <w:rPr>
          <w:rFonts w:ascii="Verdana" w:hAnsi="Verdana"/>
          <w:sz w:val="16"/>
          <w:szCs w:val="16"/>
          <w:lang w:val="es-GT"/>
        </w:rPr>
        <w:t xml:space="preserve"> </w:t>
      </w:r>
      <w:r w:rsidRPr="00C0139B">
        <w:rPr>
          <w:rFonts w:ascii="Verdana" w:hAnsi="Verdana"/>
          <w:i/>
          <w:sz w:val="16"/>
          <w:szCs w:val="16"/>
          <w:lang w:val="es-GT"/>
        </w:rPr>
        <w:t>de esta Sentencia.</w:t>
      </w:r>
    </w:p>
    <w:p w14:paraId="380D3E76" w14:textId="77777777" w:rsidR="008B0158" w:rsidRPr="002D5634" w:rsidRDefault="008B0158" w:rsidP="009C6B6D">
      <w:pPr>
        <w:spacing w:after="0" w:line="240" w:lineRule="auto"/>
        <w:jc w:val="both"/>
        <w:rPr>
          <w:rFonts w:ascii="Verdana" w:hAnsi="Verdana"/>
          <w:i/>
          <w:sz w:val="16"/>
          <w:szCs w:val="16"/>
          <w:lang w:val="es-GT"/>
        </w:rPr>
      </w:pPr>
      <w:r w:rsidRPr="00C0139B">
        <w:rPr>
          <w:rFonts w:ascii="Verdana" w:hAnsi="Verdana"/>
          <w:i/>
          <w:sz w:val="16"/>
          <w:szCs w:val="16"/>
          <w:lang w:val="es-GT"/>
        </w:rPr>
        <w:t>18</w:t>
      </w:r>
      <w:proofErr w:type="gramStart"/>
      <w:r w:rsidRPr="00C0139B">
        <w:rPr>
          <w:rFonts w:ascii="Verdana" w:hAnsi="Verdana"/>
          <w:i/>
          <w:sz w:val="16"/>
          <w:szCs w:val="16"/>
          <w:lang w:val="es-GT"/>
        </w:rPr>
        <w:t>.El</w:t>
      </w:r>
      <w:proofErr w:type="gramEnd"/>
      <w:r w:rsidRPr="00C0139B">
        <w:rPr>
          <w:rFonts w:ascii="Verdana" w:hAnsi="Verdana"/>
          <w:i/>
          <w:sz w:val="16"/>
          <w:szCs w:val="16"/>
          <w:lang w:val="es-GT"/>
        </w:rPr>
        <w:t xml:space="preserve"> Estado no es responsable por la violación del derecho a recurrir la legalidad de sus arrestos contenido en los artículos 7.6 de la Convención Americana, en relación con el artículo 1.1 de la misma, en perjuicio </w:t>
      </w:r>
      <w:r w:rsidRPr="002D5634">
        <w:rPr>
          <w:rFonts w:ascii="Verdana" w:hAnsi="Verdana"/>
          <w:bCs/>
          <w:i/>
          <w:iCs/>
          <w:sz w:val="16"/>
          <w:szCs w:val="16"/>
          <w:lang w:val="es-GT"/>
        </w:rPr>
        <w:t>del Grupo 4 (Jorge Martínez Meléndez)</w:t>
      </w:r>
      <w:r w:rsidRPr="002D5634">
        <w:rPr>
          <w:rFonts w:ascii="Verdana" w:hAnsi="Verdana"/>
          <w:i/>
          <w:sz w:val="16"/>
          <w:szCs w:val="16"/>
          <w:lang w:val="es-GT"/>
        </w:rPr>
        <w:t xml:space="preserve">, en los términos de los párrafos </w:t>
      </w:r>
      <w:r w:rsidR="001B6437" w:rsidRPr="002D5634">
        <w:rPr>
          <w:rFonts w:ascii="Verdana" w:hAnsi="Verdana"/>
          <w:i/>
          <w:sz w:val="16"/>
          <w:szCs w:val="16"/>
          <w:lang w:val="es-GT"/>
        </w:rPr>
        <w:t xml:space="preserve">370 a 372 </w:t>
      </w:r>
      <w:r w:rsidRPr="002D5634">
        <w:rPr>
          <w:rFonts w:ascii="Verdana" w:hAnsi="Verdana"/>
          <w:i/>
          <w:sz w:val="16"/>
          <w:szCs w:val="16"/>
          <w:lang w:val="es-GT"/>
        </w:rPr>
        <w:t xml:space="preserve">de esta Sentencia. </w:t>
      </w:r>
    </w:p>
    <w:p w14:paraId="6F21FFCB" w14:textId="77777777" w:rsidR="00075FD1" w:rsidRPr="00C0139B" w:rsidRDefault="00C0139B" w:rsidP="009C6B6D">
      <w:pPr>
        <w:spacing w:after="120" w:line="240" w:lineRule="auto"/>
        <w:jc w:val="both"/>
        <w:rPr>
          <w:rFonts w:ascii="Verdana" w:hAnsi="Verdana"/>
          <w:i/>
          <w:sz w:val="16"/>
          <w:szCs w:val="16"/>
          <w:lang w:val="es-GT"/>
        </w:rPr>
      </w:pPr>
      <w:r w:rsidRPr="00C0139B">
        <w:rPr>
          <w:rFonts w:ascii="Verdana" w:hAnsi="Verdana"/>
          <w:i/>
          <w:sz w:val="16"/>
          <w:szCs w:val="16"/>
          <w:lang w:val="es-GT"/>
        </w:rPr>
        <w:t>19.</w:t>
      </w:r>
      <w:r w:rsidR="008B0158" w:rsidRPr="00C0139B">
        <w:rPr>
          <w:rFonts w:ascii="Verdana" w:hAnsi="Verdana"/>
          <w:i/>
          <w:sz w:val="16"/>
          <w:szCs w:val="16"/>
          <w:lang w:val="es-GT"/>
        </w:rPr>
        <w:t xml:space="preserve">El Estado no es responsable por la violación del derecho a la integridad personal contenido en los artículos 5.1 y 5.2 de la Convención Americana, en relación con el artículo 1.1 de la misma, en perjuicio del Grupo 8 (Damas Vega </w:t>
      </w:r>
      <w:proofErr w:type="spellStart"/>
      <w:r w:rsidR="008B0158" w:rsidRPr="00C0139B">
        <w:rPr>
          <w:rFonts w:ascii="Verdana" w:hAnsi="Verdana"/>
          <w:i/>
          <w:sz w:val="16"/>
          <w:szCs w:val="16"/>
          <w:lang w:val="es-GT"/>
        </w:rPr>
        <w:t>Atencio</w:t>
      </w:r>
      <w:proofErr w:type="spellEnd"/>
      <w:r w:rsidR="008B0158" w:rsidRPr="00C0139B">
        <w:rPr>
          <w:rFonts w:ascii="Verdana" w:hAnsi="Verdana"/>
          <w:i/>
          <w:sz w:val="16"/>
          <w:szCs w:val="16"/>
          <w:lang w:val="es-GT"/>
        </w:rPr>
        <w:t xml:space="preserve">), en los términos de los párrafos </w:t>
      </w:r>
      <w:r w:rsidR="001B6437" w:rsidRPr="00C0139B">
        <w:rPr>
          <w:rFonts w:ascii="Verdana" w:hAnsi="Verdana"/>
          <w:i/>
          <w:sz w:val="16"/>
          <w:szCs w:val="16"/>
          <w:lang w:val="es-GT"/>
        </w:rPr>
        <w:t xml:space="preserve">459 a 465 </w:t>
      </w:r>
      <w:r w:rsidR="008B0158" w:rsidRPr="00C0139B">
        <w:rPr>
          <w:rFonts w:ascii="Verdana" w:hAnsi="Verdana"/>
          <w:i/>
          <w:sz w:val="16"/>
          <w:szCs w:val="16"/>
          <w:lang w:val="es-GT"/>
        </w:rPr>
        <w:t>de esta Sentencia.</w:t>
      </w:r>
    </w:p>
  </w:footnote>
  <w:footnote w:id="38">
    <w:p w14:paraId="5958C76C" w14:textId="38702295" w:rsidR="00E020E7" w:rsidRPr="008D77B2" w:rsidRDefault="00E020E7" w:rsidP="009C6B6D">
      <w:pPr>
        <w:pStyle w:val="FootnoteText"/>
        <w:spacing w:after="120"/>
        <w:jc w:val="both"/>
        <w:rPr>
          <w:rFonts w:ascii="Verdana" w:hAnsi="Verdana"/>
          <w:sz w:val="16"/>
          <w:szCs w:val="16"/>
        </w:rPr>
      </w:pPr>
      <w:r w:rsidRPr="00C0139B">
        <w:rPr>
          <w:rStyle w:val="FootnoteReference"/>
          <w:rFonts w:ascii="Verdana" w:hAnsi="Verdana"/>
          <w:sz w:val="16"/>
          <w:szCs w:val="16"/>
        </w:rPr>
        <w:footnoteRef/>
      </w:r>
      <w:r w:rsidRPr="00C0139B">
        <w:rPr>
          <w:rFonts w:ascii="Verdana" w:hAnsi="Verdana"/>
          <w:sz w:val="16"/>
          <w:szCs w:val="16"/>
        </w:rPr>
        <w:t xml:space="preserve"> </w:t>
      </w:r>
      <w:r w:rsidR="008D77B2">
        <w:rPr>
          <w:rFonts w:ascii="Verdana" w:hAnsi="Verdana"/>
          <w:i/>
          <w:sz w:val="16"/>
          <w:szCs w:val="16"/>
        </w:rPr>
        <w:t xml:space="preserve">Supra </w:t>
      </w:r>
      <w:r w:rsidR="008D77B2" w:rsidRPr="008D77B2">
        <w:rPr>
          <w:rFonts w:ascii="Verdana" w:hAnsi="Verdana"/>
          <w:sz w:val="16"/>
          <w:szCs w:val="16"/>
        </w:rPr>
        <w:t>Nota N°8.</w:t>
      </w:r>
    </w:p>
  </w:footnote>
  <w:footnote w:id="39">
    <w:p w14:paraId="21ACBA97" w14:textId="2D739603" w:rsidR="00FB5DF4" w:rsidRPr="00C0139B" w:rsidRDefault="00FB5DF4" w:rsidP="009C6B6D">
      <w:pPr>
        <w:pStyle w:val="FootnoteText"/>
        <w:spacing w:after="120"/>
        <w:jc w:val="both"/>
        <w:rPr>
          <w:rFonts w:ascii="Verdana" w:hAnsi="Verdana"/>
          <w:sz w:val="16"/>
          <w:szCs w:val="16"/>
        </w:rPr>
      </w:pPr>
      <w:r w:rsidRPr="00C0139B">
        <w:rPr>
          <w:rStyle w:val="FootnoteReference"/>
          <w:rFonts w:ascii="Verdana" w:hAnsi="Verdana"/>
          <w:sz w:val="16"/>
          <w:szCs w:val="16"/>
        </w:rPr>
        <w:footnoteRef/>
      </w:r>
      <w:r w:rsidR="00C3172C" w:rsidRPr="00C0139B">
        <w:rPr>
          <w:rFonts w:ascii="Verdana" w:hAnsi="Verdana"/>
          <w:sz w:val="16"/>
          <w:szCs w:val="16"/>
        </w:rPr>
        <w:t xml:space="preserve"> Párr.</w:t>
      </w:r>
      <w:r w:rsidR="001B6437" w:rsidRPr="00C0139B">
        <w:rPr>
          <w:rFonts w:ascii="Verdana" w:hAnsi="Verdana"/>
          <w:sz w:val="16"/>
          <w:szCs w:val="16"/>
        </w:rPr>
        <w:t xml:space="preserve"> </w:t>
      </w:r>
      <w:r w:rsidR="00C3172C" w:rsidRPr="00C0139B">
        <w:rPr>
          <w:rFonts w:ascii="Verdana" w:hAnsi="Verdana"/>
          <w:sz w:val="16"/>
          <w:szCs w:val="16"/>
        </w:rPr>
        <w:t>36</w:t>
      </w:r>
      <w:r w:rsidR="00F71080">
        <w:rPr>
          <w:rFonts w:ascii="Verdana" w:hAnsi="Verdana"/>
          <w:sz w:val="16"/>
          <w:szCs w:val="16"/>
        </w:rPr>
        <w:t>7</w:t>
      </w:r>
      <w:r w:rsidR="00C3172C" w:rsidRPr="00C0139B">
        <w:rPr>
          <w:rFonts w:ascii="Verdana" w:hAnsi="Verdana"/>
          <w:sz w:val="16"/>
          <w:szCs w:val="16"/>
        </w:rPr>
        <w:t>.</w:t>
      </w:r>
    </w:p>
  </w:footnote>
  <w:footnote w:id="40">
    <w:p w14:paraId="7A7EFF21" w14:textId="778FF2D8" w:rsidR="00BC4A81" w:rsidRPr="00C0139B" w:rsidRDefault="00BC4A81" w:rsidP="009C6B6D">
      <w:pPr>
        <w:pStyle w:val="FootnoteText"/>
        <w:spacing w:after="120"/>
        <w:jc w:val="both"/>
        <w:rPr>
          <w:rFonts w:ascii="Verdana" w:hAnsi="Verdana"/>
          <w:sz w:val="16"/>
          <w:szCs w:val="16"/>
        </w:rPr>
      </w:pPr>
      <w:r w:rsidRPr="00C0139B">
        <w:rPr>
          <w:rStyle w:val="FootnoteReference"/>
          <w:rFonts w:ascii="Verdana" w:hAnsi="Verdana"/>
          <w:sz w:val="16"/>
          <w:szCs w:val="16"/>
        </w:rPr>
        <w:footnoteRef/>
      </w:r>
      <w:r w:rsidR="00C3172C" w:rsidRPr="00C0139B">
        <w:rPr>
          <w:rFonts w:ascii="Verdana" w:hAnsi="Verdana"/>
          <w:sz w:val="16"/>
          <w:szCs w:val="16"/>
        </w:rPr>
        <w:t xml:space="preserve"> Párr.</w:t>
      </w:r>
      <w:r w:rsidR="001B6437" w:rsidRPr="00C0139B">
        <w:rPr>
          <w:rFonts w:ascii="Verdana" w:hAnsi="Verdana"/>
          <w:sz w:val="16"/>
          <w:szCs w:val="16"/>
        </w:rPr>
        <w:t xml:space="preserve"> </w:t>
      </w:r>
      <w:r w:rsidR="00C3172C" w:rsidRPr="00C0139B">
        <w:rPr>
          <w:rFonts w:ascii="Verdana" w:hAnsi="Verdana"/>
          <w:sz w:val="16"/>
          <w:szCs w:val="16"/>
        </w:rPr>
        <w:t>3</w:t>
      </w:r>
      <w:r w:rsidR="00F71080">
        <w:rPr>
          <w:rFonts w:ascii="Verdana" w:hAnsi="Verdana"/>
          <w:sz w:val="16"/>
          <w:szCs w:val="16"/>
        </w:rPr>
        <w:t>68</w:t>
      </w:r>
      <w:r w:rsidRPr="00C0139B">
        <w:rPr>
          <w:rFonts w:ascii="Verdana" w:hAnsi="Verdana"/>
          <w:sz w:val="16"/>
          <w:szCs w:val="16"/>
        </w:rPr>
        <w:t>.</w:t>
      </w:r>
    </w:p>
  </w:footnote>
  <w:footnote w:id="41">
    <w:p w14:paraId="750E91BE" w14:textId="2DE64251" w:rsidR="00A660A2" w:rsidRPr="00C0139B" w:rsidRDefault="00A660A2" w:rsidP="009C6B6D">
      <w:pPr>
        <w:pStyle w:val="FootnoteText"/>
        <w:spacing w:after="120"/>
        <w:jc w:val="both"/>
        <w:rPr>
          <w:rFonts w:ascii="Verdana" w:hAnsi="Verdana"/>
          <w:sz w:val="16"/>
          <w:szCs w:val="16"/>
        </w:rPr>
      </w:pPr>
      <w:r w:rsidRPr="00C0139B">
        <w:rPr>
          <w:rStyle w:val="FootnoteReference"/>
          <w:rFonts w:ascii="Verdana" w:hAnsi="Verdana"/>
          <w:sz w:val="16"/>
          <w:szCs w:val="16"/>
        </w:rPr>
        <w:footnoteRef/>
      </w:r>
      <w:r w:rsidR="00C3172C" w:rsidRPr="00C0139B">
        <w:rPr>
          <w:rFonts w:ascii="Verdana" w:hAnsi="Verdana"/>
          <w:sz w:val="16"/>
          <w:szCs w:val="16"/>
        </w:rPr>
        <w:t xml:space="preserve"> Párr.</w:t>
      </w:r>
      <w:r w:rsidR="00963C53" w:rsidRPr="00C0139B">
        <w:rPr>
          <w:rFonts w:ascii="Verdana" w:hAnsi="Verdana"/>
          <w:sz w:val="16"/>
          <w:szCs w:val="16"/>
        </w:rPr>
        <w:t xml:space="preserve"> </w:t>
      </w:r>
      <w:r w:rsidR="00C3172C" w:rsidRPr="00C0139B">
        <w:rPr>
          <w:rFonts w:ascii="Verdana" w:hAnsi="Verdana"/>
          <w:sz w:val="16"/>
          <w:szCs w:val="16"/>
        </w:rPr>
        <w:t>36</w:t>
      </w:r>
      <w:r w:rsidR="00F71080">
        <w:rPr>
          <w:rFonts w:ascii="Verdana" w:hAnsi="Verdana"/>
          <w:sz w:val="16"/>
          <w:szCs w:val="16"/>
        </w:rPr>
        <w:t>7</w:t>
      </w:r>
      <w:r w:rsidRPr="00C0139B">
        <w:rPr>
          <w:rFonts w:ascii="Verdana" w:hAnsi="Verdana"/>
          <w:sz w:val="16"/>
          <w:szCs w:val="16"/>
        </w:rPr>
        <w:t xml:space="preserve">. </w:t>
      </w:r>
    </w:p>
  </w:footnote>
  <w:footnote w:id="42">
    <w:p w14:paraId="4AFA107F" w14:textId="77777777" w:rsidR="00B67D73" w:rsidRPr="00C0139B" w:rsidRDefault="00B67D73" w:rsidP="009C6B6D">
      <w:pPr>
        <w:pStyle w:val="FootnoteText"/>
        <w:spacing w:after="120"/>
        <w:jc w:val="both"/>
        <w:rPr>
          <w:rFonts w:ascii="Verdana" w:hAnsi="Verdana"/>
          <w:sz w:val="16"/>
          <w:szCs w:val="16"/>
        </w:rPr>
      </w:pPr>
      <w:r w:rsidRPr="00C0139B">
        <w:rPr>
          <w:rStyle w:val="FootnoteReference"/>
          <w:rFonts w:ascii="Verdana" w:hAnsi="Verdana"/>
          <w:sz w:val="16"/>
          <w:szCs w:val="16"/>
        </w:rPr>
        <w:footnoteRef/>
      </w:r>
      <w:r w:rsidRPr="00C0139B">
        <w:rPr>
          <w:rFonts w:ascii="Verdana" w:hAnsi="Verdana"/>
          <w:sz w:val="16"/>
          <w:szCs w:val="16"/>
        </w:rPr>
        <w:t xml:space="preserve"> </w:t>
      </w:r>
      <w:proofErr w:type="spellStart"/>
      <w:r w:rsidRPr="00C0139B">
        <w:rPr>
          <w:rFonts w:ascii="Verdana" w:hAnsi="Verdana"/>
          <w:i/>
          <w:sz w:val="16"/>
          <w:szCs w:val="16"/>
        </w:rPr>
        <w:t>Idem</w:t>
      </w:r>
      <w:proofErr w:type="spellEnd"/>
      <w:r w:rsidRPr="00C0139B">
        <w:rPr>
          <w:rFonts w:ascii="Verdana" w:hAnsi="Verdana"/>
          <w:sz w:val="16"/>
          <w:szCs w:val="16"/>
        </w:rPr>
        <w:t>.</w:t>
      </w:r>
    </w:p>
  </w:footnote>
  <w:footnote w:id="43">
    <w:p w14:paraId="7657B652" w14:textId="4DB1069E" w:rsidR="00B67D73" w:rsidRPr="00C0139B" w:rsidRDefault="00B67D73" w:rsidP="009C6B6D">
      <w:pPr>
        <w:pStyle w:val="FootnoteText"/>
        <w:spacing w:after="120"/>
        <w:jc w:val="both"/>
        <w:rPr>
          <w:rFonts w:ascii="Verdana" w:hAnsi="Verdana"/>
          <w:sz w:val="16"/>
          <w:szCs w:val="16"/>
        </w:rPr>
      </w:pPr>
      <w:r w:rsidRPr="00C0139B">
        <w:rPr>
          <w:rStyle w:val="FootnoteReference"/>
          <w:rFonts w:ascii="Verdana" w:hAnsi="Verdana"/>
          <w:sz w:val="16"/>
          <w:szCs w:val="16"/>
        </w:rPr>
        <w:footnoteRef/>
      </w:r>
      <w:r w:rsidR="000227F1" w:rsidRPr="00C0139B">
        <w:rPr>
          <w:rFonts w:ascii="Verdana" w:hAnsi="Verdana"/>
          <w:sz w:val="16"/>
          <w:szCs w:val="16"/>
        </w:rPr>
        <w:t xml:space="preserve"> Párr.</w:t>
      </w:r>
      <w:r w:rsidR="00963C53" w:rsidRPr="00C0139B">
        <w:rPr>
          <w:rFonts w:ascii="Verdana" w:hAnsi="Verdana"/>
          <w:sz w:val="16"/>
          <w:szCs w:val="16"/>
        </w:rPr>
        <w:t xml:space="preserve"> </w:t>
      </w:r>
      <w:r w:rsidR="000227F1" w:rsidRPr="00C0139B">
        <w:rPr>
          <w:rFonts w:ascii="Verdana" w:hAnsi="Verdana"/>
          <w:sz w:val="16"/>
          <w:szCs w:val="16"/>
        </w:rPr>
        <w:t>36</w:t>
      </w:r>
      <w:r w:rsidR="00F71080">
        <w:rPr>
          <w:rFonts w:ascii="Verdana" w:hAnsi="Verdana"/>
          <w:sz w:val="16"/>
          <w:szCs w:val="16"/>
        </w:rPr>
        <w:t>7</w:t>
      </w:r>
      <w:r w:rsidRPr="00C0139B">
        <w:rPr>
          <w:rFonts w:ascii="Verdana" w:hAnsi="Verdana"/>
          <w:sz w:val="16"/>
          <w:szCs w:val="16"/>
        </w:rPr>
        <w:t>.</w:t>
      </w:r>
    </w:p>
  </w:footnote>
  <w:footnote w:id="44">
    <w:p w14:paraId="1DFA4DFE" w14:textId="290384DF" w:rsidR="000C68B7" w:rsidRPr="00C0139B" w:rsidRDefault="000C68B7" w:rsidP="009C6B6D">
      <w:pPr>
        <w:pStyle w:val="FootnoteText"/>
        <w:spacing w:after="120"/>
        <w:jc w:val="both"/>
        <w:rPr>
          <w:rFonts w:ascii="Verdana" w:hAnsi="Verdana"/>
          <w:sz w:val="16"/>
          <w:szCs w:val="16"/>
        </w:rPr>
      </w:pPr>
      <w:r w:rsidRPr="00C0139B">
        <w:rPr>
          <w:rStyle w:val="FootnoteReference"/>
          <w:rFonts w:ascii="Verdana" w:hAnsi="Verdana"/>
          <w:sz w:val="16"/>
          <w:szCs w:val="16"/>
        </w:rPr>
        <w:footnoteRef/>
      </w:r>
      <w:r w:rsidRPr="00C0139B">
        <w:rPr>
          <w:rFonts w:ascii="Verdana" w:hAnsi="Verdana"/>
          <w:sz w:val="16"/>
          <w:szCs w:val="16"/>
        </w:rPr>
        <w:t xml:space="preserve"> </w:t>
      </w:r>
      <w:r w:rsidR="000227F1" w:rsidRPr="00C0139B">
        <w:rPr>
          <w:rFonts w:ascii="Verdana" w:hAnsi="Verdana"/>
          <w:sz w:val="16"/>
          <w:szCs w:val="16"/>
        </w:rPr>
        <w:t>Párr.</w:t>
      </w:r>
      <w:r w:rsidR="00963C53" w:rsidRPr="00C0139B">
        <w:rPr>
          <w:rFonts w:ascii="Verdana" w:hAnsi="Verdana"/>
          <w:sz w:val="16"/>
          <w:szCs w:val="16"/>
        </w:rPr>
        <w:t xml:space="preserve"> </w:t>
      </w:r>
      <w:r w:rsidR="000227F1" w:rsidRPr="00C0139B">
        <w:rPr>
          <w:rFonts w:ascii="Verdana" w:hAnsi="Verdana"/>
          <w:sz w:val="16"/>
          <w:szCs w:val="16"/>
        </w:rPr>
        <w:t>3</w:t>
      </w:r>
      <w:r w:rsidR="00F71080">
        <w:rPr>
          <w:rFonts w:ascii="Verdana" w:hAnsi="Verdana"/>
          <w:sz w:val="16"/>
          <w:szCs w:val="16"/>
        </w:rPr>
        <w:t>68</w:t>
      </w:r>
      <w:r w:rsidR="000227F1" w:rsidRPr="00C0139B">
        <w:rPr>
          <w:rFonts w:ascii="Verdana" w:hAnsi="Verdana"/>
          <w:sz w:val="16"/>
          <w:szCs w:val="16"/>
        </w:rPr>
        <w:t>.</w:t>
      </w:r>
    </w:p>
  </w:footnote>
  <w:footnote w:id="45">
    <w:p w14:paraId="268ED9D3" w14:textId="77777777" w:rsidR="008A554B" w:rsidRPr="00C0139B" w:rsidRDefault="008A554B" w:rsidP="009C6B6D">
      <w:pPr>
        <w:pStyle w:val="FootnoteText"/>
        <w:spacing w:after="120"/>
        <w:jc w:val="both"/>
        <w:rPr>
          <w:rFonts w:ascii="Verdana" w:hAnsi="Verdana"/>
          <w:sz w:val="16"/>
          <w:szCs w:val="16"/>
        </w:rPr>
      </w:pPr>
      <w:r w:rsidRPr="00C0139B">
        <w:rPr>
          <w:rStyle w:val="FootnoteReference"/>
          <w:rFonts w:ascii="Verdana" w:hAnsi="Verdana"/>
          <w:sz w:val="16"/>
          <w:szCs w:val="16"/>
        </w:rPr>
        <w:footnoteRef/>
      </w:r>
      <w:r w:rsidR="000227F1" w:rsidRPr="00C0139B">
        <w:rPr>
          <w:rFonts w:ascii="Verdana" w:hAnsi="Verdana"/>
          <w:sz w:val="16"/>
          <w:szCs w:val="16"/>
        </w:rPr>
        <w:t xml:space="preserve"> Art.62.3:”</w:t>
      </w:r>
      <w:r w:rsidR="00FA4459" w:rsidRPr="00C0139B">
        <w:rPr>
          <w:rFonts w:ascii="Verdana" w:eastAsia="Cambria" w:hAnsi="Verdana"/>
          <w:bCs/>
          <w:i/>
          <w:sz w:val="16"/>
          <w:szCs w:val="16"/>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r w:rsidR="000227F1" w:rsidRPr="002D5634">
        <w:rPr>
          <w:rFonts w:ascii="Verdana" w:hAnsi="Verdana" w:cs="Courier New"/>
          <w:sz w:val="16"/>
          <w:szCs w:val="16"/>
          <w:lang w:val="es-GT" w:eastAsia="es-CR"/>
        </w:rPr>
        <w:t>”</w:t>
      </w:r>
    </w:p>
  </w:footnote>
  <w:footnote w:id="46">
    <w:p w14:paraId="5147313E" w14:textId="77777777" w:rsidR="006E43BB" w:rsidRPr="00C0139B" w:rsidRDefault="006E43BB" w:rsidP="009C6B6D">
      <w:pPr>
        <w:pStyle w:val="FootnoteText"/>
        <w:spacing w:after="120"/>
        <w:jc w:val="both"/>
        <w:rPr>
          <w:rFonts w:ascii="Verdana" w:hAnsi="Verdana"/>
          <w:sz w:val="16"/>
          <w:szCs w:val="16"/>
        </w:rPr>
      </w:pPr>
      <w:r w:rsidRPr="00C0139B">
        <w:rPr>
          <w:rStyle w:val="FootnoteReference"/>
          <w:rFonts w:ascii="Verdana" w:hAnsi="Verdana"/>
          <w:sz w:val="16"/>
          <w:szCs w:val="16"/>
        </w:rPr>
        <w:footnoteRef/>
      </w:r>
      <w:r w:rsidRPr="00C0139B">
        <w:rPr>
          <w:rFonts w:ascii="Verdana" w:hAnsi="Verdana"/>
          <w:sz w:val="16"/>
          <w:szCs w:val="16"/>
        </w:rPr>
        <w:t xml:space="preserve"> Párr.</w:t>
      </w:r>
      <w:r w:rsidR="00FA4459" w:rsidRPr="00C0139B">
        <w:rPr>
          <w:rFonts w:ascii="Verdana" w:hAnsi="Verdana"/>
          <w:sz w:val="16"/>
          <w:szCs w:val="16"/>
        </w:rPr>
        <w:t xml:space="preserve"> </w:t>
      </w:r>
      <w:r w:rsidR="000227F1" w:rsidRPr="00C0139B">
        <w:rPr>
          <w:rFonts w:ascii="Verdana" w:hAnsi="Verdana"/>
          <w:sz w:val="16"/>
          <w:szCs w:val="16"/>
        </w:rPr>
        <w:t>364.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727"/>
    <w:multiLevelType w:val="hybridMultilevel"/>
    <w:tmpl w:val="23469E12"/>
    <w:lvl w:ilvl="0" w:tplc="FBFEC398">
      <w:start w:val="1"/>
      <w:numFmt w:val="lowerLetter"/>
      <w:lvlText w:val="%1)"/>
      <w:lvlJc w:val="left"/>
      <w:pPr>
        <w:ind w:left="972" w:hanging="360"/>
      </w:pPr>
      <w:rPr>
        <w:rFonts w:hint="default"/>
        <w:i/>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
    <w:nsid w:val="14123BA6"/>
    <w:multiLevelType w:val="hybridMultilevel"/>
    <w:tmpl w:val="A08461A0"/>
    <w:lvl w:ilvl="0" w:tplc="340A0017">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6AD2FAC"/>
    <w:multiLevelType w:val="hybridMultilevel"/>
    <w:tmpl w:val="DAD4A274"/>
    <w:lvl w:ilvl="0" w:tplc="E71257A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3D30668"/>
    <w:multiLevelType w:val="hybridMultilevel"/>
    <w:tmpl w:val="EDA20026"/>
    <w:lvl w:ilvl="0" w:tplc="00FADADC">
      <w:start w:val="1"/>
      <w:numFmt w:val="upp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C03CD"/>
    <w:multiLevelType w:val="hybridMultilevel"/>
    <w:tmpl w:val="192C10A0"/>
    <w:lvl w:ilvl="0" w:tplc="CDFA9802">
      <w:start w:val="1"/>
      <w:numFmt w:val="lowerLetter"/>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743D7F"/>
    <w:multiLevelType w:val="hybridMultilevel"/>
    <w:tmpl w:val="706C4498"/>
    <w:lvl w:ilvl="0" w:tplc="9F02B140">
      <w:start w:val="1"/>
      <w:numFmt w:val="lowerRoman"/>
      <w:lvlText w:val="%1."/>
      <w:lvlJc w:val="left"/>
      <w:pPr>
        <w:ind w:left="795" w:hanging="720"/>
      </w:pPr>
      <w:rPr>
        <w:rFonts w:hint="default"/>
        <w:b/>
        <w:u w:val="none"/>
      </w:rPr>
    </w:lvl>
    <w:lvl w:ilvl="1" w:tplc="340A0019" w:tentative="1">
      <w:start w:val="1"/>
      <w:numFmt w:val="lowerLetter"/>
      <w:lvlText w:val="%2."/>
      <w:lvlJc w:val="left"/>
      <w:pPr>
        <w:ind w:left="1155" w:hanging="360"/>
      </w:pPr>
    </w:lvl>
    <w:lvl w:ilvl="2" w:tplc="340A001B" w:tentative="1">
      <w:start w:val="1"/>
      <w:numFmt w:val="lowerRoman"/>
      <w:lvlText w:val="%3."/>
      <w:lvlJc w:val="right"/>
      <w:pPr>
        <w:ind w:left="1875" w:hanging="180"/>
      </w:pPr>
    </w:lvl>
    <w:lvl w:ilvl="3" w:tplc="340A000F" w:tentative="1">
      <w:start w:val="1"/>
      <w:numFmt w:val="decimal"/>
      <w:lvlText w:val="%4."/>
      <w:lvlJc w:val="left"/>
      <w:pPr>
        <w:ind w:left="2595" w:hanging="360"/>
      </w:pPr>
    </w:lvl>
    <w:lvl w:ilvl="4" w:tplc="340A0019" w:tentative="1">
      <w:start w:val="1"/>
      <w:numFmt w:val="lowerLetter"/>
      <w:lvlText w:val="%5."/>
      <w:lvlJc w:val="left"/>
      <w:pPr>
        <w:ind w:left="3315" w:hanging="360"/>
      </w:pPr>
    </w:lvl>
    <w:lvl w:ilvl="5" w:tplc="340A001B" w:tentative="1">
      <w:start w:val="1"/>
      <w:numFmt w:val="lowerRoman"/>
      <w:lvlText w:val="%6."/>
      <w:lvlJc w:val="right"/>
      <w:pPr>
        <w:ind w:left="4035" w:hanging="180"/>
      </w:pPr>
    </w:lvl>
    <w:lvl w:ilvl="6" w:tplc="340A000F" w:tentative="1">
      <w:start w:val="1"/>
      <w:numFmt w:val="decimal"/>
      <w:lvlText w:val="%7."/>
      <w:lvlJc w:val="left"/>
      <w:pPr>
        <w:ind w:left="4755" w:hanging="360"/>
      </w:pPr>
    </w:lvl>
    <w:lvl w:ilvl="7" w:tplc="340A0019" w:tentative="1">
      <w:start w:val="1"/>
      <w:numFmt w:val="lowerLetter"/>
      <w:lvlText w:val="%8."/>
      <w:lvlJc w:val="left"/>
      <w:pPr>
        <w:ind w:left="5475" w:hanging="360"/>
      </w:pPr>
    </w:lvl>
    <w:lvl w:ilvl="8" w:tplc="340A001B" w:tentative="1">
      <w:start w:val="1"/>
      <w:numFmt w:val="lowerRoman"/>
      <w:lvlText w:val="%9."/>
      <w:lvlJc w:val="right"/>
      <w:pPr>
        <w:ind w:left="6195" w:hanging="180"/>
      </w:pPr>
    </w:lvl>
  </w:abstractNum>
  <w:abstractNum w:abstractNumId="6">
    <w:nsid w:val="36E65998"/>
    <w:multiLevelType w:val="hybridMultilevel"/>
    <w:tmpl w:val="8F5E7186"/>
    <w:lvl w:ilvl="0" w:tplc="924632B4">
      <w:start w:val="1"/>
      <w:numFmt w:val="decimal"/>
      <w:lvlText w:val="%1."/>
      <w:lvlJc w:val="left"/>
      <w:pPr>
        <w:ind w:left="5130" w:hanging="360"/>
      </w:pPr>
      <w:rPr>
        <w:rFonts w:ascii="Verdana" w:hAnsi="Verdana" w:hint="default"/>
        <w:b w:val="0"/>
        <w:i w:val="0"/>
        <w:strike w:val="0"/>
        <w:color w:val="auto"/>
        <w:sz w:val="20"/>
        <w:szCs w:val="20"/>
        <w:lang w:val="es-MX"/>
      </w:r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7">
    <w:nsid w:val="3B236A75"/>
    <w:multiLevelType w:val="hybridMultilevel"/>
    <w:tmpl w:val="72C6A5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06D503B"/>
    <w:multiLevelType w:val="hybridMultilevel"/>
    <w:tmpl w:val="4278699E"/>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38A5324"/>
    <w:multiLevelType w:val="hybridMultilevel"/>
    <w:tmpl w:val="EC725C6E"/>
    <w:lvl w:ilvl="0" w:tplc="BA7A938C">
      <w:start w:val="1"/>
      <w:numFmt w:val="lowerRoman"/>
      <w:lvlText w:val="%1."/>
      <w:lvlJc w:val="left"/>
      <w:pPr>
        <w:ind w:left="1287" w:hanging="720"/>
      </w:pPr>
      <w:rPr>
        <w:rFonts w:hint="default"/>
        <w:b/>
        <w:u w:val="none"/>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0">
    <w:nsid w:val="44065A30"/>
    <w:multiLevelType w:val="hybridMultilevel"/>
    <w:tmpl w:val="147C1D8E"/>
    <w:lvl w:ilvl="0" w:tplc="6ED8DD2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B0E0F68"/>
    <w:multiLevelType w:val="hybridMultilevel"/>
    <w:tmpl w:val="1EE6BCAC"/>
    <w:lvl w:ilvl="0" w:tplc="BC90787C">
      <w:start w:val="1"/>
      <w:numFmt w:val="decimal"/>
      <w:lvlText w:val="%1."/>
      <w:lvlJc w:val="left"/>
      <w:pPr>
        <w:ind w:left="785" w:hanging="360"/>
      </w:pPr>
      <w:rPr>
        <w:rFonts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C2F79D7"/>
    <w:multiLevelType w:val="hybridMultilevel"/>
    <w:tmpl w:val="BDA4D864"/>
    <w:lvl w:ilvl="0" w:tplc="00FADADC">
      <w:start w:val="1"/>
      <w:numFmt w:val="upp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476D89"/>
    <w:multiLevelType w:val="hybridMultilevel"/>
    <w:tmpl w:val="D59EB6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50A2577"/>
    <w:multiLevelType w:val="hybridMultilevel"/>
    <w:tmpl w:val="E7E612E8"/>
    <w:lvl w:ilvl="0" w:tplc="CF1E32A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53A4F5D"/>
    <w:multiLevelType w:val="hybridMultilevel"/>
    <w:tmpl w:val="3B34CDC4"/>
    <w:lvl w:ilvl="0" w:tplc="554222F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5E15335"/>
    <w:multiLevelType w:val="hybridMultilevel"/>
    <w:tmpl w:val="AF6EB9CC"/>
    <w:lvl w:ilvl="0" w:tplc="A15A7862">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7">
    <w:nsid w:val="5B5E6215"/>
    <w:multiLevelType w:val="hybridMultilevel"/>
    <w:tmpl w:val="6CA67714"/>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2133C4A"/>
    <w:multiLevelType w:val="hybridMultilevel"/>
    <w:tmpl w:val="7A3CB126"/>
    <w:lvl w:ilvl="0" w:tplc="924632B4">
      <w:start w:val="1"/>
      <w:numFmt w:val="decimal"/>
      <w:lvlText w:val="%1."/>
      <w:lvlJc w:val="left"/>
      <w:pPr>
        <w:ind w:left="4410" w:hanging="360"/>
      </w:pPr>
      <w:rPr>
        <w:rFonts w:ascii="Verdana" w:hAnsi="Verdana" w:hint="default"/>
        <w:b w:val="0"/>
        <w:i w:val="0"/>
        <w:strike w:val="0"/>
        <w:color w:val="auto"/>
        <w:sz w:val="20"/>
        <w:szCs w:val="20"/>
        <w:lang w:val="es-MX"/>
      </w:r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9">
    <w:nsid w:val="65B4799F"/>
    <w:multiLevelType w:val="hybridMultilevel"/>
    <w:tmpl w:val="92148E3A"/>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65B0921"/>
    <w:multiLevelType w:val="hybridMultilevel"/>
    <w:tmpl w:val="9DC8AA72"/>
    <w:lvl w:ilvl="0" w:tplc="662E7FA8">
      <w:start w:val="1"/>
      <w:numFmt w:val="upperRoman"/>
      <w:lvlText w:val="%1."/>
      <w:lvlJc w:val="left"/>
      <w:pPr>
        <w:ind w:left="1004" w:hanging="720"/>
      </w:pPr>
      <w:rPr>
        <w:rFonts w:hint="default"/>
        <w:b/>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8B371CC"/>
    <w:multiLevelType w:val="hybridMultilevel"/>
    <w:tmpl w:val="80BE8C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0"/>
  </w:num>
  <w:num w:numId="3">
    <w:abstractNumId w:val="3"/>
  </w:num>
  <w:num w:numId="4">
    <w:abstractNumId w:val="20"/>
  </w:num>
  <w:num w:numId="5">
    <w:abstractNumId w:val="4"/>
  </w:num>
  <w:num w:numId="6">
    <w:abstractNumId w:val="10"/>
  </w:num>
  <w:num w:numId="7">
    <w:abstractNumId w:val="11"/>
  </w:num>
  <w:num w:numId="8">
    <w:abstractNumId w:val="15"/>
  </w:num>
  <w:num w:numId="9">
    <w:abstractNumId w:val="13"/>
  </w:num>
  <w:num w:numId="10">
    <w:abstractNumId w:val="7"/>
  </w:num>
  <w:num w:numId="11">
    <w:abstractNumId w:val="19"/>
  </w:num>
  <w:num w:numId="12">
    <w:abstractNumId w:val="17"/>
  </w:num>
  <w:num w:numId="13">
    <w:abstractNumId w:val="12"/>
  </w:num>
  <w:num w:numId="14">
    <w:abstractNumId w:val="18"/>
  </w:num>
  <w:num w:numId="15">
    <w:abstractNumId w:val="6"/>
  </w:num>
  <w:num w:numId="16">
    <w:abstractNumId w:val="8"/>
  </w:num>
  <w:num w:numId="17">
    <w:abstractNumId w:val="5"/>
  </w:num>
  <w:num w:numId="18">
    <w:abstractNumId w:val="9"/>
  </w:num>
  <w:num w:numId="19">
    <w:abstractNumId w:val="2"/>
  </w:num>
  <w:num w:numId="20">
    <w:abstractNumId w:val="14"/>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GT" w:vendorID="64" w:dllVersion="131078" w:nlCheck="1" w:checkStyle="1"/>
  <w:activeWritingStyle w:appName="MSWord" w:lang="es-CR" w:vendorID="64" w:dllVersion="131078" w:nlCheck="1" w:checkStyle="1"/>
  <w:activeWritingStyle w:appName="MSWord" w:lang="es-CL" w:vendorID="64" w:dllVersion="131078" w:nlCheck="1" w:checkStyle="1"/>
  <w:activeWritingStyle w:appName="MSWord" w:lang="es-PR"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31"/>
    <w:rsid w:val="000227F1"/>
    <w:rsid w:val="00071D5F"/>
    <w:rsid w:val="00075785"/>
    <w:rsid w:val="00075FD1"/>
    <w:rsid w:val="00076157"/>
    <w:rsid w:val="00077660"/>
    <w:rsid w:val="0009123F"/>
    <w:rsid w:val="00095EEB"/>
    <w:rsid w:val="000A5FE0"/>
    <w:rsid w:val="000A76D5"/>
    <w:rsid w:val="000B3CA7"/>
    <w:rsid w:val="000C268E"/>
    <w:rsid w:val="000C68B7"/>
    <w:rsid w:val="000F6E82"/>
    <w:rsid w:val="001054D1"/>
    <w:rsid w:val="00144F95"/>
    <w:rsid w:val="00150531"/>
    <w:rsid w:val="00153DB5"/>
    <w:rsid w:val="001545CE"/>
    <w:rsid w:val="00165E96"/>
    <w:rsid w:val="00170B3A"/>
    <w:rsid w:val="00184ED4"/>
    <w:rsid w:val="0018622B"/>
    <w:rsid w:val="001876B5"/>
    <w:rsid w:val="0019362A"/>
    <w:rsid w:val="00197AFB"/>
    <w:rsid w:val="001A5EF6"/>
    <w:rsid w:val="001A67E9"/>
    <w:rsid w:val="001B1416"/>
    <w:rsid w:val="001B6437"/>
    <w:rsid w:val="001C3179"/>
    <w:rsid w:val="001C6D94"/>
    <w:rsid w:val="001E2E0B"/>
    <w:rsid w:val="001E4EE0"/>
    <w:rsid w:val="001F439C"/>
    <w:rsid w:val="00201581"/>
    <w:rsid w:val="0020556C"/>
    <w:rsid w:val="00210281"/>
    <w:rsid w:val="00241CAE"/>
    <w:rsid w:val="0025155E"/>
    <w:rsid w:val="0026737F"/>
    <w:rsid w:val="0028413D"/>
    <w:rsid w:val="00284BB8"/>
    <w:rsid w:val="002900C3"/>
    <w:rsid w:val="00291558"/>
    <w:rsid w:val="00293370"/>
    <w:rsid w:val="002C3921"/>
    <w:rsid w:val="002D5634"/>
    <w:rsid w:val="002D6F7B"/>
    <w:rsid w:val="002E08A3"/>
    <w:rsid w:val="00303382"/>
    <w:rsid w:val="003151C2"/>
    <w:rsid w:val="00321245"/>
    <w:rsid w:val="0033644D"/>
    <w:rsid w:val="00362724"/>
    <w:rsid w:val="00374476"/>
    <w:rsid w:val="00385B36"/>
    <w:rsid w:val="003904AA"/>
    <w:rsid w:val="00391A90"/>
    <w:rsid w:val="003A3BBA"/>
    <w:rsid w:val="003A4DE1"/>
    <w:rsid w:val="003B0970"/>
    <w:rsid w:val="003C2AF9"/>
    <w:rsid w:val="003D3F92"/>
    <w:rsid w:val="003D5245"/>
    <w:rsid w:val="00422067"/>
    <w:rsid w:val="00425049"/>
    <w:rsid w:val="004515D4"/>
    <w:rsid w:val="00460AA3"/>
    <w:rsid w:val="004745E3"/>
    <w:rsid w:val="00480442"/>
    <w:rsid w:val="00482FAA"/>
    <w:rsid w:val="00486E22"/>
    <w:rsid w:val="004921BC"/>
    <w:rsid w:val="00496DA8"/>
    <w:rsid w:val="004B06C3"/>
    <w:rsid w:val="004C27DF"/>
    <w:rsid w:val="004C5F94"/>
    <w:rsid w:val="004C69CD"/>
    <w:rsid w:val="004E7B81"/>
    <w:rsid w:val="00510D4C"/>
    <w:rsid w:val="00514061"/>
    <w:rsid w:val="00514A57"/>
    <w:rsid w:val="00522C00"/>
    <w:rsid w:val="0052465D"/>
    <w:rsid w:val="00524783"/>
    <w:rsid w:val="0053136F"/>
    <w:rsid w:val="0053371C"/>
    <w:rsid w:val="005360CD"/>
    <w:rsid w:val="0054720A"/>
    <w:rsid w:val="00582CDB"/>
    <w:rsid w:val="00582E70"/>
    <w:rsid w:val="0059112E"/>
    <w:rsid w:val="005A24FB"/>
    <w:rsid w:val="005B7416"/>
    <w:rsid w:val="005D68B5"/>
    <w:rsid w:val="005E26A2"/>
    <w:rsid w:val="005E4337"/>
    <w:rsid w:val="005E6342"/>
    <w:rsid w:val="005E7F94"/>
    <w:rsid w:val="005F0327"/>
    <w:rsid w:val="005F1CC1"/>
    <w:rsid w:val="005F2815"/>
    <w:rsid w:val="005F28BC"/>
    <w:rsid w:val="00603AC6"/>
    <w:rsid w:val="00615C2F"/>
    <w:rsid w:val="00621FD7"/>
    <w:rsid w:val="00633CBC"/>
    <w:rsid w:val="006433C2"/>
    <w:rsid w:val="0064745B"/>
    <w:rsid w:val="00650660"/>
    <w:rsid w:val="00667410"/>
    <w:rsid w:val="006914B8"/>
    <w:rsid w:val="006A1D7F"/>
    <w:rsid w:val="006E43BB"/>
    <w:rsid w:val="00705215"/>
    <w:rsid w:val="00706D95"/>
    <w:rsid w:val="0073138B"/>
    <w:rsid w:val="00737DAB"/>
    <w:rsid w:val="0074388B"/>
    <w:rsid w:val="007676C0"/>
    <w:rsid w:val="007719F6"/>
    <w:rsid w:val="00793366"/>
    <w:rsid w:val="007964F9"/>
    <w:rsid w:val="007B1A21"/>
    <w:rsid w:val="007B1C45"/>
    <w:rsid w:val="007B53D3"/>
    <w:rsid w:val="007B5CF4"/>
    <w:rsid w:val="007B6655"/>
    <w:rsid w:val="007C0F83"/>
    <w:rsid w:val="007E5BB0"/>
    <w:rsid w:val="007E726E"/>
    <w:rsid w:val="007F26EE"/>
    <w:rsid w:val="007F61CE"/>
    <w:rsid w:val="008135BB"/>
    <w:rsid w:val="00822610"/>
    <w:rsid w:val="00840E31"/>
    <w:rsid w:val="00842FF1"/>
    <w:rsid w:val="00860365"/>
    <w:rsid w:val="0086794C"/>
    <w:rsid w:val="00876BC5"/>
    <w:rsid w:val="00885D81"/>
    <w:rsid w:val="00886363"/>
    <w:rsid w:val="00886739"/>
    <w:rsid w:val="00891071"/>
    <w:rsid w:val="008A554B"/>
    <w:rsid w:val="008B0158"/>
    <w:rsid w:val="008B42F5"/>
    <w:rsid w:val="008D77B2"/>
    <w:rsid w:val="008F35F8"/>
    <w:rsid w:val="00904DBF"/>
    <w:rsid w:val="00911849"/>
    <w:rsid w:val="00927452"/>
    <w:rsid w:val="00935A71"/>
    <w:rsid w:val="00945CC0"/>
    <w:rsid w:val="00957C88"/>
    <w:rsid w:val="00963C53"/>
    <w:rsid w:val="00963D85"/>
    <w:rsid w:val="00973D08"/>
    <w:rsid w:val="00981FF8"/>
    <w:rsid w:val="0099249A"/>
    <w:rsid w:val="00993E19"/>
    <w:rsid w:val="009972DC"/>
    <w:rsid w:val="009A0452"/>
    <w:rsid w:val="009C3D77"/>
    <w:rsid w:val="009C42BC"/>
    <w:rsid w:val="009C559D"/>
    <w:rsid w:val="009C5A43"/>
    <w:rsid w:val="009C6B6D"/>
    <w:rsid w:val="009D225E"/>
    <w:rsid w:val="009F06DD"/>
    <w:rsid w:val="00A16656"/>
    <w:rsid w:val="00A31672"/>
    <w:rsid w:val="00A317F9"/>
    <w:rsid w:val="00A342DC"/>
    <w:rsid w:val="00A35463"/>
    <w:rsid w:val="00A41256"/>
    <w:rsid w:val="00A53206"/>
    <w:rsid w:val="00A56C52"/>
    <w:rsid w:val="00A660A2"/>
    <w:rsid w:val="00A758A2"/>
    <w:rsid w:val="00A84DAA"/>
    <w:rsid w:val="00A86C51"/>
    <w:rsid w:val="00A94615"/>
    <w:rsid w:val="00AB509A"/>
    <w:rsid w:val="00AD79CA"/>
    <w:rsid w:val="00B07BE8"/>
    <w:rsid w:val="00B23741"/>
    <w:rsid w:val="00B303D0"/>
    <w:rsid w:val="00B4381D"/>
    <w:rsid w:val="00B533BB"/>
    <w:rsid w:val="00B546F5"/>
    <w:rsid w:val="00B64FB2"/>
    <w:rsid w:val="00B67D73"/>
    <w:rsid w:val="00B734E1"/>
    <w:rsid w:val="00B816EF"/>
    <w:rsid w:val="00B83E00"/>
    <w:rsid w:val="00B8719B"/>
    <w:rsid w:val="00B878BB"/>
    <w:rsid w:val="00B87A73"/>
    <w:rsid w:val="00B94119"/>
    <w:rsid w:val="00BC4A81"/>
    <w:rsid w:val="00BC7D58"/>
    <w:rsid w:val="00BD2268"/>
    <w:rsid w:val="00BE758B"/>
    <w:rsid w:val="00BF7632"/>
    <w:rsid w:val="00C0139B"/>
    <w:rsid w:val="00C25E31"/>
    <w:rsid w:val="00C3172C"/>
    <w:rsid w:val="00C3204E"/>
    <w:rsid w:val="00C353E7"/>
    <w:rsid w:val="00C4739F"/>
    <w:rsid w:val="00C54749"/>
    <w:rsid w:val="00C559C9"/>
    <w:rsid w:val="00C87AD6"/>
    <w:rsid w:val="00CA7C97"/>
    <w:rsid w:val="00CE38A4"/>
    <w:rsid w:val="00CE51CF"/>
    <w:rsid w:val="00CF1BEC"/>
    <w:rsid w:val="00D01B15"/>
    <w:rsid w:val="00D10F24"/>
    <w:rsid w:val="00D14FB0"/>
    <w:rsid w:val="00D24FB6"/>
    <w:rsid w:val="00D27A3A"/>
    <w:rsid w:val="00D32751"/>
    <w:rsid w:val="00D33414"/>
    <w:rsid w:val="00D35D2B"/>
    <w:rsid w:val="00D40613"/>
    <w:rsid w:val="00D51B94"/>
    <w:rsid w:val="00D64BB1"/>
    <w:rsid w:val="00D76EDA"/>
    <w:rsid w:val="00D87E35"/>
    <w:rsid w:val="00D902CA"/>
    <w:rsid w:val="00D90A7F"/>
    <w:rsid w:val="00D94035"/>
    <w:rsid w:val="00DB22B5"/>
    <w:rsid w:val="00DD0F1C"/>
    <w:rsid w:val="00DD3593"/>
    <w:rsid w:val="00DF47E0"/>
    <w:rsid w:val="00E020E7"/>
    <w:rsid w:val="00E029C5"/>
    <w:rsid w:val="00E05B0B"/>
    <w:rsid w:val="00E066C6"/>
    <w:rsid w:val="00E15E33"/>
    <w:rsid w:val="00E1638D"/>
    <w:rsid w:val="00E17E3E"/>
    <w:rsid w:val="00E253ED"/>
    <w:rsid w:val="00E514AF"/>
    <w:rsid w:val="00E608DB"/>
    <w:rsid w:val="00E96668"/>
    <w:rsid w:val="00EA08C6"/>
    <w:rsid w:val="00EB05DB"/>
    <w:rsid w:val="00ED331E"/>
    <w:rsid w:val="00EE0619"/>
    <w:rsid w:val="00EF005D"/>
    <w:rsid w:val="00EF253F"/>
    <w:rsid w:val="00EF62FA"/>
    <w:rsid w:val="00F03D42"/>
    <w:rsid w:val="00F301EC"/>
    <w:rsid w:val="00F34C7B"/>
    <w:rsid w:val="00F416BD"/>
    <w:rsid w:val="00F47B43"/>
    <w:rsid w:val="00F71080"/>
    <w:rsid w:val="00F85901"/>
    <w:rsid w:val="00F932D1"/>
    <w:rsid w:val="00FA4459"/>
    <w:rsid w:val="00FA5C9A"/>
    <w:rsid w:val="00FB5DF4"/>
    <w:rsid w:val="00FC07AB"/>
    <w:rsid w:val="00FE1A30"/>
    <w:rsid w:val="00FF29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00" w:lineRule="auto"/>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531"/>
    <w:pPr>
      <w:spacing w:after="200" w:line="276" w:lineRule="auto"/>
      <w:ind w:left="0"/>
      <w:jc w:val="left"/>
    </w:pPr>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
    <w:basedOn w:val="Normal"/>
    <w:link w:val="FootnoteTextChar"/>
    <w:unhideWhenUsed/>
    <w:qFormat/>
    <w:rsid w:val="00150531"/>
    <w:pPr>
      <w:spacing w:after="0" w:line="240" w:lineRule="auto"/>
    </w:pPr>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semiHidden/>
    <w:rsid w:val="00150531"/>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nhideWhenUsed/>
    <w:qFormat/>
    <w:rsid w:val="00150531"/>
    <w:rPr>
      <w:vertAlign w:val="superscript"/>
    </w:rPr>
  </w:style>
  <w:style w:type="paragraph" w:styleId="Footer">
    <w:name w:val="footer"/>
    <w:basedOn w:val="Normal"/>
    <w:link w:val="FooterChar"/>
    <w:uiPriority w:val="99"/>
    <w:unhideWhenUsed/>
    <w:rsid w:val="001505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150531"/>
  </w:style>
  <w:style w:type="paragraph" w:styleId="ListParagraph">
    <w:name w:val="List Paragraph"/>
    <w:aliases w:val="Colorful List - Accent 11,Footnote,Párrafo de lista1,List Paragraph2,Lista vistosa - Énfasis 11,Subtle Emphasis1,Footnote1"/>
    <w:basedOn w:val="Normal"/>
    <w:link w:val="ListParagraphChar"/>
    <w:uiPriority w:val="99"/>
    <w:qFormat/>
    <w:rsid w:val="00150531"/>
    <w:pPr>
      <w:ind w:left="720"/>
      <w:contextualSpacing/>
    </w:pPr>
  </w:style>
  <w:style w:type="character" w:styleId="CommentReference">
    <w:name w:val="annotation reference"/>
    <w:basedOn w:val="DefaultParagraphFont"/>
    <w:uiPriority w:val="99"/>
    <w:semiHidden/>
    <w:unhideWhenUsed/>
    <w:rsid w:val="00615C2F"/>
    <w:rPr>
      <w:sz w:val="16"/>
      <w:szCs w:val="16"/>
    </w:rPr>
  </w:style>
  <w:style w:type="paragraph" w:styleId="CommentText">
    <w:name w:val="annotation text"/>
    <w:basedOn w:val="Normal"/>
    <w:link w:val="CommentTextChar"/>
    <w:uiPriority w:val="99"/>
    <w:semiHidden/>
    <w:unhideWhenUsed/>
    <w:rsid w:val="00615C2F"/>
    <w:pPr>
      <w:spacing w:line="240" w:lineRule="auto"/>
    </w:pPr>
    <w:rPr>
      <w:sz w:val="20"/>
      <w:szCs w:val="20"/>
    </w:rPr>
  </w:style>
  <w:style w:type="character" w:customStyle="1" w:styleId="CommentTextChar">
    <w:name w:val="Comment Text Char"/>
    <w:basedOn w:val="DefaultParagraphFont"/>
    <w:link w:val="CommentText"/>
    <w:uiPriority w:val="99"/>
    <w:semiHidden/>
    <w:rsid w:val="00615C2F"/>
    <w:rPr>
      <w:sz w:val="20"/>
      <w:szCs w:val="20"/>
    </w:rPr>
  </w:style>
  <w:style w:type="paragraph" w:styleId="CommentSubject">
    <w:name w:val="annotation subject"/>
    <w:basedOn w:val="CommentText"/>
    <w:next w:val="CommentText"/>
    <w:link w:val="CommentSubjectChar"/>
    <w:uiPriority w:val="99"/>
    <w:semiHidden/>
    <w:unhideWhenUsed/>
    <w:rsid w:val="00615C2F"/>
    <w:rPr>
      <w:b/>
      <w:bCs/>
    </w:rPr>
  </w:style>
  <w:style w:type="character" w:customStyle="1" w:styleId="CommentSubjectChar">
    <w:name w:val="Comment Subject Char"/>
    <w:basedOn w:val="CommentTextChar"/>
    <w:link w:val="CommentSubject"/>
    <w:uiPriority w:val="99"/>
    <w:semiHidden/>
    <w:rsid w:val="00615C2F"/>
    <w:rPr>
      <w:b/>
      <w:bCs/>
      <w:sz w:val="20"/>
      <w:szCs w:val="20"/>
    </w:rPr>
  </w:style>
  <w:style w:type="paragraph" w:styleId="BalloonText">
    <w:name w:val="Balloon Text"/>
    <w:basedOn w:val="Normal"/>
    <w:link w:val="BalloonTextChar"/>
    <w:uiPriority w:val="99"/>
    <w:semiHidden/>
    <w:unhideWhenUsed/>
    <w:rsid w:val="00615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C2F"/>
    <w:rPr>
      <w:rFonts w:ascii="Segoe UI" w:hAnsi="Segoe UI" w:cs="Segoe UI"/>
      <w:sz w:val="18"/>
      <w:szCs w:val="18"/>
    </w:rPr>
  </w:style>
  <w:style w:type="character" w:customStyle="1" w:styleId="ListParagraphChar">
    <w:name w:val="List Paragraph Char"/>
    <w:aliases w:val="Colorful List - Accent 11 Char,Footnote Char,Párrafo de lista1 Char,List Paragraph2 Char,Lista vistosa - Énfasis 11 Char,Subtle Emphasis1 Char,Footnote1 Char"/>
    <w:link w:val="ListParagraph"/>
    <w:uiPriority w:val="99"/>
    <w:rsid w:val="005E4337"/>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notentext Car"/>
    <w:basedOn w:val="DefaultParagraphFont"/>
    <w:uiPriority w:val="99"/>
    <w:qFormat/>
    <w:rsid w:val="00B734E1"/>
    <w:rPr>
      <w:rFonts w:ascii="Verdana" w:eastAsia="Times New Roman" w:hAnsi="Verdana"/>
      <w:sz w:val="16"/>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B734E1"/>
    <w:pPr>
      <w:spacing w:after="0" w:line="240" w:lineRule="auto"/>
      <w:jc w:val="both"/>
    </w:pPr>
    <w:rPr>
      <w:vertAlign w:val="superscript"/>
    </w:rPr>
  </w:style>
  <w:style w:type="paragraph" w:styleId="Revision">
    <w:name w:val="Revision"/>
    <w:hidden/>
    <w:uiPriority w:val="99"/>
    <w:semiHidden/>
    <w:rsid w:val="004921BC"/>
    <w:pPr>
      <w:spacing w:after="0" w:line="240" w:lineRule="auto"/>
      <w:ind w:left="0"/>
      <w:jc w:val="left"/>
    </w:pPr>
    <w:rPr>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00" w:lineRule="auto"/>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531"/>
    <w:pPr>
      <w:spacing w:after="200" w:line="276" w:lineRule="auto"/>
      <w:ind w:left="0"/>
      <w:jc w:val="left"/>
    </w:pPr>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
    <w:basedOn w:val="Normal"/>
    <w:link w:val="FootnoteTextChar"/>
    <w:unhideWhenUsed/>
    <w:qFormat/>
    <w:rsid w:val="00150531"/>
    <w:pPr>
      <w:spacing w:after="0" w:line="240" w:lineRule="auto"/>
    </w:pPr>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semiHidden/>
    <w:rsid w:val="00150531"/>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nhideWhenUsed/>
    <w:qFormat/>
    <w:rsid w:val="00150531"/>
    <w:rPr>
      <w:vertAlign w:val="superscript"/>
    </w:rPr>
  </w:style>
  <w:style w:type="paragraph" w:styleId="Footer">
    <w:name w:val="footer"/>
    <w:basedOn w:val="Normal"/>
    <w:link w:val="FooterChar"/>
    <w:uiPriority w:val="99"/>
    <w:unhideWhenUsed/>
    <w:rsid w:val="001505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150531"/>
  </w:style>
  <w:style w:type="paragraph" w:styleId="ListParagraph">
    <w:name w:val="List Paragraph"/>
    <w:aliases w:val="Colorful List - Accent 11,Footnote,Párrafo de lista1,List Paragraph2,Lista vistosa - Énfasis 11,Subtle Emphasis1,Footnote1"/>
    <w:basedOn w:val="Normal"/>
    <w:link w:val="ListParagraphChar"/>
    <w:uiPriority w:val="99"/>
    <w:qFormat/>
    <w:rsid w:val="00150531"/>
    <w:pPr>
      <w:ind w:left="720"/>
      <w:contextualSpacing/>
    </w:pPr>
  </w:style>
  <w:style w:type="character" w:styleId="CommentReference">
    <w:name w:val="annotation reference"/>
    <w:basedOn w:val="DefaultParagraphFont"/>
    <w:uiPriority w:val="99"/>
    <w:semiHidden/>
    <w:unhideWhenUsed/>
    <w:rsid w:val="00615C2F"/>
    <w:rPr>
      <w:sz w:val="16"/>
      <w:szCs w:val="16"/>
    </w:rPr>
  </w:style>
  <w:style w:type="paragraph" w:styleId="CommentText">
    <w:name w:val="annotation text"/>
    <w:basedOn w:val="Normal"/>
    <w:link w:val="CommentTextChar"/>
    <w:uiPriority w:val="99"/>
    <w:semiHidden/>
    <w:unhideWhenUsed/>
    <w:rsid w:val="00615C2F"/>
    <w:pPr>
      <w:spacing w:line="240" w:lineRule="auto"/>
    </w:pPr>
    <w:rPr>
      <w:sz w:val="20"/>
      <w:szCs w:val="20"/>
    </w:rPr>
  </w:style>
  <w:style w:type="character" w:customStyle="1" w:styleId="CommentTextChar">
    <w:name w:val="Comment Text Char"/>
    <w:basedOn w:val="DefaultParagraphFont"/>
    <w:link w:val="CommentText"/>
    <w:uiPriority w:val="99"/>
    <w:semiHidden/>
    <w:rsid w:val="00615C2F"/>
    <w:rPr>
      <w:sz w:val="20"/>
      <w:szCs w:val="20"/>
    </w:rPr>
  </w:style>
  <w:style w:type="paragraph" w:styleId="CommentSubject">
    <w:name w:val="annotation subject"/>
    <w:basedOn w:val="CommentText"/>
    <w:next w:val="CommentText"/>
    <w:link w:val="CommentSubjectChar"/>
    <w:uiPriority w:val="99"/>
    <w:semiHidden/>
    <w:unhideWhenUsed/>
    <w:rsid w:val="00615C2F"/>
    <w:rPr>
      <w:b/>
      <w:bCs/>
    </w:rPr>
  </w:style>
  <w:style w:type="character" w:customStyle="1" w:styleId="CommentSubjectChar">
    <w:name w:val="Comment Subject Char"/>
    <w:basedOn w:val="CommentTextChar"/>
    <w:link w:val="CommentSubject"/>
    <w:uiPriority w:val="99"/>
    <w:semiHidden/>
    <w:rsid w:val="00615C2F"/>
    <w:rPr>
      <w:b/>
      <w:bCs/>
      <w:sz w:val="20"/>
      <w:szCs w:val="20"/>
    </w:rPr>
  </w:style>
  <w:style w:type="paragraph" w:styleId="BalloonText">
    <w:name w:val="Balloon Text"/>
    <w:basedOn w:val="Normal"/>
    <w:link w:val="BalloonTextChar"/>
    <w:uiPriority w:val="99"/>
    <w:semiHidden/>
    <w:unhideWhenUsed/>
    <w:rsid w:val="00615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C2F"/>
    <w:rPr>
      <w:rFonts w:ascii="Segoe UI" w:hAnsi="Segoe UI" w:cs="Segoe UI"/>
      <w:sz w:val="18"/>
      <w:szCs w:val="18"/>
    </w:rPr>
  </w:style>
  <w:style w:type="character" w:customStyle="1" w:styleId="ListParagraphChar">
    <w:name w:val="List Paragraph Char"/>
    <w:aliases w:val="Colorful List - Accent 11 Char,Footnote Char,Párrafo de lista1 Char,List Paragraph2 Char,Lista vistosa - Énfasis 11 Char,Subtle Emphasis1 Char,Footnote1 Char"/>
    <w:link w:val="ListParagraph"/>
    <w:uiPriority w:val="99"/>
    <w:rsid w:val="005E4337"/>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notentext Car"/>
    <w:basedOn w:val="DefaultParagraphFont"/>
    <w:uiPriority w:val="99"/>
    <w:qFormat/>
    <w:rsid w:val="00B734E1"/>
    <w:rPr>
      <w:rFonts w:ascii="Verdana" w:eastAsia="Times New Roman" w:hAnsi="Verdana"/>
      <w:sz w:val="16"/>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B734E1"/>
    <w:pPr>
      <w:spacing w:after="0" w:line="240" w:lineRule="auto"/>
      <w:jc w:val="both"/>
    </w:pPr>
    <w:rPr>
      <w:vertAlign w:val="superscript"/>
    </w:rPr>
  </w:style>
  <w:style w:type="paragraph" w:styleId="Revision">
    <w:name w:val="Revision"/>
    <w:hidden/>
    <w:uiPriority w:val="99"/>
    <w:semiHidden/>
    <w:rsid w:val="004921BC"/>
    <w:pPr>
      <w:spacing w:after="0" w:line="240" w:lineRule="auto"/>
      <w:ind w:left="0"/>
      <w:jc w:val="left"/>
    </w:pPr>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CDD0-0754-4A63-9BA8-8650F332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19</Pages>
  <Words>6313</Words>
  <Characters>35986</Characters>
  <Application>Microsoft Office Word</Application>
  <DocSecurity>0</DocSecurity>
  <Lines>299</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6</cp:revision>
  <dcterms:created xsi:type="dcterms:W3CDTF">2018-07-10T19:32:00Z</dcterms:created>
  <dcterms:modified xsi:type="dcterms:W3CDTF">2018-07-11T22:34:00Z</dcterms:modified>
</cp:coreProperties>
</file>