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18C4" w14:textId="77777777" w:rsidR="00234CCB" w:rsidRDefault="00234CCB" w:rsidP="00C954F7">
      <w:pPr>
        <w:spacing w:line="240" w:lineRule="auto"/>
        <w:jc w:val="center"/>
        <w:rPr>
          <w:rFonts w:ascii="Verdana" w:hAnsi="Verdana"/>
          <w:b/>
          <w:bCs/>
          <w:sz w:val="20"/>
          <w:szCs w:val="20"/>
          <w:lang w:val="es-MX"/>
        </w:rPr>
      </w:pPr>
      <w:bookmarkStart w:id="0" w:name="_GoBack"/>
      <w:bookmarkEnd w:id="0"/>
    </w:p>
    <w:p w14:paraId="2801DA7E" w14:textId="77777777" w:rsidR="00234CCB" w:rsidRDefault="00234CCB" w:rsidP="00C954F7">
      <w:pPr>
        <w:spacing w:line="240" w:lineRule="auto"/>
        <w:jc w:val="center"/>
        <w:rPr>
          <w:rFonts w:ascii="Verdana" w:hAnsi="Verdana"/>
          <w:b/>
          <w:bCs/>
          <w:sz w:val="20"/>
          <w:szCs w:val="20"/>
          <w:lang w:val="es-MX"/>
        </w:rPr>
      </w:pPr>
    </w:p>
    <w:p w14:paraId="6A27CB98" w14:textId="77777777" w:rsidR="00234CCB" w:rsidRDefault="00234CCB" w:rsidP="00C954F7">
      <w:pPr>
        <w:spacing w:line="240" w:lineRule="auto"/>
        <w:jc w:val="center"/>
        <w:rPr>
          <w:rFonts w:ascii="Verdana" w:hAnsi="Verdana"/>
          <w:b/>
          <w:bCs/>
          <w:sz w:val="20"/>
          <w:szCs w:val="20"/>
          <w:lang w:val="es-MX"/>
        </w:rPr>
      </w:pPr>
    </w:p>
    <w:p w14:paraId="13BA6C6D" w14:textId="77777777" w:rsidR="00234CCB" w:rsidRDefault="00234CCB" w:rsidP="00C954F7">
      <w:pPr>
        <w:spacing w:line="240" w:lineRule="auto"/>
        <w:jc w:val="center"/>
        <w:rPr>
          <w:rFonts w:ascii="Verdana" w:hAnsi="Verdana"/>
          <w:b/>
          <w:bCs/>
          <w:sz w:val="20"/>
          <w:szCs w:val="20"/>
          <w:lang w:val="es-MX"/>
        </w:rPr>
      </w:pPr>
    </w:p>
    <w:p w14:paraId="71DE3BC8" w14:textId="77777777" w:rsidR="00234CCB" w:rsidRDefault="00234CCB" w:rsidP="00C954F7">
      <w:pPr>
        <w:spacing w:line="240" w:lineRule="auto"/>
        <w:jc w:val="center"/>
        <w:rPr>
          <w:rFonts w:ascii="Verdana" w:hAnsi="Verdana"/>
          <w:b/>
          <w:bCs/>
          <w:sz w:val="20"/>
          <w:szCs w:val="20"/>
          <w:lang w:val="es-MX"/>
        </w:rPr>
      </w:pPr>
    </w:p>
    <w:p w14:paraId="5FD433CC" w14:textId="77777777" w:rsidR="00C954F7" w:rsidRDefault="00C954F7" w:rsidP="00C954F7">
      <w:pPr>
        <w:spacing w:line="240" w:lineRule="auto"/>
        <w:jc w:val="center"/>
        <w:rPr>
          <w:rFonts w:ascii="Verdana" w:hAnsi="Verdana"/>
          <w:b/>
          <w:bCs/>
          <w:sz w:val="20"/>
          <w:szCs w:val="20"/>
          <w:lang w:val="es-MX"/>
        </w:rPr>
      </w:pPr>
      <w:r>
        <w:rPr>
          <w:rFonts w:ascii="Verdana" w:hAnsi="Verdana"/>
          <w:b/>
          <w:bCs/>
          <w:sz w:val="20"/>
          <w:szCs w:val="20"/>
          <w:lang w:val="es-MX"/>
        </w:rPr>
        <w:t>VOTO CONCURRENTE DEL JUEZ EDUARDO VIO GROSSI,</w:t>
      </w:r>
    </w:p>
    <w:p w14:paraId="6AD3FB0A" w14:textId="77777777" w:rsidR="00C954F7" w:rsidRPr="008941C6" w:rsidRDefault="00C954F7" w:rsidP="00C954F7">
      <w:pPr>
        <w:spacing w:line="240" w:lineRule="auto"/>
        <w:jc w:val="center"/>
        <w:rPr>
          <w:rFonts w:ascii="Verdana" w:hAnsi="Verdana"/>
          <w:sz w:val="20"/>
          <w:szCs w:val="20"/>
          <w:lang w:val="es-MX"/>
        </w:rPr>
      </w:pPr>
      <w:r w:rsidRPr="008941C6">
        <w:rPr>
          <w:rFonts w:ascii="Verdana" w:hAnsi="Verdana"/>
          <w:b/>
          <w:bCs/>
          <w:sz w:val="20"/>
          <w:szCs w:val="20"/>
          <w:lang w:val="es-MX"/>
        </w:rPr>
        <w:t>CORTE INTERAMERICANA DE DERECHOS HUMANOS</w:t>
      </w:r>
      <w:r>
        <w:rPr>
          <w:rFonts w:ascii="Verdana" w:hAnsi="Verdana"/>
          <w:b/>
          <w:bCs/>
          <w:sz w:val="20"/>
          <w:szCs w:val="20"/>
          <w:lang w:val="es-MX"/>
        </w:rPr>
        <w:t>,</w:t>
      </w:r>
    </w:p>
    <w:p w14:paraId="615297FB" w14:textId="77777777" w:rsidR="00C954F7" w:rsidRPr="008941C6" w:rsidRDefault="00C954F7" w:rsidP="00C954F7">
      <w:pPr>
        <w:spacing w:line="240" w:lineRule="auto"/>
        <w:jc w:val="center"/>
        <w:rPr>
          <w:rFonts w:ascii="Verdana" w:hAnsi="Verdana"/>
          <w:sz w:val="20"/>
          <w:szCs w:val="20"/>
          <w:lang w:val="es-MX"/>
        </w:rPr>
      </w:pPr>
      <w:r w:rsidRPr="008941C6">
        <w:rPr>
          <w:rFonts w:ascii="Verdana" w:hAnsi="Verdana"/>
          <w:b/>
          <w:bCs/>
          <w:sz w:val="20"/>
          <w:szCs w:val="20"/>
          <w:lang w:val="es-MX"/>
        </w:rPr>
        <w:t xml:space="preserve">CASO CARRANZA ALARCÓN </w:t>
      </w:r>
      <w:r w:rsidRPr="00774CDD">
        <w:rPr>
          <w:rFonts w:ascii="Verdana" w:hAnsi="Verdana"/>
          <w:b/>
          <w:bCs/>
          <w:iCs/>
          <w:sz w:val="20"/>
          <w:szCs w:val="20"/>
          <w:lang w:val="es-MX"/>
        </w:rPr>
        <w:t>VS</w:t>
      </w:r>
      <w:r w:rsidRPr="00774CDD">
        <w:rPr>
          <w:rFonts w:ascii="Verdana" w:hAnsi="Verdana"/>
          <w:b/>
          <w:bCs/>
          <w:sz w:val="20"/>
          <w:szCs w:val="20"/>
          <w:lang w:val="es-MX"/>
        </w:rPr>
        <w:t xml:space="preserve">. </w:t>
      </w:r>
      <w:r w:rsidRPr="008941C6">
        <w:rPr>
          <w:rFonts w:ascii="Verdana" w:hAnsi="Verdana"/>
          <w:b/>
          <w:bCs/>
          <w:sz w:val="20"/>
          <w:szCs w:val="20"/>
          <w:lang w:val="es-MX"/>
        </w:rPr>
        <w:t>ECUADOR</w:t>
      </w:r>
      <w:r>
        <w:rPr>
          <w:rFonts w:ascii="Verdana" w:hAnsi="Verdana"/>
          <w:b/>
          <w:bCs/>
          <w:sz w:val="20"/>
          <w:szCs w:val="20"/>
          <w:lang w:val="es-MX"/>
        </w:rPr>
        <w:t>,</w:t>
      </w:r>
    </w:p>
    <w:p w14:paraId="389D6102" w14:textId="77777777" w:rsidR="00C954F7" w:rsidRPr="008941C6" w:rsidRDefault="00C954F7" w:rsidP="00C954F7">
      <w:pPr>
        <w:spacing w:line="240" w:lineRule="auto"/>
        <w:jc w:val="center"/>
        <w:rPr>
          <w:rFonts w:ascii="Verdana" w:hAnsi="Verdana"/>
          <w:sz w:val="20"/>
          <w:szCs w:val="20"/>
          <w:lang w:val="es-MX"/>
        </w:rPr>
      </w:pPr>
      <w:r w:rsidRPr="008941C6">
        <w:rPr>
          <w:rFonts w:ascii="Verdana" w:hAnsi="Verdana"/>
          <w:b/>
          <w:bCs/>
          <w:sz w:val="20"/>
          <w:szCs w:val="20"/>
          <w:lang w:val="es-MX"/>
        </w:rPr>
        <w:t xml:space="preserve">SENTENCIA DE </w:t>
      </w:r>
      <w:r>
        <w:rPr>
          <w:rFonts w:ascii="Verdana" w:hAnsi="Verdana"/>
          <w:b/>
          <w:bCs/>
          <w:sz w:val="20"/>
          <w:szCs w:val="20"/>
          <w:lang w:val="es-MX"/>
        </w:rPr>
        <w:t xml:space="preserve">3 DE FEBRERO </w:t>
      </w:r>
      <w:r w:rsidRPr="008941C6">
        <w:rPr>
          <w:rFonts w:ascii="Verdana" w:hAnsi="Verdana"/>
          <w:b/>
          <w:bCs/>
          <w:sz w:val="20"/>
          <w:szCs w:val="20"/>
          <w:lang w:val="es-MX"/>
        </w:rPr>
        <w:t>DE 20</w:t>
      </w:r>
      <w:r>
        <w:rPr>
          <w:rFonts w:ascii="Verdana" w:hAnsi="Verdana"/>
          <w:b/>
          <w:bCs/>
          <w:sz w:val="20"/>
          <w:szCs w:val="20"/>
          <w:lang w:val="es-MX"/>
        </w:rPr>
        <w:t>20</w:t>
      </w:r>
    </w:p>
    <w:p w14:paraId="089F67FD" w14:textId="1EB1F85D" w:rsidR="00C954F7" w:rsidRDefault="00C954F7" w:rsidP="00C954F7">
      <w:pPr>
        <w:spacing w:line="240" w:lineRule="auto"/>
        <w:jc w:val="center"/>
        <w:rPr>
          <w:rFonts w:ascii="Verdana" w:hAnsi="Verdana"/>
          <w:b/>
          <w:bCs/>
          <w:i/>
          <w:iCs/>
          <w:sz w:val="20"/>
          <w:szCs w:val="20"/>
          <w:lang w:val="es-MX"/>
        </w:rPr>
      </w:pPr>
      <w:r w:rsidRPr="008941C6">
        <w:rPr>
          <w:rFonts w:ascii="Verdana" w:hAnsi="Verdana"/>
          <w:b/>
          <w:bCs/>
          <w:i/>
          <w:iCs/>
          <w:sz w:val="20"/>
          <w:szCs w:val="20"/>
          <w:lang w:val="es-MX"/>
        </w:rPr>
        <w:t>(</w:t>
      </w:r>
      <w:r>
        <w:rPr>
          <w:rFonts w:ascii="Verdana" w:hAnsi="Verdana"/>
          <w:b/>
          <w:bCs/>
          <w:i/>
          <w:iCs/>
          <w:sz w:val="20"/>
          <w:szCs w:val="20"/>
          <w:lang w:val="es-MX"/>
        </w:rPr>
        <w:t xml:space="preserve">Excepciones preliminares, </w:t>
      </w:r>
      <w:r w:rsidRPr="008941C6">
        <w:rPr>
          <w:rFonts w:ascii="Verdana" w:hAnsi="Verdana"/>
          <w:b/>
          <w:bCs/>
          <w:i/>
          <w:iCs/>
          <w:sz w:val="20"/>
          <w:szCs w:val="20"/>
          <w:lang w:val="es-MX"/>
        </w:rPr>
        <w:t xml:space="preserve">Fondo, </w:t>
      </w:r>
      <w:r w:rsidRPr="005B649F">
        <w:rPr>
          <w:rFonts w:ascii="Verdana" w:hAnsi="Verdana"/>
          <w:b/>
          <w:bCs/>
          <w:i/>
          <w:iCs/>
          <w:sz w:val="20"/>
          <w:szCs w:val="20"/>
          <w:lang w:val="es-MX"/>
        </w:rPr>
        <w:t>Reparaciones</w:t>
      </w:r>
      <w:r w:rsidRPr="008941C6">
        <w:rPr>
          <w:rFonts w:ascii="Verdana" w:hAnsi="Verdana"/>
          <w:b/>
          <w:bCs/>
          <w:i/>
          <w:iCs/>
          <w:sz w:val="20"/>
          <w:szCs w:val="20"/>
          <w:lang w:val="es-MX"/>
        </w:rPr>
        <w:t xml:space="preserve"> y Costas)</w:t>
      </w:r>
    </w:p>
    <w:p w14:paraId="66651BB7" w14:textId="77777777" w:rsidR="00C954F7" w:rsidRDefault="00C954F7" w:rsidP="00C954F7">
      <w:pPr>
        <w:spacing w:line="240" w:lineRule="auto"/>
        <w:jc w:val="center"/>
        <w:rPr>
          <w:rFonts w:ascii="Verdana" w:hAnsi="Verdana"/>
          <w:b/>
          <w:bCs/>
          <w:i/>
          <w:iCs/>
          <w:sz w:val="20"/>
          <w:szCs w:val="20"/>
          <w:lang w:val="es-MX"/>
        </w:rPr>
      </w:pPr>
    </w:p>
    <w:p w14:paraId="4FE52E45" w14:textId="77777777" w:rsidR="00C954F7" w:rsidRDefault="00C954F7" w:rsidP="00C954F7">
      <w:pPr>
        <w:spacing w:line="240" w:lineRule="auto"/>
        <w:jc w:val="both"/>
        <w:rPr>
          <w:rFonts w:ascii="Verdana" w:hAnsi="Verdana"/>
          <w:sz w:val="20"/>
          <w:szCs w:val="20"/>
          <w:lang w:val="es-MX"/>
        </w:rPr>
      </w:pPr>
      <w:r>
        <w:rPr>
          <w:rFonts w:ascii="Verdana" w:hAnsi="Verdana"/>
          <w:sz w:val="20"/>
          <w:szCs w:val="20"/>
          <w:lang w:val="es-MX"/>
        </w:rPr>
        <w:t>Se emite el presente voto concurrente con la Sentencia del epígrafe</w:t>
      </w:r>
      <w:r>
        <w:rPr>
          <w:rStyle w:val="Refdenotaalpie"/>
          <w:rFonts w:ascii="Verdana" w:hAnsi="Verdana"/>
          <w:sz w:val="20"/>
          <w:szCs w:val="20"/>
          <w:lang w:val="es-MX"/>
        </w:rPr>
        <w:footnoteReference w:id="1"/>
      </w:r>
      <w:r>
        <w:rPr>
          <w:rFonts w:ascii="Verdana" w:hAnsi="Verdana"/>
          <w:sz w:val="20"/>
          <w:szCs w:val="20"/>
          <w:lang w:val="es-MX"/>
        </w:rPr>
        <w:t xml:space="preserve">, a los efectos de indicar la razón por la que, atendido lo expresado en otros </w:t>
      </w:r>
      <w:r w:rsidR="00286017">
        <w:rPr>
          <w:rFonts w:ascii="Verdana" w:hAnsi="Verdana"/>
          <w:sz w:val="20"/>
          <w:szCs w:val="20"/>
          <w:lang w:val="es-MX"/>
        </w:rPr>
        <w:t xml:space="preserve">de sus </w:t>
      </w:r>
      <w:r>
        <w:rPr>
          <w:rFonts w:ascii="Verdana" w:hAnsi="Verdana"/>
          <w:sz w:val="20"/>
          <w:szCs w:val="20"/>
          <w:lang w:val="es-MX"/>
        </w:rPr>
        <w:t>votos</w:t>
      </w:r>
      <w:r w:rsidR="00286017">
        <w:rPr>
          <w:rFonts w:ascii="Verdana" w:hAnsi="Verdana"/>
          <w:sz w:val="20"/>
          <w:szCs w:val="20"/>
          <w:lang w:val="es-MX"/>
        </w:rPr>
        <w:t xml:space="preserve"> individuales</w:t>
      </w:r>
      <w:r>
        <w:rPr>
          <w:rFonts w:ascii="Verdana" w:hAnsi="Verdana"/>
          <w:sz w:val="20"/>
          <w:szCs w:val="20"/>
          <w:lang w:val="es-MX"/>
        </w:rPr>
        <w:t xml:space="preserve"> sobre la materia</w:t>
      </w:r>
      <w:r>
        <w:rPr>
          <w:rStyle w:val="Refdenotaalpie"/>
          <w:rFonts w:ascii="Verdana" w:hAnsi="Verdana"/>
          <w:sz w:val="20"/>
          <w:szCs w:val="20"/>
          <w:lang w:val="es-MX"/>
        </w:rPr>
        <w:footnoteReference w:id="2"/>
      </w:r>
      <w:r>
        <w:rPr>
          <w:rFonts w:ascii="Verdana" w:hAnsi="Verdana"/>
          <w:sz w:val="20"/>
          <w:szCs w:val="20"/>
          <w:lang w:val="es-MX"/>
        </w:rPr>
        <w:t xml:space="preserve">, </w:t>
      </w:r>
      <w:r w:rsidR="00AD3AF7">
        <w:rPr>
          <w:rFonts w:ascii="Verdana" w:hAnsi="Verdana"/>
          <w:sz w:val="20"/>
          <w:szCs w:val="20"/>
          <w:lang w:val="es-MX"/>
        </w:rPr>
        <w:t xml:space="preserve">el suscrito </w:t>
      </w:r>
      <w:r>
        <w:rPr>
          <w:rFonts w:ascii="Verdana" w:hAnsi="Verdana"/>
          <w:sz w:val="20"/>
          <w:szCs w:val="20"/>
          <w:lang w:val="es-MX"/>
        </w:rPr>
        <w:t>ha votado favorablemente el resolutivo N°1 de aquella</w:t>
      </w:r>
      <w:r>
        <w:rPr>
          <w:rStyle w:val="Refdenotaalpie"/>
          <w:rFonts w:ascii="Verdana" w:hAnsi="Verdana"/>
          <w:sz w:val="20"/>
          <w:szCs w:val="20"/>
          <w:lang w:val="es-MX"/>
        </w:rPr>
        <w:footnoteReference w:id="3"/>
      </w:r>
      <w:r>
        <w:rPr>
          <w:rFonts w:ascii="Verdana" w:hAnsi="Verdana"/>
          <w:sz w:val="20"/>
          <w:szCs w:val="20"/>
          <w:lang w:val="es-MX"/>
        </w:rPr>
        <w:t>.</w:t>
      </w:r>
    </w:p>
    <w:p w14:paraId="3E103539" w14:textId="5BF009E0" w:rsidR="00EE20C6" w:rsidRDefault="00C954F7" w:rsidP="00C954F7">
      <w:pPr>
        <w:spacing w:line="240" w:lineRule="auto"/>
        <w:jc w:val="both"/>
        <w:rPr>
          <w:rFonts w:ascii="Verdana" w:hAnsi="Verdana"/>
          <w:sz w:val="20"/>
          <w:szCs w:val="20"/>
          <w:lang w:val="es-MX"/>
        </w:rPr>
      </w:pPr>
      <w:r>
        <w:rPr>
          <w:rFonts w:ascii="Verdana" w:hAnsi="Verdana"/>
          <w:sz w:val="20"/>
          <w:szCs w:val="20"/>
          <w:lang w:val="es-MX"/>
        </w:rPr>
        <w:lastRenderedPageBreak/>
        <w:t>Dich</w:t>
      </w:r>
      <w:r w:rsidR="00395BB1">
        <w:rPr>
          <w:rFonts w:ascii="Verdana" w:hAnsi="Verdana"/>
          <w:sz w:val="20"/>
          <w:szCs w:val="20"/>
          <w:lang w:val="es-MX"/>
        </w:rPr>
        <w:t>o motivo</w:t>
      </w:r>
      <w:r>
        <w:rPr>
          <w:rFonts w:ascii="Verdana" w:hAnsi="Verdana"/>
          <w:sz w:val="20"/>
          <w:szCs w:val="20"/>
          <w:lang w:val="es-MX"/>
        </w:rPr>
        <w:t xml:space="preserve"> dice relación con la </w:t>
      </w:r>
      <w:r w:rsidR="00426633">
        <w:rPr>
          <w:rFonts w:ascii="Verdana" w:hAnsi="Verdana"/>
          <w:sz w:val="20"/>
          <w:szCs w:val="20"/>
          <w:lang w:val="es-MX"/>
        </w:rPr>
        <w:t xml:space="preserve">resolución de la </w:t>
      </w:r>
      <w:r w:rsidR="00426633" w:rsidRPr="00395BB1">
        <w:rPr>
          <w:rFonts w:ascii="Verdana" w:hAnsi="Verdana"/>
          <w:i/>
          <w:iCs/>
          <w:sz w:val="20"/>
          <w:szCs w:val="20"/>
          <w:lang w:val="es-MX"/>
        </w:rPr>
        <w:t>litis</w:t>
      </w:r>
      <w:r w:rsidR="00426633">
        <w:rPr>
          <w:rFonts w:ascii="Verdana" w:hAnsi="Verdana"/>
          <w:sz w:val="20"/>
          <w:szCs w:val="20"/>
          <w:lang w:val="es-MX"/>
        </w:rPr>
        <w:t xml:space="preserve"> trabada acerca del cumplimiento del requisito del previo agotamiento de los recursos internos. Al respecto, cabe consignar</w:t>
      </w:r>
      <w:r w:rsidR="00EF5791">
        <w:rPr>
          <w:rFonts w:ascii="Verdana" w:hAnsi="Verdana"/>
          <w:sz w:val="20"/>
          <w:szCs w:val="20"/>
          <w:lang w:val="es-MX"/>
        </w:rPr>
        <w:t>, por de pronto,</w:t>
      </w:r>
      <w:r w:rsidR="00426633">
        <w:rPr>
          <w:rFonts w:ascii="Verdana" w:hAnsi="Verdana"/>
          <w:sz w:val="20"/>
          <w:szCs w:val="20"/>
          <w:lang w:val="es-MX"/>
        </w:rPr>
        <w:t xml:space="preserve"> </w:t>
      </w:r>
      <w:r>
        <w:rPr>
          <w:rFonts w:ascii="Verdana" w:hAnsi="Verdana"/>
          <w:sz w:val="20"/>
          <w:szCs w:val="20"/>
          <w:lang w:val="es-MX"/>
        </w:rPr>
        <w:t>que e</w:t>
      </w:r>
      <w:r w:rsidR="000165D7">
        <w:rPr>
          <w:rFonts w:ascii="Verdana" w:hAnsi="Verdana"/>
          <w:sz w:val="20"/>
          <w:szCs w:val="20"/>
          <w:lang w:val="es-MX"/>
        </w:rPr>
        <w:t xml:space="preserve">n la petición </w:t>
      </w:r>
      <w:r w:rsidR="00190DEC">
        <w:rPr>
          <w:rFonts w:ascii="Verdana" w:hAnsi="Verdana"/>
          <w:sz w:val="20"/>
          <w:szCs w:val="20"/>
          <w:lang w:val="es-MX"/>
        </w:rPr>
        <w:t>recibida</w:t>
      </w:r>
      <w:r w:rsidR="000165D7">
        <w:rPr>
          <w:rFonts w:ascii="Verdana" w:hAnsi="Verdana"/>
          <w:sz w:val="20"/>
          <w:szCs w:val="20"/>
          <w:lang w:val="es-MX"/>
        </w:rPr>
        <w:t xml:space="preserve"> </w:t>
      </w:r>
      <w:r w:rsidR="00663F88">
        <w:rPr>
          <w:rFonts w:ascii="Verdana" w:hAnsi="Verdana"/>
          <w:sz w:val="20"/>
          <w:szCs w:val="20"/>
          <w:lang w:val="es-MX"/>
        </w:rPr>
        <w:t xml:space="preserve">en </w:t>
      </w:r>
      <w:r w:rsidR="000165D7">
        <w:rPr>
          <w:rFonts w:ascii="Verdana" w:hAnsi="Verdana"/>
          <w:sz w:val="20"/>
          <w:szCs w:val="20"/>
          <w:lang w:val="es-MX"/>
        </w:rPr>
        <w:t>la Comisión Interamericana de Derechos Humanos</w:t>
      </w:r>
      <w:r w:rsidR="000165D7">
        <w:rPr>
          <w:rStyle w:val="Refdenotaalpie"/>
          <w:rFonts w:ascii="Verdana" w:hAnsi="Verdana"/>
          <w:sz w:val="20"/>
          <w:szCs w:val="20"/>
          <w:lang w:val="es-MX"/>
        </w:rPr>
        <w:footnoteReference w:id="4"/>
      </w:r>
      <w:r>
        <w:rPr>
          <w:rFonts w:ascii="Verdana" w:hAnsi="Verdana"/>
          <w:sz w:val="20"/>
          <w:szCs w:val="20"/>
          <w:lang w:val="es-MX"/>
        </w:rPr>
        <w:t xml:space="preserve"> </w:t>
      </w:r>
      <w:r w:rsidR="000165D7">
        <w:rPr>
          <w:rFonts w:ascii="Verdana" w:hAnsi="Verdana"/>
          <w:sz w:val="20"/>
          <w:szCs w:val="20"/>
          <w:lang w:val="es-MX"/>
        </w:rPr>
        <w:t>el</w:t>
      </w:r>
      <w:r w:rsidR="00190DEC">
        <w:rPr>
          <w:rFonts w:ascii="Verdana" w:hAnsi="Verdana"/>
          <w:sz w:val="20"/>
          <w:szCs w:val="20"/>
          <w:lang w:val="es-MX"/>
        </w:rPr>
        <w:t xml:space="preserve"> 5 </w:t>
      </w:r>
      <w:r w:rsidR="000165D7">
        <w:rPr>
          <w:rFonts w:ascii="Verdana" w:hAnsi="Verdana"/>
          <w:sz w:val="20"/>
          <w:szCs w:val="20"/>
          <w:lang w:val="es-MX"/>
        </w:rPr>
        <w:t>de</w:t>
      </w:r>
      <w:r w:rsidR="00190DEC">
        <w:rPr>
          <w:rFonts w:ascii="Verdana" w:hAnsi="Verdana"/>
          <w:sz w:val="20"/>
          <w:szCs w:val="20"/>
          <w:lang w:val="es-MX"/>
        </w:rPr>
        <w:t xml:space="preserve"> abril </w:t>
      </w:r>
      <w:r w:rsidR="000165D7">
        <w:rPr>
          <w:rFonts w:ascii="Verdana" w:hAnsi="Verdana"/>
          <w:sz w:val="20"/>
          <w:szCs w:val="20"/>
          <w:lang w:val="es-MX"/>
        </w:rPr>
        <w:t>de</w:t>
      </w:r>
      <w:r w:rsidR="006D48BF">
        <w:rPr>
          <w:rFonts w:ascii="Verdana" w:hAnsi="Verdana"/>
          <w:sz w:val="20"/>
          <w:szCs w:val="20"/>
          <w:lang w:val="es-MX"/>
        </w:rPr>
        <w:t xml:space="preserve"> 19</w:t>
      </w:r>
      <w:r w:rsidR="00A8426D">
        <w:rPr>
          <w:rFonts w:ascii="Verdana" w:hAnsi="Verdana"/>
          <w:sz w:val="20"/>
          <w:szCs w:val="20"/>
          <w:lang w:val="es-MX"/>
        </w:rPr>
        <w:t>9</w:t>
      </w:r>
      <w:r w:rsidR="006D48BF">
        <w:rPr>
          <w:rFonts w:ascii="Verdana" w:hAnsi="Verdana"/>
          <w:sz w:val="20"/>
          <w:szCs w:val="20"/>
          <w:lang w:val="es-MX"/>
        </w:rPr>
        <w:t>8</w:t>
      </w:r>
      <w:r w:rsidR="000165D7">
        <w:rPr>
          <w:rStyle w:val="Refdenotaalpie"/>
          <w:rFonts w:ascii="Verdana" w:hAnsi="Verdana"/>
          <w:sz w:val="20"/>
          <w:szCs w:val="20"/>
          <w:lang w:val="es-MX"/>
        </w:rPr>
        <w:footnoteReference w:id="5"/>
      </w:r>
      <w:r w:rsidR="000165D7">
        <w:rPr>
          <w:rFonts w:ascii="Verdana" w:hAnsi="Verdana"/>
          <w:sz w:val="20"/>
          <w:szCs w:val="20"/>
          <w:lang w:val="es-MX"/>
        </w:rPr>
        <w:t xml:space="preserve">, </w:t>
      </w:r>
      <w:r>
        <w:rPr>
          <w:rFonts w:ascii="Verdana" w:hAnsi="Verdana"/>
          <w:sz w:val="20"/>
          <w:szCs w:val="20"/>
          <w:lang w:val="es-MX"/>
        </w:rPr>
        <w:t xml:space="preserve">no </w:t>
      </w:r>
      <w:r w:rsidR="000165D7">
        <w:rPr>
          <w:rFonts w:ascii="Verdana" w:hAnsi="Verdana"/>
          <w:sz w:val="20"/>
          <w:szCs w:val="20"/>
          <w:lang w:val="es-MX"/>
        </w:rPr>
        <w:t xml:space="preserve">se </w:t>
      </w:r>
      <w:r>
        <w:rPr>
          <w:rFonts w:ascii="Verdana" w:hAnsi="Verdana"/>
          <w:sz w:val="20"/>
          <w:szCs w:val="20"/>
          <w:lang w:val="es-MX"/>
        </w:rPr>
        <w:t xml:space="preserve">proporcionó información alguna sobre </w:t>
      </w:r>
      <w:r w:rsidR="00426633">
        <w:rPr>
          <w:rFonts w:ascii="Verdana" w:hAnsi="Verdana"/>
          <w:sz w:val="20"/>
          <w:szCs w:val="20"/>
          <w:lang w:val="es-MX"/>
        </w:rPr>
        <w:t>tal cuestión</w:t>
      </w:r>
      <w:r w:rsidR="000165D7">
        <w:rPr>
          <w:rFonts w:ascii="Verdana" w:hAnsi="Verdana"/>
          <w:sz w:val="20"/>
          <w:szCs w:val="20"/>
          <w:lang w:val="es-MX"/>
        </w:rPr>
        <w:t>, vulnerando así lo prescrito en los artículos</w:t>
      </w:r>
      <w:r w:rsidR="006D48BF">
        <w:rPr>
          <w:rFonts w:ascii="Verdana" w:hAnsi="Verdana"/>
          <w:sz w:val="20"/>
          <w:szCs w:val="20"/>
          <w:lang w:val="es-MX"/>
        </w:rPr>
        <w:t xml:space="preserve"> 46.1.a)</w:t>
      </w:r>
      <w:r w:rsidR="006D48BF">
        <w:rPr>
          <w:rStyle w:val="Refdenotaalpie"/>
          <w:rFonts w:ascii="Verdana" w:hAnsi="Verdana"/>
          <w:sz w:val="20"/>
          <w:szCs w:val="20"/>
          <w:lang w:val="es-MX"/>
        </w:rPr>
        <w:footnoteReference w:id="6"/>
      </w:r>
      <w:r w:rsidR="006D48BF">
        <w:rPr>
          <w:rFonts w:ascii="Verdana" w:hAnsi="Verdana"/>
          <w:sz w:val="20"/>
          <w:szCs w:val="20"/>
          <w:lang w:val="es-MX"/>
        </w:rPr>
        <w:t xml:space="preserve"> </w:t>
      </w:r>
      <w:r w:rsidR="000165D7">
        <w:rPr>
          <w:rFonts w:ascii="Verdana" w:hAnsi="Verdana"/>
          <w:sz w:val="20"/>
          <w:szCs w:val="20"/>
          <w:lang w:val="es-MX"/>
        </w:rPr>
        <w:t>de la Convención Americana sobre Derechos Humanos</w:t>
      </w:r>
      <w:r w:rsidR="000165D7">
        <w:rPr>
          <w:rStyle w:val="Refdenotaalpie"/>
          <w:rFonts w:ascii="Verdana" w:hAnsi="Verdana"/>
          <w:sz w:val="20"/>
          <w:szCs w:val="20"/>
          <w:lang w:val="es-MX"/>
        </w:rPr>
        <w:footnoteReference w:id="7"/>
      </w:r>
      <w:r w:rsidR="000165D7">
        <w:rPr>
          <w:rFonts w:ascii="Verdana" w:hAnsi="Verdana"/>
          <w:sz w:val="20"/>
          <w:szCs w:val="20"/>
          <w:lang w:val="es-MX"/>
        </w:rPr>
        <w:t xml:space="preserve"> </w:t>
      </w:r>
      <w:r w:rsidR="004B63A0">
        <w:rPr>
          <w:rFonts w:ascii="Verdana" w:hAnsi="Verdana"/>
          <w:sz w:val="20"/>
          <w:szCs w:val="20"/>
          <w:lang w:val="es-MX"/>
        </w:rPr>
        <w:t>y 28.8</w:t>
      </w:r>
      <w:r w:rsidR="00211417">
        <w:rPr>
          <w:rStyle w:val="Refdenotaalpie"/>
          <w:rFonts w:ascii="Verdana" w:hAnsi="Verdana"/>
          <w:sz w:val="20"/>
          <w:szCs w:val="20"/>
          <w:lang w:val="es-MX"/>
        </w:rPr>
        <w:footnoteReference w:id="8"/>
      </w:r>
      <w:r w:rsidR="004B63A0">
        <w:rPr>
          <w:rFonts w:ascii="Verdana" w:hAnsi="Verdana"/>
          <w:sz w:val="20"/>
          <w:szCs w:val="20"/>
          <w:lang w:val="es-MX"/>
        </w:rPr>
        <w:t xml:space="preserve"> </w:t>
      </w:r>
      <w:r w:rsidR="000165D7">
        <w:rPr>
          <w:rFonts w:ascii="Verdana" w:hAnsi="Verdana"/>
          <w:sz w:val="20"/>
          <w:szCs w:val="20"/>
          <w:lang w:val="es-MX"/>
        </w:rPr>
        <w:t>del Reglamento de la Co</w:t>
      </w:r>
      <w:r w:rsidR="004B63A0">
        <w:rPr>
          <w:rFonts w:ascii="Verdana" w:hAnsi="Verdana"/>
          <w:sz w:val="20"/>
          <w:szCs w:val="20"/>
          <w:lang w:val="es-MX"/>
        </w:rPr>
        <w:t>misión</w:t>
      </w:r>
      <w:r w:rsidR="007D5B5B">
        <w:rPr>
          <w:rFonts w:ascii="Verdana" w:hAnsi="Verdana"/>
          <w:sz w:val="20"/>
          <w:szCs w:val="20"/>
          <w:lang w:val="es-MX"/>
        </w:rPr>
        <w:t xml:space="preserve"> y </w:t>
      </w:r>
      <w:r w:rsidR="00EF5791">
        <w:rPr>
          <w:rFonts w:ascii="Verdana" w:hAnsi="Verdana"/>
          <w:sz w:val="20"/>
          <w:szCs w:val="20"/>
          <w:lang w:val="es-MX"/>
        </w:rPr>
        <w:t xml:space="preserve">enseguida, </w:t>
      </w:r>
      <w:r w:rsidR="007D5B5B">
        <w:rPr>
          <w:rFonts w:ascii="Verdana" w:hAnsi="Verdana"/>
          <w:sz w:val="20"/>
          <w:szCs w:val="20"/>
          <w:lang w:val="es-MX"/>
        </w:rPr>
        <w:t xml:space="preserve">que no consta en autos </w:t>
      </w:r>
      <w:r w:rsidR="000165D7">
        <w:rPr>
          <w:rFonts w:ascii="Verdana" w:hAnsi="Verdana"/>
          <w:sz w:val="20"/>
          <w:szCs w:val="20"/>
          <w:lang w:val="es-MX"/>
        </w:rPr>
        <w:t xml:space="preserve">que </w:t>
      </w:r>
      <w:r w:rsidR="007D5B5B">
        <w:rPr>
          <w:rFonts w:ascii="Verdana" w:hAnsi="Verdana"/>
          <w:sz w:val="20"/>
          <w:szCs w:val="20"/>
          <w:lang w:val="es-MX"/>
        </w:rPr>
        <w:t>ésta</w:t>
      </w:r>
      <w:r w:rsidR="000165D7">
        <w:rPr>
          <w:rFonts w:ascii="Verdana" w:hAnsi="Verdana"/>
          <w:sz w:val="20"/>
          <w:szCs w:val="20"/>
          <w:lang w:val="es-MX"/>
        </w:rPr>
        <w:t xml:space="preserve"> haya realizado el </w:t>
      </w:r>
      <w:r w:rsidR="00640ABA">
        <w:rPr>
          <w:rFonts w:ascii="Verdana" w:hAnsi="Verdana"/>
          <w:sz w:val="20"/>
          <w:szCs w:val="20"/>
          <w:lang w:val="es-MX"/>
        </w:rPr>
        <w:t xml:space="preserve">primer </w:t>
      </w:r>
      <w:r w:rsidR="000165D7">
        <w:rPr>
          <w:rFonts w:ascii="Verdana" w:hAnsi="Verdana"/>
          <w:sz w:val="20"/>
          <w:szCs w:val="20"/>
          <w:lang w:val="es-MX"/>
        </w:rPr>
        <w:t xml:space="preserve">control sobre el cumplimiento de dicho requisito, tal como lo mandata el artículo </w:t>
      </w:r>
      <w:r w:rsidR="004B63A0">
        <w:rPr>
          <w:rFonts w:ascii="Verdana" w:hAnsi="Verdana"/>
          <w:sz w:val="20"/>
          <w:szCs w:val="20"/>
          <w:lang w:val="es-MX"/>
        </w:rPr>
        <w:t xml:space="preserve">26 </w:t>
      </w:r>
      <w:r w:rsidR="000165D7">
        <w:rPr>
          <w:rFonts w:ascii="Verdana" w:hAnsi="Verdana"/>
          <w:sz w:val="20"/>
          <w:szCs w:val="20"/>
          <w:lang w:val="es-MX"/>
        </w:rPr>
        <w:t>de</w:t>
      </w:r>
      <w:r w:rsidR="00EF5791">
        <w:rPr>
          <w:rFonts w:ascii="Verdana" w:hAnsi="Verdana"/>
          <w:sz w:val="20"/>
          <w:szCs w:val="20"/>
          <w:lang w:val="es-MX"/>
        </w:rPr>
        <w:t>l mismo</w:t>
      </w:r>
      <w:r w:rsidR="000165D7">
        <w:rPr>
          <w:rFonts w:ascii="Verdana" w:hAnsi="Verdana"/>
          <w:sz w:val="20"/>
          <w:szCs w:val="20"/>
          <w:lang w:val="es-MX"/>
        </w:rPr>
        <w:t xml:space="preserve"> Reglamento</w:t>
      </w:r>
      <w:r w:rsidR="004B63A0">
        <w:rPr>
          <w:rStyle w:val="Refdenotaalpie"/>
          <w:rFonts w:ascii="Verdana" w:hAnsi="Verdana"/>
          <w:sz w:val="20"/>
          <w:szCs w:val="20"/>
          <w:lang w:val="es-MX"/>
        </w:rPr>
        <w:footnoteReference w:id="9"/>
      </w:r>
      <w:r w:rsidR="00426633">
        <w:rPr>
          <w:rFonts w:ascii="Verdana" w:hAnsi="Verdana"/>
          <w:sz w:val="20"/>
          <w:szCs w:val="20"/>
          <w:lang w:val="es-MX"/>
        </w:rPr>
        <w:t>.</w:t>
      </w:r>
      <w:r w:rsidR="00663F88">
        <w:rPr>
          <w:rFonts w:ascii="Verdana" w:hAnsi="Verdana"/>
          <w:sz w:val="20"/>
          <w:szCs w:val="20"/>
          <w:lang w:val="es-MX"/>
        </w:rPr>
        <w:t xml:space="preserve"> </w:t>
      </w:r>
      <w:r w:rsidR="00EF5791">
        <w:rPr>
          <w:rFonts w:ascii="Verdana" w:hAnsi="Verdana"/>
          <w:sz w:val="20"/>
          <w:szCs w:val="20"/>
          <w:lang w:val="es-MX"/>
        </w:rPr>
        <w:t>Igualmente</w:t>
      </w:r>
      <w:r w:rsidR="0060210B">
        <w:rPr>
          <w:rFonts w:ascii="Verdana" w:hAnsi="Verdana"/>
          <w:sz w:val="20"/>
          <w:szCs w:val="20"/>
          <w:lang w:val="es-MX"/>
        </w:rPr>
        <w:t>, se debe tener presente</w:t>
      </w:r>
      <w:r w:rsidR="00663F88">
        <w:rPr>
          <w:rFonts w:ascii="Verdana" w:hAnsi="Verdana"/>
          <w:sz w:val="20"/>
          <w:szCs w:val="20"/>
          <w:lang w:val="es-MX"/>
        </w:rPr>
        <w:t>, por una parte,</w:t>
      </w:r>
      <w:r w:rsidR="0060210B">
        <w:rPr>
          <w:rFonts w:ascii="Verdana" w:hAnsi="Verdana"/>
          <w:sz w:val="20"/>
          <w:szCs w:val="20"/>
          <w:lang w:val="es-MX"/>
        </w:rPr>
        <w:t xml:space="preserve"> que </w:t>
      </w:r>
      <w:r w:rsidR="000165D7">
        <w:rPr>
          <w:rFonts w:ascii="Verdana" w:hAnsi="Verdana"/>
          <w:sz w:val="20"/>
          <w:szCs w:val="20"/>
          <w:lang w:val="es-MX"/>
        </w:rPr>
        <w:t>el Estado</w:t>
      </w:r>
      <w:r w:rsidR="005628C2">
        <w:rPr>
          <w:rFonts w:ascii="Verdana" w:hAnsi="Verdana"/>
          <w:sz w:val="20"/>
          <w:szCs w:val="20"/>
          <w:lang w:val="es-MX"/>
        </w:rPr>
        <w:t>,</w:t>
      </w:r>
      <w:r w:rsidR="000165D7">
        <w:rPr>
          <w:rFonts w:ascii="Verdana" w:hAnsi="Verdana"/>
          <w:sz w:val="20"/>
          <w:szCs w:val="20"/>
          <w:lang w:val="es-MX"/>
        </w:rPr>
        <w:t xml:space="preserve"> d</w:t>
      </w:r>
      <w:r w:rsidR="005628C2">
        <w:rPr>
          <w:rFonts w:ascii="Verdana" w:hAnsi="Verdana"/>
          <w:sz w:val="20"/>
          <w:szCs w:val="20"/>
          <w:lang w:val="es-MX"/>
        </w:rPr>
        <w:t>ando</w:t>
      </w:r>
      <w:r w:rsidR="000165D7">
        <w:rPr>
          <w:rFonts w:ascii="Verdana" w:hAnsi="Verdana"/>
          <w:sz w:val="20"/>
          <w:szCs w:val="20"/>
          <w:lang w:val="es-MX"/>
        </w:rPr>
        <w:t xml:space="preserve">, con fecha </w:t>
      </w:r>
      <w:r w:rsidR="005A4BC2">
        <w:rPr>
          <w:rFonts w:ascii="Verdana" w:hAnsi="Verdana"/>
          <w:sz w:val="20"/>
          <w:szCs w:val="20"/>
          <w:lang w:val="es-MX"/>
        </w:rPr>
        <w:t xml:space="preserve">18 </w:t>
      </w:r>
      <w:r w:rsidR="000165D7">
        <w:rPr>
          <w:rFonts w:ascii="Verdana" w:hAnsi="Verdana"/>
          <w:sz w:val="20"/>
          <w:szCs w:val="20"/>
          <w:lang w:val="es-MX"/>
        </w:rPr>
        <w:t>de</w:t>
      </w:r>
      <w:r w:rsidR="005A4BC2">
        <w:rPr>
          <w:rFonts w:ascii="Verdana" w:hAnsi="Verdana"/>
          <w:sz w:val="20"/>
          <w:szCs w:val="20"/>
          <w:lang w:val="es-MX"/>
        </w:rPr>
        <w:t xml:space="preserve"> octubre </w:t>
      </w:r>
      <w:r w:rsidR="000165D7">
        <w:rPr>
          <w:rFonts w:ascii="Verdana" w:hAnsi="Verdana"/>
          <w:sz w:val="20"/>
          <w:szCs w:val="20"/>
          <w:lang w:val="es-MX"/>
        </w:rPr>
        <w:t xml:space="preserve">de </w:t>
      </w:r>
      <w:r w:rsidR="005A4BC2">
        <w:rPr>
          <w:rFonts w:ascii="Verdana" w:hAnsi="Verdana"/>
          <w:sz w:val="20"/>
          <w:szCs w:val="20"/>
          <w:lang w:val="es-MX"/>
        </w:rPr>
        <w:t>1999</w:t>
      </w:r>
      <w:r w:rsidR="003C6444">
        <w:rPr>
          <w:rFonts w:ascii="Verdana" w:hAnsi="Verdana"/>
          <w:sz w:val="20"/>
          <w:szCs w:val="20"/>
          <w:lang w:val="es-MX"/>
        </w:rPr>
        <w:t xml:space="preserve"> </w:t>
      </w:r>
      <w:r w:rsidR="00AD3AF7">
        <w:rPr>
          <w:rFonts w:ascii="Verdana" w:hAnsi="Verdana"/>
          <w:sz w:val="20"/>
          <w:szCs w:val="20"/>
          <w:lang w:val="es-MX"/>
        </w:rPr>
        <w:t>y</w:t>
      </w:r>
      <w:r w:rsidR="00EF5791">
        <w:rPr>
          <w:rFonts w:ascii="Verdana" w:hAnsi="Verdana"/>
          <w:sz w:val="20"/>
          <w:szCs w:val="20"/>
          <w:lang w:val="es-MX"/>
        </w:rPr>
        <w:t xml:space="preserve"> </w:t>
      </w:r>
      <w:r w:rsidR="00AD3AF7">
        <w:rPr>
          <w:rFonts w:ascii="Verdana" w:hAnsi="Verdana"/>
          <w:sz w:val="20"/>
          <w:szCs w:val="20"/>
          <w:lang w:val="es-MX"/>
        </w:rPr>
        <w:t xml:space="preserve">de acuerdo a lo dispuesto en los artículos </w:t>
      </w:r>
      <w:r w:rsidR="003C6444">
        <w:rPr>
          <w:rFonts w:ascii="Verdana" w:hAnsi="Verdana"/>
          <w:sz w:val="20"/>
          <w:szCs w:val="20"/>
          <w:lang w:val="es-MX"/>
        </w:rPr>
        <w:t>48.1.a)</w:t>
      </w:r>
      <w:r w:rsidR="003C6444">
        <w:rPr>
          <w:rStyle w:val="Refdenotaalpie"/>
          <w:rFonts w:ascii="Verdana" w:hAnsi="Verdana"/>
          <w:sz w:val="20"/>
          <w:szCs w:val="20"/>
          <w:lang w:val="es-MX"/>
        </w:rPr>
        <w:footnoteReference w:id="10"/>
      </w:r>
      <w:r w:rsidR="00AD3AF7">
        <w:rPr>
          <w:rFonts w:ascii="Verdana" w:hAnsi="Verdana"/>
          <w:sz w:val="20"/>
          <w:szCs w:val="20"/>
          <w:lang w:val="es-MX"/>
        </w:rPr>
        <w:t xml:space="preserve"> de </w:t>
      </w:r>
      <w:r w:rsidR="0060210B">
        <w:rPr>
          <w:rFonts w:ascii="Verdana" w:hAnsi="Verdana"/>
          <w:sz w:val="20"/>
          <w:szCs w:val="20"/>
          <w:lang w:val="es-MX"/>
        </w:rPr>
        <w:t>l</w:t>
      </w:r>
      <w:r w:rsidR="00AD3AF7">
        <w:rPr>
          <w:rFonts w:ascii="Verdana" w:hAnsi="Verdana"/>
          <w:sz w:val="20"/>
          <w:szCs w:val="20"/>
          <w:lang w:val="es-MX"/>
        </w:rPr>
        <w:t>a Convención y</w:t>
      </w:r>
      <w:r w:rsidR="006438E1">
        <w:rPr>
          <w:rFonts w:ascii="Verdana" w:hAnsi="Verdana"/>
          <w:sz w:val="20"/>
          <w:szCs w:val="20"/>
          <w:lang w:val="es-MX"/>
        </w:rPr>
        <w:t xml:space="preserve"> </w:t>
      </w:r>
      <w:r w:rsidR="002235AB">
        <w:rPr>
          <w:rFonts w:ascii="Verdana" w:hAnsi="Verdana"/>
          <w:sz w:val="20"/>
          <w:szCs w:val="20"/>
          <w:lang w:val="es-MX"/>
        </w:rPr>
        <w:t>30.2.3</w:t>
      </w:r>
      <w:r w:rsidR="002235AB">
        <w:rPr>
          <w:rStyle w:val="Refdenotaalpie"/>
          <w:rFonts w:ascii="Verdana" w:hAnsi="Verdana"/>
          <w:sz w:val="20"/>
          <w:szCs w:val="20"/>
          <w:lang w:val="es-MX"/>
        </w:rPr>
        <w:footnoteReference w:id="11"/>
      </w:r>
      <w:r w:rsidR="00EF5791">
        <w:rPr>
          <w:rFonts w:ascii="Verdana" w:hAnsi="Verdana"/>
          <w:sz w:val="20"/>
          <w:szCs w:val="20"/>
          <w:lang w:val="es-MX"/>
        </w:rPr>
        <w:t xml:space="preserve"> </w:t>
      </w:r>
      <w:r w:rsidR="00AD3AF7">
        <w:rPr>
          <w:rFonts w:ascii="Verdana" w:hAnsi="Verdana"/>
          <w:sz w:val="20"/>
          <w:szCs w:val="20"/>
          <w:lang w:val="es-MX"/>
        </w:rPr>
        <w:t xml:space="preserve">del </w:t>
      </w:r>
      <w:r w:rsidR="00EF5791">
        <w:rPr>
          <w:rFonts w:ascii="Verdana" w:hAnsi="Verdana"/>
          <w:sz w:val="20"/>
          <w:szCs w:val="20"/>
          <w:lang w:val="es-MX"/>
        </w:rPr>
        <w:t xml:space="preserve">antes mencionado </w:t>
      </w:r>
      <w:r w:rsidR="00AD3AF7">
        <w:rPr>
          <w:rFonts w:ascii="Verdana" w:hAnsi="Verdana"/>
          <w:sz w:val="20"/>
          <w:szCs w:val="20"/>
          <w:lang w:val="es-MX"/>
        </w:rPr>
        <w:t>Reglamento</w:t>
      </w:r>
      <w:r w:rsidR="000165D7">
        <w:rPr>
          <w:rFonts w:ascii="Verdana" w:hAnsi="Verdana"/>
          <w:sz w:val="20"/>
          <w:szCs w:val="20"/>
          <w:lang w:val="es-MX"/>
        </w:rPr>
        <w:t xml:space="preserve">, </w:t>
      </w:r>
      <w:r w:rsidR="00AD3AF7">
        <w:rPr>
          <w:rFonts w:ascii="Verdana" w:hAnsi="Verdana"/>
          <w:sz w:val="20"/>
          <w:szCs w:val="20"/>
          <w:lang w:val="es-MX"/>
        </w:rPr>
        <w:t xml:space="preserve">oportuna </w:t>
      </w:r>
      <w:r w:rsidR="000165D7">
        <w:rPr>
          <w:rFonts w:ascii="Verdana" w:hAnsi="Verdana"/>
          <w:sz w:val="20"/>
          <w:szCs w:val="20"/>
          <w:lang w:val="es-MX"/>
        </w:rPr>
        <w:t>respuesta a ese requerimiento</w:t>
      </w:r>
      <w:r w:rsidR="00AD3AF7">
        <w:rPr>
          <w:rFonts w:ascii="Verdana" w:hAnsi="Verdana"/>
          <w:sz w:val="20"/>
          <w:szCs w:val="20"/>
          <w:lang w:val="es-MX"/>
        </w:rPr>
        <w:t xml:space="preserve">, </w:t>
      </w:r>
      <w:r w:rsidR="006438E1">
        <w:rPr>
          <w:rFonts w:ascii="Verdana" w:hAnsi="Verdana"/>
          <w:sz w:val="20"/>
          <w:szCs w:val="20"/>
          <w:lang w:val="es-MX"/>
        </w:rPr>
        <w:t>señaló los recursos</w:t>
      </w:r>
      <w:r w:rsidR="00640ABA">
        <w:rPr>
          <w:rFonts w:ascii="Verdana" w:hAnsi="Verdana"/>
          <w:sz w:val="20"/>
          <w:szCs w:val="20"/>
          <w:lang w:val="es-MX"/>
        </w:rPr>
        <w:t xml:space="preserve"> que</w:t>
      </w:r>
      <w:r w:rsidR="006438E1">
        <w:rPr>
          <w:rFonts w:ascii="Verdana" w:hAnsi="Verdana"/>
          <w:sz w:val="20"/>
          <w:szCs w:val="20"/>
          <w:lang w:val="es-MX"/>
        </w:rPr>
        <w:t xml:space="preserve">, según su parecer, no </w:t>
      </w:r>
      <w:r w:rsidR="00640ABA">
        <w:rPr>
          <w:rFonts w:ascii="Verdana" w:hAnsi="Verdana"/>
          <w:sz w:val="20"/>
          <w:szCs w:val="20"/>
          <w:lang w:val="es-MX"/>
        </w:rPr>
        <w:t xml:space="preserve">se habían </w:t>
      </w:r>
      <w:r w:rsidR="006438E1">
        <w:rPr>
          <w:rFonts w:ascii="Verdana" w:hAnsi="Verdana"/>
          <w:sz w:val="20"/>
          <w:szCs w:val="20"/>
          <w:lang w:val="es-MX"/>
        </w:rPr>
        <w:t>agotados</w:t>
      </w:r>
      <w:r w:rsidR="00426633">
        <w:rPr>
          <w:rFonts w:ascii="Verdana" w:hAnsi="Verdana"/>
          <w:sz w:val="20"/>
          <w:szCs w:val="20"/>
          <w:lang w:val="es-MX"/>
        </w:rPr>
        <w:t xml:space="preserve">, </w:t>
      </w:r>
      <w:r w:rsidR="00EF5791">
        <w:rPr>
          <w:rFonts w:ascii="Verdana" w:hAnsi="Verdana"/>
          <w:sz w:val="20"/>
          <w:szCs w:val="20"/>
          <w:lang w:val="es-MX"/>
        </w:rPr>
        <w:t xml:space="preserve">sin </w:t>
      </w:r>
      <w:r w:rsidR="005628C2">
        <w:rPr>
          <w:rFonts w:ascii="Verdana" w:hAnsi="Verdana"/>
          <w:sz w:val="20"/>
          <w:szCs w:val="20"/>
          <w:lang w:val="es-MX"/>
        </w:rPr>
        <w:t>aleg</w:t>
      </w:r>
      <w:r w:rsidR="00663F88">
        <w:rPr>
          <w:rFonts w:ascii="Verdana" w:hAnsi="Verdana"/>
          <w:sz w:val="20"/>
          <w:szCs w:val="20"/>
          <w:lang w:val="es-MX"/>
        </w:rPr>
        <w:t>a</w:t>
      </w:r>
      <w:r w:rsidR="00EF5791">
        <w:rPr>
          <w:rFonts w:ascii="Verdana" w:hAnsi="Verdana"/>
          <w:sz w:val="20"/>
          <w:szCs w:val="20"/>
          <w:lang w:val="es-MX"/>
        </w:rPr>
        <w:t>r</w:t>
      </w:r>
      <w:r w:rsidR="00426633">
        <w:rPr>
          <w:rFonts w:ascii="Verdana" w:hAnsi="Verdana"/>
          <w:sz w:val="20"/>
          <w:szCs w:val="20"/>
          <w:lang w:val="es-MX"/>
        </w:rPr>
        <w:t>, empero,</w:t>
      </w:r>
      <w:r w:rsidR="005628C2">
        <w:rPr>
          <w:rFonts w:ascii="Verdana" w:hAnsi="Verdana"/>
          <w:sz w:val="20"/>
          <w:szCs w:val="20"/>
          <w:lang w:val="es-MX"/>
        </w:rPr>
        <w:t xml:space="preserve"> la vulneración del </w:t>
      </w:r>
      <w:r w:rsidR="00426633">
        <w:rPr>
          <w:rFonts w:ascii="Verdana" w:hAnsi="Verdana"/>
          <w:sz w:val="20"/>
          <w:szCs w:val="20"/>
          <w:lang w:val="es-MX"/>
        </w:rPr>
        <w:t xml:space="preserve">citado </w:t>
      </w:r>
      <w:r w:rsidR="005628C2">
        <w:rPr>
          <w:rFonts w:ascii="Verdana" w:hAnsi="Verdana"/>
          <w:sz w:val="20"/>
          <w:szCs w:val="20"/>
          <w:lang w:val="es-MX"/>
        </w:rPr>
        <w:t>artículo</w:t>
      </w:r>
      <w:r w:rsidR="00211417">
        <w:rPr>
          <w:rFonts w:ascii="Verdana" w:hAnsi="Verdana"/>
          <w:sz w:val="20"/>
          <w:szCs w:val="20"/>
          <w:lang w:val="es-MX"/>
        </w:rPr>
        <w:t xml:space="preserve"> 2</w:t>
      </w:r>
      <w:r w:rsidR="00426633">
        <w:rPr>
          <w:rFonts w:ascii="Verdana" w:hAnsi="Verdana"/>
          <w:sz w:val="20"/>
          <w:szCs w:val="20"/>
          <w:lang w:val="es-MX"/>
        </w:rPr>
        <w:t>6</w:t>
      </w:r>
      <w:r w:rsidR="00211417">
        <w:rPr>
          <w:rFonts w:ascii="Verdana" w:hAnsi="Verdana"/>
          <w:sz w:val="20"/>
          <w:szCs w:val="20"/>
          <w:lang w:val="es-MX"/>
        </w:rPr>
        <w:t xml:space="preserve"> </w:t>
      </w:r>
      <w:r w:rsidR="00AD3AF7">
        <w:rPr>
          <w:rFonts w:ascii="Verdana" w:hAnsi="Verdana"/>
          <w:sz w:val="20"/>
          <w:szCs w:val="20"/>
          <w:lang w:val="es-MX"/>
        </w:rPr>
        <w:t xml:space="preserve">y </w:t>
      </w:r>
      <w:r w:rsidR="00663F88">
        <w:rPr>
          <w:rFonts w:ascii="Verdana" w:hAnsi="Verdana"/>
          <w:sz w:val="20"/>
          <w:szCs w:val="20"/>
          <w:lang w:val="es-MX"/>
        </w:rPr>
        <w:t xml:space="preserve">por la otra parte, </w:t>
      </w:r>
      <w:r w:rsidR="0060210B">
        <w:rPr>
          <w:rFonts w:ascii="Verdana" w:hAnsi="Verdana"/>
          <w:sz w:val="20"/>
          <w:szCs w:val="20"/>
          <w:lang w:val="es-MX"/>
        </w:rPr>
        <w:t xml:space="preserve">que </w:t>
      </w:r>
      <w:r w:rsidR="00AD3AF7">
        <w:rPr>
          <w:rFonts w:ascii="Verdana" w:hAnsi="Verdana"/>
          <w:sz w:val="20"/>
          <w:szCs w:val="20"/>
          <w:lang w:val="es-MX"/>
        </w:rPr>
        <w:t xml:space="preserve">la Comisión se pronunció sobre la admisibilidad de la aludida petición conforme </w:t>
      </w:r>
      <w:r w:rsidR="00640ABA">
        <w:rPr>
          <w:rFonts w:ascii="Verdana" w:hAnsi="Verdana"/>
          <w:sz w:val="20"/>
          <w:szCs w:val="20"/>
          <w:lang w:val="es-MX"/>
        </w:rPr>
        <w:t xml:space="preserve">tanto </w:t>
      </w:r>
      <w:r w:rsidR="00AD3AF7">
        <w:rPr>
          <w:rFonts w:ascii="Verdana" w:hAnsi="Verdana"/>
          <w:sz w:val="20"/>
          <w:szCs w:val="20"/>
          <w:lang w:val="es-MX"/>
        </w:rPr>
        <w:t>a los términos en que</w:t>
      </w:r>
      <w:r w:rsidR="00EF5791">
        <w:rPr>
          <w:rFonts w:ascii="Verdana" w:hAnsi="Verdana"/>
          <w:sz w:val="20"/>
          <w:szCs w:val="20"/>
          <w:lang w:val="es-MX"/>
        </w:rPr>
        <w:t xml:space="preserve"> </w:t>
      </w:r>
      <w:r w:rsidR="00AD3AF7">
        <w:rPr>
          <w:rFonts w:ascii="Verdana" w:hAnsi="Verdana"/>
          <w:sz w:val="20"/>
          <w:szCs w:val="20"/>
          <w:lang w:val="es-MX"/>
        </w:rPr>
        <w:t xml:space="preserve">fue presentada </w:t>
      </w:r>
      <w:r w:rsidR="00640ABA">
        <w:rPr>
          <w:rFonts w:ascii="Verdana" w:hAnsi="Verdana"/>
          <w:sz w:val="20"/>
          <w:szCs w:val="20"/>
          <w:lang w:val="es-MX"/>
        </w:rPr>
        <w:t xml:space="preserve">como </w:t>
      </w:r>
      <w:r w:rsidR="00AD3AF7">
        <w:rPr>
          <w:rFonts w:ascii="Verdana" w:hAnsi="Verdana"/>
          <w:sz w:val="20"/>
          <w:szCs w:val="20"/>
          <w:lang w:val="es-MX"/>
        </w:rPr>
        <w:t xml:space="preserve">a la referida respuesta del Estado, es decir, </w:t>
      </w:r>
      <w:r w:rsidR="00286017">
        <w:rPr>
          <w:rFonts w:ascii="Verdana" w:hAnsi="Verdana"/>
          <w:sz w:val="20"/>
          <w:szCs w:val="20"/>
          <w:lang w:val="es-MX"/>
        </w:rPr>
        <w:t>resolvió</w:t>
      </w:r>
      <w:r w:rsidR="00AD3AF7">
        <w:rPr>
          <w:rFonts w:ascii="Verdana" w:hAnsi="Verdana"/>
          <w:sz w:val="20"/>
          <w:szCs w:val="20"/>
          <w:lang w:val="es-MX"/>
        </w:rPr>
        <w:t xml:space="preserve"> sobre la </w:t>
      </w:r>
      <w:r w:rsidR="00AD3AF7" w:rsidRPr="00AD3AF7">
        <w:rPr>
          <w:rFonts w:ascii="Verdana" w:hAnsi="Verdana"/>
          <w:i/>
          <w:iCs/>
          <w:sz w:val="20"/>
          <w:szCs w:val="20"/>
          <w:lang w:val="es-MX"/>
        </w:rPr>
        <w:t>litis</w:t>
      </w:r>
      <w:r w:rsidR="00AD3AF7">
        <w:rPr>
          <w:rFonts w:ascii="Verdana" w:hAnsi="Verdana"/>
          <w:sz w:val="20"/>
          <w:szCs w:val="20"/>
          <w:lang w:val="es-MX"/>
        </w:rPr>
        <w:t xml:space="preserve"> trabada en esa oportunidad</w:t>
      </w:r>
      <w:r w:rsidR="002B1260">
        <w:rPr>
          <w:rFonts w:ascii="Verdana" w:hAnsi="Verdana"/>
          <w:sz w:val="20"/>
          <w:szCs w:val="20"/>
          <w:lang w:val="es-MX"/>
        </w:rPr>
        <w:t xml:space="preserve"> y no sobre lo acaecido con posterioridad</w:t>
      </w:r>
      <w:r w:rsidR="00F22890">
        <w:rPr>
          <w:rStyle w:val="Refdenotaalpie"/>
          <w:rFonts w:ascii="Verdana" w:hAnsi="Verdana"/>
          <w:sz w:val="20"/>
          <w:szCs w:val="20"/>
          <w:lang w:val="es-MX"/>
        </w:rPr>
        <w:footnoteReference w:id="12"/>
      </w:r>
      <w:r w:rsidR="00EE20C6">
        <w:rPr>
          <w:rFonts w:ascii="Verdana" w:hAnsi="Verdana"/>
          <w:sz w:val="20"/>
          <w:szCs w:val="20"/>
          <w:lang w:val="es-MX"/>
        </w:rPr>
        <w:t>.</w:t>
      </w:r>
    </w:p>
    <w:p w14:paraId="253591D9" w14:textId="3C2A9764" w:rsidR="00C954F7" w:rsidRDefault="00EE20C6" w:rsidP="00C954F7">
      <w:pPr>
        <w:spacing w:line="240" w:lineRule="auto"/>
        <w:jc w:val="both"/>
        <w:rPr>
          <w:rFonts w:ascii="Verdana" w:hAnsi="Verdana"/>
          <w:sz w:val="20"/>
          <w:szCs w:val="20"/>
          <w:lang w:val="es-MX"/>
        </w:rPr>
      </w:pPr>
      <w:r>
        <w:rPr>
          <w:rFonts w:ascii="Verdana" w:hAnsi="Verdana"/>
          <w:sz w:val="20"/>
          <w:szCs w:val="20"/>
          <w:lang w:val="es-MX"/>
        </w:rPr>
        <w:t>E</w:t>
      </w:r>
      <w:r w:rsidR="00640ABA">
        <w:rPr>
          <w:rFonts w:ascii="Verdana" w:hAnsi="Verdana"/>
          <w:sz w:val="20"/>
          <w:szCs w:val="20"/>
          <w:lang w:val="es-MX"/>
        </w:rPr>
        <w:t>s</w:t>
      </w:r>
      <w:r>
        <w:rPr>
          <w:rFonts w:ascii="Verdana" w:hAnsi="Verdana"/>
          <w:sz w:val="20"/>
          <w:szCs w:val="20"/>
          <w:lang w:val="es-MX"/>
        </w:rPr>
        <w:t>, entonces, en mérito de que</w:t>
      </w:r>
      <w:r w:rsidR="00EF5791">
        <w:rPr>
          <w:rFonts w:ascii="Verdana" w:hAnsi="Verdana"/>
          <w:sz w:val="20"/>
          <w:szCs w:val="20"/>
          <w:lang w:val="es-MX"/>
        </w:rPr>
        <w:t xml:space="preserve"> </w:t>
      </w:r>
      <w:r>
        <w:rPr>
          <w:rFonts w:ascii="Verdana" w:hAnsi="Verdana"/>
          <w:sz w:val="20"/>
          <w:szCs w:val="20"/>
          <w:lang w:val="es-MX"/>
        </w:rPr>
        <w:t xml:space="preserve">el Resolutivo </w:t>
      </w:r>
      <w:proofErr w:type="spellStart"/>
      <w:r>
        <w:rPr>
          <w:rFonts w:ascii="Verdana" w:hAnsi="Verdana"/>
          <w:sz w:val="20"/>
          <w:szCs w:val="20"/>
          <w:lang w:val="es-MX"/>
        </w:rPr>
        <w:t>N°</w:t>
      </w:r>
      <w:proofErr w:type="spellEnd"/>
      <w:r>
        <w:rPr>
          <w:rFonts w:ascii="Verdana" w:hAnsi="Verdana"/>
          <w:sz w:val="20"/>
          <w:szCs w:val="20"/>
          <w:lang w:val="es-MX"/>
        </w:rPr>
        <w:t xml:space="preserve"> 1 de la Sentencia se adoptó</w:t>
      </w:r>
      <w:r w:rsidR="00356F74">
        <w:rPr>
          <w:rFonts w:ascii="Verdana" w:hAnsi="Verdana"/>
          <w:sz w:val="20"/>
          <w:szCs w:val="20"/>
          <w:lang w:val="es-MX"/>
        </w:rPr>
        <w:t xml:space="preserve"> básicamente</w:t>
      </w:r>
      <w:r w:rsidR="00EF5791">
        <w:rPr>
          <w:rFonts w:ascii="Verdana" w:hAnsi="Verdana"/>
          <w:sz w:val="20"/>
          <w:szCs w:val="20"/>
          <w:lang w:val="es-MX"/>
        </w:rPr>
        <w:t xml:space="preserve"> habida cuenta lo resuelto por la Comisión </w:t>
      </w:r>
      <w:r>
        <w:rPr>
          <w:rFonts w:ascii="Verdana" w:hAnsi="Verdana"/>
          <w:sz w:val="20"/>
          <w:szCs w:val="20"/>
          <w:lang w:val="es-MX"/>
        </w:rPr>
        <w:t xml:space="preserve">y </w:t>
      </w:r>
      <w:r w:rsidR="00356F74">
        <w:rPr>
          <w:rFonts w:ascii="Verdana" w:hAnsi="Verdana"/>
          <w:sz w:val="20"/>
          <w:szCs w:val="20"/>
          <w:lang w:val="es-MX"/>
        </w:rPr>
        <w:t xml:space="preserve">de </w:t>
      </w:r>
      <w:r>
        <w:rPr>
          <w:rFonts w:ascii="Verdana" w:hAnsi="Verdana"/>
          <w:sz w:val="20"/>
          <w:szCs w:val="20"/>
          <w:lang w:val="es-MX"/>
        </w:rPr>
        <w:t xml:space="preserve">que </w:t>
      </w:r>
      <w:r w:rsidR="00356F74">
        <w:rPr>
          <w:rFonts w:ascii="Verdana" w:hAnsi="Verdana"/>
          <w:sz w:val="20"/>
          <w:szCs w:val="20"/>
          <w:lang w:val="es-MX"/>
        </w:rPr>
        <w:t xml:space="preserve">ello </w:t>
      </w:r>
      <w:r>
        <w:rPr>
          <w:rFonts w:ascii="Verdana" w:hAnsi="Verdana"/>
          <w:sz w:val="20"/>
          <w:szCs w:val="20"/>
          <w:lang w:val="es-MX"/>
        </w:rPr>
        <w:t xml:space="preserve">no </w:t>
      </w:r>
      <w:r w:rsidR="00286017">
        <w:rPr>
          <w:rFonts w:ascii="Verdana" w:hAnsi="Verdana"/>
          <w:sz w:val="20"/>
          <w:szCs w:val="20"/>
          <w:lang w:val="es-MX"/>
        </w:rPr>
        <w:t>se contrapone</w:t>
      </w:r>
      <w:r w:rsidR="00663F88">
        <w:rPr>
          <w:rFonts w:ascii="Verdana" w:hAnsi="Verdana"/>
          <w:sz w:val="20"/>
          <w:szCs w:val="20"/>
          <w:lang w:val="es-MX"/>
        </w:rPr>
        <w:t xml:space="preserve">, sino todo lo </w:t>
      </w:r>
      <w:r w:rsidR="00663F88">
        <w:rPr>
          <w:rFonts w:ascii="Verdana" w:hAnsi="Verdana"/>
          <w:sz w:val="20"/>
          <w:szCs w:val="20"/>
          <w:lang w:val="es-MX"/>
        </w:rPr>
        <w:lastRenderedPageBreak/>
        <w:t>contrario,</w:t>
      </w:r>
      <w:r w:rsidR="00356F74">
        <w:rPr>
          <w:rFonts w:ascii="Verdana" w:hAnsi="Verdana"/>
          <w:sz w:val="20"/>
          <w:szCs w:val="20"/>
          <w:lang w:val="es-MX"/>
        </w:rPr>
        <w:t xml:space="preserve"> </w:t>
      </w:r>
      <w:r w:rsidR="00286017">
        <w:rPr>
          <w:rFonts w:ascii="Verdana" w:hAnsi="Verdana"/>
          <w:sz w:val="20"/>
          <w:szCs w:val="20"/>
          <w:lang w:val="es-MX"/>
        </w:rPr>
        <w:t xml:space="preserve">con lo sostenido </w:t>
      </w:r>
      <w:r w:rsidR="002B1260">
        <w:rPr>
          <w:rFonts w:ascii="Verdana" w:hAnsi="Verdana"/>
          <w:sz w:val="20"/>
          <w:szCs w:val="20"/>
          <w:lang w:val="es-MX"/>
        </w:rPr>
        <w:t>reiteradam</w:t>
      </w:r>
      <w:r w:rsidR="006D48BF">
        <w:rPr>
          <w:rFonts w:ascii="Verdana" w:hAnsi="Verdana"/>
          <w:sz w:val="20"/>
          <w:szCs w:val="20"/>
          <w:lang w:val="es-MX"/>
        </w:rPr>
        <w:t>e</w:t>
      </w:r>
      <w:r w:rsidR="002B1260">
        <w:rPr>
          <w:rFonts w:ascii="Verdana" w:hAnsi="Verdana"/>
          <w:sz w:val="20"/>
          <w:szCs w:val="20"/>
          <w:lang w:val="es-MX"/>
        </w:rPr>
        <w:t>nte</w:t>
      </w:r>
      <w:r w:rsidR="006D48BF">
        <w:rPr>
          <w:rFonts w:ascii="Verdana" w:hAnsi="Verdana"/>
          <w:sz w:val="20"/>
          <w:szCs w:val="20"/>
          <w:lang w:val="es-MX"/>
        </w:rPr>
        <w:t xml:space="preserve"> </w:t>
      </w:r>
      <w:r w:rsidR="00286017">
        <w:rPr>
          <w:rFonts w:ascii="Verdana" w:hAnsi="Verdana"/>
          <w:sz w:val="20"/>
          <w:szCs w:val="20"/>
          <w:lang w:val="es-MX"/>
        </w:rPr>
        <w:t>en los se</w:t>
      </w:r>
      <w:r w:rsidR="002B1260">
        <w:rPr>
          <w:rFonts w:ascii="Verdana" w:hAnsi="Verdana"/>
          <w:sz w:val="20"/>
          <w:szCs w:val="20"/>
          <w:lang w:val="es-MX"/>
        </w:rPr>
        <w:t>ñ</w:t>
      </w:r>
      <w:r w:rsidR="00286017">
        <w:rPr>
          <w:rFonts w:ascii="Verdana" w:hAnsi="Verdana"/>
          <w:sz w:val="20"/>
          <w:szCs w:val="20"/>
          <w:lang w:val="es-MX"/>
        </w:rPr>
        <w:t>alados votos individuales</w:t>
      </w:r>
      <w:r w:rsidR="00356F74">
        <w:rPr>
          <w:rFonts w:ascii="Verdana" w:hAnsi="Verdana"/>
          <w:sz w:val="20"/>
          <w:szCs w:val="20"/>
          <w:lang w:val="es-MX"/>
        </w:rPr>
        <w:t xml:space="preserve">, </w:t>
      </w:r>
      <w:r w:rsidR="00640ABA">
        <w:rPr>
          <w:rFonts w:ascii="Verdana" w:hAnsi="Verdana"/>
          <w:sz w:val="20"/>
          <w:szCs w:val="20"/>
          <w:lang w:val="es-MX"/>
        </w:rPr>
        <w:t xml:space="preserve">que </w:t>
      </w:r>
      <w:r w:rsidR="00356F74">
        <w:rPr>
          <w:rFonts w:ascii="Verdana" w:hAnsi="Verdana"/>
          <w:sz w:val="20"/>
          <w:szCs w:val="20"/>
          <w:lang w:val="es-MX"/>
        </w:rPr>
        <w:t xml:space="preserve">se expidió el voto concurrente de que </w:t>
      </w:r>
      <w:r w:rsidR="00640ABA">
        <w:rPr>
          <w:rFonts w:ascii="Verdana" w:hAnsi="Verdana"/>
          <w:sz w:val="20"/>
          <w:szCs w:val="20"/>
          <w:lang w:val="es-MX"/>
        </w:rPr>
        <w:t xml:space="preserve">se </w:t>
      </w:r>
      <w:r w:rsidR="00356F74">
        <w:rPr>
          <w:rFonts w:ascii="Verdana" w:hAnsi="Verdana"/>
          <w:sz w:val="20"/>
          <w:szCs w:val="20"/>
          <w:lang w:val="es-MX"/>
        </w:rPr>
        <w:t>da cuenta este escrito.</w:t>
      </w:r>
    </w:p>
    <w:p w14:paraId="167A2C6B" w14:textId="7389C4C3" w:rsidR="00234CCB" w:rsidRDefault="00234CCB" w:rsidP="00234CCB">
      <w:pPr>
        <w:rPr>
          <w:rFonts w:ascii="Verdana" w:hAnsi="Verdana"/>
          <w:sz w:val="20"/>
          <w:szCs w:val="20"/>
          <w:lang w:val="es-ES"/>
        </w:rPr>
      </w:pPr>
    </w:p>
    <w:p w14:paraId="6806D305" w14:textId="7B186FE6" w:rsidR="00234CCB" w:rsidRDefault="00234CCB" w:rsidP="00234CCB">
      <w:pPr>
        <w:rPr>
          <w:rFonts w:ascii="Verdana" w:hAnsi="Verdana"/>
          <w:sz w:val="20"/>
          <w:szCs w:val="20"/>
          <w:lang w:val="es-ES"/>
        </w:rPr>
      </w:pPr>
    </w:p>
    <w:p w14:paraId="68DA51F6" w14:textId="70A82756" w:rsidR="00234CCB" w:rsidRDefault="00234CCB" w:rsidP="00234CCB">
      <w:pPr>
        <w:rPr>
          <w:rFonts w:ascii="Verdana" w:hAnsi="Verdana"/>
          <w:sz w:val="20"/>
          <w:szCs w:val="20"/>
          <w:lang w:val="es-ES"/>
        </w:rPr>
      </w:pPr>
    </w:p>
    <w:p w14:paraId="2A6D3629" w14:textId="77777777" w:rsidR="00234CCB" w:rsidRDefault="00234CCB" w:rsidP="00234CCB">
      <w:pPr>
        <w:spacing w:after="0" w:line="240" w:lineRule="auto"/>
        <w:rPr>
          <w:rFonts w:ascii="Verdana" w:hAnsi="Verdana"/>
          <w:sz w:val="20"/>
          <w:szCs w:val="20"/>
          <w:lang w:val="es-ES"/>
        </w:rPr>
      </w:pPr>
    </w:p>
    <w:p w14:paraId="3AC39C49" w14:textId="4070ED06" w:rsidR="00234CCB" w:rsidRDefault="00234CCB" w:rsidP="00234CCB">
      <w:pPr>
        <w:spacing w:after="0" w:line="240" w:lineRule="auto"/>
        <w:jc w:val="center"/>
        <w:rPr>
          <w:rFonts w:ascii="Verdana" w:hAnsi="Verdana"/>
          <w:sz w:val="20"/>
          <w:szCs w:val="20"/>
          <w:lang w:val="es-ES"/>
        </w:rPr>
      </w:pPr>
      <w:r>
        <w:rPr>
          <w:rFonts w:ascii="Verdana" w:hAnsi="Verdana"/>
          <w:sz w:val="20"/>
          <w:szCs w:val="20"/>
          <w:lang w:val="es-ES"/>
        </w:rPr>
        <w:t xml:space="preserve">                                                                                Eduardo Vio Grossi</w:t>
      </w:r>
    </w:p>
    <w:p w14:paraId="7D4F6ABE" w14:textId="5B17211F" w:rsidR="00234CCB" w:rsidRDefault="00234CCB" w:rsidP="00234CCB">
      <w:pPr>
        <w:spacing w:after="0" w:line="240" w:lineRule="auto"/>
        <w:jc w:val="center"/>
        <w:rPr>
          <w:rFonts w:ascii="Verdana" w:hAnsi="Verdana"/>
          <w:sz w:val="20"/>
          <w:szCs w:val="20"/>
          <w:lang w:val="es-ES"/>
        </w:rPr>
      </w:pPr>
      <w:r>
        <w:rPr>
          <w:rFonts w:ascii="Verdana" w:hAnsi="Verdana"/>
          <w:sz w:val="20"/>
          <w:szCs w:val="20"/>
          <w:lang w:val="es-ES"/>
        </w:rPr>
        <w:t xml:space="preserve">                                                                            Juez</w:t>
      </w:r>
    </w:p>
    <w:p w14:paraId="09481DB9" w14:textId="22CC32BE" w:rsidR="00234CCB" w:rsidRDefault="00234CCB" w:rsidP="00234CCB">
      <w:pPr>
        <w:spacing w:after="0" w:line="240" w:lineRule="auto"/>
        <w:jc w:val="center"/>
        <w:rPr>
          <w:rFonts w:ascii="Verdana" w:hAnsi="Verdana"/>
          <w:sz w:val="20"/>
          <w:szCs w:val="20"/>
          <w:lang w:val="es-ES"/>
        </w:rPr>
      </w:pPr>
    </w:p>
    <w:p w14:paraId="2EA90618" w14:textId="26B30D71" w:rsidR="00234CCB" w:rsidRDefault="00234CCB" w:rsidP="00234CCB">
      <w:pPr>
        <w:spacing w:after="0" w:line="240" w:lineRule="auto"/>
        <w:jc w:val="center"/>
        <w:rPr>
          <w:rFonts w:ascii="Verdana" w:hAnsi="Verdana"/>
          <w:sz w:val="20"/>
          <w:szCs w:val="20"/>
          <w:lang w:val="es-ES"/>
        </w:rPr>
      </w:pPr>
    </w:p>
    <w:p w14:paraId="6ABEED23" w14:textId="4D0F6A64" w:rsidR="00234CCB" w:rsidRDefault="00234CCB" w:rsidP="00234CCB">
      <w:pPr>
        <w:spacing w:after="0" w:line="240" w:lineRule="auto"/>
        <w:rPr>
          <w:rFonts w:ascii="Verdana" w:hAnsi="Verdana"/>
          <w:sz w:val="20"/>
          <w:szCs w:val="20"/>
          <w:lang w:val="es-ES"/>
        </w:rPr>
      </w:pPr>
    </w:p>
    <w:p w14:paraId="399C4A22" w14:textId="10EEEAFB" w:rsidR="00234CCB" w:rsidRDefault="00234CCB" w:rsidP="00234CCB">
      <w:pPr>
        <w:spacing w:after="0" w:line="240" w:lineRule="auto"/>
        <w:rPr>
          <w:rFonts w:ascii="Verdana" w:hAnsi="Verdana"/>
          <w:sz w:val="20"/>
          <w:szCs w:val="20"/>
          <w:lang w:val="es-ES"/>
        </w:rPr>
      </w:pPr>
    </w:p>
    <w:p w14:paraId="3BD4BBD7" w14:textId="4B288AF8" w:rsidR="00234CCB" w:rsidRDefault="00234CCB" w:rsidP="00234CCB">
      <w:pPr>
        <w:spacing w:after="0" w:line="240" w:lineRule="auto"/>
        <w:rPr>
          <w:rFonts w:ascii="Verdana" w:hAnsi="Verdana"/>
          <w:sz w:val="20"/>
          <w:szCs w:val="20"/>
          <w:lang w:val="es-ES"/>
        </w:rPr>
      </w:pPr>
    </w:p>
    <w:p w14:paraId="6B36F780" w14:textId="77777777" w:rsidR="00234CCB" w:rsidRDefault="00234CCB" w:rsidP="00234CCB">
      <w:pPr>
        <w:spacing w:after="0" w:line="240" w:lineRule="auto"/>
        <w:rPr>
          <w:rFonts w:ascii="Verdana" w:hAnsi="Verdana"/>
          <w:sz w:val="20"/>
          <w:szCs w:val="20"/>
          <w:lang w:val="es-ES"/>
        </w:rPr>
      </w:pPr>
      <w:r>
        <w:rPr>
          <w:rFonts w:ascii="Verdana" w:hAnsi="Verdana"/>
          <w:sz w:val="20"/>
          <w:szCs w:val="20"/>
          <w:lang w:val="es-ES"/>
        </w:rPr>
        <w:t>Pablo Saavedra Alessandri</w:t>
      </w:r>
    </w:p>
    <w:p w14:paraId="36C1E5E2" w14:textId="77777777" w:rsidR="00234CCB" w:rsidRDefault="00234CCB" w:rsidP="00234CCB">
      <w:pPr>
        <w:spacing w:after="0" w:line="240" w:lineRule="auto"/>
      </w:pPr>
      <w:r>
        <w:rPr>
          <w:rFonts w:ascii="Verdana" w:hAnsi="Verdana"/>
          <w:sz w:val="20"/>
          <w:szCs w:val="20"/>
          <w:lang w:val="es-ES"/>
        </w:rPr>
        <w:t xml:space="preserve">         Secretario </w:t>
      </w:r>
    </w:p>
    <w:p w14:paraId="2866DA85" w14:textId="5A92A552" w:rsidR="00D72556" w:rsidRDefault="00D72556" w:rsidP="00234CCB">
      <w:pPr>
        <w:spacing w:after="0" w:line="240" w:lineRule="auto"/>
        <w:jc w:val="both"/>
      </w:pPr>
    </w:p>
    <w:sectPr w:rsidR="00D7255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B3AA" w14:textId="77777777" w:rsidR="001F7A9A" w:rsidRDefault="001F7A9A" w:rsidP="00C954F7">
      <w:pPr>
        <w:spacing w:after="0" w:line="240" w:lineRule="auto"/>
      </w:pPr>
      <w:r>
        <w:separator/>
      </w:r>
    </w:p>
  </w:endnote>
  <w:endnote w:type="continuationSeparator" w:id="0">
    <w:p w14:paraId="6C1ED9F9" w14:textId="77777777" w:rsidR="001F7A9A" w:rsidRDefault="001F7A9A" w:rsidP="00C9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Batang">
    <w:altName w:val="바탕"/>
    <w:panose1 w:val="02030600000101010101"/>
    <w:charset w:val="81"/>
    <w:family w:val="auto"/>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73090"/>
      <w:docPartObj>
        <w:docPartGallery w:val="Page Numbers (Bottom of Page)"/>
        <w:docPartUnique/>
      </w:docPartObj>
    </w:sdtPr>
    <w:sdtEndPr/>
    <w:sdtContent>
      <w:p w14:paraId="60835458" w14:textId="3AB31D61" w:rsidR="00640ABA" w:rsidRDefault="00640ABA">
        <w:pPr>
          <w:pStyle w:val="Piedepgina"/>
          <w:jc w:val="right"/>
        </w:pPr>
        <w:r>
          <w:fldChar w:fldCharType="begin"/>
        </w:r>
        <w:r>
          <w:instrText>PAGE   \* MERGEFORMAT</w:instrText>
        </w:r>
        <w:r>
          <w:fldChar w:fldCharType="separate"/>
        </w:r>
        <w:r w:rsidR="00FA4528" w:rsidRPr="00FA4528">
          <w:rPr>
            <w:noProof/>
            <w:lang w:val="es-ES"/>
          </w:rPr>
          <w:t>2</w:t>
        </w:r>
        <w:r>
          <w:fldChar w:fldCharType="end"/>
        </w:r>
      </w:p>
    </w:sdtContent>
  </w:sdt>
  <w:p w14:paraId="0C0CE9C1" w14:textId="77777777" w:rsidR="00640ABA" w:rsidRDefault="00640A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5457" w14:textId="77777777" w:rsidR="001F7A9A" w:rsidRDefault="001F7A9A" w:rsidP="00C954F7">
      <w:pPr>
        <w:spacing w:after="0" w:line="240" w:lineRule="auto"/>
      </w:pPr>
      <w:r>
        <w:separator/>
      </w:r>
    </w:p>
  </w:footnote>
  <w:footnote w:type="continuationSeparator" w:id="0">
    <w:p w14:paraId="47679046" w14:textId="77777777" w:rsidR="001F7A9A" w:rsidRDefault="001F7A9A" w:rsidP="00C954F7">
      <w:pPr>
        <w:spacing w:after="0" w:line="240" w:lineRule="auto"/>
      </w:pPr>
      <w:r>
        <w:continuationSeparator/>
      </w:r>
    </w:p>
  </w:footnote>
  <w:footnote w:id="1">
    <w:p w14:paraId="7D449C54" w14:textId="77777777" w:rsidR="00C954F7" w:rsidRDefault="00C954F7">
      <w:pPr>
        <w:pStyle w:val="Textonotapie"/>
      </w:pPr>
      <w:r>
        <w:rPr>
          <w:rStyle w:val="Refdenotaalpie"/>
        </w:rPr>
        <w:footnoteRef/>
      </w:r>
      <w:r>
        <w:t xml:space="preserve"> </w:t>
      </w:r>
      <w:r w:rsidR="00657F73">
        <w:t>En adelante, la Sentencia.</w:t>
      </w:r>
    </w:p>
    <w:p w14:paraId="4C2E2F76" w14:textId="77777777" w:rsidR="006D48BF" w:rsidRPr="00C954F7" w:rsidRDefault="006D48BF">
      <w:pPr>
        <w:pStyle w:val="Textonotapie"/>
        <w:rPr>
          <w:lang w:val="es-419"/>
        </w:rPr>
      </w:pPr>
    </w:p>
  </w:footnote>
  <w:footnote w:id="2">
    <w:p w14:paraId="22DF9FE8" w14:textId="77777777" w:rsidR="00657F73" w:rsidRPr="00B96BE8" w:rsidRDefault="00C954F7" w:rsidP="00B96BE8">
      <w:pPr>
        <w:widowControl w:val="0"/>
        <w:adjustRightInd w:val="0"/>
        <w:spacing w:line="240" w:lineRule="auto"/>
        <w:jc w:val="both"/>
        <w:textAlignment w:val="baseline"/>
        <w:rPr>
          <w:rFonts w:ascii="Verdana" w:eastAsia="Calibri" w:hAnsi="Verdana" w:cs="Calibri"/>
          <w:i/>
          <w:iCs/>
          <w:sz w:val="16"/>
          <w:szCs w:val="16"/>
          <w:lang w:val="es-ES" w:eastAsia="es-CR"/>
        </w:rPr>
      </w:pPr>
      <w:r w:rsidRPr="00B96BE8">
        <w:rPr>
          <w:rStyle w:val="Refdenotaalpie"/>
          <w:rFonts w:ascii="Verdana" w:hAnsi="Verdana"/>
          <w:i/>
          <w:iCs/>
          <w:sz w:val="16"/>
          <w:szCs w:val="16"/>
        </w:rPr>
        <w:footnoteRef/>
      </w:r>
      <w:r w:rsidRPr="00B96BE8">
        <w:rPr>
          <w:rFonts w:ascii="Verdana" w:hAnsi="Verdana"/>
          <w:i/>
          <w:iCs/>
          <w:sz w:val="16"/>
          <w:szCs w:val="16"/>
        </w:rPr>
        <w:t xml:space="preserve"> </w:t>
      </w:r>
      <w:r w:rsidR="00B96BE8" w:rsidRPr="00B96BE8">
        <w:rPr>
          <w:rFonts w:ascii="Verdana" w:eastAsia="Calibri" w:hAnsi="Verdana" w:cs="Calibri"/>
          <w:i/>
          <w:iCs/>
          <w:sz w:val="16"/>
          <w:szCs w:val="16"/>
          <w:lang w:val="es-ES" w:eastAsia="es-CR"/>
        </w:rPr>
        <w:t xml:space="preserve">Voto Disidente del Juez Eduardo Vio Grossi, Corte Interamericana de Derechos Humanos, Caso López y Otros Vs. Argentina, Sentencia de 25 de Noviembre de 2019 </w:t>
      </w:r>
      <w:r w:rsidR="00B96BE8" w:rsidRPr="00B96BE8">
        <w:rPr>
          <w:rFonts w:ascii="Verdana" w:eastAsia="MS Mincho" w:hAnsi="Verdana" w:cs="Times New Roman"/>
          <w:i/>
          <w:iCs/>
          <w:sz w:val="16"/>
          <w:szCs w:val="16"/>
          <w:lang w:val="es-ES"/>
        </w:rPr>
        <w:t>(Excepciones Preliminares, Fondo, Reparaciones y Costas)</w:t>
      </w:r>
      <w:r w:rsidR="00B96BE8">
        <w:rPr>
          <w:rFonts w:ascii="Verdana" w:eastAsia="MS Mincho" w:hAnsi="Verdana" w:cs="Times New Roman"/>
          <w:i/>
          <w:iCs/>
          <w:sz w:val="16"/>
          <w:szCs w:val="16"/>
          <w:lang w:val="es-ES"/>
        </w:rPr>
        <w:t>;</w:t>
      </w:r>
      <w:r w:rsidR="00B96BE8">
        <w:rPr>
          <w:rFonts w:ascii="Verdana" w:eastAsia="Calibri" w:hAnsi="Verdana" w:cs="Calibri"/>
          <w:i/>
          <w:iCs/>
          <w:sz w:val="16"/>
          <w:szCs w:val="16"/>
          <w:lang w:val="es-ES" w:eastAsia="es-CR"/>
        </w:rPr>
        <w:t xml:space="preserve"> </w:t>
      </w:r>
      <w:r w:rsidR="00657F73" w:rsidRPr="00C91EA6">
        <w:rPr>
          <w:rFonts w:ascii="Verdana" w:hAnsi="Verdana"/>
          <w:i/>
          <w:sz w:val="16"/>
          <w:szCs w:val="16"/>
        </w:rPr>
        <w:t xml:space="preserve">Voto Concurrente del Juez Eduardo Vio Grossi, Corte Interamericana de Derechos Humanos, Caso Gómez </w:t>
      </w:r>
      <w:proofErr w:type="spellStart"/>
      <w:r w:rsidR="00657F73" w:rsidRPr="00C91EA6">
        <w:rPr>
          <w:rFonts w:ascii="Verdana" w:hAnsi="Verdana"/>
          <w:i/>
          <w:sz w:val="16"/>
          <w:szCs w:val="16"/>
        </w:rPr>
        <w:t>Virula</w:t>
      </w:r>
      <w:proofErr w:type="spellEnd"/>
      <w:r w:rsidR="00657F73" w:rsidRPr="00C91EA6">
        <w:rPr>
          <w:rFonts w:ascii="Verdana" w:hAnsi="Verdana"/>
          <w:i/>
          <w:sz w:val="16"/>
          <w:szCs w:val="16"/>
        </w:rPr>
        <w:t xml:space="preserve"> y Otros Vs. Guatemala, Sentencia de 21 de noviembre de 2019,</w:t>
      </w:r>
      <w:bookmarkStart w:id="1" w:name="_Toc424833993"/>
      <w:bookmarkStart w:id="2" w:name="_Toc424834594"/>
      <w:bookmarkStart w:id="3" w:name="_Toc424834677"/>
      <w:bookmarkStart w:id="4" w:name="_Toc424834744"/>
      <w:r w:rsidR="00657F73" w:rsidRPr="00C91EA6">
        <w:rPr>
          <w:rFonts w:ascii="Verdana" w:hAnsi="Verdana"/>
          <w:i/>
          <w:sz w:val="16"/>
          <w:szCs w:val="16"/>
        </w:rPr>
        <w:t xml:space="preserve"> (Excepción Preliminar, Fondo, Reparaciones y Costas)</w:t>
      </w:r>
      <w:bookmarkEnd w:id="1"/>
      <w:bookmarkEnd w:id="2"/>
      <w:bookmarkEnd w:id="3"/>
      <w:bookmarkEnd w:id="4"/>
      <w:r w:rsidR="00657F73">
        <w:rPr>
          <w:rFonts w:ascii="Verdana" w:hAnsi="Verdana"/>
          <w:i/>
          <w:sz w:val="16"/>
          <w:szCs w:val="16"/>
        </w:rPr>
        <w:t xml:space="preserve">; </w:t>
      </w:r>
      <w:r w:rsidR="00657F73" w:rsidRPr="00B92A7F">
        <w:rPr>
          <w:rFonts w:ascii="Verdana" w:eastAsia="Calibri" w:hAnsi="Verdana" w:cs="Calibri"/>
          <w:i/>
          <w:sz w:val="16"/>
          <w:szCs w:val="16"/>
          <w:lang w:val="es-ES" w:eastAsia="es-CR"/>
        </w:rPr>
        <w:t xml:space="preserve">Voto Disidente del Juez Eduardo Vio Grossi, Corte Interamericana de Derechos Humanos, Caso Asociación Nacional de Cesantes y Jubilados de la Superintendencia Nacional de Administración Tributaria </w:t>
      </w:r>
      <w:r w:rsidR="00657F73" w:rsidRPr="00B92A7F">
        <w:rPr>
          <w:rFonts w:ascii="Verdana" w:eastAsia="Batang" w:hAnsi="Verdana" w:cs="Arial"/>
          <w:i/>
          <w:color w:val="1A1A1A"/>
          <w:sz w:val="16"/>
          <w:szCs w:val="16"/>
          <w:lang w:eastAsia="es-CR"/>
        </w:rPr>
        <w:t>(ANCEJUB-SUNAT</w:t>
      </w:r>
      <w:r w:rsidR="00657F73" w:rsidRPr="00B92A7F">
        <w:rPr>
          <w:rFonts w:ascii="Verdana" w:eastAsia="Calibri" w:hAnsi="Verdana" w:cs="Calibri"/>
          <w:i/>
          <w:sz w:val="16"/>
          <w:szCs w:val="16"/>
          <w:lang w:eastAsia="es-CR"/>
        </w:rPr>
        <w:t>) Vs. Perú,</w:t>
      </w:r>
      <w:r w:rsidR="00657F73" w:rsidRPr="00B92A7F">
        <w:rPr>
          <w:rFonts w:ascii="Verdana" w:eastAsia="Calibri" w:hAnsi="Verdana" w:cs="Calibri"/>
          <w:i/>
          <w:sz w:val="16"/>
          <w:szCs w:val="16"/>
          <w:lang w:val="es-ES" w:eastAsia="es-CR"/>
        </w:rPr>
        <w:t xml:space="preserve"> </w:t>
      </w:r>
      <w:r w:rsidR="00657F73" w:rsidRPr="00B92A7F">
        <w:rPr>
          <w:rFonts w:ascii="Verdana" w:eastAsia="Calibri" w:hAnsi="Verdana" w:cs="Verdana"/>
          <w:bCs/>
          <w:i/>
          <w:snapToGrid w:val="0"/>
          <w:sz w:val="16"/>
          <w:szCs w:val="16"/>
          <w:lang w:val="es-ES" w:eastAsia="es-ES"/>
        </w:rPr>
        <w:t xml:space="preserve">Sentencia de 21 de noviembre de 2019, </w:t>
      </w:r>
      <w:r w:rsidR="00657F73" w:rsidRPr="00B92A7F">
        <w:rPr>
          <w:rFonts w:ascii="Verdana" w:eastAsia="Calibri" w:hAnsi="Verdana" w:cs="Verdana"/>
          <w:bCs/>
          <w:i/>
          <w:iCs/>
          <w:snapToGrid w:val="0"/>
          <w:sz w:val="16"/>
          <w:szCs w:val="16"/>
          <w:lang w:val="es-ES" w:eastAsia="es-ES"/>
        </w:rPr>
        <w:t>(Excepciones Preliminares, Fondo, Reparaciones y Costas</w:t>
      </w:r>
      <w:r w:rsidR="00657F73" w:rsidRPr="00CF71FC">
        <w:rPr>
          <w:rFonts w:ascii="Verdana" w:eastAsia="Calibri" w:hAnsi="Verdana" w:cs="Verdana"/>
          <w:bCs/>
          <w:i/>
          <w:iCs/>
          <w:snapToGrid w:val="0"/>
          <w:sz w:val="16"/>
          <w:szCs w:val="16"/>
          <w:lang w:val="es-ES" w:eastAsia="es-ES"/>
        </w:rPr>
        <w:t xml:space="preserve">); </w:t>
      </w:r>
      <w:r w:rsidR="00657F73" w:rsidRPr="00CF71FC">
        <w:rPr>
          <w:rFonts w:ascii="Verdana" w:eastAsia="Calibri" w:hAnsi="Verdana" w:cs="Calibri"/>
          <w:i/>
          <w:sz w:val="16"/>
          <w:szCs w:val="16"/>
          <w:lang w:val="es-ES" w:eastAsia="es-CR"/>
        </w:rPr>
        <w:t xml:space="preserve">Voto Disidente del Juez Eduardo Vio Grossi, Corte Interamericana de Derechos Humanos, Díaz Loreto y Otros Vs. Venezuela, Sentencia de 19 de Noviembre de 2019 </w:t>
      </w:r>
      <w:r w:rsidR="00657F73" w:rsidRPr="00CF71FC">
        <w:rPr>
          <w:rFonts w:ascii="Verdana" w:eastAsia="Times New Roman" w:hAnsi="Verdana" w:cs="Times New Roman"/>
          <w:i/>
          <w:iCs/>
          <w:spacing w:val="15"/>
          <w:sz w:val="16"/>
          <w:szCs w:val="16"/>
          <w:lang w:val="es-ES_tradnl"/>
        </w:rPr>
        <w:t>(Excepciones Preliminares, Fondo, Reparaciones y Costas);</w:t>
      </w:r>
      <w:r w:rsidR="00657F73" w:rsidRPr="00CF71FC">
        <w:rPr>
          <w:rFonts w:ascii="Verdana" w:hAnsi="Verdana"/>
          <w:i/>
          <w:spacing w:val="-4"/>
          <w:sz w:val="16"/>
          <w:szCs w:val="16"/>
        </w:rPr>
        <w:t>Voto Concurrente del Juez Eduardo Vio Grossi, Corte Interamericana de Derechos Humanos, Caso Terrones Silva y Otros Vs. Perú. Excepciones Preliminares, Fondo, Reparaciones y Costas. Sentencia de 26 de septiembre de 2018;</w:t>
      </w:r>
      <w:r w:rsidR="00657F73" w:rsidRPr="00CF71FC">
        <w:rPr>
          <w:rFonts w:ascii="Verdana" w:hAnsi="Verdana"/>
          <w:b/>
          <w:i/>
          <w:spacing w:val="-4"/>
          <w:sz w:val="16"/>
          <w:szCs w:val="16"/>
        </w:rPr>
        <w:t xml:space="preserve"> </w:t>
      </w:r>
      <w:r w:rsidR="00657F73" w:rsidRPr="00CF71FC">
        <w:rPr>
          <w:rFonts w:ascii="Verdana" w:hAnsi="Verdana" w:cstheme="minorHAnsi"/>
          <w:i/>
          <w:sz w:val="16"/>
          <w:szCs w:val="16"/>
          <w:lang w:val="es-ES"/>
        </w:rPr>
        <w:t xml:space="preserve">Voto Individual del Juez Eduardo Vio Grossi, Corte Interamericana de Derechos Humanos. Caso </w:t>
      </w:r>
      <w:proofErr w:type="spellStart"/>
      <w:r w:rsidR="00657F73" w:rsidRPr="00CF71FC">
        <w:rPr>
          <w:rFonts w:ascii="Verdana" w:hAnsi="Verdana" w:cstheme="minorHAnsi"/>
          <w:i/>
          <w:sz w:val="16"/>
          <w:szCs w:val="16"/>
          <w:lang w:val="es-ES"/>
        </w:rPr>
        <w:t>Amrhein</w:t>
      </w:r>
      <w:proofErr w:type="spellEnd"/>
      <w:r w:rsidR="00657F73" w:rsidRPr="00CF71FC">
        <w:rPr>
          <w:rFonts w:ascii="Verdana" w:hAnsi="Verdana" w:cstheme="minorHAnsi"/>
          <w:i/>
          <w:sz w:val="16"/>
          <w:szCs w:val="16"/>
          <w:lang w:val="es-ES"/>
        </w:rPr>
        <w:t xml:space="preserve"> y otros Vs. Costa Rica.</w:t>
      </w:r>
      <w:r w:rsidR="00657F73" w:rsidRPr="00CF71FC">
        <w:rPr>
          <w:rFonts w:ascii="Verdana" w:hAnsi="Verdana" w:cstheme="minorHAnsi"/>
          <w:sz w:val="16"/>
          <w:szCs w:val="16"/>
          <w:lang w:val="es-ES"/>
        </w:rPr>
        <w:t xml:space="preserve"> </w:t>
      </w:r>
      <w:r w:rsidR="00657F73" w:rsidRPr="00CF71FC">
        <w:rPr>
          <w:rFonts w:ascii="Verdana" w:hAnsi="Verdana" w:cstheme="minorHAnsi"/>
          <w:i/>
          <w:sz w:val="16"/>
          <w:szCs w:val="16"/>
        </w:rPr>
        <w:t>Excepciones Preliminares, Fondo, Reparaciones y Costas.</w:t>
      </w:r>
      <w:r w:rsidR="00657F73" w:rsidRPr="00CF71FC">
        <w:rPr>
          <w:rFonts w:ascii="Verdana" w:hAnsi="Verdana" w:cstheme="minorHAnsi"/>
          <w:sz w:val="16"/>
          <w:szCs w:val="16"/>
          <w:lang w:val="es-ES"/>
        </w:rPr>
        <w:t xml:space="preserve"> Sentencia de 25 de abril de 2018</w:t>
      </w:r>
      <w:r w:rsidR="00657F73" w:rsidRPr="00CF71FC">
        <w:rPr>
          <w:rFonts w:ascii="Verdana" w:hAnsi="Verdana" w:cstheme="minorHAnsi"/>
          <w:i/>
          <w:snapToGrid w:val="0"/>
          <w:sz w:val="16"/>
          <w:szCs w:val="16"/>
        </w:rPr>
        <w:t xml:space="preserve">; </w:t>
      </w:r>
      <w:r w:rsidR="00657F73" w:rsidRPr="00CF71FC">
        <w:rPr>
          <w:rFonts w:ascii="Verdana" w:hAnsi="Verdana"/>
          <w:i/>
          <w:sz w:val="16"/>
          <w:szCs w:val="16"/>
          <w:lang w:val="es-ES"/>
        </w:rPr>
        <w:t>Voto Individual Concurrente del Juez Eduardo Vio Grossi, Corte Interamericana de Derechos Humanos. Caso Yarce y Otras Vs. Colombia</w:t>
      </w:r>
      <w:r w:rsidR="00657F73" w:rsidRPr="00CB3628">
        <w:rPr>
          <w:rFonts w:ascii="Verdana" w:hAnsi="Verdana"/>
          <w:bCs/>
          <w:i/>
          <w:sz w:val="16"/>
          <w:szCs w:val="16"/>
          <w:lang w:val="es-419"/>
        </w:rPr>
        <w:t xml:space="preserve">. </w:t>
      </w:r>
      <w:r w:rsidR="00657F73" w:rsidRPr="00D1359C">
        <w:rPr>
          <w:rFonts w:ascii="Verdana" w:hAnsi="Verdana"/>
          <w:bCs/>
          <w:i/>
          <w:sz w:val="16"/>
          <w:szCs w:val="16"/>
          <w:lang w:val="es-419"/>
        </w:rPr>
        <w:t>Excepción Preliminar, Fondo, Reparaciones y Costas</w:t>
      </w:r>
      <w:r w:rsidR="00657F73" w:rsidRPr="00CF71FC">
        <w:rPr>
          <w:rFonts w:ascii="Verdana" w:hAnsi="Verdana"/>
          <w:i/>
          <w:sz w:val="16"/>
          <w:szCs w:val="16"/>
          <w:lang w:val="es-ES"/>
        </w:rPr>
        <w:t xml:space="preserve">. </w:t>
      </w:r>
      <w:r w:rsidR="00657F73" w:rsidRPr="00CF71FC">
        <w:rPr>
          <w:rFonts w:ascii="Verdana" w:hAnsi="Verdana"/>
          <w:sz w:val="16"/>
          <w:szCs w:val="16"/>
          <w:lang w:val="es-ES"/>
        </w:rPr>
        <w:t>Sentencia de 22 de noviembre de 2016</w:t>
      </w:r>
      <w:r w:rsidR="00657F73" w:rsidRPr="00CF71FC">
        <w:rPr>
          <w:rFonts w:ascii="Verdana" w:hAnsi="Verdana"/>
          <w:i/>
          <w:sz w:val="16"/>
          <w:szCs w:val="16"/>
          <w:lang w:val="es-ES"/>
        </w:rPr>
        <w:t>; Voto Concurrente del Juez Eduardo Vio Grossi, Corte Interamericana de Derechos Humanos. Caso Herrera Espinoza y Otros Vs. Ecuador</w:t>
      </w:r>
      <w:r w:rsidR="00657F73" w:rsidRPr="00CB3628">
        <w:rPr>
          <w:rFonts w:ascii="Verdana" w:hAnsi="Verdana"/>
          <w:i/>
          <w:sz w:val="16"/>
          <w:szCs w:val="16"/>
          <w:lang w:val="es-419"/>
        </w:rPr>
        <w:t xml:space="preserve">. </w:t>
      </w:r>
      <w:r w:rsidR="00657F73" w:rsidRPr="00D1359C">
        <w:rPr>
          <w:rFonts w:ascii="Verdana" w:hAnsi="Verdana"/>
          <w:i/>
          <w:sz w:val="16"/>
          <w:szCs w:val="16"/>
          <w:lang w:val="es-419"/>
        </w:rPr>
        <w:t>Excepciones Preliminares, Fondo, Reparaciones y Costas</w:t>
      </w:r>
      <w:r w:rsidR="00657F73" w:rsidRPr="00CF71FC">
        <w:rPr>
          <w:rFonts w:ascii="Verdana" w:hAnsi="Verdana"/>
          <w:i/>
          <w:sz w:val="16"/>
          <w:szCs w:val="16"/>
          <w:lang w:val="es-ES"/>
        </w:rPr>
        <w:t>.</w:t>
      </w:r>
      <w:r w:rsidR="00657F73" w:rsidRPr="00CF71FC">
        <w:rPr>
          <w:rFonts w:ascii="Verdana" w:hAnsi="Verdana"/>
          <w:sz w:val="16"/>
          <w:szCs w:val="16"/>
          <w:lang w:val="es-ES"/>
        </w:rPr>
        <w:t xml:space="preserve"> Sentencia de 1 de septiembre de 2016</w:t>
      </w:r>
      <w:r w:rsidR="00657F73" w:rsidRPr="00CF71FC">
        <w:rPr>
          <w:rFonts w:ascii="Verdana" w:hAnsi="Verdana"/>
          <w:i/>
          <w:sz w:val="16"/>
          <w:szCs w:val="16"/>
          <w:lang w:val="es-ES"/>
        </w:rPr>
        <w:t>; Voto Concurrente del Juez Eduardo Vio Grossi. Corte Interamericana de Derechos Humanos, Caso Velásquez Paiz y Otros Vs Guatemala</w:t>
      </w:r>
      <w:r w:rsidR="00657F73" w:rsidRPr="00D1359C">
        <w:rPr>
          <w:rFonts w:ascii="Verdana" w:hAnsi="Verdana"/>
          <w:i/>
          <w:sz w:val="16"/>
          <w:szCs w:val="16"/>
          <w:lang w:val="es-419"/>
        </w:rPr>
        <w:t xml:space="preserve">. Excepciones Preliminares, Fondo, Reparaciones y Costas. </w:t>
      </w:r>
      <w:r w:rsidR="00657F73" w:rsidRPr="00CF71FC">
        <w:rPr>
          <w:rFonts w:ascii="Verdana" w:hAnsi="Verdana"/>
          <w:sz w:val="16"/>
          <w:szCs w:val="16"/>
          <w:lang w:val="es-ES"/>
        </w:rPr>
        <w:t>Sentencia de 19 de noviembre de 2015</w:t>
      </w:r>
      <w:r w:rsidR="00657F73" w:rsidRPr="00CF71FC">
        <w:rPr>
          <w:rFonts w:ascii="Verdana" w:hAnsi="Verdana"/>
          <w:i/>
          <w:sz w:val="16"/>
          <w:szCs w:val="16"/>
          <w:lang w:val="es-ES"/>
        </w:rPr>
        <w:t xml:space="preserve">; Voto Disidente del Juez Eduardo Vio Grossi, Corte Interamericana de Derechos Humanos. Caso Comunidad Campesina de Santa Bárbara Vs. Perú. </w:t>
      </w:r>
      <w:r w:rsidR="00657F73" w:rsidRPr="00D1359C">
        <w:rPr>
          <w:rFonts w:ascii="Verdana" w:hAnsi="Verdana"/>
          <w:i/>
          <w:sz w:val="16"/>
          <w:szCs w:val="16"/>
          <w:lang w:val="es-419"/>
        </w:rPr>
        <w:t>Excepciones Preliminares, Fondo, Reparaciones y Costas.</w:t>
      </w:r>
      <w:r w:rsidR="00657F73" w:rsidRPr="00CF71FC">
        <w:rPr>
          <w:rFonts w:ascii="Verdana" w:hAnsi="Verdana"/>
          <w:i/>
          <w:sz w:val="16"/>
          <w:szCs w:val="16"/>
          <w:lang w:val="es-ES"/>
        </w:rPr>
        <w:t xml:space="preserve"> </w:t>
      </w:r>
      <w:r w:rsidR="00657F73" w:rsidRPr="00CF71FC">
        <w:rPr>
          <w:rFonts w:ascii="Verdana" w:hAnsi="Verdana"/>
          <w:sz w:val="16"/>
          <w:szCs w:val="16"/>
          <w:lang w:val="es-ES"/>
        </w:rPr>
        <w:t>Sentencia de 1 de septiembre de 2015</w:t>
      </w:r>
      <w:r w:rsidR="00657F73" w:rsidRPr="00CF71FC">
        <w:rPr>
          <w:rFonts w:ascii="Verdana" w:hAnsi="Verdana"/>
          <w:i/>
          <w:sz w:val="16"/>
          <w:szCs w:val="16"/>
          <w:lang w:val="es-ES"/>
        </w:rPr>
        <w:t xml:space="preserve">; Voto Individual Disidente del Juez Eduardo Vio Grossi, Corte Interamericana de Derechos Humanos. Caso Wong Ho </w:t>
      </w:r>
      <w:proofErr w:type="spellStart"/>
      <w:r w:rsidR="00657F73" w:rsidRPr="00CF71FC">
        <w:rPr>
          <w:rFonts w:ascii="Verdana" w:hAnsi="Verdana"/>
          <w:i/>
          <w:sz w:val="16"/>
          <w:szCs w:val="16"/>
          <w:lang w:val="es-ES"/>
        </w:rPr>
        <w:t>Wing</w:t>
      </w:r>
      <w:proofErr w:type="spellEnd"/>
      <w:r w:rsidR="00657F73" w:rsidRPr="00CF71FC">
        <w:rPr>
          <w:rFonts w:ascii="Verdana" w:hAnsi="Verdana"/>
          <w:i/>
          <w:sz w:val="16"/>
          <w:szCs w:val="16"/>
          <w:lang w:val="es-ES"/>
        </w:rPr>
        <w:t xml:space="preserve"> Vs. Perú.</w:t>
      </w:r>
      <w:r w:rsidR="00657F73" w:rsidRPr="00CB3628">
        <w:rPr>
          <w:rFonts w:ascii="Verdana" w:hAnsi="Verdana"/>
          <w:i/>
          <w:sz w:val="16"/>
          <w:szCs w:val="16"/>
          <w:lang w:val="es-419"/>
        </w:rPr>
        <w:t xml:space="preserve"> </w:t>
      </w:r>
      <w:r w:rsidR="00657F73" w:rsidRPr="00D1359C">
        <w:rPr>
          <w:rFonts w:ascii="Verdana" w:hAnsi="Verdana"/>
          <w:i/>
          <w:sz w:val="16"/>
          <w:szCs w:val="16"/>
          <w:lang w:val="es-419"/>
        </w:rPr>
        <w:t>Excepción Preliminar, Fondo, Reparaciones y Costas</w:t>
      </w:r>
      <w:r w:rsidR="00657F73" w:rsidRPr="00D1359C">
        <w:rPr>
          <w:rFonts w:ascii="Verdana" w:hAnsi="Verdana"/>
          <w:sz w:val="16"/>
          <w:szCs w:val="16"/>
          <w:lang w:val="es-419"/>
        </w:rPr>
        <w:t>. Sentencia de 30 de junio de 2015</w:t>
      </w:r>
      <w:r w:rsidR="00657F73" w:rsidRPr="00CF71FC">
        <w:rPr>
          <w:rFonts w:ascii="Verdana" w:hAnsi="Verdana"/>
          <w:i/>
          <w:sz w:val="16"/>
          <w:szCs w:val="16"/>
          <w:lang w:val="es-ES"/>
        </w:rPr>
        <w:t>; Voto Individual Disidente del Juez Eduardo Vio Grossi, Corte Interamericana de Derechos Humanos. Caso Cruz Sánchez y otros Vs. Perú</w:t>
      </w:r>
      <w:r w:rsidR="00657F73" w:rsidRPr="00CB3628">
        <w:rPr>
          <w:rFonts w:ascii="Verdana" w:hAnsi="Verdana"/>
          <w:i/>
          <w:sz w:val="16"/>
          <w:szCs w:val="16"/>
          <w:lang w:val="es-419"/>
        </w:rPr>
        <w:t xml:space="preserve">. </w:t>
      </w:r>
      <w:r w:rsidR="00657F73" w:rsidRPr="00D1359C">
        <w:rPr>
          <w:rFonts w:ascii="Verdana" w:hAnsi="Verdana"/>
          <w:i/>
          <w:sz w:val="16"/>
          <w:szCs w:val="16"/>
          <w:lang w:val="es-419"/>
        </w:rPr>
        <w:t xml:space="preserve">Excepciones Preliminares, Fondo, Reparaciones y Costas. </w:t>
      </w:r>
      <w:r w:rsidR="00657F73" w:rsidRPr="00D1359C">
        <w:rPr>
          <w:rFonts w:ascii="Verdana" w:hAnsi="Verdana"/>
          <w:sz w:val="16"/>
          <w:szCs w:val="16"/>
          <w:lang w:val="es-419"/>
        </w:rPr>
        <w:t>Sentencia de 17 de abril de 2015</w:t>
      </w:r>
      <w:r w:rsidR="00B96BE8">
        <w:rPr>
          <w:rFonts w:ascii="Verdana" w:hAnsi="Verdana"/>
          <w:sz w:val="16"/>
          <w:szCs w:val="16"/>
          <w:lang w:val="es-419"/>
        </w:rPr>
        <w:t xml:space="preserve">; Voto </w:t>
      </w:r>
      <w:r w:rsidR="00657F73" w:rsidRPr="00CF71FC">
        <w:rPr>
          <w:rFonts w:ascii="Verdana" w:hAnsi="Verdana"/>
          <w:i/>
          <w:sz w:val="16"/>
          <w:szCs w:val="16"/>
          <w:lang w:val="es-ES"/>
        </w:rPr>
        <w:t>Disidente</w:t>
      </w:r>
      <w:r w:rsidR="00B96BE8">
        <w:rPr>
          <w:rFonts w:ascii="Verdana" w:hAnsi="Verdana"/>
          <w:i/>
          <w:sz w:val="16"/>
          <w:szCs w:val="16"/>
          <w:lang w:val="es-ES"/>
        </w:rPr>
        <w:t xml:space="preserve"> del Juez Edu</w:t>
      </w:r>
      <w:r w:rsidR="00657F73" w:rsidRPr="00CF71FC">
        <w:rPr>
          <w:rFonts w:ascii="Verdana" w:hAnsi="Verdana"/>
          <w:i/>
          <w:sz w:val="16"/>
          <w:szCs w:val="16"/>
          <w:lang w:val="es-ES"/>
        </w:rPr>
        <w:t xml:space="preserve">ardo </w:t>
      </w:r>
      <w:r w:rsidR="00B96BE8">
        <w:rPr>
          <w:rFonts w:ascii="Verdana" w:hAnsi="Verdana"/>
          <w:i/>
          <w:sz w:val="16"/>
          <w:szCs w:val="16"/>
          <w:lang w:val="es-ES"/>
        </w:rPr>
        <w:t>V</w:t>
      </w:r>
      <w:r w:rsidR="00657F73" w:rsidRPr="00CF71FC">
        <w:rPr>
          <w:rFonts w:ascii="Verdana" w:hAnsi="Verdana"/>
          <w:i/>
          <w:sz w:val="16"/>
          <w:szCs w:val="16"/>
          <w:lang w:val="es-ES"/>
        </w:rPr>
        <w:t xml:space="preserve">io Grossi, Corte Interamericana de Derechos Humanos. Caso </w:t>
      </w:r>
      <w:proofErr w:type="spellStart"/>
      <w:r w:rsidR="00657F73" w:rsidRPr="00CF71FC">
        <w:rPr>
          <w:rFonts w:ascii="Verdana" w:hAnsi="Verdana"/>
          <w:i/>
          <w:sz w:val="16"/>
          <w:szCs w:val="16"/>
          <w:lang w:val="es-ES"/>
        </w:rPr>
        <w:t>Liakat</w:t>
      </w:r>
      <w:proofErr w:type="spellEnd"/>
      <w:r w:rsidR="00657F73" w:rsidRPr="00CF71FC">
        <w:rPr>
          <w:rFonts w:ascii="Verdana" w:hAnsi="Verdana"/>
          <w:i/>
          <w:sz w:val="16"/>
          <w:szCs w:val="16"/>
          <w:lang w:val="es-ES"/>
        </w:rPr>
        <w:t xml:space="preserve"> Ali </w:t>
      </w:r>
      <w:proofErr w:type="spellStart"/>
      <w:r w:rsidR="00657F73" w:rsidRPr="00CF71FC">
        <w:rPr>
          <w:rFonts w:ascii="Verdana" w:hAnsi="Verdana"/>
          <w:i/>
          <w:sz w:val="16"/>
          <w:szCs w:val="16"/>
          <w:lang w:val="es-ES"/>
        </w:rPr>
        <w:t>Alibux</w:t>
      </w:r>
      <w:proofErr w:type="spellEnd"/>
      <w:r w:rsidR="00657F73" w:rsidRPr="00CF71FC">
        <w:rPr>
          <w:rFonts w:ascii="Verdana" w:hAnsi="Verdana"/>
          <w:i/>
          <w:sz w:val="16"/>
          <w:szCs w:val="16"/>
          <w:lang w:val="es-ES"/>
        </w:rPr>
        <w:t xml:space="preserve"> Vs. </w:t>
      </w:r>
      <w:proofErr w:type="spellStart"/>
      <w:r w:rsidR="00657F73" w:rsidRPr="00CF71FC">
        <w:rPr>
          <w:rFonts w:ascii="Verdana" w:hAnsi="Verdana"/>
          <w:i/>
          <w:sz w:val="16"/>
          <w:szCs w:val="16"/>
          <w:lang w:val="es-ES"/>
        </w:rPr>
        <w:t>Suriname</w:t>
      </w:r>
      <w:proofErr w:type="spellEnd"/>
      <w:r w:rsidR="00657F73" w:rsidRPr="00CB3628">
        <w:rPr>
          <w:rFonts w:ascii="Verdana" w:hAnsi="Verdana"/>
          <w:i/>
          <w:sz w:val="16"/>
          <w:szCs w:val="16"/>
          <w:lang w:val="es-419"/>
        </w:rPr>
        <w:t xml:space="preserve">. </w:t>
      </w:r>
      <w:r w:rsidR="00657F73" w:rsidRPr="00D1359C">
        <w:rPr>
          <w:rFonts w:ascii="Verdana" w:hAnsi="Verdana"/>
          <w:i/>
          <w:sz w:val="16"/>
          <w:szCs w:val="16"/>
          <w:lang w:val="es-419"/>
        </w:rPr>
        <w:t xml:space="preserve">Excepciones Preliminares, Fondo, Reparaciones y Costas. </w:t>
      </w:r>
      <w:r w:rsidR="00657F73" w:rsidRPr="00D1359C">
        <w:rPr>
          <w:rFonts w:ascii="Verdana" w:hAnsi="Verdana"/>
          <w:sz w:val="16"/>
          <w:szCs w:val="16"/>
          <w:lang w:val="es-419"/>
        </w:rPr>
        <w:t>Sentencia de 30 de enero de 2014</w:t>
      </w:r>
      <w:r w:rsidR="00657F73" w:rsidRPr="00CF71FC">
        <w:rPr>
          <w:rFonts w:ascii="Verdana" w:hAnsi="Verdana"/>
          <w:i/>
          <w:sz w:val="16"/>
          <w:szCs w:val="16"/>
          <w:lang w:val="es-ES"/>
        </w:rPr>
        <w:t xml:space="preserve">, </w:t>
      </w:r>
      <w:r w:rsidR="00657F73" w:rsidRPr="00CF71FC">
        <w:rPr>
          <w:rFonts w:ascii="Verdana" w:hAnsi="Verdana"/>
          <w:sz w:val="16"/>
          <w:szCs w:val="16"/>
          <w:lang w:val="es-ES"/>
        </w:rPr>
        <w:t>y</w:t>
      </w:r>
      <w:r w:rsidR="00657F73" w:rsidRPr="00CF71FC">
        <w:rPr>
          <w:rFonts w:ascii="Verdana" w:hAnsi="Verdana"/>
          <w:i/>
          <w:sz w:val="16"/>
          <w:szCs w:val="16"/>
          <w:lang w:val="es-ES"/>
        </w:rPr>
        <w:t xml:space="preserve"> Voto Individual Disidente del Juez Eduardo Vio Grossi, Corte Interamericana de Derechos Humanos. Caso Díaz Peña Vs. Venezuela</w:t>
      </w:r>
      <w:r w:rsidR="00657F73" w:rsidRPr="00CB3628">
        <w:rPr>
          <w:rFonts w:ascii="Verdana" w:hAnsi="Verdana"/>
          <w:i/>
          <w:sz w:val="16"/>
          <w:szCs w:val="16"/>
          <w:lang w:val="es-419"/>
        </w:rPr>
        <w:t xml:space="preserve">. </w:t>
      </w:r>
      <w:r w:rsidR="00657F73" w:rsidRPr="00D1359C">
        <w:rPr>
          <w:rFonts w:ascii="Verdana" w:hAnsi="Verdana"/>
          <w:i/>
          <w:sz w:val="16"/>
          <w:szCs w:val="16"/>
          <w:lang w:val="es-419"/>
        </w:rPr>
        <w:t xml:space="preserve">Excepción Preliminar, Fondo, Reparaciones y Costas. </w:t>
      </w:r>
      <w:r w:rsidR="00657F73" w:rsidRPr="00D1359C">
        <w:rPr>
          <w:rFonts w:ascii="Verdana" w:hAnsi="Verdana"/>
          <w:sz w:val="16"/>
          <w:szCs w:val="16"/>
          <w:lang w:val="es-419"/>
        </w:rPr>
        <w:t xml:space="preserve">Sentencia de 26 de junio de 2012. </w:t>
      </w:r>
    </w:p>
    <w:p w14:paraId="7806392E" w14:textId="77777777" w:rsidR="00C954F7" w:rsidRPr="00C954F7" w:rsidRDefault="00C954F7">
      <w:pPr>
        <w:pStyle w:val="Textonotapie"/>
        <w:rPr>
          <w:lang w:val="es-419"/>
        </w:rPr>
      </w:pPr>
    </w:p>
  </w:footnote>
  <w:footnote w:id="3">
    <w:p w14:paraId="21CC98DE" w14:textId="77777777" w:rsidR="006D48BF" w:rsidRPr="006D48BF" w:rsidRDefault="00C954F7" w:rsidP="006D48BF">
      <w:pPr>
        <w:widowControl w:val="0"/>
        <w:tabs>
          <w:tab w:val="left" w:pos="720"/>
        </w:tabs>
        <w:adjustRightInd w:val="0"/>
        <w:spacing w:after="0" w:line="240" w:lineRule="auto"/>
        <w:ind w:right="-90"/>
        <w:contextualSpacing/>
        <w:jc w:val="both"/>
        <w:textAlignment w:val="baseline"/>
        <w:rPr>
          <w:rFonts w:ascii="Verdana" w:hAnsi="Verdana"/>
          <w:i/>
          <w:iCs/>
          <w:kern w:val="2"/>
          <w:sz w:val="16"/>
          <w:szCs w:val="16"/>
        </w:rPr>
      </w:pPr>
      <w:r w:rsidRPr="006D48BF">
        <w:rPr>
          <w:rStyle w:val="Refdenotaalpie"/>
          <w:rFonts w:ascii="Verdana" w:hAnsi="Verdana"/>
          <w:i/>
          <w:iCs/>
          <w:sz w:val="16"/>
          <w:szCs w:val="16"/>
        </w:rPr>
        <w:footnoteRef/>
      </w:r>
      <w:r w:rsidRPr="006D48BF">
        <w:rPr>
          <w:rFonts w:ascii="Verdana" w:hAnsi="Verdana"/>
          <w:i/>
          <w:iCs/>
          <w:sz w:val="16"/>
          <w:szCs w:val="16"/>
        </w:rPr>
        <w:t xml:space="preserve"> </w:t>
      </w:r>
      <w:r w:rsidR="006D48BF" w:rsidRPr="006D48BF">
        <w:rPr>
          <w:rFonts w:ascii="Verdana" w:hAnsi="Verdana"/>
          <w:i/>
          <w:iCs/>
          <w:sz w:val="16"/>
          <w:szCs w:val="16"/>
        </w:rPr>
        <w:t>“</w:t>
      </w:r>
      <w:r w:rsidR="006D48BF" w:rsidRPr="006D48BF">
        <w:rPr>
          <w:rFonts w:ascii="Verdana" w:hAnsi="Verdana"/>
          <w:i/>
          <w:iCs/>
          <w:kern w:val="2"/>
          <w:sz w:val="16"/>
          <w:szCs w:val="16"/>
        </w:rPr>
        <w:t>Desestimar la excepción preliminar opuesta por el Estado relativa a la aducida falta de agotamiento de recursos internos, de conformidad con los párrafos 15 a 22 de esta Sentencia.”</w:t>
      </w:r>
    </w:p>
    <w:p w14:paraId="41113991" w14:textId="77777777" w:rsidR="00C954F7" w:rsidRPr="00C954F7" w:rsidRDefault="00C954F7">
      <w:pPr>
        <w:pStyle w:val="Textonotapie"/>
        <w:rPr>
          <w:lang w:val="es-419"/>
        </w:rPr>
      </w:pPr>
    </w:p>
  </w:footnote>
  <w:footnote w:id="4">
    <w:p w14:paraId="4CDA3D00" w14:textId="77777777" w:rsidR="000165D7" w:rsidRDefault="000165D7">
      <w:pPr>
        <w:pStyle w:val="Textonotapie"/>
      </w:pPr>
      <w:r>
        <w:rPr>
          <w:rStyle w:val="Refdenotaalpie"/>
        </w:rPr>
        <w:footnoteRef/>
      </w:r>
      <w:r>
        <w:t xml:space="preserve"> </w:t>
      </w:r>
      <w:r w:rsidR="006D48BF">
        <w:t>En adelante, la Comisión.</w:t>
      </w:r>
    </w:p>
    <w:p w14:paraId="6B631438" w14:textId="77777777" w:rsidR="006D48BF" w:rsidRPr="000165D7" w:rsidRDefault="006D48BF">
      <w:pPr>
        <w:pStyle w:val="Textonotapie"/>
        <w:rPr>
          <w:lang w:val="es-419"/>
        </w:rPr>
      </w:pPr>
    </w:p>
  </w:footnote>
  <w:footnote w:id="5">
    <w:p w14:paraId="530BA5C6" w14:textId="77777777" w:rsidR="000165D7" w:rsidRPr="000165D7" w:rsidRDefault="000165D7">
      <w:pPr>
        <w:pStyle w:val="Textonotapie"/>
        <w:rPr>
          <w:lang w:val="es-419"/>
        </w:rPr>
      </w:pPr>
      <w:r>
        <w:rPr>
          <w:rStyle w:val="Refdenotaalpie"/>
        </w:rPr>
        <w:footnoteRef/>
      </w:r>
      <w:r>
        <w:t xml:space="preserve"> </w:t>
      </w:r>
      <w:r w:rsidR="006D48BF">
        <w:t>Párrafo 2.a) de la Sentencia.</w:t>
      </w:r>
    </w:p>
  </w:footnote>
  <w:footnote w:id="6">
    <w:p w14:paraId="00E37978" w14:textId="77777777" w:rsidR="006D48BF" w:rsidRPr="006D48BF" w:rsidRDefault="006D48BF" w:rsidP="006D48BF">
      <w:pPr>
        <w:jc w:val="both"/>
        <w:rPr>
          <w:rFonts w:ascii="Verdana" w:hAnsi="Verdana"/>
          <w:i/>
          <w:iCs/>
          <w:sz w:val="16"/>
          <w:szCs w:val="16"/>
          <w:lang w:val="es-ES"/>
        </w:rPr>
      </w:pPr>
      <w:r w:rsidRPr="006D48BF">
        <w:rPr>
          <w:rStyle w:val="Refdenotaalpie"/>
          <w:rFonts w:ascii="Verdana" w:hAnsi="Verdana"/>
          <w:i/>
          <w:iCs/>
          <w:sz w:val="16"/>
          <w:szCs w:val="16"/>
        </w:rPr>
        <w:footnoteRef/>
      </w:r>
      <w:r w:rsidRPr="006D48BF">
        <w:rPr>
          <w:rFonts w:ascii="Verdana" w:hAnsi="Verdana"/>
          <w:i/>
          <w:iCs/>
          <w:sz w:val="16"/>
          <w:szCs w:val="16"/>
        </w:rPr>
        <w:t xml:space="preserve"> “</w:t>
      </w:r>
      <w:r w:rsidRPr="006D48BF">
        <w:rPr>
          <w:rFonts w:ascii="Verdana" w:hAnsi="Verdana"/>
          <w:i/>
          <w:iCs/>
          <w:sz w:val="16"/>
          <w:szCs w:val="16"/>
          <w:lang w:val="es-ES"/>
        </w:rPr>
        <w:t xml:space="preserve">Para que una petición o comunicación presentada conforme a los artículos 44 </w:t>
      </w:r>
      <w:proofErr w:type="spellStart"/>
      <w:r w:rsidRPr="006D48BF">
        <w:rPr>
          <w:rFonts w:ascii="Verdana" w:hAnsi="Verdana"/>
          <w:i/>
          <w:iCs/>
          <w:sz w:val="16"/>
          <w:szCs w:val="16"/>
          <w:lang w:val="es-ES"/>
        </w:rPr>
        <w:t>ó</w:t>
      </w:r>
      <w:proofErr w:type="spellEnd"/>
      <w:r w:rsidRPr="006D48BF">
        <w:rPr>
          <w:rFonts w:ascii="Verdana" w:hAnsi="Verdana"/>
          <w:i/>
          <w:iCs/>
          <w:sz w:val="16"/>
          <w:szCs w:val="16"/>
          <w:lang w:val="es-ES"/>
        </w:rPr>
        <w:t xml:space="preserve"> 45 sea admitida por la Comisión, se requerirá: a) que se hayan interpuesto y agotado los recursos de jurisdicción interna, conforme a los principios del Derecho Internacional generalmente reconocidos;</w:t>
      </w:r>
      <w:r>
        <w:rPr>
          <w:rFonts w:ascii="Verdana" w:hAnsi="Verdana"/>
          <w:i/>
          <w:iCs/>
          <w:sz w:val="16"/>
          <w:szCs w:val="16"/>
          <w:lang w:val="es-ES"/>
        </w:rPr>
        <w:t xml:space="preserve"> …</w:t>
      </w:r>
      <w:r w:rsidRPr="006D48BF">
        <w:rPr>
          <w:rFonts w:ascii="Verdana" w:hAnsi="Verdana"/>
          <w:i/>
          <w:iCs/>
          <w:sz w:val="16"/>
          <w:szCs w:val="16"/>
          <w:lang w:val="es-ES"/>
        </w:rPr>
        <w:t>”</w:t>
      </w:r>
    </w:p>
  </w:footnote>
  <w:footnote w:id="7">
    <w:p w14:paraId="31B7B095" w14:textId="4D00CE3C" w:rsidR="006D48BF" w:rsidRDefault="000165D7">
      <w:pPr>
        <w:pStyle w:val="Textonotapie"/>
      </w:pPr>
      <w:r>
        <w:rPr>
          <w:rStyle w:val="Refdenotaalpie"/>
        </w:rPr>
        <w:footnoteRef/>
      </w:r>
      <w:r w:rsidR="006D48BF">
        <w:t xml:space="preserve"> En adelante, la Con</w:t>
      </w:r>
      <w:r w:rsidR="005628C2">
        <w:t>v</w:t>
      </w:r>
      <w:r w:rsidR="006D48BF">
        <w:t>ención.</w:t>
      </w:r>
    </w:p>
    <w:p w14:paraId="6EFE229D" w14:textId="77777777" w:rsidR="000165D7" w:rsidRPr="000165D7" w:rsidRDefault="000165D7">
      <w:pPr>
        <w:pStyle w:val="Textonotapie"/>
        <w:rPr>
          <w:lang w:val="es-419"/>
        </w:rPr>
      </w:pPr>
      <w:r>
        <w:t xml:space="preserve"> </w:t>
      </w:r>
    </w:p>
  </w:footnote>
  <w:footnote w:id="8">
    <w:p w14:paraId="5E9ABEB1" w14:textId="0EABE8F5" w:rsidR="00211417" w:rsidRPr="00211417" w:rsidRDefault="00211417" w:rsidP="00211417">
      <w:pPr>
        <w:pStyle w:val="NormalWeb"/>
        <w:shd w:val="clear" w:color="auto" w:fill="FFFFFF"/>
        <w:spacing w:before="0" w:beforeAutospacing="0" w:after="0" w:afterAutospacing="0"/>
        <w:rPr>
          <w:rFonts w:ascii="Verdana" w:hAnsi="Verdana" w:cs="Tahoma"/>
          <w:i/>
          <w:iCs/>
          <w:color w:val="333333"/>
          <w:sz w:val="16"/>
          <w:szCs w:val="16"/>
        </w:rPr>
      </w:pPr>
      <w:r w:rsidRPr="00211417">
        <w:rPr>
          <w:rStyle w:val="Refdenotaalpie"/>
          <w:rFonts w:ascii="Verdana" w:hAnsi="Verdana"/>
          <w:sz w:val="16"/>
          <w:szCs w:val="16"/>
        </w:rPr>
        <w:footnoteRef/>
      </w:r>
      <w:r w:rsidRPr="00211417">
        <w:rPr>
          <w:rFonts w:ascii="Verdana" w:hAnsi="Verdana"/>
          <w:sz w:val="16"/>
          <w:szCs w:val="16"/>
        </w:rPr>
        <w:t xml:space="preserve"> </w:t>
      </w:r>
      <w:r w:rsidRPr="00211417">
        <w:rPr>
          <w:rFonts w:ascii="Verdana" w:hAnsi="Verdana" w:cs="Tahoma"/>
          <w:i/>
          <w:iCs/>
          <w:color w:val="333333"/>
          <w:sz w:val="16"/>
          <w:szCs w:val="16"/>
        </w:rPr>
        <w:t>“Requisitos para la consideración de peticiones. Las peticiones dirigidas a la Comisión deberán contener la siguiente información: …8. Las gestiones emprendidas para agotar los recursos de la jurisdicción interna o la imposibilidad de hacerlo conforme al artículo 31 del presente Reglamento; </w:t>
      </w:r>
    </w:p>
    <w:p w14:paraId="612422B0" w14:textId="719280F6" w:rsidR="00211417" w:rsidRPr="00211417" w:rsidRDefault="00211417">
      <w:pPr>
        <w:pStyle w:val="Textonotapie"/>
        <w:rPr>
          <w:lang w:val="es-419"/>
        </w:rPr>
      </w:pPr>
    </w:p>
  </w:footnote>
  <w:footnote w:id="9">
    <w:p w14:paraId="3EA26448" w14:textId="77777777" w:rsidR="004B63A0" w:rsidRPr="004B63A0" w:rsidRDefault="004B63A0" w:rsidP="004B63A0">
      <w:pPr>
        <w:pStyle w:val="NormalWeb"/>
        <w:shd w:val="clear" w:color="auto" w:fill="FFFFFF"/>
        <w:spacing w:before="0" w:beforeAutospacing="0" w:after="0" w:afterAutospacing="0"/>
        <w:jc w:val="both"/>
        <w:rPr>
          <w:rFonts w:ascii="Verdana" w:hAnsi="Verdana" w:cs="Tahoma"/>
          <w:i/>
          <w:iCs/>
          <w:color w:val="333333"/>
          <w:sz w:val="16"/>
          <w:szCs w:val="16"/>
        </w:rPr>
      </w:pPr>
      <w:r>
        <w:rPr>
          <w:rStyle w:val="Refdenotaalpie"/>
        </w:rPr>
        <w:footnoteRef/>
      </w:r>
      <w:r>
        <w:t xml:space="preserve"> </w:t>
      </w:r>
      <w:r w:rsidRPr="004B63A0">
        <w:rPr>
          <w:rFonts w:ascii="Verdana" w:hAnsi="Verdana" w:cs="Tahoma"/>
          <w:i/>
          <w:iCs/>
          <w:color w:val="333333"/>
          <w:sz w:val="16"/>
          <w:szCs w:val="16"/>
        </w:rPr>
        <w:t>“Revisión inicial</w:t>
      </w:r>
      <w:r>
        <w:rPr>
          <w:rFonts w:ascii="Verdana" w:hAnsi="Verdana" w:cs="Tahoma"/>
          <w:i/>
          <w:iCs/>
          <w:color w:val="333333"/>
          <w:sz w:val="16"/>
          <w:szCs w:val="16"/>
        </w:rPr>
        <w:t>.</w:t>
      </w:r>
      <w:r w:rsidRPr="004B63A0">
        <w:rPr>
          <w:rFonts w:ascii="Verdana" w:hAnsi="Verdana" w:cs="Tahoma"/>
          <w:i/>
          <w:iCs/>
          <w:color w:val="333333"/>
          <w:sz w:val="16"/>
          <w:szCs w:val="16"/>
        </w:rPr>
        <w:t>1. La Secretaría Ejecutiva de la Comisión tendrá la responsabilidad del estudio y tramitación inicial de las peticiones presentadas a la Comisión que llenen todos los requisitos establecidos en el Estatuto y en el artículo 28 del presente Reglamento.</w:t>
      </w:r>
    </w:p>
    <w:p w14:paraId="76EE0601" w14:textId="77777777" w:rsidR="004B63A0" w:rsidRPr="004B63A0" w:rsidRDefault="004B63A0" w:rsidP="004B63A0">
      <w:pPr>
        <w:pStyle w:val="NormalWeb"/>
        <w:shd w:val="clear" w:color="auto" w:fill="FFFFFF"/>
        <w:spacing w:before="0" w:beforeAutospacing="0" w:after="0" w:afterAutospacing="0"/>
        <w:jc w:val="both"/>
        <w:rPr>
          <w:rFonts w:ascii="Verdana" w:hAnsi="Verdana" w:cs="Tahoma"/>
          <w:i/>
          <w:iCs/>
          <w:color w:val="333333"/>
          <w:sz w:val="16"/>
          <w:szCs w:val="16"/>
        </w:rPr>
      </w:pPr>
      <w:r w:rsidRPr="004B63A0">
        <w:rPr>
          <w:rFonts w:ascii="Verdana" w:hAnsi="Verdana" w:cs="Tahoma"/>
          <w:i/>
          <w:iCs/>
          <w:color w:val="333333"/>
          <w:sz w:val="16"/>
          <w:szCs w:val="16"/>
        </w:rPr>
        <w:t>2. Si una petición no reúne los requisitos exigidos en el presente Reglamento, la Secretaría Ejecutiva podrá solicitar al peticionario o a su representante que los complete.</w:t>
      </w:r>
    </w:p>
    <w:p w14:paraId="24694B20" w14:textId="77777777" w:rsidR="004B63A0" w:rsidRPr="004B63A0" w:rsidRDefault="004B63A0" w:rsidP="004B63A0">
      <w:pPr>
        <w:pStyle w:val="NormalWeb"/>
        <w:shd w:val="clear" w:color="auto" w:fill="FFFFFF"/>
        <w:spacing w:before="0" w:beforeAutospacing="0" w:after="0" w:afterAutospacing="0"/>
        <w:jc w:val="both"/>
        <w:rPr>
          <w:rFonts w:ascii="Verdana" w:hAnsi="Verdana" w:cs="Tahoma"/>
          <w:i/>
          <w:iCs/>
          <w:color w:val="333333"/>
          <w:sz w:val="16"/>
          <w:szCs w:val="16"/>
        </w:rPr>
      </w:pPr>
      <w:r w:rsidRPr="004B63A0">
        <w:rPr>
          <w:rFonts w:ascii="Verdana" w:hAnsi="Verdana" w:cs="Tahoma"/>
          <w:i/>
          <w:iCs/>
          <w:color w:val="333333"/>
          <w:sz w:val="16"/>
          <w:szCs w:val="16"/>
        </w:rPr>
        <w:t>3. Si la Secretaría Ejecutiva tuviera alguna duda sobre el cumplimiento de los requisitos mencionados, consultará a la Comisión.”</w:t>
      </w:r>
    </w:p>
    <w:p w14:paraId="7673E0B7" w14:textId="77777777" w:rsidR="004B63A0" w:rsidRPr="004B63A0" w:rsidRDefault="004B63A0">
      <w:pPr>
        <w:pStyle w:val="Textonotapie"/>
        <w:rPr>
          <w:lang w:val="es-419"/>
        </w:rPr>
      </w:pPr>
    </w:p>
  </w:footnote>
  <w:footnote w:id="10">
    <w:p w14:paraId="6F87DB1C" w14:textId="1172CF28" w:rsidR="003C6444" w:rsidRPr="002235AB" w:rsidRDefault="003C6444" w:rsidP="002235AB">
      <w:pPr>
        <w:jc w:val="both"/>
        <w:rPr>
          <w:rFonts w:ascii="Verdana" w:hAnsi="Verdana"/>
          <w:sz w:val="16"/>
          <w:szCs w:val="16"/>
          <w:lang w:val="es-ES"/>
        </w:rPr>
      </w:pPr>
      <w:r w:rsidRPr="003C6444">
        <w:rPr>
          <w:rStyle w:val="Refdenotaalpie"/>
          <w:rFonts w:ascii="Verdana" w:hAnsi="Verdana"/>
          <w:sz w:val="16"/>
          <w:szCs w:val="16"/>
        </w:rPr>
        <w:footnoteRef/>
      </w:r>
      <w:r w:rsidRPr="003C6444">
        <w:rPr>
          <w:rFonts w:ascii="Verdana" w:hAnsi="Verdana"/>
          <w:sz w:val="16"/>
          <w:szCs w:val="16"/>
        </w:rPr>
        <w:t xml:space="preserve"> </w:t>
      </w:r>
      <w:r w:rsidRPr="003C6444">
        <w:rPr>
          <w:rFonts w:ascii="Verdana" w:hAnsi="Verdana"/>
          <w:i/>
          <w:iCs/>
          <w:sz w:val="16"/>
          <w:szCs w:val="16"/>
        </w:rPr>
        <w:t>“</w:t>
      </w:r>
      <w:r w:rsidRPr="003C6444">
        <w:rPr>
          <w:rFonts w:ascii="Verdana" w:hAnsi="Verdana"/>
          <w:i/>
          <w:iCs/>
          <w:sz w:val="16"/>
          <w:szCs w:val="16"/>
          <w:lang w:val="es-ES"/>
        </w:rPr>
        <w:t>La Comisión, al recibir una petición o comunicación en la que se alegue la violación de cualquiera de los derechos que consagra esta Convención, procederá en los siguientes términos: 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footnote>
  <w:footnote w:id="11">
    <w:p w14:paraId="39373E24" w14:textId="0041B518" w:rsidR="002235AB" w:rsidRDefault="002235AB" w:rsidP="002235AB">
      <w:pPr>
        <w:pStyle w:val="Textonotapie"/>
        <w:jc w:val="both"/>
      </w:pPr>
      <w:r>
        <w:rPr>
          <w:rStyle w:val="Refdenotaalpie"/>
        </w:rPr>
        <w:footnoteRef/>
      </w:r>
      <w:r>
        <w:t xml:space="preserve"> </w:t>
      </w:r>
      <w:r w:rsidRPr="002235AB">
        <w:rPr>
          <w:rFonts w:ascii="Verdana" w:hAnsi="Verdana"/>
          <w:i/>
          <w:iCs/>
          <w:sz w:val="16"/>
          <w:szCs w:val="16"/>
        </w:rPr>
        <w:t>“Procedimiento de admisibilidad…. 2. A tal efecto, transmitirá las partes pertinentes de la petición al Estado en cuestión. La solicitud de información al Estado no prejuzgará sobre la decisión de admisibilidad que adopte la Comisión. 3. El Estado presentará su respuesta dentro del plazo de tres meses contados desde la fecha de transmisión.  La Secretaría Ejecutiva evaluará solicitudes de prórroga de dicho plazo que estén debidamente fundadas.   Sin embargo, no concederá prórrogas que excedan de cuatro meses contados a partir de la fecha del envío de la primera solicitud de información al Estado</w:t>
      </w:r>
      <w:r>
        <w:t>.”</w:t>
      </w:r>
    </w:p>
    <w:p w14:paraId="207195EC" w14:textId="77777777" w:rsidR="002235AB" w:rsidRPr="002235AB" w:rsidRDefault="002235AB">
      <w:pPr>
        <w:pStyle w:val="Textonotapie"/>
        <w:rPr>
          <w:lang w:val="es-419"/>
        </w:rPr>
      </w:pPr>
    </w:p>
  </w:footnote>
  <w:footnote w:id="12">
    <w:p w14:paraId="6E1AFFC9" w14:textId="6614EEED" w:rsidR="00F22890" w:rsidRPr="00F22890" w:rsidRDefault="00F22890">
      <w:pPr>
        <w:pStyle w:val="Textonotapie"/>
        <w:rPr>
          <w:lang w:val="es-419"/>
        </w:rPr>
      </w:pPr>
      <w:r>
        <w:rPr>
          <w:rStyle w:val="Refdenotaalpie"/>
        </w:rPr>
        <w:footnoteRef/>
      </w:r>
      <w:r>
        <w:t xml:space="preserve"> </w:t>
      </w:r>
      <w:r w:rsidR="003C6444">
        <w:t>Párrafos 2.1.b) y 14 de la Sentencia.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F7"/>
    <w:rsid w:val="000165D7"/>
    <w:rsid w:val="00112C07"/>
    <w:rsid w:val="00190DEC"/>
    <w:rsid w:val="001F7A9A"/>
    <w:rsid w:val="00211417"/>
    <w:rsid w:val="002235AB"/>
    <w:rsid w:val="00234CCB"/>
    <w:rsid w:val="00286017"/>
    <w:rsid w:val="002B1260"/>
    <w:rsid w:val="00356F74"/>
    <w:rsid w:val="00372B52"/>
    <w:rsid w:val="00395BB1"/>
    <w:rsid w:val="003C5BE2"/>
    <w:rsid w:val="003C6444"/>
    <w:rsid w:val="00426633"/>
    <w:rsid w:val="004B63A0"/>
    <w:rsid w:val="004F0835"/>
    <w:rsid w:val="005628C2"/>
    <w:rsid w:val="005A4BC2"/>
    <w:rsid w:val="005C3866"/>
    <w:rsid w:val="0060210B"/>
    <w:rsid w:val="00640ABA"/>
    <w:rsid w:val="006438E1"/>
    <w:rsid w:val="00657F73"/>
    <w:rsid w:val="00663F88"/>
    <w:rsid w:val="006D48BF"/>
    <w:rsid w:val="007D5B5B"/>
    <w:rsid w:val="00863532"/>
    <w:rsid w:val="008A09A1"/>
    <w:rsid w:val="00934F1B"/>
    <w:rsid w:val="009877EF"/>
    <w:rsid w:val="00A8426D"/>
    <w:rsid w:val="00AD3AF7"/>
    <w:rsid w:val="00B96BE8"/>
    <w:rsid w:val="00C954F7"/>
    <w:rsid w:val="00D72556"/>
    <w:rsid w:val="00DE7738"/>
    <w:rsid w:val="00E43F95"/>
    <w:rsid w:val="00EA0038"/>
    <w:rsid w:val="00EE20C6"/>
    <w:rsid w:val="00EF5791"/>
    <w:rsid w:val="00F22890"/>
    <w:rsid w:val="00FA4528"/>
    <w:rsid w:val="00FD1607"/>
    <w:rsid w:val="00FD5B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6003"/>
  <w15:chartTrackingRefBased/>
  <w15:docId w15:val="{B2766C17-B369-4FB5-95BA-D40351E5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54F7"/>
    <w:pPr>
      <w:spacing w:after="160" w:line="259" w:lineRule="auto"/>
      <w:ind w:left="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954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54F7"/>
    <w:rPr>
      <w:sz w:val="20"/>
      <w:szCs w:val="20"/>
    </w:rPr>
  </w:style>
  <w:style w:type="character" w:styleId="Refdenotaalpie">
    <w:name w:val="footnote reference"/>
    <w:basedOn w:val="Fuentedeprrafopredeter"/>
    <w:uiPriority w:val="99"/>
    <w:semiHidden/>
    <w:unhideWhenUsed/>
    <w:rsid w:val="00C954F7"/>
    <w:rPr>
      <w:vertAlign w:val="superscript"/>
    </w:rPr>
  </w:style>
  <w:style w:type="character" w:styleId="Textoennegrita">
    <w:name w:val="Strong"/>
    <w:basedOn w:val="Fuentedeprrafopredeter"/>
    <w:uiPriority w:val="22"/>
    <w:qFormat/>
    <w:rsid w:val="00657F73"/>
    <w:rPr>
      <w:b/>
      <w:bCs/>
    </w:rPr>
  </w:style>
  <w:style w:type="paragraph" w:styleId="NormalWeb">
    <w:name w:val="Normal (Web)"/>
    <w:basedOn w:val="Normal"/>
    <w:uiPriority w:val="99"/>
    <w:unhideWhenUsed/>
    <w:rsid w:val="004B63A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4B63A0"/>
    <w:rPr>
      <w:color w:val="0000FF"/>
      <w:u w:val="single"/>
    </w:rPr>
  </w:style>
  <w:style w:type="paragraph" w:styleId="Encabezado">
    <w:name w:val="header"/>
    <w:basedOn w:val="Normal"/>
    <w:link w:val="EncabezadoCar"/>
    <w:uiPriority w:val="99"/>
    <w:unhideWhenUsed/>
    <w:rsid w:val="00640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ABA"/>
  </w:style>
  <w:style w:type="paragraph" w:styleId="Piedepgina">
    <w:name w:val="footer"/>
    <w:basedOn w:val="Normal"/>
    <w:link w:val="PiedepginaCar"/>
    <w:uiPriority w:val="99"/>
    <w:unhideWhenUsed/>
    <w:rsid w:val="00640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02">
      <w:bodyDiv w:val="1"/>
      <w:marLeft w:val="0"/>
      <w:marRight w:val="0"/>
      <w:marTop w:val="0"/>
      <w:marBottom w:val="0"/>
      <w:divBdr>
        <w:top w:val="none" w:sz="0" w:space="0" w:color="auto"/>
        <w:left w:val="none" w:sz="0" w:space="0" w:color="auto"/>
        <w:bottom w:val="none" w:sz="0" w:space="0" w:color="auto"/>
        <w:right w:val="none" w:sz="0" w:space="0" w:color="auto"/>
      </w:divBdr>
    </w:div>
    <w:div w:id="326592409">
      <w:bodyDiv w:val="1"/>
      <w:marLeft w:val="0"/>
      <w:marRight w:val="0"/>
      <w:marTop w:val="0"/>
      <w:marBottom w:val="0"/>
      <w:divBdr>
        <w:top w:val="none" w:sz="0" w:space="0" w:color="auto"/>
        <w:left w:val="none" w:sz="0" w:space="0" w:color="auto"/>
        <w:bottom w:val="none" w:sz="0" w:space="0" w:color="auto"/>
        <w:right w:val="none" w:sz="0" w:space="0" w:color="auto"/>
      </w:divBdr>
    </w:div>
    <w:div w:id="339819787">
      <w:bodyDiv w:val="1"/>
      <w:marLeft w:val="0"/>
      <w:marRight w:val="0"/>
      <w:marTop w:val="0"/>
      <w:marBottom w:val="0"/>
      <w:divBdr>
        <w:top w:val="none" w:sz="0" w:space="0" w:color="auto"/>
        <w:left w:val="none" w:sz="0" w:space="0" w:color="auto"/>
        <w:bottom w:val="none" w:sz="0" w:space="0" w:color="auto"/>
        <w:right w:val="none" w:sz="0" w:space="0" w:color="auto"/>
      </w:divBdr>
    </w:div>
    <w:div w:id="672875033">
      <w:bodyDiv w:val="1"/>
      <w:marLeft w:val="0"/>
      <w:marRight w:val="0"/>
      <w:marTop w:val="0"/>
      <w:marBottom w:val="0"/>
      <w:divBdr>
        <w:top w:val="none" w:sz="0" w:space="0" w:color="auto"/>
        <w:left w:val="none" w:sz="0" w:space="0" w:color="auto"/>
        <w:bottom w:val="none" w:sz="0" w:space="0" w:color="auto"/>
        <w:right w:val="none" w:sz="0" w:space="0" w:color="auto"/>
      </w:divBdr>
    </w:div>
    <w:div w:id="20563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7FF5-6758-464E-AA61-540C6F70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2020-03-19T17:04:00Z</dcterms:created>
  <dcterms:modified xsi:type="dcterms:W3CDTF">2020-03-19T17:04:00Z</dcterms:modified>
</cp:coreProperties>
</file>