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755" w:rsidRDefault="00CE4755" w:rsidP="00CE4755">
      <w:pPr>
        <w:pStyle w:val="Ttulo"/>
        <w:ind w:left="-142" w:right="-4"/>
        <w:rPr>
          <w:rFonts w:eastAsia="MS Mincho"/>
        </w:rPr>
      </w:pPr>
      <w:bookmarkStart w:id="0" w:name="_GoBack"/>
      <w:bookmarkEnd w:id="0"/>
      <w:r>
        <w:rPr>
          <w:rFonts w:eastAsia="MS Mincho"/>
        </w:rPr>
        <w:t>VOTO CONCURRENTE DEL JUEZ EDUARDO VIO GROSSI,</w:t>
      </w:r>
    </w:p>
    <w:p w:rsidR="00CE4755" w:rsidRDefault="00CE4755" w:rsidP="00CE4755">
      <w:pPr>
        <w:pStyle w:val="Ttulo"/>
        <w:ind w:left="-142" w:right="-4"/>
        <w:rPr>
          <w:rFonts w:eastAsia="MS Mincho"/>
        </w:rPr>
      </w:pPr>
      <w:r>
        <w:rPr>
          <w:rFonts w:eastAsia="MS Mincho"/>
        </w:rPr>
        <w:t>CORTE INTERAMERICANA DE DERECHOS HUMANOS</w:t>
      </w:r>
      <w:r w:rsidRPr="00CE4755">
        <w:rPr>
          <w:rFonts w:eastAsia="MS Mincho"/>
        </w:rPr>
        <w:t>,</w:t>
      </w:r>
    </w:p>
    <w:p w:rsidR="00CE4755" w:rsidRPr="00CE4755" w:rsidRDefault="00CE4755" w:rsidP="00CE4755">
      <w:pPr>
        <w:pStyle w:val="Ttulo"/>
        <w:ind w:left="-142" w:right="-4"/>
        <w:rPr>
          <w:rFonts w:eastAsia="MS Mincho"/>
        </w:rPr>
      </w:pPr>
      <w:r w:rsidRPr="00CE4755">
        <w:rPr>
          <w:rFonts w:cs="Verdana Bold"/>
          <w:bCs/>
          <w:i/>
          <w:caps/>
        </w:rPr>
        <w:t>CASO de los buzos miskitos (LEMOTH MORRIS Y OTROS) VS. HONDURAS</w:t>
      </w:r>
      <w:r>
        <w:rPr>
          <w:rFonts w:cs="Verdana Bold"/>
          <w:bCs/>
          <w:i/>
          <w:caps/>
        </w:rPr>
        <w:t>,</w:t>
      </w:r>
    </w:p>
    <w:p w:rsidR="00CE4755" w:rsidRDefault="00CE4755" w:rsidP="00CE4755">
      <w:pPr>
        <w:pStyle w:val="Ttulo"/>
        <w:ind w:left="-142" w:right="-4"/>
        <w:rPr>
          <w:rFonts w:eastAsia="MS Mincho"/>
        </w:rPr>
      </w:pPr>
      <w:r>
        <w:rPr>
          <w:rFonts w:eastAsia="MS Mincho"/>
        </w:rPr>
        <w:t>SENTENCIA DE 31 DE AGOSTO DE 2021.</w:t>
      </w:r>
    </w:p>
    <w:p w:rsidR="00CE4755" w:rsidRDefault="00CE4755" w:rsidP="00CE4755">
      <w:pPr>
        <w:pStyle w:val="Ttulo"/>
        <w:ind w:left="-142" w:right="-4"/>
        <w:rPr>
          <w:rFonts w:eastAsia="MS Mincho"/>
        </w:rPr>
      </w:pPr>
    </w:p>
    <w:p w:rsidR="00CE4755" w:rsidRDefault="00CE4755" w:rsidP="00CE4755">
      <w:pPr>
        <w:pStyle w:val="Ttulo"/>
        <w:ind w:left="-142" w:right="-4"/>
        <w:rPr>
          <w:rFonts w:eastAsia="MS Mincho"/>
        </w:rPr>
      </w:pPr>
    </w:p>
    <w:p w:rsidR="00CE4755" w:rsidRDefault="00CE4755" w:rsidP="00CE4755">
      <w:pPr>
        <w:pStyle w:val="Ttulo"/>
        <w:ind w:left="-142" w:right="-4"/>
        <w:rPr>
          <w:rFonts w:eastAsia="MS Mincho"/>
        </w:rPr>
      </w:pPr>
    </w:p>
    <w:p w:rsidR="00FF7771" w:rsidRDefault="00FF7771" w:rsidP="00CE4755">
      <w:pPr>
        <w:pStyle w:val="Ttulo"/>
        <w:ind w:left="-142" w:right="-4"/>
        <w:jc w:val="both"/>
        <w:rPr>
          <w:rFonts w:eastAsia="MS Mincho"/>
          <w:b w:val="0"/>
        </w:rPr>
      </w:pPr>
    </w:p>
    <w:p w:rsidR="00FF7771" w:rsidRDefault="00FF7771" w:rsidP="00CE4755">
      <w:pPr>
        <w:pStyle w:val="Ttulo"/>
        <w:ind w:left="-142" w:right="-4"/>
        <w:jc w:val="both"/>
        <w:rPr>
          <w:rFonts w:eastAsia="MS Mincho"/>
          <w:b w:val="0"/>
        </w:rPr>
      </w:pPr>
    </w:p>
    <w:p w:rsidR="00661422" w:rsidRDefault="00CE4755" w:rsidP="00CE4755">
      <w:pPr>
        <w:pStyle w:val="Ttulo"/>
        <w:ind w:left="-142" w:right="-4"/>
        <w:jc w:val="both"/>
        <w:rPr>
          <w:rFonts w:eastAsia="MS Mincho"/>
          <w:b w:val="0"/>
        </w:rPr>
      </w:pPr>
      <w:r>
        <w:rPr>
          <w:rFonts w:eastAsia="MS Mincho"/>
          <w:b w:val="0"/>
        </w:rPr>
        <w:t>Se emite el presente voto concurrente</w:t>
      </w:r>
      <w:r w:rsidR="00F53A8A">
        <w:rPr>
          <w:rFonts w:eastAsia="MS Mincho"/>
          <w:b w:val="0"/>
        </w:rPr>
        <w:t xml:space="preserve"> a los efectos de dejar constancia de que el infrascrito ha votado favorablemente la Sentencia indicada en el epígrafe, en at</w:t>
      </w:r>
      <w:r w:rsidR="00EF741C">
        <w:rPr>
          <w:rFonts w:eastAsia="MS Mincho"/>
          <w:b w:val="0"/>
        </w:rPr>
        <w:t>ención a que el Estado denunciado</w:t>
      </w:r>
      <w:r w:rsidR="00F53A8A">
        <w:rPr>
          <w:rFonts w:eastAsia="MS Mincho"/>
          <w:b w:val="0"/>
        </w:rPr>
        <w:t xml:space="preserve"> en autos, ha, med</w:t>
      </w:r>
      <w:r w:rsidR="00FF7771">
        <w:rPr>
          <w:rFonts w:eastAsia="MS Mincho"/>
          <w:b w:val="0"/>
        </w:rPr>
        <w:t>iante el Acuerdo de Solución Amistosa suscrito con</w:t>
      </w:r>
      <w:r w:rsidR="00092970">
        <w:rPr>
          <w:rFonts w:eastAsia="MS Mincho"/>
          <w:b w:val="0"/>
        </w:rPr>
        <w:t xml:space="preserve"> los representantes de las víctimas del caso</w:t>
      </w:r>
      <w:r w:rsidR="00F53A8A">
        <w:rPr>
          <w:rFonts w:eastAsia="MS Mincho"/>
          <w:b w:val="0"/>
        </w:rPr>
        <w:t>, reconocido la aplicación, a su respecto y en dicha causa, del artículo 26 de la Convención Ame</w:t>
      </w:r>
      <w:r w:rsidR="00984860">
        <w:rPr>
          <w:rFonts w:eastAsia="MS Mincho"/>
          <w:b w:val="0"/>
        </w:rPr>
        <w:t>ricana sobre Derechos Humanos</w:t>
      </w:r>
      <w:r w:rsidR="007257CD">
        <w:rPr>
          <w:rStyle w:val="Refdenotaalpie"/>
          <w:rFonts w:eastAsia="MS Mincho"/>
          <w:b w:val="0"/>
        </w:rPr>
        <w:footnoteReference w:id="1"/>
      </w:r>
      <w:r w:rsidR="00C452DB">
        <w:rPr>
          <w:rFonts w:eastAsia="MS Mincho"/>
          <w:b w:val="0"/>
        </w:rPr>
        <w:t>.</w:t>
      </w:r>
      <w:r w:rsidR="00F53A8A">
        <w:rPr>
          <w:rFonts w:eastAsia="MS Mincho"/>
          <w:b w:val="0"/>
        </w:rPr>
        <w:t xml:space="preserve"> </w:t>
      </w:r>
    </w:p>
    <w:p w:rsidR="00661422" w:rsidRDefault="00661422" w:rsidP="00CE4755">
      <w:pPr>
        <w:pStyle w:val="Ttulo"/>
        <w:ind w:left="-142" w:right="-4"/>
        <w:jc w:val="both"/>
        <w:rPr>
          <w:rFonts w:eastAsia="MS Mincho"/>
          <w:b w:val="0"/>
        </w:rPr>
      </w:pPr>
    </w:p>
    <w:p w:rsidR="00984860" w:rsidRDefault="00661422" w:rsidP="00CE4755">
      <w:pPr>
        <w:pStyle w:val="Ttulo"/>
        <w:ind w:left="-142" w:right="-4"/>
        <w:jc w:val="both"/>
        <w:rPr>
          <w:rFonts w:eastAsia="MS Mincho"/>
          <w:b w:val="0"/>
        </w:rPr>
      </w:pPr>
      <w:r>
        <w:rPr>
          <w:rFonts w:eastAsia="MS Mincho"/>
          <w:b w:val="0"/>
        </w:rPr>
        <w:t>Así las cosas y con la salvedad indicada, el suscrito reitera su posición en orden a que los derechos aludidos en el referido artículo 26, no son justiciables ante la Corte Interamericana de Derechos Humanos</w:t>
      </w:r>
      <w:r>
        <w:rPr>
          <w:rStyle w:val="Refdenotaalpie"/>
          <w:rFonts w:eastAsia="MS Mincho"/>
          <w:b w:val="0"/>
        </w:rPr>
        <w:footnoteReference w:id="2"/>
      </w:r>
      <w:r w:rsidR="00984860">
        <w:rPr>
          <w:rFonts w:eastAsia="MS Mincho"/>
          <w:b w:val="0"/>
        </w:rPr>
        <w:t>. Asimismo,</w:t>
      </w:r>
      <w:r w:rsidR="00FF7771">
        <w:rPr>
          <w:rFonts w:eastAsia="MS Mincho"/>
          <w:b w:val="0"/>
        </w:rPr>
        <w:t xml:space="preserve"> manifiesta que el referido</w:t>
      </w:r>
      <w:r w:rsidR="00984860">
        <w:rPr>
          <w:rFonts w:eastAsia="MS Mincho"/>
          <w:b w:val="0"/>
        </w:rPr>
        <w:t xml:space="preserve"> reconocimiento </w:t>
      </w:r>
      <w:r w:rsidR="00EF741C">
        <w:rPr>
          <w:rFonts w:eastAsia="MS Mincho"/>
          <w:b w:val="0"/>
        </w:rPr>
        <w:t xml:space="preserve">del Estado denunciado </w:t>
      </w:r>
      <w:r w:rsidR="00C452DB">
        <w:rPr>
          <w:rFonts w:eastAsia="MS Mincho"/>
          <w:b w:val="0"/>
        </w:rPr>
        <w:t xml:space="preserve">en este caso, </w:t>
      </w:r>
      <w:r w:rsidR="007257CD">
        <w:rPr>
          <w:rFonts w:eastAsia="MS Mincho"/>
          <w:b w:val="0"/>
        </w:rPr>
        <w:t>no puede const</w:t>
      </w:r>
      <w:r w:rsidR="00984860">
        <w:rPr>
          <w:rFonts w:eastAsia="MS Mincho"/>
          <w:b w:val="0"/>
        </w:rPr>
        <w:t xml:space="preserve">ituir jurisprudencia o precedente aplicable a otros Estados en otras causas, a menos que éstos procedan en estas últimas de similar manera. </w:t>
      </w:r>
    </w:p>
    <w:p w:rsidR="00984860" w:rsidRPr="00B274B9" w:rsidRDefault="00984860" w:rsidP="00CE4755">
      <w:pPr>
        <w:pStyle w:val="Ttulo"/>
        <w:ind w:left="-142" w:right="-4"/>
        <w:jc w:val="both"/>
        <w:rPr>
          <w:rFonts w:eastAsia="MS Mincho"/>
          <w:b w:val="0"/>
        </w:rPr>
      </w:pPr>
    </w:p>
    <w:p w:rsidR="00984860" w:rsidRPr="00B274B9" w:rsidRDefault="00984860" w:rsidP="00CE4755">
      <w:pPr>
        <w:pStyle w:val="Ttulo"/>
        <w:ind w:left="-142" w:right="-4"/>
        <w:jc w:val="both"/>
        <w:rPr>
          <w:rFonts w:eastAsia="MS Mincho"/>
          <w:b w:val="0"/>
        </w:rPr>
      </w:pPr>
    </w:p>
    <w:p w:rsidR="00FF7771" w:rsidRPr="00B274B9" w:rsidRDefault="00FF7771" w:rsidP="00984860">
      <w:pPr>
        <w:pStyle w:val="Ttulo"/>
        <w:ind w:left="-142" w:right="-4"/>
        <w:jc w:val="right"/>
        <w:rPr>
          <w:rFonts w:eastAsia="MS Mincho"/>
          <w:b w:val="0"/>
        </w:rPr>
      </w:pPr>
    </w:p>
    <w:p w:rsidR="00FF7771" w:rsidRPr="00B274B9" w:rsidRDefault="00FF7771" w:rsidP="00984860">
      <w:pPr>
        <w:pStyle w:val="Ttulo"/>
        <w:ind w:left="-142" w:right="-4"/>
        <w:jc w:val="right"/>
        <w:rPr>
          <w:rFonts w:eastAsia="MS Mincho"/>
          <w:b w:val="0"/>
        </w:rPr>
      </w:pPr>
    </w:p>
    <w:p w:rsidR="00984860" w:rsidRPr="00B274B9" w:rsidRDefault="00984860" w:rsidP="00984860">
      <w:pPr>
        <w:pStyle w:val="Ttulo"/>
        <w:ind w:left="-142" w:right="-4"/>
        <w:jc w:val="right"/>
        <w:rPr>
          <w:rFonts w:eastAsia="MS Mincho"/>
          <w:b w:val="0"/>
        </w:rPr>
      </w:pPr>
      <w:r w:rsidRPr="00B274B9">
        <w:rPr>
          <w:rFonts w:eastAsia="MS Mincho"/>
          <w:b w:val="0"/>
        </w:rPr>
        <w:t>Eduardo Vio Grossi</w:t>
      </w:r>
    </w:p>
    <w:p w:rsidR="007257CD" w:rsidRPr="00B274B9" w:rsidRDefault="00984860" w:rsidP="007257CD">
      <w:pPr>
        <w:pStyle w:val="Ttulo"/>
        <w:ind w:left="-142" w:right="-4"/>
        <w:jc w:val="right"/>
        <w:rPr>
          <w:rFonts w:eastAsia="MS Mincho"/>
          <w:b w:val="0"/>
        </w:rPr>
      </w:pPr>
      <w:r w:rsidRPr="00B274B9">
        <w:rPr>
          <w:rFonts w:eastAsia="MS Mincho"/>
          <w:b w:val="0"/>
        </w:rPr>
        <w:t xml:space="preserve">Juez </w:t>
      </w:r>
    </w:p>
    <w:p w:rsidR="007257CD" w:rsidRPr="00B274B9" w:rsidRDefault="007257CD" w:rsidP="007257CD">
      <w:pPr>
        <w:pStyle w:val="Ttulo"/>
        <w:ind w:left="-142" w:right="-4"/>
        <w:jc w:val="right"/>
        <w:rPr>
          <w:b w:val="0"/>
        </w:rPr>
      </w:pPr>
    </w:p>
    <w:p w:rsidR="00B274B9" w:rsidRPr="00B274B9" w:rsidRDefault="00B274B9" w:rsidP="007257CD">
      <w:pPr>
        <w:pStyle w:val="Ttulo"/>
        <w:ind w:left="-142" w:right="-4"/>
        <w:jc w:val="right"/>
        <w:rPr>
          <w:b w:val="0"/>
        </w:rPr>
      </w:pPr>
    </w:p>
    <w:p w:rsidR="00B274B9" w:rsidRPr="00B274B9" w:rsidRDefault="00B274B9" w:rsidP="007257CD">
      <w:pPr>
        <w:pStyle w:val="Ttulo"/>
        <w:ind w:left="-142" w:right="-4"/>
        <w:jc w:val="right"/>
        <w:rPr>
          <w:b w:val="0"/>
        </w:rPr>
      </w:pPr>
    </w:p>
    <w:p w:rsidR="00B274B9" w:rsidRPr="00B274B9" w:rsidRDefault="00B274B9" w:rsidP="00B274B9">
      <w:pPr>
        <w:tabs>
          <w:tab w:val="left" w:pos="1440"/>
        </w:tabs>
        <w:rPr>
          <w:szCs w:val="20"/>
          <w:lang w:val="es-CR"/>
        </w:rPr>
      </w:pPr>
      <w:r w:rsidRPr="00B274B9">
        <w:rPr>
          <w:szCs w:val="20"/>
          <w:lang w:val="es-CR"/>
        </w:rPr>
        <w:t xml:space="preserve">Pablo Saavedra Alessandri </w:t>
      </w:r>
    </w:p>
    <w:p w:rsidR="00B274B9" w:rsidRPr="00B274B9" w:rsidRDefault="00B274B9" w:rsidP="00B274B9">
      <w:pPr>
        <w:tabs>
          <w:tab w:val="left" w:pos="1440"/>
        </w:tabs>
        <w:rPr>
          <w:szCs w:val="20"/>
          <w:lang w:val="es-CR"/>
        </w:rPr>
      </w:pPr>
      <w:r>
        <w:rPr>
          <w:szCs w:val="20"/>
          <w:lang w:val="es-CR"/>
        </w:rPr>
        <w:t xml:space="preserve">       </w:t>
      </w:r>
      <w:r w:rsidRPr="00B274B9">
        <w:rPr>
          <w:szCs w:val="20"/>
          <w:lang w:val="es-CR"/>
        </w:rPr>
        <w:t>Secretario</w:t>
      </w:r>
    </w:p>
    <w:sectPr w:rsidR="00B274B9" w:rsidRPr="00B274B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4A0" w:rsidRDefault="00FB14A0" w:rsidP="00661422">
      <w:r>
        <w:separator/>
      </w:r>
    </w:p>
  </w:endnote>
  <w:endnote w:type="continuationSeparator" w:id="0">
    <w:p w:rsidR="00FB14A0" w:rsidRDefault="00FB14A0" w:rsidP="0066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4A0" w:rsidRDefault="00FB14A0" w:rsidP="00661422">
      <w:r>
        <w:separator/>
      </w:r>
    </w:p>
  </w:footnote>
  <w:footnote w:type="continuationSeparator" w:id="0">
    <w:p w:rsidR="00FB14A0" w:rsidRDefault="00FB14A0" w:rsidP="00661422">
      <w:r>
        <w:continuationSeparator/>
      </w:r>
    </w:p>
  </w:footnote>
  <w:footnote w:id="1">
    <w:p w:rsidR="007257CD" w:rsidRPr="007257CD" w:rsidRDefault="007257CD">
      <w:pPr>
        <w:pStyle w:val="Textonotapie"/>
        <w:rPr>
          <w:sz w:val="16"/>
          <w:szCs w:val="16"/>
          <w:lang w:val="es-ES"/>
        </w:rPr>
      </w:pPr>
      <w:r w:rsidRPr="007257CD">
        <w:rPr>
          <w:rStyle w:val="Refdenotaalpie"/>
          <w:sz w:val="16"/>
          <w:szCs w:val="16"/>
        </w:rPr>
        <w:footnoteRef/>
      </w:r>
      <w:r w:rsidRPr="007257CD">
        <w:rPr>
          <w:sz w:val="16"/>
          <w:szCs w:val="16"/>
        </w:rPr>
        <w:t xml:space="preserve"> </w:t>
      </w:r>
      <w:r w:rsidRPr="007257CD">
        <w:rPr>
          <w:sz w:val="16"/>
          <w:szCs w:val="16"/>
          <w:lang w:val="es-ES"/>
        </w:rPr>
        <w:t>Párr. N° 13 de la Sentencia de autos.</w:t>
      </w:r>
    </w:p>
  </w:footnote>
  <w:footnote w:id="2">
    <w:p w:rsidR="00661422" w:rsidRPr="00F2683E" w:rsidRDefault="00F2683E" w:rsidP="00F2683E">
      <w:pPr>
        <w:spacing w:line="276" w:lineRule="auto"/>
        <w:ind w:right="48"/>
        <w:rPr>
          <w:b/>
          <w:sz w:val="16"/>
          <w:szCs w:val="16"/>
        </w:rPr>
      </w:pPr>
      <w:r w:rsidRPr="00F2683E">
        <w:rPr>
          <w:rStyle w:val="Refdenotaalpie"/>
          <w:sz w:val="16"/>
          <w:szCs w:val="16"/>
        </w:rPr>
        <w:footnoteRef/>
      </w:r>
      <w:r w:rsidRPr="00F2683E">
        <w:rPr>
          <w:sz w:val="16"/>
          <w:szCs w:val="16"/>
        </w:rPr>
        <w:t xml:space="preserve"> </w:t>
      </w:r>
      <w:bookmarkStart w:id="1" w:name="_Hlk68525088"/>
      <w:r w:rsidRPr="00F2683E">
        <w:rPr>
          <w:i/>
          <w:sz w:val="16"/>
          <w:szCs w:val="16"/>
        </w:rPr>
        <w:t xml:space="preserve">Voto Parcialmente Disidente de Jue Eduardo Vio Grossi, Corte Interamericana de Derechos Humanos, Caso </w:t>
      </w:r>
      <w:proofErr w:type="spellStart"/>
      <w:r w:rsidRPr="00F2683E">
        <w:rPr>
          <w:i/>
          <w:sz w:val="16"/>
          <w:szCs w:val="16"/>
        </w:rPr>
        <w:t>Guachalá</w:t>
      </w:r>
      <w:proofErr w:type="spellEnd"/>
      <w:r w:rsidRPr="00F2683E">
        <w:rPr>
          <w:i/>
          <w:sz w:val="16"/>
          <w:szCs w:val="16"/>
        </w:rPr>
        <w:t xml:space="preserve"> Chimbo y Otros Vs. Ecuador,, Sentencia de 26de marzo de 2021</w:t>
      </w:r>
      <w:r>
        <w:rPr>
          <w:i/>
          <w:sz w:val="16"/>
          <w:szCs w:val="16"/>
        </w:rPr>
        <w:t xml:space="preserve"> (fondo, reparaciones y Costas);</w:t>
      </w:r>
      <w:r w:rsidRPr="00F2683E">
        <w:rPr>
          <w:b/>
          <w:sz w:val="16"/>
          <w:szCs w:val="16"/>
        </w:rPr>
        <w:t xml:space="preserve"> </w:t>
      </w:r>
      <w:r>
        <w:rPr>
          <w:i/>
          <w:iCs/>
          <w:sz w:val="16"/>
          <w:szCs w:val="16"/>
        </w:rPr>
        <w:t xml:space="preserve">Voto Disidente del Juez Eduardo Vio Grossi, Corte Interamericana de Derechos Humanos, Caso </w:t>
      </w:r>
      <w:bookmarkEnd w:id="1"/>
      <w:r>
        <w:rPr>
          <w:i/>
          <w:iCs/>
          <w:sz w:val="16"/>
          <w:szCs w:val="16"/>
        </w:rPr>
        <w:t>Casa Nina VS. Perú, Sentencia de 24 de Noviembre de 2020, (Excepciones preliminares, Fondo, Reparaciones y Costas); Voto Parcialmente Disidente del Juez Eduardo Vio Grossi, Corte Interamericana de Derechos Humanos, Caso</w:t>
      </w:r>
      <w:r>
        <w:rPr>
          <w:i/>
          <w:iCs/>
          <w:sz w:val="16"/>
          <w:szCs w:val="16"/>
          <w:lang w:val="es-ES"/>
        </w:rPr>
        <w:t xml:space="preserve"> Empleados de la Fábrica de Fuegos en Santo Antonio de Jesús y sus Familiares VS. Brasil, Sentencia de 15 de Julio de 2020, (Excepciones Preliminares, Fondo, Reparaciones y Costas); </w:t>
      </w:r>
      <w:r>
        <w:rPr>
          <w:i/>
          <w:iCs/>
          <w:sz w:val="16"/>
          <w:szCs w:val="16"/>
        </w:rPr>
        <w:t xml:space="preserve">Voto disidente del juez Eduardo Vio Grossi, </w:t>
      </w:r>
      <w:r>
        <w:rPr>
          <w:rFonts w:cs="Arial"/>
          <w:i/>
          <w:iCs/>
          <w:sz w:val="16"/>
          <w:szCs w:val="16"/>
          <w:shd w:val="clear" w:color="auto" w:fill="FFFFFF"/>
        </w:rPr>
        <w:t xml:space="preserve">Caso Comunidades Indígenas Miembros de la Asociación </w:t>
      </w:r>
      <w:proofErr w:type="spellStart"/>
      <w:r>
        <w:rPr>
          <w:rFonts w:cs="Arial"/>
          <w:i/>
          <w:iCs/>
          <w:sz w:val="16"/>
          <w:szCs w:val="16"/>
          <w:shd w:val="clear" w:color="auto" w:fill="FFFFFF"/>
        </w:rPr>
        <w:t>Lhaka</w:t>
      </w:r>
      <w:proofErr w:type="spellEnd"/>
      <w:r>
        <w:rPr>
          <w:rFonts w:cs="Arial"/>
          <w:i/>
          <w:iCs/>
          <w:sz w:val="16"/>
          <w:szCs w:val="16"/>
          <w:shd w:val="clear" w:color="auto" w:fill="FFFFFF"/>
        </w:rPr>
        <w:t xml:space="preserve"> </w:t>
      </w:r>
      <w:proofErr w:type="spellStart"/>
      <w:r>
        <w:rPr>
          <w:rFonts w:cs="Arial"/>
          <w:i/>
          <w:iCs/>
          <w:sz w:val="16"/>
          <w:szCs w:val="16"/>
          <w:shd w:val="clear" w:color="auto" w:fill="FFFFFF"/>
        </w:rPr>
        <w:t>Honhat</w:t>
      </w:r>
      <w:proofErr w:type="spellEnd"/>
      <w:r>
        <w:rPr>
          <w:rFonts w:cs="Arial"/>
          <w:i/>
          <w:iCs/>
          <w:sz w:val="16"/>
          <w:szCs w:val="16"/>
          <w:shd w:val="clear" w:color="auto" w:fill="FFFFFF"/>
        </w:rPr>
        <w:t xml:space="preserve"> (Nuestra Tierra) Vs. Argentina. Fondo, Reparaciones y Costas. Sentencia de 6 de febrero de 2020; </w:t>
      </w:r>
      <w:r>
        <w:rPr>
          <w:rFonts w:eastAsia="Calibri" w:cs="Calibri"/>
          <w:i/>
          <w:sz w:val="16"/>
          <w:szCs w:val="16"/>
          <w:lang w:val="es-ES" w:eastAsia="es-CR"/>
        </w:rPr>
        <w:t xml:space="preserve">Voto Parcialmente Disidente del Juez Eduardo Vio Grossi a la Sentencia del 22 de noviembre de 2019, Corte Interamericana de Derechos Humanos, </w:t>
      </w:r>
      <w:r>
        <w:rPr>
          <w:rStyle w:val="Textoennegrita"/>
          <w:b w:val="0"/>
          <w:bCs w:val="0"/>
          <w:i/>
          <w:sz w:val="16"/>
          <w:szCs w:val="16"/>
          <w:shd w:val="clear" w:color="auto" w:fill="FFFFFF"/>
          <w:lang w:val="es-ES"/>
        </w:rPr>
        <w:t>Caso Hernández Vs. Argentina. Excepción Preliminar, Fondo, Reparaciones y Costas;</w:t>
      </w:r>
      <w:r>
        <w:rPr>
          <w:rStyle w:val="Textoennegrita"/>
          <w:i/>
          <w:sz w:val="16"/>
          <w:szCs w:val="16"/>
          <w:shd w:val="clear" w:color="auto" w:fill="FFFFFF"/>
          <w:lang w:val="es-ES"/>
        </w:rPr>
        <w:t xml:space="preserve"> </w:t>
      </w:r>
      <w:r>
        <w:rPr>
          <w:rFonts w:eastAsia="MS Mincho" w:cs="Times New Roman"/>
          <w:i/>
          <w:sz w:val="16"/>
          <w:szCs w:val="16"/>
          <w:lang w:val="es-ES" w:eastAsia="es-ES" w:bidi="en-US"/>
        </w:rPr>
        <w:t>Voto Parcialmente Disidente del Juez Eduardo Vio Grossi, Corte Interamericana de Derechos Humanos, Caso Muelle Flores Vs. Perú, Sentencia de 06 de marzo de2019,</w:t>
      </w:r>
      <w:r>
        <w:rPr>
          <w:i/>
          <w:sz w:val="16"/>
          <w:szCs w:val="16"/>
          <w:lang w:val="es-ES"/>
        </w:rPr>
        <w:t xml:space="preserve">(Excepciones Preliminares, Fondo, Reparaciones y Costas); </w:t>
      </w:r>
      <w:r>
        <w:rPr>
          <w:rFonts w:eastAsia="MS Mincho" w:cs="Times New Roman"/>
          <w:i/>
          <w:sz w:val="16"/>
          <w:szCs w:val="16"/>
          <w:lang w:val="es-ES" w:eastAsia="es-ES" w:bidi="en-US"/>
        </w:rPr>
        <w:t>Voto Parcialmente Disidente del Juez Eduardo Vio Grossi, Corte Interamericana de Derechos Humanos, Caso San Miguel Sosa y Otras Vs. Venezuela, Sentencia de 8 de febrero de 2018 (Fondo, Reparaciones y Costas); Voto Parcialmente Disidente del Juez Eduardo Vio Grossi, Corte Interamericana de Derechos Humanos, Caso Lagos del Campo Vs. Perú, Sentencia de 31 de agosto de 2017, (Excepciones Preliminares, Fondo, Reparaciones y Costa), y Voto Individual del Juez Eduardo Vio Grossi, Corte Interamericana de Derechos Humanos, Caso Trabajadores Cesados de Petroperú y Otros Vs. Perú, Sentencia de 23 de noviembre de 2017 (Excepciones Preliminares, Fondo, Reparaciones y Costas).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55"/>
    <w:rsid w:val="00092970"/>
    <w:rsid w:val="002156D5"/>
    <w:rsid w:val="00434843"/>
    <w:rsid w:val="00450A06"/>
    <w:rsid w:val="00661422"/>
    <w:rsid w:val="007257CD"/>
    <w:rsid w:val="007D4229"/>
    <w:rsid w:val="007E58A8"/>
    <w:rsid w:val="00902B5B"/>
    <w:rsid w:val="00984860"/>
    <w:rsid w:val="00AA0166"/>
    <w:rsid w:val="00B274B9"/>
    <w:rsid w:val="00C452DB"/>
    <w:rsid w:val="00CE4755"/>
    <w:rsid w:val="00EF741C"/>
    <w:rsid w:val="00F2683E"/>
    <w:rsid w:val="00F53A8A"/>
    <w:rsid w:val="00FB14A0"/>
    <w:rsid w:val="00FF77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C511B-BF50-4700-AA21-8AD787E5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55"/>
    <w:pPr>
      <w:spacing w:after="0" w:line="240" w:lineRule="auto"/>
      <w:jc w:val="both"/>
    </w:pPr>
    <w:rPr>
      <w:rFonts w:ascii="Verdana" w:eastAsia="Batang" w:hAnsi="Verdana" w:cs="Times"/>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E4755"/>
    <w:pPr>
      <w:jc w:val="center"/>
    </w:pPr>
    <w:rPr>
      <w:rFonts w:eastAsia="Times New Roman" w:cs="Times New Roman"/>
      <w:b/>
      <w:szCs w:val="20"/>
    </w:rPr>
  </w:style>
  <w:style w:type="character" w:customStyle="1" w:styleId="TtuloCar">
    <w:name w:val="Título Car"/>
    <w:basedOn w:val="Fuentedeprrafopredeter"/>
    <w:link w:val="Ttulo"/>
    <w:rsid w:val="00CE4755"/>
    <w:rPr>
      <w:rFonts w:ascii="Verdana" w:eastAsia="Times New Roman" w:hAnsi="Verdana" w:cs="Times New Roman"/>
      <w:b/>
      <w:sz w:val="20"/>
      <w:szCs w:val="20"/>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semiHidden/>
    <w:unhideWhenUsed/>
    <w:qFormat/>
    <w:rsid w:val="00661422"/>
    <w:rPr>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semiHidden/>
    <w:qFormat/>
    <w:rsid w:val="00661422"/>
    <w:rPr>
      <w:rFonts w:ascii="Verdana" w:eastAsia="Batang" w:hAnsi="Verdana" w:cs="Times"/>
      <w:sz w:val="20"/>
      <w:szCs w:val="20"/>
      <w:lang w:val="es-ES_tradnl"/>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nhideWhenUsed/>
    <w:qFormat/>
    <w:rsid w:val="00661422"/>
    <w:rPr>
      <w:vertAlign w:val="superscript"/>
    </w:rPr>
  </w:style>
  <w:style w:type="character" w:customStyle="1" w:styleId="TextonotapieCar1">
    <w:name w:val="Texto nota pie Car1"/>
    <w:basedOn w:val="Fuentedeprrafopredeter"/>
    <w:uiPriority w:val="99"/>
    <w:semiHidden/>
    <w:rsid w:val="00F2683E"/>
    <w:rPr>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F2683E"/>
    <w:pPr>
      <w:widowControl w:val="0"/>
      <w:adjustRightInd w:val="0"/>
      <w:spacing w:after="160"/>
      <w:ind w:left="-567" w:right="-567" w:firstLine="357"/>
    </w:pPr>
    <w:rPr>
      <w:rFonts w:asciiTheme="minorHAnsi" w:eastAsiaTheme="minorHAnsi" w:hAnsiTheme="minorHAnsi" w:cstheme="minorBidi"/>
      <w:sz w:val="22"/>
      <w:szCs w:val="22"/>
      <w:vertAlign w:val="superscript"/>
      <w:lang w:val="es-CL"/>
    </w:rPr>
  </w:style>
  <w:style w:type="character" w:styleId="Textoennegrita">
    <w:name w:val="Strong"/>
    <w:basedOn w:val="Fuentedeprrafopredeter"/>
    <w:uiPriority w:val="22"/>
    <w:qFormat/>
    <w:rsid w:val="00F2683E"/>
    <w:rPr>
      <w:b/>
      <w:bCs/>
    </w:rPr>
  </w:style>
  <w:style w:type="paragraph" w:styleId="Textonotaalfinal">
    <w:name w:val="endnote text"/>
    <w:basedOn w:val="Normal"/>
    <w:link w:val="TextonotaalfinalCar"/>
    <w:uiPriority w:val="99"/>
    <w:semiHidden/>
    <w:unhideWhenUsed/>
    <w:rsid w:val="00EF741C"/>
    <w:rPr>
      <w:szCs w:val="20"/>
    </w:rPr>
  </w:style>
  <w:style w:type="character" w:customStyle="1" w:styleId="TextonotaalfinalCar">
    <w:name w:val="Texto nota al final Car"/>
    <w:basedOn w:val="Fuentedeprrafopredeter"/>
    <w:link w:val="Textonotaalfinal"/>
    <w:uiPriority w:val="99"/>
    <w:semiHidden/>
    <w:rsid w:val="00EF741C"/>
    <w:rPr>
      <w:rFonts w:ascii="Verdana" w:eastAsia="Batang" w:hAnsi="Verdana" w:cs="Times"/>
      <w:sz w:val="20"/>
      <w:szCs w:val="20"/>
      <w:lang w:val="es-ES_tradnl"/>
    </w:rPr>
  </w:style>
  <w:style w:type="character" w:styleId="Refdenotaalfinal">
    <w:name w:val="endnote reference"/>
    <w:basedOn w:val="Fuentedeprrafopredeter"/>
    <w:uiPriority w:val="99"/>
    <w:semiHidden/>
    <w:unhideWhenUsed/>
    <w:rsid w:val="00EF74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542412">
      <w:bodyDiv w:val="1"/>
      <w:marLeft w:val="0"/>
      <w:marRight w:val="0"/>
      <w:marTop w:val="0"/>
      <w:marBottom w:val="0"/>
      <w:divBdr>
        <w:top w:val="none" w:sz="0" w:space="0" w:color="auto"/>
        <w:left w:val="none" w:sz="0" w:space="0" w:color="auto"/>
        <w:bottom w:val="none" w:sz="0" w:space="0" w:color="auto"/>
        <w:right w:val="none" w:sz="0" w:space="0" w:color="auto"/>
      </w:divBdr>
    </w:div>
    <w:div w:id="1855070254">
      <w:bodyDiv w:val="1"/>
      <w:marLeft w:val="0"/>
      <w:marRight w:val="0"/>
      <w:marTop w:val="0"/>
      <w:marBottom w:val="0"/>
      <w:divBdr>
        <w:top w:val="none" w:sz="0" w:space="0" w:color="auto"/>
        <w:left w:val="none" w:sz="0" w:space="0" w:color="auto"/>
        <w:bottom w:val="none" w:sz="0" w:space="0" w:color="auto"/>
        <w:right w:val="none" w:sz="0" w:space="0" w:color="auto"/>
      </w:divBdr>
    </w:div>
    <w:div w:id="199579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8E2E5-8FB0-418C-8127-7E2C7B1D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982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2</cp:revision>
  <dcterms:created xsi:type="dcterms:W3CDTF">2021-10-14T19:29:00Z</dcterms:created>
  <dcterms:modified xsi:type="dcterms:W3CDTF">2021-10-14T19:29:00Z</dcterms:modified>
</cp:coreProperties>
</file>