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DD2E7" w14:textId="77777777" w:rsidR="003053D7" w:rsidRPr="00486FEC" w:rsidRDefault="003053D7" w:rsidP="00486FEC">
      <w:pPr>
        <w:pStyle w:val="Prrafodelista"/>
        <w:spacing w:after="0" w:line="240" w:lineRule="auto"/>
        <w:ind w:left="0"/>
        <w:jc w:val="center"/>
        <w:rPr>
          <w:rFonts w:ascii="Verdana" w:hAnsi="Verdana"/>
          <w:b/>
          <w:bCs/>
          <w:sz w:val="20"/>
          <w:szCs w:val="20"/>
          <w:lang w:val="es-CR"/>
        </w:rPr>
      </w:pPr>
      <w:bookmarkStart w:id="0" w:name="_GoBack"/>
      <w:bookmarkEnd w:id="0"/>
      <w:r w:rsidRPr="00486FEC">
        <w:rPr>
          <w:rFonts w:ascii="Verdana" w:hAnsi="Verdana"/>
          <w:b/>
          <w:bCs/>
          <w:sz w:val="20"/>
          <w:szCs w:val="20"/>
          <w:lang w:val="es-CR"/>
        </w:rPr>
        <w:t>VOTO DISIDENTE DEL</w:t>
      </w:r>
    </w:p>
    <w:p w14:paraId="5EE0CF18" w14:textId="77777777" w:rsidR="003053D7" w:rsidRPr="00486FEC" w:rsidRDefault="003053D7" w:rsidP="00486FEC">
      <w:pPr>
        <w:pStyle w:val="Prrafodelista"/>
        <w:spacing w:after="0" w:line="240" w:lineRule="auto"/>
        <w:ind w:left="0"/>
        <w:jc w:val="center"/>
        <w:rPr>
          <w:rFonts w:ascii="Verdana" w:hAnsi="Verdana"/>
          <w:b/>
          <w:bCs/>
          <w:sz w:val="20"/>
          <w:szCs w:val="20"/>
          <w:lang w:val="es-CR"/>
        </w:rPr>
      </w:pPr>
      <w:r w:rsidRPr="00486FEC">
        <w:rPr>
          <w:rFonts w:ascii="Verdana" w:hAnsi="Verdana"/>
          <w:b/>
          <w:bCs/>
          <w:sz w:val="20"/>
          <w:szCs w:val="20"/>
          <w:lang w:val="es-CR"/>
        </w:rPr>
        <w:t>JUEZ EUGENIO RAÚL ZAFFARONI</w:t>
      </w:r>
    </w:p>
    <w:p w14:paraId="7175AA20" w14:textId="77777777" w:rsidR="003053D7" w:rsidRPr="00486FEC" w:rsidRDefault="003053D7" w:rsidP="00486FEC">
      <w:pPr>
        <w:spacing w:after="0" w:line="240" w:lineRule="auto"/>
        <w:jc w:val="center"/>
        <w:rPr>
          <w:rFonts w:ascii="Verdana" w:hAnsi="Verdana"/>
          <w:b/>
          <w:bCs/>
          <w:sz w:val="20"/>
          <w:szCs w:val="20"/>
          <w:lang w:val="es-CR"/>
        </w:rPr>
      </w:pPr>
    </w:p>
    <w:p w14:paraId="4A0C88BB" w14:textId="77777777" w:rsidR="003053D7" w:rsidRPr="00486FEC" w:rsidRDefault="003053D7" w:rsidP="00486FEC">
      <w:pPr>
        <w:spacing w:after="0" w:line="240" w:lineRule="auto"/>
        <w:ind w:left="360"/>
        <w:jc w:val="center"/>
        <w:rPr>
          <w:rFonts w:ascii="Verdana" w:eastAsia="Times New Roman" w:hAnsi="Verdana" w:cs="Times New Roman"/>
          <w:b/>
          <w:bCs/>
          <w:i/>
          <w:sz w:val="20"/>
          <w:szCs w:val="20"/>
          <w:u w:val="single"/>
          <w:lang w:val="es-CR" w:eastAsia="es-ES_tradnl"/>
        </w:rPr>
      </w:pPr>
      <w:r w:rsidRPr="00486FEC">
        <w:rPr>
          <w:rFonts w:ascii="Verdana" w:eastAsia="Times New Roman" w:hAnsi="Verdana" w:cs="Times New Roman"/>
          <w:b/>
          <w:bCs/>
          <w:i/>
          <w:sz w:val="20"/>
          <w:szCs w:val="20"/>
          <w:u w:val="single"/>
          <w:lang w:val="es-CR" w:eastAsia="es-ES_tradnl"/>
        </w:rPr>
        <w:t>CASO PALACIO URRUTIA Y OTROS VS. ECUADOR</w:t>
      </w:r>
    </w:p>
    <w:p w14:paraId="5DE6588E" w14:textId="77777777" w:rsidR="003053D7" w:rsidRPr="00486FEC" w:rsidRDefault="003053D7" w:rsidP="00486FEC">
      <w:pPr>
        <w:spacing w:after="0" w:line="240" w:lineRule="auto"/>
        <w:jc w:val="center"/>
        <w:rPr>
          <w:rFonts w:ascii="Verdana" w:hAnsi="Verdana"/>
          <w:b/>
          <w:bCs/>
          <w:i/>
          <w:sz w:val="20"/>
          <w:szCs w:val="20"/>
          <w:u w:val="single"/>
          <w:lang w:val="es-CR"/>
        </w:rPr>
      </w:pPr>
    </w:p>
    <w:p w14:paraId="68E02BA1" w14:textId="38AA8E45" w:rsidR="003053D7" w:rsidRPr="00486FEC" w:rsidRDefault="003053D7" w:rsidP="00486FEC">
      <w:pPr>
        <w:pStyle w:val="Prrafodelista"/>
        <w:spacing w:after="0" w:line="240" w:lineRule="auto"/>
        <w:ind w:left="0"/>
        <w:jc w:val="center"/>
        <w:rPr>
          <w:rFonts w:ascii="Verdana" w:hAnsi="Verdana"/>
          <w:b/>
          <w:bCs/>
          <w:sz w:val="20"/>
          <w:szCs w:val="20"/>
          <w:lang w:val="es-CR"/>
        </w:rPr>
      </w:pPr>
      <w:r w:rsidRPr="00486FEC">
        <w:rPr>
          <w:rFonts w:ascii="Verdana" w:hAnsi="Verdana"/>
          <w:b/>
          <w:bCs/>
          <w:sz w:val="20"/>
          <w:szCs w:val="20"/>
          <w:lang w:val="es-CR"/>
        </w:rPr>
        <w:t xml:space="preserve">SENTENCIA DE </w:t>
      </w:r>
      <w:r w:rsidR="00555CF3" w:rsidRPr="00486FEC">
        <w:rPr>
          <w:rFonts w:ascii="Verdana" w:hAnsi="Verdana"/>
          <w:b/>
          <w:bCs/>
          <w:sz w:val="20"/>
          <w:szCs w:val="20"/>
          <w:lang w:val="es-CR"/>
        </w:rPr>
        <w:t>24</w:t>
      </w:r>
      <w:r w:rsidRPr="00486FEC">
        <w:rPr>
          <w:rFonts w:ascii="Verdana" w:hAnsi="Verdana"/>
          <w:b/>
          <w:bCs/>
          <w:sz w:val="20"/>
          <w:szCs w:val="20"/>
          <w:lang w:val="es-CR"/>
        </w:rPr>
        <w:t xml:space="preserve"> DE NOVIEMBRE DE 2021</w:t>
      </w:r>
    </w:p>
    <w:p w14:paraId="7AF6BCD7" w14:textId="77777777" w:rsidR="003053D7" w:rsidRPr="00486FEC" w:rsidRDefault="003053D7" w:rsidP="00486FEC">
      <w:pPr>
        <w:pStyle w:val="Prrafodelista"/>
        <w:spacing w:after="0" w:line="240" w:lineRule="auto"/>
        <w:ind w:left="0"/>
        <w:jc w:val="center"/>
        <w:rPr>
          <w:rFonts w:ascii="Verdana" w:hAnsi="Verdana"/>
          <w:b/>
          <w:bCs/>
          <w:i/>
          <w:sz w:val="20"/>
          <w:szCs w:val="20"/>
          <w:lang w:val="es-CR"/>
        </w:rPr>
      </w:pPr>
      <w:r w:rsidRPr="00486FEC">
        <w:rPr>
          <w:rFonts w:ascii="Verdana" w:hAnsi="Verdana"/>
          <w:b/>
          <w:bCs/>
          <w:i/>
          <w:sz w:val="20"/>
          <w:szCs w:val="20"/>
          <w:lang w:val="es-CR"/>
        </w:rPr>
        <w:t>(Fondo, Reparaciones y Costas)</w:t>
      </w:r>
    </w:p>
    <w:p w14:paraId="66B77FE3" w14:textId="77777777" w:rsidR="003053D7" w:rsidRPr="00486FEC" w:rsidRDefault="003053D7" w:rsidP="00486FEC">
      <w:pPr>
        <w:pStyle w:val="Prrafodelista"/>
        <w:spacing w:after="0" w:line="240" w:lineRule="auto"/>
        <w:ind w:left="0"/>
        <w:jc w:val="both"/>
        <w:rPr>
          <w:rFonts w:ascii="Verdana" w:hAnsi="Verdana"/>
          <w:b/>
          <w:sz w:val="20"/>
          <w:szCs w:val="20"/>
        </w:rPr>
      </w:pPr>
    </w:p>
    <w:p w14:paraId="28B20401" w14:textId="77777777" w:rsidR="003053D7" w:rsidRPr="00486FEC" w:rsidRDefault="003053D7" w:rsidP="00486FEC">
      <w:pPr>
        <w:pStyle w:val="Prrafodelista"/>
        <w:spacing w:after="0" w:line="240" w:lineRule="auto"/>
        <w:ind w:left="0"/>
        <w:jc w:val="both"/>
        <w:rPr>
          <w:rFonts w:ascii="Verdana" w:hAnsi="Verdana"/>
          <w:b/>
          <w:sz w:val="20"/>
          <w:szCs w:val="20"/>
        </w:rPr>
      </w:pPr>
    </w:p>
    <w:p w14:paraId="50505A5A" w14:textId="77777777" w:rsidR="00F11354" w:rsidRPr="00486FEC" w:rsidRDefault="00F11354" w:rsidP="00486FEC">
      <w:pPr>
        <w:pStyle w:val="Prrafodelista"/>
        <w:spacing w:after="0" w:line="240" w:lineRule="auto"/>
        <w:ind w:left="0"/>
        <w:contextualSpacing w:val="0"/>
        <w:jc w:val="center"/>
        <w:rPr>
          <w:rFonts w:ascii="Verdana" w:hAnsi="Verdana"/>
          <w:b/>
          <w:sz w:val="20"/>
          <w:szCs w:val="20"/>
        </w:rPr>
      </w:pPr>
      <w:r w:rsidRPr="00486FEC">
        <w:rPr>
          <w:rFonts w:ascii="Verdana" w:hAnsi="Verdana"/>
          <w:b/>
          <w:sz w:val="20"/>
          <w:szCs w:val="20"/>
        </w:rPr>
        <w:t>I</w:t>
      </w:r>
    </w:p>
    <w:p w14:paraId="35A70D2E" w14:textId="77777777" w:rsidR="004757A1" w:rsidRPr="00486FEC" w:rsidRDefault="00F11354" w:rsidP="00486FEC">
      <w:pPr>
        <w:pStyle w:val="Prrafodelista"/>
        <w:spacing w:after="0" w:line="240" w:lineRule="auto"/>
        <w:ind w:left="0"/>
        <w:contextualSpacing w:val="0"/>
        <w:jc w:val="center"/>
        <w:rPr>
          <w:rFonts w:ascii="Verdana" w:hAnsi="Verdana"/>
          <w:b/>
          <w:sz w:val="20"/>
          <w:szCs w:val="20"/>
        </w:rPr>
      </w:pPr>
      <w:r w:rsidRPr="00486FEC">
        <w:rPr>
          <w:rFonts w:ascii="Verdana" w:hAnsi="Verdana"/>
          <w:b/>
          <w:sz w:val="20"/>
          <w:szCs w:val="20"/>
        </w:rPr>
        <w:t>SÍNTESIS PREVIA</w:t>
      </w:r>
    </w:p>
    <w:p w14:paraId="64B1796C" w14:textId="77777777" w:rsidR="00F11354" w:rsidRPr="00486FEC" w:rsidRDefault="00F11354" w:rsidP="00486FEC">
      <w:pPr>
        <w:pStyle w:val="Prrafodelista"/>
        <w:spacing w:after="0" w:line="240" w:lineRule="auto"/>
        <w:ind w:left="0"/>
        <w:contextualSpacing w:val="0"/>
        <w:jc w:val="center"/>
        <w:rPr>
          <w:rFonts w:ascii="Verdana" w:hAnsi="Verdana"/>
          <w:b/>
          <w:sz w:val="20"/>
          <w:szCs w:val="20"/>
        </w:rPr>
      </w:pPr>
    </w:p>
    <w:p w14:paraId="078C0AAA" w14:textId="2BEE1A71" w:rsidR="008B3567" w:rsidRDefault="00644AC2"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Adelanto que</w:t>
      </w:r>
      <w:r w:rsidR="007462C6" w:rsidRPr="00486FEC">
        <w:rPr>
          <w:rFonts w:ascii="Verdana" w:hAnsi="Verdana"/>
          <w:sz w:val="20"/>
          <w:szCs w:val="20"/>
        </w:rPr>
        <w:t>,</w:t>
      </w:r>
      <w:r w:rsidRPr="00486FEC">
        <w:rPr>
          <w:rFonts w:ascii="Verdana" w:hAnsi="Verdana"/>
          <w:sz w:val="20"/>
          <w:szCs w:val="20"/>
        </w:rPr>
        <w:t xml:space="preserve"> </w:t>
      </w:r>
      <w:r w:rsidR="007462C6" w:rsidRPr="00486FEC">
        <w:rPr>
          <w:rFonts w:ascii="Verdana" w:hAnsi="Verdana"/>
          <w:sz w:val="20"/>
          <w:szCs w:val="20"/>
        </w:rPr>
        <w:t xml:space="preserve">en mi opinión, </w:t>
      </w:r>
      <w:r w:rsidR="00644397" w:rsidRPr="00486FEC">
        <w:rPr>
          <w:rFonts w:ascii="Verdana" w:hAnsi="Verdana"/>
          <w:sz w:val="20"/>
          <w:szCs w:val="20"/>
        </w:rPr>
        <w:t xml:space="preserve">los </w:t>
      </w:r>
      <w:r w:rsidRPr="00486FEC">
        <w:rPr>
          <w:rFonts w:ascii="Verdana" w:hAnsi="Verdana"/>
          <w:sz w:val="20"/>
          <w:szCs w:val="20"/>
        </w:rPr>
        <w:t xml:space="preserve">diversos elementos </w:t>
      </w:r>
      <w:r w:rsidR="003636ED" w:rsidRPr="00486FEC">
        <w:rPr>
          <w:rFonts w:ascii="Verdana" w:hAnsi="Verdana"/>
          <w:sz w:val="20"/>
          <w:szCs w:val="20"/>
        </w:rPr>
        <w:t xml:space="preserve">obrantes en estos </w:t>
      </w:r>
      <w:r w:rsidRPr="00486FEC">
        <w:rPr>
          <w:rFonts w:ascii="Verdana" w:hAnsi="Verdana"/>
          <w:sz w:val="20"/>
          <w:szCs w:val="20"/>
        </w:rPr>
        <w:t>autos</w:t>
      </w:r>
      <w:r w:rsidR="00FB1AF3" w:rsidRPr="00486FEC">
        <w:rPr>
          <w:rFonts w:ascii="Verdana" w:hAnsi="Verdana"/>
          <w:sz w:val="20"/>
          <w:szCs w:val="20"/>
        </w:rPr>
        <w:t xml:space="preserve">, los </w:t>
      </w:r>
      <w:r w:rsidR="004E55ED" w:rsidRPr="00486FEC">
        <w:rPr>
          <w:rFonts w:ascii="Verdana" w:hAnsi="Verdana"/>
          <w:sz w:val="20"/>
          <w:szCs w:val="20"/>
        </w:rPr>
        <w:t>expuestos en la audiencia</w:t>
      </w:r>
      <w:r w:rsidR="003636ED" w:rsidRPr="00486FEC">
        <w:rPr>
          <w:rFonts w:ascii="Verdana" w:hAnsi="Verdana"/>
          <w:sz w:val="20"/>
          <w:szCs w:val="20"/>
        </w:rPr>
        <w:t xml:space="preserve">, </w:t>
      </w:r>
      <w:r w:rsidR="00FB1AF3" w:rsidRPr="00486FEC">
        <w:rPr>
          <w:rFonts w:ascii="Verdana" w:hAnsi="Verdana"/>
          <w:sz w:val="20"/>
          <w:szCs w:val="20"/>
        </w:rPr>
        <w:t>l</w:t>
      </w:r>
      <w:r w:rsidR="003636ED" w:rsidRPr="00486FEC">
        <w:rPr>
          <w:rFonts w:ascii="Verdana" w:hAnsi="Verdana"/>
          <w:sz w:val="20"/>
          <w:szCs w:val="20"/>
        </w:rPr>
        <w:t>os</w:t>
      </w:r>
      <w:r w:rsidR="001E5322" w:rsidRPr="00486FEC">
        <w:rPr>
          <w:rFonts w:ascii="Verdana" w:hAnsi="Verdana"/>
          <w:sz w:val="20"/>
          <w:szCs w:val="20"/>
        </w:rPr>
        <w:t xml:space="preserve"> emanados de </w:t>
      </w:r>
      <w:r w:rsidR="00644397" w:rsidRPr="00486FEC">
        <w:rPr>
          <w:rFonts w:ascii="Verdana" w:hAnsi="Verdana"/>
          <w:sz w:val="20"/>
          <w:szCs w:val="20"/>
        </w:rPr>
        <w:t xml:space="preserve">documentos de </w:t>
      </w:r>
      <w:r w:rsidR="001E5322" w:rsidRPr="00486FEC">
        <w:rPr>
          <w:rFonts w:ascii="Verdana" w:hAnsi="Verdana"/>
          <w:sz w:val="20"/>
          <w:szCs w:val="20"/>
        </w:rPr>
        <w:t>la Comisión Interamericana</w:t>
      </w:r>
      <w:r w:rsidR="00644397" w:rsidRPr="00486FEC">
        <w:rPr>
          <w:rFonts w:ascii="Verdana" w:hAnsi="Verdana"/>
          <w:sz w:val="20"/>
          <w:szCs w:val="20"/>
        </w:rPr>
        <w:t xml:space="preserve"> de Derechos Humanos</w:t>
      </w:r>
      <w:r w:rsidR="00241F9D" w:rsidRPr="00486FEC">
        <w:rPr>
          <w:rFonts w:ascii="Verdana" w:hAnsi="Verdana"/>
          <w:sz w:val="20"/>
          <w:szCs w:val="20"/>
        </w:rPr>
        <w:t xml:space="preserve">, </w:t>
      </w:r>
      <w:r w:rsidR="00644397" w:rsidRPr="00486FEC">
        <w:rPr>
          <w:rFonts w:ascii="Verdana" w:hAnsi="Verdana"/>
          <w:sz w:val="20"/>
          <w:szCs w:val="20"/>
        </w:rPr>
        <w:t xml:space="preserve">del Relator Especial sobre la </w:t>
      </w:r>
      <w:r w:rsidR="00FB1AF3" w:rsidRPr="00486FEC">
        <w:rPr>
          <w:rFonts w:ascii="Verdana" w:hAnsi="Verdana"/>
          <w:sz w:val="20"/>
          <w:szCs w:val="20"/>
        </w:rPr>
        <w:t>I</w:t>
      </w:r>
      <w:r w:rsidR="00644397" w:rsidRPr="00486FEC">
        <w:rPr>
          <w:rFonts w:ascii="Verdana" w:hAnsi="Verdana"/>
          <w:sz w:val="20"/>
          <w:szCs w:val="20"/>
        </w:rPr>
        <w:t xml:space="preserve">ndependencia de </w:t>
      </w:r>
      <w:r w:rsidR="00FB1AF3" w:rsidRPr="00486FEC">
        <w:rPr>
          <w:rFonts w:ascii="Verdana" w:hAnsi="Verdana"/>
          <w:sz w:val="20"/>
          <w:szCs w:val="20"/>
        </w:rPr>
        <w:t>M</w:t>
      </w:r>
      <w:r w:rsidR="00644397" w:rsidRPr="00486FEC">
        <w:rPr>
          <w:rFonts w:ascii="Verdana" w:hAnsi="Verdana"/>
          <w:sz w:val="20"/>
          <w:szCs w:val="20"/>
        </w:rPr>
        <w:t xml:space="preserve">agistrados y </w:t>
      </w:r>
      <w:r w:rsidR="00FB1AF3" w:rsidRPr="00486FEC">
        <w:rPr>
          <w:rFonts w:ascii="Verdana" w:hAnsi="Verdana"/>
          <w:sz w:val="20"/>
          <w:szCs w:val="20"/>
        </w:rPr>
        <w:t>A</w:t>
      </w:r>
      <w:r w:rsidR="00644397" w:rsidRPr="00486FEC">
        <w:rPr>
          <w:rFonts w:ascii="Verdana" w:hAnsi="Verdana"/>
          <w:sz w:val="20"/>
          <w:szCs w:val="20"/>
        </w:rPr>
        <w:t xml:space="preserve">bogados </w:t>
      </w:r>
      <w:r w:rsidR="00241F9D" w:rsidRPr="00486FEC">
        <w:rPr>
          <w:rFonts w:ascii="Verdana" w:hAnsi="Verdana"/>
          <w:sz w:val="20"/>
          <w:szCs w:val="20"/>
        </w:rPr>
        <w:t>de la Organi</w:t>
      </w:r>
      <w:r w:rsidR="008B3567" w:rsidRPr="00486FEC">
        <w:rPr>
          <w:rFonts w:ascii="Verdana" w:hAnsi="Verdana"/>
          <w:sz w:val="20"/>
          <w:szCs w:val="20"/>
        </w:rPr>
        <w:t>zación de las Naciones Unidas y</w:t>
      </w:r>
      <w:r w:rsidR="00FB1AF3" w:rsidRPr="00486FEC">
        <w:rPr>
          <w:rFonts w:ascii="Verdana" w:hAnsi="Verdana"/>
          <w:sz w:val="20"/>
          <w:szCs w:val="20"/>
        </w:rPr>
        <w:t xml:space="preserve"> </w:t>
      </w:r>
      <w:r w:rsidR="001E5322" w:rsidRPr="00486FEC">
        <w:rPr>
          <w:rFonts w:ascii="Verdana" w:hAnsi="Verdana"/>
          <w:sz w:val="20"/>
          <w:szCs w:val="20"/>
        </w:rPr>
        <w:t xml:space="preserve">de esta misma Corte, </w:t>
      </w:r>
      <w:r w:rsidR="00644397" w:rsidRPr="00486FEC">
        <w:rPr>
          <w:rFonts w:ascii="Verdana" w:hAnsi="Verdana"/>
          <w:sz w:val="20"/>
          <w:szCs w:val="20"/>
        </w:rPr>
        <w:t xml:space="preserve">las </w:t>
      </w:r>
      <w:r w:rsidR="004E55ED" w:rsidRPr="00486FEC">
        <w:rPr>
          <w:rFonts w:ascii="Verdana" w:hAnsi="Verdana"/>
          <w:sz w:val="20"/>
          <w:szCs w:val="20"/>
        </w:rPr>
        <w:t>noticias d</w:t>
      </w:r>
      <w:r w:rsidR="00644397" w:rsidRPr="00486FEC">
        <w:rPr>
          <w:rFonts w:ascii="Verdana" w:hAnsi="Verdana"/>
          <w:sz w:val="20"/>
          <w:szCs w:val="20"/>
        </w:rPr>
        <w:t>ifundidas por la</w:t>
      </w:r>
      <w:r w:rsidR="004E55ED" w:rsidRPr="00486FEC">
        <w:rPr>
          <w:rFonts w:ascii="Verdana" w:hAnsi="Verdana"/>
          <w:sz w:val="20"/>
          <w:szCs w:val="20"/>
        </w:rPr>
        <w:t xml:space="preserve"> prensa nacional e internacional</w:t>
      </w:r>
      <w:r w:rsidR="00241F9D" w:rsidRPr="00486FEC">
        <w:rPr>
          <w:rFonts w:ascii="Verdana" w:hAnsi="Verdana"/>
          <w:sz w:val="20"/>
          <w:szCs w:val="20"/>
        </w:rPr>
        <w:t xml:space="preserve"> c</w:t>
      </w:r>
      <w:r w:rsidR="004E55ED" w:rsidRPr="00486FEC">
        <w:rPr>
          <w:rFonts w:ascii="Verdana" w:hAnsi="Verdana"/>
          <w:sz w:val="20"/>
          <w:szCs w:val="20"/>
        </w:rPr>
        <w:t>omo</w:t>
      </w:r>
      <w:r w:rsidR="00686181" w:rsidRPr="00486FEC">
        <w:rPr>
          <w:rFonts w:ascii="Verdana" w:hAnsi="Verdana"/>
          <w:sz w:val="20"/>
          <w:szCs w:val="20"/>
        </w:rPr>
        <w:t xml:space="preserve"> </w:t>
      </w:r>
      <w:r w:rsidR="004E55ED" w:rsidRPr="00486FEC">
        <w:rPr>
          <w:rFonts w:ascii="Verdana" w:hAnsi="Verdana"/>
          <w:sz w:val="20"/>
          <w:szCs w:val="20"/>
        </w:rPr>
        <w:t>también</w:t>
      </w:r>
      <w:r w:rsidR="00644397" w:rsidRPr="00486FEC">
        <w:rPr>
          <w:rFonts w:ascii="Verdana" w:hAnsi="Verdana"/>
          <w:sz w:val="20"/>
          <w:szCs w:val="20"/>
        </w:rPr>
        <w:t xml:space="preserve"> la información que es </w:t>
      </w:r>
      <w:r w:rsidR="004E55ED" w:rsidRPr="00486FEC">
        <w:rPr>
          <w:rFonts w:ascii="Verdana" w:hAnsi="Verdana"/>
          <w:sz w:val="20"/>
          <w:szCs w:val="20"/>
        </w:rPr>
        <w:t>de pú</w:t>
      </w:r>
      <w:r w:rsidR="008B3567" w:rsidRPr="00486FEC">
        <w:rPr>
          <w:rFonts w:ascii="Verdana" w:hAnsi="Verdana"/>
          <w:sz w:val="20"/>
          <w:szCs w:val="20"/>
        </w:rPr>
        <w:t xml:space="preserve">bico y notorio conocimiento, son </w:t>
      </w:r>
      <w:r w:rsidR="00644397" w:rsidRPr="00486FEC">
        <w:rPr>
          <w:rFonts w:ascii="Verdana" w:hAnsi="Verdana"/>
          <w:sz w:val="20"/>
          <w:szCs w:val="20"/>
        </w:rPr>
        <w:t>sufic</w:t>
      </w:r>
      <w:r w:rsidR="00686181" w:rsidRPr="00486FEC">
        <w:rPr>
          <w:rFonts w:ascii="Verdana" w:hAnsi="Verdana"/>
          <w:sz w:val="20"/>
          <w:szCs w:val="20"/>
        </w:rPr>
        <w:t>ientemente precis</w:t>
      </w:r>
      <w:r w:rsidR="00644397" w:rsidRPr="00486FEC">
        <w:rPr>
          <w:rFonts w:ascii="Verdana" w:hAnsi="Verdana"/>
          <w:sz w:val="20"/>
          <w:szCs w:val="20"/>
        </w:rPr>
        <w:t>os</w:t>
      </w:r>
      <w:r w:rsidR="004E55ED" w:rsidRPr="00486FEC">
        <w:rPr>
          <w:rFonts w:ascii="Verdana" w:hAnsi="Verdana"/>
          <w:sz w:val="20"/>
          <w:szCs w:val="20"/>
        </w:rPr>
        <w:t xml:space="preserve"> </w:t>
      </w:r>
      <w:r w:rsidR="00686181" w:rsidRPr="00486FEC">
        <w:rPr>
          <w:rFonts w:ascii="Verdana" w:hAnsi="Verdana"/>
          <w:sz w:val="20"/>
          <w:szCs w:val="20"/>
        </w:rPr>
        <w:t>y concordante</w:t>
      </w:r>
      <w:r w:rsidR="00644397" w:rsidRPr="00486FEC">
        <w:rPr>
          <w:rFonts w:ascii="Verdana" w:hAnsi="Verdana"/>
          <w:sz w:val="20"/>
          <w:szCs w:val="20"/>
        </w:rPr>
        <w:t>s</w:t>
      </w:r>
      <w:r w:rsidR="004E55ED" w:rsidRPr="00486FEC">
        <w:rPr>
          <w:rFonts w:ascii="Verdana" w:hAnsi="Verdana"/>
          <w:sz w:val="20"/>
          <w:szCs w:val="20"/>
        </w:rPr>
        <w:t xml:space="preserve">, </w:t>
      </w:r>
      <w:r w:rsidR="008B3567" w:rsidRPr="00486FEC">
        <w:rPr>
          <w:rFonts w:ascii="Verdana" w:hAnsi="Verdana"/>
          <w:sz w:val="20"/>
          <w:szCs w:val="20"/>
        </w:rPr>
        <w:t>para tener por probado que el Estado se colocó voluntariamente en una situación de indefensión ante esta Corte.</w:t>
      </w:r>
    </w:p>
    <w:p w14:paraId="68792DB3"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2281DAD9" w14:textId="6CC767EC" w:rsidR="004757A1" w:rsidRDefault="00FB1AF3"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Como consecuencia de</w:t>
      </w:r>
      <w:r w:rsidR="008B3567" w:rsidRPr="00486FEC">
        <w:rPr>
          <w:rFonts w:ascii="Verdana" w:hAnsi="Verdana"/>
          <w:sz w:val="20"/>
          <w:szCs w:val="20"/>
        </w:rPr>
        <w:t xml:space="preserve"> la posición de indefensión asumida por el Estado,</w:t>
      </w:r>
      <w:r w:rsidRPr="00486FEC">
        <w:rPr>
          <w:rFonts w:ascii="Verdana" w:hAnsi="Verdana"/>
          <w:sz w:val="20"/>
          <w:szCs w:val="20"/>
        </w:rPr>
        <w:t xml:space="preserve"> en el procedimiento seguido ante el Sistema y la Corte </w:t>
      </w:r>
      <w:r w:rsidR="00644AC2" w:rsidRPr="00486FEC">
        <w:rPr>
          <w:rFonts w:ascii="Verdana" w:hAnsi="Verdana"/>
          <w:sz w:val="20"/>
          <w:szCs w:val="20"/>
        </w:rPr>
        <w:t xml:space="preserve">no ha tenido lugar un </w:t>
      </w:r>
      <w:r w:rsidR="00686181" w:rsidRPr="00486FEC">
        <w:rPr>
          <w:rFonts w:ascii="Verdana" w:hAnsi="Verdana"/>
          <w:sz w:val="20"/>
          <w:szCs w:val="20"/>
        </w:rPr>
        <w:t xml:space="preserve">verdadero </w:t>
      </w:r>
      <w:r w:rsidRPr="00486FEC">
        <w:rPr>
          <w:rFonts w:ascii="Verdana" w:hAnsi="Verdana"/>
          <w:sz w:val="20"/>
          <w:szCs w:val="20"/>
        </w:rPr>
        <w:t xml:space="preserve">procedimiento </w:t>
      </w:r>
      <w:r w:rsidR="004757A1" w:rsidRPr="00486FEC">
        <w:rPr>
          <w:rFonts w:ascii="Verdana" w:hAnsi="Verdana"/>
          <w:sz w:val="20"/>
          <w:szCs w:val="20"/>
        </w:rPr>
        <w:t>contradictorio.</w:t>
      </w:r>
      <w:r w:rsidR="008B3567" w:rsidRPr="00486FEC">
        <w:rPr>
          <w:rFonts w:ascii="Verdana" w:hAnsi="Verdana"/>
          <w:sz w:val="20"/>
          <w:szCs w:val="20"/>
        </w:rPr>
        <w:t xml:space="preserve"> </w:t>
      </w:r>
      <w:r w:rsidR="00686181" w:rsidRPr="00486FEC">
        <w:rPr>
          <w:rFonts w:ascii="Verdana" w:hAnsi="Verdana"/>
          <w:sz w:val="20"/>
          <w:szCs w:val="20"/>
        </w:rPr>
        <w:t xml:space="preserve">Por consiguiente –y conforme a los argumentos que desarrollaré a continuación- considero que el problema central del presente caso es la </w:t>
      </w:r>
      <w:r w:rsidR="00686181" w:rsidRPr="00486FEC">
        <w:rPr>
          <w:rFonts w:ascii="Verdana" w:hAnsi="Verdana"/>
          <w:i/>
          <w:sz w:val="20"/>
          <w:szCs w:val="20"/>
        </w:rPr>
        <w:t>inadmisibilidad del singular reconocimiento hecho por el Estado</w:t>
      </w:r>
      <w:r w:rsidR="00C62D09" w:rsidRPr="00486FEC">
        <w:rPr>
          <w:rFonts w:ascii="Verdana" w:hAnsi="Verdana"/>
          <w:sz w:val="20"/>
          <w:szCs w:val="20"/>
        </w:rPr>
        <w:t>.</w:t>
      </w:r>
    </w:p>
    <w:p w14:paraId="38EAC56A" w14:textId="3C578624"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6AB58E6C" w14:textId="5C1C9320" w:rsidR="004757A1" w:rsidRDefault="00686181"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Dado que el marco fáctico permite verificar que en Ecuador existe una manifiesta y encarnizada </w:t>
      </w:r>
      <w:r w:rsidR="00104FED" w:rsidRPr="00486FEC">
        <w:rPr>
          <w:rFonts w:ascii="Verdana" w:hAnsi="Verdana"/>
          <w:sz w:val="20"/>
          <w:szCs w:val="20"/>
        </w:rPr>
        <w:t xml:space="preserve">lucha política </w:t>
      </w:r>
      <w:r w:rsidR="00363314" w:rsidRPr="00486FEC">
        <w:rPr>
          <w:rFonts w:ascii="Verdana" w:hAnsi="Verdana"/>
          <w:sz w:val="20"/>
          <w:szCs w:val="20"/>
        </w:rPr>
        <w:t xml:space="preserve">que divide al </w:t>
      </w:r>
      <w:r w:rsidRPr="00486FEC">
        <w:rPr>
          <w:rFonts w:ascii="Verdana" w:hAnsi="Verdana"/>
          <w:sz w:val="20"/>
          <w:szCs w:val="20"/>
        </w:rPr>
        <w:t>país</w:t>
      </w:r>
      <w:r w:rsidR="00E20800" w:rsidRPr="00486FEC">
        <w:rPr>
          <w:rFonts w:ascii="Verdana" w:hAnsi="Verdana"/>
          <w:sz w:val="20"/>
          <w:szCs w:val="20"/>
        </w:rPr>
        <w:t xml:space="preserve"> y</w:t>
      </w:r>
      <w:r w:rsidRPr="00486FEC">
        <w:rPr>
          <w:rFonts w:ascii="Verdana" w:hAnsi="Verdana"/>
          <w:sz w:val="20"/>
          <w:szCs w:val="20"/>
        </w:rPr>
        <w:t xml:space="preserve"> que</w:t>
      </w:r>
      <w:r w:rsidR="00FB1AF3" w:rsidRPr="00486FEC">
        <w:rPr>
          <w:rFonts w:ascii="Verdana" w:hAnsi="Verdana"/>
          <w:sz w:val="20"/>
          <w:szCs w:val="20"/>
        </w:rPr>
        <w:t xml:space="preserve"> gener</w:t>
      </w:r>
      <w:r w:rsidR="00E20800" w:rsidRPr="00486FEC">
        <w:rPr>
          <w:rFonts w:ascii="Verdana" w:hAnsi="Verdana"/>
          <w:sz w:val="20"/>
          <w:szCs w:val="20"/>
        </w:rPr>
        <w:t>ó</w:t>
      </w:r>
      <w:r w:rsidR="00FB1AF3" w:rsidRPr="00486FEC">
        <w:rPr>
          <w:rFonts w:ascii="Verdana" w:hAnsi="Verdana"/>
          <w:sz w:val="20"/>
          <w:szCs w:val="20"/>
        </w:rPr>
        <w:t xml:space="preserve"> una </w:t>
      </w:r>
      <w:r w:rsidR="006107EE" w:rsidRPr="00486FEC">
        <w:rPr>
          <w:rFonts w:ascii="Verdana" w:hAnsi="Verdana"/>
          <w:sz w:val="20"/>
          <w:szCs w:val="20"/>
        </w:rPr>
        <w:t>compleja situación institucional</w:t>
      </w:r>
      <w:r w:rsidR="00E20800" w:rsidRPr="00486FEC">
        <w:rPr>
          <w:rFonts w:ascii="Verdana" w:hAnsi="Verdana"/>
          <w:sz w:val="20"/>
          <w:szCs w:val="20"/>
        </w:rPr>
        <w:t>,</w:t>
      </w:r>
      <w:r w:rsidR="00FB1AF3" w:rsidRPr="00486FEC">
        <w:rPr>
          <w:rFonts w:ascii="Verdana" w:hAnsi="Verdana"/>
          <w:sz w:val="20"/>
          <w:szCs w:val="20"/>
        </w:rPr>
        <w:t xml:space="preserve"> </w:t>
      </w:r>
      <w:r w:rsidR="008B3567" w:rsidRPr="00486FEC">
        <w:rPr>
          <w:rFonts w:ascii="Verdana" w:hAnsi="Verdana"/>
          <w:sz w:val="20"/>
          <w:szCs w:val="20"/>
        </w:rPr>
        <w:t xml:space="preserve">el conjunto de elementos antes mencionados </w:t>
      </w:r>
      <w:r w:rsidR="00FB1AF3" w:rsidRPr="00486FEC">
        <w:rPr>
          <w:rFonts w:ascii="Verdana" w:hAnsi="Verdana"/>
          <w:sz w:val="20"/>
          <w:szCs w:val="20"/>
        </w:rPr>
        <w:t xml:space="preserve">configura </w:t>
      </w:r>
      <w:r w:rsidRPr="00486FEC">
        <w:rPr>
          <w:rFonts w:ascii="Verdana" w:hAnsi="Verdana"/>
          <w:sz w:val="20"/>
          <w:szCs w:val="20"/>
        </w:rPr>
        <w:t xml:space="preserve">un cuadro que permite </w:t>
      </w:r>
      <w:r w:rsidR="00FB1AF3" w:rsidRPr="00486FEC">
        <w:rPr>
          <w:rFonts w:ascii="Verdana" w:hAnsi="Verdana"/>
          <w:sz w:val="20"/>
          <w:szCs w:val="20"/>
        </w:rPr>
        <w:t>c</w:t>
      </w:r>
      <w:r w:rsidR="00BB6B2E" w:rsidRPr="00486FEC">
        <w:rPr>
          <w:rFonts w:ascii="Verdana" w:hAnsi="Verdana"/>
          <w:sz w:val="20"/>
          <w:szCs w:val="20"/>
        </w:rPr>
        <w:t>onclu</w:t>
      </w:r>
      <w:r w:rsidR="00FB1AF3" w:rsidRPr="00486FEC">
        <w:rPr>
          <w:rFonts w:ascii="Verdana" w:hAnsi="Verdana"/>
          <w:sz w:val="20"/>
          <w:szCs w:val="20"/>
        </w:rPr>
        <w:t xml:space="preserve">ir </w:t>
      </w:r>
      <w:r w:rsidR="00BB6B2E" w:rsidRPr="00486FEC">
        <w:rPr>
          <w:rFonts w:ascii="Verdana" w:hAnsi="Verdana"/>
          <w:sz w:val="20"/>
          <w:szCs w:val="20"/>
        </w:rPr>
        <w:t xml:space="preserve">que </w:t>
      </w:r>
      <w:r w:rsidR="006107EE" w:rsidRPr="00486FEC">
        <w:rPr>
          <w:rFonts w:ascii="Verdana" w:hAnsi="Verdana"/>
          <w:sz w:val="20"/>
          <w:szCs w:val="20"/>
        </w:rPr>
        <w:t xml:space="preserve">la singular </w:t>
      </w:r>
      <w:r w:rsidR="00104FED" w:rsidRPr="00486FEC">
        <w:rPr>
          <w:rFonts w:ascii="Verdana" w:hAnsi="Verdana"/>
          <w:sz w:val="20"/>
          <w:szCs w:val="20"/>
        </w:rPr>
        <w:t xml:space="preserve">actitud asumida </w:t>
      </w:r>
      <w:r w:rsidR="006107EE" w:rsidRPr="00486FEC">
        <w:rPr>
          <w:rFonts w:ascii="Verdana" w:hAnsi="Verdana"/>
          <w:sz w:val="20"/>
          <w:szCs w:val="20"/>
        </w:rPr>
        <w:t xml:space="preserve">por el Estado </w:t>
      </w:r>
      <w:r w:rsidR="00363314" w:rsidRPr="00486FEC">
        <w:rPr>
          <w:rFonts w:ascii="Verdana" w:hAnsi="Verdana"/>
          <w:sz w:val="20"/>
          <w:szCs w:val="20"/>
        </w:rPr>
        <w:t xml:space="preserve">procura </w:t>
      </w:r>
      <w:r w:rsidR="00104FED" w:rsidRPr="00486FEC">
        <w:rPr>
          <w:rFonts w:ascii="Verdana" w:hAnsi="Verdana"/>
          <w:sz w:val="20"/>
          <w:szCs w:val="20"/>
        </w:rPr>
        <w:t>una condenación que afect</w:t>
      </w:r>
      <w:r w:rsidR="00363314" w:rsidRPr="00486FEC">
        <w:rPr>
          <w:rFonts w:ascii="Verdana" w:hAnsi="Verdana"/>
          <w:sz w:val="20"/>
          <w:szCs w:val="20"/>
        </w:rPr>
        <w:t>e</w:t>
      </w:r>
      <w:r w:rsidR="008B3567" w:rsidRPr="00486FEC">
        <w:rPr>
          <w:rFonts w:ascii="Verdana" w:hAnsi="Verdana"/>
          <w:sz w:val="20"/>
          <w:szCs w:val="20"/>
        </w:rPr>
        <w:t xml:space="preserve"> a un notorio dirigente del principal partido opositor,</w:t>
      </w:r>
      <w:r w:rsidR="00104FED" w:rsidRPr="00486FEC">
        <w:rPr>
          <w:rFonts w:ascii="Verdana" w:hAnsi="Verdana"/>
          <w:sz w:val="20"/>
          <w:szCs w:val="20"/>
        </w:rPr>
        <w:t xml:space="preserve"> </w:t>
      </w:r>
      <w:r w:rsidR="001E5322" w:rsidRPr="00486FEC">
        <w:rPr>
          <w:rFonts w:ascii="Verdana" w:hAnsi="Verdana"/>
          <w:sz w:val="20"/>
          <w:szCs w:val="20"/>
        </w:rPr>
        <w:t xml:space="preserve">no sólo política sino también </w:t>
      </w:r>
      <w:r w:rsidR="00363314" w:rsidRPr="00486FEC">
        <w:rPr>
          <w:rFonts w:ascii="Verdana" w:hAnsi="Verdana"/>
          <w:sz w:val="20"/>
          <w:szCs w:val="20"/>
        </w:rPr>
        <w:t xml:space="preserve">patrimonialmente </w:t>
      </w:r>
      <w:r w:rsidR="00FB1AF3" w:rsidRPr="00486FEC">
        <w:rPr>
          <w:rFonts w:ascii="Verdana" w:hAnsi="Verdana"/>
          <w:sz w:val="20"/>
          <w:szCs w:val="20"/>
        </w:rPr>
        <w:t>(</w:t>
      </w:r>
      <w:r w:rsidR="00363314" w:rsidRPr="00486FEC">
        <w:rPr>
          <w:rFonts w:ascii="Verdana" w:hAnsi="Verdana"/>
          <w:sz w:val="20"/>
          <w:szCs w:val="20"/>
        </w:rPr>
        <w:t>por vía de</w:t>
      </w:r>
      <w:r w:rsidR="00BB6B2E" w:rsidRPr="00486FEC">
        <w:rPr>
          <w:rFonts w:ascii="Verdana" w:hAnsi="Verdana"/>
          <w:sz w:val="20"/>
          <w:szCs w:val="20"/>
        </w:rPr>
        <w:t xml:space="preserve"> un curioso </w:t>
      </w:r>
      <w:r w:rsidR="00104FED" w:rsidRPr="00486FEC">
        <w:rPr>
          <w:rFonts w:ascii="Verdana" w:hAnsi="Verdana"/>
          <w:sz w:val="20"/>
          <w:szCs w:val="20"/>
        </w:rPr>
        <w:t xml:space="preserve">sistema de </w:t>
      </w:r>
      <w:r w:rsidR="00363314" w:rsidRPr="00486FEC">
        <w:rPr>
          <w:rFonts w:ascii="Verdana" w:hAnsi="Verdana"/>
          <w:sz w:val="20"/>
          <w:szCs w:val="20"/>
        </w:rPr>
        <w:t>re</w:t>
      </w:r>
      <w:r w:rsidR="006107EE" w:rsidRPr="00486FEC">
        <w:rPr>
          <w:rFonts w:ascii="Verdana" w:hAnsi="Verdana"/>
          <w:sz w:val="20"/>
          <w:szCs w:val="20"/>
        </w:rPr>
        <w:t xml:space="preserve">petición </w:t>
      </w:r>
      <w:r w:rsidR="00363314" w:rsidRPr="00486FEC">
        <w:rPr>
          <w:rFonts w:ascii="Verdana" w:hAnsi="Verdana"/>
          <w:sz w:val="20"/>
          <w:szCs w:val="20"/>
        </w:rPr>
        <w:t>automática</w:t>
      </w:r>
      <w:r w:rsidR="008B3567" w:rsidRPr="00486FEC">
        <w:rPr>
          <w:rFonts w:ascii="Verdana" w:hAnsi="Verdana"/>
          <w:sz w:val="20"/>
          <w:szCs w:val="20"/>
        </w:rPr>
        <w:t>)</w:t>
      </w:r>
      <w:r w:rsidR="004757A1" w:rsidRPr="00486FEC">
        <w:rPr>
          <w:rFonts w:ascii="Verdana" w:hAnsi="Verdana"/>
          <w:sz w:val="20"/>
          <w:szCs w:val="20"/>
        </w:rPr>
        <w:t>.</w:t>
      </w:r>
    </w:p>
    <w:p w14:paraId="4F4524F7" w14:textId="77BEE61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5225AC09" w14:textId="77777777" w:rsidR="004757A1" w:rsidRPr="00486FEC" w:rsidRDefault="00C62D09"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De esta forma, </w:t>
      </w:r>
      <w:r w:rsidR="006107EE" w:rsidRPr="00486FEC">
        <w:rPr>
          <w:rFonts w:ascii="Verdana" w:hAnsi="Verdana"/>
          <w:sz w:val="20"/>
          <w:szCs w:val="20"/>
        </w:rPr>
        <w:t xml:space="preserve">éste </w:t>
      </w:r>
      <w:r w:rsidR="00126A8F" w:rsidRPr="00486FEC">
        <w:rPr>
          <w:rFonts w:ascii="Verdana" w:hAnsi="Verdana"/>
          <w:sz w:val="20"/>
          <w:szCs w:val="20"/>
        </w:rPr>
        <w:t xml:space="preserve">y su fuerza política </w:t>
      </w:r>
      <w:r w:rsidR="006107EE" w:rsidRPr="00486FEC">
        <w:rPr>
          <w:rFonts w:ascii="Verdana" w:hAnsi="Verdana"/>
          <w:sz w:val="20"/>
          <w:szCs w:val="20"/>
        </w:rPr>
        <w:t>resultaría</w:t>
      </w:r>
      <w:r w:rsidR="00126A8F" w:rsidRPr="00486FEC">
        <w:rPr>
          <w:rFonts w:ascii="Verdana" w:hAnsi="Verdana"/>
          <w:sz w:val="20"/>
          <w:szCs w:val="20"/>
        </w:rPr>
        <w:t>n</w:t>
      </w:r>
      <w:r w:rsidR="006107EE" w:rsidRPr="00486FEC">
        <w:rPr>
          <w:rFonts w:ascii="Verdana" w:hAnsi="Verdana"/>
          <w:sz w:val="20"/>
          <w:szCs w:val="20"/>
        </w:rPr>
        <w:t xml:space="preserve"> ser </w:t>
      </w:r>
      <w:r w:rsidR="00126A8F" w:rsidRPr="00486FEC">
        <w:rPr>
          <w:rFonts w:ascii="Verdana" w:hAnsi="Verdana"/>
          <w:sz w:val="20"/>
          <w:szCs w:val="20"/>
        </w:rPr>
        <w:t>los</w:t>
      </w:r>
      <w:r w:rsidR="006107EE" w:rsidRPr="00486FEC">
        <w:rPr>
          <w:rFonts w:ascii="Verdana" w:hAnsi="Verdana"/>
          <w:sz w:val="20"/>
          <w:szCs w:val="20"/>
        </w:rPr>
        <w:t xml:space="preserve"> condenado</w:t>
      </w:r>
      <w:r w:rsidR="00126A8F" w:rsidRPr="00486FEC">
        <w:rPr>
          <w:rFonts w:ascii="Verdana" w:hAnsi="Verdana"/>
          <w:sz w:val="20"/>
          <w:szCs w:val="20"/>
        </w:rPr>
        <w:t>s</w:t>
      </w:r>
      <w:r w:rsidR="006107EE" w:rsidRPr="00486FEC">
        <w:rPr>
          <w:rFonts w:ascii="Verdana" w:hAnsi="Verdana"/>
          <w:sz w:val="20"/>
          <w:szCs w:val="20"/>
        </w:rPr>
        <w:t xml:space="preserve"> </w:t>
      </w:r>
      <w:r w:rsidR="006107EE" w:rsidRPr="00486FEC">
        <w:rPr>
          <w:rFonts w:ascii="Verdana" w:hAnsi="Verdana"/>
          <w:i/>
          <w:sz w:val="20"/>
          <w:szCs w:val="20"/>
        </w:rPr>
        <w:t>óntico</w:t>
      </w:r>
      <w:r w:rsidR="00126A8F" w:rsidRPr="00486FEC">
        <w:rPr>
          <w:rFonts w:ascii="Verdana" w:hAnsi="Verdana"/>
          <w:i/>
          <w:sz w:val="20"/>
          <w:szCs w:val="20"/>
        </w:rPr>
        <w:t>s</w:t>
      </w:r>
      <w:r w:rsidR="006107EE" w:rsidRPr="00486FEC">
        <w:rPr>
          <w:rFonts w:ascii="Verdana" w:hAnsi="Verdana"/>
          <w:i/>
          <w:sz w:val="20"/>
          <w:szCs w:val="20"/>
        </w:rPr>
        <w:t xml:space="preserve"> o real</w:t>
      </w:r>
      <w:r w:rsidR="00126A8F" w:rsidRPr="00486FEC">
        <w:rPr>
          <w:rFonts w:ascii="Verdana" w:hAnsi="Verdana"/>
          <w:i/>
          <w:sz w:val="20"/>
          <w:szCs w:val="20"/>
        </w:rPr>
        <w:t>es</w:t>
      </w:r>
      <w:r w:rsidR="001E5322" w:rsidRPr="00486FEC">
        <w:rPr>
          <w:rFonts w:ascii="Verdana" w:hAnsi="Verdana"/>
          <w:i/>
          <w:sz w:val="20"/>
          <w:szCs w:val="20"/>
        </w:rPr>
        <w:t>,</w:t>
      </w:r>
      <w:r w:rsidR="006107EE" w:rsidRPr="00486FEC">
        <w:rPr>
          <w:rFonts w:ascii="Verdana" w:hAnsi="Verdana"/>
          <w:sz w:val="20"/>
          <w:szCs w:val="20"/>
        </w:rPr>
        <w:t xml:space="preserve"> </w:t>
      </w:r>
      <w:r w:rsidR="008B3567" w:rsidRPr="00486FEC">
        <w:rPr>
          <w:rFonts w:ascii="Verdana" w:hAnsi="Verdana"/>
          <w:sz w:val="20"/>
          <w:szCs w:val="20"/>
        </w:rPr>
        <w:t>pero que</w:t>
      </w:r>
      <w:r w:rsidR="00126A8F" w:rsidRPr="00486FEC">
        <w:rPr>
          <w:rFonts w:ascii="Verdana" w:hAnsi="Verdana"/>
          <w:sz w:val="20"/>
          <w:szCs w:val="20"/>
        </w:rPr>
        <w:t xml:space="preserve"> </w:t>
      </w:r>
      <w:r w:rsidR="00BB6B2E" w:rsidRPr="00486FEC">
        <w:rPr>
          <w:rFonts w:ascii="Verdana" w:hAnsi="Verdana"/>
          <w:sz w:val="20"/>
          <w:szCs w:val="20"/>
        </w:rPr>
        <w:t>ante el Tribunal queda</w:t>
      </w:r>
      <w:r w:rsidR="008B3567" w:rsidRPr="00486FEC">
        <w:rPr>
          <w:rFonts w:ascii="Verdana" w:hAnsi="Verdana"/>
          <w:sz w:val="20"/>
          <w:szCs w:val="20"/>
        </w:rPr>
        <w:t>n</w:t>
      </w:r>
      <w:r w:rsidR="00BB6B2E" w:rsidRPr="00486FEC">
        <w:rPr>
          <w:rFonts w:ascii="Verdana" w:hAnsi="Verdana"/>
          <w:sz w:val="20"/>
          <w:szCs w:val="20"/>
        </w:rPr>
        <w:t xml:space="preserve"> p</w:t>
      </w:r>
      <w:r w:rsidR="001E5322" w:rsidRPr="00486FEC">
        <w:rPr>
          <w:rFonts w:ascii="Verdana" w:hAnsi="Verdana"/>
          <w:sz w:val="20"/>
          <w:szCs w:val="20"/>
        </w:rPr>
        <w:t>rivado</w:t>
      </w:r>
      <w:r w:rsidR="00126A8F" w:rsidRPr="00486FEC">
        <w:rPr>
          <w:rFonts w:ascii="Verdana" w:hAnsi="Verdana"/>
          <w:sz w:val="20"/>
          <w:szCs w:val="20"/>
        </w:rPr>
        <w:t>s</w:t>
      </w:r>
      <w:r w:rsidR="001E5322" w:rsidRPr="00486FEC">
        <w:rPr>
          <w:rFonts w:ascii="Verdana" w:hAnsi="Verdana"/>
          <w:sz w:val="20"/>
          <w:szCs w:val="20"/>
        </w:rPr>
        <w:t xml:space="preserve"> del derecho de defensa</w:t>
      </w:r>
      <w:r w:rsidR="00BB6B2E" w:rsidRPr="00486FEC">
        <w:rPr>
          <w:rFonts w:ascii="Verdana" w:hAnsi="Verdana"/>
          <w:sz w:val="20"/>
          <w:szCs w:val="20"/>
        </w:rPr>
        <w:t xml:space="preserve">, </w:t>
      </w:r>
      <w:r w:rsidR="006107EE" w:rsidRPr="00486FEC">
        <w:rPr>
          <w:rFonts w:ascii="Verdana" w:hAnsi="Verdana"/>
          <w:sz w:val="20"/>
          <w:szCs w:val="20"/>
        </w:rPr>
        <w:t xml:space="preserve">en razón de no ser </w:t>
      </w:r>
      <w:r w:rsidR="00126A8F" w:rsidRPr="00486FEC">
        <w:rPr>
          <w:rFonts w:ascii="Verdana" w:hAnsi="Verdana"/>
          <w:sz w:val="20"/>
          <w:szCs w:val="20"/>
        </w:rPr>
        <w:t xml:space="preserve">los </w:t>
      </w:r>
      <w:r w:rsidR="006107EE" w:rsidRPr="00486FEC">
        <w:rPr>
          <w:rFonts w:ascii="Verdana" w:hAnsi="Verdana"/>
          <w:i/>
          <w:sz w:val="20"/>
          <w:szCs w:val="20"/>
        </w:rPr>
        <w:t>sujeto</w:t>
      </w:r>
      <w:r w:rsidR="00126A8F" w:rsidRPr="00486FEC">
        <w:rPr>
          <w:rFonts w:ascii="Verdana" w:hAnsi="Verdana"/>
          <w:i/>
          <w:sz w:val="20"/>
          <w:szCs w:val="20"/>
        </w:rPr>
        <w:t>s</w:t>
      </w:r>
      <w:r w:rsidR="006107EE" w:rsidRPr="00486FEC">
        <w:rPr>
          <w:rFonts w:ascii="Verdana" w:hAnsi="Verdana"/>
          <w:i/>
          <w:sz w:val="20"/>
          <w:szCs w:val="20"/>
        </w:rPr>
        <w:t xml:space="preserve"> formal</w:t>
      </w:r>
      <w:r w:rsidR="00126A8F" w:rsidRPr="00486FEC">
        <w:rPr>
          <w:rFonts w:ascii="Verdana" w:hAnsi="Verdana"/>
          <w:i/>
          <w:sz w:val="20"/>
          <w:szCs w:val="20"/>
        </w:rPr>
        <w:t>es</w:t>
      </w:r>
      <w:r w:rsidR="004757A1" w:rsidRPr="00486FEC">
        <w:rPr>
          <w:rFonts w:ascii="Verdana" w:hAnsi="Verdana"/>
          <w:sz w:val="20"/>
          <w:szCs w:val="20"/>
        </w:rPr>
        <w:t xml:space="preserve"> de la condenación.</w:t>
      </w:r>
    </w:p>
    <w:p w14:paraId="0A45B734" w14:textId="77777777" w:rsidR="004757A1" w:rsidRPr="00486FEC" w:rsidRDefault="00644AC2" w:rsidP="00486FEC">
      <w:pPr>
        <w:pStyle w:val="Prrafodelista"/>
        <w:numPr>
          <w:ilvl w:val="0"/>
          <w:numId w:val="3"/>
        </w:numPr>
        <w:spacing w:after="0" w:line="240" w:lineRule="auto"/>
        <w:ind w:left="0" w:firstLine="0"/>
        <w:contextualSpacing w:val="0"/>
        <w:jc w:val="both"/>
        <w:rPr>
          <w:rFonts w:ascii="Verdana" w:hAnsi="Verdana"/>
          <w:i/>
          <w:sz w:val="20"/>
          <w:szCs w:val="20"/>
        </w:rPr>
      </w:pPr>
      <w:r w:rsidRPr="00486FEC">
        <w:rPr>
          <w:rFonts w:ascii="Verdana" w:hAnsi="Verdana"/>
          <w:sz w:val="20"/>
          <w:szCs w:val="20"/>
        </w:rPr>
        <w:t xml:space="preserve">Pasaré a analizar particularmente los elementos que conducen a esta </w:t>
      </w:r>
      <w:r w:rsidR="00304C35" w:rsidRPr="00486FEC">
        <w:rPr>
          <w:rFonts w:ascii="Verdana" w:hAnsi="Verdana"/>
          <w:sz w:val="20"/>
          <w:szCs w:val="20"/>
        </w:rPr>
        <w:t xml:space="preserve">conclusión, </w:t>
      </w:r>
      <w:r w:rsidRPr="00486FEC">
        <w:rPr>
          <w:rFonts w:ascii="Verdana" w:hAnsi="Verdana"/>
          <w:sz w:val="20"/>
          <w:szCs w:val="20"/>
        </w:rPr>
        <w:t>sin perjuicio de destacar ot</w:t>
      </w:r>
      <w:r w:rsidR="00BB6B2E" w:rsidRPr="00486FEC">
        <w:rPr>
          <w:rFonts w:ascii="Verdana" w:hAnsi="Verdana"/>
          <w:sz w:val="20"/>
          <w:szCs w:val="20"/>
        </w:rPr>
        <w:t xml:space="preserve">ras cuestiones, derivadas </w:t>
      </w:r>
      <w:r w:rsidR="008B3567" w:rsidRPr="00486FEC">
        <w:rPr>
          <w:rFonts w:ascii="Verdana" w:hAnsi="Verdana"/>
          <w:sz w:val="20"/>
          <w:szCs w:val="20"/>
        </w:rPr>
        <w:t>del</w:t>
      </w:r>
      <w:r w:rsidR="00BB6B2E" w:rsidRPr="00486FEC">
        <w:rPr>
          <w:rFonts w:ascii="Verdana" w:hAnsi="Verdana"/>
          <w:sz w:val="20"/>
          <w:szCs w:val="20"/>
        </w:rPr>
        <w:t xml:space="preserve"> central e </w:t>
      </w:r>
      <w:r w:rsidRPr="00486FEC">
        <w:rPr>
          <w:rFonts w:ascii="Verdana" w:hAnsi="Verdana"/>
          <w:sz w:val="20"/>
          <w:szCs w:val="20"/>
        </w:rPr>
        <w:t>ins</w:t>
      </w:r>
      <w:r w:rsidR="001E5322" w:rsidRPr="00486FEC">
        <w:rPr>
          <w:rFonts w:ascii="Verdana" w:hAnsi="Verdana"/>
          <w:sz w:val="20"/>
          <w:szCs w:val="20"/>
        </w:rPr>
        <w:t>oslayable</w:t>
      </w:r>
      <w:r w:rsidR="00BB6B2E" w:rsidRPr="00486FEC">
        <w:rPr>
          <w:rFonts w:ascii="Verdana" w:hAnsi="Verdana"/>
          <w:sz w:val="20"/>
          <w:szCs w:val="20"/>
        </w:rPr>
        <w:t xml:space="preserve"> dato de</w:t>
      </w:r>
      <w:r w:rsidR="007462C6" w:rsidRPr="00486FEC">
        <w:rPr>
          <w:rFonts w:ascii="Verdana" w:hAnsi="Verdana"/>
          <w:sz w:val="20"/>
          <w:szCs w:val="20"/>
        </w:rPr>
        <w:t xml:space="preserve"> la </w:t>
      </w:r>
      <w:r w:rsidR="007462C6" w:rsidRPr="00486FEC">
        <w:rPr>
          <w:rFonts w:ascii="Verdana" w:hAnsi="Verdana"/>
          <w:i/>
          <w:sz w:val="20"/>
          <w:szCs w:val="20"/>
        </w:rPr>
        <w:t xml:space="preserve">inadmisibilidad del </w:t>
      </w:r>
      <w:r w:rsidR="00BB6B2E" w:rsidRPr="00486FEC">
        <w:rPr>
          <w:rFonts w:ascii="Verdana" w:hAnsi="Verdana"/>
          <w:i/>
          <w:sz w:val="20"/>
          <w:szCs w:val="20"/>
        </w:rPr>
        <w:t>llamativo reconocimiento estatal</w:t>
      </w:r>
      <w:r w:rsidR="004757A1" w:rsidRPr="00486FEC">
        <w:rPr>
          <w:rFonts w:ascii="Verdana" w:hAnsi="Verdana"/>
          <w:i/>
          <w:sz w:val="20"/>
          <w:szCs w:val="20"/>
        </w:rPr>
        <w:t>.</w:t>
      </w:r>
    </w:p>
    <w:p w14:paraId="2F9208E1" w14:textId="77777777" w:rsidR="004757A1" w:rsidRPr="00486FEC" w:rsidRDefault="004757A1" w:rsidP="00486FEC">
      <w:pPr>
        <w:pStyle w:val="Prrafodelista"/>
        <w:spacing w:after="0" w:line="240" w:lineRule="auto"/>
        <w:ind w:left="0"/>
        <w:contextualSpacing w:val="0"/>
        <w:jc w:val="both"/>
        <w:rPr>
          <w:rFonts w:ascii="Verdana" w:hAnsi="Verdana"/>
          <w:i/>
          <w:sz w:val="20"/>
          <w:szCs w:val="20"/>
        </w:rPr>
      </w:pPr>
    </w:p>
    <w:p w14:paraId="106B620E" w14:textId="77777777" w:rsidR="00F11354" w:rsidRPr="00486FEC" w:rsidRDefault="00F11354" w:rsidP="00486FEC">
      <w:pPr>
        <w:pStyle w:val="Prrafodelista"/>
        <w:spacing w:after="0" w:line="240" w:lineRule="auto"/>
        <w:ind w:left="0"/>
        <w:contextualSpacing w:val="0"/>
        <w:jc w:val="center"/>
        <w:rPr>
          <w:rFonts w:ascii="Verdana" w:hAnsi="Verdana"/>
          <w:b/>
          <w:sz w:val="20"/>
          <w:szCs w:val="20"/>
        </w:rPr>
      </w:pPr>
      <w:r w:rsidRPr="00486FEC">
        <w:rPr>
          <w:rFonts w:ascii="Verdana" w:hAnsi="Verdana"/>
          <w:b/>
          <w:sz w:val="20"/>
          <w:szCs w:val="20"/>
        </w:rPr>
        <w:t>II</w:t>
      </w:r>
    </w:p>
    <w:p w14:paraId="029D5D0D" w14:textId="77777777" w:rsidR="004757A1" w:rsidRPr="00486FEC" w:rsidRDefault="00F11354" w:rsidP="00486FEC">
      <w:pPr>
        <w:pStyle w:val="Prrafodelista"/>
        <w:spacing w:after="0" w:line="240" w:lineRule="auto"/>
        <w:ind w:left="0"/>
        <w:contextualSpacing w:val="0"/>
        <w:jc w:val="center"/>
        <w:rPr>
          <w:rFonts w:ascii="Verdana" w:hAnsi="Verdana"/>
          <w:b/>
          <w:sz w:val="20"/>
          <w:szCs w:val="20"/>
        </w:rPr>
      </w:pPr>
      <w:r w:rsidRPr="00486FEC">
        <w:rPr>
          <w:rFonts w:ascii="Verdana" w:hAnsi="Verdana"/>
          <w:b/>
          <w:sz w:val="20"/>
          <w:szCs w:val="20"/>
        </w:rPr>
        <w:t>CONTEXTO DEL CASO</w:t>
      </w:r>
    </w:p>
    <w:p w14:paraId="6A076468" w14:textId="77777777" w:rsidR="00F11354" w:rsidRPr="00486FEC" w:rsidRDefault="00F11354" w:rsidP="00486FEC">
      <w:pPr>
        <w:pStyle w:val="Prrafodelista"/>
        <w:spacing w:after="0" w:line="240" w:lineRule="auto"/>
        <w:ind w:left="0"/>
        <w:contextualSpacing w:val="0"/>
        <w:jc w:val="center"/>
        <w:rPr>
          <w:rFonts w:ascii="Verdana" w:hAnsi="Verdana"/>
          <w:b/>
          <w:sz w:val="20"/>
          <w:szCs w:val="20"/>
        </w:rPr>
      </w:pPr>
    </w:p>
    <w:p w14:paraId="38A3DBD3" w14:textId="77777777" w:rsidR="004757A1" w:rsidRPr="00486FEC" w:rsidRDefault="001E5322" w:rsidP="00486FEC">
      <w:pPr>
        <w:pStyle w:val="Prrafodelista"/>
        <w:spacing w:after="0" w:line="240" w:lineRule="auto"/>
        <w:ind w:left="0" w:firstLine="709"/>
        <w:contextualSpacing w:val="0"/>
        <w:jc w:val="both"/>
        <w:rPr>
          <w:rFonts w:ascii="Verdana" w:hAnsi="Verdana"/>
          <w:b/>
          <w:sz w:val="20"/>
          <w:szCs w:val="20"/>
        </w:rPr>
      </w:pPr>
      <w:r w:rsidRPr="00486FEC">
        <w:rPr>
          <w:rFonts w:ascii="Verdana" w:hAnsi="Verdana"/>
          <w:b/>
          <w:sz w:val="20"/>
          <w:szCs w:val="20"/>
        </w:rPr>
        <w:t xml:space="preserve">II.1. ¿Qué </w:t>
      </w:r>
      <w:r w:rsidR="00BB6B2E" w:rsidRPr="00486FEC">
        <w:rPr>
          <w:rFonts w:ascii="Verdana" w:hAnsi="Verdana"/>
          <w:b/>
          <w:sz w:val="20"/>
          <w:szCs w:val="20"/>
        </w:rPr>
        <w:t>se entiende por “</w:t>
      </w:r>
      <w:r w:rsidRPr="00486FEC">
        <w:rPr>
          <w:rFonts w:ascii="Verdana" w:hAnsi="Verdana"/>
          <w:b/>
          <w:sz w:val="20"/>
          <w:szCs w:val="20"/>
        </w:rPr>
        <w:t>contexto</w:t>
      </w:r>
      <w:r w:rsidR="00BB6B2E" w:rsidRPr="00486FEC">
        <w:rPr>
          <w:rFonts w:ascii="Verdana" w:hAnsi="Verdana"/>
          <w:b/>
          <w:sz w:val="20"/>
          <w:szCs w:val="20"/>
        </w:rPr>
        <w:t>”</w:t>
      </w:r>
      <w:r w:rsidRPr="00486FEC">
        <w:rPr>
          <w:rFonts w:ascii="Verdana" w:hAnsi="Verdana"/>
          <w:b/>
          <w:sz w:val="20"/>
          <w:szCs w:val="20"/>
        </w:rPr>
        <w:t>?</w:t>
      </w:r>
    </w:p>
    <w:p w14:paraId="013509AB" w14:textId="77777777" w:rsidR="005541BC" w:rsidRPr="00486FEC" w:rsidRDefault="005541BC" w:rsidP="00486FEC">
      <w:pPr>
        <w:pStyle w:val="Prrafodelista"/>
        <w:spacing w:after="0" w:line="240" w:lineRule="auto"/>
        <w:ind w:left="0" w:firstLine="709"/>
        <w:contextualSpacing w:val="0"/>
        <w:jc w:val="both"/>
        <w:rPr>
          <w:rFonts w:ascii="Verdana" w:hAnsi="Verdana"/>
          <w:b/>
          <w:sz w:val="20"/>
          <w:szCs w:val="20"/>
        </w:rPr>
      </w:pPr>
    </w:p>
    <w:p w14:paraId="6AC09AB1" w14:textId="0C57D5AD" w:rsidR="004757A1" w:rsidRDefault="0010041E"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Para ponderar todos los elementos del caso es impr</w:t>
      </w:r>
      <w:r w:rsidR="008B3567" w:rsidRPr="00486FEC">
        <w:rPr>
          <w:rFonts w:ascii="Verdana" w:hAnsi="Verdana"/>
          <w:sz w:val="20"/>
          <w:szCs w:val="20"/>
        </w:rPr>
        <w:t>escindible</w:t>
      </w:r>
      <w:r w:rsidRPr="00486FEC">
        <w:rPr>
          <w:rFonts w:ascii="Verdana" w:hAnsi="Verdana"/>
          <w:sz w:val="20"/>
          <w:szCs w:val="20"/>
        </w:rPr>
        <w:t xml:space="preserve"> hacer referencia a lo que </w:t>
      </w:r>
      <w:r w:rsidR="00126A8F" w:rsidRPr="00486FEC">
        <w:rPr>
          <w:rFonts w:ascii="Verdana" w:hAnsi="Verdana"/>
          <w:sz w:val="20"/>
          <w:szCs w:val="20"/>
        </w:rPr>
        <w:t xml:space="preserve">esta Corte invariablemente ha considerado </w:t>
      </w:r>
      <w:r w:rsidR="00E20800" w:rsidRPr="00486FEC">
        <w:rPr>
          <w:rFonts w:ascii="Verdana" w:hAnsi="Verdana"/>
          <w:sz w:val="20"/>
          <w:szCs w:val="20"/>
        </w:rPr>
        <w:t xml:space="preserve">como el </w:t>
      </w:r>
      <w:r w:rsidRPr="00486FEC">
        <w:rPr>
          <w:rFonts w:ascii="Verdana" w:hAnsi="Verdana"/>
          <w:i/>
          <w:sz w:val="20"/>
          <w:szCs w:val="20"/>
        </w:rPr>
        <w:t>contexto</w:t>
      </w:r>
      <w:r w:rsidR="008B3567" w:rsidRPr="00486FEC">
        <w:rPr>
          <w:rFonts w:ascii="Verdana" w:hAnsi="Verdana"/>
          <w:sz w:val="20"/>
          <w:szCs w:val="20"/>
        </w:rPr>
        <w:t xml:space="preserve"> de los hechos</w:t>
      </w:r>
      <w:r w:rsidR="00E20800" w:rsidRPr="00486FEC">
        <w:rPr>
          <w:rFonts w:ascii="Verdana" w:hAnsi="Verdana"/>
          <w:sz w:val="20"/>
          <w:szCs w:val="20"/>
        </w:rPr>
        <w:t xml:space="preserve"> que en cada </w:t>
      </w:r>
      <w:r w:rsidR="008F2B20" w:rsidRPr="00486FEC">
        <w:rPr>
          <w:rFonts w:ascii="Verdana" w:hAnsi="Verdana"/>
          <w:sz w:val="20"/>
          <w:szCs w:val="20"/>
        </w:rPr>
        <w:t xml:space="preserve">oportunidad </w:t>
      </w:r>
      <w:r w:rsidR="00E20800" w:rsidRPr="00486FEC">
        <w:rPr>
          <w:rFonts w:ascii="Verdana" w:hAnsi="Verdana"/>
          <w:sz w:val="20"/>
          <w:szCs w:val="20"/>
        </w:rPr>
        <w:t>son</w:t>
      </w:r>
      <w:r w:rsidR="008B3567" w:rsidRPr="00486FEC">
        <w:rPr>
          <w:rFonts w:ascii="Verdana" w:hAnsi="Verdana"/>
          <w:sz w:val="20"/>
          <w:szCs w:val="20"/>
        </w:rPr>
        <w:t xml:space="preserve"> sometidos a su jurisdicción.</w:t>
      </w:r>
    </w:p>
    <w:p w14:paraId="20AD0825"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79FB73A1" w14:textId="1185556A" w:rsidR="004757A1" w:rsidRDefault="0010041E"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Ninguna conducta humana opera en el vacío</w:t>
      </w:r>
      <w:r w:rsidR="00126A8F" w:rsidRPr="00486FEC">
        <w:rPr>
          <w:rFonts w:ascii="Verdana" w:hAnsi="Verdana"/>
          <w:sz w:val="20"/>
          <w:szCs w:val="20"/>
        </w:rPr>
        <w:t xml:space="preserve"> y el derecho no puede sino juzgar interacciones humanas</w:t>
      </w:r>
      <w:r w:rsidRPr="00486FEC">
        <w:rPr>
          <w:rFonts w:ascii="Verdana" w:hAnsi="Verdana"/>
          <w:sz w:val="20"/>
          <w:szCs w:val="20"/>
        </w:rPr>
        <w:t xml:space="preserve">, </w:t>
      </w:r>
      <w:r w:rsidR="00126A8F" w:rsidRPr="00486FEC">
        <w:rPr>
          <w:rFonts w:ascii="Verdana" w:hAnsi="Verdana"/>
          <w:sz w:val="20"/>
          <w:szCs w:val="20"/>
        </w:rPr>
        <w:t xml:space="preserve">las </w:t>
      </w:r>
      <w:r w:rsidR="004E55ED" w:rsidRPr="00486FEC">
        <w:rPr>
          <w:rFonts w:ascii="Verdana" w:hAnsi="Verdana"/>
          <w:sz w:val="20"/>
          <w:szCs w:val="20"/>
        </w:rPr>
        <w:t>que siempre tiene</w:t>
      </w:r>
      <w:r w:rsidR="008B3567" w:rsidRPr="00486FEC">
        <w:rPr>
          <w:rFonts w:ascii="Verdana" w:hAnsi="Verdana"/>
          <w:sz w:val="20"/>
          <w:szCs w:val="20"/>
        </w:rPr>
        <w:t>n</w:t>
      </w:r>
      <w:r w:rsidR="004E55ED" w:rsidRPr="00486FEC">
        <w:rPr>
          <w:rFonts w:ascii="Verdana" w:hAnsi="Verdana"/>
          <w:sz w:val="20"/>
          <w:szCs w:val="20"/>
        </w:rPr>
        <w:t xml:space="preserve"> lugar </w:t>
      </w:r>
      <w:r w:rsidRPr="00486FEC">
        <w:rPr>
          <w:rFonts w:ascii="Verdana" w:hAnsi="Verdana"/>
          <w:sz w:val="20"/>
          <w:szCs w:val="20"/>
        </w:rPr>
        <w:t xml:space="preserve">en determinadas circunstancias, o sea, en una </w:t>
      </w:r>
      <w:r w:rsidR="001F474C" w:rsidRPr="00486FEC">
        <w:rPr>
          <w:rFonts w:ascii="Verdana" w:hAnsi="Verdana"/>
          <w:sz w:val="20"/>
          <w:szCs w:val="20"/>
        </w:rPr>
        <w:t xml:space="preserve">cierta </w:t>
      </w:r>
      <w:r w:rsidR="008B3567" w:rsidRPr="00486FEC">
        <w:rPr>
          <w:rFonts w:ascii="Verdana" w:hAnsi="Verdana"/>
          <w:sz w:val="20"/>
          <w:szCs w:val="20"/>
        </w:rPr>
        <w:t>constelació</w:t>
      </w:r>
      <w:r w:rsidRPr="00486FEC">
        <w:rPr>
          <w:rFonts w:ascii="Verdana" w:hAnsi="Verdana"/>
          <w:sz w:val="20"/>
          <w:szCs w:val="20"/>
        </w:rPr>
        <w:t>n</w:t>
      </w:r>
      <w:r w:rsidR="008B3567" w:rsidRPr="00486FEC">
        <w:rPr>
          <w:rFonts w:ascii="Verdana" w:hAnsi="Verdana"/>
          <w:sz w:val="20"/>
          <w:szCs w:val="20"/>
        </w:rPr>
        <w:t xml:space="preserve"> situacional</w:t>
      </w:r>
      <w:r w:rsidRPr="00486FEC">
        <w:rPr>
          <w:rFonts w:ascii="Verdana" w:hAnsi="Verdana"/>
          <w:sz w:val="20"/>
          <w:szCs w:val="20"/>
        </w:rPr>
        <w:t xml:space="preserve"> </w:t>
      </w:r>
      <w:r w:rsidR="004E55ED" w:rsidRPr="00486FEC">
        <w:rPr>
          <w:rFonts w:ascii="Verdana" w:hAnsi="Verdana"/>
          <w:sz w:val="20"/>
          <w:szCs w:val="20"/>
        </w:rPr>
        <w:t xml:space="preserve">dada </w:t>
      </w:r>
      <w:r w:rsidR="008B3567" w:rsidRPr="00486FEC">
        <w:rPr>
          <w:rFonts w:ascii="Verdana" w:hAnsi="Verdana"/>
          <w:sz w:val="20"/>
          <w:szCs w:val="20"/>
        </w:rPr>
        <w:t xml:space="preserve">en el tiempo. Las conductas operan </w:t>
      </w:r>
      <w:r w:rsidR="008B3567" w:rsidRPr="00486FEC">
        <w:rPr>
          <w:rFonts w:ascii="Verdana" w:hAnsi="Verdana"/>
          <w:sz w:val="20"/>
          <w:szCs w:val="20"/>
        </w:rPr>
        <w:lastRenderedPageBreak/>
        <w:t>en la concatenac</w:t>
      </w:r>
      <w:r w:rsidRPr="00486FEC">
        <w:rPr>
          <w:rFonts w:ascii="Verdana" w:hAnsi="Verdana"/>
          <w:sz w:val="20"/>
          <w:szCs w:val="20"/>
        </w:rPr>
        <w:t xml:space="preserve">ión </w:t>
      </w:r>
      <w:r w:rsidR="00C62D09" w:rsidRPr="00486FEC">
        <w:rPr>
          <w:rFonts w:ascii="Verdana" w:hAnsi="Verdana"/>
          <w:sz w:val="20"/>
          <w:szCs w:val="20"/>
        </w:rPr>
        <w:t xml:space="preserve">cronológica </w:t>
      </w:r>
      <w:r w:rsidR="00304C35" w:rsidRPr="00486FEC">
        <w:rPr>
          <w:rFonts w:ascii="Verdana" w:hAnsi="Verdana"/>
          <w:sz w:val="20"/>
          <w:szCs w:val="20"/>
        </w:rPr>
        <w:t xml:space="preserve">propia de la </w:t>
      </w:r>
      <w:r w:rsidR="005F538B" w:rsidRPr="00486FEC">
        <w:rPr>
          <w:rFonts w:ascii="Verdana" w:hAnsi="Verdana"/>
          <w:i/>
          <w:sz w:val="20"/>
          <w:szCs w:val="20"/>
        </w:rPr>
        <w:t>temporalidad</w:t>
      </w:r>
      <w:r w:rsidR="005F538B" w:rsidRPr="00486FEC">
        <w:rPr>
          <w:rFonts w:ascii="Verdana" w:hAnsi="Verdana"/>
          <w:sz w:val="20"/>
          <w:szCs w:val="20"/>
        </w:rPr>
        <w:t xml:space="preserve"> </w:t>
      </w:r>
      <w:r w:rsidR="008B3567" w:rsidRPr="00486FEC">
        <w:rPr>
          <w:rFonts w:ascii="Verdana" w:hAnsi="Verdana"/>
          <w:sz w:val="20"/>
          <w:szCs w:val="20"/>
        </w:rPr>
        <w:t>(</w:t>
      </w:r>
      <w:r w:rsidR="008B3567" w:rsidRPr="00486FEC">
        <w:rPr>
          <w:rFonts w:ascii="Verdana" w:hAnsi="Verdana"/>
          <w:i/>
          <w:sz w:val="20"/>
          <w:szCs w:val="20"/>
        </w:rPr>
        <w:t>Zeitlichkeit</w:t>
      </w:r>
      <w:r w:rsidR="008B3567" w:rsidRPr="00486FEC">
        <w:rPr>
          <w:rFonts w:ascii="Verdana" w:hAnsi="Verdana"/>
          <w:sz w:val="20"/>
          <w:szCs w:val="20"/>
        </w:rPr>
        <w:t xml:space="preserve">) </w:t>
      </w:r>
      <w:r w:rsidRPr="00486FEC">
        <w:rPr>
          <w:rFonts w:ascii="Verdana" w:hAnsi="Verdana"/>
          <w:sz w:val="20"/>
          <w:szCs w:val="20"/>
        </w:rPr>
        <w:t>inherente a todo lo humano</w:t>
      </w:r>
      <w:r w:rsidR="004757A1" w:rsidRPr="00486FEC">
        <w:rPr>
          <w:rStyle w:val="Refdenotaalpie"/>
          <w:rFonts w:ascii="Verdana" w:hAnsi="Verdana"/>
          <w:sz w:val="20"/>
          <w:szCs w:val="20"/>
        </w:rPr>
        <w:footnoteReference w:id="1"/>
      </w:r>
      <w:r w:rsidR="004757A1" w:rsidRPr="00486FEC">
        <w:rPr>
          <w:rFonts w:ascii="Verdana" w:hAnsi="Verdana"/>
          <w:sz w:val="20"/>
          <w:szCs w:val="20"/>
        </w:rPr>
        <w:t>.</w:t>
      </w:r>
    </w:p>
    <w:p w14:paraId="432A85E5" w14:textId="181A9082"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3E8FF268" w14:textId="4665DF6D" w:rsidR="004757A1" w:rsidRDefault="00C62D09"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Esas c</w:t>
      </w:r>
      <w:r w:rsidR="0010041E" w:rsidRPr="00486FEC">
        <w:rPr>
          <w:rFonts w:ascii="Verdana" w:hAnsi="Verdana"/>
          <w:sz w:val="20"/>
          <w:szCs w:val="20"/>
        </w:rPr>
        <w:t>ircunstancias</w:t>
      </w:r>
      <w:r w:rsidRPr="00486FEC">
        <w:rPr>
          <w:rFonts w:ascii="Verdana" w:hAnsi="Verdana"/>
          <w:sz w:val="20"/>
          <w:szCs w:val="20"/>
        </w:rPr>
        <w:t xml:space="preserve"> son las</w:t>
      </w:r>
      <w:r w:rsidR="0010041E" w:rsidRPr="00486FEC">
        <w:rPr>
          <w:rFonts w:ascii="Verdana" w:hAnsi="Verdana"/>
          <w:sz w:val="20"/>
          <w:szCs w:val="20"/>
        </w:rPr>
        <w:t xml:space="preserve"> que permiten comprender acabadamente el sentido </w:t>
      </w:r>
      <w:r w:rsidR="004E55ED" w:rsidRPr="00486FEC">
        <w:rPr>
          <w:rFonts w:ascii="Verdana" w:hAnsi="Verdana"/>
          <w:sz w:val="20"/>
          <w:szCs w:val="20"/>
        </w:rPr>
        <w:t>y significa</w:t>
      </w:r>
      <w:r w:rsidR="00304C35" w:rsidRPr="00486FEC">
        <w:rPr>
          <w:rFonts w:ascii="Verdana" w:hAnsi="Verdana"/>
          <w:sz w:val="20"/>
          <w:szCs w:val="20"/>
        </w:rPr>
        <w:t>do</w:t>
      </w:r>
      <w:r w:rsidR="004E55ED" w:rsidRPr="00486FEC">
        <w:rPr>
          <w:rFonts w:ascii="Verdana" w:hAnsi="Verdana"/>
          <w:sz w:val="20"/>
          <w:szCs w:val="20"/>
        </w:rPr>
        <w:t xml:space="preserve"> </w:t>
      </w:r>
      <w:r w:rsidR="0010041E" w:rsidRPr="00486FEC">
        <w:rPr>
          <w:rFonts w:ascii="Verdana" w:hAnsi="Verdana"/>
          <w:sz w:val="20"/>
          <w:szCs w:val="20"/>
        </w:rPr>
        <w:t xml:space="preserve">de la conducta </w:t>
      </w:r>
      <w:r w:rsidR="008B3567" w:rsidRPr="00486FEC">
        <w:rPr>
          <w:rFonts w:ascii="Verdana" w:hAnsi="Verdana"/>
          <w:sz w:val="20"/>
          <w:szCs w:val="20"/>
        </w:rPr>
        <w:t>a</w:t>
      </w:r>
      <w:r w:rsidRPr="00486FEC">
        <w:rPr>
          <w:rFonts w:ascii="Verdana" w:hAnsi="Verdana"/>
          <w:sz w:val="20"/>
          <w:szCs w:val="20"/>
        </w:rPr>
        <w:t xml:space="preserve"> juzga</w:t>
      </w:r>
      <w:r w:rsidR="008B3567" w:rsidRPr="00486FEC">
        <w:rPr>
          <w:rFonts w:ascii="Verdana" w:hAnsi="Verdana"/>
          <w:sz w:val="20"/>
          <w:szCs w:val="20"/>
        </w:rPr>
        <w:t>r</w:t>
      </w:r>
      <w:r w:rsidR="00126A8F" w:rsidRPr="00486FEC">
        <w:rPr>
          <w:rFonts w:ascii="Verdana" w:hAnsi="Verdana"/>
          <w:sz w:val="20"/>
          <w:szCs w:val="20"/>
        </w:rPr>
        <w:t xml:space="preserve"> y que</w:t>
      </w:r>
      <w:r w:rsidR="004E55ED" w:rsidRPr="00486FEC">
        <w:rPr>
          <w:rFonts w:ascii="Verdana" w:hAnsi="Verdana"/>
          <w:sz w:val="20"/>
          <w:szCs w:val="20"/>
        </w:rPr>
        <w:t xml:space="preserve">, </w:t>
      </w:r>
      <w:r w:rsidR="00126A8F" w:rsidRPr="00486FEC">
        <w:rPr>
          <w:rFonts w:ascii="Verdana" w:hAnsi="Verdana"/>
          <w:sz w:val="20"/>
          <w:szCs w:val="20"/>
        </w:rPr>
        <w:t xml:space="preserve">por cierto, </w:t>
      </w:r>
      <w:r w:rsidRPr="00486FEC">
        <w:rPr>
          <w:rFonts w:ascii="Verdana" w:hAnsi="Verdana"/>
          <w:sz w:val="20"/>
          <w:szCs w:val="20"/>
        </w:rPr>
        <w:t xml:space="preserve">no se agota con la conducta misma, </w:t>
      </w:r>
      <w:r w:rsidR="00126A8F" w:rsidRPr="00486FEC">
        <w:rPr>
          <w:rFonts w:ascii="Verdana" w:hAnsi="Verdana"/>
          <w:sz w:val="20"/>
          <w:szCs w:val="20"/>
        </w:rPr>
        <w:t xml:space="preserve">puesto que se trata </w:t>
      </w:r>
      <w:r w:rsidR="0010041E" w:rsidRPr="00486FEC">
        <w:rPr>
          <w:rFonts w:ascii="Verdana" w:hAnsi="Verdana"/>
          <w:sz w:val="20"/>
          <w:szCs w:val="20"/>
        </w:rPr>
        <w:t xml:space="preserve">de un devenir con </w:t>
      </w:r>
      <w:r w:rsidR="007E482E" w:rsidRPr="00486FEC">
        <w:rPr>
          <w:rFonts w:ascii="Verdana" w:hAnsi="Verdana"/>
          <w:sz w:val="20"/>
          <w:szCs w:val="20"/>
        </w:rPr>
        <w:t xml:space="preserve">su </w:t>
      </w:r>
      <w:r w:rsidR="0010041E" w:rsidRPr="00486FEC">
        <w:rPr>
          <w:rFonts w:ascii="Verdana" w:hAnsi="Verdana"/>
          <w:sz w:val="20"/>
          <w:szCs w:val="20"/>
        </w:rPr>
        <w:t>pasado y</w:t>
      </w:r>
      <w:r w:rsidR="007E482E" w:rsidRPr="00486FEC">
        <w:rPr>
          <w:rFonts w:ascii="Verdana" w:hAnsi="Verdana"/>
          <w:sz w:val="20"/>
          <w:szCs w:val="20"/>
        </w:rPr>
        <w:t xml:space="preserve"> su</w:t>
      </w:r>
      <w:r w:rsidR="0010041E" w:rsidRPr="00486FEC">
        <w:rPr>
          <w:rFonts w:ascii="Verdana" w:hAnsi="Verdana"/>
          <w:sz w:val="20"/>
          <w:szCs w:val="20"/>
        </w:rPr>
        <w:t xml:space="preserve"> continuidad</w:t>
      </w:r>
      <w:r w:rsidRPr="00486FEC">
        <w:rPr>
          <w:rFonts w:ascii="Verdana" w:hAnsi="Verdana"/>
          <w:sz w:val="20"/>
          <w:szCs w:val="20"/>
        </w:rPr>
        <w:t xml:space="preserve"> </w:t>
      </w:r>
      <w:r w:rsidR="007E482E" w:rsidRPr="00486FEC">
        <w:rPr>
          <w:rFonts w:ascii="Verdana" w:hAnsi="Verdana"/>
          <w:sz w:val="20"/>
          <w:szCs w:val="20"/>
        </w:rPr>
        <w:t xml:space="preserve">en el presente, </w:t>
      </w:r>
      <w:r w:rsidRPr="00486FEC">
        <w:rPr>
          <w:rFonts w:ascii="Verdana" w:hAnsi="Verdana"/>
          <w:sz w:val="20"/>
          <w:szCs w:val="20"/>
        </w:rPr>
        <w:t xml:space="preserve">que </w:t>
      </w:r>
      <w:r w:rsidR="00126A8F" w:rsidRPr="00486FEC">
        <w:rPr>
          <w:rFonts w:ascii="Verdana" w:hAnsi="Verdana"/>
          <w:sz w:val="20"/>
          <w:szCs w:val="20"/>
        </w:rPr>
        <w:t xml:space="preserve">bien </w:t>
      </w:r>
      <w:r w:rsidRPr="00486FEC">
        <w:rPr>
          <w:rFonts w:ascii="Verdana" w:hAnsi="Verdana"/>
          <w:sz w:val="20"/>
          <w:szCs w:val="20"/>
        </w:rPr>
        <w:t xml:space="preserve">se podría calificar como </w:t>
      </w:r>
      <w:r w:rsidR="0010041E" w:rsidRPr="00486FEC">
        <w:rPr>
          <w:rFonts w:ascii="Verdana" w:hAnsi="Verdana"/>
          <w:i/>
          <w:sz w:val="20"/>
          <w:szCs w:val="20"/>
        </w:rPr>
        <w:t>heraclitian</w:t>
      </w:r>
      <w:r w:rsidR="00304C35" w:rsidRPr="00486FEC">
        <w:rPr>
          <w:rFonts w:ascii="Verdana" w:hAnsi="Verdana"/>
          <w:i/>
          <w:sz w:val="20"/>
          <w:szCs w:val="20"/>
        </w:rPr>
        <w:t>o</w:t>
      </w:r>
      <w:r w:rsidR="004757A1" w:rsidRPr="00486FEC">
        <w:rPr>
          <w:rStyle w:val="Refdenotaalpie"/>
          <w:rFonts w:ascii="Verdana" w:hAnsi="Verdana"/>
          <w:i/>
          <w:sz w:val="20"/>
          <w:szCs w:val="20"/>
        </w:rPr>
        <w:footnoteReference w:id="2"/>
      </w:r>
      <w:r w:rsidR="004757A1" w:rsidRPr="00486FEC">
        <w:rPr>
          <w:rFonts w:ascii="Verdana" w:hAnsi="Verdana"/>
          <w:sz w:val="20"/>
          <w:szCs w:val="20"/>
        </w:rPr>
        <w:t>.</w:t>
      </w:r>
    </w:p>
    <w:p w14:paraId="4D3943BF" w14:textId="787EE51F"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335350A1" w14:textId="092E121D" w:rsidR="004757A1" w:rsidRDefault="008B3567"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En el plano de la realidad </w:t>
      </w:r>
      <w:r w:rsidR="0010041E" w:rsidRPr="00486FEC">
        <w:rPr>
          <w:rFonts w:ascii="Verdana" w:hAnsi="Verdana"/>
          <w:sz w:val="20"/>
          <w:szCs w:val="20"/>
        </w:rPr>
        <w:t>se juzga</w:t>
      </w:r>
      <w:r w:rsidRPr="00486FEC">
        <w:rPr>
          <w:rFonts w:ascii="Verdana" w:hAnsi="Verdana"/>
          <w:sz w:val="20"/>
          <w:szCs w:val="20"/>
        </w:rPr>
        <w:t>n</w:t>
      </w:r>
      <w:r w:rsidR="007E482E" w:rsidRPr="00486FEC">
        <w:rPr>
          <w:rFonts w:ascii="Verdana" w:hAnsi="Verdana"/>
          <w:sz w:val="20"/>
          <w:szCs w:val="20"/>
        </w:rPr>
        <w:t xml:space="preserve"> comportamientos humanos </w:t>
      </w:r>
      <w:r w:rsidR="00126A8F" w:rsidRPr="00486FEC">
        <w:rPr>
          <w:rFonts w:ascii="Verdana" w:hAnsi="Verdana"/>
          <w:sz w:val="20"/>
          <w:szCs w:val="20"/>
        </w:rPr>
        <w:t xml:space="preserve">interactivos </w:t>
      </w:r>
      <w:r w:rsidR="0010041E" w:rsidRPr="00486FEC">
        <w:rPr>
          <w:rFonts w:ascii="Verdana" w:hAnsi="Verdana"/>
          <w:sz w:val="20"/>
          <w:szCs w:val="20"/>
        </w:rPr>
        <w:t xml:space="preserve">en </w:t>
      </w:r>
      <w:r w:rsidR="007E482E" w:rsidRPr="00486FEC">
        <w:rPr>
          <w:rFonts w:ascii="Verdana" w:hAnsi="Verdana"/>
          <w:sz w:val="20"/>
          <w:szCs w:val="20"/>
        </w:rPr>
        <w:t xml:space="preserve">su propio </w:t>
      </w:r>
      <w:r w:rsidR="0010041E" w:rsidRPr="00486FEC">
        <w:rPr>
          <w:rFonts w:ascii="Verdana" w:hAnsi="Verdana"/>
          <w:sz w:val="20"/>
          <w:szCs w:val="20"/>
        </w:rPr>
        <w:t xml:space="preserve">devenir y, por ende, </w:t>
      </w:r>
      <w:r w:rsidR="007E482E" w:rsidRPr="00486FEC">
        <w:rPr>
          <w:rFonts w:ascii="Verdana" w:hAnsi="Verdana"/>
          <w:sz w:val="20"/>
          <w:szCs w:val="20"/>
        </w:rPr>
        <w:t xml:space="preserve">en todos los casos </w:t>
      </w:r>
      <w:r w:rsidR="0010041E" w:rsidRPr="00486FEC">
        <w:rPr>
          <w:rFonts w:ascii="Verdana" w:hAnsi="Verdana"/>
          <w:sz w:val="20"/>
          <w:szCs w:val="20"/>
        </w:rPr>
        <w:t xml:space="preserve">es indispensable </w:t>
      </w:r>
      <w:r w:rsidR="005D1DEC" w:rsidRPr="00486FEC">
        <w:rPr>
          <w:rFonts w:ascii="Verdana" w:hAnsi="Verdana"/>
          <w:sz w:val="20"/>
          <w:szCs w:val="20"/>
        </w:rPr>
        <w:t xml:space="preserve">una adecuada </w:t>
      </w:r>
      <w:r w:rsidR="001F474C" w:rsidRPr="00486FEC">
        <w:rPr>
          <w:rFonts w:ascii="Verdana" w:hAnsi="Verdana"/>
          <w:sz w:val="20"/>
          <w:szCs w:val="20"/>
        </w:rPr>
        <w:t xml:space="preserve">ponderación </w:t>
      </w:r>
      <w:r w:rsidR="005D1DEC" w:rsidRPr="00486FEC">
        <w:rPr>
          <w:rFonts w:ascii="Verdana" w:hAnsi="Verdana"/>
          <w:sz w:val="20"/>
          <w:szCs w:val="20"/>
        </w:rPr>
        <w:t xml:space="preserve">de ese devenir para </w:t>
      </w:r>
      <w:r w:rsidRPr="00486FEC">
        <w:rPr>
          <w:rFonts w:ascii="Verdana" w:hAnsi="Verdana"/>
          <w:sz w:val="20"/>
          <w:szCs w:val="20"/>
        </w:rPr>
        <w:t>el correcto entendimiento de la</w:t>
      </w:r>
      <w:r w:rsidR="007E482E" w:rsidRPr="00486FEC">
        <w:rPr>
          <w:rFonts w:ascii="Verdana" w:hAnsi="Verdana"/>
          <w:sz w:val="20"/>
          <w:szCs w:val="20"/>
        </w:rPr>
        <w:t xml:space="preserve"> materia </w:t>
      </w:r>
      <w:r w:rsidR="005D1DEC" w:rsidRPr="00486FEC">
        <w:rPr>
          <w:rFonts w:ascii="Verdana" w:hAnsi="Verdana"/>
          <w:sz w:val="20"/>
          <w:szCs w:val="20"/>
        </w:rPr>
        <w:t xml:space="preserve">que se somete a </w:t>
      </w:r>
      <w:r w:rsidR="00126A8F" w:rsidRPr="00486FEC">
        <w:rPr>
          <w:rFonts w:ascii="Verdana" w:hAnsi="Verdana"/>
          <w:sz w:val="20"/>
          <w:szCs w:val="20"/>
        </w:rPr>
        <w:t xml:space="preserve">los jueces </w:t>
      </w:r>
      <w:r w:rsidR="007E482E" w:rsidRPr="00486FEC">
        <w:rPr>
          <w:rFonts w:ascii="Verdana" w:hAnsi="Verdana"/>
          <w:sz w:val="20"/>
          <w:szCs w:val="20"/>
        </w:rPr>
        <w:t>para su valor</w:t>
      </w:r>
      <w:r w:rsidR="004757A1" w:rsidRPr="00486FEC">
        <w:rPr>
          <w:rFonts w:ascii="Verdana" w:hAnsi="Verdana"/>
          <w:sz w:val="20"/>
          <w:szCs w:val="20"/>
        </w:rPr>
        <w:t>ación o desvaloración jurídica.</w:t>
      </w:r>
    </w:p>
    <w:p w14:paraId="47799FD4" w14:textId="6DE78004"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1E4909F4" w14:textId="6B5EE6C9" w:rsidR="004757A1" w:rsidRDefault="005D1DEC"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Conforme a lo dicho –y como </w:t>
      </w:r>
      <w:r w:rsidR="00126A8F" w:rsidRPr="00486FEC">
        <w:rPr>
          <w:rFonts w:ascii="Verdana" w:hAnsi="Verdana"/>
          <w:sz w:val="20"/>
          <w:szCs w:val="20"/>
        </w:rPr>
        <w:t xml:space="preserve">siempre lo ha hecho </w:t>
      </w:r>
      <w:r w:rsidRPr="00486FEC">
        <w:rPr>
          <w:rFonts w:ascii="Verdana" w:hAnsi="Verdana"/>
          <w:sz w:val="20"/>
          <w:szCs w:val="20"/>
        </w:rPr>
        <w:t xml:space="preserve">este Tribunal- </w:t>
      </w:r>
      <w:r w:rsidR="00ED7770" w:rsidRPr="00486FEC">
        <w:rPr>
          <w:rFonts w:ascii="Verdana" w:hAnsi="Verdana"/>
          <w:sz w:val="20"/>
          <w:szCs w:val="20"/>
        </w:rPr>
        <w:t>la materia a</w:t>
      </w:r>
      <w:r w:rsidR="00126A8F" w:rsidRPr="00486FEC">
        <w:rPr>
          <w:rFonts w:ascii="Verdana" w:hAnsi="Verdana"/>
          <w:sz w:val="20"/>
          <w:szCs w:val="20"/>
        </w:rPr>
        <w:t xml:space="preserve"> juzgar </w:t>
      </w:r>
      <w:r w:rsidRPr="00486FEC">
        <w:rPr>
          <w:rFonts w:ascii="Verdana" w:hAnsi="Verdana"/>
          <w:sz w:val="20"/>
          <w:szCs w:val="20"/>
        </w:rPr>
        <w:t>debe enmarcar</w:t>
      </w:r>
      <w:r w:rsidR="004D501B" w:rsidRPr="00486FEC">
        <w:rPr>
          <w:rFonts w:ascii="Verdana" w:hAnsi="Verdana"/>
          <w:sz w:val="20"/>
          <w:szCs w:val="20"/>
        </w:rPr>
        <w:t>se</w:t>
      </w:r>
      <w:r w:rsidRPr="00486FEC">
        <w:rPr>
          <w:rFonts w:ascii="Verdana" w:hAnsi="Verdana"/>
          <w:sz w:val="20"/>
          <w:szCs w:val="20"/>
        </w:rPr>
        <w:t xml:space="preserve"> en </w:t>
      </w:r>
      <w:r w:rsidR="00ED7770" w:rsidRPr="00486FEC">
        <w:rPr>
          <w:rFonts w:ascii="Verdana" w:hAnsi="Verdana"/>
          <w:sz w:val="20"/>
          <w:szCs w:val="20"/>
        </w:rPr>
        <w:t>su correspondiente</w:t>
      </w:r>
      <w:r w:rsidR="00126A8F" w:rsidRPr="00486FEC">
        <w:rPr>
          <w:rFonts w:ascii="Verdana" w:hAnsi="Verdana"/>
          <w:sz w:val="20"/>
          <w:szCs w:val="20"/>
        </w:rPr>
        <w:t xml:space="preserve"> </w:t>
      </w:r>
      <w:r w:rsidRPr="00486FEC">
        <w:rPr>
          <w:rFonts w:ascii="Verdana" w:hAnsi="Verdana"/>
          <w:sz w:val="20"/>
          <w:szCs w:val="20"/>
        </w:rPr>
        <w:t>contexto</w:t>
      </w:r>
      <w:r w:rsidR="00126A8F" w:rsidRPr="00486FEC">
        <w:rPr>
          <w:rFonts w:ascii="Verdana" w:hAnsi="Verdana"/>
          <w:sz w:val="20"/>
          <w:szCs w:val="20"/>
        </w:rPr>
        <w:t>,</w:t>
      </w:r>
      <w:r w:rsidRPr="00486FEC">
        <w:rPr>
          <w:rFonts w:ascii="Verdana" w:hAnsi="Verdana"/>
          <w:sz w:val="20"/>
          <w:szCs w:val="20"/>
        </w:rPr>
        <w:t xml:space="preserve"> que </w:t>
      </w:r>
      <w:r w:rsidR="007E482E" w:rsidRPr="00486FEC">
        <w:rPr>
          <w:rFonts w:ascii="Verdana" w:hAnsi="Verdana"/>
          <w:sz w:val="20"/>
          <w:szCs w:val="20"/>
        </w:rPr>
        <w:t xml:space="preserve">reconoce un </w:t>
      </w:r>
      <w:r w:rsidR="001F474C" w:rsidRPr="00486FEC">
        <w:rPr>
          <w:rFonts w:ascii="Verdana" w:hAnsi="Verdana"/>
          <w:sz w:val="20"/>
          <w:szCs w:val="20"/>
        </w:rPr>
        <w:t xml:space="preserve">pasado y </w:t>
      </w:r>
      <w:r w:rsidR="007E482E" w:rsidRPr="00486FEC">
        <w:rPr>
          <w:rFonts w:ascii="Verdana" w:hAnsi="Verdana"/>
          <w:sz w:val="20"/>
          <w:szCs w:val="20"/>
        </w:rPr>
        <w:t xml:space="preserve">que </w:t>
      </w:r>
      <w:r w:rsidR="001F474C" w:rsidRPr="00486FEC">
        <w:rPr>
          <w:rFonts w:ascii="Verdana" w:hAnsi="Verdana"/>
          <w:sz w:val="20"/>
          <w:szCs w:val="20"/>
        </w:rPr>
        <w:t xml:space="preserve">tampoco </w:t>
      </w:r>
      <w:r w:rsidRPr="00486FEC">
        <w:rPr>
          <w:rFonts w:ascii="Verdana" w:hAnsi="Verdana"/>
          <w:sz w:val="20"/>
          <w:szCs w:val="20"/>
        </w:rPr>
        <w:t xml:space="preserve">se corta abrupta ni inconsultamente en el momento en que se </w:t>
      </w:r>
      <w:r w:rsidR="004D501B" w:rsidRPr="00486FEC">
        <w:rPr>
          <w:rFonts w:ascii="Verdana" w:hAnsi="Verdana"/>
          <w:sz w:val="20"/>
          <w:szCs w:val="20"/>
        </w:rPr>
        <w:t>consumó o en que terminó de cometerse</w:t>
      </w:r>
      <w:r w:rsidR="00C62D09" w:rsidRPr="00486FEC">
        <w:rPr>
          <w:rFonts w:ascii="Verdana" w:hAnsi="Verdana"/>
          <w:sz w:val="20"/>
          <w:szCs w:val="20"/>
        </w:rPr>
        <w:t xml:space="preserve"> el hecho imputado</w:t>
      </w:r>
      <w:r w:rsidRPr="00486FEC">
        <w:rPr>
          <w:rFonts w:ascii="Verdana" w:hAnsi="Verdana"/>
          <w:sz w:val="20"/>
          <w:szCs w:val="20"/>
        </w:rPr>
        <w:t>, p</w:t>
      </w:r>
      <w:r w:rsidR="00126A8F" w:rsidRPr="00486FEC">
        <w:rPr>
          <w:rFonts w:ascii="Verdana" w:hAnsi="Verdana"/>
          <w:sz w:val="20"/>
          <w:szCs w:val="20"/>
        </w:rPr>
        <w:t xml:space="preserve">ues </w:t>
      </w:r>
      <w:r w:rsidR="007E482E" w:rsidRPr="00486FEC">
        <w:rPr>
          <w:rFonts w:ascii="Verdana" w:hAnsi="Verdana"/>
          <w:sz w:val="20"/>
          <w:szCs w:val="20"/>
        </w:rPr>
        <w:t>sería por demás arbitrario omitir los datos q</w:t>
      </w:r>
      <w:r w:rsidR="004D501B" w:rsidRPr="00486FEC">
        <w:rPr>
          <w:rFonts w:ascii="Verdana" w:hAnsi="Verdana"/>
          <w:sz w:val="20"/>
          <w:szCs w:val="20"/>
        </w:rPr>
        <w:t xml:space="preserve">ue en </w:t>
      </w:r>
      <w:r w:rsidRPr="00486FEC">
        <w:rPr>
          <w:rFonts w:ascii="Verdana" w:hAnsi="Verdana"/>
          <w:sz w:val="20"/>
          <w:szCs w:val="20"/>
        </w:rPr>
        <w:t>el curso</w:t>
      </w:r>
      <w:r w:rsidR="001F474C" w:rsidRPr="00486FEC">
        <w:rPr>
          <w:rFonts w:ascii="Verdana" w:hAnsi="Verdana"/>
          <w:sz w:val="20"/>
          <w:szCs w:val="20"/>
        </w:rPr>
        <w:t xml:space="preserve"> anterior y</w:t>
      </w:r>
      <w:r w:rsidRPr="00486FEC">
        <w:rPr>
          <w:rFonts w:ascii="Verdana" w:hAnsi="Verdana"/>
          <w:sz w:val="20"/>
          <w:szCs w:val="20"/>
        </w:rPr>
        <w:t xml:space="preserve"> posterior</w:t>
      </w:r>
      <w:r w:rsidR="004D501B" w:rsidRPr="00486FEC">
        <w:rPr>
          <w:rFonts w:ascii="Verdana" w:hAnsi="Verdana"/>
          <w:sz w:val="20"/>
          <w:szCs w:val="20"/>
        </w:rPr>
        <w:t xml:space="preserve"> puedan echar luz </w:t>
      </w:r>
      <w:r w:rsidRPr="00486FEC">
        <w:rPr>
          <w:rFonts w:ascii="Verdana" w:hAnsi="Verdana"/>
          <w:sz w:val="20"/>
          <w:szCs w:val="20"/>
        </w:rPr>
        <w:t>sobre l</w:t>
      </w:r>
      <w:r w:rsidR="00126A8F" w:rsidRPr="00486FEC">
        <w:rPr>
          <w:rFonts w:ascii="Verdana" w:hAnsi="Verdana"/>
          <w:sz w:val="20"/>
          <w:szCs w:val="20"/>
        </w:rPr>
        <w:t xml:space="preserve">o acontecido, con natural incidencia en </w:t>
      </w:r>
      <w:r w:rsidR="004D501B" w:rsidRPr="00486FEC">
        <w:rPr>
          <w:rFonts w:ascii="Verdana" w:hAnsi="Verdana"/>
          <w:sz w:val="20"/>
          <w:szCs w:val="20"/>
        </w:rPr>
        <w:t>la justicia de la decisión que se adopte</w:t>
      </w:r>
      <w:r w:rsidRPr="00486FEC">
        <w:rPr>
          <w:rFonts w:ascii="Verdana" w:hAnsi="Verdana"/>
          <w:sz w:val="20"/>
          <w:szCs w:val="20"/>
        </w:rPr>
        <w:t xml:space="preserve">. </w:t>
      </w:r>
      <w:r w:rsidR="007E482E" w:rsidRPr="00486FEC">
        <w:rPr>
          <w:rFonts w:ascii="Verdana" w:hAnsi="Verdana"/>
          <w:sz w:val="20"/>
          <w:szCs w:val="20"/>
        </w:rPr>
        <w:t>En cualquier caso, a</w:t>
      </w:r>
      <w:r w:rsidR="00C62D09" w:rsidRPr="00486FEC">
        <w:rPr>
          <w:rFonts w:ascii="Verdana" w:hAnsi="Verdana"/>
          <w:sz w:val="20"/>
          <w:szCs w:val="20"/>
        </w:rPr>
        <w:t xml:space="preserve">pelando a </w:t>
      </w:r>
      <w:r w:rsidR="00BB6B2E" w:rsidRPr="00486FEC">
        <w:rPr>
          <w:rFonts w:ascii="Verdana" w:hAnsi="Verdana"/>
          <w:sz w:val="20"/>
          <w:szCs w:val="20"/>
        </w:rPr>
        <w:t xml:space="preserve">la </w:t>
      </w:r>
      <w:r w:rsidR="00C62D09" w:rsidRPr="00486FEC">
        <w:rPr>
          <w:rFonts w:ascii="Verdana" w:hAnsi="Verdana"/>
          <w:sz w:val="20"/>
          <w:szCs w:val="20"/>
        </w:rPr>
        <w:t xml:space="preserve">conocida </w:t>
      </w:r>
      <w:r w:rsidR="00BB6B2E" w:rsidRPr="00486FEC">
        <w:rPr>
          <w:rFonts w:ascii="Verdana" w:hAnsi="Verdana"/>
          <w:sz w:val="20"/>
          <w:szCs w:val="20"/>
        </w:rPr>
        <w:t xml:space="preserve">aporía agustiniana, </w:t>
      </w:r>
      <w:r w:rsidR="007E482E" w:rsidRPr="00486FEC">
        <w:rPr>
          <w:rFonts w:ascii="Verdana" w:hAnsi="Verdana"/>
          <w:sz w:val="20"/>
          <w:szCs w:val="20"/>
        </w:rPr>
        <w:t xml:space="preserve">es </w:t>
      </w:r>
      <w:r w:rsidR="00C5380A" w:rsidRPr="00486FEC">
        <w:rPr>
          <w:rFonts w:ascii="Verdana" w:hAnsi="Verdana"/>
          <w:sz w:val="20"/>
          <w:szCs w:val="20"/>
        </w:rPr>
        <w:t xml:space="preserve">claro </w:t>
      </w:r>
      <w:r w:rsidR="007E482E" w:rsidRPr="00486FEC">
        <w:rPr>
          <w:rFonts w:ascii="Verdana" w:hAnsi="Verdana"/>
          <w:sz w:val="20"/>
          <w:szCs w:val="20"/>
        </w:rPr>
        <w:t xml:space="preserve">que, </w:t>
      </w:r>
      <w:r w:rsidR="00BB6B2E" w:rsidRPr="00486FEC">
        <w:rPr>
          <w:rFonts w:ascii="Verdana" w:hAnsi="Verdana"/>
          <w:sz w:val="20"/>
          <w:szCs w:val="20"/>
        </w:rPr>
        <w:t xml:space="preserve">de </w:t>
      </w:r>
      <w:r w:rsidR="00ED7770" w:rsidRPr="00486FEC">
        <w:rPr>
          <w:rFonts w:ascii="Verdana" w:hAnsi="Verdana"/>
          <w:sz w:val="20"/>
          <w:szCs w:val="20"/>
        </w:rPr>
        <w:t>ignorarse</w:t>
      </w:r>
      <w:r w:rsidR="00BB6B2E" w:rsidRPr="00486FEC">
        <w:rPr>
          <w:rFonts w:ascii="Verdana" w:hAnsi="Verdana"/>
          <w:sz w:val="20"/>
          <w:szCs w:val="20"/>
        </w:rPr>
        <w:t xml:space="preserve"> el pasado y el futuro, sólo restaría una línea divisoria entre dos </w:t>
      </w:r>
      <w:r w:rsidR="00BB6B2E" w:rsidRPr="00486FEC">
        <w:rPr>
          <w:rFonts w:ascii="Verdana" w:hAnsi="Verdana"/>
          <w:i/>
          <w:sz w:val="20"/>
          <w:szCs w:val="20"/>
        </w:rPr>
        <w:t>vacíos de ser</w:t>
      </w:r>
      <w:r w:rsidR="004757A1" w:rsidRPr="00486FEC">
        <w:rPr>
          <w:rFonts w:ascii="Verdana" w:hAnsi="Verdana"/>
          <w:sz w:val="20"/>
          <w:szCs w:val="20"/>
        </w:rPr>
        <w:t>.</w:t>
      </w:r>
    </w:p>
    <w:p w14:paraId="32C88CDB" w14:textId="12E2BDED"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730FAAD5" w14:textId="0F0A2AA7" w:rsidR="00ED7770" w:rsidRDefault="00B55DD2"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Puede decirse que prácticamente en </w:t>
      </w:r>
      <w:r w:rsidR="005D1DEC" w:rsidRPr="00486FEC">
        <w:rPr>
          <w:rFonts w:ascii="Verdana" w:hAnsi="Verdana"/>
          <w:sz w:val="20"/>
          <w:szCs w:val="20"/>
        </w:rPr>
        <w:t>todos los casos</w:t>
      </w:r>
      <w:r w:rsidR="00ED7770" w:rsidRPr="00486FEC">
        <w:rPr>
          <w:rFonts w:ascii="Verdana" w:hAnsi="Verdana"/>
          <w:sz w:val="20"/>
          <w:szCs w:val="20"/>
        </w:rPr>
        <w:t xml:space="preserve"> este</w:t>
      </w:r>
      <w:r w:rsidRPr="00486FEC">
        <w:rPr>
          <w:rFonts w:ascii="Verdana" w:hAnsi="Verdana"/>
          <w:sz w:val="20"/>
          <w:szCs w:val="20"/>
        </w:rPr>
        <w:t xml:space="preserve"> </w:t>
      </w:r>
      <w:r w:rsidR="005D1DEC" w:rsidRPr="00486FEC">
        <w:rPr>
          <w:rFonts w:ascii="Verdana" w:hAnsi="Verdana"/>
          <w:sz w:val="20"/>
          <w:szCs w:val="20"/>
        </w:rPr>
        <w:t>Tri</w:t>
      </w:r>
      <w:r w:rsidR="00ED7770" w:rsidRPr="00486FEC">
        <w:rPr>
          <w:rFonts w:ascii="Verdana" w:hAnsi="Verdana"/>
          <w:sz w:val="20"/>
          <w:szCs w:val="20"/>
        </w:rPr>
        <w:t>bunal ha procedido</w:t>
      </w:r>
      <w:r w:rsidR="005D1DEC" w:rsidRPr="00486FEC">
        <w:rPr>
          <w:rFonts w:ascii="Verdana" w:hAnsi="Verdana"/>
          <w:sz w:val="20"/>
          <w:szCs w:val="20"/>
        </w:rPr>
        <w:t xml:space="preserve"> </w:t>
      </w:r>
      <w:r w:rsidR="001F474C" w:rsidRPr="00486FEC">
        <w:rPr>
          <w:rFonts w:ascii="Verdana" w:hAnsi="Verdana"/>
          <w:sz w:val="20"/>
          <w:szCs w:val="20"/>
        </w:rPr>
        <w:t xml:space="preserve">considerando </w:t>
      </w:r>
      <w:r w:rsidRPr="00486FEC">
        <w:rPr>
          <w:rFonts w:ascii="Verdana" w:hAnsi="Verdana"/>
          <w:sz w:val="20"/>
          <w:szCs w:val="20"/>
        </w:rPr>
        <w:t xml:space="preserve">tanto </w:t>
      </w:r>
      <w:r w:rsidR="001F474C" w:rsidRPr="00486FEC">
        <w:rPr>
          <w:rFonts w:ascii="Verdana" w:hAnsi="Verdana"/>
          <w:sz w:val="20"/>
          <w:szCs w:val="20"/>
        </w:rPr>
        <w:t>los precedentes</w:t>
      </w:r>
      <w:r w:rsidRPr="00486FEC">
        <w:rPr>
          <w:rFonts w:ascii="Verdana" w:hAnsi="Verdana"/>
          <w:sz w:val="20"/>
          <w:szCs w:val="20"/>
        </w:rPr>
        <w:t xml:space="preserve"> como </w:t>
      </w:r>
      <w:r w:rsidR="001F474C" w:rsidRPr="00486FEC">
        <w:rPr>
          <w:rFonts w:ascii="Verdana" w:hAnsi="Verdana"/>
          <w:sz w:val="20"/>
          <w:szCs w:val="20"/>
        </w:rPr>
        <w:t>también el curso posterior</w:t>
      </w:r>
      <w:r w:rsidR="00C5380A" w:rsidRPr="00486FEC">
        <w:rPr>
          <w:rFonts w:ascii="Verdana" w:hAnsi="Verdana"/>
          <w:sz w:val="20"/>
          <w:szCs w:val="20"/>
        </w:rPr>
        <w:t>. Este criterio se impone en razón de que, sin</w:t>
      </w:r>
      <w:r w:rsidR="004D501B" w:rsidRPr="00486FEC">
        <w:rPr>
          <w:rFonts w:ascii="Verdana" w:hAnsi="Verdana"/>
          <w:sz w:val="20"/>
          <w:szCs w:val="20"/>
        </w:rPr>
        <w:t xml:space="preserve"> la valoración de </w:t>
      </w:r>
      <w:r w:rsidR="005D1DEC" w:rsidRPr="00486FEC">
        <w:rPr>
          <w:rFonts w:ascii="Verdana" w:hAnsi="Verdana"/>
          <w:sz w:val="20"/>
          <w:szCs w:val="20"/>
        </w:rPr>
        <w:t>acontecimientos</w:t>
      </w:r>
      <w:r w:rsidRPr="00486FEC">
        <w:rPr>
          <w:rFonts w:ascii="Verdana" w:hAnsi="Verdana"/>
          <w:sz w:val="20"/>
          <w:szCs w:val="20"/>
        </w:rPr>
        <w:t xml:space="preserve"> anteriores</w:t>
      </w:r>
      <w:r w:rsidR="00C5380A" w:rsidRPr="00486FEC">
        <w:rPr>
          <w:rFonts w:ascii="Verdana" w:hAnsi="Verdana"/>
          <w:sz w:val="20"/>
          <w:szCs w:val="20"/>
        </w:rPr>
        <w:t>,</w:t>
      </w:r>
      <w:r w:rsidRPr="00486FEC">
        <w:rPr>
          <w:rFonts w:ascii="Verdana" w:hAnsi="Verdana"/>
          <w:sz w:val="20"/>
          <w:szCs w:val="20"/>
        </w:rPr>
        <w:t xml:space="preserve"> muchas veces no es posible establecer la intencionalidad de un acto, </w:t>
      </w:r>
      <w:r w:rsidR="00C5380A" w:rsidRPr="00486FEC">
        <w:rPr>
          <w:rFonts w:ascii="Verdana" w:hAnsi="Verdana"/>
          <w:sz w:val="20"/>
          <w:szCs w:val="20"/>
        </w:rPr>
        <w:t xml:space="preserve">como también que </w:t>
      </w:r>
      <w:r w:rsidRPr="00486FEC">
        <w:rPr>
          <w:rFonts w:ascii="Verdana" w:hAnsi="Verdana"/>
          <w:sz w:val="20"/>
          <w:szCs w:val="20"/>
        </w:rPr>
        <w:t xml:space="preserve">sin la </w:t>
      </w:r>
      <w:r w:rsidR="00C62D09" w:rsidRPr="00486FEC">
        <w:rPr>
          <w:rFonts w:ascii="Verdana" w:hAnsi="Verdana"/>
          <w:sz w:val="20"/>
          <w:szCs w:val="20"/>
        </w:rPr>
        <w:t xml:space="preserve">ponderación </w:t>
      </w:r>
      <w:r w:rsidRPr="00486FEC">
        <w:rPr>
          <w:rFonts w:ascii="Verdana" w:hAnsi="Verdana"/>
          <w:sz w:val="20"/>
          <w:szCs w:val="20"/>
        </w:rPr>
        <w:t>de los</w:t>
      </w:r>
      <w:r w:rsidR="005D1DEC" w:rsidRPr="00486FEC">
        <w:rPr>
          <w:rFonts w:ascii="Verdana" w:hAnsi="Verdana"/>
          <w:sz w:val="20"/>
          <w:szCs w:val="20"/>
        </w:rPr>
        <w:t xml:space="preserve"> </w:t>
      </w:r>
      <w:r w:rsidR="001F474C" w:rsidRPr="00486FEC">
        <w:rPr>
          <w:rFonts w:ascii="Verdana" w:hAnsi="Verdana"/>
          <w:sz w:val="20"/>
          <w:szCs w:val="20"/>
        </w:rPr>
        <w:t xml:space="preserve">sobrevinientes </w:t>
      </w:r>
      <w:r w:rsidR="004D501B" w:rsidRPr="00486FEC">
        <w:rPr>
          <w:rFonts w:ascii="Verdana" w:hAnsi="Verdana"/>
          <w:sz w:val="20"/>
          <w:szCs w:val="20"/>
        </w:rPr>
        <w:t>nunca sería posible saber</w:t>
      </w:r>
      <w:r w:rsidR="00C5380A" w:rsidRPr="00486FEC">
        <w:rPr>
          <w:rFonts w:ascii="Verdana" w:hAnsi="Verdana"/>
          <w:sz w:val="20"/>
          <w:szCs w:val="20"/>
        </w:rPr>
        <w:t xml:space="preserve">, por ejemplo, </w:t>
      </w:r>
      <w:r w:rsidR="004D501B" w:rsidRPr="00486FEC">
        <w:rPr>
          <w:rFonts w:ascii="Verdana" w:hAnsi="Verdana"/>
          <w:sz w:val="20"/>
          <w:szCs w:val="20"/>
        </w:rPr>
        <w:t>si son o no procedentes</w:t>
      </w:r>
      <w:r w:rsidR="00304C35" w:rsidRPr="00486FEC">
        <w:rPr>
          <w:rFonts w:ascii="Verdana" w:hAnsi="Verdana"/>
          <w:sz w:val="20"/>
          <w:szCs w:val="20"/>
        </w:rPr>
        <w:t xml:space="preserve"> </w:t>
      </w:r>
      <w:r w:rsidR="004D501B" w:rsidRPr="00486FEC">
        <w:rPr>
          <w:rFonts w:ascii="Verdana" w:hAnsi="Verdana"/>
          <w:sz w:val="20"/>
          <w:szCs w:val="20"/>
        </w:rPr>
        <w:t>las medidas de no repetición</w:t>
      </w:r>
      <w:r w:rsidR="001F474C" w:rsidRPr="00486FEC">
        <w:rPr>
          <w:rFonts w:ascii="Verdana" w:hAnsi="Verdana"/>
          <w:sz w:val="20"/>
          <w:szCs w:val="20"/>
        </w:rPr>
        <w:t xml:space="preserve"> que </w:t>
      </w:r>
      <w:r w:rsidRPr="00486FEC">
        <w:rPr>
          <w:rFonts w:ascii="Verdana" w:hAnsi="Verdana"/>
          <w:sz w:val="20"/>
          <w:szCs w:val="20"/>
        </w:rPr>
        <w:t>con</w:t>
      </w:r>
      <w:r w:rsidR="00C5380A" w:rsidRPr="00486FEC">
        <w:rPr>
          <w:rFonts w:ascii="Verdana" w:hAnsi="Verdana"/>
          <w:sz w:val="20"/>
          <w:szCs w:val="20"/>
        </w:rPr>
        <w:t xml:space="preserve"> harta f</w:t>
      </w:r>
      <w:r w:rsidRPr="00486FEC">
        <w:rPr>
          <w:rFonts w:ascii="Verdana" w:hAnsi="Verdana"/>
          <w:sz w:val="20"/>
          <w:szCs w:val="20"/>
        </w:rPr>
        <w:t>recuencia</w:t>
      </w:r>
      <w:r w:rsidR="008F2B20" w:rsidRPr="00486FEC">
        <w:rPr>
          <w:rFonts w:ascii="Verdana" w:hAnsi="Verdana"/>
          <w:sz w:val="20"/>
          <w:szCs w:val="20"/>
        </w:rPr>
        <w:t xml:space="preserve"> se</w:t>
      </w:r>
      <w:r w:rsidRPr="00486FEC">
        <w:rPr>
          <w:rFonts w:ascii="Verdana" w:hAnsi="Verdana"/>
          <w:sz w:val="20"/>
          <w:szCs w:val="20"/>
        </w:rPr>
        <w:t xml:space="preserve"> </w:t>
      </w:r>
      <w:r w:rsidR="001F474C" w:rsidRPr="00486FEC">
        <w:rPr>
          <w:rFonts w:ascii="Verdana" w:hAnsi="Verdana"/>
          <w:sz w:val="20"/>
          <w:szCs w:val="20"/>
        </w:rPr>
        <w:t>dispone</w:t>
      </w:r>
      <w:r w:rsidR="00C5380A" w:rsidRPr="00486FEC">
        <w:rPr>
          <w:rFonts w:ascii="Verdana" w:hAnsi="Verdana"/>
          <w:sz w:val="20"/>
          <w:szCs w:val="20"/>
        </w:rPr>
        <w:t>n</w:t>
      </w:r>
      <w:r w:rsidR="001F474C" w:rsidRPr="00486FEC">
        <w:rPr>
          <w:rFonts w:ascii="Verdana" w:hAnsi="Verdana"/>
          <w:sz w:val="20"/>
          <w:szCs w:val="20"/>
        </w:rPr>
        <w:t xml:space="preserve"> en las sentencias</w:t>
      </w:r>
      <w:r w:rsidR="007E482E" w:rsidRPr="00486FEC">
        <w:rPr>
          <w:rFonts w:ascii="Verdana" w:hAnsi="Verdana"/>
          <w:sz w:val="20"/>
          <w:szCs w:val="20"/>
        </w:rPr>
        <w:t xml:space="preserve"> de esta Corte</w:t>
      </w:r>
      <w:r w:rsidR="004757A1" w:rsidRPr="00486FEC">
        <w:rPr>
          <w:rFonts w:ascii="Verdana" w:hAnsi="Verdana"/>
          <w:sz w:val="20"/>
          <w:szCs w:val="20"/>
        </w:rPr>
        <w:t>.</w:t>
      </w:r>
    </w:p>
    <w:p w14:paraId="1413146C" w14:textId="68A26A4E"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3B199B60" w14:textId="63346D12" w:rsidR="00537516" w:rsidRPr="00486FEC" w:rsidRDefault="00537516"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En este sentido, en el </w:t>
      </w:r>
      <w:r w:rsidRPr="00486FEC">
        <w:rPr>
          <w:rFonts w:ascii="Verdana" w:hAnsi="Verdana"/>
          <w:i/>
          <w:sz w:val="20"/>
          <w:szCs w:val="20"/>
        </w:rPr>
        <w:t>caso Acosta y otros vs. Nicaragua</w:t>
      </w:r>
      <w:r w:rsidRPr="00486FEC">
        <w:rPr>
          <w:rFonts w:ascii="Verdana" w:hAnsi="Verdana"/>
          <w:sz w:val="20"/>
          <w:szCs w:val="20"/>
        </w:rPr>
        <w:t xml:space="preserve">, </w:t>
      </w:r>
      <w:r w:rsidR="008F2B20" w:rsidRPr="00486FEC">
        <w:rPr>
          <w:rFonts w:ascii="Verdana" w:hAnsi="Verdana"/>
          <w:sz w:val="20"/>
          <w:szCs w:val="20"/>
        </w:rPr>
        <w:t>la C</w:t>
      </w:r>
      <w:r w:rsidRPr="00486FEC">
        <w:rPr>
          <w:rFonts w:ascii="Verdana" w:hAnsi="Verdana"/>
          <w:sz w:val="20"/>
          <w:szCs w:val="20"/>
        </w:rPr>
        <w:t xml:space="preserve">orte dijo: </w:t>
      </w:r>
      <w:r w:rsidRPr="00486FEC">
        <w:rPr>
          <w:rFonts w:ascii="Verdana" w:hAnsi="Verdana"/>
          <w:i/>
          <w:sz w:val="20"/>
          <w:szCs w:val="20"/>
          <w:lang w:val="es-CR"/>
        </w:rPr>
        <w:t>El marco fáctico del proceso ante la Corte se encuentra constituido por los hechos contenidos en el Informe de Fondo sometidos a su consideración. En consecuencia, no es admisible que las partes aleguen nuevos hechos distintos de los contenidos en dicho informe, sin perjuicio de exponer aquellos que permitan explicar, aclarar o desestimar los que hayan sido mencionados en el mismo y hayan sido sometidos a consideración de la Corte. La excepción a este principio son los hechos que se califican como supervinientes o cuando se tenga conocimiento de esos hechos o acceso a las pruebas sobre los mismos con posterioridad, siempre que se encuentren ligados a los hechos del proceso</w:t>
      </w:r>
      <w:r w:rsidR="00E20800" w:rsidRPr="00486FEC">
        <w:rPr>
          <w:rFonts w:ascii="Verdana" w:hAnsi="Verdana"/>
          <w:i/>
          <w:sz w:val="20"/>
          <w:szCs w:val="20"/>
          <w:lang w:val="es-CR"/>
        </w:rPr>
        <w:t>.</w:t>
      </w:r>
      <w:r w:rsidRPr="00486FEC">
        <w:rPr>
          <w:rStyle w:val="Refdenotaalpie"/>
          <w:rFonts w:ascii="Verdana" w:hAnsi="Verdana"/>
          <w:sz w:val="20"/>
          <w:szCs w:val="20"/>
          <w:lang w:val="es-CR"/>
        </w:rPr>
        <w:footnoteReference w:id="3"/>
      </w:r>
      <w:r w:rsidR="00CA5BFE" w:rsidRPr="00486FEC">
        <w:rPr>
          <w:rFonts w:ascii="Verdana" w:hAnsi="Verdana"/>
          <w:i/>
          <w:sz w:val="20"/>
          <w:szCs w:val="20"/>
          <w:lang w:val="es-CR"/>
        </w:rPr>
        <w:t xml:space="preserve"> </w:t>
      </w:r>
      <w:r w:rsidR="00ED7770" w:rsidRPr="00486FEC">
        <w:rPr>
          <w:rFonts w:ascii="Verdana" w:hAnsi="Verdana"/>
          <w:sz w:val="20"/>
          <w:szCs w:val="20"/>
          <w:lang w:val="es-CR"/>
        </w:rPr>
        <w:t xml:space="preserve">En el mismo sentido, </w:t>
      </w:r>
      <w:r w:rsidR="00EC5E9F" w:rsidRPr="00486FEC">
        <w:rPr>
          <w:rFonts w:ascii="Verdana" w:hAnsi="Verdana"/>
          <w:sz w:val="20"/>
          <w:szCs w:val="20"/>
          <w:lang w:val="es-CR"/>
        </w:rPr>
        <w:t xml:space="preserve">se ha pronunciado en casos como </w:t>
      </w:r>
      <w:r w:rsidR="00EC5E9F" w:rsidRPr="00486FEC">
        <w:rPr>
          <w:rFonts w:ascii="Verdana" w:hAnsi="Verdana"/>
          <w:i/>
          <w:sz w:val="20"/>
          <w:szCs w:val="20"/>
          <w:lang w:val="es-CR"/>
        </w:rPr>
        <w:t>I.V. vs. Bolivia</w:t>
      </w:r>
      <w:r w:rsidR="00EC5E9F" w:rsidRPr="00486FEC">
        <w:rPr>
          <w:rStyle w:val="Refdenotaalpie"/>
          <w:rFonts w:ascii="Verdana" w:hAnsi="Verdana"/>
          <w:i/>
          <w:sz w:val="20"/>
          <w:szCs w:val="20"/>
          <w:lang w:val="es-CR"/>
        </w:rPr>
        <w:footnoteReference w:id="4"/>
      </w:r>
      <w:r w:rsidR="00EC5E9F" w:rsidRPr="00486FEC">
        <w:rPr>
          <w:rFonts w:ascii="Verdana" w:hAnsi="Verdana"/>
          <w:sz w:val="20"/>
          <w:szCs w:val="20"/>
          <w:lang w:val="es-CR"/>
        </w:rPr>
        <w:t xml:space="preserve">, </w:t>
      </w:r>
      <w:r w:rsidR="00EC5E9F" w:rsidRPr="00486FEC">
        <w:rPr>
          <w:rFonts w:ascii="Verdana" w:hAnsi="Verdana"/>
          <w:i/>
          <w:sz w:val="20"/>
          <w:szCs w:val="20"/>
          <w:lang w:val="es-CR"/>
        </w:rPr>
        <w:t>“Cinco Pensionistas” vs. Perú</w:t>
      </w:r>
      <w:r w:rsidR="00EC5E9F" w:rsidRPr="00486FEC">
        <w:rPr>
          <w:rStyle w:val="Refdenotaalpie"/>
          <w:rFonts w:ascii="Verdana" w:hAnsi="Verdana"/>
          <w:i/>
          <w:sz w:val="20"/>
          <w:szCs w:val="20"/>
          <w:lang w:val="es-CR"/>
        </w:rPr>
        <w:footnoteReference w:id="5"/>
      </w:r>
      <w:r w:rsidR="00EC5E9F" w:rsidRPr="00486FEC">
        <w:rPr>
          <w:rFonts w:ascii="Verdana" w:hAnsi="Verdana"/>
          <w:sz w:val="20"/>
          <w:szCs w:val="20"/>
          <w:lang w:val="es-CR"/>
        </w:rPr>
        <w:t>,</w:t>
      </w:r>
      <w:r w:rsidR="00233485" w:rsidRPr="00486FEC">
        <w:rPr>
          <w:rFonts w:ascii="Verdana" w:hAnsi="Verdana"/>
          <w:sz w:val="20"/>
          <w:szCs w:val="20"/>
          <w:lang w:val="es-CR"/>
        </w:rPr>
        <w:t xml:space="preserve"> </w:t>
      </w:r>
      <w:r w:rsidR="00233485" w:rsidRPr="00486FEC">
        <w:rPr>
          <w:rFonts w:ascii="Verdana" w:hAnsi="Verdana"/>
          <w:i/>
          <w:sz w:val="20"/>
          <w:szCs w:val="20"/>
          <w:lang w:val="es-CR"/>
        </w:rPr>
        <w:t>Herrera Espinoza y otros vs. Ecuador</w:t>
      </w:r>
      <w:r w:rsidR="00233485" w:rsidRPr="00486FEC">
        <w:rPr>
          <w:rStyle w:val="Refdenotaalpie"/>
          <w:rFonts w:ascii="Verdana" w:hAnsi="Verdana"/>
          <w:i/>
          <w:sz w:val="20"/>
          <w:szCs w:val="20"/>
          <w:lang w:val="es-CR"/>
        </w:rPr>
        <w:footnoteReference w:id="6"/>
      </w:r>
      <w:r w:rsidR="00233485" w:rsidRPr="00486FEC">
        <w:rPr>
          <w:rFonts w:ascii="Verdana" w:hAnsi="Verdana"/>
          <w:sz w:val="20"/>
          <w:szCs w:val="20"/>
          <w:lang w:val="es-CR"/>
        </w:rPr>
        <w:t>.</w:t>
      </w:r>
    </w:p>
    <w:p w14:paraId="6D493CC1" w14:textId="16B07958"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606A7E3A" w14:textId="53A53580" w:rsidR="00233485" w:rsidRPr="00486FEC" w:rsidRDefault="00233485" w:rsidP="00486FEC">
      <w:pPr>
        <w:pStyle w:val="Prrafodelista"/>
        <w:numPr>
          <w:ilvl w:val="0"/>
          <w:numId w:val="3"/>
        </w:numPr>
        <w:spacing w:after="0" w:line="240" w:lineRule="auto"/>
        <w:ind w:left="0" w:firstLine="0"/>
        <w:contextualSpacing w:val="0"/>
        <w:jc w:val="both"/>
        <w:rPr>
          <w:rFonts w:ascii="Verdana" w:hAnsi="Verdana"/>
          <w:color w:val="ED7D31" w:themeColor="accent2"/>
          <w:sz w:val="20"/>
          <w:szCs w:val="20"/>
        </w:rPr>
      </w:pPr>
      <w:r w:rsidRPr="00486FEC">
        <w:rPr>
          <w:rFonts w:ascii="Verdana" w:hAnsi="Verdana"/>
          <w:sz w:val="20"/>
          <w:szCs w:val="20"/>
        </w:rPr>
        <w:lastRenderedPageBreak/>
        <w:t xml:space="preserve">La jurisprudencia de </w:t>
      </w:r>
      <w:r w:rsidR="008F2B20" w:rsidRPr="00486FEC">
        <w:rPr>
          <w:rFonts w:ascii="Verdana" w:hAnsi="Verdana"/>
          <w:sz w:val="20"/>
          <w:szCs w:val="20"/>
        </w:rPr>
        <w:t>la</w:t>
      </w:r>
      <w:r w:rsidRPr="00486FEC">
        <w:rPr>
          <w:rFonts w:ascii="Verdana" w:hAnsi="Verdana"/>
          <w:sz w:val="20"/>
          <w:szCs w:val="20"/>
        </w:rPr>
        <w:t xml:space="preserve"> Corte en este punto ha sido pacífica en torno a aceptar la inclusión de hechos s</w:t>
      </w:r>
      <w:r w:rsidR="005E7C36" w:rsidRPr="00486FEC">
        <w:rPr>
          <w:rFonts w:ascii="Verdana" w:hAnsi="Verdana"/>
          <w:sz w:val="20"/>
          <w:szCs w:val="20"/>
        </w:rPr>
        <w:t xml:space="preserve">obrevinientes </w:t>
      </w:r>
      <w:r w:rsidRPr="00486FEC">
        <w:rPr>
          <w:rFonts w:ascii="Verdana" w:hAnsi="Verdana"/>
          <w:sz w:val="20"/>
          <w:szCs w:val="20"/>
        </w:rPr>
        <w:t xml:space="preserve">siempre y cuando guarden relación con los hechos del proceso. En este sentido en el </w:t>
      </w:r>
      <w:r w:rsidRPr="00486FEC">
        <w:rPr>
          <w:rFonts w:ascii="Verdana" w:hAnsi="Verdana"/>
          <w:i/>
          <w:sz w:val="20"/>
          <w:szCs w:val="20"/>
          <w:lang w:val="es-MX"/>
        </w:rPr>
        <w:t>Caso de la Masacre de Mapiripán Vs. Colombia</w:t>
      </w:r>
      <w:r w:rsidRPr="00486FEC">
        <w:rPr>
          <w:rFonts w:ascii="Verdana" w:hAnsi="Verdana"/>
          <w:sz w:val="20"/>
          <w:szCs w:val="20"/>
        </w:rPr>
        <w:t xml:space="preserve">, dijo: </w:t>
      </w:r>
      <w:r w:rsidRPr="00486FEC">
        <w:rPr>
          <w:rFonts w:ascii="Verdana" w:hAnsi="Verdana"/>
          <w:i/>
          <w:sz w:val="20"/>
          <w:szCs w:val="20"/>
        </w:rPr>
        <w:t>“Este Tribunal tiene la facultad de hacer su propia determinación de los hechos del caso y de decidir aspectos de derecho no alegados por las partes con base en el principio iura novit curia. Es decir, si bien la demanda constituye el marco fáctico del proceso, aquélla no representa una limitación a las facultades de la Corte de determinar los hechos del caso, con base en la prueba evacuada, en hechos supervinientes, en información complementaria y contextual que obre en el expediente, así como en hechos notorios o de conocimiento público, que el Tribunal estime pertinente incluir en el conjunto de dichos hechos.</w:t>
      </w:r>
      <w:r w:rsidRPr="00486FEC">
        <w:rPr>
          <w:rStyle w:val="Refdenotaalpie"/>
          <w:rFonts w:ascii="Verdana" w:hAnsi="Verdana"/>
          <w:i/>
          <w:sz w:val="20"/>
          <w:szCs w:val="20"/>
        </w:rPr>
        <w:footnoteReference w:id="7"/>
      </w:r>
    </w:p>
    <w:p w14:paraId="0402466C" w14:textId="5B18779E" w:rsidR="00486FEC" w:rsidRPr="00486FEC" w:rsidRDefault="00486FEC" w:rsidP="00486FEC">
      <w:pPr>
        <w:pStyle w:val="Prrafodelista"/>
        <w:spacing w:after="0" w:line="240" w:lineRule="auto"/>
        <w:ind w:left="0"/>
        <w:contextualSpacing w:val="0"/>
        <w:jc w:val="both"/>
        <w:rPr>
          <w:rFonts w:ascii="Verdana" w:hAnsi="Verdana"/>
          <w:color w:val="ED7D31" w:themeColor="accent2"/>
          <w:sz w:val="20"/>
          <w:szCs w:val="20"/>
        </w:rPr>
      </w:pPr>
    </w:p>
    <w:p w14:paraId="7079546E" w14:textId="2C294F7A" w:rsidR="004757A1" w:rsidRPr="00486FEC" w:rsidRDefault="00B55DD2" w:rsidP="00486FEC">
      <w:pPr>
        <w:pStyle w:val="Prrafodelista"/>
        <w:numPr>
          <w:ilvl w:val="0"/>
          <w:numId w:val="3"/>
        </w:numPr>
        <w:spacing w:after="0" w:line="240" w:lineRule="auto"/>
        <w:ind w:left="0" w:firstLine="0"/>
        <w:contextualSpacing w:val="0"/>
        <w:jc w:val="both"/>
        <w:rPr>
          <w:rFonts w:ascii="Verdana" w:hAnsi="Verdana"/>
          <w:i/>
          <w:sz w:val="20"/>
          <w:szCs w:val="20"/>
        </w:rPr>
      </w:pPr>
      <w:r w:rsidRPr="00486FEC">
        <w:rPr>
          <w:rFonts w:ascii="Verdana" w:hAnsi="Verdana"/>
          <w:sz w:val="20"/>
          <w:szCs w:val="20"/>
        </w:rPr>
        <w:t xml:space="preserve">La inclusión contextual de hechos posteriores </w:t>
      </w:r>
      <w:r w:rsidR="00C5380A" w:rsidRPr="00486FEC">
        <w:rPr>
          <w:rFonts w:ascii="Verdana" w:hAnsi="Verdana"/>
          <w:sz w:val="20"/>
          <w:szCs w:val="20"/>
        </w:rPr>
        <w:t xml:space="preserve">tampoco </w:t>
      </w:r>
      <w:r w:rsidR="004D501B" w:rsidRPr="00486FEC">
        <w:rPr>
          <w:rFonts w:ascii="Verdana" w:hAnsi="Verdana"/>
          <w:sz w:val="20"/>
          <w:szCs w:val="20"/>
        </w:rPr>
        <w:t xml:space="preserve">es una originalidad de </w:t>
      </w:r>
      <w:r w:rsidRPr="00486FEC">
        <w:rPr>
          <w:rFonts w:ascii="Verdana" w:hAnsi="Verdana"/>
          <w:sz w:val="20"/>
          <w:szCs w:val="20"/>
        </w:rPr>
        <w:t xml:space="preserve">la </w:t>
      </w:r>
      <w:r w:rsidR="001F474C" w:rsidRPr="00486FEC">
        <w:rPr>
          <w:rFonts w:ascii="Verdana" w:hAnsi="Verdana"/>
          <w:sz w:val="20"/>
          <w:szCs w:val="20"/>
        </w:rPr>
        <w:t>práctica y</w:t>
      </w:r>
      <w:r w:rsidR="004D501B" w:rsidRPr="00486FEC">
        <w:rPr>
          <w:rFonts w:ascii="Verdana" w:hAnsi="Verdana"/>
          <w:sz w:val="20"/>
          <w:szCs w:val="20"/>
        </w:rPr>
        <w:t xml:space="preserve"> jurisprudencia</w:t>
      </w:r>
      <w:r w:rsidRPr="00486FEC">
        <w:rPr>
          <w:rFonts w:ascii="Verdana" w:hAnsi="Verdana"/>
          <w:sz w:val="20"/>
          <w:szCs w:val="20"/>
        </w:rPr>
        <w:t xml:space="preserve"> de </w:t>
      </w:r>
      <w:r w:rsidR="00C62D09" w:rsidRPr="00486FEC">
        <w:rPr>
          <w:rFonts w:ascii="Verdana" w:hAnsi="Verdana"/>
          <w:sz w:val="20"/>
          <w:szCs w:val="20"/>
        </w:rPr>
        <w:t>esta</w:t>
      </w:r>
      <w:r w:rsidRPr="00486FEC">
        <w:rPr>
          <w:rFonts w:ascii="Verdana" w:hAnsi="Verdana"/>
          <w:sz w:val="20"/>
          <w:szCs w:val="20"/>
        </w:rPr>
        <w:t xml:space="preserve"> Corte</w:t>
      </w:r>
      <w:r w:rsidR="004D501B" w:rsidRPr="00486FEC">
        <w:rPr>
          <w:rFonts w:ascii="Verdana" w:hAnsi="Verdana"/>
          <w:sz w:val="20"/>
          <w:szCs w:val="20"/>
        </w:rPr>
        <w:t xml:space="preserve">, sino que es lo corriente en todo proceso sancionatorio, donde se los </w:t>
      </w:r>
      <w:r w:rsidR="007E482E" w:rsidRPr="00486FEC">
        <w:rPr>
          <w:rFonts w:ascii="Verdana" w:hAnsi="Verdana"/>
          <w:sz w:val="20"/>
          <w:szCs w:val="20"/>
        </w:rPr>
        <w:t xml:space="preserve">suele denominar </w:t>
      </w:r>
      <w:r w:rsidR="004D501B" w:rsidRPr="00486FEC">
        <w:rPr>
          <w:rFonts w:ascii="Verdana" w:hAnsi="Verdana"/>
          <w:i/>
          <w:sz w:val="20"/>
          <w:szCs w:val="20"/>
        </w:rPr>
        <w:t>hechos sobrevinientes</w:t>
      </w:r>
      <w:r w:rsidR="007E482E" w:rsidRPr="00486FEC">
        <w:rPr>
          <w:rFonts w:ascii="Verdana" w:hAnsi="Verdana"/>
          <w:i/>
          <w:sz w:val="20"/>
          <w:szCs w:val="20"/>
        </w:rPr>
        <w:t xml:space="preserve">. </w:t>
      </w:r>
      <w:r w:rsidR="007E482E" w:rsidRPr="00486FEC">
        <w:rPr>
          <w:rFonts w:ascii="Verdana" w:hAnsi="Verdana"/>
          <w:sz w:val="20"/>
          <w:szCs w:val="20"/>
        </w:rPr>
        <w:t>H</w:t>
      </w:r>
      <w:r w:rsidRPr="00486FEC">
        <w:rPr>
          <w:rFonts w:ascii="Verdana" w:hAnsi="Verdana"/>
          <w:sz w:val="20"/>
          <w:szCs w:val="20"/>
        </w:rPr>
        <w:t xml:space="preserve">asta en el </w:t>
      </w:r>
      <w:r w:rsidR="004D501B" w:rsidRPr="00486FEC">
        <w:rPr>
          <w:rFonts w:ascii="Verdana" w:hAnsi="Verdana"/>
          <w:sz w:val="20"/>
          <w:szCs w:val="20"/>
        </w:rPr>
        <w:t xml:space="preserve">más rígido de </w:t>
      </w:r>
      <w:r w:rsidRPr="00486FEC">
        <w:rPr>
          <w:rFonts w:ascii="Verdana" w:hAnsi="Verdana"/>
          <w:sz w:val="20"/>
          <w:szCs w:val="20"/>
        </w:rPr>
        <w:t xml:space="preserve">estos procesos </w:t>
      </w:r>
      <w:r w:rsidR="00ED7770" w:rsidRPr="00486FEC">
        <w:rPr>
          <w:rFonts w:ascii="Verdana" w:hAnsi="Verdana"/>
          <w:sz w:val="20"/>
          <w:szCs w:val="20"/>
        </w:rPr>
        <w:t>–el propiamente penal-</w:t>
      </w:r>
      <w:r w:rsidR="004D501B" w:rsidRPr="00486FEC">
        <w:rPr>
          <w:rFonts w:ascii="Verdana" w:hAnsi="Verdana"/>
          <w:sz w:val="20"/>
          <w:szCs w:val="20"/>
        </w:rPr>
        <w:t xml:space="preserve"> los admite</w:t>
      </w:r>
      <w:r w:rsidRPr="00486FEC">
        <w:rPr>
          <w:rFonts w:ascii="Verdana" w:hAnsi="Verdana"/>
          <w:sz w:val="20"/>
          <w:szCs w:val="20"/>
        </w:rPr>
        <w:t xml:space="preserve"> incluso </w:t>
      </w:r>
      <w:r w:rsidR="008B744D" w:rsidRPr="00486FEC">
        <w:rPr>
          <w:rFonts w:ascii="Verdana" w:hAnsi="Verdana"/>
          <w:sz w:val="20"/>
          <w:szCs w:val="20"/>
        </w:rPr>
        <w:t xml:space="preserve">después </w:t>
      </w:r>
      <w:r w:rsidR="004D501B" w:rsidRPr="00486FEC">
        <w:rPr>
          <w:rFonts w:ascii="Verdana" w:hAnsi="Verdana"/>
          <w:sz w:val="20"/>
          <w:szCs w:val="20"/>
        </w:rPr>
        <w:t xml:space="preserve">de la sentencia, si bien por </w:t>
      </w:r>
      <w:r w:rsidR="007E482E" w:rsidRPr="00486FEC">
        <w:rPr>
          <w:rFonts w:ascii="Verdana" w:hAnsi="Verdana"/>
          <w:sz w:val="20"/>
          <w:szCs w:val="20"/>
        </w:rPr>
        <w:t xml:space="preserve">la </w:t>
      </w:r>
      <w:r w:rsidR="004D501B" w:rsidRPr="00486FEC">
        <w:rPr>
          <w:rFonts w:ascii="Verdana" w:hAnsi="Verdana"/>
          <w:sz w:val="20"/>
          <w:szCs w:val="20"/>
        </w:rPr>
        <w:t>vía excepcional</w:t>
      </w:r>
      <w:r w:rsidR="007E482E" w:rsidRPr="00486FEC">
        <w:rPr>
          <w:rFonts w:ascii="Verdana" w:hAnsi="Verdana"/>
          <w:sz w:val="20"/>
          <w:szCs w:val="20"/>
        </w:rPr>
        <w:t xml:space="preserve"> de revisión extraordinaria</w:t>
      </w:r>
      <w:r w:rsidR="004D501B" w:rsidRPr="00486FEC">
        <w:rPr>
          <w:rFonts w:ascii="Verdana" w:hAnsi="Verdana"/>
          <w:sz w:val="20"/>
          <w:szCs w:val="20"/>
        </w:rPr>
        <w:t>, puesto que en esa materia hace</w:t>
      </w:r>
      <w:r w:rsidR="00E20800" w:rsidRPr="00486FEC">
        <w:rPr>
          <w:rFonts w:ascii="Verdana" w:hAnsi="Verdana"/>
          <w:sz w:val="20"/>
          <w:szCs w:val="20"/>
        </w:rPr>
        <w:t>n</w:t>
      </w:r>
      <w:r w:rsidR="004D501B" w:rsidRPr="00486FEC">
        <w:rPr>
          <w:rFonts w:ascii="Verdana" w:hAnsi="Verdana"/>
          <w:sz w:val="20"/>
          <w:szCs w:val="20"/>
        </w:rPr>
        <w:t xml:space="preserve"> ceder nada menos que </w:t>
      </w:r>
      <w:r w:rsidR="007E482E" w:rsidRPr="00486FEC">
        <w:rPr>
          <w:rFonts w:ascii="Verdana" w:hAnsi="Verdana"/>
          <w:sz w:val="20"/>
          <w:szCs w:val="20"/>
        </w:rPr>
        <w:t xml:space="preserve">el principio de </w:t>
      </w:r>
      <w:r w:rsidR="004D501B" w:rsidRPr="00486FEC">
        <w:rPr>
          <w:rFonts w:ascii="Verdana" w:hAnsi="Verdana"/>
          <w:sz w:val="20"/>
          <w:szCs w:val="20"/>
        </w:rPr>
        <w:t xml:space="preserve">intangibilidad de la </w:t>
      </w:r>
      <w:r w:rsidR="004D501B" w:rsidRPr="00486FEC">
        <w:rPr>
          <w:rFonts w:ascii="Verdana" w:hAnsi="Verdana"/>
          <w:i/>
          <w:sz w:val="20"/>
          <w:szCs w:val="20"/>
        </w:rPr>
        <w:t xml:space="preserve">cosa juzgada. </w:t>
      </w:r>
      <w:r w:rsidR="00C5380A" w:rsidRPr="00486FEC">
        <w:rPr>
          <w:rFonts w:ascii="Verdana" w:hAnsi="Verdana"/>
          <w:sz w:val="20"/>
          <w:szCs w:val="20"/>
        </w:rPr>
        <w:t>Esta Corte ha</w:t>
      </w:r>
      <w:r w:rsidR="00ED7770" w:rsidRPr="00486FEC">
        <w:rPr>
          <w:rFonts w:ascii="Verdana" w:hAnsi="Verdana"/>
          <w:sz w:val="20"/>
          <w:szCs w:val="20"/>
        </w:rPr>
        <w:t xml:space="preserve"> dispuesto la incorporación de hechos sobrevinientes a un proceso penal al ordenar a un Estado la revisión de la cosa juzgada írrita en razón de ellos.</w:t>
      </w:r>
      <w:r w:rsidR="00E70D54" w:rsidRPr="00486FEC">
        <w:rPr>
          <w:rStyle w:val="Refdenotaalpie"/>
          <w:rFonts w:ascii="Verdana" w:hAnsi="Verdana"/>
          <w:sz w:val="20"/>
          <w:szCs w:val="20"/>
        </w:rPr>
        <w:footnoteReference w:id="8"/>
      </w:r>
    </w:p>
    <w:p w14:paraId="47DAD78F" w14:textId="4F1B14E1" w:rsidR="00486FEC" w:rsidRPr="00486FEC" w:rsidRDefault="00486FEC" w:rsidP="00486FEC">
      <w:pPr>
        <w:pStyle w:val="Prrafodelista"/>
        <w:spacing w:after="0" w:line="240" w:lineRule="auto"/>
        <w:ind w:left="0"/>
        <w:contextualSpacing w:val="0"/>
        <w:jc w:val="both"/>
        <w:rPr>
          <w:rFonts w:ascii="Verdana" w:hAnsi="Verdana"/>
          <w:i/>
          <w:sz w:val="20"/>
          <w:szCs w:val="20"/>
        </w:rPr>
      </w:pPr>
    </w:p>
    <w:p w14:paraId="79A8E63C" w14:textId="11ACF06F" w:rsidR="004757A1" w:rsidRDefault="004D501B"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Menos aún podría aceptarse la tesis de </w:t>
      </w:r>
      <w:r w:rsidR="00E1285B" w:rsidRPr="00486FEC">
        <w:rPr>
          <w:rFonts w:ascii="Verdana" w:hAnsi="Verdana"/>
          <w:sz w:val="20"/>
          <w:szCs w:val="20"/>
        </w:rPr>
        <w:t xml:space="preserve">que </w:t>
      </w:r>
      <w:r w:rsidR="00B55DD2" w:rsidRPr="00486FEC">
        <w:rPr>
          <w:rFonts w:ascii="Verdana" w:hAnsi="Verdana"/>
          <w:sz w:val="20"/>
          <w:szCs w:val="20"/>
        </w:rPr>
        <w:t>a</w:t>
      </w:r>
      <w:r w:rsidR="00ED7770" w:rsidRPr="00486FEC">
        <w:rPr>
          <w:rFonts w:ascii="Verdana" w:hAnsi="Verdana"/>
          <w:sz w:val="20"/>
          <w:szCs w:val="20"/>
        </w:rPr>
        <w:t>l Tribunal</w:t>
      </w:r>
      <w:r w:rsidR="00B55DD2" w:rsidRPr="00486FEC">
        <w:rPr>
          <w:rFonts w:ascii="Verdana" w:hAnsi="Verdana"/>
          <w:sz w:val="20"/>
          <w:szCs w:val="20"/>
        </w:rPr>
        <w:t xml:space="preserve"> sólo le se</w:t>
      </w:r>
      <w:r w:rsidR="00E1285B" w:rsidRPr="00486FEC">
        <w:rPr>
          <w:rFonts w:ascii="Verdana" w:hAnsi="Verdana"/>
          <w:sz w:val="20"/>
          <w:szCs w:val="20"/>
        </w:rPr>
        <w:t>ría</w:t>
      </w:r>
      <w:r w:rsidR="00B55DD2" w:rsidRPr="00486FEC">
        <w:rPr>
          <w:rFonts w:ascii="Verdana" w:hAnsi="Verdana"/>
          <w:sz w:val="20"/>
          <w:szCs w:val="20"/>
        </w:rPr>
        <w:t xml:space="preserve"> permitido incorporar al </w:t>
      </w:r>
      <w:r w:rsidRPr="00486FEC">
        <w:rPr>
          <w:rFonts w:ascii="Verdana" w:hAnsi="Verdana"/>
          <w:sz w:val="20"/>
          <w:szCs w:val="20"/>
        </w:rPr>
        <w:t xml:space="preserve">contexto </w:t>
      </w:r>
      <w:r w:rsidR="00ED7770" w:rsidRPr="00486FEC">
        <w:rPr>
          <w:rFonts w:ascii="Verdana" w:hAnsi="Verdana"/>
          <w:sz w:val="20"/>
          <w:szCs w:val="20"/>
        </w:rPr>
        <w:t>de cada caso</w:t>
      </w:r>
      <w:r w:rsidR="00E1285B" w:rsidRPr="00486FEC">
        <w:rPr>
          <w:rFonts w:ascii="Verdana" w:hAnsi="Verdana"/>
          <w:sz w:val="20"/>
          <w:szCs w:val="20"/>
        </w:rPr>
        <w:t xml:space="preserve"> </w:t>
      </w:r>
      <w:r w:rsidRPr="00486FEC">
        <w:rPr>
          <w:rFonts w:ascii="Verdana" w:hAnsi="Verdana"/>
          <w:sz w:val="20"/>
          <w:szCs w:val="20"/>
        </w:rPr>
        <w:t>los datos que aport</w:t>
      </w:r>
      <w:r w:rsidR="00B55DD2" w:rsidRPr="00486FEC">
        <w:rPr>
          <w:rFonts w:ascii="Verdana" w:hAnsi="Verdana"/>
          <w:sz w:val="20"/>
          <w:szCs w:val="20"/>
        </w:rPr>
        <w:t>e</w:t>
      </w:r>
      <w:r w:rsidRPr="00486FEC">
        <w:rPr>
          <w:rFonts w:ascii="Verdana" w:hAnsi="Verdana"/>
          <w:sz w:val="20"/>
          <w:szCs w:val="20"/>
        </w:rPr>
        <w:t xml:space="preserve"> la Comisión Interamericana, dado que </w:t>
      </w:r>
      <w:r w:rsidR="00B55DD2" w:rsidRPr="00486FEC">
        <w:rPr>
          <w:rFonts w:ascii="Verdana" w:hAnsi="Verdana"/>
          <w:sz w:val="20"/>
          <w:szCs w:val="20"/>
        </w:rPr>
        <w:t xml:space="preserve">ésta desempeña </w:t>
      </w:r>
      <w:r w:rsidR="00ED7770" w:rsidRPr="00486FEC">
        <w:rPr>
          <w:rFonts w:ascii="Verdana" w:hAnsi="Verdana"/>
          <w:sz w:val="20"/>
          <w:szCs w:val="20"/>
        </w:rPr>
        <w:t>el rol acusatorio ante sus estrados</w:t>
      </w:r>
      <w:r w:rsidR="004757A1" w:rsidRPr="00486FEC">
        <w:rPr>
          <w:rFonts w:ascii="Verdana" w:hAnsi="Verdana"/>
          <w:sz w:val="20"/>
          <w:szCs w:val="20"/>
        </w:rPr>
        <w:t>.</w:t>
      </w:r>
    </w:p>
    <w:p w14:paraId="32908534" w14:textId="23F5B363"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5F9589C0" w14:textId="00DCCDAE" w:rsidR="00D55B6C" w:rsidRDefault="00B55DD2"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Si bien </w:t>
      </w:r>
      <w:r w:rsidR="004D501B" w:rsidRPr="00486FEC">
        <w:rPr>
          <w:rFonts w:ascii="Verdana" w:hAnsi="Verdana"/>
          <w:sz w:val="20"/>
          <w:szCs w:val="20"/>
        </w:rPr>
        <w:t xml:space="preserve">la acusación </w:t>
      </w:r>
      <w:r w:rsidR="00E1285B" w:rsidRPr="00486FEC">
        <w:rPr>
          <w:rFonts w:ascii="Verdana" w:hAnsi="Verdana"/>
          <w:sz w:val="20"/>
          <w:szCs w:val="20"/>
        </w:rPr>
        <w:t xml:space="preserve">define y </w:t>
      </w:r>
      <w:r w:rsidR="004D501B" w:rsidRPr="00486FEC">
        <w:rPr>
          <w:rFonts w:ascii="Verdana" w:hAnsi="Verdana"/>
          <w:sz w:val="20"/>
          <w:szCs w:val="20"/>
        </w:rPr>
        <w:t xml:space="preserve">cierra </w:t>
      </w:r>
      <w:r w:rsidR="00E1285B" w:rsidRPr="00486FEC">
        <w:rPr>
          <w:rFonts w:ascii="Verdana" w:hAnsi="Verdana"/>
          <w:sz w:val="20"/>
          <w:szCs w:val="20"/>
        </w:rPr>
        <w:t xml:space="preserve">la materia que se debe </w:t>
      </w:r>
      <w:r w:rsidR="004D501B" w:rsidRPr="00486FEC">
        <w:rPr>
          <w:rFonts w:ascii="Verdana" w:hAnsi="Verdana"/>
          <w:sz w:val="20"/>
          <w:szCs w:val="20"/>
        </w:rPr>
        <w:t xml:space="preserve">juzgar, </w:t>
      </w:r>
      <w:r w:rsidRPr="00486FEC">
        <w:rPr>
          <w:rFonts w:ascii="Verdana" w:hAnsi="Verdana"/>
          <w:sz w:val="20"/>
          <w:szCs w:val="20"/>
        </w:rPr>
        <w:t>no por eso limita la valoración de las circunstancias en que está inmers</w:t>
      </w:r>
      <w:r w:rsidR="00E1285B" w:rsidRPr="00486FEC">
        <w:rPr>
          <w:rFonts w:ascii="Verdana" w:hAnsi="Verdana"/>
          <w:sz w:val="20"/>
          <w:szCs w:val="20"/>
        </w:rPr>
        <w:t>a</w:t>
      </w:r>
      <w:r w:rsidRPr="00486FEC">
        <w:rPr>
          <w:rFonts w:ascii="Verdana" w:hAnsi="Verdana"/>
          <w:sz w:val="20"/>
          <w:szCs w:val="20"/>
        </w:rPr>
        <w:t>,</w:t>
      </w:r>
      <w:r w:rsidR="00ED7770" w:rsidRPr="00486FEC">
        <w:rPr>
          <w:rFonts w:ascii="Verdana" w:hAnsi="Verdana"/>
          <w:sz w:val="20"/>
          <w:szCs w:val="20"/>
        </w:rPr>
        <w:t xml:space="preserve"> fundamentalmente en razón de </w:t>
      </w:r>
      <w:r w:rsidRPr="00486FEC">
        <w:rPr>
          <w:rFonts w:ascii="Verdana" w:hAnsi="Verdana"/>
          <w:sz w:val="20"/>
          <w:szCs w:val="20"/>
        </w:rPr>
        <w:t xml:space="preserve">que éstas </w:t>
      </w:r>
      <w:r w:rsidR="004D501B" w:rsidRPr="00486FEC">
        <w:rPr>
          <w:rFonts w:ascii="Verdana" w:hAnsi="Verdana"/>
          <w:sz w:val="20"/>
          <w:szCs w:val="20"/>
        </w:rPr>
        <w:t xml:space="preserve">bien </w:t>
      </w:r>
      <w:r w:rsidR="00D55B6C" w:rsidRPr="00486FEC">
        <w:rPr>
          <w:rFonts w:ascii="Verdana" w:hAnsi="Verdana"/>
          <w:sz w:val="20"/>
          <w:szCs w:val="20"/>
        </w:rPr>
        <w:t>pueden beneficiar a la defensa.</w:t>
      </w:r>
    </w:p>
    <w:p w14:paraId="31CB3ABE" w14:textId="6DB747DF"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06D271A1" w14:textId="2DE283D7" w:rsidR="00D55B6C" w:rsidRDefault="00ED7770"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En todo procedimiento sancionatorio l</w:t>
      </w:r>
      <w:r w:rsidR="00B55DD2" w:rsidRPr="00486FEC">
        <w:rPr>
          <w:rFonts w:ascii="Verdana" w:hAnsi="Verdana"/>
          <w:sz w:val="20"/>
          <w:szCs w:val="20"/>
        </w:rPr>
        <w:t xml:space="preserve">a regla </w:t>
      </w:r>
      <w:r w:rsidR="008560D8" w:rsidRPr="00486FEC">
        <w:rPr>
          <w:rFonts w:ascii="Verdana" w:hAnsi="Verdana"/>
          <w:sz w:val="20"/>
          <w:szCs w:val="20"/>
        </w:rPr>
        <w:t xml:space="preserve">según la cual la acusación concreta y delimita la imputación, constituye una garantía para el </w:t>
      </w:r>
      <w:r w:rsidR="000F7B94" w:rsidRPr="00486FEC">
        <w:rPr>
          <w:rFonts w:ascii="Verdana" w:hAnsi="Verdana"/>
          <w:sz w:val="20"/>
          <w:szCs w:val="20"/>
        </w:rPr>
        <w:t>acusado</w:t>
      </w:r>
      <w:r w:rsidR="008560D8" w:rsidRPr="00486FEC">
        <w:rPr>
          <w:rFonts w:ascii="Verdana" w:hAnsi="Verdana"/>
          <w:sz w:val="20"/>
          <w:szCs w:val="20"/>
        </w:rPr>
        <w:t>,</w:t>
      </w:r>
      <w:r w:rsidR="008B744D" w:rsidRPr="00486FEC">
        <w:rPr>
          <w:rFonts w:ascii="Verdana" w:hAnsi="Verdana"/>
          <w:sz w:val="20"/>
          <w:szCs w:val="20"/>
        </w:rPr>
        <w:t xml:space="preserve"> pues le precisa los términos en que articular su defensa, pero en modo alguno </w:t>
      </w:r>
      <w:r w:rsidR="008560D8" w:rsidRPr="00486FEC">
        <w:rPr>
          <w:rFonts w:ascii="Verdana" w:hAnsi="Verdana"/>
          <w:sz w:val="20"/>
          <w:szCs w:val="20"/>
        </w:rPr>
        <w:t xml:space="preserve">puede </w:t>
      </w:r>
      <w:r w:rsidR="008B744D" w:rsidRPr="00486FEC">
        <w:rPr>
          <w:rFonts w:ascii="Verdana" w:hAnsi="Verdana"/>
          <w:sz w:val="20"/>
          <w:szCs w:val="20"/>
        </w:rPr>
        <w:t xml:space="preserve">esta garantía </w:t>
      </w:r>
      <w:r w:rsidR="00F16FC7" w:rsidRPr="00486FEC">
        <w:rPr>
          <w:rFonts w:ascii="Verdana" w:hAnsi="Verdana"/>
          <w:sz w:val="20"/>
          <w:szCs w:val="20"/>
        </w:rPr>
        <w:t>revertirse</w:t>
      </w:r>
      <w:r w:rsidR="00C5380A" w:rsidRPr="00486FEC">
        <w:rPr>
          <w:rFonts w:ascii="Verdana" w:hAnsi="Verdana"/>
          <w:sz w:val="20"/>
          <w:szCs w:val="20"/>
        </w:rPr>
        <w:t xml:space="preserve"> perversa</w:t>
      </w:r>
      <w:r w:rsidR="00F16FC7" w:rsidRPr="00486FEC">
        <w:rPr>
          <w:rFonts w:ascii="Verdana" w:hAnsi="Verdana"/>
          <w:sz w:val="20"/>
          <w:szCs w:val="20"/>
        </w:rPr>
        <w:t>mente</w:t>
      </w:r>
      <w:r w:rsidR="00C5380A" w:rsidRPr="00486FEC">
        <w:rPr>
          <w:rFonts w:ascii="Verdana" w:hAnsi="Verdana"/>
          <w:sz w:val="20"/>
          <w:szCs w:val="20"/>
        </w:rPr>
        <w:t xml:space="preserve"> </w:t>
      </w:r>
      <w:r w:rsidR="00F16FC7" w:rsidRPr="00486FEC">
        <w:rPr>
          <w:rFonts w:ascii="Verdana" w:hAnsi="Verdana"/>
          <w:sz w:val="20"/>
          <w:szCs w:val="20"/>
        </w:rPr>
        <w:t>en perjuicio de su defensa, privándolo</w:t>
      </w:r>
      <w:r w:rsidR="008560D8" w:rsidRPr="00486FEC">
        <w:rPr>
          <w:rFonts w:ascii="Verdana" w:hAnsi="Verdana"/>
          <w:sz w:val="20"/>
          <w:szCs w:val="20"/>
        </w:rPr>
        <w:t xml:space="preserve"> de alegar y probar ante el Tribunal las circunstancias anteriores y posterior</w:t>
      </w:r>
      <w:r w:rsidR="00D55B6C" w:rsidRPr="00486FEC">
        <w:rPr>
          <w:rFonts w:ascii="Verdana" w:hAnsi="Verdana"/>
          <w:sz w:val="20"/>
          <w:szCs w:val="20"/>
        </w:rPr>
        <w:t>es al hecho, o sea, su devenir.</w:t>
      </w:r>
    </w:p>
    <w:p w14:paraId="65E88880" w14:textId="7A7ACBFD"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525DF006" w14:textId="77777777" w:rsidR="00D55B6C" w:rsidRPr="00486FEC" w:rsidRDefault="008560D8"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No sería lógica ni jurídicamente admisible que, en cualquier </w:t>
      </w:r>
      <w:r w:rsidR="00DD5C56" w:rsidRPr="00486FEC">
        <w:rPr>
          <w:rFonts w:ascii="Verdana" w:hAnsi="Verdana"/>
          <w:sz w:val="20"/>
          <w:szCs w:val="20"/>
        </w:rPr>
        <w:t xml:space="preserve">materia </w:t>
      </w:r>
      <w:r w:rsidRPr="00486FEC">
        <w:rPr>
          <w:rFonts w:ascii="Verdana" w:hAnsi="Verdana"/>
          <w:sz w:val="20"/>
          <w:szCs w:val="20"/>
        </w:rPr>
        <w:t>a ser juzgad</w:t>
      </w:r>
      <w:r w:rsidR="00DD5C56" w:rsidRPr="00486FEC">
        <w:rPr>
          <w:rFonts w:ascii="Verdana" w:hAnsi="Verdana"/>
          <w:sz w:val="20"/>
          <w:szCs w:val="20"/>
        </w:rPr>
        <w:t>a</w:t>
      </w:r>
      <w:r w:rsidRPr="00486FEC">
        <w:rPr>
          <w:rFonts w:ascii="Verdana" w:hAnsi="Verdana"/>
          <w:sz w:val="20"/>
          <w:szCs w:val="20"/>
        </w:rPr>
        <w:t>, se pretenda que la concreción hecha por la acusación como garantía de que se le juzgará por ese hecho y no por otro</w:t>
      </w:r>
      <w:r w:rsidR="00F16FC7" w:rsidRPr="00486FEC">
        <w:rPr>
          <w:rFonts w:ascii="Verdana" w:hAnsi="Verdana"/>
          <w:sz w:val="20"/>
          <w:szCs w:val="20"/>
        </w:rPr>
        <w:t xml:space="preserve"> diferente</w:t>
      </w:r>
      <w:r w:rsidRPr="00486FEC">
        <w:rPr>
          <w:rFonts w:ascii="Verdana" w:hAnsi="Verdana"/>
          <w:sz w:val="20"/>
          <w:szCs w:val="20"/>
        </w:rPr>
        <w:t>, prive al ac</w:t>
      </w:r>
      <w:r w:rsidR="00F16FC7" w:rsidRPr="00486FEC">
        <w:rPr>
          <w:rFonts w:ascii="Verdana" w:hAnsi="Verdana"/>
          <w:sz w:val="20"/>
          <w:szCs w:val="20"/>
        </w:rPr>
        <w:t>usado del derecho de</w:t>
      </w:r>
      <w:r w:rsidRPr="00486FEC">
        <w:rPr>
          <w:rFonts w:ascii="Verdana" w:hAnsi="Verdana"/>
          <w:sz w:val="20"/>
          <w:szCs w:val="20"/>
        </w:rPr>
        <w:t xml:space="preserve"> alegar </w:t>
      </w:r>
      <w:r w:rsidR="00F16FC7" w:rsidRPr="00486FEC">
        <w:rPr>
          <w:rFonts w:ascii="Verdana" w:hAnsi="Verdana"/>
          <w:sz w:val="20"/>
          <w:szCs w:val="20"/>
        </w:rPr>
        <w:t>circunstancias</w:t>
      </w:r>
      <w:r w:rsidR="00DD5C56" w:rsidRPr="00486FEC">
        <w:rPr>
          <w:rFonts w:ascii="Verdana" w:hAnsi="Verdana"/>
          <w:sz w:val="20"/>
          <w:szCs w:val="20"/>
        </w:rPr>
        <w:t xml:space="preserve"> </w:t>
      </w:r>
      <w:r w:rsidRPr="00486FEC">
        <w:rPr>
          <w:rFonts w:ascii="Verdana" w:hAnsi="Verdana"/>
          <w:sz w:val="20"/>
          <w:szCs w:val="20"/>
        </w:rPr>
        <w:t xml:space="preserve">anteriores y posteriores que prueben </w:t>
      </w:r>
      <w:r w:rsidR="00CD4F1C" w:rsidRPr="00486FEC">
        <w:rPr>
          <w:rFonts w:ascii="Verdana" w:hAnsi="Verdana"/>
          <w:sz w:val="20"/>
          <w:szCs w:val="20"/>
        </w:rPr>
        <w:t>la inexistencia del hecho</w:t>
      </w:r>
      <w:r w:rsidR="00304C35" w:rsidRPr="00486FEC">
        <w:rPr>
          <w:rFonts w:ascii="Verdana" w:hAnsi="Verdana"/>
          <w:sz w:val="20"/>
          <w:szCs w:val="20"/>
        </w:rPr>
        <w:t xml:space="preserve">, </w:t>
      </w:r>
      <w:r w:rsidR="00CA5651" w:rsidRPr="00486FEC">
        <w:rPr>
          <w:rFonts w:ascii="Verdana" w:hAnsi="Verdana"/>
          <w:sz w:val="20"/>
          <w:szCs w:val="20"/>
        </w:rPr>
        <w:t>su ajenidad al mismo</w:t>
      </w:r>
      <w:r w:rsidR="00CD4F1C" w:rsidRPr="00486FEC">
        <w:rPr>
          <w:rFonts w:ascii="Verdana" w:hAnsi="Verdana"/>
          <w:sz w:val="20"/>
          <w:szCs w:val="20"/>
        </w:rPr>
        <w:t xml:space="preserve"> o incluso alg</w:t>
      </w:r>
      <w:r w:rsidRPr="00486FEC">
        <w:rPr>
          <w:rFonts w:ascii="Verdana" w:hAnsi="Verdana"/>
          <w:sz w:val="20"/>
          <w:szCs w:val="20"/>
        </w:rPr>
        <w:t xml:space="preserve">una causa </w:t>
      </w:r>
      <w:r w:rsidR="00A94E03" w:rsidRPr="00486FEC">
        <w:rPr>
          <w:rFonts w:ascii="Verdana" w:hAnsi="Verdana"/>
          <w:sz w:val="20"/>
          <w:szCs w:val="20"/>
        </w:rPr>
        <w:t>de</w:t>
      </w:r>
      <w:r w:rsidRPr="00486FEC">
        <w:rPr>
          <w:rFonts w:ascii="Verdana" w:hAnsi="Verdana"/>
          <w:sz w:val="20"/>
          <w:szCs w:val="20"/>
        </w:rPr>
        <w:t xml:space="preserve"> justificación o </w:t>
      </w:r>
      <w:r w:rsidR="008B744D" w:rsidRPr="00486FEC">
        <w:rPr>
          <w:rFonts w:ascii="Verdana" w:hAnsi="Verdana"/>
          <w:sz w:val="20"/>
          <w:szCs w:val="20"/>
        </w:rPr>
        <w:t xml:space="preserve">de </w:t>
      </w:r>
      <w:r w:rsidRPr="00486FEC">
        <w:rPr>
          <w:rFonts w:ascii="Verdana" w:hAnsi="Verdana"/>
          <w:sz w:val="20"/>
          <w:szCs w:val="20"/>
        </w:rPr>
        <w:t>exculpación</w:t>
      </w:r>
      <w:r w:rsidR="008B744D" w:rsidRPr="00486FEC">
        <w:rPr>
          <w:rFonts w:ascii="Verdana" w:hAnsi="Verdana"/>
          <w:sz w:val="20"/>
          <w:szCs w:val="20"/>
        </w:rPr>
        <w:t xml:space="preserve"> (provocació</w:t>
      </w:r>
      <w:r w:rsidR="004757A1" w:rsidRPr="00486FEC">
        <w:rPr>
          <w:rFonts w:ascii="Verdana" w:hAnsi="Verdana"/>
          <w:sz w:val="20"/>
          <w:szCs w:val="20"/>
        </w:rPr>
        <w:t>n, agresión, necesidad, etc.).</w:t>
      </w:r>
    </w:p>
    <w:p w14:paraId="78CDFB68" w14:textId="77777777" w:rsidR="00D55B6C" w:rsidRPr="00486FEC" w:rsidRDefault="00D55B6C" w:rsidP="00486FEC">
      <w:pPr>
        <w:pStyle w:val="Prrafodelista"/>
        <w:spacing w:after="0" w:line="240" w:lineRule="auto"/>
        <w:ind w:left="0"/>
        <w:contextualSpacing w:val="0"/>
        <w:jc w:val="both"/>
        <w:rPr>
          <w:rFonts w:ascii="Verdana" w:hAnsi="Verdana"/>
          <w:sz w:val="20"/>
          <w:szCs w:val="20"/>
        </w:rPr>
      </w:pPr>
    </w:p>
    <w:p w14:paraId="1132ADD5" w14:textId="77777777" w:rsidR="00D55B6C" w:rsidRPr="00486FEC" w:rsidRDefault="006A1865" w:rsidP="00486FEC">
      <w:pPr>
        <w:pStyle w:val="Prrafodelista"/>
        <w:spacing w:after="0" w:line="240" w:lineRule="auto"/>
        <w:ind w:left="709"/>
        <w:contextualSpacing w:val="0"/>
        <w:jc w:val="both"/>
        <w:rPr>
          <w:rFonts w:ascii="Verdana" w:hAnsi="Verdana"/>
          <w:b/>
          <w:sz w:val="20"/>
          <w:szCs w:val="20"/>
        </w:rPr>
      </w:pPr>
      <w:r w:rsidRPr="00486FEC">
        <w:rPr>
          <w:rFonts w:ascii="Verdana" w:hAnsi="Verdana"/>
          <w:b/>
          <w:sz w:val="20"/>
          <w:szCs w:val="20"/>
        </w:rPr>
        <w:t>I</w:t>
      </w:r>
      <w:r w:rsidR="008560D8" w:rsidRPr="00486FEC">
        <w:rPr>
          <w:rFonts w:ascii="Verdana" w:hAnsi="Verdana"/>
          <w:b/>
          <w:sz w:val="20"/>
          <w:szCs w:val="20"/>
        </w:rPr>
        <w:t>I.</w:t>
      </w:r>
      <w:r w:rsidR="001E5322" w:rsidRPr="00486FEC">
        <w:rPr>
          <w:rFonts w:ascii="Verdana" w:hAnsi="Verdana"/>
          <w:b/>
          <w:sz w:val="20"/>
          <w:szCs w:val="20"/>
        </w:rPr>
        <w:t>2</w:t>
      </w:r>
      <w:r w:rsidR="00C043D8" w:rsidRPr="00486FEC">
        <w:rPr>
          <w:rFonts w:ascii="Verdana" w:hAnsi="Verdana"/>
          <w:b/>
          <w:sz w:val="20"/>
          <w:szCs w:val="20"/>
        </w:rPr>
        <w:t>. Hechos precedentes</w:t>
      </w:r>
    </w:p>
    <w:p w14:paraId="60439154" w14:textId="77777777" w:rsidR="005541BC" w:rsidRPr="00486FEC" w:rsidRDefault="005541BC" w:rsidP="00486FEC">
      <w:pPr>
        <w:pStyle w:val="Prrafodelista"/>
        <w:spacing w:after="0" w:line="240" w:lineRule="auto"/>
        <w:ind w:left="709"/>
        <w:contextualSpacing w:val="0"/>
        <w:jc w:val="both"/>
        <w:rPr>
          <w:rFonts w:ascii="Verdana" w:hAnsi="Verdana"/>
          <w:b/>
          <w:sz w:val="20"/>
          <w:szCs w:val="20"/>
        </w:rPr>
      </w:pPr>
    </w:p>
    <w:p w14:paraId="1B2B3243" w14:textId="77777777" w:rsidR="00D55B6C" w:rsidRPr="00486FEC" w:rsidRDefault="004757A1" w:rsidP="00486FEC">
      <w:pPr>
        <w:pStyle w:val="Prrafodelista"/>
        <w:spacing w:after="0" w:line="240" w:lineRule="auto"/>
        <w:ind w:left="709"/>
        <w:contextualSpacing w:val="0"/>
        <w:jc w:val="both"/>
        <w:rPr>
          <w:rFonts w:ascii="Verdana" w:hAnsi="Verdana"/>
          <w:b/>
          <w:sz w:val="20"/>
          <w:szCs w:val="20"/>
        </w:rPr>
      </w:pPr>
      <w:r w:rsidRPr="00486FEC">
        <w:rPr>
          <w:rFonts w:ascii="Verdana" w:hAnsi="Verdana"/>
          <w:b/>
          <w:sz w:val="20"/>
          <w:szCs w:val="20"/>
        </w:rPr>
        <w:t>I</w:t>
      </w:r>
      <w:r w:rsidR="00C0396D" w:rsidRPr="00486FEC">
        <w:rPr>
          <w:rFonts w:ascii="Verdana" w:hAnsi="Verdana"/>
          <w:b/>
          <w:sz w:val="20"/>
          <w:szCs w:val="20"/>
        </w:rPr>
        <w:t>I.</w:t>
      </w:r>
      <w:r w:rsidR="00760D24" w:rsidRPr="00486FEC">
        <w:rPr>
          <w:rFonts w:ascii="Verdana" w:hAnsi="Verdana"/>
          <w:b/>
          <w:sz w:val="20"/>
          <w:szCs w:val="20"/>
        </w:rPr>
        <w:t>2</w:t>
      </w:r>
      <w:r w:rsidR="00C0396D" w:rsidRPr="00486FEC">
        <w:rPr>
          <w:rFonts w:ascii="Verdana" w:hAnsi="Verdana"/>
          <w:b/>
          <w:sz w:val="20"/>
          <w:szCs w:val="20"/>
        </w:rPr>
        <w:t>.a</w:t>
      </w:r>
      <w:r w:rsidR="00D41028" w:rsidRPr="00486FEC">
        <w:rPr>
          <w:rFonts w:ascii="Verdana" w:hAnsi="Verdana"/>
          <w:b/>
          <w:sz w:val="20"/>
          <w:szCs w:val="20"/>
        </w:rPr>
        <w:t>.</w:t>
      </w:r>
      <w:r w:rsidR="00C0396D" w:rsidRPr="00486FEC">
        <w:rPr>
          <w:rFonts w:ascii="Verdana" w:hAnsi="Verdana"/>
          <w:b/>
          <w:sz w:val="20"/>
          <w:szCs w:val="20"/>
        </w:rPr>
        <w:t xml:space="preserve"> </w:t>
      </w:r>
      <w:r w:rsidR="00AB56DF" w:rsidRPr="00486FEC">
        <w:rPr>
          <w:rFonts w:ascii="Verdana" w:hAnsi="Verdana"/>
          <w:b/>
          <w:sz w:val="20"/>
          <w:szCs w:val="20"/>
        </w:rPr>
        <w:t>La c</w:t>
      </w:r>
      <w:r w:rsidR="004010AC" w:rsidRPr="00486FEC">
        <w:rPr>
          <w:rFonts w:ascii="Verdana" w:hAnsi="Verdana"/>
          <w:b/>
          <w:sz w:val="20"/>
          <w:szCs w:val="20"/>
        </w:rPr>
        <w:t xml:space="preserve">onsulta popular </w:t>
      </w:r>
      <w:r w:rsidR="008B744D" w:rsidRPr="00486FEC">
        <w:rPr>
          <w:rFonts w:ascii="Verdana" w:hAnsi="Verdana"/>
          <w:b/>
          <w:sz w:val="20"/>
          <w:szCs w:val="20"/>
        </w:rPr>
        <w:t xml:space="preserve">y la </w:t>
      </w:r>
      <w:r w:rsidRPr="00486FEC">
        <w:rPr>
          <w:rFonts w:ascii="Verdana" w:hAnsi="Verdana"/>
          <w:b/>
          <w:sz w:val="20"/>
          <w:szCs w:val="20"/>
        </w:rPr>
        <w:t xml:space="preserve">decisión de </w:t>
      </w:r>
      <w:r w:rsidR="004010AC" w:rsidRPr="00486FEC">
        <w:rPr>
          <w:rFonts w:ascii="Verdana" w:hAnsi="Verdana"/>
          <w:b/>
          <w:sz w:val="20"/>
          <w:szCs w:val="20"/>
        </w:rPr>
        <w:t>esta Corte</w:t>
      </w:r>
      <w:r w:rsidR="00AB56DF" w:rsidRPr="00486FEC">
        <w:rPr>
          <w:rFonts w:ascii="Verdana" w:hAnsi="Verdana"/>
          <w:b/>
          <w:sz w:val="20"/>
          <w:szCs w:val="20"/>
        </w:rPr>
        <w:t xml:space="preserve"> en 2018</w:t>
      </w:r>
      <w:r w:rsidR="00D55B6C" w:rsidRPr="00486FEC">
        <w:rPr>
          <w:rStyle w:val="Refdenotaalpie"/>
          <w:rFonts w:ascii="Verdana" w:hAnsi="Verdana"/>
          <w:b/>
          <w:sz w:val="20"/>
          <w:szCs w:val="20"/>
        </w:rPr>
        <w:footnoteReference w:id="9"/>
      </w:r>
    </w:p>
    <w:p w14:paraId="6333F9A6" w14:textId="77777777" w:rsidR="005541BC" w:rsidRPr="00486FEC" w:rsidRDefault="005541BC" w:rsidP="00486FEC">
      <w:pPr>
        <w:pStyle w:val="Prrafodelista"/>
        <w:spacing w:after="0" w:line="240" w:lineRule="auto"/>
        <w:ind w:left="709"/>
        <w:contextualSpacing w:val="0"/>
        <w:jc w:val="both"/>
        <w:rPr>
          <w:rFonts w:ascii="Verdana" w:hAnsi="Verdana"/>
          <w:b/>
          <w:sz w:val="20"/>
          <w:szCs w:val="20"/>
        </w:rPr>
      </w:pPr>
    </w:p>
    <w:p w14:paraId="5BFD2FD1" w14:textId="3CC010C5" w:rsidR="00D55B6C" w:rsidRDefault="00F16FC7"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Entendido</w:t>
      </w:r>
      <w:r w:rsidR="008560D8" w:rsidRPr="00486FEC">
        <w:rPr>
          <w:rFonts w:ascii="Verdana" w:hAnsi="Verdana"/>
          <w:sz w:val="20"/>
          <w:szCs w:val="20"/>
        </w:rPr>
        <w:t xml:space="preserve"> el contexto en la forma </w:t>
      </w:r>
      <w:r w:rsidR="005F7433" w:rsidRPr="00486FEC">
        <w:rPr>
          <w:rFonts w:ascii="Verdana" w:hAnsi="Verdana"/>
          <w:sz w:val="20"/>
          <w:szCs w:val="20"/>
        </w:rPr>
        <w:t>e</w:t>
      </w:r>
      <w:r w:rsidR="008560D8" w:rsidRPr="00486FEC">
        <w:rPr>
          <w:rFonts w:ascii="Verdana" w:hAnsi="Verdana"/>
          <w:sz w:val="20"/>
          <w:szCs w:val="20"/>
        </w:rPr>
        <w:t>xpuest</w:t>
      </w:r>
      <w:r w:rsidR="00277598" w:rsidRPr="00486FEC">
        <w:rPr>
          <w:rFonts w:ascii="Verdana" w:hAnsi="Verdana"/>
          <w:sz w:val="20"/>
          <w:szCs w:val="20"/>
        </w:rPr>
        <w:t>a</w:t>
      </w:r>
      <w:r w:rsidR="008560D8" w:rsidRPr="00486FEC">
        <w:rPr>
          <w:rFonts w:ascii="Verdana" w:hAnsi="Verdana"/>
          <w:sz w:val="20"/>
          <w:szCs w:val="20"/>
        </w:rPr>
        <w:t xml:space="preserve">, </w:t>
      </w:r>
      <w:r w:rsidRPr="00486FEC">
        <w:rPr>
          <w:rFonts w:ascii="Verdana" w:hAnsi="Verdana"/>
          <w:sz w:val="20"/>
          <w:szCs w:val="20"/>
        </w:rPr>
        <w:t>que no es otro</w:t>
      </w:r>
      <w:r w:rsidR="005F7433" w:rsidRPr="00486FEC">
        <w:rPr>
          <w:rFonts w:ascii="Verdana" w:hAnsi="Verdana"/>
          <w:sz w:val="20"/>
          <w:szCs w:val="20"/>
        </w:rPr>
        <w:t xml:space="preserve"> que la co</w:t>
      </w:r>
      <w:r w:rsidR="00310A69" w:rsidRPr="00486FEC">
        <w:rPr>
          <w:rFonts w:ascii="Verdana" w:hAnsi="Verdana"/>
          <w:sz w:val="20"/>
          <w:szCs w:val="20"/>
        </w:rPr>
        <w:t xml:space="preserve">nstante </w:t>
      </w:r>
      <w:r w:rsidR="005F7433" w:rsidRPr="00486FEC">
        <w:rPr>
          <w:rFonts w:ascii="Verdana" w:hAnsi="Verdana"/>
          <w:sz w:val="20"/>
          <w:szCs w:val="20"/>
        </w:rPr>
        <w:t>en</w:t>
      </w:r>
      <w:r w:rsidR="00CD4F1C" w:rsidRPr="00486FEC">
        <w:rPr>
          <w:rFonts w:ascii="Verdana" w:hAnsi="Verdana"/>
          <w:sz w:val="20"/>
          <w:szCs w:val="20"/>
        </w:rPr>
        <w:t xml:space="preserve"> la</w:t>
      </w:r>
      <w:r w:rsidR="005F7433" w:rsidRPr="00486FEC">
        <w:rPr>
          <w:rFonts w:ascii="Verdana" w:hAnsi="Verdana"/>
          <w:sz w:val="20"/>
          <w:szCs w:val="20"/>
        </w:rPr>
        <w:t xml:space="preserve"> jurisprudencia</w:t>
      </w:r>
      <w:r w:rsidR="00CD4F1C" w:rsidRPr="00486FEC">
        <w:rPr>
          <w:rFonts w:ascii="Verdana" w:hAnsi="Verdana"/>
          <w:sz w:val="20"/>
          <w:szCs w:val="20"/>
        </w:rPr>
        <w:t xml:space="preserve"> del Tribunal</w:t>
      </w:r>
      <w:r w:rsidR="005F7433" w:rsidRPr="00486FEC">
        <w:rPr>
          <w:rFonts w:ascii="Verdana" w:hAnsi="Verdana"/>
          <w:sz w:val="20"/>
          <w:szCs w:val="20"/>
        </w:rPr>
        <w:t xml:space="preserve">, </w:t>
      </w:r>
      <w:r w:rsidR="000F7B94" w:rsidRPr="00486FEC">
        <w:rPr>
          <w:rFonts w:ascii="Verdana" w:hAnsi="Verdana"/>
          <w:sz w:val="20"/>
          <w:szCs w:val="20"/>
        </w:rPr>
        <w:t>es dable verificar que</w:t>
      </w:r>
      <w:r w:rsidR="005F7433" w:rsidRPr="00486FEC">
        <w:rPr>
          <w:rFonts w:ascii="Verdana" w:hAnsi="Verdana"/>
          <w:sz w:val="20"/>
          <w:szCs w:val="20"/>
        </w:rPr>
        <w:t>,</w:t>
      </w:r>
      <w:r w:rsidR="000F7B94" w:rsidRPr="00486FEC">
        <w:rPr>
          <w:rFonts w:ascii="Verdana" w:hAnsi="Verdana"/>
          <w:sz w:val="20"/>
          <w:szCs w:val="20"/>
        </w:rPr>
        <w:t xml:space="preserve"> </w:t>
      </w:r>
      <w:r w:rsidRPr="00486FEC">
        <w:rPr>
          <w:rFonts w:ascii="Verdana" w:hAnsi="Verdana"/>
          <w:sz w:val="20"/>
          <w:szCs w:val="20"/>
        </w:rPr>
        <w:t>en el que correspondiente</w:t>
      </w:r>
      <w:r w:rsidR="005F7433" w:rsidRPr="00486FEC">
        <w:rPr>
          <w:rFonts w:ascii="Verdana" w:hAnsi="Verdana"/>
          <w:sz w:val="20"/>
          <w:szCs w:val="20"/>
        </w:rPr>
        <w:t xml:space="preserve"> al presente caso, </w:t>
      </w:r>
      <w:r w:rsidR="000F7B94" w:rsidRPr="00486FEC">
        <w:rPr>
          <w:rFonts w:ascii="Verdana" w:hAnsi="Verdana"/>
          <w:sz w:val="20"/>
          <w:szCs w:val="20"/>
        </w:rPr>
        <w:t xml:space="preserve">existen significativos </w:t>
      </w:r>
      <w:r w:rsidR="008560D8" w:rsidRPr="00486FEC">
        <w:rPr>
          <w:rFonts w:ascii="Verdana" w:hAnsi="Verdana"/>
          <w:sz w:val="20"/>
          <w:szCs w:val="20"/>
        </w:rPr>
        <w:t xml:space="preserve">hechos anteriores </w:t>
      </w:r>
      <w:r w:rsidR="000F7B94" w:rsidRPr="00486FEC">
        <w:rPr>
          <w:rFonts w:ascii="Verdana" w:hAnsi="Verdana"/>
          <w:sz w:val="20"/>
          <w:szCs w:val="20"/>
        </w:rPr>
        <w:t xml:space="preserve">que son </w:t>
      </w:r>
      <w:r w:rsidRPr="00486FEC">
        <w:rPr>
          <w:rFonts w:ascii="Verdana" w:hAnsi="Verdana"/>
          <w:sz w:val="20"/>
          <w:szCs w:val="20"/>
        </w:rPr>
        <w:t xml:space="preserve">sumamente </w:t>
      </w:r>
      <w:r w:rsidR="008560D8" w:rsidRPr="00486FEC">
        <w:rPr>
          <w:rFonts w:ascii="Verdana" w:hAnsi="Verdana"/>
          <w:sz w:val="20"/>
          <w:szCs w:val="20"/>
        </w:rPr>
        <w:t xml:space="preserve">relevantes para la decisión a adoptar y que </w:t>
      </w:r>
      <w:r w:rsidR="00CD4F1C" w:rsidRPr="00486FEC">
        <w:rPr>
          <w:rFonts w:ascii="Verdana" w:hAnsi="Verdana"/>
          <w:sz w:val="20"/>
          <w:szCs w:val="20"/>
        </w:rPr>
        <w:t xml:space="preserve">se refieren a decisiones previas de </w:t>
      </w:r>
      <w:r w:rsidR="00D55B6C" w:rsidRPr="00486FEC">
        <w:rPr>
          <w:rFonts w:ascii="Verdana" w:hAnsi="Verdana"/>
          <w:sz w:val="20"/>
          <w:szCs w:val="20"/>
        </w:rPr>
        <w:t>esta misma Corte.</w:t>
      </w:r>
    </w:p>
    <w:p w14:paraId="2F501CF9"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1B204EF4" w14:textId="5316A45B" w:rsidR="00D55B6C" w:rsidRDefault="008560D8"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El más importante de ellos es </w:t>
      </w:r>
      <w:r w:rsidR="000F7B94" w:rsidRPr="00486FEC">
        <w:rPr>
          <w:rFonts w:ascii="Verdana" w:hAnsi="Verdana"/>
          <w:sz w:val="20"/>
          <w:szCs w:val="20"/>
        </w:rPr>
        <w:t xml:space="preserve">lo resuelto </w:t>
      </w:r>
      <w:r w:rsidR="00C6260B" w:rsidRPr="00486FEC">
        <w:rPr>
          <w:rFonts w:ascii="Verdana" w:hAnsi="Verdana"/>
          <w:sz w:val="20"/>
          <w:szCs w:val="20"/>
        </w:rPr>
        <w:t xml:space="preserve">por la mayoría del Tribunal en 2018, </w:t>
      </w:r>
      <w:r w:rsidR="008B744D" w:rsidRPr="00486FEC">
        <w:rPr>
          <w:rFonts w:ascii="Verdana" w:hAnsi="Verdana"/>
          <w:sz w:val="20"/>
          <w:szCs w:val="20"/>
        </w:rPr>
        <w:t xml:space="preserve">ocasión en la que </w:t>
      </w:r>
      <w:r w:rsidR="00C6260B" w:rsidRPr="00486FEC">
        <w:rPr>
          <w:rFonts w:ascii="Verdana" w:hAnsi="Verdana"/>
          <w:sz w:val="20"/>
          <w:szCs w:val="20"/>
        </w:rPr>
        <w:t>no hizo lugar a las medidas provisionales solicitadas por la Comisión a efectos de suspender la destitución de tres miembros del Consejo de Participación Ciudadana</w:t>
      </w:r>
      <w:r w:rsidR="00E1285B" w:rsidRPr="00486FEC">
        <w:rPr>
          <w:rFonts w:ascii="Verdana" w:hAnsi="Verdana"/>
          <w:sz w:val="20"/>
          <w:szCs w:val="20"/>
        </w:rPr>
        <w:t xml:space="preserve"> y Control Social</w:t>
      </w:r>
      <w:r w:rsidR="00310A69" w:rsidRPr="00486FEC">
        <w:rPr>
          <w:rFonts w:ascii="Verdana" w:hAnsi="Verdana"/>
          <w:sz w:val="20"/>
          <w:szCs w:val="20"/>
        </w:rPr>
        <w:t xml:space="preserve"> del Ecuador</w:t>
      </w:r>
      <w:r w:rsidR="00C6260B" w:rsidRPr="00486FEC">
        <w:rPr>
          <w:rFonts w:ascii="Verdana" w:hAnsi="Verdana"/>
          <w:sz w:val="20"/>
          <w:szCs w:val="20"/>
        </w:rPr>
        <w:t>, atendiendo a las importantísimas atribuciones de ese órgano conform</w:t>
      </w:r>
      <w:r w:rsidR="00D55B6C" w:rsidRPr="00486FEC">
        <w:rPr>
          <w:rFonts w:ascii="Verdana" w:hAnsi="Verdana"/>
          <w:sz w:val="20"/>
          <w:szCs w:val="20"/>
        </w:rPr>
        <w:t>e a la Constitución del Estado.</w:t>
      </w:r>
    </w:p>
    <w:p w14:paraId="26AC2129" w14:textId="7CC05B2C"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41819AF1" w14:textId="082B9210" w:rsidR="00D55B6C" w:rsidRDefault="00310A69"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En esa oportunidad y en función de una consulta popular convocada por el Poder Ejecutivo sin el previo control de constitucionalidad del máximo tribunal nacional, como lo exigía la Constitución del Estado, se le atribuía a ese pode</w:t>
      </w:r>
      <w:r w:rsidR="00F16FC7" w:rsidRPr="00486FEC">
        <w:rPr>
          <w:rFonts w:ascii="Verdana" w:hAnsi="Verdana"/>
          <w:sz w:val="20"/>
          <w:szCs w:val="20"/>
        </w:rPr>
        <w:t>r la</w:t>
      </w:r>
      <w:r w:rsidRPr="00486FEC">
        <w:rPr>
          <w:rFonts w:ascii="Verdana" w:hAnsi="Verdana"/>
          <w:sz w:val="20"/>
          <w:szCs w:val="20"/>
        </w:rPr>
        <w:t xml:space="preserve"> facultad de remover a los consejeros de ese organismo y de nominar otros. La mayoría del Tribunal decidió que se trataba de una cuestión que debía resolverse como </w:t>
      </w:r>
      <w:r w:rsidRPr="00486FEC">
        <w:rPr>
          <w:rFonts w:ascii="Verdana" w:hAnsi="Verdana"/>
          <w:i/>
          <w:sz w:val="20"/>
          <w:szCs w:val="20"/>
        </w:rPr>
        <w:t>de fondo</w:t>
      </w:r>
      <w:r w:rsidRPr="00486FEC">
        <w:rPr>
          <w:rFonts w:ascii="Verdana" w:hAnsi="Verdana"/>
          <w:sz w:val="20"/>
          <w:szCs w:val="20"/>
        </w:rPr>
        <w:t>, sin que de momento fuesen procedentes las medidas provisional</w:t>
      </w:r>
      <w:r w:rsidR="00D55B6C" w:rsidRPr="00486FEC">
        <w:rPr>
          <w:rFonts w:ascii="Verdana" w:hAnsi="Verdana"/>
          <w:sz w:val="20"/>
          <w:szCs w:val="20"/>
        </w:rPr>
        <w:t>es solicitadas por la Comisión.</w:t>
      </w:r>
    </w:p>
    <w:p w14:paraId="0A8F1EF2" w14:textId="6AEE8130"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2421E126" w14:textId="7C6A7CBA" w:rsidR="005D4B5C" w:rsidRPr="00486FEC" w:rsidRDefault="00C6260B" w:rsidP="00486FEC">
      <w:pPr>
        <w:pStyle w:val="Prrafodelista"/>
        <w:numPr>
          <w:ilvl w:val="0"/>
          <w:numId w:val="3"/>
        </w:numPr>
        <w:spacing w:after="0" w:line="240" w:lineRule="auto"/>
        <w:ind w:left="0" w:firstLine="0"/>
        <w:contextualSpacing w:val="0"/>
        <w:jc w:val="both"/>
        <w:rPr>
          <w:rFonts w:ascii="Verdana" w:hAnsi="Verdana"/>
          <w:i/>
          <w:sz w:val="20"/>
          <w:szCs w:val="20"/>
          <w:lang w:val="es-CR"/>
        </w:rPr>
      </w:pPr>
      <w:r w:rsidRPr="00486FEC">
        <w:rPr>
          <w:rFonts w:ascii="Verdana" w:hAnsi="Verdana"/>
          <w:sz w:val="20"/>
          <w:szCs w:val="20"/>
        </w:rPr>
        <w:t>Señalé en</w:t>
      </w:r>
      <w:r w:rsidR="00E20800" w:rsidRPr="00486FEC">
        <w:rPr>
          <w:rFonts w:ascii="Verdana" w:hAnsi="Verdana"/>
          <w:sz w:val="20"/>
          <w:szCs w:val="20"/>
        </w:rPr>
        <w:t xml:space="preserve">tonces </w:t>
      </w:r>
      <w:r w:rsidRPr="00486FEC">
        <w:rPr>
          <w:rFonts w:ascii="Verdana" w:hAnsi="Verdana"/>
          <w:sz w:val="20"/>
          <w:szCs w:val="20"/>
        </w:rPr>
        <w:t xml:space="preserve">en mi voto disidente:  </w:t>
      </w:r>
      <w:r w:rsidRPr="00486FEC">
        <w:rPr>
          <w:rFonts w:ascii="Verdana" w:hAnsi="Verdana"/>
          <w:i/>
          <w:sz w:val="20"/>
          <w:szCs w:val="20"/>
          <w:lang w:val="es-CR"/>
        </w:rPr>
        <w:t>La cuestión de fondo, de la que no puede conocer la Corte en el planteo de meras medidas provisionales, es si la remoción de los Consejeros afecta la estructura democrática del Estado, lo que sucedería si significa una concentración o distorsión de poder que lleve al desconocimiento de la democracia plural. Si bien la consulta popular, el referéndum, el plebiscito y otras formas de democracia directa no afectan en principio el sistema democrático, pues están previstas en muchos ordenamientos constitucionales, existen innegables y tristes experiencias históricas, incluso teorizadas y racionalizadas en el campo doctrinario, en las que, por estos o por otros medios, se apeló a coyunturales resultados mayoritarios para suprimir los derechos de la minoría, cuya preservación hace a la esencia del concepto de sociedad abierta</w:t>
      </w:r>
      <w:r w:rsidR="005D4B5C" w:rsidRPr="00486FEC">
        <w:rPr>
          <w:rFonts w:ascii="Verdana" w:hAnsi="Verdana"/>
          <w:i/>
          <w:sz w:val="20"/>
          <w:szCs w:val="20"/>
          <w:lang w:val="es-CR"/>
        </w:rPr>
        <w:t>.</w:t>
      </w:r>
      <w:r w:rsidR="00F16FC7" w:rsidRPr="00486FEC">
        <w:rPr>
          <w:rFonts w:ascii="Verdana" w:hAnsi="Verdana"/>
          <w:i/>
        </w:rPr>
        <w:t xml:space="preserve"> </w:t>
      </w:r>
      <w:r w:rsidR="00F16FC7" w:rsidRPr="00486FEC">
        <w:rPr>
          <w:rFonts w:ascii="Verdana" w:hAnsi="Verdana"/>
          <w:i/>
          <w:sz w:val="20"/>
          <w:szCs w:val="20"/>
          <w:lang w:val="de-DE"/>
        </w:rPr>
        <w:t>Cfr. Peter Häberle, Europäische Verfassungslehre, Nomos, Baden-Baden, 2006, p. 299.</w:t>
      </w:r>
    </w:p>
    <w:p w14:paraId="1C3FF7EA" w14:textId="26EFEE4F" w:rsidR="00486FEC" w:rsidRPr="00486FEC" w:rsidRDefault="00486FEC" w:rsidP="00486FEC">
      <w:pPr>
        <w:pStyle w:val="Prrafodelista"/>
        <w:spacing w:after="0" w:line="240" w:lineRule="auto"/>
        <w:ind w:left="0"/>
        <w:contextualSpacing w:val="0"/>
        <w:jc w:val="both"/>
        <w:rPr>
          <w:rFonts w:ascii="Verdana" w:hAnsi="Verdana"/>
          <w:i/>
          <w:sz w:val="20"/>
          <w:szCs w:val="20"/>
          <w:lang w:val="es-CR"/>
        </w:rPr>
      </w:pPr>
    </w:p>
    <w:p w14:paraId="42C7413A" w14:textId="5D547871" w:rsidR="005D4B5C" w:rsidRDefault="00C6260B" w:rsidP="00486FEC">
      <w:pPr>
        <w:pStyle w:val="Prrafodelista"/>
        <w:numPr>
          <w:ilvl w:val="0"/>
          <w:numId w:val="3"/>
        </w:numPr>
        <w:spacing w:after="0" w:line="240" w:lineRule="auto"/>
        <w:ind w:left="0" w:firstLine="0"/>
        <w:contextualSpacing w:val="0"/>
        <w:jc w:val="both"/>
        <w:rPr>
          <w:rFonts w:ascii="Verdana" w:hAnsi="Verdana"/>
          <w:sz w:val="20"/>
          <w:szCs w:val="20"/>
          <w:lang w:val="es-CR"/>
        </w:rPr>
      </w:pPr>
      <w:r w:rsidRPr="00486FEC">
        <w:rPr>
          <w:rFonts w:ascii="Verdana" w:hAnsi="Verdana"/>
          <w:sz w:val="20"/>
          <w:szCs w:val="20"/>
          <w:lang w:val="es-CR"/>
        </w:rPr>
        <w:t xml:space="preserve">Agregué en </w:t>
      </w:r>
      <w:r w:rsidR="00997C69" w:rsidRPr="00486FEC">
        <w:rPr>
          <w:rFonts w:ascii="Verdana" w:hAnsi="Verdana"/>
          <w:sz w:val="20"/>
          <w:szCs w:val="20"/>
          <w:lang w:val="es-CR"/>
        </w:rPr>
        <w:t xml:space="preserve">la ocasión </w:t>
      </w:r>
      <w:r w:rsidRPr="00486FEC">
        <w:rPr>
          <w:rFonts w:ascii="Verdana" w:hAnsi="Verdana"/>
          <w:sz w:val="20"/>
          <w:szCs w:val="20"/>
          <w:lang w:val="es-CR"/>
        </w:rPr>
        <w:t xml:space="preserve">que se corría el grave riesgo de desvirtuar la democracia plural </w:t>
      </w:r>
      <w:r w:rsidR="00F16FC7" w:rsidRPr="00486FEC">
        <w:rPr>
          <w:rFonts w:ascii="Verdana" w:hAnsi="Verdana"/>
          <w:sz w:val="20"/>
          <w:szCs w:val="20"/>
          <w:lang w:val="es-CR"/>
        </w:rPr>
        <w:t>mediante l</w:t>
      </w:r>
      <w:r w:rsidR="009B39F7" w:rsidRPr="00486FEC">
        <w:rPr>
          <w:rFonts w:ascii="Verdana" w:hAnsi="Verdana"/>
          <w:sz w:val="20"/>
          <w:szCs w:val="20"/>
          <w:lang w:val="es-CR"/>
        </w:rPr>
        <w:t xml:space="preserve">a concesión de </w:t>
      </w:r>
      <w:r w:rsidR="005D140C" w:rsidRPr="00486FEC">
        <w:rPr>
          <w:rFonts w:ascii="Verdana" w:hAnsi="Verdana"/>
          <w:sz w:val="20"/>
          <w:szCs w:val="20"/>
          <w:lang w:val="es-CR"/>
        </w:rPr>
        <w:t xml:space="preserve">excesivos </w:t>
      </w:r>
      <w:r w:rsidR="00997C69" w:rsidRPr="00486FEC">
        <w:rPr>
          <w:rFonts w:ascii="Verdana" w:hAnsi="Verdana"/>
          <w:sz w:val="20"/>
          <w:szCs w:val="20"/>
          <w:lang w:val="es-CR"/>
        </w:rPr>
        <w:t xml:space="preserve">poderes al ejecutivo que llamaba a la consulta, </w:t>
      </w:r>
      <w:r w:rsidR="00F16FC7" w:rsidRPr="00486FEC">
        <w:rPr>
          <w:rFonts w:ascii="Verdana" w:hAnsi="Verdana"/>
          <w:sz w:val="20"/>
          <w:szCs w:val="20"/>
          <w:lang w:val="es-CR"/>
        </w:rPr>
        <w:t>cercanos a la suma del poder público, con la posibilidad de que el sistema derivase en una de las mal llamadas</w:t>
      </w:r>
      <w:r w:rsidRPr="00486FEC">
        <w:rPr>
          <w:rFonts w:ascii="Verdana" w:hAnsi="Verdana"/>
          <w:sz w:val="20"/>
          <w:szCs w:val="20"/>
          <w:lang w:val="es-CR"/>
        </w:rPr>
        <w:t xml:space="preserve"> democracia</w:t>
      </w:r>
      <w:r w:rsidR="00F16FC7" w:rsidRPr="00486FEC">
        <w:rPr>
          <w:rFonts w:ascii="Verdana" w:hAnsi="Verdana"/>
          <w:sz w:val="20"/>
          <w:szCs w:val="20"/>
          <w:lang w:val="es-CR"/>
        </w:rPr>
        <w:t>s</w:t>
      </w:r>
      <w:r w:rsidRPr="00486FEC">
        <w:rPr>
          <w:rFonts w:ascii="Verdana" w:hAnsi="Verdana"/>
          <w:sz w:val="20"/>
          <w:szCs w:val="20"/>
          <w:lang w:val="es-CR"/>
        </w:rPr>
        <w:t xml:space="preserve"> </w:t>
      </w:r>
      <w:r w:rsidRPr="00486FEC">
        <w:rPr>
          <w:rFonts w:ascii="Verdana" w:hAnsi="Verdana"/>
          <w:i/>
          <w:sz w:val="20"/>
          <w:szCs w:val="20"/>
          <w:lang w:val="es-CR"/>
        </w:rPr>
        <w:t>p</w:t>
      </w:r>
      <w:r w:rsidR="00D35497" w:rsidRPr="00486FEC">
        <w:rPr>
          <w:rFonts w:ascii="Verdana" w:hAnsi="Verdana"/>
          <w:i/>
          <w:sz w:val="20"/>
          <w:szCs w:val="20"/>
          <w:lang w:val="es-CR"/>
        </w:rPr>
        <w:t>l</w:t>
      </w:r>
      <w:r w:rsidRPr="00486FEC">
        <w:rPr>
          <w:rFonts w:ascii="Verdana" w:hAnsi="Verdana"/>
          <w:i/>
          <w:sz w:val="20"/>
          <w:szCs w:val="20"/>
          <w:lang w:val="es-CR"/>
        </w:rPr>
        <w:t>ebiscitaria</w:t>
      </w:r>
      <w:r w:rsidR="00F16FC7" w:rsidRPr="00486FEC">
        <w:rPr>
          <w:rFonts w:ascii="Verdana" w:hAnsi="Verdana"/>
          <w:i/>
          <w:sz w:val="20"/>
          <w:szCs w:val="20"/>
          <w:lang w:val="es-CR"/>
        </w:rPr>
        <w:t>s</w:t>
      </w:r>
      <w:r w:rsidR="003E6B1F" w:rsidRPr="00486FEC">
        <w:rPr>
          <w:rFonts w:ascii="Verdana" w:hAnsi="Verdana"/>
          <w:sz w:val="20"/>
          <w:szCs w:val="20"/>
          <w:lang w:val="es-CR"/>
        </w:rPr>
        <w:t xml:space="preserve"> del tipo de la postulada por Carl Schmitt</w:t>
      </w:r>
      <w:r w:rsidR="005D4B5C" w:rsidRPr="00486FEC">
        <w:rPr>
          <w:rStyle w:val="Refdenotaalpie"/>
          <w:rFonts w:ascii="Verdana" w:hAnsi="Verdana"/>
          <w:sz w:val="20"/>
          <w:szCs w:val="20"/>
          <w:lang w:val="es-CR"/>
        </w:rPr>
        <w:footnoteReference w:id="10"/>
      </w:r>
      <w:r w:rsidR="00AB56DF" w:rsidRPr="00486FEC">
        <w:rPr>
          <w:rFonts w:ascii="Verdana" w:hAnsi="Verdana"/>
          <w:sz w:val="20"/>
          <w:szCs w:val="20"/>
          <w:lang w:val="es-CR"/>
        </w:rPr>
        <w:t xml:space="preserve">, que sería contraria a lo prescripto por </w:t>
      </w:r>
      <w:r w:rsidR="00310A69" w:rsidRPr="00486FEC">
        <w:rPr>
          <w:rFonts w:ascii="Verdana" w:hAnsi="Verdana"/>
          <w:sz w:val="20"/>
          <w:szCs w:val="20"/>
          <w:lang w:val="es-CR"/>
        </w:rPr>
        <w:t xml:space="preserve">numerosos </w:t>
      </w:r>
      <w:r w:rsidR="00277598" w:rsidRPr="00486FEC">
        <w:rPr>
          <w:rFonts w:ascii="Verdana" w:hAnsi="Verdana"/>
          <w:sz w:val="20"/>
          <w:szCs w:val="20"/>
          <w:lang w:val="es-CR"/>
        </w:rPr>
        <w:t>instrumentos internacionales</w:t>
      </w:r>
      <w:r w:rsidR="00310A69" w:rsidRPr="00486FEC">
        <w:rPr>
          <w:rFonts w:ascii="Verdana" w:hAnsi="Verdana"/>
          <w:sz w:val="20"/>
          <w:szCs w:val="20"/>
          <w:lang w:val="es-CR"/>
        </w:rPr>
        <w:t xml:space="preserve"> que resulta ocioso men</w:t>
      </w:r>
      <w:r w:rsidR="00F16FC7" w:rsidRPr="00486FEC">
        <w:rPr>
          <w:rFonts w:ascii="Verdana" w:hAnsi="Verdana"/>
          <w:sz w:val="20"/>
          <w:szCs w:val="20"/>
          <w:lang w:val="es-CR"/>
        </w:rPr>
        <w:t>c</w:t>
      </w:r>
      <w:r w:rsidR="00310A69" w:rsidRPr="00486FEC">
        <w:rPr>
          <w:rFonts w:ascii="Verdana" w:hAnsi="Verdana"/>
          <w:sz w:val="20"/>
          <w:szCs w:val="20"/>
          <w:lang w:val="es-CR"/>
        </w:rPr>
        <w:t>ionar</w:t>
      </w:r>
      <w:r w:rsidR="00F16FC7" w:rsidRPr="00486FEC">
        <w:rPr>
          <w:rFonts w:ascii="Verdana" w:hAnsi="Verdana"/>
          <w:sz w:val="20"/>
          <w:szCs w:val="20"/>
          <w:lang w:val="es-CR"/>
        </w:rPr>
        <w:t xml:space="preserve"> por bien conocidos</w:t>
      </w:r>
      <w:r w:rsidR="005D4B5C" w:rsidRPr="00486FEC">
        <w:rPr>
          <w:rFonts w:ascii="Verdana" w:hAnsi="Verdana"/>
          <w:sz w:val="20"/>
          <w:szCs w:val="20"/>
          <w:lang w:val="es-CR"/>
        </w:rPr>
        <w:t>.</w:t>
      </w:r>
    </w:p>
    <w:p w14:paraId="0C9D7EA4" w14:textId="587E09D2" w:rsidR="00486FEC" w:rsidRPr="00486FEC" w:rsidRDefault="00486FEC" w:rsidP="00486FEC">
      <w:pPr>
        <w:pStyle w:val="Prrafodelista"/>
        <w:spacing w:after="0" w:line="240" w:lineRule="auto"/>
        <w:ind w:left="0"/>
        <w:contextualSpacing w:val="0"/>
        <w:jc w:val="both"/>
        <w:rPr>
          <w:rFonts w:ascii="Verdana" w:hAnsi="Verdana"/>
          <w:sz w:val="20"/>
          <w:szCs w:val="20"/>
          <w:lang w:val="es-CR"/>
        </w:rPr>
      </w:pPr>
    </w:p>
    <w:p w14:paraId="711E206A" w14:textId="32FE9161" w:rsidR="005D4B5C" w:rsidRDefault="003E6B1F" w:rsidP="00486FEC">
      <w:pPr>
        <w:pStyle w:val="Prrafodelista"/>
        <w:numPr>
          <w:ilvl w:val="0"/>
          <w:numId w:val="3"/>
        </w:numPr>
        <w:spacing w:after="0" w:line="240" w:lineRule="auto"/>
        <w:ind w:left="0" w:firstLine="0"/>
        <w:contextualSpacing w:val="0"/>
        <w:jc w:val="both"/>
        <w:rPr>
          <w:rFonts w:ascii="Verdana" w:hAnsi="Verdana"/>
          <w:i/>
          <w:sz w:val="20"/>
          <w:szCs w:val="20"/>
          <w:lang w:val="es-CR"/>
        </w:rPr>
      </w:pPr>
      <w:r w:rsidRPr="00486FEC">
        <w:rPr>
          <w:rFonts w:ascii="Verdana" w:hAnsi="Verdana"/>
          <w:sz w:val="20"/>
          <w:szCs w:val="20"/>
          <w:lang w:val="es-CR"/>
        </w:rPr>
        <w:t>Al respecto señal</w:t>
      </w:r>
      <w:r w:rsidR="00277598" w:rsidRPr="00486FEC">
        <w:rPr>
          <w:rFonts w:ascii="Verdana" w:hAnsi="Verdana"/>
          <w:sz w:val="20"/>
          <w:szCs w:val="20"/>
          <w:lang w:val="es-CR"/>
        </w:rPr>
        <w:t>é</w:t>
      </w:r>
      <w:r w:rsidRPr="00486FEC">
        <w:rPr>
          <w:rFonts w:ascii="Verdana" w:hAnsi="Verdana"/>
          <w:sz w:val="20"/>
          <w:szCs w:val="20"/>
          <w:lang w:val="es-CR"/>
        </w:rPr>
        <w:t>:</w:t>
      </w:r>
      <w:r w:rsidR="00D35497" w:rsidRPr="00486FEC">
        <w:rPr>
          <w:rFonts w:ascii="Verdana" w:hAnsi="Verdana"/>
          <w:sz w:val="20"/>
          <w:szCs w:val="20"/>
          <w:lang w:val="es-CR"/>
        </w:rPr>
        <w:t xml:space="preserve"> </w:t>
      </w:r>
      <w:r w:rsidR="00D35497" w:rsidRPr="00486FEC">
        <w:rPr>
          <w:rFonts w:ascii="Verdana" w:hAnsi="Verdana"/>
          <w:i/>
          <w:sz w:val="20"/>
          <w:szCs w:val="20"/>
          <w:lang w:val="es-CR"/>
        </w:rPr>
        <w:t xml:space="preserve">Es ampliamente sabido y recalcado por la doctrina constitucional de los Estados democráticos de derecho que, si bien el principio mayoritario es la base de la democracia, no debe ser entendido en sentido absoluto, puesto que tal entendimiento, en su límite extremo, daría lugar a una democracia totalitaria (Cfr. Livio Paladin, Diritto Costituzionale, Padova, 2006, p. 263), como la establecida en la vieja constitución soviética, toda vez que no garantizaría la posibilidad de alternancia en el poder (cfr. Enrico Spagna Musso, Diritto Costituzionale, </w:t>
      </w:r>
      <w:r w:rsidR="00D35497" w:rsidRPr="00486FEC">
        <w:rPr>
          <w:rFonts w:ascii="Verdana" w:hAnsi="Verdana"/>
          <w:sz w:val="20"/>
          <w:szCs w:val="20"/>
          <w:lang w:val="es-CR"/>
        </w:rPr>
        <w:t>Padova</w:t>
      </w:r>
      <w:r w:rsidR="00D35497" w:rsidRPr="00486FEC">
        <w:rPr>
          <w:rFonts w:ascii="Verdana" w:hAnsi="Verdana"/>
          <w:i/>
          <w:sz w:val="20"/>
          <w:szCs w:val="20"/>
          <w:lang w:val="es-CR"/>
        </w:rPr>
        <w:t>, 1992, p. 151). El principio general parece ser que la mayoría no puede negar los derechos de la minoría, puesto que al hacerlo negaría el de la propia mayoría a cambiar de opinión. Por otra parte, son ampliamente debatidos y problemáticos en este sentido los límites de toda reforma constitucional e incluso la existencia de las llamadas “cláusulas eternas”, como sería entre nosotros el principio republicano (cfr. Peter Häberle, El Estado Constitucional, Bs. As., 2007, p. 258).</w:t>
      </w:r>
    </w:p>
    <w:p w14:paraId="6B1BF986" w14:textId="10271367" w:rsidR="00486FEC" w:rsidRPr="00486FEC" w:rsidRDefault="00486FEC" w:rsidP="00486FEC">
      <w:pPr>
        <w:pStyle w:val="Prrafodelista"/>
        <w:spacing w:after="0" w:line="240" w:lineRule="auto"/>
        <w:ind w:left="0"/>
        <w:contextualSpacing w:val="0"/>
        <w:jc w:val="both"/>
        <w:rPr>
          <w:rFonts w:ascii="Verdana" w:hAnsi="Verdana"/>
          <w:i/>
          <w:sz w:val="20"/>
          <w:szCs w:val="20"/>
          <w:lang w:val="es-CR"/>
        </w:rPr>
      </w:pPr>
    </w:p>
    <w:p w14:paraId="2BCE7440" w14:textId="77945082" w:rsidR="005D4B5C" w:rsidRDefault="00D35497" w:rsidP="00486FEC">
      <w:pPr>
        <w:pStyle w:val="Prrafodelista"/>
        <w:numPr>
          <w:ilvl w:val="0"/>
          <w:numId w:val="3"/>
        </w:numPr>
        <w:spacing w:after="0" w:line="240" w:lineRule="auto"/>
        <w:ind w:left="0" w:firstLine="0"/>
        <w:contextualSpacing w:val="0"/>
        <w:jc w:val="both"/>
        <w:rPr>
          <w:rFonts w:ascii="Verdana" w:hAnsi="Verdana"/>
          <w:i/>
          <w:sz w:val="20"/>
          <w:szCs w:val="20"/>
          <w:lang w:val="es-CR"/>
        </w:rPr>
      </w:pPr>
      <w:r w:rsidRPr="00486FEC">
        <w:rPr>
          <w:rFonts w:ascii="Verdana" w:hAnsi="Verdana"/>
          <w:sz w:val="20"/>
          <w:szCs w:val="20"/>
          <w:lang w:val="es-CR"/>
        </w:rPr>
        <w:t>Concluía en esa o</w:t>
      </w:r>
      <w:r w:rsidR="00997C69" w:rsidRPr="00486FEC">
        <w:rPr>
          <w:rFonts w:ascii="Verdana" w:hAnsi="Verdana"/>
          <w:sz w:val="20"/>
          <w:szCs w:val="20"/>
          <w:lang w:val="es-CR"/>
        </w:rPr>
        <w:t xml:space="preserve">portunidad </w:t>
      </w:r>
      <w:r w:rsidRPr="00486FEC">
        <w:rPr>
          <w:rFonts w:ascii="Verdana" w:hAnsi="Verdana"/>
          <w:sz w:val="20"/>
          <w:szCs w:val="20"/>
          <w:lang w:val="es-CR"/>
        </w:rPr>
        <w:t xml:space="preserve">sosteniendo que la posición de la mayoría, según la cual se trataba de una cuestión que debía resolverse </w:t>
      </w:r>
      <w:r w:rsidR="00310A69" w:rsidRPr="00486FEC">
        <w:rPr>
          <w:rFonts w:ascii="Verdana" w:hAnsi="Verdana"/>
          <w:sz w:val="20"/>
          <w:szCs w:val="20"/>
          <w:lang w:val="es-CR"/>
        </w:rPr>
        <w:t xml:space="preserve">en su totalidad </w:t>
      </w:r>
      <w:r w:rsidRPr="00486FEC">
        <w:rPr>
          <w:rFonts w:ascii="Verdana" w:hAnsi="Verdana"/>
          <w:sz w:val="20"/>
          <w:szCs w:val="20"/>
          <w:lang w:val="es-CR"/>
        </w:rPr>
        <w:t xml:space="preserve">como </w:t>
      </w:r>
      <w:r w:rsidRPr="00486FEC">
        <w:rPr>
          <w:rFonts w:ascii="Verdana" w:hAnsi="Verdana"/>
          <w:i/>
          <w:sz w:val="20"/>
          <w:szCs w:val="20"/>
          <w:lang w:val="es-CR"/>
        </w:rPr>
        <w:t>de fondo</w:t>
      </w:r>
      <w:r w:rsidRPr="00486FEC">
        <w:rPr>
          <w:rFonts w:ascii="Verdana" w:hAnsi="Verdana"/>
          <w:sz w:val="20"/>
          <w:szCs w:val="20"/>
          <w:lang w:val="es-CR"/>
        </w:rPr>
        <w:t xml:space="preserve"> y </w:t>
      </w:r>
      <w:r w:rsidR="00310A69" w:rsidRPr="00486FEC">
        <w:rPr>
          <w:rFonts w:ascii="Verdana" w:hAnsi="Verdana"/>
          <w:sz w:val="20"/>
          <w:szCs w:val="20"/>
          <w:lang w:val="es-CR"/>
        </w:rPr>
        <w:t xml:space="preserve">sin distinguir lo que de momento correspondía a una </w:t>
      </w:r>
      <w:r w:rsidRPr="00486FEC">
        <w:rPr>
          <w:rFonts w:ascii="Verdana" w:hAnsi="Verdana"/>
          <w:sz w:val="20"/>
          <w:szCs w:val="20"/>
          <w:lang w:val="es-CR"/>
        </w:rPr>
        <w:t xml:space="preserve">medida provisional, </w:t>
      </w:r>
      <w:r w:rsidR="00310A69" w:rsidRPr="00486FEC">
        <w:rPr>
          <w:rFonts w:ascii="Verdana" w:hAnsi="Verdana"/>
          <w:sz w:val="20"/>
          <w:szCs w:val="20"/>
          <w:lang w:val="es-CR"/>
        </w:rPr>
        <w:t>atendiendo a los prolongados tiempos de trami</w:t>
      </w:r>
      <w:r w:rsidR="00F16FC7" w:rsidRPr="00486FEC">
        <w:rPr>
          <w:rFonts w:ascii="Verdana" w:hAnsi="Verdana"/>
          <w:sz w:val="20"/>
          <w:szCs w:val="20"/>
          <w:lang w:val="es-CR"/>
        </w:rPr>
        <w:t>tación para llegar a la instancia</w:t>
      </w:r>
      <w:r w:rsidR="00310A69" w:rsidRPr="00486FEC">
        <w:rPr>
          <w:rFonts w:ascii="Verdana" w:hAnsi="Verdana"/>
          <w:sz w:val="20"/>
          <w:szCs w:val="20"/>
          <w:lang w:val="es-CR"/>
        </w:rPr>
        <w:t xml:space="preserve"> </w:t>
      </w:r>
      <w:r w:rsidR="00310A69" w:rsidRPr="00486FEC">
        <w:rPr>
          <w:rFonts w:ascii="Verdana" w:hAnsi="Verdana"/>
          <w:i/>
          <w:sz w:val="20"/>
          <w:szCs w:val="20"/>
          <w:lang w:val="es-CR"/>
        </w:rPr>
        <w:t>de fondo</w:t>
      </w:r>
      <w:r w:rsidR="00310A69" w:rsidRPr="00486FEC">
        <w:rPr>
          <w:rFonts w:ascii="Verdana" w:hAnsi="Verdana"/>
          <w:sz w:val="20"/>
          <w:szCs w:val="20"/>
          <w:lang w:val="es-CR"/>
        </w:rPr>
        <w:t xml:space="preserve">, </w:t>
      </w:r>
      <w:r w:rsidR="008B744D" w:rsidRPr="00486FEC">
        <w:rPr>
          <w:rFonts w:ascii="Verdana" w:hAnsi="Verdana"/>
          <w:sz w:val="20"/>
          <w:szCs w:val="20"/>
          <w:lang w:val="es-CR"/>
        </w:rPr>
        <w:t xml:space="preserve">permitiría </w:t>
      </w:r>
      <w:r w:rsidR="00997C69" w:rsidRPr="00486FEC">
        <w:rPr>
          <w:rFonts w:ascii="Verdana" w:hAnsi="Verdana"/>
          <w:sz w:val="20"/>
          <w:szCs w:val="20"/>
          <w:lang w:val="es-CR"/>
        </w:rPr>
        <w:t xml:space="preserve">que se consumase </w:t>
      </w:r>
      <w:r w:rsidRPr="00486FEC">
        <w:rPr>
          <w:rFonts w:ascii="Verdana" w:hAnsi="Verdana"/>
          <w:sz w:val="20"/>
          <w:szCs w:val="20"/>
          <w:lang w:val="es-CR"/>
        </w:rPr>
        <w:t xml:space="preserve">un daño </w:t>
      </w:r>
      <w:r w:rsidR="00310A69" w:rsidRPr="00486FEC">
        <w:rPr>
          <w:rFonts w:ascii="Verdana" w:hAnsi="Verdana"/>
          <w:sz w:val="20"/>
          <w:szCs w:val="20"/>
          <w:lang w:val="es-CR"/>
        </w:rPr>
        <w:t xml:space="preserve">institucional </w:t>
      </w:r>
      <w:r w:rsidRPr="00486FEC">
        <w:rPr>
          <w:rFonts w:ascii="Verdana" w:hAnsi="Verdana"/>
          <w:sz w:val="20"/>
          <w:szCs w:val="20"/>
          <w:lang w:val="es-CR"/>
        </w:rPr>
        <w:t xml:space="preserve">irreparable: </w:t>
      </w:r>
      <w:r w:rsidRPr="00486FEC">
        <w:rPr>
          <w:rFonts w:ascii="Verdana" w:hAnsi="Verdana"/>
          <w:i/>
          <w:sz w:val="20"/>
          <w:szCs w:val="20"/>
          <w:lang w:val="es-CR"/>
        </w:rPr>
        <w:t>De reemplazarse a los Consejeros respecto de los cuales se impetran las medidas provisionales antes de que el Estado someta el conflicto a su máxima instancia interna, la eventual lesión alegada al sistema democrático se hallaría consumada, dado que en el supuesto en que el máximo tribunal nacional hallase que le asiste razón a los peticionantes, los nuevos Consejeros habrían podido realizar actos cuya validez jurídica quedaría cuestionada o invalidada, con gravísima lesión a la seguridad jurídica y a la estabilidad de los derechos de los habitantes.</w:t>
      </w:r>
    </w:p>
    <w:p w14:paraId="0FE17CBF" w14:textId="42A04C6F" w:rsidR="00486FEC" w:rsidRPr="00486FEC" w:rsidRDefault="00486FEC" w:rsidP="00486FEC">
      <w:pPr>
        <w:pStyle w:val="Prrafodelista"/>
        <w:spacing w:after="0" w:line="240" w:lineRule="auto"/>
        <w:ind w:left="0"/>
        <w:contextualSpacing w:val="0"/>
        <w:jc w:val="both"/>
        <w:rPr>
          <w:rFonts w:ascii="Verdana" w:hAnsi="Verdana"/>
          <w:i/>
          <w:sz w:val="20"/>
          <w:szCs w:val="20"/>
          <w:lang w:val="es-CR"/>
        </w:rPr>
      </w:pPr>
    </w:p>
    <w:p w14:paraId="2A4E8AE7" w14:textId="77777777" w:rsidR="005D4B5C" w:rsidRPr="00486FEC" w:rsidRDefault="00D35497" w:rsidP="00486FEC">
      <w:pPr>
        <w:pStyle w:val="Prrafodelista"/>
        <w:numPr>
          <w:ilvl w:val="0"/>
          <w:numId w:val="3"/>
        </w:numPr>
        <w:spacing w:after="0" w:line="240" w:lineRule="auto"/>
        <w:ind w:left="0" w:firstLine="0"/>
        <w:contextualSpacing w:val="0"/>
        <w:jc w:val="both"/>
        <w:rPr>
          <w:rFonts w:ascii="Verdana" w:hAnsi="Verdana"/>
          <w:sz w:val="20"/>
          <w:szCs w:val="20"/>
          <w:lang w:val="es-CR"/>
        </w:rPr>
      </w:pPr>
      <w:r w:rsidRPr="00486FEC">
        <w:rPr>
          <w:rFonts w:ascii="Verdana" w:hAnsi="Verdana"/>
          <w:sz w:val="20"/>
          <w:szCs w:val="20"/>
          <w:lang w:val="es-CR"/>
        </w:rPr>
        <w:t xml:space="preserve">Por tales razones me separé de la </w:t>
      </w:r>
      <w:r w:rsidR="00B27937" w:rsidRPr="00486FEC">
        <w:rPr>
          <w:rFonts w:ascii="Verdana" w:hAnsi="Verdana"/>
          <w:sz w:val="20"/>
          <w:szCs w:val="20"/>
          <w:lang w:val="es-CR"/>
        </w:rPr>
        <w:t xml:space="preserve">altamente respetable opinión de la </w:t>
      </w:r>
      <w:r w:rsidRPr="00486FEC">
        <w:rPr>
          <w:rFonts w:ascii="Verdana" w:hAnsi="Verdana"/>
          <w:sz w:val="20"/>
          <w:szCs w:val="20"/>
          <w:lang w:val="es-CR"/>
        </w:rPr>
        <w:t xml:space="preserve">mayoría y voté por </w:t>
      </w:r>
      <w:r w:rsidRPr="00486FEC">
        <w:rPr>
          <w:rFonts w:ascii="Verdana" w:hAnsi="Verdana"/>
          <w:i/>
          <w:sz w:val="20"/>
          <w:szCs w:val="20"/>
          <w:lang w:val="es-CR"/>
        </w:rPr>
        <w:t>emplazar al Estado para que en un plazo razonable habilite la competencia de su máximo tribunal para que conozca del caso y decida a su respecto</w:t>
      </w:r>
      <w:r w:rsidRPr="00486FEC">
        <w:rPr>
          <w:rFonts w:ascii="Verdana" w:hAnsi="Verdana"/>
          <w:sz w:val="20"/>
          <w:szCs w:val="20"/>
          <w:lang w:val="es-CR"/>
        </w:rPr>
        <w:t>, sin perjuicio de que, mientras tanto, se mantuviese</w:t>
      </w:r>
      <w:r w:rsidR="00E20800" w:rsidRPr="00486FEC">
        <w:rPr>
          <w:rFonts w:ascii="Verdana" w:hAnsi="Verdana"/>
          <w:sz w:val="20"/>
          <w:szCs w:val="20"/>
          <w:lang w:val="es-CR"/>
        </w:rPr>
        <w:t>n</w:t>
      </w:r>
      <w:r w:rsidRPr="00486FEC">
        <w:rPr>
          <w:rFonts w:ascii="Verdana" w:hAnsi="Verdana"/>
          <w:sz w:val="20"/>
          <w:szCs w:val="20"/>
          <w:lang w:val="es-CR"/>
        </w:rPr>
        <w:t xml:space="preserve"> </w:t>
      </w:r>
      <w:r w:rsidRPr="00486FEC">
        <w:rPr>
          <w:rFonts w:ascii="Verdana" w:hAnsi="Verdana"/>
          <w:i/>
          <w:sz w:val="20"/>
          <w:szCs w:val="20"/>
          <w:lang w:val="es-CR"/>
        </w:rPr>
        <w:t>a los tres Consejeros en sus funciones hasta que se pronuncie la máxima instancia nacional respecto de la cuestión de fondo</w:t>
      </w:r>
      <w:r w:rsidRPr="00486FEC">
        <w:rPr>
          <w:rFonts w:ascii="Verdana" w:hAnsi="Verdana"/>
          <w:sz w:val="20"/>
          <w:szCs w:val="20"/>
          <w:lang w:val="es-CR"/>
        </w:rPr>
        <w:t xml:space="preserve">.  </w:t>
      </w:r>
    </w:p>
    <w:p w14:paraId="2233769E" w14:textId="77777777" w:rsidR="005D4B5C" w:rsidRPr="00486FEC" w:rsidRDefault="005D4B5C" w:rsidP="00486FEC">
      <w:pPr>
        <w:pStyle w:val="Prrafodelista"/>
        <w:spacing w:after="0" w:line="240" w:lineRule="auto"/>
        <w:ind w:left="0"/>
        <w:contextualSpacing w:val="0"/>
        <w:jc w:val="both"/>
        <w:rPr>
          <w:rFonts w:ascii="Verdana" w:hAnsi="Verdana"/>
          <w:sz w:val="20"/>
          <w:szCs w:val="20"/>
          <w:lang w:val="es-CR"/>
        </w:rPr>
      </w:pPr>
    </w:p>
    <w:p w14:paraId="2B5A55CE" w14:textId="77777777" w:rsidR="005D4B5C" w:rsidRPr="00486FEC" w:rsidRDefault="004010AC" w:rsidP="00486FEC">
      <w:pPr>
        <w:pStyle w:val="Prrafodelista"/>
        <w:spacing w:after="0" w:line="240" w:lineRule="auto"/>
        <w:ind w:left="709"/>
        <w:contextualSpacing w:val="0"/>
        <w:jc w:val="both"/>
        <w:rPr>
          <w:rFonts w:ascii="Verdana" w:hAnsi="Verdana"/>
          <w:b/>
          <w:sz w:val="20"/>
          <w:szCs w:val="20"/>
          <w:lang w:val="es-CR"/>
        </w:rPr>
      </w:pPr>
      <w:r w:rsidRPr="00486FEC">
        <w:rPr>
          <w:rFonts w:ascii="Verdana" w:hAnsi="Verdana"/>
          <w:b/>
          <w:sz w:val="20"/>
          <w:szCs w:val="20"/>
          <w:lang w:val="es-CR"/>
        </w:rPr>
        <w:t>I</w:t>
      </w:r>
      <w:r w:rsidR="006A1865" w:rsidRPr="00486FEC">
        <w:rPr>
          <w:rFonts w:ascii="Verdana" w:hAnsi="Verdana"/>
          <w:b/>
          <w:sz w:val="20"/>
          <w:szCs w:val="20"/>
          <w:lang w:val="es-CR"/>
        </w:rPr>
        <w:t>I</w:t>
      </w:r>
      <w:r w:rsidRPr="00486FEC">
        <w:rPr>
          <w:rFonts w:ascii="Verdana" w:hAnsi="Verdana"/>
          <w:b/>
          <w:sz w:val="20"/>
          <w:szCs w:val="20"/>
          <w:lang w:val="es-CR"/>
        </w:rPr>
        <w:t>.</w:t>
      </w:r>
      <w:r w:rsidR="001E5322" w:rsidRPr="00486FEC">
        <w:rPr>
          <w:rFonts w:ascii="Verdana" w:hAnsi="Verdana"/>
          <w:b/>
          <w:sz w:val="20"/>
          <w:szCs w:val="20"/>
          <w:lang w:val="es-CR"/>
        </w:rPr>
        <w:t>2</w:t>
      </w:r>
      <w:r w:rsidRPr="00486FEC">
        <w:rPr>
          <w:rFonts w:ascii="Verdana" w:hAnsi="Verdana"/>
          <w:b/>
          <w:sz w:val="20"/>
          <w:szCs w:val="20"/>
          <w:lang w:val="es-CR"/>
        </w:rPr>
        <w:t>.b</w:t>
      </w:r>
      <w:r w:rsidR="00D41028" w:rsidRPr="00486FEC">
        <w:rPr>
          <w:rFonts w:ascii="Verdana" w:hAnsi="Verdana"/>
          <w:b/>
          <w:sz w:val="20"/>
          <w:szCs w:val="20"/>
          <w:lang w:val="es-CR"/>
        </w:rPr>
        <w:t>.</w:t>
      </w:r>
      <w:r w:rsidRPr="00486FEC">
        <w:rPr>
          <w:rFonts w:ascii="Verdana" w:hAnsi="Verdana"/>
          <w:b/>
          <w:sz w:val="20"/>
          <w:szCs w:val="20"/>
          <w:lang w:val="es-CR"/>
        </w:rPr>
        <w:t xml:space="preserve"> </w:t>
      </w:r>
      <w:r w:rsidR="009B39F7" w:rsidRPr="00486FEC">
        <w:rPr>
          <w:rFonts w:ascii="Verdana" w:hAnsi="Verdana"/>
          <w:b/>
          <w:sz w:val="20"/>
          <w:szCs w:val="20"/>
          <w:lang w:val="es-CR"/>
        </w:rPr>
        <w:t>Reciente a</w:t>
      </w:r>
      <w:r w:rsidRPr="00486FEC">
        <w:rPr>
          <w:rFonts w:ascii="Verdana" w:hAnsi="Verdana"/>
          <w:b/>
          <w:sz w:val="20"/>
          <w:szCs w:val="20"/>
          <w:lang w:val="es-CR"/>
        </w:rPr>
        <w:t>dmisibilidad del planteo de fondo</w:t>
      </w:r>
    </w:p>
    <w:p w14:paraId="439A8179" w14:textId="77777777" w:rsidR="005541BC" w:rsidRPr="00486FEC" w:rsidRDefault="005541BC" w:rsidP="00486FEC">
      <w:pPr>
        <w:pStyle w:val="Prrafodelista"/>
        <w:spacing w:after="0" w:line="240" w:lineRule="auto"/>
        <w:ind w:left="709"/>
        <w:contextualSpacing w:val="0"/>
        <w:jc w:val="both"/>
        <w:rPr>
          <w:rFonts w:ascii="Verdana" w:hAnsi="Verdana"/>
          <w:b/>
          <w:sz w:val="20"/>
          <w:szCs w:val="20"/>
          <w:lang w:val="es-CR"/>
        </w:rPr>
      </w:pPr>
    </w:p>
    <w:p w14:paraId="1965DD4B" w14:textId="3EBD3EC7" w:rsidR="005D4B5C" w:rsidRDefault="00CD4F1C" w:rsidP="00486FEC">
      <w:pPr>
        <w:pStyle w:val="Prrafodelista"/>
        <w:numPr>
          <w:ilvl w:val="0"/>
          <w:numId w:val="3"/>
        </w:numPr>
        <w:spacing w:after="0" w:line="240" w:lineRule="auto"/>
        <w:ind w:left="0" w:firstLine="0"/>
        <w:contextualSpacing w:val="0"/>
        <w:jc w:val="both"/>
        <w:rPr>
          <w:rFonts w:ascii="Verdana" w:hAnsi="Verdana"/>
          <w:sz w:val="20"/>
          <w:szCs w:val="20"/>
          <w:lang w:val="es-CR"/>
        </w:rPr>
      </w:pPr>
      <w:r w:rsidRPr="00486FEC">
        <w:rPr>
          <w:rFonts w:ascii="Verdana" w:hAnsi="Verdana"/>
          <w:sz w:val="20"/>
          <w:szCs w:val="20"/>
          <w:lang w:val="es-CR"/>
        </w:rPr>
        <w:t>Desafortunadamente, se confirmó e</w:t>
      </w:r>
      <w:r w:rsidR="00D51439" w:rsidRPr="00486FEC">
        <w:rPr>
          <w:rFonts w:ascii="Verdana" w:hAnsi="Verdana"/>
          <w:sz w:val="20"/>
          <w:szCs w:val="20"/>
          <w:lang w:val="es-CR"/>
        </w:rPr>
        <w:t xml:space="preserve">l temor </w:t>
      </w:r>
      <w:r w:rsidR="00277598" w:rsidRPr="00486FEC">
        <w:rPr>
          <w:rFonts w:ascii="Verdana" w:hAnsi="Verdana"/>
          <w:sz w:val="20"/>
          <w:szCs w:val="20"/>
          <w:lang w:val="es-CR"/>
        </w:rPr>
        <w:t xml:space="preserve">que </w:t>
      </w:r>
      <w:r w:rsidR="00D51439" w:rsidRPr="00486FEC">
        <w:rPr>
          <w:rFonts w:ascii="Verdana" w:hAnsi="Verdana"/>
          <w:sz w:val="20"/>
          <w:szCs w:val="20"/>
          <w:lang w:val="es-CR"/>
        </w:rPr>
        <w:t>manifest</w:t>
      </w:r>
      <w:r w:rsidR="00277598" w:rsidRPr="00486FEC">
        <w:rPr>
          <w:rFonts w:ascii="Verdana" w:hAnsi="Verdana"/>
          <w:sz w:val="20"/>
          <w:szCs w:val="20"/>
          <w:lang w:val="es-CR"/>
        </w:rPr>
        <w:t xml:space="preserve">é </w:t>
      </w:r>
      <w:r w:rsidR="00D51439" w:rsidRPr="00486FEC">
        <w:rPr>
          <w:rFonts w:ascii="Verdana" w:hAnsi="Verdana"/>
          <w:sz w:val="20"/>
          <w:szCs w:val="20"/>
          <w:lang w:val="es-CR"/>
        </w:rPr>
        <w:t>en esa ocasión ante la</w:t>
      </w:r>
      <w:r w:rsidR="004010AC" w:rsidRPr="00486FEC">
        <w:rPr>
          <w:rFonts w:ascii="Verdana" w:hAnsi="Verdana"/>
          <w:sz w:val="20"/>
          <w:szCs w:val="20"/>
          <w:lang w:val="es-CR"/>
        </w:rPr>
        <w:t>s</w:t>
      </w:r>
      <w:r w:rsidR="00E1285B" w:rsidRPr="00486FEC">
        <w:rPr>
          <w:rFonts w:ascii="Verdana" w:hAnsi="Verdana"/>
          <w:sz w:val="20"/>
          <w:szCs w:val="20"/>
          <w:lang w:val="es-CR"/>
        </w:rPr>
        <w:t xml:space="preserve"> posibles</w:t>
      </w:r>
      <w:r w:rsidR="004010AC" w:rsidRPr="00486FEC">
        <w:rPr>
          <w:rFonts w:ascii="Verdana" w:hAnsi="Verdana"/>
          <w:sz w:val="20"/>
          <w:szCs w:val="20"/>
          <w:lang w:val="es-CR"/>
        </w:rPr>
        <w:t xml:space="preserve"> consecuencias de la</w:t>
      </w:r>
      <w:r w:rsidR="00D51439" w:rsidRPr="00486FEC">
        <w:rPr>
          <w:rFonts w:ascii="Verdana" w:hAnsi="Verdana"/>
          <w:sz w:val="20"/>
          <w:szCs w:val="20"/>
          <w:lang w:val="es-CR"/>
        </w:rPr>
        <w:t xml:space="preserve"> negativa de esta Corte a hacer lugar a las medidas provisionales</w:t>
      </w:r>
      <w:r w:rsidR="00AB56DF" w:rsidRPr="00486FEC">
        <w:rPr>
          <w:rFonts w:ascii="Verdana" w:hAnsi="Verdana"/>
          <w:sz w:val="20"/>
          <w:szCs w:val="20"/>
          <w:lang w:val="es-CR"/>
        </w:rPr>
        <w:t xml:space="preserve"> impetradas por la Comisión</w:t>
      </w:r>
      <w:r w:rsidRPr="00486FEC">
        <w:rPr>
          <w:rFonts w:ascii="Verdana" w:hAnsi="Verdana"/>
          <w:sz w:val="20"/>
          <w:szCs w:val="20"/>
          <w:lang w:val="es-CR"/>
        </w:rPr>
        <w:t>,</w:t>
      </w:r>
      <w:r w:rsidR="00997C69" w:rsidRPr="00486FEC">
        <w:rPr>
          <w:rFonts w:ascii="Verdana" w:hAnsi="Verdana"/>
          <w:sz w:val="20"/>
          <w:szCs w:val="20"/>
          <w:lang w:val="es-CR"/>
        </w:rPr>
        <w:t xml:space="preserve"> </w:t>
      </w:r>
      <w:r w:rsidR="00277598" w:rsidRPr="00486FEC">
        <w:rPr>
          <w:rFonts w:ascii="Verdana" w:hAnsi="Verdana"/>
          <w:sz w:val="20"/>
          <w:szCs w:val="20"/>
          <w:lang w:val="es-CR"/>
        </w:rPr>
        <w:t xml:space="preserve">al parecer </w:t>
      </w:r>
      <w:r w:rsidR="00997C69" w:rsidRPr="00486FEC">
        <w:rPr>
          <w:rFonts w:ascii="Verdana" w:hAnsi="Verdana"/>
          <w:sz w:val="20"/>
          <w:szCs w:val="20"/>
          <w:lang w:val="es-CR"/>
        </w:rPr>
        <w:t xml:space="preserve">incluso en mayor medida de lo que en su momento pude imaginar, al punto que </w:t>
      </w:r>
      <w:r w:rsidR="00D51439" w:rsidRPr="00486FEC">
        <w:rPr>
          <w:rFonts w:ascii="Verdana" w:hAnsi="Verdana"/>
          <w:sz w:val="20"/>
          <w:szCs w:val="20"/>
          <w:lang w:val="es-CR"/>
        </w:rPr>
        <w:t>el 7 de setiembre de</w:t>
      </w:r>
      <w:r w:rsidR="00277598" w:rsidRPr="00486FEC">
        <w:rPr>
          <w:rFonts w:ascii="Verdana" w:hAnsi="Verdana"/>
          <w:sz w:val="20"/>
          <w:szCs w:val="20"/>
          <w:lang w:val="es-CR"/>
        </w:rPr>
        <w:t xml:space="preserve"> 2021 </w:t>
      </w:r>
      <w:r w:rsidR="00D51439" w:rsidRPr="00486FEC">
        <w:rPr>
          <w:rFonts w:ascii="Verdana" w:hAnsi="Verdana"/>
          <w:sz w:val="20"/>
          <w:szCs w:val="20"/>
          <w:lang w:val="es-CR"/>
        </w:rPr>
        <w:t xml:space="preserve">la Comisión declaró admisible la cuestión de fondo, </w:t>
      </w:r>
      <w:r w:rsidRPr="00486FEC">
        <w:rPr>
          <w:rFonts w:ascii="Verdana" w:hAnsi="Verdana"/>
          <w:sz w:val="20"/>
          <w:szCs w:val="20"/>
          <w:lang w:val="es-CR"/>
        </w:rPr>
        <w:t xml:space="preserve">planteada por los consejeros removidos y </w:t>
      </w:r>
      <w:r w:rsidR="00D51439" w:rsidRPr="00486FEC">
        <w:rPr>
          <w:rFonts w:ascii="Verdana" w:hAnsi="Verdana"/>
          <w:sz w:val="20"/>
          <w:szCs w:val="20"/>
          <w:lang w:val="es-CR"/>
        </w:rPr>
        <w:t xml:space="preserve">denunciantes </w:t>
      </w:r>
      <w:r w:rsidR="002E61A3" w:rsidRPr="00486FEC">
        <w:rPr>
          <w:rFonts w:ascii="Verdana" w:hAnsi="Verdana"/>
          <w:sz w:val="20"/>
          <w:szCs w:val="20"/>
          <w:lang w:val="es-CR"/>
        </w:rPr>
        <w:t>en términos que pueden sinte</w:t>
      </w:r>
      <w:r w:rsidR="005D4B5C" w:rsidRPr="00486FEC">
        <w:rPr>
          <w:rFonts w:ascii="Verdana" w:hAnsi="Verdana"/>
          <w:sz w:val="20"/>
          <w:szCs w:val="20"/>
          <w:lang w:val="es-CR"/>
        </w:rPr>
        <w:t>tizarse de la siguiente manera:</w:t>
      </w:r>
    </w:p>
    <w:p w14:paraId="7D1E2790" w14:textId="77777777" w:rsidR="00486FEC" w:rsidRPr="00486FEC" w:rsidRDefault="00486FEC" w:rsidP="00486FEC">
      <w:pPr>
        <w:pStyle w:val="Prrafodelista"/>
        <w:spacing w:after="0" w:line="240" w:lineRule="auto"/>
        <w:ind w:left="0"/>
        <w:contextualSpacing w:val="0"/>
        <w:jc w:val="both"/>
        <w:rPr>
          <w:rFonts w:ascii="Verdana" w:hAnsi="Verdana"/>
          <w:sz w:val="20"/>
          <w:szCs w:val="20"/>
          <w:lang w:val="es-CR"/>
        </w:rPr>
      </w:pPr>
    </w:p>
    <w:p w14:paraId="73E75405" w14:textId="7E2D9517" w:rsidR="005D4B5C" w:rsidRDefault="002E61A3"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Conforme al artículo 207 de la Constitución el Consejo se integra por siete consejeros que ejercen sus funciones por un período de cinco años. El artículo 205 dispone que tienen fuero de Corte Nacional y sólo pueden ser removidos por juicio político, en cuyo caso deberán ser reemplazados conforme a un nuevo proceso de designación, sin que el Legislativo pueda designar a los remplazantes. Los peticionantes ante la Comisión fueron designados para el período 2015-2020</w:t>
      </w:r>
      <w:r w:rsidR="004B1536" w:rsidRPr="00486FEC">
        <w:rPr>
          <w:rFonts w:ascii="Verdana" w:hAnsi="Verdana"/>
          <w:sz w:val="20"/>
          <w:szCs w:val="20"/>
        </w:rPr>
        <w:t>.</w:t>
      </w:r>
    </w:p>
    <w:p w14:paraId="35BD94C2" w14:textId="4940B1CF"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0C8F327D" w14:textId="57A02CCE" w:rsidR="005D4B5C" w:rsidRDefault="004B1536" w:rsidP="00486FEC">
      <w:pPr>
        <w:pStyle w:val="Prrafodelista"/>
        <w:numPr>
          <w:ilvl w:val="0"/>
          <w:numId w:val="3"/>
        </w:numPr>
        <w:spacing w:after="0" w:line="240" w:lineRule="auto"/>
        <w:ind w:left="0" w:firstLine="0"/>
        <w:contextualSpacing w:val="0"/>
        <w:jc w:val="both"/>
        <w:rPr>
          <w:rFonts w:ascii="Verdana" w:hAnsi="Verdana"/>
          <w:i/>
          <w:sz w:val="20"/>
          <w:szCs w:val="20"/>
        </w:rPr>
      </w:pPr>
      <w:r w:rsidRPr="00486FEC">
        <w:rPr>
          <w:rFonts w:ascii="Verdana" w:hAnsi="Verdana"/>
          <w:sz w:val="20"/>
          <w:szCs w:val="20"/>
        </w:rPr>
        <w:t xml:space="preserve">En setiembre de 2017 el ejecutivo </w:t>
      </w:r>
      <w:r w:rsidR="00B85EE7" w:rsidRPr="00486FEC">
        <w:rPr>
          <w:rFonts w:ascii="Verdana" w:hAnsi="Verdana"/>
          <w:sz w:val="20"/>
          <w:szCs w:val="20"/>
        </w:rPr>
        <w:t xml:space="preserve">anunció que llamaría a </w:t>
      </w:r>
      <w:r w:rsidRPr="00486FEC">
        <w:rPr>
          <w:rFonts w:ascii="Verdana" w:hAnsi="Verdana"/>
          <w:sz w:val="20"/>
          <w:szCs w:val="20"/>
        </w:rPr>
        <w:t>una consulta popular y al mes siguiente env</w:t>
      </w:r>
      <w:r w:rsidR="00B85EE7" w:rsidRPr="00486FEC">
        <w:rPr>
          <w:rFonts w:ascii="Verdana" w:hAnsi="Verdana"/>
          <w:sz w:val="20"/>
          <w:szCs w:val="20"/>
        </w:rPr>
        <w:t>ió</w:t>
      </w:r>
      <w:r w:rsidRPr="00486FEC">
        <w:rPr>
          <w:rFonts w:ascii="Verdana" w:hAnsi="Verdana"/>
          <w:sz w:val="20"/>
          <w:szCs w:val="20"/>
        </w:rPr>
        <w:t xml:space="preserve"> el respectivo proyecto a la Corte Constitucional, tal como lo dispone el artículo 104 de la Constitución</w:t>
      </w:r>
      <w:r w:rsidR="00B85EE7" w:rsidRPr="00486FEC">
        <w:rPr>
          <w:rFonts w:ascii="Verdana" w:hAnsi="Verdana"/>
          <w:sz w:val="20"/>
          <w:szCs w:val="20"/>
        </w:rPr>
        <w:t xml:space="preserve">, con el objeto de que ésta </w:t>
      </w:r>
      <w:r w:rsidRPr="00486FEC">
        <w:rPr>
          <w:rFonts w:ascii="Verdana" w:hAnsi="Verdana"/>
          <w:sz w:val="20"/>
          <w:szCs w:val="20"/>
        </w:rPr>
        <w:t xml:space="preserve">controle la constitucionalidad de las preguntas: </w:t>
      </w:r>
      <w:r w:rsidRPr="00486FEC">
        <w:rPr>
          <w:rFonts w:ascii="Verdana" w:hAnsi="Verdana"/>
          <w:i/>
          <w:sz w:val="20"/>
          <w:szCs w:val="20"/>
        </w:rPr>
        <w:t>En todos los casos, se requerirá dictamen previo de la Corte Constitucional sobre la constitucionalidad de las preguntas propuestas.</w:t>
      </w:r>
    </w:p>
    <w:p w14:paraId="36E3B187" w14:textId="5143BBD4" w:rsidR="00486FEC" w:rsidRPr="00486FEC" w:rsidRDefault="00486FEC" w:rsidP="00486FEC">
      <w:pPr>
        <w:pStyle w:val="Prrafodelista"/>
        <w:spacing w:after="0" w:line="240" w:lineRule="auto"/>
        <w:ind w:left="0"/>
        <w:contextualSpacing w:val="0"/>
        <w:jc w:val="both"/>
        <w:rPr>
          <w:rFonts w:ascii="Verdana" w:hAnsi="Verdana"/>
          <w:i/>
          <w:sz w:val="20"/>
          <w:szCs w:val="20"/>
        </w:rPr>
      </w:pPr>
    </w:p>
    <w:p w14:paraId="6C90A3D3" w14:textId="0CBD0E68" w:rsidR="005D4B5C" w:rsidRDefault="00F55ACD"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Entre las propuestas se hallaba la de habilitar la remoción de los consejeros y el nombramiento de un Consejo Provisorio, que pudiese evaluar las designaciones de funcionarios hechas por el Consejo que se proponía remover. </w:t>
      </w:r>
      <w:r w:rsidR="00017653" w:rsidRPr="00486FEC">
        <w:rPr>
          <w:rFonts w:ascii="Verdana" w:hAnsi="Verdana"/>
          <w:sz w:val="20"/>
          <w:szCs w:val="20"/>
        </w:rPr>
        <w:t>El 5 de octubre de 201</w:t>
      </w:r>
      <w:r w:rsidR="00B27937" w:rsidRPr="00486FEC">
        <w:rPr>
          <w:rFonts w:ascii="Verdana" w:hAnsi="Verdana"/>
          <w:sz w:val="20"/>
          <w:szCs w:val="20"/>
        </w:rPr>
        <w:t>7</w:t>
      </w:r>
      <w:r w:rsidR="00017653" w:rsidRPr="00486FEC">
        <w:rPr>
          <w:rFonts w:ascii="Verdana" w:hAnsi="Verdana"/>
          <w:sz w:val="20"/>
          <w:szCs w:val="20"/>
        </w:rPr>
        <w:t xml:space="preserve"> la Corte Constitucional </w:t>
      </w:r>
      <w:r w:rsidRPr="00486FEC">
        <w:rPr>
          <w:rFonts w:ascii="Verdana" w:hAnsi="Verdana"/>
          <w:sz w:val="20"/>
          <w:szCs w:val="20"/>
        </w:rPr>
        <w:t xml:space="preserve">admitió el trámite y convocó a una audiencia pública para el 29 de noviembre, pero sin aguardar la decisión de la Corte, el ejecutivo emitió dos decretos y convocó la consulta popular </w:t>
      </w:r>
      <w:r w:rsidR="007D0100" w:rsidRPr="00486FEC">
        <w:rPr>
          <w:rFonts w:ascii="Verdana" w:hAnsi="Verdana"/>
          <w:sz w:val="20"/>
          <w:szCs w:val="20"/>
        </w:rPr>
        <w:t xml:space="preserve">que se llevó a cabo </w:t>
      </w:r>
      <w:r w:rsidRPr="00486FEC">
        <w:rPr>
          <w:rFonts w:ascii="Verdana" w:hAnsi="Verdana"/>
          <w:sz w:val="20"/>
          <w:szCs w:val="20"/>
        </w:rPr>
        <w:t>el 4 de febrero de 2018.</w:t>
      </w:r>
      <w:r w:rsidR="00C0396D" w:rsidRPr="00486FEC">
        <w:rPr>
          <w:rFonts w:ascii="Verdana" w:hAnsi="Verdana"/>
          <w:sz w:val="20"/>
          <w:szCs w:val="20"/>
        </w:rPr>
        <w:t xml:space="preserve"> </w:t>
      </w:r>
      <w:r w:rsidRPr="00486FEC">
        <w:rPr>
          <w:rFonts w:ascii="Verdana" w:hAnsi="Verdana"/>
          <w:sz w:val="20"/>
          <w:szCs w:val="20"/>
        </w:rPr>
        <w:t xml:space="preserve"> La consulta popular</w:t>
      </w:r>
      <w:r w:rsidR="007D0100" w:rsidRPr="00486FEC">
        <w:rPr>
          <w:rFonts w:ascii="Verdana" w:hAnsi="Verdana"/>
          <w:sz w:val="20"/>
          <w:szCs w:val="20"/>
        </w:rPr>
        <w:t xml:space="preserve">, </w:t>
      </w:r>
      <w:r w:rsidRPr="00486FEC">
        <w:rPr>
          <w:rFonts w:ascii="Verdana" w:hAnsi="Verdana"/>
          <w:sz w:val="20"/>
          <w:szCs w:val="20"/>
        </w:rPr>
        <w:t>de esa manera</w:t>
      </w:r>
      <w:r w:rsidR="007D0100" w:rsidRPr="00486FEC">
        <w:rPr>
          <w:rFonts w:ascii="Verdana" w:hAnsi="Verdana"/>
          <w:sz w:val="20"/>
          <w:szCs w:val="20"/>
        </w:rPr>
        <w:t xml:space="preserve">, tuvo lugar </w:t>
      </w:r>
      <w:r w:rsidR="00B85EE7" w:rsidRPr="00486FEC">
        <w:rPr>
          <w:rFonts w:ascii="Verdana" w:hAnsi="Verdana"/>
          <w:sz w:val="20"/>
          <w:szCs w:val="20"/>
        </w:rPr>
        <w:t xml:space="preserve">sin control </w:t>
      </w:r>
      <w:r w:rsidR="00E1285B" w:rsidRPr="00486FEC">
        <w:rPr>
          <w:rFonts w:ascii="Verdana" w:hAnsi="Verdana"/>
          <w:sz w:val="20"/>
          <w:szCs w:val="20"/>
        </w:rPr>
        <w:t xml:space="preserve">previo </w:t>
      </w:r>
      <w:r w:rsidR="00B85EE7" w:rsidRPr="00486FEC">
        <w:rPr>
          <w:rFonts w:ascii="Verdana" w:hAnsi="Verdana"/>
          <w:sz w:val="20"/>
          <w:szCs w:val="20"/>
        </w:rPr>
        <w:t xml:space="preserve">de la Corte Constitucional, </w:t>
      </w:r>
      <w:r w:rsidRPr="00486FEC">
        <w:rPr>
          <w:rFonts w:ascii="Verdana" w:hAnsi="Verdana"/>
          <w:sz w:val="20"/>
          <w:szCs w:val="20"/>
        </w:rPr>
        <w:t xml:space="preserve">y </w:t>
      </w:r>
      <w:r w:rsidR="00C0396D" w:rsidRPr="00486FEC">
        <w:rPr>
          <w:rFonts w:ascii="Verdana" w:hAnsi="Verdana"/>
          <w:sz w:val="20"/>
          <w:szCs w:val="20"/>
        </w:rPr>
        <w:t xml:space="preserve">fue en esas circunstancias cuando se solicitó </w:t>
      </w:r>
      <w:r w:rsidR="00E20800" w:rsidRPr="00486FEC">
        <w:rPr>
          <w:rFonts w:ascii="Verdana" w:hAnsi="Verdana"/>
          <w:sz w:val="20"/>
          <w:szCs w:val="20"/>
        </w:rPr>
        <w:t xml:space="preserve">la antes mencionada medida provisional </w:t>
      </w:r>
      <w:r w:rsidR="005D4B5C" w:rsidRPr="00486FEC">
        <w:rPr>
          <w:rFonts w:ascii="Verdana" w:hAnsi="Verdana"/>
          <w:sz w:val="20"/>
          <w:szCs w:val="20"/>
        </w:rPr>
        <w:t>ante esta Corte.</w:t>
      </w:r>
    </w:p>
    <w:p w14:paraId="4BDE64BA" w14:textId="2E1CE751"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03E9BB42" w14:textId="77777777" w:rsidR="005D4B5C" w:rsidRPr="00486FEC" w:rsidRDefault="00B85EE7"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Ahora la Comisión declara la admisibilidad de la </w:t>
      </w:r>
      <w:r w:rsidR="00AB56DF" w:rsidRPr="00486FEC">
        <w:rPr>
          <w:rFonts w:ascii="Verdana" w:hAnsi="Verdana"/>
          <w:sz w:val="20"/>
          <w:szCs w:val="20"/>
        </w:rPr>
        <w:t xml:space="preserve">denuncia </w:t>
      </w:r>
      <w:r w:rsidRPr="00486FEC">
        <w:rPr>
          <w:rFonts w:ascii="Verdana" w:hAnsi="Verdana"/>
          <w:sz w:val="20"/>
          <w:szCs w:val="20"/>
        </w:rPr>
        <w:t>y expresa</w:t>
      </w:r>
      <w:r w:rsidR="00997C69" w:rsidRPr="00486FEC">
        <w:rPr>
          <w:rFonts w:ascii="Verdana" w:hAnsi="Verdana"/>
          <w:sz w:val="20"/>
          <w:szCs w:val="20"/>
        </w:rPr>
        <w:t xml:space="preserve"> que ante la</w:t>
      </w:r>
      <w:r w:rsidR="00C0396D" w:rsidRPr="00486FEC">
        <w:rPr>
          <w:rFonts w:ascii="Verdana" w:hAnsi="Verdana"/>
          <w:sz w:val="20"/>
          <w:szCs w:val="20"/>
        </w:rPr>
        <w:t xml:space="preserve">s alegaciones de los peticionantes </w:t>
      </w:r>
      <w:r w:rsidR="00C0396D" w:rsidRPr="00486FEC">
        <w:rPr>
          <w:rFonts w:ascii="Verdana" w:hAnsi="Verdana"/>
          <w:i/>
          <w:sz w:val="20"/>
          <w:szCs w:val="20"/>
        </w:rPr>
        <w:t>y tras examinar los elementos de hecho y de derecho expuestos por las partes la Comisión estima que las alegaciones de la parte peticionaria relativas a su destitución como miembros del C</w:t>
      </w:r>
      <w:r w:rsidR="005D140C" w:rsidRPr="00486FEC">
        <w:rPr>
          <w:rFonts w:ascii="Verdana" w:hAnsi="Verdana"/>
          <w:i/>
          <w:sz w:val="20"/>
          <w:szCs w:val="20"/>
        </w:rPr>
        <w:t>onsejo de Participación Ciudadana y Control Social</w:t>
      </w:r>
      <w:r w:rsidR="00C0396D" w:rsidRPr="00486FEC">
        <w:rPr>
          <w:rFonts w:ascii="Verdana" w:hAnsi="Verdana"/>
          <w:i/>
          <w:sz w:val="20"/>
          <w:szCs w:val="20"/>
        </w:rPr>
        <w:t xml:space="preserve"> no resultan manifiestamente infundadas y requieren un estudio de fondo pues los hechos alegados, de corroborarse como ciertos podrían caracterizar violaciones a los artículos 8 (garantías judiciales), 23 (derechos políticos), 24 (igualdad ante la ley) y 25 (protección judicial) de la Convención Americana en relación con sus artículos 1.1 (obligación de respetar derechos) y 2 (deber de adoptar disposiciones de derecho interno), en perjuicio de Edwin Leonardo Jarrín Jarrín, Tania Elizabeth Pauker Cueva y Sonia Gabriela Vera García, en los términos del presente informe. </w:t>
      </w:r>
      <w:r w:rsidR="00C0396D" w:rsidRPr="00486FEC">
        <w:rPr>
          <w:rFonts w:ascii="Verdana" w:hAnsi="Verdana"/>
          <w:sz w:val="20"/>
          <w:szCs w:val="20"/>
        </w:rPr>
        <w:t>En consecuencia, declaró admisible la petición</w:t>
      </w:r>
      <w:r w:rsidR="00C0396D" w:rsidRPr="00486FEC">
        <w:rPr>
          <w:rFonts w:ascii="Verdana" w:hAnsi="Verdana"/>
          <w:i/>
          <w:sz w:val="20"/>
          <w:szCs w:val="20"/>
        </w:rPr>
        <w:t xml:space="preserve"> en relación con los artículos 8, 23, 24 y 25 de la Convención en relación con sus artículos 1.1 y 2</w:t>
      </w:r>
      <w:r w:rsidR="00250C08" w:rsidRPr="00486FEC">
        <w:rPr>
          <w:rFonts w:ascii="Verdana" w:hAnsi="Verdana"/>
          <w:i/>
          <w:sz w:val="20"/>
          <w:szCs w:val="20"/>
        </w:rPr>
        <w:t>.</w:t>
      </w:r>
      <w:r w:rsidR="005D4B5C" w:rsidRPr="00486FEC">
        <w:rPr>
          <w:rStyle w:val="Refdenotaalpie"/>
          <w:rFonts w:ascii="Verdana" w:hAnsi="Verdana"/>
          <w:i/>
          <w:sz w:val="20"/>
          <w:szCs w:val="20"/>
        </w:rPr>
        <w:footnoteReference w:id="11"/>
      </w:r>
    </w:p>
    <w:p w14:paraId="38C19224" w14:textId="77777777" w:rsidR="005D4B5C" w:rsidRPr="00486FEC" w:rsidRDefault="005D4B5C" w:rsidP="00486FEC">
      <w:pPr>
        <w:pStyle w:val="Prrafodelista"/>
        <w:spacing w:after="0" w:line="240" w:lineRule="auto"/>
        <w:ind w:left="0"/>
        <w:contextualSpacing w:val="0"/>
        <w:jc w:val="both"/>
        <w:rPr>
          <w:rFonts w:ascii="Verdana" w:hAnsi="Verdana"/>
          <w:b/>
          <w:sz w:val="20"/>
          <w:szCs w:val="20"/>
        </w:rPr>
      </w:pPr>
    </w:p>
    <w:p w14:paraId="75104DA2" w14:textId="77777777" w:rsidR="005D4B5C" w:rsidRPr="00486FEC" w:rsidRDefault="004010AC" w:rsidP="00486FEC">
      <w:pPr>
        <w:pStyle w:val="Prrafodelista"/>
        <w:spacing w:after="0" w:line="240" w:lineRule="auto"/>
        <w:ind w:left="709"/>
        <w:contextualSpacing w:val="0"/>
        <w:jc w:val="both"/>
        <w:rPr>
          <w:rFonts w:ascii="Verdana" w:hAnsi="Verdana"/>
          <w:b/>
          <w:sz w:val="20"/>
          <w:szCs w:val="20"/>
        </w:rPr>
      </w:pPr>
      <w:r w:rsidRPr="00486FEC">
        <w:rPr>
          <w:rFonts w:ascii="Verdana" w:hAnsi="Verdana"/>
          <w:b/>
          <w:sz w:val="20"/>
          <w:szCs w:val="20"/>
        </w:rPr>
        <w:t>I</w:t>
      </w:r>
      <w:r w:rsidR="006A1865" w:rsidRPr="00486FEC">
        <w:rPr>
          <w:rFonts w:ascii="Verdana" w:hAnsi="Verdana"/>
          <w:b/>
          <w:sz w:val="20"/>
          <w:szCs w:val="20"/>
        </w:rPr>
        <w:t>I</w:t>
      </w:r>
      <w:r w:rsidRPr="00486FEC">
        <w:rPr>
          <w:rFonts w:ascii="Verdana" w:hAnsi="Verdana"/>
          <w:b/>
          <w:sz w:val="20"/>
          <w:szCs w:val="20"/>
        </w:rPr>
        <w:t>.</w:t>
      </w:r>
      <w:r w:rsidR="001E5322" w:rsidRPr="00486FEC">
        <w:rPr>
          <w:rFonts w:ascii="Verdana" w:hAnsi="Verdana"/>
          <w:b/>
          <w:sz w:val="20"/>
          <w:szCs w:val="20"/>
        </w:rPr>
        <w:t>3</w:t>
      </w:r>
      <w:r w:rsidRPr="00486FEC">
        <w:rPr>
          <w:rFonts w:ascii="Verdana" w:hAnsi="Verdana"/>
          <w:b/>
          <w:sz w:val="20"/>
          <w:szCs w:val="20"/>
        </w:rPr>
        <w:t xml:space="preserve">. </w:t>
      </w:r>
      <w:r w:rsidR="005D4B5C" w:rsidRPr="00486FEC">
        <w:rPr>
          <w:rFonts w:ascii="Verdana" w:hAnsi="Verdana"/>
          <w:b/>
          <w:sz w:val="20"/>
          <w:szCs w:val="20"/>
        </w:rPr>
        <w:t>Consecuencias institucionales</w:t>
      </w:r>
    </w:p>
    <w:p w14:paraId="0D7F48E6" w14:textId="77777777" w:rsidR="005541BC" w:rsidRPr="00486FEC" w:rsidRDefault="005541BC" w:rsidP="00486FEC">
      <w:pPr>
        <w:pStyle w:val="Prrafodelista"/>
        <w:spacing w:after="0" w:line="240" w:lineRule="auto"/>
        <w:ind w:left="709"/>
        <w:contextualSpacing w:val="0"/>
        <w:jc w:val="both"/>
        <w:rPr>
          <w:rFonts w:ascii="Verdana" w:hAnsi="Verdana"/>
          <w:b/>
          <w:sz w:val="20"/>
          <w:szCs w:val="20"/>
        </w:rPr>
      </w:pPr>
    </w:p>
    <w:p w14:paraId="671C5B92" w14:textId="77777777" w:rsidR="005D4B5C" w:rsidRPr="00486FEC" w:rsidRDefault="004010AC" w:rsidP="00486FEC">
      <w:pPr>
        <w:pStyle w:val="Prrafodelista"/>
        <w:spacing w:after="0" w:line="240" w:lineRule="auto"/>
        <w:ind w:left="709"/>
        <w:contextualSpacing w:val="0"/>
        <w:jc w:val="both"/>
        <w:rPr>
          <w:rFonts w:ascii="Verdana" w:hAnsi="Verdana"/>
          <w:b/>
          <w:sz w:val="20"/>
          <w:szCs w:val="20"/>
        </w:rPr>
      </w:pPr>
      <w:r w:rsidRPr="00486FEC">
        <w:rPr>
          <w:rFonts w:ascii="Verdana" w:hAnsi="Verdana"/>
          <w:b/>
          <w:sz w:val="20"/>
          <w:szCs w:val="20"/>
        </w:rPr>
        <w:t>I</w:t>
      </w:r>
      <w:r w:rsidR="006A1865" w:rsidRPr="00486FEC">
        <w:rPr>
          <w:rFonts w:ascii="Verdana" w:hAnsi="Verdana"/>
          <w:b/>
          <w:sz w:val="20"/>
          <w:szCs w:val="20"/>
        </w:rPr>
        <w:t>I</w:t>
      </w:r>
      <w:r w:rsidR="001E5322" w:rsidRPr="00486FEC">
        <w:rPr>
          <w:rFonts w:ascii="Verdana" w:hAnsi="Verdana"/>
          <w:b/>
          <w:sz w:val="20"/>
          <w:szCs w:val="20"/>
        </w:rPr>
        <w:t>.3</w:t>
      </w:r>
      <w:r w:rsidR="00C043D8" w:rsidRPr="00486FEC">
        <w:rPr>
          <w:rFonts w:ascii="Verdana" w:hAnsi="Verdana"/>
          <w:b/>
          <w:sz w:val="20"/>
          <w:szCs w:val="20"/>
        </w:rPr>
        <w:t>.a</w:t>
      </w:r>
      <w:r w:rsidR="00D41028" w:rsidRPr="00486FEC">
        <w:rPr>
          <w:rFonts w:ascii="Verdana" w:hAnsi="Verdana"/>
          <w:b/>
          <w:sz w:val="20"/>
          <w:szCs w:val="20"/>
        </w:rPr>
        <w:t>.</w:t>
      </w:r>
      <w:r w:rsidRPr="00486FEC">
        <w:rPr>
          <w:rFonts w:ascii="Verdana" w:hAnsi="Verdana"/>
          <w:b/>
          <w:sz w:val="20"/>
          <w:szCs w:val="20"/>
        </w:rPr>
        <w:t xml:space="preserve"> Actos del Consejo Provisorio</w:t>
      </w:r>
    </w:p>
    <w:p w14:paraId="45F1DCD6" w14:textId="77777777" w:rsidR="005541BC" w:rsidRPr="00486FEC" w:rsidRDefault="005541BC" w:rsidP="00486FEC">
      <w:pPr>
        <w:pStyle w:val="Prrafodelista"/>
        <w:spacing w:after="0" w:line="240" w:lineRule="auto"/>
        <w:ind w:left="709"/>
        <w:contextualSpacing w:val="0"/>
        <w:jc w:val="both"/>
        <w:rPr>
          <w:rFonts w:ascii="Verdana" w:hAnsi="Verdana"/>
          <w:sz w:val="20"/>
          <w:szCs w:val="20"/>
          <w:lang w:val="es-CR"/>
        </w:rPr>
      </w:pPr>
    </w:p>
    <w:p w14:paraId="6AB1CDB0" w14:textId="6A71683F" w:rsidR="005D4B5C" w:rsidRDefault="00B27937"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Conforme a la información que es de dominio público acerca del ejercicio de las funciones asignadas al Poder Ejecutivo en </w:t>
      </w:r>
      <w:r w:rsidR="007D0100" w:rsidRPr="00486FEC">
        <w:rPr>
          <w:rFonts w:ascii="Verdana" w:hAnsi="Verdana"/>
          <w:sz w:val="20"/>
          <w:szCs w:val="20"/>
        </w:rPr>
        <w:t xml:space="preserve">razón </w:t>
      </w:r>
      <w:r w:rsidRPr="00486FEC">
        <w:rPr>
          <w:rFonts w:ascii="Verdana" w:hAnsi="Verdana"/>
          <w:sz w:val="20"/>
          <w:szCs w:val="20"/>
        </w:rPr>
        <w:t xml:space="preserve">de la mencionada consulta, </w:t>
      </w:r>
      <w:r w:rsidR="00997C69" w:rsidRPr="00486FEC">
        <w:rPr>
          <w:rFonts w:ascii="Verdana" w:hAnsi="Verdana"/>
          <w:sz w:val="20"/>
          <w:szCs w:val="20"/>
        </w:rPr>
        <w:t xml:space="preserve">como </w:t>
      </w:r>
      <w:r w:rsidR="00B73BBD" w:rsidRPr="00486FEC">
        <w:rPr>
          <w:rFonts w:ascii="Verdana" w:hAnsi="Verdana"/>
          <w:sz w:val="20"/>
          <w:szCs w:val="20"/>
        </w:rPr>
        <w:t xml:space="preserve">también </w:t>
      </w:r>
      <w:r w:rsidR="00997C69" w:rsidRPr="00486FEC">
        <w:rPr>
          <w:rFonts w:ascii="Verdana" w:hAnsi="Verdana"/>
          <w:sz w:val="20"/>
          <w:szCs w:val="20"/>
        </w:rPr>
        <w:t>de los hechos que ahora la Comisión declara en principio con fundamento como para admitir el caso</w:t>
      </w:r>
      <w:r w:rsidRPr="00486FEC">
        <w:rPr>
          <w:rFonts w:ascii="Verdana" w:hAnsi="Verdana"/>
          <w:sz w:val="20"/>
          <w:szCs w:val="20"/>
        </w:rPr>
        <w:t xml:space="preserve"> y también de los que recientemente </w:t>
      </w:r>
      <w:r w:rsidR="00277598" w:rsidRPr="00486FEC">
        <w:rPr>
          <w:rFonts w:ascii="Verdana" w:hAnsi="Verdana"/>
          <w:sz w:val="20"/>
          <w:szCs w:val="20"/>
        </w:rPr>
        <w:t xml:space="preserve">se denunciaron ante el Relator de las Naciones Unidas y de los que admitió el Estado </w:t>
      </w:r>
      <w:r w:rsidRPr="00486FEC">
        <w:rPr>
          <w:rFonts w:ascii="Verdana" w:hAnsi="Verdana"/>
          <w:sz w:val="20"/>
          <w:szCs w:val="20"/>
        </w:rPr>
        <w:t xml:space="preserve">al </w:t>
      </w:r>
      <w:r w:rsidR="00277598" w:rsidRPr="00486FEC">
        <w:rPr>
          <w:rFonts w:ascii="Verdana" w:hAnsi="Verdana"/>
          <w:sz w:val="20"/>
          <w:szCs w:val="20"/>
        </w:rPr>
        <w:t xml:space="preserve">responder a sus requerimientos, </w:t>
      </w:r>
      <w:r w:rsidR="00B73BBD" w:rsidRPr="00486FEC">
        <w:rPr>
          <w:rFonts w:ascii="Verdana" w:hAnsi="Verdana"/>
          <w:sz w:val="20"/>
          <w:szCs w:val="20"/>
        </w:rPr>
        <w:t xml:space="preserve">resulta manifiesto </w:t>
      </w:r>
      <w:r w:rsidR="00682E8A" w:rsidRPr="00486FEC">
        <w:rPr>
          <w:rFonts w:ascii="Verdana" w:hAnsi="Verdana"/>
          <w:sz w:val="20"/>
          <w:szCs w:val="20"/>
        </w:rPr>
        <w:t xml:space="preserve">el daño irreparable a la institucionalidad derivado de </w:t>
      </w:r>
      <w:r w:rsidRPr="00486FEC">
        <w:rPr>
          <w:rFonts w:ascii="Verdana" w:hAnsi="Verdana"/>
          <w:sz w:val="20"/>
          <w:szCs w:val="20"/>
        </w:rPr>
        <w:t>la forma en que el E</w:t>
      </w:r>
      <w:r w:rsidR="00682E8A" w:rsidRPr="00486FEC">
        <w:rPr>
          <w:rFonts w:ascii="Verdana" w:hAnsi="Verdana"/>
          <w:sz w:val="20"/>
          <w:szCs w:val="20"/>
        </w:rPr>
        <w:t xml:space="preserve">jecutivo </w:t>
      </w:r>
      <w:r w:rsidRPr="00486FEC">
        <w:rPr>
          <w:rFonts w:ascii="Verdana" w:hAnsi="Verdana"/>
          <w:sz w:val="20"/>
          <w:szCs w:val="20"/>
        </w:rPr>
        <w:t xml:space="preserve">ejerció los poderes que le atribuyera </w:t>
      </w:r>
      <w:r w:rsidR="005D4B5C" w:rsidRPr="00486FEC">
        <w:rPr>
          <w:rFonts w:ascii="Verdana" w:hAnsi="Verdana"/>
          <w:sz w:val="20"/>
          <w:szCs w:val="20"/>
        </w:rPr>
        <w:t>la referida consulta.</w:t>
      </w:r>
    </w:p>
    <w:p w14:paraId="1BB92E9A"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422CD1DF" w14:textId="5164AC5C" w:rsidR="00CA5BFE" w:rsidRDefault="00B27937"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En efecto: </w:t>
      </w:r>
      <w:r w:rsidR="00AB56DF" w:rsidRPr="00486FEC">
        <w:rPr>
          <w:rFonts w:ascii="Verdana" w:hAnsi="Verdana"/>
          <w:sz w:val="20"/>
          <w:szCs w:val="20"/>
        </w:rPr>
        <w:t xml:space="preserve">el </w:t>
      </w:r>
      <w:r w:rsidRPr="00486FEC">
        <w:rPr>
          <w:rFonts w:ascii="Verdana" w:hAnsi="Verdana"/>
          <w:sz w:val="20"/>
          <w:szCs w:val="20"/>
        </w:rPr>
        <w:t>E</w:t>
      </w:r>
      <w:r w:rsidR="00AB56DF" w:rsidRPr="00486FEC">
        <w:rPr>
          <w:rFonts w:ascii="Verdana" w:hAnsi="Verdana"/>
          <w:sz w:val="20"/>
          <w:szCs w:val="20"/>
        </w:rPr>
        <w:t xml:space="preserve">jecutivo del momento removió a </w:t>
      </w:r>
      <w:r w:rsidR="00385F66" w:rsidRPr="00486FEC">
        <w:rPr>
          <w:rFonts w:ascii="Verdana" w:hAnsi="Verdana"/>
          <w:sz w:val="20"/>
          <w:szCs w:val="20"/>
        </w:rPr>
        <w:t>los consejeros</w:t>
      </w:r>
      <w:r w:rsidR="00997C69" w:rsidRPr="00486FEC">
        <w:rPr>
          <w:rFonts w:ascii="Verdana" w:hAnsi="Verdana"/>
          <w:sz w:val="20"/>
          <w:szCs w:val="20"/>
        </w:rPr>
        <w:t xml:space="preserve"> cuyo mandato terminaba en el año 2020 </w:t>
      </w:r>
      <w:r w:rsidR="00385F66" w:rsidRPr="00486FEC">
        <w:rPr>
          <w:rFonts w:ascii="Verdana" w:hAnsi="Verdana"/>
          <w:sz w:val="20"/>
          <w:szCs w:val="20"/>
        </w:rPr>
        <w:t xml:space="preserve">y </w:t>
      </w:r>
      <w:r w:rsidR="00997C69" w:rsidRPr="00486FEC">
        <w:rPr>
          <w:rFonts w:ascii="Verdana" w:hAnsi="Verdana"/>
          <w:sz w:val="20"/>
          <w:szCs w:val="20"/>
        </w:rPr>
        <w:t xml:space="preserve">los reemplazó por </w:t>
      </w:r>
      <w:r w:rsidR="00385F66" w:rsidRPr="00486FEC">
        <w:rPr>
          <w:rFonts w:ascii="Verdana" w:hAnsi="Verdana"/>
          <w:sz w:val="20"/>
          <w:szCs w:val="20"/>
        </w:rPr>
        <w:t>un Consejo Provisorio</w:t>
      </w:r>
      <w:r w:rsidR="00A3647E" w:rsidRPr="00486FEC">
        <w:rPr>
          <w:rFonts w:ascii="Verdana" w:hAnsi="Verdana"/>
          <w:sz w:val="20"/>
          <w:szCs w:val="20"/>
        </w:rPr>
        <w:t>, nombrado formalmente por el Legislativo, pero de ternas previamente enviadas por el ejecutivo, sin que el legislativo pudiera nombrar a ninguna otra persona fuera de las propuestas por el ejecutivo</w:t>
      </w:r>
      <w:r w:rsidR="00CA5BFE" w:rsidRPr="00486FEC">
        <w:rPr>
          <w:rFonts w:ascii="Verdana" w:hAnsi="Verdana"/>
          <w:sz w:val="20"/>
          <w:szCs w:val="20"/>
        </w:rPr>
        <w:t xml:space="preserve"> en esas ternas</w:t>
      </w:r>
      <w:r w:rsidR="00A3647E" w:rsidRPr="00486FEC">
        <w:rPr>
          <w:rFonts w:ascii="Verdana" w:hAnsi="Verdana"/>
          <w:sz w:val="20"/>
          <w:szCs w:val="20"/>
        </w:rPr>
        <w:t>, siendo de destacar que éste contaba con</w:t>
      </w:r>
      <w:r w:rsidR="00486FEC">
        <w:rPr>
          <w:rFonts w:ascii="Verdana" w:hAnsi="Verdana"/>
          <w:sz w:val="20"/>
          <w:szCs w:val="20"/>
        </w:rPr>
        <w:t xml:space="preserve"> mayoría propia en la Asamblea.</w:t>
      </w:r>
    </w:p>
    <w:p w14:paraId="1E351898" w14:textId="35095931"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4C7C384B" w14:textId="2F3A2BFE" w:rsidR="00000B34" w:rsidRDefault="00997C69"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Todo parece indicar que los miembros de</w:t>
      </w:r>
      <w:r w:rsidR="00B27937" w:rsidRPr="00486FEC">
        <w:rPr>
          <w:rFonts w:ascii="Verdana" w:hAnsi="Verdana"/>
          <w:sz w:val="20"/>
          <w:szCs w:val="20"/>
        </w:rPr>
        <w:t xml:space="preserve"> ese</w:t>
      </w:r>
      <w:r w:rsidRPr="00486FEC">
        <w:rPr>
          <w:rFonts w:ascii="Verdana" w:hAnsi="Verdana"/>
          <w:sz w:val="20"/>
          <w:szCs w:val="20"/>
        </w:rPr>
        <w:t xml:space="preserve"> Consejo Provisorio </w:t>
      </w:r>
      <w:r w:rsidR="00385F66" w:rsidRPr="00486FEC">
        <w:rPr>
          <w:rFonts w:ascii="Verdana" w:hAnsi="Verdana"/>
          <w:sz w:val="20"/>
          <w:szCs w:val="20"/>
        </w:rPr>
        <w:t>s</w:t>
      </w:r>
      <w:r w:rsidR="00085D11" w:rsidRPr="00486FEC">
        <w:rPr>
          <w:rFonts w:ascii="Verdana" w:hAnsi="Verdana"/>
          <w:sz w:val="20"/>
          <w:szCs w:val="20"/>
        </w:rPr>
        <w:t xml:space="preserve">e atribuyeron </w:t>
      </w:r>
      <w:r w:rsidR="009F6334" w:rsidRPr="00486FEC">
        <w:rPr>
          <w:rFonts w:ascii="Verdana" w:hAnsi="Verdana"/>
          <w:sz w:val="20"/>
          <w:szCs w:val="20"/>
        </w:rPr>
        <w:t xml:space="preserve">y ejercieron </w:t>
      </w:r>
      <w:r w:rsidR="00085D11" w:rsidRPr="00486FEC">
        <w:rPr>
          <w:rFonts w:ascii="Verdana" w:hAnsi="Verdana"/>
          <w:sz w:val="20"/>
          <w:szCs w:val="20"/>
        </w:rPr>
        <w:t>potestades que no conf</w:t>
      </w:r>
      <w:r w:rsidR="00AB56DF" w:rsidRPr="00486FEC">
        <w:rPr>
          <w:rFonts w:ascii="Verdana" w:hAnsi="Verdana"/>
          <w:sz w:val="20"/>
          <w:szCs w:val="20"/>
        </w:rPr>
        <w:t xml:space="preserve">iere </w:t>
      </w:r>
      <w:r w:rsidR="00385F66" w:rsidRPr="00486FEC">
        <w:rPr>
          <w:rFonts w:ascii="Verdana" w:hAnsi="Verdana"/>
          <w:sz w:val="20"/>
          <w:szCs w:val="20"/>
        </w:rPr>
        <w:t xml:space="preserve">la Constitución a ese organismo, </w:t>
      </w:r>
      <w:r w:rsidR="00085D11" w:rsidRPr="00486FEC">
        <w:rPr>
          <w:rFonts w:ascii="Verdana" w:hAnsi="Verdana"/>
          <w:sz w:val="20"/>
          <w:szCs w:val="20"/>
        </w:rPr>
        <w:t xml:space="preserve">en función de las cuales </w:t>
      </w:r>
      <w:r w:rsidR="00385F66" w:rsidRPr="00486FEC">
        <w:rPr>
          <w:rFonts w:ascii="Verdana" w:hAnsi="Verdana"/>
          <w:sz w:val="20"/>
          <w:szCs w:val="20"/>
        </w:rPr>
        <w:t>removieron</w:t>
      </w:r>
      <w:r w:rsidR="00085D11" w:rsidRPr="00486FEC">
        <w:rPr>
          <w:rFonts w:ascii="Verdana" w:hAnsi="Verdana"/>
          <w:sz w:val="20"/>
          <w:szCs w:val="20"/>
        </w:rPr>
        <w:t>, aco</w:t>
      </w:r>
      <w:r w:rsidR="00E1285B" w:rsidRPr="00486FEC">
        <w:rPr>
          <w:rFonts w:ascii="Verdana" w:hAnsi="Verdana"/>
          <w:sz w:val="20"/>
          <w:szCs w:val="20"/>
        </w:rPr>
        <w:t>r</w:t>
      </w:r>
      <w:r w:rsidR="00085D11" w:rsidRPr="00486FEC">
        <w:rPr>
          <w:rFonts w:ascii="Verdana" w:hAnsi="Verdana"/>
          <w:sz w:val="20"/>
          <w:szCs w:val="20"/>
        </w:rPr>
        <w:t xml:space="preserve">taron los mandatos o de alguna manera </w:t>
      </w:r>
      <w:r w:rsidR="00B85EE7" w:rsidRPr="00486FEC">
        <w:rPr>
          <w:rFonts w:ascii="Verdana" w:hAnsi="Verdana"/>
          <w:sz w:val="20"/>
          <w:szCs w:val="20"/>
        </w:rPr>
        <w:t>se liberaron de los jueces de la</w:t>
      </w:r>
      <w:r w:rsidR="00385F66" w:rsidRPr="00486FEC">
        <w:rPr>
          <w:rFonts w:ascii="Verdana" w:hAnsi="Verdana"/>
          <w:sz w:val="20"/>
          <w:szCs w:val="20"/>
        </w:rPr>
        <w:t xml:space="preserve"> Corte Constitucional</w:t>
      </w:r>
      <w:r w:rsidR="00250C08" w:rsidRPr="00486FEC">
        <w:rPr>
          <w:rFonts w:ascii="Verdana" w:hAnsi="Verdana"/>
          <w:sz w:val="20"/>
          <w:szCs w:val="20"/>
        </w:rPr>
        <w:t>, removieron a los consejeros de</w:t>
      </w:r>
      <w:r w:rsidR="00085D11" w:rsidRPr="00486FEC">
        <w:rPr>
          <w:rFonts w:ascii="Verdana" w:hAnsi="Verdana"/>
          <w:sz w:val="20"/>
          <w:szCs w:val="20"/>
        </w:rPr>
        <w:t xml:space="preserve">l </w:t>
      </w:r>
      <w:r w:rsidR="00385F66" w:rsidRPr="00486FEC">
        <w:rPr>
          <w:rFonts w:ascii="Verdana" w:hAnsi="Verdana"/>
          <w:sz w:val="20"/>
          <w:szCs w:val="20"/>
        </w:rPr>
        <w:t>Consejo de la Judicatura</w:t>
      </w:r>
      <w:r w:rsidR="000D2E32" w:rsidRPr="00486FEC">
        <w:rPr>
          <w:rFonts w:ascii="Verdana" w:hAnsi="Verdana"/>
          <w:sz w:val="20"/>
          <w:szCs w:val="20"/>
        </w:rPr>
        <w:t xml:space="preserve">, </w:t>
      </w:r>
      <w:r w:rsidR="000A37CC" w:rsidRPr="00486FEC">
        <w:rPr>
          <w:rFonts w:ascii="Verdana" w:hAnsi="Verdana"/>
          <w:sz w:val="20"/>
          <w:szCs w:val="20"/>
        </w:rPr>
        <w:t>nombra</w:t>
      </w:r>
      <w:r w:rsidR="00B27937" w:rsidRPr="00486FEC">
        <w:rPr>
          <w:rFonts w:ascii="Verdana" w:hAnsi="Verdana"/>
          <w:sz w:val="20"/>
          <w:szCs w:val="20"/>
        </w:rPr>
        <w:t xml:space="preserve">ron </w:t>
      </w:r>
      <w:r w:rsidR="000A37CC" w:rsidRPr="00486FEC">
        <w:rPr>
          <w:rFonts w:ascii="Verdana" w:hAnsi="Verdana"/>
          <w:sz w:val="20"/>
          <w:szCs w:val="20"/>
        </w:rPr>
        <w:t>nuevos consejeros</w:t>
      </w:r>
      <w:r w:rsidR="00250C08" w:rsidRPr="00486FEC">
        <w:rPr>
          <w:rFonts w:ascii="Verdana" w:hAnsi="Verdana"/>
          <w:sz w:val="20"/>
          <w:szCs w:val="20"/>
        </w:rPr>
        <w:t xml:space="preserve"> con la misión de </w:t>
      </w:r>
      <w:r w:rsidR="00250C08" w:rsidRPr="00486FEC">
        <w:rPr>
          <w:rFonts w:ascii="Verdana" w:hAnsi="Verdana"/>
          <w:i/>
          <w:sz w:val="20"/>
          <w:szCs w:val="20"/>
        </w:rPr>
        <w:t xml:space="preserve">evaluar </w:t>
      </w:r>
      <w:r w:rsidR="00250C08" w:rsidRPr="00486FEC">
        <w:rPr>
          <w:rFonts w:ascii="Verdana" w:hAnsi="Verdana"/>
          <w:sz w:val="20"/>
          <w:szCs w:val="20"/>
        </w:rPr>
        <w:t>jueces</w:t>
      </w:r>
      <w:r w:rsidR="000A37CC" w:rsidRPr="00486FEC">
        <w:rPr>
          <w:rFonts w:ascii="Verdana" w:hAnsi="Verdana"/>
          <w:sz w:val="20"/>
          <w:szCs w:val="20"/>
        </w:rPr>
        <w:t xml:space="preserve"> y luego</w:t>
      </w:r>
      <w:r w:rsidR="000D2E32" w:rsidRPr="00486FEC">
        <w:rPr>
          <w:rFonts w:ascii="Verdana" w:hAnsi="Verdana"/>
          <w:sz w:val="20"/>
          <w:szCs w:val="20"/>
        </w:rPr>
        <w:t xml:space="preserve"> interf</w:t>
      </w:r>
      <w:r w:rsidR="00B27937" w:rsidRPr="00486FEC">
        <w:rPr>
          <w:rFonts w:ascii="Verdana" w:hAnsi="Verdana"/>
          <w:sz w:val="20"/>
          <w:szCs w:val="20"/>
        </w:rPr>
        <w:t xml:space="preserve">irieron en </w:t>
      </w:r>
      <w:r w:rsidR="000D2E32" w:rsidRPr="00486FEC">
        <w:rPr>
          <w:rFonts w:ascii="Verdana" w:hAnsi="Verdana"/>
          <w:sz w:val="20"/>
          <w:szCs w:val="20"/>
        </w:rPr>
        <w:t xml:space="preserve">la acción de este </w:t>
      </w:r>
      <w:r w:rsidR="000A37CC" w:rsidRPr="00486FEC">
        <w:rPr>
          <w:rFonts w:ascii="Verdana" w:hAnsi="Verdana"/>
          <w:sz w:val="20"/>
          <w:szCs w:val="20"/>
        </w:rPr>
        <w:t xml:space="preserve">mismo </w:t>
      </w:r>
      <w:r w:rsidR="000D2E32" w:rsidRPr="00486FEC">
        <w:rPr>
          <w:rFonts w:ascii="Verdana" w:hAnsi="Verdana"/>
          <w:sz w:val="20"/>
          <w:szCs w:val="20"/>
        </w:rPr>
        <w:t>organismo</w:t>
      </w:r>
      <w:r w:rsidR="000A37CC" w:rsidRPr="00486FEC">
        <w:rPr>
          <w:rFonts w:ascii="Verdana" w:hAnsi="Verdana"/>
          <w:sz w:val="20"/>
          <w:szCs w:val="20"/>
        </w:rPr>
        <w:t xml:space="preserve"> deteniendo </w:t>
      </w:r>
      <w:r w:rsidR="00046F00" w:rsidRPr="00486FEC">
        <w:rPr>
          <w:rFonts w:ascii="Verdana" w:hAnsi="Verdana"/>
          <w:sz w:val="20"/>
          <w:szCs w:val="20"/>
        </w:rPr>
        <w:t xml:space="preserve">el trámite de </w:t>
      </w:r>
      <w:r w:rsidR="000A37CC" w:rsidRPr="00486FEC">
        <w:rPr>
          <w:rFonts w:ascii="Verdana" w:hAnsi="Verdana"/>
          <w:sz w:val="20"/>
          <w:szCs w:val="20"/>
        </w:rPr>
        <w:t>concursos</w:t>
      </w:r>
      <w:r w:rsidR="00000B34" w:rsidRPr="00486FEC">
        <w:rPr>
          <w:rFonts w:ascii="Verdana" w:hAnsi="Verdana"/>
          <w:sz w:val="20"/>
          <w:szCs w:val="20"/>
        </w:rPr>
        <w:t>.</w:t>
      </w:r>
    </w:p>
    <w:p w14:paraId="65B68451" w14:textId="0FE2DEE5"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54887EBF" w14:textId="0C8A72BF" w:rsidR="00000B34" w:rsidRPr="00486FEC" w:rsidRDefault="00385F66"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De ese modo, </w:t>
      </w:r>
      <w:r w:rsidR="00250C08" w:rsidRPr="00486FEC">
        <w:rPr>
          <w:rFonts w:ascii="Verdana" w:hAnsi="Verdana"/>
          <w:sz w:val="20"/>
          <w:szCs w:val="20"/>
        </w:rPr>
        <w:t xml:space="preserve">en principio </w:t>
      </w:r>
      <w:r w:rsidRPr="00486FEC">
        <w:rPr>
          <w:rFonts w:ascii="Verdana" w:hAnsi="Verdana"/>
          <w:i/>
          <w:sz w:val="20"/>
          <w:szCs w:val="20"/>
        </w:rPr>
        <w:t>result</w:t>
      </w:r>
      <w:r w:rsidR="000D2E32" w:rsidRPr="00486FEC">
        <w:rPr>
          <w:rFonts w:ascii="Verdana" w:hAnsi="Verdana"/>
          <w:i/>
          <w:sz w:val="20"/>
          <w:szCs w:val="20"/>
        </w:rPr>
        <w:t xml:space="preserve">a </w:t>
      </w:r>
      <w:r w:rsidRPr="00486FEC">
        <w:rPr>
          <w:rFonts w:ascii="Verdana" w:hAnsi="Verdana"/>
          <w:i/>
          <w:sz w:val="20"/>
          <w:szCs w:val="20"/>
        </w:rPr>
        <w:t>que la consulta fue convocada y se llevó a cabo sin el control constitucional de la Corte Constitucional y, en función de esa consulta</w:t>
      </w:r>
      <w:r w:rsidR="000A37CC" w:rsidRPr="00486FEC">
        <w:rPr>
          <w:rFonts w:ascii="Verdana" w:hAnsi="Verdana"/>
          <w:i/>
          <w:sz w:val="20"/>
          <w:szCs w:val="20"/>
        </w:rPr>
        <w:t xml:space="preserve">, el ejecutivo </w:t>
      </w:r>
      <w:r w:rsidRPr="00486FEC">
        <w:rPr>
          <w:rFonts w:ascii="Verdana" w:hAnsi="Verdana"/>
          <w:i/>
          <w:sz w:val="20"/>
          <w:szCs w:val="20"/>
        </w:rPr>
        <w:t xml:space="preserve">nombró un nuevo Consejo </w:t>
      </w:r>
      <w:r w:rsidR="00085D11" w:rsidRPr="00486FEC">
        <w:rPr>
          <w:rFonts w:ascii="Verdana" w:hAnsi="Verdana"/>
          <w:i/>
          <w:sz w:val="20"/>
          <w:szCs w:val="20"/>
        </w:rPr>
        <w:t xml:space="preserve">Provisorio </w:t>
      </w:r>
      <w:r w:rsidRPr="00486FEC">
        <w:rPr>
          <w:rFonts w:ascii="Verdana" w:hAnsi="Verdana"/>
          <w:i/>
          <w:sz w:val="20"/>
          <w:szCs w:val="20"/>
        </w:rPr>
        <w:t xml:space="preserve">que </w:t>
      </w:r>
      <w:r w:rsidR="00B85EE7" w:rsidRPr="00486FEC">
        <w:rPr>
          <w:rFonts w:ascii="Verdana" w:hAnsi="Verdana"/>
          <w:i/>
          <w:sz w:val="20"/>
          <w:szCs w:val="20"/>
        </w:rPr>
        <w:t xml:space="preserve">de alguna manera </w:t>
      </w:r>
      <w:r w:rsidR="000D2E32" w:rsidRPr="00486FEC">
        <w:rPr>
          <w:rFonts w:ascii="Verdana" w:hAnsi="Verdana"/>
          <w:i/>
          <w:sz w:val="20"/>
          <w:szCs w:val="20"/>
        </w:rPr>
        <w:t xml:space="preserve">habría removido </w:t>
      </w:r>
      <w:r w:rsidRPr="00486FEC">
        <w:rPr>
          <w:rFonts w:ascii="Verdana" w:hAnsi="Verdana"/>
          <w:i/>
          <w:sz w:val="20"/>
          <w:szCs w:val="20"/>
        </w:rPr>
        <w:t xml:space="preserve">a los jueces de la Corte </w:t>
      </w:r>
      <w:r w:rsidR="00085D11" w:rsidRPr="00486FEC">
        <w:rPr>
          <w:rFonts w:ascii="Verdana" w:hAnsi="Verdana"/>
          <w:i/>
          <w:sz w:val="20"/>
          <w:szCs w:val="20"/>
        </w:rPr>
        <w:t xml:space="preserve">Constitucional </w:t>
      </w:r>
      <w:r w:rsidRPr="00486FEC">
        <w:rPr>
          <w:rFonts w:ascii="Verdana" w:hAnsi="Verdana"/>
          <w:i/>
          <w:sz w:val="20"/>
          <w:szCs w:val="20"/>
        </w:rPr>
        <w:t xml:space="preserve">que no había </w:t>
      </w:r>
      <w:r w:rsidR="00B73BBD" w:rsidRPr="00486FEC">
        <w:rPr>
          <w:rFonts w:ascii="Verdana" w:hAnsi="Verdana"/>
          <w:i/>
          <w:sz w:val="20"/>
          <w:szCs w:val="20"/>
        </w:rPr>
        <w:t xml:space="preserve">ejercido el control habilitante de </w:t>
      </w:r>
      <w:r w:rsidRPr="00486FEC">
        <w:rPr>
          <w:rFonts w:ascii="Verdana" w:hAnsi="Verdana"/>
          <w:i/>
          <w:sz w:val="20"/>
          <w:szCs w:val="20"/>
        </w:rPr>
        <w:t>la consulta.</w:t>
      </w:r>
    </w:p>
    <w:p w14:paraId="3660CDA6" w14:textId="7329332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137335A3" w14:textId="32A96140" w:rsidR="00000B34" w:rsidRDefault="00B73BBD"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Es más que obvio </w:t>
      </w:r>
      <w:r w:rsidR="00385F66" w:rsidRPr="00486FEC">
        <w:rPr>
          <w:rFonts w:ascii="Verdana" w:hAnsi="Verdana"/>
          <w:sz w:val="20"/>
          <w:szCs w:val="20"/>
        </w:rPr>
        <w:t>que la jurisprudencia de</w:t>
      </w:r>
      <w:r w:rsidR="00085D11" w:rsidRPr="00486FEC">
        <w:rPr>
          <w:rFonts w:ascii="Verdana" w:hAnsi="Verdana"/>
          <w:sz w:val="20"/>
          <w:szCs w:val="20"/>
        </w:rPr>
        <w:t xml:space="preserve"> </w:t>
      </w:r>
      <w:r w:rsidRPr="00486FEC">
        <w:rPr>
          <w:rFonts w:ascii="Verdana" w:hAnsi="Verdana"/>
          <w:sz w:val="20"/>
          <w:szCs w:val="20"/>
        </w:rPr>
        <w:t xml:space="preserve">este </w:t>
      </w:r>
      <w:r w:rsidR="00085D11" w:rsidRPr="00486FEC">
        <w:rPr>
          <w:rFonts w:ascii="Verdana" w:hAnsi="Verdana"/>
          <w:sz w:val="20"/>
          <w:szCs w:val="20"/>
        </w:rPr>
        <w:t xml:space="preserve">Tribunal </w:t>
      </w:r>
      <w:r w:rsidR="00385F66" w:rsidRPr="00486FEC">
        <w:rPr>
          <w:rFonts w:ascii="Verdana" w:hAnsi="Verdana"/>
          <w:sz w:val="20"/>
          <w:szCs w:val="20"/>
        </w:rPr>
        <w:t>siempre ha sido extremadamente cuidadosa y ha permanecido atenta ante remociones de magistrados, especialmente de tribunales supremos</w:t>
      </w:r>
      <w:r w:rsidRPr="00486FEC">
        <w:rPr>
          <w:rFonts w:ascii="Verdana" w:hAnsi="Verdana"/>
          <w:sz w:val="20"/>
          <w:szCs w:val="20"/>
        </w:rPr>
        <w:t xml:space="preserve"> y constitucionales</w:t>
      </w:r>
      <w:r w:rsidR="00385F66" w:rsidRPr="00486FEC">
        <w:rPr>
          <w:rFonts w:ascii="Verdana" w:hAnsi="Verdana"/>
          <w:sz w:val="20"/>
          <w:szCs w:val="20"/>
        </w:rPr>
        <w:t xml:space="preserve">, como en </w:t>
      </w:r>
      <w:r w:rsidR="00682E8A" w:rsidRPr="00486FEC">
        <w:rPr>
          <w:rFonts w:ascii="Verdana" w:hAnsi="Verdana"/>
          <w:sz w:val="20"/>
          <w:szCs w:val="20"/>
        </w:rPr>
        <w:t xml:space="preserve">los casos </w:t>
      </w:r>
      <w:r w:rsidR="00385F66" w:rsidRPr="00486FEC">
        <w:rPr>
          <w:rFonts w:ascii="Verdana" w:hAnsi="Verdana"/>
          <w:sz w:val="20"/>
          <w:szCs w:val="20"/>
        </w:rPr>
        <w:t>de Perú y otros Estados</w:t>
      </w:r>
      <w:r w:rsidR="00490354" w:rsidRPr="00486FEC">
        <w:rPr>
          <w:rStyle w:val="Refdenotaalpie"/>
          <w:rFonts w:ascii="Verdana" w:hAnsi="Verdana"/>
          <w:sz w:val="20"/>
          <w:szCs w:val="20"/>
        </w:rPr>
        <w:footnoteReference w:id="12"/>
      </w:r>
      <w:r w:rsidR="006638BA" w:rsidRPr="00486FEC">
        <w:rPr>
          <w:rFonts w:ascii="Verdana" w:hAnsi="Verdana"/>
          <w:sz w:val="20"/>
          <w:szCs w:val="20"/>
        </w:rPr>
        <w:t xml:space="preserve">. </w:t>
      </w:r>
      <w:r w:rsidR="00385F66" w:rsidRPr="00486FEC">
        <w:rPr>
          <w:rFonts w:ascii="Verdana" w:hAnsi="Verdana"/>
          <w:sz w:val="20"/>
          <w:szCs w:val="20"/>
        </w:rPr>
        <w:t xml:space="preserve">Si bien el caso no ha sido planteado, </w:t>
      </w:r>
      <w:r w:rsidR="00682E8A" w:rsidRPr="00486FEC">
        <w:rPr>
          <w:rFonts w:ascii="Verdana" w:hAnsi="Verdana"/>
          <w:sz w:val="20"/>
          <w:szCs w:val="20"/>
        </w:rPr>
        <w:t xml:space="preserve">la Corte no por eso puede </w:t>
      </w:r>
      <w:r w:rsidR="00385F66" w:rsidRPr="00486FEC">
        <w:rPr>
          <w:rFonts w:ascii="Verdana" w:hAnsi="Verdana"/>
          <w:sz w:val="20"/>
          <w:szCs w:val="20"/>
        </w:rPr>
        <w:t>pasar por alto est</w:t>
      </w:r>
      <w:r w:rsidR="000D2E32" w:rsidRPr="00486FEC">
        <w:rPr>
          <w:rFonts w:ascii="Verdana" w:hAnsi="Verdana"/>
          <w:sz w:val="20"/>
          <w:szCs w:val="20"/>
        </w:rPr>
        <w:t xml:space="preserve">os episodios </w:t>
      </w:r>
      <w:r w:rsidR="00385F66" w:rsidRPr="00486FEC">
        <w:rPr>
          <w:rFonts w:ascii="Verdana" w:hAnsi="Verdana"/>
          <w:sz w:val="20"/>
          <w:szCs w:val="20"/>
        </w:rPr>
        <w:t>de alto volumen institucional</w:t>
      </w:r>
      <w:r w:rsidR="00046F00" w:rsidRPr="00486FEC">
        <w:rPr>
          <w:rFonts w:ascii="Verdana" w:hAnsi="Verdana"/>
          <w:sz w:val="20"/>
          <w:szCs w:val="20"/>
        </w:rPr>
        <w:t xml:space="preserve"> al enmarcar el caso</w:t>
      </w:r>
      <w:r w:rsidR="00000B34" w:rsidRPr="00486FEC">
        <w:rPr>
          <w:rFonts w:ascii="Verdana" w:hAnsi="Verdana"/>
          <w:sz w:val="20"/>
          <w:szCs w:val="20"/>
        </w:rPr>
        <w:t>.</w:t>
      </w:r>
    </w:p>
    <w:p w14:paraId="2704ACF8" w14:textId="0F1F94D8"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45DD764C" w14:textId="6F2B2EE3" w:rsidR="00000B34" w:rsidRDefault="004B2F4E"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Dado que el </w:t>
      </w:r>
      <w:r w:rsidR="00030F17" w:rsidRPr="00486FEC">
        <w:rPr>
          <w:rFonts w:ascii="Verdana" w:hAnsi="Verdana"/>
          <w:sz w:val="20"/>
          <w:szCs w:val="20"/>
        </w:rPr>
        <w:t xml:space="preserve">Consejo Provisorio también </w:t>
      </w:r>
      <w:r w:rsidR="000A37CC" w:rsidRPr="00486FEC">
        <w:rPr>
          <w:rFonts w:ascii="Verdana" w:hAnsi="Verdana"/>
          <w:sz w:val="20"/>
          <w:szCs w:val="20"/>
        </w:rPr>
        <w:t xml:space="preserve">nombró un nuevo </w:t>
      </w:r>
      <w:r w:rsidR="00030F17" w:rsidRPr="00486FEC">
        <w:rPr>
          <w:rFonts w:ascii="Verdana" w:hAnsi="Verdana"/>
          <w:sz w:val="20"/>
          <w:szCs w:val="20"/>
        </w:rPr>
        <w:t>Consejo de la Judicatura</w:t>
      </w:r>
      <w:r w:rsidR="000A37CC" w:rsidRPr="00486FEC">
        <w:rPr>
          <w:rFonts w:ascii="Verdana" w:hAnsi="Verdana"/>
          <w:sz w:val="20"/>
          <w:szCs w:val="20"/>
        </w:rPr>
        <w:t xml:space="preserve"> al que encargó de evaluar y remover jueces, </w:t>
      </w:r>
      <w:r w:rsidR="00085D11" w:rsidRPr="00486FEC">
        <w:rPr>
          <w:rFonts w:ascii="Verdana" w:hAnsi="Verdana"/>
          <w:sz w:val="20"/>
          <w:szCs w:val="20"/>
        </w:rPr>
        <w:t>el reemplazo de los consejeros</w:t>
      </w:r>
      <w:r w:rsidR="000A37CC" w:rsidRPr="00486FEC">
        <w:rPr>
          <w:rFonts w:ascii="Verdana" w:hAnsi="Verdana"/>
          <w:sz w:val="20"/>
          <w:szCs w:val="20"/>
        </w:rPr>
        <w:t xml:space="preserve"> dispuesto por el ejecutivo </w:t>
      </w:r>
      <w:r w:rsidR="00085D11" w:rsidRPr="00486FEC">
        <w:rPr>
          <w:rFonts w:ascii="Verdana" w:hAnsi="Verdana"/>
          <w:sz w:val="20"/>
          <w:szCs w:val="20"/>
        </w:rPr>
        <w:t xml:space="preserve">habilitado </w:t>
      </w:r>
      <w:r w:rsidR="000A37CC" w:rsidRPr="00486FEC">
        <w:rPr>
          <w:rFonts w:ascii="Verdana" w:hAnsi="Verdana"/>
          <w:sz w:val="20"/>
          <w:szCs w:val="20"/>
        </w:rPr>
        <w:t xml:space="preserve">para eso </w:t>
      </w:r>
      <w:r w:rsidR="00085D11" w:rsidRPr="00486FEC">
        <w:rPr>
          <w:rFonts w:ascii="Verdana" w:hAnsi="Verdana"/>
          <w:sz w:val="20"/>
          <w:szCs w:val="20"/>
        </w:rPr>
        <w:t>por la consulta</w:t>
      </w:r>
      <w:r w:rsidR="00B73BBD" w:rsidRPr="00486FEC">
        <w:rPr>
          <w:rFonts w:ascii="Verdana" w:hAnsi="Verdana"/>
          <w:sz w:val="20"/>
          <w:szCs w:val="20"/>
        </w:rPr>
        <w:t>, por vía directa o indirecta</w:t>
      </w:r>
      <w:r w:rsidR="00085D11" w:rsidRPr="00486FEC">
        <w:rPr>
          <w:rFonts w:ascii="Verdana" w:hAnsi="Verdana"/>
          <w:sz w:val="20"/>
          <w:szCs w:val="20"/>
        </w:rPr>
        <w:t xml:space="preserve"> </w:t>
      </w:r>
      <w:r w:rsidR="001F19D3" w:rsidRPr="00486FEC">
        <w:rPr>
          <w:rFonts w:ascii="Verdana" w:hAnsi="Verdana"/>
          <w:sz w:val="20"/>
          <w:szCs w:val="20"/>
        </w:rPr>
        <w:t>posibilitó</w:t>
      </w:r>
      <w:r w:rsidR="00046F00" w:rsidRPr="00486FEC">
        <w:rPr>
          <w:rFonts w:ascii="Verdana" w:hAnsi="Verdana"/>
          <w:sz w:val="20"/>
          <w:szCs w:val="20"/>
        </w:rPr>
        <w:t xml:space="preserve"> las </w:t>
      </w:r>
      <w:r w:rsidR="00085D11" w:rsidRPr="00486FEC">
        <w:rPr>
          <w:rFonts w:ascii="Verdana" w:hAnsi="Verdana"/>
          <w:sz w:val="20"/>
          <w:szCs w:val="20"/>
        </w:rPr>
        <w:t>d</w:t>
      </w:r>
      <w:r w:rsidRPr="00486FEC">
        <w:rPr>
          <w:rFonts w:ascii="Verdana" w:hAnsi="Verdana"/>
          <w:sz w:val="20"/>
          <w:szCs w:val="20"/>
        </w:rPr>
        <w:t xml:space="preserve">estituciones de jueces y </w:t>
      </w:r>
      <w:r w:rsidR="000D2E32" w:rsidRPr="00486FEC">
        <w:rPr>
          <w:rFonts w:ascii="Verdana" w:hAnsi="Verdana"/>
          <w:sz w:val="20"/>
          <w:szCs w:val="20"/>
        </w:rPr>
        <w:t xml:space="preserve">de algún modo se suspendió la designación de nuevos jueces por concurso, lo que </w:t>
      </w:r>
      <w:r w:rsidR="00085D11" w:rsidRPr="00486FEC">
        <w:rPr>
          <w:rFonts w:ascii="Verdana" w:hAnsi="Verdana"/>
          <w:sz w:val="20"/>
          <w:szCs w:val="20"/>
        </w:rPr>
        <w:t xml:space="preserve">permitió </w:t>
      </w:r>
      <w:r w:rsidR="000D2E32" w:rsidRPr="00486FEC">
        <w:rPr>
          <w:rFonts w:ascii="Verdana" w:hAnsi="Verdana"/>
          <w:sz w:val="20"/>
          <w:szCs w:val="20"/>
        </w:rPr>
        <w:t>la</w:t>
      </w:r>
      <w:r w:rsidR="00046F00" w:rsidRPr="00486FEC">
        <w:rPr>
          <w:rFonts w:ascii="Verdana" w:hAnsi="Verdana"/>
          <w:sz w:val="20"/>
          <w:szCs w:val="20"/>
        </w:rPr>
        <w:t xml:space="preserve"> </w:t>
      </w:r>
      <w:r w:rsidR="000A37CC" w:rsidRPr="00486FEC">
        <w:rPr>
          <w:rFonts w:ascii="Verdana" w:hAnsi="Verdana"/>
          <w:sz w:val="20"/>
          <w:szCs w:val="20"/>
        </w:rPr>
        <w:t xml:space="preserve">permanencia </w:t>
      </w:r>
      <w:r w:rsidRPr="00486FEC">
        <w:rPr>
          <w:rFonts w:ascii="Verdana" w:hAnsi="Verdana"/>
          <w:sz w:val="20"/>
          <w:szCs w:val="20"/>
        </w:rPr>
        <w:t xml:space="preserve">de jueces temporarios, o sea, </w:t>
      </w:r>
      <w:r w:rsidR="00085D11" w:rsidRPr="00486FEC">
        <w:rPr>
          <w:rFonts w:ascii="Verdana" w:hAnsi="Verdana"/>
          <w:sz w:val="20"/>
          <w:szCs w:val="20"/>
        </w:rPr>
        <w:t xml:space="preserve">que </w:t>
      </w:r>
      <w:r w:rsidR="000D2E32" w:rsidRPr="00486FEC">
        <w:rPr>
          <w:rFonts w:ascii="Verdana" w:hAnsi="Verdana"/>
          <w:sz w:val="20"/>
          <w:szCs w:val="20"/>
        </w:rPr>
        <w:t>exist</w:t>
      </w:r>
      <w:r w:rsidR="009F6334" w:rsidRPr="00486FEC">
        <w:rPr>
          <w:rFonts w:ascii="Verdana" w:hAnsi="Verdana"/>
          <w:sz w:val="20"/>
          <w:szCs w:val="20"/>
        </w:rPr>
        <w:t>iría</w:t>
      </w:r>
      <w:r w:rsidR="000D2E32" w:rsidRPr="00486FEC">
        <w:rPr>
          <w:rFonts w:ascii="Verdana" w:hAnsi="Verdana"/>
          <w:sz w:val="20"/>
          <w:szCs w:val="20"/>
        </w:rPr>
        <w:t xml:space="preserve"> una anormalidad institucional que comprometería </w:t>
      </w:r>
      <w:r w:rsidRPr="00486FEC">
        <w:rPr>
          <w:rFonts w:ascii="Verdana" w:hAnsi="Verdana"/>
          <w:sz w:val="20"/>
          <w:szCs w:val="20"/>
        </w:rPr>
        <w:t>seriamente la independencia del Poder Judicial</w:t>
      </w:r>
      <w:r w:rsidR="00085D11" w:rsidRPr="00486FEC">
        <w:rPr>
          <w:rFonts w:ascii="Verdana" w:hAnsi="Verdana"/>
          <w:sz w:val="20"/>
          <w:szCs w:val="20"/>
        </w:rPr>
        <w:t xml:space="preserve"> y el propio principio del juez natural</w:t>
      </w:r>
      <w:r w:rsidR="00000B34" w:rsidRPr="00486FEC">
        <w:rPr>
          <w:rFonts w:ascii="Verdana" w:hAnsi="Verdana"/>
          <w:sz w:val="20"/>
          <w:szCs w:val="20"/>
        </w:rPr>
        <w:t>.</w:t>
      </w:r>
    </w:p>
    <w:p w14:paraId="66B29F8B" w14:textId="1C82F023"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5C101168" w14:textId="72AFE403" w:rsidR="00000B34" w:rsidRDefault="00CA4339"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Cabe observar que </w:t>
      </w:r>
      <w:r w:rsidR="00B73BBD" w:rsidRPr="00486FEC">
        <w:rPr>
          <w:rFonts w:ascii="Verdana" w:hAnsi="Verdana"/>
          <w:sz w:val="20"/>
          <w:szCs w:val="20"/>
        </w:rPr>
        <w:t xml:space="preserve">el </w:t>
      </w:r>
      <w:r w:rsidRPr="00486FEC">
        <w:rPr>
          <w:rFonts w:ascii="Verdana" w:hAnsi="Verdana"/>
          <w:sz w:val="20"/>
          <w:szCs w:val="20"/>
        </w:rPr>
        <w:t xml:space="preserve">Consejo Provisorio </w:t>
      </w:r>
      <w:r w:rsidR="00B73BBD" w:rsidRPr="00486FEC">
        <w:rPr>
          <w:rFonts w:ascii="Verdana" w:hAnsi="Verdana"/>
          <w:sz w:val="20"/>
          <w:szCs w:val="20"/>
        </w:rPr>
        <w:t xml:space="preserve">nominado por el ejecutivo en función de la consulta, </w:t>
      </w:r>
      <w:r w:rsidRPr="00486FEC">
        <w:rPr>
          <w:rFonts w:ascii="Verdana" w:hAnsi="Verdana"/>
          <w:sz w:val="20"/>
          <w:szCs w:val="20"/>
        </w:rPr>
        <w:t>destituyó también al Fiscal General, es decir, al jefe del Ministerio Público y llamó a un concurso para designar a la nueva titular que llevó adelante</w:t>
      </w:r>
      <w:r w:rsidR="00D33794" w:rsidRPr="00486FEC">
        <w:rPr>
          <w:rFonts w:ascii="Verdana" w:hAnsi="Verdana"/>
          <w:sz w:val="20"/>
          <w:szCs w:val="20"/>
        </w:rPr>
        <w:t xml:space="preserve"> las </w:t>
      </w:r>
      <w:r w:rsidRPr="00486FEC">
        <w:rPr>
          <w:rFonts w:ascii="Verdana" w:hAnsi="Verdana"/>
          <w:sz w:val="20"/>
          <w:szCs w:val="20"/>
        </w:rPr>
        <w:t xml:space="preserve"> acusaciones contra los </w:t>
      </w:r>
      <w:r w:rsidR="00390201" w:rsidRPr="00486FEC">
        <w:rPr>
          <w:rFonts w:ascii="Verdana" w:hAnsi="Verdana"/>
          <w:sz w:val="20"/>
          <w:szCs w:val="20"/>
        </w:rPr>
        <w:t>f</w:t>
      </w:r>
      <w:r w:rsidRPr="00486FEC">
        <w:rPr>
          <w:rFonts w:ascii="Verdana" w:hAnsi="Verdana"/>
          <w:sz w:val="20"/>
          <w:szCs w:val="20"/>
        </w:rPr>
        <w:t>unc</w:t>
      </w:r>
      <w:r w:rsidR="00B85EE7" w:rsidRPr="00486FEC">
        <w:rPr>
          <w:rFonts w:ascii="Verdana" w:hAnsi="Verdana"/>
          <w:sz w:val="20"/>
          <w:szCs w:val="20"/>
        </w:rPr>
        <w:t xml:space="preserve">ionarios del anterior gobierno identificados con el </w:t>
      </w:r>
      <w:r w:rsidR="00B73BBD" w:rsidRPr="00486FEC">
        <w:rPr>
          <w:rFonts w:ascii="Verdana" w:hAnsi="Verdana"/>
          <w:sz w:val="20"/>
          <w:szCs w:val="20"/>
        </w:rPr>
        <w:t xml:space="preserve">que a esas alturas había pasado a ser el </w:t>
      </w:r>
      <w:r w:rsidR="00B85EE7" w:rsidRPr="00486FEC">
        <w:rPr>
          <w:rFonts w:ascii="Verdana" w:hAnsi="Verdana"/>
          <w:sz w:val="20"/>
          <w:szCs w:val="20"/>
        </w:rPr>
        <w:t>principal partido político opositor</w:t>
      </w:r>
      <w:r w:rsidR="00B73BBD" w:rsidRPr="00486FEC">
        <w:rPr>
          <w:rFonts w:ascii="Verdana" w:hAnsi="Verdana"/>
          <w:sz w:val="20"/>
          <w:szCs w:val="20"/>
        </w:rPr>
        <w:t xml:space="preserve"> del ejecutivo en funciones</w:t>
      </w:r>
      <w:r w:rsidR="00000B34" w:rsidRPr="00486FEC">
        <w:rPr>
          <w:rFonts w:ascii="Verdana" w:hAnsi="Verdana"/>
          <w:sz w:val="20"/>
          <w:szCs w:val="20"/>
        </w:rPr>
        <w:t>.</w:t>
      </w:r>
    </w:p>
    <w:p w14:paraId="60CB3B01" w14:textId="03D4127D"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6F78ADC7" w14:textId="0EBA9FE5" w:rsidR="00000B34" w:rsidRDefault="00085D11"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Es suficientemente sabido que </w:t>
      </w:r>
      <w:r w:rsidR="00682E8A" w:rsidRPr="00486FEC">
        <w:rPr>
          <w:rFonts w:ascii="Verdana" w:hAnsi="Verdana"/>
          <w:sz w:val="20"/>
          <w:szCs w:val="20"/>
        </w:rPr>
        <w:t>toda</w:t>
      </w:r>
      <w:r w:rsidRPr="00486FEC">
        <w:rPr>
          <w:rFonts w:ascii="Verdana" w:hAnsi="Verdana"/>
          <w:sz w:val="20"/>
          <w:szCs w:val="20"/>
        </w:rPr>
        <w:t xml:space="preserve"> cabeza del Ministerio Público</w:t>
      </w:r>
      <w:r w:rsidR="00682E8A" w:rsidRPr="00486FEC">
        <w:rPr>
          <w:rFonts w:ascii="Verdana" w:hAnsi="Verdana"/>
          <w:sz w:val="20"/>
          <w:szCs w:val="20"/>
        </w:rPr>
        <w:t xml:space="preserve">, como órgano jerarquizado y representante de los intereses de la sociedad, </w:t>
      </w:r>
      <w:r w:rsidRPr="00486FEC">
        <w:rPr>
          <w:rFonts w:ascii="Verdana" w:hAnsi="Verdana"/>
          <w:sz w:val="20"/>
          <w:szCs w:val="20"/>
        </w:rPr>
        <w:t xml:space="preserve">es quien decide la política judicial respecto de los casos </w:t>
      </w:r>
      <w:r w:rsidR="00682E8A" w:rsidRPr="00486FEC">
        <w:rPr>
          <w:rFonts w:ascii="Verdana" w:hAnsi="Verdana"/>
          <w:sz w:val="20"/>
          <w:szCs w:val="20"/>
        </w:rPr>
        <w:t xml:space="preserve">en </w:t>
      </w:r>
      <w:r w:rsidRPr="00486FEC">
        <w:rPr>
          <w:rFonts w:ascii="Verdana" w:hAnsi="Verdana"/>
          <w:sz w:val="20"/>
          <w:szCs w:val="20"/>
        </w:rPr>
        <w:t xml:space="preserve">que </w:t>
      </w:r>
      <w:r w:rsidR="00682E8A" w:rsidRPr="00486FEC">
        <w:rPr>
          <w:rFonts w:ascii="Verdana" w:hAnsi="Verdana"/>
          <w:sz w:val="20"/>
          <w:szCs w:val="20"/>
        </w:rPr>
        <w:t xml:space="preserve">la acción penal debe impulsarse </w:t>
      </w:r>
      <w:r w:rsidRPr="00486FEC">
        <w:rPr>
          <w:rFonts w:ascii="Verdana" w:hAnsi="Verdana"/>
          <w:sz w:val="20"/>
          <w:szCs w:val="20"/>
        </w:rPr>
        <w:t xml:space="preserve">con preferencia a otros y, en este aspecto, tiene un </w:t>
      </w:r>
      <w:r w:rsidR="00B73BBD" w:rsidRPr="00486FEC">
        <w:rPr>
          <w:rFonts w:ascii="Verdana" w:hAnsi="Verdana"/>
          <w:sz w:val="20"/>
          <w:szCs w:val="20"/>
        </w:rPr>
        <w:t xml:space="preserve">decisivo </w:t>
      </w:r>
      <w:r w:rsidRPr="00486FEC">
        <w:rPr>
          <w:rFonts w:ascii="Verdana" w:hAnsi="Verdana"/>
          <w:sz w:val="20"/>
          <w:szCs w:val="20"/>
        </w:rPr>
        <w:t xml:space="preserve">poder de </w:t>
      </w:r>
      <w:r w:rsidR="00682E8A" w:rsidRPr="00486FEC">
        <w:rPr>
          <w:rFonts w:ascii="Verdana" w:hAnsi="Verdana"/>
          <w:sz w:val="20"/>
          <w:szCs w:val="20"/>
        </w:rPr>
        <w:t xml:space="preserve">selección y </w:t>
      </w:r>
      <w:r w:rsidRPr="00486FEC">
        <w:rPr>
          <w:rFonts w:ascii="Verdana" w:hAnsi="Verdana"/>
          <w:sz w:val="20"/>
          <w:szCs w:val="20"/>
        </w:rPr>
        <w:t>ordenamiento</w:t>
      </w:r>
      <w:r w:rsidR="00B73BBD" w:rsidRPr="00486FEC">
        <w:rPr>
          <w:rFonts w:ascii="Verdana" w:hAnsi="Verdana"/>
          <w:sz w:val="20"/>
          <w:szCs w:val="20"/>
        </w:rPr>
        <w:t xml:space="preserve"> de la persecución penal</w:t>
      </w:r>
      <w:r w:rsidR="00000B34" w:rsidRPr="00486FEC">
        <w:rPr>
          <w:rFonts w:ascii="Verdana" w:hAnsi="Verdana"/>
          <w:sz w:val="20"/>
          <w:szCs w:val="20"/>
        </w:rPr>
        <w:t>.</w:t>
      </w:r>
    </w:p>
    <w:p w14:paraId="2894CFE9" w14:textId="4104A6D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03AF93D2" w14:textId="45168EC2" w:rsidR="00000B34" w:rsidRDefault="00634499"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Dos</w:t>
      </w:r>
      <w:r w:rsidR="00085D11" w:rsidRPr="00486FEC">
        <w:rPr>
          <w:rFonts w:ascii="Verdana" w:hAnsi="Verdana"/>
          <w:sz w:val="20"/>
          <w:szCs w:val="20"/>
        </w:rPr>
        <w:t xml:space="preserve"> de las</w:t>
      </w:r>
      <w:r w:rsidRPr="00486FEC">
        <w:rPr>
          <w:rFonts w:ascii="Verdana" w:hAnsi="Verdana"/>
          <w:sz w:val="20"/>
          <w:szCs w:val="20"/>
        </w:rPr>
        <w:t xml:space="preserve"> </w:t>
      </w:r>
      <w:r w:rsidR="004B2F4E" w:rsidRPr="00486FEC">
        <w:rPr>
          <w:rFonts w:ascii="Verdana" w:hAnsi="Verdana"/>
          <w:sz w:val="20"/>
          <w:szCs w:val="20"/>
        </w:rPr>
        <w:t xml:space="preserve">personas condenadas por esos nuevos jueces </w:t>
      </w:r>
      <w:r w:rsidR="00085D11" w:rsidRPr="00486FEC">
        <w:rPr>
          <w:rFonts w:ascii="Verdana" w:hAnsi="Verdana"/>
          <w:sz w:val="20"/>
          <w:szCs w:val="20"/>
        </w:rPr>
        <w:t xml:space="preserve">temporales </w:t>
      </w:r>
      <w:r w:rsidR="00682E8A" w:rsidRPr="00486FEC">
        <w:rPr>
          <w:rFonts w:ascii="Verdana" w:hAnsi="Verdana"/>
          <w:sz w:val="20"/>
          <w:szCs w:val="20"/>
        </w:rPr>
        <w:t xml:space="preserve">en el mismo proceso </w:t>
      </w:r>
      <w:r w:rsidR="00046F00" w:rsidRPr="00486FEC">
        <w:rPr>
          <w:rFonts w:ascii="Verdana" w:hAnsi="Verdana"/>
          <w:sz w:val="20"/>
          <w:szCs w:val="20"/>
        </w:rPr>
        <w:t>(</w:t>
      </w:r>
      <w:r w:rsidR="00046F00" w:rsidRPr="00486FEC">
        <w:rPr>
          <w:rFonts w:ascii="Verdana" w:hAnsi="Verdana"/>
          <w:i/>
          <w:sz w:val="20"/>
          <w:szCs w:val="20"/>
        </w:rPr>
        <w:t>Caso Sobornos</w:t>
      </w:r>
      <w:r w:rsidR="00046F00" w:rsidRPr="00486FEC">
        <w:rPr>
          <w:rFonts w:ascii="Verdana" w:hAnsi="Verdana"/>
          <w:sz w:val="20"/>
          <w:szCs w:val="20"/>
        </w:rPr>
        <w:t xml:space="preserve">, al que me referiré a continuación) </w:t>
      </w:r>
      <w:r w:rsidR="00682E8A" w:rsidRPr="00486FEC">
        <w:rPr>
          <w:rFonts w:ascii="Verdana" w:hAnsi="Verdana"/>
          <w:sz w:val="20"/>
          <w:szCs w:val="20"/>
        </w:rPr>
        <w:t xml:space="preserve">en que se condenó al dirigente máximo del movimiento político opositor y al vicepresidente del ejecutivo que llevó adelante la consulta y nombró al Consejo Provisorio, </w:t>
      </w:r>
      <w:r w:rsidR="004B2F4E" w:rsidRPr="00486FEC">
        <w:rPr>
          <w:rFonts w:ascii="Verdana" w:hAnsi="Verdana"/>
          <w:sz w:val="20"/>
          <w:szCs w:val="20"/>
        </w:rPr>
        <w:t xml:space="preserve">acudieron a las Naciones Unidas, </w:t>
      </w:r>
      <w:r w:rsidRPr="00486FEC">
        <w:rPr>
          <w:rFonts w:ascii="Verdana" w:hAnsi="Verdana"/>
          <w:sz w:val="20"/>
          <w:szCs w:val="20"/>
        </w:rPr>
        <w:t>denunciando persecución política y anomalías que afectarían la independencia</w:t>
      </w:r>
      <w:r w:rsidR="00000B34" w:rsidRPr="00486FEC">
        <w:rPr>
          <w:rFonts w:ascii="Verdana" w:hAnsi="Verdana"/>
          <w:sz w:val="20"/>
          <w:szCs w:val="20"/>
        </w:rPr>
        <w:t xml:space="preserve"> judicial.</w:t>
      </w:r>
    </w:p>
    <w:p w14:paraId="0D6F852B" w14:textId="22BD33C9"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01C6A1C1" w14:textId="0DD6C9E4" w:rsidR="00000B34" w:rsidRDefault="00241F9D"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El 9 de julio de 2021</w:t>
      </w:r>
      <w:r w:rsidR="00000B34" w:rsidRPr="00486FEC">
        <w:rPr>
          <w:rFonts w:ascii="Verdana" w:hAnsi="Verdana"/>
          <w:sz w:val="20"/>
          <w:szCs w:val="20"/>
        </w:rPr>
        <w:t>,</w:t>
      </w:r>
      <w:r w:rsidRPr="00486FEC">
        <w:rPr>
          <w:rFonts w:ascii="Verdana" w:hAnsi="Verdana"/>
          <w:sz w:val="20"/>
          <w:szCs w:val="20"/>
        </w:rPr>
        <w:t xml:space="preserve"> </w:t>
      </w:r>
      <w:r w:rsidR="00D0741C" w:rsidRPr="00486FEC">
        <w:rPr>
          <w:rFonts w:ascii="Verdana" w:hAnsi="Verdana"/>
          <w:sz w:val="20"/>
          <w:szCs w:val="20"/>
        </w:rPr>
        <w:t xml:space="preserve">el </w:t>
      </w:r>
      <w:r w:rsidR="006638BA" w:rsidRPr="00486FEC">
        <w:rPr>
          <w:rFonts w:ascii="Verdana" w:hAnsi="Verdana"/>
          <w:sz w:val="20"/>
          <w:szCs w:val="20"/>
        </w:rPr>
        <w:t xml:space="preserve">Relator </w:t>
      </w:r>
      <w:r w:rsidR="00AA5104" w:rsidRPr="00486FEC">
        <w:rPr>
          <w:rFonts w:ascii="Verdana" w:hAnsi="Verdana"/>
          <w:sz w:val="20"/>
          <w:szCs w:val="20"/>
        </w:rPr>
        <w:t>Especial s</w:t>
      </w:r>
      <w:r w:rsidR="006638BA" w:rsidRPr="00486FEC">
        <w:rPr>
          <w:rFonts w:ascii="Verdana" w:hAnsi="Verdana"/>
          <w:sz w:val="20"/>
          <w:szCs w:val="20"/>
        </w:rPr>
        <w:t xml:space="preserve">obre Independencia de los Magistrados y Abogados de la Organización de las Naciones Unidas, </w:t>
      </w:r>
      <w:r w:rsidR="00D0741C" w:rsidRPr="00486FEC">
        <w:rPr>
          <w:rFonts w:ascii="Verdana" w:hAnsi="Verdana"/>
          <w:sz w:val="20"/>
          <w:szCs w:val="20"/>
        </w:rPr>
        <w:t xml:space="preserve">sintetizó los hechos denunciados </w:t>
      </w:r>
      <w:r w:rsidR="00634499" w:rsidRPr="00486FEC">
        <w:rPr>
          <w:rFonts w:ascii="Verdana" w:hAnsi="Verdana"/>
          <w:sz w:val="20"/>
          <w:szCs w:val="20"/>
        </w:rPr>
        <w:t xml:space="preserve">por las supuestas víctimas y solicitó </w:t>
      </w:r>
      <w:r w:rsidR="004B2F4E" w:rsidRPr="00486FEC">
        <w:rPr>
          <w:rFonts w:ascii="Verdana" w:hAnsi="Verdana"/>
          <w:sz w:val="20"/>
          <w:szCs w:val="20"/>
        </w:rPr>
        <w:t>explicaciones al Estado</w:t>
      </w:r>
      <w:r w:rsidR="00000B34" w:rsidRPr="00486FEC">
        <w:rPr>
          <w:rStyle w:val="Refdenotaalpie"/>
          <w:rFonts w:ascii="Verdana" w:hAnsi="Verdana"/>
          <w:sz w:val="20"/>
          <w:szCs w:val="20"/>
        </w:rPr>
        <w:footnoteReference w:id="13"/>
      </w:r>
      <w:r w:rsidRPr="00486FEC">
        <w:rPr>
          <w:rFonts w:ascii="Verdana" w:hAnsi="Verdana"/>
          <w:sz w:val="20"/>
          <w:szCs w:val="20"/>
        </w:rPr>
        <w:t xml:space="preserve">, dado que </w:t>
      </w:r>
      <w:r w:rsidR="00AA5104" w:rsidRPr="00486FEC">
        <w:rPr>
          <w:rFonts w:ascii="Verdana" w:hAnsi="Verdana"/>
          <w:sz w:val="20"/>
          <w:szCs w:val="20"/>
        </w:rPr>
        <w:t>expusieron</w:t>
      </w:r>
      <w:r w:rsidRPr="00486FEC">
        <w:rPr>
          <w:rFonts w:ascii="Verdana" w:hAnsi="Verdana"/>
          <w:sz w:val="20"/>
          <w:szCs w:val="20"/>
        </w:rPr>
        <w:t xml:space="preserve"> ante las Naciones Unidas </w:t>
      </w:r>
      <w:r w:rsidR="00D0741C" w:rsidRPr="00486FEC">
        <w:rPr>
          <w:rFonts w:ascii="Verdana" w:hAnsi="Verdana"/>
          <w:sz w:val="20"/>
          <w:szCs w:val="20"/>
        </w:rPr>
        <w:t xml:space="preserve">el contexto de </w:t>
      </w:r>
      <w:r w:rsidR="00046F00" w:rsidRPr="00486FEC">
        <w:rPr>
          <w:rFonts w:ascii="Verdana" w:hAnsi="Verdana"/>
          <w:sz w:val="20"/>
          <w:szCs w:val="20"/>
        </w:rPr>
        <w:t xml:space="preserve">medidas </w:t>
      </w:r>
      <w:r w:rsidR="00D0741C" w:rsidRPr="00486FEC">
        <w:rPr>
          <w:rFonts w:ascii="Verdana" w:hAnsi="Verdana"/>
          <w:sz w:val="20"/>
          <w:szCs w:val="20"/>
        </w:rPr>
        <w:t>institucionales que</w:t>
      </w:r>
      <w:r w:rsidR="00085D11" w:rsidRPr="00486FEC">
        <w:rPr>
          <w:rFonts w:ascii="Verdana" w:hAnsi="Verdana"/>
          <w:sz w:val="20"/>
          <w:szCs w:val="20"/>
        </w:rPr>
        <w:t>, en base a la consulta popular,</w:t>
      </w:r>
      <w:r w:rsidR="00D0741C" w:rsidRPr="00486FEC">
        <w:rPr>
          <w:rFonts w:ascii="Verdana" w:hAnsi="Verdana"/>
          <w:sz w:val="20"/>
          <w:szCs w:val="20"/>
        </w:rPr>
        <w:t xml:space="preserve"> dieron lugar al nombramiento del Consej</w:t>
      </w:r>
      <w:r w:rsidR="00EC1B0C" w:rsidRPr="00486FEC">
        <w:rPr>
          <w:rFonts w:ascii="Verdana" w:hAnsi="Verdana"/>
          <w:sz w:val="20"/>
          <w:szCs w:val="20"/>
        </w:rPr>
        <w:t xml:space="preserve">o Provisorio, </w:t>
      </w:r>
      <w:r w:rsidR="00085D11" w:rsidRPr="00486FEC">
        <w:rPr>
          <w:rFonts w:ascii="Verdana" w:hAnsi="Verdana"/>
          <w:sz w:val="20"/>
          <w:szCs w:val="20"/>
        </w:rPr>
        <w:t xml:space="preserve">alegando </w:t>
      </w:r>
      <w:r w:rsidR="00EC1B0C" w:rsidRPr="00486FEC">
        <w:rPr>
          <w:rFonts w:ascii="Verdana" w:hAnsi="Verdana"/>
          <w:sz w:val="20"/>
          <w:szCs w:val="20"/>
        </w:rPr>
        <w:t xml:space="preserve">que se trataría de un caso de persecución política de los usualmente llamados </w:t>
      </w:r>
      <w:r w:rsidR="00085D11" w:rsidRPr="00486FEC">
        <w:rPr>
          <w:rFonts w:ascii="Verdana" w:hAnsi="Verdana"/>
          <w:sz w:val="20"/>
          <w:szCs w:val="20"/>
        </w:rPr>
        <w:t xml:space="preserve">de </w:t>
      </w:r>
      <w:r w:rsidR="00EC1B0C" w:rsidRPr="00486FEC">
        <w:rPr>
          <w:rFonts w:ascii="Verdana" w:hAnsi="Verdana"/>
          <w:i/>
          <w:sz w:val="20"/>
          <w:szCs w:val="20"/>
        </w:rPr>
        <w:t>lawfare</w:t>
      </w:r>
      <w:r w:rsidR="00EC1B0C" w:rsidRPr="00486FEC">
        <w:rPr>
          <w:rFonts w:ascii="Verdana" w:hAnsi="Verdana"/>
          <w:sz w:val="20"/>
          <w:szCs w:val="20"/>
        </w:rPr>
        <w:t>, en que los jueces intervinientes habrían sido nombrados con injerenc</w:t>
      </w:r>
      <w:r w:rsidR="00AA5104" w:rsidRPr="00486FEC">
        <w:rPr>
          <w:rFonts w:ascii="Verdana" w:hAnsi="Verdana"/>
          <w:sz w:val="20"/>
          <w:szCs w:val="20"/>
        </w:rPr>
        <w:t>ia del</w:t>
      </w:r>
      <w:r w:rsidR="00EC1B0C" w:rsidRPr="00486FEC">
        <w:rPr>
          <w:rFonts w:ascii="Verdana" w:hAnsi="Verdana"/>
          <w:sz w:val="20"/>
          <w:szCs w:val="20"/>
        </w:rPr>
        <w:t xml:space="preserve"> ejecutivo, en un proceso penal particularmente acelerado en medi</w:t>
      </w:r>
      <w:r w:rsidR="00AA5104" w:rsidRPr="00486FEC">
        <w:rPr>
          <w:rFonts w:ascii="Verdana" w:hAnsi="Verdana"/>
          <w:sz w:val="20"/>
          <w:szCs w:val="20"/>
        </w:rPr>
        <w:t>o de la pandemia, con el objet</w:t>
      </w:r>
      <w:r w:rsidR="00EC1B0C" w:rsidRPr="00486FEC">
        <w:rPr>
          <w:rFonts w:ascii="Verdana" w:hAnsi="Verdana"/>
          <w:sz w:val="20"/>
          <w:szCs w:val="20"/>
        </w:rPr>
        <w:t xml:space="preserve">o de impedir la candidatura del </w:t>
      </w:r>
      <w:r w:rsidR="00B40DBE" w:rsidRPr="00486FEC">
        <w:rPr>
          <w:rFonts w:ascii="Verdana" w:hAnsi="Verdana"/>
          <w:sz w:val="20"/>
          <w:szCs w:val="20"/>
        </w:rPr>
        <w:t xml:space="preserve">principal dirigente de la oposición </w:t>
      </w:r>
      <w:r w:rsidR="00EC1B0C" w:rsidRPr="00486FEC">
        <w:rPr>
          <w:rFonts w:ascii="Verdana" w:hAnsi="Verdana"/>
          <w:sz w:val="20"/>
          <w:szCs w:val="20"/>
        </w:rPr>
        <w:t>en las elecciones de febrero de 2021</w:t>
      </w:r>
      <w:r w:rsidR="00AA5104" w:rsidRPr="00486FEC">
        <w:rPr>
          <w:rFonts w:ascii="Verdana" w:hAnsi="Verdana"/>
          <w:sz w:val="20"/>
          <w:szCs w:val="20"/>
        </w:rPr>
        <w:t xml:space="preserve"> y, cabe</w:t>
      </w:r>
      <w:r w:rsidR="007A390D" w:rsidRPr="00486FEC">
        <w:rPr>
          <w:rFonts w:ascii="Verdana" w:hAnsi="Verdana"/>
          <w:sz w:val="20"/>
          <w:szCs w:val="20"/>
        </w:rPr>
        <w:t xml:space="preserve"> añadir, que incluso se impidió con eso </w:t>
      </w:r>
      <w:r w:rsidR="00390201" w:rsidRPr="00486FEC">
        <w:rPr>
          <w:rFonts w:ascii="Verdana" w:hAnsi="Verdana"/>
          <w:sz w:val="20"/>
          <w:szCs w:val="20"/>
        </w:rPr>
        <w:t xml:space="preserve">su intervención </w:t>
      </w:r>
      <w:r w:rsidR="007A390D" w:rsidRPr="00486FEC">
        <w:rPr>
          <w:rFonts w:ascii="Verdana" w:hAnsi="Verdana"/>
          <w:sz w:val="20"/>
          <w:szCs w:val="20"/>
        </w:rPr>
        <w:t xml:space="preserve">personal </w:t>
      </w:r>
      <w:r w:rsidR="00390201" w:rsidRPr="00486FEC">
        <w:rPr>
          <w:rFonts w:ascii="Verdana" w:hAnsi="Verdana"/>
          <w:sz w:val="20"/>
          <w:szCs w:val="20"/>
        </w:rPr>
        <w:t>en la campaña electoral</w:t>
      </w:r>
      <w:r w:rsidR="007D0100" w:rsidRPr="00486FEC">
        <w:rPr>
          <w:rFonts w:ascii="Verdana" w:hAnsi="Verdana"/>
          <w:sz w:val="20"/>
          <w:szCs w:val="20"/>
        </w:rPr>
        <w:t xml:space="preserve"> y también usar su voz o mencionar su nombre durante esa campaña</w:t>
      </w:r>
      <w:r w:rsidR="00000B34" w:rsidRPr="00486FEC">
        <w:rPr>
          <w:rFonts w:ascii="Verdana" w:hAnsi="Verdana"/>
          <w:sz w:val="20"/>
          <w:szCs w:val="20"/>
        </w:rPr>
        <w:t>.</w:t>
      </w:r>
    </w:p>
    <w:p w14:paraId="040BE7CE" w14:textId="117894C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3C382103" w14:textId="1A2E70C3" w:rsidR="00000B34" w:rsidRDefault="007A390D" w:rsidP="00486FEC">
      <w:pPr>
        <w:pStyle w:val="Prrafodelista"/>
        <w:numPr>
          <w:ilvl w:val="0"/>
          <w:numId w:val="3"/>
        </w:numPr>
        <w:spacing w:after="0" w:line="240" w:lineRule="auto"/>
        <w:ind w:left="0" w:firstLine="0"/>
        <w:contextualSpacing w:val="0"/>
        <w:jc w:val="both"/>
        <w:rPr>
          <w:rFonts w:ascii="Verdana" w:hAnsi="Verdana"/>
          <w:i/>
          <w:sz w:val="20"/>
          <w:szCs w:val="20"/>
        </w:rPr>
      </w:pPr>
      <w:r w:rsidRPr="00486FEC">
        <w:rPr>
          <w:rFonts w:ascii="Verdana" w:hAnsi="Verdana"/>
          <w:sz w:val="20"/>
          <w:szCs w:val="20"/>
        </w:rPr>
        <w:t xml:space="preserve">El Relator expresa textualmente lo siguiente: </w:t>
      </w:r>
      <w:r w:rsidRPr="00486FEC">
        <w:rPr>
          <w:rFonts w:ascii="Verdana" w:hAnsi="Verdana"/>
          <w:i/>
          <w:sz w:val="20"/>
          <w:szCs w:val="20"/>
        </w:rPr>
        <w:t>Los señores Phillips Cooper y Fontana Zamora fueron partes procesadas y condenadas penalmente en el marco de la investigación del caso conocido como “Sobornos”, que, versó sobre presuntos casos de corrupción cometidos durante el gobierno del ex–presidente del Ecuador, Rafael Correa Delgado, donde éste, varios de sus funcionarios y algunos empresarios, fueron procesados y condenados. Según la fuente, se trataría de un caso de persecución política dada la indebida utilización del aparato de administración de justicia, con el fin de dictar una sentencia condenatoria para evitar la participación del señor Correa en las pasadas elecciones de febrero de</w:t>
      </w:r>
      <w:r w:rsidR="009F6334" w:rsidRPr="00486FEC">
        <w:rPr>
          <w:rFonts w:ascii="Verdana" w:hAnsi="Verdana"/>
          <w:i/>
          <w:sz w:val="20"/>
          <w:szCs w:val="20"/>
        </w:rPr>
        <w:t xml:space="preserve"> </w:t>
      </w:r>
      <w:r w:rsidR="00000B34" w:rsidRPr="00486FEC">
        <w:rPr>
          <w:rFonts w:ascii="Verdana" w:hAnsi="Verdana"/>
          <w:i/>
          <w:sz w:val="20"/>
          <w:szCs w:val="20"/>
        </w:rPr>
        <w:t>2021.</w:t>
      </w:r>
    </w:p>
    <w:p w14:paraId="02A8B45F" w14:textId="146BF89E" w:rsidR="00486FEC" w:rsidRPr="00486FEC" w:rsidRDefault="00486FEC" w:rsidP="00486FEC">
      <w:pPr>
        <w:pStyle w:val="Prrafodelista"/>
        <w:spacing w:after="0" w:line="240" w:lineRule="auto"/>
        <w:ind w:left="0"/>
        <w:contextualSpacing w:val="0"/>
        <w:jc w:val="both"/>
        <w:rPr>
          <w:rFonts w:ascii="Verdana" w:hAnsi="Verdana"/>
          <w:i/>
          <w:sz w:val="20"/>
          <w:szCs w:val="20"/>
        </w:rPr>
      </w:pPr>
    </w:p>
    <w:p w14:paraId="505736E6" w14:textId="341EEB84" w:rsidR="00EB49BA" w:rsidRDefault="009B39F7"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En respuesta al requerimiento del Relator, el Estado </w:t>
      </w:r>
      <w:r w:rsidR="00046F00" w:rsidRPr="00486FEC">
        <w:rPr>
          <w:rFonts w:ascii="Verdana" w:hAnsi="Verdana"/>
          <w:sz w:val="20"/>
          <w:szCs w:val="20"/>
        </w:rPr>
        <w:t xml:space="preserve">admitió </w:t>
      </w:r>
      <w:r w:rsidRPr="00486FEC">
        <w:rPr>
          <w:rFonts w:ascii="Verdana" w:hAnsi="Verdana"/>
          <w:sz w:val="20"/>
          <w:szCs w:val="20"/>
        </w:rPr>
        <w:t>que, en efecto, el Conse</w:t>
      </w:r>
      <w:r w:rsidR="00AA5104" w:rsidRPr="00486FEC">
        <w:rPr>
          <w:rFonts w:ascii="Verdana" w:hAnsi="Verdana"/>
          <w:sz w:val="20"/>
          <w:szCs w:val="20"/>
        </w:rPr>
        <w:t>jo Provisorio, nombrado por el e</w:t>
      </w:r>
      <w:r w:rsidRPr="00486FEC">
        <w:rPr>
          <w:rFonts w:ascii="Verdana" w:hAnsi="Verdana"/>
          <w:sz w:val="20"/>
          <w:szCs w:val="20"/>
        </w:rPr>
        <w:t xml:space="preserve">jecutivo en función de las atribuciones conferidas por la consulta, el 23 de enero de 2019 </w:t>
      </w:r>
      <w:r w:rsidRPr="00486FEC">
        <w:rPr>
          <w:rFonts w:ascii="Verdana" w:hAnsi="Verdana"/>
          <w:i/>
          <w:sz w:val="20"/>
          <w:szCs w:val="20"/>
        </w:rPr>
        <w:t xml:space="preserve">designó a los nuevos miembros principales del Consejo de la Judicatura y exhortó a este órgano a que proceda a la evaluación inmediata de los jueces y conjueces de la Corte Nacional de Justicia. </w:t>
      </w:r>
      <w:r w:rsidR="00046F00" w:rsidRPr="00486FEC">
        <w:rPr>
          <w:rFonts w:ascii="Verdana" w:hAnsi="Verdana"/>
          <w:sz w:val="20"/>
          <w:szCs w:val="20"/>
        </w:rPr>
        <w:t xml:space="preserve">Queda claro, pues, que el Estado admitió que, por medio de funcionarios nombrados por el Poder Ejecutivo, dispuso </w:t>
      </w:r>
      <w:r w:rsidR="00A3647E" w:rsidRPr="00486FEC">
        <w:rPr>
          <w:rFonts w:ascii="Verdana" w:hAnsi="Verdana"/>
          <w:sz w:val="20"/>
          <w:szCs w:val="20"/>
        </w:rPr>
        <w:t xml:space="preserve">una suerte de </w:t>
      </w:r>
      <w:r w:rsidR="00046F00" w:rsidRPr="00486FEC">
        <w:rPr>
          <w:rFonts w:ascii="Verdana" w:hAnsi="Verdana"/>
          <w:i/>
          <w:sz w:val="20"/>
          <w:szCs w:val="20"/>
        </w:rPr>
        <w:t xml:space="preserve">depuración </w:t>
      </w:r>
      <w:r w:rsidR="00EB49BA" w:rsidRPr="00486FEC">
        <w:rPr>
          <w:rFonts w:ascii="Verdana" w:hAnsi="Verdana"/>
          <w:sz w:val="20"/>
          <w:szCs w:val="20"/>
        </w:rPr>
        <w:t>del Poder Judicial.</w:t>
      </w:r>
      <w:r w:rsidR="007D1781" w:rsidRPr="00486FEC">
        <w:rPr>
          <w:rStyle w:val="Refdenotaalpie"/>
          <w:rFonts w:ascii="Verdana" w:hAnsi="Verdana"/>
          <w:sz w:val="20"/>
          <w:szCs w:val="20"/>
        </w:rPr>
        <w:footnoteReference w:id="14"/>
      </w:r>
    </w:p>
    <w:p w14:paraId="213E0690" w14:textId="0FE12F39"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3CE1F8FC" w14:textId="22D75F0A" w:rsidR="00EB49BA" w:rsidRPr="00486FEC" w:rsidRDefault="00EC1B0C" w:rsidP="00486FEC">
      <w:pPr>
        <w:pStyle w:val="Prrafodelista"/>
        <w:numPr>
          <w:ilvl w:val="0"/>
          <w:numId w:val="3"/>
        </w:numPr>
        <w:spacing w:after="0" w:line="240" w:lineRule="auto"/>
        <w:ind w:left="0" w:firstLine="0"/>
        <w:contextualSpacing w:val="0"/>
        <w:jc w:val="both"/>
        <w:rPr>
          <w:rFonts w:ascii="Verdana" w:hAnsi="Verdana"/>
          <w:sz w:val="20"/>
          <w:szCs w:val="20"/>
          <w:lang w:val="es-CR"/>
        </w:rPr>
      </w:pPr>
      <w:r w:rsidRPr="00486FEC">
        <w:rPr>
          <w:rFonts w:ascii="Verdana" w:hAnsi="Verdana"/>
          <w:sz w:val="20"/>
          <w:szCs w:val="20"/>
        </w:rPr>
        <w:t xml:space="preserve">El Consejo Provisorio habría interrumpido los concursos convocados por el Consejo de la Judicatura </w:t>
      </w:r>
      <w:r w:rsidR="009B39F7" w:rsidRPr="00486FEC">
        <w:rPr>
          <w:rFonts w:ascii="Verdana" w:hAnsi="Verdana"/>
          <w:sz w:val="20"/>
          <w:szCs w:val="20"/>
        </w:rPr>
        <w:t xml:space="preserve">así nombrado </w:t>
      </w:r>
      <w:r w:rsidRPr="00486FEC">
        <w:rPr>
          <w:rFonts w:ascii="Verdana" w:hAnsi="Verdana"/>
          <w:sz w:val="20"/>
          <w:szCs w:val="20"/>
        </w:rPr>
        <w:t xml:space="preserve">para cubrir vacantes, lo que habría posibilitado la continuidad de los jueces temporales. </w:t>
      </w:r>
      <w:r w:rsidR="009B39F7" w:rsidRPr="00486FEC">
        <w:rPr>
          <w:rFonts w:ascii="Verdana" w:hAnsi="Verdana"/>
          <w:sz w:val="20"/>
          <w:szCs w:val="20"/>
        </w:rPr>
        <w:t>Todo indica que se trataría d</w:t>
      </w:r>
      <w:r w:rsidRPr="00486FEC">
        <w:rPr>
          <w:rFonts w:ascii="Verdana" w:hAnsi="Verdana"/>
          <w:sz w:val="20"/>
          <w:szCs w:val="20"/>
        </w:rPr>
        <w:t xml:space="preserve">e una interferencia </w:t>
      </w:r>
      <w:r w:rsidR="002D4F4D" w:rsidRPr="00486FEC">
        <w:rPr>
          <w:rFonts w:ascii="Verdana" w:hAnsi="Verdana"/>
          <w:sz w:val="20"/>
          <w:szCs w:val="20"/>
        </w:rPr>
        <w:t xml:space="preserve">seriamente lesiva de la </w:t>
      </w:r>
      <w:r w:rsidRPr="00486FEC">
        <w:rPr>
          <w:rFonts w:ascii="Verdana" w:hAnsi="Verdana"/>
          <w:sz w:val="20"/>
          <w:szCs w:val="20"/>
        </w:rPr>
        <w:t xml:space="preserve">independencia judicial y </w:t>
      </w:r>
      <w:r w:rsidR="002D4F4D" w:rsidRPr="00486FEC">
        <w:rPr>
          <w:rFonts w:ascii="Verdana" w:hAnsi="Verdana"/>
          <w:sz w:val="20"/>
          <w:szCs w:val="20"/>
        </w:rPr>
        <w:t>d</w:t>
      </w:r>
      <w:r w:rsidRPr="00486FEC">
        <w:rPr>
          <w:rFonts w:ascii="Verdana" w:hAnsi="Verdana"/>
          <w:sz w:val="20"/>
          <w:szCs w:val="20"/>
        </w:rPr>
        <w:t>el principio del juez natural.</w:t>
      </w:r>
    </w:p>
    <w:p w14:paraId="3B65C8B1" w14:textId="5E0EF2B1" w:rsidR="00486FEC" w:rsidRPr="00486FEC" w:rsidRDefault="00486FEC" w:rsidP="00486FEC">
      <w:pPr>
        <w:pStyle w:val="Prrafodelista"/>
        <w:spacing w:after="0" w:line="240" w:lineRule="auto"/>
        <w:ind w:left="0"/>
        <w:contextualSpacing w:val="0"/>
        <w:jc w:val="both"/>
        <w:rPr>
          <w:rFonts w:ascii="Verdana" w:hAnsi="Verdana"/>
          <w:sz w:val="20"/>
          <w:szCs w:val="20"/>
          <w:lang w:val="es-CR"/>
        </w:rPr>
      </w:pPr>
    </w:p>
    <w:p w14:paraId="4419B6CF" w14:textId="0494CFAF" w:rsidR="00EB49BA" w:rsidRDefault="009F6334" w:rsidP="00486FEC">
      <w:pPr>
        <w:pStyle w:val="Prrafodelista"/>
        <w:numPr>
          <w:ilvl w:val="0"/>
          <w:numId w:val="3"/>
        </w:numPr>
        <w:spacing w:after="0" w:line="240" w:lineRule="auto"/>
        <w:ind w:left="0" w:firstLine="0"/>
        <w:contextualSpacing w:val="0"/>
        <w:jc w:val="both"/>
        <w:rPr>
          <w:rFonts w:ascii="Verdana" w:hAnsi="Verdana"/>
          <w:i/>
          <w:sz w:val="20"/>
          <w:szCs w:val="20"/>
        </w:rPr>
      </w:pPr>
      <w:r w:rsidRPr="00486FEC">
        <w:rPr>
          <w:rFonts w:ascii="Verdana" w:hAnsi="Verdana"/>
          <w:sz w:val="20"/>
          <w:szCs w:val="20"/>
        </w:rPr>
        <w:t xml:space="preserve">Sintéticamente: </w:t>
      </w:r>
      <w:r w:rsidRPr="00486FEC">
        <w:rPr>
          <w:rFonts w:ascii="Verdana" w:hAnsi="Verdana"/>
          <w:i/>
          <w:sz w:val="20"/>
          <w:szCs w:val="20"/>
        </w:rPr>
        <w:t xml:space="preserve">el poder ejecutivo convocó una consulta popular sin el control constitucional de la Corte Constitucional y, en ejercicio de los poderes que le otorgó esa consulta, por medio de un Consejo Provisorio por él mismo </w:t>
      </w:r>
      <w:r w:rsidR="00A3647E" w:rsidRPr="00486FEC">
        <w:rPr>
          <w:rFonts w:ascii="Verdana" w:hAnsi="Verdana"/>
          <w:i/>
          <w:sz w:val="20"/>
          <w:szCs w:val="20"/>
        </w:rPr>
        <w:t xml:space="preserve">seleccionado, </w:t>
      </w:r>
      <w:r w:rsidRPr="00486FEC">
        <w:rPr>
          <w:rFonts w:ascii="Verdana" w:hAnsi="Verdana"/>
          <w:i/>
          <w:sz w:val="20"/>
          <w:szCs w:val="20"/>
        </w:rPr>
        <w:t>se deshizo de la Corte Constitucional</w:t>
      </w:r>
      <w:r w:rsidR="00D910F5" w:rsidRPr="00486FEC">
        <w:rPr>
          <w:rFonts w:ascii="Verdana" w:hAnsi="Verdana"/>
          <w:i/>
          <w:sz w:val="20"/>
          <w:szCs w:val="20"/>
        </w:rPr>
        <w:t>, del Consejo de la Judicatura</w:t>
      </w:r>
      <w:r w:rsidRPr="00486FEC">
        <w:rPr>
          <w:rFonts w:ascii="Verdana" w:hAnsi="Verdana"/>
          <w:i/>
          <w:sz w:val="20"/>
          <w:szCs w:val="20"/>
        </w:rPr>
        <w:t xml:space="preserve"> y de todos los jueces que consideró inadecuados, como también </w:t>
      </w:r>
      <w:r w:rsidR="008475AA" w:rsidRPr="00486FEC">
        <w:rPr>
          <w:rFonts w:ascii="Verdana" w:hAnsi="Verdana"/>
          <w:i/>
          <w:sz w:val="20"/>
          <w:szCs w:val="20"/>
        </w:rPr>
        <w:t>d</w:t>
      </w:r>
      <w:r w:rsidRPr="00486FEC">
        <w:rPr>
          <w:rFonts w:ascii="Verdana" w:hAnsi="Verdana"/>
          <w:i/>
          <w:sz w:val="20"/>
          <w:szCs w:val="20"/>
        </w:rPr>
        <w:t>el jefe del Ministerio Público</w:t>
      </w:r>
      <w:r w:rsidR="008475AA" w:rsidRPr="00486FEC">
        <w:rPr>
          <w:rFonts w:ascii="Verdana" w:hAnsi="Verdana"/>
          <w:i/>
          <w:sz w:val="20"/>
          <w:szCs w:val="20"/>
        </w:rPr>
        <w:t xml:space="preserve"> </w:t>
      </w:r>
      <w:r w:rsidR="00D910F5" w:rsidRPr="00486FEC">
        <w:rPr>
          <w:rFonts w:ascii="Verdana" w:hAnsi="Verdana"/>
          <w:i/>
          <w:sz w:val="20"/>
          <w:szCs w:val="20"/>
        </w:rPr>
        <w:t>además de instruir</w:t>
      </w:r>
      <w:r w:rsidR="008475AA" w:rsidRPr="00486FEC">
        <w:rPr>
          <w:rFonts w:ascii="Verdana" w:hAnsi="Verdana"/>
          <w:i/>
          <w:sz w:val="20"/>
          <w:szCs w:val="20"/>
        </w:rPr>
        <w:t xml:space="preserve"> al </w:t>
      </w:r>
      <w:r w:rsidR="00D910F5" w:rsidRPr="00486FEC">
        <w:rPr>
          <w:rFonts w:ascii="Verdana" w:hAnsi="Verdana"/>
          <w:i/>
          <w:sz w:val="20"/>
          <w:szCs w:val="20"/>
        </w:rPr>
        <w:t>nuevo Consejo de la Judicatura</w:t>
      </w:r>
      <w:r w:rsidR="008475AA" w:rsidRPr="00486FEC">
        <w:rPr>
          <w:rFonts w:ascii="Verdana" w:hAnsi="Verdana"/>
          <w:i/>
          <w:sz w:val="20"/>
          <w:szCs w:val="20"/>
        </w:rPr>
        <w:t xml:space="preserve"> </w:t>
      </w:r>
      <w:r w:rsidR="00D910F5" w:rsidRPr="00486FEC">
        <w:rPr>
          <w:rFonts w:ascii="Verdana" w:hAnsi="Verdana"/>
          <w:i/>
          <w:sz w:val="20"/>
          <w:szCs w:val="20"/>
        </w:rPr>
        <w:t>par</w:t>
      </w:r>
      <w:r w:rsidR="008475AA" w:rsidRPr="00486FEC">
        <w:rPr>
          <w:rFonts w:ascii="Verdana" w:hAnsi="Verdana"/>
          <w:i/>
          <w:sz w:val="20"/>
          <w:szCs w:val="20"/>
        </w:rPr>
        <w:t>a suspender los concursos para proveer las vacantes, prolongando la permanencia de jueces temporales</w:t>
      </w:r>
      <w:r w:rsidRPr="00486FEC">
        <w:rPr>
          <w:rFonts w:ascii="Verdana" w:hAnsi="Verdana"/>
          <w:i/>
          <w:sz w:val="20"/>
          <w:szCs w:val="20"/>
        </w:rPr>
        <w:t>.</w:t>
      </w:r>
    </w:p>
    <w:p w14:paraId="5BF01196" w14:textId="6522A067" w:rsidR="00486FEC" w:rsidRPr="00486FEC" w:rsidRDefault="00486FEC" w:rsidP="00486FEC">
      <w:pPr>
        <w:pStyle w:val="Prrafodelista"/>
        <w:spacing w:after="0" w:line="240" w:lineRule="auto"/>
        <w:ind w:left="0"/>
        <w:contextualSpacing w:val="0"/>
        <w:jc w:val="both"/>
        <w:rPr>
          <w:rFonts w:ascii="Verdana" w:hAnsi="Verdana"/>
          <w:i/>
          <w:sz w:val="20"/>
          <w:szCs w:val="20"/>
        </w:rPr>
      </w:pPr>
    </w:p>
    <w:p w14:paraId="2987062E" w14:textId="77777777" w:rsidR="00EB49BA" w:rsidRPr="00486FEC" w:rsidRDefault="00EC1B0C" w:rsidP="00486FEC">
      <w:pPr>
        <w:pStyle w:val="Prrafodelista"/>
        <w:numPr>
          <w:ilvl w:val="0"/>
          <w:numId w:val="3"/>
        </w:numPr>
        <w:spacing w:after="0" w:line="240" w:lineRule="auto"/>
        <w:ind w:left="0" w:firstLine="0"/>
        <w:contextualSpacing w:val="0"/>
        <w:jc w:val="both"/>
        <w:rPr>
          <w:rFonts w:ascii="Verdana" w:hAnsi="Verdana"/>
          <w:i/>
          <w:sz w:val="20"/>
          <w:szCs w:val="20"/>
        </w:rPr>
      </w:pPr>
      <w:r w:rsidRPr="00486FEC">
        <w:rPr>
          <w:rFonts w:ascii="Verdana" w:hAnsi="Verdana"/>
          <w:sz w:val="20"/>
          <w:szCs w:val="20"/>
        </w:rPr>
        <w:t xml:space="preserve">Lo cierto es que </w:t>
      </w:r>
      <w:r w:rsidRPr="00486FEC">
        <w:rPr>
          <w:rFonts w:ascii="Verdana" w:hAnsi="Verdana"/>
          <w:i/>
          <w:sz w:val="20"/>
          <w:szCs w:val="20"/>
        </w:rPr>
        <w:t>hasta el momento se ha declarado admisible la denuncia de los tres consejero</w:t>
      </w:r>
      <w:r w:rsidR="00CA4339" w:rsidRPr="00486FEC">
        <w:rPr>
          <w:rFonts w:ascii="Verdana" w:hAnsi="Verdana"/>
          <w:i/>
          <w:sz w:val="20"/>
          <w:szCs w:val="20"/>
        </w:rPr>
        <w:t>s</w:t>
      </w:r>
      <w:r w:rsidRPr="00486FEC">
        <w:rPr>
          <w:rFonts w:ascii="Verdana" w:hAnsi="Verdana"/>
          <w:i/>
          <w:sz w:val="20"/>
          <w:szCs w:val="20"/>
        </w:rPr>
        <w:t xml:space="preserve"> removidos en función de la consulta en el Sistema Interamericano y </w:t>
      </w:r>
      <w:r w:rsidR="00241F9D" w:rsidRPr="00486FEC">
        <w:rPr>
          <w:rFonts w:ascii="Verdana" w:hAnsi="Verdana"/>
          <w:i/>
          <w:sz w:val="20"/>
          <w:szCs w:val="20"/>
        </w:rPr>
        <w:t xml:space="preserve">también se ha </w:t>
      </w:r>
      <w:r w:rsidRPr="00486FEC">
        <w:rPr>
          <w:rFonts w:ascii="Verdana" w:hAnsi="Verdana"/>
          <w:i/>
          <w:sz w:val="20"/>
          <w:szCs w:val="20"/>
        </w:rPr>
        <w:t xml:space="preserve">dado curso y requerido explicaciones al Estado sobre </w:t>
      </w:r>
      <w:r w:rsidR="00CA4339" w:rsidRPr="00486FEC">
        <w:rPr>
          <w:rFonts w:ascii="Verdana" w:hAnsi="Verdana"/>
          <w:i/>
          <w:sz w:val="20"/>
          <w:szCs w:val="20"/>
        </w:rPr>
        <w:t xml:space="preserve">posibles intromisiones </w:t>
      </w:r>
      <w:r w:rsidRPr="00486FEC">
        <w:rPr>
          <w:rFonts w:ascii="Verdana" w:hAnsi="Verdana"/>
          <w:i/>
          <w:sz w:val="20"/>
          <w:szCs w:val="20"/>
        </w:rPr>
        <w:t>del ejecutivo en la justicia en el s</w:t>
      </w:r>
      <w:r w:rsidR="00EB49BA" w:rsidRPr="00486FEC">
        <w:rPr>
          <w:rFonts w:ascii="Verdana" w:hAnsi="Verdana"/>
          <w:i/>
          <w:sz w:val="20"/>
          <w:szCs w:val="20"/>
        </w:rPr>
        <w:t>istema de las Naciones Unidas.</w:t>
      </w:r>
    </w:p>
    <w:p w14:paraId="3C04EA87" w14:textId="77777777" w:rsidR="00EB49BA" w:rsidRPr="00486FEC" w:rsidRDefault="00EB49BA" w:rsidP="00486FEC">
      <w:pPr>
        <w:pStyle w:val="Prrafodelista"/>
        <w:spacing w:after="0" w:line="240" w:lineRule="auto"/>
        <w:ind w:left="0"/>
        <w:contextualSpacing w:val="0"/>
        <w:jc w:val="both"/>
        <w:rPr>
          <w:rFonts w:ascii="Verdana" w:hAnsi="Verdana"/>
          <w:i/>
          <w:sz w:val="20"/>
          <w:szCs w:val="20"/>
        </w:rPr>
      </w:pPr>
    </w:p>
    <w:p w14:paraId="23A61263" w14:textId="77777777" w:rsidR="00EB49BA" w:rsidRPr="00486FEC" w:rsidRDefault="00060DE2" w:rsidP="00486FEC">
      <w:pPr>
        <w:pStyle w:val="Prrafodelista"/>
        <w:spacing w:after="0" w:line="240" w:lineRule="auto"/>
        <w:ind w:left="709"/>
        <w:contextualSpacing w:val="0"/>
        <w:jc w:val="both"/>
        <w:rPr>
          <w:rFonts w:ascii="Verdana" w:hAnsi="Verdana"/>
          <w:b/>
          <w:sz w:val="20"/>
          <w:szCs w:val="20"/>
        </w:rPr>
      </w:pPr>
      <w:r w:rsidRPr="00486FEC">
        <w:rPr>
          <w:rFonts w:ascii="Verdana" w:hAnsi="Verdana"/>
          <w:b/>
          <w:sz w:val="20"/>
          <w:szCs w:val="20"/>
        </w:rPr>
        <w:t>I</w:t>
      </w:r>
      <w:r w:rsidR="006A1865" w:rsidRPr="00486FEC">
        <w:rPr>
          <w:rFonts w:ascii="Verdana" w:hAnsi="Verdana"/>
          <w:b/>
          <w:sz w:val="20"/>
          <w:szCs w:val="20"/>
        </w:rPr>
        <w:t>I</w:t>
      </w:r>
      <w:r w:rsidR="001E5322" w:rsidRPr="00486FEC">
        <w:rPr>
          <w:rFonts w:ascii="Verdana" w:hAnsi="Verdana"/>
          <w:b/>
          <w:sz w:val="20"/>
          <w:szCs w:val="20"/>
        </w:rPr>
        <w:t>.3</w:t>
      </w:r>
      <w:r w:rsidR="00C043D8" w:rsidRPr="00486FEC">
        <w:rPr>
          <w:rFonts w:ascii="Verdana" w:hAnsi="Verdana"/>
          <w:b/>
          <w:sz w:val="20"/>
          <w:szCs w:val="20"/>
        </w:rPr>
        <w:t>.b</w:t>
      </w:r>
      <w:r w:rsidR="00D41028" w:rsidRPr="00486FEC">
        <w:rPr>
          <w:rFonts w:ascii="Verdana" w:hAnsi="Verdana"/>
          <w:b/>
          <w:sz w:val="20"/>
          <w:szCs w:val="20"/>
        </w:rPr>
        <w:t>.</w:t>
      </w:r>
      <w:r w:rsidRPr="00486FEC">
        <w:rPr>
          <w:rFonts w:ascii="Verdana" w:hAnsi="Verdana"/>
          <w:b/>
          <w:sz w:val="20"/>
          <w:szCs w:val="20"/>
        </w:rPr>
        <w:t xml:space="preserve"> </w:t>
      </w:r>
      <w:r w:rsidR="000D2E32" w:rsidRPr="00486FEC">
        <w:rPr>
          <w:rFonts w:ascii="Verdana" w:hAnsi="Verdana"/>
          <w:b/>
          <w:sz w:val="20"/>
          <w:szCs w:val="20"/>
        </w:rPr>
        <w:t xml:space="preserve">El </w:t>
      </w:r>
      <w:r w:rsidR="00A223CB" w:rsidRPr="00486FEC">
        <w:rPr>
          <w:rFonts w:ascii="Verdana" w:hAnsi="Verdana"/>
          <w:b/>
          <w:sz w:val="20"/>
          <w:szCs w:val="20"/>
        </w:rPr>
        <w:t>“C</w:t>
      </w:r>
      <w:r w:rsidR="00C043D8" w:rsidRPr="00486FEC">
        <w:rPr>
          <w:rFonts w:ascii="Verdana" w:hAnsi="Verdana"/>
          <w:b/>
          <w:sz w:val="20"/>
          <w:szCs w:val="20"/>
        </w:rPr>
        <w:t>aso Sobornos”</w:t>
      </w:r>
    </w:p>
    <w:p w14:paraId="351C3589" w14:textId="77777777" w:rsidR="005541BC" w:rsidRPr="00486FEC" w:rsidRDefault="005541BC" w:rsidP="00486FEC">
      <w:pPr>
        <w:pStyle w:val="Prrafodelista"/>
        <w:spacing w:after="0" w:line="240" w:lineRule="auto"/>
        <w:ind w:left="709"/>
        <w:contextualSpacing w:val="0"/>
        <w:jc w:val="both"/>
        <w:rPr>
          <w:rFonts w:ascii="Verdana" w:hAnsi="Verdana"/>
          <w:b/>
          <w:sz w:val="20"/>
          <w:szCs w:val="20"/>
        </w:rPr>
      </w:pPr>
    </w:p>
    <w:p w14:paraId="163E8CE2" w14:textId="79E1D28F" w:rsidR="00EB49BA" w:rsidRDefault="000D2E32"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En las apuntadas circunstancias tuvo lugar la condenación en el llamado </w:t>
      </w:r>
      <w:r w:rsidR="00A223CB" w:rsidRPr="00486FEC">
        <w:rPr>
          <w:rFonts w:ascii="Verdana" w:hAnsi="Verdana"/>
          <w:i/>
          <w:sz w:val="20"/>
          <w:szCs w:val="20"/>
        </w:rPr>
        <w:t>C</w:t>
      </w:r>
      <w:r w:rsidRPr="00486FEC">
        <w:rPr>
          <w:rFonts w:ascii="Verdana" w:hAnsi="Verdana"/>
          <w:i/>
          <w:sz w:val="20"/>
          <w:szCs w:val="20"/>
        </w:rPr>
        <w:t>aso Sobornos</w:t>
      </w:r>
      <w:r w:rsidR="005C2F00" w:rsidRPr="00486FEC">
        <w:rPr>
          <w:rFonts w:ascii="Verdana" w:hAnsi="Verdana"/>
          <w:sz w:val="20"/>
          <w:szCs w:val="20"/>
        </w:rPr>
        <w:t xml:space="preserve">, que ahora </w:t>
      </w:r>
      <w:r w:rsidR="002D4F4D" w:rsidRPr="00486FEC">
        <w:rPr>
          <w:rFonts w:ascii="Verdana" w:hAnsi="Verdana"/>
          <w:sz w:val="20"/>
          <w:szCs w:val="20"/>
        </w:rPr>
        <w:t xml:space="preserve">es </w:t>
      </w:r>
      <w:r w:rsidR="008475AA" w:rsidRPr="00486FEC">
        <w:rPr>
          <w:rFonts w:ascii="Verdana" w:hAnsi="Verdana"/>
          <w:sz w:val="20"/>
          <w:szCs w:val="20"/>
        </w:rPr>
        <w:t xml:space="preserve">cuestionado ante </w:t>
      </w:r>
      <w:r w:rsidR="005C2F00" w:rsidRPr="00486FEC">
        <w:rPr>
          <w:rFonts w:ascii="Verdana" w:hAnsi="Verdana"/>
          <w:sz w:val="20"/>
          <w:szCs w:val="20"/>
        </w:rPr>
        <w:t xml:space="preserve">las Naciones Unidas y motivó el requerimiento del Relator. </w:t>
      </w:r>
      <w:r w:rsidRPr="00486FEC">
        <w:rPr>
          <w:rFonts w:ascii="Verdana" w:hAnsi="Verdana"/>
          <w:sz w:val="20"/>
          <w:szCs w:val="20"/>
        </w:rPr>
        <w:t xml:space="preserve"> Por cierto, la premura en esta sentencia al parecer es verosímil, </w:t>
      </w:r>
      <w:r w:rsidR="00046F00" w:rsidRPr="00486FEC">
        <w:rPr>
          <w:rFonts w:ascii="Verdana" w:hAnsi="Verdana"/>
          <w:sz w:val="20"/>
          <w:szCs w:val="20"/>
        </w:rPr>
        <w:t xml:space="preserve">pues </w:t>
      </w:r>
      <w:r w:rsidRPr="00486FEC">
        <w:rPr>
          <w:rFonts w:ascii="Verdana" w:hAnsi="Verdana"/>
          <w:sz w:val="20"/>
          <w:szCs w:val="20"/>
        </w:rPr>
        <w:t xml:space="preserve">contrastaría con </w:t>
      </w:r>
      <w:r w:rsidR="00A223CB" w:rsidRPr="00486FEC">
        <w:rPr>
          <w:rFonts w:ascii="Verdana" w:hAnsi="Verdana"/>
          <w:sz w:val="20"/>
          <w:szCs w:val="20"/>
        </w:rPr>
        <w:t xml:space="preserve">el ritmo de avance de </w:t>
      </w:r>
      <w:r w:rsidRPr="00486FEC">
        <w:rPr>
          <w:rFonts w:ascii="Verdana" w:hAnsi="Verdana"/>
          <w:sz w:val="20"/>
          <w:szCs w:val="20"/>
        </w:rPr>
        <w:t xml:space="preserve">otros procesos. </w:t>
      </w:r>
      <w:r w:rsidR="00D74E6B" w:rsidRPr="00486FEC">
        <w:rPr>
          <w:rFonts w:ascii="Verdana" w:hAnsi="Verdana"/>
          <w:sz w:val="20"/>
          <w:szCs w:val="20"/>
        </w:rPr>
        <w:t>En pa</w:t>
      </w:r>
      <w:r w:rsidR="00D910F5" w:rsidRPr="00486FEC">
        <w:rPr>
          <w:rFonts w:ascii="Verdana" w:hAnsi="Verdana"/>
          <w:sz w:val="20"/>
          <w:szCs w:val="20"/>
        </w:rPr>
        <w:t>rticular es llamativa la celeridad</w:t>
      </w:r>
      <w:r w:rsidR="00D74E6B" w:rsidRPr="00486FEC">
        <w:rPr>
          <w:rFonts w:ascii="Verdana" w:hAnsi="Verdana"/>
          <w:sz w:val="20"/>
          <w:szCs w:val="20"/>
        </w:rPr>
        <w:t xml:space="preserve"> del proceso en medio de los terribles</w:t>
      </w:r>
      <w:r w:rsidR="00D910F5" w:rsidRPr="00486FEC">
        <w:rPr>
          <w:rFonts w:ascii="Verdana" w:hAnsi="Verdana"/>
          <w:sz w:val="20"/>
          <w:szCs w:val="20"/>
        </w:rPr>
        <w:t xml:space="preserve"> y dramáticos</w:t>
      </w:r>
      <w:r w:rsidR="00D74E6B" w:rsidRPr="00486FEC">
        <w:rPr>
          <w:rFonts w:ascii="Verdana" w:hAnsi="Verdana"/>
          <w:sz w:val="20"/>
          <w:szCs w:val="20"/>
        </w:rPr>
        <w:t xml:space="preserve"> efectos letales </w:t>
      </w:r>
      <w:r w:rsidR="00D910F5" w:rsidRPr="00486FEC">
        <w:rPr>
          <w:rFonts w:ascii="Verdana" w:hAnsi="Verdana"/>
          <w:sz w:val="20"/>
          <w:szCs w:val="20"/>
        </w:rPr>
        <w:t>que tuvo la pandemia en Ecuador y que son de</w:t>
      </w:r>
      <w:r w:rsidR="00A3647E" w:rsidRPr="00486FEC">
        <w:rPr>
          <w:rFonts w:ascii="Verdana" w:hAnsi="Verdana"/>
          <w:sz w:val="20"/>
          <w:szCs w:val="20"/>
        </w:rPr>
        <w:t>l</w:t>
      </w:r>
      <w:r w:rsidR="00D910F5" w:rsidRPr="00486FEC">
        <w:rPr>
          <w:rFonts w:ascii="Verdana" w:hAnsi="Verdana"/>
          <w:sz w:val="20"/>
          <w:szCs w:val="20"/>
        </w:rPr>
        <w:t xml:space="preserve"> público conocimiento.</w:t>
      </w:r>
    </w:p>
    <w:p w14:paraId="6757AE69"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78AF71D8" w14:textId="220E8793" w:rsidR="00EB49BA" w:rsidRDefault="00D0741C"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La sentencia del caso ha sido fuertemente criticada con sólidos argumentos jurídicos</w:t>
      </w:r>
      <w:r w:rsidR="00EC1B0C" w:rsidRPr="00486FEC">
        <w:rPr>
          <w:rFonts w:ascii="Verdana" w:hAnsi="Verdana"/>
          <w:sz w:val="20"/>
          <w:szCs w:val="20"/>
        </w:rPr>
        <w:t xml:space="preserve"> </w:t>
      </w:r>
      <w:r w:rsidR="005B726C" w:rsidRPr="00486FEC">
        <w:rPr>
          <w:rFonts w:ascii="Verdana" w:hAnsi="Verdana"/>
          <w:sz w:val="20"/>
          <w:szCs w:val="20"/>
        </w:rPr>
        <w:t>en un reciente libro del Profesor ecuatoriano y defensor en la causa, Dr. Alfonso Zambrano Pa</w:t>
      </w:r>
      <w:r w:rsidR="005C2F00" w:rsidRPr="00486FEC">
        <w:rPr>
          <w:rFonts w:ascii="Verdana" w:hAnsi="Verdana"/>
          <w:sz w:val="20"/>
          <w:szCs w:val="20"/>
        </w:rPr>
        <w:t>s</w:t>
      </w:r>
      <w:r w:rsidR="00EB49BA" w:rsidRPr="00486FEC">
        <w:rPr>
          <w:rFonts w:ascii="Verdana" w:hAnsi="Verdana"/>
          <w:sz w:val="20"/>
          <w:szCs w:val="20"/>
        </w:rPr>
        <w:t>quel</w:t>
      </w:r>
      <w:r w:rsidR="005B726C" w:rsidRPr="00486FEC">
        <w:rPr>
          <w:rFonts w:ascii="Verdana" w:hAnsi="Verdana"/>
          <w:sz w:val="20"/>
          <w:szCs w:val="20"/>
        </w:rPr>
        <w:t>.</w:t>
      </w:r>
      <w:r w:rsidR="00EB49BA" w:rsidRPr="00486FEC">
        <w:rPr>
          <w:rStyle w:val="Refdenotaalpie"/>
          <w:rFonts w:ascii="Verdana" w:hAnsi="Verdana"/>
          <w:sz w:val="20"/>
          <w:szCs w:val="20"/>
        </w:rPr>
        <w:footnoteReference w:id="15"/>
      </w:r>
    </w:p>
    <w:p w14:paraId="2273DDEF" w14:textId="5316B6FC"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7DAF7110" w14:textId="7C8E1134" w:rsidR="00EB49BA" w:rsidRDefault="006A1865"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En </w:t>
      </w:r>
      <w:r w:rsidR="00A223CB" w:rsidRPr="00486FEC">
        <w:rPr>
          <w:rFonts w:ascii="Verdana" w:hAnsi="Verdana"/>
          <w:sz w:val="20"/>
          <w:szCs w:val="20"/>
        </w:rPr>
        <w:t xml:space="preserve">ese voluminoso libro </w:t>
      </w:r>
      <w:r w:rsidR="005C2F00" w:rsidRPr="00486FEC">
        <w:rPr>
          <w:rFonts w:ascii="Verdana" w:hAnsi="Verdana"/>
          <w:sz w:val="20"/>
          <w:szCs w:val="20"/>
        </w:rPr>
        <w:t xml:space="preserve">se señalan </w:t>
      </w:r>
      <w:r w:rsidRPr="00486FEC">
        <w:rPr>
          <w:rFonts w:ascii="Verdana" w:hAnsi="Verdana"/>
          <w:sz w:val="20"/>
          <w:szCs w:val="20"/>
        </w:rPr>
        <w:t>posibles problemas de congruencia, cambio de calificación, aplicación indeb</w:t>
      </w:r>
      <w:r w:rsidR="00D33794" w:rsidRPr="00486FEC">
        <w:rPr>
          <w:rFonts w:ascii="Verdana" w:hAnsi="Verdana"/>
          <w:sz w:val="20"/>
          <w:szCs w:val="20"/>
        </w:rPr>
        <w:t xml:space="preserve">ida de la teoría de la autoría mediante un </w:t>
      </w:r>
      <w:r w:rsidRPr="00486FEC">
        <w:rPr>
          <w:rFonts w:ascii="Verdana" w:hAnsi="Verdana"/>
          <w:sz w:val="20"/>
          <w:szCs w:val="20"/>
        </w:rPr>
        <w:t xml:space="preserve">aparato organizado de poder, insuficiente motivación de la sentencia y otras. Si bien se trata de una obra que debe ser considerada </w:t>
      </w:r>
      <w:r w:rsidR="00797756" w:rsidRPr="00486FEC">
        <w:rPr>
          <w:rFonts w:ascii="Verdana" w:hAnsi="Verdana"/>
          <w:sz w:val="20"/>
          <w:szCs w:val="20"/>
        </w:rPr>
        <w:t xml:space="preserve">con la debida precaución, </w:t>
      </w:r>
      <w:r w:rsidRPr="00486FEC">
        <w:rPr>
          <w:rFonts w:ascii="Verdana" w:hAnsi="Verdana"/>
          <w:sz w:val="20"/>
          <w:szCs w:val="20"/>
        </w:rPr>
        <w:t xml:space="preserve">habida cuenta de que su autor es un </w:t>
      </w:r>
      <w:r w:rsidR="002D4F4D" w:rsidRPr="00486FEC">
        <w:rPr>
          <w:rFonts w:ascii="Verdana" w:hAnsi="Verdana"/>
          <w:sz w:val="20"/>
          <w:szCs w:val="20"/>
        </w:rPr>
        <w:t xml:space="preserve">abogado </w:t>
      </w:r>
      <w:r w:rsidRPr="00486FEC">
        <w:rPr>
          <w:rFonts w:ascii="Verdana" w:hAnsi="Verdana"/>
          <w:sz w:val="20"/>
          <w:szCs w:val="20"/>
        </w:rPr>
        <w:t xml:space="preserve">defensor, las objeciones que formula coinciden bastante con lo </w:t>
      </w:r>
      <w:r w:rsidR="00797756" w:rsidRPr="00486FEC">
        <w:rPr>
          <w:rFonts w:ascii="Verdana" w:hAnsi="Verdana"/>
          <w:sz w:val="20"/>
          <w:szCs w:val="20"/>
        </w:rPr>
        <w:t xml:space="preserve">que </w:t>
      </w:r>
      <w:r w:rsidR="008475AA" w:rsidRPr="00486FEC">
        <w:rPr>
          <w:rFonts w:ascii="Verdana" w:hAnsi="Verdana"/>
          <w:sz w:val="20"/>
          <w:szCs w:val="20"/>
        </w:rPr>
        <w:t xml:space="preserve">se denuncia </w:t>
      </w:r>
      <w:r w:rsidRPr="00486FEC">
        <w:rPr>
          <w:rFonts w:ascii="Verdana" w:hAnsi="Verdana"/>
          <w:sz w:val="20"/>
          <w:szCs w:val="20"/>
        </w:rPr>
        <w:t xml:space="preserve">ante </w:t>
      </w:r>
      <w:r w:rsidR="00D33794" w:rsidRPr="00486FEC">
        <w:rPr>
          <w:rFonts w:ascii="Verdana" w:hAnsi="Verdana"/>
          <w:sz w:val="20"/>
          <w:szCs w:val="20"/>
        </w:rPr>
        <w:t xml:space="preserve">los organismos de las </w:t>
      </w:r>
      <w:r w:rsidRPr="00486FEC">
        <w:rPr>
          <w:rFonts w:ascii="Verdana" w:hAnsi="Verdana"/>
          <w:sz w:val="20"/>
          <w:szCs w:val="20"/>
        </w:rPr>
        <w:t>Naciones Unidas y</w:t>
      </w:r>
      <w:r w:rsidR="008475AA" w:rsidRPr="00486FEC">
        <w:rPr>
          <w:rFonts w:ascii="Verdana" w:hAnsi="Verdana"/>
          <w:sz w:val="20"/>
          <w:szCs w:val="20"/>
        </w:rPr>
        <w:t xml:space="preserve"> sobre lo cual pidió explicaciones el Relator y</w:t>
      </w:r>
      <w:r w:rsidR="00797756" w:rsidRPr="00486FEC">
        <w:rPr>
          <w:rFonts w:ascii="Verdana" w:hAnsi="Verdana"/>
          <w:sz w:val="20"/>
          <w:szCs w:val="20"/>
        </w:rPr>
        <w:t>, además,</w:t>
      </w:r>
      <w:r w:rsidRPr="00486FEC">
        <w:rPr>
          <w:rFonts w:ascii="Verdana" w:hAnsi="Verdana"/>
          <w:sz w:val="20"/>
          <w:szCs w:val="20"/>
        </w:rPr>
        <w:t xml:space="preserve"> la profundidad con que </w:t>
      </w:r>
      <w:r w:rsidR="00A223CB" w:rsidRPr="00486FEC">
        <w:rPr>
          <w:rFonts w:ascii="Verdana" w:hAnsi="Verdana"/>
          <w:sz w:val="20"/>
          <w:szCs w:val="20"/>
        </w:rPr>
        <w:t xml:space="preserve">el autor </w:t>
      </w:r>
      <w:r w:rsidR="008475AA" w:rsidRPr="00486FEC">
        <w:rPr>
          <w:rFonts w:ascii="Verdana" w:hAnsi="Verdana"/>
          <w:sz w:val="20"/>
          <w:szCs w:val="20"/>
        </w:rPr>
        <w:t>analiza detalladamente los pasos procesales y la sentencia</w:t>
      </w:r>
      <w:r w:rsidRPr="00486FEC">
        <w:rPr>
          <w:rFonts w:ascii="Verdana" w:hAnsi="Verdana"/>
          <w:sz w:val="20"/>
          <w:szCs w:val="20"/>
        </w:rPr>
        <w:t xml:space="preserve">, revelan </w:t>
      </w:r>
      <w:r w:rsidR="00A223CB" w:rsidRPr="00486FEC">
        <w:rPr>
          <w:rFonts w:ascii="Verdana" w:hAnsi="Verdana"/>
          <w:sz w:val="20"/>
          <w:szCs w:val="20"/>
        </w:rPr>
        <w:t xml:space="preserve">por lo menos </w:t>
      </w:r>
      <w:r w:rsidRPr="00486FEC">
        <w:rPr>
          <w:rFonts w:ascii="Verdana" w:hAnsi="Verdana"/>
          <w:sz w:val="20"/>
          <w:szCs w:val="20"/>
        </w:rPr>
        <w:t>seriedad en</w:t>
      </w:r>
      <w:r w:rsidR="000A37CC" w:rsidRPr="00486FEC">
        <w:rPr>
          <w:rFonts w:ascii="Verdana" w:hAnsi="Verdana"/>
          <w:sz w:val="20"/>
          <w:szCs w:val="20"/>
        </w:rPr>
        <w:t xml:space="preserve"> cuanto a la técnica </w:t>
      </w:r>
      <w:r w:rsidR="00EB49BA" w:rsidRPr="00486FEC">
        <w:rPr>
          <w:rFonts w:ascii="Verdana" w:hAnsi="Verdana"/>
          <w:sz w:val="20"/>
          <w:szCs w:val="20"/>
        </w:rPr>
        <w:t>jurídica aplicada a la crítica.</w:t>
      </w:r>
    </w:p>
    <w:p w14:paraId="7136EAD4" w14:textId="565F36F5"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4E916DEB" w14:textId="75F27326" w:rsidR="00EB49BA" w:rsidRPr="00486FEC" w:rsidRDefault="005B726C" w:rsidP="00486FEC">
      <w:pPr>
        <w:pStyle w:val="Prrafodelista"/>
        <w:numPr>
          <w:ilvl w:val="0"/>
          <w:numId w:val="3"/>
        </w:numPr>
        <w:spacing w:after="0" w:line="240" w:lineRule="auto"/>
        <w:ind w:left="0" w:firstLine="0"/>
        <w:contextualSpacing w:val="0"/>
        <w:jc w:val="both"/>
        <w:rPr>
          <w:rFonts w:ascii="Verdana" w:hAnsi="Verdana"/>
          <w:i/>
          <w:sz w:val="20"/>
          <w:szCs w:val="20"/>
        </w:rPr>
      </w:pPr>
      <w:r w:rsidRPr="00486FEC">
        <w:rPr>
          <w:rFonts w:ascii="Verdana" w:hAnsi="Verdana"/>
          <w:sz w:val="20"/>
          <w:szCs w:val="20"/>
        </w:rPr>
        <w:t>Entre otras cosas</w:t>
      </w:r>
      <w:r w:rsidR="00D74E6B" w:rsidRPr="00486FEC">
        <w:rPr>
          <w:rFonts w:ascii="Verdana" w:hAnsi="Verdana"/>
          <w:sz w:val="20"/>
          <w:szCs w:val="20"/>
        </w:rPr>
        <w:t xml:space="preserve">, cabe agregar también que </w:t>
      </w:r>
      <w:r w:rsidRPr="00486FEC">
        <w:rPr>
          <w:rFonts w:ascii="Verdana" w:hAnsi="Verdana"/>
          <w:sz w:val="20"/>
          <w:szCs w:val="20"/>
        </w:rPr>
        <w:t xml:space="preserve">llama poderosamente la atención que una de las pruebas </w:t>
      </w:r>
      <w:r w:rsidR="000A37CC" w:rsidRPr="00486FEC">
        <w:rPr>
          <w:rFonts w:ascii="Verdana" w:hAnsi="Verdana"/>
          <w:sz w:val="20"/>
          <w:szCs w:val="20"/>
        </w:rPr>
        <w:t xml:space="preserve">de ese proceso haya consistido </w:t>
      </w:r>
      <w:r w:rsidRPr="00486FEC">
        <w:rPr>
          <w:rFonts w:ascii="Verdana" w:hAnsi="Verdana"/>
          <w:sz w:val="20"/>
          <w:szCs w:val="20"/>
        </w:rPr>
        <w:t xml:space="preserve">en un cuaderno </w:t>
      </w:r>
      <w:r w:rsidR="005C2F00" w:rsidRPr="00486FEC">
        <w:rPr>
          <w:rFonts w:ascii="Verdana" w:hAnsi="Verdana"/>
          <w:sz w:val="20"/>
          <w:szCs w:val="20"/>
        </w:rPr>
        <w:t>manu</w:t>
      </w:r>
      <w:r w:rsidRPr="00486FEC">
        <w:rPr>
          <w:rFonts w:ascii="Verdana" w:hAnsi="Verdana"/>
          <w:sz w:val="20"/>
          <w:szCs w:val="20"/>
        </w:rPr>
        <w:t xml:space="preserve">scrito por una procesada, </w:t>
      </w:r>
      <w:r w:rsidR="005C2F00" w:rsidRPr="00486FEC">
        <w:rPr>
          <w:rFonts w:ascii="Verdana" w:hAnsi="Verdana"/>
          <w:sz w:val="20"/>
          <w:szCs w:val="20"/>
        </w:rPr>
        <w:t xml:space="preserve">pues </w:t>
      </w:r>
      <w:r w:rsidRPr="00486FEC">
        <w:rPr>
          <w:rFonts w:ascii="Verdana" w:hAnsi="Verdana"/>
          <w:sz w:val="20"/>
          <w:szCs w:val="20"/>
        </w:rPr>
        <w:t>al parecer</w:t>
      </w:r>
      <w:r w:rsidR="005C2F00" w:rsidRPr="00486FEC">
        <w:rPr>
          <w:rFonts w:ascii="Verdana" w:hAnsi="Verdana"/>
          <w:sz w:val="20"/>
          <w:szCs w:val="20"/>
        </w:rPr>
        <w:t>,</w:t>
      </w:r>
      <w:r w:rsidRPr="00486FEC">
        <w:rPr>
          <w:rFonts w:ascii="Verdana" w:hAnsi="Verdana"/>
          <w:sz w:val="20"/>
          <w:szCs w:val="20"/>
        </w:rPr>
        <w:t xml:space="preserve"> esta</w:t>
      </w:r>
      <w:r w:rsidR="00D74E6B" w:rsidRPr="00486FEC">
        <w:rPr>
          <w:rFonts w:ascii="Verdana" w:hAnsi="Verdana"/>
          <w:sz w:val="20"/>
          <w:szCs w:val="20"/>
        </w:rPr>
        <w:t>s</w:t>
      </w:r>
      <w:r w:rsidRPr="00486FEC">
        <w:rPr>
          <w:rFonts w:ascii="Verdana" w:hAnsi="Verdana"/>
          <w:sz w:val="20"/>
          <w:szCs w:val="20"/>
        </w:rPr>
        <w:t xml:space="preserve"> </w:t>
      </w:r>
      <w:r w:rsidR="008475AA" w:rsidRPr="00486FEC">
        <w:rPr>
          <w:rFonts w:ascii="Verdana" w:hAnsi="Verdana"/>
          <w:sz w:val="20"/>
          <w:szCs w:val="20"/>
        </w:rPr>
        <w:t>e</w:t>
      </w:r>
      <w:r w:rsidR="00D74E6B" w:rsidRPr="00486FEC">
        <w:rPr>
          <w:rFonts w:ascii="Verdana" w:hAnsi="Verdana"/>
          <w:sz w:val="20"/>
          <w:szCs w:val="20"/>
        </w:rPr>
        <w:t>x</w:t>
      </w:r>
      <w:r w:rsidR="008475AA" w:rsidRPr="00486FEC">
        <w:rPr>
          <w:rFonts w:ascii="Verdana" w:hAnsi="Verdana"/>
          <w:sz w:val="20"/>
          <w:szCs w:val="20"/>
        </w:rPr>
        <w:t xml:space="preserve">trañas pruebas documentales, </w:t>
      </w:r>
      <w:r w:rsidR="005C2F00" w:rsidRPr="00486FEC">
        <w:rPr>
          <w:rFonts w:ascii="Verdana" w:hAnsi="Verdana"/>
          <w:sz w:val="20"/>
          <w:szCs w:val="20"/>
        </w:rPr>
        <w:t xml:space="preserve">provistas de puño y letra </w:t>
      </w:r>
      <w:r w:rsidR="006A1865" w:rsidRPr="00486FEC">
        <w:rPr>
          <w:rFonts w:ascii="Verdana" w:hAnsi="Verdana"/>
          <w:sz w:val="20"/>
          <w:szCs w:val="20"/>
        </w:rPr>
        <w:t>por</w:t>
      </w:r>
      <w:r w:rsidR="005C2F00" w:rsidRPr="00486FEC">
        <w:rPr>
          <w:rFonts w:ascii="Verdana" w:hAnsi="Verdana"/>
          <w:sz w:val="20"/>
          <w:szCs w:val="20"/>
        </w:rPr>
        <w:t xml:space="preserve"> </w:t>
      </w:r>
      <w:r w:rsidR="000A37CC" w:rsidRPr="00486FEC">
        <w:rPr>
          <w:rFonts w:ascii="Verdana" w:hAnsi="Verdana"/>
          <w:sz w:val="20"/>
          <w:szCs w:val="20"/>
        </w:rPr>
        <w:t xml:space="preserve">personas </w:t>
      </w:r>
      <w:r w:rsidR="005C2F00" w:rsidRPr="00486FEC">
        <w:rPr>
          <w:rFonts w:ascii="Verdana" w:hAnsi="Verdana"/>
          <w:sz w:val="20"/>
          <w:szCs w:val="20"/>
        </w:rPr>
        <w:t>diligentes</w:t>
      </w:r>
      <w:r w:rsidR="006A1865" w:rsidRPr="00486FEC">
        <w:rPr>
          <w:rFonts w:ascii="Verdana" w:hAnsi="Verdana"/>
          <w:sz w:val="20"/>
          <w:szCs w:val="20"/>
        </w:rPr>
        <w:t xml:space="preserve"> </w:t>
      </w:r>
      <w:r w:rsidR="000A37CC" w:rsidRPr="00486FEC">
        <w:rPr>
          <w:rFonts w:ascii="Verdana" w:hAnsi="Verdana"/>
          <w:sz w:val="20"/>
          <w:szCs w:val="20"/>
        </w:rPr>
        <w:t xml:space="preserve">y </w:t>
      </w:r>
      <w:r w:rsidR="006A1865" w:rsidRPr="00486FEC">
        <w:rPr>
          <w:rFonts w:ascii="Verdana" w:hAnsi="Verdana"/>
          <w:sz w:val="20"/>
          <w:szCs w:val="20"/>
        </w:rPr>
        <w:t>memorios</w:t>
      </w:r>
      <w:r w:rsidR="000A37CC" w:rsidRPr="00486FEC">
        <w:rPr>
          <w:rFonts w:ascii="Verdana" w:hAnsi="Verdana"/>
          <w:sz w:val="20"/>
          <w:szCs w:val="20"/>
        </w:rPr>
        <w:t>a</w:t>
      </w:r>
      <w:r w:rsidR="006A1865" w:rsidRPr="00486FEC">
        <w:rPr>
          <w:rFonts w:ascii="Verdana" w:hAnsi="Verdana"/>
          <w:sz w:val="20"/>
          <w:szCs w:val="20"/>
        </w:rPr>
        <w:t>s</w:t>
      </w:r>
      <w:r w:rsidR="005C2F00" w:rsidRPr="00486FEC">
        <w:rPr>
          <w:rFonts w:ascii="Verdana" w:hAnsi="Verdana"/>
          <w:sz w:val="20"/>
          <w:szCs w:val="20"/>
        </w:rPr>
        <w:t>,</w:t>
      </w:r>
      <w:r w:rsidR="006A1865" w:rsidRPr="00486FEC">
        <w:rPr>
          <w:rFonts w:ascii="Verdana" w:hAnsi="Verdana"/>
          <w:sz w:val="20"/>
          <w:szCs w:val="20"/>
        </w:rPr>
        <w:t xml:space="preserve"> </w:t>
      </w:r>
      <w:r w:rsidRPr="00486FEC">
        <w:rPr>
          <w:rFonts w:ascii="Verdana" w:hAnsi="Verdana"/>
          <w:sz w:val="20"/>
          <w:szCs w:val="20"/>
        </w:rPr>
        <w:t xml:space="preserve">se han usado </w:t>
      </w:r>
      <w:r w:rsidR="006A1865" w:rsidRPr="00486FEC">
        <w:rPr>
          <w:rFonts w:ascii="Verdana" w:hAnsi="Verdana"/>
          <w:sz w:val="20"/>
          <w:szCs w:val="20"/>
        </w:rPr>
        <w:t xml:space="preserve">en la región también </w:t>
      </w:r>
      <w:r w:rsidRPr="00486FEC">
        <w:rPr>
          <w:rFonts w:ascii="Verdana" w:hAnsi="Verdana"/>
          <w:sz w:val="20"/>
          <w:szCs w:val="20"/>
        </w:rPr>
        <w:t>en otros casos de</w:t>
      </w:r>
      <w:r w:rsidR="003318E6" w:rsidRPr="00486FEC">
        <w:rPr>
          <w:rFonts w:ascii="Verdana" w:hAnsi="Verdana"/>
          <w:sz w:val="20"/>
          <w:szCs w:val="20"/>
        </w:rPr>
        <w:t xml:space="preserve"> práctica del usualmente llamado</w:t>
      </w:r>
      <w:r w:rsidRPr="00486FEC">
        <w:rPr>
          <w:rFonts w:ascii="Verdana" w:hAnsi="Verdana"/>
          <w:sz w:val="20"/>
          <w:szCs w:val="20"/>
        </w:rPr>
        <w:t xml:space="preserve"> </w:t>
      </w:r>
      <w:r w:rsidRPr="00486FEC">
        <w:rPr>
          <w:rFonts w:ascii="Verdana" w:hAnsi="Verdana"/>
          <w:i/>
          <w:sz w:val="20"/>
          <w:szCs w:val="20"/>
        </w:rPr>
        <w:t>lawfare</w:t>
      </w:r>
      <w:r w:rsidR="003318E6" w:rsidRPr="00486FEC">
        <w:rPr>
          <w:rFonts w:ascii="Verdana" w:hAnsi="Verdana"/>
          <w:i/>
          <w:sz w:val="20"/>
          <w:szCs w:val="20"/>
        </w:rPr>
        <w:t>,</w:t>
      </w:r>
      <w:r w:rsidR="003318E6" w:rsidRPr="00486FEC">
        <w:rPr>
          <w:rFonts w:ascii="Verdana" w:hAnsi="Verdana"/>
          <w:sz w:val="20"/>
          <w:szCs w:val="20"/>
        </w:rPr>
        <w:t xml:space="preserve"> o sea supuestos de montajes judiciales para persecución política.</w:t>
      </w:r>
    </w:p>
    <w:p w14:paraId="71387F73" w14:textId="53D4B3D6" w:rsidR="00486FEC" w:rsidRPr="00486FEC" w:rsidRDefault="00486FEC" w:rsidP="00486FEC">
      <w:pPr>
        <w:pStyle w:val="Prrafodelista"/>
        <w:spacing w:after="0" w:line="240" w:lineRule="auto"/>
        <w:ind w:left="0"/>
        <w:contextualSpacing w:val="0"/>
        <w:jc w:val="both"/>
        <w:rPr>
          <w:rFonts w:ascii="Verdana" w:hAnsi="Verdana"/>
          <w:i/>
          <w:sz w:val="20"/>
          <w:szCs w:val="20"/>
        </w:rPr>
      </w:pPr>
    </w:p>
    <w:p w14:paraId="3C32BAFF" w14:textId="4D540E17" w:rsidR="00EB49BA" w:rsidRDefault="00B17B1C"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Otro dato que en el plano internacional resulta significativo es que el Estado </w:t>
      </w:r>
      <w:r w:rsidR="00797756" w:rsidRPr="00486FEC">
        <w:rPr>
          <w:rFonts w:ascii="Verdana" w:hAnsi="Verdana"/>
          <w:sz w:val="20"/>
          <w:szCs w:val="20"/>
        </w:rPr>
        <w:t xml:space="preserve">requirió la </w:t>
      </w:r>
      <w:r w:rsidRPr="00486FEC">
        <w:rPr>
          <w:rFonts w:ascii="Verdana" w:hAnsi="Verdana"/>
          <w:sz w:val="20"/>
          <w:szCs w:val="20"/>
        </w:rPr>
        <w:t>detención de</w:t>
      </w:r>
      <w:r w:rsidR="00797756" w:rsidRPr="00486FEC">
        <w:rPr>
          <w:rFonts w:ascii="Verdana" w:hAnsi="Verdana"/>
          <w:sz w:val="20"/>
          <w:szCs w:val="20"/>
        </w:rPr>
        <w:t xml:space="preserve"> su principal dirigente opositor residente en Bélgica y </w:t>
      </w:r>
      <w:r w:rsidRPr="00486FEC">
        <w:rPr>
          <w:rFonts w:ascii="Verdana" w:hAnsi="Verdana"/>
          <w:sz w:val="20"/>
          <w:szCs w:val="20"/>
        </w:rPr>
        <w:t>condenado en este caso</w:t>
      </w:r>
      <w:r w:rsidR="00797756" w:rsidRPr="00486FEC">
        <w:rPr>
          <w:rFonts w:ascii="Verdana" w:hAnsi="Verdana"/>
          <w:sz w:val="20"/>
          <w:szCs w:val="20"/>
        </w:rPr>
        <w:t xml:space="preserve">, pero </w:t>
      </w:r>
      <w:r w:rsidRPr="00486FEC">
        <w:rPr>
          <w:rFonts w:ascii="Verdana" w:hAnsi="Verdana"/>
          <w:sz w:val="20"/>
          <w:szCs w:val="20"/>
        </w:rPr>
        <w:t xml:space="preserve">su requerimiento ha sido rechazado por la </w:t>
      </w:r>
      <w:r w:rsidRPr="00486FEC">
        <w:rPr>
          <w:rFonts w:ascii="Verdana" w:hAnsi="Verdana"/>
          <w:i/>
          <w:sz w:val="20"/>
          <w:szCs w:val="20"/>
        </w:rPr>
        <w:t>Internacional Criminal Organization</w:t>
      </w:r>
      <w:r w:rsidRPr="00486FEC">
        <w:rPr>
          <w:rFonts w:ascii="Verdana" w:hAnsi="Verdana"/>
          <w:sz w:val="20"/>
          <w:szCs w:val="20"/>
        </w:rPr>
        <w:t xml:space="preserve"> (I</w:t>
      </w:r>
      <w:r w:rsidR="008475AA" w:rsidRPr="00486FEC">
        <w:rPr>
          <w:rFonts w:ascii="Verdana" w:hAnsi="Verdana"/>
          <w:sz w:val="20"/>
          <w:szCs w:val="20"/>
        </w:rPr>
        <w:t>nterpol)</w:t>
      </w:r>
      <w:r w:rsidRPr="00486FEC">
        <w:rPr>
          <w:rFonts w:ascii="Verdana" w:hAnsi="Verdana"/>
          <w:sz w:val="20"/>
          <w:szCs w:val="20"/>
        </w:rPr>
        <w:t xml:space="preserve">, como en general sucede cuando esta organización </w:t>
      </w:r>
      <w:r w:rsidR="008475AA" w:rsidRPr="00486FEC">
        <w:rPr>
          <w:rFonts w:ascii="Verdana" w:hAnsi="Verdana"/>
          <w:sz w:val="20"/>
          <w:szCs w:val="20"/>
        </w:rPr>
        <w:t xml:space="preserve">considera que existen fundados motivos para </w:t>
      </w:r>
      <w:r w:rsidRPr="00486FEC">
        <w:rPr>
          <w:rFonts w:ascii="Verdana" w:hAnsi="Verdana"/>
          <w:sz w:val="20"/>
          <w:szCs w:val="20"/>
        </w:rPr>
        <w:t>sospechar que se trata de h</w:t>
      </w:r>
      <w:r w:rsidR="00EB49BA" w:rsidRPr="00486FEC">
        <w:rPr>
          <w:rFonts w:ascii="Verdana" w:hAnsi="Verdana"/>
          <w:sz w:val="20"/>
          <w:szCs w:val="20"/>
        </w:rPr>
        <w:t>echos de persecución política.</w:t>
      </w:r>
    </w:p>
    <w:p w14:paraId="2CAD64F8" w14:textId="138C6EDC"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013C8E53" w14:textId="20CCFCA6" w:rsidR="003318E6" w:rsidRDefault="003318E6"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Es de</w:t>
      </w:r>
      <w:r w:rsidR="002D4F4D" w:rsidRPr="00486FEC">
        <w:rPr>
          <w:rFonts w:ascii="Verdana" w:hAnsi="Verdana"/>
          <w:sz w:val="20"/>
          <w:szCs w:val="20"/>
        </w:rPr>
        <w:t xml:space="preserve"> público y notorio conocimiento</w:t>
      </w:r>
      <w:r w:rsidR="00D33794" w:rsidRPr="00486FEC">
        <w:rPr>
          <w:rFonts w:ascii="Verdana" w:hAnsi="Verdana"/>
          <w:sz w:val="20"/>
          <w:szCs w:val="20"/>
        </w:rPr>
        <w:t xml:space="preserve"> que</w:t>
      </w:r>
      <w:r w:rsidR="00FF56EB" w:rsidRPr="00486FEC">
        <w:rPr>
          <w:rFonts w:ascii="Verdana" w:hAnsi="Verdana"/>
          <w:sz w:val="20"/>
          <w:szCs w:val="20"/>
        </w:rPr>
        <w:t xml:space="preserve"> la encarnizada lucha política que divide al Ecuador se origin</w:t>
      </w:r>
      <w:r w:rsidR="005C2F00" w:rsidRPr="00486FEC">
        <w:rPr>
          <w:rFonts w:ascii="Verdana" w:hAnsi="Verdana"/>
          <w:sz w:val="20"/>
          <w:szCs w:val="20"/>
        </w:rPr>
        <w:t xml:space="preserve">ó cuando </w:t>
      </w:r>
      <w:r w:rsidR="00FF56EB" w:rsidRPr="00486FEC">
        <w:rPr>
          <w:rFonts w:ascii="Verdana" w:hAnsi="Verdana"/>
          <w:sz w:val="20"/>
          <w:szCs w:val="20"/>
        </w:rPr>
        <w:t>el ex</w:t>
      </w:r>
      <w:r w:rsidR="008475AA" w:rsidRPr="00486FEC">
        <w:rPr>
          <w:rFonts w:ascii="Verdana" w:hAnsi="Verdana"/>
          <w:sz w:val="20"/>
          <w:szCs w:val="20"/>
        </w:rPr>
        <w:t>-</w:t>
      </w:r>
      <w:r w:rsidR="00FF56EB" w:rsidRPr="00486FEC">
        <w:rPr>
          <w:rFonts w:ascii="Verdana" w:hAnsi="Verdana"/>
          <w:sz w:val="20"/>
          <w:szCs w:val="20"/>
        </w:rPr>
        <w:t>presidente Lenin Moreno romp</w:t>
      </w:r>
      <w:r w:rsidR="00797756" w:rsidRPr="00486FEC">
        <w:rPr>
          <w:rFonts w:ascii="Verdana" w:hAnsi="Verdana"/>
          <w:sz w:val="20"/>
          <w:szCs w:val="20"/>
        </w:rPr>
        <w:t xml:space="preserve">ió </w:t>
      </w:r>
      <w:r w:rsidR="00FF56EB" w:rsidRPr="00486FEC">
        <w:rPr>
          <w:rFonts w:ascii="Verdana" w:hAnsi="Verdana"/>
          <w:sz w:val="20"/>
          <w:szCs w:val="20"/>
        </w:rPr>
        <w:t xml:space="preserve">con </w:t>
      </w:r>
      <w:r w:rsidR="00A223CB" w:rsidRPr="00486FEC">
        <w:rPr>
          <w:rFonts w:ascii="Verdana" w:hAnsi="Verdana"/>
          <w:sz w:val="20"/>
          <w:szCs w:val="20"/>
        </w:rPr>
        <w:t>su predecesor,</w:t>
      </w:r>
      <w:r w:rsidRPr="00486FEC">
        <w:rPr>
          <w:rFonts w:ascii="Verdana" w:hAnsi="Verdana"/>
          <w:sz w:val="20"/>
          <w:szCs w:val="20"/>
        </w:rPr>
        <w:t xml:space="preserve"> dividiendo al movimiento político que lo había llevado al poder. En esas circunstancias, su predecesor y </w:t>
      </w:r>
      <w:r w:rsidR="00D33794" w:rsidRPr="00486FEC">
        <w:rPr>
          <w:rFonts w:ascii="Verdana" w:hAnsi="Verdana"/>
          <w:sz w:val="20"/>
          <w:szCs w:val="20"/>
        </w:rPr>
        <w:t xml:space="preserve">sus </w:t>
      </w:r>
      <w:r w:rsidRPr="00486FEC">
        <w:rPr>
          <w:rFonts w:ascii="Verdana" w:hAnsi="Verdana"/>
          <w:sz w:val="20"/>
          <w:szCs w:val="20"/>
        </w:rPr>
        <w:t>partidarios pasaron a constituir la principal fuerza de oposición, con</w:t>
      </w:r>
      <w:r w:rsidR="00A223CB" w:rsidRPr="00486FEC">
        <w:rPr>
          <w:rFonts w:ascii="Verdana" w:hAnsi="Verdana"/>
          <w:sz w:val="20"/>
          <w:szCs w:val="20"/>
        </w:rPr>
        <w:t xml:space="preserve"> serias </w:t>
      </w:r>
      <w:r w:rsidR="00FF56EB" w:rsidRPr="00486FEC">
        <w:rPr>
          <w:rFonts w:ascii="Verdana" w:hAnsi="Verdana"/>
          <w:sz w:val="20"/>
          <w:szCs w:val="20"/>
        </w:rPr>
        <w:t>dificultades para reorganizar su sector</w:t>
      </w:r>
      <w:r w:rsidRPr="00486FEC">
        <w:rPr>
          <w:rFonts w:ascii="Verdana" w:hAnsi="Verdana"/>
          <w:sz w:val="20"/>
          <w:szCs w:val="20"/>
        </w:rPr>
        <w:t xml:space="preserve"> y participar en las elecciones. De cualquier manera, queda claro que en este momento el país sufre una muy profunda polarización política, en la cual la principal fuerza opositora es el movimiento que encabeza el predecesor del presidente que en 2018 convocó la consulta y que no puede regresar al país en razón de la condena</w:t>
      </w:r>
      <w:r w:rsidR="00FF56EB" w:rsidRPr="00486FEC">
        <w:rPr>
          <w:rFonts w:ascii="Verdana" w:hAnsi="Verdana"/>
          <w:sz w:val="20"/>
          <w:szCs w:val="20"/>
        </w:rPr>
        <w:t xml:space="preserve"> en el</w:t>
      </w:r>
      <w:r w:rsidR="00A223CB" w:rsidRPr="00486FEC">
        <w:rPr>
          <w:rFonts w:ascii="Verdana" w:hAnsi="Verdana"/>
          <w:sz w:val="20"/>
          <w:szCs w:val="20"/>
        </w:rPr>
        <w:t xml:space="preserve"> mencionado</w:t>
      </w:r>
      <w:r w:rsidR="00FF56EB" w:rsidRPr="00486FEC">
        <w:rPr>
          <w:rFonts w:ascii="Verdana" w:hAnsi="Verdana"/>
          <w:sz w:val="20"/>
          <w:szCs w:val="20"/>
        </w:rPr>
        <w:t xml:space="preserve"> </w:t>
      </w:r>
      <w:r w:rsidR="00A223CB" w:rsidRPr="00486FEC">
        <w:rPr>
          <w:rFonts w:ascii="Verdana" w:hAnsi="Verdana"/>
          <w:i/>
          <w:sz w:val="20"/>
          <w:szCs w:val="20"/>
        </w:rPr>
        <w:t>Caso Sobornos</w:t>
      </w:r>
      <w:r w:rsidR="00A223CB" w:rsidRPr="00486FEC">
        <w:rPr>
          <w:rFonts w:ascii="Verdana" w:hAnsi="Verdana"/>
          <w:sz w:val="20"/>
          <w:szCs w:val="20"/>
        </w:rPr>
        <w:t>.</w:t>
      </w:r>
    </w:p>
    <w:p w14:paraId="730527F2" w14:textId="2B5467DE"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0B2CB6C9" w14:textId="7C5D694B" w:rsidR="00EB49BA" w:rsidRDefault="00EF2B6B"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Cabe agregar que en el referido </w:t>
      </w:r>
      <w:r w:rsidR="00B47ED7" w:rsidRPr="00486FEC">
        <w:rPr>
          <w:rFonts w:ascii="Verdana" w:hAnsi="Verdana"/>
          <w:i/>
          <w:sz w:val="20"/>
          <w:szCs w:val="20"/>
        </w:rPr>
        <w:t>C</w:t>
      </w:r>
      <w:r w:rsidRPr="00486FEC">
        <w:rPr>
          <w:rFonts w:ascii="Verdana" w:hAnsi="Verdana"/>
          <w:i/>
          <w:sz w:val="20"/>
          <w:szCs w:val="20"/>
        </w:rPr>
        <w:t xml:space="preserve">aso </w:t>
      </w:r>
      <w:r w:rsidR="00B47ED7" w:rsidRPr="00486FEC">
        <w:rPr>
          <w:rFonts w:ascii="Verdana" w:hAnsi="Verdana"/>
          <w:i/>
          <w:sz w:val="20"/>
          <w:szCs w:val="20"/>
        </w:rPr>
        <w:t>Sobornos</w:t>
      </w:r>
      <w:r w:rsidR="00B47ED7" w:rsidRPr="00486FEC">
        <w:rPr>
          <w:rFonts w:ascii="Verdana" w:hAnsi="Verdana"/>
          <w:sz w:val="20"/>
          <w:szCs w:val="20"/>
        </w:rPr>
        <w:t xml:space="preserve"> </w:t>
      </w:r>
      <w:r w:rsidRPr="00486FEC">
        <w:rPr>
          <w:rFonts w:ascii="Verdana" w:hAnsi="Verdana"/>
          <w:sz w:val="20"/>
          <w:szCs w:val="20"/>
        </w:rPr>
        <w:t xml:space="preserve">se condenó también al propio vicepresidente </w:t>
      </w:r>
      <w:r w:rsidR="00C440FC" w:rsidRPr="00486FEC">
        <w:rPr>
          <w:rFonts w:ascii="Verdana" w:hAnsi="Verdana"/>
          <w:sz w:val="20"/>
          <w:szCs w:val="20"/>
        </w:rPr>
        <w:t>del ejecutivo que convocó la consulta</w:t>
      </w:r>
      <w:r w:rsidRPr="00486FEC">
        <w:rPr>
          <w:rFonts w:ascii="Verdana" w:hAnsi="Verdana"/>
          <w:sz w:val="20"/>
          <w:szCs w:val="20"/>
        </w:rPr>
        <w:t xml:space="preserve">, </w:t>
      </w:r>
      <w:r w:rsidR="009A12C9" w:rsidRPr="00486FEC">
        <w:rPr>
          <w:rFonts w:ascii="Verdana" w:hAnsi="Verdana"/>
          <w:sz w:val="20"/>
          <w:szCs w:val="20"/>
        </w:rPr>
        <w:t>I</w:t>
      </w:r>
      <w:r w:rsidRPr="00486FEC">
        <w:rPr>
          <w:rFonts w:ascii="Verdana" w:hAnsi="Verdana"/>
          <w:sz w:val="20"/>
          <w:szCs w:val="20"/>
        </w:rPr>
        <w:t xml:space="preserve">ngeniero Jorge Glas </w:t>
      </w:r>
      <w:r w:rsidR="000A37CC" w:rsidRPr="00486FEC">
        <w:rPr>
          <w:rFonts w:ascii="Verdana" w:hAnsi="Verdana"/>
          <w:sz w:val="20"/>
          <w:szCs w:val="20"/>
        </w:rPr>
        <w:t xml:space="preserve">que, cuando el nuevo presidente rompió con su predecesor, </w:t>
      </w:r>
      <w:r w:rsidRPr="00486FEC">
        <w:rPr>
          <w:rFonts w:ascii="Verdana" w:hAnsi="Verdana"/>
          <w:sz w:val="20"/>
          <w:szCs w:val="20"/>
        </w:rPr>
        <w:t>permanec</w:t>
      </w:r>
      <w:r w:rsidR="00C440FC" w:rsidRPr="00486FEC">
        <w:rPr>
          <w:rFonts w:ascii="Verdana" w:hAnsi="Verdana"/>
          <w:sz w:val="20"/>
          <w:szCs w:val="20"/>
        </w:rPr>
        <w:t>ió</w:t>
      </w:r>
      <w:r w:rsidRPr="00486FEC">
        <w:rPr>
          <w:rFonts w:ascii="Verdana" w:hAnsi="Verdana"/>
          <w:sz w:val="20"/>
          <w:szCs w:val="20"/>
        </w:rPr>
        <w:t xml:space="preserve"> en el sector </w:t>
      </w:r>
      <w:r w:rsidR="00797756" w:rsidRPr="00486FEC">
        <w:rPr>
          <w:rFonts w:ascii="Verdana" w:hAnsi="Verdana"/>
          <w:sz w:val="20"/>
          <w:szCs w:val="20"/>
        </w:rPr>
        <w:t>político opositor</w:t>
      </w:r>
      <w:r w:rsidR="009A12C9" w:rsidRPr="00486FEC">
        <w:rPr>
          <w:rFonts w:ascii="Verdana" w:hAnsi="Verdana"/>
          <w:sz w:val="20"/>
          <w:szCs w:val="20"/>
        </w:rPr>
        <w:t>,</w:t>
      </w:r>
      <w:r w:rsidR="008475AA" w:rsidRPr="00486FEC">
        <w:rPr>
          <w:rFonts w:ascii="Verdana" w:hAnsi="Verdana"/>
          <w:sz w:val="20"/>
          <w:szCs w:val="20"/>
        </w:rPr>
        <w:t xml:space="preserve"> y que se halla privado </w:t>
      </w:r>
      <w:r w:rsidR="009A12C9" w:rsidRPr="00486FEC">
        <w:rPr>
          <w:rFonts w:ascii="Verdana" w:hAnsi="Verdana"/>
          <w:sz w:val="20"/>
          <w:szCs w:val="20"/>
        </w:rPr>
        <w:t>de libertad ha</w:t>
      </w:r>
      <w:r w:rsidR="00EB49BA" w:rsidRPr="00486FEC">
        <w:rPr>
          <w:rFonts w:ascii="Verdana" w:hAnsi="Verdana"/>
          <w:sz w:val="20"/>
          <w:szCs w:val="20"/>
        </w:rPr>
        <w:t>sta la fecha.</w:t>
      </w:r>
    </w:p>
    <w:p w14:paraId="269D5D0E" w14:textId="7788FC5B"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4D6CEC13" w14:textId="30BBEF67" w:rsidR="00EB49BA" w:rsidRDefault="003318E6"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No está claro </w:t>
      </w:r>
      <w:r w:rsidR="00D33794" w:rsidRPr="00486FEC">
        <w:rPr>
          <w:rFonts w:ascii="Verdana" w:hAnsi="Verdana"/>
          <w:sz w:val="20"/>
          <w:szCs w:val="20"/>
        </w:rPr>
        <w:t>si</w:t>
      </w:r>
      <w:r w:rsidRPr="00486FEC">
        <w:rPr>
          <w:rFonts w:ascii="Verdana" w:hAnsi="Verdana"/>
          <w:sz w:val="20"/>
          <w:szCs w:val="20"/>
        </w:rPr>
        <w:t xml:space="preserve"> a</w:t>
      </w:r>
      <w:r w:rsidR="00B47ED7" w:rsidRPr="00486FEC">
        <w:rPr>
          <w:rFonts w:ascii="Verdana" w:hAnsi="Verdana"/>
          <w:sz w:val="20"/>
          <w:szCs w:val="20"/>
        </w:rPr>
        <w:t xml:space="preserve">l ex-vicepresidente </w:t>
      </w:r>
      <w:r w:rsidR="00CA5BFE" w:rsidRPr="00486FEC">
        <w:rPr>
          <w:rFonts w:ascii="Verdana" w:hAnsi="Verdana"/>
          <w:sz w:val="20"/>
          <w:szCs w:val="20"/>
        </w:rPr>
        <w:t xml:space="preserve">constitución al electo popularmente </w:t>
      </w:r>
      <w:r w:rsidRPr="00486FEC">
        <w:rPr>
          <w:rFonts w:ascii="Verdana" w:hAnsi="Verdana"/>
          <w:sz w:val="20"/>
          <w:szCs w:val="20"/>
        </w:rPr>
        <w:t>se lo destituyó</w:t>
      </w:r>
      <w:r w:rsidR="00D752D2" w:rsidRPr="00486FEC">
        <w:rPr>
          <w:rFonts w:ascii="Verdana" w:hAnsi="Verdana"/>
          <w:sz w:val="20"/>
          <w:szCs w:val="20"/>
        </w:rPr>
        <w:t xml:space="preserve"> según el procedi</w:t>
      </w:r>
      <w:r w:rsidRPr="00486FEC">
        <w:rPr>
          <w:rFonts w:ascii="Verdana" w:hAnsi="Verdana"/>
          <w:sz w:val="20"/>
          <w:szCs w:val="20"/>
        </w:rPr>
        <w:t xml:space="preserve">miento constitucional, o si </w:t>
      </w:r>
      <w:r w:rsidR="00D752D2" w:rsidRPr="00486FEC">
        <w:rPr>
          <w:rFonts w:ascii="Verdana" w:hAnsi="Verdana"/>
          <w:sz w:val="20"/>
          <w:szCs w:val="20"/>
        </w:rPr>
        <w:t>se lo reemplazó por el mero hecho de que estando preso no podía ejercer sus funciones, p</w:t>
      </w:r>
      <w:r w:rsidRPr="00486FEC">
        <w:rPr>
          <w:rFonts w:ascii="Verdana" w:hAnsi="Verdana"/>
          <w:sz w:val="20"/>
          <w:szCs w:val="20"/>
        </w:rPr>
        <w:t>ero más allá de esta circunstancia,</w:t>
      </w:r>
      <w:r w:rsidR="00D752D2" w:rsidRPr="00486FEC">
        <w:rPr>
          <w:rFonts w:ascii="Verdana" w:hAnsi="Verdana"/>
          <w:sz w:val="20"/>
          <w:szCs w:val="20"/>
        </w:rPr>
        <w:t xml:space="preserve"> lo cierto es que las condiciones en que se lo mantiene privado de libertad han sido materia de seria preocupación </w:t>
      </w:r>
      <w:r w:rsidR="00C440FC" w:rsidRPr="00486FEC">
        <w:rPr>
          <w:rFonts w:ascii="Verdana" w:hAnsi="Verdana"/>
          <w:sz w:val="20"/>
          <w:szCs w:val="20"/>
        </w:rPr>
        <w:t xml:space="preserve">y en algún momento hicieron temer </w:t>
      </w:r>
      <w:r w:rsidRPr="00486FEC">
        <w:rPr>
          <w:rFonts w:ascii="Verdana" w:hAnsi="Verdana"/>
          <w:sz w:val="20"/>
          <w:szCs w:val="20"/>
        </w:rPr>
        <w:t>por su vida, de</w:t>
      </w:r>
      <w:r w:rsidR="00D752D2" w:rsidRPr="00486FEC">
        <w:rPr>
          <w:rFonts w:ascii="Verdana" w:hAnsi="Verdana"/>
          <w:sz w:val="20"/>
          <w:szCs w:val="20"/>
        </w:rPr>
        <w:t xml:space="preserve"> forma tal que la Comisión Interamericana dispuso medidas cautelares que determinaron su reubicación</w:t>
      </w:r>
      <w:r w:rsidR="00C440FC" w:rsidRPr="00486FEC">
        <w:rPr>
          <w:rFonts w:ascii="Verdana" w:hAnsi="Verdana"/>
          <w:sz w:val="20"/>
          <w:szCs w:val="20"/>
        </w:rPr>
        <w:t>. También h</w:t>
      </w:r>
      <w:r w:rsidR="00D752D2" w:rsidRPr="00486FEC">
        <w:rPr>
          <w:rFonts w:ascii="Verdana" w:hAnsi="Verdana"/>
          <w:sz w:val="20"/>
          <w:szCs w:val="20"/>
        </w:rPr>
        <w:t xml:space="preserve">a trascendido que en breve procedería a realizar una visita para verificar </w:t>
      </w:r>
      <w:r w:rsidR="00D752D2" w:rsidRPr="00486FEC">
        <w:rPr>
          <w:rFonts w:ascii="Verdana" w:hAnsi="Verdana"/>
          <w:i/>
          <w:sz w:val="20"/>
          <w:szCs w:val="20"/>
        </w:rPr>
        <w:t>in situ</w:t>
      </w:r>
      <w:r w:rsidR="00D752D2" w:rsidRPr="00486FEC">
        <w:rPr>
          <w:rFonts w:ascii="Verdana" w:hAnsi="Verdana"/>
          <w:sz w:val="20"/>
          <w:szCs w:val="20"/>
        </w:rPr>
        <w:t xml:space="preserve"> la situación actual</w:t>
      </w:r>
      <w:r w:rsidR="00C440FC" w:rsidRPr="00486FEC">
        <w:rPr>
          <w:rFonts w:ascii="Verdana" w:hAnsi="Verdana"/>
          <w:sz w:val="20"/>
          <w:szCs w:val="20"/>
        </w:rPr>
        <w:t xml:space="preserve"> del detenido</w:t>
      </w:r>
      <w:r w:rsidR="00EB49BA" w:rsidRPr="00486FEC">
        <w:rPr>
          <w:rFonts w:ascii="Verdana" w:hAnsi="Verdana"/>
          <w:sz w:val="20"/>
          <w:szCs w:val="20"/>
        </w:rPr>
        <w:t>.</w:t>
      </w:r>
    </w:p>
    <w:p w14:paraId="34DBFD03" w14:textId="6641E4FE"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66A97CF0" w14:textId="797A14C9" w:rsidR="00EB49BA" w:rsidRDefault="00D752D2"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Sin perjuicio de lo actuado por la Comisión, </w:t>
      </w:r>
      <w:r w:rsidR="002D4F4D" w:rsidRPr="00486FEC">
        <w:rPr>
          <w:rFonts w:ascii="Verdana" w:hAnsi="Verdana"/>
          <w:sz w:val="20"/>
          <w:szCs w:val="20"/>
        </w:rPr>
        <w:t xml:space="preserve">noticias periodísticas dan cuenta de que </w:t>
      </w:r>
      <w:r w:rsidRPr="00486FEC">
        <w:rPr>
          <w:rFonts w:ascii="Verdana" w:hAnsi="Verdana"/>
          <w:sz w:val="20"/>
          <w:szCs w:val="20"/>
        </w:rPr>
        <w:t>otras autoridades de relieve en el plano internacional se habrían manifestado preocupadas por la situación del ingeniero Glas, a quien al parece</w:t>
      </w:r>
      <w:r w:rsidR="00CA4339" w:rsidRPr="00486FEC">
        <w:rPr>
          <w:rFonts w:ascii="Verdana" w:hAnsi="Verdana"/>
          <w:sz w:val="20"/>
          <w:szCs w:val="20"/>
        </w:rPr>
        <w:t xml:space="preserve">r </w:t>
      </w:r>
      <w:r w:rsidRPr="00486FEC">
        <w:rPr>
          <w:rFonts w:ascii="Verdana" w:hAnsi="Verdana"/>
          <w:sz w:val="20"/>
          <w:szCs w:val="20"/>
        </w:rPr>
        <w:t>se le siguen nuevos procesos, conforme al</w:t>
      </w:r>
      <w:r w:rsidR="00D6123C" w:rsidRPr="00486FEC">
        <w:rPr>
          <w:rFonts w:ascii="Verdana" w:hAnsi="Verdana"/>
          <w:sz w:val="20"/>
          <w:szCs w:val="20"/>
        </w:rPr>
        <w:t xml:space="preserve"> conocido</w:t>
      </w:r>
      <w:r w:rsidRPr="00486FEC">
        <w:rPr>
          <w:rFonts w:ascii="Verdana" w:hAnsi="Verdana"/>
          <w:sz w:val="20"/>
          <w:szCs w:val="20"/>
        </w:rPr>
        <w:t xml:space="preserve"> procedimiento de </w:t>
      </w:r>
      <w:r w:rsidRPr="00486FEC">
        <w:rPr>
          <w:rFonts w:ascii="Verdana" w:hAnsi="Verdana"/>
          <w:i/>
          <w:sz w:val="20"/>
          <w:szCs w:val="20"/>
        </w:rPr>
        <w:t>clonación</w:t>
      </w:r>
      <w:r w:rsidRPr="00486FEC">
        <w:rPr>
          <w:rFonts w:ascii="Verdana" w:hAnsi="Verdana"/>
          <w:sz w:val="20"/>
          <w:szCs w:val="20"/>
        </w:rPr>
        <w:t xml:space="preserve"> indefinida de procesos penales</w:t>
      </w:r>
      <w:r w:rsidR="00797756" w:rsidRPr="00486FEC">
        <w:rPr>
          <w:rFonts w:ascii="Verdana" w:hAnsi="Verdana"/>
          <w:sz w:val="20"/>
          <w:szCs w:val="20"/>
        </w:rPr>
        <w:t>,</w:t>
      </w:r>
      <w:r w:rsidRPr="00486FEC">
        <w:rPr>
          <w:rFonts w:ascii="Verdana" w:hAnsi="Verdana"/>
          <w:sz w:val="20"/>
          <w:szCs w:val="20"/>
        </w:rPr>
        <w:t xml:space="preserve"> </w:t>
      </w:r>
      <w:r w:rsidR="00CA4339" w:rsidRPr="00486FEC">
        <w:rPr>
          <w:rFonts w:ascii="Verdana" w:hAnsi="Verdana"/>
          <w:sz w:val="20"/>
          <w:szCs w:val="20"/>
        </w:rPr>
        <w:t xml:space="preserve">propio de </w:t>
      </w:r>
      <w:r w:rsidR="00797756" w:rsidRPr="00486FEC">
        <w:rPr>
          <w:rFonts w:ascii="Verdana" w:hAnsi="Verdana"/>
          <w:sz w:val="20"/>
          <w:szCs w:val="20"/>
        </w:rPr>
        <w:t xml:space="preserve">reiterados </w:t>
      </w:r>
      <w:r w:rsidR="00CA4339" w:rsidRPr="00486FEC">
        <w:rPr>
          <w:rFonts w:ascii="Verdana" w:hAnsi="Verdana"/>
          <w:sz w:val="20"/>
          <w:szCs w:val="20"/>
        </w:rPr>
        <w:t xml:space="preserve">casos de </w:t>
      </w:r>
      <w:r w:rsidR="00CA4339" w:rsidRPr="00486FEC">
        <w:rPr>
          <w:rFonts w:ascii="Verdana" w:hAnsi="Verdana"/>
          <w:i/>
          <w:sz w:val="20"/>
          <w:szCs w:val="20"/>
        </w:rPr>
        <w:t>lawfare</w:t>
      </w:r>
      <w:r w:rsidR="00797756" w:rsidRPr="00486FEC">
        <w:rPr>
          <w:rFonts w:ascii="Verdana" w:hAnsi="Verdana"/>
          <w:sz w:val="20"/>
          <w:szCs w:val="20"/>
        </w:rPr>
        <w:t xml:space="preserve"> en nuestra región,</w:t>
      </w:r>
      <w:r w:rsidR="00CA4339" w:rsidRPr="00486FEC">
        <w:rPr>
          <w:rFonts w:ascii="Verdana" w:hAnsi="Verdana"/>
          <w:sz w:val="20"/>
          <w:szCs w:val="20"/>
        </w:rPr>
        <w:t xml:space="preserve"> como el que desde hace más de cuatro años afecta de la señora Milagro Sala en la Argentina y que</w:t>
      </w:r>
      <w:r w:rsidR="002D4F4D" w:rsidRPr="00486FEC">
        <w:rPr>
          <w:rFonts w:ascii="Verdana" w:hAnsi="Verdana"/>
          <w:sz w:val="20"/>
          <w:szCs w:val="20"/>
        </w:rPr>
        <w:t xml:space="preserve"> también </w:t>
      </w:r>
      <w:r w:rsidR="00CA4339" w:rsidRPr="00486FEC">
        <w:rPr>
          <w:rFonts w:ascii="Verdana" w:hAnsi="Verdana"/>
          <w:sz w:val="20"/>
          <w:szCs w:val="20"/>
        </w:rPr>
        <w:t>motivó medidas por parte del Sistema Interamericano</w:t>
      </w:r>
      <w:r w:rsidR="003318E6" w:rsidRPr="00486FEC">
        <w:rPr>
          <w:rFonts w:ascii="Verdana" w:hAnsi="Verdana"/>
          <w:sz w:val="20"/>
          <w:szCs w:val="20"/>
        </w:rPr>
        <w:t xml:space="preserve"> y de esta misma Corte</w:t>
      </w:r>
      <w:r w:rsidR="00CA4339" w:rsidRPr="00486FEC">
        <w:rPr>
          <w:rFonts w:ascii="Verdana" w:hAnsi="Verdana"/>
          <w:sz w:val="20"/>
          <w:szCs w:val="20"/>
        </w:rPr>
        <w:t>.</w:t>
      </w:r>
      <w:r w:rsidR="00EB49BA" w:rsidRPr="00486FEC">
        <w:rPr>
          <w:rStyle w:val="Refdenotaalpie"/>
          <w:rFonts w:ascii="Verdana" w:hAnsi="Verdana"/>
          <w:sz w:val="20"/>
          <w:szCs w:val="20"/>
        </w:rPr>
        <w:footnoteReference w:id="16"/>
      </w:r>
    </w:p>
    <w:p w14:paraId="5B7C4EC4" w14:textId="1B28F9B2"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0F2AF83B" w14:textId="77777777" w:rsidR="00EB49BA" w:rsidRPr="00486FEC" w:rsidRDefault="00D74E6B"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Considero absolutamente innecesario llamar la atención acerca de la enorme gravedad de lo señalado para la democracia, el respeto debido al pluralismo y a los principios del Estado de Derecho, ampliamente desarrollados en la jurisprudencia de esta Corte y ratificados con las recientes medidas dispuestas respecto del Estado de Nicaragua.</w:t>
      </w:r>
      <w:r w:rsidR="00EB49BA" w:rsidRPr="00486FEC">
        <w:rPr>
          <w:rStyle w:val="Refdenotaalpie"/>
          <w:rFonts w:ascii="Verdana" w:hAnsi="Verdana"/>
          <w:sz w:val="20"/>
          <w:szCs w:val="20"/>
        </w:rPr>
        <w:footnoteReference w:id="17"/>
      </w:r>
    </w:p>
    <w:p w14:paraId="7E819844" w14:textId="77777777" w:rsidR="00EB49BA" w:rsidRPr="00486FEC" w:rsidRDefault="00EB49BA" w:rsidP="00486FEC">
      <w:pPr>
        <w:pStyle w:val="Prrafodelista"/>
        <w:spacing w:after="0" w:line="240" w:lineRule="auto"/>
        <w:ind w:left="0"/>
        <w:contextualSpacing w:val="0"/>
        <w:jc w:val="both"/>
        <w:rPr>
          <w:rFonts w:ascii="Verdana" w:hAnsi="Verdana"/>
          <w:sz w:val="20"/>
          <w:szCs w:val="20"/>
        </w:rPr>
      </w:pPr>
    </w:p>
    <w:p w14:paraId="4CBB68AE" w14:textId="77777777" w:rsidR="00EB49BA" w:rsidRPr="00486FEC" w:rsidRDefault="001E5322" w:rsidP="00486FEC">
      <w:pPr>
        <w:pStyle w:val="Prrafodelista"/>
        <w:spacing w:after="0" w:line="240" w:lineRule="auto"/>
        <w:ind w:left="709"/>
        <w:contextualSpacing w:val="0"/>
        <w:jc w:val="both"/>
        <w:rPr>
          <w:rFonts w:ascii="Verdana" w:hAnsi="Verdana"/>
          <w:b/>
          <w:sz w:val="20"/>
          <w:szCs w:val="20"/>
        </w:rPr>
      </w:pPr>
      <w:r w:rsidRPr="00486FEC">
        <w:rPr>
          <w:rFonts w:ascii="Verdana" w:hAnsi="Verdana"/>
          <w:b/>
          <w:sz w:val="20"/>
          <w:szCs w:val="20"/>
        </w:rPr>
        <w:t>II.3</w:t>
      </w:r>
      <w:r w:rsidR="00C043D8" w:rsidRPr="00486FEC">
        <w:rPr>
          <w:rFonts w:ascii="Verdana" w:hAnsi="Verdana"/>
          <w:b/>
          <w:sz w:val="20"/>
          <w:szCs w:val="20"/>
        </w:rPr>
        <w:t>.c</w:t>
      </w:r>
      <w:r w:rsidR="00D41028" w:rsidRPr="00486FEC">
        <w:rPr>
          <w:rFonts w:ascii="Verdana" w:hAnsi="Verdana"/>
          <w:b/>
          <w:sz w:val="20"/>
          <w:szCs w:val="20"/>
        </w:rPr>
        <w:t>.</w:t>
      </w:r>
      <w:r w:rsidR="005D15C5" w:rsidRPr="00486FEC">
        <w:rPr>
          <w:rFonts w:ascii="Verdana" w:hAnsi="Verdana"/>
          <w:b/>
          <w:sz w:val="20"/>
          <w:szCs w:val="20"/>
        </w:rPr>
        <w:t xml:space="preserve"> Conclusiones respecto del contexto</w:t>
      </w:r>
    </w:p>
    <w:p w14:paraId="4CABBE57" w14:textId="77777777" w:rsidR="005541BC" w:rsidRPr="00486FEC" w:rsidRDefault="005541BC" w:rsidP="00486FEC">
      <w:pPr>
        <w:pStyle w:val="Prrafodelista"/>
        <w:spacing w:after="0" w:line="240" w:lineRule="auto"/>
        <w:ind w:left="709"/>
        <w:contextualSpacing w:val="0"/>
        <w:jc w:val="both"/>
        <w:rPr>
          <w:rFonts w:ascii="Verdana" w:hAnsi="Verdana"/>
          <w:b/>
          <w:sz w:val="20"/>
          <w:szCs w:val="20"/>
        </w:rPr>
      </w:pPr>
    </w:p>
    <w:p w14:paraId="73B1F55B" w14:textId="6181E695" w:rsidR="00EB49BA" w:rsidRDefault="00D74E6B"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Si bien algunos de los datos consignados </w:t>
      </w:r>
      <w:r w:rsidRPr="00486FEC">
        <w:rPr>
          <w:rFonts w:ascii="Verdana" w:hAnsi="Verdana"/>
          <w:i/>
          <w:sz w:val="20"/>
          <w:szCs w:val="20"/>
        </w:rPr>
        <w:t xml:space="preserve">supra </w:t>
      </w:r>
      <w:r w:rsidRPr="00486FEC">
        <w:rPr>
          <w:rFonts w:ascii="Verdana" w:hAnsi="Verdana"/>
          <w:sz w:val="20"/>
          <w:szCs w:val="20"/>
        </w:rPr>
        <w:t>serán ventilados en el curso de las investigac</w:t>
      </w:r>
      <w:r w:rsidR="003318E6" w:rsidRPr="00486FEC">
        <w:rPr>
          <w:rFonts w:ascii="Verdana" w:hAnsi="Verdana"/>
          <w:sz w:val="20"/>
          <w:szCs w:val="20"/>
        </w:rPr>
        <w:t>iones a las que se ha dado trámite</w:t>
      </w:r>
      <w:r w:rsidRPr="00486FEC">
        <w:rPr>
          <w:rFonts w:ascii="Verdana" w:hAnsi="Verdana"/>
          <w:sz w:val="20"/>
          <w:szCs w:val="20"/>
        </w:rPr>
        <w:t xml:space="preserve"> en el Sistema Interamericano y en el </w:t>
      </w:r>
      <w:r w:rsidR="00334E48" w:rsidRPr="00486FEC">
        <w:rPr>
          <w:rFonts w:ascii="Verdana" w:hAnsi="Verdana"/>
          <w:sz w:val="20"/>
          <w:szCs w:val="20"/>
        </w:rPr>
        <w:t>de la Organización de las N</w:t>
      </w:r>
      <w:r w:rsidRPr="00486FEC">
        <w:rPr>
          <w:rFonts w:ascii="Verdana" w:hAnsi="Verdana"/>
          <w:sz w:val="20"/>
          <w:szCs w:val="20"/>
        </w:rPr>
        <w:t xml:space="preserve">aciones Unidas, </w:t>
      </w:r>
      <w:r w:rsidR="005D15C5" w:rsidRPr="00486FEC">
        <w:rPr>
          <w:rFonts w:ascii="Verdana" w:hAnsi="Verdana"/>
          <w:sz w:val="20"/>
          <w:szCs w:val="20"/>
        </w:rPr>
        <w:t xml:space="preserve">lo </w:t>
      </w:r>
      <w:r w:rsidR="002D4F4D" w:rsidRPr="00486FEC">
        <w:rPr>
          <w:rFonts w:ascii="Verdana" w:hAnsi="Verdana"/>
          <w:sz w:val="20"/>
          <w:szCs w:val="20"/>
        </w:rPr>
        <w:t>cierto es que</w:t>
      </w:r>
      <w:r w:rsidR="009A12C9" w:rsidRPr="00486FEC">
        <w:rPr>
          <w:rFonts w:ascii="Verdana" w:hAnsi="Verdana"/>
          <w:sz w:val="20"/>
          <w:szCs w:val="20"/>
        </w:rPr>
        <w:t xml:space="preserve"> lo que se halla </w:t>
      </w:r>
      <w:r w:rsidR="00D33794" w:rsidRPr="00486FEC">
        <w:rPr>
          <w:rFonts w:ascii="Verdana" w:hAnsi="Verdana"/>
          <w:sz w:val="20"/>
          <w:szCs w:val="20"/>
        </w:rPr>
        <w:t xml:space="preserve">plenamente probado y, por ende, está </w:t>
      </w:r>
      <w:r w:rsidR="009A12C9" w:rsidRPr="00486FEC">
        <w:rPr>
          <w:rFonts w:ascii="Verdana" w:hAnsi="Verdana"/>
          <w:sz w:val="20"/>
          <w:szCs w:val="20"/>
        </w:rPr>
        <w:t xml:space="preserve">fuera </w:t>
      </w:r>
      <w:r w:rsidR="007E39D7" w:rsidRPr="00486FEC">
        <w:rPr>
          <w:rFonts w:ascii="Verdana" w:hAnsi="Verdana"/>
          <w:sz w:val="20"/>
          <w:szCs w:val="20"/>
        </w:rPr>
        <w:t>de cualquier duda</w:t>
      </w:r>
      <w:r w:rsidR="00D6123C" w:rsidRPr="00486FEC">
        <w:rPr>
          <w:rFonts w:ascii="Verdana" w:hAnsi="Verdana"/>
          <w:sz w:val="20"/>
          <w:szCs w:val="20"/>
        </w:rPr>
        <w:t>,</w:t>
      </w:r>
      <w:r w:rsidR="009A12C9" w:rsidRPr="00486FEC">
        <w:rPr>
          <w:rFonts w:ascii="Verdana" w:hAnsi="Verdana"/>
          <w:sz w:val="20"/>
          <w:szCs w:val="20"/>
        </w:rPr>
        <w:t xml:space="preserve"> es </w:t>
      </w:r>
      <w:r w:rsidR="00EB49BA" w:rsidRPr="00486FEC">
        <w:rPr>
          <w:rFonts w:ascii="Verdana" w:hAnsi="Verdana"/>
          <w:sz w:val="20"/>
          <w:szCs w:val="20"/>
        </w:rPr>
        <w:t>lo siguiente:</w:t>
      </w:r>
    </w:p>
    <w:p w14:paraId="4F77C1BD"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33AD23D7" w14:textId="6C9E636C" w:rsidR="00486FEC" w:rsidRPr="00486FEC" w:rsidRDefault="005D15C5" w:rsidP="00486FEC">
      <w:pPr>
        <w:pStyle w:val="Prrafodelista"/>
        <w:spacing w:after="0" w:line="240" w:lineRule="auto"/>
        <w:ind w:left="1134" w:hanging="425"/>
        <w:contextualSpacing w:val="0"/>
        <w:jc w:val="both"/>
        <w:rPr>
          <w:rFonts w:ascii="Verdana" w:hAnsi="Verdana"/>
          <w:sz w:val="20"/>
          <w:szCs w:val="20"/>
        </w:rPr>
      </w:pPr>
      <w:r w:rsidRPr="00486FEC">
        <w:rPr>
          <w:rFonts w:ascii="Verdana" w:hAnsi="Verdana"/>
          <w:sz w:val="20"/>
          <w:szCs w:val="20"/>
        </w:rPr>
        <w:t>(a) La situación institucional del Ecuador</w:t>
      </w:r>
      <w:r w:rsidR="00B17B1C" w:rsidRPr="00486FEC">
        <w:rPr>
          <w:rFonts w:ascii="Verdana" w:hAnsi="Verdana"/>
          <w:sz w:val="20"/>
          <w:szCs w:val="20"/>
        </w:rPr>
        <w:t xml:space="preserve">, </w:t>
      </w:r>
      <w:r w:rsidR="00D74E6B" w:rsidRPr="00486FEC">
        <w:rPr>
          <w:rFonts w:ascii="Verdana" w:hAnsi="Verdana"/>
          <w:sz w:val="20"/>
          <w:szCs w:val="20"/>
        </w:rPr>
        <w:t xml:space="preserve">como resultado del uso que </w:t>
      </w:r>
      <w:r w:rsidR="00334E48" w:rsidRPr="00486FEC">
        <w:rPr>
          <w:rFonts w:ascii="Verdana" w:hAnsi="Verdana"/>
          <w:sz w:val="20"/>
          <w:szCs w:val="20"/>
        </w:rPr>
        <w:t xml:space="preserve">el Poder Ejecutivo hizo </w:t>
      </w:r>
      <w:r w:rsidR="00D74E6B" w:rsidRPr="00486FEC">
        <w:rPr>
          <w:rFonts w:ascii="Verdana" w:hAnsi="Verdana"/>
          <w:sz w:val="20"/>
          <w:szCs w:val="20"/>
        </w:rPr>
        <w:t>de las atribuciones conferidas por la mencionada consulta</w:t>
      </w:r>
      <w:r w:rsidR="00334E48" w:rsidRPr="00486FEC">
        <w:rPr>
          <w:rFonts w:ascii="Verdana" w:hAnsi="Verdana"/>
          <w:sz w:val="20"/>
          <w:szCs w:val="20"/>
        </w:rPr>
        <w:t xml:space="preserve">, </w:t>
      </w:r>
      <w:r w:rsidRPr="00486FEC">
        <w:rPr>
          <w:rFonts w:ascii="Verdana" w:hAnsi="Verdana"/>
          <w:sz w:val="20"/>
          <w:szCs w:val="20"/>
        </w:rPr>
        <w:t xml:space="preserve">está cuestionada </w:t>
      </w:r>
      <w:r w:rsidR="007E39D7" w:rsidRPr="00486FEC">
        <w:rPr>
          <w:rFonts w:ascii="Verdana" w:hAnsi="Verdana"/>
          <w:sz w:val="20"/>
          <w:szCs w:val="20"/>
        </w:rPr>
        <w:t xml:space="preserve">internacionalmente </w:t>
      </w:r>
      <w:r w:rsidRPr="00486FEC">
        <w:rPr>
          <w:rFonts w:ascii="Verdana" w:hAnsi="Verdana"/>
          <w:sz w:val="20"/>
          <w:szCs w:val="20"/>
        </w:rPr>
        <w:t xml:space="preserve">y se han abierto indagaciones a su respecto que se hallan en pleno trámite </w:t>
      </w:r>
      <w:r w:rsidR="00B47ED7" w:rsidRPr="00486FEC">
        <w:rPr>
          <w:rFonts w:ascii="Verdana" w:hAnsi="Verdana"/>
          <w:sz w:val="20"/>
          <w:szCs w:val="20"/>
        </w:rPr>
        <w:t xml:space="preserve">tanto </w:t>
      </w:r>
      <w:r w:rsidRPr="00486FEC">
        <w:rPr>
          <w:rFonts w:ascii="Verdana" w:hAnsi="Verdana"/>
          <w:sz w:val="20"/>
          <w:szCs w:val="20"/>
        </w:rPr>
        <w:t xml:space="preserve">ante el Sistema Interamericano </w:t>
      </w:r>
      <w:r w:rsidR="00B47ED7" w:rsidRPr="00486FEC">
        <w:rPr>
          <w:rFonts w:ascii="Verdana" w:hAnsi="Verdana"/>
          <w:sz w:val="20"/>
          <w:szCs w:val="20"/>
        </w:rPr>
        <w:t xml:space="preserve">como ante </w:t>
      </w:r>
      <w:r w:rsidRPr="00486FEC">
        <w:rPr>
          <w:rFonts w:ascii="Verdana" w:hAnsi="Verdana"/>
          <w:sz w:val="20"/>
          <w:szCs w:val="20"/>
        </w:rPr>
        <w:t>la Organización de las Naciones Unidas, lo que indica que en ambos ámbitos</w:t>
      </w:r>
      <w:r w:rsidR="00D6123C" w:rsidRPr="00486FEC">
        <w:rPr>
          <w:rFonts w:ascii="Verdana" w:hAnsi="Verdana"/>
          <w:sz w:val="20"/>
          <w:szCs w:val="20"/>
        </w:rPr>
        <w:t xml:space="preserve"> </w:t>
      </w:r>
      <w:r w:rsidR="00D6123C" w:rsidRPr="00486FEC">
        <w:rPr>
          <w:rFonts w:ascii="Verdana" w:hAnsi="Verdana"/>
          <w:i/>
          <w:sz w:val="20"/>
          <w:szCs w:val="20"/>
        </w:rPr>
        <w:t>prima facie</w:t>
      </w:r>
      <w:r w:rsidR="00D6123C" w:rsidRPr="00486FEC">
        <w:rPr>
          <w:rFonts w:ascii="Verdana" w:hAnsi="Verdana"/>
          <w:sz w:val="20"/>
          <w:szCs w:val="20"/>
        </w:rPr>
        <w:t xml:space="preserve"> </w:t>
      </w:r>
      <w:r w:rsidR="00B47ED7" w:rsidRPr="00486FEC">
        <w:rPr>
          <w:rFonts w:ascii="Verdana" w:hAnsi="Verdana"/>
          <w:sz w:val="20"/>
          <w:szCs w:val="20"/>
        </w:rPr>
        <w:t xml:space="preserve">se </w:t>
      </w:r>
      <w:r w:rsidR="00D6123C" w:rsidRPr="00486FEC">
        <w:rPr>
          <w:rFonts w:ascii="Verdana" w:hAnsi="Verdana"/>
          <w:sz w:val="20"/>
          <w:szCs w:val="20"/>
        </w:rPr>
        <w:t>ha dad</w:t>
      </w:r>
      <w:r w:rsidR="00EB49BA" w:rsidRPr="00486FEC">
        <w:rPr>
          <w:rFonts w:ascii="Verdana" w:hAnsi="Verdana"/>
          <w:sz w:val="20"/>
          <w:szCs w:val="20"/>
        </w:rPr>
        <w:t>o crédito a lo denunciado.</w:t>
      </w:r>
    </w:p>
    <w:p w14:paraId="69A7C612" w14:textId="77777777" w:rsidR="00EB49BA" w:rsidRPr="00486FEC" w:rsidRDefault="005D15C5" w:rsidP="00486FEC">
      <w:pPr>
        <w:pStyle w:val="Prrafodelista"/>
        <w:spacing w:after="0" w:line="240" w:lineRule="auto"/>
        <w:ind w:left="1134" w:hanging="425"/>
        <w:contextualSpacing w:val="0"/>
        <w:jc w:val="both"/>
        <w:rPr>
          <w:rFonts w:ascii="Verdana" w:hAnsi="Verdana"/>
          <w:sz w:val="20"/>
          <w:szCs w:val="20"/>
        </w:rPr>
      </w:pPr>
      <w:r w:rsidRPr="00486FEC">
        <w:rPr>
          <w:rFonts w:ascii="Verdana" w:hAnsi="Verdana"/>
          <w:sz w:val="20"/>
          <w:szCs w:val="20"/>
        </w:rPr>
        <w:t xml:space="preserve">(b) </w:t>
      </w:r>
      <w:r w:rsidR="00B17B1C" w:rsidRPr="00486FEC">
        <w:rPr>
          <w:rFonts w:ascii="Verdana" w:hAnsi="Verdana"/>
          <w:sz w:val="20"/>
          <w:szCs w:val="20"/>
        </w:rPr>
        <w:t xml:space="preserve">Interpol rechazó el requerimiento de detención internacional del </w:t>
      </w:r>
      <w:r w:rsidR="00057B9A" w:rsidRPr="00486FEC">
        <w:rPr>
          <w:rFonts w:ascii="Verdana" w:hAnsi="Verdana"/>
          <w:sz w:val="20"/>
          <w:szCs w:val="20"/>
        </w:rPr>
        <w:t xml:space="preserve">dirigente opositor </w:t>
      </w:r>
      <w:r w:rsidR="002D4F4D" w:rsidRPr="00486FEC">
        <w:rPr>
          <w:rFonts w:ascii="Verdana" w:hAnsi="Verdana"/>
          <w:sz w:val="20"/>
          <w:szCs w:val="20"/>
        </w:rPr>
        <w:t xml:space="preserve">ecuatoriano </w:t>
      </w:r>
      <w:r w:rsidR="007E39D7" w:rsidRPr="00486FEC">
        <w:rPr>
          <w:rFonts w:ascii="Verdana" w:hAnsi="Verdana"/>
          <w:sz w:val="20"/>
          <w:szCs w:val="20"/>
        </w:rPr>
        <w:t xml:space="preserve">con motivo de su condenación </w:t>
      </w:r>
      <w:r w:rsidR="00B17B1C" w:rsidRPr="00486FEC">
        <w:rPr>
          <w:rFonts w:ascii="Verdana" w:hAnsi="Verdana"/>
          <w:sz w:val="20"/>
          <w:szCs w:val="20"/>
        </w:rPr>
        <w:t xml:space="preserve">en el </w:t>
      </w:r>
      <w:r w:rsidR="00B47ED7" w:rsidRPr="00486FEC">
        <w:rPr>
          <w:rFonts w:ascii="Verdana" w:hAnsi="Verdana"/>
          <w:i/>
          <w:sz w:val="20"/>
          <w:szCs w:val="20"/>
        </w:rPr>
        <w:t>Caso Sobornos</w:t>
      </w:r>
      <w:r w:rsidR="00B47ED7" w:rsidRPr="00486FEC">
        <w:rPr>
          <w:rFonts w:ascii="Verdana" w:hAnsi="Verdana"/>
          <w:sz w:val="20"/>
          <w:szCs w:val="20"/>
        </w:rPr>
        <w:t xml:space="preserve">, </w:t>
      </w:r>
      <w:r w:rsidR="00797756" w:rsidRPr="00486FEC">
        <w:rPr>
          <w:rFonts w:ascii="Verdana" w:hAnsi="Verdana"/>
          <w:sz w:val="20"/>
          <w:szCs w:val="20"/>
        </w:rPr>
        <w:t>como suele sucede</w:t>
      </w:r>
      <w:r w:rsidR="00390201" w:rsidRPr="00486FEC">
        <w:rPr>
          <w:rFonts w:ascii="Verdana" w:hAnsi="Verdana"/>
          <w:sz w:val="20"/>
          <w:szCs w:val="20"/>
        </w:rPr>
        <w:t xml:space="preserve">r cuando reconoce indicios de que </w:t>
      </w:r>
      <w:r w:rsidR="00797756" w:rsidRPr="00486FEC">
        <w:rPr>
          <w:rFonts w:ascii="Verdana" w:hAnsi="Verdana"/>
          <w:sz w:val="20"/>
          <w:szCs w:val="20"/>
        </w:rPr>
        <w:t xml:space="preserve">un </w:t>
      </w:r>
      <w:r w:rsidR="00D33794" w:rsidRPr="00486FEC">
        <w:rPr>
          <w:rFonts w:ascii="Verdana" w:hAnsi="Verdana"/>
          <w:sz w:val="20"/>
          <w:szCs w:val="20"/>
        </w:rPr>
        <w:t xml:space="preserve">posible </w:t>
      </w:r>
      <w:r w:rsidR="00797756" w:rsidRPr="00486FEC">
        <w:rPr>
          <w:rFonts w:ascii="Verdana" w:hAnsi="Verdana"/>
          <w:sz w:val="20"/>
          <w:szCs w:val="20"/>
        </w:rPr>
        <w:t>caso de persecución política</w:t>
      </w:r>
      <w:r w:rsidR="00EB49BA" w:rsidRPr="00486FEC">
        <w:rPr>
          <w:rFonts w:ascii="Verdana" w:hAnsi="Verdana"/>
          <w:sz w:val="20"/>
          <w:szCs w:val="20"/>
        </w:rPr>
        <w:t>.</w:t>
      </w:r>
    </w:p>
    <w:p w14:paraId="64668AEF" w14:textId="77777777" w:rsidR="00EB49BA" w:rsidRPr="00486FEC" w:rsidRDefault="00B17B1C" w:rsidP="00486FEC">
      <w:pPr>
        <w:pStyle w:val="Prrafodelista"/>
        <w:spacing w:after="0" w:line="240" w:lineRule="auto"/>
        <w:ind w:left="1134" w:hanging="425"/>
        <w:contextualSpacing w:val="0"/>
        <w:jc w:val="both"/>
        <w:rPr>
          <w:rFonts w:ascii="Verdana" w:hAnsi="Verdana"/>
          <w:sz w:val="20"/>
          <w:szCs w:val="20"/>
        </w:rPr>
      </w:pPr>
      <w:r w:rsidRPr="00486FEC">
        <w:rPr>
          <w:rFonts w:ascii="Verdana" w:hAnsi="Verdana"/>
          <w:sz w:val="20"/>
          <w:szCs w:val="20"/>
        </w:rPr>
        <w:t xml:space="preserve">(c) Las condiciones de detención del </w:t>
      </w:r>
      <w:r w:rsidR="00B47ED7" w:rsidRPr="00486FEC">
        <w:rPr>
          <w:rFonts w:ascii="Verdana" w:hAnsi="Verdana"/>
          <w:sz w:val="20"/>
          <w:szCs w:val="20"/>
        </w:rPr>
        <w:t xml:space="preserve">Ingeniero Glas, </w:t>
      </w:r>
      <w:r w:rsidRPr="00486FEC">
        <w:rPr>
          <w:rFonts w:ascii="Verdana" w:hAnsi="Verdana"/>
          <w:sz w:val="20"/>
          <w:szCs w:val="20"/>
        </w:rPr>
        <w:t>condenado en el mismo caso</w:t>
      </w:r>
      <w:r w:rsidR="007E39D7" w:rsidRPr="00486FEC">
        <w:rPr>
          <w:rFonts w:ascii="Verdana" w:hAnsi="Verdana"/>
          <w:sz w:val="20"/>
          <w:szCs w:val="20"/>
        </w:rPr>
        <w:t>,</w:t>
      </w:r>
      <w:r w:rsidRPr="00486FEC">
        <w:rPr>
          <w:rFonts w:ascii="Verdana" w:hAnsi="Verdana"/>
          <w:sz w:val="20"/>
          <w:szCs w:val="20"/>
        </w:rPr>
        <w:t xml:space="preserve"> determinaron medidas por parte de la Comisión</w:t>
      </w:r>
      <w:r w:rsidR="00D6123C" w:rsidRPr="00486FEC">
        <w:rPr>
          <w:rFonts w:ascii="Verdana" w:hAnsi="Verdana"/>
          <w:sz w:val="20"/>
          <w:szCs w:val="20"/>
        </w:rPr>
        <w:t xml:space="preserve"> Interamericana</w:t>
      </w:r>
      <w:r w:rsidR="007D1781" w:rsidRPr="00486FEC">
        <w:rPr>
          <w:rStyle w:val="Refdenotaalpie"/>
          <w:rFonts w:ascii="Verdana" w:hAnsi="Verdana"/>
          <w:sz w:val="20"/>
          <w:szCs w:val="20"/>
        </w:rPr>
        <w:footnoteReference w:id="18"/>
      </w:r>
      <w:r w:rsidR="007E39D7" w:rsidRPr="00486FEC">
        <w:rPr>
          <w:rFonts w:ascii="Verdana" w:hAnsi="Verdana"/>
          <w:sz w:val="20"/>
          <w:szCs w:val="20"/>
        </w:rPr>
        <w:t xml:space="preserve">, que sigue </w:t>
      </w:r>
      <w:r w:rsidR="00B47ED7" w:rsidRPr="00486FEC">
        <w:rPr>
          <w:rFonts w:ascii="Verdana" w:hAnsi="Verdana"/>
          <w:sz w:val="20"/>
          <w:szCs w:val="20"/>
        </w:rPr>
        <w:t xml:space="preserve">observando </w:t>
      </w:r>
      <w:r w:rsidR="00797756" w:rsidRPr="00486FEC">
        <w:rPr>
          <w:rFonts w:ascii="Verdana" w:hAnsi="Verdana"/>
          <w:sz w:val="20"/>
          <w:szCs w:val="20"/>
        </w:rPr>
        <w:t xml:space="preserve">con </w:t>
      </w:r>
      <w:r w:rsidR="007E39D7" w:rsidRPr="00486FEC">
        <w:rPr>
          <w:rFonts w:ascii="Verdana" w:hAnsi="Verdana"/>
          <w:sz w:val="20"/>
          <w:szCs w:val="20"/>
        </w:rPr>
        <w:t>aten</w:t>
      </w:r>
      <w:r w:rsidR="00797756" w:rsidRPr="00486FEC">
        <w:rPr>
          <w:rFonts w:ascii="Verdana" w:hAnsi="Verdana"/>
          <w:sz w:val="20"/>
          <w:szCs w:val="20"/>
        </w:rPr>
        <w:t xml:space="preserve">ción </w:t>
      </w:r>
      <w:r w:rsidR="007E39D7" w:rsidRPr="00486FEC">
        <w:rPr>
          <w:rFonts w:ascii="Verdana" w:hAnsi="Verdana"/>
          <w:sz w:val="20"/>
          <w:szCs w:val="20"/>
        </w:rPr>
        <w:t>su situación</w:t>
      </w:r>
      <w:r w:rsidR="00EB49BA" w:rsidRPr="00486FEC">
        <w:rPr>
          <w:rFonts w:ascii="Verdana" w:hAnsi="Verdana"/>
          <w:sz w:val="20"/>
          <w:szCs w:val="20"/>
        </w:rPr>
        <w:t>.</w:t>
      </w:r>
    </w:p>
    <w:p w14:paraId="4CECF054" w14:textId="77777777" w:rsidR="00EB49BA" w:rsidRPr="00486FEC" w:rsidRDefault="00B17B1C" w:rsidP="00486FEC">
      <w:pPr>
        <w:pStyle w:val="Prrafodelista"/>
        <w:spacing w:after="0" w:line="240" w:lineRule="auto"/>
        <w:ind w:left="1134" w:hanging="425"/>
        <w:contextualSpacing w:val="0"/>
        <w:jc w:val="both"/>
        <w:rPr>
          <w:rFonts w:ascii="Verdana" w:hAnsi="Verdana"/>
          <w:sz w:val="20"/>
          <w:szCs w:val="20"/>
        </w:rPr>
      </w:pPr>
      <w:r w:rsidRPr="00486FEC">
        <w:rPr>
          <w:rFonts w:ascii="Verdana" w:hAnsi="Verdana"/>
          <w:sz w:val="20"/>
          <w:szCs w:val="20"/>
        </w:rPr>
        <w:t xml:space="preserve">(d) La </w:t>
      </w:r>
      <w:r w:rsidR="00C440FC" w:rsidRPr="00486FEC">
        <w:rPr>
          <w:rFonts w:ascii="Verdana" w:hAnsi="Verdana"/>
          <w:sz w:val="20"/>
          <w:szCs w:val="20"/>
        </w:rPr>
        <w:t xml:space="preserve">polarización y consiguiente </w:t>
      </w:r>
      <w:r w:rsidRPr="00486FEC">
        <w:rPr>
          <w:rFonts w:ascii="Verdana" w:hAnsi="Verdana"/>
          <w:sz w:val="20"/>
          <w:szCs w:val="20"/>
        </w:rPr>
        <w:t xml:space="preserve">lucha política </w:t>
      </w:r>
      <w:r w:rsidR="00B47ED7" w:rsidRPr="00486FEC">
        <w:rPr>
          <w:rFonts w:ascii="Verdana" w:hAnsi="Verdana"/>
          <w:sz w:val="20"/>
          <w:szCs w:val="20"/>
        </w:rPr>
        <w:t xml:space="preserve">en Ecuador </w:t>
      </w:r>
      <w:r w:rsidRPr="00486FEC">
        <w:rPr>
          <w:rFonts w:ascii="Verdana" w:hAnsi="Verdana"/>
          <w:sz w:val="20"/>
          <w:szCs w:val="20"/>
        </w:rPr>
        <w:t>es</w:t>
      </w:r>
      <w:r w:rsidR="00C440FC" w:rsidRPr="00486FEC">
        <w:rPr>
          <w:rFonts w:ascii="Verdana" w:hAnsi="Verdana"/>
          <w:sz w:val="20"/>
          <w:szCs w:val="20"/>
        </w:rPr>
        <w:t xml:space="preserve"> </w:t>
      </w:r>
      <w:r w:rsidRPr="00486FEC">
        <w:rPr>
          <w:rFonts w:ascii="Verdana" w:hAnsi="Verdana"/>
          <w:sz w:val="20"/>
          <w:szCs w:val="20"/>
        </w:rPr>
        <w:t xml:space="preserve">encarnizada, el país se halla profundamente dividido y el principal partido </w:t>
      </w:r>
      <w:r w:rsidR="00B47ED7" w:rsidRPr="00486FEC">
        <w:rPr>
          <w:rFonts w:ascii="Verdana" w:hAnsi="Verdana"/>
          <w:sz w:val="20"/>
          <w:szCs w:val="20"/>
        </w:rPr>
        <w:t xml:space="preserve">político </w:t>
      </w:r>
      <w:r w:rsidRPr="00486FEC">
        <w:rPr>
          <w:rFonts w:ascii="Verdana" w:hAnsi="Verdana"/>
          <w:sz w:val="20"/>
          <w:szCs w:val="20"/>
        </w:rPr>
        <w:t xml:space="preserve">opositor es el que encabeza el </w:t>
      </w:r>
      <w:r w:rsidR="00C440FC" w:rsidRPr="00486FEC">
        <w:rPr>
          <w:rFonts w:ascii="Verdana" w:hAnsi="Verdana"/>
          <w:sz w:val="20"/>
          <w:szCs w:val="20"/>
        </w:rPr>
        <w:t>predecesor del eje</w:t>
      </w:r>
      <w:r w:rsidR="00EB49BA" w:rsidRPr="00486FEC">
        <w:rPr>
          <w:rFonts w:ascii="Verdana" w:hAnsi="Verdana"/>
          <w:sz w:val="20"/>
          <w:szCs w:val="20"/>
        </w:rPr>
        <w:t>cutivo que convocó la consulta.</w:t>
      </w:r>
    </w:p>
    <w:p w14:paraId="2A5B768F" w14:textId="77777777" w:rsidR="00486FEC" w:rsidRPr="00486FEC" w:rsidRDefault="00486FEC" w:rsidP="00486FEC">
      <w:pPr>
        <w:pStyle w:val="Prrafodelista"/>
        <w:spacing w:after="0" w:line="240" w:lineRule="auto"/>
        <w:ind w:left="0"/>
        <w:contextualSpacing w:val="0"/>
        <w:jc w:val="both"/>
        <w:rPr>
          <w:rFonts w:ascii="Verdana" w:hAnsi="Verdana"/>
          <w:i/>
          <w:sz w:val="20"/>
          <w:szCs w:val="20"/>
        </w:rPr>
      </w:pPr>
    </w:p>
    <w:p w14:paraId="38CCA9DF" w14:textId="70633E57" w:rsidR="00EB49BA" w:rsidRPr="00486FEC" w:rsidRDefault="006C71D0" w:rsidP="00486FEC">
      <w:pPr>
        <w:pStyle w:val="Prrafodelista"/>
        <w:numPr>
          <w:ilvl w:val="0"/>
          <w:numId w:val="3"/>
        </w:numPr>
        <w:spacing w:after="0" w:line="240" w:lineRule="auto"/>
        <w:ind w:left="0" w:firstLine="0"/>
        <w:contextualSpacing w:val="0"/>
        <w:jc w:val="both"/>
        <w:rPr>
          <w:rFonts w:ascii="Verdana" w:hAnsi="Verdana"/>
          <w:i/>
          <w:sz w:val="20"/>
          <w:szCs w:val="20"/>
        </w:rPr>
      </w:pPr>
      <w:r w:rsidRPr="00486FEC">
        <w:rPr>
          <w:rFonts w:ascii="Verdana" w:hAnsi="Verdana"/>
          <w:sz w:val="20"/>
          <w:szCs w:val="20"/>
        </w:rPr>
        <w:t xml:space="preserve">Por estas razones, a las que sumo las que seguidamente pasaré a exponer, y pese al </w:t>
      </w:r>
      <w:r w:rsidR="00334E48" w:rsidRPr="00486FEC">
        <w:rPr>
          <w:rFonts w:ascii="Verdana" w:hAnsi="Verdana"/>
          <w:sz w:val="20"/>
          <w:szCs w:val="20"/>
        </w:rPr>
        <w:t xml:space="preserve">alto </w:t>
      </w:r>
      <w:r w:rsidRPr="00486FEC">
        <w:rPr>
          <w:rFonts w:ascii="Verdana" w:hAnsi="Verdana"/>
          <w:sz w:val="20"/>
          <w:szCs w:val="20"/>
        </w:rPr>
        <w:t xml:space="preserve">respeto </w:t>
      </w:r>
      <w:r w:rsidR="00C440FC" w:rsidRPr="00486FEC">
        <w:rPr>
          <w:rFonts w:ascii="Verdana" w:hAnsi="Verdana"/>
          <w:sz w:val="20"/>
          <w:szCs w:val="20"/>
        </w:rPr>
        <w:t xml:space="preserve">que me merece </w:t>
      </w:r>
      <w:r w:rsidRPr="00486FEC">
        <w:rPr>
          <w:rFonts w:ascii="Verdana" w:hAnsi="Verdana"/>
          <w:sz w:val="20"/>
          <w:szCs w:val="20"/>
        </w:rPr>
        <w:t xml:space="preserve">la opinión de la mayoría, me apartaré de su criterio, por considerar que </w:t>
      </w:r>
      <w:r w:rsidRPr="00486FEC">
        <w:rPr>
          <w:rFonts w:ascii="Verdana" w:hAnsi="Verdana"/>
          <w:i/>
          <w:sz w:val="20"/>
          <w:szCs w:val="20"/>
        </w:rPr>
        <w:t>en este caso todo indica que el Estado pretende utilizar a est</w:t>
      </w:r>
      <w:r w:rsidR="00D6123C" w:rsidRPr="00486FEC">
        <w:rPr>
          <w:rFonts w:ascii="Verdana" w:hAnsi="Verdana"/>
          <w:i/>
          <w:sz w:val="20"/>
          <w:szCs w:val="20"/>
        </w:rPr>
        <w:t xml:space="preserve">a Corte </w:t>
      </w:r>
      <w:r w:rsidRPr="00486FEC">
        <w:rPr>
          <w:rFonts w:ascii="Verdana" w:hAnsi="Verdana"/>
          <w:i/>
          <w:sz w:val="20"/>
          <w:szCs w:val="20"/>
        </w:rPr>
        <w:t xml:space="preserve">para </w:t>
      </w:r>
      <w:r w:rsidR="00AA2CED" w:rsidRPr="00486FEC">
        <w:rPr>
          <w:rFonts w:ascii="Verdana" w:hAnsi="Verdana"/>
          <w:i/>
          <w:sz w:val="20"/>
          <w:szCs w:val="20"/>
        </w:rPr>
        <w:t xml:space="preserve">hacer </w:t>
      </w:r>
      <w:r w:rsidRPr="00486FEC">
        <w:rPr>
          <w:rFonts w:ascii="Verdana" w:hAnsi="Verdana"/>
          <w:i/>
          <w:sz w:val="20"/>
          <w:szCs w:val="20"/>
        </w:rPr>
        <w:t xml:space="preserve">jugar su sentencia en el marco de una </w:t>
      </w:r>
      <w:r w:rsidR="007E39D7" w:rsidRPr="00486FEC">
        <w:rPr>
          <w:rFonts w:ascii="Verdana" w:hAnsi="Verdana"/>
          <w:i/>
          <w:sz w:val="20"/>
          <w:szCs w:val="20"/>
        </w:rPr>
        <w:t xml:space="preserve">abierta, </w:t>
      </w:r>
      <w:r w:rsidRPr="00486FEC">
        <w:rPr>
          <w:rFonts w:ascii="Verdana" w:hAnsi="Verdana"/>
          <w:i/>
          <w:sz w:val="20"/>
          <w:szCs w:val="20"/>
        </w:rPr>
        <w:t>impiedosa y crudelísima polarización política interna</w:t>
      </w:r>
      <w:r w:rsidR="00EB49BA" w:rsidRPr="00486FEC">
        <w:rPr>
          <w:rFonts w:ascii="Verdana" w:hAnsi="Verdana"/>
          <w:i/>
          <w:sz w:val="20"/>
          <w:szCs w:val="20"/>
        </w:rPr>
        <w:t>.</w:t>
      </w:r>
    </w:p>
    <w:p w14:paraId="1E9DA44F" w14:textId="77777777" w:rsidR="00EB49BA" w:rsidRPr="00486FEC" w:rsidRDefault="00EB49BA" w:rsidP="00486FEC">
      <w:pPr>
        <w:pStyle w:val="Prrafodelista"/>
        <w:spacing w:after="0" w:line="240" w:lineRule="auto"/>
        <w:ind w:left="0"/>
        <w:contextualSpacing w:val="0"/>
        <w:jc w:val="both"/>
        <w:rPr>
          <w:rFonts w:ascii="Verdana" w:hAnsi="Verdana"/>
          <w:i/>
          <w:sz w:val="20"/>
          <w:szCs w:val="20"/>
        </w:rPr>
      </w:pPr>
    </w:p>
    <w:p w14:paraId="20B52B71" w14:textId="77777777" w:rsidR="00C043D8" w:rsidRPr="00486FEC" w:rsidRDefault="00C043D8" w:rsidP="00486FEC">
      <w:pPr>
        <w:pStyle w:val="Prrafodelista"/>
        <w:spacing w:after="0" w:line="240" w:lineRule="auto"/>
        <w:ind w:left="0"/>
        <w:contextualSpacing w:val="0"/>
        <w:jc w:val="center"/>
        <w:rPr>
          <w:rFonts w:ascii="Verdana" w:hAnsi="Verdana"/>
          <w:b/>
          <w:sz w:val="20"/>
          <w:szCs w:val="20"/>
        </w:rPr>
      </w:pPr>
      <w:r w:rsidRPr="00486FEC">
        <w:rPr>
          <w:rFonts w:ascii="Verdana" w:hAnsi="Verdana"/>
          <w:b/>
          <w:sz w:val="20"/>
          <w:szCs w:val="20"/>
        </w:rPr>
        <w:t>III</w:t>
      </w:r>
    </w:p>
    <w:p w14:paraId="61503F21" w14:textId="77777777" w:rsidR="00EB49BA" w:rsidRPr="00486FEC" w:rsidRDefault="00C043D8" w:rsidP="00486FEC">
      <w:pPr>
        <w:pStyle w:val="Prrafodelista"/>
        <w:spacing w:after="0" w:line="240" w:lineRule="auto"/>
        <w:ind w:left="0"/>
        <w:contextualSpacing w:val="0"/>
        <w:jc w:val="center"/>
        <w:rPr>
          <w:rFonts w:ascii="Verdana" w:hAnsi="Verdana"/>
          <w:b/>
          <w:sz w:val="20"/>
          <w:szCs w:val="20"/>
        </w:rPr>
      </w:pPr>
      <w:r w:rsidRPr="00486FEC">
        <w:rPr>
          <w:rFonts w:ascii="Verdana" w:hAnsi="Verdana"/>
          <w:b/>
          <w:sz w:val="20"/>
          <w:szCs w:val="20"/>
        </w:rPr>
        <w:t>CONSECUENCIAS DE LA SENTENCIA</w:t>
      </w:r>
    </w:p>
    <w:p w14:paraId="5E92ADDA" w14:textId="77777777" w:rsidR="00C043D8" w:rsidRPr="00486FEC" w:rsidRDefault="00C043D8" w:rsidP="00486FEC">
      <w:pPr>
        <w:pStyle w:val="Prrafodelista"/>
        <w:spacing w:after="0" w:line="240" w:lineRule="auto"/>
        <w:ind w:left="0"/>
        <w:contextualSpacing w:val="0"/>
        <w:jc w:val="both"/>
        <w:rPr>
          <w:rFonts w:ascii="Verdana" w:hAnsi="Verdana"/>
          <w:b/>
          <w:sz w:val="20"/>
          <w:szCs w:val="20"/>
        </w:rPr>
      </w:pPr>
    </w:p>
    <w:p w14:paraId="3C246E5F" w14:textId="77777777" w:rsidR="00EB49BA" w:rsidRPr="00486FEC" w:rsidRDefault="007E39D7" w:rsidP="00486FEC">
      <w:pPr>
        <w:pStyle w:val="Prrafodelista"/>
        <w:spacing w:after="0" w:line="240" w:lineRule="auto"/>
        <w:ind w:left="709"/>
        <w:contextualSpacing w:val="0"/>
        <w:jc w:val="both"/>
        <w:rPr>
          <w:rFonts w:ascii="Verdana" w:hAnsi="Verdana"/>
          <w:b/>
          <w:sz w:val="20"/>
          <w:szCs w:val="20"/>
        </w:rPr>
      </w:pPr>
      <w:r w:rsidRPr="00486FEC">
        <w:rPr>
          <w:rFonts w:ascii="Verdana" w:hAnsi="Verdana"/>
          <w:b/>
          <w:sz w:val="20"/>
          <w:szCs w:val="20"/>
        </w:rPr>
        <w:t xml:space="preserve">III.1. </w:t>
      </w:r>
      <w:r w:rsidR="00FC7DCF" w:rsidRPr="00486FEC">
        <w:rPr>
          <w:rFonts w:ascii="Verdana" w:hAnsi="Verdana"/>
          <w:b/>
          <w:sz w:val="20"/>
          <w:szCs w:val="20"/>
        </w:rPr>
        <w:t>El mínimo de realismo jurídico</w:t>
      </w:r>
    </w:p>
    <w:p w14:paraId="5CAAF4BF" w14:textId="77777777" w:rsidR="005541BC" w:rsidRPr="00486FEC" w:rsidRDefault="005541BC" w:rsidP="00486FEC">
      <w:pPr>
        <w:pStyle w:val="Prrafodelista"/>
        <w:spacing w:after="0" w:line="240" w:lineRule="auto"/>
        <w:ind w:left="709"/>
        <w:contextualSpacing w:val="0"/>
        <w:jc w:val="both"/>
        <w:rPr>
          <w:rFonts w:ascii="Verdana" w:hAnsi="Verdana"/>
          <w:sz w:val="20"/>
          <w:szCs w:val="20"/>
          <w:lang w:val="es-CR"/>
        </w:rPr>
      </w:pPr>
    </w:p>
    <w:p w14:paraId="257C331B" w14:textId="3C20DE95" w:rsidR="00EB49BA" w:rsidRPr="00486FEC" w:rsidRDefault="00F11354" w:rsidP="00486FEC">
      <w:pPr>
        <w:pStyle w:val="Prrafodelista"/>
        <w:numPr>
          <w:ilvl w:val="0"/>
          <w:numId w:val="3"/>
        </w:numPr>
        <w:spacing w:after="0" w:line="240" w:lineRule="auto"/>
        <w:ind w:left="0" w:firstLine="0"/>
        <w:contextualSpacing w:val="0"/>
        <w:jc w:val="both"/>
        <w:rPr>
          <w:rFonts w:ascii="Verdana" w:hAnsi="Verdana"/>
          <w:sz w:val="20"/>
          <w:szCs w:val="20"/>
          <w:lang w:val="es-CR"/>
        </w:rPr>
      </w:pPr>
      <w:r w:rsidRPr="00486FEC">
        <w:rPr>
          <w:rFonts w:ascii="Verdana" w:hAnsi="Verdana"/>
          <w:sz w:val="20"/>
          <w:szCs w:val="20"/>
        </w:rPr>
        <w:t>D</w:t>
      </w:r>
      <w:r w:rsidR="00A3729C" w:rsidRPr="00486FEC">
        <w:rPr>
          <w:rFonts w:ascii="Verdana" w:hAnsi="Verdana"/>
          <w:sz w:val="20"/>
          <w:szCs w:val="20"/>
        </w:rPr>
        <w:t xml:space="preserve">esde hace décadas me </w:t>
      </w:r>
      <w:r w:rsidR="00AC7B2E" w:rsidRPr="00486FEC">
        <w:rPr>
          <w:rFonts w:ascii="Verdana" w:hAnsi="Verdana"/>
          <w:sz w:val="20"/>
          <w:szCs w:val="20"/>
        </w:rPr>
        <w:t>manifesté</w:t>
      </w:r>
      <w:r w:rsidR="00334E48" w:rsidRPr="00486FEC">
        <w:rPr>
          <w:rFonts w:ascii="Verdana" w:hAnsi="Verdana"/>
          <w:sz w:val="20"/>
          <w:szCs w:val="20"/>
        </w:rPr>
        <w:t xml:space="preserve"> decididamente inclinado al </w:t>
      </w:r>
      <w:r w:rsidR="00A3729C" w:rsidRPr="00486FEC">
        <w:rPr>
          <w:rFonts w:ascii="Verdana" w:hAnsi="Verdana"/>
          <w:sz w:val="20"/>
          <w:szCs w:val="20"/>
        </w:rPr>
        <w:t>realismo jurídico en el sentido de que el derecho debe respetar los datos de la realidad</w:t>
      </w:r>
      <w:r w:rsidR="00893E53" w:rsidRPr="00486FEC">
        <w:rPr>
          <w:rFonts w:ascii="Verdana" w:hAnsi="Verdana"/>
          <w:sz w:val="20"/>
          <w:szCs w:val="20"/>
        </w:rPr>
        <w:t xml:space="preserve"> del mundo</w:t>
      </w:r>
      <w:r w:rsidR="00A3729C" w:rsidRPr="00486FEC">
        <w:rPr>
          <w:rFonts w:ascii="Verdana" w:hAnsi="Verdana"/>
          <w:sz w:val="20"/>
          <w:szCs w:val="20"/>
        </w:rPr>
        <w:t xml:space="preserve">. </w:t>
      </w:r>
      <w:r w:rsidR="00523BD4" w:rsidRPr="00486FEC">
        <w:rPr>
          <w:rFonts w:ascii="Verdana" w:hAnsi="Verdana"/>
          <w:sz w:val="20"/>
          <w:szCs w:val="20"/>
        </w:rPr>
        <w:t>Dado que son varias las corrientes de</w:t>
      </w:r>
      <w:r w:rsidR="00375AD5" w:rsidRPr="00486FEC">
        <w:rPr>
          <w:rFonts w:ascii="Verdana" w:hAnsi="Verdana"/>
          <w:sz w:val="20"/>
          <w:szCs w:val="20"/>
        </w:rPr>
        <w:t>l</w:t>
      </w:r>
      <w:r w:rsidR="00523BD4" w:rsidRPr="00486FEC">
        <w:rPr>
          <w:rFonts w:ascii="Verdana" w:hAnsi="Verdana"/>
          <w:sz w:val="20"/>
          <w:szCs w:val="20"/>
        </w:rPr>
        <w:t xml:space="preserve"> pensamiento jurídico que se identifican como </w:t>
      </w:r>
      <w:r w:rsidR="00523BD4" w:rsidRPr="00486FEC">
        <w:rPr>
          <w:rFonts w:ascii="Verdana" w:hAnsi="Verdana"/>
          <w:i/>
          <w:sz w:val="20"/>
          <w:szCs w:val="20"/>
        </w:rPr>
        <w:t xml:space="preserve">realistas </w:t>
      </w:r>
      <w:r w:rsidR="00A87452" w:rsidRPr="00486FEC">
        <w:rPr>
          <w:rFonts w:ascii="Verdana" w:hAnsi="Verdana"/>
          <w:sz w:val="20"/>
          <w:szCs w:val="20"/>
        </w:rPr>
        <w:t>(por ejemplo, el realismo jurídico norteamericano y otr</w:t>
      </w:r>
      <w:r w:rsidR="00390201" w:rsidRPr="00486FEC">
        <w:rPr>
          <w:rFonts w:ascii="Verdana" w:hAnsi="Verdana"/>
          <w:sz w:val="20"/>
          <w:szCs w:val="20"/>
        </w:rPr>
        <w:t>a</w:t>
      </w:r>
      <w:r w:rsidR="00A87452" w:rsidRPr="00486FEC">
        <w:rPr>
          <w:rFonts w:ascii="Verdana" w:hAnsi="Verdana"/>
          <w:sz w:val="20"/>
          <w:szCs w:val="20"/>
        </w:rPr>
        <w:t>s</w:t>
      </w:r>
      <w:r w:rsidR="00EB49BA" w:rsidRPr="00486FEC">
        <w:rPr>
          <w:rStyle w:val="Refdenotaalpie"/>
          <w:rFonts w:ascii="Verdana" w:hAnsi="Verdana"/>
          <w:sz w:val="20"/>
          <w:szCs w:val="20"/>
        </w:rPr>
        <w:footnoteReference w:id="19"/>
      </w:r>
      <w:r w:rsidR="00A87452" w:rsidRPr="00486FEC">
        <w:rPr>
          <w:rFonts w:ascii="Verdana" w:hAnsi="Verdana"/>
          <w:sz w:val="20"/>
          <w:szCs w:val="20"/>
        </w:rPr>
        <w:t>)</w:t>
      </w:r>
      <w:r w:rsidR="00523BD4" w:rsidRPr="00486FEC">
        <w:rPr>
          <w:rFonts w:ascii="Verdana" w:hAnsi="Verdana"/>
          <w:sz w:val="20"/>
          <w:szCs w:val="20"/>
        </w:rPr>
        <w:t xml:space="preserve">, me permito precisar el encuadre teórico desde el que paso a </w:t>
      </w:r>
      <w:r w:rsidR="00390201" w:rsidRPr="00486FEC">
        <w:rPr>
          <w:rFonts w:ascii="Verdana" w:hAnsi="Verdana"/>
          <w:sz w:val="20"/>
          <w:szCs w:val="20"/>
        </w:rPr>
        <w:t xml:space="preserve">considerar </w:t>
      </w:r>
      <w:r w:rsidR="00486FEC">
        <w:rPr>
          <w:rFonts w:ascii="Verdana" w:hAnsi="Verdana"/>
          <w:sz w:val="20"/>
          <w:szCs w:val="20"/>
        </w:rPr>
        <w:t>el presente caso.</w:t>
      </w:r>
    </w:p>
    <w:p w14:paraId="5407C91A" w14:textId="77777777" w:rsidR="00486FEC" w:rsidRPr="00486FEC" w:rsidRDefault="00486FEC" w:rsidP="00486FEC">
      <w:pPr>
        <w:pStyle w:val="Prrafodelista"/>
        <w:spacing w:after="0" w:line="240" w:lineRule="auto"/>
        <w:ind w:left="0"/>
        <w:contextualSpacing w:val="0"/>
        <w:jc w:val="both"/>
        <w:rPr>
          <w:rFonts w:ascii="Verdana" w:hAnsi="Verdana"/>
          <w:sz w:val="20"/>
          <w:szCs w:val="20"/>
          <w:lang w:val="es-CR"/>
        </w:rPr>
      </w:pPr>
    </w:p>
    <w:p w14:paraId="28C165FB" w14:textId="4C20E856" w:rsidR="00EB49BA" w:rsidRDefault="00B94AF2"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En </w:t>
      </w:r>
      <w:r w:rsidR="00A3729C" w:rsidRPr="00486FEC">
        <w:rPr>
          <w:rFonts w:ascii="Verdana" w:hAnsi="Verdana"/>
          <w:sz w:val="20"/>
          <w:szCs w:val="20"/>
        </w:rPr>
        <w:t xml:space="preserve">la </w:t>
      </w:r>
      <w:r w:rsidR="00375AD5" w:rsidRPr="00486FEC">
        <w:rPr>
          <w:rFonts w:ascii="Verdana" w:hAnsi="Verdana"/>
          <w:sz w:val="20"/>
          <w:szCs w:val="20"/>
        </w:rPr>
        <w:t xml:space="preserve">Alemania de </w:t>
      </w:r>
      <w:r w:rsidR="00A3729C" w:rsidRPr="00486FEC">
        <w:rPr>
          <w:rFonts w:ascii="Verdana" w:hAnsi="Verdana"/>
          <w:sz w:val="20"/>
          <w:szCs w:val="20"/>
        </w:rPr>
        <w:t>posguerra</w:t>
      </w:r>
      <w:r w:rsidR="00375AD5" w:rsidRPr="00486FEC">
        <w:rPr>
          <w:rFonts w:ascii="Verdana" w:hAnsi="Verdana"/>
          <w:sz w:val="20"/>
          <w:szCs w:val="20"/>
        </w:rPr>
        <w:t xml:space="preserve">, traumada por el desastre, tuvo lugar un </w:t>
      </w:r>
      <w:r w:rsidR="00A3729C" w:rsidRPr="00486FEC">
        <w:rPr>
          <w:rFonts w:ascii="Verdana" w:hAnsi="Verdana"/>
          <w:sz w:val="20"/>
          <w:szCs w:val="20"/>
        </w:rPr>
        <w:t xml:space="preserve">renacimiento del derecho natural o supralegal en todas sus versiones, acusando al positivismo jurídico de </w:t>
      </w:r>
      <w:r w:rsidR="00523BD4" w:rsidRPr="00486FEC">
        <w:rPr>
          <w:rFonts w:ascii="Verdana" w:hAnsi="Verdana"/>
          <w:sz w:val="20"/>
          <w:szCs w:val="20"/>
        </w:rPr>
        <w:t xml:space="preserve">haber franqueado el paso a </w:t>
      </w:r>
      <w:r w:rsidR="00A3729C" w:rsidRPr="00486FEC">
        <w:rPr>
          <w:rFonts w:ascii="Verdana" w:hAnsi="Verdana"/>
          <w:sz w:val="20"/>
          <w:szCs w:val="20"/>
        </w:rPr>
        <w:t>las deformaciones que habían permitido la perversión del derecho en tiempos del nazismo</w:t>
      </w:r>
      <w:r w:rsidR="00EB49BA" w:rsidRPr="00486FEC">
        <w:rPr>
          <w:rFonts w:ascii="Verdana" w:hAnsi="Verdana"/>
          <w:sz w:val="20"/>
          <w:szCs w:val="20"/>
        </w:rPr>
        <w:t>.</w:t>
      </w:r>
    </w:p>
    <w:p w14:paraId="257DFBDE" w14:textId="111BEA80"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1E72197D" w14:textId="0C804204" w:rsidR="00EB49BA" w:rsidRDefault="00B94AF2"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Est</w:t>
      </w:r>
      <w:r w:rsidR="00523BD4" w:rsidRPr="00486FEC">
        <w:rPr>
          <w:rFonts w:ascii="Verdana" w:hAnsi="Verdana"/>
          <w:sz w:val="20"/>
          <w:szCs w:val="20"/>
        </w:rPr>
        <w:t xml:space="preserve">e renacimiento de todos los </w:t>
      </w:r>
      <w:r w:rsidRPr="00486FEC">
        <w:rPr>
          <w:rFonts w:ascii="Verdana" w:hAnsi="Verdana"/>
          <w:sz w:val="20"/>
          <w:szCs w:val="20"/>
        </w:rPr>
        <w:t>jusnaturalismo</w:t>
      </w:r>
      <w:r w:rsidR="00523BD4" w:rsidRPr="00486FEC">
        <w:rPr>
          <w:rFonts w:ascii="Verdana" w:hAnsi="Verdana"/>
          <w:sz w:val="20"/>
          <w:szCs w:val="20"/>
        </w:rPr>
        <w:t>s</w:t>
      </w:r>
      <w:r w:rsidR="00A3729C" w:rsidRPr="00486FEC">
        <w:rPr>
          <w:rFonts w:ascii="Verdana" w:hAnsi="Verdana"/>
          <w:sz w:val="20"/>
          <w:szCs w:val="20"/>
        </w:rPr>
        <w:t xml:space="preserve"> </w:t>
      </w:r>
      <w:r w:rsidR="00375AD5" w:rsidRPr="00486FEC">
        <w:rPr>
          <w:rFonts w:ascii="Verdana" w:hAnsi="Verdana"/>
          <w:sz w:val="20"/>
          <w:szCs w:val="20"/>
        </w:rPr>
        <w:t xml:space="preserve">respondía a </w:t>
      </w:r>
      <w:r w:rsidRPr="00486FEC">
        <w:rPr>
          <w:rFonts w:ascii="Verdana" w:hAnsi="Verdana"/>
          <w:sz w:val="20"/>
          <w:szCs w:val="20"/>
        </w:rPr>
        <w:t xml:space="preserve">la sana intención de limitar </w:t>
      </w:r>
      <w:r w:rsidR="00375AD5" w:rsidRPr="00486FEC">
        <w:rPr>
          <w:rFonts w:ascii="Verdana" w:hAnsi="Verdana"/>
          <w:sz w:val="20"/>
          <w:szCs w:val="20"/>
        </w:rPr>
        <w:t>la omnipotencia d</w:t>
      </w:r>
      <w:r w:rsidRPr="00486FEC">
        <w:rPr>
          <w:rFonts w:ascii="Verdana" w:hAnsi="Verdana"/>
          <w:sz w:val="20"/>
          <w:szCs w:val="20"/>
        </w:rPr>
        <w:t>el legislador</w:t>
      </w:r>
      <w:r w:rsidR="00375AD5" w:rsidRPr="00486FEC">
        <w:rPr>
          <w:rFonts w:ascii="Verdana" w:hAnsi="Verdana"/>
          <w:sz w:val="20"/>
          <w:szCs w:val="20"/>
        </w:rPr>
        <w:t xml:space="preserve"> y </w:t>
      </w:r>
      <w:r w:rsidRPr="00486FEC">
        <w:rPr>
          <w:rFonts w:ascii="Verdana" w:hAnsi="Verdana"/>
          <w:sz w:val="20"/>
          <w:szCs w:val="20"/>
        </w:rPr>
        <w:t xml:space="preserve">fue incluso </w:t>
      </w:r>
      <w:r w:rsidR="00A3729C" w:rsidRPr="00486FEC">
        <w:rPr>
          <w:rFonts w:ascii="Verdana" w:hAnsi="Verdana"/>
          <w:sz w:val="20"/>
          <w:szCs w:val="20"/>
        </w:rPr>
        <w:t>receptad</w:t>
      </w:r>
      <w:r w:rsidR="00375AD5" w:rsidRPr="00486FEC">
        <w:rPr>
          <w:rFonts w:ascii="Verdana" w:hAnsi="Verdana"/>
          <w:sz w:val="20"/>
          <w:szCs w:val="20"/>
        </w:rPr>
        <w:t>o</w:t>
      </w:r>
      <w:r w:rsidR="00A3729C" w:rsidRPr="00486FEC">
        <w:rPr>
          <w:rFonts w:ascii="Verdana" w:hAnsi="Verdana"/>
          <w:sz w:val="20"/>
          <w:szCs w:val="20"/>
        </w:rPr>
        <w:t xml:space="preserve"> en </w:t>
      </w:r>
      <w:r w:rsidR="00893E53" w:rsidRPr="00486FEC">
        <w:rPr>
          <w:rFonts w:ascii="Verdana" w:hAnsi="Verdana"/>
          <w:sz w:val="20"/>
          <w:szCs w:val="20"/>
        </w:rPr>
        <w:t>las primera</w:t>
      </w:r>
      <w:r w:rsidR="00AA2CED" w:rsidRPr="00486FEC">
        <w:rPr>
          <w:rFonts w:ascii="Verdana" w:hAnsi="Verdana"/>
          <w:sz w:val="20"/>
          <w:szCs w:val="20"/>
        </w:rPr>
        <w:t>s</w:t>
      </w:r>
      <w:r w:rsidR="00893E53" w:rsidRPr="00486FEC">
        <w:rPr>
          <w:rFonts w:ascii="Verdana" w:hAnsi="Verdana"/>
          <w:sz w:val="20"/>
          <w:szCs w:val="20"/>
        </w:rPr>
        <w:t xml:space="preserve"> </w:t>
      </w:r>
      <w:r w:rsidR="00A3729C" w:rsidRPr="00486FEC">
        <w:rPr>
          <w:rFonts w:ascii="Verdana" w:hAnsi="Verdana"/>
          <w:sz w:val="20"/>
          <w:szCs w:val="20"/>
        </w:rPr>
        <w:t xml:space="preserve">sentencias del flamante </w:t>
      </w:r>
      <w:r w:rsidR="002025A2" w:rsidRPr="00486FEC">
        <w:rPr>
          <w:rFonts w:ascii="Verdana" w:hAnsi="Verdana"/>
          <w:i/>
          <w:sz w:val="20"/>
          <w:szCs w:val="20"/>
        </w:rPr>
        <w:t>Bundesverfassungsgericht</w:t>
      </w:r>
      <w:r w:rsidR="00893E53" w:rsidRPr="00486FEC">
        <w:rPr>
          <w:rFonts w:ascii="Verdana" w:hAnsi="Verdana"/>
          <w:b/>
          <w:sz w:val="20"/>
          <w:szCs w:val="20"/>
        </w:rPr>
        <w:t xml:space="preserve">. </w:t>
      </w:r>
      <w:r w:rsidR="009302BF" w:rsidRPr="00486FEC">
        <w:rPr>
          <w:rFonts w:ascii="Verdana" w:hAnsi="Verdana"/>
          <w:sz w:val="20"/>
          <w:szCs w:val="20"/>
        </w:rPr>
        <w:t xml:space="preserve">En medio de esas discusiones propias de los </w:t>
      </w:r>
      <w:r w:rsidRPr="00486FEC">
        <w:rPr>
          <w:rFonts w:ascii="Verdana" w:hAnsi="Verdana"/>
          <w:sz w:val="20"/>
          <w:szCs w:val="20"/>
        </w:rPr>
        <w:t>tiempos de la reconstrucción de Adenauer, se enunció la más li</w:t>
      </w:r>
      <w:r w:rsidR="00893E53" w:rsidRPr="00486FEC">
        <w:rPr>
          <w:rFonts w:ascii="Verdana" w:hAnsi="Verdana"/>
          <w:sz w:val="20"/>
          <w:szCs w:val="20"/>
        </w:rPr>
        <w:t>mitad</w:t>
      </w:r>
      <w:r w:rsidR="00AA2CED" w:rsidRPr="00486FEC">
        <w:rPr>
          <w:rFonts w:ascii="Verdana" w:hAnsi="Verdana"/>
          <w:sz w:val="20"/>
          <w:szCs w:val="20"/>
        </w:rPr>
        <w:t>a</w:t>
      </w:r>
      <w:r w:rsidR="00893E53" w:rsidRPr="00486FEC">
        <w:rPr>
          <w:rFonts w:ascii="Verdana" w:hAnsi="Verdana"/>
          <w:sz w:val="20"/>
          <w:szCs w:val="20"/>
        </w:rPr>
        <w:t>, modesta y sin embargo elemental</w:t>
      </w:r>
      <w:r w:rsidRPr="00486FEC">
        <w:rPr>
          <w:rFonts w:ascii="Verdana" w:hAnsi="Verdana"/>
          <w:sz w:val="20"/>
          <w:szCs w:val="20"/>
        </w:rPr>
        <w:t xml:space="preserve"> de las invocaciones al realismo, con el nombre de </w:t>
      </w:r>
      <w:r w:rsidRPr="00486FEC">
        <w:rPr>
          <w:rFonts w:ascii="Verdana" w:hAnsi="Verdana"/>
          <w:i/>
          <w:sz w:val="20"/>
          <w:szCs w:val="20"/>
        </w:rPr>
        <w:t>estructuras lógico-reales</w:t>
      </w:r>
      <w:r w:rsidRPr="00486FEC">
        <w:rPr>
          <w:rFonts w:ascii="Verdana" w:hAnsi="Verdana"/>
          <w:sz w:val="20"/>
          <w:szCs w:val="20"/>
        </w:rPr>
        <w:t xml:space="preserve"> (</w:t>
      </w:r>
      <w:r w:rsidRPr="00486FEC">
        <w:rPr>
          <w:rFonts w:ascii="Verdana" w:hAnsi="Verdana"/>
          <w:i/>
          <w:sz w:val="20"/>
          <w:szCs w:val="20"/>
        </w:rPr>
        <w:t>sachlogischen Strukturen</w:t>
      </w:r>
      <w:r w:rsidRPr="00486FEC">
        <w:rPr>
          <w:rFonts w:ascii="Verdana" w:hAnsi="Verdana"/>
          <w:sz w:val="20"/>
          <w:szCs w:val="20"/>
        </w:rPr>
        <w:t>)</w:t>
      </w:r>
      <w:r w:rsidR="00EB49BA" w:rsidRPr="00486FEC">
        <w:rPr>
          <w:rStyle w:val="Refdenotaalpie"/>
          <w:rFonts w:ascii="Verdana" w:hAnsi="Verdana"/>
          <w:sz w:val="20"/>
          <w:szCs w:val="20"/>
        </w:rPr>
        <w:footnoteReference w:id="20"/>
      </w:r>
      <w:r w:rsidRPr="00486FEC">
        <w:rPr>
          <w:rFonts w:ascii="Verdana" w:hAnsi="Verdana"/>
          <w:sz w:val="20"/>
          <w:szCs w:val="20"/>
        </w:rPr>
        <w:t xml:space="preserve">, </w:t>
      </w:r>
      <w:r w:rsidR="00893E53" w:rsidRPr="00486FEC">
        <w:rPr>
          <w:rFonts w:ascii="Verdana" w:hAnsi="Verdana"/>
          <w:sz w:val="20"/>
          <w:szCs w:val="20"/>
        </w:rPr>
        <w:t xml:space="preserve">enunciada en oposición a </w:t>
      </w:r>
      <w:r w:rsidRPr="00486FEC">
        <w:rPr>
          <w:rFonts w:ascii="Verdana" w:hAnsi="Verdana"/>
          <w:sz w:val="20"/>
          <w:szCs w:val="20"/>
        </w:rPr>
        <w:t>la p</w:t>
      </w:r>
      <w:r w:rsidR="009A12C9" w:rsidRPr="00486FEC">
        <w:rPr>
          <w:rFonts w:ascii="Verdana" w:hAnsi="Verdana"/>
          <w:sz w:val="20"/>
          <w:szCs w:val="20"/>
        </w:rPr>
        <w:t xml:space="preserve">osición </w:t>
      </w:r>
      <w:r w:rsidRPr="00486FEC">
        <w:rPr>
          <w:rFonts w:ascii="Verdana" w:hAnsi="Verdana"/>
          <w:sz w:val="20"/>
          <w:szCs w:val="20"/>
        </w:rPr>
        <w:t xml:space="preserve">neokantiana </w:t>
      </w:r>
      <w:r w:rsidR="00AC7B2E" w:rsidRPr="00486FEC">
        <w:rPr>
          <w:rFonts w:ascii="Verdana" w:hAnsi="Verdana"/>
          <w:sz w:val="20"/>
          <w:szCs w:val="20"/>
        </w:rPr>
        <w:t xml:space="preserve">sudoccidental, </w:t>
      </w:r>
      <w:r w:rsidR="009A12C9" w:rsidRPr="00486FEC">
        <w:rPr>
          <w:rFonts w:ascii="Verdana" w:hAnsi="Verdana"/>
          <w:sz w:val="20"/>
          <w:szCs w:val="20"/>
        </w:rPr>
        <w:t>que</w:t>
      </w:r>
      <w:r w:rsidR="00AC7B2E" w:rsidRPr="00486FEC">
        <w:rPr>
          <w:rFonts w:ascii="Verdana" w:hAnsi="Verdana"/>
          <w:sz w:val="20"/>
          <w:szCs w:val="20"/>
        </w:rPr>
        <w:t xml:space="preserve"> partía de una teoría del conocimiento que</w:t>
      </w:r>
      <w:r w:rsidRPr="00486FEC">
        <w:rPr>
          <w:rFonts w:ascii="Verdana" w:hAnsi="Verdana"/>
          <w:sz w:val="20"/>
          <w:szCs w:val="20"/>
        </w:rPr>
        <w:t xml:space="preserve"> </w:t>
      </w:r>
      <w:r w:rsidR="00AC7B2E" w:rsidRPr="00486FEC">
        <w:rPr>
          <w:rFonts w:ascii="Verdana" w:hAnsi="Verdana"/>
          <w:sz w:val="20"/>
          <w:szCs w:val="20"/>
        </w:rPr>
        <w:t xml:space="preserve">lo limitaba a </w:t>
      </w:r>
      <w:r w:rsidRPr="00486FEC">
        <w:rPr>
          <w:rFonts w:ascii="Verdana" w:hAnsi="Verdana"/>
          <w:sz w:val="20"/>
          <w:szCs w:val="20"/>
        </w:rPr>
        <w:t xml:space="preserve">los datos del mundo ordenados por el </w:t>
      </w:r>
      <w:r w:rsidRPr="00486FEC">
        <w:rPr>
          <w:rFonts w:ascii="Verdana" w:hAnsi="Verdana"/>
          <w:i/>
          <w:sz w:val="20"/>
          <w:szCs w:val="20"/>
        </w:rPr>
        <w:t>valor</w:t>
      </w:r>
      <w:r w:rsidRPr="00486FEC">
        <w:rPr>
          <w:rFonts w:ascii="Verdana" w:hAnsi="Verdana"/>
          <w:sz w:val="20"/>
          <w:szCs w:val="20"/>
        </w:rPr>
        <w:t xml:space="preserve">, o sea, </w:t>
      </w:r>
      <w:r w:rsidR="00AC7B2E" w:rsidRPr="00486FEC">
        <w:rPr>
          <w:rFonts w:ascii="Verdana" w:hAnsi="Verdana"/>
          <w:sz w:val="20"/>
          <w:szCs w:val="20"/>
        </w:rPr>
        <w:t>a la escuela</w:t>
      </w:r>
      <w:r w:rsidR="00893E53" w:rsidRPr="00486FEC">
        <w:rPr>
          <w:rFonts w:ascii="Verdana" w:hAnsi="Verdana"/>
          <w:sz w:val="20"/>
          <w:szCs w:val="20"/>
        </w:rPr>
        <w:t xml:space="preserve"> que sostenía que </w:t>
      </w:r>
      <w:r w:rsidRPr="00486FEC">
        <w:rPr>
          <w:rFonts w:ascii="Verdana" w:hAnsi="Verdana"/>
          <w:sz w:val="20"/>
          <w:szCs w:val="20"/>
        </w:rPr>
        <w:t>lo que el valor no ordenaba</w:t>
      </w:r>
      <w:r w:rsidR="00893E53" w:rsidRPr="00486FEC">
        <w:rPr>
          <w:rFonts w:ascii="Verdana" w:hAnsi="Verdana"/>
          <w:sz w:val="20"/>
          <w:szCs w:val="20"/>
        </w:rPr>
        <w:t>, si bien</w:t>
      </w:r>
      <w:r w:rsidRPr="00486FEC">
        <w:rPr>
          <w:rFonts w:ascii="Verdana" w:hAnsi="Verdana"/>
          <w:sz w:val="20"/>
          <w:szCs w:val="20"/>
        </w:rPr>
        <w:t xml:space="preserve"> pertenecía al mundo</w:t>
      </w:r>
      <w:r w:rsidR="00893E53" w:rsidRPr="00486FEC">
        <w:rPr>
          <w:rFonts w:ascii="Verdana" w:hAnsi="Verdana"/>
          <w:sz w:val="20"/>
          <w:szCs w:val="20"/>
        </w:rPr>
        <w:t xml:space="preserve">, </w:t>
      </w:r>
      <w:r w:rsidRPr="00486FEC">
        <w:rPr>
          <w:rFonts w:ascii="Verdana" w:hAnsi="Verdana"/>
          <w:sz w:val="20"/>
          <w:szCs w:val="20"/>
        </w:rPr>
        <w:t>no podía ser incorporado al derecho</w:t>
      </w:r>
      <w:r w:rsidR="009302BF" w:rsidRPr="00486FEC">
        <w:rPr>
          <w:rFonts w:ascii="Verdana" w:hAnsi="Verdana"/>
          <w:sz w:val="20"/>
          <w:szCs w:val="20"/>
        </w:rPr>
        <w:t xml:space="preserve">, que era una ciencia cultural o </w:t>
      </w:r>
      <w:r w:rsidR="009302BF" w:rsidRPr="00486FEC">
        <w:rPr>
          <w:rFonts w:ascii="Verdana" w:hAnsi="Verdana"/>
          <w:i/>
          <w:sz w:val="20"/>
          <w:szCs w:val="20"/>
        </w:rPr>
        <w:t>del espíritu</w:t>
      </w:r>
      <w:r w:rsidR="009302BF" w:rsidRPr="00486FEC">
        <w:rPr>
          <w:rFonts w:ascii="Verdana" w:hAnsi="Verdana"/>
          <w:sz w:val="20"/>
          <w:szCs w:val="20"/>
        </w:rPr>
        <w:t>, por oposición a las empírica</w:t>
      </w:r>
      <w:r w:rsidR="00375AD5" w:rsidRPr="00486FEC">
        <w:rPr>
          <w:rFonts w:ascii="Verdana" w:hAnsi="Verdana"/>
          <w:sz w:val="20"/>
          <w:szCs w:val="20"/>
        </w:rPr>
        <w:t>s</w:t>
      </w:r>
      <w:r w:rsidR="009302BF" w:rsidRPr="00486FEC">
        <w:rPr>
          <w:rFonts w:ascii="Verdana" w:hAnsi="Verdana"/>
          <w:sz w:val="20"/>
          <w:szCs w:val="20"/>
        </w:rPr>
        <w:t xml:space="preserve"> o naturales</w:t>
      </w:r>
      <w:r w:rsidR="00EB49BA" w:rsidRPr="00486FEC">
        <w:rPr>
          <w:rFonts w:ascii="Verdana" w:hAnsi="Verdana"/>
          <w:sz w:val="20"/>
          <w:szCs w:val="20"/>
        </w:rPr>
        <w:t>.</w:t>
      </w:r>
      <w:r w:rsidR="00EB49BA" w:rsidRPr="00486FEC">
        <w:rPr>
          <w:rStyle w:val="Refdenotaalpie"/>
          <w:rFonts w:ascii="Verdana" w:hAnsi="Verdana"/>
          <w:sz w:val="20"/>
          <w:szCs w:val="20"/>
        </w:rPr>
        <w:footnoteReference w:id="21"/>
      </w:r>
    </w:p>
    <w:p w14:paraId="2F715A09" w14:textId="7E3F6C7B"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1A4898F2" w14:textId="3DF130DB" w:rsidR="00EB49BA" w:rsidRDefault="00B94AF2"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Por el contrario, la teoría de las estructuras lógico-reales</w:t>
      </w:r>
      <w:r w:rsidR="00893E53" w:rsidRPr="00486FEC">
        <w:rPr>
          <w:rFonts w:ascii="Verdana" w:hAnsi="Verdana"/>
          <w:sz w:val="20"/>
          <w:szCs w:val="20"/>
        </w:rPr>
        <w:t xml:space="preserve"> p</w:t>
      </w:r>
      <w:r w:rsidR="009A12C9" w:rsidRPr="00486FEC">
        <w:rPr>
          <w:rFonts w:ascii="Verdana" w:hAnsi="Verdana"/>
          <w:sz w:val="20"/>
          <w:szCs w:val="20"/>
        </w:rPr>
        <w:t xml:space="preserve">arte de la </w:t>
      </w:r>
      <w:r w:rsidRPr="00486FEC">
        <w:rPr>
          <w:rFonts w:ascii="Verdana" w:hAnsi="Verdana"/>
          <w:sz w:val="20"/>
          <w:szCs w:val="20"/>
        </w:rPr>
        <w:t>elemental pr</w:t>
      </w:r>
      <w:r w:rsidR="009A12C9" w:rsidRPr="00486FEC">
        <w:rPr>
          <w:rFonts w:ascii="Verdana" w:hAnsi="Verdana"/>
          <w:sz w:val="20"/>
          <w:szCs w:val="20"/>
        </w:rPr>
        <w:t xml:space="preserve">emisa </w:t>
      </w:r>
      <w:r w:rsidRPr="00486FEC">
        <w:rPr>
          <w:rFonts w:ascii="Verdana" w:hAnsi="Verdana"/>
          <w:sz w:val="20"/>
          <w:szCs w:val="20"/>
        </w:rPr>
        <w:t xml:space="preserve">de </w:t>
      </w:r>
      <w:r w:rsidR="005046E8" w:rsidRPr="00486FEC">
        <w:rPr>
          <w:rFonts w:ascii="Verdana" w:hAnsi="Verdana"/>
          <w:sz w:val="20"/>
          <w:szCs w:val="20"/>
        </w:rPr>
        <w:t>que,</w:t>
      </w:r>
      <w:r w:rsidRPr="00486FEC">
        <w:rPr>
          <w:rFonts w:ascii="Verdana" w:hAnsi="Verdana"/>
          <w:sz w:val="20"/>
          <w:szCs w:val="20"/>
        </w:rPr>
        <w:t xml:space="preserve"> </w:t>
      </w:r>
      <w:r w:rsidR="009A12C9" w:rsidRPr="00486FEC">
        <w:rPr>
          <w:rFonts w:ascii="Verdana" w:hAnsi="Verdana"/>
          <w:sz w:val="20"/>
          <w:szCs w:val="20"/>
        </w:rPr>
        <w:t xml:space="preserve">si bien el orden jurídico es un orden, </w:t>
      </w:r>
      <w:r w:rsidRPr="00486FEC">
        <w:rPr>
          <w:rFonts w:ascii="Verdana" w:hAnsi="Verdana"/>
          <w:sz w:val="20"/>
          <w:szCs w:val="20"/>
        </w:rPr>
        <w:t xml:space="preserve">no es el único orden del mundo, donde hay </w:t>
      </w:r>
      <w:r w:rsidR="00523BD4" w:rsidRPr="00486FEC">
        <w:rPr>
          <w:rFonts w:ascii="Verdana" w:hAnsi="Verdana"/>
          <w:sz w:val="20"/>
          <w:szCs w:val="20"/>
        </w:rPr>
        <w:t xml:space="preserve">otros muchos </w:t>
      </w:r>
      <w:r w:rsidRPr="00486FEC">
        <w:rPr>
          <w:rFonts w:ascii="Verdana" w:hAnsi="Verdana"/>
          <w:sz w:val="20"/>
          <w:szCs w:val="20"/>
        </w:rPr>
        <w:t xml:space="preserve">órdenes </w:t>
      </w:r>
      <w:r w:rsidR="00B47ED7" w:rsidRPr="00486FEC">
        <w:rPr>
          <w:rFonts w:ascii="Verdana" w:hAnsi="Verdana"/>
          <w:sz w:val="20"/>
          <w:szCs w:val="20"/>
        </w:rPr>
        <w:t>(</w:t>
      </w:r>
      <w:r w:rsidR="00AC7B2E" w:rsidRPr="00486FEC">
        <w:rPr>
          <w:rFonts w:ascii="Verdana" w:hAnsi="Verdana"/>
          <w:sz w:val="20"/>
          <w:szCs w:val="20"/>
        </w:rPr>
        <w:t>físico, natural, social, cultural</w:t>
      </w:r>
      <w:r w:rsidRPr="00486FEC">
        <w:rPr>
          <w:rFonts w:ascii="Verdana" w:hAnsi="Verdana"/>
          <w:sz w:val="20"/>
          <w:szCs w:val="20"/>
        </w:rPr>
        <w:t>, etc.</w:t>
      </w:r>
      <w:r w:rsidR="00B47ED7" w:rsidRPr="00486FEC">
        <w:rPr>
          <w:rFonts w:ascii="Verdana" w:hAnsi="Verdana"/>
          <w:sz w:val="20"/>
          <w:szCs w:val="20"/>
        </w:rPr>
        <w:t>)</w:t>
      </w:r>
      <w:r w:rsidRPr="00486FEC">
        <w:rPr>
          <w:rFonts w:ascii="Verdana" w:hAnsi="Verdana"/>
          <w:sz w:val="20"/>
          <w:szCs w:val="20"/>
        </w:rPr>
        <w:t xml:space="preserve"> que pertenecen a la realidad u </w:t>
      </w:r>
      <w:r w:rsidRPr="00486FEC">
        <w:rPr>
          <w:rFonts w:ascii="Verdana" w:hAnsi="Verdana"/>
          <w:i/>
          <w:sz w:val="20"/>
          <w:szCs w:val="20"/>
        </w:rPr>
        <w:t>on</w:t>
      </w:r>
      <w:r w:rsidR="00FC7DCF" w:rsidRPr="00486FEC">
        <w:rPr>
          <w:rFonts w:ascii="Verdana" w:hAnsi="Verdana"/>
          <w:i/>
          <w:sz w:val="20"/>
          <w:szCs w:val="20"/>
        </w:rPr>
        <w:t>t</w:t>
      </w:r>
      <w:r w:rsidRPr="00486FEC">
        <w:rPr>
          <w:rFonts w:ascii="Verdana" w:hAnsi="Verdana"/>
          <w:i/>
          <w:sz w:val="20"/>
          <w:szCs w:val="20"/>
        </w:rPr>
        <w:t>i</w:t>
      </w:r>
      <w:r w:rsidR="00FC7DCF" w:rsidRPr="00486FEC">
        <w:rPr>
          <w:rFonts w:ascii="Verdana" w:hAnsi="Verdana"/>
          <w:i/>
          <w:sz w:val="20"/>
          <w:szCs w:val="20"/>
        </w:rPr>
        <w:t>c</w:t>
      </w:r>
      <w:r w:rsidRPr="00486FEC">
        <w:rPr>
          <w:rFonts w:ascii="Verdana" w:hAnsi="Verdana"/>
          <w:i/>
          <w:sz w:val="20"/>
          <w:szCs w:val="20"/>
        </w:rPr>
        <w:t>idad</w:t>
      </w:r>
      <w:r w:rsidRPr="00486FEC">
        <w:rPr>
          <w:rFonts w:ascii="Verdana" w:hAnsi="Verdana"/>
          <w:sz w:val="20"/>
          <w:szCs w:val="20"/>
        </w:rPr>
        <w:t xml:space="preserve"> del </w:t>
      </w:r>
      <w:r w:rsidR="00523BD4" w:rsidRPr="00486FEC">
        <w:rPr>
          <w:rFonts w:ascii="Verdana" w:hAnsi="Verdana"/>
          <w:i/>
          <w:sz w:val="20"/>
          <w:szCs w:val="20"/>
        </w:rPr>
        <w:t>Welt</w:t>
      </w:r>
      <w:r w:rsidR="00523BD4" w:rsidRPr="00486FEC">
        <w:rPr>
          <w:rFonts w:ascii="Verdana" w:hAnsi="Verdana"/>
          <w:sz w:val="20"/>
          <w:szCs w:val="20"/>
        </w:rPr>
        <w:t xml:space="preserve"> </w:t>
      </w:r>
      <w:r w:rsidR="009A12C9" w:rsidRPr="00486FEC">
        <w:rPr>
          <w:rFonts w:ascii="Verdana" w:hAnsi="Verdana"/>
          <w:sz w:val="20"/>
          <w:szCs w:val="20"/>
        </w:rPr>
        <w:t xml:space="preserve">y </w:t>
      </w:r>
      <w:r w:rsidR="00FC7DCF" w:rsidRPr="00486FEC">
        <w:rPr>
          <w:rFonts w:ascii="Verdana" w:hAnsi="Verdana"/>
          <w:sz w:val="20"/>
          <w:szCs w:val="20"/>
        </w:rPr>
        <w:t xml:space="preserve">que, por cierto, </w:t>
      </w:r>
      <w:r w:rsidR="009A12C9" w:rsidRPr="00486FEC">
        <w:rPr>
          <w:rFonts w:ascii="Verdana" w:hAnsi="Verdana"/>
          <w:sz w:val="20"/>
          <w:szCs w:val="20"/>
        </w:rPr>
        <w:t xml:space="preserve">éste </w:t>
      </w:r>
      <w:r w:rsidR="00FC7DCF" w:rsidRPr="00486FEC">
        <w:rPr>
          <w:rFonts w:ascii="Verdana" w:hAnsi="Verdana"/>
          <w:sz w:val="20"/>
          <w:szCs w:val="20"/>
        </w:rPr>
        <w:t>no es un caos</w:t>
      </w:r>
      <w:r w:rsidRPr="00486FEC">
        <w:rPr>
          <w:rFonts w:ascii="Verdana" w:hAnsi="Verdana"/>
          <w:sz w:val="20"/>
          <w:szCs w:val="20"/>
        </w:rPr>
        <w:t>.</w:t>
      </w:r>
    </w:p>
    <w:p w14:paraId="68EC0A29" w14:textId="1D67F075"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6E2028CB" w14:textId="62F748DF" w:rsidR="00EB49BA" w:rsidRDefault="00FC7DCF"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El legislador y el juez no están atados necesariamente a estos órdenes, pero </w:t>
      </w:r>
      <w:r w:rsidR="00375AD5" w:rsidRPr="00486FEC">
        <w:rPr>
          <w:rFonts w:ascii="Verdana" w:hAnsi="Verdana"/>
          <w:sz w:val="20"/>
          <w:szCs w:val="20"/>
        </w:rPr>
        <w:t xml:space="preserve">cuando no los </w:t>
      </w:r>
      <w:r w:rsidRPr="00486FEC">
        <w:rPr>
          <w:rFonts w:ascii="Verdana" w:hAnsi="Verdana"/>
          <w:sz w:val="20"/>
          <w:szCs w:val="20"/>
        </w:rPr>
        <w:t xml:space="preserve">respetan y </w:t>
      </w:r>
      <w:r w:rsidR="00375AD5" w:rsidRPr="00486FEC">
        <w:rPr>
          <w:rFonts w:ascii="Verdana" w:hAnsi="Verdana"/>
          <w:sz w:val="20"/>
          <w:szCs w:val="20"/>
        </w:rPr>
        <w:t xml:space="preserve">pasan a construir </w:t>
      </w:r>
      <w:r w:rsidRPr="00486FEC">
        <w:rPr>
          <w:rFonts w:ascii="Verdana" w:hAnsi="Verdana"/>
          <w:sz w:val="20"/>
          <w:szCs w:val="20"/>
        </w:rPr>
        <w:t xml:space="preserve">conceptos propios desconociéndolos, el resultado </w:t>
      </w:r>
      <w:r w:rsidR="00E84AD9" w:rsidRPr="00486FEC">
        <w:rPr>
          <w:rFonts w:ascii="Verdana" w:hAnsi="Verdana"/>
          <w:sz w:val="20"/>
          <w:szCs w:val="20"/>
        </w:rPr>
        <w:t>es</w:t>
      </w:r>
      <w:r w:rsidRPr="00486FEC">
        <w:rPr>
          <w:rFonts w:ascii="Verdana" w:hAnsi="Verdana"/>
          <w:sz w:val="20"/>
          <w:szCs w:val="20"/>
        </w:rPr>
        <w:t xml:space="preserve"> que </w:t>
      </w:r>
      <w:r w:rsidR="00523BD4" w:rsidRPr="00486FEC">
        <w:rPr>
          <w:rFonts w:ascii="Verdana" w:hAnsi="Verdana"/>
          <w:sz w:val="20"/>
          <w:szCs w:val="20"/>
        </w:rPr>
        <w:t xml:space="preserve">las normas o decisiones </w:t>
      </w:r>
      <w:r w:rsidRPr="00486FEC">
        <w:rPr>
          <w:rFonts w:ascii="Verdana" w:hAnsi="Verdana"/>
          <w:sz w:val="20"/>
          <w:szCs w:val="20"/>
        </w:rPr>
        <w:t>se dirig</w:t>
      </w:r>
      <w:r w:rsidR="00E84AD9" w:rsidRPr="00486FEC">
        <w:rPr>
          <w:rFonts w:ascii="Verdana" w:hAnsi="Verdana"/>
          <w:sz w:val="20"/>
          <w:szCs w:val="20"/>
        </w:rPr>
        <w:t xml:space="preserve">en </w:t>
      </w:r>
      <w:r w:rsidRPr="00486FEC">
        <w:rPr>
          <w:rFonts w:ascii="Verdana" w:hAnsi="Verdana"/>
          <w:sz w:val="20"/>
          <w:szCs w:val="20"/>
        </w:rPr>
        <w:t>a objetos o entes di</w:t>
      </w:r>
      <w:r w:rsidR="00B47ED7" w:rsidRPr="00486FEC">
        <w:rPr>
          <w:rFonts w:ascii="Verdana" w:hAnsi="Verdana"/>
          <w:sz w:val="20"/>
          <w:szCs w:val="20"/>
        </w:rPr>
        <w:t xml:space="preserve">stintos </w:t>
      </w:r>
      <w:r w:rsidRPr="00486FEC">
        <w:rPr>
          <w:rFonts w:ascii="Verdana" w:hAnsi="Verdana"/>
          <w:sz w:val="20"/>
          <w:szCs w:val="20"/>
        </w:rPr>
        <w:t xml:space="preserve">de los que </w:t>
      </w:r>
      <w:r w:rsidR="00E84AD9" w:rsidRPr="00486FEC">
        <w:rPr>
          <w:rFonts w:ascii="Verdana" w:hAnsi="Verdana"/>
          <w:sz w:val="20"/>
          <w:szCs w:val="20"/>
        </w:rPr>
        <w:t xml:space="preserve">se </w:t>
      </w:r>
      <w:r w:rsidRPr="00486FEC">
        <w:rPr>
          <w:rFonts w:ascii="Verdana" w:hAnsi="Verdana"/>
          <w:sz w:val="20"/>
          <w:szCs w:val="20"/>
        </w:rPr>
        <w:t xml:space="preserve">enuncian y, por ende, los objetivos proclamados </w:t>
      </w:r>
      <w:r w:rsidR="00523BD4" w:rsidRPr="00486FEC">
        <w:rPr>
          <w:rFonts w:ascii="Verdana" w:hAnsi="Verdana"/>
          <w:sz w:val="20"/>
          <w:szCs w:val="20"/>
        </w:rPr>
        <w:t xml:space="preserve">como </w:t>
      </w:r>
      <w:r w:rsidR="00523BD4" w:rsidRPr="00486FEC">
        <w:rPr>
          <w:rFonts w:ascii="Verdana" w:hAnsi="Verdana"/>
          <w:i/>
          <w:sz w:val="20"/>
          <w:szCs w:val="20"/>
        </w:rPr>
        <w:t>ratio legis</w:t>
      </w:r>
      <w:r w:rsidR="00523BD4" w:rsidRPr="00486FEC">
        <w:rPr>
          <w:rFonts w:ascii="Verdana" w:hAnsi="Verdana"/>
          <w:sz w:val="20"/>
          <w:szCs w:val="20"/>
        </w:rPr>
        <w:t xml:space="preserve"> no </w:t>
      </w:r>
      <w:r w:rsidRPr="00486FEC">
        <w:rPr>
          <w:rFonts w:ascii="Verdana" w:hAnsi="Verdana"/>
          <w:sz w:val="20"/>
          <w:szCs w:val="20"/>
        </w:rPr>
        <w:t>s</w:t>
      </w:r>
      <w:r w:rsidR="00E84AD9" w:rsidRPr="00486FEC">
        <w:rPr>
          <w:rFonts w:ascii="Verdana" w:hAnsi="Verdana"/>
          <w:sz w:val="20"/>
          <w:szCs w:val="20"/>
        </w:rPr>
        <w:t xml:space="preserve">on </w:t>
      </w:r>
      <w:r w:rsidRPr="00486FEC">
        <w:rPr>
          <w:rFonts w:ascii="Verdana" w:hAnsi="Verdana"/>
          <w:sz w:val="20"/>
          <w:szCs w:val="20"/>
        </w:rPr>
        <w:t>los reales</w:t>
      </w:r>
      <w:r w:rsidR="00375AD5" w:rsidRPr="00486FEC">
        <w:rPr>
          <w:rFonts w:ascii="Verdana" w:hAnsi="Verdana"/>
          <w:sz w:val="20"/>
          <w:szCs w:val="20"/>
        </w:rPr>
        <w:t xml:space="preserve"> -</w:t>
      </w:r>
      <w:r w:rsidR="009302BF" w:rsidRPr="00486FEC">
        <w:rPr>
          <w:rFonts w:ascii="Verdana" w:hAnsi="Verdana"/>
          <w:sz w:val="20"/>
          <w:szCs w:val="20"/>
        </w:rPr>
        <w:t>s</w:t>
      </w:r>
      <w:r w:rsidR="00E84AD9" w:rsidRPr="00486FEC">
        <w:rPr>
          <w:rFonts w:ascii="Verdana" w:hAnsi="Verdana"/>
          <w:sz w:val="20"/>
          <w:szCs w:val="20"/>
        </w:rPr>
        <w:t>o</w:t>
      </w:r>
      <w:r w:rsidR="009302BF" w:rsidRPr="00486FEC">
        <w:rPr>
          <w:rFonts w:ascii="Verdana" w:hAnsi="Verdana"/>
          <w:sz w:val="20"/>
          <w:szCs w:val="20"/>
        </w:rPr>
        <w:t>n falsos</w:t>
      </w:r>
      <w:r w:rsidR="00375AD5" w:rsidRPr="00486FEC">
        <w:rPr>
          <w:rFonts w:ascii="Verdana" w:hAnsi="Verdana"/>
          <w:sz w:val="20"/>
          <w:szCs w:val="20"/>
        </w:rPr>
        <w:t>-</w:t>
      </w:r>
      <w:r w:rsidR="009302BF" w:rsidRPr="00486FEC">
        <w:rPr>
          <w:rFonts w:ascii="Verdana" w:hAnsi="Verdana"/>
          <w:sz w:val="20"/>
          <w:szCs w:val="20"/>
        </w:rPr>
        <w:t xml:space="preserve">, </w:t>
      </w:r>
      <w:r w:rsidRPr="00486FEC">
        <w:rPr>
          <w:rFonts w:ascii="Verdana" w:hAnsi="Verdana"/>
          <w:sz w:val="20"/>
          <w:szCs w:val="20"/>
        </w:rPr>
        <w:t>puesto que t</w:t>
      </w:r>
      <w:r w:rsidR="00E84AD9" w:rsidRPr="00486FEC">
        <w:rPr>
          <w:rFonts w:ascii="Verdana" w:hAnsi="Verdana"/>
          <w:sz w:val="20"/>
          <w:szCs w:val="20"/>
        </w:rPr>
        <w:t xml:space="preserve">ienen </w:t>
      </w:r>
      <w:r w:rsidRPr="00486FEC">
        <w:rPr>
          <w:rFonts w:ascii="Verdana" w:hAnsi="Verdana"/>
          <w:sz w:val="20"/>
          <w:szCs w:val="20"/>
        </w:rPr>
        <w:t>efectos diferentes</w:t>
      </w:r>
      <w:r w:rsidR="00B47ED7" w:rsidRPr="00486FEC">
        <w:rPr>
          <w:rFonts w:ascii="Verdana" w:hAnsi="Verdana"/>
          <w:sz w:val="20"/>
          <w:szCs w:val="20"/>
        </w:rPr>
        <w:t xml:space="preserve"> y</w:t>
      </w:r>
      <w:r w:rsidR="00893E53" w:rsidRPr="00486FEC">
        <w:rPr>
          <w:rFonts w:ascii="Verdana" w:hAnsi="Verdana"/>
          <w:sz w:val="20"/>
          <w:szCs w:val="20"/>
        </w:rPr>
        <w:t xml:space="preserve"> recaen sobre </w:t>
      </w:r>
      <w:r w:rsidR="00AA2CED" w:rsidRPr="00486FEC">
        <w:rPr>
          <w:rFonts w:ascii="Verdana" w:hAnsi="Verdana"/>
          <w:sz w:val="20"/>
          <w:szCs w:val="20"/>
        </w:rPr>
        <w:t xml:space="preserve">otros </w:t>
      </w:r>
      <w:r w:rsidR="00893E53" w:rsidRPr="00486FEC">
        <w:rPr>
          <w:rFonts w:ascii="Verdana" w:hAnsi="Verdana"/>
          <w:sz w:val="20"/>
          <w:szCs w:val="20"/>
        </w:rPr>
        <w:t>entes</w:t>
      </w:r>
      <w:r w:rsidR="00B47ED7" w:rsidRPr="00486FEC">
        <w:rPr>
          <w:rFonts w:ascii="Verdana" w:hAnsi="Verdana"/>
          <w:sz w:val="20"/>
          <w:szCs w:val="20"/>
        </w:rPr>
        <w:t xml:space="preserve"> que no s</w:t>
      </w:r>
      <w:r w:rsidR="00E84AD9" w:rsidRPr="00486FEC">
        <w:rPr>
          <w:rFonts w:ascii="Verdana" w:hAnsi="Verdana"/>
          <w:sz w:val="20"/>
          <w:szCs w:val="20"/>
        </w:rPr>
        <w:t xml:space="preserve">on </w:t>
      </w:r>
      <w:r w:rsidR="00893E53" w:rsidRPr="00486FEC">
        <w:rPr>
          <w:rFonts w:ascii="Verdana" w:hAnsi="Verdana"/>
          <w:sz w:val="20"/>
          <w:szCs w:val="20"/>
        </w:rPr>
        <w:t>los enunciados</w:t>
      </w:r>
      <w:r w:rsidR="00EB49BA" w:rsidRPr="00486FEC">
        <w:rPr>
          <w:rFonts w:ascii="Verdana" w:hAnsi="Verdana"/>
          <w:sz w:val="20"/>
          <w:szCs w:val="20"/>
        </w:rPr>
        <w:t>.</w:t>
      </w:r>
    </w:p>
    <w:p w14:paraId="43B38D72" w14:textId="1591F7D9"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62C9EC61" w14:textId="100BA44E" w:rsidR="00EB49BA" w:rsidRDefault="000B2D5A"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Las decisiones</w:t>
      </w:r>
      <w:r w:rsidR="00AA2CED" w:rsidRPr="00486FEC">
        <w:rPr>
          <w:rFonts w:ascii="Verdana" w:hAnsi="Verdana"/>
          <w:sz w:val="20"/>
          <w:szCs w:val="20"/>
        </w:rPr>
        <w:t xml:space="preserve"> de legisladores y jueces que procedan de esta manera</w:t>
      </w:r>
      <w:r w:rsidRPr="00486FEC">
        <w:rPr>
          <w:rFonts w:ascii="Verdana" w:hAnsi="Verdana"/>
          <w:sz w:val="20"/>
          <w:szCs w:val="20"/>
        </w:rPr>
        <w:t xml:space="preserve"> no s</w:t>
      </w:r>
      <w:r w:rsidR="00E84AD9" w:rsidRPr="00486FEC">
        <w:rPr>
          <w:rFonts w:ascii="Verdana" w:hAnsi="Verdana"/>
          <w:sz w:val="20"/>
          <w:szCs w:val="20"/>
        </w:rPr>
        <w:t xml:space="preserve">on </w:t>
      </w:r>
      <w:r w:rsidRPr="00486FEC">
        <w:rPr>
          <w:rFonts w:ascii="Verdana" w:hAnsi="Verdana"/>
          <w:sz w:val="20"/>
          <w:szCs w:val="20"/>
        </w:rPr>
        <w:t>inválidas ni dejan de ser derecho</w:t>
      </w:r>
      <w:r w:rsidR="00FC7DCF" w:rsidRPr="00486FEC">
        <w:rPr>
          <w:rFonts w:ascii="Verdana" w:hAnsi="Verdana"/>
          <w:sz w:val="20"/>
          <w:szCs w:val="20"/>
        </w:rPr>
        <w:t>, pero en el plano de la realidad no cumpl</w:t>
      </w:r>
      <w:r w:rsidR="00E84AD9" w:rsidRPr="00486FEC">
        <w:rPr>
          <w:rFonts w:ascii="Verdana" w:hAnsi="Verdana"/>
          <w:sz w:val="20"/>
          <w:szCs w:val="20"/>
        </w:rPr>
        <w:t xml:space="preserve">en </w:t>
      </w:r>
      <w:r w:rsidR="00FC7DCF" w:rsidRPr="00486FEC">
        <w:rPr>
          <w:rFonts w:ascii="Verdana" w:hAnsi="Verdana"/>
          <w:sz w:val="20"/>
          <w:szCs w:val="20"/>
        </w:rPr>
        <w:t xml:space="preserve">con </w:t>
      </w:r>
      <w:r w:rsidR="00045BA6" w:rsidRPr="00486FEC">
        <w:rPr>
          <w:rFonts w:ascii="Verdana" w:hAnsi="Verdana"/>
          <w:sz w:val="20"/>
          <w:szCs w:val="20"/>
        </w:rPr>
        <w:t>sus</w:t>
      </w:r>
      <w:r w:rsidR="00FC7DCF" w:rsidRPr="00486FEC">
        <w:rPr>
          <w:rFonts w:ascii="Verdana" w:hAnsi="Verdana"/>
          <w:sz w:val="20"/>
          <w:szCs w:val="20"/>
        </w:rPr>
        <w:t xml:space="preserve"> </w:t>
      </w:r>
      <w:r w:rsidR="00523BD4" w:rsidRPr="00486FEC">
        <w:rPr>
          <w:rFonts w:ascii="Verdana" w:hAnsi="Verdana"/>
          <w:sz w:val="20"/>
          <w:szCs w:val="20"/>
        </w:rPr>
        <w:t xml:space="preserve">fines </w:t>
      </w:r>
      <w:r w:rsidR="00FC7DCF" w:rsidRPr="00486FEC">
        <w:rPr>
          <w:rFonts w:ascii="Verdana" w:hAnsi="Verdana"/>
          <w:sz w:val="20"/>
          <w:szCs w:val="20"/>
        </w:rPr>
        <w:t>manifiestos</w:t>
      </w:r>
      <w:r w:rsidR="00B47ED7" w:rsidRPr="00486FEC">
        <w:rPr>
          <w:rFonts w:ascii="Verdana" w:hAnsi="Verdana"/>
          <w:sz w:val="20"/>
          <w:szCs w:val="20"/>
        </w:rPr>
        <w:t>, sino con otros extraños a los proclamados</w:t>
      </w:r>
      <w:r w:rsidR="00045BA6" w:rsidRPr="00486FEC">
        <w:rPr>
          <w:rFonts w:ascii="Verdana" w:hAnsi="Verdana"/>
          <w:sz w:val="20"/>
          <w:szCs w:val="20"/>
        </w:rPr>
        <w:t xml:space="preserve"> y hasta incluso contrarios a éstos</w:t>
      </w:r>
      <w:r w:rsidR="00EB49BA" w:rsidRPr="00486FEC">
        <w:rPr>
          <w:rFonts w:ascii="Verdana" w:hAnsi="Verdana"/>
          <w:sz w:val="20"/>
          <w:szCs w:val="20"/>
        </w:rPr>
        <w:t>.</w:t>
      </w:r>
    </w:p>
    <w:p w14:paraId="29AB10EA" w14:textId="785841F2"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777E3028" w14:textId="45CE6FB7" w:rsidR="00E46F55" w:rsidRDefault="00E84AD9"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Dado que la metodología que permite seleccionar los datos del mundo a voluntad deja su incorporación al derecho a criterio de cada teórico, los hubo que  estructuraron </w:t>
      </w:r>
      <w:r w:rsidR="000B2D5A" w:rsidRPr="00486FEC">
        <w:rPr>
          <w:rFonts w:ascii="Verdana" w:hAnsi="Verdana"/>
          <w:sz w:val="20"/>
          <w:szCs w:val="20"/>
        </w:rPr>
        <w:t>sistemas y construcciones liberales</w:t>
      </w:r>
      <w:r w:rsidRPr="00486FEC">
        <w:rPr>
          <w:rFonts w:ascii="Verdana" w:hAnsi="Verdana"/>
          <w:sz w:val="20"/>
          <w:szCs w:val="20"/>
        </w:rPr>
        <w:t xml:space="preserve"> en su marco</w:t>
      </w:r>
      <w:r w:rsidR="000B2D5A" w:rsidRPr="00486FEC">
        <w:rPr>
          <w:rStyle w:val="Refdenotaalpie"/>
          <w:rFonts w:ascii="Verdana" w:hAnsi="Verdana"/>
          <w:sz w:val="20"/>
          <w:szCs w:val="20"/>
        </w:rPr>
        <w:footnoteReference w:id="22"/>
      </w:r>
      <w:r w:rsidRPr="00486FEC">
        <w:rPr>
          <w:rFonts w:ascii="Verdana" w:hAnsi="Verdana"/>
          <w:sz w:val="20"/>
          <w:szCs w:val="20"/>
        </w:rPr>
        <w:t>, pero otros, en uso de la arbitrariedad que posibilita la teoría del conocimiento en que se asienta, la aprovecharon para li</w:t>
      </w:r>
      <w:r w:rsidR="0007375A" w:rsidRPr="00486FEC">
        <w:rPr>
          <w:rFonts w:ascii="Verdana" w:hAnsi="Verdana"/>
          <w:sz w:val="20"/>
          <w:szCs w:val="20"/>
        </w:rPr>
        <w:t xml:space="preserve">mitar selectivamente </w:t>
      </w:r>
      <w:r w:rsidR="00893E53" w:rsidRPr="00486FEC">
        <w:rPr>
          <w:rFonts w:ascii="Verdana" w:hAnsi="Verdana"/>
          <w:sz w:val="20"/>
          <w:szCs w:val="20"/>
        </w:rPr>
        <w:t xml:space="preserve">la </w:t>
      </w:r>
      <w:r w:rsidR="001E34BD" w:rsidRPr="00486FEC">
        <w:rPr>
          <w:rFonts w:ascii="Verdana" w:hAnsi="Verdana"/>
          <w:sz w:val="20"/>
          <w:szCs w:val="20"/>
        </w:rPr>
        <w:t>incorporación de datos del mundo</w:t>
      </w:r>
      <w:r w:rsidRPr="00486FEC">
        <w:rPr>
          <w:rFonts w:ascii="Verdana" w:hAnsi="Verdana"/>
          <w:sz w:val="20"/>
          <w:szCs w:val="20"/>
        </w:rPr>
        <w:t xml:space="preserve"> </w:t>
      </w:r>
      <w:r w:rsidR="000B2D5A" w:rsidRPr="00486FEC">
        <w:rPr>
          <w:rFonts w:ascii="Verdana" w:hAnsi="Verdana"/>
          <w:sz w:val="20"/>
          <w:szCs w:val="20"/>
        </w:rPr>
        <w:t xml:space="preserve">con intencionalidad totalitaria </w:t>
      </w:r>
      <w:r w:rsidRPr="00486FEC">
        <w:rPr>
          <w:rFonts w:ascii="Verdana" w:hAnsi="Verdana"/>
          <w:sz w:val="20"/>
          <w:szCs w:val="20"/>
        </w:rPr>
        <w:t>y p</w:t>
      </w:r>
      <w:r w:rsidR="000B2D5A" w:rsidRPr="00486FEC">
        <w:rPr>
          <w:rFonts w:ascii="Verdana" w:hAnsi="Verdana"/>
          <w:sz w:val="20"/>
          <w:szCs w:val="20"/>
        </w:rPr>
        <w:t>erver</w:t>
      </w:r>
      <w:r w:rsidRPr="00486FEC">
        <w:rPr>
          <w:rFonts w:ascii="Verdana" w:hAnsi="Verdana"/>
          <w:sz w:val="20"/>
          <w:szCs w:val="20"/>
        </w:rPr>
        <w:t xml:space="preserve">tir </w:t>
      </w:r>
      <w:r w:rsidR="000B2D5A" w:rsidRPr="00486FEC">
        <w:rPr>
          <w:rFonts w:ascii="Verdana" w:hAnsi="Verdana"/>
          <w:sz w:val="20"/>
          <w:szCs w:val="20"/>
        </w:rPr>
        <w:t xml:space="preserve">el derecho </w:t>
      </w:r>
      <w:r w:rsidR="001E34BD" w:rsidRPr="00486FEC">
        <w:rPr>
          <w:rFonts w:ascii="Verdana" w:hAnsi="Verdana"/>
          <w:sz w:val="20"/>
          <w:szCs w:val="20"/>
        </w:rPr>
        <w:t>en tiempos del nazismo</w:t>
      </w:r>
      <w:r w:rsidR="00EB49BA" w:rsidRPr="00486FEC">
        <w:rPr>
          <w:rStyle w:val="Refdenotaalpie"/>
          <w:rFonts w:ascii="Verdana" w:hAnsi="Verdana"/>
          <w:sz w:val="20"/>
          <w:szCs w:val="20"/>
        </w:rPr>
        <w:footnoteReference w:id="23"/>
      </w:r>
      <w:r w:rsidR="00521EAE" w:rsidRPr="00486FEC">
        <w:rPr>
          <w:rFonts w:ascii="Verdana" w:hAnsi="Verdana"/>
          <w:sz w:val="20"/>
          <w:szCs w:val="20"/>
        </w:rPr>
        <w:t>. Por cierto, no ignoro los esfuerzos de</w:t>
      </w:r>
      <w:r w:rsidR="00E45D53" w:rsidRPr="00486FEC">
        <w:rPr>
          <w:rFonts w:ascii="Verdana" w:hAnsi="Verdana"/>
          <w:sz w:val="20"/>
          <w:szCs w:val="20"/>
        </w:rPr>
        <w:t xml:space="preserve"> los defensores de</w:t>
      </w:r>
      <w:r w:rsidR="00521EAE" w:rsidRPr="00486FEC">
        <w:rPr>
          <w:rFonts w:ascii="Verdana" w:hAnsi="Verdana"/>
          <w:sz w:val="20"/>
          <w:szCs w:val="20"/>
        </w:rPr>
        <w:t xml:space="preserve">l neokantismo que, a mi juicio, no hacen más que </w:t>
      </w:r>
      <w:r w:rsidR="00E45D53" w:rsidRPr="00486FEC">
        <w:rPr>
          <w:rFonts w:ascii="Verdana" w:hAnsi="Verdana"/>
          <w:sz w:val="20"/>
          <w:szCs w:val="20"/>
        </w:rPr>
        <w:t xml:space="preserve">insistir metodológicamente en </w:t>
      </w:r>
      <w:r w:rsidR="00521EAE" w:rsidRPr="00486FEC">
        <w:rPr>
          <w:rFonts w:ascii="Verdana" w:hAnsi="Verdana"/>
          <w:sz w:val="20"/>
          <w:szCs w:val="20"/>
        </w:rPr>
        <w:t>la indefensión del derecho frente a embates políticos autoritarios o totalitarios</w:t>
      </w:r>
      <w:r w:rsidR="00E45D53" w:rsidRPr="00486FEC">
        <w:rPr>
          <w:rFonts w:ascii="Verdana" w:hAnsi="Verdana"/>
          <w:sz w:val="20"/>
          <w:szCs w:val="20"/>
        </w:rPr>
        <w:t>, aunque personalmente no cultiven esas tendencias</w:t>
      </w:r>
      <w:r w:rsidR="00521EAE" w:rsidRPr="00486FEC">
        <w:rPr>
          <w:rFonts w:ascii="Verdana" w:hAnsi="Verdana"/>
          <w:sz w:val="20"/>
          <w:szCs w:val="20"/>
        </w:rPr>
        <w:t>.</w:t>
      </w:r>
      <w:r w:rsidR="00521EAE" w:rsidRPr="00486FEC">
        <w:rPr>
          <w:rStyle w:val="Refdenotaalpie"/>
          <w:rFonts w:ascii="Verdana" w:hAnsi="Verdana"/>
          <w:sz w:val="20"/>
          <w:szCs w:val="20"/>
        </w:rPr>
        <w:footnoteReference w:id="24"/>
      </w:r>
    </w:p>
    <w:p w14:paraId="1BA09D25" w14:textId="0B3127CC"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3F0A7674" w14:textId="0F740ED6" w:rsidR="00E46F55" w:rsidRDefault="00893E53"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w:t>
      </w:r>
      <w:r w:rsidR="00097A64" w:rsidRPr="00486FEC">
        <w:rPr>
          <w:rFonts w:ascii="Verdana" w:hAnsi="Verdana"/>
          <w:sz w:val="20"/>
          <w:szCs w:val="20"/>
        </w:rPr>
        <w:t>l derecho internacional de los D</w:t>
      </w:r>
      <w:r w:rsidRPr="00486FEC">
        <w:rPr>
          <w:rFonts w:ascii="Verdana" w:hAnsi="Verdana"/>
          <w:sz w:val="20"/>
          <w:szCs w:val="20"/>
        </w:rPr>
        <w:t>erechos Humanos</w:t>
      </w:r>
      <w:r w:rsidR="00097A64" w:rsidRPr="00486FEC">
        <w:rPr>
          <w:rFonts w:ascii="Verdana" w:hAnsi="Verdana"/>
          <w:sz w:val="20"/>
          <w:szCs w:val="20"/>
        </w:rPr>
        <w:t xml:space="preserve"> </w:t>
      </w:r>
      <w:r w:rsidR="00045BA6" w:rsidRPr="00486FEC">
        <w:rPr>
          <w:rFonts w:ascii="Verdana" w:hAnsi="Verdana"/>
          <w:sz w:val="20"/>
          <w:szCs w:val="20"/>
        </w:rPr>
        <w:t xml:space="preserve">impone el </w:t>
      </w:r>
      <w:r w:rsidR="00097A64" w:rsidRPr="00486FEC">
        <w:rPr>
          <w:rFonts w:ascii="Verdana" w:hAnsi="Verdana"/>
          <w:sz w:val="20"/>
          <w:szCs w:val="20"/>
        </w:rPr>
        <w:t xml:space="preserve">respeto a la </w:t>
      </w:r>
      <w:r w:rsidRPr="00486FEC">
        <w:rPr>
          <w:rFonts w:ascii="Verdana" w:hAnsi="Verdana"/>
          <w:sz w:val="20"/>
          <w:szCs w:val="20"/>
        </w:rPr>
        <w:t xml:space="preserve">dignidad </w:t>
      </w:r>
      <w:r w:rsidR="00045BA6" w:rsidRPr="00486FEC">
        <w:rPr>
          <w:rFonts w:ascii="Verdana" w:hAnsi="Verdana"/>
          <w:sz w:val="20"/>
          <w:szCs w:val="20"/>
        </w:rPr>
        <w:t xml:space="preserve">humana, </w:t>
      </w:r>
      <w:r w:rsidRPr="00486FEC">
        <w:rPr>
          <w:rFonts w:ascii="Verdana" w:hAnsi="Verdana"/>
          <w:sz w:val="20"/>
          <w:szCs w:val="20"/>
        </w:rPr>
        <w:t xml:space="preserve">es decir, a la consideración antropológica de todo ser humano como ente capaz de cierto ámbito de autodeterminación y dotado de conciencia moral, </w:t>
      </w:r>
      <w:r w:rsidR="00045BA6" w:rsidRPr="00486FEC">
        <w:rPr>
          <w:rFonts w:ascii="Verdana" w:hAnsi="Verdana"/>
          <w:sz w:val="20"/>
          <w:szCs w:val="20"/>
        </w:rPr>
        <w:t xml:space="preserve">al que le son inherentes algunos derechos </w:t>
      </w:r>
      <w:r w:rsidRPr="00486FEC">
        <w:rPr>
          <w:rFonts w:ascii="Verdana" w:hAnsi="Verdana"/>
          <w:sz w:val="20"/>
          <w:szCs w:val="20"/>
        </w:rPr>
        <w:t>por el mero hecho de ser un humano o una humana</w:t>
      </w:r>
      <w:r w:rsidR="00097A64" w:rsidRPr="00486FEC">
        <w:rPr>
          <w:rFonts w:ascii="Verdana" w:hAnsi="Verdana"/>
          <w:sz w:val="20"/>
          <w:szCs w:val="20"/>
        </w:rPr>
        <w:t xml:space="preserve">. Esta es la </w:t>
      </w:r>
      <w:r w:rsidRPr="00486FEC">
        <w:rPr>
          <w:rFonts w:ascii="Verdana" w:hAnsi="Verdana"/>
          <w:sz w:val="20"/>
          <w:szCs w:val="20"/>
        </w:rPr>
        <w:t>forma en que</w:t>
      </w:r>
      <w:r w:rsidR="00375AD5" w:rsidRPr="00486FEC">
        <w:rPr>
          <w:rFonts w:ascii="Verdana" w:hAnsi="Verdana"/>
          <w:sz w:val="20"/>
          <w:szCs w:val="20"/>
        </w:rPr>
        <w:t>,</w:t>
      </w:r>
      <w:r w:rsidRPr="00486FEC">
        <w:rPr>
          <w:rFonts w:ascii="Verdana" w:hAnsi="Verdana"/>
          <w:sz w:val="20"/>
          <w:szCs w:val="20"/>
        </w:rPr>
        <w:t xml:space="preserve"> en el siglo XVI</w:t>
      </w:r>
      <w:r w:rsidR="00375AD5" w:rsidRPr="00486FEC">
        <w:rPr>
          <w:rFonts w:ascii="Verdana" w:hAnsi="Verdana"/>
          <w:sz w:val="20"/>
          <w:szCs w:val="20"/>
        </w:rPr>
        <w:t>,</w:t>
      </w:r>
      <w:r w:rsidRPr="00486FEC">
        <w:rPr>
          <w:rFonts w:ascii="Verdana" w:hAnsi="Verdana"/>
          <w:sz w:val="20"/>
          <w:szCs w:val="20"/>
        </w:rPr>
        <w:t xml:space="preserve"> Fray Bartolomé de Las Casas </w:t>
      </w:r>
      <w:r w:rsidR="00375AD5" w:rsidRPr="00486FEC">
        <w:rPr>
          <w:rFonts w:ascii="Verdana" w:hAnsi="Verdana"/>
          <w:sz w:val="20"/>
          <w:szCs w:val="20"/>
        </w:rPr>
        <w:t xml:space="preserve">enunció </w:t>
      </w:r>
      <w:r w:rsidRPr="00486FEC">
        <w:rPr>
          <w:rFonts w:ascii="Verdana" w:hAnsi="Verdana"/>
          <w:sz w:val="20"/>
          <w:szCs w:val="20"/>
        </w:rPr>
        <w:t>en nuestra América</w:t>
      </w:r>
      <w:r w:rsidR="00375AD5" w:rsidRPr="00486FEC">
        <w:rPr>
          <w:rFonts w:ascii="Verdana" w:hAnsi="Verdana"/>
          <w:sz w:val="20"/>
          <w:szCs w:val="20"/>
        </w:rPr>
        <w:t xml:space="preserve"> la idea q</w:t>
      </w:r>
      <w:r w:rsidR="00097A64" w:rsidRPr="00486FEC">
        <w:rPr>
          <w:rFonts w:ascii="Verdana" w:hAnsi="Verdana"/>
          <w:sz w:val="20"/>
          <w:szCs w:val="20"/>
        </w:rPr>
        <w:t xml:space="preserve">ue </w:t>
      </w:r>
      <w:r w:rsidR="00334E48" w:rsidRPr="00486FEC">
        <w:rPr>
          <w:rFonts w:ascii="Verdana" w:hAnsi="Verdana"/>
          <w:sz w:val="20"/>
          <w:szCs w:val="20"/>
        </w:rPr>
        <w:t xml:space="preserve">cuatro </w:t>
      </w:r>
      <w:r w:rsidR="00097A64" w:rsidRPr="00486FEC">
        <w:rPr>
          <w:rFonts w:ascii="Verdana" w:hAnsi="Verdana"/>
          <w:sz w:val="20"/>
          <w:szCs w:val="20"/>
        </w:rPr>
        <w:t xml:space="preserve">siglos después </w:t>
      </w:r>
      <w:r w:rsidR="00045BA6" w:rsidRPr="00486FEC">
        <w:rPr>
          <w:rFonts w:ascii="Verdana" w:hAnsi="Verdana"/>
          <w:sz w:val="20"/>
          <w:szCs w:val="20"/>
        </w:rPr>
        <w:t xml:space="preserve">habría de recoger el </w:t>
      </w:r>
      <w:r w:rsidR="0030785E" w:rsidRPr="00486FEC">
        <w:rPr>
          <w:rFonts w:ascii="Verdana" w:hAnsi="Verdana"/>
          <w:sz w:val="20"/>
          <w:szCs w:val="20"/>
        </w:rPr>
        <w:t>derecho</w:t>
      </w:r>
      <w:r w:rsidR="00334E48" w:rsidRPr="00486FEC">
        <w:rPr>
          <w:rFonts w:ascii="Verdana" w:hAnsi="Verdana"/>
          <w:sz w:val="20"/>
          <w:szCs w:val="20"/>
        </w:rPr>
        <w:t xml:space="preserve"> internacional</w:t>
      </w:r>
      <w:r w:rsidR="00E46F55" w:rsidRPr="00486FEC">
        <w:rPr>
          <w:rFonts w:ascii="Verdana" w:hAnsi="Verdana"/>
          <w:sz w:val="20"/>
          <w:szCs w:val="20"/>
        </w:rPr>
        <w:t>.</w:t>
      </w:r>
    </w:p>
    <w:p w14:paraId="7269EC39" w14:textId="0B41A7FD"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0F6F06CD" w14:textId="34E17A34" w:rsidR="00E46F55" w:rsidRDefault="00097A64"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Esta esencia de nuestra materia no puede menos que </w:t>
      </w:r>
      <w:r w:rsidR="00045BA6" w:rsidRPr="00486FEC">
        <w:rPr>
          <w:rFonts w:ascii="Verdana" w:hAnsi="Verdana"/>
          <w:sz w:val="20"/>
          <w:szCs w:val="20"/>
        </w:rPr>
        <w:t xml:space="preserve">imponernos </w:t>
      </w:r>
      <w:r w:rsidR="00334E48" w:rsidRPr="00486FEC">
        <w:rPr>
          <w:rFonts w:ascii="Verdana" w:hAnsi="Verdana"/>
          <w:sz w:val="20"/>
          <w:szCs w:val="20"/>
        </w:rPr>
        <w:t>par</w:t>
      </w:r>
      <w:r w:rsidR="00045BA6" w:rsidRPr="00486FEC">
        <w:rPr>
          <w:rFonts w:ascii="Verdana" w:hAnsi="Verdana"/>
          <w:sz w:val="20"/>
          <w:szCs w:val="20"/>
        </w:rPr>
        <w:t>a su interpretación y aplicación e</w:t>
      </w:r>
      <w:r w:rsidR="00334E48" w:rsidRPr="00486FEC">
        <w:rPr>
          <w:rFonts w:ascii="Verdana" w:hAnsi="Verdana"/>
          <w:sz w:val="20"/>
          <w:szCs w:val="20"/>
        </w:rPr>
        <w:t>l</w:t>
      </w:r>
      <w:r w:rsidR="00045BA6" w:rsidRPr="00486FEC">
        <w:rPr>
          <w:rFonts w:ascii="Verdana" w:hAnsi="Verdana"/>
          <w:sz w:val="20"/>
          <w:szCs w:val="20"/>
        </w:rPr>
        <w:t xml:space="preserve"> estricto respeto </w:t>
      </w:r>
      <w:r w:rsidR="00893E53" w:rsidRPr="00486FEC">
        <w:rPr>
          <w:rFonts w:ascii="Verdana" w:hAnsi="Verdana"/>
          <w:sz w:val="20"/>
          <w:szCs w:val="20"/>
        </w:rPr>
        <w:t>a la estructura lógico-real</w:t>
      </w:r>
      <w:r w:rsidRPr="00486FEC">
        <w:rPr>
          <w:rFonts w:ascii="Verdana" w:hAnsi="Verdana"/>
          <w:sz w:val="20"/>
          <w:szCs w:val="20"/>
        </w:rPr>
        <w:t xml:space="preserve">, o sea, </w:t>
      </w:r>
      <w:r w:rsidR="00045BA6" w:rsidRPr="00486FEC">
        <w:rPr>
          <w:rFonts w:ascii="Verdana" w:hAnsi="Verdana"/>
          <w:sz w:val="20"/>
          <w:szCs w:val="20"/>
        </w:rPr>
        <w:t xml:space="preserve">que nos es indispensable </w:t>
      </w:r>
      <w:r w:rsidR="009302BF" w:rsidRPr="00486FEC">
        <w:rPr>
          <w:rFonts w:ascii="Verdana" w:hAnsi="Verdana"/>
          <w:sz w:val="20"/>
          <w:szCs w:val="20"/>
        </w:rPr>
        <w:t>atende</w:t>
      </w:r>
      <w:r w:rsidR="00045BA6" w:rsidRPr="00486FEC">
        <w:rPr>
          <w:rFonts w:ascii="Verdana" w:hAnsi="Verdana"/>
          <w:sz w:val="20"/>
          <w:szCs w:val="20"/>
        </w:rPr>
        <w:t xml:space="preserve">r, incorporar y respetar </w:t>
      </w:r>
      <w:r w:rsidRPr="00486FEC">
        <w:rPr>
          <w:rFonts w:ascii="Verdana" w:hAnsi="Verdana"/>
          <w:sz w:val="20"/>
          <w:szCs w:val="20"/>
        </w:rPr>
        <w:t xml:space="preserve">los datos del mundo y de la antropología jurídica subyacente, pues de </w:t>
      </w:r>
      <w:r w:rsidR="00893E53" w:rsidRPr="00486FEC">
        <w:rPr>
          <w:rFonts w:ascii="Verdana" w:hAnsi="Verdana"/>
          <w:sz w:val="20"/>
          <w:szCs w:val="20"/>
        </w:rPr>
        <w:t xml:space="preserve">lo contrario, </w:t>
      </w:r>
      <w:r w:rsidRPr="00486FEC">
        <w:rPr>
          <w:rFonts w:ascii="Verdana" w:hAnsi="Verdana"/>
          <w:sz w:val="20"/>
          <w:szCs w:val="20"/>
        </w:rPr>
        <w:t>de omitir</w:t>
      </w:r>
      <w:r w:rsidR="0030785E" w:rsidRPr="00486FEC">
        <w:rPr>
          <w:rFonts w:ascii="Verdana" w:hAnsi="Verdana"/>
          <w:sz w:val="20"/>
          <w:szCs w:val="20"/>
        </w:rPr>
        <w:t xml:space="preserve"> o seleccionar</w:t>
      </w:r>
      <w:r w:rsidRPr="00486FEC">
        <w:rPr>
          <w:rFonts w:ascii="Verdana" w:hAnsi="Verdana"/>
          <w:sz w:val="20"/>
          <w:szCs w:val="20"/>
        </w:rPr>
        <w:t xml:space="preserve"> arbitrariamente los hechos del mundo que hacen al devenir de cada hecho a juzgar, </w:t>
      </w:r>
      <w:r w:rsidR="00E45D53" w:rsidRPr="00486FEC">
        <w:rPr>
          <w:rFonts w:ascii="Verdana" w:hAnsi="Verdana"/>
          <w:sz w:val="20"/>
          <w:szCs w:val="20"/>
        </w:rPr>
        <w:t>es posible que a</w:t>
      </w:r>
      <w:r w:rsidR="00893E53" w:rsidRPr="00486FEC">
        <w:rPr>
          <w:rFonts w:ascii="Verdana" w:hAnsi="Verdana"/>
          <w:sz w:val="20"/>
          <w:szCs w:val="20"/>
        </w:rPr>
        <w:t xml:space="preserve">biertos </w:t>
      </w:r>
      <w:r w:rsidR="00375AD5" w:rsidRPr="00486FEC">
        <w:rPr>
          <w:rFonts w:ascii="Verdana" w:hAnsi="Verdana"/>
          <w:sz w:val="20"/>
          <w:szCs w:val="20"/>
        </w:rPr>
        <w:t xml:space="preserve">y crueles </w:t>
      </w:r>
      <w:r w:rsidR="00893E53" w:rsidRPr="00486FEC">
        <w:rPr>
          <w:rFonts w:ascii="Verdana" w:hAnsi="Verdana"/>
          <w:sz w:val="20"/>
          <w:szCs w:val="20"/>
        </w:rPr>
        <w:t xml:space="preserve">actos de violación de </w:t>
      </w:r>
      <w:r w:rsidR="00E45D53" w:rsidRPr="00486FEC">
        <w:rPr>
          <w:rFonts w:ascii="Verdana" w:hAnsi="Verdana"/>
          <w:sz w:val="20"/>
          <w:szCs w:val="20"/>
        </w:rPr>
        <w:t>los</w:t>
      </w:r>
      <w:r w:rsidR="00893E53" w:rsidRPr="00486FEC">
        <w:rPr>
          <w:rFonts w:ascii="Verdana" w:hAnsi="Verdana"/>
          <w:sz w:val="20"/>
          <w:szCs w:val="20"/>
        </w:rPr>
        <w:t xml:space="preserve"> derechos</w:t>
      </w:r>
      <w:r w:rsidR="00AA2CED" w:rsidRPr="00486FEC">
        <w:rPr>
          <w:rFonts w:ascii="Verdana" w:hAnsi="Verdana"/>
          <w:sz w:val="20"/>
          <w:szCs w:val="20"/>
        </w:rPr>
        <w:t xml:space="preserve"> más elementales</w:t>
      </w:r>
      <w:r w:rsidR="00E45D53" w:rsidRPr="00486FEC">
        <w:rPr>
          <w:rFonts w:ascii="Verdana" w:hAnsi="Verdana"/>
          <w:sz w:val="20"/>
          <w:szCs w:val="20"/>
        </w:rPr>
        <w:t xml:space="preserve"> pasen por respetuosos de la dignidad de la persona</w:t>
      </w:r>
      <w:r w:rsidR="00893E53" w:rsidRPr="00486FEC">
        <w:rPr>
          <w:rFonts w:ascii="Verdana" w:hAnsi="Verdana"/>
          <w:sz w:val="20"/>
          <w:szCs w:val="20"/>
        </w:rPr>
        <w:t xml:space="preserve">, sólo porque las circunstancias que hacen a la </w:t>
      </w:r>
      <w:r w:rsidR="0030785E" w:rsidRPr="00486FEC">
        <w:rPr>
          <w:rFonts w:ascii="Verdana" w:hAnsi="Verdana"/>
          <w:sz w:val="20"/>
          <w:szCs w:val="20"/>
        </w:rPr>
        <w:t xml:space="preserve">situación </w:t>
      </w:r>
      <w:r w:rsidR="00893E53" w:rsidRPr="00486FEC">
        <w:rPr>
          <w:rFonts w:ascii="Verdana" w:hAnsi="Verdana"/>
          <w:sz w:val="20"/>
          <w:szCs w:val="20"/>
        </w:rPr>
        <w:t>c</w:t>
      </w:r>
      <w:r w:rsidR="0030785E" w:rsidRPr="00486FEC">
        <w:rPr>
          <w:rFonts w:ascii="Verdana" w:hAnsi="Verdana"/>
          <w:sz w:val="20"/>
          <w:szCs w:val="20"/>
        </w:rPr>
        <w:t>onstelacional</w:t>
      </w:r>
      <w:r w:rsidR="00893E53" w:rsidRPr="00486FEC">
        <w:rPr>
          <w:rFonts w:ascii="Verdana" w:hAnsi="Verdana"/>
          <w:sz w:val="20"/>
          <w:szCs w:val="20"/>
        </w:rPr>
        <w:t xml:space="preserve"> concreta no est</w:t>
      </w:r>
      <w:r w:rsidR="00E456B9" w:rsidRPr="00486FEC">
        <w:rPr>
          <w:rFonts w:ascii="Verdana" w:hAnsi="Verdana"/>
          <w:sz w:val="20"/>
          <w:szCs w:val="20"/>
        </w:rPr>
        <w:t>uviesen i</w:t>
      </w:r>
      <w:r w:rsidR="00893E53" w:rsidRPr="00486FEC">
        <w:rPr>
          <w:rFonts w:ascii="Verdana" w:hAnsi="Verdana"/>
          <w:sz w:val="20"/>
          <w:szCs w:val="20"/>
        </w:rPr>
        <w:t xml:space="preserve">ncorporadas por el valor y, por ende, </w:t>
      </w:r>
      <w:r w:rsidR="00E456B9" w:rsidRPr="00486FEC">
        <w:rPr>
          <w:rFonts w:ascii="Verdana" w:hAnsi="Verdana"/>
          <w:sz w:val="20"/>
          <w:szCs w:val="20"/>
        </w:rPr>
        <w:t xml:space="preserve">cayesen </w:t>
      </w:r>
      <w:r w:rsidR="00893E53" w:rsidRPr="00486FEC">
        <w:rPr>
          <w:rFonts w:ascii="Verdana" w:hAnsi="Verdana"/>
          <w:sz w:val="20"/>
          <w:szCs w:val="20"/>
        </w:rPr>
        <w:t xml:space="preserve">fuera de </w:t>
      </w:r>
      <w:r w:rsidR="0007375A" w:rsidRPr="00486FEC">
        <w:rPr>
          <w:rFonts w:ascii="Verdana" w:hAnsi="Verdana"/>
          <w:sz w:val="20"/>
          <w:szCs w:val="20"/>
        </w:rPr>
        <w:t xml:space="preserve">la </w:t>
      </w:r>
      <w:r w:rsidR="00893E53" w:rsidRPr="00486FEC">
        <w:rPr>
          <w:rFonts w:ascii="Verdana" w:hAnsi="Verdana"/>
          <w:sz w:val="20"/>
          <w:szCs w:val="20"/>
        </w:rPr>
        <w:t>consideración</w:t>
      </w:r>
      <w:r w:rsidR="0007375A" w:rsidRPr="00486FEC">
        <w:rPr>
          <w:rFonts w:ascii="Verdana" w:hAnsi="Verdana"/>
          <w:sz w:val="20"/>
          <w:szCs w:val="20"/>
        </w:rPr>
        <w:t xml:space="preserve"> jurídica</w:t>
      </w:r>
      <w:r w:rsidR="00E46F55" w:rsidRPr="00486FEC">
        <w:rPr>
          <w:rFonts w:ascii="Verdana" w:hAnsi="Verdana"/>
          <w:sz w:val="20"/>
          <w:szCs w:val="20"/>
        </w:rPr>
        <w:t>.</w:t>
      </w:r>
    </w:p>
    <w:p w14:paraId="4919FB3A" w14:textId="6D2FDCE3"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3164A4F7" w14:textId="231CEFBE" w:rsidR="00E46F55" w:rsidRDefault="00893E53"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Es desde esta perspectiva de limitado </w:t>
      </w:r>
      <w:r w:rsidR="00097A64" w:rsidRPr="00486FEC">
        <w:rPr>
          <w:rFonts w:ascii="Verdana" w:hAnsi="Verdana"/>
          <w:sz w:val="20"/>
          <w:szCs w:val="20"/>
        </w:rPr>
        <w:t xml:space="preserve">y elementalísimo </w:t>
      </w:r>
      <w:r w:rsidRPr="00486FEC">
        <w:rPr>
          <w:rFonts w:ascii="Verdana" w:hAnsi="Verdana"/>
          <w:sz w:val="20"/>
          <w:szCs w:val="20"/>
        </w:rPr>
        <w:t>realismo jurídico</w:t>
      </w:r>
      <w:r w:rsidR="00AA2CED" w:rsidRPr="00486FEC">
        <w:rPr>
          <w:rFonts w:ascii="Verdana" w:hAnsi="Verdana"/>
          <w:sz w:val="20"/>
          <w:szCs w:val="20"/>
        </w:rPr>
        <w:t xml:space="preserve"> </w:t>
      </w:r>
      <w:r w:rsidRPr="00486FEC">
        <w:rPr>
          <w:rFonts w:ascii="Verdana" w:hAnsi="Verdana"/>
          <w:sz w:val="20"/>
          <w:szCs w:val="20"/>
        </w:rPr>
        <w:t>que</w:t>
      </w:r>
      <w:r w:rsidR="00AA2CED" w:rsidRPr="00486FEC">
        <w:rPr>
          <w:rFonts w:ascii="Verdana" w:hAnsi="Verdana"/>
          <w:sz w:val="20"/>
          <w:szCs w:val="20"/>
        </w:rPr>
        <w:t>,</w:t>
      </w:r>
      <w:r w:rsidRPr="00486FEC">
        <w:rPr>
          <w:rFonts w:ascii="Verdana" w:hAnsi="Verdana"/>
          <w:sz w:val="20"/>
          <w:szCs w:val="20"/>
        </w:rPr>
        <w:t xml:space="preserve"> </w:t>
      </w:r>
      <w:r w:rsidR="00E45D53" w:rsidRPr="00486FEC">
        <w:rPr>
          <w:rFonts w:ascii="Verdana" w:hAnsi="Verdana"/>
          <w:sz w:val="20"/>
          <w:szCs w:val="20"/>
        </w:rPr>
        <w:t xml:space="preserve">pese al </w:t>
      </w:r>
      <w:r w:rsidR="00334E48" w:rsidRPr="00486FEC">
        <w:rPr>
          <w:rFonts w:ascii="Verdana" w:hAnsi="Verdana"/>
          <w:sz w:val="20"/>
          <w:szCs w:val="20"/>
        </w:rPr>
        <w:t xml:space="preserve">alto </w:t>
      </w:r>
      <w:r w:rsidRPr="00486FEC">
        <w:rPr>
          <w:rFonts w:ascii="Verdana" w:hAnsi="Verdana"/>
          <w:sz w:val="20"/>
          <w:szCs w:val="20"/>
        </w:rPr>
        <w:t>respeto</w:t>
      </w:r>
      <w:r w:rsidR="00042E83" w:rsidRPr="00486FEC">
        <w:rPr>
          <w:rFonts w:ascii="Verdana" w:hAnsi="Verdana"/>
          <w:sz w:val="20"/>
          <w:szCs w:val="20"/>
        </w:rPr>
        <w:t xml:space="preserve"> </w:t>
      </w:r>
      <w:r w:rsidR="00E45D53" w:rsidRPr="00486FEC">
        <w:rPr>
          <w:rFonts w:ascii="Verdana" w:hAnsi="Verdana"/>
          <w:sz w:val="20"/>
          <w:szCs w:val="20"/>
        </w:rPr>
        <w:t xml:space="preserve">que me merece </w:t>
      </w:r>
      <w:r w:rsidR="00042E83" w:rsidRPr="00486FEC">
        <w:rPr>
          <w:rFonts w:ascii="Verdana" w:hAnsi="Verdana"/>
          <w:sz w:val="20"/>
          <w:szCs w:val="20"/>
        </w:rPr>
        <w:t>la</w:t>
      </w:r>
      <w:r w:rsidR="00097A64" w:rsidRPr="00486FEC">
        <w:rPr>
          <w:rFonts w:ascii="Verdana" w:hAnsi="Verdana"/>
          <w:sz w:val="20"/>
          <w:szCs w:val="20"/>
        </w:rPr>
        <w:t xml:space="preserve"> </w:t>
      </w:r>
      <w:r w:rsidRPr="00486FEC">
        <w:rPr>
          <w:rFonts w:ascii="Verdana" w:hAnsi="Verdana"/>
          <w:sz w:val="20"/>
          <w:szCs w:val="20"/>
        </w:rPr>
        <w:t>opinión de la mayoría de la Corte, me aparto de su criterio de excluir</w:t>
      </w:r>
      <w:r w:rsidR="004F21EC" w:rsidRPr="00486FEC">
        <w:rPr>
          <w:rFonts w:ascii="Verdana" w:hAnsi="Verdana"/>
          <w:sz w:val="20"/>
          <w:szCs w:val="20"/>
        </w:rPr>
        <w:t xml:space="preserve"> de la condición de condenado o, al menos, de directo perjudicado por la sentencia, </w:t>
      </w:r>
      <w:r w:rsidRPr="00486FEC">
        <w:rPr>
          <w:rFonts w:ascii="Verdana" w:hAnsi="Verdana"/>
          <w:sz w:val="20"/>
          <w:szCs w:val="20"/>
        </w:rPr>
        <w:t xml:space="preserve">al </w:t>
      </w:r>
      <w:r w:rsidR="00AA2CED" w:rsidRPr="00486FEC">
        <w:rPr>
          <w:rFonts w:ascii="Verdana" w:hAnsi="Verdana"/>
          <w:sz w:val="20"/>
          <w:szCs w:val="20"/>
        </w:rPr>
        <w:t xml:space="preserve">dirigente </w:t>
      </w:r>
      <w:r w:rsidR="00E456B9" w:rsidRPr="00486FEC">
        <w:rPr>
          <w:rFonts w:ascii="Verdana" w:hAnsi="Verdana"/>
          <w:sz w:val="20"/>
          <w:szCs w:val="20"/>
        </w:rPr>
        <w:t xml:space="preserve">de la más importante fuerza </w:t>
      </w:r>
      <w:r w:rsidR="00E46F55" w:rsidRPr="00486FEC">
        <w:rPr>
          <w:rFonts w:ascii="Verdana" w:hAnsi="Verdana"/>
          <w:sz w:val="20"/>
          <w:szCs w:val="20"/>
        </w:rPr>
        <w:t>política opositora ecuatoriana.</w:t>
      </w:r>
    </w:p>
    <w:p w14:paraId="28260B57" w14:textId="3C92D2A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7D195DEF" w14:textId="77777777" w:rsidR="00E46F55" w:rsidRPr="00486FEC" w:rsidRDefault="00E456B9"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Me reafirma aún más en </w:t>
      </w:r>
      <w:r w:rsidR="0007375A" w:rsidRPr="00486FEC">
        <w:rPr>
          <w:rFonts w:ascii="Verdana" w:hAnsi="Verdana"/>
          <w:sz w:val="20"/>
          <w:szCs w:val="20"/>
        </w:rPr>
        <w:t xml:space="preserve">esta posición la circunstancia de que </w:t>
      </w:r>
      <w:r w:rsidRPr="00486FEC">
        <w:rPr>
          <w:rFonts w:ascii="Verdana" w:hAnsi="Verdana"/>
          <w:sz w:val="20"/>
          <w:szCs w:val="20"/>
        </w:rPr>
        <w:t>el singular reconocimi</w:t>
      </w:r>
      <w:r w:rsidR="00042E83" w:rsidRPr="00486FEC">
        <w:rPr>
          <w:rFonts w:ascii="Verdana" w:hAnsi="Verdana"/>
          <w:sz w:val="20"/>
          <w:szCs w:val="20"/>
        </w:rPr>
        <w:t>ento de la responsabilidad del E</w:t>
      </w:r>
      <w:r w:rsidRPr="00486FEC">
        <w:rPr>
          <w:rFonts w:ascii="Verdana" w:hAnsi="Verdana"/>
          <w:sz w:val="20"/>
          <w:szCs w:val="20"/>
        </w:rPr>
        <w:t xml:space="preserve">stado </w:t>
      </w:r>
      <w:r w:rsidR="0007375A" w:rsidRPr="00486FEC">
        <w:rPr>
          <w:rFonts w:ascii="Verdana" w:hAnsi="Verdana"/>
          <w:sz w:val="20"/>
          <w:szCs w:val="20"/>
        </w:rPr>
        <w:t xml:space="preserve">haya sido </w:t>
      </w:r>
      <w:r w:rsidRPr="00486FEC">
        <w:rPr>
          <w:rFonts w:ascii="Verdana" w:hAnsi="Verdana"/>
          <w:sz w:val="20"/>
          <w:szCs w:val="20"/>
        </w:rPr>
        <w:t xml:space="preserve">formulado ante el Sistema Interamericano </w:t>
      </w:r>
      <w:r w:rsidR="00097A64" w:rsidRPr="00486FEC">
        <w:rPr>
          <w:rFonts w:ascii="Verdana" w:hAnsi="Verdana"/>
          <w:sz w:val="20"/>
          <w:szCs w:val="20"/>
        </w:rPr>
        <w:t xml:space="preserve">precisamente </w:t>
      </w:r>
      <w:r w:rsidR="00334E48" w:rsidRPr="00486FEC">
        <w:rPr>
          <w:rFonts w:ascii="Verdana" w:hAnsi="Verdana"/>
          <w:sz w:val="20"/>
          <w:szCs w:val="20"/>
        </w:rPr>
        <w:t>bajo la administración d</w:t>
      </w:r>
      <w:r w:rsidR="0007375A" w:rsidRPr="00486FEC">
        <w:rPr>
          <w:rFonts w:ascii="Verdana" w:hAnsi="Verdana"/>
          <w:sz w:val="20"/>
          <w:szCs w:val="20"/>
        </w:rPr>
        <w:t xml:space="preserve">el </w:t>
      </w:r>
      <w:r w:rsidR="00AA2CED" w:rsidRPr="00486FEC">
        <w:rPr>
          <w:rFonts w:ascii="Verdana" w:hAnsi="Verdana"/>
          <w:sz w:val="20"/>
          <w:szCs w:val="20"/>
        </w:rPr>
        <w:t xml:space="preserve">ex–presidente que </w:t>
      </w:r>
      <w:r w:rsidR="0007375A" w:rsidRPr="00486FEC">
        <w:rPr>
          <w:rFonts w:ascii="Verdana" w:hAnsi="Verdana"/>
          <w:sz w:val="20"/>
          <w:szCs w:val="20"/>
        </w:rPr>
        <w:t xml:space="preserve">rompió con </w:t>
      </w:r>
      <w:r w:rsidR="004F21EC" w:rsidRPr="00486FEC">
        <w:rPr>
          <w:rFonts w:ascii="Verdana" w:hAnsi="Verdana"/>
          <w:sz w:val="20"/>
          <w:szCs w:val="20"/>
        </w:rPr>
        <w:t xml:space="preserve">el dirigente opositor </w:t>
      </w:r>
      <w:r w:rsidRPr="00486FEC">
        <w:rPr>
          <w:rFonts w:ascii="Verdana" w:hAnsi="Verdana"/>
          <w:sz w:val="20"/>
          <w:szCs w:val="20"/>
        </w:rPr>
        <w:t xml:space="preserve">que resultará </w:t>
      </w:r>
      <w:r w:rsidR="004F21EC" w:rsidRPr="00486FEC">
        <w:rPr>
          <w:rFonts w:ascii="Verdana" w:hAnsi="Verdana"/>
          <w:sz w:val="20"/>
          <w:szCs w:val="20"/>
        </w:rPr>
        <w:t>directamente perjudicado por la sentencia</w:t>
      </w:r>
      <w:r w:rsidR="00334E48" w:rsidRPr="00486FEC">
        <w:rPr>
          <w:rFonts w:ascii="Verdana" w:hAnsi="Verdana"/>
          <w:sz w:val="20"/>
          <w:szCs w:val="20"/>
        </w:rPr>
        <w:t xml:space="preserve">, o sea, por la misma persona física </w:t>
      </w:r>
      <w:r w:rsidRPr="00486FEC">
        <w:rPr>
          <w:rFonts w:ascii="Verdana" w:hAnsi="Verdana"/>
          <w:sz w:val="20"/>
          <w:szCs w:val="20"/>
        </w:rPr>
        <w:t xml:space="preserve">que dio lugar </w:t>
      </w:r>
      <w:r w:rsidR="004F21EC" w:rsidRPr="00486FEC">
        <w:rPr>
          <w:rFonts w:ascii="Verdana" w:hAnsi="Verdana"/>
          <w:sz w:val="20"/>
          <w:szCs w:val="20"/>
        </w:rPr>
        <w:t xml:space="preserve">a </w:t>
      </w:r>
      <w:r w:rsidR="00097A64" w:rsidRPr="00486FEC">
        <w:rPr>
          <w:rFonts w:ascii="Verdana" w:hAnsi="Verdana"/>
          <w:sz w:val="20"/>
          <w:szCs w:val="20"/>
        </w:rPr>
        <w:t>la encarnizada polarización política ecuatoriana</w:t>
      </w:r>
      <w:r w:rsidR="00334E48" w:rsidRPr="00486FEC">
        <w:rPr>
          <w:rFonts w:ascii="Verdana" w:hAnsi="Verdana"/>
          <w:sz w:val="20"/>
          <w:szCs w:val="20"/>
        </w:rPr>
        <w:t>, que</w:t>
      </w:r>
      <w:r w:rsidR="00491144" w:rsidRPr="00486FEC">
        <w:rPr>
          <w:rFonts w:ascii="Verdana" w:hAnsi="Verdana"/>
          <w:sz w:val="20"/>
          <w:szCs w:val="20"/>
        </w:rPr>
        <w:t xml:space="preserve"> convocó irregularmente a una consulta popular, que en función de ella</w:t>
      </w:r>
      <w:r w:rsidR="00334E48" w:rsidRPr="00486FEC">
        <w:rPr>
          <w:rFonts w:ascii="Verdana" w:hAnsi="Verdana"/>
          <w:sz w:val="20"/>
          <w:szCs w:val="20"/>
        </w:rPr>
        <w:t xml:space="preserve"> removió a la Corte Constituciona</w:t>
      </w:r>
      <w:r w:rsidR="00491144" w:rsidRPr="00486FEC">
        <w:rPr>
          <w:rFonts w:ascii="Verdana" w:hAnsi="Verdana"/>
          <w:sz w:val="20"/>
          <w:szCs w:val="20"/>
        </w:rPr>
        <w:t>l, al Consejo de la Judicatura</w:t>
      </w:r>
      <w:r w:rsidR="00334E48" w:rsidRPr="00486FEC">
        <w:rPr>
          <w:rFonts w:ascii="Verdana" w:hAnsi="Verdana"/>
          <w:sz w:val="20"/>
          <w:szCs w:val="20"/>
        </w:rPr>
        <w:t>, al</w:t>
      </w:r>
      <w:r w:rsidR="00E46F55" w:rsidRPr="00486FEC">
        <w:rPr>
          <w:rFonts w:ascii="Verdana" w:hAnsi="Verdana"/>
          <w:sz w:val="20"/>
          <w:szCs w:val="20"/>
        </w:rPr>
        <w:t xml:space="preserve"> Procurador General y a jueces.</w:t>
      </w:r>
    </w:p>
    <w:p w14:paraId="5135A198" w14:textId="77777777" w:rsidR="00E46F55" w:rsidRPr="00486FEC" w:rsidRDefault="00E46F55" w:rsidP="00486FEC">
      <w:pPr>
        <w:pStyle w:val="Prrafodelista"/>
        <w:spacing w:after="0" w:line="240" w:lineRule="auto"/>
        <w:ind w:left="0"/>
        <w:contextualSpacing w:val="0"/>
        <w:jc w:val="both"/>
        <w:rPr>
          <w:rFonts w:ascii="Verdana" w:hAnsi="Verdana"/>
          <w:sz w:val="20"/>
          <w:szCs w:val="20"/>
        </w:rPr>
      </w:pPr>
    </w:p>
    <w:p w14:paraId="11852328" w14:textId="77777777" w:rsidR="00E46F55" w:rsidRPr="00486FEC" w:rsidRDefault="007E39D7" w:rsidP="00486FEC">
      <w:pPr>
        <w:pStyle w:val="Prrafodelista"/>
        <w:spacing w:after="0" w:line="240" w:lineRule="auto"/>
        <w:ind w:left="709"/>
        <w:contextualSpacing w:val="0"/>
        <w:jc w:val="both"/>
        <w:rPr>
          <w:rFonts w:ascii="Verdana" w:hAnsi="Verdana"/>
          <w:b/>
          <w:sz w:val="20"/>
          <w:szCs w:val="20"/>
        </w:rPr>
      </w:pPr>
      <w:r w:rsidRPr="00486FEC">
        <w:rPr>
          <w:rFonts w:ascii="Verdana" w:hAnsi="Verdana"/>
          <w:b/>
          <w:sz w:val="20"/>
          <w:szCs w:val="20"/>
        </w:rPr>
        <w:t xml:space="preserve">III.2. </w:t>
      </w:r>
      <w:r w:rsidR="001F7886" w:rsidRPr="00486FEC">
        <w:rPr>
          <w:rFonts w:ascii="Verdana" w:hAnsi="Verdana"/>
          <w:b/>
          <w:sz w:val="20"/>
          <w:szCs w:val="20"/>
        </w:rPr>
        <w:t xml:space="preserve">Los efectos de </w:t>
      </w:r>
      <w:r w:rsidR="00277598" w:rsidRPr="00486FEC">
        <w:rPr>
          <w:rFonts w:ascii="Verdana" w:hAnsi="Verdana"/>
          <w:b/>
          <w:sz w:val="20"/>
          <w:szCs w:val="20"/>
        </w:rPr>
        <w:t>un</w:t>
      </w:r>
      <w:r w:rsidR="001F7886" w:rsidRPr="00486FEC">
        <w:rPr>
          <w:rFonts w:ascii="Verdana" w:hAnsi="Verdana"/>
          <w:b/>
          <w:sz w:val="20"/>
          <w:szCs w:val="20"/>
        </w:rPr>
        <w:t>a condena</w:t>
      </w:r>
      <w:r w:rsidR="007A390D" w:rsidRPr="00486FEC">
        <w:rPr>
          <w:rFonts w:ascii="Verdana" w:hAnsi="Verdana"/>
          <w:b/>
          <w:sz w:val="20"/>
          <w:szCs w:val="20"/>
        </w:rPr>
        <w:t xml:space="preserve"> formal </w:t>
      </w:r>
      <w:r w:rsidR="00E46F55" w:rsidRPr="00486FEC">
        <w:rPr>
          <w:rFonts w:ascii="Verdana" w:hAnsi="Verdana"/>
          <w:b/>
          <w:sz w:val="20"/>
          <w:szCs w:val="20"/>
        </w:rPr>
        <w:t xml:space="preserve">contra </w:t>
      </w:r>
      <w:r w:rsidR="00277598" w:rsidRPr="00486FEC">
        <w:rPr>
          <w:rFonts w:ascii="Verdana" w:hAnsi="Verdana"/>
          <w:b/>
          <w:sz w:val="20"/>
          <w:szCs w:val="20"/>
        </w:rPr>
        <w:t xml:space="preserve">el </w:t>
      </w:r>
      <w:r w:rsidR="007A390D" w:rsidRPr="00486FEC">
        <w:rPr>
          <w:rFonts w:ascii="Verdana" w:hAnsi="Verdana"/>
          <w:b/>
          <w:sz w:val="20"/>
          <w:szCs w:val="20"/>
        </w:rPr>
        <w:t>Estado</w:t>
      </w:r>
    </w:p>
    <w:p w14:paraId="3BA26E54" w14:textId="77777777" w:rsidR="005541BC" w:rsidRPr="00486FEC" w:rsidRDefault="005541BC" w:rsidP="00486FEC">
      <w:pPr>
        <w:pStyle w:val="Prrafodelista"/>
        <w:spacing w:after="0" w:line="240" w:lineRule="auto"/>
        <w:ind w:left="709"/>
        <w:contextualSpacing w:val="0"/>
        <w:jc w:val="both"/>
        <w:rPr>
          <w:rFonts w:ascii="Verdana" w:hAnsi="Verdana"/>
          <w:sz w:val="20"/>
          <w:szCs w:val="20"/>
          <w:lang w:val="es-CR"/>
        </w:rPr>
      </w:pPr>
    </w:p>
    <w:p w14:paraId="676D47A4" w14:textId="76EE4FDA" w:rsidR="00486FEC" w:rsidRDefault="001F7886"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Es obvio que la formal condena al Estado en </w:t>
      </w:r>
      <w:r w:rsidR="0007375A" w:rsidRPr="00486FEC">
        <w:rPr>
          <w:rFonts w:ascii="Verdana" w:hAnsi="Verdana"/>
          <w:sz w:val="20"/>
          <w:szCs w:val="20"/>
        </w:rPr>
        <w:t xml:space="preserve">el presente </w:t>
      </w:r>
      <w:r w:rsidRPr="00486FEC">
        <w:rPr>
          <w:rFonts w:ascii="Verdana" w:hAnsi="Verdana"/>
          <w:sz w:val="20"/>
          <w:szCs w:val="20"/>
        </w:rPr>
        <w:t>caso</w:t>
      </w:r>
      <w:r w:rsidR="004F21EC" w:rsidRPr="00486FEC">
        <w:rPr>
          <w:rFonts w:ascii="Verdana" w:hAnsi="Verdana"/>
          <w:sz w:val="20"/>
          <w:szCs w:val="20"/>
        </w:rPr>
        <w:t xml:space="preserve"> </w:t>
      </w:r>
      <w:r w:rsidRPr="00486FEC">
        <w:rPr>
          <w:rFonts w:ascii="Verdana" w:hAnsi="Verdana"/>
          <w:sz w:val="20"/>
          <w:szCs w:val="20"/>
        </w:rPr>
        <w:t xml:space="preserve">resulta </w:t>
      </w:r>
      <w:r w:rsidR="004F21EC" w:rsidRPr="00486FEC">
        <w:rPr>
          <w:rFonts w:ascii="Verdana" w:hAnsi="Verdana"/>
          <w:sz w:val="20"/>
          <w:szCs w:val="20"/>
        </w:rPr>
        <w:t xml:space="preserve">por completo </w:t>
      </w:r>
      <w:r w:rsidRPr="00486FEC">
        <w:rPr>
          <w:rFonts w:ascii="Verdana" w:hAnsi="Verdana"/>
          <w:sz w:val="20"/>
          <w:szCs w:val="20"/>
        </w:rPr>
        <w:t xml:space="preserve">funcional para desacreditar </w:t>
      </w:r>
      <w:r w:rsidR="00BA16D8" w:rsidRPr="00486FEC">
        <w:rPr>
          <w:rFonts w:ascii="Verdana" w:hAnsi="Verdana"/>
          <w:sz w:val="20"/>
          <w:szCs w:val="20"/>
        </w:rPr>
        <w:t>a quien</w:t>
      </w:r>
      <w:r w:rsidR="004F21EC" w:rsidRPr="00486FEC">
        <w:rPr>
          <w:rFonts w:ascii="Verdana" w:hAnsi="Verdana"/>
          <w:sz w:val="20"/>
          <w:szCs w:val="20"/>
        </w:rPr>
        <w:t xml:space="preserve"> ahora </w:t>
      </w:r>
      <w:r w:rsidR="00BA16D8" w:rsidRPr="00486FEC">
        <w:rPr>
          <w:rFonts w:ascii="Verdana" w:hAnsi="Verdana"/>
          <w:sz w:val="20"/>
          <w:szCs w:val="20"/>
        </w:rPr>
        <w:t xml:space="preserve">es el </w:t>
      </w:r>
      <w:r w:rsidRPr="00486FEC">
        <w:rPr>
          <w:rFonts w:ascii="Verdana" w:hAnsi="Verdana"/>
          <w:sz w:val="20"/>
          <w:szCs w:val="20"/>
        </w:rPr>
        <w:t>máximo dirigen</w:t>
      </w:r>
      <w:r w:rsidR="00BA16D8" w:rsidRPr="00486FEC">
        <w:rPr>
          <w:rFonts w:ascii="Verdana" w:hAnsi="Verdana"/>
          <w:sz w:val="20"/>
          <w:szCs w:val="20"/>
        </w:rPr>
        <w:t>te del partido</w:t>
      </w:r>
      <w:r w:rsidRPr="00486FEC">
        <w:rPr>
          <w:rFonts w:ascii="Verdana" w:hAnsi="Verdana"/>
          <w:sz w:val="20"/>
          <w:szCs w:val="20"/>
        </w:rPr>
        <w:t xml:space="preserve"> opositor al actual </w:t>
      </w:r>
      <w:r w:rsidR="00455048" w:rsidRPr="00486FEC">
        <w:rPr>
          <w:rFonts w:ascii="Verdana" w:hAnsi="Verdana"/>
          <w:sz w:val="20"/>
          <w:szCs w:val="20"/>
        </w:rPr>
        <w:t xml:space="preserve">oficialismo y </w:t>
      </w:r>
      <w:r w:rsidR="00AA2CED" w:rsidRPr="00486FEC">
        <w:rPr>
          <w:rFonts w:ascii="Verdana" w:hAnsi="Verdana"/>
          <w:sz w:val="20"/>
          <w:szCs w:val="20"/>
        </w:rPr>
        <w:t>qu</w:t>
      </w:r>
      <w:r w:rsidR="00097A64" w:rsidRPr="00486FEC">
        <w:rPr>
          <w:rFonts w:ascii="Verdana" w:hAnsi="Verdana"/>
          <w:sz w:val="20"/>
          <w:szCs w:val="20"/>
        </w:rPr>
        <w:t>e</w:t>
      </w:r>
      <w:r w:rsidR="00E45D53" w:rsidRPr="00486FEC">
        <w:rPr>
          <w:rFonts w:ascii="Verdana" w:hAnsi="Verdana"/>
          <w:sz w:val="20"/>
          <w:szCs w:val="20"/>
        </w:rPr>
        <w:t xml:space="preserve">, además de verse obligado al exilio en razón de un proceso de </w:t>
      </w:r>
      <w:r w:rsidR="00455048" w:rsidRPr="00486FEC">
        <w:rPr>
          <w:rFonts w:ascii="Verdana" w:hAnsi="Verdana"/>
          <w:sz w:val="20"/>
          <w:szCs w:val="20"/>
        </w:rPr>
        <w:t xml:space="preserve">cuestionada </w:t>
      </w:r>
      <w:r w:rsidR="00E45D53" w:rsidRPr="00486FEC">
        <w:rPr>
          <w:rFonts w:ascii="Verdana" w:hAnsi="Verdana"/>
          <w:sz w:val="20"/>
          <w:szCs w:val="20"/>
        </w:rPr>
        <w:t>legalidad,</w:t>
      </w:r>
      <w:r w:rsidR="00AA2CED" w:rsidRPr="00486FEC">
        <w:rPr>
          <w:rFonts w:ascii="Verdana" w:hAnsi="Verdana"/>
          <w:sz w:val="20"/>
          <w:szCs w:val="20"/>
        </w:rPr>
        <w:t xml:space="preserve"> queda</w:t>
      </w:r>
      <w:r w:rsidR="0007375A" w:rsidRPr="00486FEC">
        <w:rPr>
          <w:rFonts w:ascii="Verdana" w:hAnsi="Verdana"/>
          <w:sz w:val="20"/>
          <w:szCs w:val="20"/>
        </w:rPr>
        <w:t>ría</w:t>
      </w:r>
      <w:r w:rsidR="00AA2CED" w:rsidRPr="00486FEC">
        <w:rPr>
          <w:rFonts w:ascii="Verdana" w:hAnsi="Verdana"/>
          <w:sz w:val="20"/>
          <w:szCs w:val="20"/>
        </w:rPr>
        <w:t xml:space="preserve"> estigmatizado </w:t>
      </w:r>
      <w:r w:rsidR="00BA16D8" w:rsidRPr="00486FEC">
        <w:rPr>
          <w:rFonts w:ascii="Verdana" w:hAnsi="Verdana"/>
          <w:sz w:val="20"/>
          <w:szCs w:val="20"/>
        </w:rPr>
        <w:t xml:space="preserve">como perseguidor de periodistas y agresor contra la libertad de opinión, confirmando la calificación de </w:t>
      </w:r>
      <w:r w:rsidR="00BA16D8" w:rsidRPr="00486FEC">
        <w:rPr>
          <w:rFonts w:ascii="Verdana" w:hAnsi="Verdana"/>
          <w:i/>
          <w:sz w:val="20"/>
          <w:szCs w:val="20"/>
        </w:rPr>
        <w:t>dictador</w:t>
      </w:r>
      <w:r w:rsidR="00BA16D8" w:rsidRPr="00486FEC">
        <w:rPr>
          <w:rFonts w:ascii="Verdana" w:hAnsi="Verdana"/>
          <w:sz w:val="20"/>
          <w:szCs w:val="20"/>
        </w:rPr>
        <w:t xml:space="preserve"> </w:t>
      </w:r>
      <w:r w:rsidR="004F21EC" w:rsidRPr="00486FEC">
        <w:rPr>
          <w:rFonts w:ascii="Verdana" w:hAnsi="Verdana"/>
          <w:sz w:val="20"/>
          <w:szCs w:val="20"/>
        </w:rPr>
        <w:t xml:space="preserve">que le asigna </w:t>
      </w:r>
      <w:r w:rsidR="00BA16D8" w:rsidRPr="00486FEC">
        <w:rPr>
          <w:rFonts w:ascii="Verdana" w:hAnsi="Verdana"/>
          <w:sz w:val="20"/>
          <w:szCs w:val="20"/>
        </w:rPr>
        <w:t>un</w:t>
      </w:r>
      <w:r w:rsidR="004F21EC" w:rsidRPr="00486FEC">
        <w:rPr>
          <w:rFonts w:ascii="Verdana" w:hAnsi="Verdana"/>
          <w:sz w:val="20"/>
          <w:szCs w:val="20"/>
        </w:rPr>
        <w:t xml:space="preserve">a de las supuestas víctimas </w:t>
      </w:r>
      <w:r w:rsidR="00BA16D8" w:rsidRPr="00486FEC">
        <w:rPr>
          <w:rFonts w:ascii="Verdana" w:hAnsi="Verdana"/>
          <w:sz w:val="20"/>
          <w:szCs w:val="20"/>
        </w:rPr>
        <w:t xml:space="preserve">en </w:t>
      </w:r>
      <w:r w:rsidR="00334E48" w:rsidRPr="00486FEC">
        <w:rPr>
          <w:rFonts w:ascii="Verdana" w:hAnsi="Verdana"/>
          <w:sz w:val="20"/>
          <w:szCs w:val="20"/>
        </w:rPr>
        <w:t xml:space="preserve">la publicación </w:t>
      </w:r>
      <w:r w:rsidR="00BA16D8" w:rsidRPr="00486FEC">
        <w:rPr>
          <w:rFonts w:ascii="Verdana" w:hAnsi="Verdana"/>
          <w:sz w:val="20"/>
          <w:szCs w:val="20"/>
        </w:rPr>
        <w:t xml:space="preserve">que se discute </w:t>
      </w:r>
      <w:r w:rsidR="0007375A" w:rsidRPr="00486FEC">
        <w:rPr>
          <w:rFonts w:ascii="Verdana" w:hAnsi="Verdana"/>
          <w:sz w:val="20"/>
          <w:szCs w:val="20"/>
        </w:rPr>
        <w:t xml:space="preserve">como cuestión central </w:t>
      </w:r>
      <w:r w:rsidR="00BA16D8" w:rsidRPr="00486FEC">
        <w:rPr>
          <w:rFonts w:ascii="Verdana" w:hAnsi="Verdana"/>
          <w:sz w:val="20"/>
          <w:szCs w:val="20"/>
        </w:rPr>
        <w:t>en el caso</w:t>
      </w:r>
      <w:r w:rsidR="00097A64" w:rsidRPr="00486FEC">
        <w:rPr>
          <w:rFonts w:ascii="Verdana" w:hAnsi="Verdana"/>
          <w:sz w:val="20"/>
          <w:szCs w:val="20"/>
        </w:rPr>
        <w:t xml:space="preserve"> y que se reproduce </w:t>
      </w:r>
      <w:r w:rsidR="00097A64" w:rsidRPr="00486FEC">
        <w:rPr>
          <w:rFonts w:ascii="Verdana" w:hAnsi="Verdana"/>
          <w:i/>
          <w:sz w:val="20"/>
          <w:szCs w:val="20"/>
        </w:rPr>
        <w:t>in extenso</w:t>
      </w:r>
      <w:r w:rsidR="00097A64" w:rsidRPr="00486FEC">
        <w:rPr>
          <w:rFonts w:ascii="Verdana" w:hAnsi="Verdana"/>
          <w:sz w:val="20"/>
          <w:szCs w:val="20"/>
        </w:rPr>
        <w:t xml:space="preserve"> en la opinión mayoritaria de esta Corte</w:t>
      </w:r>
      <w:r w:rsidR="004F21EC" w:rsidRPr="00486FEC">
        <w:rPr>
          <w:rFonts w:ascii="Verdana" w:hAnsi="Verdana"/>
          <w:sz w:val="20"/>
          <w:szCs w:val="20"/>
        </w:rPr>
        <w:t>, a la que</w:t>
      </w:r>
      <w:r w:rsidR="00D6123C" w:rsidRPr="00486FEC">
        <w:rPr>
          <w:rFonts w:ascii="Verdana" w:hAnsi="Verdana"/>
          <w:sz w:val="20"/>
          <w:szCs w:val="20"/>
        </w:rPr>
        <w:t xml:space="preserve"> remito</w:t>
      </w:r>
      <w:r w:rsidR="004F21EC" w:rsidRPr="00486FEC">
        <w:rPr>
          <w:rFonts w:ascii="Verdana" w:hAnsi="Verdana"/>
          <w:sz w:val="20"/>
          <w:szCs w:val="20"/>
        </w:rPr>
        <w:t xml:space="preserve"> </w:t>
      </w:r>
      <w:r w:rsidR="004F21EC" w:rsidRPr="00486FEC">
        <w:rPr>
          <w:rFonts w:ascii="Verdana" w:hAnsi="Verdana"/>
          <w:i/>
          <w:sz w:val="20"/>
          <w:szCs w:val="20"/>
        </w:rPr>
        <w:t>brevitatis causa</w:t>
      </w:r>
      <w:r w:rsidR="00E46F55" w:rsidRPr="00486FEC">
        <w:rPr>
          <w:rFonts w:ascii="Verdana" w:hAnsi="Verdana"/>
          <w:sz w:val="20"/>
          <w:szCs w:val="20"/>
        </w:rPr>
        <w:t>.</w:t>
      </w:r>
    </w:p>
    <w:p w14:paraId="2F7A4A18"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07E4D7AF" w14:textId="3298C96E" w:rsidR="00E46F55" w:rsidRDefault="00BA16D8"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Est</w:t>
      </w:r>
      <w:r w:rsidR="00AA2CED" w:rsidRPr="00486FEC">
        <w:rPr>
          <w:rFonts w:ascii="Verdana" w:hAnsi="Verdana"/>
          <w:sz w:val="20"/>
          <w:szCs w:val="20"/>
        </w:rPr>
        <w:t>e</w:t>
      </w:r>
      <w:r w:rsidRPr="00486FEC">
        <w:rPr>
          <w:rFonts w:ascii="Verdana" w:hAnsi="Verdana"/>
          <w:sz w:val="20"/>
          <w:szCs w:val="20"/>
        </w:rPr>
        <w:t xml:space="preserve"> ser</w:t>
      </w:r>
      <w:r w:rsidR="00AA2CED" w:rsidRPr="00486FEC">
        <w:rPr>
          <w:rFonts w:ascii="Verdana" w:hAnsi="Verdana"/>
          <w:sz w:val="20"/>
          <w:szCs w:val="20"/>
        </w:rPr>
        <w:t xml:space="preserve">á </w:t>
      </w:r>
      <w:r w:rsidRPr="00486FEC">
        <w:rPr>
          <w:rFonts w:ascii="Verdana" w:hAnsi="Verdana"/>
          <w:sz w:val="20"/>
          <w:szCs w:val="20"/>
        </w:rPr>
        <w:t>el principal efecto político</w:t>
      </w:r>
      <w:r w:rsidR="0007375A" w:rsidRPr="00486FEC">
        <w:rPr>
          <w:rFonts w:ascii="Verdana" w:hAnsi="Verdana"/>
          <w:sz w:val="20"/>
          <w:szCs w:val="20"/>
        </w:rPr>
        <w:t xml:space="preserve"> perjudicial para el dirigente y </w:t>
      </w:r>
      <w:r w:rsidR="009302BF" w:rsidRPr="00486FEC">
        <w:rPr>
          <w:rFonts w:ascii="Verdana" w:hAnsi="Verdana"/>
          <w:sz w:val="20"/>
          <w:szCs w:val="20"/>
        </w:rPr>
        <w:t>para la pri</w:t>
      </w:r>
      <w:r w:rsidR="00334E48" w:rsidRPr="00486FEC">
        <w:rPr>
          <w:rFonts w:ascii="Verdana" w:hAnsi="Verdana"/>
          <w:sz w:val="20"/>
          <w:szCs w:val="20"/>
        </w:rPr>
        <w:t xml:space="preserve">mera </w:t>
      </w:r>
      <w:r w:rsidR="009302BF" w:rsidRPr="00486FEC">
        <w:rPr>
          <w:rFonts w:ascii="Verdana" w:hAnsi="Verdana"/>
          <w:sz w:val="20"/>
          <w:szCs w:val="20"/>
        </w:rPr>
        <w:t>fuerza opositora</w:t>
      </w:r>
      <w:r w:rsidR="000F3C31" w:rsidRPr="00486FEC">
        <w:rPr>
          <w:rFonts w:ascii="Verdana" w:hAnsi="Verdana"/>
          <w:sz w:val="20"/>
          <w:szCs w:val="20"/>
        </w:rPr>
        <w:t xml:space="preserve"> al gobierno del Estado</w:t>
      </w:r>
      <w:r w:rsidR="009302BF" w:rsidRPr="00486FEC">
        <w:rPr>
          <w:rFonts w:ascii="Verdana" w:hAnsi="Verdana"/>
          <w:sz w:val="20"/>
          <w:szCs w:val="20"/>
        </w:rPr>
        <w:t>, q</w:t>
      </w:r>
      <w:r w:rsidR="004F21EC" w:rsidRPr="00486FEC">
        <w:rPr>
          <w:rFonts w:ascii="Verdana" w:hAnsi="Verdana"/>
          <w:sz w:val="20"/>
          <w:szCs w:val="20"/>
        </w:rPr>
        <w:t>ue</w:t>
      </w:r>
      <w:r w:rsidR="009302BF" w:rsidRPr="00486FEC">
        <w:rPr>
          <w:rFonts w:ascii="Verdana" w:hAnsi="Verdana"/>
          <w:sz w:val="20"/>
          <w:szCs w:val="20"/>
        </w:rPr>
        <w:t xml:space="preserve"> habrá de tener la se</w:t>
      </w:r>
      <w:r w:rsidRPr="00486FEC">
        <w:rPr>
          <w:rFonts w:ascii="Verdana" w:hAnsi="Verdana"/>
          <w:sz w:val="20"/>
          <w:szCs w:val="20"/>
        </w:rPr>
        <w:t xml:space="preserve">ntencia </w:t>
      </w:r>
      <w:r w:rsidR="00F53104" w:rsidRPr="00486FEC">
        <w:rPr>
          <w:rFonts w:ascii="Verdana" w:hAnsi="Verdana"/>
          <w:sz w:val="20"/>
          <w:szCs w:val="20"/>
        </w:rPr>
        <w:t xml:space="preserve">de esta Corte </w:t>
      </w:r>
      <w:r w:rsidR="000F3C31" w:rsidRPr="00486FEC">
        <w:rPr>
          <w:rFonts w:ascii="Verdana" w:hAnsi="Verdana"/>
          <w:sz w:val="20"/>
          <w:szCs w:val="20"/>
        </w:rPr>
        <w:t>al limitarse f</w:t>
      </w:r>
      <w:r w:rsidRPr="00486FEC">
        <w:rPr>
          <w:rFonts w:ascii="Verdana" w:hAnsi="Verdana"/>
          <w:sz w:val="20"/>
          <w:szCs w:val="20"/>
        </w:rPr>
        <w:t>o</w:t>
      </w:r>
      <w:r w:rsidR="00E46F55" w:rsidRPr="00486FEC">
        <w:rPr>
          <w:rFonts w:ascii="Verdana" w:hAnsi="Verdana"/>
          <w:sz w:val="20"/>
          <w:szCs w:val="20"/>
        </w:rPr>
        <w:t>rmalmente a condenar al Estado.</w:t>
      </w:r>
    </w:p>
    <w:p w14:paraId="2A743D0E" w14:textId="663AD592"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71331708" w14:textId="1871A54F" w:rsidR="00E46F55" w:rsidRDefault="00BA16D8"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No obstante</w:t>
      </w:r>
      <w:r w:rsidR="0007375A" w:rsidRPr="00486FEC">
        <w:rPr>
          <w:rFonts w:ascii="Verdana" w:hAnsi="Verdana"/>
          <w:sz w:val="20"/>
          <w:szCs w:val="20"/>
        </w:rPr>
        <w:t xml:space="preserve"> -y</w:t>
      </w:r>
      <w:r w:rsidRPr="00486FEC">
        <w:rPr>
          <w:rFonts w:ascii="Verdana" w:hAnsi="Verdana"/>
          <w:sz w:val="20"/>
          <w:szCs w:val="20"/>
        </w:rPr>
        <w:t xml:space="preserve"> con independencia de lo que acabo de exponer</w:t>
      </w:r>
      <w:r w:rsidR="0007375A" w:rsidRPr="00486FEC">
        <w:rPr>
          <w:rFonts w:ascii="Verdana" w:hAnsi="Verdana"/>
          <w:sz w:val="20"/>
          <w:szCs w:val="20"/>
        </w:rPr>
        <w:t>-</w:t>
      </w:r>
      <w:r w:rsidRPr="00486FEC">
        <w:rPr>
          <w:rFonts w:ascii="Verdana" w:hAnsi="Verdana"/>
          <w:sz w:val="20"/>
          <w:szCs w:val="20"/>
        </w:rPr>
        <w:t xml:space="preserve">, conforme al </w:t>
      </w:r>
      <w:r w:rsidR="000F3C31" w:rsidRPr="00486FEC">
        <w:rPr>
          <w:rFonts w:ascii="Verdana" w:hAnsi="Verdana"/>
          <w:sz w:val="20"/>
          <w:szCs w:val="20"/>
        </w:rPr>
        <w:t xml:space="preserve">altamente </w:t>
      </w:r>
      <w:r w:rsidRPr="00486FEC">
        <w:rPr>
          <w:rFonts w:ascii="Verdana" w:hAnsi="Verdana"/>
          <w:sz w:val="20"/>
          <w:szCs w:val="20"/>
        </w:rPr>
        <w:t>respetable criterio mayoritario de esta Corte</w:t>
      </w:r>
      <w:r w:rsidR="00452F8F" w:rsidRPr="00486FEC">
        <w:rPr>
          <w:rFonts w:ascii="Verdana" w:hAnsi="Verdana"/>
          <w:sz w:val="20"/>
          <w:szCs w:val="20"/>
        </w:rPr>
        <w:t>,</w:t>
      </w:r>
      <w:r w:rsidRPr="00486FEC">
        <w:rPr>
          <w:rFonts w:ascii="Verdana" w:hAnsi="Verdana"/>
          <w:sz w:val="20"/>
          <w:szCs w:val="20"/>
        </w:rPr>
        <w:t xml:space="preserve"> también se imponen al Estado sanciones pecuniarias en favor de l</w:t>
      </w:r>
      <w:r w:rsidR="004F21EC" w:rsidRPr="00486FEC">
        <w:rPr>
          <w:rFonts w:ascii="Verdana" w:hAnsi="Verdana"/>
          <w:sz w:val="20"/>
          <w:szCs w:val="20"/>
        </w:rPr>
        <w:t>as supuestas víctimas y q</w:t>
      </w:r>
      <w:r w:rsidRPr="00486FEC">
        <w:rPr>
          <w:rFonts w:ascii="Verdana" w:hAnsi="Verdana"/>
          <w:sz w:val="20"/>
          <w:szCs w:val="20"/>
        </w:rPr>
        <w:t>ue</w:t>
      </w:r>
      <w:r w:rsidR="004F21EC" w:rsidRPr="00486FEC">
        <w:rPr>
          <w:rFonts w:ascii="Verdana" w:hAnsi="Verdana"/>
          <w:sz w:val="20"/>
          <w:szCs w:val="20"/>
        </w:rPr>
        <w:t xml:space="preserve"> –con toda </w:t>
      </w:r>
      <w:r w:rsidRPr="00486FEC">
        <w:rPr>
          <w:rFonts w:ascii="Verdana" w:hAnsi="Verdana"/>
          <w:sz w:val="20"/>
          <w:szCs w:val="20"/>
        </w:rPr>
        <w:t>seguridad</w:t>
      </w:r>
      <w:r w:rsidR="004F21EC" w:rsidRPr="00486FEC">
        <w:rPr>
          <w:rFonts w:ascii="Verdana" w:hAnsi="Verdana"/>
          <w:sz w:val="20"/>
          <w:szCs w:val="20"/>
        </w:rPr>
        <w:t>-</w:t>
      </w:r>
      <w:r w:rsidRPr="00486FEC">
        <w:rPr>
          <w:rFonts w:ascii="Verdana" w:hAnsi="Verdana"/>
          <w:sz w:val="20"/>
          <w:szCs w:val="20"/>
        </w:rPr>
        <w:t xml:space="preserve"> </w:t>
      </w:r>
      <w:r w:rsidR="00AA2CED" w:rsidRPr="00486FEC">
        <w:rPr>
          <w:rFonts w:ascii="Verdana" w:hAnsi="Verdana"/>
          <w:sz w:val="20"/>
          <w:szCs w:val="20"/>
        </w:rPr>
        <w:t xml:space="preserve">habrán de recaer </w:t>
      </w:r>
      <w:r w:rsidRPr="00486FEC">
        <w:rPr>
          <w:rFonts w:ascii="Verdana" w:hAnsi="Verdana"/>
          <w:sz w:val="20"/>
          <w:szCs w:val="20"/>
        </w:rPr>
        <w:t>por vía de repetición contra el citado dirigente político</w:t>
      </w:r>
      <w:r w:rsidR="00690CE4" w:rsidRPr="00486FEC">
        <w:rPr>
          <w:rFonts w:ascii="Verdana" w:hAnsi="Verdana"/>
          <w:sz w:val="20"/>
          <w:szCs w:val="20"/>
        </w:rPr>
        <w:t xml:space="preserve"> opositor</w:t>
      </w:r>
      <w:r w:rsidRPr="00486FEC">
        <w:rPr>
          <w:rFonts w:ascii="Verdana" w:hAnsi="Verdana"/>
          <w:sz w:val="20"/>
          <w:szCs w:val="20"/>
        </w:rPr>
        <w:t xml:space="preserve">, con clara </w:t>
      </w:r>
      <w:r w:rsidR="004F21EC" w:rsidRPr="00486FEC">
        <w:rPr>
          <w:rFonts w:ascii="Verdana" w:hAnsi="Verdana"/>
          <w:sz w:val="20"/>
          <w:szCs w:val="20"/>
        </w:rPr>
        <w:t xml:space="preserve">y grave </w:t>
      </w:r>
      <w:r w:rsidRPr="00486FEC">
        <w:rPr>
          <w:rFonts w:ascii="Verdana" w:hAnsi="Verdana"/>
          <w:sz w:val="20"/>
          <w:szCs w:val="20"/>
        </w:rPr>
        <w:t>lesión</w:t>
      </w:r>
      <w:r w:rsidR="00E46F55" w:rsidRPr="00486FEC">
        <w:rPr>
          <w:rFonts w:ascii="Verdana" w:hAnsi="Verdana"/>
          <w:sz w:val="20"/>
          <w:szCs w:val="20"/>
        </w:rPr>
        <w:t xml:space="preserve"> de sus derechos patrimoniales.</w:t>
      </w:r>
    </w:p>
    <w:p w14:paraId="5ADF8643" w14:textId="17DEDD54"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50079287" w14:textId="67DDCB25" w:rsidR="00E46F55" w:rsidRDefault="00666D17"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Esta certeza se deriva de las manifestaciones de numerosos ex–funcionarios ecuatorianos identificados con el principal partido opositor, acerca de las decisiones de un órgano estatal llamado </w:t>
      </w:r>
      <w:r w:rsidRPr="00486FEC">
        <w:rPr>
          <w:rFonts w:ascii="Verdana" w:hAnsi="Verdana"/>
          <w:i/>
          <w:sz w:val="20"/>
          <w:szCs w:val="20"/>
        </w:rPr>
        <w:t>Contraloría General del Estado</w:t>
      </w:r>
      <w:r w:rsidRPr="00486FEC">
        <w:rPr>
          <w:rFonts w:ascii="Verdana" w:hAnsi="Verdana"/>
          <w:sz w:val="20"/>
          <w:szCs w:val="20"/>
        </w:rPr>
        <w:t xml:space="preserve">. Según las reiteradas </w:t>
      </w:r>
      <w:r w:rsidR="000F3C31" w:rsidRPr="00486FEC">
        <w:rPr>
          <w:rFonts w:ascii="Verdana" w:hAnsi="Verdana"/>
          <w:sz w:val="20"/>
          <w:szCs w:val="20"/>
        </w:rPr>
        <w:t xml:space="preserve">y ampliamente difundidas </w:t>
      </w:r>
      <w:r w:rsidRPr="00486FEC">
        <w:rPr>
          <w:rFonts w:ascii="Verdana" w:hAnsi="Verdana"/>
          <w:sz w:val="20"/>
          <w:szCs w:val="20"/>
        </w:rPr>
        <w:t xml:space="preserve">denuncias públicas de </w:t>
      </w:r>
      <w:r w:rsidR="00AA2CED" w:rsidRPr="00486FEC">
        <w:rPr>
          <w:rFonts w:ascii="Verdana" w:hAnsi="Verdana"/>
          <w:sz w:val="20"/>
          <w:szCs w:val="20"/>
        </w:rPr>
        <w:t xml:space="preserve">estos </w:t>
      </w:r>
      <w:r w:rsidRPr="00486FEC">
        <w:rPr>
          <w:rFonts w:ascii="Verdana" w:hAnsi="Verdana"/>
          <w:sz w:val="20"/>
          <w:szCs w:val="20"/>
        </w:rPr>
        <w:t xml:space="preserve">ex–funcionarios </w:t>
      </w:r>
      <w:r w:rsidR="004F21EC" w:rsidRPr="00486FEC">
        <w:rPr>
          <w:rFonts w:ascii="Verdana" w:hAnsi="Verdana"/>
          <w:sz w:val="20"/>
          <w:szCs w:val="20"/>
        </w:rPr>
        <w:t xml:space="preserve">ahora </w:t>
      </w:r>
      <w:r w:rsidRPr="00486FEC">
        <w:rPr>
          <w:rFonts w:ascii="Verdana" w:hAnsi="Verdana"/>
          <w:sz w:val="20"/>
          <w:szCs w:val="20"/>
        </w:rPr>
        <w:t>opositores, el</w:t>
      </w:r>
      <w:r w:rsidR="00AA2CED" w:rsidRPr="00486FEC">
        <w:rPr>
          <w:rFonts w:ascii="Verdana" w:hAnsi="Verdana"/>
          <w:sz w:val="20"/>
          <w:szCs w:val="20"/>
        </w:rPr>
        <w:t xml:space="preserve"> Contralor o titular del antes mencionado organismo, </w:t>
      </w:r>
      <w:r w:rsidR="00AE6388" w:rsidRPr="00486FEC">
        <w:rPr>
          <w:rFonts w:ascii="Verdana" w:hAnsi="Verdana"/>
          <w:sz w:val="20"/>
          <w:szCs w:val="20"/>
        </w:rPr>
        <w:t xml:space="preserve">emite </w:t>
      </w:r>
      <w:r w:rsidRPr="00486FEC">
        <w:rPr>
          <w:rFonts w:ascii="Verdana" w:hAnsi="Verdana"/>
          <w:sz w:val="20"/>
          <w:szCs w:val="20"/>
        </w:rPr>
        <w:t xml:space="preserve">lo que curiosamente se denominan </w:t>
      </w:r>
      <w:r w:rsidRPr="00486FEC">
        <w:rPr>
          <w:rFonts w:ascii="Verdana" w:hAnsi="Verdana"/>
          <w:i/>
          <w:sz w:val="20"/>
          <w:szCs w:val="20"/>
        </w:rPr>
        <w:t xml:space="preserve">glosas, </w:t>
      </w:r>
      <w:r w:rsidRPr="00486FEC">
        <w:rPr>
          <w:rFonts w:ascii="Verdana" w:hAnsi="Verdana"/>
          <w:sz w:val="20"/>
          <w:szCs w:val="20"/>
        </w:rPr>
        <w:t>que en reali</w:t>
      </w:r>
      <w:r w:rsidR="00E46F55" w:rsidRPr="00486FEC">
        <w:rPr>
          <w:rFonts w:ascii="Verdana" w:hAnsi="Verdana"/>
          <w:sz w:val="20"/>
          <w:szCs w:val="20"/>
        </w:rPr>
        <w:t>dad son</w:t>
      </w:r>
      <w:r w:rsidR="00F35039" w:rsidRPr="00486FEC">
        <w:rPr>
          <w:rFonts w:ascii="Verdana" w:hAnsi="Verdana"/>
          <w:sz w:val="20"/>
          <w:szCs w:val="20"/>
        </w:rPr>
        <w:t xml:space="preserve"> ordenes de</w:t>
      </w:r>
      <w:r w:rsidR="00E46F55" w:rsidRPr="00486FEC">
        <w:rPr>
          <w:rFonts w:ascii="Verdana" w:hAnsi="Verdana"/>
          <w:sz w:val="20"/>
          <w:szCs w:val="20"/>
        </w:rPr>
        <w:t xml:space="preserve"> embargos no judiciales.</w:t>
      </w:r>
    </w:p>
    <w:p w14:paraId="42C73CB5" w14:textId="52AA7C4B"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4D8D325D" w14:textId="55C4BA8B" w:rsidR="00E46F55" w:rsidRDefault="00666D17"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Cuando este funcionario considera que en el ejercicio de funciones públicas una persona ha </w:t>
      </w:r>
      <w:r w:rsidR="00AE6388" w:rsidRPr="00486FEC">
        <w:rPr>
          <w:rFonts w:ascii="Verdana" w:hAnsi="Verdana"/>
          <w:sz w:val="20"/>
          <w:szCs w:val="20"/>
        </w:rPr>
        <w:t xml:space="preserve">causado </w:t>
      </w:r>
      <w:r w:rsidRPr="00486FEC">
        <w:rPr>
          <w:rFonts w:ascii="Verdana" w:hAnsi="Verdana"/>
          <w:sz w:val="20"/>
          <w:szCs w:val="20"/>
        </w:rPr>
        <w:t xml:space="preserve">un </w:t>
      </w:r>
      <w:r w:rsidR="007959CD" w:rsidRPr="00486FEC">
        <w:rPr>
          <w:rFonts w:ascii="Verdana" w:hAnsi="Verdana"/>
          <w:sz w:val="20"/>
          <w:szCs w:val="20"/>
        </w:rPr>
        <w:t xml:space="preserve">perjuicio </w:t>
      </w:r>
      <w:r w:rsidRPr="00486FEC">
        <w:rPr>
          <w:rFonts w:ascii="Verdana" w:hAnsi="Verdana"/>
          <w:sz w:val="20"/>
          <w:szCs w:val="20"/>
        </w:rPr>
        <w:t xml:space="preserve">a la administración, dispone </w:t>
      </w:r>
      <w:r w:rsidR="004F21EC" w:rsidRPr="00486FEC">
        <w:rPr>
          <w:rFonts w:ascii="Verdana" w:hAnsi="Verdana"/>
          <w:sz w:val="20"/>
          <w:szCs w:val="20"/>
        </w:rPr>
        <w:t xml:space="preserve">por sí, es decir, </w:t>
      </w:r>
      <w:r w:rsidR="00AE6388" w:rsidRPr="00486FEC">
        <w:rPr>
          <w:rFonts w:ascii="Verdana" w:hAnsi="Verdana"/>
          <w:sz w:val="20"/>
          <w:szCs w:val="20"/>
        </w:rPr>
        <w:t>sin intervención judicial</w:t>
      </w:r>
      <w:r w:rsidR="004F21EC" w:rsidRPr="00486FEC">
        <w:rPr>
          <w:rFonts w:ascii="Verdana" w:hAnsi="Verdana"/>
          <w:sz w:val="20"/>
          <w:szCs w:val="20"/>
        </w:rPr>
        <w:t>,</w:t>
      </w:r>
      <w:r w:rsidR="00AE6388" w:rsidRPr="00486FEC">
        <w:rPr>
          <w:rFonts w:ascii="Verdana" w:hAnsi="Verdana"/>
          <w:sz w:val="20"/>
          <w:szCs w:val="20"/>
        </w:rPr>
        <w:t xml:space="preserve"> </w:t>
      </w:r>
      <w:r w:rsidRPr="00486FEC">
        <w:rPr>
          <w:rFonts w:ascii="Verdana" w:hAnsi="Verdana"/>
          <w:sz w:val="20"/>
          <w:szCs w:val="20"/>
        </w:rPr>
        <w:t>un embargo que le inmoviliza el patrimonio, pudiendo hacerlo incluso contra funcionarios democráticamente electos</w:t>
      </w:r>
      <w:r w:rsidR="007959CD" w:rsidRPr="00486FEC">
        <w:rPr>
          <w:rFonts w:ascii="Verdana" w:hAnsi="Verdana"/>
          <w:sz w:val="20"/>
          <w:szCs w:val="20"/>
        </w:rPr>
        <w:t xml:space="preserve"> y en ejercicio de sus respectivos mandatos</w:t>
      </w:r>
      <w:r w:rsidRPr="00486FEC">
        <w:rPr>
          <w:rFonts w:ascii="Verdana" w:hAnsi="Verdana"/>
          <w:sz w:val="20"/>
          <w:szCs w:val="20"/>
        </w:rPr>
        <w:t xml:space="preserve">, como </w:t>
      </w:r>
      <w:r w:rsidR="004F21EC" w:rsidRPr="00486FEC">
        <w:rPr>
          <w:rFonts w:ascii="Verdana" w:hAnsi="Verdana"/>
          <w:sz w:val="20"/>
          <w:szCs w:val="20"/>
        </w:rPr>
        <w:t xml:space="preserve">es el caso de </w:t>
      </w:r>
      <w:r w:rsidR="00E46F55" w:rsidRPr="00486FEC">
        <w:rPr>
          <w:rFonts w:ascii="Verdana" w:hAnsi="Verdana"/>
          <w:sz w:val="20"/>
          <w:szCs w:val="20"/>
        </w:rPr>
        <w:t>legisladores de la oposición.</w:t>
      </w:r>
    </w:p>
    <w:p w14:paraId="367F074C" w14:textId="77777777" w:rsidR="00486FEC" w:rsidRPr="00486FEC" w:rsidRDefault="00486FEC" w:rsidP="00486FEC">
      <w:pPr>
        <w:pStyle w:val="Prrafodelista"/>
        <w:rPr>
          <w:rFonts w:ascii="Verdana" w:hAnsi="Verdana"/>
          <w:sz w:val="20"/>
          <w:szCs w:val="20"/>
        </w:rPr>
      </w:pPr>
    </w:p>
    <w:p w14:paraId="77354367"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426BD743" w14:textId="45ABD13F" w:rsidR="00486FEC" w:rsidRDefault="00F53104"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Las </w:t>
      </w:r>
      <w:r w:rsidR="00666D17" w:rsidRPr="00486FEC">
        <w:rPr>
          <w:rFonts w:ascii="Verdana" w:hAnsi="Verdana"/>
          <w:sz w:val="20"/>
          <w:szCs w:val="20"/>
        </w:rPr>
        <w:t xml:space="preserve">llamadas </w:t>
      </w:r>
      <w:r w:rsidR="00666D17" w:rsidRPr="00486FEC">
        <w:rPr>
          <w:rFonts w:ascii="Verdana" w:hAnsi="Verdana"/>
          <w:i/>
          <w:sz w:val="20"/>
          <w:szCs w:val="20"/>
        </w:rPr>
        <w:t xml:space="preserve">glosas </w:t>
      </w:r>
      <w:r w:rsidR="00666D17" w:rsidRPr="00486FEC">
        <w:rPr>
          <w:rFonts w:ascii="Verdana" w:hAnsi="Verdana"/>
          <w:sz w:val="20"/>
          <w:szCs w:val="20"/>
        </w:rPr>
        <w:t>suelen imponerse por sumas millonarias de dólares</w:t>
      </w:r>
      <w:r w:rsidR="00AE6388" w:rsidRPr="00486FEC">
        <w:rPr>
          <w:rFonts w:ascii="Verdana" w:hAnsi="Verdana"/>
          <w:sz w:val="20"/>
          <w:szCs w:val="20"/>
        </w:rPr>
        <w:t>, lo que significa una privación total de</w:t>
      </w:r>
      <w:r w:rsidR="007959CD" w:rsidRPr="00486FEC">
        <w:rPr>
          <w:rFonts w:ascii="Verdana" w:hAnsi="Verdana"/>
          <w:sz w:val="20"/>
          <w:szCs w:val="20"/>
        </w:rPr>
        <w:t xml:space="preserve">l derecho a disponer de </w:t>
      </w:r>
      <w:r w:rsidR="00455048" w:rsidRPr="00486FEC">
        <w:rPr>
          <w:rFonts w:ascii="Verdana" w:hAnsi="Verdana"/>
          <w:sz w:val="20"/>
          <w:szCs w:val="20"/>
        </w:rPr>
        <w:t>la</w:t>
      </w:r>
      <w:r w:rsidR="007959CD" w:rsidRPr="00486FEC">
        <w:rPr>
          <w:rFonts w:ascii="Verdana" w:hAnsi="Verdana"/>
          <w:sz w:val="20"/>
          <w:szCs w:val="20"/>
        </w:rPr>
        <w:t xml:space="preserve"> propiedad, es decir, una suerte de inmovilización general del patrimonio. </w:t>
      </w:r>
      <w:r w:rsidR="00666D17" w:rsidRPr="00486FEC">
        <w:rPr>
          <w:rFonts w:ascii="Verdana" w:hAnsi="Verdana"/>
          <w:sz w:val="20"/>
          <w:szCs w:val="20"/>
        </w:rPr>
        <w:t xml:space="preserve">Esta repetición automática de las reparaciones dispuestas por la Corte se producirá contra el patrimonio del </w:t>
      </w:r>
      <w:r w:rsidR="00666D17" w:rsidRPr="00486FEC">
        <w:rPr>
          <w:rFonts w:ascii="Verdana" w:hAnsi="Verdana"/>
          <w:i/>
          <w:sz w:val="20"/>
          <w:szCs w:val="20"/>
        </w:rPr>
        <w:t>real u ónticamente</w:t>
      </w:r>
      <w:r w:rsidR="00666D17" w:rsidRPr="00486FEC">
        <w:rPr>
          <w:rFonts w:ascii="Verdana" w:hAnsi="Verdana"/>
          <w:sz w:val="20"/>
          <w:szCs w:val="20"/>
        </w:rPr>
        <w:t xml:space="preserve"> condenado en </w:t>
      </w:r>
      <w:r w:rsidR="000F3C31" w:rsidRPr="00486FEC">
        <w:rPr>
          <w:rFonts w:ascii="Verdana" w:hAnsi="Verdana"/>
          <w:sz w:val="20"/>
          <w:szCs w:val="20"/>
        </w:rPr>
        <w:t>esta</w:t>
      </w:r>
      <w:r w:rsidR="00666D17" w:rsidRPr="00486FEC">
        <w:rPr>
          <w:rFonts w:ascii="Verdana" w:hAnsi="Verdana"/>
          <w:sz w:val="20"/>
          <w:szCs w:val="20"/>
        </w:rPr>
        <w:t xml:space="preserve"> sentencia, por las mismas sumas que </w:t>
      </w:r>
      <w:r w:rsidR="00452F8F" w:rsidRPr="00486FEC">
        <w:rPr>
          <w:rFonts w:ascii="Verdana" w:hAnsi="Verdana"/>
          <w:sz w:val="20"/>
          <w:szCs w:val="20"/>
        </w:rPr>
        <w:t xml:space="preserve">ésta </w:t>
      </w:r>
      <w:r w:rsidR="00666D17" w:rsidRPr="00486FEC">
        <w:rPr>
          <w:rFonts w:ascii="Verdana" w:hAnsi="Verdana"/>
          <w:sz w:val="20"/>
          <w:szCs w:val="20"/>
        </w:rPr>
        <w:t>señala com</w:t>
      </w:r>
      <w:r w:rsidR="00E46F55" w:rsidRPr="00486FEC">
        <w:rPr>
          <w:rFonts w:ascii="Verdana" w:hAnsi="Verdana"/>
          <w:sz w:val="20"/>
          <w:szCs w:val="20"/>
        </w:rPr>
        <w:t>o reparación a cargo del Estado.</w:t>
      </w:r>
    </w:p>
    <w:p w14:paraId="6B872CA2"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5D9031E4" w14:textId="18F878B3" w:rsidR="00E46F55" w:rsidRDefault="00452F8F"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Aunque </w:t>
      </w:r>
      <w:r w:rsidR="00F53104" w:rsidRPr="00486FEC">
        <w:rPr>
          <w:rFonts w:ascii="Verdana" w:hAnsi="Verdana"/>
          <w:sz w:val="20"/>
          <w:szCs w:val="20"/>
        </w:rPr>
        <w:t xml:space="preserve">es casi </w:t>
      </w:r>
      <w:r w:rsidRPr="00486FEC">
        <w:rPr>
          <w:rFonts w:ascii="Verdana" w:hAnsi="Verdana"/>
          <w:sz w:val="20"/>
          <w:szCs w:val="20"/>
        </w:rPr>
        <w:t>sobreabundante advertirlo, es sabido que el derecho de propiedad garantizado por la Convención no debe entenderse en el estrecho sentido civil del derecho real de propiedad, sino en el de disponibilidad del patrimonio</w:t>
      </w:r>
      <w:r w:rsidR="00F53104" w:rsidRPr="00486FEC">
        <w:rPr>
          <w:rFonts w:ascii="Verdana" w:hAnsi="Verdana"/>
          <w:sz w:val="20"/>
          <w:szCs w:val="20"/>
        </w:rPr>
        <w:t>, es d</w:t>
      </w:r>
      <w:r w:rsidR="00F35039" w:rsidRPr="00486FEC">
        <w:rPr>
          <w:rFonts w:ascii="Verdana" w:hAnsi="Verdana"/>
          <w:sz w:val="20"/>
          <w:szCs w:val="20"/>
        </w:rPr>
        <w:t>ecir que el derecho</w:t>
      </w:r>
      <w:r w:rsidR="00F53104" w:rsidRPr="00486FEC">
        <w:rPr>
          <w:rFonts w:ascii="Verdana" w:hAnsi="Verdana"/>
          <w:sz w:val="20"/>
          <w:szCs w:val="20"/>
        </w:rPr>
        <w:t xml:space="preserve"> que tutela la Convención no se afecta únicamente cuando se disminuye el contenido patrimonial, sino también cuando se lo inmoviliza</w:t>
      </w:r>
      <w:r w:rsidR="00E46F55" w:rsidRPr="00486FEC">
        <w:rPr>
          <w:rFonts w:ascii="Verdana" w:hAnsi="Verdana"/>
          <w:sz w:val="20"/>
          <w:szCs w:val="20"/>
        </w:rPr>
        <w:t>.</w:t>
      </w:r>
    </w:p>
    <w:p w14:paraId="0F3B36C8" w14:textId="2BFC5A04"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7FD6DABB" w14:textId="6354D9B9" w:rsidR="00E46F55" w:rsidRDefault="00452F8F"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En consecuencia, un embargo por cifras millonarias y que exceden en muchos casos la cuantía de todo el</w:t>
      </w:r>
      <w:r w:rsidR="000F3C31" w:rsidRPr="00486FEC">
        <w:rPr>
          <w:rFonts w:ascii="Verdana" w:hAnsi="Verdana"/>
          <w:sz w:val="20"/>
          <w:szCs w:val="20"/>
        </w:rPr>
        <w:t xml:space="preserve"> contenido patrimonial de la persona, </w:t>
      </w:r>
      <w:r w:rsidRPr="00486FEC">
        <w:rPr>
          <w:rFonts w:ascii="Verdana" w:hAnsi="Verdana"/>
          <w:sz w:val="20"/>
          <w:szCs w:val="20"/>
        </w:rPr>
        <w:t xml:space="preserve">dispuesto por un órgano no judicial y para cuya revocación el afectado debe acudir a los jueces de un judicial cuestionado incluso internacionalmente, importa una grave </w:t>
      </w:r>
      <w:r w:rsidR="00F53104" w:rsidRPr="00486FEC">
        <w:rPr>
          <w:rFonts w:ascii="Verdana" w:hAnsi="Verdana"/>
          <w:sz w:val="20"/>
          <w:szCs w:val="20"/>
        </w:rPr>
        <w:t xml:space="preserve">lesión al derecho de propiedad entendido como derecho a la disponibilidad del patrimonio. </w:t>
      </w:r>
      <w:r w:rsidR="00133996" w:rsidRPr="00486FEC">
        <w:rPr>
          <w:rFonts w:ascii="Verdana" w:hAnsi="Verdana"/>
          <w:sz w:val="20"/>
          <w:szCs w:val="20"/>
        </w:rPr>
        <w:t>Equivale, pues, a una temporaria -aunque indefinida- confiscación general de bienes</w:t>
      </w:r>
      <w:r w:rsidR="00D6123C" w:rsidRPr="00486FEC">
        <w:rPr>
          <w:rFonts w:ascii="Verdana" w:hAnsi="Verdana"/>
          <w:sz w:val="20"/>
          <w:szCs w:val="20"/>
        </w:rPr>
        <w:t xml:space="preserve">, pues no </w:t>
      </w:r>
      <w:r w:rsidR="00F611C5" w:rsidRPr="00486FEC">
        <w:rPr>
          <w:rFonts w:ascii="Verdana" w:hAnsi="Verdana"/>
          <w:sz w:val="20"/>
          <w:szCs w:val="20"/>
        </w:rPr>
        <w:t xml:space="preserve">sólo no está dispuesta por jueces, sino que tampoco </w:t>
      </w:r>
      <w:r w:rsidR="00D6123C" w:rsidRPr="00486FEC">
        <w:rPr>
          <w:rFonts w:ascii="Verdana" w:hAnsi="Verdana"/>
          <w:sz w:val="20"/>
          <w:szCs w:val="20"/>
        </w:rPr>
        <w:t xml:space="preserve">presenta los caracteres de </w:t>
      </w:r>
      <w:r w:rsidR="00547201" w:rsidRPr="00486FEC">
        <w:rPr>
          <w:rFonts w:ascii="Verdana" w:hAnsi="Verdana"/>
          <w:sz w:val="20"/>
          <w:szCs w:val="20"/>
        </w:rPr>
        <w:t>las medidas cautelar</w:t>
      </w:r>
      <w:r w:rsidR="00F611C5" w:rsidRPr="00486FEC">
        <w:rPr>
          <w:rFonts w:ascii="Verdana" w:hAnsi="Verdana"/>
          <w:sz w:val="20"/>
          <w:szCs w:val="20"/>
        </w:rPr>
        <w:t>es civiles, dado que no admite la exigencia de</w:t>
      </w:r>
      <w:r w:rsidR="00E46F55" w:rsidRPr="00486FEC">
        <w:rPr>
          <w:rFonts w:ascii="Verdana" w:hAnsi="Verdana"/>
          <w:sz w:val="20"/>
          <w:szCs w:val="20"/>
        </w:rPr>
        <w:t xml:space="preserve"> contracautela</w:t>
      </w:r>
      <w:r w:rsidR="00F611C5" w:rsidRPr="00486FEC">
        <w:rPr>
          <w:rFonts w:ascii="Verdana" w:hAnsi="Verdana"/>
          <w:sz w:val="20"/>
          <w:szCs w:val="20"/>
        </w:rPr>
        <w:t>s</w:t>
      </w:r>
      <w:r w:rsidR="00E46F55" w:rsidRPr="00486FEC">
        <w:rPr>
          <w:rFonts w:ascii="Verdana" w:hAnsi="Verdana"/>
          <w:sz w:val="20"/>
          <w:szCs w:val="20"/>
        </w:rPr>
        <w:t>.</w:t>
      </w:r>
    </w:p>
    <w:p w14:paraId="493176A8" w14:textId="6341718B"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70922F24" w14:textId="77777777" w:rsidR="00E46F55" w:rsidRPr="00486FEC" w:rsidRDefault="00666D17"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En síntesis, </w:t>
      </w:r>
      <w:r w:rsidRPr="00486FEC">
        <w:rPr>
          <w:rFonts w:ascii="Verdana" w:hAnsi="Verdana"/>
          <w:i/>
          <w:sz w:val="20"/>
          <w:szCs w:val="20"/>
        </w:rPr>
        <w:t xml:space="preserve">la consecuencia real de </w:t>
      </w:r>
      <w:r w:rsidR="00F53104" w:rsidRPr="00486FEC">
        <w:rPr>
          <w:rFonts w:ascii="Verdana" w:hAnsi="Verdana"/>
          <w:i/>
          <w:sz w:val="20"/>
          <w:szCs w:val="20"/>
        </w:rPr>
        <w:t xml:space="preserve">una </w:t>
      </w:r>
      <w:r w:rsidRPr="00486FEC">
        <w:rPr>
          <w:rFonts w:ascii="Verdana" w:hAnsi="Verdana"/>
          <w:i/>
          <w:sz w:val="20"/>
          <w:szCs w:val="20"/>
        </w:rPr>
        <w:t xml:space="preserve">sentencia </w:t>
      </w:r>
      <w:r w:rsidR="00F53104" w:rsidRPr="00486FEC">
        <w:rPr>
          <w:rFonts w:ascii="Verdana" w:hAnsi="Verdana"/>
          <w:i/>
          <w:sz w:val="20"/>
          <w:szCs w:val="20"/>
        </w:rPr>
        <w:t xml:space="preserve">condenatoria de esta Corte </w:t>
      </w:r>
      <w:r w:rsidRPr="00486FEC">
        <w:rPr>
          <w:rFonts w:ascii="Verdana" w:hAnsi="Verdana"/>
          <w:i/>
          <w:sz w:val="20"/>
          <w:szCs w:val="20"/>
        </w:rPr>
        <w:t xml:space="preserve">es la condenación política y patrimonial contra el principal dirigente </w:t>
      </w:r>
      <w:r w:rsidR="00AE6388" w:rsidRPr="00486FEC">
        <w:rPr>
          <w:rFonts w:ascii="Verdana" w:hAnsi="Verdana"/>
          <w:i/>
          <w:sz w:val="20"/>
          <w:szCs w:val="20"/>
        </w:rPr>
        <w:t xml:space="preserve">del partido </w:t>
      </w:r>
      <w:r w:rsidRPr="00486FEC">
        <w:rPr>
          <w:rFonts w:ascii="Verdana" w:hAnsi="Verdana"/>
          <w:i/>
          <w:sz w:val="20"/>
          <w:szCs w:val="20"/>
        </w:rPr>
        <w:t>opositor al gobierno del Estado</w:t>
      </w:r>
      <w:r w:rsidR="00F87857" w:rsidRPr="00486FEC">
        <w:rPr>
          <w:rFonts w:ascii="Verdana" w:hAnsi="Verdana"/>
          <w:i/>
          <w:sz w:val="20"/>
          <w:szCs w:val="20"/>
        </w:rPr>
        <w:t xml:space="preserve"> cuyo </w:t>
      </w:r>
      <w:r w:rsidR="000F3C31" w:rsidRPr="00486FEC">
        <w:rPr>
          <w:rFonts w:ascii="Verdana" w:hAnsi="Verdana"/>
          <w:i/>
          <w:sz w:val="20"/>
          <w:szCs w:val="20"/>
        </w:rPr>
        <w:t>E</w:t>
      </w:r>
      <w:r w:rsidR="00F87857" w:rsidRPr="00486FEC">
        <w:rPr>
          <w:rFonts w:ascii="Verdana" w:hAnsi="Verdana"/>
          <w:i/>
          <w:sz w:val="20"/>
          <w:szCs w:val="20"/>
        </w:rPr>
        <w:t xml:space="preserve">jecutivo </w:t>
      </w:r>
      <w:r w:rsidR="000F3C31" w:rsidRPr="00486FEC">
        <w:rPr>
          <w:rFonts w:ascii="Verdana" w:hAnsi="Verdana"/>
          <w:i/>
          <w:sz w:val="20"/>
          <w:szCs w:val="20"/>
        </w:rPr>
        <w:t xml:space="preserve">se colocó en situación de indefensión al </w:t>
      </w:r>
      <w:r w:rsidR="00F87857" w:rsidRPr="00486FEC">
        <w:rPr>
          <w:rFonts w:ascii="Verdana" w:hAnsi="Verdana"/>
          <w:i/>
          <w:sz w:val="20"/>
          <w:szCs w:val="20"/>
        </w:rPr>
        <w:t>formul</w:t>
      </w:r>
      <w:r w:rsidR="000F3C31" w:rsidRPr="00486FEC">
        <w:rPr>
          <w:rFonts w:ascii="Verdana" w:hAnsi="Verdana"/>
          <w:i/>
          <w:sz w:val="20"/>
          <w:szCs w:val="20"/>
        </w:rPr>
        <w:t xml:space="preserve">ar </w:t>
      </w:r>
      <w:r w:rsidR="00F87857" w:rsidRPr="00486FEC">
        <w:rPr>
          <w:rFonts w:ascii="Verdana" w:hAnsi="Verdana"/>
          <w:i/>
          <w:sz w:val="20"/>
          <w:szCs w:val="20"/>
        </w:rPr>
        <w:t>el singular reconocimiento de responsabilidad ante esta</w:t>
      </w:r>
      <w:r w:rsidR="00F53104" w:rsidRPr="00486FEC">
        <w:rPr>
          <w:rFonts w:ascii="Verdana" w:hAnsi="Verdana"/>
          <w:i/>
          <w:sz w:val="20"/>
          <w:szCs w:val="20"/>
        </w:rPr>
        <w:t xml:space="preserve"> misma</w:t>
      </w:r>
      <w:r w:rsidR="00F87857" w:rsidRPr="00486FEC">
        <w:rPr>
          <w:rFonts w:ascii="Verdana" w:hAnsi="Verdana"/>
          <w:i/>
          <w:sz w:val="20"/>
          <w:szCs w:val="20"/>
        </w:rPr>
        <w:t xml:space="preserve"> Corte</w:t>
      </w:r>
      <w:r w:rsidRPr="00486FEC">
        <w:rPr>
          <w:rFonts w:ascii="Verdana" w:hAnsi="Verdana"/>
          <w:i/>
          <w:sz w:val="20"/>
          <w:szCs w:val="20"/>
        </w:rPr>
        <w:t>.</w:t>
      </w:r>
      <w:r w:rsidRPr="00486FEC">
        <w:rPr>
          <w:rFonts w:ascii="Verdana" w:hAnsi="Verdana"/>
          <w:sz w:val="20"/>
          <w:szCs w:val="20"/>
        </w:rPr>
        <w:t xml:space="preserve"> </w:t>
      </w:r>
      <w:r w:rsidR="00BA16D8" w:rsidRPr="00486FEC">
        <w:rPr>
          <w:rFonts w:ascii="Verdana" w:hAnsi="Verdana"/>
          <w:sz w:val="20"/>
          <w:szCs w:val="20"/>
        </w:rPr>
        <w:t xml:space="preserve"> </w:t>
      </w:r>
      <w:r w:rsidR="00E46F55" w:rsidRPr="00486FEC">
        <w:rPr>
          <w:rFonts w:ascii="Verdana" w:hAnsi="Verdana"/>
          <w:sz w:val="20"/>
          <w:szCs w:val="20"/>
        </w:rPr>
        <w:t xml:space="preserve"> </w:t>
      </w:r>
    </w:p>
    <w:p w14:paraId="332777FB" w14:textId="77777777" w:rsidR="00E46F55" w:rsidRPr="00486FEC" w:rsidRDefault="00E46F55" w:rsidP="00486FEC">
      <w:pPr>
        <w:pStyle w:val="Prrafodelista"/>
        <w:spacing w:after="0" w:line="240" w:lineRule="auto"/>
        <w:ind w:left="0"/>
        <w:contextualSpacing w:val="0"/>
        <w:jc w:val="both"/>
        <w:rPr>
          <w:rFonts w:ascii="Verdana" w:hAnsi="Verdana"/>
          <w:sz w:val="20"/>
          <w:szCs w:val="20"/>
        </w:rPr>
      </w:pPr>
    </w:p>
    <w:p w14:paraId="0C32B46C" w14:textId="77777777" w:rsidR="00E46F55" w:rsidRPr="00486FEC" w:rsidRDefault="00BA16D8" w:rsidP="00486FEC">
      <w:pPr>
        <w:pStyle w:val="Prrafodelista"/>
        <w:spacing w:after="0" w:line="240" w:lineRule="auto"/>
        <w:ind w:left="709"/>
        <w:contextualSpacing w:val="0"/>
        <w:jc w:val="both"/>
        <w:rPr>
          <w:rFonts w:ascii="Verdana" w:hAnsi="Verdana"/>
          <w:b/>
          <w:sz w:val="20"/>
          <w:szCs w:val="20"/>
        </w:rPr>
      </w:pPr>
      <w:r w:rsidRPr="00486FEC">
        <w:rPr>
          <w:rFonts w:ascii="Verdana" w:hAnsi="Verdana"/>
          <w:b/>
          <w:sz w:val="20"/>
          <w:szCs w:val="20"/>
        </w:rPr>
        <w:t>II</w:t>
      </w:r>
      <w:r w:rsidR="00192683" w:rsidRPr="00486FEC">
        <w:rPr>
          <w:rFonts w:ascii="Verdana" w:hAnsi="Verdana"/>
          <w:b/>
          <w:sz w:val="20"/>
          <w:szCs w:val="20"/>
        </w:rPr>
        <w:t>I</w:t>
      </w:r>
      <w:r w:rsidRPr="00486FEC">
        <w:rPr>
          <w:rFonts w:ascii="Verdana" w:hAnsi="Verdana"/>
          <w:b/>
          <w:sz w:val="20"/>
          <w:szCs w:val="20"/>
        </w:rPr>
        <w:t xml:space="preserve">.3. Indefensión del </w:t>
      </w:r>
      <w:r w:rsidR="00983D94" w:rsidRPr="00486FEC">
        <w:rPr>
          <w:rFonts w:ascii="Verdana" w:hAnsi="Verdana"/>
          <w:b/>
          <w:i/>
          <w:sz w:val="20"/>
          <w:szCs w:val="20"/>
        </w:rPr>
        <w:t>ónticamente</w:t>
      </w:r>
      <w:r w:rsidR="00983D94" w:rsidRPr="00486FEC">
        <w:rPr>
          <w:rFonts w:ascii="Verdana" w:hAnsi="Verdana"/>
          <w:b/>
          <w:sz w:val="20"/>
          <w:szCs w:val="20"/>
        </w:rPr>
        <w:t xml:space="preserve"> </w:t>
      </w:r>
      <w:r w:rsidRPr="00486FEC">
        <w:rPr>
          <w:rFonts w:ascii="Verdana" w:hAnsi="Verdana"/>
          <w:b/>
          <w:sz w:val="20"/>
          <w:szCs w:val="20"/>
        </w:rPr>
        <w:t>condenado</w:t>
      </w:r>
    </w:p>
    <w:p w14:paraId="10405DB7" w14:textId="77777777" w:rsidR="005541BC" w:rsidRPr="00486FEC" w:rsidRDefault="005541BC" w:rsidP="00486FEC">
      <w:pPr>
        <w:pStyle w:val="Prrafodelista"/>
        <w:spacing w:after="0" w:line="240" w:lineRule="auto"/>
        <w:ind w:left="709"/>
        <w:contextualSpacing w:val="0"/>
        <w:jc w:val="both"/>
        <w:rPr>
          <w:rFonts w:ascii="Verdana" w:hAnsi="Verdana"/>
          <w:sz w:val="20"/>
          <w:szCs w:val="20"/>
          <w:lang w:val="es-CR"/>
        </w:rPr>
      </w:pPr>
    </w:p>
    <w:p w14:paraId="1057FE17" w14:textId="4518E01E" w:rsidR="00E46F55" w:rsidRDefault="00F87857"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De pasar por alto los datos del mundo que permiten verificar que el dirigente </w:t>
      </w:r>
      <w:r w:rsidR="00133996" w:rsidRPr="00486FEC">
        <w:rPr>
          <w:rFonts w:ascii="Verdana" w:hAnsi="Verdana"/>
          <w:sz w:val="20"/>
          <w:szCs w:val="20"/>
        </w:rPr>
        <w:t xml:space="preserve">de la más importante fuerza política opositora </w:t>
      </w:r>
      <w:r w:rsidRPr="00486FEC">
        <w:rPr>
          <w:rFonts w:ascii="Verdana" w:hAnsi="Verdana"/>
          <w:sz w:val="20"/>
          <w:szCs w:val="20"/>
        </w:rPr>
        <w:t>ecuatorian</w:t>
      </w:r>
      <w:r w:rsidR="00133996" w:rsidRPr="00486FEC">
        <w:rPr>
          <w:rFonts w:ascii="Verdana" w:hAnsi="Verdana"/>
          <w:sz w:val="20"/>
          <w:szCs w:val="20"/>
        </w:rPr>
        <w:t>a</w:t>
      </w:r>
      <w:r w:rsidRPr="00486FEC">
        <w:rPr>
          <w:rFonts w:ascii="Verdana" w:hAnsi="Verdana"/>
          <w:sz w:val="20"/>
          <w:szCs w:val="20"/>
        </w:rPr>
        <w:t xml:space="preserve"> sería el principal damnificado por la condenación formal al Estado, se impone con toda coherencia </w:t>
      </w:r>
      <w:r w:rsidR="00AE6388" w:rsidRPr="00486FEC">
        <w:rPr>
          <w:rFonts w:ascii="Verdana" w:hAnsi="Verdana"/>
          <w:sz w:val="20"/>
          <w:szCs w:val="20"/>
        </w:rPr>
        <w:t xml:space="preserve">que </w:t>
      </w:r>
      <w:r w:rsidRPr="00486FEC">
        <w:rPr>
          <w:rFonts w:ascii="Verdana" w:hAnsi="Verdana"/>
          <w:sz w:val="20"/>
          <w:szCs w:val="20"/>
        </w:rPr>
        <w:t xml:space="preserve">se le </w:t>
      </w:r>
      <w:r w:rsidR="00AE6388" w:rsidRPr="00486FEC">
        <w:rPr>
          <w:rFonts w:ascii="Verdana" w:hAnsi="Verdana"/>
          <w:sz w:val="20"/>
          <w:szCs w:val="20"/>
        </w:rPr>
        <w:t xml:space="preserve">prive del ejercicio de su derecho de defensa. </w:t>
      </w:r>
      <w:r w:rsidR="0043710A" w:rsidRPr="00486FEC">
        <w:rPr>
          <w:rFonts w:ascii="Verdana" w:hAnsi="Verdana"/>
          <w:sz w:val="20"/>
          <w:szCs w:val="20"/>
        </w:rPr>
        <w:t xml:space="preserve">Se trata de una lógica impecable: al no ser acusado, no será condenado y, por ende, carece de todo derecho a pretender defenderse ante el Tribunal. </w:t>
      </w:r>
      <w:r w:rsidRPr="00486FEC">
        <w:rPr>
          <w:rFonts w:ascii="Verdana" w:hAnsi="Verdana"/>
          <w:sz w:val="20"/>
          <w:szCs w:val="20"/>
        </w:rPr>
        <w:t xml:space="preserve">A mi </w:t>
      </w:r>
      <w:r w:rsidR="00AE6388" w:rsidRPr="00486FEC">
        <w:rPr>
          <w:rFonts w:ascii="Verdana" w:hAnsi="Verdana"/>
          <w:sz w:val="20"/>
          <w:szCs w:val="20"/>
        </w:rPr>
        <w:t>entender</w:t>
      </w:r>
      <w:r w:rsidRPr="00486FEC">
        <w:rPr>
          <w:rFonts w:ascii="Verdana" w:hAnsi="Verdana"/>
          <w:sz w:val="20"/>
          <w:szCs w:val="20"/>
        </w:rPr>
        <w:t xml:space="preserve">, se trata de un claro ejemplo </w:t>
      </w:r>
      <w:r w:rsidR="00AE6388" w:rsidRPr="00486FEC">
        <w:rPr>
          <w:rFonts w:ascii="Verdana" w:hAnsi="Verdana"/>
          <w:sz w:val="20"/>
          <w:szCs w:val="20"/>
        </w:rPr>
        <w:t>de quiebra de la estructura lógico-real que</w:t>
      </w:r>
      <w:r w:rsidRPr="00486FEC">
        <w:rPr>
          <w:rFonts w:ascii="Verdana" w:hAnsi="Verdana"/>
          <w:sz w:val="20"/>
          <w:szCs w:val="20"/>
        </w:rPr>
        <w:t xml:space="preserve"> vincula el derecho con el mundo y que</w:t>
      </w:r>
      <w:r w:rsidR="007959CD" w:rsidRPr="00486FEC">
        <w:rPr>
          <w:rFonts w:ascii="Verdana" w:hAnsi="Verdana"/>
          <w:sz w:val="20"/>
          <w:szCs w:val="20"/>
        </w:rPr>
        <w:t>, como en todos los supuestos similares,</w:t>
      </w:r>
      <w:r w:rsidR="00AE6388" w:rsidRPr="00486FEC">
        <w:rPr>
          <w:rFonts w:ascii="Verdana" w:hAnsi="Verdana"/>
          <w:sz w:val="20"/>
          <w:szCs w:val="20"/>
        </w:rPr>
        <w:t xml:space="preserve"> </w:t>
      </w:r>
      <w:r w:rsidRPr="00486FEC">
        <w:rPr>
          <w:rFonts w:ascii="Verdana" w:hAnsi="Verdana"/>
          <w:sz w:val="20"/>
          <w:szCs w:val="20"/>
        </w:rPr>
        <w:t xml:space="preserve">conduce a </w:t>
      </w:r>
      <w:r w:rsidR="00E46F55" w:rsidRPr="00486FEC">
        <w:rPr>
          <w:rFonts w:ascii="Verdana" w:hAnsi="Verdana"/>
          <w:sz w:val="20"/>
          <w:szCs w:val="20"/>
        </w:rPr>
        <w:t>un resultado paradojal.</w:t>
      </w:r>
    </w:p>
    <w:p w14:paraId="665AC327"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1ABB6C35" w14:textId="4535B451" w:rsidR="00E46F55" w:rsidRDefault="00AE6388"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El </w:t>
      </w:r>
      <w:r w:rsidR="00DF401C" w:rsidRPr="00486FEC">
        <w:rPr>
          <w:rFonts w:ascii="Verdana" w:hAnsi="Verdana"/>
          <w:sz w:val="20"/>
          <w:szCs w:val="20"/>
        </w:rPr>
        <w:t>directo</w:t>
      </w:r>
      <w:r w:rsidR="0043710A" w:rsidRPr="00486FEC">
        <w:rPr>
          <w:rFonts w:ascii="Verdana" w:hAnsi="Verdana"/>
          <w:sz w:val="20"/>
          <w:szCs w:val="20"/>
        </w:rPr>
        <w:t xml:space="preserve"> </w:t>
      </w:r>
      <w:r w:rsidR="00DF401C" w:rsidRPr="00486FEC">
        <w:rPr>
          <w:rFonts w:ascii="Verdana" w:hAnsi="Verdana"/>
          <w:sz w:val="20"/>
          <w:szCs w:val="20"/>
        </w:rPr>
        <w:t>perjudicado por esta sentencia</w:t>
      </w:r>
      <w:r w:rsidR="00547201" w:rsidRPr="00486FEC">
        <w:rPr>
          <w:rFonts w:ascii="Verdana" w:hAnsi="Verdana"/>
          <w:sz w:val="20"/>
          <w:szCs w:val="20"/>
        </w:rPr>
        <w:t xml:space="preserve">, </w:t>
      </w:r>
      <w:r w:rsidR="00F87857" w:rsidRPr="00486FEC">
        <w:rPr>
          <w:rFonts w:ascii="Verdana" w:hAnsi="Verdana"/>
          <w:sz w:val="20"/>
          <w:szCs w:val="20"/>
        </w:rPr>
        <w:t>h</w:t>
      </w:r>
      <w:r w:rsidR="0043710A" w:rsidRPr="00486FEC">
        <w:rPr>
          <w:rFonts w:ascii="Verdana" w:hAnsi="Verdana"/>
          <w:sz w:val="20"/>
          <w:szCs w:val="20"/>
        </w:rPr>
        <w:t xml:space="preserve">izo notar ante el Tribunal </w:t>
      </w:r>
      <w:r w:rsidR="00133996" w:rsidRPr="00486FEC">
        <w:rPr>
          <w:rFonts w:ascii="Verdana" w:hAnsi="Verdana"/>
          <w:sz w:val="20"/>
          <w:szCs w:val="20"/>
        </w:rPr>
        <w:t xml:space="preserve">las </w:t>
      </w:r>
      <w:r w:rsidRPr="00486FEC">
        <w:rPr>
          <w:rFonts w:ascii="Verdana" w:hAnsi="Verdana"/>
          <w:sz w:val="20"/>
          <w:szCs w:val="20"/>
        </w:rPr>
        <w:t xml:space="preserve">innumerables veces </w:t>
      </w:r>
      <w:r w:rsidR="00133996" w:rsidRPr="00486FEC">
        <w:rPr>
          <w:rFonts w:ascii="Verdana" w:hAnsi="Verdana"/>
          <w:sz w:val="20"/>
          <w:szCs w:val="20"/>
        </w:rPr>
        <w:t xml:space="preserve">que </w:t>
      </w:r>
      <w:r w:rsidR="00F87857" w:rsidRPr="00486FEC">
        <w:rPr>
          <w:rFonts w:ascii="Verdana" w:hAnsi="Verdana"/>
          <w:sz w:val="20"/>
          <w:szCs w:val="20"/>
        </w:rPr>
        <w:t xml:space="preserve">fue </w:t>
      </w:r>
      <w:r w:rsidRPr="00486FEC">
        <w:rPr>
          <w:rFonts w:ascii="Verdana" w:hAnsi="Verdana"/>
          <w:sz w:val="20"/>
          <w:szCs w:val="20"/>
        </w:rPr>
        <w:t>citado por su nombre por la Comisión</w:t>
      </w:r>
      <w:r w:rsidR="0043710A" w:rsidRPr="00486FEC">
        <w:rPr>
          <w:rFonts w:ascii="Verdana" w:hAnsi="Verdana"/>
          <w:sz w:val="20"/>
          <w:szCs w:val="20"/>
        </w:rPr>
        <w:t xml:space="preserve">, tanto por escrito como en </w:t>
      </w:r>
      <w:r w:rsidR="00F87857" w:rsidRPr="00486FEC">
        <w:rPr>
          <w:rFonts w:ascii="Verdana" w:hAnsi="Verdana"/>
          <w:sz w:val="20"/>
          <w:szCs w:val="20"/>
        </w:rPr>
        <w:t>manifestaciones orales</w:t>
      </w:r>
      <w:r w:rsidR="00133996" w:rsidRPr="00486FEC">
        <w:rPr>
          <w:rFonts w:ascii="Verdana" w:hAnsi="Verdana"/>
          <w:sz w:val="20"/>
          <w:szCs w:val="20"/>
        </w:rPr>
        <w:t>, como</w:t>
      </w:r>
      <w:r w:rsidR="0043710A" w:rsidRPr="00486FEC">
        <w:rPr>
          <w:rFonts w:ascii="Verdana" w:hAnsi="Verdana"/>
          <w:sz w:val="20"/>
          <w:szCs w:val="20"/>
        </w:rPr>
        <w:t xml:space="preserve"> también</w:t>
      </w:r>
      <w:r w:rsidR="00133996" w:rsidRPr="00486FEC">
        <w:rPr>
          <w:rFonts w:ascii="Verdana" w:hAnsi="Verdana"/>
          <w:sz w:val="20"/>
          <w:szCs w:val="20"/>
        </w:rPr>
        <w:t xml:space="preserve"> por todos los </w:t>
      </w:r>
      <w:r w:rsidR="00DF401C" w:rsidRPr="00486FEC">
        <w:rPr>
          <w:rFonts w:ascii="Verdana" w:hAnsi="Verdana"/>
          <w:sz w:val="20"/>
          <w:szCs w:val="20"/>
        </w:rPr>
        <w:t xml:space="preserve">demás </w:t>
      </w:r>
      <w:r w:rsidR="00133996" w:rsidRPr="00486FEC">
        <w:rPr>
          <w:rFonts w:ascii="Verdana" w:hAnsi="Verdana"/>
          <w:sz w:val="20"/>
          <w:szCs w:val="20"/>
        </w:rPr>
        <w:t xml:space="preserve">intervinientes en la </w:t>
      </w:r>
      <w:r w:rsidRPr="00486FEC">
        <w:rPr>
          <w:rFonts w:ascii="Verdana" w:hAnsi="Verdana"/>
          <w:sz w:val="20"/>
          <w:szCs w:val="20"/>
        </w:rPr>
        <w:t xml:space="preserve">audiencia, </w:t>
      </w:r>
      <w:r w:rsidR="0043710A" w:rsidRPr="00486FEC">
        <w:rPr>
          <w:rFonts w:ascii="Verdana" w:hAnsi="Verdana"/>
          <w:sz w:val="20"/>
          <w:szCs w:val="20"/>
        </w:rPr>
        <w:t xml:space="preserve">lo que </w:t>
      </w:r>
      <w:r w:rsidR="00DF401C" w:rsidRPr="00486FEC">
        <w:rPr>
          <w:rFonts w:ascii="Verdana" w:hAnsi="Verdana"/>
          <w:sz w:val="20"/>
          <w:szCs w:val="20"/>
        </w:rPr>
        <w:t>lo colocó en la posición de protagonista central</w:t>
      </w:r>
      <w:r w:rsidR="0043710A" w:rsidRPr="00486FEC">
        <w:rPr>
          <w:rFonts w:ascii="Verdana" w:hAnsi="Verdana"/>
          <w:sz w:val="20"/>
          <w:szCs w:val="20"/>
        </w:rPr>
        <w:t xml:space="preserve"> del caso. </w:t>
      </w:r>
      <w:r w:rsidR="00DF401C" w:rsidRPr="00486FEC">
        <w:rPr>
          <w:rFonts w:ascii="Verdana" w:hAnsi="Verdana"/>
          <w:sz w:val="20"/>
          <w:szCs w:val="20"/>
        </w:rPr>
        <w:t xml:space="preserve">Ante la eventual afectación de sus derechos como consecuencia de una sentencia de esta Corte solicitó </w:t>
      </w:r>
      <w:r w:rsidR="00E46F55" w:rsidRPr="00486FEC">
        <w:rPr>
          <w:rFonts w:ascii="Verdana" w:hAnsi="Verdana"/>
          <w:sz w:val="20"/>
          <w:szCs w:val="20"/>
        </w:rPr>
        <w:t>ser escuchado por sus jueces.</w:t>
      </w:r>
    </w:p>
    <w:p w14:paraId="3853678F" w14:textId="785D1D28"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2332FB68" w14:textId="2938B728" w:rsidR="00E46F55" w:rsidRDefault="00AE6388"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En voto dividido</w:t>
      </w:r>
      <w:r w:rsidR="00547201" w:rsidRPr="00486FEC">
        <w:rPr>
          <w:rFonts w:ascii="Verdana" w:hAnsi="Verdana"/>
          <w:sz w:val="20"/>
          <w:szCs w:val="20"/>
        </w:rPr>
        <w:t>,</w:t>
      </w:r>
      <w:r w:rsidRPr="00486FEC">
        <w:rPr>
          <w:rFonts w:ascii="Verdana" w:hAnsi="Verdana"/>
          <w:sz w:val="20"/>
          <w:szCs w:val="20"/>
        </w:rPr>
        <w:t xml:space="preserve"> la Corte decidió no reabrir la audiencia para escuchar su versión de los hechos, al tiempo que manifestó que podía hacerlo por vía de </w:t>
      </w:r>
      <w:r w:rsidRPr="00486FEC">
        <w:rPr>
          <w:rFonts w:ascii="Verdana" w:hAnsi="Verdana"/>
          <w:i/>
          <w:sz w:val="20"/>
          <w:szCs w:val="20"/>
        </w:rPr>
        <w:t>amicus curiae</w:t>
      </w:r>
      <w:r w:rsidR="00E46F55" w:rsidRPr="00486FEC">
        <w:rPr>
          <w:rFonts w:ascii="Verdana" w:hAnsi="Verdana"/>
          <w:sz w:val="20"/>
          <w:szCs w:val="20"/>
        </w:rPr>
        <w:t>.</w:t>
      </w:r>
    </w:p>
    <w:p w14:paraId="7FD75311" w14:textId="6B28D0E8"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75E38990" w14:textId="44AFCE7C" w:rsidR="00E46F55" w:rsidRDefault="00D6504E"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Esta decisión resulta singular </w:t>
      </w:r>
      <w:r w:rsidR="00547201" w:rsidRPr="00486FEC">
        <w:rPr>
          <w:rFonts w:ascii="Verdana" w:hAnsi="Verdana"/>
          <w:sz w:val="20"/>
          <w:szCs w:val="20"/>
        </w:rPr>
        <w:t xml:space="preserve">en la jurisprudencia de esta Corte, </w:t>
      </w:r>
      <w:r w:rsidR="007959CD" w:rsidRPr="00486FEC">
        <w:rPr>
          <w:rFonts w:ascii="Verdana" w:hAnsi="Verdana"/>
          <w:sz w:val="20"/>
          <w:szCs w:val="20"/>
        </w:rPr>
        <w:t xml:space="preserve">por su inadecuación a la naturaleza y función </w:t>
      </w:r>
      <w:r w:rsidRPr="00486FEC">
        <w:rPr>
          <w:rFonts w:ascii="Verdana" w:hAnsi="Verdana"/>
          <w:sz w:val="20"/>
          <w:szCs w:val="20"/>
        </w:rPr>
        <w:t xml:space="preserve">del </w:t>
      </w:r>
      <w:r w:rsidRPr="00486FEC">
        <w:rPr>
          <w:rFonts w:ascii="Verdana" w:hAnsi="Verdana"/>
          <w:i/>
          <w:sz w:val="20"/>
          <w:szCs w:val="20"/>
        </w:rPr>
        <w:t>amicus curiae</w:t>
      </w:r>
      <w:r w:rsidR="007959CD" w:rsidRPr="00486FEC">
        <w:rPr>
          <w:rFonts w:ascii="Verdana" w:hAnsi="Verdana"/>
          <w:sz w:val="20"/>
          <w:szCs w:val="20"/>
        </w:rPr>
        <w:t xml:space="preserve"> que,</w:t>
      </w:r>
      <w:r w:rsidRPr="00486FEC">
        <w:rPr>
          <w:rFonts w:ascii="Verdana" w:hAnsi="Verdana"/>
          <w:sz w:val="20"/>
          <w:szCs w:val="20"/>
        </w:rPr>
        <w:t xml:space="preserve"> conforme a su concepto tradicional y </w:t>
      </w:r>
      <w:r w:rsidR="00A423B5" w:rsidRPr="00486FEC">
        <w:rPr>
          <w:rFonts w:ascii="Verdana" w:hAnsi="Verdana"/>
          <w:sz w:val="20"/>
          <w:szCs w:val="20"/>
        </w:rPr>
        <w:t xml:space="preserve">a su propio </w:t>
      </w:r>
      <w:r w:rsidR="00A423B5" w:rsidRPr="00486FEC">
        <w:rPr>
          <w:rFonts w:ascii="Verdana" w:hAnsi="Verdana"/>
          <w:i/>
          <w:sz w:val="20"/>
          <w:szCs w:val="20"/>
        </w:rPr>
        <w:t>nomen iuris,</w:t>
      </w:r>
      <w:r w:rsidR="007959CD" w:rsidRPr="00486FEC">
        <w:rPr>
          <w:rFonts w:ascii="Verdana" w:hAnsi="Verdana"/>
          <w:sz w:val="20"/>
          <w:szCs w:val="20"/>
        </w:rPr>
        <w:t xml:space="preserve"> es la de un informe, aporte o </w:t>
      </w:r>
      <w:r w:rsidR="00F87857" w:rsidRPr="00486FEC">
        <w:rPr>
          <w:rFonts w:ascii="Verdana" w:hAnsi="Verdana"/>
          <w:sz w:val="20"/>
          <w:szCs w:val="20"/>
        </w:rPr>
        <w:t>contribución enriquecedora d</w:t>
      </w:r>
      <w:r w:rsidR="007959CD" w:rsidRPr="00486FEC">
        <w:rPr>
          <w:rFonts w:ascii="Verdana" w:hAnsi="Verdana"/>
          <w:sz w:val="20"/>
          <w:szCs w:val="20"/>
        </w:rPr>
        <w:t xml:space="preserve">e la perspectiva del Tribunal, </w:t>
      </w:r>
      <w:r w:rsidRPr="00486FEC">
        <w:rPr>
          <w:rFonts w:ascii="Verdana" w:hAnsi="Verdana"/>
          <w:sz w:val="20"/>
          <w:szCs w:val="20"/>
        </w:rPr>
        <w:t xml:space="preserve">siempre </w:t>
      </w:r>
      <w:r w:rsidR="007959CD" w:rsidRPr="00486FEC">
        <w:rPr>
          <w:rFonts w:ascii="Verdana" w:hAnsi="Verdana"/>
          <w:sz w:val="20"/>
          <w:szCs w:val="20"/>
        </w:rPr>
        <w:t xml:space="preserve">procedente </w:t>
      </w:r>
      <w:r w:rsidRPr="00486FEC">
        <w:rPr>
          <w:rFonts w:ascii="Verdana" w:hAnsi="Verdana"/>
          <w:sz w:val="20"/>
          <w:szCs w:val="20"/>
        </w:rPr>
        <w:t xml:space="preserve">de un </w:t>
      </w:r>
      <w:r w:rsidRPr="00486FEC">
        <w:rPr>
          <w:rFonts w:ascii="Verdana" w:hAnsi="Verdana"/>
          <w:i/>
          <w:sz w:val="20"/>
          <w:szCs w:val="20"/>
        </w:rPr>
        <w:t xml:space="preserve">amigo del tribunal </w:t>
      </w:r>
      <w:r w:rsidRPr="00486FEC">
        <w:rPr>
          <w:rFonts w:ascii="Verdana" w:hAnsi="Verdana"/>
          <w:sz w:val="20"/>
          <w:szCs w:val="20"/>
        </w:rPr>
        <w:t>y no de una de las partes involucradas</w:t>
      </w:r>
      <w:r w:rsidR="007959CD" w:rsidRPr="00486FEC">
        <w:rPr>
          <w:rFonts w:ascii="Verdana" w:hAnsi="Verdana"/>
          <w:sz w:val="20"/>
          <w:szCs w:val="20"/>
        </w:rPr>
        <w:t>,</w:t>
      </w:r>
      <w:r w:rsidRPr="00486FEC">
        <w:rPr>
          <w:rFonts w:ascii="Verdana" w:hAnsi="Verdana"/>
          <w:sz w:val="20"/>
          <w:szCs w:val="20"/>
        </w:rPr>
        <w:t xml:space="preserve"> comprometidas </w:t>
      </w:r>
      <w:r w:rsidR="007959CD" w:rsidRPr="00486FEC">
        <w:rPr>
          <w:rFonts w:ascii="Verdana" w:hAnsi="Verdana"/>
          <w:sz w:val="20"/>
          <w:szCs w:val="20"/>
        </w:rPr>
        <w:t xml:space="preserve">o directamente perjudicadas </w:t>
      </w:r>
      <w:r w:rsidRPr="00486FEC">
        <w:rPr>
          <w:rFonts w:ascii="Verdana" w:hAnsi="Verdana"/>
          <w:sz w:val="20"/>
          <w:szCs w:val="20"/>
        </w:rPr>
        <w:t xml:space="preserve">en </w:t>
      </w:r>
      <w:r w:rsidR="007959CD" w:rsidRPr="00486FEC">
        <w:rPr>
          <w:rFonts w:ascii="Verdana" w:hAnsi="Verdana"/>
          <w:sz w:val="20"/>
          <w:szCs w:val="20"/>
        </w:rPr>
        <w:t xml:space="preserve">la controversia, </w:t>
      </w:r>
      <w:r w:rsidRPr="00486FEC">
        <w:rPr>
          <w:rFonts w:ascii="Verdana" w:hAnsi="Verdana"/>
          <w:sz w:val="20"/>
          <w:szCs w:val="20"/>
        </w:rPr>
        <w:t>como sería la del dirigente de la opos</w:t>
      </w:r>
      <w:r w:rsidR="00E46F55" w:rsidRPr="00486FEC">
        <w:rPr>
          <w:rFonts w:ascii="Verdana" w:hAnsi="Verdana"/>
          <w:sz w:val="20"/>
          <w:szCs w:val="20"/>
        </w:rPr>
        <w:t>ición ecuatoriana en este caso.</w:t>
      </w:r>
    </w:p>
    <w:p w14:paraId="27915034" w14:textId="6262103B"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35214FC6" w14:textId="63FF3443" w:rsidR="00E46F55" w:rsidRDefault="009A7EF9"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Como se deduce de lo anterior, </w:t>
      </w:r>
      <w:r w:rsidR="00D6504E" w:rsidRPr="00486FEC">
        <w:rPr>
          <w:rFonts w:ascii="Verdana" w:hAnsi="Verdana"/>
          <w:sz w:val="20"/>
          <w:szCs w:val="20"/>
        </w:rPr>
        <w:t xml:space="preserve">ese aporte del </w:t>
      </w:r>
      <w:r w:rsidR="00D6504E" w:rsidRPr="00486FEC">
        <w:rPr>
          <w:rFonts w:ascii="Verdana" w:hAnsi="Verdana"/>
          <w:i/>
          <w:sz w:val="20"/>
          <w:szCs w:val="20"/>
        </w:rPr>
        <w:t>amigo del tribunal</w:t>
      </w:r>
      <w:r w:rsidR="00D6504E" w:rsidRPr="00486FEC">
        <w:rPr>
          <w:rFonts w:ascii="Verdana" w:hAnsi="Verdana"/>
          <w:sz w:val="20"/>
          <w:szCs w:val="20"/>
        </w:rPr>
        <w:t xml:space="preserve"> no es una prueba</w:t>
      </w:r>
      <w:r w:rsidRPr="00486FEC">
        <w:rPr>
          <w:rFonts w:ascii="Verdana" w:hAnsi="Verdana"/>
          <w:sz w:val="20"/>
          <w:szCs w:val="20"/>
        </w:rPr>
        <w:t xml:space="preserve">. Incluso en el caso en que señalase medios de prueba de los que el tribunal careciese y quisiese tomar en cuenta, debiera </w:t>
      </w:r>
      <w:r w:rsidR="007959CD" w:rsidRPr="00486FEC">
        <w:rPr>
          <w:rFonts w:ascii="Verdana" w:hAnsi="Verdana"/>
          <w:sz w:val="20"/>
          <w:szCs w:val="20"/>
        </w:rPr>
        <w:t>disponer</w:t>
      </w:r>
      <w:r w:rsidR="00133996" w:rsidRPr="00486FEC">
        <w:rPr>
          <w:rFonts w:ascii="Verdana" w:hAnsi="Verdana"/>
          <w:sz w:val="20"/>
          <w:szCs w:val="20"/>
        </w:rPr>
        <w:t xml:space="preserve"> éste</w:t>
      </w:r>
      <w:r w:rsidR="007959CD" w:rsidRPr="00486FEC">
        <w:rPr>
          <w:rFonts w:ascii="Verdana" w:hAnsi="Verdana"/>
          <w:sz w:val="20"/>
          <w:szCs w:val="20"/>
        </w:rPr>
        <w:t xml:space="preserve"> su recepción de oficio, pero no considerar como prueba al </w:t>
      </w:r>
      <w:r w:rsidR="007959CD" w:rsidRPr="00486FEC">
        <w:rPr>
          <w:rFonts w:ascii="Verdana" w:hAnsi="Verdana"/>
          <w:i/>
          <w:sz w:val="20"/>
          <w:szCs w:val="20"/>
        </w:rPr>
        <w:t>amicus curiae</w:t>
      </w:r>
      <w:r w:rsidR="007959CD" w:rsidRPr="00486FEC">
        <w:rPr>
          <w:rFonts w:ascii="Verdana" w:hAnsi="Verdana"/>
          <w:sz w:val="20"/>
          <w:szCs w:val="20"/>
        </w:rPr>
        <w:t xml:space="preserve"> en sí mismo. El problema </w:t>
      </w:r>
      <w:r w:rsidR="00D6504E" w:rsidRPr="00486FEC">
        <w:rPr>
          <w:rFonts w:ascii="Verdana" w:hAnsi="Verdana"/>
          <w:sz w:val="20"/>
          <w:szCs w:val="20"/>
        </w:rPr>
        <w:t xml:space="preserve">procesal creado por la </w:t>
      </w:r>
      <w:r w:rsidR="00C02EDB" w:rsidRPr="00486FEC">
        <w:rPr>
          <w:rFonts w:ascii="Verdana" w:hAnsi="Verdana"/>
          <w:sz w:val="20"/>
          <w:szCs w:val="20"/>
        </w:rPr>
        <w:t xml:space="preserve">altamente </w:t>
      </w:r>
      <w:r w:rsidR="00D6504E" w:rsidRPr="00486FEC">
        <w:rPr>
          <w:rFonts w:ascii="Verdana" w:hAnsi="Verdana"/>
          <w:sz w:val="20"/>
          <w:szCs w:val="20"/>
        </w:rPr>
        <w:t>respetable opinión de la mayoría de esta Corte es que</w:t>
      </w:r>
      <w:r w:rsidR="00A423B5" w:rsidRPr="00486FEC">
        <w:rPr>
          <w:rFonts w:ascii="Verdana" w:hAnsi="Verdana"/>
          <w:sz w:val="20"/>
          <w:szCs w:val="20"/>
        </w:rPr>
        <w:t xml:space="preserve"> no deja claro si asigna</w:t>
      </w:r>
      <w:r w:rsidRPr="00486FEC">
        <w:rPr>
          <w:rFonts w:ascii="Verdana" w:hAnsi="Verdana"/>
          <w:sz w:val="20"/>
          <w:szCs w:val="20"/>
        </w:rPr>
        <w:t xml:space="preserve"> </w:t>
      </w:r>
      <w:r w:rsidR="00D6504E" w:rsidRPr="00486FEC">
        <w:rPr>
          <w:rFonts w:ascii="Verdana" w:hAnsi="Verdana"/>
          <w:sz w:val="20"/>
          <w:szCs w:val="20"/>
        </w:rPr>
        <w:t xml:space="preserve">carácter de prueba </w:t>
      </w:r>
      <w:r w:rsidR="00A423B5" w:rsidRPr="00486FEC">
        <w:rPr>
          <w:rFonts w:ascii="Verdana" w:hAnsi="Verdana"/>
          <w:sz w:val="20"/>
          <w:szCs w:val="20"/>
        </w:rPr>
        <w:t>o</w:t>
      </w:r>
      <w:r w:rsidRPr="00486FEC">
        <w:rPr>
          <w:rFonts w:ascii="Verdana" w:hAnsi="Verdana"/>
          <w:sz w:val="20"/>
          <w:szCs w:val="20"/>
        </w:rPr>
        <w:t xml:space="preserve"> </w:t>
      </w:r>
      <w:r w:rsidR="00D6504E" w:rsidRPr="00486FEC">
        <w:rPr>
          <w:rFonts w:ascii="Verdana" w:hAnsi="Verdana"/>
          <w:sz w:val="20"/>
          <w:szCs w:val="20"/>
        </w:rPr>
        <w:t>de acto de defensa</w:t>
      </w:r>
      <w:r w:rsidR="00A423B5" w:rsidRPr="00486FEC">
        <w:rPr>
          <w:rFonts w:ascii="Verdana" w:hAnsi="Verdana"/>
          <w:sz w:val="20"/>
          <w:szCs w:val="20"/>
        </w:rPr>
        <w:t xml:space="preserve"> a algo</w:t>
      </w:r>
      <w:r w:rsidR="00D6504E" w:rsidRPr="00486FEC">
        <w:rPr>
          <w:rFonts w:ascii="Verdana" w:hAnsi="Verdana"/>
          <w:sz w:val="20"/>
          <w:szCs w:val="20"/>
        </w:rPr>
        <w:t xml:space="preserve"> que tradicionalmente y sin ninguna disidencia doctrinaria </w:t>
      </w:r>
      <w:r w:rsidRPr="00486FEC">
        <w:rPr>
          <w:rFonts w:ascii="Verdana" w:hAnsi="Verdana"/>
          <w:sz w:val="20"/>
          <w:szCs w:val="20"/>
        </w:rPr>
        <w:t xml:space="preserve">se ha considerado siempre como </w:t>
      </w:r>
      <w:r w:rsidR="00D6504E" w:rsidRPr="00486FEC">
        <w:rPr>
          <w:rFonts w:ascii="Verdana" w:hAnsi="Verdana"/>
          <w:sz w:val="20"/>
          <w:szCs w:val="20"/>
        </w:rPr>
        <w:t xml:space="preserve">una colaboración </w:t>
      </w:r>
      <w:r w:rsidRPr="00486FEC">
        <w:rPr>
          <w:rFonts w:ascii="Verdana" w:hAnsi="Verdana"/>
          <w:sz w:val="20"/>
          <w:szCs w:val="20"/>
        </w:rPr>
        <w:t xml:space="preserve">amigable </w:t>
      </w:r>
      <w:r w:rsidR="00D6504E" w:rsidRPr="00486FEC">
        <w:rPr>
          <w:rFonts w:ascii="Verdana" w:hAnsi="Verdana"/>
          <w:sz w:val="20"/>
          <w:szCs w:val="20"/>
        </w:rPr>
        <w:t xml:space="preserve">para </w:t>
      </w:r>
      <w:r w:rsidRPr="00486FEC">
        <w:rPr>
          <w:rFonts w:ascii="Verdana" w:hAnsi="Verdana"/>
          <w:sz w:val="20"/>
          <w:szCs w:val="20"/>
        </w:rPr>
        <w:t xml:space="preserve">mayor y </w:t>
      </w:r>
      <w:r w:rsidR="00D6504E" w:rsidRPr="00486FEC">
        <w:rPr>
          <w:rFonts w:ascii="Verdana" w:hAnsi="Verdana"/>
          <w:sz w:val="20"/>
          <w:szCs w:val="20"/>
        </w:rPr>
        <w:t xml:space="preserve">mejor ilustración del </w:t>
      </w:r>
      <w:r w:rsidRPr="00486FEC">
        <w:rPr>
          <w:rFonts w:ascii="Verdana" w:hAnsi="Verdana"/>
          <w:sz w:val="20"/>
          <w:szCs w:val="20"/>
        </w:rPr>
        <w:t>T</w:t>
      </w:r>
      <w:r w:rsidR="00E46F55" w:rsidRPr="00486FEC">
        <w:rPr>
          <w:rFonts w:ascii="Verdana" w:hAnsi="Verdana"/>
          <w:sz w:val="20"/>
          <w:szCs w:val="20"/>
        </w:rPr>
        <w:t>ribunal.</w:t>
      </w:r>
    </w:p>
    <w:p w14:paraId="5084E6D3" w14:textId="674ED7EF"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59FE3F83" w14:textId="7FC5707F" w:rsidR="00E46F55" w:rsidRDefault="00455048"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Descartada la naturaleza jurídica de prueba del </w:t>
      </w:r>
      <w:r w:rsidRPr="00486FEC">
        <w:rPr>
          <w:rFonts w:ascii="Verdana" w:hAnsi="Verdana"/>
          <w:i/>
          <w:sz w:val="20"/>
          <w:szCs w:val="20"/>
        </w:rPr>
        <w:t xml:space="preserve">amicus curiae, </w:t>
      </w:r>
      <w:r w:rsidR="00A423B5" w:rsidRPr="00486FEC">
        <w:rPr>
          <w:rFonts w:ascii="Verdana" w:hAnsi="Verdana"/>
          <w:sz w:val="20"/>
          <w:szCs w:val="20"/>
        </w:rPr>
        <w:t>e</w:t>
      </w:r>
      <w:r w:rsidR="00547201" w:rsidRPr="00486FEC">
        <w:rPr>
          <w:rFonts w:ascii="Verdana" w:hAnsi="Verdana"/>
          <w:sz w:val="20"/>
          <w:szCs w:val="20"/>
        </w:rPr>
        <w:t xml:space="preserve">n cuanto a su posible carácter de declaración del acusado, cabe hacer notar que ésta </w:t>
      </w:r>
      <w:r w:rsidR="00D6504E" w:rsidRPr="00486FEC">
        <w:rPr>
          <w:rFonts w:ascii="Verdana" w:hAnsi="Verdana"/>
          <w:sz w:val="20"/>
          <w:szCs w:val="20"/>
        </w:rPr>
        <w:t>tiene en todo p</w:t>
      </w:r>
      <w:r w:rsidR="00A423B5" w:rsidRPr="00486FEC">
        <w:rPr>
          <w:rFonts w:ascii="Verdana" w:hAnsi="Verdana"/>
          <w:sz w:val="20"/>
          <w:szCs w:val="20"/>
        </w:rPr>
        <w:t>roceso sancionatorio la naturaleza</w:t>
      </w:r>
      <w:r w:rsidR="00D6504E" w:rsidRPr="00486FEC">
        <w:rPr>
          <w:rFonts w:ascii="Verdana" w:hAnsi="Verdana"/>
          <w:sz w:val="20"/>
          <w:szCs w:val="20"/>
        </w:rPr>
        <w:t xml:space="preserve"> de un acto de defensa, en el que se </w:t>
      </w:r>
      <w:r w:rsidRPr="00486FEC">
        <w:rPr>
          <w:rFonts w:ascii="Verdana" w:hAnsi="Verdana"/>
          <w:sz w:val="20"/>
          <w:szCs w:val="20"/>
        </w:rPr>
        <w:t>o</w:t>
      </w:r>
      <w:r w:rsidR="00A423B5" w:rsidRPr="00486FEC">
        <w:rPr>
          <w:rFonts w:ascii="Verdana" w:hAnsi="Verdana"/>
          <w:sz w:val="20"/>
          <w:szCs w:val="20"/>
        </w:rPr>
        <w:t>torga</w:t>
      </w:r>
      <w:r w:rsidR="00547201" w:rsidRPr="00486FEC">
        <w:rPr>
          <w:rFonts w:ascii="Verdana" w:hAnsi="Verdana"/>
          <w:sz w:val="20"/>
          <w:szCs w:val="20"/>
        </w:rPr>
        <w:t xml:space="preserve"> </w:t>
      </w:r>
      <w:r w:rsidRPr="00486FEC">
        <w:rPr>
          <w:rFonts w:ascii="Verdana" w:hAnsi="Verdana"/>
          <w:sz w:val="20"/>
          <w:szCs w:val="20"/>
        </w:rPr>
        <w:t xml:space="preserve">al imputado </w:t>
      </w:r>
      <w:r w:rsidR="00D6504E" w:rsidRPr="00486FEC">
        <w:rPr>
          <w:rFonts w:ascii="Verdana" w:hAnsi="Verdana"/>
          <w:sz w:val="20"/>
          <w:szCs w:val="20"/>
        </w:rPr>
        <w:t>la posibilidad de explicar con la mayor amplitud posible sus argumentos</w:t>
      </w:r>
      <w:r w:rsidR="00F53104" w:rsidRPr="00486FEC">
        <w:rPr>
          <w:rFonts w:ascii="Verdana" w:hAnsi="Verdana"/>
          <w:sz w:val="20"/>
          <w:szCs w:val="20"/>
        </w:rPr>
        <w:t xml:space="preserve">, siempre que así lo desease </w:t>
      </w:r>
      <w:r w:rsidR="00D6504E" w:rsidRPr="00486FEC">
        <w:rPr>
          <w:rFonts w:ascii="Verdana" w:hAnsi="Verdana"/>
          <w:sz w:val="20"/>
          <w:szCs w:val="20"/>
        </w:rPr>
        <w:t>y sin que su negativa impliq</w:t>
      </w:r>
      <w:r w:rsidR="00E46F55" w:rsidRPr="00486FEC">
        <w:rPr>
          <w:rFonts w:ascii="Verdana" w:hAnsi="Verdana"/>
          <w:sz w:val="20"/>
          <w:szCs w:val="20"/>
        </w:rPr>
        <w:t>ue una presunción en su contra.</w:t>
      </w:r>
    </w:p>
    <w:p w14:paraId="5479B4F7" w14:textId="60789B1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09D7639A" w14:textId="2EAB1FE3" w:rsidR="00E46F55" w:rsidRDefault="00F9122F"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De hecho y conforme a la realidad del mundo, el principal perjudicado por esta sentencia </w:t>
      </w:r>
      <w:r w:rsidR="009A7EF9" w:rsidRPr="00486FEC">
        <w:rPr>
          <w:rFonts w:ascii="Verdana" w:hAnsi="Verdana"/>
          <w:sz w:val="20"/>
          <w:szCs w:val="20"/>
        </w:rPr>
        <w:t xml:space="preserve">formalmente pronunciada contra el Estado, </w:t>
      </w:r>
      <w:r w:rsidRPr="00486FEC">
        <w:rPr>
          <w:rFonts w:ascii="Verdana" w:hAnsi="Verdana"/>
          <w:sz w:val="20"/>
          <w:szCs w:val="20"/>
        </w:rPr>
        <w:t>no ha tenido l</w:t>
      </w:r>
      <w:r w:rsidR="00A423B5" w:rsidRPr="00486FEC">
        <w:rPr>
          <w:rFonts w:ascii="Verdana" w:hAnsi="Verdana"/>
          <w:sz w:val="20"/>
          <w:szCs w:val="20"/>
        </w:rPr>
        <w:t>a oportunidad de hacerse</w:t>
      </w:r>
      <w:r w:rsidR="007959CD" w:rsidRPr="00486FEC">
        <w:rPr>
          <w:rFonts w:ascii="Verdana" w:hAnsi="Verdana"/>
          <w:sz w:val="20"/>
          <w:szCs w:val="20"/>
        </w:rPr>
        <w:t xml:space="preserve"> </w:t>
      </w:r>
      <w:r w:rsidR="00455048" w:rsidRPr="00486FEC">
        <w:rPr>
          <w:rFonts w:ascii="Verdana" w:hAnsi="Verdana"/>
          <w:sz w:val="20"/>
          <w:szCs w:val="20"/>
        </w:rPr>
        <w:t xml:space="preserve">escuchar </w:t>
      </w:r>
      <w:r w:rsidR="007959CD" w:rsidRPr="00486FEC">
        <w:rPr>
          <w:rFonts w:ascii="Verdana" w:hAnsi="Verdana"/>
          <w:sz w:val="20"/>
          <w:szCs w:val="20"/>
        </w:rPr>
        <w:t xml:space="preserve">en el procedimiento ante la Corte, </w:t>
      </w:r>
      <w:r w:rsidR="009A7EF9" w:rsidRPr="00486FEC">
        <w:rPr>
          <w:rFonts w:ascii="Verdana" w:hAnsi="Verdana"/>
          <w:sz w:val="20"/>
          <w:szCs w:val="20"/>
        </w:rPr>
        <w:t xml:space="preserve">donde </w:t>
      </w:r>
      <w:r w:rsidR="007959CD" w:rsidRPr="00486FEC">
        <w:rPr>
          <w:rFonts w:ascii="Verdana" w:hAnsi="Verdana"/>
          <w:sz w:val="20"/>
          <w:szCs w:val="20"/>
        </w:rPr>
        <w:t xml:space="preserve">únicamente </w:t>
      </w:r>
      <w:r w:rsidR="009A7EF9" w:rsidRPr="00486FEC">
        <w:rPr>
          <w:rFonts w:ascii="Verdana" w:hAnsi="Verdana"/>
          <w:sz w:val="20"/>
          <w:szCs w:val="20"/>
        </w:rPr>
        <w:t xml:space="preserve">se le ha brindado </w:t>
      </w:r>
      <w:r w:rsidR="007959CD" w:rsidRPr="00486FEC">
        <w:rPr>
          <w:rFonts w:ascii="Verdana" w:hAnsi="Verdana"/>
          <w:sz w:val="20"/>
          <w:szCs w:val="20"/>
        </w:rPr>
        <w:t>l</w:t>
      </w:r>
      <w:r w:rsidRPr="00486FEC">
        <w:rPr>
          <w:rFonts w:ascii="Verdana" w:hAnsi="Verdana"/>
          <w:sz w:val="20"/>
          <w:szCs w:val="20"/>
        </w:rPr>
        <w:t xml:space="preserve">a </w:t>
      </w:r>
      <w:r w:rsidR="009A7EF9" w:rsidRPr="00486FEC">
        <w:rPr>
          <w:rFonts w:ascii="Verdana" w:hAnsi="Verdana"/>
          <w:sz w:val="20"/>
          <w:szCs w:val="20"/>
        </w:rPr>
        <w:t xml:space="preserve">posibilidad de </w:t>
      </w:r>
      <w:r w:rsidRPr="00486FEC">
        <w:rPr>
          <w:rFonts w:ascii="Verdana" w:hAnsi="Verdana"/>
          <w:sz w:val="20"/>
          <w:szCs w:val="20"/>
        </w:rPr>
        <w:t xml:space="preserve">pronunciarse como </w:t>
      </w:r>
      <w:r w:rsidRPr="00486FEC">
        <w:rPr>
          <w:rFonts w:ascii="Verdana" w:hAnsi="Verdana"/>
          <w:i/>
          <w:sz w:val="20"/>
          <w:szCs w:val="20"/>
        </w:rPr>
        <w:t>amigo del tribunal</w:t>
      </w:r>
      <w:r w:rsidRPr="00486FEC">
        <w:rPr>
          <w:rFonts w:ascii="Verdana" w:hAnsi="Verdana"/>
          <w:sz w:val="20"/>
          <w:szCs w:val="20"/>
        </w:rPr>
        <w:t xml:space="preserve">, pese a </w:t>
      </w:r>
      <w:r w:rsidR="00455048" w:rsidRPr="00486FEC">
        <w:rPr>
          <w:rFonts w:ascii="Verdana" w:hAnsi="Verdana"/>
          <w:sz w:val="20"/>
          <w:szCs w:val="20"/>
        </w:rPr>
        <w:t xml:space="preserve">haber sido </w:t>
      </w:r>
      <w:r w:rsidR="00133996" w:rsidRPr="00486FEC">
        <w:rPr>
          <w:rFonts w:ascii="Verdana" w:hAnsi="Verdana"/>
          <w:sz w:val="20"/>
          <w:szCs w:val="20"/>
        </w:rPr>
        <w:t xml:space="preserve">la persona más </w:t>
      </w:r>
      <w:r w:rsidR="00C02EDB" w:rsidRPr="00486FEC">
        <w:rPr>
          <w:rFonts w:ascii="Verdana" w:hAnsi="Verdana"/>
          <w:sz w:val="20"/>
          <w:szCs w:val="20"/>
        </w:rPr>
        <w:t xml:space="preserve">citada </w:t>
      </w:r>
      <w:r w:rsidR="00133996" w:rsidRPr="00486FEC">
        <w:rPr>
          <w:rFonts w:ascii="Verdana" w:hAnsi="Verdana"/>
          <w:sz w:val="20"/>
          <w:szCs w:val="20"/>
        </w:rPr>
        <w:t xml:space="preserve">por su nombre en el </w:t>
      </w:r>
      <w:r w:rsidR="009A7EF9" w:rsidRPr="00486FEC">
        <w:rPr>
          <w:rFonts w:ascii="Verdana" w:hAnsi="Verdana"/>
          <w:sz w:val="20"/>
          <w:szCs w:val="20"/>
        </w:rPr>
        <w:t xml:space="preserve">acto acusatorio escrito, </w:t>
      </w:r>
      <w:r w:rsidR="00133996" w:rsidRPr="00486FEC">
        <w:rPr>
          <w:rFonts w:ascii="Verdana" w:hAnsi="Verdana"/>
          <w:sz w:val="20"/>
          <w:szCs w:val="20"/>
        </w:rPr>
        <w:t>en la acusación oral, en las declaraciones de testigos y peritos</w:t>
      </w:r>
      <w:r w:rsidR="00547201" w:rsidRPr="00486FEC">
        <w:rPr>
          <w:rFonts w:ascii="Verdana" w:hAnsi="Verdana"/>
          <w:sz w:val="20"/>
          <w:szCs w:val="20"/>
        </w:rPr>
        <w:t xml:space="preserve">, </w:t>
      </w:r>
      <w:r w:rsidR="00133996" w:rsidRPr="00486FEC">
        <w:rPr>
          <w:rFonts w:ascii="Verdana" w:hAnsi="Verdana"/>
          <w:sz w:val="20"/>
          <w:szCs w:val="20"/>
        </w:rPr>
        <w:t xml:space="preserve">o sea, que haya sido la presencia constante en todo el procedimiento e incluso </w:t>
      </w:r>
      <w:r w:rsidR="00547201" w:rsidRPr="00486FEC">
        <w:rPr>
          <w:rFonts w:ascii="Verdana" w:hAnsi="Verdana"/>
          <w:sz w:val="20"/>
          <w:szCs w:val="20"/>
        </w:rPr>
        <w:t xml:space="preserve">ahora </w:t>
      </w:r>
      <w:r w:rsidR="00133996" w:rsidRPr="00486FEC">
        <w:rPr>
          <w:rFonts w:ascii="Verdana" w:hAnsi="Verdana"/>
          <w:sz w:val="20"/>
          <w:szCs w:val="20"/>
        </w:rPr>
        <w:t xml:space="preserve">en la </w:t>
      </w:r>
      <w:r w:rsidR="009A7EF9" w:rsidRPr="00486FEC">
        <w:rPr>
          <w:rFonts w:ascii="Verdana" w:hAnsi="Verdana"/>
          <w:sz w:val="20"/>
          <w:szCs w:val="20"/>
        </w:rPr>
        <w:t>alta</w:t>
      </w:r>
      <w:r w:rsidR="00C02EDB" w:rsidRPr="00486FEC">
        <w:rPr>
          <w:rFonts w:ascii="Verdana" w:hAnsi="Verdana"/>
          <w:sz w:val="20"/>
          <w:szCs w:val="20"/>
        </w:rPr>
        <w:t xml:space="preserve">mente respetable </w:t>
      </w:r>
      <w:r w:rsidR="00133996" w:rsidRPr="00486FEC">
        <w:rPr>
          <w:rFonts w:ascii="Verdana" w:hAnsi="Verdana"/>
          <w:sz w:val="20"/>
          <w:szCs w:val="20"/>
        </w:rPr>
        <w:t xml:space="preserve">opinión vertida por la </w:t>
      </w:r>
      <w:r w:rsidR="00E46F55" w:rsidRPr="00486FEC">
        <w:rPr>
          <w:rFonts w:ascii="Verdana" w:hAnsi="Verdana"/>
          <w:sz w:val="20"/>
          <w:szCs w:val="20"/>
        </w:rPr>
        <w:t>mayoría de esta Corte.</w:t>
      </w:r>
    </w:p>
    <w:p w14:paraId="75F31EFA" w14:textId="16CFDA9E"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2714CAB6" w14:textId="41141EBA" w:rsidR="00E46F55" w:rsidRDefault="00C02EDB"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Considero </w:t>
      </w:r>
      <w:r w:rsidR="00514C72" w:rsidRPr="00486FEC">
        <w:rPr>
          <w:rFonts w:ascii="Verdana" w:hAnsi="Verdana"/>
          <w:sz w:val="20"/>
          <w:szCs w:val="20"/>
        </w:rPr>
        <w:t>procesal</w:t>
      </w:r>
      <w:r w:rsidRPr="00486FEC">
        <w:rPr>
          <w:rFonts w:ascii="Verdana" w:hAnsi="Verdana"/>
          <w:sz w:val="20"/>
          <w:szCs w:val="20"/>
        </w:rPr>
        <w:t xml:space="preserve"> y jurídicamente </w:t>
      </w:r>
      <w:r w:rsidR="00514C72" w:rsidRPr="00486FEC">
        <w:rPr>
          <w:rFonts w:ascii="Verdana" w:hAnsi="Verdana"/>
          <w:sz w:val="20"/>
          <w:szCs w:val="20"/>
        </w:rPr>
        <w:t xml:space="preserve">inadecuado desvirtuar el concepto tradicional del </w:t>
      </w:r>
      <w:r w:rsidR="00F9122F" w:rsidRPr="00486FEC">
        <w:rPr>
          <w:rFonts w:ascii="Verdana" w:hAnsi="Verdana"/>
          <w:i/>
          <w:sz w:val="20"/>
          <w:szCs w:val="20"/>
        </w:rPr>
        <w:t>amicus curiae</w:t>
      </w:r>
      <w:r w:rsidR="00F9122F" w:rsidRPr="00486FEC">
        <w:rPr>
          <w:rFonts w:ascii="Verdana" w:hAnsi="Verdana"/>
          <w:sz w:val="20"/>
          <w:szCs w:val="20"/>
        </w:rPr>
        <w:t xml:space="preserve"> </w:t>
      </w:r>
      <w:r w:rsidR="00514C72" w:rsidRPr="00486FEC">
        <w:rPr>
          <w:rFonts w:ascii="Verdana" w:hAnsi="Verdana"/>
          <w:sz w:val="20"/>
          <w:szCs w:val="20"/>
        </w:rPr>
        <w:t xml:space="preserve">y considerarlo </w:t>
      </w:r>
      <w:r w:rsidR="00F9122F" w:rsidRPr="00486FEC">
        <w:rPr>
          <w:rFonts w:ascii="Verdana" w:hAnsi="Verdana"/>
          <w:sz w:val="20"/>
          <w:szCs w:val="20"/>
        </w:rPr>
        <w:t>como un</w:t>
      </w:r>
      <w:r w:rsidR="00514C72" w:rsidRPr="00486FEC">
        <w:rPr>
          <w:rFonts w:ascii="Verdana" w:hAnsi="Verdana"/>
          <w:sz w:val="20"/>
          <w:szCs w:val="20"/>
        </w:rPr>
        <w:t xml:space="preserve"> medio de prueba o como </w:t>
      </w:r>
      <w:r w:rsidR="00547201" w:rsidRPr="00486FEC">
        <w:rPr>
          <w:rFonts w:ascii="Verdana" w:hAnsi="Verdana"/>
          <w:sz w:val="20"/>
          <w:szCs w:val="20"/>
        </w:rPr>
        <w:t>un</w:t>
      </w:r>
      <w:r w:rsidR="00F9122F" w:rsidRPr="00486FEC">
        <w:rPr>
          <w:rFonts w:ascii="Verdana" w:hAnsi="Verdana"/>
          <w:sz w:val="20"/>
          <w:szCs w:val="20"/>
        </w:rPr>
        <w:t xml:space="preserve"> acto de defensa supletorio de la declaración del acusado</w:t>
      </w:r>
      <w:r w:rsidR="009A7EF9" w:rsidRPr="00486FEC">
        <w:rPr>
          <w:rFonts w:ascii="Verdana" w:hAnsi="Verdana"/>
          <w:sz w:val="20"/>
          <w:szCs w:val="20"/>
        </w:rPr>
        <w:t xml:space="preserve"> o perjudicado</w:t>
      </w:r>
      <w:r w:rsidR="00F9122F" w:rsidRPr="00486FEC">
        <w:rPr>
          <w:rFonts w:ascii="Verdana" w:hAnsi="Verdana"/>
          <w:sz w:val="20"/>
          <w:szCs w:val="20"/>
        </w:rPr>
        <w:t xml:space="preserve">, </w:t>
      </w:r>
      <w:r w:rsidRPr="00486FEC">
        <w:rPr>
          <w:rFonts w:ascii="Verdana" w:hAnsi="Verdana"/>
          <w:sz w:val="20"/>
          <w:szCs w:val="20"/>
        </w:rPr>
        <w:t>puesto que cuando se alteran conceptos que son pacíficamente aceptados por la doctrina y la jurisprudencia, se siembra confusión e inseguridad jurídica</w:t>
      </w:r>
      <w:r w:rsidR="00A423B5" w:rsidRPr="00486FEC">
        <w:rPr>
          <w:rFonts w:ascii="Verdana" w:hAnsi="Verdana"/>
          <w:sz w:val="20"/>
          <w:szCs w:val="20"/>
        </w:rPr>
        <w:t xml:space="preserve"> hacia el futuro</w:t>
      </w:r>
      <w:r w:rsidRPr="00486FEC">
        <w:rPr>
          <w:rFonts w:ascii="Verdana" w:hAnsi="Verdana"/>
          <w:sz w:val="20"/>
          <w:szCs w:val="20"/>
        </w:rPr>
        <w:t xml:space="preserve">. Por ende, </w:t>
      </w:r>
      <w:r w:rsidR="00455048" w:rsidRPr="00486FEC">
        <w:rPr>
          <w:rFonts w:ascii="Verdana" w:hAnsi="Verdana"/>
          <w:sz w:val="20"/>
          <w:szCs w:val="20"/>
        </w:rPr>
        <w:t xml:space="preserve">para neutralizar ese efecto, </w:t>
      </w:r>
      <w:r w:rsidRPr="00486FEC">
        <w:rPr>
          <w:rFonts w:ascii="Verdana" w:hAnsi="Verdana"/>
          <w:sz w:val="20"/>
          <w:szCs w:val="20"/>
        </w:rPr>
        <w:t xml:space="preserve">se </w:t>
      </w:r>
      <w:r w:rsidR="007C236A" w:rsidRPr="00486FEC">
        <w:rPr>
          <w:rFonts w:ascii="Verdana" w:hAnsi="Verdana"/>
          <w:sz w:val="20"/>
          <w:szCs w:val="20"/>
        </w:rPr>
        <w:t xml:space="preserve">impone </w:t>
      </w:r>
      <w:r w:rsidR="00514C72" w:rsidRPr="00486FEC">
        <w:rPr>
          <w:rFonts w:ascii="Verdana" w:hAnsi="Verdana"/>
          <w:sz w:val="20"/>
          <w:szCs w:val="20"/>
        </w:rPr>
        <w:t xml:space="preserve">preguntar cuál es </w:t>
      </w:r>
      <w:r w:rsidRPr="00486FEC">
        <w:rPr>
          <w:rFonts w:ascii="Verdana" w:hAnsi="Verdana"/>
          <w:sz w:val="20"/>
          <w:szCs w:val="20"/>
        </w:rPr>
        <w:t>la v</w:t>
      </w:r>
      <w:r w:rsidR="00514C72" w:rsidRPr="00486FEC">
        <w:rPr>
          <w:rFonts w:ascii="Verdana" w:hAnsi="Verdana"/>
          <w:sz w:val="20"/>
          <w:szCs w:val="20"/>
        </w:rPr>
        <w:t xml:space="preserve">erdadera naturaleza jurídica del escrito que la Corte permitió </w:t>
      </w:r>
      <w:r w:rsidR="00A539DC" w:rsidRPr="00486FEC">
        <w:rPr>
          <w:rFonts w:ascii="Verdana" w:hAnsi="Verdana"/>
          <w:sz w:val="20"/>
          <w:szCs w:val="20"/>
        </w:rPr>
        <w:t>presentar a</w:t>
      </w:r>
      <w:r w:rsidRPr="00486FEC">
        <w:rPr>
          <w:rFonts w:ascii="Verdana" w:hAnsi="Verdana"/>
          <w:sz w:val="20"/>
          <w:szCs w:val="20"/>
        </w:rPr>
        <w:t xml:space="preserve"> la persona sobre la que </w:t>
      </w:r>
      <w:r w:rsidR="009A7EF9" w:rsidRPr="00486FEC">
        <w:rPr>
          <w:rFonts w:ascii="Verdana" w:hAnsi="Verdana"/>
          <w:sz w:val="20"/>
          <w:szCs w:val="20"/>
        </w:rPr>
        <w:t xml:space="preserve">recaerán </w:t>
      </w:r>
      <w:r w:rsidR="00455048" w:rsidRPr="00486FEC">
        <w:rPr>
          <w:rFonts w:ascii="Verdana" w:hAnsi="Verdana"/>
          <w:sz w:val="20"/>
          <w:szCs w:val="20"/>
        </w:rPr>
        <w:t xml:space="preserve">en definitiva las sanciones políticas y patrimoniales </w:t>
      </w:r>
      <w:r w:rsidR="009A7EF9" w:rsidRPr="00486FEC">
        <w:rPr>
          <w:rFonts w:ascii="Verdana" w:hAnsi="Verdana"/>
          <w:sz w:val="20"/>
          <w:szCs w:val="20"/>
        </w:rPr>
        <w:t>como consecuencia de lo resuelto</w:t>
      </w:r>
      <w:r w:rsidR="00A539DC" w:rsidRPr="00486FEC">
        <w:rPr>
          <w:rFonts w:ascii="Verdana" w:hAnsi="Verdana"/>
          <w:sz w:val="20"/>
          <w:szCs w:val="20"/>
        </w:rPr>
        <w:t xml:space="preserve"> por el Tribunal</w:t>
      </w:r>
      <w:r w:rsidR="00E46F55" w:rsidRPr="00486FEC">
        <w:rPr>
          <w:rFonts w:ascii="Verdana" w:hAnsi="Verdana"/>
          <w:sz w:val="20"/>
          <w:szCs w:val="20"/>
        </w:rPr>
        <w:t>.</w:t>
      </w:r>
    </w:p>
    <w:p w14:paraId="3BEB9392" w14:textId="4FB06ABF"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63B171B2" w14:textId="7CF404EC" w:rsidR="00E46F55" w:rsidRDefault="009A7EF9"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Des</w:t>
      </w:r>
      <w:r w:rsidR="00514C72" w:rsidRPr="00486FEC">
        <w:rPr>
          <w:rFonts w:ascii="Verdana" w:hAnsi="Verdana"/>
          <w:sz w:val="20"/>
          <w:szCs w:val="20"/>
        </w:rPr>
        <w:t xml:space="preserve">cartando la alteración conceptual </w:t>
      </w:r>
      <w:r w:rsidR="00C02EDB" w:rsidRPr="00486FEC">
        <w:rPr>
          <w:rFonts w:ascii="Verdana" w:hAnsi="Verdana"/>
          <w:sz w:val="20"/>
          <w:szCs w:val="20"/>
        </w:rPr>
        <w:t xml:space="preserve">antes observada, </w:t>
      </w:r>
      <w:r w:rsidR="00514C72" w:rsidRPr="00486FEC">
        <w:rPr>
          <w:rFonts w:ascii="Verdana" w:hAnsi="Verdana"/>
          <w:sz w:val="20"/>
          <w:szCs w:val="20"/>
        </w:rPr>
        <w:t>debe entenderse que la mayoría de la Corte decidió que</w:t>
      </w:r>
      <w:r w:rsidR="007C236A" w:rsidRPr="00486FEC">
        <w:rPr>
          <w:rFonts w:ascii="Verdana" w:hAnsi="Verdana"/>
          <w:sz w:val="20"/>
          <w:szCs w:val="20"/>
        </w:rPr>
        <w:t>,</w:t>
      </w:r>
      <w:r w:rsidR="00514C72" w:rsidRPr="00486FEC">
        <w:rPr>
          <w:rFonts w:ascii="Verdana" w:hAnsi="Verdana"/>
          <w:sz w:val="20"/>
          <w:szCs w:val="20"/>
        </w:rPr>
        <w:t xml:space="preserve"> en lugar de una audiencia</w:t>
      </w:r>
      <w:r w:rsidR="007C236A" w:rsidRPr="00486FEC">
        <w:rPr>
          <w:rFonts w:ascii="Verdana" w:hAnsi="Verdana"/>
          <w:sz w:val="20"/>
          <w:szCs w:val="20"/>
        </w:rPr>
        <w:t>,</w:t>
      </w:r>
      <w:r w:rsidR="00514C72" w:rsidRPr="00486FEC">
        <w:rPr>
          <w:rFonts w:ascii="Verdana" w:hAnsi="Verdana"/>
          <w:sz w:val="20"/>
          <w:szCs w:val="20"/>
        </w:rPr>
        <w:t xml:space="preserve"> el dirigente político opositor </w:t>
      </w:r>
      <w:r w:rsidR="00A539DC" w:rsidRPr="00486FEC">
        <w:rPr>
          <w:rFonts w:ascii="Verdana" w:hAnsi="Verdana"/>
          <w:sz w:val="20"/>
          <w:szCs w:val="20"/>
        </w:rPr>
        <w:t xml:space="preserve">podía </w:t>
      </w:r>
      <w:r w:rsidR="00514C72" w:rsidRPr="00486FEC">
        <w:rPr>
          <w:rFonts w:ascii="Verdana" w:hAnsi="Verdana"/>
          <w:sz w:val="20"/>
          <w:szCs w:val="20"/>
        </w:rPr>
        <w:t>expresa</w:t>
      </w:r>
      <w:r w:rsidR="007C236A" w:rsidRPr="00486FEC">
        <w:rPr>
          <w:rFonts w:ascii="Verdana" w:hAnsi="Verdana"/>
          <w:sz w:val="20"/>
          <w:szCs w:val="20"/>
        </w:rPr>
        <w:t>r</w:t>
      </w:r>
      <w:r w:rsidR="00514C72" w:rsidRPr="00486FEC">
        <w:rPr>
          <w:rFonts w:ascii="Verdana" w:hAnsi="Verdana"/>
          <w:sz w:val="20"/>
          <w:szCs w:val="20"/>
        </w:rPr>
        <w:t xml:space="preserve">se </w:t>
      </w:r>
      <w:r w:rsidR="00133996" w:rsidRPr="00486FEC">
        <w:rPr>
          <w:rFonts w:ascii="Verdana" w:hAnsi="Verdana"/>
          <w:sz w:val="20"/>
          <w:szCs w:val="20"/>
        </w:rPr>
        <w:t xml:space="preserve">únicamente </w:t>
      </w:r>
      <w:r w:rsidR="00514C72" w:rsidRPr="00486FEC">
        <w:rPr>
          <w:rFonts w:ascii="Verdana" w:hAnsi="Verdana"/>
          <w:sz w:val="20"/>
          <w:szCs w:val="20"/>
        </w:rPr>
        <w:t>a través de un</w:t>
      </w:r>
      <w:r w:rsidR="00133996" w:rsidRPr="00486FEC">
        <w:rPr>
          <w:rFonts w:ascii="Verdana" w:hAnsi="Verdana"/>
          <w:sz w:val="20"/>
          <w:szCs w:val="20"/>
        </w:rPr>
        <w:t xml:space="preserve"> escrito. S</w:t>
      </w:r>
      <w:r w:rsidR="007C236A" w:rsidRPr="00486FEC">
        <w:rPr>
          <w:rFonts w:ascii="Verdana" w:hAnsi="Verdana"/>
          <w:sz w:val="20"/>
          <w:szCs w:val="20"/>
        </w:rPr>
        <w:t xml:space="preserve">e </w:t>
      </w:r>
      <w:r w:rsidR="00A539DC" w:rsidRPr="00486FEC">
        <w:rPr>
          <w:rFonts w:ascii="Verdana" w:hAnsi="Verdana"/>
          <w:sz w:val="20"/>
          <w:szCs w:val="20"/>
        </w:rPr>
        <w:t xml:space="preserve">le ha brindado pues, la </w:t>
      </w:r>
      <w:r w:rsidR="00F400E8" w:rsidRPr="00486FEC">
        <w:rPr>
          <w:rFonts w:ascii="Verdana" w:hAnsi="Verdana"/>
          <w:sz w:val="20"/>
          <w:szCs w:val="20"/>
        </w:rPr>
        <w:t xml:space="preserve">posibilidad de </w:t>
      </w:r>
      <w:r w:rsidR="00A539DC" w:rsidRPr="00486FEC">
        <w:rPr>
          <w:rFonts w:ascii="Verdana" w:hAnsi="Verdana"/>
          <w:sz w:val="20"/>
          <w:szCs w:val="20"/>
        </w:rPr>
        <w:t xml:space="preserve">presentar un escrito </w:t>
      </w:r>
      <w:r w:rsidR="001F2FAE" w:rsidRPr="00486FEC">
        <w:rPr>
          <w:rFonts w:ascii="Verdana" w:hAnsi="Verdana"/>
          <w:sz w:val="20"/>
          <w:szCs w:val="20"/>
        </w:rPr>
        <w:t xml:space="preserve">para que </w:t>
      </w:r>
      <w:r w:rsidR="00A539DC" w:rsidRPr="00486FEC">
        <w:rPr>
          <w:rFonts w:ascii="Verdana" w:hAnsi="Verdana"/>
          <w:sz w:val="20"/>
          <w:szCs w:val="20"/>
        </w:rPr>
        <w:t>exprese sus puntos de vista</w:t>
      </w:r>
      <w:r w:rsidR="001F2FAE" w:rsidRPr="00486FEC">
        <w:rPr>
          <w:rFonts w:ascii="Verdana" w:hAnsi="Verdana"/>
          <w:sz w:val="20"/>
          <w:szCs w:val="20"/>
        </w:rPr>
        <w:t xml:space="preserve">, con la única seguridad de que no le sería devuelto </w:t>
      </w:r>
      <w:r w:rsidR="00C02EDB" w:rsidRPr="00486FEC">
        <w:rPr>
          <w:rFonts w:ascii="Verdana" w:hAnsi="Verdana"/>
          <w:i/>
          <w:sz w:val="20"/>
          <w:szCs w:val="20"/>
        </w:rPr>
        <w:t xml:space="preserve">in limine </w:t>
      </w:r>
      <w:r w:rsidR="001F2FAE" w:rsidRPr="00486FEC">
        <w:rPr>
          <w:rFonts w:ascii="Verdana" w:hAnsi="Verdana"/>
          <w:sz w:val="20"/>
          <w:szCs w:val="20"/>
        </w:rPr>
        <w:t>por improcedente</w:t>
      </w:r>
      <w:r w:rsidR="00E46F55" w:rsidRPr="00486FEC">
        <w:rPr>
          <w:rFonts w:ascii="Verdana" w:hAnsi="Verdana"/>
          <w:sz w:val="20"/>
          <w:szCs w:val="20"/>
        </w:rPr>
        <w:t>.</w:t>
      </w:r>
    </w:p>
    <w:p w14:paraId="386DBB29" w14:textId="06B8FCD2"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2963A1BE" w14:textId="55688656" w:rsidR="00E46F55" w:rsidRDefault="00514C72"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Es sabido que un escrito no equivale a una declaración en audiencia, donde la persona que puede resultar condenada </w:t>
      </w:r>
      <w:r w:rsidR="00F400E8" w:rsidRPr="00486FEC">
        <w:rPr>
          <w:rFonts w:ascii="Verdana" w:hAnsi="Verdana"/>
          <w:sz w:val="20"/>
          <w:szCs w:val="20"/>
        </w:rPr>
        <w:t xml:space="preserve">o gravemente perjudicada </w:t>
      </w:r>
      <w:r w:rsidRPr="00486FEC">
        <w:rPr>
          <w:rFonts w:ascii="Verdana" w:hAnsi="Verdana"/>
          <w:sz w:val="20"/>
          <w:szCs w:val="20"/>
        </w:rPr>
        <w:t>puede explayarse, ser repreguntada</w:t>
      </w:r>
      <w:r w:rsidR="00A423B5" w:rsidRPr="00486FEC">
        <w:rPr>
          <w:rFonts w:ascii="Verdana" w:hAnsi="Verdana"/>
          <w:sz w:val="20"/>
          <w:szCs w:val="20"/>
        </w:rPr>
        <w:t xml:space="preserve"> por las partes y los jueces</w:t>
      </w:r>
      <w:r w:rsidRPr="00486FEC">
        <w:rPr>
          <w:rFonts w:ascii="Verdana" w:hAnsi="Verdana"/>
          <w:sz w:val="20"/>
          <w:szCs w:val="20"/>
        </w:rPr>
        <w:t xml:space="preserve"> y disipar dudas, </w:t>
      </w:r>
      <w:r w:rsidR="00F400E8" w:rsidRPr="00486FEC">
        <w:rPr>
          <w:rFonts w:ascii="Verdana" w:hAnsi="Verdana"/>
          <w:sz w:val="20"/>
          <w:szCs w:val="20"/>
        </w:rPr>
        <w:t xml:space="preserve">además de la </w:t>
      </w:r>
      <w:r w:rsidRPr="00486FEC">
        <w:rPr>
          <w:rFonts w:ascii="Verdana" w:hAnsi="Verdana"/>
          <w:sz w:val="20"/>
          <w:szCs w:val="20"/>
        </w:rPr>
        <w:t xml:space="preserve">importancia </w:t>
      </w:r>
      <w:r w:rsidR="00F400E8" w:rsidRPr="00486FEC">
        <w:rPr>
          <w:rFonts w:ascii="Verdana" w:hAnsi="Verdana"/>
          <w:sz w:val="20"/>
          <w:szCs w:val="20"/>
        </w:rPr>
        <w:t>que siempre tiene l</w:t>
      </w:r>
      <w:r w:rsidRPr="00486FEC">
        <w:rPr>
          <w:rFonts w:ascii="Verdana" w:hAnsi="Verdana"/>
          <w:sz w:val="20"/>
          <w:szCs w:val="20"/>
        </w:rPr>
        <w:t xml:space="preserve">a impresión directa </w:t>
      </w:r>
      <w:r w:rsidR="00F400E8" w:rsidRPr="00486FEC">
        <w:rPr>
          <w:rFonts w:ascii="Verdana" w:hAnsi="Verdana"/>
          <w:sz w:val="20"/>
          <w:szCs w:val="20"/>
        </w:rPr>
        <w:t xml:space="preserve">que produce el declarante en </w:t>
      </w:r>
      <w:r w:rsidRPr="00486FEC">
        <w:rPr>
          <w:rFonts w:ascii="Verdana" w:hAnsi="Verdana"/>
          <w:sz w:val="20"/>
          <w:szCs w:val="20"/>
        </w:rPr>
        <w:t>los jueces</w:t>
      </w:r>
      <w:r w:rsidR="00F400E8" w:rsidRPr="00486FEC">
        <w:rPr>
          <w:rFonts w:ascii="Verdana" w:hAnsi="Verdana"/>
          <w:sz w:val="20"/>
          <w:szCs w:val="20"/>
        </w:rPr>
        <w:t xml:space="preserve">, </w:t>
      </w:r>
      <w:r w:rsidRPr="00486FEC">
        <w:rPr>
          <w:rFonts w:ascii="Verdana" w:hAnsi="Verdana"/>
          <w:sz w:val="20"/>
          <w:szCs w:val="20"/>
        </w:rPr>
        <w:t xml:space="preserve">lo que no deja de ser </w:t>
      </w:r>
      <w:r w:rsidR="007C236A" w:rsidRPr="00486FEC">
        <w:rPr>
          <w:rFonts w:ascii="Verdana" w:hAnsi="Verdana"/>
          <w:sz w:val="20"/>
          <w:szCs w:val="20"/>
        </w:rPr>
        <w:t xml:space="preserve">relevante </w:t>
      </w:r>
      <w:r w:rsidR="00F400E8" w:rsidRPr="00486FEC">
        <w:rPr>
          <w:rFonts w:ascii="Verdana" w:hAnsi="Verdana"/>
          <w:sz w:val="20"/>
          <w:szCs w:val="20"/>
        </w:rPr>
        <w:t>cuando se trata de valorar el contenido de verdad de sus dichos, en lo que juega</w:t>
      </w:r>
      <w:r w:rsidR="001F2FAE" w:rsidRPr="00486FEC">
        <w:rPr>
          <w:rFonts w:ascii="Verdana" w:hAnsi="Verdana"/>
          <w:sz w:val="20"/>
          <w:szCs w:val="20"/>
        </w:rPr>
        <w:t>n</w:t>
      </w:r>
      <w:r w:rsidR="00F400E8" w:rsidRPr="00486FEC">
        <w:rPr>
          <w:rFonts w:ascii="Verdana" w:hAnsi="Verdana"/>
          <w:sz w:val="20"/>
          <w:szCs w:val="20"/>
        </w:rPr>
        <w:t xml:space="preserve"> la </w:t>
      </w:r>
      <w:r w:rsidRPr="00486FEC">
        <w:rPr>
          <w:rFonts w:ascii="Verdana" w:hAnsi="Verdana"/>
          <w:sz w:val="20"/>
          <w:szCs w:val="20"/>
        </w:rPr>
        <w:t xml:space="preserve">espontaneidad de las respuestas, </w:t>
      </w:r>
      <w:r w:rsidR="00F400E8" w:rsidRPr="00486FEC">
        <w:rPr>
          <w:rFonts w:ascii="Verdana" w:hAnsi="Verdana"/>
          <w:sz w:val="20"/>
          <w:szCs w:val="20"/>
        </w:rPr>
        <w:t xml:space="preserve">el grado de </w:t>
      </w:r>
      <w:r w:rsidRPr="00486FEC">
        <w:rPr>
          <w:rFonts w:ascii="Verdana" w:hAnsi="Verdana"/>
          <w:sz w:val="20"/>
          <w:szCs w:val="20"/>
        </w:rPr>
        <w:t xml:space="preserve">sinceridad de sus manifestaciones, </w:t>
      </w:r>
      <w:r w:rsidR="00F400E8" w:rsidRPr="00486FEC">
        <w:rPr>
          <w:rFonts w:ascii="Verdana" w:hAnsi="Verdana"/>
          <w:sz w:val="20"/>
          <w:szCs w:val="20"/>
        </w:rPr>
        <w:t xml:space="preserve">su </w:t>
      </w:r>
      <w:r w:rsidR="00111877" w:rsidRPr="00486FEC">
        <w:rPr>
          <w:rFonts w:ascii="Verdana" w:hAnsi="Verdana"/>
          <w:sz w:val="20"/>
          <w:szCs w:val="20"/>
        </w:rPr>
        <w:t xml:space="preserve">estado de ánimo, </w:t>
      </w:r>
      <w:r w:rsidR="00F400E8" w:rsidRPr="00486FEC">
        <w:rPr>
          <w:rFonts w:ascii="Verdana" w:hAnsi="Verdana"/>
          <w:sz w:val="20"/>
          <w:szCs w:val="20"/>
        </w:rPr>
        <w:t>la firmeza o el nerviosismo</w:t>
      </w:r>
      <w:r w:rsidR="00A539DC" w:rsidRPr="00486FEC">
        <w:rPr>
          <w:rFonts w:ascii="Verdana" w:hAnsi="Verdana"/>
          <w:sz w:val="20"/>
          <w:szCs w:val="20"/>
        </w:rPr>
        <w:t xml:space="preserve">, los </w:t>
      </w:r>
      <w:r w:rsidR="00F400E8" w:rsidRPr="00486FEC">
        <w:rPr>
          <w:rFonts w:ascii="Verdana" w:hAnsi="Verdana"/>
          <w:sz w:val="20"/>
          <w:szCs w:val="20"/>
        </w:rPr>
        <w:t xml:space="preserve">titubeos, </w:t>
      </w:r>
      <w:r w:rsidR="00E46F55" w:rsidRPr="00486FEC">
        <w:rPr>
          <w:rFonts w:ascii="Verdana" w:hAnsi="Verdana"/>
          <w:sz w:val="20"/>
          <w:szCs w:val="20"/>
        </w:rPr>
        <w:t>etc.</w:t>
      </w:r>
    </w:p>
    <w:p w14:paraId="25F66563" w14:textId="4A4A3A6A"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6E40B4F6" w14:textId="701D423D" w:rsidR="00E46F55" w:rsidRDefault="00F400E8"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Por estas y otras razones, e</w:t>
      </w:r>
      <w:r w:rsidR="00111877" w:rsidRPr="00486FEC">
        <w:rPr>
          <w:rFonts w:ascii="Verdana" w:hAnsi="Verdana"/>
          <w:sz w:val="20"/>
          <w:szCs w:val="20"/>
        </w:rPr>
        <w:t xml:space="preserve">l procedimiento meramente escrito hace tiempo que tiende a ser </w:t>
      </w:r>
      <w:r w:rsidRPr="00486FEC">
        <w:rPr>
          <w:rFonts w:ascii="Verdana" w:hAnsi="Verdana"/>
          <w:sz w:val="20"/>
          <w:szCs w:val="20"/>
        </w:rPr>
        <w:t xml:space="preserve">archivado </w:t>
      </w:r>
      <w:r w:rsidR="00111877" w:rsidRPr="00486FEC">
        <w:rPr>
          <w:rFonts w:ascii="Verdana" w:hAnsi="Verdana"/>
          <w:sz w:val="20"/>
          <w:szCs w:val="20"/>
        </w:rPr>
        <w:t>en la legislación procesal –no sólo penal-, justamente porque impide esta comunicación</w:t>
      </w:r>
      <w:r w:rsidRPr="00486FEC">
        <w:rPr>
          <w:rFonts w:ascii="Verdana" w:hAnsi="Verdana"/>
          <w:sz w:val="20"/>
          <w:szCs w:val="20"/>
        </w:rPr>
        <w:t xml:space="preserve"> presencial y directa</w:t>
      </w:r>
      <w:r w:rsidR="00111877" w:rsidRPr="00486FEC">
        <w:rPr>
          <w:rFonts w:ascii="Verdana" w:hAnsi="Verdana"/>
          <w:sz w:val="20"/>
          <w:szCs w:val="20"/>
        </w:rPr>
        <w:t xml:space="preserve">. </w:t>
      </w:r>
      <w:r w:rsidRPr="00486FEC">
        <w:rPr>
          <w:rFonts w:ascii="Verdana" w:hAnsi="Verdana"/>
          <w:sz w:val="20"/>
          <w:szCs w:val="20"/>
        </w:rPr>
        <w:t>Esto es tan verdadero que, con todo acierto</w:t>
      </w:r>
      <w:r w:rsidR="00687253" w:rsidRPr="00486FEC">
        <w:rPr>
          <w:rFonts w:ascii="Verdana" w:hAnsi="Verdana"/>
          <w:sz w:val="20"/>
          <w:szCs w:val="20"/>
        </w:rPr>
        <w:t xml:space="preserve"> y prudencia</w:t>
      </w:r>
      <w:r w:rsidRPr="00486FEC">
        <w:rPr>
          <w:rFonts w:ascii="Verdana" w:hAnsi="Verdana"/>
          <w:sz w:val="20"/>
          <w:szCs w:val="20"/>
        </w:rPr>
        <w:t xml:space="preserve">, </w:t>
      </w:r>
      <w:r w:rsidR="001F2FAE" w:rsidRPr="00486FEC">
        <w:rPr>
          <w:rFonts w:ascii="Verdana" w:hAnsi="Verdana"/>
          <w:sz w:val="20"/>
          <w:szCs w:val="20"/>
        </w:rPr>
        <w:t>esta</w:t>
      </w:r>
      <w:r w:rsidR="00A423B5" w:rsidRPr="00486FEC">
        <w:rPr>
          <w:rFonts w:ascii="Verdana" w:hAnsi="Verdana"/>
          <w:sz w:val="20"/>
          <w:szCs w:val="20"/>
        </w:rPr>
        <w:t xml:space="preserve"> misma</w:t>
      </w:r>
      <w:r w:rsidR="001F2FAE" w:rsidRPr="00486FEC">
        <w:rPr>
          <w:rFonts w:ascii="Verdana" w:hAnsi="Verdana"/>
          <w:sz w:val="20"/>
          <w:szCs w:val="20"/>
        </w:rPr>
        <w:t xml:space="preserve"> </w:t>
      </w:r>
      <w:r w:rsidR="00111877" w:rsidRPr="00486FEC">
        <w:rPr>
          <w:rFonts w:ascii="Verdana" w:hAnsi="Verdana"/>
          <w:sz w:val="20"/>
          <w:szCs w:val="20"/>
        </w:rPr>
        <w:t xml:space="preserve">Corte sólo admite </w:t>
      </w:r>
      <w:r w:rsidRPr="00486FEC">
        <w:rPr>
          <w:rFonts w:ascii="Verdana" w:hAnsi="Verdana"/>
          <w:sz w:val="20"/>
          <w:szCs w:val="20"/>
        </w:rPr>
        <w:t xml:space="preserve">el procedimiento escrito </w:t>
      </w:r>
      <w:r w:rsidR="00111877" w:rsidRPr="00486FEC">
        <w:rPr>
          <w:rFonts w:ascii="Verdana" w:hAnsi="Verdana"/>
          <w:sz w:val="20"/>
          <w:szCs w:val="20"/>
        </w:rPr>
        <w:t xml:space="preserve">cuando se trata de </w:t>
      </w:r>
      <w:r w:rsidR="00A53AD3" w:rsidRPr="00486FEC">
        <w:rPr>
          <w:rFonts w:ascii="Verdana" w:hAnsi="Verdana"/>
          <w:sz w:val="20"/>
          <w:szCs w:val="20"/>
        </w:rPr>
        <w:t xml:space="preserve">supuestos </w:t>
      </w:r>
      <w:r w:rsidRPr="00486FEC">
        <w:rPr>
          <w:rFonts w:ascii="Verdana" w:hAnsi="Verdana"/>
          <w:sz w:val="20"/>
          <w:szCs w:val="20"/>
        </w:rPr>
        <w:t xml:space="preserve">en que únicamente se discuten cuestiones </w:t>
      </w:r>
      <w:r w:rsidR="00111877" w:rsidRPr="00486FEC">
        <w:rPr>
          <w:rFonts w:ascii="Verdana" w:hAnsi="Verdana"/>
          <w:sz w:val="20"/>
          <w:szCs w:val="20"/>
        </w:rPr>
        <w:t>de puro derecho</w:t>
      </w:r>
      <w:r w:rsidR="00A423B5" w:rsidRPr="00486FEC">
        <w:rPr>
          <w:rFonts w:ascii="Verdana" w:hAnsi="Verdana"/>
          <w:sz w:val="20"/>
          <w:szCs w:val="20"/>
        </w:rPr>
        <w:t>,</w:t>
      </w:r>
      <w:r w:rsidR="00A53AD3" w:rsidRPr="00486FEC">
        <w:rPr>
          <w:rFonts w:ascii="Verdana" w:hAnsi="Verdana"/>
          <w:sz w:val="20"/>
          <w:szCs w:val="20"/>
        </w:rPr>
        <w:t xml:space="preserve"> lo </w:t>
      </w:r>
      <w:r w:rsidR="00A423B5" w:rsidRPr="00486FEC">
        <w:rPr>
          <w:rFonts w:ascii="Verdana" w:hAnsi="Verdana"/>
          <w:sz w:val="20"/>
          <w:szCs w:val="20"/>
        </w:rPr>
        <w:t>que es obvio que no es</w:t>
      </w:r>
      <w:r w:rsidR="00E46F55" w:rsidRPr="00486FEC">
        <w:rPr>
          <w:rFonts w:ascii="Verdana" w:hAnsi="Verdana"/>
          <w:sz w:val="20"/>
          <w:szCs w:val="20"/>
        </w:rPr>
        <w:t xml:space="preserve"> el supuesto del presente caso.</w:t>
      </w:r>
    </w:p>
    <w:p w14:paraId="2D8312FA" w14:textId="52C43DBA"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436B3163" w14:textId="77777777" w:rsidR="00E46F55" w:rsidRPr="00486FEC" w:rsidRDefault="007C236A" w:rsidP="00486FEC">
      <w:pPr>
        <w:pStyle w:val="Prrafodelista"/>
        <w:numPr>
          <w:ilvl w:val="0"/>
          <w:numId w:val="3"/>
        </w:numPr>
        <w:spacing w:after="0" w:line="240" w:lineRule="auto"/>
        <w:ind w:left="0" w:firstLine="0"/>
        <w:contextualSpacing w:val="0"/>
        <w:jc w:val="both"/>
        <w:rPr>
          <w:rFonts w:ascii="Verdana" w:hAnsi="Verdana"/>
          <w:i/>
          <w:sz w:val="20"/>
          <w:szCs w:val="20"/>
        </w:rPr>
      </w:pPr>
      <w:r w:rsidRPr="00486FEC">
        <w:rPr>
          <w:rFonts w:ascii="Verdana" w:hAnsi="Verdana"/>
          <w:sz w:val="20"/>
          <w:szCs w:val="20"/>
        </w:rPr>
        <w:t>De lo anterior se deriva la conclusión de que</w:t>
      </w:r>
      <w:r w:rsidRPr="00486FEC">
        <w:rPr>
          <w:rFonts w:ascii="Verdana" w:hAnsi="Verdana"/>
          <w:i/>
          <w:sz w:val="20"/>
          <w:szCs w:val="20"/>
        </w:rPr>
        <w:t xml:space="preserve">, </w:t>
      </w:r>
      <w:r w:rsidR="00111877" w:rsidRPr="00486FEC">
        <w:rPr>
          <w:rFonts w:ascii="Verdana" w:hAnsi="Verdana"/>
          <w:i/>
          <w:sz w:val="20"/>
          <w:szCs w:val="20"/>
        </w:rPr>
        <w:t>en esta oportunidad y en el procedimiento ante esta Corte, se privó de este derecho a</w:t>
      </w:r>
      <w:r w:rsidR="00A53AD3" w:rsidRPr="00486FEC">
        <w:rPr>
          <w:rFonts w:ascii="Verdana" w:hAnsi="Verdana"/>
          <w:i/>
          <w:sz w:val="20"/>
          <w:szCs w:val="20"/>
        </w:rPr>
        <w:t xml:space="preserve"> un notorio </w:t>
      </w:r>
      <w:r w:rsidR="00111877" w:rsidRPr="00486FEC">
        <w:rPr>
          <w:rFonts w:ascii="Verdana" w:hAnsi="Verdana"/>
          <w:i/>
          <w:sz w:val="20"/>
          <w:szCs w:val="20"/>
        </w:rPr>
        <w:t>dirigente del princi</w:t>
      </w:r>
      <w:r w:rsidR="00A423B5" w:rsidRPr="00486FEC">
        <w:rPr>
          <w:rFonts w:ascii="Verdana" w:hAnsi="Verdana"/>
          <w:i/>
          <w:sz w:val="20"/>
          <w:szCs w:val="20"/>
        </w:rPr>
        <w:t>pal partido opositor</w:t>
      </w:r>
      <w:r w:rsidR="00111877" w:rsidRPr="00486FEC">
        <w:rPr>
          <w:rFonts w:ascii="Verdana" w:hAnsi="Verdana"/>
          <w:i/>
          <w:sz w:val="20"/>
          <w:szCs w:val="20"/>
        </w:rPr>
        <w:t xml:space="preserve">, sobre el que recaerán los efectos políticos y patrimoniales de la sentencia condenatoria </w:t>
      </w:r>
      <w:r w:rsidR="00A539DC" w:rsidRPr="00486FEC">
        <w:rPr>
          <w:rFonts w:ascii="Verdana" w:hAnsi="Verdana"/>
          <w:i/>
          <w:sz w:val="20"/>
          <w:szCs w:val="20"/>
        </w:rPr>
        <w:t xml:space="preserve">que </w:t>
      </w:r>
      <w:r w:rsidR="00111877" w:rsidRPr="00486FEC">
        <w:rPr>
          <w:rFonts w:ascii="Verdana" w:hAnsi="Verdana"/>
          <w:i/>
          <w:sz w:val="20"/>
          <w:szCs w:val="20"/>
        </w:rPr>
        <w:t>formalmente pronunci</w:t>
      </w:r>
      <w:r w:rsidR="00542972" w:rsidRPr="00486FEC">
        <w:rPr>
          <w:rFonts w:ascii="Verdana" w:hAnsi="Verdana"/>
          <w:i/>
          <w:sz w:val="20"/>
          <w:szCs w:val="20"/>
        </w:rPr>
        <w:t>a</w:t>
      </w:r>
      <w:r w:rsidR="00A539DC" w:rsidRPr="00486FEC">
        <w:rPr>
          <w:rFonts w:ascii="Verdana" w:hAnsi="Verdana"/>
          <w:i/>
          <w:sz w:val="20"/>
          <w:szCs w:val="20"/>
        </w:rPr>
        <w:t xml:space="preserve"> esta Corte</w:t>
      </w:r>
      <w:r w:rsidR="00E46F55" w:rsidRPr="00486FEC">
        <w:rPr>
          <w:rFonts w:ascii="Verdana" w:hAnsi="Verdana"/>
          <w:i/>
          <w:sz w:val="20"/>
          <w:szCs w:val="20"/>
        </w:rPr>
        <w:t xml:space="preserve"> contra el Estado.</w:t>
      </w:r>
    </w:p>
    <w:p w14:paraId="02526BB9" w14:textId="77777777" w:rsidR="00E46F55" w:rsidRPr="00486FEC" w:rsidRDefault="00E46F55" w:rsidP="00486FEC">
      <w:pPr>
        <w:pStyle w:val="Prrafodelista"/>
        <w:spacing w:after="0" w:line="240" w:lineRule="auto"/>
        <w:ind w:left="0"/>
        <w:contextualSpacing w:val="0"/>
        <w:jc w:val="both"/>
        <w:rPr>
          <w:rFonts w:ascii="Verdana" w:hAnsi="Verdana"/>
          <w:i/>
          <w:sz w:val="20"/>
          <w:szCs w:val="20"/>
        </w:rPr>
      </w:pPr>
    </w:p>
    <w:p w14:paraId="2EFB59FF" w14:textId="77777777" w:rsidR="00E46F55" w:rsidRPr="00486FEC" w:rsidRDefault="00983D94" w:rsidP="00486FEC">
      <w:pPr>
        <w:pStyle w:val="Prrafodelista"/>
        <w:spacing w:after="0" w:line="240" w:lineRule="auto"/>
        <w:ind w:left="709"/>
        <w:contextualSpacing w:val="0"/>
        <w:jc w:val="both"/>
        <w:rPr>
          <w:rFonts w:ascii="Verdana" w:hAnsi="Verdana"/>
          <w:b/>
          <w:sz w:val="20"/>
          <w:szCs w:val="20"/>
        </w:rPr>
      </w:pPr>
      <w:r w:rsidRPr="00486FEC">
        <w:rPr>
          <w:rFonts w:ascii="Verdana" w:hAnsi="Verdana"/>
          <w:b/>
          <w:sz w:val="20"/>
          <w:szCs w:val="20"/>
        </w:rPr>
        <w:t>III.4. Eventual lesión a la democracia</w:t>
      </w:r>
    </w:p>
    <w:p w14:paraId="7BB8518B" w14:textId="77777777" w:rsidR="005541BC" w:rsidRPr="00486FEC" w:rsidRDefault="005541BC" w:rsidP="00486FEC">
      <w:pPr>
        <w:pStyle w:val="Prrafodelista"/>
        <w:spacing w:after="0" w:line="240" w:lineRule="auto"/>
        <w:ind w:left="709"/>
        <w:contextualSpacing w:val="0"/>
        <w:jc w:val="both"/>
        <w:rPr>
          <w:rFonts w:ascii="Verdana" w:hAnsi="Verdana"/>
          <w:sz w:val="20"/>
          <w:szCs w:val="20"/>
          <w:lang w:val="es-CR"/>
        </w:rPr>
      </w:pPr>
    </w:p>
    <w:p w14:paraId="691D4465" w14:textId="11777658" w:rsidR="00E46F55" w:rsidRPr="00486FEC" w:rsidRDefault="00760D24" w:rsidP="00486FEC">
      <w:pPr>
        <w:pStyle w:val="Prrafodelista"/>
        <w:numPr>
          <w:ilvl w:val="0"/>
          <w:numId w:val="3"/>
        </w:numPr>
        <w:spacing w:after="0" w:line="240" w:lineRule="auto"/>
        <w:ind w:left="0" w:firstLine="0"/>
        <w:contextualSpacing w:val="0"/>
        <w:jc w:val="both"/>
        <w:rPr>
          <w:rFonts w:ascii="Verdana" w:hAnsi="Verdana"/>
          <w:sz w:val="20"/>
          <w:szCs w:val="20"/>
          <w:lang w:val="es-CR"/>
        </w:rPr>
      </w:pPr>
      <w:r w:rsidRPr="00486FEC">
        <w:rPr>
          <w:rFonts w:ascii="Verdana" w:hAnsi="Verdana"/>
          <w:sz w:val="20"/>
          <w:szCs w:val="20"/>
        </w:rPr>
        <w:t>El efecto de una sentencia formalmente condenatoria para el Estado, pero real u ónticamente lesiva para un notorio dirigente</w:t>
      </w:r>
      <w:r w:rsidR="00744C38" w:rsidRPr="00486FEC">
        <w:rPr>
          <w:rFonts w:ascii="Verdana" w:hAnsi="Verdana"/>
          <w:sz w:val="20"/>
          <w:szCs w:val="20"/>
        </w:rPr>
        <w:t xml:space="preserve"> a la principal fuerza opositora del Estado</w:t>
      </w:r>
      <w:r w:rsidRPr="00486FEC">
        <w:rPr>
          <w:rFonts w:ascii="Verdana" w:hAnsi="Verdana"/>
          <w:sz w:val="20"/>
          <w:szCs w:val="20"/>
        </w:rPr>
        <w:t xml:space="preserve">, en circunstancias de fortísima y despiadada polarización política y con un marco institucional </w:t>
      </w:r>
      <w:r w:rsidR="00687253" w:rsidRPr="00486FEC">
        <w:rPr>
          <w:rFonts w:ascii="Verdana" w:hAnsi="Verdana"/>
          <w:sz w:val="20"/>
          <w:szCs w:val="20"/>
        </w:rPr>
        <w:t>cuestionado</w:t>
      </w:r>
      <w:r w:rsidRPr="00486FEC">
        <w:rPr>
          <w:rFonts w:ascii="Verdana" w:hAnsi="Verdana"/>
          <w:sz w:val="20"/>
          <w:szCs w:val="20"/>
        </w:rPr>
        <w:t>, es altamente preocupante para el futuro de la democracia en ese país, dado que se hallan en juego nada menos que el pluralismo democrático y los principios elementales del Estado de derecho, sin contar con que puede entenderse como la admisión</w:t>
      </w:r>
      <w:r w:rsidR="009C4935" w:rsidRPr="00486FEC">
        <w:rPr>
          <w:rFonts w:ascii="Verdana" w:hAnsi="Verdana"/>
          <w:sz w:val="20"/>
          <w:szCs w:val="20"/>
        </w:rPr>
        <w:t xml:space="preserve"> </w:t>
      </w:r>
      <w:r w:rsidRPr="00486FEC">
        <w:rPr>
          <w:rFonts w:ascii="Verdana" w:hAnsi="Verdana"/>
          <w:sz w:val="20"/>
          <w:szCs w:val="20"/>
        </w:rPr>
        <w:t>de</w:t>
      </w:r>
      <w:r w:rsidR="00744C38" w:rsidRPr="00486FEC">
        <w:rPr>
          <w:rFonts w:ascii="Verdana" w:hAnsi="Verdana"/>
          <w:sz w:val="20"/>
          <w:szCs w:val="20"/>
        </w:rPr>
        <w:t xml:space="preserve"> alguna de las formas de las mal llamadas democra</w:t>
      </w:r>
      <w:r w:rsidRPr="00486FEC">
        <w:rPr>
          <w:rFonts w:ascii="Verdana" w:hAnsi="Verdana"/>
          <w:sz w:val="20"/>
          <w:szCs w:val="20"/>
        </w:rPr>
        <w:t>cia</w:t>
      </w:r>
      <w:r w:rsidR="00744C38" w:rsidRPr="00486FEC">
        <w:rPr>
          <w:rFonts w:ascii="Verdana" w:hAnsi="Verdana"/>
          <w:sz w:val="20"/>
          <w:szCs w:val="20"/>
        </w:rPr>
        <w:t>s</w:t>
      </w:r>
      <w:r w:rsidRPr="00486FEC">
        <w:rPr>
          <w:rFonts w:ascii="Verdana" w:hAnsi="Verdana"/>
          <w:sz w:val="20"/>
          <w:szCs w:val="20"/>
        </w:rPr>
        <w:t xml:space="preserve"> </w:t>
      </w:r>
      <w:r w:rsidRPr="00486FEC">
        <w:rPr>
          <w:rFonts w:ascii="Verdana" w:hAnsi="Verdana"/>
          <w:i/>
          <w:sz w:val="20"/>
          <w:szCs w:val="20"/>
        </w:rPr>
        <w:t>plebiscitaria</w:t>
      </w:r>
      <w:r w:rsidR="00744C38" w:rsidRPr="00486FEC">
        <w:rPr>
          <w:rFonts w:ascii="Verdana" w:hAnsi="Verdana"/>
          <w:i/>
          <w:sz w:val="20"/>
          <w:szCs w:val="20"/>
        </w:rPr>
        <w:t>s</w:t>
      </w:r>
      <w:r w:rsidR="00744C38" w:rsidRPr="00486FEC">
        <w:rPr>
          <w:rFonts w:ascii="Verdana" w:hAnsi="Verdana"/>
          <w:sz w:val="20"/>
          <w:szCs w:val="20"/>
        </w:rPr>
        <w:t>, que no son tales en el sentido del derecho internacional vigente en el continente.</w:t>
      </w:r>
    </w:p>
    <w:p w14:paraId="2F03CE2F" w14:textId="77777777" w:rsidR="00486FEC" w:rsidRPr="00486FEC" w:rsidRDefault="00486FEC" w:rsidP="00486FEC">
      <w:pPr>
        <w:pStyle w:val="Prrafodelista"/>
        <w:spacing w:after="0" w:line="240" w:lineRule="auto"/>
        <w:ind w:left="0"/>
        <w:contextualSpacing w:val="0"/>
        <w:jc w:val="both"/>
        <w:rPr>
          <w:rFonts w:ascii="Verdana" w:hAnsi="Verdana"/>
          <w:sz w:val="20"/>
          <w:szCs w:val="20"/>
          <w:lang w:val="es-CR"/>
        </w:rPr>
      </w:pPr>
    </w:p>
    <w:p w14:paraId="22D5BD1F" w14:textId="77777777" w:rsidR="00E46F55" w:rsidRPr="00486FEC" w:rsidRDefault="009C4935" w:rsidP="00486FEC">
      <w:pPr>
        <w:pStyle w:val="Prrafodelista"/>
        <w:numPr>
          <w:ilvl w:val="0"/>
          <w:numId w:val="3"/>
        </w:numPr>
        <w:spacing w:after="0" w:line="240" w:lineRule="auto"/>
        <w:ind w:left="0" w:firstLine="0"/>
        <w:contextualSpacing w:val="0"/>
        <w:jc w:val="both"/>
        <w:rPr>
          <w:rFonts w:ascii="Verdana" w:hAnsi="Verdana"/>
          <w:i/>
          <w:sz w:val="20"/>
          <w:szCs w:val="20"/>
        </w:rPr>
      </w:pPr>
      <w:r w:rsidRPr="00486FEC">
        <w:rPr>
          <w:rFonts w:ascii="Verdana" w:hAnsi="Verdana"/>
          <w:sz w:val="20"/>
          <w:szCs w:val="20"/>
        </w:rPr>
        <w:t xml:space="preserve">A este respecto, cabe señalar que, con toda claridad y precisión, esta Corte señaló en 2010 en el caso </w:t>
      </w:r>
      <w:r w:rsidRPr="00486FEC">
        <w:rPr>
          <w:rFonts w:ascii="Verdana" w:hAnsi="Verdana"/>
          <w:i/>
          <w:sz w:val="20"/>
          <w:szCs w:val="20"/>
        </w:rPr>
        <w:t xml:space="preserve">Manuel Cepeda Vargas Vs. </w:t>
      </w:r>
      <w:r w:rsidR="00F123EC" w:rsidRPr="00486FEC">
        <w:rPr>
          <w:rFonts w:ascii="Verdana" w:hAnsi="Verdana"/>
          <w:i/>
          <w:sz w:val="20"/>
          <w:szCs w:val="20"/>
        </w:rPr>
        <w:t>Colombia</w:t>
      </w:r>
      <w:r w:rsidR="00744C38" w:rsidRPr="00486FEC">
        <w:rPr>
          <w:rFonts w:ascii="Verdana" w:hAnsi="Verdana"/>
          <w:sz w:val="20"/>
          <w:szCs w:val="20"/>
        </w:rPr>
        <w:t>, la importancia vital de la pluralidad democrática:</w:t>
      </w:r>
      <w:r w:rsidR="00F123EC" w:rsidRPr="00486FEC">
        <w:rPr>
          <w:rFonts w:ascii="Verdana" w:hAnsi="Verdana"/>
          <w:i/>
          <w:sz w:val="20"/>
          <w:szCs w:val="20"/>
        </w:rPr>
        <w:t xml:space="preserve"> “(…) es</w:t>
      </w:r>
      <w:r w:rsidRPr="00486FEC">
        <w:rPr>
          <w:rFonts w:ascii="Verdana" w:hAnsi="Verdana"/>
          <w:i/>
          <w:sz w:val="20"/>
          <w:szCs w:val="20"/>
        </w:rPr>
        <w:t xml:space="preserve"> de resaltar que las voces de oposición resultan imprescindibles para una sociedad democrática, sin las cuales no es posible el logro de acuerdos que atiendan a las diferentes visiones que prevalecen en una sociedad. Por ello, la participación efectiva de personas, grupos y organizaciones y partidos políticos de oposición en una sociedad democrática debe ser garantizada por los Estados, mediante normativas y prácticas adecuadas que posibiliten su acceso real y efectivo a los diferentes espacios deliberativos en términos igualitarios, pero también mediante la adopción de medidas necesarias para garantizar su pleno ejercicio, atendiendo la situación de vulnerabilidad en que se encuentran los integrantes de cier</w:t>
      </w:r>
      <w:r w:rsidR="00E46F55" w:rsidRPr="00486FEC">
        <w:rPr>
          <w:rFonts w:ascii="Verdana" w:hAnsi="Verdana"/>
          <w:i/>
          <w:sz w:val="20"/>
          <w:szCs w:val="20"/>
        </w:rPr>
        <w:t>tos sectores o grupos sociales.</w:t>
      </w:r>
      <w:r w:rsidR="00F123EC" w:rsidRPr="00486FEC">
        <w:rPr>
          <w:rFonts w:ascii="Verdana" w:hAnsi="Verdana"/>
          <w:i/>
          <w:sz w:val="20"/>
          <w:szCs w:val="20"/>
        </w:rPr>
        <w:t>”</w:t>
      </w:r>
      <w:r w:rsidR="00F123EC" w:rsidRPr="00486FEC">
        <w:rPr>
          <w:rStyle w:val="Refdenotaalpie"/>
          <w:rFonts w:ascii="Verdana" w:hAnsi="Verdana"/>
          <w:i/>
          <w:sz w:val="20"/>
          <w:szCs w:val="20"/>
        </w:rPr>
        <w:footnoteReference w:id="25"/>
      </w:r>
      <w:r w:rsidR="00B61BFE" w:rsidRPr="00486FEC">
        <w:rPr>
          <w:rFonts w:ascii="Verdana" w:hAnsi="Verdana"/>
          <w:i/>
          <w:sz w:val="20"/>
          <w:szCs w:val="20"/>
        </w:rPr>
        <w:t xml:space="preserve"> </w:t>
      </w:r>
      <w:r w:rsidR="00B61BFE" w:rsidRPr="00486FEC">
        <w:rPr>
          <w:rFonts w:ascii="Verdana" w:hAnsi="Verdana"/>
          <w:sz w:val="20"/>
          <w:szCs w:val="20"/>
        </w:rPr>
        <w:t xml:space="preserve">En el presente caso no se trata de sectores o grupos sociales minoritarios, sino </w:t>
      </w:r>
      <w:r w:rsidR="00687253" w:rsidRPr="00486FEC">
        <w:rPr>
          <w:rFonts w:ascii="Verdana" w:hAnsi="Verdana"/>
          <w:sz w:val="20"/>
          <w:szCs w:val="20"/>
        </w:rPr>
        <w:t xml:space="preserve">que quien se halla en situación de vulnerabilidad es </w:t>
      </w:r>
      <w:r w:rsidR="00B61BFE" w:rsidRPr="00486FEC">
        <w:rPr>
          <w:rFonts w:ascii="Verdana" w:hAnsi="Verdana"/>
          <w:sz w:val="20"/>
          <w:szCs w:val="20"/>
        </w:rPr>
        <w:t>nada menos que la principal fuerza política opositora.</w:t>
      </w:r>
    </w:p>
    <w:p w14:paraId="7CC50D59" w14:textId="77777777" w:rsidR="00E46F55" w:rsidRPr="00486FEC" w:rsidRDefault="00E46F55" w:rsidP="00486FEC">
      <w:pPr>
        <w:pStyle w:val="Prrafodelista"/>
        <w:spacing w:after="0" w:line="240" w:lineRule="auto"/>
        <w:ind w:left="0"/>
        <w:contextualSpacing w:val="0"/>
        <w:jc w:val="both"/>
        <w:rPr>
          <w:rFonts w:ascii="Verdana" w:hAnsi="Verdana"/>
          <w:i/>
          <w:sz w:val="20"/>
          <w:szCs w:val="20"/>
        </w:rPr>
      </w:pPr>
    </w:p>
    <w:p w14:paraId="2E9E0D4A" w14:textId="77777777" w:rsidR="00C043D8" w:rsidRPr="00486FEC" w:rsidRDefault="006C71D0" w:rsidP="00486FEC">
      <w:pPr>
        <w:pStyle w:val="Prrafodelista"/>
        <w:spacing w:after="0" w:line="240" w:lineRule="auto"/>
        <w:ind w:left="0"/>
        <w:contextualSpacing w:val="0"/>
        <w:jc w:val="center"/>
        <w:rPr>
          <w:rFonts w:ascii="Verdana" w:hAnsi="Verdana"/>
          <w:b/>
          <w:sz w:val="20"/>
          <w:szCs w:val="20"/>
        </w:rPr>
      </w:pPr>
      <w:r w:rsidRPr="00486FEC">
        <w:rPr>
          <w:rFonts w:ascii="Verdana" w:hAnsi="Verdana"/>
          <w:b/>
          <w:sz w:val="20"/>
          <w:szCs w:val="20"/>
        </w:rPr>
        <w:t>I</w:t>
      </w:r>
      <w:r w:rsidR="00192683" w:rsidRPr="00486FEC">
        <w:rPr>
          <w:rFonts w:ascii="Verdana" w:hAnsi="Verdana"/>
          <w:b/>
          <w:sz w:val="20"/>
          <w:szCs w:val="20"/>
        </w:rPr>
        <w:t>V</w:t>
      </w:r>
    </w:p>
    <w:p w14:paraId="00709066" w14:textId="77777777" w:rsidR="00E46F55" w:rsidRPr="00486FEC" w:rsidRDefault="00C043D8" w:rsidP="00486FEC">
      <w:pPr>
        <w:pStyle w:val="Prrafodelista"/>
        <w:spacing w:after="0" w:line="240" w:lineRule="auto"/>
        <w:ind w:left="0"/>
        <w:contextualSpacing w:val="0"/>
        <w:jc w:val="center"/>
        <w:rPr>
          <w:rFonts w:ascii="Verdana" w:hAnsi="Verdana"/>
          <w:b/>
          <w:sz w:val="20"/>
          <w:szCs w:val="20"/>
          <w:u w:val="single"/>
        </w:rPr>
      </w:pPr>
      <w:r w:rsidRPr="00486FEC">
        <w:rPr>
          <w:rFonts w:ascii="Verdana" w:hAnsi="Verdana"/>
          <w:b/>
          <w:sz w:val="20"/>
          <w:szCs w:val="20"/>
        </w:rPr>
        <w:t>EL HECHO DENUNCIADO POR LOS PETICIONANTES</w:t>
      </w:r>
    </w:p>
    <w:p w14:paraId="79605B96" w14:textId="77777777" w:rsidR="00C043D8" w:rsidRPr="00486FEC" w:rsidRDefault="00C043D8" w:rsidP="00486FEC">
      <w:pPr>
        <w:pStyle w:val="Prrafodelista"/>
        <w:spacing w:after="0" w:line="240" w:lineRule="auto"/>
        <w:ind w:left="0"/>
        <w:contextualSpacing w:val="0"/>
        <w:jc w:val="both"/>
        <w:rPr>
          <w:rFonts w:ascii="Verdana" w:hAnsi="Verdana"/>
          <w:b/>
          <w:sz w:val="20"/>
          <w:szCs w:val="20"/>
        </w:rPr>
      </w:pPr>
    </w:p>
    <w:p w14:paraId="00A69517" w14:textId="77777777" w:rsidR="00E46F55" w:rsidRPr="00486FEC" w:rsidRDefault="00154F0D" w:rsidP="00486FEC">
      <w:pPr>
        <w:pStyle w:val="Prrafodelista"/>
        <w:spacing w:after="0" w:line="240" w:lineRule="auto"/>
        <w:ind w:left="709"/>
        <w:contextualSpacing w:val="0"/>
        <w:jc w:val="both"/>
        <w:rPr>
          <w:rFonts w:ascii="Verdana" w:hAnsi="Verdana"/>
          <w:b/>
          <w:sz w:val="20"/>
          <w:szCs w:val="20"/>
        </w:rPr>
      </w:pPr>
      <w:r w:rsidRPr="00486FEC">
        <w:rPr>
          <w:rFonts w:ascii="Verdana" w:hAnsi="Verdana"/>
          <w:b/>
          <w:sz w:val="20"/>
          <w:szCs w:val="20"/>
        </w:rPr>
        <w:t>I</w:t>
      </w:r>
      <w:r w:rsidR="00192683" w:rsidRPr="00486FEC">
        <w:rPr>
          <w:rFonts w:ascii="Verdana" w:hAnsi="Verdana"/>
          <w:b/>
          <w:sz w:val="20"/>
          <w:szCs w:val="20"/>
        </w:rPr>
        <w:t>V</w:t>
      </w:r>
      <w:r w:rsidRPr="00486FEC">
        <w:rPr>
          <w:rFonts w:ascii="Verdana" w:hAnsi="Verdana"/>
          <w:b/>
          <w:sz w:val="20"/>
          <w:szCs w:val="20"/>
        </w:rPr>
        <w:t>.1.</w:t>
      </w:r>
      <w:r w:rsidR="0014103B" w:rsidRPr="00486FEC">
        <w:rPr>
          <w:rFonts w:ascii="Verdana" w:hAnsi="Verdana"/>
          <w:b/>
          <w:sz w:val="20"/>
          <w:szCs w:val="20"/>
        </w:rPr>
        <w:t xml:space="preserve"> </w:t>
      </w:r>
      <w:r w:rsidRPr="00486FEC">
        <w:rPr>
          <w:rFonts w:ascii="Verdana" w:hAnsi="Verdana"/>
          <w:b/>
          <w:sz w:val="20"/>
          <w:szCs w:val="20"/>
        </w:rPr>
        <w:t>Legalidad</w:t>
      </w:r>
      <w:r w:rsidR="00220896" w:rsidRPr="00486FEC">
        <w:rPr>
          <w:rFonts w:ascii="Verdana" w:hAnsi="Verdana"/>
          <w:b/>
          <w:sz w:val="20"/>
          <w:szCs w:val="20"/>
        </w:rPr>
        <w:t xml:space="preserve"> del tipo penal</w:t>
      </w:r>
    </w:p>
    <w:p w14:paraId="11B23B4C" w14:textId="77777777" w:rsidR="005541BC" w:rsidRPr="00486FEC" w:rsidRDefault="005541BC" w:rsidP="00486FEC">
      <w:pPr>
        <w:pStyle w:val="Prrafodelista"/>
        <w:spacing w:after="0" w:line="240" w:lineRule="auto"/>
        <w:ind w:left="709"/>
        <w:contextualSpacing w:val="0"/>
        <w:jc w:val="both"/>
        <w:rPr>
          <w:rFonts w:ascii="Verdana" w:hAnsi="Verdana"/>
          <w:b/>
          <w:sz w:val="20"/>
          <w:szCs w:val="20"/>
        </w:rPr>
      </w:pPr>
    </w:p>
    <w:p w14:paraId="7D997EF7" w14:textId="77777777" w:rsidR="00E46F55" w:rsidRPr="00486FEC" w:rsidRDefault="0014103B" w:rsidP="00486FEC">
      <w:pPr>
        <w:pStyle w:val="Prrafodelista"/>
        <w:spacing w:after="0" w:line="240" w:lineRule="auto"/>
        <w:ind w:left="709"/>
        <w:contextualSpacing w:val="0"/>
        <w:jc w:val="both"/>
        <w:rPr>
          <w:rFonts w:ascii="Verdana" w:hAnsi="Verdana"/>
          <w:b/>
          <w:sz w:val="20"/>
          <w:szCs w:val="20"/>
        </w:rPr>
      </w:pPr>
      <w:r w:rsidRPr="00486FEC">
        <w:rPr>
          <w:rFonts w:ascii="Verdana" w:hAnsi="Verdana"/>
          <w:b/>
          <w:sz w:val="20"/>
          <w:szCs w:val="20"/>
        </w:rPr>
        <w:t>IV.1.a. El tipo vigente al tiempo del hecho</w:t>
      </w:r>
    </w:p>
    <w:p w14:paraId="04A8C375" w14:textId="77777777" w:rsidR="005541BC" w:rsidRPr="00486FEC" w:rsidRDefault="005541BC" w:rsidP="00486FEC">
      <w:pPr>
        <w:pStyle w:val="Prrafodelista"/>
        <w:spacing w:after="0" w:line="240" w:lineRule="auto"/>
        <w:ind w:left="709"/>
        <w:contextualSpacing w:val="0"/>
        <w:jc w:val="both"/>
        <w:rPr>
          <w:rFonts w:ascii="Verdana" w:hAnsi="Verdana"/>
          <w:sz w:val="20"/>
          <w:szCs w:val="20"/>
          <w:lang w:val="es-CR"/>
        </w:rPr>
      </w:pPr>
    </w:p>
    <w:p w14:paraId="595F02CB" w14:textId="16284996" w:rsidR="00E46F55" w:rsidRDefault="0014103B"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El </w:t>
      </w:r>
      <w:r w:rsidR="00154F0D" w:rsidRPr="00486FEC">
        <w:rPr>
          <w:rFonts w:ascii="Verdana" w:hAnsi="Verdana"/>
          <w:sz w:val="20"/>
          <w:szCs w:val="20"/>
        </w:rPr>
        <w:t xml:space="preserve">proceso </w:t>
      </w:r>
      <w:r w:rsidR="00AB20DE" w:rsidRPr="00486FEC">
        <w:rPr>
          <w:rFonts w:ascii="Verdana" w:hAnsi="Verdana"/>
          <w:sz w:val="20"/>
          <w:szCs w:val="20"/>
        </w:rPr>
        <w:t>seguido contr</w:t>
      </w:r>
      <w:r w:rsidR="00B61BFE" w:rsidRPr="00486FEC">
        <w:rPr>
          <w:rFonts w:ascii="Verdana" w:hAnsi="Verdana"/>
          <w:sz w:val="20"/>
          <w:szCs w:val="20"/>
        </w:rPr>
        <w:t>a el periodista y los editores y que, según la altamente respetable opinión de la mayoría de la Corte,</w:t>
      </w:r>
      <w:r w:rsidR="00AB20DE" w:rsidRPr="00486FEC">
        <w:rPr>
          <w:rFonts w:ascii="Verdana" w:hAnsi="Verdana"/>
          <w:sz w:val="20"/>
          <w:szCs w:val="20"/>
        </w:rPr>
        <w:t xml:space="preserve"> configuraría el ilícito jushumano</w:t>
      </w:r>
      <w:r w:rsidR="00B61BFE" w:rsidRPr="00486FEC">
        <w:rPr>
          <w:rFonts w:ascii="Verdana" w:hAnsi="Verdana"/>
          <w:sz w:val="20"/>
          <w:szCs w:val="20"/>
        </w:rPr>
        <w:t>,</w:t>
      </w:r>
      <w:r w:rsidR="00AB20DE" w:rsidRPr="00486FEC">
        <w:rPr>
          <w:rFonts w:ascii="Verdana" w:hAnsi="Verdana"/>
          <w:sz w:val="20"/>
          <w:szCs w:val="20"/>
        </w:rPr>
        <w:t xml:space="preserve"> </w:t>
      </w:r>
      <w:r w:rsidR="00046A96" w:rsidRPr="00486FEC">
        <w:rPr>
          <w:rFonts w:ascii="Verdana" w:hAnsi="Verdana"/>
          <w:sz w:val="20"/>
          <w:szCs w:val="20"/>
        </w:rPr>
        <w:t>se basó en un tipo penal que</w:t>
      </w:r>
      <w:r w:rsidR="00A53AD3" w:rsidRPr="00486FEC">
        <w:rPr>
          <w:rFonts w:ascii="Verdana" w:hAnsi="Verdana"/>
          <w:sz w:val="20"/>
          <w:szCs w:val="20"/>
        </w:rPr>
        <w:t>,</w:t>
      </w:r>
      <w:r w:rsidR="00046A96" w:rsidRPr="00486FEC">
        <w:rPr>
          <w:rFonts w:ascii="Verdana" w:hAnsi="Verdana"/>
          <w:sz w:val="20"/>
          <w:szCs w:val="20"/>
        </w:rPr>
        <w:t xml:space="preserve"> </w:t>
      </w:r>
      <w:r w:rsidR="00AB20DE" w:rsidRPr="00486FEC">
        <w:rPr>
          <w:rFonts w:ascii="Verdana" w:hAnsi="Verdana"/>
          <w:sz w:val="20"/>
          <w:szCs w:val="20"/>
        </w:rPr>
        <w:t xml:space="preserve">en el </w:t>
      </w:r>
      <w:r w:rsidR="001F2FAE" w:rsidRPr="00486FEC">
        <w:rPr>
          <w:rFonts w:ascii="Verdana" w:hAnsi="Verdana"/>
          <w:sz w:val="20"/>
          <w:szCs w:val="20"/>
        </w:rPr>
        <w:t xml:space="preserve">singular </w:t>
      </w:r>
      <w:r w:rsidR="00AB20DE" w:rsidRPr="00486FEC">
        <w:rPr>
          <w:rFonts w:ascii="Verdana" w:hAnsi="Verdana"/>
          <w:sz w:val="20"/>
          <w:szCs w:val="20"/>
        </w:rPr>
        <w:t>reconocimiento de responsabilidad del Estado</w:t>
      </w:r>
      <w:r w:rsidR="00A53AD3" w:rsidRPr="00486FEC">
        <w:rPr>
          <w:rFonts w:ascii="Verdana" w:hAnsi="Verdana"/>
          <w:sz w:val="20"/>
          <w:szCs w:val="20"/>
        </w:rPr>
        <w:t>,</w:t>
      </w:r>
      <w:r w:rsidR="00AB20DE" w:rsidRPr="00486FEC">
        <w:rPr>
          <w:rFonts w:ascii="Verdana" w:hAnsi="Verdana"/>
          <w:sz w:val="20"/>
          <w:szCs w:val="20"/>
        </w:rPr>
        <w:t xml:space="preserve"> se </w:t>
      </w:r>
      <w:r w:rsidR="00046A96" w:rsidRPr="00486FEC">
        <w:rPr>
          <w:rFonts w:ascii="Verdana" w:hAnsi="Verdana"/>
          <w:sz w:val="20"/>
          <w:szCs w:val="20"/>
        </w:rPr>
        <w:t xml:space="preserve">acepta y da por cierto que resultaba </w:t>
      </w:r>
      <w:r w:rsidR="00AB20DE" w:rsidRPr="00486FEC">
        <w:rPr>
          <w:rFonts w:ascii="Verdana" w:hAnsi="Verdana"/>
          <w:sz w:val="20"/>
          <w:szCs w:val="20"/>
        </w:rPr>
        <w:t>violatorio de</w:t>
      </w:r>
      <w:r w:rsidR="00E46F55" w:rsidRPr="00486FEC">
        <w:rPr>
          <w:rFonts w:ascii="Verdana" w:hAnsi="Verdana"/>
          <w:sz w:val="20"/>
          <w:szCs w:val="20"/>
        </w:rPr>
        <w:t>l principio de legalidad penal.</w:t>
      </w:r>
    </w:p>
    <w:p w14:paraId="229BC70D"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2CFB14CB" w14:textId="0DD25F34" w:rsidR="00E46F55" w:rsidRDefault="00AB20DE"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Se admite</w:t>
      </w:r>
      <w:r w:rsidR="00046A96" w:rsidRPr="00486FEC">
        <w:rPr>
          <w:rFonts w:ascii="Verdana" w:hAnsi="Verdana"/>
          <w:sz w:val="20"/>
          <w:szCs w:val="20"/>
        </w:rPr>
        <w:t xml:space="preserve"> por el Estado</w:t>
      </w:r>
      <w:r w:rsidRPr="00486FEC">
        <w:rPr>
          <w:rFonts w:ascii="Verdana" w:hAnsi="Verdana"/>
          <w:sz w:val="20"/>
          <w:szCs w:val="20"/>
        </w:rPr>
        <w:t xml:space="preserve">, pues, que el tipo penal aplicado al caso y vigente en el derecho positivo ecuatoriano de ese momento, habría sido violatorio del requisito de estricta legalidad penal. </w:t>
      </w:r>
      <w:r w:rsidR="00A539DC" w:rsidRPr="00486FEC">
        <w:rPr>
          <w:rFonts w:ascii="Verdana" w:hAnsi="Verdana"/>
          <w:sz w:val="20"/>
          <w:szCs w:val="20"/>
        </w:rPr>
        <w:t xml:space="preserve">Al admitir este reconocimiento, indirectamente </w:t>
      </w:r>
      <w:r w:rsidR="001F2FAE" w:rsidRPr="00486FEC">
        <w:rPr>
          <w:rFonts w:ascii="Verdana" w:hAnsi="Verdana"/>
          <w:sz w:val="20"/>
          <w:szCs w:val="20"/>
        </w:rPr>
        <w:t xml:space="preserve">también </w:t>
      </w:r>
      <w:r w:rsidR="00A539DC" w:rsidRPr="00486FEC">
        <w:rPr>
          <w:rFonts w:ascii="Verdana" w:hAnsi="Verdana"/>
          <w:sz w:val="20"/>
          <w:szCs w:val="20"/>
        </w:rPr>
        <w:t xml:space="preserve">la Corte admite la </w:t>
      </w:r>
      <w:r w:rsidR="00E46F55" w:rsidRPr="00486FEC">
        <w:rPr>
          <w:rFonts w:ascii="Verdana" w:hAnsi="Verdana"/>
          <w:sz w:val="20"/>
          <w:szCs w:val="20"/>
        </w:rPr>
        <w:t>violación a la legalidad penal.</w:t>
      </w:r>
    </w:p>
    <w:p w14:paraId="5A9B149F" w14:textId="47C587E8"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37596A91" w14:textId="3A500D27" w:rsidR="00E46F55" w:rsidRDefault="00F11354"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L</w:t>
      </w:r>
      <w:r w:rsidR="00AB20DE" w:rsidRPr="00486FEC">
        <w:rPr>
          <w:rFonts w:ascii="Verdana" w:hAnsi="Verdana"/>
          <w:sz w:val="20"/>
          <w:szCs w:val="20"/>
        </w:rPr>
        <w:t xml:space="preserve">a elemental garantía penal de </w:t>
      </w:r>
      <w:r w:rsidR="00AB20DE" w:rsidRPr="00486FEC">
        <w:rPr>
          <w:rFonts w:ascii="Verdana" w:hAnsi="Verdana"/>
          <w:i/>
          <w:sz w:val="20"/>
          <w:szCs w:val="20"/>
        </w:rPr>
        <w:t>estricta legalidad</w:t>
      </w:r>
      <w:r w:rsidR="00AB20DE" w:rsidRPr="00486FEC">
        <w:rPr>
          <w:rFonts w:ascii="Verdana" w:hAnsi="Verdana"/>
          <w:sz w:val="20"/>
          <w:szCs w:val="20"/>
        </w:rPr>
        <w:t xml:space="preserve">, </w:t>
      </w:r>
      <w:r w:rsidR="00A53AD3" w:rsidRPr="00486FEC">
        <w:rPr>
          <w:rFonts w:ascii="Verdana" w:hAnsi="Verdana"/>
          <w:sz w:val="20"/>
          <w:szCs w:val="20"/>
        </w:rPr>
        <w:t>qu</w:t>
      </w:r>
      <w:r w:rsidR="006822B6" w:rsidRPr="00486FEC">
        <w:rPr>
          <w:rFonts w:ascii="Verdana" w:hAnsi="Verdana"/>
          <w:sz w:val="20"/>
          <w:szCs w:val="20"/>
        </w:rPr>
        <w:t>e se remonta al Iluminismo</w:t>
      </w:r>
      <w:r w:rsidR="00A53AD3" w:rsidRPr="00486FEC">
        <w:rPr>
          <w:rFonts w:ascii="Verdana" w:hAnsi="Verdana"/>
          <w:sz w:val="20"/>
          <w:szCs w:val="20"/>
        </w:rPr>
        <w:t xml:space="preserve"> del siglo XVIII y a los liberales del siglo siguiente, </w:t>
      </w:r>
      <w:r w:rsidR="0014103B" w:rsidRPr="00486FEC">
        <w:rPr>
          <w:rFonts w:ascii="Verdana" w:hAnsi="Verdana"/>
          <w:sz w:val="20"/>
          <w:szCs w:val="20"/>
        </w:rPr>
        <w:t xml:space="preserve">sintetizada </w:t>
      </w:r>
      <w:r w:rsidR="00A53AD3" w:rsidRPr="00486FEC">
        <w:rPr>
          <w:rFonts w:ascii="Verdana" w:hAnsi="Verdana"/>
          <w:sz w:val="20"/>
          <w:szCs w:val="20"/>
        </w:rPr>
        <w:t xml:space="preserve">por Anselm Ritter von Feuerbach </w:t>
      </w:r>
      <w:r w:rsidR="0014103B" w:rsidRPr="00486FEC">
        <w:rPr>
          <w:rFonts w:ascii="Verdana" w:hAnsi="Verdana"/>
          <w:sz w:val="20"/>
          <w:szCs w:val="20"/>
        </w:rPr>
        <w:t xml:space="preserve">en la fórmula </w:t>
      </w:r>
      <w:r w:rsidR="00A53AD3" w:rsidRPr="00486FEC">
        <w:rPr>
          <w:rFonts w:ascii="Verdana" w:hAnsi="Verdana"/>
          <w:i/>
          <w:sz w:val="20"/>
          <w:szCs w:val="20"/>
        </w:rPr>
        <w:t>nullum crimen sine lege</w:t>
      </w:r>
      <w:r w:rsidR="00A53AD3" w:rsidRPr="00486FEC">
        <w:rPr>
          <w:rFonts w:ascii="Verdana" w:hAnsi="Verdana"/>
          <w:sz w:val="20"/>
          <w:szCs w:val="20"/>
        </w:rPr>
        <w:t xml:space="preserve">, ahora </w:t>
      </w:r>
      <w:r w:rsidR="00AB20DE" w:rsidRPr="00486FEC">
        <w:rPr>
          <w:rFonts w:ascii="Verdana" w:hAnsi="Verdana"/>
          <w:sz w:val="20"/>
          <w:szCs w:val="20"/>
        </w:rPr>
        <w:t>universalmente reconocida en toda legislación respetuosa de las libertades públicas, impo</w:t>
      </w:r>
      <w:r w:rsidR="00046A96" w:rsidRPr="00486FEC">
        <w:rPr>
          <w:rFonts w:ascii="Verdana" w:hAnsi="Verdana"/>
          <w:sz w:val="20"/>
          <w:szCs w:val="20"/>
        </w:rPr>
        <w:t xml:space="preserve">ne al </w:t>
      </w:r>
      <w:r w:rsidR="00AB20DE" w:rsidRPr="00486FEC">
        <w:rPr>
          <w:rFonts w:ascii="Verdana" w:hAnsi="Verdana"/>
          <w:sz w:val="20"/>
          <w:szCs w:val="20"/>
        </w:rPr>
        <w:t>legislador que precise con la mayor exactitud posible en el tipo</w:t>
      </w:r>
      <w:r w:rsidR="00A53AD3" w:rsidRPr="00486FEC">
        <w:rPr>
          <w:rFonts w:ascii="Verdana" w:hAnsi="Verdana"/>
          <w:sz w:val="20"/>
          <w:szCs w:val="20"/>
        </w:rPr>
        <w:t xml:space="preserve"> </w:t>
      </w:r>
      <w:r w:rsidR="006822B6" w:rsidRPr="00486FEC">
        <w:rPr>
          <w:rFonts w:ascii="Verdana" w:hAnsi="Verdana"/>
          <w:sz w:val="20"/>
          <w:szCs w:val="20"/>
        </w:rPr>
        <w:t>(</w:t>
      </w:r>
      <w:r w:rsidR="00A53AD3" w:rsidRPr="00486FEC">
        <w:rPr>
          <w:rFonts w:ascii="Verdana" w:hAnsi="Verdana"/>
          <w:sz w:val="20"/>
          <w:szCs w:val="20"/>
        </w:rPr>
        <w:t xml:space="preserve">supuesto de hecho </w:t>
      </w:r>
      <w:r w:rsidR="00AB20DE" w:rsidRPr="00486FEC">
        <w:rPr>
          <w:rFonts w:ascii="Verdana" w:hAnsi="Verdana"/>
          <w:sz w:val="20"/>
          <w:szCs w:val="20"/>
        </w:rPr>
        <w:t xml:space="preserve">o </w:t>
      </w:r>
      <w:r w:rsidR="00AB20DE" w:rsidRPr="00486FEC">
        <w:rPr>
          <w:rFonts w:ascii="Verdana" w:hAnsi="Verdana"/>
          <w:i/>
          <w:sz w:val="20"/>
          <w:szCs w:val="20"/>
        </w:rPr>
        <w:t>Tatbestand</w:t>
      </w:r>
      <w:r w:rsidR="00AB20DE" w:rsidRPr="00486FEC">
        <w:rPr>
          <w:rFonts w:ascii="Verdana" w:hAnsi="Verdana"/>
          <w:sz w:val="20"/>
          <w:szCs w:val="20"/>
        </w:rPr>
        <w:t xml:space="preserve"> legal</w:t>
      </w:r>
      <w:r w:rsidR="006822B6" w:rsidRPr="00486FEC">
        <w:rPr>
          <w:rFonts w:ascii="Verdana" w:hAnsi="Verdana"/>
          <w:sz w:val="20"/>
          <w:szCs w:val="20"/>
        </w:rPr>
        <w:t>)</w:t>
      </w:r>
      <w:r w:rsidR="00AB20DE" w:rsidRPr="00486FEC">
        <w:rPr>
          <w:rFonts w:ascii="Verdana" w:hAnsi="Verdana"/>
          <w:sz w:val="20"/>
          <w:szCs w:val="20"/>
        </w:rPr>
        <w:t xml:space="preserve"> la co</w:t>
      </w:r>
      <w:r w:rsidR="00E46F55" w:rsidRPr="00486FEC">
        <w:rPr>
          <w:rFonts w:ascii="Verdana" w:hAnsi="Verdana"/>
          <w:sz w:val="20"/>
          <w:szCs w:val="20"/>
        </w:rPr>
        <w:t>nducta que se conmina con pena.</w:t>
      </w:r>
    </w:p>
    <w:p w14:paraId="2C1562C4" w14:textId="7F276A80"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7C5A06B4" w14:textId="511A46B3" w:rsidR="00E46F55" w:rsidRDefault="00046A96"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En el caso, se t</w:t>
      </w:r>
      <w:r w:rsidR="00AB20DE" w:rsidRPr="00486FEC">
        <w:rPr>
          <w:rFonts w:ascii="Verdana" w:hAnsi="Verdana"/>
          <w:sz w:val="20"/>
          <w:szCs w:val="20"/>
        </w:rPr>
        <w:t xml:space="preserve">rató de los artículos </w:t>
      </w:r>
      <w:r w:rsidR="00905F95" w:rsidRPr="00486FEC">
        <w:rPr>
          <w:rFonts w:ascii="Verdana" w:hAnsi="Verdana"/>
          <w:sz w:val="20"/>
          <w:szCs w:val="20"/>
        </w:rPr>
        <w:t xml:space="preserve">489 a 493 del </w:t>
      </w:r>
      <w:r w:rsidR="00AB20DE" w:rsidRPr="00486FEC">
        <w:rPr>
          <w:rFonts w:ascii="Verdana" w:hAnsi="Verdana"/>
          <w:sz w:val="20"/>
          <w:szCs w:val="20"/>
        </w:rPr>
        <w:t xml:space="preserve">código penal vigente en ese momento, </w:t>
      </w:r>
      <w:r w:rsidR="00A53AD3" w:rsidRPr="00486FEC">
        <w:rPr>
          <w:rFonts w:ascii="Verdana" w:hAnsi="Verdana"/>
          <w:sz w:val="20"/>
          <w:szCs w:val="20"/>
        </w:rPr>
        <w:t xml:space="preserve">que se aplicó haciendo </w:t>
      </w:r>
      <w:r w:rsidR="00AB20DE" w:rsidRPr="00486FEC">
        <w:rPr>
          <w:rFonts w:ascii="Verdana" w:hAnsi="Verdana"/>
          <w:sz w:val="20"/>
          <w:szCs w:val="20"/>
        </w:rPr>
        <w:t>jugar el tipo calificado del art</w:t>
      </w:r>
      <w:r w:rsidRPr="00486FEC">
        <w:rPr>
          <w:rFonts w:ascii="Verdana" w:hAnsi="Verdana"/>
          <w:sz w:val="20"/>
          <w:szCs w:val="20"/>
        </w:rPr>
        <w:t xml:space="preserve">ículo 493, que remitía </w:t>
      </w:r>
      <w:r w:rsidR="00F354FA" w:rsidRPr="00486FEC">
        <w:rPr>
          <w:rFonts w:ascii="Verdana" w:hAnsi="Verdana"/>
          <w:sz w:val="20"/>
          <w:szCs w:val="20"/>
        </w:rPr>
        <w:t xml:space="preserve">a la definición del artículo 489. La conducta típica básica era claramente </w:t>
      </w:r>
      <w:r w:rsidR="00F354FA" w:rsidRPr="00486FEC">
        <w:rPr>
          <w:rFonts w:ascii="Verdana" w:hAnsi="Verdana"/>
          <w:i/>
          <w:sz w:val="20"/>
          <w:szCs w:val="20"/>
        </w:rPr>
        <w:t>la falsa imputación de un delito</w:t>
      </w:r>
      <w:r w:rsidR="00F354FA" w:rsidRPr="00486FEC">
        <w:rPr>
          <w:rFonts w:ascii="Verdana" w:hAnsi="Verdana"/>
          <w:sz w:val="20"/>
          <w:szCs w:val="20"/>
        </w:rPr>
        <w:t xml:space="preserve">, como lo decía textualmente el artículo 489, denominándola </w:t>
      </w:r>
      <w:r w:rsidR="00F354FA" w:rsidRPr="00486FEC">
        <w:rPr>
          <w:rFonts w:ascii="Verdana" w:hAnsi="Verdana"/>
          <w:i/>
          <w:sz w:val="20"/>
          <w:szCs w:val="20"/>
        </w:rPr>
        <w:t>injuria calumniosa</w:t>
      </w:r>
      <w:r w:rsidR="00E46F55" w:rsidRPr="00486FEC">
        <w:rPr>
          <w:rFonts w:ascii="Verdana" w:hAnsi="Verdana"/>
          <w:sz w:val="20"/>
          <w:szCs w:val="20"/>
        </w:rPr>
        <w:t>.</w:t>
      </w:r>
    </w:p>
    <w:p w14:paraId="78171ACA" w14:textId="5D400642"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24C012EA" w14:textId="0DAD58FC" w:rsidR="00E46F55" w:rsidRDefault="00F354FA"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Cabe aclarar que en Ecuador ha existido la pésima costumbre legislativa de publicar ediciones oficiales del código penal reordenando la numeración del articulado, pero reproduciéndolo</w:t>
      </w:r>
      <w:r w:rsidR="0014103B" w:rsidRPr="00486FEC">
        <w:rPr>
          <w:rFonts w:ascii="Verdana" w:hAnsi="Verdana"/>
          <w:sz w:val="20"/>
          <w:szCs w:val="20"/>
        </w:rPr>
        <w:t>s</w:t>
      </w:r>
      <w:r w:rsidRPr="00486FEC">
        <w:rPr>
          <w:rFonts w:ascii="Verdana" w:hAnsi="Verdana"/>
          <w:sz w:val="20"/>
          <w:szCs w:val="20"/>
        </w:rPr>
        <w:t xml:space="preserve"> textualmente. Los dispositivos numerados como 489 a 493 que se cuestionan, son exactamente los mismos que permanec</w:t>
      </w:r>
      <w:r w:rsidR="00046A96" w:rsidRPr="00486FEC">
        <w:rPr>
          <w:rFonts w:ascii="Verdana" w:hAnsi="Verdana"/>
          <w:sz w:val="20"/>
          <w:szCs w:val="20"/>
        </w:rPr>
        <w:t xml:space="preserve">ían </w:t>
      </w:r>
      <w:r w:rsidRPr="00486FEC">
        <w:rPr>
          <w:rFonts w:ascii="Verdana" w:hAnsi="Verdana"/>
          <w:sz w:val="20"/>
          <w:szCs w:val="20"/>
        </w:rPr>
        <w:t xml:space="preserve">en el código penal ecuatoriano desde su sanción en 1938, </w:t>
      </w:r>
      <w:r w:rsidR="00046A96" w:rsidRPr="00486FEC">
        <w:rPr>
          <w:rFonts w:ascii="Verdana" w:hAnsi="Verdana"/>
          <w:sz w:val="20"/>
          <w:szCs w:val="20"/>
        </w:rPr>
        <w:t xml:space="preserve">sólo que numerados como </w:t>
      </w:r>
      <w:r w:rsidRPr="00486FEC">
        <w:rPr>
          <w:rFonts w:ascii="Verdana" w:hAnsi="Verdana"/>
          <w:sz w:val="20"/>
          <w:szCs w:val="20"/>
        </w:rPr>
        <w:t>artículo</w:t>
      </w:r>
      <w:r w:rsidR="00046A96" w:rsidRPr="00486FEC">
        <w:rPr>
          <w:rFonts w:ascii="Verdana" w:hAnsi="Verdana"/>
          <w:sz w:val="20"/>
          <w:szCs w:val="20"/>
        </w:rPr>
        <w:t>s</w:t>
      </w:r>
      <w:r w:rsidRPr="00486FEC">
        <w:rPr>
          <w:rFonts w:ascii="Verdana" w:hAnsi="Verdana"/>
          <w:sz w:val="20"/>
          <w:szCs w:val="20"/>
        </w:rPr>
        <w:t xml:space="preserve"> </w:t>
      </w:r>
      <w:r w:rsidR="00154F0D" w:rsidRPr="00486FEC">
        <w:rPr>
          <w:rFonts w:ascii="Verdana" w:hAnsi="Verdana"/>
          <w:sz w:val="20"/>
          <w:szCs w:val="20"/>
        </w:rPr>
        <w:t>465 a 469</w:t>
      </w:r>
      <w:r w:rsidR="00E46F55" w:rsidRPr="00486FEC">
        <w:rPr>
          <w:rFonts w:ascii="Verdana" w:hAnsi="Verdana"/>
          <w:sz w:val="20"/>
          <w:szCs w:val="20"/>
        </w:rPr>
        <w:t>.</w:t>
      </w:r>
    </w:p>
    <w:p w14:paraId="4E3B83DA" w14:textId="3BDE71BB"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77A267A8" w14:textId="6288FFE3" w:rsidR="00AC2138" w:rsidRPr="00486FEC" w:rsidRDefault="00F354FA" w:rsidP="00486FEC">
      <w:pPr>
        <w:pStyle w:val="Prrafodelista"/>
        <w:numPr>
          <w:ilvl w:val="0"/>
          <w:numId w:val="3"/>
        </w:numPr>
        <w:spacing w:after="0" w:line="240" w:lineRule="auto"/>
        <w:ind w:left="0" w:firstLine="0"/>
        <w:contextualSpacing w:val="0"/>
        <w:jc w:val="both"/>
        <w:rPr>
          <w:rFonts w:ascii="Verdana" w:hAnsi="Verdana"/>
          <w:sz w:val="20"/>
          <w:szCs w:val="20"/>
          <w:lang w:val="es-CR"/>
        </w:rPr>
      </w:pPr>
      <w:r w:rsidRPr="00486FEC">
        <w:rPr>
          <w:rFonts w:ascii="Verdana" w:hAnsi="Verdana"/>
          <w:sz w:val="20"/>
          <w:szCs w:val="20"/>
        </w:rPr>
        <w:t xml:space="preserve">Es interesante hacer notar que </w:t>
      </w:r>
      <w:r w:rsidR="007D7B5C" w:rsidRPr="00486FEC">
        <w:rPr>
          <w:rFonts w:ascii="Verdana" w:hAnsi="Verdana"/>
          <w:sz w:val="20"/>
          <w:szCs w:val="20"/>
        </w:rPr>
        <w:t xml:space="preserve">desde </w:t>
      </w:r>
      <w:r w:rsidRPr="00486FEC">
        <w:rPr>
          <w:rFonts w:ascii="Verdana" w:hAnsi="Verdana"/>
          <w:sz w:val="20"/>
          <w:szCs w:val="20"/>
        </w:rPr>
        <w:t>siempre en la legislación penal ecuatoriana</w:t>
      </w:r>
      <w:r w:rsidR="00046A96" w:rsidRPr="00486FEC">
        <w:rPr>
          <w:rFonts w:ascii="Verdana" w:hAnsi="Verdana"/>
          <w:sz w:val="20"/>
          <w:szCs w:val="20"/>
        </w:rPr>
        <w:t xml:space="preserve"> </w:t>
      </w:r>
      <w:r w:rsidRPr="00486FEC">
        <w:rPr>
          <w:rFonts w:ascii="Verdana" w:hAnsi="Verdana"/>
          <w:i/>
          <w:sz w:val="20"/>
          <w:szCs w:val="20"/>
        </w:rPr>
        <w:t>la falsa imputación de un delito</w:t>
      </w:r>
      <w:r w:rsidR="00046A96" w:rsidRPr="00486FEC">
        <w:rPr>
          <w:rFonts w:ascii="Verdana" w:hAnsi="Verdana"/>
          <w:sz w:val="20"/>
          <w:szCs w:val="20"/>
        </w:rPr>
        <w:t xml:space="preserve"> fue una calumnia, aunque no siempre se tuvo clara su distinción con la injuria, lo que podía acarrear problemas de legalidad. </w:t>
      </w:r>
      <w:r w:rsidR="00A539DC" w:rsidRPr="00486FEC">
        <w:rPr>
          <w:rFonts w:ascii="Verdana" w:hAnsi="Verdana"/>
          <w:sz w:val="20"/>
          <w:szCs w:val="20"/>
        </w:rPr>
        <w:t xml:space="preserve">Así sucedía </w:t>
      </w:r>
      <w:r w:rsidRPr="00486FEC">
        <w:rPr>
          <w:rFonts w:ascii="Verdana" w:hAnsi="Verdana"/>
          <w:sz w:val="20"/>
          <w:szCs w:val="20"/>
        </w:rPr>
        <w:t xml:space="preserve">desde la curiosa y farragosa redacción del </w:t>
      </w:r>
      <w:r w:rsidR="00CC3A72" w:rsidRPr="00486FEC">
        <w:rPr>
          <w:rFonts w:ascii="Verdana" w:hAnsi="Verdana"/>
          <w:sz w:val="20"/>
          <w:szCs w:val="20"/>
        </w:rPr>
        <w:t xml:space="preserve">artículo 498 del </w:t>
      </w:r>
      <w:r w:rsidRPr="00486FEC">
        <w:rPr>
          <w:rFonts w:ascii="Verdana" w:hAnsi="Verdana"/>
          <w:sz w:val="20"/>
          <w:szCs w:val="20"/>
        </w:rPr>
        <w:t>código de 18</w:t>
      </w:r>
      <w:r w:rsidR="00CC3A72" w:rsidRPr="00486FEC">
        <w:rPr>
          <w:rFonts w:ascii="Verdana" w:hAnsi="Verdana"/>
          <w:sz w:val="20"/>
          <w:szCs w:val="20"/>
        </w:rPr>
        <w:t>37</w:t>
      </w:r>
      <w:r w:rsidRPr="00486FEC">
        <w:rPr>
          <w:rFonts w:ascii="Verdana" w:hAnsi="Verdana"/>
          <w:sz w:val="20"/>
          <w:szCs w:val="20"/>
        </w:rPr>
        <w:t>,</w:t>
      </w:r>
      <w:r w:rsidR="00687253" w:rsidRPr="00486FEC">
        <w:rPr>
          <w:rFonts w:ascii="Verdana" w:hAnsi="Verdana"/>
          <w:sz w:val="20"/>
          <w:szCs w:val="20"/>
        </w:rPr>
        <w:t xml:space="preserve"> que seguía al artículo 699 del código español de 1822, aunque previendo penas </w:t>
      </w:r>
      <w:r w:rsidR="00157DEE" w:rsidRPr="00486FEC">
        <w:rPr>
          <w:rFonts w:ascii="Verdana" w:hAnsi="Verdana"/>
          <w:sz w:val="20"/>
          <w:szCs w:val="20"/>
        </w:rPr>
        <w:t xml:space="preserve">todavía </w:t>
      </w:r>
      <w:r w:rsidR="00687253" w:rsidRPr="00486FEC">
        <w:rPr>
          <w:rFonts w:ascii="Verdana" w:hAnsi="Verdana"/>
          <w:sz w:val="20"/>
          <w:szCs w:val="20"/>
        </w:rPr>
        <w:t xml:space="preserve">más </w:t>
      </w:r>
      <w:r w:rsidR="00A539DC" w:rsidRPr="00486FEC">
        <w:rPr>
          <w:rFonts w:ascii="Verdana" w:hAnsi="Verdana"/>
          <w:sz w:val="20"/>
          <w:szCs w:val="20"/>
        </w:rPr>
        <w:t xml:space="preserve">insólitas y enormes </w:t>
      </w:r>
      <w:r w:rsidR="00687253" w:rsidRPr="00486FEC">
        <w:rPr>
          <w:rFonts w:ascii="Verdana" w:hAnsi="Verdana"/>
          <w:sz w:val="20"/>
          <w:szCs w:val="20"/>
        </w:rPr>
        <w:t>que éste</w:t>
      </w:r>
      <w:r w:rsidR="00687253" w:rsidRPr="00486FEC">
        <w:rPr>
          <w:rStyle w:val="Refdenotaalpie"/>
          <w:rFonts w:ascii="Verdana" w:hAnsi="Verdana"/>
          <w:sz w:val="20"/>
          <w:szCs w:val="20"/>
        </w:rPr>
        <w:footnoteReference w:id="26"/>
      </w:r>
      <w:r w:rsidR="00687253" w:rsidRPr="00486FEC">
        <w:rPr>
          <w:rFonts w:ascii="Verdana" w:hAnsi="Verdana"/>
          <w:sz w:val="20"/>
          <w:szCs w:val="20"/>
        </w:rPr>
        <w:t xml:space="preserve">: </w:t>
      </w:r>
      <w:r w:rsidR="00240CB2" w:rsidRPr="00486FEC">
        <w:rPr>
          <w:rFonts w:ascii="Verdana" w:hAnsi="Verdana"/>
          <w:i/>
          <w:sz w:val="20"/>
          <w:szCs w:val="20"/>
        </w:rPr>
        <w:t>Son calumniadores los que voluntariamente y a sabiendas, imputaren a otra persona algún hecho falso, que si fuera cierto, expondría a la persona contra quien se hiciera la imputación , a un procedimiento criminal; y siempre que la imputación se haya hecho en reuniones o sitios públicos o en concurrencia particular de diez y seis o más individuos, serán obligados a dar al calumniador satisfacción pública atestatoria, y castigados además del mo</w:t>
      </w:r>
      <w:r w:rsidR="005508F2" w:rsidRPr="00486FEC">
        <w:rPr>
          <w:rFonts w:ascii="Verdana" w:hAnsi="Verdana"/>
          <w:i/>
          <w:sz w:val="20"/>
          <w:szCs w:val="20"/>
        </w:rPr>
        <w:t>d</w:t>
      </w:r>
      <w:r w:rsidR="00240CB2" w:rsidRPr="00486FEC">
        <w:rPr>
          <w:rFonts w:ascii="Verdana" w:hAnsi="Verdana"/>
          <w:i/>
          <w:sz w:val="20"/>
          <w:szCs w:val="20"/>
        </w:rPr>
        <w:t>o siguiente: - Si el hecho que se imputa fuere de los que tienen señalada pena represiva</w:t>
      </w:r>
      <w:r w:rsidR="00CC3A72" w:rsidRPr="00486FEC">
        <w:rPr>
          <w:rFonts w:ascii="Verdana" w:hAnsi="Verdana"/>
          <w:i/>
          <w:sz w:val="20"/>
          <w:szCs w:val="20"/>
        </w:rPr>
        <w:t>, serán condenados a presidio por seis a diez años, y si el hecho mereciera cualquier otra pena, serán destinados a la prisión de dos a seis años</w:t>
      </w:r>
      <w:r w:rsidR="00CC3A72" w:rsidRPr="00486FEC">
        <w:rPr>
          <w:rFonts w:ascii="Verdana" w:hAnsi="Verdana"/>
          <w:sz w:val="20"/>
          <w:szCs w:val="20"/>
        </w:rPr>
        <w:t>.</w:t>
      </w:r>
      <w:r w:rsidR="00AC2138" w:rsidRPr="00486FEC">
        <w:rPr>
          <w:rStyle w:val="Refdenotaalpie"/>
          <w:rFonts w:ascii="Verdana" w:hAnsi="Verdana"/>
          <w:sz w:val="20"/>
          <w:szCs w:val="20"/>
        </w:rPr>
        <w:footnoteReference w:id="27"/>
      </w:r>
    </w:p>
    <w:p w14:paraId="3CCDA2DF" w14:textId="77777777" w:rsidR="00486FEC" w:rsidRPr="00486FEC" w:rsidRDefault="00486FEC" w:rsidP="00486FEC">
      <w:pPr>
        <w:pStyle w:val="Prrafodelista"/>
        <w:spacing w:after="0" w:line="240" w:lineRule="auto"/>
        <w:ind w:left="0"/>
        <w:contextualSpacing w:val="0"/>
        <w:jc w:val="both"/>
        <w:rPr>
          <w:rFonts w:ascii="Verdana" w:hAnsi="Verdana"/>
          <w:sz w:val="20"/>
          <w:szCs w:val="20"/>
          <w:lang w:val="es-CR"/>
        </w:rPr>
      </w:pPr>
    </w:p>
    <w:p w14:paraId="2C6F9144" w14:textId="444114A8" w:rsidR="00C42DDF" w:rsidRDefault="00CC3A72"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La calumnia se mezcló con la injuria en el código </w:t>
      </w:r>
      <w:r w:rsidR="00157DEE" w:rsidRPr="00486FEC">
        <w:rPr>
          <w:rFonts w:ascii="Verdana" w:hAnsi="Verdana"/>
          <w:sz w:val="20"/>
          <w:szCs w:val="20"/>
        </w:rPr>
        <w:t xml:space="preserve">de </w:t>
      </w:r>
      <w:r w:rsidRPr="00486FEC">
        <w:rPr>
          <w:rFonts w:ascii="Verdana" w:hAnsi="Verdana"/>
          <w:sz w:val="20"/>
          <w:szCs w:val="20"/>
        </w:rPr>
        <w:t xml:space="preserve">García Moreno, aunque la primera variante siguió siendo la falsa imputación de un delito, </w:t>
      </w:r>
      <w:r w:rsidR="00A53AD3" w:rsidRPr="00486FEC">
        <w:rPr>
          <w:rFonts w:ascii="Verdana" w:hAnsi="Verdana"/>
          <w:sz w:val="20"/>
          <w:szCs w:val="20"/>
        </w:rPr>
        <w:t xml:space="preserve">pero </w:t>
      </w:r>
      <w:r w:rsidRPr="00486FEC">
        <w:rPr>
          <w:rFonts w:ascii="Verdana" w:hAnsi="Verdana"/>
          <w:sz w:val="20"/>
          <w:szCs w:val="20"/>
        </w:rPr>
        <w:t xml:space="preserve">dicho de un modo diferente: </w:t>
      </w:r>
      <w:r w:rsidRPr="00486FEC">
        <w:rPr>
          <w:rFonts w:ascii="Verdana" w:hAnsi="Verdana"/>
          <w:i/>
          <w:sz w:val="20"/>
          <w:szCs w:val="20"/>
        </w:rPr>
        <w:t xml:space="preserve">Es calumnia la imputación que se hiciere a una persona de un hecho determinado de tal naturaleza, que la exponga a un enjuiciamiento por crimen o delito, o que la causa alguna deshonra, odio o desconcepto en la opinión pública o </w:t>
      </w:r>
      <w:r w:rsidR="00E14FC5" w:rsidRPr="00486FEC">
        <w:rPr>
          <w:rFonts w:ascii="Verdana" w:hAnsi="Verdana"/>
          <w:i/>
          <w:sz w:val="20"/>
          <w:szCs w:val="20"/>
        </w:rPr>
        <w:t>algún otro perjuicio</w:t>
      </w:r>
      <w:r w:rsidR="00C42DDF" w:rsidRPr="00486FEC">
        <w:rPr>
          <w:rStyle w:val="Refdenotaalpie"/>
          <w:rFonts w:ascii="Verdana" w:hAnsi="Verdana"/>
          <w:i/>
          <w:sz w:val="20"/>
          <w:szCs w:val="20"/>
        </w:rPr>
        <w:footnoteReference w:id="28"/>
      </w:r>
      <w:r w:rsidR="00E14FC5" w:rsidRPr="00486FEC">
        <w:rPr>
          <w:rFonts w:ascii="Verdana" w:hAnsi="Verdana"/>
          <w:sz w:val="20"/>
          <w:szCs w:val="20"/>
        </w:rPr>
        <w:t>. La confusión con la injuria en este texto proviene de su fuente de inspiración en el artículo 443 del código penal belga</w:t>
      </w:r>
      <w:r w:rsidR="00C42DDF" w:rsidRPr="00486FEC">
        <w:rPr>
          <w:rStyle w:val="Refdenotaalpie"/>
          <w:rFonts w:ascii="Verdana" w:hAnsi="Verdana"/>
          <w:sz w:val="20"/>
          <w:szCs w:val="20"/>
        </w:rPr>
        <w:footnoteReference w:id="29"/>
      </w:r>
      <w:r w:rsidR="00F72EF4" w:rsidRPr="00486FEC">
        <w:rPr>
          <w:rFonts w:ascii="Verdana" w:hAnsi="Verdana"/>
          <w:sz w:val="20"/>
          <w:szCs w:val="20"/>
        </w:rPr>
        <w:t xml:space="preserve">. </w:t>
      </w:r>
      <w:r w:rsidR="00046A96" w:rsidRPr="00486FEC">
        <w:rPr>
          <w:rFonts w:ascii="Verdana" w:hAnsi="Verdana"/>
          <w:sz w:val="20"/>
          <w:szCs w:val="20"/>
        </w:rPr>
        <w:t>Esta co</w:t>
      </w:r>
      <w:r w:rsidR="00F72EF4" w:rsidRPr="00486FEC">
        <w:rPr>
          <w:rFonts w:ascii="Verdana" w:hAnsi="Verdana"/>
          <w:sz w:val="20"/>
          <w:szCs w:val="20"/>
        </w:rPr>
        <w:t xml:space="preserve">nfusión </w:t>
      </w:r>
      <w:r w:rsidR="00046A96" w:rsidRPr="00486FEC">
        <w:rPr>
          <w:rFonts w:ascii="Verdana" w:hAnsi="Verdana"/>
          <w:sz w:val="20"/>
          <w:szCs w:val="20"/>
        </w:rPr>
        <w:t xml:space="preserve">se </w:t>
      </w:r>
      <w:r w:rsidR="00F72EF4" w:rsidRPr="00486FEC">
        <w:rPr>
          <w:rFonts w:ascii="Verdana" w:hAnsi="Verdana"/>
          <w:sz w:val="20"/>
          <w:szCs w:val="20"/>
        </w:rPr>
        <w:t>mantuvo textualmente en el artículo 420 del código de Eloy Alfaro de 190</w:t>
      </w:r>
      <w:r w:rsidR="00C42DDF" w:rsidRPr="00486FEC">
        <w:rPr>
          <w:rFonts w:ascii="Verdana" w:hAnsi="Verdana"/>
          <w:sz w:val="20"/>
          <w:szCs w:val="20"/>
        </w:rPr>
        <w:t>6</w:t>
      </w:r>
      <w:r w:rsidR="007D7B5C" w:rsidRPr="00486FEC">
        <w:rPr>
          <w:rStyle w:val="Refdenotaalpie"/>
          <w:rFonts w:ascii="Verdana" w:hAnsi="Verdana"/>
          <w:sz w:val="20"/>
          <w:szCs w:val="20"/>
        </w:rPr>
        <w:footnoteReference w:id="30"/>
      </w:r>
      <w:r w:rsidR="00C42DDF" w:rsidRPr="00486FEC">
        <w:rPr>
          <w:rFonts w:ascii="Verdana" w:hAnsi="Verdana"/>
          <w:sz w:val="20"/>
          <w:szCs w:val="20"/>
        </w:rPr>
        <w:t>.</w:t>
      </w:r>
    </w:p>
    <w:p w14:paraId="0FC25C68" w14:textId="3BE465D9"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4F24B3A5" w14:textId="00D1C154" w:rsidR="00C42DDF" w:rsidRDefault="00F72EF4"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Puede afirmarse </w:t>
      </w:r>
      <w:r w:rsidR="008D78DC" w:rsidRPr="00486FEC">
        <w:rPr>
          <w:rFonts w:ascii="Verdana" w:hAnsi="Verdana"/>
          <w:sz w:val="20"/>
          <w:szCs w:val="20"/>
        </w:rPr>
        <w:t>que,</w:t>
      </w:r>
      <w:r w:rsidRPr="00486FEC">
        <w:rPr>
          <w:rFonts w:ascii="Verdana" w:hAnsi="Verdana"/>
          <w:sz w:val="20"/>
          <w:szCs w:val="20"/>
        </w:rPr>
        <w:t xml:space="preserve"> desde el código de García Moren</w:t>
      </w:r>
      <w:r w:rsidR="005508F2" w:rsidRPr="00486FEC">
        <w:rPr>
          <w:rFonts w:ascii="Verdana" w:hAnsi="Verdana"/>
          <w:sz w:val="20"/>
          <w:szCs w:val="20"/>
        </w:rPr>
        <w:t>o</w:t>
      </w:r>
      <w:r w:rsidRPr="00486FEC">
        <w:rPr>
          <w:rFonts w:ascii="Verdana" w:hAnsi="Verdana"/>
          <w:sz w:val="20"/>
          <w:szCs w:val="20"/>
        </w:rPr>
        <w:t xml:space="preserve">, pasando por el de Eloy Alfaro y hasta llegar a 1938, la confusión de </w:t>
      </w:r>
      <w:r w:rsidR="001F2FAE" w:rsidRPr="00486FEC">
        <w:rPr>
          <w:rFonts w:ascii="Verdana" w:hAnsi="Verdana"/>
          <w:sz w:val="20"/>
          <w:szCs w:val="20"/>
        </w:rPr>
        <w:t xml:space="preserve">la </w:t>
      </w:r>
      <w:r w:rsidRPr="00486FEC">
        <w:rPr>
          <w:rFonts w:ascii="Verdana" w:hAnsi="Verdana"/>
          <w:sz w:val="20"/>
          <w:szCs w:val="20"/>
        </w:rPr>
        <w:t>calumnia con</w:t>
      </w:r>
      <w:r w:rsidR="001F2FAE" w:rsidRPr="00486FEC">
        <w:rPr>
          <w:rFonts w:ascii="Verdana" w:hAnsi="Verdana"/>
          <w:sz w:val="20"/>
          <w:szCs w:val="20"/>
        </w:rPr>
        <w:t xml:space="preserve"> la</w:t>
      </w:r>
      <w:r w:rsidRPr="00486FEC">
        <w:rPr>
          <w:rFonts w:ascii="Verdana" w:hAnsi="Verdana"/>
          <w:sz w:val="20"/>
          <w:szCs w:val="20"/>
        </w:rPr>
        <w:t xml:space="preserve"> injuria y la dudosa precisión de la definición de esta última, no respetaban el principio de estricta </w:t>
      </w:r>
      <w:r w:rsidR="00C42DDF" w:rsidRPr="00486FEC">
        <w:rPr>
          <w:rFonts w:ascii="Verdana" w:hAnsi="Verdana"/>
          <w:sz w:val="20"/>
          <w:szCs w:val="20"/>
        </w:rPr>
        <w:t>legalidad penal.</w:t>
      </w:r>
    </w:p>
    <w:p w14:paraId="62238F6F" w14:textId="77777777" w:rsidR="00486FEC" w:rsidRPr="00486FEC" w:rsidRDefault="00486FEC" w:rsidP="00486FEC">
      <w:pPr>
        <w:pStyle w:val="Prrafodelista"/>
        <w:rPr>
          <w:rFonts w:ascii="Verdana" w:hAnsi="Verdana"/>
          <w:sz w:val="20"/>
          <w:szCs w:val="20"/>
        </w:rPr>
      </w:pPr>
    </w:p>
    <w:p w14:paraId="09F25F6D"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4E0CA7E4" w14:textId="55F19EFB" w:rsidR="00C42DDF" w:rsidRDefault="00F72EF4"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El código de 1938 no innovó demasiado en el texto anterior de Eloy Alfaro, pues no alteró su estructura, limitándose a introducir algunas disposiciones inspiradas en el código italiano de Rocco, pero en esta materia los codificadores parece que se percataron de la falla de</w:t>
      </w:r>
      <w:r w:rsidR="009136A9" w:rsidRPr="00486FEC">
        <w:rPr>
          <w:rFonts w:ascii="Verdana" w:hAnsi="Verdana"/>
          <w:sz w:val="20"/>
          <w:szCs w:val="20"/>
        </w:rPr>
        <w:t xml:space="preserve"> los </w:t>
      </w:r>
      <w:r w:rsidRPr="00486FEC">
        <w:rPr>
          <w:rFonts w:ascii="Verdana" w:hAnsi="Verdana"/>
          <w:sz w:val="20"/>
          <w:szCs w:val="20"/>
        </w:rPr>
        <w:t>texto</w:t>
      </w:r>
      <w:r w:rsidR="009136A9" w:rsidRPr="00486FEC">
        <w:rPr>
          <w:rFonts w:ascii="Verdana" w:hAnsi="Verdana"/>
          <w:sz w:val="20"/>
          <w:szCs w:val="20"/>
        </w:rPr>
        <w:t>s</w:t>
      </w:r>
      <w:r w:rsidRPr="00486FEC">
        <w:rPr>
          <w:rFonts w:ascii="Verdana" w:hAnsi="Verdana"/>
          <w:sz w:val="20"/>
          <w:szCs w:val="20"/>
        </w:rPr>
        <w:t xml:space="preserve"> anterior</w:t>
      </w:r>
      <w:r w:rsidR="009136A9" w:rsidRPr="00486FEC">
        <w:rPr>
          <w:rFonts w:ascii="Verdana" w:hAnsi="Verdana"/>
          <w:sz w:val="20"/>
          <w:szCs w:val="20"/>
        </w:rPr>
        <w:t>es</w:t>
      </w:r>
      <w:r w:rsidRPr="00486FEC">
        <w:rPr>
          <w:rFonts w:ascii="Verdana" w:hAnsi="Verdana"/>
          <w:sz w:val="20"/>
          <w:szCs w:val="20"/>
        </w:rPr>
        <w:t xml:space="preserve"> y, pese a </w:t>
      </w:r>
      <w:r w:rsidR="00046A96" w:rsidRPr="00486FEC">
        <w:rPr>
          <w:rFonts w:ascii="Verdana" w:hAnsi="Verdana"/>
          <w:sz w:val="20"/>
          <w:szCs w:val="20"/>
        </w:rPr>
        <w:t xml:space="preserve">usar genéricamente el término </w:t>
      </w:r>
      <w:r w:rsidRPr="00486FEC">
        <w:rPr>
          <w:rFonts w:ascii="Verdana" w:hAnsi="Verdana"/>
          <w:i/>
          <w:sz w:val="20"/>
          <w:szCs w:val="20"/>
        </w:rPr>
        <w:t>injuria</w:t>
      </w:r>
      <w:r w:rsidRPr="00486FEC">
        <w:rPr>
          <w:rFonts w:ascii="Verdana" w:hAnsi="Verdana"/>
          <w:sz w:val="20"/>
          <w:szCs w:val="20"/>
        </w:rPr>
        <w:t xml:space="preserve">, distinguieron nítidamente la </w:t>
      </w:r>
      <w:r w:rsidRPr="00486FEC">
        <w:rPr>
          <w:rFonts w:ascii="Verdana" w:hAnsi="Verdana"/>
          <w:i/>
          <w:sz w:val="20"/>
          <w:szCs w:val="20"/>
        </w:rPr>
        <w:t>calumniosa</w:t>
      </w:r>
      <w:r w:rsidRPr="00486FEC">
        <w:rPr>
          <w:rFonts w:ascii="Verdana" w:hAnsi="Verdana"/>
          <w:sz w:val="20"/>
          <w:szCs w:val="20"/>
        </w:rPr>
        <w:t xml:space="preserve"> de la </w:t>
      </w:r>
      <w:r w:rsidRPr="00486FEC">
        <w:rPr>
          <w:rFonts w:ascii="Verdana" w:hAnsi="Verdana"/>
          <w:i/>
          <w:sz w:val="20"/>
          <w:szCs w:val="20"/>
        </w:rPr>
        <w:t>no calumniosa</w:t>
      </w:r>
      <w:r w:rsidRPr="00486FEC">
        <w:rPr>
          <w:rFonts w:ascii="Verdana" w:hAnsi="Verdana"/>
          <w:sz w:val="20"/>
          <w:szCs w:val="20"/>
        </w:rPr>
        <w:t xml:space="preserve">, </w:t>
      </w:r>
      <w:r w:rsidR="00D32AEE" w:rsidRPr="00486FEC">
        <w:rPr>
          <w:rFonts w:ascii="Verdana" w:hAnsi="Verdana"/>
          <w:sz w:val="20"/>
          <w:szCs w:val="20"/>
        </w:rPr>
        <w:t xml:space="preserve">definiendo a la primera con toda precisión como </w:t>
      </w:r>
      <w:r w:rsidR="00D32AEE" w:rsidRPr="00486FEC">
        <w:rPr>
          <w:rFonts w:ascii="Verdana" w:hAnsi="Verdana"/>
          <w:i/>
          <w:sz w:val="20"/>
          <w:szCs w:val="20"/>
        </w:rPr>
        <w:t>la falsa imputación de un delito</w:t>
      </w:r>
      <w:r w:rsidR="00D32AEE" w:rsidRPr="00486FEC">
        <w:rPr>
          <w:rFonts w:ascii="Verdana" w:hAnsi="Verdana"/>
          <w:sz w:val="20"/>
          <w:szCs w:val="20"/>
        </w:rPr>
        <w:t>, fórmula que no deja lugar a dudas y, en el artículo 469 (que con el número 493 es el que se aplicó al perio</w:t>
      </w:r>
      <w:r w:rsidR="0015088E" w:rsidRPr="00486FEC">
        <w:rPr>
          <w:rFonts w:ascii="Verdana" w:hAnsi="Verdana"/>
          <w:sz w:val="20"/>
          <w:szCs w:val="20"/>
        </w:rPr>
        <w:t>dista y a los editores) se refiere</w:t>
      </w:r>
      <w:r w:rsidR="00D32AEE" w:rsidRPr="00486FEC">
        <w:rPr>
          <w:rFonts w:ascii="Verdana" w:hAnsi="Verdana"/>
          <w:sz w:val="20"/>
          <w:szCs w:val="20"/>
        </w:rPr>
        <w:t xml:space="preserve">n claramente a la </w:t>
      </w:r>
      <w:r w:rsidR="00D32AEE" w:rsidRPr="00486FEC">
        <w:rPr>
          <w:rFonts w:ascii="Verdana" w:hAnsi="Verdana"/>
          <w:i/>
          <w:sz w:val="20"/>
          <w:szCs w:val="20"/>
        </w:rPr>
        <w:t>injuria calumniosa</w:t>
      </w:r>
      <w:r w:rsidR="00D32AEE" w:rsidRPr="00486FEC">
        <w:rPr>
          <w:rFonts w:ascii="Verdana" w:hAnsi="Verdana"/>
          <w:sz w:val="20"/>
          <w:szCs w:val="20"/>
        </w:rPr>
        <w:t xml:space="preserve"> que, más allá del </w:t>
      </w:r>
      <w:r w:rsidR="00D32AEE" w:rsidRPr="00486FEC">
        <w:rPr>
          <w:rFonts w:ascii="Verdana" w:hAnsi="Verdana"/>
          <w:i/>
          <w:sz w:val="20"/>
          <w:szCs w:val="20"/>
        </w:rPr>
        <w:t>nomen juris</w:t>
      </w:r>
      <w:r w:rsidR="00046A96" w:rsidRPr="00486FEC">
        <w:rPr>
          <w:rFonts w:ascii="Verdana" w:hAnsi="Verdana"/>
          <w:i/>
          <w:sz w:val="20"/>
          <w:szCs w:val="20"/>
        </w:rPr>
        <w:t>,</w:t>
      </w:r>
      <w:r w:rsidR="00D32AEE" w:rsidRPr="00486FEC">
        <w:rPr>
          <w:rFonts w:ascii="Verdana" w:hAnsi="Verdana"/>
          <w:sz w:val="20"/>
          <w:szCs w:val="20"/>
        </w:rPr>
        <w:t xml:space="preserve"> es lo que en toda la legislación comparada se tipifica como </w:t>
      </w:r>
      <w:r w:rsidR="00D32AEE" w:rsidRPr="00486FEC">
        <w:rPr>
          <w:rFonts w:ascii="Verdana" w:hAnsi="Verdana"/>
          <w:i/>
          <w:sz w:val="20"/>
          <w:szCs w:val="20"/>
        </w:rPr>
        <w:t>calumnia</w:t>
      </w:r>
      <w:r w:rsidR="00C42DDF" w:rsidRPr="00486FEC">
        <w:rPr>
          <w:rFonts w:ascii="Verdana" w:hAnsi="Verdana"/>
          <w:sz w:val="20"/>
          <w:szCs w:val="20"/>
        </w:rPr>
        <w:t>.</w:t>
      </w:r>
    </w:p>
    <w:p w14:paraId="316CD874"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5691C5B2" w14:textId="2A3EB652" w:rsidR="0015088E" w:rsidRDefault="00B86ECA"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Por ende, en la ley aplicada estaba perfectamente demarcado que se </w:t>
      </w:r>
      <w:r w:rsidR="00D32AEE" w:rsidRPr="00486FEC">
        <w:rPr>
          <w:rFonts w:ascii="Verdana" w:hAnsi="Verdana"/>
          <w:sz w:val="20"/>
          <w:szCs w:val="20"/>
        </w:rPr>
        <w:t xml:space="preserve">procesaba por </w:t>
      </w:r>
      <w:r w:rsidR="00D32AEE" w:rsidRPr="00486FEC">
        <w:rPr>
          <w:rFonts w:ascii="Verdana" w:hAnsi="Verdana"/>
          <w:i/>
          <w:sz w:val="20"/>
          <w:szCs w:val="20"/>
        </w:rPr>
        <w:t xml:space="preserve">la </w:t>
      </w:r>
      <w:r w:rsidR="009136A9" w:rsidRPr="00486FEC">
        <w:rPr>
          <w:rFonts w:ascii="Verdana" w:hAnsi="Verdana"/>
          <w:i/>
          <w:sz w:val="20"/>
          <w:szCs w:val="20"/>
        </w:rPr>
        <w:t>calumnia d</w:t>
      </w:r>
      <w:r w:rsidR="00D32AEE" w:rsidRPr="00486FEC">
        <w:rPr>
          <w:rFonts w:ascii="Verdana" w:hAnsi="Verdana"/>
          <w:i/>
          <w:sz w:val="20"/>
          <w:szCs w:val="20"/>
        </w:rPr>
        <w:t>irigida a la autoridad</w:t>
      </w:r>
      <w:r w:rsidR="009136A9" w:rsidRPr="00486FEC">
        <w:rPr>
          <w:rFonts w:ascii="Verdana" w:hAnsi="Verdana"/>
          <w:sz w:val="20"/>
          <w:szCs w:val="20"/>
        </w:rPr>
        <w:t xml:space="preserve"> y </w:t>
      </w:r>
      <w:r w:rsidR="003708E9" w:rsidRPr="00486FEC">
        <w:rPr>
          <w:rFonts w:ascii="Verdana" w:hAnsi="Verdana"/>
          <w:sz w:val="20"/>
          <w:szCs w:val="20"/>
        </w:rPr>
        <w:t xml:space="preserve">que </w:t>
      </w:r>
      <w:r w:rsidR="009136A9" w:rsidRPr="00486FEC">
        <w:rPr>
          <w:rFonts w:ascii="Verdana" w:hAnsi="Verdana"/>
          <w:sz w:val="20"/>
          <w:szCs w:val="20"/>
        </w:rPr>
        <w:t xml:space="preserve">por </w:t>
      </w:r>
      <w:r w:rsidR="009136A9" w:rsidRPr="00486FEC">
        <w:rPr>
          <w:rFonts w:ascii="Verdana" w:hAnsi="Verdana"/>
          <w:i/>
          <w:sz w:val="20"/>
          <w:szCs w:val="20"/>
        </w:rPr>
        <w:t>calumnia</w:t>
      </w:r>
      <w:r w:rsidR="009136A9" w:rsidRPr="00486FEC">
        <w:rPr>
          <w:rFonts w:ascii="Verdana" w:hAnsi="Verdana"/>
          <w:sz w:val="20"/>
          <w:szCs w:val="20"/>
        </w:rPr>
        <w:t xml:space="preserve"> se entendía </w:t>
      </w:r>
      <w:r w:rsidR="009136A9" w:rsidRPr="00486FEC">
        <w:rPr>
          <w:rFonts w:ascii="Verdana" w:hAnsi="Verdana"/>
          <w:i/>
          <w:sz w:val="20"/>
          <w:szCs w:val="20"/>
        </w:rPr>
        <w:t>la falsa imputación de un delito</w:t>
      </w:r>
      <w:r w:rsidR="009136A9" w:rsidRPr="00486FEC">
        <w:rPr>
          <w:rFonts w:ascii="Verdana" w:hAnsi="Verdana"/>
          <w:sz w:val="20"/>
          <w:szCs w:val="20"/>
        </w:rPr>
        <w:t xml:space="preserve">. </w:t>
      </w:r>
      <w:r w:rsidRPr="00486FEC">
        <w:rPr>
          <w:rFonts w:ascii="Verdana" w:hAnsi="Verdana"/>
          <w:sz w:val="20"/>
          <w:szCs w:val="20"/>
        </w:rPr>
        <w:t>Más allá de la simpatía o antipatía que pued</w:t>
      </w:r>
      <w:r w:rsidR="003708E9" w:rsidRPr="00486FEC">
        <w:rPr>
          <w:rFonts w:ascii="Verdana" w:hAnsi="Verdana"/>
          <w:sz w:val="20"/>
          <w:szCs w:val="20"/>
        </w:rPr>
        <w:t>a</w:t>
      </w:r>
      <w:r w:rsidRPr="00486FEC">
        <w:rPr>
          <w:rFonts w:ascii="Verdana" w:hAnsi="Verdana"/>
          <w:sz w:val="20"/>
          <w:szCs w:val="20"/>
        </w:rPr>
        <w:t xml:space="preserve"> despertar este tipo, no se le puede achacar falta de precisión en la individualización de la conducta que quiere penar</w:t>
      </w:r>
      <w:r w:rsidR="009136A9" w:rsidRPr="00486FEC">
        <w:rPr>
          <w:rFonts w:ascii="Verdana" w:hAnsi="Verdana"/>
          <w:sz w:val="20"/>
          <w:szCs w:val="20"/>
        </w:rPr>
        <w:t xml:space="preserve">: </w:t>
      </w:r>
      <w:r w:rsidR="009136A9" w:rsidRPr="00486FEC">
        <w:rPr>
          <w:rFonts w:ascii="Verdana" w:hAnsi="Verdana"/>
          <w:i/>
          <w:sz w:val="20"/>
          <w:szCs w:val="20"/>
        </w:rPr>
        <w:t>se pena la falsa imputación de un delito dirigida a la autoridad</w:t>
      </w:r>
      <w:r w:rsidRPr="00486FEC">
        <w:rPr>
          <w:rFonts w:ascii="Verdana" w:hAnsi="Verdana"/>
          <w:sz w:val="20"/>
          <w:szCs w:val="20"/>
        </w:rPr>
        <w:t xml:space="preserve">. </w:t>
      </w:r>
      <w:r w:rsidR="003708E9" w:rsidRPr="00486FEC">
        <w:rPr>
          <w:rFonts w:ascii="Verdana" w:hAnsi="Verdana"/>
          <w:sz w:val="20"/>
          <w:szCs w:val="20"/>
        </w:rPr>
        <w:t>Más precisión no es posi</w:t>
      </w:r>
      <w:r w:rsidR="00C42DDF" w:rsidRPr="00486FEC">
        <w:rPr>
          <w:rFonts w:ascii="Verdana" w:hAnsi="Verdana"/>
          <w:sz w:val="20"/>
          <w:szCs w:val="20"/>
        </w:rPr>
        <w:t>ble exigir a ningún legislador.</w:t>
      </w:r>
    </w:p>
    <w:p w14:paraId="42E5205C" w14:textId="0F452B02"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315A1EC6" w14:textId="3CA911DA" w:rsidR="0015088E" w:rsidRDefault="0015088E"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Este caso es completamente diferente al resuelto por esta Corte en el Caso Usón Ramírez vs. Venezuela</w:t>
      </w:r>
      <w:r w:rsidRPr="00486FEC">
        <w:rPr>
          <w:rStyle w:val="Refdenotaalpie"/>
          <w:rFonts w:ascii="Verdana" w:hAnsi="Verdana"/>
          <w:sz w:val="20"/>
          <w:szCs w:val="20"/>
        </w:rPr>
        <w:footnoteReference w:id="31"/>
      </w:r>
      <w:r w:rsidRPr="00486FEC">
        <w:rPr>
          <w:rFonts w:ascii="Verdana" w:hAnsi="Verdana"/>
          <w:sz w:val="20"/>
          <w:szCs w:val="20"/>
        </w:rPr>
        <w:t xml:space="preserve">, </w:t>
      </w:r>
      <w:r w:rsidR="0066398F" w:rsidRPr="00486FEC">
        <w:rPr>
          <w:rFonts w:ascii="Verdana" w:hAnsi="Verdana"/>
          <w:sz w:val="20"/>
          <w:szCs w:val="20"/>
        </w:rPr>
        <w:t xml:space="preserve">en que se consideró correctamente que el Estado era internacionalmente responsable por la condena en perjuicio de Francisco Usón Ramírez, entre otras cosas, por la violación al </w:t>
      </w:r>
      <w:r w:rsidRPr="00486FEC">
        <w:rPr>
          <w:rFonts w:ascii="Verdana" w:hAnsi="Verdana"/>
          <w:sz w:val="20"/>
          <w:szCs w:val="20"/>
        </w:rPr>
        <w:t>principio de legalidad en razón de la vaguedad de la definición de la conducta típica</w:t>
      </w:r>
      <w:r w:rsidR="0066398F" w:rsidRPr="00486FEC">
        <w:rPr>
          <w:rFonts w:ascii="Verdana" w:hAnsi="Verdana"/>
          <w:sz w:val="20"/>
          <w:szCs w:val="20"/>
        </w:rPr>
        <w:t xml:space="preserve"> de injurias</w:t>
      </w:r>
      <w:r w:rsidRPr="00486FEC">
        <w:rPr>
          <w:rFonts w:ascii="Verdana" w:hAnsi="Verdana"/>
          <w:sz w:val="20"/>
          <w:szCs w:val="20"/>
        </w:rPr>
        <w:t xml:space="preserve">. </w:t>
      </w:r>
      <w:r w:rsidR="0066398F" w:rsidRPr="00486FEC">
        <w:rPr>
          <w:rFonts w:ascii="Verdana" w:hAnsi="Verdana"/>
          <w:sz w:val="20"/>
          <w:szCs w:val="20"/>
        </w:rPr>
        <w:t xml:space="preserve">En nuestro caso se trata de calumnia y la definición no puede ser más precisa: </w:t>
      </w:r>
      <w:r w:rsidR="0066398F" w:rsidRPr="00486FEC">
        <w:rPr>
          <w:rFonts w:ascii="Verdana" w:hAnsi="Verdana"/>
          <w:i/>
          <w:sz w:val="20"/>
          <w:szCs w:val="20"/>
        </w:rPr>
        <w:t>falsa imputación de un delito</w:t>
      </w:r>
      <w:r w:rsidR="00486FEC">
        <w:rPr>
          <w:rFonts w:ascii="Verdana" w:hAnsi="Verdana"/>
          <w:sz w:val="20"/>
          <w:szCs w:val="20"/>
        </w:rPr>
        <w:t>.</w:t>
      </w:r>
    </w:p>
    <w:p w14:paraId="3D1E9BA2" w14:textId="1FCF8404"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695B54FD" w14:textId="28566794" w:rsidR="00C42DDF" w:rsidRDefault="009136A9"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Aunque n</w:t>
      </w:r>
      <w:r w:rsidR="00F3528A" w:rsidRPr="00486FEC">
        <w:rPr>
          <w:rFonts w:ascii="Verdana" w:hAnsi="Verdana"/>
          <w:sz w:val="20"/>
          <w:szCs w:val="20"/>
        </w:rPr>
        <w:t>o resulta menester</w:t>
      </w:r>
      <w:r w:rsidRPr="00486FEC">
        <w:rPr>
          <w:rFonts w:ascii="Verdana" w:hAnsi="Verdana"/>
          <w:sz w:val="20"/>
          <w:szCs w:val="20"/>
        </w:rPr>
        <w:t>, bueno es</w:t>
      </w:r>
      <w:r w:rsidR="00F3528A" w:rsidRPr="00486FEC">
        <w:rPr>
          <w:rFonts w:ascii="Verdana" w:hAnsi="Verdana"/>
          <w:sz w:val="20"/>
          <w:szCs w:val="20"/>
        </w:rPr>
        <w:t xml:space="preserve"> recordar que la doctrina explica que la distinción en orden </w:t>
      </w:r>
      <w:r w:rsidR="001F2FAE" w:rsidRPr="00486FEC">
        <w:rPr>
          <w:rFonts w:ascii="Verdana" w:hAnsi="Verdana"/>
          <w:sz w:val="20"/>
          <w:szCs w:val="20"/>
        </w:rPr>
        <w:t>a</w:t>
      </w:r>
      <w:r w:rsidR="00F3528A" w:rsidRPr="00486FEC">
        <w:rPr>
          <w:rFonts w:ascii="Verdana" w:hAnsi="Verdana"/>
          <w:sz w:val="20"/>
          <w:szCs w:val="20"/>
        </w:rPr>
        <w:t xml:space="preserve"> </w:t>
      </w:r>
      <w:r w:rsidR="00B86ECA" w:rsidRPr="00486FEC">
        <w:rPr>
          <w:rFonts w:ascii="Verdana" w:hAnsi="Verdana"/>
          <w:sz w:val="20"/>
          <w:szCs w:val="20"/>
        </w:rPr>
        <w:t xml:space="preserve">la mayor </w:t>
      </w:r>
      <w:r w:rsidR="00F3528A" w:rsidRPr="00486FEC">
        <w:rPr>
          <w:rFonts w:ascii="Verdana" w:hAnsi="Verdana"/>
          <w:sz w:val="20"/>
          <w:szCs w:val="20"/>
        </w:rPr>
        <w:t xml:space="preserve">gravead de la calumnia respecto de la injuria, obedece a que con la primera se afectan dos bienes jurídicos, </w:t>
      </w:r>
      <w:r w:rsidR="003708E9" w:rsidRPr="00486FEC">
        <w:rPr>
          <w:rFonts w:ascii="Verdana" w:hAnsi="Verdana"/>
          <w:sz w:val="20"/>
          <w:szCs w:val="20"/>
        </w:rPr>
        <w:t xml:space="preserve">o sea, </w:t>
      </w:r>
      <w:r w:rsidR="00F3528A" w:rsidRPr="00486FEC">
        <w:rPr>
          <w:rFonts w:ascii="Verdana" w:hAnsi="Verdana"/>
          <w:sz w:val="20"/>
          <w:szCs w:val="20"/>
        </w:rPr>
        <w:t xml:space="preserve">el honor por lesión y la libertad personal por peligro, puesto que </w:t>
      </w:r>
      <w:r w:rsidR="00F3528A" w:rsidRPr="00486FEC">
        <w:rPr>
          <w:rFonts w:ascii="Verdana" w:hAnsi="Verdana"/>
          <w:i/>
          <w:sz w:val="20"/>
          <w:szCs w:val="20"/>
        </w:rPr>
        <w:t>la falsa imputación de un delito</w:t>
      </w:r>
      <w:r w:rsidR="00F3528A" w:rsidRPr="00486FEC">
        <w:rPr>
          <w:rFonts w:ascii="Verdana" w:hAnsi="Verdana"/>
          <w:sz w:val="20"/>
          <w:szCs w:val="20"/>
        </w:rPr>
        <w:t xml:space="preserve"> es susceptible al menos de generar una in</w:t>
      </w:r>
      <w:r w:rsidR="00C42DDF" w:rsidRPr="00486FEC">
        <w:rPr>
          <w:rFonts w:ascii="Verdana" w:hAnsi="Verdana"/>
          <w:sz w:val="20"/>
          <w:szCs w:val="20"/>
        </w:rPr>
        <w:t>vestigación y un procesamiento.</w:t>
      </w:r>
    </w:p>
    <w:p w14:paraId="15D073BB" w14:textId="381B8F14"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6FD85D8D" w14:textId="77777777" w:rsidR="00EA2EC8" w:rsidRPr="00486FEC" w:rsidRDefault="009136A9"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Como se puede observar, en</w:t>
      </w:r>
      <w:r w:rsidR="00D32AEE" w:rsidRPr="00486FEC">
        <w:rPr>
          <w:rFonts w:ascii="Verdana" w:hAnsi="Verdana"/>
          <w:sz w:val="20"/>
          <w:szCs w:val="20"/>
        </w:rPr>
        <w:t xml:space="preserve"> modo alguno estaba afectado el principio de </w:t>
      </w:r>
      <w:r w:rsidRPr="00486FEC">
        <w:rPr>
          <w:rFonts w:ascii="Verdana" w:hAnsi="Verdana"/>
          <w:sz w:val="20"/>
          <w:szCs w:val="20"/>
        </w:rPr>
        <w:t xml:space="preserve">estricta </w:t>
      </w:r>
      <w:r w:rsidR="00D32AEE" w:rsidRPr="00486FEC">
        <w:rPr>
          <w:rFonts w:ascii="Verdana" w:hAnsi="Verdana"/>
          <w:sz w:val="20"/>
          <w:szCs w:val="20"/>
        </w:rPr>
        <w:t>legalidad en la legislación vigente en el momento del procesamiento</w:t>
      </w:r>
      <w:r w:rsidR="00F3528A" w:rsidRPr="00486FEC">
        <w:rPr>
          <w:rFonts w:ascii="Verdana" w:hAnsi="Verdana"/>
          <w:sz w:val="20"/>
          <w:szCs w:val="20"/>
        </w:rPr>
        <w:t xml:space="preserve"> y, en cuanto a los editores, se trata de una cuestión de hecho y prueba determinar si se pueden considerar coautores o partícipes (cómplices necesarios o simples), puesto que </w:t>
      </w:r>
      <w:r w:rsidR="003708E9" w:rsidRPr="00486FEC">
        <w:rPr>
          <w:rFonts w:ascii="Verdana" w:hAnsi="Verdana"/>
          <w:sz w:val="20"/>
          <w:szCs w:val="20"/>
        </w:rPr>
        <w:t xml:space="preserve">pretender que </w:t>
      </w:r>
      <w:r w:rsidR="00F3528A" w:rsidRPr="00486FEC">
        <w:rPr>
          <w:rFonts w:ascii="Verdana" w:hAnsi="Verdana"/>
          <w:sz w:val="20"/>
          <w:szCs w:val="20"/>
        </w:rPr>
        <w:t xml:space="preserve">invariablemente </w:t>
      </w:r>
      <w:r w:rsidRPr="00486FEC">
        <w:rPr>
          <w:rFonts w:ascii="Verdana" w:hAnsi="Verdana"/>
          <w:sz w:val="20"/>
          <w:szCs w:val="20"/>
        </w:rPr>
        <w:t xml:space="preserve">éstos </w:t>
      </w:r>
      <w:r w:rsidR="003708E9" w:rsidRPr="00486FEC">
        <w:rPr>
          <w:rFonts w:ascii="Verdana" w:hAnsi="Verdana"/>
          <w:sz w:val="20"/>
          <w:szCs w:val="20"/>
        </w:rPr>
        <w:t xml:space="preserve">queden a </w:t>
      </w:r>
      <w:r w:rsidR="00F3528A" w:rsidRPr="00486FEC">
        <w:rPr>
          <w:rFonts w:ascii="Verdana" w:hAnsi="Verdana"/>
          <w:sz w:val="20"/>
          <w:szCs w:val="20"/>
        </w:rPr>
        <w:t xml:space="preserve">salvo de cualquier responsabilidad, importaría </w:t>
      </w:r>
      <w:r w:rsidRPr="00486FEC">
        <w:rPr>
          <w:rFonts w:ascii="Verdana" w:hAnsi="Verdana"/>
          <w:sz w:val="20"/>
          <w:szCs w:val="20"/>
        </w:rPr>
        <w:t xml:space="preserve">consagrar </w:t>
      </w:r>
      <w:r w:rsidR="001F2FAE" w:rsidRPr="00486FEC">
        <w:rPr>
          <w:rFonts w:ascii="Verdana" w:hAnsi="Verdana"/>
          <w:sz w:val="20"/>
          <w:szCs w:val="20"/>
        </w:rPr>
        <w:t xml:space="preserve">un indebido </w:t>
      </w:r>
      <w:r w:rsidRPr="00486FEC">
        <w:rPr>
          <w:rFonts w:ascii="Verdana" w:hAnsi="Verdana"/>
          <w:sz w:val="20"/>
          <w:szCs w:val="20"/>
        </w:rPr>
        <w:t>privilegio de to</w:t>
      </w:r>
      <w:r w:rsidR="001F2FAE" w:rsidRPr="00486FEC">
        <w:rPr>
          <w:rFonts w:ascii="Verdana" w:hAnsi="Verdana"/>
          <w:sz w:val="20"/>
          <w:szCs w:val="20"/>
        </w:rPr>
        <w:t>t</w:t>
      </w:r>
      <w:r w:rsidRPr="00486FEC">
        <w:rPr>
          <w:rFonts w:ascii="Verdana" w:hAnsi="Verdana"/>
          <w:sz w:val="20"/>
          <w:szCs w:val="20"/>
        </w:rPr>
        <w:t xml:space="preserve">al </w:t>
      </w:r>
      <w:r w:rsidR="00F3528A" w:rsidRPr="00486FEC">
        <w:rPr>
          <w:rFonts w:ascii="Verdana" w:hAnsi="Verdana"/>
          <w:sz w:val="20"/>
          <w:szCs w:val="20"/>
        </w:rPr>
        <w:t xml:space="preserve">impunidad </w:t>
      </w:r>
      <w:r w:rsidRPr="00486FEC">
        <w:rPr>
          <w:rFonts w:ascii="Verdana" w:hAnsi="Verdana"/>
          <w:sz w:val="20"/>
          <w:szCs w:val="20"/>
        </w:rPr>
        <w:t xml:space="preserve">para lesionar el honor y la libertad de </w:t>
      </w:r>
      <w:r w:rsidR="00F3528A" w:rsidRPr="00486FEC">
        <w:rPr>
          <w:rFonts w:ascii="Verdana" w:hAnsi="Verdana"/>
          <w:sz w:val="20"/>
          <w:szCs w:val="20"/>
        </w:rPr>
        <w:t>cualquier habitante, dado que siempre existe el expediente sencillo de hacer firmar un artículo por cualquier persona ignota que se preste a ello</w:t>
      </w:r>
      <w:r w:rsidRPr="00486FEC">
        <w:rPr>
          <w:rFonts w:ascii="Verdana" w:hAnsi="Verdana"/>
          <w:sz w:val="20"/>
          <w:szCs w:val="20"/>
        </w:rPr>
        <w:t xml:space="preserve"> </w:t>
      </w:r>
      <w:r w:rsidR="003708E9" w:rsidRPr="00486FEC">
        <w:rPr>
          <w:rFonts w:ascii="Verdana" w:hAnsi="Verdana"/>
          <w:sz w:val="20"/>
          <w:szCs w:val="20"/>
        </w:rPr>
        <w:t xml:space="preserve">o a la que se le pague para que lo haga. </w:t>
      </w:r>
      <w:r w:rsidRPr="00486FEC">
        <w:rPr>
          <w:rFonts w:ascii="Verdana" w:hAnsi="Verdana"/>
          <w:sz w:val="20"/>
          <w:szCs w:val="20"/>
        </w:rPr>
        <w:t xml:space="preserve">Lo dicho </w:t>
      </w:r>
      <w:r w:rsidR="00F3528A" w:rsidRPr="00486FEC">
        <w:rPr>
          <w:rFonts w:ascii="Verdana" w:hAnsi="Verdana"/>
          <w:sz w:val="20"/>
          <w:szCs w:val="20"/>
        </w:rPr>
        <w:t>es corriente también en la legislación</w:t>
      </w:r>
      <w:r w:rsidR="00B86ECA" w:rsidRPr="00486FEC">
        <w:rPr>
          <w:rFonts w:ascii="Verdana" w:hAnsi="Verdana"/>
          <w:sz w:val="20"/>
          <w:szCs w:val="20"/>
        </w:rPr>
        <w:t xml:space="preserve">, </w:t>
      </w:r>
      <w:r w:rsidR="00F3528A" w:rsidRPr="00486FEC">
        <w:rPr>
          <w:rFonts w:ascii="Verdana" w:hAnsi="Verdana"/>
          <w:sz w:val="20"/>
          <w:szCs w:val="20"/>
        </w:rPr>
        <w:t>la doctrina y</w:t>
      </w:r>
      <w:r w:rsidR="00B86ECA" w:rsidRPr="00486FEC">
        <w:rPr>
          <w:rFonts w:ascii="Verdana" w:hAnsi="Verdana"/>
          <w:sz w:val="20"/>
          <w:szCs w:val="20"/>
        </w:rPr>
        <w:t xml:space="preserve"> la</w:t>
      </w:r>
      <w:r w:rsidR="00F3528A" w:rsidRPr="00486FEC">
        <w:rPr>
          <w:rFonts w:ascii="Verdana" w:hAnsi="Verdana"/>
          <w:sz w:val="20"/>
          <w:szCs w:val="20"/>
        </w:rPr>
        <w:t xml:space="preserve"> jurisprudencia</w:t>
      </w:r>
      <w:r w:rsidR="00A402DE" w:rsidRPr="00486FEC">
        <w:rPr>
          <w:rFonts w:ascii="Verdana" w:hAnsi="Verdana"/>
          <w:sz w:val="20"/>
          <w:szCs w:val="20"/>
        </w:rPr>
        <w:t xml:space="preserve"> comparadas</w:t>
      </w:r>
      <w:r w:rsidR="00F3528A" w:rsidRPr="00486FEC">
        <w:rPr>
          <w:rFonts w:ascii="Verdana" w:hAnsi="Verdana"/>
          <w:sz w:val="20"/>
          <w:szCs w:val="20"/>
        </w:rPr>
        <w:t>.</w:t>
      </w:r>
    </w:p>
    <w:p w14:paraId="5A89DCC9" w14:textId="77777777" w:rsidR="00EA2EC8" w:rsidRPr="00486FEC" w:rsidRDefault="00EA2EC8" w:rsidP="00486FEC">
      <w:pPr>
        <w:pStyle w:val="Prrafodelista"/>
        <w:spacing w:after="0" w:line="240" w:lineRule="auto"/>
        <w:ind w:left="0"/>
        <w:contextualSpacing w:val="0"/>
        <w:jc w:val="both"/>
        <w:rPr>
          <w:rFonts w:ascii="Verdana" w:hAnsi="Verdana"/>
          <w:sz w:val="20"/>
          <w:szCs w:val="20"/>
        </w:rPr>
      </w:pPr>
    </w:p>
    <w:p w14:paraId="75E800E1" w14:textId="77777777" w:rsidR="00EA2EC8" w:rsidRPr="00486FEC" w:rsidRDefault="0014103B" w:rsidP="00486FEC">
      <w:pPr>
        <w:pStyle w:val="Prrafodelista"/>
        <w:spacing w:after="0" w:line="240" w:lineRule="auto"/>
        <w:ind w:left="709"/>
        <w:contextualSpacing w:val="0"/>
        <w:jc w:val="both"/>
        <w:rPr>
          <w:rFonts w:ascii="Verdana" w:hAnsi="Verdana"/>
          <w:b/>
          <w:sz w:val="20"/>
          <w:szCs w:val="20"/>
        </w:rPr>
      </w:pPr>
      <w:r w:rsidRPr="00486FEC">
        <w:rPr>
          <w:rFonts w:ascii="Verdana" w:hAnsi="Verdana"/>
          <w:b/>
          <w:sz w:val="20"/>
          <w:szCs w:val="20"/>
        </w:rPr>
        <w:t xml:space="preserve">IV.1.b. Innecesariedad de la expresa </w:t>
      </w:r>
      <w:r w:rsidR="00EA2EC8" w:rsidRPr="00486FEC">
        <w:rPr>
          <w:rFonts w:ascii="Verdana" w:hAnsi="Verdana"/>
          <w:b/>
          <w:sz w:val="20"/>
          <w:szCs w:val="20"/>
        </w:rPr>
        <w:t xml:space="preserve">previsión </w:t>
      </w:r>
      <w:r w:rsidRPr="00486FEC">
        <w:rPr>
          <w:rFonts w:ascii="Verdana" w:hAnsi="Verdana"/>
          <w:b/>
          <w:sz w:val="20"/>
          <w:szCs w:val="20"/>
        </w:rPr>
        <w:t>legal de la justificación</w:t>
      </w:r>
    </w:p>
    <w:p w14:paraId="6076AD39" w14:textId="77777777" w:rsidR="005541BC" w:rsidRPr="00486FEC" w:rsidRDefault="005541BC" w:rsidP="00486FEC">
      <w:pPr>
        <w:pStyle w:val="Prrafodelista"/>
        <w:spacing w:after="0" w:line="240" w:lineRule="auto"/>
        <w:ind w:left="709"/>
        <w:contextualSpacing w:val="0"/>
        <w:jc w:val="both"/>
        <w:rPr>
          <w:rFonts w:ascii="Verdana" w:hAnsi="Verdana"/>
          <w:sz w:val="20"/>
          <w:szCs w:val="20"/>
          <w:lang w:val="es-CR"/>
        </w:rPr>
      </w:pPr>
    </w:p>
    <w:p w14:paraId="43E05CB7" w14:textId="2F22188E" w:rsidR="00EA2EC8" w:rsidRDefault="0014103B"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Es sabido que existe una cor</w:t>
      </w:r>
      <w:r w:rsidR="00B00C27" w:rsidRPr="00486FEC">
        <w:rPr>
          <w:rFonts w:ascii="Verdana" w:hAnsi="Verdana"/>
          <w:sz w:val="20"/>
          <w:szCs w:val="20"/>
        </w:rPr>
        <w:t>riente que postula</w:t>
      </w:r>
      <w:r w:rsidRPr="00486FEC">
        <w:rPr>
          <w:rFonts w:ascii="Verdana" w:hAnsi="Verdana"/>
          <w:sz w:val="20"/>
          <w:szCs w:val="20"/>
        </w:rPr>
        <w:t xml:space="preserve"> la supresión de los tipos penales de delitos contra el honor, para pasar a resolver la conflictividad resultante de esas lesiones a la justicia civil. La cuestión es discutible y en general, en América Latina no se ha seguido esa l</w:t>
      </w:r>
      <w:r w:rsidR="007D1703" w:rsidRPr="00486FEC">
        <w:rPr>
          <w:rFonts w:ascii="Verdana" w:hAnsi="Verdana"/>
          <w:sz w:val="20"/>
          <w:szCs w:val="20"/>
        </w:rPr>
        <w:t xml:space="preserve">ínea ni tampoco esta Corte se ha pronunciado al respecto, lo que resulta correcto, </w:t>
      </w:r>
      <w:r w:rsidR="0066398F" w:rsidRPr="00486FEC">
        <w:rPr>
          <w:rFonts w:ascii="Verdana" w:hAnsi="Verdana"/>
          <w:sz w:val="20"/>
          <w:szCs w:val="20"/>
        </w:rPr>
        <w:t xml:space="preserve">dado que incumbe a </w:t>
      </w:r>
      <w:r w:rsidR="007D1703" w:rsidRPr="00486FEC">
        <w:rPr>
          <w:rFonts w:ascii="Verdana" w:hAnsi="Verdana"/>
          <w:sz w:val="20"/>
          <w:szCs w:val="20"/>
        </w:rPr>
        <w:t>cada Estado decidir sus propios criterios de política criminal, siempre que no violen la Convención Americana ni otros in</w:t>
      </w:r>
      <w:r w:rsidR="00EA2EC8" w:rsidRPr="00486FEC">
        <w:rPr>
          <w:rFonts w:ascii="Verdana" w:hAnsi="Verdana"/>
          <w:sz w:val="20"/>
          <w:szCs w:val="20"/>
        </w:rPr>
        <w:t>strumentos de Derechos Humanos.</w:t>
      </w:r>
    </w:p>
    <w:p w14:paraId="4A14C5F1"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1151BFBC" w14:textId="0BD7CE49" w:rsidR="00EA2EC8" w:rsidRPr="00486FEC" w:rsidRDefault="0066398F" w:rsidP="00486FEC">
      <w:pPr>
        <w:pStyle w:val="Prrafodelista"/>
        <w:numPr>
          <w:ilvl w:val="0"/>
          <w:numId w:val="3"/>
        </w:numPr>
        <w:spacing w:after="0" w:line="240" w:lineRule="auto"/>
        <w:ind w:left="0" w:firstLine="0"/>
        <w:contextualSpacing w:val="0"/>
        <w:jc w:val="both"/>
        <w:rPr>
          <w:rFonts w:ascii="Verdana" w:hAnsi="Verdana"/>
          <w:i/>
          <w:sz w:val="20"/>
          <w:szCs w:val="20"/>
        </w:rPr>
      </w:pPr>
      <w:r w:rsidRPr="00486FEC">
        <w:rPr>
          <w:rFonts w:ascii="Verdana" w:hAnsi="Verdana"/>
          <w:sz w:val="20"/>
          <w:szCs w:val="20"/>
        </w:rPr>
        <w:t xml:space="preserve">La </w:t>
      </w:r>
      <w:r w:rsidR="00B00C27" w:rsidRPr="00486FEC">
        <w:rPr>
          <w:rFonts w:ascii="Verdana" w:hAnsi="Verdana"/>
          <w:sz w:val="20"/>
          <w:szCs w:val="20"/>
        </w:rPr>
        <w:t xml:space="preserve">legislación comparada </w:t>
      </w:r>
      <w:r w:rsidRPr="00486FEC">
        <w:rPr>
          <w:rFonts w:ascii="Verdana" w:hAnsi="Verdana"/>
          <w:sz w:val="20"/>
          <w:szCs w:val="20"/>
        </w:rPr>
        <w:t xml:space="preserve">muestra que en algunos </w:t>
      </w:r>
      <w:r w:rsidR="00B00C27" w:rsidRPr="00486FEC">
        <w:rPr>
          <w:rFonts w:ascii="Verdana" w:hAnsi="Verdana"/>
          <w:sz w:val="20"/>
          <w:szCs w:val="20"/>
        </w:rPr>
        <w:t xml:space="preserve">de nuestros países </w:t>
      </w:r>
      <w:r w:rsidRPr="00486FEC">
        <w:rPr>
          <w:rFonts w:ascii="Verdana" w:hAnsi="Verdana"/>
          <w:sz w:val="20"/>
          <w:szCs w:val="20"/>
        </w:rPr>
        <w:t xml:space="preserve">se ha consagrado legalmente en forma expresa la impunidad de estos delitos cuando sean motivados por </w:t>
      </w:r>
      <w:r w:rsidR="00EF038C" w:rsidRPr="00486FEC">
        <w:rPr>
          <w:rFonts w:ascii="Verdana" w:hAnsi="Verdana"/>
          <w:sz w:val="20"/>
          <w:szCs w:val="20"/>
        </w:rPr>
        <w:t xml:space="preserve">cuestiones </w:t>
      </w:r>
      <w:r w:rsidRPr="00486FEC">
        <w:rPr>
          <w:rFonts w:ascii="Verdana" w:hAnsi="Verdana"/>
          <w:sz w:val="20"/>
          <w:szCs w:val="20"/>
        </w:rPr>
        <w:t xml:space="preserve">que hacen al </w:t>
      </w:r>
      <w:r w:rsidR="00EF038C" w:rsidRPr="00486FEC">
        <w:rPr>
          <w:rFonts w:ascii="Verdana" w:hAnsi="Verdana"/>
          <w:sz w:val="20"/>
          <w:szCs w:val="20"/>
        </w:rPr>
        <w:t xml:space="preserve">interés púbico (por ejemplo, los artículos 109 y 110 del código penal argentino). La conveniencia de estas disposiciones es opinable, pero </w:t>
      </w:r>
      <w:r w:rsidR="00EF038C" w:rsidRPr="00486FEC">
        <w:rPr>
          <w:rFonts w:ascii="Verdana" w:hAnsi="Verdana"/>
          <w:i/>
          <w:sz w:val="20"/>
          <w:szCs w:val="20"/>
        </w:rPr>
        <w:t xml:space="preserve">lo importante no es que se lo consigne </w:t>
      </w:r>
      <w:r w:rsidR="00411D31" w:rsidRPr="00486FEC">
        <w:rPr>
          <w:rFonts w:ascii="Verdana" w:hAnsi="Verdana"/>
          <w:i/>
          <w:sz w:val="20"/>
          <w:szCs w:val="20"/>
        </w:rPr>
        <w:t xml:space="preserve">o no </w:t>
      </w:r>
      <w:r w:rsidR="00EF038C" w:rsidRPr="00486FEC">
        <w:rPr>
          <w:rFonts w:ascii="Verdana" w:hAnsi="Verdana"/>
          <w:i/>
          <w:sz w:val="20"/>
          <w:szCs w:val="20"/>
        </w:rPr>
        <w:t>legalmente, sino que los jueces no impongan penas cuando la actividad perio</w:t>
      </w:r>
      <w:r w:rsidR="00ED42D8" w:rsidRPr="00486FEC">
        <w:rPr>
          <w:rFonts w:ascii="Verdana" w:hAnsi="Verdana"/>
          <w:i/>
          <w:sz w:val="20"/>
          <w:szCs w:val="20"/>
        </w:rPr>
        <w:t>d</w:t>
      </w:r>
      <w:r w:rsidR="00EF038C" w:rsidRPr="00486FEC">
        <w:rPr>
          <w:rFonts w:ascii="Verdana" w:hAnsi="Verdana"/>
          <w:i/>
          <w:sz w:val="20"/>
          <w:szCs w:val="20"/>
        </w:rPr>
        <w:t xml:space="preserve">ística tenga por finalidad </w:t>
      </w:r>
      <w:r w:rsidR="00ED42D8" w:rsidRPr="00486FEC">
        <w:rPr>
          <w:rFonts w:ascii="Verdana" w:hAnsi="Verdana"/>
          <w:i/>
          <w:sz w:val="20"/>
          <w:szCs w:val="20"/>
        </w:rPr>
        <w:t>criticar o exponer cuestiones que son de interés público</w:t>
      </w:r>
      <w:r w:rsidR="00DB5EE7" w:rsidRPr="00486FEC">
        <w:rPr>
          <w:rFonts w:ascii="Verdana" w:hAnsi="Verdana"/>
          <w:i/>
          <w:sz w:val="20"/>
          <w:szCs w:val="20"/>
        </w:rPr>
        <w:t>,</w:t>
      </w:r>
      <w:r w:rsidR="00787A22" w:rsidRPr="00486FEC">
        <w:rPr>
          <w:rFonts w:ascii="Verdana" w:hAnsi="Verdana"/>
          <w:i/>
          <w:sz w:val="20"/>
          <w:szCs w:val="20"/>
        </w:rPr>
        <w:t xml:space="preserve"> lo que no es más que el ejercicio de un derecho reconocido por las </w:t>
      </w:r>
      <w:r w:rsidR="00F36E24" w:rsidRPr="00486FEC">
        <w:rPr>
          <w:rFonts w:ascii="Verdana" w:hAnsi="Verdana"/>
          <w:i/>
          <w:sz w:val="20"/>
          <w:szCs w:val="20"/>
        </w:rPr>
        <w:t>C</w:t>
      </w:r>
      <w:r w:rsidR="00787A22" w:rsidRPr="00486FEC">
        <w:rPr>
          <w:rFonts w:ascii="Verdana" w:hAnsi="Verdana"/>
          <w:i/>
          <w:sz w:val="20"/>
          <w:szCs w:val="20"/>
        </w:rPr>
        <w:t>onstituciones y el derecho internacional.</w:t>
      </w:r>
      <w:r w:rsidR="00411D31" w:rsidRPr="00486FEC">
        <w:rPr>
          <w:rFonts w:ascii="Verdana" w:hAnsi="Verdana"/>
          <w:i/>
          <w:sz w:val="20"/>
          <w:szCs w:val="20"/>
        </w:rPr>
        <w:t xml:space="preserve"> </w:t>
      </w:r>
      <w:r w:rsidR="00411D31" w:rsidRPr="00486FEC">
        <w:rPr>
          <w:rFonts w:ascii="Verdana" w:hAnsi="Verdana"/>
          <w:sz w:val="20"/>
          <w:szCs w:val="20"/>
        </w:rPr>
        <w:t>El orden jurídico no es un caos normativo, sino que los jueces deben entenderlo con la coherencia que corresponde a un sistema y, por ende, deben dar por descontado que ninguna disposición infraconstitucional puede ser interpretada fuera del marco impuesto por l</w:t>
      </w:r>
      <w:r w:rsidR="00486FEC">
        <w:rPr>
          <w:rFonts w:ascii="Verdana" w:hAnsi="Verdana"/>
          <w:sz w:val="20"/>
          <w:szCs w:val="20"/>
        </w:rPr>
        <w:t>as normas de suprema jerarquía.</w:t>
      </w:r>
    </w:p>
    <w:p w14:paraId="71116DC5" w14:textId="0E39E0E8" w:rsidR="00486FEC" w:rsidRPr="00486FEC" w:rsidRDefault="00486FEC" w:rsidP="00486FEC">
      <w:pPr>
        <w:pStyle w:val="Prrafodelista"/>
        <w:spacing w:after="0" w:line="240" w:lineRule="auto"/>
        <w:ind w:left="0"/>
        <w:contextualSpacing w:val="0"/>
        <w:jc w:val="both"/>
        <w:rPr>
          <w:rFonts w:ascii="Verdana" w:hAnsi="Verdana"/>
          <w:i/>
          <w:sz w:val="20"/>
          <w:szCs w:val="20"/>
        </w:rPr>
      </w:pPr>
    </w:p>
    <w:p w14:paraId="08354E51" w14:textId="76FA8CBD" w:rsidR="00EA2EC8" w:rsidRDefault="00ED42D8"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Tampoco la consagración legal en estas disposiciones resuelve todos los problemas, puesto que en definitiva se halla en juego un derecho constitucional e internacionalmente consagrado, o sea que, en cada caso será menester ponderar valores: el derecho al honor del funcionario </w:t>
      </w:r>
      <w:r w:rsidR="00411D31" w:rsidRPr="00486FEC">
        <w:rPr>
          <w:rFonts w:ascii="Verdana" w:hAnsi="Verdana"/>
          <w:sz w:val="20"/>
          <w:szCs w:val="20"/>
        </w:rPr>
        <w:t xml:space="preserve">por un lado </w:t>
      </w:r>
      <w:r w:rsidRPr="00486FEC">
        <w:rPr>
          <w:rFonts w:ascii="Verdana" w:hAnsi="Verdana"/>
          <w:sz w:val="20"/>
          <w:szCs w:val="20"/>
        </w:rPr>
        <w:t>y el derecho de expresión y crítica cuando se trate de un interés público</w:t>
      </w:r>
      <w:r w:rsidR="00411D31" w:rsidRPr="00486FEC">
        <w:rPr>
          <w:rFonts w:ascii="Verdana" w:hAnsi="Verdana"/>
          <w:sz w:val="20"/>
          <w:szCs w:val="20"/>
        </w:rPr>
        <w:t xml:space="preserve"> por el otro</w:t>
      </w:r>
      <w:r w:rsidRPr="00486FEC">
        <w:rPr>
          <w:rFonts w:ascii="Verdana" w:hAnsi="Verdana"/>
          <w:sz w:val="20"/>
          <w:szCs w:val="20"/>
        </w:rPr>
        <w:t>. Se</w:t>
      </w:r>
      <w:r w:rsidR="00411D31" w:rsidRPr="00486FEC">
        <w:rPr>
          <w:rFonts w:ascii="Verdana" w:hAnsi="Verdana"/>
          <w:sz w:val="20"/>
          <w:szCs w:val="20"/>
        </w:rPr>
        <w:t xml:space="preserve"> </w:t>
      </w:r>
      <w:r w:rsidRPr="00486FEC">
        <w:rPr>
          <w:rFonts w:ascii="Verdana" w:hAnsi="Verdana"/>
          <w:sz w:val="20"/>
          <w:szCs w:val="20"/>
        </w:rPr>
        <w:t>o no expresamente consagrad</w:t>
      </w:r>
      <w:r w:rsidR="00411D31" w:rsidRPr="00486FEC">
        <w:rPr>
          <w:rFonts w:ascii="Verdana" w:hAnsi="Verdana"/>
          <w:sz w:val="20"/>
          <w:szCs w:val="20"/>
        </w:rPr>
        <w:t>a la impunidad</w:t>
      </w:r>
      <w:r w:rsidRPr="00486FEC">
        <w:rPr>
          <w:rFonts w:ascii="Verdana" w:hAnsi="Verdana"/>
          <w:sz w:val="20"/>
          <w:szCs w:val="20"/>
        </w:rPr>
        <w:t xml:space="preserve"> en la ley, la crítica periodística en materias de interés público es siempre el ejercicio de un derecho y, por ende, se trata de una cuestión que no hace a la tipicidad de la conducta, sino a su justificación, teniendo en cuenta que </w:t>
      </w:r>
      <w:r w:rsidRPr="00486FEC">
        <w:rPr>
          <w:rFonts w:ascii="Verdana" w:hAnsi="Verdana"/>
          <w:i/>
          <w:sz w:val="20"/>
          <w:szCs w:val="20"/>
        </w:rPr>
        <w:t>el legítimo ejercicio de un derecho es siempre la esencia de todas las causas de justificación</w:t>
      </w:r>
      <w:r w:rsidR="00EA2EC8" w:rsidRPr="00486FEC">
        <w:rPr>
          <w:rFonts w:ascii="Verdana" w:hAnsi="Verdana"/>
          <w:sz w:val="20"/>
          <w:szCs w:val="20"/>
        </w:rPr>
        <w:t>.</w:t>
      </w:r>
    </w:p>
    <w:p w14:paraId="04F61E62" w14:textId="099672BF"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000A23B1" w14:textId="138DE6DC" w:rsidR="00EA2EC8" w:rsidRDefault="00ED42D8" w:rsidP="00486FEC">
      <w:pPr>
        <w:pStyle w:val="Prrafodelista"/>
        <w:numPr>
          <w:ilvl w:val="0"/>
          <w:numId w:val="3"/>
        </w:numPr>
        <w:spacing w:after="0" w:line="240" w:lineRule="auto"/>
        <w:ind w:left="0" w:firstLine="0"/>
        <w:contextualSpacing w:val="0"/>
        <w:jc w:val="both"/>
        <w:rPr>
          <w:rFonts w:ascii="Verdana" w:hAnsi="Verdana"/>
          <w:i/>
          <w:sz w:val="20"/>
          <w:szCs w:val="20"/>
        </w:rPr>
      </w:pPr>
      <w:r w:rsidRPr="00486FEC">
        <w:rPr>
          <w:rFonts w:ascii="Verdana" w:hAnsi="Verdana"/>
          <w:sz w:val="20"/>
          <w:szCs w:val="20"/>
        </w:rPr>
        <w:t>La impunidad de la actividad periodística en estos casos no emerge de la ley penal, sino de la cons</w:t>
      </w:r>
      <w:r w:rsidR="006D69E2" w:rsidRPr="00486FEC">
        <w:rPr>
          <w:rFonts w:ascii="Verdana" w:hAnsi="Verdana"/>
          <w:sz w:val="20"/>
          <w:szCs w:val="20"/>
        </w:rPr>
        <w:t>titucional e internacional. P</w:t>
      </w:r>
      <w:r w:rsidRPr="00486FEC">
        <w:rPr>
          <w:rFonts w:ascii="Verdana" w:hAnsi="Verdana"/>
          <w:sz w:val="20"/>
          <w:szCs w:val="20"/>
        </w:rPr>
        <w:t>retender que la ley penal consagre todas las justificaciones</w:t>
      </w:r>
      <w:r w:rsidR="006D69E2" w:rsidRPr="00486FEC">
        <w:rPr>
          <w:rFonts w:ascii="Verdana" w:hAnsi="Verdana"/>
          <w:sz w:val="20"/>
          <w:szCs w:val="20"/>
        </w:rPr>
        <w:t xml:space="preserve"> o todos los recortes de las prohibiciones típicas resultantes de la totalidad del orden jurídico,</w:t>
      </w:r>
      <w:r w:rsidRPr="00486FEC">
        <w:rPr>
          <w:rFonts w:ascii="Verdana" w:hAnsi="Verdana"/>
          <w:sz w:val="20"/>
          <w:szCs w:val="20"/>
        </w:rPr>
        <w:t xml:space="preserve"> sería tan absurdo como considerar que viola la legalidad el tipo de homicidio </w:t>
      </w:r>
      <w:r w:rsidR="006D69E2" w:rsidRPr="00486FEC">
        <w:rPr>
          <w:rFonts w:ascii="Verdana" w:hAnsi="Verdana"/>
          <w:sz w:val="20"/>
          <w:szCs w:val="20"/>
        </w:rPr>
        <w:t>porque no se le</w:t>
      </w:r>
      <w:r w:rsidRPr="00486FEC">
        <w:rPr>
          <w:rFonts w:ascii="Verdana" w:hAnsi="Verdana"/>
          <w:sz w:val="20"/>
          <w:szCs w:val="20"/>
        </w:rPr>
        <w:t xml:space="preserve"> agrega </w:t>
      </w:r>
      <w:r w:rsidRPr="00486FEC">
        <w:rPr>
          <w:rFonts w:ascii="Verdana" w:hAnsi="Verdana"/>
          <w:i/>
          <w:sz w:val="20"/>
          <w:szCs w:val="20"/>
        </w:rPr>
        <w:t>salvo que sea en legítima defensa,</w:t>
      </w:r>
      <w:r w:rsidR="006D69E2" w:rsidRPr="00486FEC">
        <w:rPr>
          <w:rFonts w:ascii="Verdana" w:hAnsi="Verdana"/>
          <w:i/>
          <w:sz w:val="20"/>
          <w:szCs w:val="20"/>
        </w:rPr>
        <w:t xml:space="preserve"> </w:t>
      </w:r>
      <w:r w:rsidR="006D69E2" w:rsidRPr="00486FEC">
        <w:rPr>
          <w:rFonts w:ascii="Verdana" w:hAnsi="Verdana"/>
          <w:sz w:val="20"/>
          <w:szCs w:val="20"/>
        </w:rPr>
        <w:t>el de lesiones porque no se le a</w:t>
      </w:r>
      <w:r w:rsidR="00411D31" w:rsidRPr="00486FEC">
        <w:rPr>
          <w:rFonts w:ascii="Verdana" w:hAnsi="Verdana"/>
          <w:sz w:val="20"/>
          <w:szCs w:val="20"/>
        </w:rPr>
        <w:t>cota</w:t>
      </w:r>
      <w:r w:rsidR="006D69E2" w:rsidRPr="00486FEC">
        <w:rPr>
          <w:rFonts w:ascii="Verdana" w:hAnsi="Verdana"/>
          <w:sz w:val="20"/>
          <w:szCs w:val="20"/>
        </w:rPr>
        <w:t xml:space="preserve"> </w:t>
      </w:r>
      <w:r w:rsidR="006D69E2" w:rsidRPr="00486FEC">
        <w:rPr>
          <w:rFonts w:ascii="Verdana" w:hAnsi="Verdana"/>
          <w:i/>
          <w:sz w:val="20"/>
          <w:szCs w:val="20"/>
        </w:rPr>
        <w:t xml:space="preserve">salvo que sea practicada por un médico con finalidad terapéutica, </w:t>
      </w:r>
      <w:r w:rsidR="006D69E2" w:rsidRPr="00486FEC">
        <w:rPr>
          <w:rFonts w:ascii="Verdana" w:hAnsi="Verdana"/>
          <w:sz w:val="20"/>
          <w:szCs w:val="20"/>
        </w:rPr>
        <w:t>e</w:t>
      </w:r>
      <w:r w:rsidRPr="00486FEC">
        <w:rPr>
          <w:rFonts w:ascii="Verdana" w:hAnsi="Verdana"/>
          <w:sz w:val="20"/>
          <w:szCs w:val="20"/>
        </w:rPr>
        <w:t xml:space="preserve">l de hurto porque no se le añade </w:t>
      </w:r>
      <w:r w:rsidRPr="00486FEC">
        <w:rPr>
          <w:rFonts w:ascii="Verdana" w:hAnsi="Verdana"/>
          <w:i/>
          <w:sz w:val="20"/>
          <w:szCs w:val="20"/>
        </w:rPr>
        <w:t xml:space="preserve">salvo que sea famélico o en estado de necesidad </w:t>
      </w:r>
      <w:r w:rsidR="000A3B97" w:rsidRPr="00486FEC">
        <w:rPr>
          <w:rFonts w:ascii="Verdana" w:hAnsi="Verdana"/>
          <w:sz w:val="20"/>
          <w:szCs w:val="20"/>
        </w:rPr>
        <w:t xml:space="preserve">o </w:t>
      </w:r>
      <w:r w:rsidR="00336542" w:rsidRPr="00486FEC">
        <w:rPr>
          <w:rFonts w:ascii="Verdana" w:hAnsi="Verdana"/>
          <w:sz w:val="20"/>
          <w:szCs w:val="20"/>
        </w:rPr>
        <w:t xml:space="preserve">el de apoderamiento </w:t>
      </w:r>
      <w:r w:rsidR="000A3B97" w:rsidRPr="00486FEC">
        <w:rPr>
          <w:rFonts w:ascii="Verdana" w:hAnsi="Verdana"/>
          <w:sz w:val="20"/>
          <w:szCs w:val="20"/>
        </w:rPr>
        <w:t xml:space="preserve">de </w:t>
      </w:r>
      <w:r w:rsidR="00336542" w:rsidRPr="00486FEC">
        <w:rPr>
          <w:rFonts w:ascii="Verdana" w:hAnsi="Verdana"/>
          <w:sz w:val="20"/>
          <w:szCs w:val="20"/>
        </w:rPr>
        <w:t>no explicit</w:t>
      </w:r>
      <w:r w:rsidR="000A3B97" w:rsidRPr="00486FEC">
        <w:rPr>
          <w:rFonts w:ascii="Verdana" w:hAnsi="Verdana"/>
          <w:sz w:val="20"/>
          <w:szCs w:val="20"/>
        </w:rPr>
        <w:t xml:space="preserve">arse </w:t>
      </w:r>
      <w:r w:rsidR="00336542" w:rsidRPr="00486FEC">
        <w:rPr>
          <w:rFonts w:ascii="Verdana" w:hAnsi="Verdana"/>
          <w:i/>
          <w:sz w:val="20"/>
          <w:szCs w:val="20"/>
        </w:rPr>
        <w:t>salvo que sea en ejer</w:t>
      </w:r>
      <w:r w:rsidR="00EA2EC8" w:rsidRPr="00486FEC">
        <w:rPr>
          <w:rFonts w:ascii="Verdana" w:hAnsi="Verdana"/>
          <w:i/>
          <w:sz w:val="20"/>
          <w:szCs w:val="20"/>
        </w:rPr>
        <w:t>cicio del derecho de retención.</w:t>
      </w:r>
    </w:p>
    <w:p w14:paraId="45DE45C3" w14:textId="19AD6272" w:rsidR="00486FEC" w:rsidRPr="00486FEC" w:rsidRDefault="00486FEC" w:rsidP="00486FEC">
      <w:pPr>
        <w:pStyle w:val="Prrafodelista"/>
        <w:spacing w:after="0" w:line="240" w:lineRule="auto"/>
        <w:ind w:left="0"/>
        <w:contextualSpacing w:val="0"/>
        <w:jc w:val="both"/>
        <w:rPr>
          <w:rFonts w:ascii="Verdana" w:hAnsi="Verdana"/>
          <w:i/>
          <w:sz w:val="20"/>
          <w:szCs w:val="20"/>
        </w:rPr>
      </w:pPr>
    </w:p>
    <w:p w14:paraId="2007DB80" w14:textId="77777777" w:rsidR="00EA2EC8" w:rsidRPr="00486FEC" w:rsidRDefault="00336542" w:rsidP="00486FEC">
      <w:pPr>
        <w:pStyle w:val="Prrafodelista"/>
        <w:numPr>
          <w:ilvl w:val="0"/>
          <w:numId w:val="3"/>
        </w:numPr>
        <w:spacing w:after="0" w:line="240" w:lineRule="auto"/>
        <w:ind w:left="0" w:firstLine="0"/>
        <w:contextualSpacing w:val="0"/>
        <w:jc w:val="both"/>
        <w:rPr>
          <w:rFonts w:ascii="Verdana" w:hAnsi="Verdana"/>
          <w:i/>
          <w:sz w:val="20"/>
          <w:szCs w:val="20"/>
        </w:rPr>
      </w:pPr>
      <w:r w:rsidRPr="00486FEC">
        <w:rPr>
          <w:rFonts w:ascii="Verdana" w:hAnsi="Verdana"/>
          <w:sz w:val="20"/>
          <w:szCs w:val="20"/>
        </w:rPr>
        <w:t xml:space="preserve">De cualquier manera, esta Corte ha dejado en claro, en especial a partir del caso </w:t>
      </w:r>
      <w:r w:rsidRPr="00486FEC">
        <w:rPr>
          <w:rFonts w:ascii="Verdana" w:hAnsi="Verdana"/>
          <w:i/>
          <w:sz w:val="20"/>
          <w:szCs w:val="20"/>
        </w:rPr>
        <w:t>Kimel Vs. Argentina</w:t>
      </w:r>
      <w:r w:rsidR="00D552C9" w:rsidRPr="00486FEC">
        <w:rPr>
          <w:rStyle w:val="Refdenotaalpie"/>
          <w:rFonts w:ascii="Verdana" w:hAnsi="Verdana"/>
          <w:i/>
          <w:sz w:val="20"/>
          <w:szCs w:val="20"/>
        </w:rPr>
        <w:footnoteReference w:id="32"/>
      </w:r>
      <w:r w:rsidRPr="00486FEC">
        <w:rPr>
          <w:rFonts w:ascii="Verdana" w:hAnsi="Verdana"/>
          <w:i/>
          <w:sz w:val="20"/>
          <w:szCs w:val="20"/>
        </w:rPr>
        <w:t xml:space="preserve">, </w:t>
      </w:r>
      <w:r w:rsidRPr="00486FEC">
        <w:rPr>
          <w:rFonts w:ascii="Verdana" w:hAnsi="Verdana"/>
          <w:sz w:val="20"/>
          <w:szCs w:val="20"/>
        </w:rPr>
        <w:t xml:space="preserve">que siempre se impone la ponderación de circunstancias y valores, lo que no </w:t>
      </w:r>
      <w:r w:rsidR="00411D31" w:rsidRPr="00486FEC">
        <w:rPr>
          <w:rFonts w:ascii="Verdana" w:hAnsi="Verdana"/>
          <w:sz w:val="20"/>
          <w:szCs w:val="20"/>
        </w:rPr>
        <w:t xml:space="preserve">se resuelve </w:t>
      </w:r>
      <w:r w:rsidRPr="00486FEC">
        <w:rPr>
          <w:rFonts w:ascii="Verdana" w:hAnsi="Verdana"/>
          <w:sz w:val="20"/>
          <w:szCs w:val="20"/>
        </w:rPr>
        <w:t xml:space="preserve">automáticamente con las mencionadas fórmulas legales, puesto que, por ejemplo, no se podrá considerar que opera la justificación a la lesión al honor </w:t>
      </w:r>
      <w:r w:rsidR="00411D31" w:rsidRPr="00486FEC">
        <w:rPr>
          <w:rFonts w:ascii="Verdana" w:hAnsi="Verdana"/>
          <w:sz w:val="20"/>
          <w:szCs w:val="20"/>
        </w:rPr>
        <w:t xml:space="preserve">del funcionario </w:t>
      </w:r>
      <w:r w:rsidRPr="00486FEC">
        <w:rPr>
          <w:rFonts w:ascii="Verdana" w:hAnsi="Verdana"/>
          <w:sz w:val="20"/>
          <w:szCs w:val="20"/>
        </w:rPr>
        <w:t xml:space="preserve">frente a un interés público </w:t>
      </w:r>
      <w:r w:rsidR="00411D31" w:rsidRPr="00486FEC">
        <w:rPr>
          <w:rFonts w:ascii="Verdana" w:hAnsi="Verdana"/>
          <w:sz w:val="20"/>
          <w:szCs w:val="20"/>
        </w:rPr>
        <w:t xml:space="preserve">extremadamente </w:t>
      </w:r>
      <w:r w:rsidRPr="00486FEC">
        <w:rPr>
          <w:rFonts w:ascii="Verdana" w:hAnsi="Verdana"/>
          <w:sz w:val="20"/>
          <w:szCs w:val="20"/>
        </w:rPr>
        <w:t>insignificante o baladí, como tam</w:t>
      </w:r>
      <w:r w:rsidR="00411D31" w:rsidRPr="00486FEC">
        <w:rPr>
          <w:rFonts w:ascii="Verdana" w:hAnsi="Verdana"/>
          <w:sz w:val="20"/>
          <w:szCs w:val="20"/>
        </w:rPr>
        <w:t xml:space="preserve">bién </w:t>
      </w:r>
      <w:r w:rsidRPr="00486FEC">
        <w:rPr>
          <w:rFonts w:ascii="Verdana" w:hAnsi="Verdana"/>
          <w:sz w:val="20"/>
          <w:szCs w:val="20"/>
        </w:rPr>
        <w:t>sucede</w:t>
      </w:r>
      <w:r w:rsidR="001F58B4" w:rsidRPr="00486FEC">
        <w:rPr>
          <w:rFonts w:ascii="Verdana" w:hAnsi="Verdana"/>
          <w:sz w:val="20"/>
          <w:szCs w:val="20"/>
        </w:rPr>
        <w:t xml:space="preserve"> cuando se </w:t>
      </w:r>
      <w:r w:rsidR="00411D31" w:rsidRPr="00486FEC">
        <w:rPr>
          <w:rFonts w:ascii="Verdana" w:hAnsi="Verdana"/>
          <w:sz w:val="20"/>
          <w:szCs w:val="20"/>
        </w:rPr>
        <w:t xml:space="preserve">debe ponderar </w:t>
      </w:r>
      <w:r w:rsidR="001F58B4" w:rsidRPr="00486FEC">
        <w:rPr>
          <w:rFonts w:ascii="Verdana" w:hAnsi="Verdana"/>
          <w:sz w:val="20"/>
          <w:szCs w:val="20"/>
        </w:rPr>
        <w:t>el límite de cualquier</w:t>
      </w:r>
      <w:r w:rsidRPr="00486FEC">
        <w:rPr>
          <w:rFonts w:ascii="Verdana" w:hAnsi="Verdana"/>
          <w:sz w:val="20"/>
          <w:szCs w:val="20"/>
        </w:rPr>
        <w:t xml:space="preserve"> </w:t>
      </w:r>
      <w:r w:rsidR="000A3B97" w:rsidRPr="00486FEC">
        <w:rPr>
          <w:rFonts w:ascii="Verdana" w:hAnsi="Verdana"/>
          <w:sz w:val="20"/>
          <w:szCs w:val="20"/>
        </w:rPr>
        <w:t xml:space="preserve">otra </w:t>
      </w:r>
      <w:r w:rsidRPr="00486FEC">
        <w:rPr>
          <w:rFonts w:ascii="Verdana" w:hAnsi="Verdana"/>
          <w:sz w:val="20"/>
          <w:szCs w:val="20"/>
        </w:rPr>
        <w:t xml:space="preserve">causa de justificación (como puede ser una defensa absolutamente desproporcionada: la electrificación de la reja para que el niño no hurte una flor). </w:t>
      </w:r>
      <w:r w:rsidR="00EA2EC8" w:rsidRPr="00486FEC">
        <w:rPr>
          <w:rFonts w:ascii="Verdana" w:hAnsi="Verdana"/>
          <w:i/>
          <w:sz w:val="20"/>
          <w:szCs w:val="20"/>
        </w:rPr>
        <w:t xml:space="preserve"> </w:t>
      </w:r>
    </w:p>
    <w:p w14:paraId="687C78B1" w14:textId="77777777" w:rsidR="00EA2EC8" w:rsidRPr="00486FEC" w:rsidRDefault="00EA2EC8" w:rsidP="00486FEC">
      <w:pPr>
        <w:pStyle w:val="Prrafodelista"/>
        <w:spacing w:after="0" w:line="240" w:lineRule="auto"/>
        <w:ind w:left="0"/>
        <w:contextualSpacing w:val="0"/>
        <w:jc w:val="both"/>
        <w:rPr>
          <w:rFonts w:ascii="Verdana" w:hAnsi="Verdana"/>
          <w:i/>
          <w:sz w:val="20"/>
          <w:szCs w:val="20"/>
        </w:rPr>
      </w:pPr>
    </w:p>
    <w:p w14:paraId="0A2F18D0" w14:textId="77777777" w:rsidR="00EA2EC8" w:rsidRPr="00486FEC" w:rsidRDefault="00F3528A" w:rsidP="00486FEC">
      <w:pPr>
        <w:pStyle w:val="Prrafodelista"/>
        <w:spacing w:after="0" w:line="240" w:lineRule="auto"/>
        <w:ind w:left="709"/>
        <w:contextualSpacing w:val="0"/>
        <w:jc w:val="both"/>
        <w:rPr>
          <w:rFonts w:ascii="Verdana" w:hAnsi="Verdana"/>
          <w:b/>
          <w:sz w:val="20"/>
          <w:szCs w:val="20"/>
        </w:rPr>
      </w:pPr>
      <w:r w:rsidRPr="00486FEC">
        <w:rPr>
          <w:rFonts w:ascii="Verdana" w:hAnsi="Verdana"/>
          <w:b/>
          <w:sz w:val="20"/>
          <w:szCs w:val="20"/>
        </w:rPr>
        <w:t>IV.2. E</w:t>
      </w:r>
      <w:r w:rsidR="00FC6230" w:rsidRPr="00486FEC">
        <w:rPr>
          <w:rFonts w:ascii="Verdana" w:hAnsi="Verdana"/>
          <w:b/>
          <w:sz w:val="20"/>
          <w:szCs w:val="20"/>
        </w:rPr>
        <w:t>l interés público</w:t>
      </w:r>
      <w:r w:rsidR="00BE46CE" w:rsidRPr="00486FEC">
        <w:rPr>
          <w:rFonts w:ascii="Verdana" w:hAnsi="Verdana"/>
          <w:b/>
          <w:sz w:val="20"/>
          <w:szCs w:val="20"/>
        </w:rPr>
        <w:t>: ponderación de valores</w:t>
      </w:r>
    </w:p>
    <w:p w14:paraId="4BD7965D" w14:textId="77777777" w:rsidR="005541BC" w:rsidRPr="00486FEC" w:rsidRDefault="005541BC" w:rsidP="00486FEC">
      <w:pPr>
        <w:pStyle w:val="Prrafodelista"/>
        <w:spacing w:after="0" w:line="240" w:lineRule="auto"/>
        <w:ind w:left="709"/>
        <w:contextualSpacing w:val="0"/>
        <w:jc w:val="both"/>
        <w:rPr>
          <w:rFonts w:ascii="Verdana" w:hAnsi="Verdana"/>
          <w:b/>
          <w:sz w:val="20"/>
          <w:szCs w:val="20"/>
        </w:rPr>
      </w:pPr>
    </w:p>
    <w:p w14:paraId="28B04D78" w14:textId="77777777" w:rsidR="00EA2EC8" w:rsidRPr="00486FEC" w:rsidRDefault="00FC6230" w:rsidP="00486FEC">
      <w:pPr>
        <w:pStyle w:val="Prrafodelista"/>
        <w:spacing w:after="0" w:line="240" w:lineRule="auto"/>
        <w:ind w:left="709"/>
        <w:contextualSpacing w:val="0"/>
        <w:jc w:val="both"/>
        <w:rPr>
          <w:rFonts w:ascii="Verdana" w:hAnsi="Verdana"/>
          <w:b/>
          <w:sz w:val="20"/>
          <w:szCs w:val="20"/>
        </w:rPr>
      </w:pPr>
      <w:r w:rsidRPr="00486FEC">
        <w:rPr>
          <w:rFonts w:ascii="Verdana" w:hAnsi="Verdana"/>
          <w:b/>
          <w:sz w:val="20"/>
          <w:szCs w:val="20"/>
        </w:rPr>
        <w:t>IV.2.a. La ponderación de valores</w:t>
      </w:r>
      <w:r w:rsidR="008B7F83" w:rsidRPr="00486FEC">
        <w:rPr>
          <w:rFonts w:ascii="Verdana" w:hAnsi="Verdana"/>
          <w:b/>
          <w:sz w:val="20"/>
          <w:szCs w:val="20"/>
        </w:rPr>
        <w:t xml:space="preserve"> en general</w:t>
      </w:r>
    </w:p>
    <w:p w14:paraId="0E98CCB6" w14:textId="77777777" w:rsidR="005541BC" w:rsidRPr="00486FEC" w:rsidRDefault="005541BC" w:rsidP="00486FEC">
      <w:pPr>
        <w:pStyle w:val="Prrafodelista"/>
        <w:spacing w:after="0" w:line="240" w:lineRule="auto"/>
        <w:ind w:left="709"/>
        <w:contextualSpacing w:val="0"/>
        <w:jc w:val="both"/>
        <w:rPr>
          <w:rFonts w:ascii="Verdana" w:hAnsi="Verdana"/>
          <w:sz w:val="20"/>
          <w:szCs w:val="20"/>
          <w:lang w:val="es-CR"/>
        </w:rPr>
      </w:pPr>
    </w:p>
    <w:p w14:paraId="16F22CF9" w14:textId="19C671DC" w:rsidR="00EA2EC8" w:rsidRDefault="00FC6230"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En situaciones normales es menester proteger a</w:t>
      </w:r>
      <w:r w:rsidR="00336542" w:rsidRPr="00486FEC">
        <w:rPr>
          <w:rFonts w:ascii="Verdana" w:hAnsi="Verdana"/>
          <w:sz w:val="20"/>
          <w:szCs w:val="20"/>
        </w:rPr>
        <w:t xml:space="preserve">l periodismo </w:t>
      </w:r>
      <w:r w:rsidRPr="00486FEC">
        <w:rPr>
          <w:rFonts w:ascii="Verdana" w:hAnsi="Verdana"/>
          <w:sz w:val="20"/>
          <w:szCs w:val="20"/>
        </w:rPr>
        <w:t xml:space="preserve">contra el poder punitivo cuando se trata de imputaciones dirigidas a las autoridades, en beneficio del derecho </w:t>
      </w:r>
      <w:r w:rsidR="00336542" w:rsidRPr="00486FEC">
        <w:rPr>
          <w:rFonts w:ascii="Verdana" w:hAnsi="Verdana"/>
          <w:sz w:val="20"/>
          <w:szCs w:val="20"/>
        </w:rPr>
        <w:t>a</w:t>
      </w:r>
      <w:r w:rsidRPr="00486FEC">
        <w:rPr>
          <w:rFonts w:ascii="Verdana" w:hAnsi="Verdana"/>
          <w:sz w:val="20"/>
          <w:szCs w:val="20"/>
        </w:rPr>
        <w:t xml:space="preserve"> criticar y denunciar públicamente</w:t>
      </w:r>
      <w:r w:rsidR="001F2FAE" w:rsidRPr="00486FEC">
        <w:rPr>
          <w:rFonts w:ascii="Verdana" w:hAnsi="Verdana"/>
          <w:sz w:val="20"/>
          <w:szCs w:val="20"/>
        </w:rPr>
        <w:t xml:space="preserve">, porque éste </w:t>
      </w:r>
      <w:r w:rsidRPr="00486FEC">
        <w:rPr>
          <w:rFonts w:ascii="Verdana" w:hAnsi="Verdana"/>
          <w:sz w:val="20"/>
          <w:szCs w:val="20"/>
        </w:rPr>
        <w:t>redunda en una condición de buen funcionamiento de la administración y de las instituciones en g</w:t>
      </w:r>
      <w:r w:rsidR="00EA2EC8" w:rsidRPr="00486FEC">
        <w:rPr>
          <w:rFonts w:ascii="Verdana" w:hAnsi="Verdana"/>
          <w:sz w:val="20"/>
          <w:szCs w:val="20"/>
        </w:rPr>
        <w:t>eneral.</w:t>
      </w:r>
    </w:p>
    <w:p w14:paraId="6D0AB4F3"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63B4118A" w14:textId="71054CF3" w:rsidR="00EA2EC8" w:rsidRDefault="00FC6230"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Esta protección es particularm</w:t>
      </w:r>
      <w:r w:rsidR="00011C4E" w:rsidRPr="00486FEC">
        <w:rPr>
          <w:rFonts w:ascii="Verdana" w:hAnsi="Verdana"/>
          <w:sz w:val="20"/>
          <w:szCs w:val="20"/>
        </w:rPr>
        <w:t>ente indispensable</w:t>
      </w:r>
      <w:r w:rsidRPr="00486FEC">
        <w:rPr>
          <w:rFonts w:ascii="Verdana" w:hAnsi="Verdana"/>
          <w:sz w:val="20"/>
          <w:szCs w:val="20"/>
        </w:rPr>
        <w:t xml:space="preserve"> cuando se trata de la posible comisión de delitos de cohecho, aprovechamiento de información, favorecimiento, enriquecimiento ilícito y otros análogos</w:t>
      </w:r>
      <w:r w:rsidR="00336542" w:rsidRPr="00486FEC">
        <w:rPr>
          <w:rFonts w:ascii="Verdana" w:hAnsi="Verdana"/>
          <w:sz w:val="20"/>
          <w:szCs w:val="20"/>
        </w:rPr>
        <w:t xml:space="preserve"> que suelen englobarse en la difusa caracterización de </w:t>
      </w:r>
      <w:r w:rsidR="00336542" w:rsidRPr="00486FEC">
        <w:rPr>
          <w:rFonts w:ascii="Verdana" w:hAnsi="Verdana"/>
          <w:i/>
          <w:sz w:val="20"/>
          <w:szCs w:val="20"/>
        </w:rPr>
        <w:t>corrupción</w:t>
      </w:r>
      <w:r w:rsidR="00EA2EC8" w:rsidRPr="00486FEC">
        <w:rPr>
          <w:rFonts w:ascii="Verdana" w:hAnsi="Verdana"/>
          <w:sz w:val="20"/>
          <w:szCs w:val="20"/>
        </w:rPr>
        <w:t>.</w:t>
      </w:r>
    </w:p>
    <w:p w14:paraId="7365F0DC" w14:textId="76236FE8"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0E11C71C" w14:textId="438D88A3" w:rsidR="00EA2EC8" w:rsidRDefault="009136A9"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Se contraponen aquí dos valores jurídicos: el derecho a la libertad de expresión y crítica y </w:t>
      </w:r>
      <w:r w:rsidR="00011C4E" w:rsidRPr="00486FEC">
        <w:rPr>
          <w:rFonts w:ascii="Verdana" w:hAnsi="Verdana"/>
          <w:sz w:val="20"/>
          <w:szCs w:val="20"/>
        </w:rPr>
        <w:t>el derecho a</w:t>
      </w:r>
      <w:r w:rsidRPr="00486FEC">
        <w:rPr>
          <w:rFonts w:ascii="Verdana" w:hAnsi="Verdana"/>
          <w:sz w:val="20"/>
          <w:szCs w:val="20"/>
        </w:rPr>
        <w:t>l honor del funcionario. Com</w:t>
      </w:r>
      <w:r w:rsidR="00011C4E" w:rsidRPr="00486FEC">
        <w:rPr>
          <w:rFonts w:ascii="Verdana" w:hAnsi="Verdana"/>
          <w:sz w:val="20"/>
          <w:szCs w:val="20"/>
        </w:rPr>
        <w:t>o en toda situación en que convergen</w:t>
      </w:r>
      <w:r w:rsidRPr="00486FEC">
        <w:rPr>
          <w:rFonts w:ascii="Verdana" w:hAnsi="Verdana"/>
          <w:sz w:val="20"/>
          <w:szCs w:val="20"/>
        </w:rPr>
        <w:t xml:space="preserve"> dos valores jurídicos</w:t>
      </w:r>
      <w:r w:rsidR="003708E9" w:rsidRPr="00486FEC">
        <w:rPr>
          <w:rFonts w:ascii="Verdana" w:hAnsi="Verdana"/>
          <w:sz w:val="20"/>
          <w:szCs w:val="20"/>
        </w:rPr>
        <w:t xml:space="preserve"> positivos</w:t>
      </w:r>
      <w:r w:rsidRPr="00486FEC">
        <w:rPr>
          <w:rFonts w:ascii="Verdana" w:hAnsi="Verdana"/>
          <w:sz w:val="20"/>
          <w:szCs w:val="20"/>
        </w:rPr>
        <w:t>, es menester ponderarlos en cada caso</w:t>
      </w:r>
      <w:r w:rsidR="00336542" w:rsidRPr="00486FEC">
        <w:rPr>
          <w:rFonts w:ascii="Verdana" w:hAnsi="Verdana"/>
          <w:sz w:val="20"/>
          <w:szCs w:val="20"/>
        </w:rPr>
        <w:t xml:space="preserve">, como lo ha hecho la jurisprudencia de esta Corte. </w:t>
      </w:r>
      <w:r w:rsidR="004151A8" w:rsidRPr="00486FEC">
        <w:rPr>
          <w:rFonts w:ascii="Verdana" w:hAnsi="Verdana"/>
          <w:sz w:val="20"/>
          <w:szCs w:val="20"/>
        </w:rPr>
        <w:t>En definitiva, lo que en casa caso deberá establecerse conforme a esta ponderación, es el límite al legítimo ejercicio del derecho de denuncia y crítica periodística que consagran las constitucio</w:t>
      </w:r>
      <w:r w:rsidR="00EA2EC8" w:rsidRPr="00486FEC">
        <w:rPr>
          <w:rFonts w:ascii="Verdana" w:hAnsi="Verdana"/>
          <w:sz w:val="20"/>
          <w:szCs w:val="20"/>
        </w:rPr>
        <w:t>nes y el derecho internacional.</w:t>
      </w:r>
    </w:p>
    <w:p w14:paraId="27BFA7C0" w14:textId="25BA8CD8"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5B1026D5" w14:textId="7984EEB7" w:rsidR="00EA2EC8" w:rsidRDefault="004151A8"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w:t>
      </w:r>
      <w:r w:rsidR="009136A9" w:rsidRPr="00486FEC">
        <w:rPr>
          <w:rFonts w:ascii="Verdana" w:hAnsi="Verdana"/>
          <w:sz w:val="20"/>
          <w:szCs w:val="20"/>
        </w:rPr>
        <w:t>sto</w:t>
      </w:r>
      <w:r w:rsidRPr="00486FEC">
        <w:rPr>
          <w:rFonts w:ascii="Verdana" w:hAnsi="Verdana"/>
          <w:sz w:val="20"/>
          <w:szCs w:val="20"/>
        </w:rPr>
        <w:t xml:space="preserve"> -</w:t>
      </w:r>
      <w:r w:rsidR="009136A9" w:rsidRPr="00486FEC">
        <w:rPr>
          <w:rFonts w:ascii="Verdana" w:hAnsi="Verdana"/>
          <w:sz w:val="20"/>
          <w:szCs w:val="20"/>
        </w:rPr>
        <w:t>como se señaló</w:t>
      </w:r>
      <w:r w:rsidRPr="00486FEC">
        <w:rPr>
          <w:rFonts w:ascii="Verdana" w:hAnsi="Verdana"/>
          <w:sz w:val="20"/>
          <w:szCs w:val="20"/>
        </w:rPr>
        <w:t>-</w:t>
      </w:r>
      <w:r w:rsidR="009136A9" w:rsidRPr="00486FEC">
        <w:rPr>
          <w:rFonts w:ascii="Verdana" w:hAnsi="Verdana"/>
          <w:sz w:val="20"/>
          <w:szCs w:val="20"/>
        </w:rPr>
        <w:t xml:space="preserve"> es lo que tiene lugar en situaciones normales, pero la </w:t>
      </w:r>
      <w:r w:rsidR="00FC6230" w:rsidRPr="00486FEC">
        <w:rPr>
          <w:rFonts w:ascii="Verdana" w:hAnsi="Verdana"/>
          <w:sz w:val="20"/>
          <w:szCs w:val="20"/>
        </w:rPr>
        <w:t>situación no es normal en bu</w:t>
      </w:r>
      <w:r w:rsidR="00345F82" w:rsidRPr="00486FEC">
        <w:rPr>
          <w:rFonts w:ascii="Verdana" w:hAnsi="Verdana"/>
          <w:sz w:val="20"/>
          <w:szCs w:val="20"/>
        </w:rPr>
        <w:t>e</w:t>
      </w:r>
      <w:r w:rsidR="00FC6230" w:rsidRPr="00486FEC">
        <w:rPr>
          <w:rFonts w:ascii="Verdana" w:hAnsi="Verdana"/>
          <w:sz w:val="20"/>
          <w:szCs w:val="20"/>
        </w:rPr>
        <w:t xml:space="preserve">na parte de nuestra región, </w:t>
      </w:r>
      <w:r w:rsidR="00345F82" w:rsidRPr="00486FEC">
        <w:rPr>
          <w:rFonts w:ascii="Verdana" w:hAnsi="Verdana"/>
          <w:sz w:val="20"/>
          <w:szCs w:val="20"/>
        </w:rPr>
        <w:t xml:space="preserve">donde </w:t>
      </w:r>
      <w:r w:rsidR="00FC6230" w:rsidRPr="00486FEC">
        <w:rPr>
          <w:rFonts w:ascii="Verdana" w:hAnsi="Verdana"/>
          <w:sz w:val="20"/>
          <w:szCs w:val="20"/>
        </w:rPr>
        <w:t xml:space="preserve">no existe una pluralidad de medios, sino que, por efecto de la desregulación del mercado en materia de medios de comunicación, se producen </w:t>
      </w:r>
      <w:r w:rsidR="00D676AF" w:rsidRPr="00486FEC">
        <w:rPr>
          <w:rFonts w:ascii="Verdana" w:hAnsi="Verdana"/>
          <w:sz w:val="20"/>
          <w:szCs w:val="20"/>
        </w:rPr>
        <w:t xml:space="preserve">casos </w:t>
      </w:r>
      <w:r w:rsidR="00FC6230" w:rsidRPr="00486FEC">
        <w:rPr>
          <w:rFonts w:ascii="Verdana" w:hAnsi="Verdana"/>
          <w:sz w:val="20"/>
          <w:szCs w:val="20"/>
        </w:rPr>
        <w:t xml:space="preserve">de oligopolio o de monopolio, que </w:t>
      </w:r>
      <w:r w:rsidR="00E26084" w:rsidRPr="00486FEC">
        <w:rPr>
          <w:rFonts w:ascii="Verdana" w:hAnsi="Verdana"/>
          <w:sz w:val="20"/>
          <w:szCs w:val="20"/>
        </w:rPr>
        <w:t xml:space="preserve">no </w:t>
      </w:r>
      <w:r w:rsidR="00D676AF" w:rsidRPr="00486FEC">
        <w:rPr>
          <w:rFonts w:ascii="Verdana" w:hAnsi="Verdana"/>
          <w:sz w:val="20"/>
          <w:szCs w:val="20"/>
        </w:rPr>
        <w:t xml:space="preserve">serían ni </w:t>
      </w:r>
      <w:r w:rsidR="00E26084" w:rsidRPr="00486FEC">
        <w:rPr>
          <w:rFonts w:ascii="Verdana" w:hAnsi="Verdana"/>
          <w:sz w:val="20"/>
          <w:szCs w:val="20"/>
        </w:rPr>
        <w:t>son admisibles en ni</w:t>
      </w:r>
      <w:r w:rsidR="00EA2EC8" w:rsidRPr="00486FEC">
        <w:rPr>
          <w:rFonts w:ascii="Verdana" w:hAnsi="Verdana"/>
          <w:sz w:val="20"/>
          <w:szCs w:val="20"/>
        </w:rPr>
        <w:t>ngún país del hemisferio norte.</w:t>
      </w:r>
    </w:p>
    <w:p w14:paraId="7BC6CB3A" w14:textId="075F5C73"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15AE92EC" w14:textId="58D8580D" w:rsidR="00EA2EC8" w:rsidRDefault="00E26084"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En tales situaciones anormales, la concentración monopólica u oligopólica de medios escritos, radiofónicos, televisivos y virtuales, permite </w:t>
      </w:r>
      <w:r w:rsidR="00345F82" w:rsidRPr="00486FEC">
        <w:rPr>
          <w:rFonts w:ascii="Verdana" w:hAnsi="Verdana"/>
          <w:sz w:val="20"/>
          <w:szCs w:val="20"/>
        </w:rPr>
        <w:t xml:space="preserve">muchas veces </w:t>
      </w:r>
      <w:r w:rsidRPr="00486FEC">
        <w:rPr>
          <w:rFonts w:ascii="Verdana" w:hAnsi="Verdana"/>
          <w:sz w:val="20"/>
          <w:szCs w:val="20"/>
        </w:rPr>
        <w:t>que la comunicación se distorsione y una empresa o grupo empresarial</w:t>
      </w:r>
      <w:r w:rsidR="00E86180" w:rsidRPr="00486FEC">
        <w:rPr>
          <w:rFonts w:ascii="Verdana" w:hAnsi="Verdana"/>
          <w:sz w:val="20"/>
          <w:szCs w:val="20"/>
        </w:rPr>
        <w:t xml:space="preserve"> o económico</w:t>
      </w:r>
      <w:r w:rsidRPr="00486FEC">
        <w:rPr>
          <w:rFonts w:ascii="Verdana" w:hAnsi="Verdana"/>
          <w:sz w:val="20"/>
          <w:szCs w:val="20"/>
        </w:rPr>
        <w:t xml:space="preserve"> monte una </w:t>
      </w:r>
      <w:r w:rsidRPr="00486FEC">
        <w:rPr>
          <w:rFonts w:ascii="Verdana" w:hAnsi="Verdana"/>
          <w:i/>
          <w:sz w:val="20"/>
          <w:szCs w:val="20"/>
        </w:rPr>
        <w:t>creación de realidad</w:t>
      </w:r>
      <w:r w:rsidR="00EA2EC8" w:rsidRPr="00486FEC">
        <w:rPr>
          <w:rFonts w:ascii="Verdana" w:hAnsi="Verdana"/>
          <w:sz w:val="20"/>
          <w:szCs w:val="20"/>
        </w:rPr>
        <w:t xml:space="preserve"> por completo distorsionada.</w:t>
      </w:r>
    </w:p>
    <w:p w14:paraId="7EB6CC47" w14:textId="6970921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65471D88" w14:textId="3C4F6807" w:rsidR="00EA2EC8" w:rsidRDefault="00E26084"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La propia opinión altamente respetable de la mayoría de la Corte apunta este inconveniente, siendo del caso señalar que en esos extremos </w:t>
      </w:r>
      <w:r w:rsidR="00D676AF" w:rsidRPr="00486FEC">
        <w:rPr>
          <w:rFonts w:ascii="Verdana" w:hAnsi="Verdana"/>
          <w:sz w:val="20"/>
          <w:szCs w:val="20"/>
        </w:rPr>
        <w:t xml:space="preserve">se da la paradoja de que </w:t>
      </w:r>
      <w:r w:rsidR="00FA5C7C" w:rsidRPr="00486FEC">
        <w:rPr>
          <w:rFonts w:ascii="Verdana" w:hAnsi="Verdana"/>
          <w:sz w:val="20"/>
          <w:szCs w:val="20"/>
        </w:rPr>
        <w:t xml:space="preserve">la invocación de la libertad de opinión es susceptible de lesionar la </w:t>
      </w:r>
      <w:r w:rsidR="00D676AF" w:rsidRPr="00486FEC">
        <w:rPr>
          <w:rFonts w:ascii="Verdana" w:hAnsi="Verdana"/>
          <w:sz w:val="20"/>
          <w:szCs w:val="20"/>
        </w:rPr>
        <w:t xml:space="preserve">misma </w:t>
      </w:r>
      <w:r w:rsidR="00FA5C7C" w:rsidRPr="00486FEC">
        <w:rPr>
          <w:rFonts w:ascii="Verdana" w:hAnsi="Verdana"/>
          <w:sz w:val="20"/>
          <w:szCs w:val="20"/>
        </w:rPr>
        <w:t xml:space="preserve">libertad de opinión, puesto que </w:t>
      </w:r>
      <w:r w:rsidRPr="00486FEC">
        <w:rPr>
          <w:rFonts w:ascii="Verdana" w:hAnsi="Verdana"/>
          <w:sz w:val="20"/>
          <w:szCs w:val="20"/>
        </w:rPr>
        <w:t xml:space="preserve">el monopolio </w:t>
      </w:r>
      <w:r w:rsidR="009D6FD1" w:rsidRPr="00486FEC">
        <w:rPr>
          <w:rFonts w:ascii="Verdana" w:hAnsi="Verdana"/>
          <w:sz w:val="20"/>
          <w:szCs w:val="20"/>
        </w:rPr>
        <w:t xml:space="preserve">mediático tiene en sus manos la posibilidad de </w:t>
      </w:r>
      <w:r w:rsidR="00D676AF" w:rsidRPr="00486FEC">
        <w:rPr>
          <w:rFonts w:ascii="Verdana" w:hAnsi="Verdana"/>
          <w:sz w:val="20"/>
          <w:szCs w:val="20"/>
        </w:rPr>
        <w:t>dispone</w:t>
      </w:r>
      <w:r w:rsidR="009D6FD1" w:rsidRPr="00486FEC">
        <w:rPr>
          <w:rFonts w:ascii="Verdana" w:hAnsi="Verdana"/>
          <w:sz w:val="20"/>
          <w:szCs w:val="20"/>
        </w:rPr>
        <w:t>r el silencio</w:t>
      </w:r>
      <w:r w:rsidR="00EA2EC8" w:rsidRPr="00486FEC">
        <w:rPr>
          <w:rFonts w:ascii="Verdana" w:hAnsi="Verdana"/>
          <w:sz w:val="20"/>
          <w:szCs w:val="20"/>
        </w:rPr>
        <w:t xml:space="preserve"> respecto de hechos</w:t>
      </w:r>
      <w:r w:rsidR="00E86180" w:rsidRPr="00486FEC">
        <w:rPr>
          <w:rFonts w:ascii="Verdana" w:hAnsi="Verdana"/>
          <w:sz w:val="20"/>
          <w:szCs w:val="20"/>
        </w:rPr>
        <w:t xml:space="preserve"> de interés público y de sus protagonistas.</w:t>
      </w:r>
    </w:p>
    <w:p w14:paraId="4D56AEE8" w14:textId="7A790014"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7444D447" w14:textId="5B9F8BFE" w:rsidR="00EA2EC8" w:rsidRDefault="00FA5C7C"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Pero</w:t>
      </w:r>
      <w:r w:rsidR="009D6FD1" w:rsidRPr="00486FEC">
        <w:rPr>
          <w:rFonts w:ascii="Verdana" w:hAnsi="Verdana"/>
          <w:sz w:val="20"/>
          <w:szCs w:val="20"/>
        </w:rPr>
        <w:t xml:space="preserve"> es necesario destacar que,</w:t>
      </w:r>
      <w:r w:rsidRPr="00486FEC">
        <w:rPr>
          <w:rFonts w:ascii="Verdana" w:hAnsi="Verdana"/>
          <w:sz w:val="20"/>
          <w:szCs w:val="20"/>
        </w:rPr>
        <w:t xml:space="preserve"> en </w:t>
      </w:r>
      <w:r w:rsidR="00D676AF" w:rsidRPr="00486FEC">
        <w:rPr>
          <w:rFonts w:ascii="Verdana" w:hAnsi="Verdana"/>
          <w:sz w:val="20"/>
          <w:szCs w:val="20"/>
        </w:rPr>
        <w:t xml:space="preserve">la </w:t>
      </w:r>
      <w:r w:rsidRPr="00486FEC">
        <w:rPr>
          <w:rFonts w:ascii="Verdana" w:hAnsi="Verdana"/>
          <w:sz w:val="20"/>
          <w:szCs w:val="20"/>
        </w:rPr>
        <w:t>situación anormal</w:t>
      </w:r>
      <w:r w:rsidR="00D676AF" w:rsidRPr="00486FEC">
        <w:rPr>
          <w:rFonts w:ascii="Verdana" w:hAnsi="Verdana"/>
          <w:sz w:val="20"/>
          <w:szCs w:val="20"/>
        </w:rPr>
        <w:t xml:space="preserve"> de monopolios y oligopolios mediáticos</w:t>
      </w:r>
      <w:r w:rsidRPr="00486FEC">
        <w:rPr>
          <w:rFonts w:ascii="Verdana" w:hAnsi="Verdana"/>
          <w:sz w:val="20"/>
          <w:szCs w:val="20"/>
        </w:rPr>
        <w:t xml:space="preserve">, el problema va más allá del respeto a la libertad de opinión y de crítica, porque los medios excesivamente concentrados adquieren </w:t>
      </w:r>
      <w:r w:rsidR="00345F82" w:rsidRPr="00486FEC">
        <w:rPr>
          <w:rFonts w:ascii="Verdana" w:hAnsi="Verdana"/>
          <w:sz w:val="20"/>
          <w:szCs w:val="20"/>
        </w:rPr>
        <w:t xml:space="preserve">directamente </w:t>
      </w:r>
      <w:r w:rsidRPr="00486FEC">
        <w:rPr>
          <w:rFonts w:ascii="Verdana" w:hAnsi="Verdana"/>
          <w:sz w:val="20"/>
          <w:szCs w:val="20"/>
        </w:rPr>
        <w:t>e</w:t>
      </w:r>
      <w:r w:rsidR="00345F82" w:rsidRPr="00486FEC">
        <w:rPr>
          <w:rFonts w:ascii="Verdana" w:hAnsi="Verdana"/>
          <w:sz w:val="20"/>
          <w:szCs w:val="20"/>
        </w:rPr>
        <w:t>l</w:t>
      </w:r>
      <w:r w:rsidRPr="00486FEC">
        <w:rPr>
          <w:rFonts w:ascii="Verdana" w:hAnsi="Verdana"/>
          <w:sz w:val="20"/>
          <w:szCs w:val="20"/>
        </w:rPr>
        <w:t xml:space="preserve"> poder de </w:t>
      </w:r>
      <w:r w:rsidR="00E26084" w:rsidRPr="00486FEC">
        <w:rPr>
          <w:rFonts w:ascii="Verdana" w:hAnsi="Verdana"/>
          <w:i/>
          <w:sz w:val="20"/>
          <w:szCs w:val="20"/>
        </w:rPr>
        <w:t>crea</w:t>
      </w:r>
      <w:r w:rsidRPr="00486FEC">
        <w:rPr>
          <w:rFonts w:ascii="Verdana" w:hAnsi="Verdana"/>
          <w:i/>
          <w:sz w:val="20"/>
          <w:szCs w:val="20"/>
        </w:rPr>
        <w:t xml:space="preserve">r </w:t>
      </w:r>
      <w:r w:rsidR="00E26084" w:rsidRPr="00486FEC">
        <w:rPr>
          <w:rFonts w:ascii="Verdana" w:hAnsi="Verdana"/>
          <w:i/>
          <w:sz w:val="20"/>
          <w:szCs w:val="20"/>
        </w:rPr>
        <w:t>realidad</w:t>
      </w:r>
      <w:r w:rsidR="00E26084" w:rsidRPr="00486FEC">
        <w:rPr>
          <w:rFonts w:ascii="Verdana" w:hAnsi="Verdana"/>
          <w:sz w:val="20"/>
          <w:szCs w:val="20"/>
        </w:rPr>
        <w:t xml:space="preserve">, </w:t>
      </w:r>
      <w:r w:rsidR="00A402DE" w:rsidRPr="00486FEC">
        <w:rPr>
          <w:rFonts w:ascii="Verdana" w:hAnsi="Verdana"/>
          <w:sz w:val="20"/>
          <w:szCs w:val="20"/>
        </w:rPr>
        <w:t>dado</w:t>
      </w:r>
      <w:r w:rsidR="00E26084" w:rsidRPr="00486FEC">
        <w:rPr>
          <w:rFonts w:ascii="Verdana" w:hAnsi="Verdana"/>
          <w:sz w:val="20"/>
          <w:szCs w:val="20"/>
        </w:rPr>
        <w:t xml:space="preserve"> que </w:t>
      </w:r>
      <w:r w:rsidR="00E26084" w:rsidRPr="00486FEC">
        <w:rPr>
          <w:rFonts w:ascii="Verdana" w:hAnsi="Verdana"/>
          <w:i/>
          <w:sz w:val="20"/>
          <w:szCs w:val="20"/>
        </w:rPr>
        <w:t>nuestra realidad</w:t>
      </w:r>
      <w:r w:rsidR="00E26084" w:rsidRPr="00486FEC">
        <w:rPr>
          <w:rFonts w:ascii="Verdana" w:hAnsi="Verdana"/>
          <w:sz w:val="20"/>
          <w:szCs w:val="20"/>
        </w:rPr>
        <w:t xml:space="preserve"> se</w:t>
      </w:r>
      <w:r w:rsidR="009D6FD1" w:rsidRPr="00486FEC">
        <w:rPr>
          <w:rFonts w:ascii="Verdana" w:hAnsi="Verdana"/>
          <w:sz w:val="20"/>
          <w:szCs w:val="20"/>
        </w:rPr>
        <w:t xml:space="preserve"> construye en su casi totalidad a través </w:t>
      </w:r>
      <w:r w:rsidR="00E26084" w:rsidRPr="00486FEC">
        <w:rPr>
          <w:rFonts w:ascii="Verdana" w:hAnsi="Verdana"/>
          <w:sz w:val="20"/>
          <w:szCs w:val="20"/>
        </w:rPr>
        <w:t xml:space="preserve">de la comunicación. </w:t>
      </w:r>
      <w:r w:rsidR="00450C3C" w:rsidRPr="00486FEC">
        <w:rPr>
          <w:rFonts w:ascii="Verdana" w:hAnsi="Verdana"/>
          <w:sz w:val="20"/>
          <w:szCs w:val="20"/>
        </w:rPr>
        <w:t>Esto ha sido suficientemente planteado por la sociología,</w:t>
      </w:r>
      <w:r w:rsidR="009D6FD1" w:rsidRPr="00486FEC">
        <w:rPr>
          <w:rFonts w:ascii="Verdana" w:hAnsi="Verdana"/>
          <w:sz w:val="20"/>
          <w:szCs w:val="20"/>
        </w:rPr>
        <w:t xml:space="preserve"> en particular la de </w:t>
      </w:r>
      <w:r w:rsidR="00450C3C" w:rsidRPr="00486FEC">
        <w:rPr>
          <w:rFonts w:ascii="Verdana" w:hAnsi="Verdana"/>
          <w:sz w:val="20"/>
          <w:szCs w:val="20"/>
        </w:rPr>
        <w:t>vertiente fenomenológica y desde mucho antes del</w:t>
      </w:r>
      <w:r w:rsidR="00EA2EC8" w:rsidRPr="00486FEC">
        <w:rPr>
          <w:rFonts w:ascii="Verdana" w:hAnsi="Verdana"/>
          <w:sz w:val="20"/>
          <w:szCs w:val="20"/>
        </w:rPr>
        <w:t xml:space="preserve"> total salto tecnológico actual.</w:t>
      </w:r>
      <w:r w:rsidR="00EA2EC8" w:rsidRPr="00486FEC">
        <w:rPr>
          <w:rStyle w:val="Refdenotaalpie"/>
          <w:rFonts w:ascii="Verdana" w:hAnsi="Verdana"/>
          <w:sz w:val="20"/>
          <w:szCs w:val="20"/>
        </w:rPr>
        <w:footnoteReference w:id="33"/>
      </w:r>
    </w:p>
    <w:p w14:paraId="12CA7B53" w14:textId="3B35D3D9"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0F909AE3" w14:textId="77777777" w:rsidR="00EA2EC8" w:rsidRPr="00486FEC" w:rsidRDefault="00450C3C"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A este respecto me permito insistir sobre la necesidad de incorporar al derecho –y principalmente a</w:t>
      </w:r>
      <w:r w:rsidR="00D676AF" w:rsidRPr="00486FEC">
        <w:rPr>
          <w:rFonts w:ascii="Verdana" w:hAnsi="Verdana"/>
          <w:sz w:val="20"/>
          <w:szCs w:val="20"/>
        </w:rPr>
        <w:t xml:space="preserve"> la rama de los </w:t>
      </w:r>
      <w:r w:rsidRPr="00486FEC">
        <w:rPr>
          <w:rFonts w:ascii="Verdana" w:hAnsi="Verdana"/>
          <w:sz w:val="20"/>
          <w:szCs w:val="20"/>
        </w:rPr>
        <w:t>Derechos Humanos- lo</w:t>
      </w:r>
      <w:r w:rsidR="00A402DE" w:rsidRPr="00486FEC">
        <w:rPr>
          <w:rFonts w:ascii="Verdana" w:hAnsi="Verdana"/>
          <w:sz w:val="20"/>
          <w:szCs w:val="20"/>
        </w:rPr>
        <w:t>s</w:t>
      </w:r>
      <w:r w:rsidRPr="00486FEC">
        <w:rPr>
          <w:rFonts w:ascii="Verdana" w:hAnsi="Verdana"/>
          <w:sz w:val="20"/>
          <w:szCs w:val="20"/>
        </w:rPr>
        <w:t xml:space="preserve"> datos de la realidad provenientes básicamente de la sociología</w:t>
      </w:r>
      <w:r w:rsidR="00925F0E" w:rsidRPr="00486FEC">
        <w:rPr>
          <w:rFonts w:ascii="Verdana" w:hAnsi="Verdana"/>
          <w:sz w:val="20"/>
          <w:szCs w:val="20"/>
        </w:rPr>
        <w:t xml:space="preserve"> y de otras ciencias sociales, para eludir las trampas de un cerrado normativismo que </w:t>
      </w:r>
      <w:r w:rsidR="00345F82" w:rsidRPr="00486FEC">
        <w:rPr>
          <w:rFonts w:ascii="Verdana" w:hAnsi="Verdana"/>
          <w:sz w:val="20"/>
          <w:szCs w:val="20"/>
        </w:rPr>
        <w:t>obture la incorporación de</w:t>
      </w:r>
      <w:r w:rsidR="001E4937" w:rsidRPr="00486FEC">
        <w:rPr>
          <w:rFonts w:ascii="Verdana" w:hAnsi="Verdana"/>
          <w:sz w:val="20"/>
          <w:szCs w:val="20"/>
        </w:rPr>
        <w:t xml:space="preserve"> es</w:t>
      </w:r>
      <w:r w:rsidR="00925F0E" w:rsidRPr="00486FEC">
        <w:rPr>
          <w:rFonts w:ascii="Verdana" w:hAnsi="Verdana"/>
          <w:sz w:val="20"/>
          <w:szCs w:val="20"/>
        </w:rPr>
        <w:t xml:space="preserve">os datos </w:t>
      </w:r>
      <w:r w:rsidR="004151A8" w:rsidRPr="00486FEC">
        <w:rPr>
          <w:rFonts w:ascii="Verdana" w:hAnsi="Verdana"/>
          <w:sz w:val="20"/>
          <w:szCs w:val="20"/>
        </w:rPr>
        <w:t>y que</w:t>
      </w:r>
      <w:r w:rsidR="00345F82" w:rsidRPr="00486FEC">
        <w:rPr>
          <w:rFonts w:ascii="Verdana" w:hAnsi="Verdana"/>
          <w:sz w:val="20"/>
          <w:szCs w:val="20"/>
        </w:rPr>
        <w:t xml:space="preserve">, </w:t>
      </w:r>
      <w:r w:rsidR="004151A8" w:rsidRPr="00486FEC">
        <w:rPr>
          <w:rFonts w:ascii="Verdana" w:hAnsi="Verdana"/>
          <w:sz w:val="20"/>
          <w:szCs w:val="20"/>
        </w:rPr>
        <w:t xml:space="preserve">como señalé antes, </w:t>
      </w:r>
      <w:r w:rsidR="00345F82" w:rsidRPr="00486FEC">
        <w:rPr>
          <w:rFonts w:ascii="Verdana" w:hAnsi="Verdana"/>
          <w:sz w:val="20"/>
          <w:szCs w:val="20"/>
        </w:rPr>
        <w:t xml:space="preserve">puede </w:t>
      </w:r>
      <w:r w:rsidR="00925F0E" w:rsidRPr="00486FEC">
        <w:rPr>
          <w:rFonts w:ascii="Verdana" w:hAnsi="Verdana"/>
          <w:sz w:val="20"/>
          <w:szCs w:val="20"/>
        </w:rPr>
        <w:t>llevar a soluciones paradojales</w:t>
      </w:r>
      <w:r w:rsidR="00345F82" w:rsidRPr="00486FEC">
        <w:rPr>
          <w:rFonts w:ascii="Verdana" w:hAnsi="Verdana"/>
          <w:sz w:val="20"/>
          <w:szCs w:val="20"/>
        </w:rPr>
        <w:t xml:space="preserve"> en el plano de las consecuencias reales, </w:t>
      </w:r>
      <w:r w:rsidR="00925F0E" w:rsidRPr="00486FEC">
        <w:rPr>
          <w:rFonts w:ascii="Verdana" w:hAnsi="Verdana"/>
          <w:sz w:val="20"/>
          <w:szCs w:val="20"/>
        </w:rPr>
        <w:t xml:space="preserve">pese </w:t>
      </w:r>
      <w:r w:rsidR="00A402DE" w:rsidRPr="00486FEC">
        <w:rPr>
          <w:rFonts w:ascii="Verdana" w:hAnsi="Verdana"/>
          <w:sz w:val="20"/>
          <w:szCs w:val="20"/>
        </w:rPr>
        <w:t xml:space="preserve">a </w:t>
      </w:r>
      <w:r w:rsidR="00D676AF" w:rsidRPr="00486FEC">
        <w:rPr>
          <w:rFonts w:ascii="Verdana" w:hAnsi="Verdana"/>
          <w:sz w:val="20"/>
          <w:szCs w:val="20"/>
        </w:rPr>
        <w:t>que las decisiones se h</w:t>
      </w:r>
      <w:r w:rsidR="001E4937" w:rsidRPr="00486FEC">
        <w:rPr>
          <w:rFonts w:ascii="Verdana" w:hAnsi="Verdana"/>
          <w:sz w:val="20"/>
          <w:szCs w:val="20"/>
        </w:rPr>
        <w:t xml:space="preserve">ubiesen </w:t>
      </w:r>
      <w:r w:rsidR="00D676AF" w:rsidRPr="00486FEC">
        <w:rPr>
          <w:rFonts w:ascii="Verdana" w:hAnsi="Verdana"/>
          <w:sz w:val="20"/>
          <w:szCs w:val="20"/>
        </w:rPr>
        <w:t xml:space="preserve">motivado con </w:t>
      </w:r>
      <w:r w:rsidR="00925F0E" w:rsidRPr="00486FEC">
        <w:rPr>
          <w:rFonts w:ascii="Verdana" w:hAnsi="Verdana"/>
          <w:sz w:val="20"/>
          <w:szCs w:val="20"/>
        </w:rPr>
        <w:t>la</w:t>
      </w:r>
      <w:r w:rsidR="004151A8" w:rsidRPr="00486FEC">
        <w:rPr>
          <w:rFonts w:ascii="Verdana" w:hAnsi="Verdana"/>
          <w:sz w:val="20"/>
          <w:szCs w:val="20"/>
        </w:rPr>
        <w:t xml:space="preserve">s más nobles </w:t>
      </w:r>
      <w:r w:rsidR="00EA2EC8" w:rsidRPr="00486FEC">
        <w:rPr>
          <w:rFonts w:ascii="Verdana" w:hAnsi="Verdana"/>
          <w:sz w:val="20"/>
          <w:szCs w:val="20"/>
        </w:rPr>
        <w:t>intenciones.</w:t>
      </w:r>
    </w:p>
    <w:p w14:paraId="3992A9F1" w14:textId="77777777" w:rsidR="00EA2EC8" w:rsidRPr="00486FEC" w:rsidRDefault="00EA2EC8" w:rsidP="00486FEC">
      <w:pPr>
        <w:pStyle w:val="Prrafodelista"/>
        <w:spacing w:after="0" w:line="240" w:lineRule="auto"/>
        <w:ind w:left="0"/>
        <w:contextualSpacing w:val="0"/>
        <w:jc w:val="both"/>
        <w:rPr>
          <w:rFonts w:ascii="Verdana" w:hAnsi="Verdana"/>
          <w:sz w:val="20"/>
          <w:szCs w:val="20"/>
        </w:rPr>
      </w:pPr>
    </w:p>
    <w:p w14:paraId="4A8E5439" w14:textId="77777777" w:rsidR="00EA2EC8" w:rsidRPr="00486FEC" w:rsidRDefault="004151A8" w:rsidP="00486FEC">
      <w:pPr>
        <w:pStyle w:val="Prrafodelista"/>
        <w:spacing w:after="0" w:line="240" w:lineRule="auto"/>
        <w:ind w:left="709"/>
        <w:contextualSpacing w:val="0"/>
        <w:jc w:val="both"/>
        <w:rPr>
          <w:rFonts w:ascii="Verdana" w:hAnsi="Verdana"/>
          <w:b/>
          <w:sz w:val="20"/>
          <w:szCs w:val="20"/>
        </w:rPr>
      </w:pPr>
      <w:r w:rsidRPr="00486FEC">
        <w:rPr>
          <w:rFonts w:ascii="Verdana" w:hAnsi="Verdana"/>
          <w:b/>
          <w:sz w:val="20"/>
          <w:szCs w:val="20"/>
        </w:rPr>
        <w:t>IV.2.b. La</w:t>
      </w:r>
      <w:r w:rsidR="00EA2EC8" w:rsidRPr="00486FEC">
        <w:rPr>
          <w:rFonts w:ascii="Verdana" w:hAnsi="Verdana"/>
          <w:b/>
          <w:sz w:val="20"/>
          <w:szCs w:val="20"/>
        </w:rPr>
        <w:t xml:space="preserve"> situación anormal no impide la </w:t>
      </w:r>
      <w:r w:rsidRPr="00486FEC">
        <w:rPr>
          <w:rFonts w:ascii="Verdana" w:hAnsi="Verdana"/>
          <w:b/>
          <w:sz w:val="20"/>
          <w:szCs w:val="20"/>
        </w:rPr>
        <w:t>ponderación, pero la complica</w:t>
      </w:r>
    </w:p>
    <w:p w14:paraId="5141E819" w14:textId="77777777" w:rsidR="005541BC" w:rsidRPr="00486FEC" w:rsidRDefault="005541BC" w:rsidP="00486FEC">
      <w:pPr>
        <w:pStyle w:val="Prrafodelista"/>
        <w:spacing w:after="0" w:line="240" w:lineRule="auto"/>
        <w:ind w:left="709"/>
        <w:contextualSpacing w:val="0"/>
        <w:jc w:val="both"/>
        <w:rPr>
          <w:rFonts w:ascii="Verdana" w:hAnsi="Verdana"/>
          <w:b/>
          <w:sz w:val="20"/>
          <w:szCs w:val="20"/>
        </w:rPr>
      </w:pPr>
    </w:p>
    <w:p w14:paraId="6871D54E" w14:textId="223CDD7D" w:rsidR="00EA2EC8" w:rsidRDefault="009D6FD1"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De cualquier modo, es necesario señalar que la </w:t>
      </w:r>
      <w:r w:rsidR="00925F0E" w:rsidRPr="00486FEC">
        <w:rPr>
          <w:rFonts w:ascii="Verdana" w:hAnsi="Verdana"/>
          <w:sz w:val="20"/>
          <w:szCs w:val="20"/>
        </w:rPr>
        <w:t xml:space="preserve">anormalidad de una situación monopólica u oligopólica en modo alguno cancela la necesidad de </w:t>
      </w:r>
      <w:r w:rsidR="00345F82" w:rsidRPr="00486FEC">
        <w:rPr>
          <w:rFonts w:ascii="Verdana" w:hAnsi="Verdana"/>
          <w:sz w:val="20"/>
          <w:szCs w:val="20"/>
        </w:rPr>
        <w:t xml:space="preserve"> preservar del poder punitivo los espacios de crítica periodística necesarios para el buen f</w:t>
      </w:r>
      <w:r w:rsidR="00925F0E" w:rsidRPr="00486FEC">
        <w:rPr>
          <w:rFonts w:ascii="Verdana" w:hAnsi="Verdana"/>
          <w:sz w:val="20"/>
          <w:szCs w:val="20"/>
        </w:rPr>
        <w:t>uncionamiento de la administración</w:t>
      </w:r>
      <w:r w:rsidR="00345F82" w:rsidRPr="00486FEC">
        <w:rPr>
          <w:rFonts w:ascii="Verdana" w:hAnsi="Verdana"/>
          <w:sz w:val="20"/>
          <w:szCs w:val="20"/>
        </w:rPr>
        <w:t xml:space="preserve">, </w:t>
      </w:r>
      <w:r w:rsidR="00925F0E" w:rsidRPr="00486FEC">
        <w:rPr>
          <w:rFonts w:ascii="Verdana" w:hAnsi="Verdana"/>
          <w:sz w:val="20"/>
          <w:szCs w:val="20"/>
        </w:rPr>
        <w:t xml:space="preserve">pero complica la ponderación </w:t>
      </w:r>
      <w:r w:rsidR="00345F82" w:rsidRPr="00486FEC">
        <w:rPr>
          <w:rFonts w:ascii="Verdana" w:hAnsi="Verdana"/>
          <w:sz w:val="20"/>
          <w:szCs w:val="20"/>
        </w:rPr>
        <w:t>de valores que siempre presupone ese acotamiento</w:t>
      </w:r>
      <w:r w:rsidR="004151A8" w:rsidRPr="00486FEC">
        <w:rPr>
          <w:rFonts w:ascii="Verdana" w:hAnsi="Verdana"/>
          <w:sz w:val="20"/>
          <w:szCs w:val="20"/>
        </w:rPr>
        <w:t xml:space="preserve"> en cuanto al alcance de la justificación</w:t>
      </w:r>
      <w:r w:rsidR="00345F82" w:rsidRPr="00486FEC">
        <w:rPr>
          <w:rFonts w:ascii="Verdana" w:hAnsi="Verdana"/>
          <w:sz w:val="20"/>
          <w:szCs w:val="20"/>
        </w:rPr>
        <w:t xml:space="preserve">, </w:t>
      </w:r>
      <w:r w:rsidR="00925F0E" w:rsidRPr="00486FEC">
        <w:rPr>
          <w:rFonts w:ascii="Verdana" w:hAnsi="Verdana"/>
          <w:sz w:val="20"/>
          <w:szCs w:val="20"/>
        </w:rPr>
        <w:t xml:space="preserve">pues introduce un elemento de anormalidad social, dado que los medios concentrados pueden generar creaciones de realidad totales y únicas, como sucedía en los viejos totalitarismos: no es posible olvidar que el </w:t>
      </w:r>
      <w:r w:rsidR="00925F0E" w:rsidRPr="00486FEC">
        <w:rPr>
          <w:rFonts w:ascii="Verdana" w:hAnsi="Verdana"/>
          <w:i/>
          <w:sz w:val="20"/>
          <w:szCs w:val="20"/>
        </w:rPr>
        <w:t>Pravda</w:t>
      </w:r>
      <w:r w:rsidR="00925F0E" w:rsidRPr="00486FEC">
        <w:rPr>
          <w:rFonts w:ascii="Verdana" w:hAnsi="Verdana"/>
          <w:sz w:val="20"/>
          <w:szCs w:val="20"/>
        </w:rPr>
        <w:t xml:space="preserve"> fue un creador único de realidad y los detestables principios de Göbbels </w:t>
      </w:r>
      <w:r w:rsidR="00345F82" w:rsidRPr="00486FEC">
        <w:rPr>
          <w:rFonts w:ascii="Verdana" w:hAnsi="Verdana"/>
          <w:sz w:val="20"/>
          <w:szCs w:val="20"/>
        </w:rPr>
        <w:t xml:space="preserve">tampoco </w:t>
      </w:r>
      <w:r w:rsidR="00EA2EC8" w:rsidRPr="00486FEC">
        <w:rPr>
          <w:rFonts w:ascii="Verdana" w:hAnsi="Verdana"/>
          <w:sz w:val="20"/>
          <w:szCs w:val="20"/>
        </w:rPr>
        <w:t>dejan de ser eficaces.</w:t>
      </w:r>
    </w:p>
    <w:p w14:paraId="1409CDFE"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72110373" w14:textId="5782C39D" w:rsidR="00B37438" w:rsidRDefault="00925F0E"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La ponderación de valores</w:t>
      </w:r>
      <w:r w:rsidR="004151A8" w:rsidRPr="00486FEC">
        <w:rPr>
          <w:rFonts w:ascii="Verdana" w:hAnsi="Verdana"/>
          <w:sz w:val="20"/>
          <w:szCs w:val="20"/>
        </w:rPr>
        <w:t>, necesaria para establecer los límites de la causa de justificación o licitud,</w:t>
      </w:r>
      <w:r w:rsidRPr="00486FEC">
        <w:rPr>
          <w:rFonts w:ascii="Verdana" w:hAnsi="Verdana"/>
          <w:sz w:val="20"/>
          <w:szCs w:val="20"/>
        </w:rPr>
        <w:t xml:space="preserve"> se complica en una región donde medios concentrados se alían</w:t>
      </w:r>
      <w:r w:rsidR="00B37438" w:rsidRPr="00486FEC">
        <w:rPr>
          <w:rFonts w:ascii="Verdana" w:hAnsi="Verdana"/>
          <w:sz w:val="20"/>
          <w:szCs w:val="20"/>
        </w:rPr>
        <w:t xml:space="preserve"> con jueces prevaricadores y</w:t>
      </w:r>
      <w:r w:rsidRPr="00486FEC">
        <w:rPr>
          <w:rFonts w:ascii="Verdana" w:hAnsi="Verdana"/>
          <w:sz w:val="20"/>
          <w:szCs w:val="20"/>
        </w:rPr>
        <w:t xml:space="preserve"> agentes de inteligencia </w:t>
      </w:r>
      <w:r w:rsidR="00D676AF" w:rsidRPr="00486FEC">
        <w:rPr>
          <w:rFonts w:ascii="Verdana" w:hAnsi="Verdana"/>
          <w:sz w:val="20"/>
          <w:szCs w:val="20"/>
        </w:rPr>
        <w:t>y</w:t>
      </w:r>
      <w:r w:rsidRPr="00486FEC">
        <w:rPr>
          <w:rFonts w:ascii="Verdana" w:hAnsi="Verdana"/>
          <w:sz w:val="20"/>
          <w:szCs w:val="20"/>
        </w:rPr>
        <w:t xml:space="preserve"> servicios secretos y montan procesos conocidos ahora como </w:t>
      </w:r>
      <w:r w:rsidRPr="00486FEC">
        <w:rPr>
          <w:rFonts w:ascii="Verdana" w:hAnsi="Verdana"/>
          <w:i/>
          <w:sz w:val="20"/>
          <w:szCs w:val="20"/>
        </w:rPr>
        <w:t>lawfare</w:t>
      </w:r>
      <w:r w:rsidR="00345F82" w:rsidRPr="00486FEC">
        <w:rPr>
          <w:rFonts w:ascii="Verdana" w:hAnsi="Verdana"/>
          <w:i/>
          <w:sz w:val="20"/>
          <w:szCs w:val="20"/>
        </w:rPr>
        <w:t>,</w:t>
      </w:r>
      <w:r w:rsidRPr="00486FEC">
        <w:rPr>
          <w:rFonts w:ascii="Verdana" w:hAnsi="Verdana"/>
          <w:i/>
          <w:sz w:val="20"/>
          <w:szCs w:val="20"/>
        </w:rPr>
        <w:t xml:space="preserve"> </w:t>
      </w:r>
      <w:r w:rsidR="00B37438" w:rsidRPr="00486FEC">
        <w:rPr>
          <w:rFonts w:ascii="Verdana" w:hAnsi="Verdana"/>
          <w:sz w:val="20"/>
          <w:szCs w:val="20"/>
        </w:rPr>
        <w:t>que apoyan</w:t>
      </w:r>
      <w:r w:rsidRPr="00486FEC">
        <w:rPr>
          <w:rFonts w:ascii="Verdana" w:hAnsi="Verdana"/>
          <w:sz w:val="20"/>
          <w:szCs w:val="20"/>
        </w:rPr>
        <w:t xml:space="preserve"> golpe</w:t>
      </w:r>
      <w:r w:rsidR="00B37438" w:rsidRPr="00486FEC">
        <w:rPr>
          <w:rFonts w:ascii="Verdana" w:hAnsi="Verdana"/>
          <w:sz w:val="20"/>
          <w:szCs w:val="20"/>
        </w:rPr>
        <w:t>s</w:t>
      </w:r>
      <w:r w:rsidRPr="00486FEC">
        <w:rPr>
          <w:rFonts w:ascii="Verdana" w:hAnsi="Verdana"/>
          <w:sz w:val="20"/>
          <w:szCs w:val="20"/>
        </w:rPr>
        <w:t xml:space="preserve"> de Estado en Bolivia</w:t>
      </w:r>
      <w:r w:rsidR="00B37438" w:rsidRPr="00486FEC">
        <w:rPr>
          <w:rFonts w:ascii="Verdana" w:hAnsi="Verdana"/>
          <w:sz w:val="20"/>
          <w:szCs w:val="20"/>
        </w:rPr>
        <w:t>, excluyen de la competencia democrática a dirigentes opositores en Brasil o estigmatizan a otros en Argentina.</w:t>
      </w:r>
    </w:p>
    <w:p w14:paraId="4E974955" w14:textId="2B6652A3"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11BE451F" w14:textId="46406844" w:rsidR="00EA2EC8" w:rsidRDefault="008B7F83"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Insisto en que debe avanzarse en la protección de la prensa crítica frente al</w:t>
      </w:r>
      <w:r w:rsidR="00B37438" w:rsidRPr="00486FEC">
        <w:rPr>
          <w:rFonts w:ascii="Verdana" w:hAnsi="Verdana"/>
          <w:sz w:val="20"/>
          <w:szCs w:val="20"/>
        </w:rPr>
        <w:t xml:space="preserve"> avance indebido del</w:t>
      </w:r>
      <w:r w:rsidRPr="00486FEC">
        <w:rPr>
          <w:rFonts w:ascii="Verdana" w:hAnsi="Verdana"/>
          <w:sz w:val="20"/>
          <w:szCs w:val="20"/>
        </w:rPr>
        <w:t xml:space="preserve"> ejercicio del poder punitivo, pero la ponderación de valores </w:t>
      </w:r>
      <w:r w:rsidR="002B060B" w:rsidRPr="00486FEC">
        <w:rPr>
          <w:rFonts w:ascii="Verdana" w:hAnsi="Verdana"/>
          <w:sz w:val="20"/>
          <w:szCs w:val="20"/>
        </w:rPr>
        <w:t xml:space="preserve">-que permite señalar los límites de la justificación </w:t>
      </w:r>
      <w:r w:rsidRPr="00486FEC">
        <w:rPr>
          <w:rFonts w:ascii="Verdana" w:hAnsi="Verdana"/>
          <w:sz w:val="20"/>
          <w:szCs w:val="20"/>
        </w:rPr>
        <w:t>en cada caso</w:t>
      </w:r>
      <w:r w:rsidR="002B060B" w:rsidRPr="00486FEC">
        <w:rPr>
          <w:rFonts w:ascii="Verdana" w:hAnsi="Verdana"/>
          <w:sz w:val="20"/>
          <w:szCs w:val="20"/>
        </w:rPr>
        <w:t>-</w:t>
      </w:r>
      <w:r w:rsidRPr="00486FEC">
        <w:rPr>
          <w:rFonts w:ascii="Verdana" w:hAnsi="Verdana"/>
          <w:sz w:val="20"/>
          <w:szCs w:val="20"/>
        </w:rPr>
        <w:t xml:space="preserve"> </w:t>
      </w:r>
      <w:r w:rsidR="00220896" w:rsidRPr="00486FEC">
        <w:rPr>
          <w:rFonts w:ascii="Verdana" w:hAnsi="Verdana"/>
          <w:sz w:val="20"/>
          <w:szCs w:val="20"/>
        </w:rPr>
        <w:t xml:space="preserve">se vuelve más compleja y </w:t>
      </w:r>
      <w:r w:rsidRPr="00486FEC">
        <w:rPr>
          <w:rFonts w:ascii="Verdana" w:hAnsi="Verdana"/>
          <w:sz w:val="20"/>
          <w:szCs w:val="20"/>
        </w:rPr>
        <w:t xml:space="preserve">requiere una atención sumamente particular, dado que </w:t>
      </w:r>
      <w:r w:rsidR="002B060B" w:rsidRPr="00486FEC">
        <w:rPr>
          <w:rFonts w:ascii="Verdana" w:hAnsi="Verdana"/>
          <w:sz w:val="20"/>
          <w:szCs w:val="20"/>
        </w:rPr>
        <w:t xml:space="preserve">muchas veces </w:t>
      </w:r>
      <w:r w:rsidRPr="00486FEC">
        <w:rPr>
          <w:rFonts w:ascii="Verdana" w:hAnsi="Verdana"/>
          <w:sz w:val="20"/>
          <w:szCs w:val="20"/>
        </w:rPr>
        <w:t xml:space="preserve">no </w:t>
      </w:r>
      <w:r w:rsidR="002B060B" w:rsidRPr="00486FEC">
        <w:rPr>
          <w:rFonts w:ascii="Verdana" w:hAnsi="Verdana"/>
          <w:sz w:val="20"/>
          <w:szCs w:val="20"/>
        </w:rPr>
        <w:t xml:space="preserve">vivimos </w:t>
      </w:r>
      <w:r w:rsidRPr="00486FEC">
        <w:rPr>
          <w:rFonts w:ascii="Verdana" w:hAnsi="Verdana"/>
          <w:sz w:val="20"/>
          <w:szCs w:val="20"/>
        </w:rPr>
        <w:t xml:space="preserve">en sociedades con </w:t>
      </w:r>
      <w:r w:rsidR="00220896" w:rsidRPr="00486FEC">
        <w:rPr>
          <w:rFonts w:ascii="Verdana" w:hAnsi="Verdana"/>
          <w:sz w:val="20"/>
          <w:szCs w:val="20"/>
        </w:rPr>
        <w:t xml:space="preserve">pluralidad de medios, </w:t>
      </w:r>
      <w:r w:rsidR="00D676AF" w:rsidRPr="00486FEC">
        <w:rPr>
          <w:rFonts w:ascii="Verdana" w:hAnsi="Verdana"/>
          <w:sz w:val="20"/>
          <w:szCs w:val="20"/>
        </w:rPr>
        <w:t xml:space="preserve">como corresponde a las democracias plurales que todos deseamos, </w:t>
      </w:r>
      <w:r w:rsidR="00220896" w:rsidRPr="00486FEC">
        <w:rPr>
          <w:rFonts w:ascii="Verdana" w:hAnsi="Verdana"/>
          <w:sz w:val="20"/>
          <w:szCs w:val="20"/>
        </w:rPr>
        <w:t>sino con medios concentrados y con enorme po</w:t>
      </w:r>
      <w:r w:rsidR="00D676AF" w:rsidRPr="00486FEC">
        <w:rPr>
          <w:rFonts w:ascii="Verdana" w:hAnsi="Verdana"/>
          <w:sz w:val="20"/>
          <w:szCs w:val="20"/>
        </w:rPr>
        <w:t xml:space="preserve">der </w:t>
      </w:r>
      <w:r w:rsidR="00220896" w:rsidRPr="00486FEC">
        <w:rPr>
          <w:rFonts w:ascii="Verdana" w:hAnsi="Verdana"/>
          <w:sz w:val="20"/>
          <w:szCs w:val="20"/>
        </w:rPr>
        <w:t>de creación de realidades únicas</w:t>
      </w:r>
      <w:r w:rsidR="00D676AF" w:rsidRPr="00486FEC">
        <w:rPr>
          <w:rFonts w:ascii="Verdana" w:hAnsi="Verdana"/>
          <w:sz w:val="20"/>
          <w:szCs w:val="20"/>
        </w:rPr>
        <w:t xml:space="preserve">, potenciado por la </w:t>
      </w:r>
      <w:r w:rsidR="00CB3624" w:rsidRPr="00486FEC">
        <w:rPr>
          <w:rFonts w:ascii="Verdana" w:hAnsi="Verdana"/>
          <w:sz w:val="20"/>
          <w:szCs w:val="20"/>
        </w:rPr>
        <w:t xml:space="preserve">creciente adopción </w:t>
      </w:r>
      <w:r w:rsidR="00D676AF" w:rsidRPr="00486FEC">
        <w:rPr>
          <w:rFonts w:ascii="Verdana" w:hAnsi="Verdana"/>
          <w:sz w:val="20"/>
          <w:szCs w:val="20"/>
        </w:rPr>
        <w:t xml:space="preserve">de renovados y más penetrantes métodos de mercadotecnia, </w:t>
      </w:r>
      <w:r w:rsidR="00CB3624" w:rsidRPr="00486FEC">
        <w:rPr>
          <w:rFonts w:ascii="Verdana" w:hAnsi="Verdana"/>
          <w:sz w:val="20"/>
          <w:szCs w:val="20"/>
        </w:rPr>
        <w:t xml:space="preserve">uso de </w:t>
      </w:r>
      <w:r w:rsidR="00D676AF" w:rsidRPr="00486FEC">
        <w:rPr>
          <w:rFonts w:ascii="Verdana" w:hAnsi="Verdana"/>
          <w:i/>
          <w:sz w:val="20"/>
          <w:szCs w:val="20"/>
        </w:rPr>
        <w:t>troll</w:t>
      </w:r>
      <w:r w:rsidR="00CB3624" w:rsidRPr="00486FEC">
        <w:rPr>
          <w:rFonts w:ascii="Verdana" w:hAnsi="Verdana"/>
          <w:sz w:val="20"/>
          <w:szCs w:val="20"/>
        </w:rPr>
        <w:t xml:space="preserve"> y publicidad orientada por grandes cifras</w:t>
      </w:r>
      <w:r w:rsidR="00B37438" w:rsidRPr="00486FEC">
        <w:rPr>
          <w:rFonts w:ascii="Verdana" w:hAnsi="Verdana"/>
          <w:sz w:val="20"/>
          <w:szCs w:val="20"/>
        </w:rPr>
        <w:t xml:space="preserve"> o </w:t>
      </w:r>
      <w:r w:rsidR="00B37438" w:rsidRPr="00486FEC">
        <w:rPr>
          <w:rFonts w:ascii="Verdana" w:hAnsi="Verdana"/>
          <w:i/>
          <w:sz w:val="20"/>
          <w:szCs w:val="20"/>
        </w:rPr>
        <w:t>big data</w:t>
      </w:r>
      <w:r w:rsidR="00CB3624" w:rsidRPr="00486FEC">
        <w:rPr>
          <w:rFonts w:ascii="Verdana" w:hAnsi="Verdana"/>
          <w:sz w:val="20"/>
          <w:szCs w:val="20"/>
        </w:rPr>
        <w:t>.</w:t>
      </w:r>
      <w:r w:rsidR="00220896" w:rsidRPr="00486FEC">
        <w:rPr>
          <w:rFonts w:ascii="Verdana" w:hAnsi="Verdana"/>
          <w:sz w:val="20"/>
          <w:szCs w:val="20"/>
        </w:rPr>
        <w:t xml:space="preserve"> </w:t>
      </w:r>
      <w:r w:rsidR="009D6FD1" w:rsidRPr="00486FEC">
        <w:rPr>
          <w:rFonts w:ascii="Verdana" w:hAnsi="Verdana"/>
          <w:sz w:val="20"/>
          <w:szCs w:val="20"/>
        </w:rPr>
        <w:t>Es obvio que con esto se complica la ponderación de valores, porque entra</w:t>
      </w:r>
      <w:r w:rsidR="00BD62FB" w:rsidRPr="00486FEC">
        <w:rPr>
          <w:rFonts w:ascii="Verdana" w:hAnsi="Verdana"/>
          <w:sz w:val="20"/>
          <w:szCs w:val="20"/>
        </w:rPr>
        <w:t xml:space="preserve"> también </w:t>
      </w:r>
      <w:r w:rsidR="009D6FD1" w:rsidRPr="00486FEC">
        <w:rPr>
          <w:rFonts w:ascii="Verdana" w:hAnsi="Verdana"/>
          <w:sz w:val="20"/>
          <w:szCs w:val="20"/>
        </w:rPr>
        <w:t xml:space="preserve">en juego </w:t>
      </w:r>
      <w:r w:rsidR="00BD62FB" w:rsidRPr="00486FEC">
        <w:rPr>
          <w:rFonts w:ascii="Verdana" w:hAnsi="Verdana"/>
          <w:sz w:val="20"/>
          <w:szCs w:val="20"/>
        </w:rPr>
        <w:t xml:space="preserve">otro valor, que es la </w:t>
      </w:r>
      <w:r w:rsidR="009D6FD1" w:rsidRPr="00486FEC">
        <w:rPr>
          <w:rFonts w:ascii="Verdana" w:hAnsi="Verdana"/>
          <w:sz w:val="20"/>
          <w:szCs w:val="20"/>
        </w:rPr>
        <w:t>necesidad de preservar la democracia y el Estado de derecho</w:t>
      </w:r>
      <w:r w:rsidR="00BD62FB" w:rsidRPr="00486FEC">
        <w:rPr>
          <w:rFonts w:ascii="Verdana" w:hAnsi="Verdana"/>
          <w:sz w:val="20"/>
          <w:szCs w:val="20"/>
        </w:rPr>
        <w:t xml:space="preserve">, frente a creaciones de realidad total </w:t>
      </w:r>
      <w:r w:rsidR="002B060B" w:rsidRPr="00486FEC">
        <w:rPr>
          <w:rFonts w:ascii="Verdana" w:hAnsi="Verdana"/>
          <w:sz w:val="20"/>
          <w:szCs w:val="20"/>
        </w:rPr>
        <w:t xml:space="preserve">que se estructuran para incentivar </w:t>
      </w:r>
      <w:r w:rsidR="00BD62FB" w:rsidRPr="00486FEC">
        <w:rPr>
          <w:rFonts w:ascii="Verdana" w:hAnsi="Verdana"/>
          <w:sz w:val="20"/>
          <w:szCs w:val="20"/>
        </w:rPr>
        <w:t xml:space="preserve">golpes de </w:t>
      </w:r>
      <w:r w:rsidR="002B060B" w:rsidRPr="00486FEC">
        <w:rPr>
          <w:rFonts w:ascii="Verdana" w:hAnsi="Verdana"/>
          <w:sz w:val="20"/>
          <w:szCs w:val="20"/>
        </w:rPr>
        <w:t>E</w:t>
      </w:r>
      <w:r w:rsidR="00BD62FB" w:rsidRPr="00486FEC">
        <w:rPr>
          <w:rFonts w:ascii="Verdana" w:hAnsi="Verdana"/>
          <w:sz w:val="20"/>
          <w:szCs w:val="20"/>
        </w:rPr>
        <w:t xml:space="preserve">stado u otros </w:t>
      </w:r>
      <w:r w:rsidR="00BD62FB" w:rsidRPr="00486FEC">
        <w:rPr>
          <w:rFonts w:ascii="Verdana" w:hAnsi="Verdana"/>
          <w:i/>
          <w:sz w:val="20"/>
          <w:szCs w:val="20"/>
        </w:rPr>
        <w:t>destituyentes</w:t>
      </w:r>
      <w:r w:rsidR="00BD62FB" w:rsidRPr="00486FEC">
        <w:rPr>
          <w:rFonts w:ascii="Verdana" w:hAnsi="Verdana"/>
          <w:sz w:val="20"/>
          <w:szCs w:val="20"/>
        </w:rPr>
        <w:t xml:space="preserve"> menos </w:t>
      </w:r>
      <w:r w:rsidR="00F51752" w:rsidRPr="00486FEC">
        <w:rPr>
          <w:rFonts w:ascii="Verdana" w:hAnsi="Verdana"/>
          <w:sz w:val="20"/>
          <w:szCs w:val="20"/>
        </w:rPr>
        <w:t>burdos,</w:t>
      </w:r>
      <w:r w:rsidR="00EA2EC8" w:rsidRPr="00486FEC">
        <w:rPr>
          <w:rFonts w:ascii="Verdana" w:hAnsi="Verdana"/>
          <w:sz w:val="20"/>
          <w:szCs w:val="20"/>
        </w:rPr>
        <w:t xml:space="preserve"> pero igualmente eficaces.</w:t>
      </w:r>
    </w:p>
    <w:p w14:paraId="2FECDBC2" w14:textId="187A7160"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4B6E70EE" w14:textId="69DC6665" w:rsidR="00EA2EC8" w:rsidRDefault="002B060B"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Tampoco cabe pecar de ingenuidad y pasar por a</w:t>
      </w:r>
      <w:r w:rsidR="00F51752" w:rsidRPr="00486FEC">
        <w:rPr>
          <w:rFonts w:ascii="Verdana" w:hAnsi="Verdana"/>
          <w:sz w:val="20"/>
          <w:szCs w:val="20"/>
        </w:rPr>
        <w:t>l</w:t>
      </w:r>
      <w:r w:rsidRPr="00486FEC">
        <w:rPr>
          <w:rFonts w:ascii="Verdana" w:hAnsi="Verdana"/>
          <w:sz w:val="20"/>
          <w:szCs w:val="20"/>
        </w:rPr>
        <w:t xml:space="preserve">to que en esas desestabilizaciones institucionales operan fuertes intereses económicos, pues de lo contrario creeríamos estar flotando en un bucólico lago de aguas mansas cuando en realidad nos están </w:t>
      </w:r>
      <w:r w:rsidR="001E4937" w:rsidRPr="00486FEC">
        <w:rPr>
          <w:rFonts w:ascii="Verdana" w:hAnsi="Verdana"/>
          <w:sz w:val="20"/>
          <w:szCs w:val="20"/>
        </w:rPr>
        <w:t xml:space="preserve">azotando y revolcando </w:t>
      </w:r>
      <w:r w:rsidRPr="00486FEC">
        <w:rPr>
          <w:rFonts w:ascii="Verdana" w:hAnsi="Verdana"/>
          <w:sz w:val="20"/>
          <w:szCs w:val="20"/>
        </w:rPr>
        <w:t xml:space="preserve">las </w:t>
      </w:r>
      <w:r w:rsidR="001E4937" w:rsidRPr="00486FEC">
        <w:rPr>
          <w:rFonts w:ascii="Verdana" w:hAnsi="Verdana"/>
          <w:sz w:val="20"/>
          <w:szCs w:val="20"/>
        </w:rPr>
        <w:t xml:space="preserve">impetuosas </w:t>
      </w:r>
      <w:r w:rsidRPr="00486FEC">
        <w:rPr>
          <w:rFonts w:ascii="Verdana" w:hAnsi="Verdana"/>
          <w:sz w:val="20"/>
          <w:szCs w:val="20"/>
        </w:rPr>
        <w:t>olas de descarnadas fuerzas que disputan mercados o ventajas.</w:t>
      </w:r>
    </w:p>
    <w:p w14:paraId="47511638" w14:textId="0DCB875E"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66EF3CEA" w14:textId="77777777" w:rsidR="00DE7F14" w:rsidRPr="00486FEC" w:rsidRDefault="00DE7F14"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Si bien en estas condiciones la necesaria ponderación de</w:t>
      </w:r>
      <w:r w:rsidR="00EF46B8" w:rsidRPr="00486FEC">
        <w:rPr>
          <w:rFonts w:ascii="Verdana" w:hAnsi="Verdana"/>
          <w:sz w:val="20"/>
          <w:szCs w:val="20"/>
        </w:rPr>
        <w:t xml:space="preserve"> valores se dificulta</w:t>
      </w:r>
      <w:r w:rsidRPr="00486FEC">
        <w:rPr>
          <w:rFonts w:ascii="Verdana" w:hAnsi="Verdana"/>
          <w:sz w:val="20"/>
          <w:szCs w:val="20"/>
        </w:rPr>
        <w:t xml:space="preserve"> enormemente, no creo que ella incida demasiado en el presente caso, pues</w:t>
      </w:r>
      <w:r w:rsidR="00EF46B8" w:rsidRPr="00486FEC">
        <w:rPr>
          <w:rFonts w:ascii="Verdana" w:hAnsi="Verdana"/>
          <w:sz w:val="20"/>
          <w:szCs w:val="20"/>
        </w:rPr>
        <w:t xml:space="preserve"> a diferencia de la altamente respetable opinión de la mayoría, estimo que la ponderación de valores</w:t>
      </w:r>
      <w:r w:rsidRPr="00486FEC">
        <w:rPr>
          <w:rFonts w:ascii="Verdana" w:hAnsi="Verdana"/>
          <w:sz w:val="20"/>
          <w:szCs w:val="20"/>
        </w:rPr>
        <w:t xml:space="preserve"> resulta en este supuesto relativamente sencilla.</w:t>
      </w:r>
    </w:p>
    <w:p w14:paraId="0300D0C7" w14:textId="77777777" w:rsidR="00EA2EC8" w:rsidRPr="00486FEC" w:rsidRDefault="00DE7F14" w:rsidP="00486FEC">
      <w:pPr>
        <w:pStyle w:val="Prrafodelista"/>
        <w:spacing w:after="0" w:line="240" w:lineRule="auto"/>
        <w:ind w:left="0"/>
        <w:contextualSpacing w:val="0"/>
        <w:jc w:val="both"/>
        <w:rPr>
          <w:rFonts w:ascii="Verdana" w:hAnsi="Verdana"/>
          <w:sz w:val="20"/>
          <w:szCs w:val="20"/>
        </w:rPr>
      </w:pPr>
      <w:r w:rsidRPr="00486FEC">
        <w:rPr>
          <w:rFonts w:ascii="Verdana" w:hAnsi="Verdana"/>
          <w:sz w:val="20"/>
          <w:szCs w:val="20"/>
        </w:rPr>
        <w:t xml:space="preserve"> </w:t>
      </w:r>
    </w:p>
    <w:p w14:paraId="515607C2" w14:textId="77777777" w:rsidR="00EA2EC8" w:rsidRPr="00486FEC" w:rsidRDefault="008B7F83" w:rsidP="00486FEC">
      <w:pPr>
        <w:pStyle w:val="Prrafodelista"/>
        <w:spacing w:after="0" w:line="240" w:lineRule="auto"/>
        <w:ind w:left="709"/>
        <w:contextualSpacing w:val="0"/>
        <w:jc w:val="both"/>
        <w:rPr>
          <w:rFonts w:ascii="Verdana" w:hAnsi="Verdana"/>
          <w:b/>
          <w:sz w:val="20"/>
          <w:szCs w:val="20"/>
        </w:rPr>
      </w:pPr>
      <w:r w:rsidRPr="00486FEC">
        <w:rPr>
          <w:rFonts w:ascii="Verdana" w:hAnsi="Verdana"/>
          <w:b/>
          <w:sz w:val="20"/>
          <w:szCs w:val="20"/>
        </w:rPr>
        <w:t>IV.2.</w:t>
      </w:r>
      <w:r w:rsidR="002B060B" w:rsidRPr="00486FEC">
        <w:rPr>
          <w:rFonts w:ascii="Verdana" w:hAnsi="Verdana"/>
          <w:b/>
          <w:sz w:val="20"/>
          <w:szCs w:val="20"/>
        </w:rPr>
        <w:t>c</w:t>
      </w:r>
      <w:r w:rsidRPr="00486FEC">
        <w:rPr>
          <w:rFonts w:ascii="Verdana" w:hAnsi="Verdana"/>
          <w:b/>
          <w:sz w:val="20"/>
          <w:szCs w:val="20"/>
        </w:rPr>
        <w:t>. La ponderación de valores en el caso</w:t>
      </w:r>
    </w:p>
    <w:p w14:paraId="6C74706C" w14:textId="77777777" w:rsidR="005541BC" w:rsidRPr="00486FEC" w:rsidRDefault="005541BC" w:rsidP="00486FEC">
      <w:pPr>
        <w:pStyle w:val="Prrafodelista"/>
        <w:spacing w:after="0" w:line="240" w:lineRule="auto"/>
        <w:ind w:left="709"/>
        <w:contextualSpacing w:val="0"/>
        <w:jc w:val="both"/>
        <w:rPr>
          <w:rFonts w:ascii="Verdana" w:hAnsi="Verdana"/>
          <w:b/>
          <w:sz w:val="20"/>
          <w:szCs w:val="20"/>
        </w:rPr>
      </w:pPr>
    </w:p>
    <w:p w14:paraId="4A09D300" w14:textId="233FDC37" w:rsidR="00EA2EC8" w:rsidRDefault="004A3D4C"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Centrándome ahora e</w:t>
      </w:r>
      <w:r w:rsidR="00DC2B8E" w:rsidRPr="00486FEC">
        <w:rPr>
          <w:rFonts w:ascii="Verdana" w:hAnsi="Verdana"/>
          <w:sz w:val="20"/>
          <w:szCs w:val="20"/>
        </w:rPr>
        <w:t xml:space="preserve">n el </w:t>
      </w:r>
      <w:r w:rsidR="00BC3BA4" w:rsidRPr="00486FEC">
        <w:rPr>
          <w:rFonts w:ascii="Verdana" w:hAnsi="Verdana"/>
          <w:sz w:val="20"/>
          <w:szCs w:val="20"/>
        </w:rPr>
        <w:t>problema que plantea</w:t>
      </w:r>
      <w:r w:rsidR="00BD62FB" w:rsidRPr="00486FEC">
        <w:rPr>
          <w:rFonts w:ascii="Verdana" w:hAnsi="Verdana"/>
          <w:sz w:val="20"/>
          <w:szCs w:val="20"/>
        </w:rPr>
        <w:t xml:space="preserve"> en concreto el</w:t>
      </w:r>
      <w:r w:rsidR="00BC3BA4" w:rsidRPr="00486FEC">
        <w:rPr>
          <w:rFonts w:ascii="Verdana" w:hAnsi="Verdana"/>
          <w:sz w:val="20"/>
          <w:szCs w:val="20"/>
        </w:rPr>
        <w:t xml:space="preserve"> </w:t>
      </w:r>
      <w:r w:rsidR="00EF46B8" w:rsidRPr="00486FEC">
        <w:rPr>
          <w:rFonts w:ascii="Verdana" w:hAnsi="Verdana"/>
          <w:sz w:val="20"/>
          <w:szCs w:val="20"/>
        </w:rPr>
        <w:t xml:space="preserve">escrito </w:t>
      </w:r>
      <w:r w:rsidR="00DC2B8E" w:rsidRPr="00486FEC">
        <w:rPr>
          <w:rFonts w:ascii="Verdana" w:hAnsi="Verdana"/>
          <w:sz w:val="20"/>
          <w:szCs w:val="20"/>
        </w:rPr>
        <w:t>por el que se procesó a</w:t>
      </w:r>
      <w:r w:rsidR="00BD62FB" w:rsidRPr="00486FEC">
        <w:rPr>
          <w:rFonts w:ascii="Verdana" w:hAnsi="Verdana"/>
          <w:sz w:val="20"/>
          <w:szCs w:val="20"/>
        </w:rPr>
        <w:t xml:space="preserve"> las supuestas víctimas</w:t>
      </w:r>
      <w:r w:rsidR="00DC2B8E" w:rsidRPr="00486FEC">
        <w:rPr>
          <w:rFonts w:ascii="Verdana" w:hAnsi="Verdana"/>
          <w:sz w:val="20"/>
          <w:szCs w:val="20"/>
        </w:rPr>
        <w:t xml:space="preserve">, lo primero que salta a la vista es que no </w:t>
      </w:r>
      <w:r w:rsidR="005B3BC9" w:rsidRPr="00486FEC">
        <w:rPr>
          <w:rFonts w:ascii="Verdana" w:hAnsi="Verdana"/>
          <w:sz w:val="20"/>
          <w:szCs w:val="20"/>
        </w:rPr>
        <w:t>está referido a un acto de administración cualquiera</w:t>
      </w:r>
      <w:r w:rsidR="00DC2B8E" w:rsidRPr="00486FEC">
        <w:rPr>
          <w:rFonts w:ascii="Verdana" w:hAnsi="Verdana"/>
          <w:sz w:val="20"/>
          <w:szCs w:val="20"/>
        </w:rPr>
        <w:t xml:space="preserve"> o más o menos común y corriente, como podría ser una licitación o la concesión de algún beneficio </w:t>
      </w:r>
      <w:r w:rsidR="00CB3624" w:rsidRPr="00486FEC">
        <w:rPr>
          <w:rFonts w:ascii="Verdana" w:hAnsi="Verdana"/>
          <w:sz w:val="20"/>
          <w:szCs w:val="20"/>
        </w:rPr>
        <w:t xml:space="preserve">o preferencia </w:t>
      </w:r>
      <w:r w:rsidR="00BD62FB" w:rsidRPr="00486FEC">
        <w:rPr>
          <w:rFonts w:ascii="Verdana" w:hAnsi="Verdana"/>
          <w:sz w:val="20"/>
          <w:szCs w:val="20"/>
        </w:rPr>
        <w:t xml:space="preserve">hacia </w:t>
      </w:r>
      <w:r w:rsidR="00DC2B8E" w:rsidRPr="00486FEC">
        <w:rPr>
          <w:rFonts w:ascii="Verdana" w:hAnsi="Verdana"/>
          <w:sz w:val="20"/>
          <w:szCs w:val="20"/>
        </w:rPr>
        <w:t xml:space="preserve">alguien, </w:t>
      </w:r>
      <w:r w:rsidR="005B3BC9" w:rsidRPr="00486FEC">
        <w:rPr>
          <w:rFonts w:ascii="Verdana" w:hAnsi="Verdana"/>
          <w:sz w:val="20"/>
          <w:szCs w:val="20"/>
        </w:rPr>
        <w:t xml:space="preserve">sino a la intervención del titular del poder ejecutivo </w:t>
      </w:r>
      <w:r w:rsidR="00DC2B8E" w:rsidRPr="00486FEC">
        <w:rPr>
          <w:rFonts w:ascii="Verdana" w:hAnsi="Verdana"/>
          <w:sz w:val="20"/>
          <w:szCs w:val="20"/>
        </w:rPr>
        <w:t xml:space="preserve">nada menos que en </w:t>
      </w:r>
      <w:r w:rsidR="005B3BC9" w:rsidRPr="00486FEC">
        <w:rPr>
          <w:rFonts w:ascii="Verdana" w:hAnsi="Verdana"/>
          <w:sz w:val="20"/>
          <w:szCs w:val="20"/>
        </w:rPr>
        <w:t xml:space="preserve">una tentativa de golpe de Estado que derivó en </w:t>
      </w:r>
      <w:r w:rsidR="001E4937" w:rsidRPr="00486FEC">
        <w:rPr>
          <w:rFonts w:ascii="Verdana" w:hAnsi="Verdana"/>
          <w:sz w:val="20"/>
          <w:szCs w:val="20"/>
        </w:rPr>
        <w:t>su</w:t>
      </w:r>
      <w:r w:rsidR="00BC3BA4" w:rsidRPr="00486FEC">
        <w:rPr>
          <w:rFonts w:ascii="Verdana" w:hAnsi="Verdana"/>
          <w:sz w:val="20"/>
          <w:szCs w:val="20"/>
        </w:rPr>
        <w:t xml:space="preserve"> </w:t>
      </w:r>
      <w:r w:rsidR="005B3BC9" w:rsidRPr="00486FEC">
        <w:rPr>
          <w:rFonts w:ascii="Verdana" w:hAnsi="Verdana"/>
          <w:sz w:val="20"/>
          <w:szCs w:val="20"/>
        </w:rPr>
        <w:t>secu</w:t>
      </w:r>
      <w:r w:rsidR="006B148C" w:rsidRPr="00486FEC">
        <w:rPr>
          <w:rFonts w:ascii="Verdana" w:hAnsi="Verdana"/>
          <w:sz w:val="20"/>
          <w:szCs w:val="20"/>
        </w:rPr>
        <w:t xml:space="preserve">estro o privación de libertad </w:t>
      </w:r>
      <w:r w:rsidR="005B3BC9" w:rsidRPr="00486FEC">
        <w:rPr>
          <w:rFonts w:ascii="Verdana" w:hAnsi="Verdana"/>
          <w:sz w:val="20"/>
          <w:szCs w:val="20"/>
        </w:rPr>
        <w:t xml:space="preserve">por parte de los policías </w:t>
      </w:r>
      <w:r w:rsidR="00BC3BA4" w:rsidRPr="00486FEC">
        <w:rPr>
          <w:rFonts w:ascii="Verdana" w:hAnsi="Verdana"/>
          <w:sz w:val="20"/>
          <w:szCs w:val="20"/>
        </w:rPr>
        <w:t xml:space="preserve">armados </w:t>
      </w:r>
      <w:r w:rsidR="005B3BC9" w:rsidRPr="00486FEC">
        <w:rPr>
          <w:rFonts w:ascii="Verdana" w:hAnsi="Verdana"/>
          <w:sz w:val="20"/>
          <w:szCs w:val="20"/>
        </w:rPr>
        <w:t>sublevados</w:t>
      </w:r>
      <w:r w:rsidR="00BC3BA4" w:rsidRPr="00486FEC">
        <w:rPr>
          <w:rFonts w:ascii="Verdana" w:hAnsi="Verdana"/>
          <w:sz w:val="20"/>
          <w:szCs w:val="20"/>
        </w:rPr>
        <w:t xml:space="preserve"> y</w:t>
      </w:r>
      <w:r w:rsidR="006B148C" w:rsidRPr="00486FEC">
        <w:rPr>
          <w:rFonts w:ascii="Verdana" w:hAnsi="Verdana"/>
          <w:sz w:val="20"/>
          <w:szCs w:val="20"/>
        </w:rPr>
        <w:t xml:space="preserve"> en cuyo transcurso hubo víctimas fatales</w:t>
      </w:r>
      <w:r w:rsidR="00EA2EC8" w:rsidRPr="00486FEC">
        <w:rPr>
          <w:rFonts w:ascii="Verdana" w:hAnsi="Verdana"/>
          <w:sz w:val="20"/>
          <w:szCs w:val="20"/>
        </w:rPr>
        <w:t>.</w:t>
      </w:r>
    </w:p>
    <w:p w14:paraId="63EFF07C"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75F072E6" w14:textId="1B96FD5C" w:rsidR="00EA2EC8" w:rsidRDefault="00EF46B8"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Esta Corte ha discutido finamente y c</w:t>
      </w:r>
      <w:r w:rsidR="006B148C" w:rsidRPr="00486FEC">
        <w:rPr>
          <w:rFonts w:ascii="Verdana" w:hAnsi="Verdana"/>
          <w:sz w:val="20"/>
          <w:szCs w:val="20"/>
        </w:rPr>
        <w:t>on notables y sabios votos de mayoría y disidentes</w:t>
      </w:r>
      <w:r w:rsidRPr="00486FEC">
        <w:rPr>
          <w:rFonts w:ascii="Verdana" w:hAnsi="Verdana"/>
          <w:sz w:val="20"/>
          <w:szCs w:val="20"/>
        </w:rPr>
        <w:t xml:space="preserve"> en casos como </w:t>
      </w:r>
      <w:r w:rsidRPr="00486FEC">
        <w:rPr>
          <w:rFonts w:ascii="Verdana" w:hAnsi="Verdana"/>
          <w:i/>
          <w:sz w:val="20"/>
          <w:szCs w:val="20"/>
        </w:rPr>
        <w:t>Mémoli Vs. Argentina</w:t>
      </w:r>
      <w:r w:rsidR="00D552C9" w:rsidRPr="00486FEC">
        <w:rPr>
          <w:rStyle w:val="Refdenotaalpie"/>
          <w:rFonts w:ascii="Verdana" w:hAnsi="Verdana"/>
          <w:i/>
          <w:sz w:val="20"/>
          <w:szCs w:val="20"/>
        </w:rPr>
        <w:footnoteReference w:id="34"/>
      </w:r>
      <w:r w:rsidRPr="00486FEC">
        <w:rPr>
          <w:rFonts w:ascii="Verdana" w:hAnsi="Verdana"/>
          <w:sz w:val="20"/>
          <w:szCs w:val="20"/>
        </w:rPr>
        <w:t xml:space="preserve">, donde se discutía el interés público en la </w:t>
      </w:r>
      <w:r w:rsidR="006B148C" w:rsidRPr="00486FEC">
        <w:rPr>
          <w:rFonts w:ascii="Verdana" w:hAnsi="Verdana"/>
          <w:sz w:val="20"/>
          <w:szCs w:val="20"/>
        </w:rPr>
        <w:t xml:space="preserve">correcta </w:t>
      </w:r>
      <w:r w:rsidRPr="00486FEC">
        <w:rPr>
          <w:rFonts w:ascii="Verdana" w:hAnsi="Verdana"/>
          <w:sz w:val="20"/>
          <w:szCs w:val="20"/>
        </w:rPr>
        <w:t xml:space="preserve">asignación de </w:t>
      </w:r>
      <w:r w:rsidR="006B148C" w:rsidRPr="00486FEC">
        <w:rPr>
          <w:rFonts w:ascii="Verdana" w:hAnsi="Verdana"/>
          <w:sz w:val="20"/>
          <w:szCs w:val="20"/>
        </w:rPr>
        <w:t xml:space="preserve">los </w:t>
      </w:r>
      <w:r w:rsidRPr="00486FEC">
        <w:rPr>
          <w:rFonts w:ascii="Verdana" w:hAnsi="Verdana"/>
          <w:sz w:val="20"/>
          <w:szCs w:val="20"/>
        </w:rPr>
        <w:t>nichos en un cementerio, pero el mero enunciado fáctico del hech</w:t>
      </w:r>
      <w:r w:rsidR="006B148C" w:rsidRPr="00486FEC">
        <w:rPr>
          <w:rFonts w:ascii="Verdana" w:hAnsi="Verdana"/>
          <w:sz w:val="20"/>
          <w:szCs w:val="20"/>
        </w:rPr>
        <w:t>o que dio lugar al escrito</w:t>
      </w:r>
      <w:r w:rsidRPr="00486FEC">
        <w:rPr>
          <w:rFonts w:ascii="Verdana" w:hAnsi="Verdana"/>
          <w:sz w:val="20"/>
          <w:szCs w:val="20"/>
        </w:rPr>
        <w:t xml:space="preserve"> que nos ocupa ahora, muestra que se está frente a un</w:t>
      </w:r>
      <w:r w:rsidR="006B148C" w:rsidRPr="00486FEC">
        <w:rPr>
          <w:rFonts w:ascii="Verdana" w:hAnsi="Verdana"/>
          <w:sz w:val="20"/>
          <w:szCs w:val="20"/>
        </w:rPr>
        <w:t xml:space="preserve"> acontecimiento y</w:t>
      </w:r>
      <w:r w:rsidRPr="00486FEC">
        <w:rPr>
          <w:rFonts w:ascii="Verdana" w:hAnsi="Verdana"/>
          <w:sz w:val="20"/>
          <w:szCs w:val="20"/>
        </w:rPr>
        <w:t xml:space="preserve"> a un contexto que ni lejanamente se puede comparar con la relevanci</w:t>
      </w:r>
      <w:r w:rsidR="00EA2EC8" w:rsidRPr="00486FEC">
        <w:rPr>
          <w:rFonts w:ascii="Verdana" w:hAnsi="Verdana"/>
          <w:sz w:val="20"/>
          <w:szCs w:val="20"/>
        </w:rPr>
        <w:t>a pública de ese y otros casos.</w:t>
      </w:r>
    </w:p>
    <w:p w14:paraId="6C955407" w14:textId="77777777" w:rsidR="00486FEC" w:rsidRPr="00486FEC" w:rsidRDefault="00486FEC" w:rsidP="00486FEC">
      <w:pPr>
        <w:pStyle w:val="Prrafodelista"/>
        <w:rPr>
          <w:rFonts w:ascii="Verdana" w:hAnsi="Verdana"/>
          <w:sz w:val="20"/>
          <w:szCs w:val="20"/>
        </w:rPr>
      </w:pPr>
    </w:p>
    <w:p w14:paraId="0A82612E"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2474E1D5" w14:textId="0F186698" w:rsidR="00EA2EC8" w:rsidRDefault="005B3BC9"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Más allá de si en realidad se atentó o no contra la vida del presidente constitucional</w:t>
      </w:r>
      <w:r w:rsidR="00DC2B8E" w:rsidRPr="00486FEC">
        <w:rPr>
          <w:rFonts w:ascii="Verdana" w:hAnsi="Verdana"/>
          <w:sz w:val="20"/>
          <w:szCs w:val="20"/>
        </w:rPr>
        <w:t xml:space="preserve"> en esas circunstancias</w:t>
      </w:r>
      <w:r w:rsidRPr="00486FEC">
        <w:rPr>
          <w:rFonts w:ascii="Verdana" w:hAnsi="Verdana"/>
          <w:sz w:val="20"/>
          <w:szCs w:val="20"/>
        </w:rPr>
        <w:t>, no cabe duda que corrió peligro</w:t>
      </w:r>
      <w:r w:rsidR="00BD62FB" w:rsidRPr="00486FEC">
        <w:rPr>
          <w:rFonts w:ascii="Verdana" w:hAnsi="Verdana"/>
          <w:sz w:val="20"/>
          <w:szCs w:val="20"/>
        </w:rPr>
        <w:t>,</w:t>
      </w:r>
      <w:r w:rsidRPr="00486FEC">
        <w:rPr>
          <w:rFonts w:ascii="Verdana" w:hAnsi="Verdana"/>
          <w:sz w:val="20"/>
          <w:szCs w:val="20"/>
        </w:rPr>
        <w:t xml:space="preserve"> pues hubo disparos y muertos</w:t>
      </w:r>
      <w:r w:rsidR="00DC2B8E" w:rsidRPr="00486FEC">
        <w:rPr>
          <w:rFonts w:ascii="Verdana" w:hAnsi="Verdana"/>
          <w:sz w:val="20"/>
          <w:szCs w:val="20"/>
        </w:rPr>
        <w:t xml:space="preserve">, en una situación confusa en la que ninguna persona sensata se hubiese considerado segura y </w:t>
      </w:r>
      <w:r w:rsidR="00BC3BA4" w:rsidRPr="00486FEC">
        <w:rPr>
          <w:rFonts w:ascii="Verdana" w:hAnsi="Verdana"/>
          <w:sz w:val="20"/>
          <w:szCs w:val="20"/>
        </w:rPr>
        <w:t xml:space="preserve">mucho menos </w:t>
      </w:r>
      <w:r w:rsidR="00DC2B8E" w:rsidRPr="00486FEC">
        <w:rPr>
          <w:rFonts w:ascii="Verdana" w:hAnsi="Verdana"/>
          <w:sz w:val="20"/>
          <w:szCs w:val="20"/>
        </w:rPr>
        <w:t>feliz de haber to</w:t>
      </w:r>
      <w:r w:rsidR="00EA2EC8" w:rsidRPr="00486FEC">
        <w:rPr>
          <w:rFonts w:ascii="Verdana" w:hAnsi="Verdana"/>
          <w:sz w:val="20"/>
          <w:szCs w:val="20"/>
        </w:rPr>
        <w:t>mado parte.</w:t>
      </w:r>
    </w:p>
    <w:p w14:paraId="36249EE0"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33088105" w14:textId="30D8ED0D" w:rsidR="00EA2EC8" w:rsidRDefault="00137EA6"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Pocas dudas caben de que se trat</w:t>
      </w:r>
      <w:r w:rsidR="00DC2B8E" w:rsidRPr="00486FEC">
        <w:rPr>
          <w:rFonts w:ascii="Verdana" w:hAnsi="Verdana"/>
          <w:sz w:val="20"/>
          <w:szCs w:val="20"/>
        </w:rPr>
        <w:t>ó</w:t>
      </w:r>
      <w:r w:rsidRPr="00486FEC">
        <w:rPr>
          <w:rFonts w:ascii="Verdana" w:hAnsi="Verdana"/>
          <w:sz w:val="20"/>
          <w:szCs w:val="20"/>
        </w:rPr>
        <w:t xml:space="preserve"> de un episodio de muy particular gravedad institucional y de alto riesgo para la integridad personal y la vida del presidente y de otras personas, puesto que </w:t>
      </w:r>
      <w:r w:rsidR="00CB3624" w:rsidRPr="00486FEC">
        <w:rPr>
          <w:rFonts w:ascii="Verdana" w:hAnsi="Verdana"/>
          <w:sz w:val="20"/>
          <w:szCs w:val="20"/>
        </w:rPr>
        <w:t xml:space="preserve">era </w:t>
      </w:r>
      <w:r w:rsidRPr="00486FEC">
        <w:rPr>
          <w:rFonts w:ascii="Verdana" w:hAnsi="Verdana"/>
          <w:sz w:val="20"/>
          <w:szCs w:val="20"/>
        </w:rPr>
        <w:t>una sublevación armada contra la esta</w:t>
      </w:r>
      <w:r w:rsidR="00EA2EC8" w:rsidRPr="00486FEC">
        <w:rPr>
          <w:rFonts w:ascii="Verdana" w:hAnsi="Verdana"/>
          <w:sz w:val="20"/>
          <w:szCs w:val="20"/>
        </w:rPr>
        <w:t>bilidad institucional del país.</w:t>
      </w:r>
    </w:p>
    <w:p w14:paraId="0D0AD3A8" w14:textId="20D42D3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684A7215" w14:textId="407A8471" w:rsidR="002F56F5" w:rsidRDefault="00137EA6"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Observo que</w:t>
      </w:r>
      <w:r w:rsidR="00BC3BA4" w:rsidRPr="00486FEC">
        <w:rPr>
          <w:rFonts w:ascii="Verdana" w:hAnsi="Verdana"/>
          <w:sz w:val="20"/>
          <w:szCs w:val="20"/>
        </w:rPr>
        <w:t>,</w:t>
      </w:r>
      <w:r w:rsidRPr="00486FEC">
        <w:rPr>
          <w:rFonts w:ascii="Verdana" w:hAnsi="Verdana"/>
          <w:sz w:val="20"/>
          <w:szCs w:val="20"/>
        </w:rPr>
        <w:t xml:space="preserve"> en la relación </w:t>
      </w:r>
      <w:r w:rsidR="00DC2B8E" w:rsidRPr="00486FEC">
        <w:rPr>
          <w:rFonts w:ascii="Verdana" w:hAnsi="Verdana"/>
          <w:sz w:val="20"/>
          <w:szCs w:val="20"/>
        </w:rPr>
        <w:t xml:space="preserve">escrita </w:t>
      </w:r>
      <w:r w:rsidRPr="00486FEC">
        <w:rPr>
          <w:rFonts w:ascii="Verdana" w:hAnsi="Verdana"/>
          <w:sz w:val="20"/>
          <w:szCs w:val="20"/>
        </w:rPr>
        <w:t xml:space="preserve">de </w:t>
      </w:r>
      <w:r w:rsidR="00DC2B8E" w:rsidRPr="00486FEC">
        <w:rPr>
          <w:rFonts w:ascii="Verdana" w:hAnsi="Verdana"/>
          <w:sz w:val="20"/>
          <w:szCs w:val="20"/>
        </w:rPr>
        <w:t xml:space="preserve">los </w:t>
      </w:r>
      <w:r w:rsidRPr="00486FEC">
        <w:rPr>
          <w:rFonts w:ascii="Verdana" w:hAnsi="Verdana"/>
          <w:sz w:val="20"/>
          <w:szCs w:val="20"/>
        </w:rPr>
        <w:t>hechos</w:t>
      </w:r>
      <w:r w:rsidR="00BC3BA4" w:rsidRPr="00486FEC">
        <w:rPr>
          <w:rFonts w:ascii="Verdana" w:hAnsi="Verdana"/>
          <w:sz w:val="20"/>
          <w:szCs w:val="20"/>
        </w:rPr>
        <w:t>,</w:t>
      </w:r>
      <w:r w:rsidRPr="00486FEC">
        <w:rPr>
          <w:rFonts w:ascii="Verdana" w:hAnsi="Verdana"/>
          <w:sz w:val="20"/>
          <w:szCs w:val="20"/>
        </w:rPr>
        <w:t xml:space="preserve"> </w:t>
      </w:r>
      <w:r w:rsidR="00DC2B8E" w:rsidRPr="00486FEC">
        <w:rPr>
          <w:rFonts w:ascii="Verdana" w:hAnsi="Verdana"/>
          <w:sz w:val="20"/>
          <w:szCs w:val="20"/>
        </w:rPr>
        <w:t xml:space="preserve">la Comisión </w:t>
      </w:r>
      <w:r w:rsidRPr="00486FEC">
        <w:rPr>
          <w:rFonts w:ascii="Verdana" w:hAnsi="Verdana"/>
          <w:sz w:val="20"/>
          <w:szCs w:val="20"/>
        </w:rPr>
        <w:t>subestim</w:t>
      </w:r>
      <w:r w:rsidR="00DC2B8E" w:rsidRPr="00486FEC">
        <w:rPr>
          <w:rFonts w:ascii="Verdana" w:hAnsi="Verdana"/>
          <w:sz w:val="20"/>
          <w:szCs w:val="20"/>
        </w:rPr>
        <w:t>ó</w:t>
      </w:r>
      <w:r w:rsidRPr="00486FEC">
        <w:rPr>
          <w:rFonts w:ascii="Verdana" w:hAnsi="Verdana"/>
          <w:sz w:val="20"/>
          <w:szCs w:val="20"/>
        </w:rPr>
        <w:t xml:space="preserve"> el episodio </w:t>
      </w:r>
      <w:r w:rsidR="00CB3624" w:rsidRPr="00486FEC">
        <w:rPr>
          <w:rFonts w:ascii="Verdana" w:hAnsi="Verdana"/>
          <w:sz w:val="20"/>
          <w:szCs w:val="20"/>
        </w:rPr>
        <w:t xml:space="preserve">como </w:t>
      </w:r>
      <w:r w:rsidRPr="00486FEC">
        <w:rPr>
          <w:rFonts w:ascii="Verdana" w:hAnsi="Verdana"/>
          <w:sz w:val="20"/>
          <w:szCs w:val="20"/>
        </w:rPr>
        <w:t xml:space="preserve">el </w:t>
      </w:r>
      <w:r w:rsidRPr="00486FEC">
        <w:rPr>
          <w:rFonts w:ascii="Verdana" w:hAnsi="Verdana"/>
          <w:i/>
          <w:sz w:val="20"/>
          <w:szCs w:val="20"/>
        </w:rPr>
        <w:t xml:space="preserve">autoproclamado golpe de Estado, </w:t>
      </w:r>
      <w:r w:rsidRPr="00486FEC">
        <w:rPr>
          <w:rFonts w:ascii="Verdana" w:hAnsi="Verdana"/>
          <w:sz w:val="20"/>
          <w:szCs w:val="20"/>
        </w:rPr>
        <w:t>aunque en la nota de pie de página no puede soslayar que se trató de una verdadera tentativa de golpe de Estado, reconocida como tal por el Consejo Permanente de la OEA</w:t>
      </w:r>
      <w:r w:rsidR="00BC3BA4" w:rsidRPr="00486FEC">
        <w:rPr>
          <w:rFonts w:ascii="Verdana" w:hAnsi="Verdana"/>
          <w:sz w:val="20"/>
          <w:szCs w:val="20"/>
        </w:rPr>
        <w:t xml:space="preserve">. Aunque no se lo registre en ese escrito, también </w:t>
      </w:r>
      <w:r w:rsidRPr="00486FEC">
        <w:rPr>
          <w:rFonts w:ascii="Verdana" w:hAnsi="Verdana"/>
          <w:sz w:val="20"/>
          <w:szCs w:val="20"/>
        </w:rPr>
        <w:t xml:space="preserve">motivó </w:t>
      </w:r>
      <w:r w:rsidR="00BD62FB" w:rsidRPr="00486FEC">
        <w:rPr>
          <w:rFonts w:ascii="Verdana" w:hAnsi="Verdana"/>
          <w:sz w:val="20"/>
          <w:szCs w:val="20"/>
        </w:rPr>
        <w:t xml:space="preserve">en su momento </w:t>
      </w:r>
      <w:r w:rsidRPr="00486FEC">
        <w:rPr>
          <w:rFonts w:ascii="Verdana" w:hAnsi="Verdana"/>
          <w:sz w:val="20"/>
          <w:szCs w:val="20"/>
        </w:rPr>
        <w:t>notas de la ONU y preocupación de g</w:t>
      </w:r>
      <w:r w:rsidR="002F56F5" w:rsidRPr="00486FEC">
        <w:rPr>
          <w:rFonts w:ascii="Verdana" w:hAnsi="Verdana"/>
          <w:sz w:val="20"/>
          <w:szCs w:val="20"/>
        </w:rPr>
        <w:t>obiernos europeos y americanos.</w:t>
      </w:r>
    </w:p>
    <w:p w14:paraId="3737B180" w14:textId="0E11E061"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0B078498" w14:textId="5585A2E4" w:rsidR="002F56F5" w:rsidRDefault="008B7F83"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w:t>
      </w:r>
      <w:r w:rsidR="00BC3BA4" w:rsidRPr="00486FEC">
        <w:rPr>
          <w:rFonts w:ascii="Verdana" w:hAnsi="Verdana"/>
          <w:sz w:val="20"/>
          <w:szCs w:val="20"/>
        </w:rPr>
        <w:t xml:space="preserve">n </w:t>
      </w:r>
      <w:r w:rsidR="00EF46B8" w:rsidRPr="00486FEC">
        <w:rPr>
          <w:rFonts w:ascii="Verdana" w:hAnsi="Verdana"/>
          <w:sz w:val="20"/>
          <w:szCs w:val="20"/>
        </w:rPr>
        <w:t>su escrito el periodista d</w:t>
      </w:r>
      <w:r w:rsidRPr="00486FEC">
        <w:rPr>
          <w:rFonts w:ascii="Verdana" w:hAnsi="Verdana"/>
          <w:sz w:val="20"/>
          <w:szCs w:val="20"/>
        </w:rPr>
        <w:t>eslegitim</w:t>
      </w:r>
      <w:r w:rsidR="00EF46B8" w:rsidRPr="00486FEC">
        <w:rPr>
          <w:rFonts w:ascii="Verdana" w:hAnsi="Verdana"/>
          <w:sz w:val="20"/>
          <w:szCs w:val="20"/>
        </w:rPr>
        <w:t>ó</w:t>
      </w:r>
      <w:r w:rsidRPr="00486FEC">
        <w:rPr>
          <w:rFonts w:ascii="Verdana" w:hAnsi="Verdana"/>
          <w:sz w:val="20"/>
          <w:szCs w:val="20"/>
        </w:rPr>
        <w:t xml:space="preserve"> </w:t>
      </w:r>
      <w:r w:rsidR="00137EA6" w:rsidRPr="00486FEC">
        <w:rPr>
          <w:rFonts w:ascii="Verdana" w:hAnsi="Verdana"/>
          <w:sz w:val="20"/>
          <w:szCs w:val="20"/>
        </w:rPr>
        <w:t xml:space="preserve">la intervención del poder ejecutivo para detener el golpe, imputándole la comisión de </w:t>
      </w:r>
      <w:r w:rsidRPr="00486FEC">
        <w:rPr>
          <w:rFonts w:ascii="Verdana" w:hAnsi="Verdana"/>
          <w:sz w:val="20"/>
          <w:szCs w:val="20"/>
        </w:rPr>
        <w:t>un delito</w:t>
      </w:r>
      <w:r w:rsidR="00137EA6" w:rsidRPr="00486FEC">
        <w:rPr>
          <w:rFonts w:ascii="Verdana" w:hAnsi="Verdana"/>
          <w:sz w:val="20"/>
          <w:szCs w:val="20"/>
        </w:rPr>
        <w:t xml:space="preserve"> </w:t>
      </w:r>
      <w:r w:rsidR="00C13D6E" w:rsidRPr="00486FEC">
        <w:rPr>
          <w:rFonts w:ascii="Verdana" w:hAnsi="Verdana"/>
          <w:sz w:val="20"/>
          <w:szCs w:val="20"/>
        </w:rPr>
        <w:t>que calificó</w:t>
      </w:r>
      <w:r w:rsidR="00EF46B8" w:rsidRPr="00486FEC">
        <w:rPr>
          <w:rFonts w:ascii="Verdana" w:hAnsi="Verdana"/>
          <w:sz w:val="20"/>
          <w:szCs w:val="20"/>
        </w:rPr>
        <w:t xml:space="preserve"> de </w:t>
      </w:r>
      <w:r w:rsidR="00137EA6" w:rsidRPr="00486FEC">
        <w:rPr>
          <w:rFonts w:ascii="Verdana" w:hAnsi="Verdana"/>
          <w:sz w:val="20"/>
          <w:szCs w:val="20"/>
        </w:rPr>
        <w:t>lesa humanidad</w:t>
      </w:r>
      <w:r w:rsidRPr="00486FEC">
        <w:rPr>
          <w:rFonts w:ascii="Verdana" w:hAnsi="Verdana"/>
          <w:sz w:val="20"/>
          <w:szCs w:val="20"/>
        </w:rPr>
        <w:t xml:space="preserve">, </w:t>
      </w:r>
      <w:r w:rsidR="00137EA6" w:rsidRPr="00486FEC">
        <w:rPr>
          <w:rFonts w:ascii="Verdana" w:hAnsi="Verdana"/>
          <w:sz w:val="20"/>
          <w:szCs w:val="20"/>
        </w:rPr>
        <w:t xml:space="preserve">pero </w:t>
      </w:r>
      <w:r w:rsidRPr="00486FEC">
        <w:rPr>
          <w:rFonts w:ascii="Verdana" w:hAnsi="Verdana"/>
          <w:sz w:val="20"/>
          <w:szCs w:val="20"/>
        </w:rPr>
        <w:t>acerca del cual no ofrece ninguna prueba</w:t>
      </w:r>
      <w:r w:rsidR="002F56F5" w:rsidRPr="00486FEC">
        <w:rPr>
          <w:rFonts w:ascii="Verdana" w:hAnsi="Verdana"/>
          <w:sz w:val="20"/>
          <w:szCs w:val="20"/>
        </w:rPr>
        <w:t>.</w:t>
      </w:r>
    </w:p>
    <w:p w14:paraId="02C6F526" w14:textId="0EFD87E8"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3A768373" w14:textId="01F29F3E" w:rsidR="002F56F5" w:rsidRDefault="00137EA6"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El actual dirigente opositor no era un simple ciudadano, sino el presidente </w:t>
      </w:r>
      <w:r w:rsidR="00BC3BA4" w:rsidRPr="00486FEC">
        <w:rPr>
          <w:rFonts w:ascii="Verdana" w:hAnsi="Verdana"/>
          <w:sz w:val="20"/>
          <w:szCs w:val="20"/>
        </w:rPr>
        <w:t xml:space="preserve">constitucional y democráticamente electo </w:t>
      </w:r>
      <w:r w:rsidRPr="00486FEC">
        <w:rPr>
          <w:rFonts w:ascii="Verdana" w:hAnsi="Verdana"/>
          <w:sz w:val="20"/>
          <w:szCs w:val="20"/>
        </w:rPr>
        <w:t>de la República</w:t>
      </w:r>
      <w:r w:rsidR="00BC3BA4" w:rsidRPr="00486FEC">
        <w:rPr>
          <w:rFonts w:ascii="Verdana" w:hAnsi="Verdana"/>
          <w:sz w:val="20"/>
          <w:szCs w:val="20"/>
        </w:rPr>
        <w:t>,</w:t>
      </w:r>
      <w:r w:rsidRPr="00486FEC">
        <w:rPr>
          <w:rFonts w:ascii="Verdana" w:hAnsi="Verdana"/>
          <w:sz w:val="20"/>
          <w:szCs w:val="20"/>
        </w:rPr>
        <w:t xml:space="preserve"> que intervenía personalmente para desmontar una t</w:t>
      </w:r>
      <w:r w:rsidR="00C13D6E" w:rsidRPr="00486FEC">
        <w:rPr>
          <w:rFonts w:ascii="Verdana" w:hAnsi="Verdana"/>
          <w:sz w:val="20"/>
          <w:szCs w:val="20"/>
        </w:rPr>
        <w:t>entativa de golpe de E</w:t>
      </w:r>
      <w:r w:rsidR="008B7F83" w:rsidRPr="00486FEC">
        <w:rPr>
          <w:rFonts w:ascii="Verdana" w:hAnsi="Verdana"/>
          <w:sz w:val="20"/>
          <w:szCs w:val="20"/>
        </w:rPr>
        <w:t>stado, en cuyo curso se lo priv</w:t>
      </w:r>
      <w:r w:rsidRPr="00486FEC">
        <w:rPr>
          <w:rFonts w:ascii="Verdana" w:hAnsi="Verdana"/>
          <w:sz w:val="20"/>
          <w:szCs w:val="20"/>
        </w:rPr>
        <w:t>ó</w:t>
      </w:r>
      <w:r w:rsidR="008B7F83" w:rsidRPr="00486FEC">
        <w:rPr>
          <w:rFonts w:ascii="Verdana" w:hAnsi="Verdana"/>
          <w:sz w:val="20"/>
          <w:szCs w:val="20"/>
        </w:rPr>
        <w:t xml:space="preserve"> de libertad </w:t>
      </w:r>
      <w:r w:rsidRPr="00486FEC">
        <w:rPr>
          <w:rFonts w:ascii="Verdana" w:hAnsi="Verdana"/>
          <w:sz w:val="20"/>
          <w:szCs w:val="20"/>
        </w:rPr>
        <w:t xml:space="preserve">por unas seis horas </w:t>
      </w:r>
      <w:r w:rsidR="008B7F83" w:rsidRPr="00486FEC">
        <w:rPr>
          <w:rFonts w:ascii="Verdana" w:hAnsi="Verdana"/>
          <w:sz w:val="20"/>
          <w:szCs w:val="20"/>
        </w:rPr>
        <w:t>y corr</w:t>
      </w:r>
      <w:r w:rsidRPr="00486FEC">
        <w:rPr>
          <w:rFonts w:ascii="Verdana" w:hAnsi="Verdana"/>
          <w:sz w:val="20"/>
          <w:szCs w:val="20"/>
        </w:rPr>
        <w:t>ió</w:t>
      </w:r>
      <w:r w:rsidR="008B7F83" w:rsidRPr="00486FEC">
        <w:rPr>
          <w:rFonts w:ascii="Verdana" w:hAnsi="Verdana"/>
          <w:sz w:val="20"/>
          <w:szCs w:val="20"/>
        </w:rPr>
        <w:t xml:space="preserve"> peligro su propia vida</w:t>
      </w:r>
      <w:r w:rsidRPr="00486FEC">
        <w:rPr>
          <w:rFonts w:ascii="Verdana" w:hAnsi="Verdana"/>
          <w:sz w:val="20"/>
          <w:szCs w:val="20"/>
        </w:rPr>
        <w:t>, es decir que</w:t>
      </w:r>
      <w:r w:rsidR="00D632B6" w:rsidRPr="00486FEC">
        <w:rPr>
          <w:rFonts w:ascii="Verdana" w:hAnsi="Verdana"/>
          <w:sz w:val="20"/>
          <w:szCs w:val="20"/>
        </w:rPr>
        <w:t xml:space="preserve"> el artículo</w:t>
      </w:r>
      <w:r w:rsidRPr="00486FEC">
        <w:rPr>
          <w:rFonts w:ascii="Verdana" w:hAnsi="Verdana"/>
          <w:sz w:val="20"/>
          <w:szCs w:val="20"/>
        </w:rPr>
        <w:t xml:space="preserve"> deslegitim</w:t>
      </w:r>
      <w:r w:rsidR="00EF46B8" w:rsidRPr="00486FEC">
        <w:rPr>
          <w:rFonts w:ascii="Verdana" w:hAnsi="Verdana"/>
          <w:sz w:val="20"/>
          <w:szCs w:val="20"/>
        </w:rPr>
        <w:t>ó</w:t>
      </w:r>
      <w:r w:rsidRPr="00486FEC">
        <w:rPr>
          <w:rFonts w:ascii="Verdana" w:hAnsi="Verdana"/>
          <w:sz w:val="20"/>
          <w:szCs w:val="20"/>
        </w:rPr>
        <w:t xml:space="preserve"> </w:t>
      </w:r>
      <w:r w:rsidR="00CB3624" w:rsidRPr="00486FEC">
        <w:rPr>
          <w:rFonts w:ascii="Verdana" w:hAnsi="Verdana"/>
          <w:sz w:val="20"/>
          <w:szCs w:val="20"/>
        </w:rPr>
        <w:t xml:space="preserve">al máximo </w:t>
      </w:r>
      <w:r w:rsidRPr="00486FEC">
        <w:rPr>
          <w:rFonts w:ascii="Verdana" w:hAnsi="Verdana"/>
          <w:sz w:val="20"/>
          <w:szCs w:val="20"/>
        </w:rPr>
        <w:t xml:space="preserve">la conducta del titular del poder ejecutivo que acababa de intervenir </w:t>
      </w:r>
      <w:r w:rsidR="005508F2" w:rsidRPr="00486FEC">
        <w:rPr>
          <w:rFonts w:ascii="Verdana" w:hAnsi="Verdana"/>
          <w:sz w:val="20"/>
          <w:szCs w:val="20"/>
        </w:rPr>
        <w:t xml:space="preserve">deteniendo un golpe de </w:t>
      </w:r>
      <w:r w:rsidR="008B7F83" w:rsidRPr="00486FEC">
        <w:rPr>
          <w:rFonts w:ascii="Verdana" w:hAnsi="Verdana"/>
          <w:sz w:val="20"/>
          <w:szCs w:val="20"/>
        </w:rPr>
        <w:t xml:space="preserve">Estado </w:t>
      </w:r>
      <w:r w:rsidR="005508F2" w:rsidRPr="00486FEC">
        <w:rPr>
          <w:rFonts w:ascii="Verdana" w:hAnsi="Verdana"/>
          <w:sz w:val="20"/>
          <w:szCs w:val="20"/>
        </w:rPr>
        <w:t xml:space="preserve">en defensa </w:t>
      </w:r>
      <w:r w:rsidR="00D632B6" w:rsidRPr="00486FEC">
        <w:rPr>
          <w:rFonts w:ascii="Verdana" w:hAnsi="Verdana"/>
          <w:sz w:val="20"/>
          <w:szCs w:val="20"/>
        </w:rPr>
        <w:t>de</w:t>
      </w:r>
      <w:r w:rsidR="008B7F83" w:rsidRPr="00486FEC">
        <w:rPr>
          <w:rFonts w:ascii="Verdana" w:hAnsi="Verdana"/>
          <w:sz w:val="20"/>
          <w:szCs w:val="20"/>
        </w:rPr>
        <w:t xml:space="preserve"> la continuidad consti</w:t>
      </w:r>
      <w:r w:rsidR="002F56F5" w:rsidRPr="00486FEC">
        <w:rPr>
          <w:rFonts w:ascii="Verdana" w:hAnsi="Verdana"/>
          <w:sz w:val="20"/>
          <w:szCs w:val="20"/>
        </w:rPr>
        <w:t>tucional del estado de derecho.</w:t>
      </w:r>
    </w:p>
    <w:p w14:paraId="53D3BE27" w14:textId="66E3BB85"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6F9DB083" w14:textId="0818A7E5" w:rsidR="002F56F5" w:rsidRDefault="00D632B6"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El artículo no sólo le imputa un delito bien preciso, sino que hasta lo hace responsable de su </w:t>
      </w:r>
      <w:r w:rsidR="00BD62FB" w:rsidRPr="00486FEC">
        <w:rPr>
          <w:rFonts w:ascii="Verdana" w:hAnsi="Verdana"/>
          <w:sz w:val="20"/>
          <w:szCs w:val="20"/>
        </w:rPr>
        <w:t xml:space="preserve">secuestro, </w:t>
      </w:r>
      <w:r w:rsidR="00CB3624" w:rsidRPr="00486FEC">
        <w:rPr>
          <w:rFonts w:ascii="Verdana" w:hAnsi="Verdana"/>
          <w:sz w:val="20"/>
          <w:szCs w:val="20"/>
        </w:rPr>
        <w:t xml:space="preserve">puesto que </w:t>
      </w:r>
      <w:r w:rsidR="00BC3BA4" w:rsidRPr="00486FEC">
        <w:rPr>
          <w:rFonts w:ascii="Verdana" w:hAnsi="Verdana"/>
          <w:sz w:val="20"/>
          <w:szCs w:val="20"/>
        </w:rPr>
        <w:t xml:space="preserve">le </w:t>
      </w:r>
      <w:r w:rsidR="00891830" w:rsidRPr="00486FEC">
        <w:rPr>
          <w:rFonts w:ascii="Verdana" w:hAnsi="Verdana"/>
          <w:sz w:val="20"/>
          <w:szCs w:val="20"/>
        </w:rPr>
        <w:t>atribuye</w:t>
      </w:r>
      <w:r w:rsidR="00BC3BA4" w:rsidRPr="00486FEC">
        <w:rPr>
          <w:rFonts w:ascii="Verdana" w:hAnsi="Verdana"/>
          <w:sz w:val="20"/>
          <w:szCs w:val="20"/>
        </w:rPr>
        <w:t xml:space="preserve"> </w:t>
      </w:r>
      <w:r w:rsidR="00CB3624" w:rsidRPr="00486FEC">
        <w:rPr>
          <w:rFonts w:ascii="Verdana" w:hAnsi="Verdana"/>
          <w:sz w:val="20"/>
          <w:szCs w:val="20"/>
        </w:rPr>
        <w:t xml:space="preserve">también una </w:t>
      </w:r>
      <w:r w:rsidRPr="00486FEC">
        <w:rPr>
          <w:rFonts w:ascii="Verdana" w:hAnsi="Verdana"/>
          <w:sz w:val="20"/>
          <w:szCs w:val="20"/>
        </w:rPr>
        <w:t>conducta</w:t>
      </w:r>
      <w:r w:rsidR="002F56F5" w:rsidRPr="00486FEC">
        <w:rPr>
          <w:rFonts w:ascii="Verdana" w:hAnsi="Verdana"/>
          <w:sz w:val="20"/>
          <w:szCs w:val="20"/>
        </w:rPr>
        <w:t xml:space="preserve"> imprudente y temeraria.</w:t>
      </w:r>
    </w:p>
    <w:p w14:paraId="34EDA8C6" w14:textId="0461CA1C"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0F897459" w14:textId="2177067B" w:rsidR="002F56F5" w:rsidRDefault="00D632B6"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Cabe insistir en esto porque </w:t>
      </w:r>
      <w:r w:rsidR="00EF46B8" w:rsidRPr="00486FEC">
        <w:rPr>
          <w:rFonts w:ascii="Verdana" w:hAnsi="Verdana"/>
          <w:sz w:val="20"/>
          <w:szCs w:val="20"/>
        </w:rPr>
        <w:t xml:space="preserve">resulta </w:t>
      </w:r>
      <w:r w:rsidRPr="00486FEC">
        <w:rPr>
          <w:rFonts w:ascii="Verdana" w:hAnsi="Verdana"/>
          <w:sz w:val="20"/>
          <w:szCs w:val="20"/>
        </w:rPr>
        <w:t>central para la valoración jurídica del caso: frente a una tentativa de golpe de Estado y al secuestro del presidente constitucional, el periodista imputa a éste</w:t>
      </w:r>
      <w:r w:rsidR="00BD62FB" w:rsidRPr="00486FEC">
        <w:rPr>
          <w:rFonts w:ascii="Verdana" w:hAnsi="Verdana"/>
          <w:sz w:val="20"/>
          <w:szCs w:val="20"/>
        </w:rPr>
        <w:t>, con claridad y precisión qu</w:t>
      </w:r>
      <w:r w:rsidRPr="00486FEC">
        <w:rPr>
          <w:rFonts w:ascii="Verdana" w:hAnsi="Verdana"/>
          <w:sz w:val="20"/>
          <w:szCs w:val="20"/>
        </w:rPr>
        <w:t>e</w:t>
      </w:r>
      <w:r w:rsidR="00C83D7A" w:rsidRPr="00486FEC">
        <w:rPr>
          <w:rFonts w:ascii="Verdana" w:hAnsi="Verdana"/>
          <w:sz w:val="20"/>
          <w:szCs w:val="20"/>
        </w:rPr>
        <w:t>,</w:t>
      </w:r>
      <w:r w:rsidRPr="00486FEC">
        <w:rPr>
          <w:rFonts w:ascii="Verdana" w:hAnsi="Verdana"/>
          <w:sz w:val="20"/>
          <w:szCs w:val="20"/>
        </w:rPr>
        <w:t xml:space="preserve"> privado de la libertad, ordenó disparar contra un hospital y que con eso cometió un delito de lesa humanidad, por lo cual le aconseja que inste una amnistía y no que decrete un indulto, para lograr su propia impunidad</w:t>
      </w:r>
      <w:r w:rsidR="00BC3BA4" w:rsidRPr="00486FEC">
        <w:rPr>
          <w:rFonts w:ascii="Verdana" w:hAnsi="Verdana"/>
          <w:sz w:val="20"/>
          <w:szCs w:val="20"/>
        </w:rPr>
        <w:t xml:space="preserve"> en el futuro</w:t>
      </w:r>
      <w:r w:rsidRPr="00486FEC">
        <w:rPr>
          <w:rFonts w:ascii="Verdana" w:hAnsi="Verdana"/>
          <w:sz w:val="20"/>
          <w:szCs w:val="20"/>
        </w:rPr>
        <w:t xml:space="preserve">. Además de calificar la intervención del presidente como delictiva y típica de un crimen de lesa humanidad, lo responsabiliza </w:t>
      </w:r>
      <w:r w:rsidR="00BC3BA4" w:rsidRPr="00486FEC">
        <w:rPr>
          <w:rFonts w:ascii="Verdana" w:hAnsi="Verdana"/>
          <w:sz w:val="20"/>
          <w:szCs w:val="20"/>
        </w:rPr>
        <w:t>de su propio secuestro</w:t>
      </w:r>
      <w:r w:rsidRPr="00486FEC">
        <w:rPr>
          <w:rFonts w:ascii="Verdana" w:hAnsi="Verdana"/>
          <w:sz w:val="20"/>
          <w:szCs w:val="20"/>
        </w:rPr>
        <w:t xml:space="preserve"> y riesgo de vida, pues considera su conducta como </w:t>
      </w:r>
      <w:r w:rsidR="00891830" w:rsidRPr="00486FEC">
        <w:rPr>
          <w:rFonts w:ascii="Verdana" w:hAnsi="Verdana"/>
          <w:sz w:val="20"/>
          <w:szCs w:val="20"/>
        </w:rPr>
        <w:t>imprudente</w:t>
      </w:r>
      <w:r w:rsidR="00BC3BA4" w:rsidRPr="00486FEC">
        <w:rPr>
          <w:rFonts w:ascii="Verdana" w:hAnsi="Verdana"/>
          <w:sz w:val="20"/>
          <w:szCs w:val="20"/>
        </w:rPr>
        <w:t xml:space="preserve">, </w:t>
      </w:r>
      <w:r w:rsidR="00BD62FB" w:rsidRPr="00486FEC">
        <w:rPr>
          <w:rFonts w:ascii="Verdana" w:hAnsi="Verdana"/>
          <w:sz w:val="20"/>
          <w:szCs w:val="20"/>
        </w:rPr>
        <w:t xml:space="preserve">dando a </w:t>
      </w:r>
      <w:r w:rsidR="00BC3BA4" w:rsidRPr="00486FEC">
        <w:rPr>
          <w:rFonts w:ascii="Verdana" w:hAnsi="Verdana"/>
          <w:sz w:val="20"/>
          <w:szCs w:val="20"/>
        </w:rPr>
        <w:t>entender que fue</w:t>
      </w:r>
      <w:r w:rsidR="00BD62FB" w:rsidRPr="00486FEC">
        <w:rPr>
          <w:rFonts w:ascii="Verdana" w:hAnsi="Verdana"/>
          <w:sz w:val="20"/>
          <w:szCs w:val="20"/>
        </w:rPr>
        <w:t xml:space="preserve"> casi un</w:t>
      </w:r>
      <w:r w:rsidR="00BC3BA4" w:rsidRPr="00486FEC">
        <w:rPr>
          <w:rFonts w:ascii="Verdana" w:hAnsi="Verdana"/>
          <w:sz w:val="20"/>
          <w:szCs w:val="20"/>
        </w:rPr>
        <w:t>a bravuconada</w:t>
      </w:r>
      <w:r w:rsidR="002F56F5" w:rsidRPr="00486FEC">
        <w:rPr>
          <w:rFonts w:ascii="Verdana" w:hAnsi="Verdana"/>
          <w:sz w:val="20"/>
          <w:szCs w:val="20"/>
        </w:rPr>
        <w:t>.</w:t>
      </w:r>
    </w:p>
    <w:p w14:paraId="6E40540E" w14:textId="545A626D"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27413D65" w14:textId="7C2B6BE8" w:rsidR="002F56F5" w:rsidRDefault="00BC3BA4"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Para dimensionar adecuadamente </w:t>
      </w:r>
      <w:r w:rsidR="004137E4" w:rsidRPr="00486FEC">
        <w:rPr>
          <w:rFonts w:ascii="Verdana" w:hAnsi="Verdana"/>
          <w:sz w:val="20"/>
          <w:szCs w:val="20"/>
        </w:rPr>
        <w:t>la gravedad de</w:t>
      </w:r>
      <w:r w:rsidR="00C83D7A" w:rsidRPr="00486FEC">
        <w:rPr>
          <w:rFonts w:ascii="Verdana" w:hAnsi="Verdana"/>
          <w:sz w:val="20"/>
          <w:szCs w:val="20"/>
        </w:rPr>
        <w:t xml:space="preserve"> la última de</w:t>
      </w:r>
      <w:r w:rsidR="004137E4" w:rsidRPr="00486FEC">
        <w:rPr>
          <w:rFonts w:ascii="Verdana" w:hAnsi="Verdana"/>
          <w:sz w:val="20"/>
          <w:szCs w:val="20"/>
        </w:rPr>
        <w:t xml:space="preserve"> estas imputaciones </w:t>
      </w:r>
      <w:r w:rsidRPr="00486FEC">
        <w:rPr>
          <w:rFonts w:ascii="Verdana" w:hAnsi="Verdana"/>
          <w:sz w:val="20"/>
          <w:szCs w:val="20"/>
        </w:rPr>
        <w:t xml:space="preserve">es necesario </w:t>
      </w:r>
      <w:r w:rsidR="004137E4" w:rsidRPr="00486FEC">
        <w:rPr>
          <w:rFonts w:ascii="Verdana" w:hAnsi="Verdana"/>
          <w:sz w:val="20"/>
          <w:szCs w:val="20"/>
        </w:rPr>
        <w:t xml:space="preserve">el previo conocimiento de cierta tradición </w:t>
      </w:r>
      <w:r w:rsidR="00891830" w:rsidRPr="00486FEC">
        <w:rPr>
          <w:rFonts w:ascii="Verdana" w:hAnsi="Verdana"/>
          <w:sz w:val="20"/>
          <w:szCs w:val="20"/>
        </w:rPr>
        <w:t>política local</w:t>
      </w:r>
      <w:r w:rsidR="004137E4" w:rsidRPr="00486FEC">
        <w:rPr>
          <w:rFonts w:ascii="Verdana" w:hAnsi="Verdana"/>
          <w:sz w:val="20"/>
          <w:szCs w:val="20"/>
        </w:rPr>
        <w:t xml:space="preserve"> frente a </w:t>
      </w:r>
      <w:r w:rsidR="00891830" w:rsidRPr="00486FEC">
        <w:rPr>
          <w:rFonts w:ascii="Verdana" w:hAnsi="Verdana"/>
          <w:sz w:val="20"/>
          <w:szCs w:val="20"/>
        </w:rPr>
        <w:t>los golpes de Estado. C</w:t>
      </w:r>
      <w:r w:rsidR="004137E4" w:rsidRPr="00486FEC">
        <w:rPr>
          <w:rFonts w:ascii="Verdana" w:hAnsi="Verdana"/>
          <w:sz w:val="20"/>
          <w:szCs w:val="20"/>
        </w:rPr>
        <w:t xml:space="preserve">omo </w:t>
      </w:r>
      <w:r w:rsidRPr="00486FEC">
        <w:rPr>
          <w:rFonts w:ascii="Verdana" w:hAnsi="Verdana"/>
          <w:sz w:val="20"/>
          <w:szCs w:val="20"/>
        </w:rPr>
        <w:t xml:space="preserve">todos </w:t>
      </w:r>
      <w:r w:rsidR="004137E4" w:rsidRPr="00486FEC">
        <w:rPr>
          <w:rFonts w:ascii="Verdana" w:hAnsi="Verdana"/>
          <w:sz w:val="20"/>
          <w:szCs w:val="20"/>
        </w:rPr>
        <w:t xml:space="preserve">nuestros países, </w:t>
      </w:r>
      <w:r w:rsidR="00891830" w:rsidRPr="00486FEC">
        <w:rPr>
          <w:rFonts w:ascii="Verdana" w:hAnsi="Verdana"/>
          <w:sz w:val="20"/>
          <w:szCs w:val="20"/>
        </w:rPr>
        <w:t>Ecuador tiene algunas</w:t>
      </w:r>
      <w:r w:rsidR="004137E4" w:rsidRPr="00486FEC">
        <w:rPr>
          <w:rFonts w:ascii="Verdana" w:hAnsi="Verdana"/>
          <w:sz w:val="20"/>
          <w:szCs w:val="20"/>
        </w:rPr>
        <w:t xml:space="preserve"> características</w:t>
      </w:r>
      <w:r w:rsidR="00891830" w:rsidRPr="00486FEC">
        <w:rPr>
          <w:rFonts w:ascii="Verdana" w:hAnsi="Verdana"/>
          <w:sz w:val="20"/>
          <w:szCs w:val="20"/>
        </w:rPr>
        <w:t xml:space="preserve"> que son propias</w:t>
      </w:r>
      <w:r w:rsidR="004137E4" w:rsidRPr="00486FEC">
        <w:rPr>
          <w:rFonts w:ascii="Verdana" w:hAnsi="Verdana"/>
          <w:sz w:val="20"/>
          <w:szCs w:val="20"/>
        </w:rPr>
        <w:t xml:space="preserve"> de</w:t>
      </w:r>
      <w:r w:rsidR="00891830" w:rsidRPr="00486FEC">
        <w:rPr>
          <w:rFonts w:ascii="Verdana" w:hAnsi="Verdana"/>
          <w:sz w:val="20"/>
          <w:szCs w:val="20"/>
        </w:rPr>
        <w:t xml:space="preserve"> su</w:t>
      </w:r>
      <w:r w:rsidR="004137E4" w:rsidRPr="00486FEC">
        <w:rPr>
          <w:rFonts w:ascii="Verdana" w:hAnsi="Verdana"/>
          <w:sz w:val="20"/>
          <w:szCs w:val="20"/>
        </w:rPr>
        <w:t xml:space="preserve"> cultura política, entre las cuales se destaca que</w:t>
      </w:r>
      <w:r w:rsidR="00891830" w:rsidRPr="00486FEC">
        <w:rPr>
          <w:rFonts w:ascii="Verdana" w:hAnsi="Verdana"/>
          <w:sz w:val="20"/>
          <w:szCs w:val="20"/>
        </w:rPr>
        <w:t>,</w:t>
      </w:r>
      <w:r w:rsidR="004137E4" w:rsidRPr="00486FEC">
        <w:rPr>
          <w:rFonts w:ascii="Verdana" w:hAnsi="Verdana"/>
          <w:sz w:val="20"/>
          <w:szCs w:val="20"/>
        </w:rPr>
        <w:t xml:space="preserve"> </w:t>
      </w:r>
      <w:r w:rsidR="00891830" w:rsidRPr="00486FEC">
        <w:rPr>
          <w:rFonts w:ascii="Verdana" w:hAnsi="Verdana"/>
          <w:sz w:val="20"/>
          <w:szCs w:val="20"/>
        </w:rPr>
        <w:t xml:space="preserve">en los gobiernos democráticos, </w:t>
      </w:r>
      <w:r w:rsidR="004137E4" w:rsidRPr="00486FEC">
        <w:rPr>
          <w:rFonts w:ascii="Verdana" w:hAnsi="Verdana"/>
          <w:sz w:val="20"/>
          <w:szCs w:val="20"/>
        </w:rPr>
        <w:t xml:space="preserve">las tentativas de golpes de Estado y otras alteraciones graves del orden público </w:t>
      </w:r>
      <w:r w:rsidRPr="00486FEC">
        <w:rPr>
          <w:rFonts w:ascii="Verdana" w:hAnsi="Verdana"/>
          <w:sz w:val="20"/>
          <w:szCs w:val="20"/>
        </w:rPr>
        <w:t xml:space="preserve">históricamente </w:t>
      </w:r>
      <w:r w:rsidR="004137E4" w:rsidRPr="00486FEC">
        <w:rPr>
          <w:rFonts w:ascii="Verdana" w:hAnsi="Verdana"/>
          <w:sz w:val="20"/>
          <w:szCs w:val="20"/>
        </w:rPr>
        <w:t xml:space="preserve">siempre fueron desarmadas con la intervención personal y directa de los propios presidentes, como lo atestigua a lo largo de su historia del siglo pasado la conducta de quien marcó la política del país </w:t>
      </w:r>
      <w:r w:rsidRPr="00486FEC">
        <w:rPr>
          <w:rFonts w:ascii="Verdana" w:hAnsi="Verdana"/>
          <w:sz w:val="20"/>
          <w:szCs w:val="20"/>
        </w:rPr>
        <w:t xml:space="preserve">por décadas, </w:t>
      </w:r>
      <w:r w:rsidR="004137E4" w:rsidRPr="00486FEC">
        <w:rPr>
          <w:rFonts w:ascii="Verdana" w:hAnsi="Verdana"/>
          <w:sz w:val="20"/>
          <w:szCs w:val="20"/>
        </w:rPr>
        <w:t xml:space="preserve">con cinco ejercicios presidenciales, de los cuales sólo logró culminar normalmente uno </w:t>
      </w:r>
      <w:r w:rsidR="00BD62FB" w:rsidRPr="00486FEC">
        <w:rPr>
          <w:rFonts w:ascii="Verdana" w:hAnsi="Verdana"/>
          <w:sz w:val="20"/>
          <w:szCs w:val="20"/>
        </w:rPr>
        <w:t xml:space="preserve">sin que lo derrocase un golpe de </w:t>
      </w:r>
      <w:r w:rsidR="00C83D7A" w:rsidRPr="00486FEC">
        <w:rPr>
          <w:rFonts w:ascii="Verdana" w:hAnsi="Verdana"/>
          <w:sz w:val="20"/>
          <w:szCs w:val="20"/>
        </w:rPr>
        <w:t>E</w:t>
      </w:r>
      <w:r w:rsidR="002F56F5" w:rsidRPr="00486FEC">
        <w:rPr>
          <w:rFonts w:ascii="Verdana" w:hAnsi="Verdana"/>
          <w:sz w:val="20"/>
          <w:szCs w:val="20"/>
        </w:rPr>
        <w:t>stado</w:t>
      </w:r>
      <w:r w:rsidR="004137E4" w:rsidRPr="00486FEC">
        <w:rPr>
          <w:rFonts w:ascii="Verdana" w:hAnsi="Verdana"/>
          <w:sz w:val="20"/>
          <w:szCs w:val="20"/>
        </w:rPr>
        <w:t>.</w:t>
      </w:r>
      <w:r w:rsidR="002F56F5" w:rsidRPr="00486FEC">
        <w:rPr>
          <w:rStyle w:val="Refdenotaalpie"/>
          <w:rFonts w:ascii="Verdana" w:hAnsi="Verdana"/>
          <w:sz w:val="20"/>
          <w:szCs w:val="20"/>
        </w:rPr>
        <w:footnoteReference w:id="35"/>
      </w:r>
    </w:p>
    <w:p w14:paraId="661B643E" w14:textId="77777777" w:rsidR="00486FEC" w:rsidRPr="00486FEC" w:rsidRDefault="00486FEC" w:rsidP="00486FEC">
      <w:pPr>
        <w:pStyle w:val="Prrafodelista"/>
        <w:rPr>
          <w:rFonts w:ascii="Verdana" w:hAnsi="Verdana"/>
          <w:sz w:val="20"/>
          <w:szCs w:val="20"/>
        </w:rPr>
      </w:pPr>
    </w:p>
    <w:p w14:paraId="28D79637"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0CDD14FA" w14:textId="5C34B576" w:rsidR="002F56F5" w:rsidRDefault="00903E2F"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L</w:t>
      </w:r>
      <w:r w:rsidR="00C06799" w:rsidRPr="00486FEC">
        <w:rPr>
          <w:rFonts w:ascii="Verdana" w:hAnsi="Verdana"/>
          <w:sz w:val="20"/>
          <w:szCs w:val="20"/>
        </w:rPr>
        <w:t>a descalificación de la conducta del presidente constitucional en defensa precisamente del orden constitucional</w:t>
      </w:r>
      <w:r w:rsidR="00BD62FB" w:rsidRPr="00486FEC">
        <w:rPr>
          <w:rFonts w:ascii="Verdana" w:hAnsi="Verdana"/>
          <w:sz w:val="20"/>
          <w:szCs w:val="20"/>
        </w:rPr>
        <w:t xml:space="preserve">, </w:t>
      </w:r>
      <w:r w:rsidR="00C06799" w:rsidRPr="00486FEC">
        <w:rPr>
          <w:rFonts w:ascii="Verdana" w:hAnsi="Verdana"/>
          <w:sz w:val="20"/>
          <w:szCs w:val="20"/>
        </w:rPr>
        <w:t xml:space="preserve">mediante la imputación de un delito de lesa humanidad y </w:t>
      </w:r>
      <w:r w:rsidR="00EE5D65" w:rsidRPr="00486FEC">
        <w:rPr>
          <w:rFonts w:ascii="Verdana" w:hAnsi="Verdana"/>
          <w:sz w:val="20"/>
          <w:szCs w:val="20"/>
        </w:rPr>
        <w:t xml:space="preserve">de </w:t>
      </w:r>
      <w:r w:rsidR="00C06799" w:rsidRPr="00486FEC">
        <w:rPr>
          <w:rFonts w:ascii="Verdana" w:hAnsi="Verdana"/>
          <w:sz w:val="20"/>
          <w:szCs w:val="20"/>
        </w:rPr>
        <w:t xml:space="preserve">su victimización y riesgo de vida como resultado de una conducta </w:t>
      </w:r>
      <w:r w:rsidR="005775CD" w:rsidRPr="00486FEC">
        <w:rPr>
          <w:rFonts w:ascii="Verdana" w:hAnsi="Verdana"/>
          <w:sz w:val="20"/>
          <w:szCs w:val="20"/>
        </w:rPr>
        <w:t xml:space="preserve">que califica como </w:t>
      </w:r>
      <w:r w:rsidR="00C06799" w:rsidRPr="00486FEC">
        <w:rPr>
          <w:rFonts w:ascii="Verdana" w:hAnsi="Verdana"/>
          <w:sz w:val="20"/>
          <w:szCs w:val="20"/>
        </w:rPr>
        <w:t>t</w:t>
      </w:r>
      <w:r w:rsidR="00724120" w:rsidRPr="00486FEC">
        <w:rPr>
          <w:rFonts w:ascii="Verdana" w:hAnsi="Verdana"/>
          <w:sz w:val="20"/>
          <w:szCs w:val="20"/>
        </w:rPr>
        <w:t>orpemente imprudente</w:t>
      </w:r>
      <w:r w:rsidR="00C06799" w:rsidRPr="00486FEC">
        <w:rPr>
          <w:rFonts w:ascii="Verdana" w:hAnsi="Verdana"/>
          <w:sz w:val="20"/>
          <w:szCs w:val="20"/>
        </w:rPr>
        <w:t xml:space="preserve">, </w:t>
      </w:r>
      <w:r w:rsidR="005775CD" w:rsidRPr="00486FEC">
        <w:rPr>
          <w:rFonts w:ascii="Verdana" w:hAnsi="Verdana"/>
          <w:sz w:val="20"/>
          <w:szCs w:val="20"/>
        </w:rPr>
        <w:t xml:space="preserve">pero que es la culturalmente adecuada según la experiencia histórica nacional, </w:t>
      </w:r>
      <w:r w:rsidR="00C06799" w:rsidRPr="00486FEC">
        <w:rPr>
          <w:rFonts w:ascii="Verdana" w:hAnsi="Verdana"/>
          <w:sz w:val="20"/>
          <w:szCs w:val="20"/>
        </w:rPr>
        <w:t>implícitamente está subestimando la propia tentativa de golpe de Estado, es decir, minimizando la tentativa de alteración de la institucionalidad y la</w:t>
      </w:r>
      <w:r w:rsidR="005775CD" w:rsidRPr="00486FEC">
        <w:rPr>
          <w:rFonts w:ascii="Verdana" w:hAnsi="Verdana"/>
          <w:sz w:val="20"/>
          <w:szCs w:val="20"/>
        </w:rPr>
        <w:t xml:space="preserve"> gravedad y violencia </w:t>
      </w:r>
      <w:r w:rsidR="002F56F5" w:rsidRPr="00486FEC">
        <w:rPr>
          <w:rFonts w:ascii="Verdana" w:hAnsi="Verdana"/>
          <w:sz w:val="20"/>
          <w:szCs w:val="20"/>
        </w:rPr>
        <w:t>de la rebelión armada.</w:t>
      </w:r>
    </w:p>
    <w:p w14:paraId="6D22444F"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187A60A9" w14:textId="7D5771DB" w:rsidR="002F56F5" w:rsidRDefault="00C06799"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Es claro que </w:t>
      </w:r>
      <w:r w:rsidR="00EE5D65" w:rsidRPr="00486FEC">
        <w:rPr>
          <w:rFonts w:ascii="Verdana" w:hAnsi="Verdana"/>
          <w:sz w:val="20"/>
          <w:szCs w:val="20"/>
        </w:rPr>
        <w:t xml:space="preserve">en el caso </w:t>
      </w:r>
      <w:r w:rsidR="005775CD" w:rsidRPr="00486FEC">
        <w:rPr>
          <w:rFonts w:ascii="Verdana" w:hAnsi="Verdana"/>
          <w:sz w:val="20"/>
          <w:szCs w:val="20"/>
        </w:rPr>
        <w:t xml:space="preserve">no se trata de </w:t>
      </w:r>
      <w:r w:rsidRPr="00486FEC">
        <w:rPr>
          <w:rFonts w:ascii="Verdana" w:hAnsi="Verdana"/>
          <w:sz w:val="20"/>
          <w:szCs w:val="20"/>
        </w:rPr>
        <w:t xml:space="preserve">una </w:t>
      </w:r>
      <w:r w:rsidR="00EE5D65" w:rsidRPr="00486FEC">
        <w:rPr>
          <w:rFonts w:ascii="Verdana" w:hAnsi="Verdana"/>
          <w:sz w:val="20"/>
          <w:szCs w:val="20"/>
        </w:rPr>
        <w:t xml:space="preserve">simple </w:t>
      </w:r>
      <w:r w:rsidRPr="00486FEC">
        <w:rPr>
          <w:rFonts w:ascii="Verdana" w:hAnsi="Verdana"/>
          <w:sz w:val="20"/>
          <w:szCs w:val="20"/>
        </w:rPr>
        <w:t xml:space="preserve">calumnia corriente en que deben ponderarse </w:t>
      </w:r>
      <w:r w:rsidR="00CB3624" w:rsidRPr="00486FEC">
        <w:rPr>
          <w:rFonts w:ascii="Verdana" w:hAnsi="Verdana"/>
          <w:sz w:val="20"/>
          <w:szCs w:val="20"/>
        </w:rPr>
        <w:t xml:space="preserve">únicamente </w:t>
      </w:r>
      <w:r w:rsidR="00EE5D65" w:rsidRPr="00486FEC">
        <w:rPr>
          <w:rFonts w:ascii="Verdana" w:hAnsi="Verdana"/>
          <w:sz w:val="20"/>
          <w:szCs w:val="20"/>
        </w:rPr>
        <w:t>los valores d</w:t>
      </w:r>
      <w:r w:rsidRPr="00486FEC">
        <w:rPr>
          <w:rFonts w:ascii="Verdana" w:hAnsi="Verdana"/>
          <w:sz w:val="20"/>
          <w:szCs w:val="20"/>
        </w:rPr>
        <w:t xml:space="preserve">el derecho </w:t>
      </w:r>
      <w:r w:rsidR="005775CD" w:rsidRPr="00486FEC">
        <w:rPr>
          <w:rFonts w:ascii="Verdana" w:hAnsi="Verdana"/>
          <w:sz w:val="20"/>
          <w:szCs w:val="20"/>
        </w:rPr>
        <w:t>al ejercicio de la c</w:t>
      </w:r>
      <w:r w:rsidRPr="00486FEC">
        <w:rPr>
          <w:rFonts w:ascii="Verdana" w:hAnsi="Verdana"/>
          <w:sz w:val="20"/>
          <w:szCs w:val="20"/>
        </w:rPr>
        <w:t xml:space="preserve">rítica periodística y </w:t>
      </w:r>
      <w:r w:rsidR="00EE5D65" w:rsidRPr="00486FEC">
        <w:rPr>
          <w:rFonts w:ascii="Verdana" w:hAnsi="Verdana"/>
          <w:sz w:val="20"/>
          <w:szCs w:val="20"/>
        </w:rPr>
        <w:t>d</w:t>
      </w:r>
      <w:r w:rsidRPr="00486FEC">
        <w:rPr>
          <w:rFonts w:ascii="Verdana" w:hAnsi="Verdana"/>
          <w:sz w:val="20"/>
          <w:szCs w:val="20"/>
        </w:rPr>
        <w:t xml:space="preserve">el honor del funcionario, sino que en la ponderación entra en juego </w:t>
      </w:r>
      <w:r w:rsidR="005775CD" w:rsidRPr="00486FEC">
        <w:rPr>
          <w:rFonts w:ascii="Verdana" w:hAnsi="Verdana"/>
          <w:sz w:val="20"/>
          <w:szCs w:val="20"/>
        </w:rPr>
        <w:t>la descalificación d</w:t>
      </w:r>
      <w:r w:rsidRPr="00486FEC">
        <w:rPr>
          <w:rFonts w:ascii="Verdana" w:hAnsi="Verdana"/>
          <w:sz w:val="20"/>
          <w:szCs w:val="20"/>
        </w:rPr>
        <w:t>el rol del poder ejecutivo en defensa del orden constitucional</w:t>
      </w:r>
      <w:r w:rsidR="005775CD" w:rsidRPr="00486FEC">
        <w:rPr>
          <w:rFonts w:ascii="Verdana" w:hAnsi="Verdana"/>
          <w:sz w:val="20"/>
          <w:szCs w:val="20"/>
        </w:rPr>
        <w:t xml:space="preserve"> y la minimización o subest</w:t>
      </w:r>
      <w:r w:rsidR="002F56F5" w:rsidRPr="00486FEC">
        <w:rPr>
          <w:rFonts w:ascii="Verdana" w:hAnsi="Verdana"/>
          <w:sz w:val="20"/>
          <w:szCs w:val="20"/>
        </w:rPr>
        <w:t>imación de una rebelión armada.</w:t>
      </w:r>
    </w:p>
    <w:p w14:paraId="1EB7DE50" w14:textId="1284149C"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29DB02D2" w14:textId="600D926F" w:rsidR="002F56F5" w:rsidRDefault="005775CD"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En estas circunstancias y en el caso </w:t>
      </w:r>
      <w:r w:rsidR="00C83D7A" w:rsidRPr="00486FEC">
        <w:rPr>
          <w:rFonts w:ascii="Verdana" w:hAnsi="Verdana"/>
          <w:sz w:val="20"/>
          <w:szCs w:val="20"/>
        </w:rPr>
        <w:t xml:space="preserve">debe ponderarse también </w:t>
      </w:r>
      <w:r w:rsidRPr="00486FEC">
        <w:rPr>
          <w:rFonts w:ascii="Verdana" w:hAnsi="Verdana"/>
          <w:sz w:val="20"/>
          <w:szCs w:val="20"/>
        </w:rPr>
        <w:t>otro valor</w:t>
      </w:r>
      <w:r w:rsidR="00C83D7A" w:rsidRPr="00486FEC">
        <w:rPr>
          <w:rFonts w:ascii="Verdana" w:hAnsi="Verdana"/>
          <w:sz w:val="20"/>
          <w:szCs w:val="20"/>
        </w:rPr>
        <w:t xml:space="preserve">, </w:t>
      </w:r>
      <w:r w:rsidRPr="00486FEC">
        <w:rPr>
          <w:rFonts w:ascii="Verdana" w:hAnsi="Verdana"/>
          <w:sz w:val="20"/>
          <w:szCs w:val="20"/>
        </w:rPr>
        <w:t xml:space="preserve">que es el del deber </w:t>
      </w:r>
      <w:r w:rsidR="00CB3624" w:rsidRPr="00486FEC">
        <w:rPr>
          <w:rFonts w:ascii="Verdana" w:hAnsi="Verdana"/>
          <w:sz w:val="20"/>
          <w:szCs w:val="20"/>
        </w:rPr>
        <w:t>propio de</w:t>
      </w:r>
      <w:r w:rsidRPr="00486FEC">
        <w:rPr>
          <w:rFonts w:ascii="Verdana" w:hAnsi="Verdana"/>
          <w:sz w:val="20"/>
          <w:szCs w:val="20"/>
        </w:rPr>
        <w:t xml:space="preserve"> las autoridades democráticas en defensa del orden constitucional ante una tentativa de golpe de Estado llevada adelante con armas </w:t>
      </w:r>
      <w:r w:rsidR="002F56F5" w:rsidRPr="00486FEC">
        <w:rPr>
          <w:rFonts w:ascii="Verdana" w:hAnsi="Verdana"/>
          <w:sz w:val="20"/>
          <w:szCs w:val="20"/>
        </w:rPr>
        <w:t>provistas por el propio Estado.</w:t>
      </w:r>
    </w:p>
    <w:p w14:paraId="03B79EAB" w14:textId="5CD3CEAB"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5207FA72" w14:textId="20E03C79" w:rsidR="002F56F5" w:rsidRDefault="00CC061E"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No puede considerarse que esta c</w:t>
      </w:r>
      <w:r w:rsidR="008B7F83" w:rsidRPr="00486FEC">
        <w:rPr>
          <w:rFonts w:ascii="Verdana" w:hAnsi="Verdana"/>
          <w:sz w:val="20"/>
          <w:szCs w:val="20"/>
        </w:rPr>
        <w:t xml:space="preserve">alumnia </w:t>
      </w:r>
      <w:r w:rsidRPr="00486FEC">
        <w:rPr>
          <w:rFonts w:ascii="Verdana" w:hAnsi="Verdana"/>
          <w:sz w:val="20"/>
          <w:szCs w:val="20"/>
        </w:rPr>
        <w:t xml:space="preserve">respondía a un objetivo de </w:t>
      </w:r>
      <w:r w:rsidR="008B7F83" w:rsidRPr="00486FEC">
        <w:rPr>
          <w:rFonts w:ascii="Verdana" w:hAnsi="Verdana"/>
          <w:sz w:val="20"/>
          <w:szCs w:val="20"/>
        </w:rPr>
        <w:t xml:space="preserve">interés público, </w:t>
      </w:r>
      <w:r w:rsidRPr="00486FEC">
        <w:rPr>
          <w:rFonts w:ascii="Verdana" w:hAnsi="Verdana"/>
          <w:sz w:val="20"/>
          <w:szCs w:val="20"/>
        </w:rPr>
        <w:t xml:space="preserve">cuando </w:t>
      </w:r>
      <w:r w:rsidR="00EE5D65" w:rsidRPr="00486FEC">
        <w:rPr>
          <w:rFonts w:ascii="Verdana" w:hAnsi="Verdana"/>
          <w:sz w:val="20"/>
          <w:szCs w:val="20"/>
        </w:rPr>
        <w:t xml:space="preserve">claramente tuvo por objeto </w:t>
      </w:r>
      <w:r w:rsidR="00724120" w:rsidRPr="00486FEC">
        <w:rPr>
          <w:rFonts w:ascii="Verdana" w:hAnsi="Verdana"/>
          <w:sz w:val="20"/>
          <w:szCs w:val="20"/>
        </w:rPr>
        <w:t>descalificar a un poder del E</w:t>
      </w:r>
      <w:r w:rsidR="008B7F83" w:rsidRPr="00486FEC">
        <w:rPr>
          <w:rFonts w:ascii="Verdana" w:hAnsi="Verdana"/>
          <w:sz w:val="20"/>
          <w:szCs w:val="20"/>
        </w:rPr>
        <w:t>stado y subestimar la gravedad de la ame</w:t>
      </w:r>
      <w:r w:rsidR="002F56F5" w:rsidRPr="00486FEC">
        <w:rPr>
          <w:rFonts w:ascii="Verdana" w:hAnsi="Verdana"/>
          <w:sz w:val="20"/>
          <w:szCs w:val="20"/>
        </w:rPr>
        <w:t>naza ante la cual éste actuaba.</w:t>
      </w:r>
    </w:p>
    <w:p w14:paraId="557CB596" w14:textId="509FFB01"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171FBE2F" w14:textId="16F6613A" w:rsidR="002F56F5" w:rsidRDefault="00CB3624" w:rsidP="00486FEC">
      <w:pPr>
        <w:pStyle w:val="Prrafodelista"/>
        <w:numPr>
          <w:ilvl w:val="0"/>
          <w:numId w:val="3"/>
        </w:numPr>
        <w:spacing w:after="0" w:line="240" w:lineRule="auto"/>
        <w:ind w:left="0" w:firstLine="0"/>
        <w:contextualSpacing w:val="0"/>
        <w:jc w:val="both"/>
        <w:rPr>
          <w:rFonts w:ascii="Verdana" w:hAnsi="Verdana"/>
          <w:i/>
          <w:sz w:val="20"/>
          <w:szCs w:val="20"/>
        </w:rPr>
      </w:pPr>
      <w:r w:rsidRPr="00486FEC">
        <w:rPr>
          <w:rFonts w:ascii="Verdana" w:hAnsi="Verdana"/>
          <w:sz w:val="20"/>
          <w:szCs w:val="20"/>
        </w:rPr>
        <w:t>Insisto en que n</w:t>
      </w:r>
      <w:r w:rsidR="008B7F83" w:rsidRPr="00486FEC">
        <w:rPr>
          <w:rFonts w:ascii="Verdana" w:hAnsi="Verdana"/>
          <w:sz w:val="20"/>
          <w:szCs w:val="20"/>
        </w:rPr>
        <w:t>o</w:t>
      </w:r>
      <w:r w:rsidR="005B2656" w:rsidRPr="00486FEC">
        <w:rPr>
          <w:rFonts w:ascii="Verdana" w:hAnsi="Verdana"/>
          <w:sz w:val="20"/>
          <w:szCs w:val="20"/>
        </w:rPr>
        <w:t xml:space="preserve"> se trata sólo de evaluar y ponderar el derecho a la libertad </w:t>
      </w:r>
      <w:r w:rsidR="008B7F83" w:rsidRPr="00486FEC">
        <w:rPr>
          <w:rFonts w:ascii="Verdana" w:hAnsi="Verdana"/>
          <w:sz w:val="20"/>
          <w:szCs w:val="20"/>
        </w:rPr>
        <w:t xml:space="preserve">de información que </w:t>
      </w:r>
      <w:r w:rsidR="00724120" w:rsidRPr="00486FEC">
        <w:rPr>
          <w:rFonts w:ascii="Verdana" w:hAnsi="Verdana"/>
          <w:sz w:val="20"/>
          <w:szCs w:val="20"/>
        </w:rPr>
        <w:t>debe garantizarse como necesario</w:t>
      </w:r>
      <w:r w:rsidR="008B7F83" w:rsidRPr="00486FEC">
        <w:rPr>
          <w:rFonts w:ascii="Verdana" w:hAnsi="Verdana"/>
          <w:sz w:val="20"/>
          <w:szCs w:val="20"/>
        </w:rPr>
        <w:t xml:space="preserve"> para controlar el buen funcionamiento de una administración, </w:t>
      </w:r>
      <w:r w:rsidR="005B2656" w:rsidRPr="00486FEC">
        <w:rPr>
          <w:rFonts w:ascii="Verdana" w:hAnsi="Verdana"/>
          <w:sz w:val="20"/>
          <w:szCs w:val="20"/>
        </w:rPr>
        <w:t xml:space="preserve">en contraposición con el derecho al honor del funcionario que, como se dijo, cede ante el primero, </w:t>
      </w:r>
      <w:r w:rsidR="008B7F83" w:rsidRPr="00486FEC">
        <w:rPr>
          <w:rFonts w:ascii="Verdana" w:hAnsi="Verdana"/>
          <w:sz w:val="20"/>
          <w:szCs w:val="20"/>
        </w:rPr>
        <w:t xml:space="preserve">sino </w:t>
      </w:r>
      <w:r w:rsidR="005B2656" w:rsidRPr="00486FEC">
        <w:rPr>
          <w:rFonts w:ascii="Verdana" w:hAnsi="Verdana"/>
          <w:sz w:val="20"/>
          <w:szCs w:val="20"/>
        </w:rPr>
        <w:t xml:space="preserve">que se pretendió manipular </w:t>
      </w:r>
      <w:r w:rsidR="008B7F83" w:rsidRPr="00486FEC">
        <w:rPr>
          <w:rFonts w:ascii="Verdana" w:hAnsi="Verdana"/>
          <w:sz w:val="20"/>
          <w:szCs w:val="20"/>
        </w:rPr>
        <w:t>esa libertad para minimizar una rebelión con atentado perso</w:t>
      </w:r>
      <w:r w:rsidR="00724120" w:rsidRPr="00486FEC">
        <w:rPr>
          <w:rFonts w:ascii="Verdana" w:hAnsi="Verdana"/>
          <w:sz w:val="20"/>
          <w:szCs w:val="20"/>
        </w:rPr>
        <w:t>nal al titular de un poder del E</w:t>
      </w:r>
      <w:r w:rsidR="008B7F83" w:rsidRPr="00486FEC">
        <w:rPr>
          <w:rFonts w:ascii="Verdana" w:hAnsi="Verdana"/>
          <w:sz w:val="20"/>
          <w:szCs w:val="20"/>
        </w:rPr>
        <w:t>stado y desacreditar su intervención en el hecho.</w:t>
      </w:r>
      <w:r w:rsidR="005B2656" w:rsidRPr="00486FEC">
        <w:rPr>
          <w:rFonts w:ascii="Verdana" w:hAnsi="Verdana"/>
          <w:sz w:val="20"/>
          <w:szCs w:val="20"/>
        </w:rPr>
        <w:t xml:space="preserve"> </w:t>
      </w:r>
      <w:r w:rsidR="005B2656" w:rsidRPr="00486FEC">
        <w:rPr>
          <w:rFonts w:ascii="Verdana" w:hAnsi="Verdana"/>
          <w:i/>
          <w:sz w:val="20"/>
          <w:szCs w:val="20"/>
        </w:rPr>
        <w:t>El valor que se suma en la ponderación es la preservación del orden constitucional y la imagen del poder democrático del Estado en la defensa de éste en una</w:t>
      </w:r>
      <w:r w:rsidR="002F56F5" w:rsidRPr="00486FEC">
        <w:rPr>
          <w:rFonts w:ascii="Verdana" w:hAnsi="Verdana"/>
          <w:i/>
          <w:sz w:val="20"/>
          <w:szCs w:val="20"/>
        </w:rPr>
        <w:t xml:space="preserve"> situación de grave emergencia.</w:t>
      </w:r>
    </w:p>
    <w:p w14:paraId="04FCA958" w14:textId="0BCE5B2F" w:rsidR="00486FEC" w:rsidRPr="00486FEC" w:rsidRDefault="00486FEC" w:rsidP="00486FEC">
      <w:pPr>
        <w:pStyle w:val="Prrafodelista"/>
        <w:spacing w:after="0" w:line="240" w:lineRule="auto"/>
        <w:ind w:left="0"/>
        <w:contextualSpacing w:val="0"/>
        <w:jc w:val="both"/>
        <w:rPr>
          <w:rFonts w:ascii="Verdana" w:hAnsi="Verdana"/>
          <w:i/>
          <w:sz w:val="20"/>
          <w:szCs w:val="20"/>
        </w:rPr>
      </w:pPr>
    </w:p>
    <w:p w14:paraId="37CFD197" w14:textId="77777777" w:rsidR="002F56F5" w:rsidRPr="00486FEC" w:rsidRDefault="00C83D7A"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La propia Comisión, siempre extremadamente cuidad</w:t>
      </w:r>
      <w:r w:rsidR="00724120" w:rsidRPr="00486FEC">
        <w:rPr>
          <w:rFonts w:ascii="Verdana" w:hAnsi="Verdana"/>
          <w:sz w:val="20"/>
          <w:szCs w:val="20"/>
        </w:rPr>
        <w:t>osa del derecho constitucional e</w:t>
      </w:r>
      <w:r w:rsidRPr="00486FEC">
        <w:rPr>
          <w:rFonts w:ascii="Verdana" w:hAnsi="Verdana"/>
          <w:sz w:val="20"/>
          <w:szCs w:val="20"/>
        </w:rPr>
        <w:t xml:space="preserve"> internacional a la crítica y denuncia periodística, en su </w:t>
      </w:r>
      <w:r w:rsidRPr="00486FEC">
        <w:rPr>
          <w:rFonts w:ascii="Verdana" w:hAnsi="Verdana"/>
          <w:i/>
          <w:sz w:val="20"/>
          <w:szCs w:val="20"/>
        </w:rPr>
        <w:t xml:space="preserve">Informa Anual </w:t>
      </w:r>
      <w:r w:rsidRPr="00486FEC">
        <w:rPr>
          <w:rFonts w:ascii="Verdana" w:hAnsi="Verdana"/>
          <w:sz w:val="20"/>
          <w:szCs w:val="20"/>
        </w:rPr>
        <w:t xml:space="preserve">de 2018, exige que la punibilidad de estos delitos se limite única y exclusivamente a </w:t>
      </w:r>
      <w:r w:rsidRPr="00486FEC">
        <w:rPr>
          <w:rFonts w:ascii="Verdana" w:hAnsi="Verdana"/>
          <w:i/>
          <w:sz w:val="20"/>
          <w:szCs w:val="20"/>
        </w:rPr>
        <w:t xml:space="preserve">circunstancias excepcionales en las que exista una amenaza evidente y directa de violencia anárquica. </w:t>
      </w:r>
      <w:r w:rsidRPr="00486FEC">
        <w:rPr>
          <w:rFonts w:ascii="Verdana" w:hAnsi="Verdana"/>
          <w:sz w:val="20"/>
          <w:szCs w:val="20"/>
        </w:rPr>
        <w:t xml:space="preserve">Entiendo que una sublevación policial armada, con secuestro del titular del Poder Ejecutivo, con disparos y muertos, es un </w:t>
      </w:r>
      <w:r w:rsidR="0043636A" w:rsidRPr="00486FEC">
        <w:rPr>
          <w:rFonts w:ascii="Verdana" w:hAnsi="Verdana"/>
          <w:sz w:val="20"/>
          <w:szCs w:val="20"/>
        </w:rPr>
        <w:t xml:space="preserve">inmejorable </w:t>
      </w:r>
      <w:r w:rsidRPr="00486FEC">
        <w:rPr>
          <w:rFonts w:ascii="Verdana" w:hAnsi="Verdana"/>
          <w:sz w:val="20"/>
          <w:szCs w:val="20"/>
        </w:rPr>
        <w:t xml:space="preserve">ejemplo de manual para la excepción a que se refiere el citado </w:t>
      </w:r>
      <w:r w:rsidRPr="00486FEC">
        <w:rPr>
          <w:rFonts w:ascii="Verdana" w:hAnsi="Verdana"/>
          <w:i/>
          <w:sz w:val="20"/>
          <w:szCs w:val="20"/>
        </w:rPr>
        <w:t>Informe</w:t>
      </w:r>
      <w:r w:rsidR="002F56F5" w:rsidRPr="00486FEC">
        <w:rPr>
          <w:rFonts w:ascii="Verdana" w:hAnsi="Verdana"/>
          <w:sz w:val="20"/>
          <w:szCs w:val="20"/>
        </w:rPr>
        <w:t xml:space="preserve"> de la Comisión.</w:t>
      </w:r>
    </w:p>
    <w:p w14:paraId="3AA85064" w14:textId="77777777" w:rsidR="002F56F5" w:rsidRPr="00486FEC" w:rsidRDefault="002F56F5" w:rsidP="00486FEC">
      <w:pPr>
        <w:pStyle w:val="Prrafodelista"/>
        <w:spacing w:after="0" w:line="240" w:lineRule="auto"/>
        <w:ind w:left="0"/>
        <w:contextualSpacing w:val="0"/>
        <w:jc w:val="both"/>
        <w:rPr>
          <w:rFonts w:ascii="Verdana" w:hAnsi="Verdana"/>
          <w:sz w:val="20"/>
          <w:szCs w:val="20"/>
        </w:rPr>
      </w:pPr>
    </w:p>
    <w:p w14:paraId="6620F18E" w14:textId="77777777" w:rsidR="002F56F5" w:rsidRPr="00486FEC" w:rsidRDefault="005B2656" w:rsidP="00486FEC">
      <w:pPr>
        <w:pStyle w:val="Prrafodelista"/>
        <w:spacing w:after="0" w:line="240" w:lineRule="auto"/>
        <w:ind w:left="709"/>
        <w:contextualSpacing w:val="0"/>
        <w:jc w:val="both"/>
        <w:rPr>
          <w:rFonts w:ascii="Verdana" w:hAnsi="Verdana"/>
          <w:b/>
          <w:sz w:val="20"/>
          <w:szCs w:val="20"/>
        </w:rPr>
      </w:pPr>
      <w:r w:rsidRPr="00486FEC">
        <w:rPr>
          <w:rFonts w:ascii="Verdana" w:hAnsi="Verdana"/>
          <w:b/>
          <w:sz w:val="20"/>
          <w:szCs w:val="20"/>
        </w:rPr>
        <w:t>IV.3. No se trata de un artículo “de opinión”</w:t>
      </w:r>
    </w:p>
    <w:p w14:paraId="18DFBDA3" w14:textId="77777777" w:rsidR="005541BC" w:rsidRPr="00486FEC" w:rsidRDefault="005541BC" w:rsidP="00486FEC">
      <w:pPr>
        <w:pStyle w:val="Prrafodelista"/>
        <w:spacing w:after="0" w:line="240" w:lineRule="auto"/>
        <w:ind w:left="709"/>
        <w:contextualSpacing w:val="0"/>
        <w:jc w:val="both"/>
        <w:rPr>
          <w:rFonts w:ascii="Verdana" w:hAnsi="Verdana"/>
          <w:sz w:val="20"/>
          <w:szCs w:val="20"/>
        </w:rPr>
      </w:pPr>
    </w:p>
    <w:p w14:paraId="5A7AE304" w14:textId="253900DF" w:rsidR="002F56F5" w:rsidRDefault="00EE5D65"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Por último, tampoco es admisible que el artículo en cuestión haya sido un simple </w:t>
      </w:r>
      <w:r w:rsidRPr="00486FEC">
        <w:rPr>
          <w:rFonts w:ascii="Verdana" w:hAnsi="Verdana"/>
          <w:i/>
          <w:sz w:val="20"/>
          <w:szCs w:val="20"/>
        </w:rPr>
        <w:t>artículo de opinión</w:t>
      </w:r>
      <w:r w:rsidRPr="00486FEC">
        <w:rPr>
          <w:rFonts w:ascii="Verdana" w:hAnsi="Verdana"/>
          <w:sz w:val="20"/>
          <w:szCs w:val="20"/>
        </w:rPr>
        <w:t xml:space="preserve">, </w:t>
      </w:r>
      <w:r w:rsidR="004A3D4C" w:rsidRPr="00486FEC">
        <w:rPr>
          <w:rFonts w:ascii="Verdana" w:hAnsi="Verdana"/>
          <w:sz w:val="20"/>
          <w:szCs w:val="20"/>
        </w:rPr>
        <w:t xml:space="preserve">pues cualquier lector percibe que en ese escrito se está imputando un </w:t>
      </w:r>
      <w:r w:rsidRPr="00486FEC">
        <w:rPr>
          <w:rFonts w:ascii="Verdana" w:hAnsi="Verdana"/>
          <w:sz w:val="20"/>
          <w:szCs w:val="20"/>
        </w:rPr>
        <w:t>delito con toda precisión de tiempo, lugar y ocasión, sin aportar absolutamente ninguna prueba.</w:t>
      </w:r>
      <w:r w:rsidR="004A3D4C" w:rsidRPr="00486FEC">
        <w:rPr>
          <w:rFonts w:ascii="Verdana" w:hAnsi="Verdana"/>
          <w:sz w:val="20"/>
          <w:szCs w:val="20"/>
        </w:rPr>
        <w:t xml:space="preserve"> </w:t>
      </w:r>
      <w:r w:rsidRPr="00486FEC">
        <w:rPr>
          <w:rFonts w:ascii="Verdana" w:hAnsi="Verdana"/>
          <w:sz w:val="20"/>
          <w:szCs w:val="20"/>
        </w:rPr>
        <w:t>Nadie juiciosamente podría decir que es una mera opinión imputar a otro que haya dado muerte a su padre, que haya asesinado a su esposa, que haya asaltado un banco con indicación de día, hora y lugar, ni tampoco</w:t>
      </w:r>
      <w:r w:rsidR="005B2656" w:rsidRPr="00486FEC">
        <w:rPr>
          <w:rFonts w:ascii="Verdana" w:hAnsi="Verdana"/>
          <w:sz w:val="20"/>
          <w:szCs w:val="20"/>
        </w:rPr>
        <w:t>, por supuesto,</w:t>
      </w:r>
      <w:r w:rsidRPr="00486FEC">
        <w:rPr>
          <w:rFonts w:ascii="Verdana" w:hAnsi="Verdana"/>
          <w:sz w:val="20"/>
          <w:szCs w:val="20"/>
        </w:rPr>
        <w:t xml:space="preserve"> que haya ordenado disparar contra un hospital </w:t>
      </w:r>
      <w:r w:rsidR="004A3D4C" w:rsidRPr="00486FEC">
        <w:rPr>
          <w:rFonts w:ascii="Verdana" w:hAnsi="Verdana"/>
          <w:sz w:val="20"/>
          <w:szCs w:val="20"/>
        </w:rPr>
        <w:t xml:space="preserve">en medio de una rebelión armada y </w:t>
      </w:r>
      <w:r w:rsidR="005B2656" w:rsidRPr="00486FEC">
        <w:rPr>
          <w:rFonts w:ascii="Verdana" w:hAnsi="Verdana"/>
          <w:sz w:val="20"/>
          <w:szCs w:val="20"/>
        </w:rPr>
        <w:t xml:space="preserve">estando </w:t>
      </w:r>
      <w:r w:rsidR="004A3D4C" w:rsidRPr="00486FEC">
        <w:rPr>
          <w:rFonts w:ascii="Verdana" w:hAnsi="Verdana"/>
          <w:sz w:val="20"/>
          <w:szCs w:val="20"/>
        </w:rPr>
        <w:t>secuestrado</w:t>
      </w:r>
      <w:r w:rsidR="005B2656" w:rsidRPr="00486FEC">
        <w:rPr>
          <w:rFonts w:ascii="Verdana" w:hAnsi="Verdana"/>
          <w:sz w:val="20"/>
          <w:szCs w:val="20"/>
        </w:rPr>
        <w:t>.</w:t>
      </w:r>
    </w:p>
    <w:p w14:paraId="16E31FEA"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3763F143" w14:textId="77777777" w:rsidR="002F56F5" w:rsidRPr="00486FEC" w:rsidRDefault="00D72B77"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Me merecen el mayor respeto los dichos de los peritos, pero no puedo menos que observar que c</w:t>
      </w:r>
      <w:r w:rsidR="005B2656" w:rsidRPr="00486FEC">
        <w:rPr>
          <w:rFonts w:ascii="Verdana" w:hAnsi="Verdana"/>
          <w:sz w:val="20"/>
          <w:szCs w:val="20"/>
        </w:rPr>
        <w:t xml:space="preserve">ontraría toda lógica pretender que </w:t>
      </w:r>
      <w:r w:rsidR="001E4937" w:rsidRPr="00486FEC">
        <w:rPr>
          <w:rFonts w:ascii="Verdana" w:hAnsi="Verdana"/>
          <w:sz w:val="20"/>
          <w:szCs w:val="20"/>
        </w:rPr>
        <w:t xml:space="preserve">sólo se limitase a emitir una mera opinión quien </w:t>
      </w:r>
      <w:r w:rsidR="005B2656" w:rsidRPr="00486FEC">
        <w:rPr>
          <w:rFonts w:ascii="Verdana" w:hAnsi="Verdana"/>
          <w:sz w:val="20"/>
          <w:szCs w:val="20"/>
        </w:rPr>
        <w:t>di</w:t>
      </w:r>
      <w:r w:rsidR="00CC061E" w:rsidRPr="00486FEC">
        <w:rPr>
          <w:rFonts w:ascii="Verdana" w:hAnsi="Verdana"/>
          <w:sz w:val="20"/>
          <w:szCs w:val="20"/>
        </w:rPr>
        <w:t>jese</w:t>
      </w:r>
      <w:r w:rsidR="001E4937" w:rsidRPr="00486FEC">
        <w:rPr>
          <w:rFonts w:ascii="Verdana" w:hAnsi="Verdana"/>
          <w:sz w:val="20"/>
          <w:szCs w:val="20"/>
        </w:rPr>
        <w:t>:</w:t>
      </w:r>
      <w:r w:rsidR="005B2656" w:rsidRPr="00486FEC">
        <w:rPr>
          <w:rFonts w:ascii="Verdana" w:hAnsi="Verdana"/>
          <w:sz w:val="20"/>
          <w:szCs w:val="20"/>
        </w:rPr>
        <w:t xml:space="preserve"> </w:t>
      </w:r>
      <w:r w:rsidR="005B2656" w:rsidRPr="00486FEC">
        <w:rPr>
          <w:rFonts w:ascii="Verdana" w:hAnsi="Verdana"/>
          <w:i/>
          <w:sz w:val="20"/>
          <w:szCs w:val="20"/>
        </w:rPr>
        <w:t>Fulano el día tal a la hora tal y en tal lugar dio muerte con diez puñaladas a su progenitora</w:t>
      </w:r>
      <w:r w:rsidR="002F56F5" w:rsidRPr="00486FEC">
        <w:rPr>
          <w:rFonts w:ascii="Verdana" w:hAnsi="Verdana"/>
          <w:sz w:val="20"/>
          <w:szCs w:val="20"/>
        </w:rPr>
        <w:t>.</w:t>
      </w:r>
    </w:p>
    <w:p w14:paraId="102B64E5" w14:textId="77777777" w:rsidR="002F56F5" w:rsidRPr="00486FEC" w:rsidRDefault="002F56F5" w:rsidP="00486FEC">
      <w:pPr>
        <w:pStyle w:val="Prrafodelista"/>
        <w:spacing w:after="0" w:line="240" w:lineRule="auto"/>
        <w:ind w:left="0"/>
        <w:contextualSpacing w:val="0"/>
        <w:jc w:val="both"/>
        <w:rPr>
          <w:rFonts w:ascii="Verdana" w:hAnsi="Verdana"/>
          <w:sz w:val="20"/>
          <w:szCs w:val="20"/>
        </w:rPr>
      </w:pPr>
    </w:p>
    <w:p w14:paraId="6BCA5897" w14:textId="77777777" w:rsidR="008109EB" w:rsidRPr="00486FEC" w:rsidRDefault="008109EB" w:rsidP="00486FEC">
      <w:pPr>
        <w:pStyle w:val="Prrafodelista"/>
        <w:spacing w:after="0" w:line="240" w:lineRule="auto"/>
        <w:ind w:left="0"/>
        <w:contextualSpacing w:val="0"/>
        <w:jc w:val="center"/>
        <w:rPr>
          <w:rFonts w:ascii="Verdana" w:hAnsi="Verdana"/>
          <w:b/>
          <w:sz w:val="20"/>
          <w:szCs w:val="20"/>
        </w:rPr>
      </w:pPr>
      <w:r w:rsidRPr="00486FEC">
        <w:rPr>
          <w:rFonts w:ascii="Verdana" w:hAnsi="Verdana"/>
          <w:b/>
          <w:sz w:val="20"/>
          <w:szCs w:val="20"/>
        </w:rPr>
        <w:t>V</w:t>
      </w:r>
    </w:p>
    <w:p w14:paraId="4CB589EC" w14:textId="77777777" w:rsidR="002F56F5" w:rsidRPr="00486FEC" w:rsidRDefault="008109EB" w:rsidP="00486FEC">
      <w:pPr>
        <w:pStyle w:val="Prrafodelista"/>
        <w:spacing w:after="0" w:line="240" w:lineRule="auto"/>
        <w:ind w:left="0"/>
        <w:contextualSpacing w:val="0"/>
        <w:jc w:val="center"/>
        <w:rPr>
          <w:rFonts w:ascii="Verdana" w:hAnsi="Verdana"/>
          <w:b/>
          <w:sz w:val="20"/>
          <w:szCs w:val="20"/>
        </w:rPr>
      </w:pPr>
      <w:r w:rsidRPr="00486FEC">
        <w:rPr>
          <w:rFonts w:ascii="Verdana" w:hAnsi="Verdana"/>
          <w:b/>
          <w:sz w:val="20"/>
          <w:szCs w:val="20"/>
        </w:rPr>
        <w:t>EL PROCESO Y LOS PERJUICIOS DERIVADOS</w:t>
      </w:r>
    </w:p>
    <w:p w14:paraId="6B790051" w14:textId="77777777" w:rsidR="008109EB" w:rsidRPr="00486FEC" w:rsidRDefault="008109EB" w:rsidP="00486FEC">
      <w:pPr>
        <w:pStyle w:val="Prrafodelista"/>
        <w:spacing w:after="0" w:line="240" w:lineRule="auto"/>
        <w:ind w:left="0"/>
        <w:contextualSpacing w:val="0"/>
        <w:jc w:val="both"/>
        <w:rPr>
          <w:rFonts w:ascii="Verdana" w:hAnsi="Verdana"/>
          <w:b/>
          <w:sz w:val="20"/>
          <w:szCs w:val="20"/>
        </w:rPr>
      </w:pPr>
    </w:p>
    <w:p w14:paraId="1C0E1E9C" w14:textId="77777777" w:rsidR="002F56F5" w:rsidRPr="00486FEC" w:rsidRDefault="00A028F7" w:rsidP="00486FEC">
      <w:pPr>
        <w:pStyle w:val="Prrafodelista"/>
        <w:spacing w:after="0" w:line="240" w:lineRule="auto"/>
        <w:ind w:left="709"/>
        <w:contextualSpacing w:val="0"/>
        <w:jc w:val="both"/>
        <w:rPr>
          <w:rFonts w:ascii="Verdana" w:hAnsi="Verdana"/>
          <w:b/>
          <w:sz w:val="20"/>
          <w:szCs w:val="20"/>
        </w:rPr>
      </w:pPr>
      <w:r w:rsidRPr="00486FEC">
        <w:rPr>
          <w:rFonts w:ascii="Verdana" w:hAnsi="Verdana"/>
          <w:b/>
          <w:sz w:val="20"/>
          <w:szCs w:val="20"/>
        </w:rPr>
        <w:t>V.1.La legalidad del proceso</w:t>
      </w:r>
    </w:p>
    <w:p w14:paraId="64B911D3" w14:textId="77777777" w:rsidR="005541BC" w:rsidRPr="00486FEC" w:rsidRDefault="005541BC" w:rsidP="00486FEC">
      <w:pPr>
        <w:pStyle w:val="Prrafodelista"/>
        <w:spacing w:after="0" w:line="240" w:lineRule="auto"/>
        <w:ind w:left="709"/>
        <w:contextualSpacing w:val="0"/>
        <w:jc w:val="both"/>
        <w:rPr>
          <w:rFonts w:ascii="Verdana" w:hAnsi="Verdana"/>
          <w:b/>
          <w:sz w:val="20"/>
          <w:szCs w:val="20"/>
        </w:rPr>
      </w:pPr>
    </w:p>
    <w:p w14:paraId="2AEDAC9C" w14:textId="766AAA78" w:rsidR="002F56F5" w:rsidRDefault="00A028F7"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Resulta de lo antes expuesto que el procesamiento y juzgamiento de l</w:t>
      </w:r>
      <w:r w:rsidR="000954A2" w:rsidRPr="00486FEC">
        <w:rPr>
          <w:rFonts w:ascii="Verdana" w:hAnsi="Verdana"/>
          <w:sz w:val="20"/>
          <w:szCs w:val="20"/>
        </w:rPr>
        <w:t xml:space="preserve">as supuestas víctimas </w:t>
      </w:r>
      <w:r w:rsidRPr="00486FEC">
        <w:rPr>
          <w:rFonts w:ascii="Verdana" w:hAnsi="Verdana"/>
          <w:sz w:val="20"/>
          <w:szCs w:val="20"/>
        </w:rPr>
        <w:t xml:space="preserve">no fue irregular y no produjo más efectos que los derivados de la propia situación </w:t>
      </w:r>
      <w:r w:rsidR="00CC061E" w:rsidRPr="00486FEC">
        <w:rPr>
          <w:rFonts w:ascii="Verdana" w:hAnsi="Verdana"/>
          <w:sz w:val="20"/>
          <w:szCs w:val="20"/>
        </w:rPr>
        <w:t xml:space="preserve">de procesados. </w:t>
      </w:r>
      <w:r w:rsidRPr="00486FEC">
        <w:rPr>
          <w:rFonts w:ascii="Verdana" w:hAnsi="Verdana"/>
          <w:sz w:val="20"/>
          <w:szCs w:val="20"/>
        </w:rPr>
        <w:t xml:space="preserve">No procedía la prisión preventiva, de modo que </w:t>
      </w:r>
      <w:r w:rsidR="0043636A" w:rsidRPr="00486FEC">
        <w:rPr>
          <w:rFonts w:ascii="Verdana" w:hAnsi="Verdana"/>
          <w:sz w:val="20"/>
          <w:szCs w:val="20"/>
        </w:rPr>
        <w:t>n</w:t>
      </w:r>
      <w:r w:rsidRPr="00486FEC">
        <w:rPr>
          <w:rFonts w:ascii="Verdana" w:hAnsi="Verdana"/>
          <w:sz w:val="20"/>
          <w:szCs w:val="20"/>
        </w:rPr>
        <w:t>o se limitó la libertad de movimientos de los procesados.</w:t>
      </w:r>
      <w:r w:rsidR="008C49B2" w:rsidRPr="00486FEC">
        <w:rPr>
          <w:rFonts w:ascii="Verdana" w:hAnsi="Verdana"/>
          <w:sz w:val="20"/>
          <w:szCs w:val="20"/>
        </w:rPr>
        <w:t xml:space="preserve"> Tampoco mediaron inmovilizaciones patrimoniales del tipo de la</w:t>
      </w:r>
      <w:r w:rsidR="0043636A" w:rsidRPr="00486FEC">
        <w:rPr>
          <w:rFonts w:ascii="Verdana" w:hAnsi="Verdana"/>
          <w:sz w:val="20"/>
          <w:szCs w:val="20"/>
        </w:rPr>
        <w:t>s</w:t>
      </w:r>
      <w:r w:rsidR="008C49B2" w:rsidRPr="00486FEC">
        <w:rPr>
          <w:rFonts w:ascii="Verdana" w:hAnsi="Verdana"/>
          <w:sz w:val="20"/>
          <w:szCs w:val="20"/>
        </w:rPr>
        <w:t xml:space="preserve"> </w:t>
      </w:r>
      <w:r w:rsidR="008C49B2" w:rsidRPr="00486FEC">
        <w:rPr>
          <w:rFonts w:ascii="Verdana" w:hAnsi="Verdana"/>
          <w:i/>
          <w:sz w:val="20"/>
          <w:szCs w:val="20"/>
        </w:rPr>
        <w:t>glosa</w:t>
      </w:r>
      <w:r w:rsidR="0043636A" w:rsidRPr="00486FEC">
        <w:rPr>
          <w:rFonts w:ascii="Verdana" w:hAnsi="Verdana"/>
          <w:i/>
          <w:sz w:val="20"/>
          <w:szCs w:val="20"/>
        </w:rPr>
        <w:t xml:space="preserve">s </w:t>
      </w:r>
      <w:r w:rsidR="0043636A" w:rsidRPr="00486FEC">
        <w:rPr>
          <w:rFonts w:ascii="Verdana" w:hAnsi="Verdana"/>
          <w:sz w:val="20"/>
          <w:szCs w:val="20"/>
        </w:rPr>
        <w:t>a</w:t>
      </w:r>
      <w:r w:rsidR="008C49B2" w:rsidRPr="00486FEC">
        <w:rPr>
          <w:rFonts w:ascii="Verdana" w:hAnsi="Verdana"/>
          <w:sz w:val="20"/>
          <w:szCs w:val="20"/>
        </w:rPr>
        <w:t xml:space="preserve"> que</w:t>
      </w:r>
      <w:r w:rsidR="0043636A" w:rsidRPr="00486FEC">
        <w:rPr>
          <w:rFonts w:ascii="Verdana" w:hAnsi="Verdana"/>
          <w:sz w:val="20"/>
          <w:szCs w:val="20"/>
        </w:rPr>
        <w:t xml:space="preserve"> antes se hizo referencia y que</w:t>
      </w:r>
      <w:r w:rsidR="008C49B2" w:rsidRPr="00486FEC">
        <w:rPr>
          <w:rFonts w:ascii="Verdana" w:hAnsi="Verdana"/>
          <w:sz w:val="20"/>
          <w:szCs w:val="20"/>
        </w:rPr>
        <w:t xml:space="preserve"> seguramente recaerá</w:t>
      </w:r>
      <w:r w:rsidR="0043636A" w:rsidRPr="00486FEC">
        <w:rPr>
          <w:rFonts w:ascii="Verdana" w:hAnsi="Verdana"/>
          <w:sz w:val="20"/>
          <w:szCs w:val="20"/>
        </w:rPr>
        <w:t>n</w:t>
      </w:r>
      <w:r w:rsidR="008C49B2" w:rsidRPr="00486FEC">
        <w:rPr>
          <w:rFonts w:ascii="Verdana" w:hAnsi="Verdana"/>
          <w:sz w:val="20"/>
          <w:szCs w:val="20"/>
        </w:rPr>
        <w:t xml:space="preserve"> sobre el actual dirigente opositor como consecuencia de las reparaciones </w:t>
      </w:r>
      <w:r w:rsidR="002F56F5" w:rsidRPr="00486FEC">
        <w:rPr>
          <w:rFonts w:ascii="Verdana" w:hAnsi="Verdana"/>
          <w:sz w:val="20"/>
          <w:szCs w:val="20"/>
        </w:rPr>
        <w:t>que se ordenan al Estado.</w:t>
      </w:r>
    </w:p>
    <w:p w14:paraId="751AAD4F"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7B03B828" w14:textId="0AF9A386" w:rsidR="002F56F5" w:rsidRDefault="00A028F7"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Teniendo en cuenta que la mayoría de los presos de nuestra región no están condenados, sino que sufren prisión preventiva y que algunos o muchos de ellos </w:t>
      </w:r>
      <w:r w:rsidR="008C49B2" w:rsidRPr="00486FEC">
        <w:rPr>
          <w:rFonts w:ascii="Verdana" w:hAnsi="Verdana"/>
          <w:sz w:val="20"/>
          <w:szCs w:val="20"/>
        </w:rPr>
        <w:t xml:space="preserve">serán </w:t>
      </w:r>
      <w:r w:rsidRPr="00486FEC">
        <w:rPr>
          <w:rFonts w:ascii="Verdana" w:hAnsi="Verdana"/>
          <w:sz w:val="20"/>
          <w:szCs w:val="20"/>
        </w:rPr>
        <w:t>en definitiva absueltos</w:t>
      </w:r>
      <w:r w:rsidR="000021DC" w:rsidRPr="00486FEC">
        <w:rPr>
          <w:rStyle w:val="Refdenotaalpie"/>
          <w:rFonts w:ascii="Verdana" w:hAnsi="Verdana"/>
          <w:sz w:val="20"/>
          <w:szCs w:val="20"/>
        </w:rPr>
        <w:footnoteReference w:id="36"/>
      </w:r>
      <w:r w:rsidR="0043636A" w:rsidRPr="00486FEC">
        <w:rPr>
          <w:rFonts w:ascii="Verdana" w:hAnsi="Verdana"/>
          <w:sz w:val="20"/>
          <w:szCs w:val="20"/>
        </w:rPr>
        <w:t xml:space="preserve">, </w:t>
      </w:r>
      <w:r w:rsidRPr="00486FEC">
        <w:rPr>
          <w:rFonts w:ascii="Verdana" w:hAnsi="Verdana"/>
          <w:sz w:val="20"/>
          <w:szCs w:val="20"/>
        </w:rPr>
        <w:t xml:space="preserve">es obvio que </w:t>
      </w:r>
      <w:r w:rsidR="00BC6949" w:rsidRPr="00486FEC">
        <w:rPr>
          <w:rFonts w:ascii="Verdana" w:hAnsi="Verdana"/>
          <w:sz w:val="20"/>
          <w:szCs w:val="20"/>
        </w:rPr>
        <w:t xml:space="preserve">se consideran normalizadas </w:t>
      </w:r>
      <w:r w:rsidR="0043636A" w:rsidRPr="00486FEC">
        <w:rPr>
          <w:rFonts w:ascii="Verdana" w:hAnsi="Verdana"/>
          <w:sz w:val="20"/>
          <w:szCs w:val="20"/>
        </w:rPr>
        <w:t xml:space="preserve">en nuestro países </w:t>
      </w:r>
      <w:r w:rsidRPr="00486FEC">
        <w:rPr>
          <w:rFonts w:ascii="Verdana" w:hAnsi="Verdana"/>
          <w:sz w:val="20"/>
          <w:szCs w:val="20"/>
        </w:rPr>
        <w:t>muchísimas más consecuencias procesales negativas</w:t>
      </w:r>
      <w:r w:rsidR="0043636A" w:rsidRPr="00486FEC">
        <w:rPr>
          <w:rFonts w:ascii="Verdana" w:hAnsi="Verdana"/>
          <w:sz w:val="20"/>
          <w:szCs w:val="20"/>
        </w:rPr>
        <w:t xml:space="preserve"> y violatorias de Derechos Humanos</w:t>
      </w:r>
      <w:r w:rsidR="00BC6949" w:rsidRPr="00486FEC">
        <w:rPr>
          <w:rFonts w:ascii="Verdana" w:hAnsi="Verdana"/>
          <w:sz w:val="20"/>
          <w:szCs w:val="20"/>
        </w:rPr>
        <w:t xml:space="preserve">, en esos casos </w:t>
      </w:r>
      <w:r w:rsidR="00B21523" w:rsidRPr="00486FEC">
        <w:rPr>
          <w:rFonts w:ascii="Verdana" w:hAnsi="Verdana"/>
          <w:sz w:val="20"/>
          <w:szCs w:val="20"/>
        </w:rPr>
        <w:t xml:space="preserve">incluso </w:t>
      </w:r>
      <w:r w:rsidR="00BC6949" w:rsidRPr="00486FEC">
        <w:rPr>
          <w:rFonts w:ascii="Verdana" w:hAnsi="Verdana"/>
          <w:sz w:val="20"/>
          <w:szCs w:val="20"/>
        </w:rPr>
        <w:t xml:space="preserve">en violación </w:t>
      </w:r>
      <w:r w:rsidR="00B21523" w:rsidRPr="00486FEC">
        <w:rPr>
          <w:rFonts w:ascii="Verdana" w:hAnsi="Verdana"/>
          <w:sz w:val="20"/>
          <w:szCs w:val="20"/>
        </w:rPr>
        <w:t xml:space="preserve">del principio </w:t>
      </w:r>
      <w:r w:rsidR="00BC6949" w:rsidRPr="00486FEC">
        <w:rPr>
          <w:rFonts w:ascii="Verdana" w:hAnsi="Verdana"/>
          <w:sz w:val="20"/>
          <w:szCs w:val="20"/>
        </w:rPr>
        <w:t>de inocencia</w:t>
      </w:r>
      <w:r w:rsidR="00B21523" w:rsidRPr="00486FEC">
        <w:rPr>
          <w:rFonts w:ascii="Verdana" w:hAnsi="Verdana"/>
          <w:sz w:val="20"/>
          <w:szCs w:val="20"/>
        </w:rPr>
        <w:t>, que las que sufrier</w:t>
      </w:r>
      <w:r w:rsidR="005B17BA" w:rsidRPr="00486FEC">
        <w:rPr>
          <w:rFonts w:ascii="Verdana" w:hAnsi="Verdana"/>
          <w:sz w:val="20"/>
          <w:szCs w:val="20"/>
        </w:rPr>
        <w:t>on las supuestas víctimas</w:t>
      </w:r>
      <w:r w:rsidR="00B21523" w:rsidRPr="00486FEC">
        <w:rPr>
          <w:rFonts w:ascii="Verdana" w:hAnsi="Verdana"/>
          <w:sz w:val="20"/>
          <w:szCs w:val="20"/>
        </w:rPr>
        <w:t xml:space="preserve"> en el curso de un proceso regular, fundado en un tipo que respetaba el principio de estricta legalidad y en función de la falsa imputación de un delito en qu</w:t>
      </w:r>
      <w:r w:rsidR="005B17BA" w:rsidRPr="00486FEC">
        <w:rPr>
          <w:rFonts w:ascii="Verdana" w:hAnsi="Verdana"/>
          <w:sz w:val="20"/>
          <w:szCs w:val="20"/>
        </w:rPr>
        <w:t>e no jugaba el interés público sino</w:t>
      </w:r>
      <w:r w:rsidR="00B21523" w:rsidRPr="00486FEC">
        <w:rPr>
          <w:rFonts w:ascii="Verdana" w:hAnsi="Verdana"/>
          <w:sz w:val="20"/>
          <w:szCs w:val="20"/>
        </w:rPr>
        <w:t xml:space="preserve"> que devaluaba la acción de una autoridad nada menos que en la interrupción de un</w:t>
      </w:r>
      <w:r w:rsidR="00CC061E" w:rsidRPr="00486FEC">
        <w:rPr>
          <w:rFonts w:ascii="Verdana" w:hAnsi="Verdana"/>
          <w:sz w:val="20"/>
          <w:szCs w:val="20"/>
        </w:rPr>
        <w:t>a tentativa de</w:t>
      </w:r>
      <w:r w:rsidR="00B21523" w:rsidRPr="00486FEC">
        <w:rPr>
          <w:rFonts w:ascii="Verdana" w:hAnsi="Verdana"/>
          <w:sz w:val="20"/>
          <w:szCs w:val="20"/>
        </w:rPr>
        <w:t xml:space="preserve"> golpe de Estado </w:t>
      </w:r>
      <w:r w:rsidR="00CC061E" w:rsidRPr="00486FEC">
        <w:rPr>
          <w:rFonts w:ascii="Verdana" w:hAnsi="Verdana"/>
          <w:sz w:val="20"/>
          <w:szCs w:val="20"/>
        </w:rPr>
        <w:t>en curso</w:t>
      </w:r>
      <w:r w:rsidR="002F56F5" w:rsidRPr="00486FEC">
        <w:rPr>
          <w:rFonts w:ascii="Verdana" w:hAnsi="Verdana"/>
          <w:sz w:val="20"/>
          <w:szCs w:val="20"/>
        </w:rPr>
        <w:t>.</w:t>
      </w:r>
    </w:p>
    <w:p w14:paraId="2602FA70" w14:textId="67ABCC1E"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58BCCE6A" w14:textId="1316F5B2" w:rsidR="002F56F5" w:rsidRDefault="00B21523"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Pasar por sobre este dato </w:t>
      </w:r>
      <w:r w:rsidR="00CC061E" w:rsidRPr="00486FEC">
        <w:rPr>
          <w:rFonts w:ascii="Verdana" w:hAnsi="Verdana"/>
          <w:sz w:val="20"/>
          <w:szCs w:val="20"/>
        </w:rPr>
        <w:t xml:space="preserve">comparativo de los perjuicios sufridos por las presuntas víctimas del </w:t>
      </w:r>
      <w:r w:rsidR="0043636A" w:rsidRPr="00486FEC">
        <w:rPr>
          <w:rFonts w:ascii="Verdana" w:hAnsi="Verdana"/>
          <w:sz w:val="20"/>
          <w:szCs w:val="20"/>
        </w:rPr>
        <w:t>c</w:t>
      </w:r>
      <w:r w:rsidR="00CC061E" w:rsidRPr="00486FEC">
        <w:rPr>
          <w:rFonts w:ascii="Verdana" w:hAnsi="Verdana"/>
          <w:sz w:val="20"/>
          <w:szCs w:val="20"/>
        </w:rPr>
        <w:t xml:space="preserve">aso con los que se hallan normalizados sobre algunos millones de habitantes de la región, </w:t>
      </w:r>
      <w:r w:rsidRPr="00486FEC">
        <w:rPr>
          <w:rFonts w:ascii="Verdana" w:hAnsi="Verdana"/>
          <w:sz w:val="20"/>
          <w:szCs w:val="20"/>
        </w:rPr>
        <w:t xml:space="preserve">implicaría que el Tribunal extrema el cuidado acerca de las consecuencias negativas de </w:t>
      </w:r>
      <w:r w:rsidR="00D72B77" w:rsidRPr="00486FEC">
        <w:rPr>
          <w:rFonts w:ascii="Verdana" w:hAnsi="Verdana"/>
          <w:sz w:val="20"/>
          <w:szCs w:val="20"/>
        </w:rPr>
        <w:t xml:space="preserve">los </w:t>
      </w:r>
      <w:r w:rsidRPr="00486FEC">
        <w:rPr>
          <w:rFonts w:ascii="Verdana" w:hAnsi="Verdana"/>
          <w:sz w:val="20"/>
          <w:szCs w:val="20"/>
        </w:rPr>
        <w:t>procesamiento</w:t>
      </w:r>
      <w:r w:rsidR="00D72B77" w:rsidRPr="00486FEC">
        <w:rPr>
          <w:rFonts w:ascii="Verdana" w:hAnsi="Verdana"/>
          <w:sz w:val="20"/>
          <w:szCs w:val="20"/>
        </w:rPr>
        <w:t>s</w:t>
      </w:r>
      <w:r w:rsidRPr="00486FEC">
        <w:rPr>
          <w:rFonts w:ascii="Verdana" w:hAnsi="Verdana"/>
          <w:sz w:val="20"/>
          <w:szCs w:val="20"/>
        </w:rPr>
        <w:t xml:space="preserve"> con un nivel </w:t>
      </w:r>
      <w:r w:rsidR="00E3020F" w:rsidRPr="00486FEC">
        <w:rPr>
          <w:rFonts w:ascii="Verdana" w:hAnsi="Verdana"/>
          <w:sz w:val="20"/>
          <w:szCs w:val="20"/>
        </w:rPr>
        <w:t xml:space="preserve">demasiado alto </w:t>
      </w:r>
      <w:r w:rsidR="002F56F5" w:rsidRPr="00486FEC">
        <w:rPr>
          <w:rFonts w:ascii="Verdana" w:hAnsi="Verdana"/>
          <w:sz w:val="20"/>
          <w:szCs w:val="20"/>
        </w:rPr>
        <w:t>de selectividad.</w:t>
      </w:r>
    </w:p>
    <w:p w14:paraId="72DC6782" w14:textId="41873685"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5E47AA53" w14:textId="77777777" w:rsidR="002F56F5" w:rsidRPr="00486FEC" w:rsidRDefault="00A028F7"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Lo que en el caso es </w:t>
      </w:r>
      <w:r w:rsidR="005B17BA" w:rsidRPr="00486FEC">
        <w:rPr>
          <w:rFonts w:ascii="Verdana" w:hAnsi="Verdana"/>
          <w:sz w:val="20"/>
          <w:szCs w:val="20"/>
        </w:rPr>
        <w:t xml:space="preserve">a las claras </w:t>
      </w:r>
      <w:r w:rsidRPr="00486FEC">
        <w:rPr>
          <w:rFonts w:ascii="Verdana" w:hAnsi="Verdana"/>
          <w:sz w:val="20"/>
          <w:szCs w:val="20"/>
        </w:rPr>
        <w:t xml:space="preserve">notoriamente desproporcionado es la sanción impuesta </w:t>
      </w:r>
      <w:r w:rsidR="005B17BA" w:rsidRPr="00486FEC">
        <w:rPr>
          <w:rFonts w:ascii="Verdana" w:hAnsi="Verdana"/>
          <w:sz w:val="20"/>
          <w:szCs w:val="20"/>
        </w:rPr>
        <w:t xml:space="preserve">en la sentencia y </w:t>
      </w:r>
      <w:r w:rsidRPr="00486FEC">
        <w:rPr>
          <w:rFonts w:ascii="Verdana" w:hAnsi="Verdana"/>
          <w:sz w:val="20"/>
          <w:szCs w:val="20"/>
        </w:rPr>
        <w:t>que, como está plenamente establecido en los autos, no se ejecutó ni se intentó ejecutar, de modo que de la sentencia no se derivaron consecuencias negativas para l</w:t>
      </w:r>
      <w:r w:rsidR="00CC061E" w:rsidRPr="00486FEC">
        <w:rPr>
          <w:rFonts w:ascii="Verdana" w:hAnsi="Verdana"/>
          <w:sz w:val="20"/>
          <w:szCs w:val="20"/>
        </w:rPr>
        <w:t xml:space="preserve">as supuestas víctimas </w:t>
      </w:r>
      <w:r w:rsidRPr="00486FEC">
        <w:rPr>
          <w:rFonts w:ascii="Verdana" w:hAnsi="Verdana"/>
          <w:sz w:val="20"/>
          <w:szCs w:val="20"/>
        </w:rPr>
        <w:t xml:space="preserve">y, en caso que algún registro o resabio </w:t>
      </w:r>
      <w:r w:rsidR="00CC061E" w:rsidRPr="00486FEC">
        <w:rPr>
          <w:rFonts w:ascii="Verdana" w:hAnsi="Verdana"/>
          <w:sz w:val="20"/>
          <w:szCs w:val="20"/>
        </w:rPr>
        <w:t xml:space="preserve">de la condenación </w:t>
      </w:r>
      <w:r w:rsidRPr="00486FEC">
        <w:rPr>
          <w:rFonts w:ascii="Verdana" w:hAnsi="Verdana"/>
          <w:sz w:val="20"/>
          <w:szCs w:val="20"/>
        </w:rPr>
        <w:t>quedase vigen</w:t>
      </w:r>
      <w:r w:rsidR="00083D74" w:rsidRPr="00486FEC">
        <w:rPr>
          <w:rFonts w:ascii="Verdana" w:hAnsi="Verdana"/>
          <w:sz w:val="20"/>
          <w:szCs w:val="20"/>
        </w:rPr>
        <w:t>te</w:t>
      </w:r>
      <w:r w:rsidRPr="00486FEC">
        <w:rPr>
          <w:rFonts w:ascii="Verdana" w:hAnsi="Verdana"/>
          <w:sz w:val="20"/>
          <w:szCs w:val="20"/>
        </w:rPr>
        <w:t>, corresponde que la sentencia de esta Corte o</w:t>
      </w:r>
      <w:r w:rsidR="002F56F5" w:rsidRPr="00486FEC">
        <w:rPr>
          <w:rFonts w:ascii="Verdana" w:hAnsi="Verdana"/>
          <w:sz w:val="20"/>
          <w:szCs w:val="20"/>
        </w:rPr>
        <w:t>rdene al Estado su cancelación.</w:t>
      </w:r>
    </w:p>
    <w:p w14:paraId="7E5E089E" w14:textId="77777777" w:rsidR="002F56F5" w:rsidRPr="00486FEC" w:rsidRDefault="002F56F5" w:rsidP="00486FEC">
      <w:pPr>
        <w:pStyle w:val="Prrafodelista"/>
        <w:spacing w:after="0" w:line="240" w:lineRule="auto"/>
        <w:ind w:left="0"/>
        <w:contextualSpacing w:val="0"/>
        <w:jc w:val="both"/>
        <w:rPr>
          <w:rFonts w:ascii="Verdana" w:hAnsi="Verdana"/>
          <w:sz w:val="20"/>
          <w:szCs w:val="20"/>
        </w:rPr>
      </w:pPr>
    </w:p>
    <w:p w14:paraId="787D86C3" w14:textId="77777777" w:rsidR="002F56F5" w:rsidRPr="00486FEC" w:rsidRDefault="00B21523" w:rsidP="00486FEC">
      <w:pPr>
        <w:pStyle w:val="Prrafodelista"/>
        <w:spacing w:after="0" w:line="240" w:lineRule="auto"/>
        <w:ind w:left="709"/>
        <w:contextualSpacing w:val="0"/>
        <w:jc w:val="both"/>
        <w:rPr>
          <w:rFonts w:ascii="Verdana" w:hAnsi="Verdana"/>
          <w:b/>
          <w:sz w:val="20"/>
          <w:szCs w:val="20"/>
        </w:rPr>
      </w:pPr>
      <w:r w:rsidRPr="00486FEC">
        <w:rPr>
          <w:rFonts w:ascii="Verdana" w:hAnsi="Verdana"/>
          <w:b/>
          <w:sz w:val="20"/>
          <w:szCs w:val="20"/>
        </w:rPr>
        <w:t>V.2. La enemistad y las injurias recíprocas</w:t>
      </w:r>
    </w:p>
    <w:p w14:paraId="02A7E04D" w14:textId="77777777" w:rsidR="005541BC" w:rsidRPr="00486FEC" w:rsidRDefault="005541BC" w:rsidP="00486FEC">
      <w:pPr>
        <w:pStyle w:val="Prrafodelista"/>
        <w:spacing w:after="0" w:line="240" w:lineRule="auto"/>
        <w:ind w:left="709"/>
        <w:contextualSpacing w:val="0"/>
        <w:jc w:val="both"/>
        <w:rPr>
          <w:rFonts w:ascii="Verdana" w:hAnsi="Verdana"/>
          <w:b/>
          <w:sz w:val="20"/>
          <w:szCs w:val="20"/>
        </w:rPr>
      </w:pPr>
    </w:p>
    <w:p w14:paraId="7D54AE61" w14:textId="35F0D493" w:rsidR="002F56F5" w:rsidRDefault="004A3D4C"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El actual dirigente opositor mantenía una vieja enemistad con el periodista que resultó procesado, </w:t>
      </w:r>
      <w:r w:rsidR="00B21523" w:rsidRPr="00486FEC">
        <w:rPr>
          <w:rFonts w:ascii="Verdana" w:hAnsi="Verdana"/>
          <w:sz w:val="20"/>
          <w:szCs w:val="20"/>
        </w:rPr>
        <w:t xml:space="preserve">que se remontaba a épocas previas </w:t>
      </w:r>
      <w:r w:rsidRPr="00486FEC">
        <w:rPr>
          <w:rFonts w:ascii="Verdana" w:hAnsi="Verdana"/>
          <w:sz w:val="20"/>
          <w:szCs w:val="20"/>
        </w:rPr>
        <w:t>a que asumiese la presidencia constitucional de la República</w:t>
      </w:r>
      <w:r w:rsidR="00581770" w:rsidRPr="00486FEC">
        <w:rPr>
          <w:rFonts w:ascii="Verdana" w:hAnsi="Verdana"/>
          <w:sz w:val="20"/>
          <w:szCs w:val="20"/>
        </w:rPr>
        <w:t xml:space="preserve">, como </w:t>
      </w:r>
      <w:r w:rsidR="001771F8" w:rsidRPr="00486FEC">
        <w:rPr>
          <w:rFonts w:ascii="Verdana" w:hAnsi="Verdana"/>
          <w:sz w:val="20"/>
          <w:szCs w:val="20"/>
        </w:rPr>
        <w:t xml:space="preserve">la propia supuesta víctima </w:t>
      </w:r>
      <w:r w:rsidR="00581770" w:rsidRPr="00486FEC">
        <w:rPr>
          <w:rFonts w:ascii="Verdana" w:hAnsi="Verdana"/>
          <w:sz w:val="20"/>
          <w:szCs w:val="20"/>
        </w:rPr>
        <w:t>lo declara</w:t>
      </w:r>
      <w:r w:rsidR="005B17BA" w:rsidRPr="00486FEC">
        <w:rPr>
          <w:rFonts w:ascii="Verdana" w:hAnsi="Verdana"/>
          <w:sz w:val="20"/>
          <w:szCs w:val="20"/>
        </w:rPr>
        <w:t>. A</w:t>
      </w:r>
      <w:r w:rsidR="00E3020F" w:rsidRPr="00486FEC">
        <w:rPr>
          <w:rFonts w:ascii="Verdana" w:hAnsi="Verdana"/>
          <w:sz w:val="20"/>
          <w:szCs w:val="20"/>
        </w:rPr>
        <w:t xml:space="preserve"> </w:t>
      </w:r>
      <w:r w:rsidR="0043636A" w:rsidRPr="00486FEC">
        <w:rPr>
          <w:rFonts w:ascii="Verdana" w:hAnsi="Verdana"/>
          <w:sz w:val="20"/>
          <w:szCs w:val="20"/>
        </w:rPr>
        <w:t xml:space="preserve">juzgar </w:t>
      </w:r>
      <w:r w:rsidRPr="00486FEC">
        <w:rPr>
          <w:rFonts w:ascii="Verdana" w:hAnsi="Verdana"/>
          <w:sz w:val="20"/>
          <w:szCs w:val="20"/>
        </w:rPr>
        <w:t>por las expresiones recíprocas</w:t>
      </w:r>
      <w:r w:rsidR="00E3020F" w:rsidRPr="00486FEC">
        <w:rPr>
          <w:rFonts w:ascii="Verdana" w:hAnsi="Verdana"/>
          <w:sz w:val="20"/>
          <w:szCs w:val="20"/>
        </w:rPr>
        <w:t xml:space="preserve">, </w:t>
      </w:r>
      <w:r w:rsidR="001301D2" w:rsidRPr="00486FEC">
        <w:rPr>
          <w:rFonts w:ascii="Verdana" w:hAnsi="Verdana"/>
          <w:sz w:val="20"/>
          <w:szCs w:val="20"/>
        </w:rPr>
        <w:t xml:space="preserve">esa abierta antipatía </w:t>
      </w:r>
      <w:r w:rsidR="00E3020F" w:rsidRPr="00486FEC">
        <w:rPr>
          <w:rFonts w:ascii="Verdana" w:hAnsi="Verdana"/>
          <w:sz w:val="20"/>
          <w:szCs w:val="20"/>
        </w:rPr>
        <w:t>había superado el n</w:t>
      </w:r>
      <w:r w:rsidRPr="00486FEC">
        <w:rPr>
          <w:rFonts w:ascii="Verdana" w:hAnsi="Verdana"/>
          <w:sz w:val="20"/>
          <w:szCs w:val="20"/>
        </w:rPr>
        <w:t xml:space="preserve">ormal nivel de confrontación política para pasar al plano de </w:t>
      </w:r>
      <w:r w:rsidR="001301D2" w:rsidRPr="00486FEC">
        <w:rPr>
          <w:rFonts w:ascii="Verdana" w:hAnsi="Verdana"/>
          <w:sz w:val="20"/>
          <w:szCs w:val="20"/>
        </w:rPr>
        <w:t xml:space="preserve">una </w:t>
      </w:r>
      <w:r w:rsidR="002F56F5" w:rsidRPr="00486FEC">
        <w:rPr>
          <w:rFonts w:ascii="Verdana" w:hAnsi="Verdana"/>
          <w:sz w:val="20"/>
          <w:szCs w:val="20"/>
        </w:rPr>
        <w:t>enemistad personal.</w:t>
      </w:r>
    </w:p>
    <w:p w14:paraId="7317E217"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34B2B93A" w14:textId="1324D8F2" w:rsidR="002F56F5" w:rsidRDefault="004A3D4C"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El cruce de expresiones que se imputa</w:t>
      </w:r>
      <w:r w:rsidR="001301D2" w:rsidRPr="00486FEC">
        <w:rPr>
          <w:rFonts w:ascii="Verdana" w:hAnsi="Verdana"/>
          <w:sz w:val="20"/>
          <w:szCs w:val="20"/>
        </w:rPr>
        <w:t>n por la supuesta</w:t>
      </w:r>
      <w:r w:rsidRPr="00486FEC">
        <w:rPr>
          <w:rFonts w:ascii="Verdana" w:hAnsi="Verdana"/>
          <w:sz w:val="20"/>
          <w:szCs w:val="20"/>
        </w:rPr>
        <w:t xml:space="preserve"> </w:t>
      </w:r>
      <w:r w:rsidR="001301D2" w:rsidRPr="00486FEC">
        <w:rPr>
          <w:rFonts w:ascii="Verdana" w:hAnsi="Verdana"/>
          <w:sz w:val="20"/>
          <w:szCs w:val="20"/>
        </w:rPr>
        <w:t xml:space="preserve">víctima </w:t>
      </w:r>
      <w:r w:rsidRPr="00486FEC">
        <w:rPr>
          <w:rFonts w:ascii="Verdana" w:hAnsi="Verdana"/>
          <w:sz w:val="20"/>
          <w:szCs w:val="20"/>
        </w:rPr>
        <w:t xml:space="preserve">no pasa de los comunes y frecuentes casos de injurias recíprocas que por lo general las legislaciones </w:t>
      </w:r>
      <w:r w:rsidR="00E3020F" w:rsidRPr="00486FEC">
        <w:rPr>
          <w:rFonts w:ascii="Verdana" w:hAnsi="Verdana"/>
          <w:sz w:val="20"/>
          <w:szCs w:val="20"/>
        </w:rPr>
        <w:t xml:space="preserve">dejan impunes por </w:t>
      </w:r>
      <w:r w:rsidR="001301D2" w:rsidRPr="00486FEC">
        <w:rPr>
          <w:rFonts w:ascii="Verdana" w:hAnsi="Verdana"/>
          <w:sz w:val="20"/>
          <w:szCs w:val="20"/>
        </w:rPr>
        <w:t xml:space="preserve">vía de </w:t>
      </w:r>
      <w:r w:rsidR="00E3020F" w:rsidRPr="00486FEC">
        <w:rPr>
          <w:rFonts w:ascii="Verdana" w:hAnsi="Verdana"/>
          <w:sz w:val="20"/>
          <w:szCs w:val="20"/>
        </w:rPr>
        <w:t>compensación</w:t>
      </w:r>
      <w:r w:rsidR="001301D2" w:rsidRPr="00486FEC">
        <w:rPr>
          <w:rFonts w:ascii="Verdana" w:hAnsi="Verdana"/>
          <w:sz w:val="20"/>
          <w:szCs w:val="20"/>
        </w:rPr>
        <w:t>, al igual que las proferidas en juicio</w:t>
      </w:r>
      <w:r w:rsidR="00E3020F" w:rsidRPr="00486FEC">
        <w:rPr>
          <w:rFonts w:ascii="Verdana" w:hAnsi="Verdana"/>
          <w:sz w:val="20"/>
          <w:szCs w:val="20"/>
        </w:rPr>
        <w:t xml:space="preserve">. </w:t>
      </w:r>
      <w:r w:rsidRPr="00486FEC">
        <w:rPr>
          <w:rFonts w:ascii="Verdana" w:hAnsi="Verdana"/>
          <w:sz w:val="20"/>
          <w:szCs w:val="20"/>
        </w:rPr>
        <w:t xml:space="preserve">La circunstancia de </w:t>
      </w:r>
      <w:r w:rsidR="00B21523" w:rsidRPr="00486FEC">
        <w:rPr>
          <w:rFonts w:ascii="Verdana" w:hAnsi="Verdana"/>
          <w:sz w:val="20"/>
          <w:szCs w:val="20"/>
        </w:rPr>
        <w:t xml:space="preserve">que </w:t>
      </w:r>
      <w:r w:rsidRPr="00486FEC">
        <w:rPr>
          <w:rFonts w:ascii="Verdana" w:hAnsi="Verdana"/>
          <w:sz w:val="20"/>
          <w:szCs w:val="20"/>
        </w:rPr>
        <w:t>uno de los enemistados personales llegue a la</w:t>
      </w:r>
      <w:r w:rsidR="00192683" w:rsidRPr="00486FEC">
        <w:rPr>
          <w:rFonts w:ascii="Verdana" w:hAnsi="Verdana"/>
          <w:sz w:val="20"/>
          <w:szCs w:val="20"/>
        </w:rPr>
        <w:t xml:space="preserve"> función pública </w:t>
      </w:r>
      <w:r w:rsidRPr="00486FEC">
        <w:rPr>
          <w:rFonts w:ascii="Verdana" w:hAnsi="Verdana"/>
          <w:sz w:val="20"/>
          <w:szCs w:val="20"/>
        </w:rPr>
        <w:t>no lo obliga a</w:t>
      </w:r>
      <w:r w:rsidR="00B21523" w:rsidRPr="00486FEC">
        <w:rPr>
          <w:rFonts w:ascii="Verdana" w:hAnsi="Verdana"/>
          <w:sz w:val="20"/>
          <w:szCs w:val="20"/>
        </w:rPr>
        <w:t>l silencio</w:t>
      </w:r>
      <w:r w:rsidR="001301D2" w:rsidRPr="00486FEC">
        <w:rPr>
          <w:rFonts w:ascii="Verdana" w:hAnsi="Verdana"/>
          <w:sz w:val="20"/>
          <w:szCs w:val="20"/>
        </w:rPr>
        <w:t xml:space="preserve"> ni le impide beneficiarse con la compensación de las injurias recíprocas</w:t>
      </w:r>
      <w:r w:rsidR="00B21523" w:rsidRPr="00486FEC">
        <w:rPr>
          <w:rFonts w:ascii="Verdana" w:hAnsi="Verdana"/>
          <w:sz w:val="20"/>
          <w:szCs w:val="20"/>
        </w:rPr>
        <w:t xml:space="preserve">, cualquiera sea el juicio ético que merezca su conducta, </w:t>
      </w:r>
      <w:r w:rsidR="00192683" w:rsidRPr="00486FEC">
        <w:rPr>
          <w:rFonts w:ascii="Verdana" w:hAnsi="Verdana"/>
          <w:sz w:val="20"/>
          <w:szCs w:val="20"/>
        </w:rPr>
        <w:t xml:space="preserve">lo </w:t>
      </w:r>
      <w:r w:rsidR="00B21523" w:rsidRPr="00486FEC">
        <w:rPr>
          <w:rFonts w:ascii="Verdana" w:hAnsi="Verdana"/>
          <w:sz w:val="20"/>
          <w:szCs w:val="20"/>
        </w:rPr>
        <w:t xml:space="preserve">que </w:t>
      </w:r>
      <w:r w:rsidR="00192683" w:rsidRPr="00486FEC">
        <w:rPr>
          <w:rFonts w:ascii="Verdana" w:hAnsi="Verdana"/>
          <w:sz w:val="20"/>
          <w:szCs w:val="20"/>
        </w:rPr>
        <w:t>obviamente</w:t>
      </w:r>
      <w:r w:rsidR="001301D2" w:rsidRPr="00486FEC">
        <w:rPr>
          <w:rFonts w:ascii="Verdana" w:hAnsi="Verdana"/>
          <w:sz w:val="20"/>
          <w:szCs w:val="20"/>
        </w:rPr>
        <w:t xml:space="preserve"> es independiente y</w:t>
      </w:r>
      <w:r w:rsidR="00192683" w:rsidRPr="00486FEC">
        <w:rPr>
          <w:rFonts w:ascii="Verdana" w:hAnsi="Verdana"/>
          <w:sz w:val="20"/>
          <w:szCs w:val="20"/>
        </w:rPr>
        <w:t xml:space="preserve"> </w:t>
      </w:r>
      <w:r w:rsidR="00B21523" w:rsidRPr="00486FEC">
        <w:rPr>
          <w:rFonts w:ascii="Verdana" w:hAnsi="Verdana"/>
          <w:sz w:val="20"/>
          <w:szCs w:val="20"/>
        </w:rPr>
        <w:t>está fuera de</w:t>
      </w:r>
      <w:r w:rsidR="002F56F5" w:rsidRPr="00486FEC">
        <w:rPr>
          <w:rFonts w:ascii="Verdana" w:hAnsi="Verdana"/>
          <w:sz w:val="20"/>
          <w:szCs w:val="20"/>
        </w:rPr>
        <w:t xml:space="preserve"> la competencia de esta Corte.</w:t>
      </w:r>
    </w:p>
    <w:p w14:paraId="3B254030" w14:textId="77777777" w:rsidR="00486FEC" w:rsidRPr="00486FEC" w:rsidRDefault="00486FEC" w:rsidP="00486FEC">
      <w:pPr>
        <w:pStyle w:val="Prrafodelista"/>
        <w:rPr>
          <w:rFonts w:ascii="Verdana" w:hAnsi="Verdana"/>
          <w:sz w:val="20"/>
          <w:szCs w:val="20"/>
        </w:rPr>
      </w:pPr>
    </w:p>
    <w:p w14:paraId="07A3851F"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4778A589" w14:textId="0DC79308" w:rsidR="002F56F5" w:rsidRDefault="00192683"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No existe </w:t>
      </w:r>
      <w:r w:rsidR="004A3D4C" w:rsidRPr="00486FEC">
        <w:rPr>
          <w:rFonts w:ascii="Verdana" w:hAnsi="Verdana"/>
          <w:sz w:val="20"/>
          <w:szCs w:val="20"/>
        </w:rPr>
        <w:t>prueba alguna</w:t>
      </w:r>
      <w:r w:rsidRPr="00486FEC">
        <w:rPr>
          <w:rFonts w:ascii="Verdana" w:hAnsi="Verdana"/>
          <w:sz w:val="20"/>
          <w:szCs w:val="20"/>
        </w:rPr>
        <w:t xml:space="preserve">, pues </w:t>
      </w:r>
      <w:r w:rsidR="008C49B2" w:rsidRPr="00486FEC">
        <w:rPr>
          <w:rFonts w:ascii="Verdana" w:hAnsi="Verdana"/>
          <w:sz w:val="20"/>
          <w:szCs w:val="20"/>
        </w:rPr>
        <w:t>ni siquiera se denuncia</w:t>
      </w:r>
      <w:r w:rsidR="00E3020F" w:rsidRPr="00486FEC">
        <w:rPr>
          <w:rFonts w:ascii="Verdana" w:hAnsi="Verdana"/>
          <w:sz w:val="20"/>
          <w:szCs w:val="20"/>
        </w:rPr>
        <w:t>,</w:t>
      </w:r>
      <w:r w:rsidR="008C49B2" w:rsidRPr="00486FEC">
        <w:rPr>
          <w:rFonts w:ascii="Verdana" w:hAnsi="Verdana"/>
          <w:sz w:val="20"/>
          <w:szCs w:val="20"/>
        </w:rPr>
        <w:t xml:space="preserve"> </w:t>
      </w:r>
      <w:r w:rsidR="001301D2" w:rsidRPr="00486FEC">
        <w:rPr>
          <w:rFonts w:ascii="Verdana" w:hAnsi="Verdana"/>
          <w:sz w:val="20"/>
          <w:szCs w:val="20"/>
        </w:rPr>
        <w:t xml:space="preserve">de </w:t>
      </w:r>
      <w:r w:rsidR="004A3D4C" w:rsidRPr="00486FEC">
        <w:rPr>
          <w:rFonts w:ascii="Verdana" w:hAnsi="Verdana"/>
          <w:sz w:val="20"/>
          <w:szCs w:val="20"/>
        </w:rPr>
        <w:t xml:space="preserve">que el funcionario hubiese hecho uso de su poder para perseguir o molestar a </w:t>
      </w:r>
      <w:r w:rsidR="008C49B2" w:rsidRPr="00486FEC">
        <w:rPr>
          <w:rFonts w:ascii="Verdana" w:hAnsi="Verdana"/>
          <w:sz w:val="20"/>
          <w:szCs w:val="20"/>
        </w:rPr>
        <w:t xml:space="preserve">la persona con la que mantenía </w:t>
      </w:r>
      <w:r w:rsidR="004A3D4C" w:rsidRPr="00486FEC">
        <w:rPr>
          <w:rFonts w:ascii="Verdana" w:hAnsi="Verdana"/>
          <w:sz w:val="20"/>
          <w:szCs w:val="20"/>
        </w:rPr>
        <w:t xml:space="preserve">una </w:t>
      </w:r>
      <w:r w:rsidR="008C49B2" w:rsidRPr="00486FEC">
        <w:rPr>
          <w:rFonts w:ascii="Verdana" w:hAnsi="Verdana"/>
          <w:sz w:val="20"/>
          <w:szCs w:val="20"/>
        </w:rPr>
        <w:t xml:space="preserve">vieja </w:t>
      </w:r>
      <w:r w:rsidR="004A3D4C" w:rsidRPr="00486FEC">
        <w:rPr>
          <w:rFonts w:ascii="Verdana" w:hAnsi="Verdana"/>
          <w:sz w:val="20"/>
          <w:szCs w:val="20"/>
        </w:rPr>
        <w:t xml:space="preserve">enemistad </w:t>
      </w:r>
      <w:r w:rsidR="00A503E2" w:rsidRPr="00486FEC">
        <w:rPr>
          <w:rFonts w:ascii="Verdana" w:hAnsi="Verdana"/>
          <w:sz w:val="20"/>
          <w:szCs w:val="20"/>
        </w:rPr>
        <w:t xml:space="preserve">nutrida de expresiones verbales y </w:t>
      </w:r>
      <w:r w:rsidR="004A3D4C" w:rsidRPr="00486FEC">
        <w:rPr>
          <w:rFonts w:ascii="Verdana" w:hAnsi="Verdana"/>
          <w:sz w:val="20"/>
          <w:szCs w:val="20"/>
        </w:rPr>
        <w:t>que había</w:t>
      </w:r>
      <w:r w:rsidR="00B21523" w:rsidRPr="00486FEC">
        <w:rPr>
          <w:rFonts w:ascii="Verdana" w:hAnsi="Verdana"/>
          <w:sz w:val="20"/>
          <w:szCs w:val="20"/>
        </w:rPr>
        <w:t xml:space="preserve"> trascendido el plano político para erigirse en </w:t>
      </w:r>
      <w:r w:rsidR="00E3020F" w:rsidRPr="00486FEC">
        <w:rPr>
          <w:rFonts w:ascii="Verdana" w:hAnsi="Verdana"/>
          <w:sz w:val="20"/>
          <w:szCs w:val="20"/>
        </w:rPr>
        <w:t xml:space="preserve">cuestión </w:t>
      </w:r>
      <w:r w:rsidR="004A3D4C" w:rsidRPr="00486FEC">
        <w:rPr>
          <w:rFonts w:ascii="Verdana" w:hAnsi="Verdana"/>
          <w:sz w:val="20"/>
          <w:szCs w:val="20"/>
        </w:rPr>
        <w:t>personal, puesto que n</w:t>
      </w:r>
      <w:r w:rsidRPr="00486FEC">
        <w:rPr>
          <w:rFonts w:ascii="Verdana" w:hAnsi="Verdana"/>
          <w:sz w:val="20"/>
          <w:szCs w:val="20"/>
        </w:rPr>
        <w:t xml:space="preserve">o se invoca algún </w:t>
      </w:r>
      <w:r w:rsidR="004A3D4C" w:rsidRPr="00486FEC">
        <w:rPr>
          <w:rFonts w:ascii="Verdana" w:hAnsi="Verdana"/>
          <w:sz w:val="20"/>
          <w:szCs w:val="20"/>
        </w:rPr>
        <w:t xml:space="preserve">acto de autoridad pública contra su persona, salvo </w:t>
      </w:r>
      <w:r w:rsidR="00B21523" w:rsidRPr="00486FEC">
        <w:rPr>
          <w:rFonts w:ascii="Verdana" w:hAnsi="Verdana"/>
          <w:sz w:val="20"/>
          <w:szCs w:val="20"/>
        </w:rPr>
        <w:t>los resultantes de</w:t>
      </w:r>
      <w:r w:rsidR="004A3D4C" w:rsidRPr="00486FEC">
        <w:rPr>
          <w:rFonts w:ascii="Verdana" w:hAnsi="Verdana"/>
          <w:sz w:val="20"/>
          <w:szCs w:val="20"/>
        </w:rPr>
        <w:t>l proceso que es materia del presente caso.</w:t>
      </w:r>
      <w:r w:rsidR="00B21523" w:rsidRPr="00486FEC">
        <w:rPr>
          <w:rFonts w:ascii="Verdana" w:hAnsi="Verdana"/>
          <w:sz w:val="20"/>
          <w:szCs w:val="20"/>
        </w:rPr>
        <w:t xml:space="preserve"> </w:t>
      </w:r>
      <w:r w:rsidR="004A3D4C" w:rsidRPr="00486FEC">
        <w:rPr>
          <w:rFonts w:ascii="Verdana" w:hAnsi="Verdana"/>
          <w:sz w:val="20"/>
          <w:szCs w:val="20"/>
        </w:rPr>
        <w:t>La propia supuesta víctima denuncia haber sido amenazada por terceros, pero no por funcionarios</w:t>
      </w:r>
      <w:r w:rsidRPr="00486FEC">
        <w:rPr>
          <w:rFonts w:ascii="Verdana" w:hAnsi="Verdana"/>
          <w:sz w:val="20"/>
          <w:szCs w:val="20"/>
        </w:rPr>
        <w:t xml:space="preserve"> ni por orden o mandato de éstos</w:t>
      </w:r>
      <w:r w:rsidR="002F56F5" w:rsidRPr="00486FEC">
        <w:rPr>
          <w:rFonts w:ascii="Verdana" w:hAnsi="Verdana"/>
          <w:sz w:val="20"/>
          <w:szCs w:val="20"/>
        </w:rPr>
        <w:t>.</w:t>
      </w:r>
    </w:p>
    <w:p w14:paraId="3C605699"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7A734CD6" w14:textId="1C76D647" w:rsidR="002F56F5" w:rsidRDefault="004A3D4C"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Quien asume una posición de abierta enemistad pública y personal con </w:t>
      </w:r>
      <w:r w:rsidR="005B17BA" w:rsidRPr="00486FEC">
        <w:rPr>
          <w:rFonts w:ascii="Verdana" w:hAnsi="Verdana"/>
          <w:sz w:val="20"/>
          <w:szCs w:val="20"/>
        </w:rPr>
        <w:t>una figura notoria</w:t>
      </w:r>
      <w:r w:rsidR="001E1E53" w:rsidRPr="00486FEC">
        <w:rPr>
          <w:rFonts w:ascii="Verdana" w:hAnsi="Verdana"/>
          <w:sz w:val="20"/>
          <w:szCs w:val="20"/>
        </w:rPr>
        <w:t xml:space="preserve"> </w:t>
      </w:r>
      <w:r w:rsidRPr="00486FEC">
        <w:rPr>
          <w:rFonts w:ascii="Verdana" w:hAnsi="Verdana"/>
          <w:sz w:val="20"/>
          <w:szCs w:val="20"/>
        </w:rPr>
        <w:t xml:space="preserve">en </w:t>
      </w:r>
      <w:r w:rsidR="00D72B77" w:rsidRPr="00486FEC">
        <w:rPr>
          <w:rFonts w:ascii="Verdana" w:hAnsi="Verdana"/>
          <w:sz w:val="20"/>
          <w:szCs w:val="20"/>
        </w:rPr>
        <w:t xml:space="preserve">medio </w:t>
      </w:r>
      <w:r w:rsidRPr="00486FEC">
        <w:rPr>
          <w:rFonts w:ascii="Verdana" w:hAnsi="Verdana"/>
          <w:sz w:val="20"/>
          <w:szCs w:val="20"/>
        </w:rPr>
        <w:t>de una fortísima polarización política que divide al país</w:t>
      </w:r>
      <w:r w:rsidR="001301D2" w:rsidRPr="00486FEC">
        <w:rPr>
          <w:rFonts w:ascii="Verdana" w:hAnsi="Verdana"/>
          <w:sz w:val="20"/>
          <w:szCs w:val="20"/>
        </w:rPr>
        <w:t xml:space="preserve"> y en la que toma partido y participa</w:t>
      </w:r>
      <w:r w:rsidR="0043636A" w:rsidRPr="00486FEC">
        <w:rPr>
          <w:rFonts w:ascii="Verdana" w:hAnsi="Verdana"/>
          <w:sz w:val="20"/>
          <w:szCs w:val="20"/>
        </w:rPr>
        <w:t xml:space="preserve"> activamente</w:t>
      </w:r>
      <w:r w:rsidRPr="00486FEC">
        <w:rPr>
          <w:rFonts w:ascii="Verdana" w:hAnsi="Verdana"/>
          <w:sz w:val="20"/>
          <w:szCs w:val="20"/>
        </w:rPr>
        <w:t>,</w:t>
      </w:r>
      <w:r w:rsidR="00192683" w:rsidRPr="00486FEC">
        <w:rPr>
          <w:rFonts w:ascii="Verdana" w:hAnsi="Verdana"/>
          <w:sz w:val="20"/>
          <w:szCs w:val="20"/>
        </w:rPr>
        <w:t xml:space="preserve"> </w:t>
      </w:r>
      <w:r w:rsidR="0043636A" w:rsidRPr="00486FEC">
        <w:rPr>
          <w:rFonts w:ascii="Verdana" w:hAnsi="Verdana"/>
          <w:sz w:val="20"/>
          <w:szCs w:val="20"/>
        </w:rPr>
        <w:t xml:space="preserve">imputando crímenes en ocasión excepcional y violenta como es la del caso, </w:t>
      </w:r>
      <w:r w:rsidR="00192683" w:rsidRPr="00486FEC">
        <w:rPr>
          <w:rFonts w:ascii="Verdana" w:hAnsi="Verdana"/>
          <w:sz w:val="20"/>
          <w:szCs w:val="20"/>
        </w:rPr>
        <w:t xml:space="preserve">sabe que en ese contexto </w:t>
      </w:r>
      <w:r w:rsidR="00D72B77" w:rsidRPr="00486FEC">
        <w:rPr>
          <w:rFonts w:ascii="Verdana" w:hAnsi="Verdana"/>
          <w:sz w:val="20"/>
          <w:szCs w:val="20"/>
        </w:rPr>
        <w:t xml:space="preserve">nada </w:t>
      </w:r>
      <w:r w:rsidR="00A503E2" w:rsidRPr="00486FEC">
        <w:rPr>
          <w:rFonts w:ascii="Verdana" w:hAnsi="Verdana"/>
          <w:sz w:val="20"/>
          <w:szCs w:val="20"/>
        </w:rPr>
        <w:t xml:space="preserve">pacífico </w:t>
      </w:r>
      <w:r w:rsidR="001301D2" w:rsidRPr="00486FEC">
        <w:rPr>
          <w:rFonts w:ascii="Verdana" w:hAnsi="Verdana"/>
          <w:sz w:val="20"/>
          <w:szCs w:val="20"/>
        </w:rPr>
        <w:t xml:space="preserve">suele haber </w:t>
      </w:r>
      <w:r w:rsidR="005B17BA" w:rsidRPr="00486FEC">
        <w:rPr>
          <w:rFonts w:ascii="Verdana" w:hAnsi="Verdana"/>
          <w:sz w:val="20"/>
          <w:szCs w:val="20"/>
        </w:rPr>
        <w:t>exaltados</w:t>
      </w:r>
      <w:r w:rsidR="00192683" w:rsidRPr="00486FEC">
        <w:rPr>
          <w:rFonts w:ascii="Verdana" w:hAnsi="Verdana"/>
          <w:sz w:val="20"/>
          <w:szCs w:val="20"/>
        </w:rPr>
        <w:t xml:space="preserve"> y, por ende,</w:t>
      </w:r>
      <w:r w:rsidRPr="00486FEC">
        <w:rPr>
          <w:rFonts w:ascii="Verdana" w:hAnsi="Verdana"/>
          <w:sz w:val="20"/>
          <w:szCs w:val="20"/>
        </w:rPr>
        <w:t xml:space="preserve"> no puede descartar </w:t>
      </w:r>
      <w:r w:rsidR="001E1E53" w:rsidRPr="00486FEC">
        <w:rPr>
          <w:rFonts w:ascii="Verdana" w:hAnsi="Verdana"/>
          <w:sz w:val="20"/>
          <w:szCs w:val="20"/>
        </w:rPr>
        <w:t xml:space="preserve">–e incluso debe prever como inevitable- </w:t>
      </w:r>
      <w:r w:rsidRPr="00486FEC">
        <w:rPr>
          <w:rFonts w:ascii="Verdana" w:hAnsi="Verdana"/>
          <w:sz w:val="20"/>
          <w:szCs w:val="20"/>
        </w:rPr>
        <w:t>que haya terceros que le ocasionen alguna molestia o que lleguen a amenazarlo</w:t>
      </w:r>
      <w:r w:rsidR="00B21523" w:rsidRPr="00486FEC">
        <w:rPr>
          <w:rFonts w:ascii="Verdana" w:hAnsi="Verdana"/>
          <w:sz w:val="20"/>
          <w:szCs w:val="20"/>
        </w:rPr>
        <w:t>, sin que en eso tenga ninguna incidencia el poder público</w:t>
      </w:r>
      <w:r w:rsidR="0043636A" w:rsidRPr="00486FEC">
        <w:rPr>
          <w:rFonts w:ascii="Verdana" w:hAnsi="Verdana"/>
          <w:sz w:val="20"/>
          <w:szCs w:val="20"/>
        </w:rPr>
        <w:t xml:space="preserve"> y menos el funcionario en forma personal. </w:t>
      </w:r>
      <w:r w:rsidR="001301D2" w:rsidRPr="00486FEC">
        <w:rPr>
          <w:rFonts w:ascii="Verdana" w:hAnsi="Verdana"/>
          <w:sz w:val="20"/>
          <w:szCs w:val="20"/>
        </w:rPr>
        <w:t>Ningún político activo o cualquier persona con protagonismo público en circunstancias de ríspida confrontación es ajeno a esta e</w:t>
      </w:r>
      <w:r w:rsidR="002F56F5" w:rsidRPr="00486FEC">
        <w:rPr>
          <w:rFonts w:ascii="Verdana" w:hAnsi="Verdana"/>
          <w:sz w:val="20"/>
          <w:szCs w:val="20"/>
        </w:rPr>
        <w:t>xperiencia.</w:t>
      </w:r>
    </w:p>
    <w:p w14:paraId="16073604" w14:textId="73F8A1FD"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3457A64E" w14:textId="32A7000C" w:rsidR="002F56F5" w:rsidRDefault="00192683"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De todas formas, el </w:t>
      </w:r>
      <w:r w:rsidR="008C49B2" w:rsidRPr="00486FEC">
        <w:rPr>
          <w:rFonts w:ascii="Verdana" w:hAnsi="Verdana"/>
          <w:sz w:val="20"/>
          <w:szCs w:val="20"/>
        </w:rPr>
        <w:t xml:space="preserve">temor que manifiesta la </w:t>
      </w:r>
      <w:r w:rsidRPr="00486FEC">
        <w:rPr>
          <w:rFonts w:ascii="Verdana" w:hAnsi="Verdana"/>
          <w:sz w:val="20"/>
          <w:szCs w:val="20"/>
        </w:rPr>
        <w:t xml:space="preserve">supuesta </w:t>
      </w:r>
      <w:r w:rsidR="008C49B2" w:rsidRPr="00486FEC">
        <w:rPr>
          <w:rFonts w:ascii="Verdana" w:hAnsi="Verdana"/>
          <w:sz w:val="20"/>
          <w:szCs w:val="20"/>
        </w:rPr>
        <w:t xml:space="preserve">víctima no se prueba que haya sido adecuado al riesgo que </w:t>
      </w:r>
      <w:r w:rsidR="001301D2" w:rsidRPr="00486FEC">
        <w:rPr>
          <w:rFonts w:ascii="Verdana" w:hAnsi="Verdana"/>
          <w:sz w:val="20"/>
          <w:szCs w:val="20"/>
        </w:rPr>
        <w:t xml:space="preserve">alega. </w:t>
      </w:r>
      <w:r w:rsidRPr="00486FEC">
        <w:rPr>
          <w:rFonts w:ascii="Verdana" w:hAnsi="Verdana"/>
          <w:sz w:val="20"/>
          <w:szCs w:val="20"/>
        </w:rPr>
        <w:t xml:space="preserve">Incluso </w:t>
      </w:r>
      <w:r w:rsidR="00A503E2" w:rsidRPr="00486FEC">
        <w:rPr>
          <w:rFonts w:ascii="Verdana" w:hAnsi="Verdana"/>
          <w:sz w:val="20"/>
          <w:szCs w:val="20"/>
        </w:rPr>
        <w:t xml:space="preserve">relata </w:t>
      </w:r>
      <w:r w:rsidR="001E1E53" w:rsidRPr="00486FEC">
        <w:rPr>
          <w:rFonts w:ascii="Verdana" w:hAnsi="Verdana"/>
          <w:sz w:val="20"/>
          <w:szCs w:val="20"/>
        </w:rPr>
        <w:t>que ante una amenaza no se le restó importancia a su denuncia por parte de las autoridades, aunque consideró insuficiente la investiga</w:t>
      </w:r>
      <w:r w:rsidR="002F56F5" w:rsidRPr="00486FEC">
        <w:rPr>
          <w:rFonts w:ascii="Verdana" w:hAnsi="Verdana"/>
          <w:sz w:val="20"/>
          <w:szCs w:val="20"/>
        </w:rPr>
        <w:t>ción policial.</w:t>
      </w:r>
    </w:p>
    <w:p w14:paraId="4BB9AB4B" w14:textId="4F1E0E8C"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2193BBDB" w14:textId="596C74C7" w:rsidR="002F56F5" w:rsidRDefault="008C49B2"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La afirmación de que la desproporción de la sanción impuesta por la sentencia no ejecutada obraría como intimidación carece de sustento: desde los </w:t>
      </w:r>
      <w:r w:rsidR="001301D2" w:rsidRPr="00486FEC">
        <w:rPr>
          <w:rFonts w:ascii="Verdana" w:hAnsi="Verdana"/>
          <w:sz w:val="20"/>
          <w:szCs w:val="20"/>
        </w:rPr>
        <w:t xml:space="preserve">oscuros y por desgracia no lejanos </w:t>
      </w:r>
      <w:r w:rsidRPr="00486FEC">
        <w:rPr>
          <w:rFonts w:ascii="Verdana" w:hAnsi="Verdana"/>
          <w:sz w:val="20"/>
          <w:szCs w:val="20"/>
        </w:rPr>
        <w:t xml:space="preserve">tiempos de las ejecuciones públicas en las plazas se sabe que las penas intimidan –o se cree que lo hacen- cuando se ejecutan. </w:t>
      </w:r>
      <w:r w:rsidR="001E1E53" w:rsidRPr="00486FEC">
        <w:rPr>
          <w:rFonts w:ascii="Verdana" w:hAnsi="Verdana"/>
          <w:sz w:val="20"/>
          <w:szCs w:val="20"/>
        </w:rPr>
        <w:t xml:space="preserve">El grado de temor subjetivo debe ser siempre valorado en atención </w:t>
      </w:r>
      <w:r w:rsidR="001301D2" w:rsidRPr="00486FEC">
        <w:rPr>
          <w:rFonts w:ascii="Verdana" w:hAnsi="Verdana"/>
          <w:sz w:val="20"/>
          <w:szCs w:val="20"/>
        </w:rPr>
        <w:t>a</w:t>
      </w:r>
      <w:r w:rsidR="001E1E53" w:rsidRPr="00486FEC">
        <w:rPr>
          <w:rFonts w:ascii="Verdana" w:hAnsi="Verdana"/>
          <w:sz w:val="20"/>
          <w:szCs w:val="20"/>
        </w:rPr>
        <w:t xml:space="preserve">l peligro objetivo, puesto que no puede </w:t>
      </w:r>
      <w:r w:rsidR="001301D2" w:rsidRPr="00486FEC">
        <w:rPr>
          <w:rFonts w:ascii="Verdana" w:hAnsi="Verdana"/>
          <w:sz w:val="20"/>
          <w:szCs w:val="20"/>
        </w:rPr>
        <w:t xml:space="preserve">estimarse </w:t>
      </w:r>
      <w:r w:rsidR="001E1E53" w:rsidRPr="00486FEC">
        <w:rPr>
          <w:rFonts w:ascii="Verdana" w:hAnsi="Verdana"/>
          <w:sz w:val="20"/>
          <w:szCs w:val="20"/>
        </w:rPr>
        <w:t xml:space="preserve">sólo en función de la mayor o menor sensibilidad de la persona: el miedo normal requiere </w:t>
      </w:r>
      <w:r w:rsidR="00192683" w:rsidRPr="00486FEC">
        <w:rPr>
          <w:rFonts w:ascii="Verdana" w:hAnsi="Verdana"/>
          <w:sz w:val="20"/>
          <w:szCs w:val="20"/>
        </w:rPr>
        <w:t>proporcionalidad con l</w:t>
      </w:r>
      <w:r w:rsidR="001E1E53" w:rsidRPr="00486FEC">
        <w:rPr>
          <w:rFonts w:ascii="Verdana" w:hAnsi="Verdana"/>
          <w:sz w:val="20"/>
          <w:szCs w:val="20"/>
        </w:rPr>
        <w:t xml:space="preserve">a efectiva presencia de un ente amenazante.  Todo esto, sin contar con que </w:t>
      </w:r>
      <w:r w:rsidR="00192683" w:rsidRPr="00486FEC">
        <w:rPr>
          <w:rFonts w:ascii="Verdana" w:hAnsi="Verdana"/>
          <w:sz w:val="20"/>
          <w:szCs w:val="20"/>
        </w:rPr>
        <w:t xml:space="preserve">no es procedente dar </w:t>
      </w:r>
      <w:r w:rsidR="001E1E53" w:rsidRPr="00486FEC">
        <w:rPr>
          <w:rFonts w:ascii="Verdana" w:hAnsi="Verdana"/>
          <w:sz w:val="20"/>
          <w:szCs w:val="20"/>
        </w:rPr>
        <w:t xml:space="preserve">por ciertas las afirmaciones de la supuesta víctima sin </w:t>
      </w:r>
      <w:r w:rsidR="00A503E2" w:rsidRPr="00486FEC">
        <w:rPr>
          <w:rFonts w:ascii="Verdana" w:hAnsi="Verdana"/>
          <w:sz w:val="20"/>
          <w:szCs w:val="20"/>
        </w:rPr>
        <w:t xml:space="preserve">otros </w:t>
      </w:r>
      <w:r w:rsidR="001E1E53" w:rsidRPr="00486FEC">
        <w:rPr>
          <w:rFonts w:ascii="Verdana" w:hAnsi="Verdana"/>
          <w:sz w:val="20"/>
          <w:szCs w:val="20"/>
        </w:rPr>
        <w:t xml:space="preserve">elementos de prueba diferentes </w:t>
      </w:r>
      <w:r w:rsidR="002F56F5" w:rsidRPr="00486FEC">
        <w:rPr>
          <w:rFonts w:ascii="Verdana" w:hAnsi="Verdana"/>
          <w:sz w:val="20"/>
          <w:szCs w:val="20"/>
        </w:rPr>
        <w:t>de sus propios dichos.</w:t>
      </w:r>
    </w:p>
    <w:p w14:paraId="30C8EA82" w14:textId="3FA744D5"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3B9A78E8" w14:textId="77777777" w:rsidR="002F56F5" w:rsidRPr="00486FEC" w:rsidRDefault="00D72B77"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Cabe hacer notar que la supuesta víctima manifiesta que hasta la fecha vive fuera del país, cuando desde hace años el dirigente opositor carece de todo poder </w:t>
      </w:r>
      <w:r w:rsidR="001301D2" w:rsidRPr="00486FEC">
        <w:rPr>
          <w:rFonts w:ascii="Verdana" w:hAnsi="Verdana"/>
          <w:sz w:val="20"/>
          <w:szCs w:val="20"/>
        </w:rPr>
        <w:t>en el territorio del Estado</w:t>
      </w:r>
      <w:r w:rsidRPr="00486FEC">
        <w:rPr>
          <w:rFonts w:ascii="Verdana" w:hAnsi="Verdana"/>
          <w:sz w:val="20"/>
          <w:szCs w:val="20"/>
        </w:rPr>
        <w:t>, lo cual explica manifestando que teme la vuelta del partido opositor</w:t>
      </w:r>
      <w:r w:rsidR="00A503E2" w:rsidRPr="00486FEC">
        <w:rPr>
          <w:rFonts w:ascii="Verdana" w:hAnsi="Verdana"/>
          <w:sz w:val="20"/>
          <w:szCs w:val="20"/>
        </w:rPr>
        <w:t xml:space="preserve"> al gobierno</w:t>
      </w:r>
      <w:r w:rsidRPr="00486FEC">
        <w:rPr>
          <w:rFonts w:ascii="Verdana" w:hAnsi="Verdana"/>
          <w:sz w:val="20"/>
          <w:szCs w:val="20"/>
        </w:rPr>
        <w:t xml:space="preserve">, lo que no parece ser un argumento convincente en cuanto a la proporcionalidad de su temor con el riesgo </w:t>
      </w:r>
      <w:r w:rsidR="002F56F5" w:rsidRPr="00486FEC">
        <w:rPr>
          <w:rFonts w:ascii="Verdana" w:hAnsi="Verdana"/>
          <w:sz w:val="20"/>
          <w:szCs w:val="20"/>
        </w:rPr>
        <w:t>actual</w:t>
      </w:r>
      <w:r w:rsidR="00CA5A0A" w:rsidRPr="00486FEC">
        <w:rPr>
          <w:rFonts w:ascii="Verdana" w:hAnsi="Verdana"/>
          <w:sz w:val="20"/>
          <w:szCs w:val="20"/>
        </w:rPr>
        <w:t xml:space="preserve"> invocado</w:t>
      </w:r>
      <w:r w:rsidR="002F56F5" w:rsidRPr="00486FEC">
        <w:rPr>
          <w:rFonts w:ascii="Verdana" w:hAnsi="Verdana"/>
          <w:sz w:val="20"/>
          <w:szCs w:val="20"/>
        </w:rPr>
        <w:t>.</w:t>
      </w:r>
    </w:p>
    <w:p w14:paraId="301D2689" w14:textId="77777777" w:rsidR="002F56F5" w:rsidRPr="00486FEC" w:rsidRDefault="002F56F5" w:rsidP="00486FEC">
      <w:pPr>
        <w:pStyle w:val="Prrafodelista"/>
        <w:spacing w:after="0" w:line="240" w:lineRule="auto"/>
        <w:ind w:left="0"/>
        <w:contextualSpacing w:val="0"/>
        <w:jc w:val="both"/>
        <w:rPr>
          <w:rFonts w:ascii="Verdana" w:hAnsi="Verdana"/>
          <w:sz w:val="20"/>
          <w:szCs w:val="20"/>
        </w:rPr>
      </w:pPr>
    </w:p>
    <w:p w14:paraId="695C2FD5" w14:textId="77777777" w:rsidR="008109EB" w:rsidRPr="00486FEC" w:rsidRDefault="007E39D7" w:rsidP="00486FEC">
      <w:pPr>
        <w:pStyle w:val="Prrafodelista"/>
        <w:spacing w:after="0" w:line="240" w:lineRule="auto"/>
        <w:ind w:left="0"/>
        <w:contextualSpacing w:val="0"/>
        <w:jc w:val="center"/>
        <w:rPr>
          <w:rFonts w:ascii="Verdana" w:hAnsi="Verdana"/>
          <w:b/>
          <w:sz w:val="20"/>
          <w:szCs w:val="20"/>
        </w:rPr>
      </w:pPr>
      <w:r w:rsidRPr="00486FEC">
        <w:rPr>
          <w:rFonts w:ascii="Verdana" w:hAnsi="Verdana"/>
          <w:b/>
          <w:sz w:val="20"/>
          <w:szCs w:val="20"/>
        </w:rPr>
        <w:t>V</w:t>
      </w:r>
      <w:r w:rsidR="00BE46CE" w:rsidRPr="00486FEC">
        <w:rPr>
          <w:rFonts w:ascii="Verdana" w:hAnsi="Verdana"/>
          <w:b/>
          <w:sz w:val="20"/>
          <w:szCs w:val="20"/>
        </w:rPr>
        <w:t>I</w:t>
      </w:r>
    </w:p>
    <w:p w14:paraId="10A3E4F5" w14:textId="77777777" w:rsidR="002F56F5" w:rsidRPr="00486FEC" w:rsidRDefault="008109EB" w:rsidP="00486FEC">
      <w:pPr>
        <w:pStyle w:val="Prrafodelista"/>
        <w:spacing w:after="0" w:line="240" w:lineRule="auto"/>
        <w:ind w:left="0"/>
        <w:contextualSpacing w:val="0"/>
        <w:jc w:val="center"/>
        <w:rPr>
          <w:rFonts w:ascii="Verdana" w:hAnsi="Verdana"/>
          <w:b/>
          <w:sz w:val="20"/>
          <w:szCs w:val="20"/>
        </w:rPr>
      </w:pPr>
      <w:r w:rsidRPr="00486FEC">
        <w:rPr>
          <w:rFonts w:ascii="Verdana" w:hAnsi="Verdana"/>
          <w:b/>
          <w:sz w:val="20"/>
          <w:szCs w:val="20"/>
        </w:rPr>
        <w:t>INDEFENSIÓN DEL ESTADO: INADMISIBILIDAD DE SU RECONOCIMIENTO DE RESPONSABILIDAD</w:t>
      </w:r>
    </w:p>
    <w:p w14:paraId="7A935807" w14:textId="77777777" w:rsidR="008109EB" w:rsidRPr="00486FEC" w:rsidRDefault="008109EB" w:rsidP="00486FEC">
      <w:pPr>
        <w:pStyle w:val="Prrafodelista"/>
        <w:spacing w:after="0" w:line="240" w:lineRule="auto"/>
        <w:ind w:left="709"/>
        <w:contextualSpacing w:val="0"/>
        <w:jc w:val="both"/>
        <w:rPr>
          <w:rFonts w:ascii="Verdana" w:hAnsi="Verdana"/>
          <w:b/>
          <w:sz w:val="20"/>
          <w:szCs w:val="20"/>
        </w:rPr>
      </w:pPr>
    </w:p>
    <w:p w14:paraId="01A4FA42" w14:textId="77777777" w:rsidR="002F56F5" w:rsidRPr="00486FEC" w:rsidRDefault="0058201C" w:rsidP="00486FEC">
      <w:pPr>
        <w:pStyle w:val="Prrafodelista"/>
        <w:spacing w:after="0" w:line="240" w:lineRule="auto"/>
        <w:ind w:left="709"/>
        <w:contextualSpacing w:val="0"/>
        <w:jc w:val="both"/>
        <w:rPr>
          <w:rFonts w:ascii="Verdana" w:hAnsi="Verdana"/>
          <w:b/>
          <w:sz w:val="20"/>
          <w:szCs w:val="20"/>
        </w:rPr>
      </w:pPr>
      <w:r w:rsidRPr="00486FEC">
        <w:rPr>
          <w:rFonts w:ascii="Verdana" w:hAnsi="Verdana"/>
          <w:b/>
          <w:sz w:val="20"/>
          <w:szCs w:val="20"/>
        </w:rPr>
        <w:t xml:space="preserve">VI.1. </w:t>
      </w:r>
      <w:r w:rsidR="008109EB" w:rsidRPr="00486FEC">
        <w:rPr>
          <w:rFonts w:ascii="Verdana" w:hAnsi="Verdana"/>
          <w:b/>
          <w:sz w:val="20"/>
          <w:szCs w:val="20"/>
        </w:rPr>
        <w:t>La oquedad defensiva del Estado</w:t>
      </w:r>
    </w:p>
    <w:p w14:paraId="3121773E" w14:textId="77777777" w:rsidR="005541BC" w:rsidRPr="00486FEC" w:rsidRDefault="005541BC" w:rsidP="00486FEC">
      <w:pPr>
        <w:pStyle w:val="Prrafodelista"/>
        <w:spacing w:after="0" w:line="240" w:lineRule="auto"/>
        <w:ind w:left="709"/>
        <w:contextualSpacing w:val="0"/>
        <w:jc w:val="both"/>
        <w:rPr>
          <w:rFonts w:ascii="Verdana" w:hAnsi="Verdana"/>
          <w:sz w:val="20"/>
          <w:szCs w:val="20"/>
        </w:rPr>
      </w:pPr>
    </w:p>
    <w:p w14:paraId="6BE84104" w14:textId="7CC2E76E" w:rsidR="002F56F5" w:rsidRDefault="005B17BA"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Las anteriores consideraciones</w:t>
      </w:r>
      <w:r w:rsidR="0029472D" w:rsidRPr="00486FEC">
        <w:rPr>
          <w:rFonts w:ascii="Verdana" w:hAnsi="Verdana"/>
          <w:sz w:val="20"/>
          <w:szCs w:val="20"/>
        </w:rPr>
        <w:t xml:space="preserve"> acerca del hecho, si bien </w:t>
      </w:r>
      <w:r w:rsidR="00D72B77" w:rsidRPr="00486FEC">
        <w:rPr>
          <w:rFonts w:ascii="Verdana" w:hAnsi="Verdana"/>
          <w:sz w:val="20"/>
          <w:szCs w:val="20"/>
        </w:rPr>
        <w:t xml:space="preserve">se </w:t>
      </w:r>
      <w:r w:rsidR="0029472D" w:rsidRPr="00486FEC">
        <w:rPr>
          <w:rFonts w:ascii="Verdana" w:hAnsi="Verdana"/>
          <w:sz w:val="20"/>
          <w:szCs w:val="20"/>
        </w:rPr>
        <w:t>apartan del altamente respetable criterio de la mayoría</w:t>
      </w:r>
      <w:r w:rsidRPr="00486FEC">
        <w:rPr>
          <w:rFonts w:ascii="Verdana" w:hAnsi="Verdana"/>
          <w:sz w:val="20"/>
          <w:szCs w:val="20"/>
        </w:rPr>
        <w:t xml:space="preserve"> de la Corte</w:t>
      </w:r>
      <w:r w:rsidR="0029472D" w:rsidRPr="00486FEC">
        <w:rPr>
          <w:rFonts w:ascii="Verdana" w:hAnsi="Verdana"/>
          <w:sz w:val="20"/>
          <w:szCs w:val="20"/>
        </w:rPr>
        <w:t xml:space="preserve">, de todas formas, </w:t>
      </w:r>
      <w:r w:rsidR="00A503E2" w:rsidRPr="00486FEC">
        <w:rPr>
          <w:rFonts w:ascii="Verdana" w:hAnsi="Verdana"/>
          <w:sz w:val="20"/>
          <w:szCs w:val="20"/>
        </w:rPr>
        <w:t xml:space="preserve">por lo menos </w:t>
      </w:r>
      <w:r w:rsidR="0029472D" w:rsidRPr="00486FEC">
        <w:rPr>
          <w:rFonts w:ascii="Verdana" w:hAnsi="Verdana"/>
          <w:sz w:val="20"/>
          <w:szCs w:val="20"/>
        </w:rPr>
        <w:t>dejan en claro que</w:t>
      </w:r>
      <w:r w:rsidR="00A503E2" w:rsidRPr="00486FEC">
        <w:rPr>
          <w:rFonts w:ascii="Verdana" w:hAnsi="Verdana"/>
          <w:sz w:val="20"/>
          <w:szCs w:val="20"/>
        </w:rPr>
        <w:t xml:space="preserve"> </w:t>
      </w:r>
      <w:r w:rsidR="0058201C" w:rsidRPr="00486FEC">
        <w:rPr>
          <w:rFonts w:ascii="Verdana" w:hAnsi="Verdana"/>
          <w:sz w:val="20"/>
          <w:szCs w:val="20"/>
        </w:rPr>
        <w:t xml:space="preserve">existen </w:t>
      </w:r>
      <w:r w:rsidR="00CA5A0A" w:rsidRPr="00486FEC">
        <w:rPr>
          <w:rFonts w:ascii="Verdana" w:hAnsi="Verdana"/>
          <w:sz w:val="20"/>
          <w:szCs w:val="20"/>
        </w:rPr>
        <w:t xml:space="preserve">considerables </w:t>
      </w:r>
      <w:r w:rsidR="0029472D" w:rsidRPr="00486FEC">
        <w:rPr>
          <w:rFonts w:ascii="Verdana" w:hAnsi="Verdana"/>
          <w:sz w:val="20"/>
          <w:szCs w:val="20"/>
        </w:rPr>
        <w:t xml:space="preserve">argumentos </w:t>
      </w:r>
      <w:r w:rsidR="00CA5A0A" w:rsidRPr="00486FEC">
        <w:rPr>
          <w:rFonts w:ascii="Verdana" w:hAnsi="Verdana"/>
          <w:sz w:val="20"/>
          <w:szCs w:val="20"/>
        </w:rPr>
        <w:t xml:space="preserve">de peso </w:t>
      </w:r>
      <w:r w:rsidR="0029472D" w:rsidRPr="00486FEC">
        <w:rPr>
          <w:rFonts w:ascii="Verdana" w:hAnsi="Verdana"/>
          <w:sz w:val="20"/>
          <w:szCs w:val="20"/>
        </w:rPr>
        <w:t xml:space="preserve">que pudieron ser esgrimidos por el Estado en estos autos, como la muy clara legalidad del tipo de la ley penal vigente al momento del hecho, la extraordinaria trascendencia institucional del hecho </w:t>
      </w:r>
      <w:r w:rsidR="00E37702" w:rsidRPr="00486FEC">
        <w:rPr>
          <w:rFonts w:ascii="Verdana" w:hAnsi="Verdana"/>
          <w:sz w:val="20"/>
          <w:szCs w:val="20"/>
        </w:rPr>
        <w:t xml:space="preserve">de violencia anárquica </w:t>
      </w:r>
      <w:r w:rsidR="0029472D" w:rsidRPr="00486FEC">
        <w:rPr>
          <w:rFonts w:ascii="Verdana" w:hAnsi="Verdana"/>
          <w:sz w:val="20"/>
          <w:szCs w:val="20"/>
        </w:rPr>
        <w:t xml:space="preserve">a que se estaba refiriendo el periodista en su artículo, la ausencia de persecución </w:t>
      </w:r>
      <w:r w:rsidR="00746292" w:rsidRPr="00486FEC">
        <w:rPr>
          <w:rFonts w:ascii="Verdana" w:hAnsi="Verdana"/>
          <w:sz w:val="20"/>
          <w:szCs w:val="20"/>
        </w:rPr>
        <w:t xml:space="preserve">u hostigamiento </w:t>
      </w:r>
      <w:r w:rsidR="0029472D" w:rsidRPr="00486FEC">
        <w:rPr>
          <w:rFonts w:ascii="Verdana" w:hAnsi="Verdana"/>
          <w:sz w:val="20"/>
          <w:szCs w:val="20"/>
        </w:rPr>
        <w:t>por parte de las autoridades</w:t>
      </w:r>
      <w:r w:rsidR="00A06368" w:rsidRPr="00486FEC">
        <w:rPr>
          <w:rFonts w:ascii="Verdana" w:hAnsi="Verdana"/>
          <w:sz w:val="20"/>
          <w:szCs w:val="20"/>
        </w:rPr>
        <w:t xml:space="preserve">, </w:t>
      </w:r>
      <w:r w:rsidR="0029472D" w:rsidRPr="00486FEC">
        <w:rPr>
          <w:rFonts w:ascii="Verdana" w:hAnsi="Verdana"/>
          <w:sz w:val="20"/>
          <w:szCs w:val="20"/>
        </w:rPr>
        <w:t>el poco frecuente hecho del secuestro del titular del poder ejecutivo</w:t>
      </w:r>
      <w:r w:rsidR="00A06368" w:rsidRPr="00486FEC">
        <w:rPr>
          <w:rFonts w:ascii="Verdana" w:hAnsi="Verdana"/>
          <w:sz w:val="20"/>
          <w:szCs w:val="20"/>
        </w:rPr>
        <w:t xml:space="preserve"> y el interés público en la continuidad institucional</w:t>
      </w:r>
      <w:r w:rsidR="002F56F5" w:rsidRPr="00486FEC">
        <w:rPr>
          <w:rFonts w:ascii="Verdana" w:hAnsi="Verdana"/>
          <w:sz w:val="20"/>
          <w:szCs w:val="20"/>
        </w:rPr>
        <w:t>.</w:t>
      </w:r>
    </w:p>
    <w:p w14:paraId="5C35630A"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48132456" w14:textId="44290238" w:rsidR="002F56F5" w:rsidRDefault="0029472D"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Nada de esto puede haber pasado por alto al Estado al considerar el caso, porque son argumentos que</w:t>
      </w:r>
      <w:r w:rsidR="005B17BA" w:rsidRPr="00486FEC">
        <w:rPr>
          <w:rFonts w:ascii="Verdana" w:hAnsi="Verdana"/>
          <w:sz w:val="20"/>
          <w:szCs w:val="20"/>
        </w:rPr>
        <w:t xml:space="preserve"> nunca podr</w:t>
      </w:r>
      <w:r w:rsidR="00A657D1" w:rsidRPr="00486FEC">
        <w:rPr>
          <w:rFonts w:ascii="Verdana" w:hAnsi="Verdana"/>
          <w:sz w:val="20"/>
          <w:szCs w:val="20"/>
        </w:rPr>
        <w:t>ían escap</w:t>
      </w:r>
      <w:r w:rsidR="005B17BA" w:rsidRPr="00486FEC">
        <w:rPr>
          <w:rFonts w:ascii="Verdana" w:hAnsi="Verdana"/>
          <w:sz w:val="20"/>
          <w:szCs w:val="20"/>
        </w:rPr>
        <w:t>ar</w:t>
      </w:r>
      <w:r w:rsidRPr="00486FEC">
        <w:rPr>
          <w:rFonts w:ascii="Verdana" w:hAnsi="Verdana"/>
          <w:sz w:val="20"/>
          <w:szCs w:val="20"/>
        </w:rPr>
        <w:t xml:space="preserve"> a la atención más elemental de cualquier abogado o letrado, </w:t>
      </w:r>
      <w:r w:rsidR="00746292" w:rsidRPr="00486FEC">
        <w:rPr>
          <w:rFonts w:ascii="Verdana" w:hAnsi="Verdana"/>
          <w:sz w:val="20"/>
          <w:szCs w:val="20"/>
        </w:rPr>
        <w:t xml:space="preserve">por muy inexperto o </w:t>
      </w:r>
      <w:r w:rsidR="00CA5A0A" w:rsidRPr="00486FEC">
        <w:rPr>
          <w:rFonts w:ascii="Verdana" w:hAnsi="Verdana"/>
          <w:sz w:val="20"/>
          <w:szCs w:val="20"/>
        </w:rPr>
        <w:t xml:space="preserve">bisoño </w:t>
      </w:r>
      <w:r w:rsidR="00746292" w:rsidRPr="00486FEC">
        <w:rPr>
          <w:rFonts w:ascii="Verdana" w:hAnsi="Verdana"/>
          <w:sz w:val="20"/>
          <w:szCs w:val="20"/>
        </w:rPr>
        <w:t>que fuese</w:t>
      </w:r>
      <w:r w:rsidR="005720AA" w:rsidRPr="00486FEC">
        <w:rPr>
          <w:rFonts w:ascii="Verdana" w:hAnsi="Verdana"/>
          <w:sz w:val="20"/>
          <w:szCs w:val="20"/>
        </w:rPr>
        <w:t xml:space="preserve">. </w:t>
      </w:r>
      <w:r w:rsidRPr="00486FEC">
        <w:rPr>
          <w:rFonts w:ascii="Verdana" w:hAnsi="Verdana"/>
          <w:sz w:val="20"/>
          <w:szCs w:val="20"/>
        </w:rPr>
        <w:t>Sin embargo, el Estado no ensayó ninguno de ellos</w:t>
      </w:r>
      <w:r w:rsidR="00A06368" w:rsidRPr="00486FEC">
        <w:rPr>
          <w:rFonts w:ascii="Verdana" w:hAnsi="Verdana"/>
          <w:sz w:val="20"/>
          <w:szCs w:val="20"/>
        </w:rPr>
        <w:t xml:space="preserve"> ante la Corte</w:t>
      </w:r>
      <w:r w:rsidR="002F56F5" w:rsidRPr="00486FEC">
        <w:rPr>
          <w:rFonts w:ascii="Verdana" w:hAnsi="Verdana"/>
          <w:sz w:val="20"/>
          <w:szCs w:val="20"/>
        </w:rPr>
        <w:t>.</w:t>
      </w:r>
    </w:p>
    <w:p w14:paraId="7446ECCA" w14:textId="09C467E8"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2165CC70" w14:textId="3C2CEAAF" w:rsidR="002F56F5" w:rsidRDefault="00A503E2"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No obstante, </w:t>
      </w:r>
      <w:r w:rsidR="00CA5A0A" w:rsidRPr="00486FEC">
        <w:rPr>
          <w:rFonts w:ascii="Verdana" w:hAnsi="Verdana"/>
          <w:sz w:val="20"/>
          <w:szCs w:val="20"/>
        </w:rPr>
        <w:t xml:space="preserve">todo indica que </w:t>
      </w:r>
      <w:r w:rsidR="002515E1" w:rsidRPr="00486FEC">
        <w:rPr>
          <w:rFonts w:ascii="Verdana" w:hAnsi="Verdana"/>
          <w:sz w:val="20"/>
          <w:szCs w:val="20"/>
        </w:rPr>
        <w:t xml:space="preserve">la indefensión del Estado no </w:t>
      </w:r>
      <w:r w:rsidR="00A657D1" w:rsidRPr="00486FEC">
        <w:rPr>
          <w:rFonts w:ascii="Verdana" w:hAnsi="Verdana"/>
          <w:sz w:val="20"/>
          <w:szCs w:val="20"/>
        </w:rPr>
        <w:t xml:space="preserve">obedece a negligencia o </w:t>
      </w:r>
      <w:r w:rsidR="00A657D1" w:rsidRPr="00486FEC">
        <w:rPr>
          <w:rFonts w:ascii="Verdana" w:hAnsi="Verdana"/>
          <w:i/>
          <w:sz w:val="20"/>
          <w:szCs w:val="20"/>
        </w:rPr>
        <w:t>mala praxis</w:t>
      </w:r>
      <w:r w:rsidR="00A657D1" w:rsidRPr="00486FEC">
        <w:rPr>
          <w:rFonts w:ascii="Verdana" w:hAnsi="Verdana"/>
          <w:sz w:val="20"/>
          <w:szCs w:val="20"/>
        </w:rPr>
        <w:t xml:space="preserve"> jurídica,</w:t>
      </w:r>
      <w:r w:rsidR="002515E1" w:rsidRPr="00486FEC">
        <w:rPr>
          <w:rFonts w:ascii="Verdana" w:hAnsi="Verdana"/>
          <w:sz w:val="20"/>
          <w:szCs w:val="20"/>
        </w:rPr>
        <w:t xml:space="preserve"> sino a clara intencionalidad. Prueba de que el </w:t>
      </w:r>
      <w:r w:rsidR="005720AA" w:rsidRPr="00486FEC">
        <w:rPr>
          <w:rFonts w:ascii="Verdana" w:hAnsi="Verdana"/>
          <w:sz w:val="20"/>
          <w:szCs w:val="20"/>
        </w:rPr>
        <w:t xml:space="preserve">Estado </w:t>
      </w:r>
      <w:r w:rsidR="00746292" w:rsidRPr="00486FEC">
        <w:rPr>
          <w:rFonts w:ascii="Verdana" w:hAnsi="Verdana"/>
          <w:sz w:val="20"/>
          <w:szCs w:val="20"/>
        </w:rPr>
        <w:t xml:space="preserve">no ha </w:t>
      </w:r>
      <w:r w:rsidR="005720AA" w:rsidRPr="00486FEC">
        <w:rPr>
          <w:rFonts w:ascii="Verdana" w:hAnsi="Verdana"/>
          <w:sz w:val="20"/>
          <w:szCs w:val="20"/>
        </w:rPr>
        <w:t xml:space="preserve">estado huérfano de adecuado asesoramiento </w:t>
      </w:r>
      <w:r w:rsidR="00CA5A0A" w:rsidRPr="00486FEC">
        <w:rPr>
          <w:rFonts w:ascii="Verdana" w:hAnsi="Verdana"/>
          <w:sz w:val="20"/>
          <w:szCs w:val="20"/>
        </w:rPr>
        <w:t xml:space="preserve">y su actuación respondió a muy buena técnica jurídica, </w:t>
      </w:r>
      <w:r w:rsidR="002515E1" w:rsidRPr="00486FEC">
        <w:rPr>
          <w:rFonts w:ascii="Verdana" w:hAnsi="Verdana"/>
          <w:sz w:val="20"/>
          <w:szCs w:val="20"/>
        </w:rPr>
        <w:t xml:space="preserve">es la habilidad con que maneja la </w:t>
      </w:r>
      <w:r w:rsidR="006642C7" w:rsidRPr="00486FEC">
        <w:rPr>
          <w:rFonts w:ascii="Verdana" w:hAnsi="Verdana"/>
          <w:sz w:val="20"/>
          <w:szCs w:val="20"/>
        </w:rPr>
        <w:t xml:space="preserve">nada azarosa </w:t>
      </w:r>
      <w:r w:rsidR="002515E1" w:rsidRPr="00486FEC">
        <w:rPr>
          <w:rFonts w:ascii="Verdana" w:hAnsi="Verdana"/>
          <w:sz w:val="20"/>
          <w:szCs w:val="20"/>
        </w:rPr>
        <w:t xml:space="preserve">parcialidad de su reconocimiento de responsabilidad, en la que con fino bisturí separa la </w:t>
      </w:r>
      <w:r w:rsidR="00A06368" w:rsidRPr="00486FEC">
        <w:rPr>
          <w:rFonts w:ascii="Verdana" w:hAnsi="Verdana"/>
          <w:sz w:val="20"/>
          <w:szCs w:val="20"/>
        </w:rPr>
        <w:t>materia que rechaza, limita</w:t>
      </w:r>
      <w:r w:rsidRPr="00486FEC">
        <w:rPr>
          <w:rFonts w:ascii="Verdana" w:hAnsi="Verdana"/>
          <w:sz w:val="20"/>
          <w:szCs w:val="20"/>
        </w:rPr>
        <w:t>da</w:t>
      </w:r>
      <w:r w:rsidR="00A06368" w:rsidRPr="00486FEC">
        <w:rPr>
          <w:rFonts w:ascii="Verdana" w:hAnsi="Verdana"/>
          <w:sz w:val="20"/>
          <w:szCs w:val="20"/>
        </w:rPr>
        <w:t xml:space="preserve"> </w:t>
      </w:r>
      <w:r w:rsidR="005720AA" w:rsidRPr="00486FEC">
        <w:rPr>
          <w:rFonts w:ascii="Verdana" w:hAnsi="Verdana"/>
          <w:sz w:val="20"/>
          <w:szCs w:val="20"/>
        </w:rPr>
        <w:t>exclusivamente a las alt</w:t>
      </w:r>
      <w:r w:rsidR="00A06368" w:rsidRPr="00486FEC">
        <w:rPr>
          <w:rFonts w:ascii="Verdana" w:hAnsi="Verdana"/>
          <w:sz w:val="20"/>
          <w:szCs w:val="20"/>
        </w:rPr>
        <w:t>ísimas s</w:t>
      </w:r>
      <w:r w:rsidR="005720AA" w:rsidRPr="00486FEC">
        <w:rPr>
          <w:rFonts w:ascii="Verdana" w:hAnsi="Verdana"/>
          <w:sz w:val="20"/>
          <w:szCs w:val="20"/>
        </w:rPr>
        <w:t xml:space="preserve">umas </w:t>
      </w:r>
      <w:r w:rsidR="00A06368" w:rsidRPr="00486FEC">
        <w:rPr>
          <w:rFonts w:ascii="Verdana" w:hAnsi="Verdana"/>
          <w:sz w:val="20"/>
          <w:szCs w:val="20"/>
        </w:rPr>
        <w:t>que en razón de un daño patrimonial no probado reclaman l</w:t>
      </w:r>
      <w:r w:rsidR="00746292" w:rsidRPr="00486FEC">
        <w:rPr>
          <w:rFonts w:ascii="Verdana" w:hAnsi="Verdana"/>
          <w:sz w:val="20"/>
          <w:szCs w:val="20"/>
        </w:rPr>
        <w:t xml:space="preserve">as supuestas víctimas, </w:t>
      </w:r>
      <w:r w:rsidR="002515E1" w:rsidRPr="00486FEC">
        <w:rPr>
          <w:rFonts w:ascii="Verdana" w:hAnsi="Verdana"/>
          <w:sz w:val="20"/>
          <w:szCs w:val="20"/>
        </w:rPr>
        <w:t xml:space="preserve">del amplio reconocimiento de la </w:t>
      </w:r>
      <w:r w:rsidR="000227BB" w:rsidRPr="00486FEC">
        <w:rPr>
          <w:rFonts w:ascii="Verdana" w:hAnsi="Verdana"/>
          <w:sz w:val="20"/>
          <w:szCs w:val="20"/>
        </w:rPr>
        <w:t xml:space="preserve">responsabilidad </w:t>
      </w:r>
      <w:r w:rsidR="006642C7" w:rsidRPr="00486FEC">
        <w:rPr>
          <w:rFonts w:ascii="Verdana" w:hAnsi="Verdana"/>
          <w:sz w:val="20"/>
          <w:szCs w:val="20"/>
        </w:rPr>
        <w:t xml:space="preserve">de </w:t>
      </w:r>
      <w:r w:rsidR="000227BB" w:rsidRPr="00486FEC">
        <w:rPr>
          <w:rFonts w:ascii="Verdana" w:hAnsi="Verdana"/>
          <w:sz w:val="20"/>
          <w:szCs w:val="20"/>
        </w:rPr>
        <w:t xml:space="preserve">lo impetrado </w:t>
      </w:r>
      <w:r w:rsidR="005720AA" w:rsidRPr="00486FEC">
        <w:rPr>
          <w:rFonts w:ascii="Verdana" w:hAnsi="Verdana"/>
          <w:sz w:val="20"/>
          <w:szCs w:val="20"/>
        </w:rPr>
        <w:t>por ést</w:t>
      </w:r>
      <w:r w:rsidR="00746292" w:rsidRPr="00486FEC">
        <w:rPr>
          <w:rFonts w:ascii="Verdana" w:hAnsi="Verdana"/>
          <w:sz w:val="20"/>
          <w:szCs w:val="20"/>
        </w:rPr>
        <w:t>a</w:t>
      </w:r>
      <w:r w:rsidR="005720AA" w:rsidRPr="00486FEC">
        <w:rPr>
          <w:rFonts w:ascii="Verdana" w:hAnsi="Verdana"/>
          <w:sz w:val="20"/>
          <w:szCs w:val="20"/>
        </w:rPr>
        <w:t xml:space="preserve">s </w:t>
      </w:r>
      <w:r w:rsidR="002515E1" w:rsidRPr="00486FEC">
        <w:rPr>
          <w:rFonts w:ascii="Verdana" w:hAnsi="Verdana"/>
          <w:sz w:val="20"/>
          <w:szCs w:val="20"/>
        </w:rPr>
        <w:t xml:space="preserve">en todo lo </w:t>
      </w:r>
      <w:r w:rsidR="005720AA" w:rsidRPr="00486FEC">
        <w:rPr>
          <w:rFonts w:ascii="Verdana" w:hAnsi="Verdana"/>
          <w:sz w:val="20"/>
          <w:szCs w:val="20"/>
        </w:rPr>
        <w:t xml:space="preserve">que </w:t>
      </w:r>
      <w:r w:rsidR="000227BB" w:rsidRPr="00486FEC">
        <w:rPr>
          <w:rFonts w:ascii="Verdana" w:hAnsi="Verdana"/>
          <w:sz w:val="20"/>
          <w:szCs w:val="20"/>
        </w:rPr>
        <w:t>redundará en perjuicio del condenado real</w:t>
      </w:r>
      <w:r w:rsidR="00A657D1" w:rsidRPr="00486FEC">
        <w:rPr>
          <w:rFonts w:ascii="Verdana" w:hAnsi="Verdana"/>
          <w:sz w:val="20"/>
          <w:szCs w:val="20"/>
        </w:rPr>
        <w:t xml:space="preserve"> u óntico</w:t>
      </w:r>
      <w:r w:rsidR="000227BB" w:rsidRPr="00486FEC">
        <w:rPr>
          <w:rFonts w:ascii="Verdana" w:hAnsi="Verdana"/>
          <w:sz w:val="20"/>
          <w:szCs w:val="20"/>
        </w:rPr>
        <w:t xml:space="preserve">, es decir, del </w:t>
      </w:r>
      <w:r w:rsidR="00746292" w:rsidRPr="00486FEC">
        <w:rPr>
          <w:rFonts w:ascii="Verdana" w:hAnsi="Verdana"/>
          <w:sz w:val="20"/>
          <w:szCs w:val="20"/>
        </w:rPr>
        <w:t>d</w:t>
      </w:r>
      <w:r w:rsidR="000227BB" w:rsidRPr="00486FEC">
        <w:rPr>
          <w:rFonts w:ascii="Verdana" w:hAnsi="Verdana"/>
          <w:sz w:val="20"/>
          <w:szCs w:val="20"/>
        </w:rPr>
        <w:t xml:space="preserve">irigente del </w:t>
      </w:r>
      <w:r w:rsidR="00746292" w:rsidRPr="00486FEC">
        <w:rPr>
          <w:rFonts w:ascii="Verdana" w:hAnsi="Verdana"/>
          <w:sz w:val="20"/>
          <w:szCs w:val="20"/>
        </w:rPr>
        <w:t xml:space="preserve">principal </w:t>
      </w:r>
      <w:r w:rsidR="000227BB" w:rsidRPr="00486FEC">
        <w:rPr>
          <w:rFonts w:ascii="Verdana" w:hAnsi="Verdana"/>
          <w:sz w:val="20"/>
          <w:szCs w:val="20"/>
        </w:rPr>
        <w:t xml:space="preserve">partido opositor en la encarnizada </w:t>
      </w:r>
      <w:r w:rsidR="002F56F5" w:rsidRPr="00486FEC">
        <w:rPr>
          <w:rFonts w:ascii="Verdana" w:hAnsi="Verdana"/>
          <w:sz w:val="20"/>
          <w:szCs w:val="20"/>
        </w:rPr>
        <w:t>polarización política del país.</w:t>
      </w:r>
    </w:p>
    <w:p w14:paraId="22340BD3" w14:textId="7883E17E"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5960AC51" w14:textId="51EE1911" w:rsidR="002F56F5" w:rsidRDefault="00A657D1"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Me permito</w:t>
      </w:r>
      <w:r w:rsidR="00746292" w:rsidRPr="00486FEC">
        <w:rPr>
          <w:rFonts w:ascii="Verdana" w:hAnsi="Verdana"/>
          <w:sz w:val="20"/>
          <w:szCs w:val="20"/>
        </w:rPr>
        <w:t xml:space="preserve"> insistir en que </w:t>
      </w:r>
      <w:r w:rsidR="000227BB" w:rsidRPr="00486FEC">
        <w:rPr>
          <w:rFonts w:ascii="Verdana" w:hAnsi="Verdana"/>
          <w:sz w:val="20"/>
          <w:szCs w:val="20"/>
        </w:rPr>
        <w:t xml:space="preserve">no es posible ignorar que el reconocimiento de responsabilidad </w:t>
      </w:r>
      <w:r w:rsidR="00746292" w:rsidRPr="00486FEC">
        <w:rPr>
          <w:rFonts w:ascii="Verdana" w:hAnsi="Verdana"/>
          <w:sz w:val="20"/>
          <w:szCs w:val="20"/>
        </w:rPr>
        <w:t xml:space="preserve">ni siquiera </w:t>
      </w:r>
      <w:r w:rsidR="000227BB" w:rsidRPr="00486FEC">
        <w:rPr>
          <w:rFonts w:ascii="Verdana" w:hAnsi="Verdana"/>
          <w:sz w:val="20"/>
          <w:szCs w:val="20"/>
        </w:rPr>
        <w:t xml:space="preserve">tuvo lugar durante la actual administración, sino durante el mandato del mismo presidente que fue empoderado en la forma </w:t>
      </w:r>
      <w:r w:rsidR="000227BB" w:rsidRPr="00486FEC">
        <w:rPr>
          <w:rFonts w:ascii="Verdana" w:hAnsi="Verdana"/>
          <w:i/>
          <w:sz w:val="20"/>
          <w:szCs w:val="20"/>
        </w:rPr>
        <w:t>supra</w:t>
      </w:r>
      <w:r w:rsidR="005720AA" w:rsidRPr="00486FEC">
        <w:rPr>
          <w:rFonts w:ascii="Verdana" w:hAnsi="Verdana"/>
          <w:sz w:val="20"/>
          <w:szCs w:val="20"/>
        </w:rPr>
        <w:t xml:space="preserve"> señalada en función de la cuestionada </w:t>
      </w:r>
      <w:r w:rsidR="000227BB" w:rsidRPr="00486FEC">
        <w:rPr>
          <w:rFonts w:ascii="Verdana" w:hAnsi="Verdana"/>
          <w:sz w:val="20"/>
          <w:szCs w:val="20"/>
        </w:rPr>
        <w:t xml:space="preserve">consulta popular y cuyas acciones </w:t>
      </w:r>
      <w:r w:rsidR="00E37702" w:rsidRPr="00486FEC">
        <w:rPr>
          <w:rFonts w:ascii="Verdana" w:hAnsi="Verdana"/>
          <w:sz w:val="20"/>
          <w:szCs w:val="20"/>
        </w:rPr>
        <w:t xml:space="preserve">encaminadas contra su oposición </w:t>
      </w:r>
      <w:r w:rsidR="000227BB" w:rsidRPr="00486FEC">
        <w:rPr>
          <w:rFonts w:ascii="Verdana" w:hAnsi="Verdana"/>
          <w:sz w:val="20"/>
          <w:szCs w:val="20"/>
        </w:rPr>
        <w:t xml:space="preserve">generaron </w:t>
      </w:r>
      <w:r w:rsidR="00A503E2" w:rsidRPr="00486FEC">
        <w:rPr>
          <w:rFonts w:ascii="Verdana" w:hAnsi="Verdana"/>
          <w:sz w:val="20"/>
          <w:szCs w:val="20"/>
        </w:rPr>
        <w:t>el contexto institucional particular a que se hizo referencia</w:t>
      </w:r>
      <w:r w:rsidR="0076044F" w:rsidRPr="00486FEC">
        <w:rPr>
          <w:rFonts w:ascii="Verdana" w:hAnsi="Verdana"/>
          <w:sz w:val="20"/>
          <w:szCs w:val="20"/>
        </w:rPr>
        <w:t xml:space="preserve">, en condiciones tales que ahora se declaran admisibles sus denuncias en la Comisión </w:t>
      </w:r>
      <w:r w:rsidR="00746292" w:rsidRPr="00486FEC">
        <w:rPr>
          <w:rFonts w:ascii="Verdana" w:hAnsi="Verdana"/>
          <w:sz w:val="20"/>
          <w:szCs w:val="20"/>
        </w:rPr>
        <w:t xml:space="preserve">Interamericana </w:t>
      </w:r>
      <w:r w:rsidR="0076044F" w:rsidRPr="00486FEC">
        <w:rPr>
          <w:rFonts w:ascii="Verdana" w:hAnsi="Verdana"/>
          <w:sz w:val="20"/>
          <w:szCs w:val="20"/>
        </w:rPr>
        <w:t>y</w:t>
      </w:r>
      <w:r w:rsidR="00746292" w:rsidRPr="00486FEC">
        <w:rPr>
          <w:rFonts w:ascii="Verdana" w:hAnsi="Verdana"/>
          <w:sz w:val="20"/>
          <w:szCs w:val="20"/>
        </w:rPr>
        <w:t xml:space="preserve"> se les da trámite </w:t>
      </w:r>
      <w:r w:rsidR="0076044F" w:rsidRPr="00486FEC">
        <w:rPr>
          <w:rFonts w:ascii="Verdana" w:hAnsi="Verdana"/>
          <w:sz w:val="20"/>
          <w:szCs w:val="20"/>
        </w:rPr>
        <w:t>en la ONU</w:t>
      </w:r>
      <w:r w:rsidR="002F56F5" w:rsidRPr="00486FEC">
        <w:rPr>
          <w:rFonts w:ascii="Verdana" w:hAnsi="Verdana"/>
          <w:sz w:val="20"/>
          <w:szCs w:val="20"/>
        </w:rPr>
        <w:t>.</w:t>
      </w:r>
    </w:p>
    <w:p w14:paraId="36447612" w14:textId="44352351"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6CBF9223" w14:textId="29D6A4C7" w:rsidR="002F56F5" w:rsidRDefault="00A657D1"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En el contexto de la durísima</w:t>
      </w:r>
      <w:r w:rsidR="000227BB" w:rsidRPr="00486FEC">
        <w:rPr>
          <w:rFonts w:ascii="Verdana" w:hAnsi="Verdana"/>
          <w:sz w:val="20"/>
          <w:szCs w:val="20"/>
        </w:rPr>
        <w:t xml:space="preserve"> confrontación política interna, resulta claramente obvio que la condenación </w:t>
      </w:r>
      <w:r w:rsidR="000227BB" w:rsidRPr="00486FEC">
        <w:rPr>
          <w:rFonts w:ascii="Verdana" w:hAnsi="Verdana"/>
          <w:i/>
          <w:sz w:val="20"/>
          <w:szCs w:val="20"/>
        </w:rPr>
        <w:t>formal</w:t>
      </w:r>
      <w:r w:rsidR="000227BB" w:rsidRPr="00486FEC">
        <w:rPr>
          <w:rFonts w:ascii="Verdana" w:hAnsi="Verdana"/>
          <w:sz w:val="20"/>
          <w:szCs w:val="20"/>
        </w:rPr>
        <w:t xml:space="preserve"> al Estado y </w:t>
      </w:r>
      <w:r w:rsidR="000227BB" w:rsidRPr="00486FEC">
        <w:rPr>
          <w:rFonts w:ascii="Verdana" w:hAnsi="Verdana"/>
          <w:i/>
          <w:sz w:val="20"/>
          <w:szCs w:val="20"/>
        </w:rPr>
        <w:t>real u óntica</w:t>
      </w:r>
      <w:r w:rsidR="000227BB" w:rsidRPr="00486FEC">
        <w:rPr>
          <w:rFonts w:ascii="Verdana" w:hAnsi="Verdana"/>
          <w:sz w:val="20"/>
          <w:szCs w:val="20"/>
        </w:rPr>
        <w:t xml:space="preserve"> al dirigente político de</w:t>
      </w:r>
      <w:r w:rsidR="00746292" w:rsidRPr="00486FEC">
        <w:rPr>
          <w:rFonts w:ascii="Verdana" w:hAnsi="Verdana"/>
          <w:sz w:val="20"/>
          <w:szCs w:val="20"/>
        </w:rPr>
        <w:t xml:space="preserve">l principal partido de </w:t>
      </w:r>
      <w:r w:rsidR="000227BB" w:rsidRPr="00486FEC">
        <w:rPr>
          <w:rFonts w:ascii="Verdana" w:hAnsi="Verdana"/>
          <w:sz w:val="20"/>
          <w:szCs w:val="20"/>
        </w:rPr>
        <w:t>oposición</w:t>
      </w:r>
      <w:r w:rsidR="001A7F8C" w:rsidRPr="00486FEC">
        <w:rPr>
          <w:rFonts w:ascii="Verdana" w:hAnsi="Verdana"/>
          <w:sz w:val="20"/>
          <w:szCs w:val="20"/>
        </w:rPr>
        <w:t>,</w:t>
      </w:r>
      <w:r w:rsidR="000227BB" w:rsidRPr="00486FEC">
        <w:rPr>
          <w:rFonts w:ascii="Verdana" w:hAnsi="Verdana"/>
          <w:sz w:val="20"/>
          <w:szCs w:val="20"/>
        </w:rPr>
        <w:t xml:space="preserve"> resulta perfectamente funcional al sector político oficialista</w:t>
      </w:r>
      <w:r w:rsidR="00746292" w:rsidRPr="00486FEC">
        <w:rPr>
          <w:rFonts w:ascii="Verdana" w:hAnsi="Verdana"/>
          <w:sz w:val="20"/>
          <w:szCs w:val="20"/>
        </w:rPr>
        <w:t xml:space="preserve"> y en especial al anterior presidente empoderado por la consulta</w:t>
      </w:r>
      <w:r w:rsidR="001A7F8C" w:rsidRPr="00486FEC">
        <w:rPr>
          <w:rFonts w:ascii="Verdana" w:hAnsi="Verdana"/>
          <w:sz w:val="20"/>
          <w:szCs w:val="20"/>
        </w:rPr>
        <w:t xml:space="preserve">, en la medida en que </w:t>
      </w:r>
      <w:r w:rsidR="00A06368" w:rsidRPr="00486FEC">
        <w:rPr>
          <w:rFonts w:ascii="Verdana" w:hAnsi="Verdana"/>
          <w:sz w:val="20"/>
          <w:szCs w:val="20"/>
        </w:rPr>
        <w:t>ést</w:t>
      </w:r>
      <w:r w:rsidR="00746292" w:rsidRPr="00486FEC">
        <w:rPr>
          <w:rFonts w:ascii="Verdana" w:hAnsi="Verdana"/>
          <w:sz w:val="20"/>
          <w:szCs w:val="20"/>
        </w:rPr>
        <w:t>os</w:t>
      </w:r>
      <w:r w:rsidR="00A06368" w:rsidRPr="00486FEC">
        <w:rPr>
          <w:rFonts w:ascii="Verdana" w:hAnsi="Verdana"/>
          <w:sz w:val="20"/>
          <w:szCs w:val="20"/>
        </w:rPr>
        <w:t xml:space="preserve"> </w:t>
      </w:r>
      <w:r w:rsidR="001A7F8C" w:rsidRPr="00486FEC">
        <w:rPr>
          <w:rFonts w:ascii="Verdana" w:hAnsi="Verdana"/>
          <w:sz w:val="20"/>
          <w:szCs w:val="20"/>
        </w:rPr>
        <w:t>podrá</w:t>
      </w:r>
      <w:r w:rsidR="00746292" w:rsidRPr="00486FEC">
        <w:rPr>
          <w:rFonts w:ascii="Verdana" w:hAnsi="Verdana"/>
          <w:sz w:val="20"/>
          <w:szCs w:val="20"/>
        </w:rPr>
        <w:t>n</w:t>
      </w:r>
      <w:r w:rsidR="001A7F8C" w:rsidRPr="00486FEC">
        <w:rPr>
          <w:rFonts w:ascii="Verdana" w:hAnsi="Verdana"/>
          <w:sz w:val="20"/>
          <w:szCs w:val="20"/>
        </w:rPr>
        <w:t xml:space="preserve"> difundir ampliamente la condenación, mostrándose como celoso</w:t>
      </w:r>
      <w:r w:rsidR="00746292" w:rsidRPr="00486FEC">
        <w:rPr>
          <w:rFonts w:ascii="Verdana" w:hAnsi="Verdana"/>
          <w:sz w:val="20"/>
          <w:szCs w:val="20"/>
        </w:rPr>
        <w:t>s</w:t>
      </w:r>
      <w:r w:rsidR="001A7F8C" w:rsidRPr="00486FEC">
        <w:rPr>
          <w:rFonts w:ascii="Verdana" w:hAnsi="Verdana"/>
          <w:sz w:val="20"/>
          <w:szCs w:val="20"/>
        </w:rPr>
        <w:t xml:space="preserve"> defensor</w:t>
      </w:r>
      <w:r w:rsidR="00746292" w:rsidRPr="00486FEC">
        <w:rPr>
          <w:rFonts w:ascii="Verdana" w:hAnsi="Verdana"/>
          <w:sz w:val="20"/>
          <w:szCs w:val="20"/>
        </w:rPr>
        <w:t>es</w:t>
      </w:r>
      <w:r w:rsidR="001A7F8C" w:rsidRPr="00486FEC">
        <w:rPr>
          <w:rFonts w:ascii="Verdana" w:hAnsi="Verdana"/>
          <w:sz w:val="20"/>
          <w:szCs w:val="20"/>
        </w:rPr>
        <w:t xml:space="preserve"> de los Derechos Humanos,</w:t>
      </w:r>
      <w:r w:rsidR="0076044F" w:rsidRPr="00486FEC">
        <w:rPr>
          <w:rFonts w:ascii="Verdana" w:hAnsi="Verdana"/>
          <w:sz w:val="20"/>
          <w:szCs w:val="20"/>
        </w:rPr>
        <w:t xml:space="preserve"> supuestamente</w:t>
      </w:r>
      <w:r w:rsidR="001A7F8C" w:rsidRPr="00486FEC">
        <w:rPr>
          <w:rFonts w:ascii="Verdana" w:hAnsi="Verdana"/>
          <w:sz w:val="20"/>
          <w:szCs w:val="20"/>
        </w:rPr>
        <w:t xml:space="preserve"> desconocidos por una oposición </w:t>
      </w:r>
      <w:r w:rsidR="0076044F" w:rsidRPr="00486FEC">
        <w:rPr>
          <w:rFonts w:ascii="Verdana" w:hAnsi="Verdana"/>
          <w:sz w:val="20"/>
          <w:szCs w:val="20"/>
        </w:rPr>
        <w:t xml:space="preserve">a la que pintará </w:t>
      </w:r>
      <w:r w:rsidR="001A7F8C" w:rsidRPr="00486FEC">
        <w:rPr>
          <w:rFonts w:ascii="Verdana" w:hAnsi="Verdana"/>
          <w:sz w:val="20"/>
          <w:szCs w:val="20"/>
        </w:rPr>
        <w:t>con tendencia autoritaria</w:t>
      </w:r>
      <w:r w:rsidR="0076044F" w:rsidRPr="00486FEC">
        <w:rPr>
          <w:rFonts w:ascii="Verdana" w:hAnsi="Verdana"/>
          <w:sz w:val="20"/>
          <w:szCs w:val="20"/>
        </w:rPr>
        <w:t xml:space="preserve">, </w:t>
      </w:r>
      <w:r w:rsidR="001A7F8C" w:rsidRPr="00486FEC">
        <w:rPr>
          <w:rFonts w:ascii="Verdana" w:hAnsi="Verdana"/>
          <w:sz w:val="20"/>
          <w:szCs w:val="20"/>
        </w:rPr>
        <w:t>dictatorial</w:t>
      </w:r>
      <w:r w:rsidR="0076044F" w:rsidRPr="00486FEC">
        <w:rPr>
          <w:rFonts w:ascii="Verdana" w:hAnsi="Verdana"/>
          <w:sz w:val="20"/>
          <w:szCs w:val="20"/>
        </w:rPr>
        <w:t xml:space="preserve"> y </w:t>
      </w:r>
      <w:r w:rsidR="001A7F8C" w:rsidRPr="00486FEC">
        <w:rPr>
          <w:rFonts w:ascii="Verdana" w:hAnsi="Verdana"/>
          <w:sz w:val="20"/>
          <w:szCs w:val="20"/>
        </w:rPr>
        <w:t>perseguidora del periodismo crítico</w:t>
      </w:r>
      <w:r w:rsidR="002F56F5" w:rsidRPr="00486FEC">
        <w:rPr>
          <w:rFonts w:ascii="Verdana" w:hAnsi="Verdana"/>
          <w:sz w:val="20"/>
          <w:szCs w:val="20"/>
        </w:rPr>
        <w:t>.</w:t>
      </w:r>
    </w:p>
    <w:p w14:paraId="2A7C2C0E" w14:textId="11775AFD"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0C564C71" w14:textId="41AB4E50" w:rsidR="002F56F5" w:rsidRDefault="001A7F8C"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El reconocimiento de la responsabilidad del Estado en estas circunstancias y con las singulares limitaciones señaladas</w:t>
      </w:r>
      <w:r w:rsidR="00746292" w:rsidRPr="00486FEC">
        <w:rPr>
          <w:rFonts w:ascii="Verdana" w:hAnsi="Verdana"/>
          <w:sz w:val="20"/>
          <w:szCs w:val="20"/>
        </w:rPr>
        <w:t xml:space="preserve"> en su inteligente parcialidad</w:t>
      </w:r>
      <w:r w:rsidRPr="00486FEC">
        <w:rPr>
          <w:rFonts w:ascii="Verdana" w:hAnsi="Verdana"/>
          <w:sz w:val="20"/>
          <w:szCs w:val="20"/>
        </w:rPr>
        <w:t>, no es más que una defensa formal y no material, totalmente</w:t>
      </w:r>
      <w:r w:rsidR="005720AA" w:rsidRPr="00486FEC">
        <w:rPr>
          <w:rFonts w:ascii="Verdana" w:hAnsi="Verdana"/>
          <w:sz w:val="20"/>
          <w:szCs w:val="20"/>
        </w:rPr>
        <w:t xml:space="preserve"> hueca</w:t>
      </w:r>
      <w:r w:rsidRPr="00486FEC">
        <w:rPr>
          <w:rFonts w:ascii="Verdana" w:hAnsi="Verdana"/>
          <w:sz w:val="20"/>
          <w:szCs w:val="20"/>
        </w:rPr>
        <w:t xml:space="preserve"> de contenido defensivo y efectuada por la</w:t>
      </w:r>
      <w:r w:rsidR="0076044F" w:rsidRPr="00486FEC">
        <w:rPr>
          <w:rFonts w:ascii="Verdana" w:hAnsi="Verdana"/>
          <w:sz w:val="20"/>
          <w:szCs w:val="20"/>
        </w:rPr>
        <w:t xml:space="preserve"> misma</w:t>
      </w:r>
      <w:r w:rsidRPr="00486FEC">
        <w:rPr>
          <w:rFonts w:ascii="Verdana" w:hAnsi="Verdana"/>
          <w:sz w:val="20"/>
          <w:szCs w:val="20"/>
        </w:rPr>
        <w:t xml:space="preserve"> administración </w:t>
      </w:r>
      <w:r w:rsidR="0076044F" w:rsidRPr="00486FEC">
        <w:rPr>
          <w:rFonts w:ascii="Verdana" w:hAnsi="Verdana"/>
          <w:sz w:val="20"/>
          <w:szCs w:val="20"/>
        </w:rPr>
        <w:t xml:space="preserve">del presidente </w:t>
      </w:r>
      <w:r w:rsidRPr="00486FEC">
        <w:rPr>
          <w:rFonts w:ascii="Verdana" w:hAnsi="Verdana"/>
          <w:sz w:val="20"/>
          <w:szCs w:val="20"/>
        </w:rPr>
        <w:t xml:space="preserve">que </w:t>
      </w:r>
      <w:r w:rsidR="0076044F" w:rsidRPr="00486FEC">
        <w:rPr>
          <w:rFonts w:ascii="Verdana" w:hAnsi="Verdana"/>
          <w:sz w:val="20"/>
          <w:szCs w:val="20"/>
        </w:rPr>
        <w:t xml:space="preserve">había dado lugar al desplazamiento de jueces, del que resultó la condena </w:t>
      </w:r>
      <w:r w:rsidRPr="00486FEC">
        <w:rPr>
          <w:rFonts w:ascii="Verdana" w:hAnsi="Verdana"/>
          <w:sz w:val="20"/>
          <w:szCs w:val="20"/>
        </w:rPr>
        <w:t>a</w:t>
      </w:r>
      <w:r w:rsidR="0076044F" w:rsidRPr="00486FEC">
        <w:rPr>
          <w:rFonts w:ascii="Verdana" w:hAnsi="Verdana"/>
          <w:sz w:val="20"/>
          <w:szCs w:val="20"/>
        </w:rPr>
        <w:t xml:space="preserve"> su</w:t>
      </w:r>
      <w:r w:rsidRPr="00486FEC">
        <w:rPr>
          <w:rFonts w:ascii="Verdana" w:hAnsi="Verdana"/>
          <w:sz w:val="20"/>
          <w:szCs w:val="20"/>
        </w:rPr>
        <w:t xml:space="preserve"> vicepresidente –a quien mantiene privado de libertad hasta el presente</w:t>
      </w:r>
      <w:r w:rsidR="005720AA" w:rsidRPr="00486FEC">
        <w:rPr>
          <w:rFonts w:ascii="Verdana" w:hAnsi="Verdana"/>
          <w:sz w:val="20"/>
          <w:szCs w:val="20"/>
        </w:rPr>
        <w:t>-</w:t>
      </w:r>
      <w:r w:rsidRPr="00486FEC">
        <w:rPr>
          <w:rFonts w:ascii="Verdana" w:hAnsi="Verdana"/>
          <w:sz w:val="20"/>
          <w:szCs w:val="20"/>
        </w:rPr>
        <w:t xml:space="preserve"> y al propio dirigente opositor sobre el que recaerá e</w:t>
      </w:r>
      <w:r w:rsidR="0076044F" w:rsidRPr="00486FEC">
        <w:rPr>
          <w:rFonts w:ascii="Verdana" w:hAnsi="Verdana"/>
          <w:sz w:val="20"/>
          <w:szCs w:val="20"/>
        </w:rPr>
        <w:t xml:space="preserve">l efecto </w:t>
      </w:r>
      <w:r w:rsidR="00746292" w:rsidRPr="00486FEC">
        <w:rPr>
          <w:rFonts w:ascii="Verdana" w:hAnsi="Verdana"/>
          <w:sz w:val="20"/>
          <w:szCs w:val="20"/>
        </w:rPr>
        <w:t>real de las sanciones impuestas en</w:t>
      </w:r>
      <w:r w:rsidR="0076044F" w:rsidRPr="00486FEC">
        <w:rPr>
          <w:rFonts w:ascii="Verdana" w:hAnsi="Verdana"/>
          <w:sz w:val="20"/>
          <w:szCs w:val="20"/>
        </w:rPr>
        <w:t xml:space="preserve"> esta sentencia, todo lo cual se ha declarado en </w:t>
      </w:r>
      <w:r w:rsidR="00746292" w:rsidRPr="00486FEC">
        <w:rPr>
          <w:rFonts w:ascii="Verdana" w:hAnsi="Verdana"/>
          <w:sz w:val="20"/>
          <w:szCs w:val="20"/>
        </w:rPr>
        <w:t>p</w:t>
      </w:r>
      <w:r w:rsidR="0076044F" w:rsidRPr="00486FEC">
        <w:rPr>
          <w:rFonts w:ascii="Verdana" w:hAnsi="Verdana"/>
          <w:sz w:val="20"/>
          <w:szCs w:val="20"/>
        </w:rPr>
        <w:t>rincipio funda</w:t>
      </w:r>
      <w:r w:rsidR="002F56F5" w:rsidRPr="00486FEC">
        <w:rPr>
          <w:rFonts w:ascii="Verdana" w:hAnsi="Verdana"/>
          <w:sz w:val="20"/>
          <w:szCs w:val="20"/>
        </w:rPr>
        <w:t>do en el plano internacional.</w:t>
      </w:r>
    </w:p>
    <w:p w14:paraId="63E8287B" w14:textId="773905FB"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65BF4B1D" w14:textId="1700E1BA" w:rsidR="00A657D1" w:rsidRDefault="001A7F8C"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Dad</w:t>
      </w:r>
      <w:r w:rsidR="0058201C" w:rsidRPr="00486FEC">
        <w:rPr>
          <w:rFonts w:ascii="Verdana" w:hAnsi="Verdana"/>
          <w:sz w:val="20"/>
          <w:szCs w:val="20"/>
        </w:rPr>
        <w:t xml:space="preserve">a la absoluta oquedad </w:t>
      </w:r>
      <w:r w:rsidRPr="00486FEC">
        <w:rPr>
          <w:rFonts w:ascii="Verdana" w:hAnsi="Verdana"/>
          <w:sz w:val="20"/>
          <w:szCs w:val="20"/>
        </w:rPr>
        <w:t>argumental de la defensa formal del Estado</w:t>
      </w:r>
      <w:r w:rsidR="0058201C" w:rsidRPr="00486FEC">
        <w:rPr>
          <w:rFonts w:ascii="Verdana" w:hAnsi="Verdana"/>
          <w:sz w:val="20"/>
          <w:szCs w:val="20"/>
        </w:rPr>
        <w:t xml:space="preserve"> en todo lo que perjudica al dirigente opositor a su gobierno</w:t>
      </w:r>
      <w:r w:rsidRPr="00486FEC">
        <w:rPr>
          <w:rFonts w:ascii="Verdana" w:hAnsi="Verdana"/>
          <w:sz w:val="20"/>
          <w:szCs w:val="20"/>
        </w:rPr>
        <w:t>, no ha habido contradictorio en la tramitación del caso ante esta Corte</w:t>
      </w:r>
      <w:r w:rsidR="00E37702" w:rsidRPr="00486FEC">
        <w:rPr>
          <w:rFonts w:ascii="Verdana" w:hAnsi="Verdana"/>
          <w:sz w:val="20"/>
          <w:szCs w:val="20"/>
        </w:rPr>
        <w:t>, o sea, que se trata de una defensa meramente formal</w:t>
      </w:r>
      <w:r w:rsidR="006642C7" w:rsidRPr="00486FEC">
        <w:rPr>
          <w:rFonts w:ascii="Verdana" w:hAnsi="Verdana"/>
          <w:sz w:val="20"/>
          <w:szCs w:val="20"/>
        </w:rPr>
        <w:t>. En este sentido</w:t>
      </w:r>
      <w:r w:rsidR="00E37702" w:rsidRPr="00486FEC">
        <w:rPr>
          <w:rFonts w:ascii="Verdana" w:hAnsi="Verdana"/>
          <w:sz w:val="20"/>
          <w:szCs w:val="20"/>
        </w:rPr>
        <w:t xml:space="preserve">, </w:t>
      </w:r>
      <w:r w:rsidR="006642C7" w:rsidRPr="00486FEC">
        <w:rPr>
          <w:rFonts w:ascii="Verdana" w:hAnsi="Verdana"/>
          <w:sz w:val="20"/>
          <w:szCs w:val="20"/>
        </w:rPr>
        <w:t xml:space="preserve">la Corte ha expresado que no basta con la mera presencia o nombramiento de un defensor o abogado, puesto que un </w:t>
      </w:r>
      <w:r w:rsidR="006642C7" w:rsidRPr="00486FEC">
        <w:rPr>
          <w:rFonts w:ascii="Verdana" w:hAnsi="Verdana"/>
          <w:i/>
          <w:sz w:val="20"/>
          <w:szCs w:val="20"/>
        </w:rPr>
        <w:t xml:space="preserve">nombramiento meramente formal o simbólico no da sustento a que el derecho en comentario </w:t>
      </w:r>
      <w:r w:rsidR="006642C7" w:rsidRPr="00486FEC">
        <w:rPr>
          <w:rFonts w:ascii="Verdana" w:hAnsi="Verdana"/>
          <w:sz w:val="20"/>
          <w:szCs w:val="20"/>
        </w:rPr>
        <w:t xml:space="preserve">(de defensa) </w:t>
      </w:r>
      <w:r w:rsidR="006642C7" w:rsidRPr="00486FEC">
        <w:rPr>
          <w:rFonts w:ascii="Verdana" w:hAnsi="Verdana"/>
          <w:i/>
          <w:sz w:val="20"/>
          <w:szCs w:val="20"/>
        </w:rPr>
        <w:t>se cumpla efectivamente.</w:t>
      </w:r>
      <w:r w:rsidR="006642C7" w:rsidRPr="00486FEC">
        <w:rPr>
          <w:rStyle w:val="Refdenotaalpie"/>
          <w:rFonts w:ascii="Verdana" w:hAnsi="Verdana"/>
          <w:sz w:val="20"/>
          <w:szCs w:val="20"/>
        </w:rPr>
        <w:footnoteReference w:id="37"/>
      </w:r>
      <w:r w:rsidR="006642C7" w:rsidRPr="00486FEC">
        <w:rPr>
          <w:rFonts w:ascii="Verdana" w:hAnsi="Verdana"/>
          <w:i/>
          <w:sz w:val="20"/>
          <w:szCs w:val="20"/>
        </w:rPr>
        <w:t xml:space="preserve"> </w:t>
      </w:r>
      <w:r w:rsidR="006642C7" w:rsidRPr="00486FEC">
        <w:rPr>
          <w:rFonts w:ascii="Verdana" w:hAnsi="Verdana"/>
          <w:sz w:val="20"/>
          <w:szCs w:val="20"/>
        </w:rPr>
        <w:t xml:space="preserve">La particularidad del presente caso es que este acto meramente simbólico se produce ahora </w:t>
      </w:r>
      <w:r w:rsidR="002F56F5" w:rsidRPr="00486FEC">
        <w:rPr>
          <w:rFonts w:ascii="Verdana" w:hAnsi="Verdana"/>
          <w:sz w:val="20"/>
          <w:szCs w:val="20"/>
        </w:rPr>
        <w:t xml:space="preserve">ante </w:t>
      </w:r>
      <w:r w:rsidR="006642C7" w:rsidRPr="00486FEC">
        <w:rPr>
          <w:rFonts w:ascii="Verdana" w:hAnsi="Verdana"/>
          <w:sz w:val="20"/>
          <w:szCs w:val="20"/>
        </w:rPr>
        <w:t xml:space="preserve">los propios </w:t>
      </w:r>
      <w:r w:rsidR="002F56F5" w:rsidRPr="00486FEC">
        <w:rPr>
          <w:rFonts w:ascii="Verdana" w:hAnsi="Verdana"/>
          <w:sz w:val="20"/>
          <w:szCs w:val="20"/>
        </w:rPr>
        <w:t>estrados</w:t>
      </w:r>
      <w:r w:rsidR="006642C7" w:rsidRPr="00486FEC">
        <w:rPr>
          <w:rFonts w:ascii="Verdana" w:hAnsi="Verdana"/>
          <w:sz w:val="20"/>
          <w:szCs w:val="20"/>
        </w:rPr>
        <w:t xml:space="preserve"> e esta Corte y </w:t>
      </w:r>
      <w:r w:rsidR="00EE31F2" w:rsidRPr="00486FEC">
        <w:rPr>
          <w:rFonts w:ascii="Verdana" w:hAnsi="Verdana"/>
          <w:sz w:val="20"/>
          <w:szCs w:val="20"/>
        </w:rPr>
        <w:t>en razón de que el Esta</w:t>
      </w:r>
      <w:r w:rsidR="00486FEC">
        <w:rPr>
          <w:rFonts w:ascii="Verdana" w:hAnsi="Verdana"/>
          <w:sz w:val="20"/>
          <w:szCs w:val="20"/>
        </w:rPr>
        <w:t>do decide no articular defensa.</w:t>
      </w:r>
    </w:p>
    <w:p w14:paraId="17E04B54" w14:textId="13CD4F53"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76B17CFC" w14:textId="77777777" w:rsidR="002F56F5" w:rsidRPr="00486FEC" w:rsidRDefault="00EE31F2"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Esta particular situación de i</w:t>
      </w:r>
      <w:r w:rsidR="00A657D1" w:rsidRPr="00486FEC">
        <w:rPr>
          <w:rFonts w:ascii="Verdana" w:hAnsi="Verdana"/>
          <w:sz w:val="20"/>
          <w:szCs w:val="20"/>
        </w:rPr>
        <w:t xml:space="preserve">ndefensión del Estado </w:t>
      </w:r>
      <w:r w:rsidR="0058201C" w:rsidRPr="00486FEC">
        <w:rPr>
          <w:rFonts w:ascii="Verdana" w:hAnsi="Verdana"/>
          <w:sz w:val="20"/>
          <w:szCs w:val="20"/>
        </w:rPr>
        <w:t>plantea dos problemas procesales</w:t>
      </w:r>
      <w:r w:rsidR="00C62D09" w:rsidRPr="00486FEC">
        <w:rPr>
          <w:rFonts w:ascii="Verdana" w:hAnsi="Verdana"/>
          <w:sz w:val="20"/>
          <w:szCs w:val="20"/>
        </w:rPr>
        <w:t xml:space="preserve">, </w:t>
      </w:r>
      <w:r w:rsidR="00746292" w:rsidRPr="00486FEC">
        <w:rPr>
          <w:rFonts w:ascii="Verdana" w:hAnsi="Verdana"/>
          <w:sz w:val="20"/>
          <w:szCs w:val="20"/>
        </w:rPr>
        <w:t xml:space="preserve">derivados directamente de </w:t>
      </w:r>
      <w:r w:rsidR="00C62D09" w:rsidRPr="00486FEC">
        <w:rPr>
          <w:rFonts w:ascii="Verdana" w:hAnsi="Verdana"/>
          <w:sz w:val="20"/>
          <w:szCs w:val="20"/>
        </w:rPr>
        <w:t xml:space="preserve">la </w:t>
      </w:r>
      <w:r w:rsidR="00C62D09" w:rsidRPr="00486FEC">
        <w:rPr>
          <w:rFonts w:ascii="Verdana" w:hAnsi="Verdana"/>
          <w:i/>
          <w:sz w:val="20"/>
          <w:szCs w:val="20"/>
        </w:rPr>
        <w:t>inadmisibilidad del reconocimiento de responsabilidad del Estado</w:t>
      </w:r>
      <w:r w:rsidR="0058201C" w:rsidRPr="00486FEC">
        <w:rPr>
          <w:rFonts w:ascii="Verdana" w:hAnsi="Verdana"/>
          <w:sz w:val="20"/>
          <w:szCs w:val="20"/>
        </w:rPr>
        <w:t>.</w:t>
      </w:r>
    </w:p>
    <w:p w14:paraId="1214CD81" w14:textId="77777777" w:rsidR="002F56F5" w:rsidRPr="00486FEC" w:rsidRDefault="002F56F5" w:rsidP="00486FEC">
      <w:pPr>
        <w:pStyle w:val="Prrafodelista"/>
        <w:spacing w:after="0" w:line="240" w:lineRule="auto"/>
        <w:ind w:left="0"/>
        <w:contextualSpacing w:val="0"/>
        <w:jc w:val="both"/>
        <w:rPr>
          <w:rFonts w:ascii="Verdana" w:hAnsi="Verdana"/>
          <w:sz w:val="20"/>
          <w:szCs w:val="20"/>
        </w:rPr>
      </w:pPr>
    </w:p>
    <w:p w14:paraId="431C8E60" w14:textId="77777777" w:rsidR="002F56F5" w:rsidRPr="00486FEC" w:rsidRDefault="005720AA" w:rsidP="00486FEC">
      <w:pPr>
        <w:pStyle w:val="Prrafodelista"/>
        <w:spacing w:after="0" w:line="240" w:lineRule="auto"/>
        <w:ind w:left="709"/>
        <w:contextualSpacing w:val="0"/>
        <w:jc w:val="both"/>
        <w:rPr>
          <w:rFonts w:ascii="Verdana" w:hAnsi="Verdana"/>
          <w:b/>
          <w:sz w:val="20"/>
          <w:szCs w:val="20"/>
        </w:rPr>
      </w:pPr>
      <w:r w:rsidRPr="00486FEC">
        <w:rPr>
          <w:rFonts w:ascii="Verdana" w:hAnsi="Verdana"/>
          <w:b/>
          <w:sz w:val="20"/>
          <w:szCs w:val="20"/>
        </w:rPr>
        <w:t>VI.2. Limitaciones probatorias de la confesión</w:t>
      </w:r>
    </w:p>
    <w:p w14:paraId="398EE1C6" w14:textId="77777777" w:rsidR="005541BC" w:rsidRPr="00486FEC" w:rsidRDefault="005541BC" w:rsidP="00486FEC">
      <w:pPr>
        <w:pStyle w:val="Prrafodelista"/>
        <w:spacing w:after="0" w:line="240" w:lineRule="auto"/>
        <w:ind w:left="709"/>
        <w:contextualSpacing w:val="0"/>
        <w:jc w:val="both"/>
        <w:rPr>
          <w:rFonts w:ascii="Verdana" w:hAnsi="Verdana"/>
          <w:sz w:val="20"/>
          <w:szCs w:val="20"/>
        </w:rPr>
      </w:pPr>
    </w:p>
    <w:p w14:paraId="39784E29" w14:textId="2A125B95" w:rsidR="002F56F5" w:rsidRDefault="005720AA"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El primer problema procesal es que, aceptando esta Corte ese reconocimiento, da por probado todo lo que el Estado ha admitido</w:t>
      </w:r>
      <w:r w:rsidR="00C37BC5" w:rsidRPr="00486FEC">
        <w:rPr>
          <w:rFonts w:ascii="Verdana" w:hAnsi="Verdana"/>
          <w:sz w:val="20"/>
          <w:szCs w:val="20"/>
        </w:rPr>
        <w:t xml:space="preserve">. Con esto se pasa por alto </w:t>
      </w:r>
      <w:r w:rsidRPr="00486FEC">
        <w:rPr>
          <w:rFonts w:ascii="Verdana" w:hAnsi="Verdana"/>
          <w:sz w:val="20"/>
          <w:szCs w:val="20"/>
        </w:rPr>
        <w:t xml:space="preserve">que </w:t>
      </w:r>
      <w:r w:rsidR="00E37702" w:rsidRPr="00486FEC">
        <w:rPr>
          <w:rFonts w:ascii="Verdana" w:hAnsi="Verdana"/>
          <w:sz w:val="20"/>
          <w:szCs w:val="20"/>
        </w:rPr>
        <w:t xml:space="preserve">este reconocimiento equivale a una confesión y que ésta, por muy </w:t>
      </w:r>
      <w:r w:rsidR="00E37702" w:rsidRPr="00486FEC">
        <w:rPr>
          <w:rFonts w:ascii="Verdana" w:hAnsi="Verdana"/>
          <w:i/>
          <w:sz w:val="20"/>
          <w:szCs w:val="20"/>
        </w:rPr>
        <w:t>probatio probatissima</w:t>
      </w:r>
      <w:r w:rsidR="00E37702" w:rsidRPr="00486FEC">
        <w:rPr>
          <w:rFonts w:ascii="Verdana" w:hAnsi="Verdana"/>
          <w:sz w:val="20"/>
          <w:szCs w:val="20"/>
        </w:rPr>
        <w:t xml:space="preserve"> que fuese, en un proces</w:t>
      </w:r>
      <w:r w:rsidR="00A657D1" w:rsidRPr="00486FEC">
        <w:rPr>
          <w:rFonts w:ascii="Verdana" w:hAnsi="Verdana"/>
          <w:sz w:val="20"/>
          <w:szCs w:val="20"/>
        </w:rPr>
        <w:t>o contradictorio –no inquisitorio</w:t>
      </w:r>
      <w:r w:rsidR="00E37702" w:rsidRPr="00486FEC">
        <w:rPr>
          <w:rFonts w:ascii="Verdana" w:hAnsi="Verdana"/>
          <w:sz w:val="20"/>
          <w:szCs w:val="20"/>
        </w:rPr>
        <w:t>-</w:t>
      </w:r>
      <w:r w:rsidR="00C37BC5" w:rsidRPr="00486FEC">
        <w:rPr>
          <w:rFonts w:ascii="Verdana" w:hAnsi="Verdana"/>
          <w:sz w:val="20"/>
          <w:szCs w:val="20"/>
        </w:rPr>
        <w:t xml:space="preserve"> como el que rige d</w:t>
      </w:r>
      <w:r w:rsidR="00E37702" w:rsidRPr="00486FEC">
        <w:rPr>
          <w:rFonts w:ascii="Verdana" w:hAnsi="Verdana"/>
          <w:sz w:val="20"/>
          <w:szCs w:val="20"/>
        </w:rPr>
        <w:t xml:space="preserve">esde la modernidad, </w:t>
      </w:r>
      <w:r w:rsidRPr="00486FEC">
        <w:rPr>
          <w:rFonts w:ascii="Verdana" w:hAnsi="Verdana"/>
          <w:sz w:val="20"/>
          <w:szCs w:val="20"/>
        </w:rPr>
        <w:t xml:space="preserve">opera como prueba de cargo </w:t>
      </w:r>
      <w:r w:rsidR="00A06368" w:rsidRPr="00486FEC">
        <w:rPr>
          <w:rFonts w:ascii="Verdana" w:hAnsi="Verdana"/>
          <w:sz w:val="20"/>
          <w:szCs w:val="20"/>
        </w:rPr>
        <w:t xml:space="preserve">sólo </w:t>
      </w:r>
      <w:r w:rsidRPr="00486FEC">
        <w:rPr>
          <w:rFonts w:ascii="Verdana" w:hAnsi="Verdana"/>
          <w:sz w:val="20"/>
          <w:szCs w:val="20"/>
        </w:rPr>
        <w:t>en la medida en que resulte verosímil</w:t>
      </w:r>
      <w:r w:rsidR="00593719" w:rsidRPr="00486FEC">
        <w:rPr>
          <w:rFonts w:ascii="Verdana" w:hAnsi="Verdana"/>
          <w:sz w:val="20"/>
          <w:szCs w:val="20"/>
        </w:rPr>
        <w:t xml:space="preserve">, o sea, siempre que no haya elementos que indiquen que el hecho no ha existido, que quien confiesa no puede ser el autor, que los acontecimientos no se desarrollaron en la forma en que </w:t>
      </w:r>
      <w:r w:rsidR="0076044F" w:rsidRPr="00486FEC">
        <w:rPr>
          <w:rFonts w:ascii="Verdana" w:hAnsi="Verdana"/>
          <w:sz w:val="20"/>
          <w:szCs w:val="20"/>
        </w:rPr>
        <w:t xml:space="preserve">se </w:t>
      </w:r>
      <w:r w:rsidR="00593719" w:rsidRPr="00486FEC">
        <w:rPr>
          <w:rFonts w:ascii="Verdana" w:hAnsi="Verdana"/>
          <w:sz w:val="20"/>
          <w:szCs w:val="20"/>
        </w:rPr>
        <w:t>confiesa</w:t>
      </w:r>
      <w:r w:rsidR="00A06368" w:rsidRPr="00486FEC">
        <w:rPr>
          <w:rFonts w:ascii="Verdana" w:hAnsi="Verdana"/>
          <w:sz w:val="20"/>
          <w:szCs w:val="20"/>
        </w:rPr>
        <w:t xml:space="preserve">, </w:t>
      </w:r>
      <w:r w:rsidR="00C37BC5" w:rsidRPr="00486FEC">
        <w:rPr>
          <w:rFonts w:ascii="Verdana" w:hAnsi="Verdana"/>
          <w:sz w:val="20"/>
          <w:szCs w:val="20"/>
        </w:rPr>
        <w:t xml:space="preserve">que existieron causas de justificación, de exculpación, </w:t>
      </w:r>
      <w:r w:rsidR="00A06368" w:rsidRPr="00486FEC">
        <w:rPr>
          <w:rFonts w:ascii="Verdana" w:hAnsi="Verdana"/>
          <w:sz w:val="20"/>
          <w:szCs w:val="20"/>
        </w:rPr>
        <w:t>etc</w:t>
      </w:r>
      <w:r w:rsidR="002F56F5" w:rsidRPr="00486FEC">
        <w:rPr>
          <w:rFonts w:ascii="Verdana" w:hAnsi="Verdana"/>
          <w:sz w:val="20"/>
          <w:szCs w:val="20"/>
        </w:rPr>
        <w:t>.</w:t>
      </w:r>
    </w:p>
    <w:p w14:paraId="1D50230C"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575B3D94" w14:textId="77777777" w:rsidR="002F56F5" w:rsidRPr="00486FEC" w:rsidRDefault="00593719"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En consecuencia, </w:t>
      </w:r>
      <w:r w:rsidR="00A06368" w:rsidRPr="00486FEC">
        <w:rPr>
          <w:rFonts w:ascii="Verdana" w:hAnsi="Verdana"/>
          <w:sz w:val="20"/>
          <w:szCs w:val="20"/>
        </w:rPr>
        <w:t xml:space="preserve">la </w:t>
      </w:r>
      <w:r w:rsidRPr="00486FEC">
        <w:rPr>
          <w:rFonts w:ascii="Verdana" w:hAnsi="Verdana"/>
          <w:sz w:val="20"/>
          <w:szCs w:val="20"/>
        </w:rPr>
        <w:t>acepta</w:t>
      </w:r>
      <w:r w:rsidR="00A06368" w:rsidRPr="00486FEC">
        <w:rPr>
          <w:rFonts w:ascii="Verdana" w:hAnsi="Verdana"/>
          <w:sz w:val="20"/>
          <w:szCs w:val="20"/>
        </w:rPr>
        <w:t xml:space="preserve">ción del </w:t>
      </w:r>
      <w:r w:rsidRPr="00486FEC">
        <w:rPr>
          <w:rFonts w:ascii="Verdana" w:hAnsi="Verdana"/>
          <w:sz w:val="20"/>
          <w:szCs w:val="20"/>
        </w:rPr>
        <w:t xml:space="preserve">reconocimiento de responsabilidad en los términos planteados, hace que esta Corte </w:t>
      </w:r>
      <w:r w:rsidR="007462C6" w:rsidRPr="00486FEC">
        <w:rPr>
          <w:rFonts w:ascii="Verdana" w:hAnsi="Verdana"/>
          <w:sz w:val="20"/>
          <w:szCs w:val="20"/>
        </w:rPr>
        <w:t xml:space="preserve">admita </w:t>
      </w:r>
      <w:r w:rsidRPr="00486FEC">
        <w:rPr>
          <w:rFonts w:ascii="Verdana" w:hAnsi="Verdana"/>
          <w:sz w:val="20"/>
          <w:szCs w:val="20"/>
        </w:rPr>
        <w:t>como verdad procesal los hechos tal como lo</w:t>
      </w:r>
      <w:r w:rsidR="007462C6" w:rsidRPr="00486FEC">
        <w:rPr>
          <w:rFonts w:ascii="Verdana" w:hAnsi="Verdana"/>
          <w:sz w:val="20"/>
          <w:szCs w:val="20"/>
        </w:rPr>
        <w:t>s</w:t>
      </w:r>
      <w:r w:rsidRPr="00486FEC">
        <w:rPr>
          <w:rFonts w:ascii="Verdana" w:hAnsi="Verdana"/>
          <w:sz w:val="20"/>
          <w:szCs w:val="20"/>
        </w:rPr>
        <w:t xml:space="preserve"> expone la acusación y pese a que </w:t>
      </w:r>
      <w:r w:rsidR="00C37BC5" w:rsidRPr="00486FEC">
        <w:rPr>
          <w:rFonts w:ascii="Verdana" w:hAnsi="Verdana"/>
          <w:sz w:val="20"/>
          <w:szCs w:val="20"/>
        </w:rPr>
        <w:t>haya contundentes elementos de prueba en sentido contrar</w:t>
      </w:r>
      <w:r w:rsidR="002F56F5" w:rsidRPr="00486FEC">
        <w:rPr>
          <w:rFonts w:ascii="Verdana" w:hAnsi="Verdana"/>
          <w:sz w:val="20"/>
          <w:szCs w:val="20"/>
        </w:rPr>
        <w:t>io respecto de varios de ellos.</w:t>
      </w:r>
    </w:p>
    <w:p w14:paraId="625649EE" w14:textId="77777777" w:rsidR="002F56F5" w:rsidRPr="00486FEC" w:rsidRDefault="002F56F5" w:rsidP="00486FEC">
      <w:pPr>
        <w:pStyle w:val="Prrafodelista"/>
        <w:spacing w:after="0" w:line="240" w:lineRule="auto"/>
        <w:ind w:left="0"/>
        <w:contextualSpacing w:val="0"/>
        <w:jc w:val="both"/>
        <w:rPr>
          <w:rFonts w:ascii="Verdana" w:hAnsi="Verdana"/>
          <w:sz w:val="20"/>
          <w:szCs w:val="20"/>
        </w:rPr>
      </w:pPr>
    </w:p>
    <w:p w14:paraId="235F1045" w14:textId="77777777" w:rsidR="002F56F5" w:rsidRPr="00486FEC" w:rsidRDefault="00593719" w:rsidP="00486FEC">
      <w:pPr>
        <w:pStyle w:val="Prrafodelista"/>
        <w:spacing w:after="0" w:line="240" w:lineRule="auto"/>
        <w:ind w:left="709"/>
        <w:contextualSpacing w:val="0"/>
        <w:jc w:val="both"/>
        <w:rPr>
          <w:rFonts w:ascii="Verdana" w:hAnsi="Verdana"/>
          <w:b/>
          <w:sz w:val="20"/>
          <w:szCs w:val="20"/>
        </w:rPr>
      </w:pPr>
      <w:r w:rsidRPr="00486FEC">
        <w:rPr>
          <w:rFonts w:ascii="Verdana" w:hAnsi="Verdana"/>
          <w:b/>
          <w:sz w:val="20"/>
          <w:szCs w:val="20"/>
        </w:rPr>
        <w:t xml:space="preserve">VI.3. Negativa del Estado </w:t>
      </w:r>
      <w:r w:rsidR="00746292" w:rsidRPr="00486FEC">
        <w:rPr>
          <w:rFonts w:ascii="Verdana" w:hAnsi="Verdana"/>
          <w:b/>
          <w:sz w:val="20"/>
          <w:szCs w:val="20"/>
        </w:rPr>
        <w:t>a</w:t>
      </w:r>
      <w:r w:rsidR="008109EB" w:rsidRPr="00486FEC">
        <w:rPr>
          <w:rFonts w:ascii="Verdana" w:hAnsi="Verdana"/>
          <w:b/>
          <w:sz w:val="20"/>
          <w:szCs w:val="20"/>
        </w:rPr>
        <w:t xml:space="preserve"> defenderse</w:t>
      </w:r>
    </w:p>
    <w:p w14:paraId="10FFF49F" w14:textId="77777777" w:rsidR="005541BC" w:rsidRPr="00486FEC" w:rsidRDefault="005541BC" w:rsidP="00486FEC">
      <w:pPr>
        <w:pStyle w:val="Prrafodelista"/>
        <w:spacing w:after="0" w:line="240" w:lineRule="auto"/>
        <w:ind w:left="709"/>
        <w:contextualSpacing w:val="0"/>
        <w:jc w:val="both"/>
        <w:rPr>
          <w:rFonts w:ascii="Verdana" w:hAnsi="Verdana"/>
          <w:sz w:val="20"/>
          <w:szCs w:val="20"/>
        </w:rPr>
      </w:pPr>
    </w:p>
    <w:p w14:paraId="46582B2A" w14:textId="539BE546" w:rsidR="002F56F5" w:rsidRDefault="001A7F8C"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E</w:t>
      </w:r>
      <w:r w:rsidR="00593719" w:rsidRPr="00486FEC">
        <w:rPr>
          <w:rFonts w:ascii="Verdana" w:hAnsi="Verdana"/>
          <w:sz w:val="20"/>
          <w:szCs w:val="20"/>
        </w:rPr>
        <w:t xml:space="preserve">l otro problema </w:t>
      </w:r>
      <w:r w:rsidRPr="00486FEC">
        <w:rPr>
          <w:rFonts w:ascii="Verdana" w:hAnsi="Verdana"/>
          <w:sz w:val="20"/>
          <w:szCs w:val="20"/>
        </w:rPr>
        <w:t>procesal</w:t>
      </w:r>
      <w:r w:rsidR="00593719" w:rsidRPr="00486FEC">
        <w:rPr>
          <w:rFonts w:ascii="Verdana" w:hAnsi="Verdana"/>
          <w:sz w:val="20"/>
          <w:szCs w:val="20"/>
        </w:rPr>
        <w:t xml:space="preserve"> es que la falta de defensa material por parte del Estado no puede resolverse del mismo modo en que se decide en análoga circunstancia en un proceso penal</w:t>
      </w:r>
      <w:r w:rsidR="00943F30" w:rsidRPr="00486FEC">
        <w:rPr>
          <w:rFonts w:ascii="Verdana" w:hAnsi="Verdana"/>
          <w:sz w:val="20"/>
          <w:szCs w:val="20"/>
        </w:rPr>
        <w:t xml:space="preserve"> ni tampoco en uno civil</w:t>
      </w:r>
      <w:r w:rsidR="00593719" w:rsidRPr="00486FEC">
        <w:rPr>
          <w:rFonts w:ascii="Verdana" w:hAnsi="Verdana"/>
          <w:sz w:val="20"/>
          <w:szCs w:val="20"/>
        </w:rPr>
        <w:t>.</w:t>
      </w:r>
    </w:p>
    <w:p w14:paraId="1EB7825A"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3F7CB4F6" w14:textId="3B64F97A" w:rsidR="002F56F5" w:rsidRDefault="00593719"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En efecto: en el proceso penal </w:t>
      </w:r>
      <w:r w:rsidR="0058201C" w:rsidRPr="00486FEC">
        <w:rPr>
          <w:rFonts w:ascii="Verdana" w:hAnsi="Verdana"/>
          <w:sz w:val="20"/>
          <w:szCs w:val="20"/>
        </w:rPr>
        <w:t xml:space="preserve">es procedente </w:t>
      </w:r>
      <w:r w:rsidR="00943F30" w:rsidRPr="00486FEC">
        <w:rPr>
          <w:rFonts w:ascii="Verdana" w:hAnsi="Verdana"/>
          <w:sz w:val="20"/>
          <w:szCs w:val="20"/>
        </w:rPr>
        <w:t xml:space="preserve">declarar </w:t>
      </w:r>
      <w:r w:rsidR="0058201C" w:rsidRPr="00486FEC">
        <w:rPr>
          <w:rFonts w:ascii="Verdana" w:hAnsi="Verdana"/>
          <w:sz w:val="20"/>
          <w:szCs w:val="20"/>
        </w:rPr>
        <w:t xml:space="preserve">la nulidad de lo actuado y la asignación de otro defensor, solución que en el procedimiento ante esta Corte no es viable porque </w:t>
      </w:r>
      <w:r w:rsidR="0058201C" w:rsidRPr="00486FEC">
        <w:rPr>
          <w:rFonts w:ascii="Verdana" w:hAnsi="Verdana"/>
          <w:i/>
          <w:sz w:val="20"/>
          <w:szCs w:val="20"/>
        </w:rPr>
        <w:t>es imposible que otro asuma de defensa de un Estado que no quiere defenderse, porque la sentencia favorece a su oficialismo y perjudica a su oposición</w:t>
      </w:r>
      <w:r w:rsidR="0058201C" w:rsidRPr="00486FEC">
        <w:rPr>
          <w:rFonts w:ascii="Verdana" w:hAnsi="Verdana"/>
          <w:sz w:val="20"/>
          <w:szCs w:val="20"/>
        </w:rPr>
        <w:t xml:space="preserve">. </w:t>
      </w:r>
      <w:r w:rsidR="0058201C" w:rsidRPr="00486FEC">
        <w:rPr>
          <w:rFonts w:ascii="Verdana" w:hAnsi="Verdana"/>
          <w:i/>
          <w:sz w:val="20"/>
          <w:szCs w:val="20"/>
        </w:rPr>
        <w:t xml:space="preserve">Tampoco es viable que esta Corte </w:t>
      </w:r>
      <w:r w:rsidR="004332A9" w:rsidRPr="00486FEC">
        <w:rPr>
          <w:rFonts w:ascii="Verdana" w:hAnsi="Verdana"/>
          <w:i/>
          <w:sz w:val="20"/>
          <w:szCs w:val="20"/>
        </w:rPr>
        <w:t xml:space="preserve">supla la indefensión en que se coloca el propio Estado y </w:t>
      </w:r>
      <w:r w:rsidR="0058201C" w:rsidRPr="00486FEC">
        <w:rPr>
          <w:rFonts w:ascii="Verdana" w:hAnsi="Verdana"/>
          <w:i/>
          <w:sz w:val="20"/>
          <w:szCs w:val="20"/>
        </w:rPr>
        <w:t>asuma los argumentos defensivos que el Estado se niega a esgrimir.</w:t>
      </w:r>
    </w:p>
    <w:p w14:paraId="2BC3A2A0" w14:textId="6807C613"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2E371EE1" w14:textId="77777777" w:rsidR="002F56F5" w:rsidRPr="00486FEC" w:rsidRDefault="00943F30"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Todo indicaría que el </w:t>
      </w:r>
      <w:r w:rsidR="00C37BC5" w:rsidRPr="00486FEC">
        <w:rPr>
          <w:rFonts w:ascii="Verdana" w:hAnsi="Verdana"/>
          <w:sz w:val="20"/>
          <w:szCs w:val="20"/>
        </w:rPr>
        <w:t xml:space="preserve">altamente </w:t>
      </w:r>
      <w:r w:rsidRPr="00486FEC">
        <w:rPr>
          <w:rFonts w:ascii="Verdana" w:hAnsi="Verdana"/>
          <w:sz w:val="20"/>
          <w:szCs w:val="20"/>
        </w:rPr>
        <w:t xml:space="preserve">respetable criterio de la mayoría de esta Corte parece aproximarse a la solución del proceso civil, en que ante el silencio del demandado se da por cierto lo dicho por el demandante, solución de la que me permito disentir </w:t>
      </w:r>
      <w:r w:rsidR="007462C6" w:rsidRPr="00486FEC">
        <w:rPr>
          <w:rFonts w:ascii="Verdana" w:hAnsi="Verdana"/>
          <w:sz w:val="20"/>
          <w:szCs w:val="20"/>
        </w:rPr>
        <w:t xml:space="preserve">por </w:t>
      </w:r>
      <w:r w:rsidRPr="00486FEC">
        <w:rPr>
          <w:rFonts w:ascii="Verdana" w:hAnsi="Verdana"/>
          <w:sz w:val="20"/>
          <w:szCs w:val="20"/>
        </w:rPr>
        <w:t>contraria</w:t>
      </w:r>
      <w:r w:rsidR="007462C6" w:rsidRPr="00486FEC">
        <w:rPr>
          <w:rFonts w:ascii="Verdana" w:hAnsi="Verdana"/>
          <w:sz w:val="20"/>
          <w:szCs w:val="20"/>
        </w:rPr>
        <w:t>r e</w:t>
      </w:r>
      <w:r w:rsidRPr="00486FEC">
        <w:rPr>
          <w:rFonts w:ascii="Verdana" w:hAnsi="Verdana"/>
          <w:sz w:val="20"/>
          <w:szCs w:val="20"/>
        </w:rPr>
        <w:t>l principio contradictorio que siempre ha regido el procedimiento ante esta Corte</w:t>
      </w:r>
      <w:r w:rsidR="00EE31F2" w:rsidRPr="00486FEC">
        <w:rPr>
          <w:rFonts w:ascii="Verdana" w:hAnsi="Verdana"/>
          <w:sz w:val="20"/>
          <w:szCs w:val="20"/>
        </w:rPr>
        <w:t xml:space="preserve">, dado que no se trata de un proceso que persiga únicamente fines de reparación patrimonial. </w:t>
      </w:r>
    </w:p>
    <w:p w14:paraId="13A86B98" w14:textId="77777777" w:rsidR="002F56F5" w:rsidRPr="00486FEC" w:rsidRDefault="002F56F5" w:rsidP="00486FEC">
      <w:pPr>
        <w:pStyle w:val="Prrafodelista"/>
        <w:spacing w:after="0" w:line="240" w:lineRule="auto"/>
        <w:ind w:left="0"/>
        <w:contextualSpacing w:val="0"/>
        <w:jc w:val="both"/>
        <w:rPr>
          <w:rFonts w:ascii="Verdana" w:hAnsi="Verdana"/>
          <w:sz w:val="20"/>
          <w:szCs w:val="20"/>
        </w:rPr>
      </w:pPr>
    </w:p>
    <w:p w14:paraId="3F344F21" w14:textId="77777777" w:rsidR="008109EB" w:rsidRPr="00486FEC" w:rsidRDefault="008109EB" w:rsidP="00486FEC">
      <w:pPr>
        <w:pStyle w:val="Prrafodelista"/>
        <w:spacing w:after="0" w:line="240" w:lineRule="auto"/>
        <w:ind w:left="0"/>
        <w:contextualSpacing w:val="0"/>
        <w:jc w:val="center"/>
        <w:rPr>
          <w:rFonts w:ascii="Verdana" w:hAnsi="Verdana"/>
          <w:b/>
          <w:sz w:val="20"/>
          <w:szCs w:val="20"/>
        </w:rPr>
      </w:pPr>
      <w:r w:rsidRPr="00486FEC">
        <w:rPr>
          <w:rFonts w:ascii="Verdana" w:hAnsi="Verdana"/>
          <w:b/>
          <w:sz w:val="20"/>
          <w:szCs w:val="20"/>
        </w:rPr>
        <w:t>VII</w:t>
      </w:r>
    </w:p>
    <w:p w14:paraId="54CC8592" w14:textId="77777777" w:rsidR="002F56F5" w:rsidRPr="00486FEC" w:rsidRDefault="008109EB" w:rsidP="00486FEC">
      <w:pPr>
        <w:pStyle w:val="Prrafodelista"/>
        <w:spacing w:after="0" w:line="240" w:lineRule="auto"/>
        <w:ind w:left="0"/>
        <w:contextualSpacing w:val="0"/>
        <w:jc w:val="center"/>
        <w:rPr>
          <w:rFonts w:ascii="Verdana" w:hAnsi="Verdana"/>
          <w:sz w:val="20"/>
          <w:szCs w:val="20"/>
        </w:rPr>
      </w:pPr>
      <w:r w:rsidRPr="00486FEC">
        <w:rPr>
          <w:rFonts w:ascii="Verdana" w:hAnsi="Verdana"/>
          <w:b/>
          <w:sz w:val="20"/>
          <w:szCs w:val="20"/>
        </w:rPr>
        <w:t>CONCLUSIÓN</w:t>
      </w:r>
    </w:p>
    <w:p w14:paraId="452D110C" w14:textId="77777777" w:rsidR="008109EB" w:rsidRPr="00486FEC" w:rsidRDefault="008109EB" w:rsidP="00486FEC">
      <w:pPr>
        <w:pStyle w:val="Prrafodelista"/>
        <w:spacing w:after="0" w:line="240" w:lineRule="auto"/>
        <w:ind w:left="0"/>
        <w:contextualSpacing w:val="0"/>
        <w:jc w:val="both"/>
        <w:rPr>
          <w:rFonts w:ascii="Verdana" w:hAnsi="Verdana"/>
          <w:sz w:val="20"/>
          <w:szCs w:val="20"/>
        </w:rPr>
      </w:pPr>
    </w:p>
    <w:p w14:paraId="6CF3DF7C" w14:textId="348414E7" w:rsidR="002F56F5" w:rsidRDefault="004332A9"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 xml:space="preserve">En conclusión, considero que corresponde rechazar las pretensiones reparadoras </w:t>
      </w:r>
      <w:r w:rsidR="00F41547" w:rsidRPr="00486FEC">
        <w:rPr>
          <w:rFonts w:ascii="Verdana" w:hAnsi="Verdana"/>
          <w:sz w:val="20"/>
          <w:szCs w:val="20"/>
        </w:rPr>
        <w:t xml:space="preserve">que el Estado no admitió </w:t>
      </w:r>
      <w:r w:rsidRPr="00486FEC">
        <w:rPr>
          <w:rFonts w:ascii="Verdana" w:hAnsi="Verdana"/>
          <w:sz w:val="20"/>
          <w:szCs w:val="20"/>
        </w:rPr>
        <w:t xml:space="preserve">en la forma en que lo hace el voto mayoritario de la Corte y emplazar al Estado a que cancele cualquier </w:t>
      </w:r>
      <w:r w:rsidR="00F41547" w:rsidRPr="00486FEC">
        <w:rPr>
          <w:rFonts w:ascii="Verdana" w:hAnsi="Verdana"/>
          <w:sz w:val="20"/>
          <w:szCs w:val="20"/>
        </w:rPr>
        <w:t xml:space="preserve">registro o </w:t>
      </w:r>
      <w:r w:rsidRPr="00486FEC">
        <w:rPr>
          <w:rFonts w:ascii="Verdana" w:hAnsi="Verdana"/>
          <w:sz w:val="20"/>
          <w:szCs w:val="20"/>
        </w:rPr>
        <w:t>efecto que pueda subsistir de la sentencia condenatoria no ejecutada</w:t>
      </w:r>
      <w:r w:rsidR="00943F30" w:rsidRPr="00486FEC">
        <w:rPr>
          <w:rFonts w:ascii="Verdana" w:hAnsi="Verdana"/>
          <w:sz w:val="20"/>
          <w:szCs w:val="20"/>
        </w:rPr>
        <w:t>, en igual sentido al señalado por la mayoría</w:t>
      </w:r>
      <w:r w:rsidR="002F56F5" w:rsidRPr="00486FEC">
        <w:rPr>
          <w:rFonts w:ascii="Verdana" w:hAnsi="Verdana"/>
          <w:sz w:val="20"/>
          <w:szCs w:val="20"/>
        </w:rPr>
        <w:t>.</w:t>
      </w:r>
    </w:p>
    <w:p w14:paraId="4A22AE32" w14:textId="77777777" w:rsidR="00486FEC" w:rsidRPr="00486FEC" w:rsidRDefault="00486FEC" w:rsidP="00486FEC">
      <w:pPr>
        <w:pStyle w:val="Prrafodelista"/>
        <w:spacing w:after="0" w:line="240" w:lineRule="auto"/>
        <w:ind w:left="0"/>
        <w:contextualSpacing w:val="0"/>
        <w:jc w:val="both"/>
        <w:rPr>
          <w:rFonts w:ascii="Verdana" w:hAnsi="Verdana"/>
          <w:sz w:val="20"/>
          <w:szCs w:val="20"/>
        </w:rPr>
      </w:pPr>
    </w:p>
    <w:p w14:paraId="62D187FD" w14:textId="77777777" w:rsidR="002F56F5" w:rsidRPr="00486FEC" w:rsidRDefault="004332A9" w:rsidP="00486FEC">
      <w:pPr>
        <w:pStyle w:val="Prrafodelista"/>
        <w:numPr>
          <w:ilvl w:val="0"/>
          <w:numId w:val="3"/>
        </w:numPr>
        <w:spacing w:after="0" w:line="240" w:lineRule="auto"/>
        <w:ind w:left="0" w:firstLine="0"/>
        <w:contextualSpacing w:val="0"/>
        <w:jc w:val="both"/>
        <w:rPr>
          <w:rFonts w:ascii="Verdana" w:hAnsi="Verdana"/>
          <w:sz w:val="20"/>
          <w:szCs w:val="20"/>
        </w:rPr>
      </w:pPr>
      <w:r w:rsidRPr="00486FEC">
        <w:rPr>
          <w:rFonts w:ascii="Verdana" w:hAnsi="Verdana"/>
          <w:sz w:val="20"/>
          <w:szCs w:val="20"/>
        </w:rPr>
        <w:t>Por lo demás</w:t>
      </w:r>
      <w:r w:rsidR="00C37BC5" w:rsidRPr="00486FEC">
        <w:rPr>
          <w:rFonts w:ascii="Verdana" w:hAnsi="Verdana"/>
          <w:sz w:val="20"/>
          <w:szCs w:val="20"/>
        </w:rPr>
        <w:t xml:space="preserve"> y en cuanto al resto</w:t>
      </w:r>
      <w:r w:rsidRPr="00486FEC">
        <w:rPr>
          <w:rFonts w:ascii="Verdana" w:hAnsi="Verdana"/>
          <w:sz w:val="20"/>
          <w:szCs w:val="20"/>
        </w:rPr>
        <w:t>, considero que</w:t>
      </w:r>
      <w:r w:rsidR="00C37BC5" w:rsidRPr="00486FEC">
        <w:rPr>
          <w:rFonts w:ascii="Verdana" w:hAnsi="Verdana"/>
          <w:sz w:val="20"/>
          <w:szCs w:val="20"/>
        </w:rPr>
        <w:t>:</w:t>
      </w:r>
    </w:p>
    <w:p w14:paraId="1B5ADD23" w14:textId="77777777" w:rsidR="002F56F5" w:rsidRPr="00486FEC" w:rsidRDefault="002F56F5" w:rsidP="00486FEC">
      <w:pPr>
        <w:pStyle w:val="Prrafodelista"/>
        <w:numPr>
          <w:ilvl w:val="2"/>
          <w:numId w:val="3"/>
        </w:numPr>
        <w:spacing w:after="0" w:line="240" w:lineRule="auto"/>
        <w:ind w:left="1134" w:hanging="425"/>
        <w:contextualSpacing w:val="0"/>
        <w:jc w:val="both"/>
        <w:rPr>
          <w:rFonts w:ascii="Verdana" w:hAnsi="Verdana"/>
          <w:sz w:val="20"/>
          <w:szCs w:val="20"/>
        </w:rPr>
      </w:pPr>
      <w:r w:rsidRPr="00486FEC">
        <w:rPr>
          <w:rFonts w:ascii="Verdana" w:hAnsi="Verdana"/>
          <w:sz w:val="20"/>
          <w:szCs w:val="20"/>
        </w:rPr>
        <w:t>debe absolverse al Estado,</w:t>
      </w:r>
    </w:p>
    <w:p w14:paraId="07E25498" w14:textId="77777777" w:rsidR="002F56F5" w:rsidRPr="00486FEC" w:rsidRDefault="004332A9" w:rsidP="00486FEC">
      <w:pPr>
        <w:pStyle w:val="Prrafodelista"/>
        <w:numPr>
          <w:ilvl w:val="2"/>
          <w:numId w:val="3"/>
        </w:numPr>
        <w:spacing w:after="0" w:line="240" w:lineRule="auto"/>
        <w:ind w:left="1134" w:hanging="425"/>
        <w:contextualSpacing w:val="0"/>
        <w:jc w:val="both"/>
        <w:rPr>
          <w:rFonts w:ascii="Verdana" w:hAnsi="Verdana"/>
          <w:sz w:val="20"/>
          <w:szCs w:val="20"/>
        </w:rPr>
      </w:pPr>
      <w:r w:rsidRPr="00486FEC">
        <w:rPr>
          <w:rFonts w:ascii="Verdana" w:hAnsi="Verdana"/>
          <w:sz w:val="20"/>
          <w:szCs w:val="20"/>
        </w:rPr>
        <w:t>advertirle que en el futuro se abstenga de incurrir en defensas formales</w:t>
      </w:r>
      <w:r w:rsidR="009014EB" w:rsidRPr="00486FEC">
        <w:rPr>
          <w:rFonts w:ascii="Verdana" w:hAnsi="Verdana"/>
          <w:sz w:val="20"/>
          <w:szCs w:val="20"/>
        </w:rPr>
        <w:t>, respetando</w:t>
      </w:r>
      <w:r w:rsidRPr="00486FEC">
        <w:rPr>
          <w:rFonts w:ascii="Verdana" w:hAnsi="Verdana"/>
          <w:sz w:val="20"/>
          <w:szCs w:val="20"/>
        </w:rPr>
        <w:t xml:space="preserve"> la naturaleza contradictoria del p</w:t>
      </w:r>
      <w:r w:rsidR="000B2B30" w:rsidRPr="00486FEC">
        <w:rPr>
          <w:rFonts w:ascii="Verdana" w:hAnsi="Verdana"/>
          <w:sz w:val="20"/>
          <w:szCs w:val="20"/>
        </w:rPr>
        <w:t>rocedimiento ante esta Corte</w:t>
      </w:r>
    </w:p>
    <w:p w14:paraId="10D40CA2" w14:textId="77777777" w:rsidR="002F56F5" w:rsidRPr="00486FEC" w:rsidRDefault="000B2B30" w:rsidP="00486FEC">
      <w:pPr>
        <w:pStyle w:val="Prrafodelista"/>
        <w:numPr>
          <w:ilvl w:val="2"/>
          <w:numId w:val="3"/>
        </w:numPr>
        <w:spacing w:after="0" w:line="240" w:lineRule="auto"/>
        <w:ind w:left="1134" w:hanging="425"/>
        <w:contextualSpacing w:val="0"/>
        <w:jc w:val="both"/>
        <w:rPr>
          <w:rFonts w:ascii="Verdana" w:hAnsi="Verdana"/>
          <w:sz w:val="20"/>
          <w:szCs w:val="20"/>
        </w:rPr>
      </w:pPr>
      <w:r w:rsidRPr="00486FEC">
        <w:rPr>
          <w:rFonts w:ascii="Verdana" w:hAnsi="Verdana"/>
          <w:sz w:val="20"/>
          <w:szCs w:val="20"/>
        </w:rPr>
        <w:t xml:space="preserve">y </w:t>
      </w:r>
      <w:r w:rsidR="00943F30" w:rsidRPr="00486FEC">
        <w:rPr>
          <w:rFonts w:ascii="Verdana" w:hAnsi="Verdana"/>
          <w:sz w:val="20"/>
          <w:szCs w:val="20"/>
        </w:rPr>
        <w:t xml:space="preserve">que se impongan </w:t>
      </w:r>
      <w:r w:rsidR="00C37BC5" w:rsidRPr="00486FEC">
        <w:rPr>
          <w:rFonts w:ascii="Verdana" w:hAnsi="Verdana"/>
          <w:sz w:val="20"/>
          <w:szCs w:val="20"/>
        </w:rPr>
        <w:t xml:space="preserve">al Estado </w:t>
      </w:r>
      <w:r w:rsidR="004332A9" w:rsidRPr="00486FEC">
        <w:rPr>
          <w:rFonts w:ascii="Verdana" w:hAnsi="Verdana"/>
          <w:sz w:val="20"/>
          <w:szCs w:val="20"/>
        </w:rPr>
        <w:t>las costas</w:t>
      </w:r>
      <w:r w:rsidR="00943F30" w:rsidRPr="00486FEC">
        <w:rPr>
          <w:rFonts w:ascii="Verdana" w:hAnsi="Verdana"/>
          <w:sz w:val="20"/>
          <w:szCs w:val="20"/>
        </w:rPr>
        <w:t xml:space="preserve"> y gastos ocasionados </w:t>
      </w:r>
      <w:r w:rsidR="00F41547" w:rsidRPr="00486FEC">
        <w:rPr>
          <w:rFonts w:ascii="Verdana" w:hAnsi="Verdana"/>
          <w:sz w:val="20"/>
          <w:szCs w:val="20"/>
        </w:rPr>
        <w:t>por</w:t>
      </w:r>
      <w:r w:rsidR="002F56F5" w:rsidRPr="00486FEC">
        <w:rPr>
          <w:rFonts w:ascii="Verdana" w:hAnsi="Verdana"/>
          <w:sz w:val="20"/>
          <w:szCs w:val="20"/>
        </w:rPr>
        <w:t xml:space="preserve"> el presente caso.</w:t>
      </w:r>
    </w:p>
    <w:p w14:paraId="31F56C48" w14:textId="77777777" w:rsidR="00EE31F2" w:rsidRPr="00486FEC" w:rsidRDefault="00EE31F2" w:rsidP="00486FEC">
      <w:pPr>
        <w:pStyle w:val="Prrafodelista"/>
        <w:spacing w:after="0" w:line="240" w:lineRule="auto"/>
        <w:ind w:left="0"/>
        <w:contextualSpacing w:val="0"/>
        <w:jc w:val="both"/>
        <w:rPr>
          <w:rFonts w:ascii="Verdana" w:hAnsi="Verdana"/>
          <w:sz w:val="20"/>
          <w:szCs w:val="20"/>
        </w:rPr>
      </w:pPr>
    </w:p>
    <w:p w14:paraId="2F47E04C" w14:textId="3748020A" w:rsidR="004332A9" w:rsidRPr="00486FEC" w:rsidRDefault="004332A9" w:rsidP="00486FEC">
      <w:pPr>
        <w:pStyle w:val="Prrafodelista"/>
        <w:spacing w:after="0" w:line="240" w:lineRule="auto"/>
        <w:ind w:left="0"/>
        <w:contextualSpacing w:val="0"/>
        <w:jc w:val="both"/>
        <w:rPr>
          <w:rFonts w:ascii="Verdana" w:hAnsi="Verdana"/>
          <w:sz w:val="20"/>
          <w:szCs w:val="20"/>
        </w:rPr>
      </w:pPr>
      <w:r w:rsidRPr="00486FEC">
        <w:rPr>
          <w:rFonts w:ascii="Verdana" w:hAnsi="Verdana"/>
          <w:sz w:val="20"/>
          <w:szCs w:val="20"/>
        </w:rPr>
        <w:t xml:space="preserve">Así lo voto. </w:t>
      </w:r>
    </w:p>
    <w:p w14:paraId="73748ACA" w14:textId="11561462" w:rsidR="004332A9" w:rsidRPr="00486FEC" w:rsidRDefault="004332A9" w:rsidP="00486FEC">
      <w:pPr>
        <w:pStyle w:val="Prrafodelista"/>
        <w:spacing w:after="0" w:line="240" w:lineRule="auto"/>
        <w:ind w:left="0"/>
        <w:jc w:val="both"/>
        <w:rPr>
          <w:rFonts w:ascii="Verdana" w:hAnsi="Verdana"/>
          <w:sz w:val="20"/>
          <w:szCs w:val="20"/>
        </w:rPr>
      </w:pPr>
    </w:p>
    <w:p w14:paraId="53D4D6CE" w14:textId="761D6E0B" w:rsidR="00AE6130" w:rsidRPr="00D50C00" w:rsidRDefault="00AE6130" w:rsidP="00486FEC">
      <w:pPr>
        <w:pStyle w:val="Prrafodelista"/>
        <w:spacing w:after="0" w:line="240" w:lineRule="auto"/>
        <w:ind w:left="0"/>
        <w:jc w:val="both"/>
        <w:rPr>
          <w:rFonts w:ascii="Verdana" w:hAnsi="Verdana"/>
        </w:rPr>
      </w:pPr>
    </w:p>
    <w:p w14:paraId="66CB18C8" w14:textId="04CBB410" w:rsidR="00AE6130" w:rsidRPr="00486FEC" w:rsidRDefault="00AE6130" w:rsidP="00486FEC">
      <w:pPr>
        <w:pStyle w:val="Prrafodelista"/>
        <w:spacing w:after="0" w:line="240" w:lineRule="auto"/>
        <w:ind w:left="0"/>
        <w:jc w:val="both"/>
        <w:rPr>
          <w:rFonts w:ascii="Verdana" w:hAnsi="Verdana"/>
        </w:rPr>
      </w:pPr>
    </w:p>
    <w:p w14:paraId="27417E65" w14:textId="70D8706A" w:rsidR="00AE6130" w:rsidRPr="00486FEC" w:rsidRDefault="00AE6130" w:rsidP="00486FEC">
      <w:pPr>
        <w:pStyle w:val="Prrafodelista"/>
        <w:spacing w:after="0" w:line="240" w:lineRule="auto"/>
        <w:ind w:left="0"/>
        <w:jc w:val="both"/>
        <w:rPr>
          <w:rFonts w:ascii="Verdana" w:hAnsi="Verdana"/>
        </w:rPr>
      </w:pPr>
    </w:p>
    <w:p w14:paraId="169AAF34" w14:textId="36704F15" w:rsidR="00AE6130" w:rsidRPr="00486FEC" w:rsidRDefault="00AE6130" w:rsidP="00486FEC">
      <w:pPr>
        <w:pStyle w:val="Prrafodelista"/>
        <w:spacing w:after="0" w:line="240" w:lineRule="auto"/>
        <w:ind w:left="0"/>
        <w:jc w:val="both"/>
        <w:rPr>
          <w:rFonts w:ascii="Verdana" w:hAnsi="Verdana"/>
        </w:rPr>
      </w:pPr>
    </w:p>
    <w:p w14:paraId="47400E72" w14:textId="5B3465A0" w:rsidR="00AE6130" w:rsidRPr="00486FEC" w:rsidRDefault="00AE6130" w:rsidP="00486FEC">
      <w:pPr>
        <w:pStyle w:val="NormalWeb"/>
        <w:spacing w:before="0" w:beforeAutospacing="0" w:after="0" w:afterAutospacing="0"/>
        <w:ind w:left="3600" w:right="96" w:firstLine="720"/>
        <w:jc w:val="center"/>
        <w:rPr>
          <w:rFonts w:ascii="Verdana" w:eastAsia="Calibri" w:hAnsi="Verdana"/>
          <w:lang w:eastAsia="en-US"/>
        </w:rPr>
      </w:pPr>
      <w:r w:rsidRPr="00486FEC">
        <w:rPr>
          <w:rFonts w:ascii="Verdana" w:eastAsia="Calibri" w:hAnsi="Verdana"/>
          <w:lang w:eastAsia="en-US"/>
        </w:rPr>
        <w:t xml:space="preserve">        Eugenio Raul Zaffaroni</w:t>
      </w:r>
    </w:p>
    <w:p w14:paraId="7F76F9DC" w14:textId="17141CBE" w:rsidR="00AE6130" w:rsidRPr="00486FEC" w:rsidRDefault="00AE6130" w:rsidP="00486FEC">
      <w:pPr>
        <w:pStyle w:val="NormalWeb"/>
        <w:spacing w:before="0" w:beforeAutospacing="0" w:after="0" w:afterAutospacing="0"/>
        <w:ind w:left="3960" w:right="96" w:firstLine="360"/>
        <w:jc w:val="center"/>
        <w:rPr>
          <w:rFonts w:ascii="Verdana" w:eastAsia="Calibri" w:hAnsi="Verdana"/>
          <w:lang w:eastAsia="en-US"/>
        </w:rPr>
      </w:pPr>
      <w:r w:rsidRPr="00486FEC">
        <w:rPr>
          <w:rFonts w:ascii="Verdana" w:eastAsia="Calibri" w:hAnsi="Verdana"/>
          <w:lang w:eastAsia="en-US"/>
        </w:rPr>
        <w:t xml:space="preserve">        Juez</w:t>
      </w:r>
    </w:p>
    <w:p w14:paraId="125C73F2" w14:textId="409E754A" w:rsidR="00AE6130" w:rsidRPr="00486FEC" w:rsidRDefault="00AE6130" w:rsidP="00486FEC">
      <w:pPr>
        <w:spacing w:after="0" w:line="240" w:lineRule="auto"/>
        <w:rPr>
          <w:rFonts w:ascii="Verdana" w:hAnsi="Verdana"/>
          <w:lang w:val="es-CR"/>
        </w:rPr>
      </w:pPr>
    </w:p>
    <w:p w14:paraId="7FD8CAAD" w14:textId="526247AE" w:rsidR="00AE6130" w:rsidRPr="00486FEC" w:rsidRDefault="00AE6130" w:rsidP="00486FEC">
      <w:pPr>
        <w:spacing w:after="0" w:line="240" w:lineRule="auto"/>
        <w:rPr>
          <w:rFonts w:ascii="Verdana" w:hAnsi="Verdana"/>
          <w:lang w:val="es-CR"/>
        </w:rPr>
      </w:pPr>
    </w:p>
    <w:p w14:paraId="18E924A6" w14:textId="188DB9D5" w:rsidR="00AE6130" w:rsidRPr="00486FEC" w:rsidRDefault="00AE6130" w:rsidP="00486FEC">
      <w:pPr>
        <w:spacing w:after="0" w:line="240" w:lineRule="auto"/>
        <w:rPr>
          <w:rFonts w:ascii="Verdana" w:hAnsi="Verdana"/>
          <w:lang w:val="es-CR"/>
        </w:rPr>
      </w:pPr>
    </w:p>
    <w:p w14:paraId="432FA815" w14:textId="3E7852E2" w:rsidR="00AE6130" w:rsidRPr="00486FEC" w:rsidRDefault="00AE6130" w:rsidP="00486FEC">
      <w:pPr>
        <w:spacing w:after="0" w:line="240" w:lineRule="auto"/>
        <w:rPr>
          <w:rFonts w:ascii="Verdana" w:hAnsi="Verdana"/>
          <w:lang w:val="es-CR"/>
        </w:rPr>
      </w:pPr>
    </w:p>
    <w:p w14:paraId="164FF4D0" w14:textId="77777777" w:rsidR="00AE6130" w:rsidRPr="00486FEC" w:rsidRDefault="00AE6130" w:rsidP="00486FEC">
      <w:pPr>
        <w:spacing w:after="0" w:line="240" w:lineRule="auto"/>
        <w:rPr>
          <w:rFonts w:ascii="Verdana" w:hAnsi="Verdana"/>
          <w:lang w:val="es-CR"/>
        </w:rPr>
      </w:pPr>
    </w:p>
    <w:p w14:paraId="146F9879" w14:textId="77777777" w:rsidR="00AE6130" w:rsidRPr="00486FEC" w:rsidRDefault="00AE6130" w:rsidP="00486FEC">
      <w:pPr>
        <w:spacing w:after="0" w:line="240" w:lineRule="auto"/>
        <w:rPr>
          <w:rFonts w:ascii="Verdana" w:hAnsi="Verdana"/>
          <w:lang w:val="es-CR"/>
        </w:rPr>
      </w:pPr>
    </w:p>
    <w:p w14:paraId="18390352" w14:textId="77777777" w:rsidR="00AE6130" w:rsidRPr="00486FEC" w:rsidRDefault="00AE6130" w:rsidP="00486FEC">
      <w:pPr>
        <w:spacing w:after="0" w:line="240" w:lineRule="auto"/>
        <w:rPr>
          <w:rFonts w:ascii="Verdana" w:hAnsi="Verdana"/>
          <w:sz w:val="20"/>
          <w:szCs w:val="20"/>
          <w:lang w:val="es-CR"/>
        </w:rPr>
      </w:pPr>
      <w:r w:rsidRPr="00486FEC">
        <w:rPr>
          <w:rFonts w:ascii="Verdana" w:hAnsi="Verdana"/>
          <w:sz w:val="20"/>
          <w:szCs w:val="20"/>
          <w:lang w:val="es-CR"/>
        </w:rPr>
        <w:t xml:space="preserve">      Pablo Saavedra Alessandri</w:t>
      </w:r>
    </w:p>
    <w:p w14:paraId="5E411E74" w14:textId="77777777" w:rsidR="00AE6130" w:rsidRPr="00486FEC" w:rsidRDefault="00AE6130" w:rsidP="00486FEC">
      <w:pPr>
        <w:pStyle w:val="Prrafodelista"/>
        <w:spacing w:after="0" w:line="240" w:lineRule="auto"/>
        <w:ind w:left="0"/>
        <w:jc w:val="both"/>
        <w:rPr>
          <w:rFonts w:ascii="Verdana" w:hAnsi="Verdana"/>
          <w:sz w:val="20"/>
          <w:szCs w:val="20"/>
        </w:rPr>
      </w:pPr>
      <w:r w:rsidRPr="00486FEC">
        <w:rPr>
          <w:rFonts w:ascii="Verdana" w:hAnsi="Verdana"/>
          <w:sz w:val="20"/>
          <w:szCs w:val="20"/>
          <w:lang w:val="es-CR"/>
        </w:rPr>
        <w:tab/>
        <w:t xml:space="preserve">     Secretario</w:t>
      </w:r>
    </w:p>
    <w:p w14:paraId="58FD56A6" w14:textId="77777777" w:rsidR="004332A9" w:rsidRPr="00486FEC" w:rsidRDefault="004332A9" w:rsidP="00486FEC">
      <w:pPr>
        <w:pStyle w:val="Prrafodelista"/>
        <w:spacing w:after="0" w:line="240" w:lineRule="auto"/>
        <w:ind w:left="0"/>
        <w:jc w:val="both"/>
        <w:rPr>
          <w:rFonts w:ascii="Verdana" w:hAnsi="Verdana"/>
          <w:sz w:val="20"/>
          <w:szCs w:val="20"/>
        </w:rPr>
      </w:pPr>
    </w:p>
    <w:sectPr w:rsidR="004332A9" w:rsidRPr="00486FEC" w:rsidSect="00C7458E">
      <w:foot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E671E" w14:textId="77777777" w:rsidR="00613D10" w:rsidRDefault="00613D10" w:rsidP="00D752D2">
      <w:pPr>
        <w:spacing w:after="0" w:line="240" w:lineRule="auto"/>
      </w:pPr>
      <w:r>
        <w:separator/>
      </w:r>
    </w:p>
  </w:endnote>
  <w:endnote w:type="continuationSeparator" w:id="0">
    <w:p w14:paraId="295CEBB4" w14:textId="77777777" w:rsidR="00613D10" w:rsidRDefault="00613D10" w:rsidP="00D7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DDDCA" w14:textId="760FF985" w:rsidR="001E4937" w:rsidRPr="002147D4" w:rsidRDefault="001E4937">
    <w:pPr>
      <w:pStyle w:val="Piedepgina"/>
      <w:jc w:val="center"/>
      <w:rPr>
        <w:rFonts w:ascii="Verdana" w:hAnsi="Verdana"/>
        <w:caps/>
        <w:sz w:val="16"/>
        <w:szCs w:val="16"/>
      </w:rPr>
    </w:pPr>
    <w:r w:rsidRPr="002147D4">
      <w:rPr>
        <w:rFonts w:ascii="Verdana" w:hAnsi="Verdana"/>
        <w:caps/>
        <w:sz w:val="16"/>
        <w:szCs w:val="16"/>
      </w:rPr>
      <w:fldChar w:fldCharType="begin"/>
    </w:r>
    <w:r w:rsidRPr="002147D4">
      <w:rPr>
        <w:rFonts w:ascii="Verdana" w:hAnsi="Verdana"/>
        <w:caps/>
        <w:sz w:val="16"/>
        <w:szCs w:val="16"/>
      </w:rPr>
      <w:instrText>PAGE   \* MERGEFORMAT</w:instrText>
    </w:r>
    <w:r w:rsidRPr="002147D4">
      <w:rPr>
        <w:rFonts w:ascii="Verdana" w:hAnsi="Verdana"/>
        <w:caps/>
        <w:sz w:val="16"/>
        <w:szCs w:val="16"/>
      </w:rPr>
      <w:fldChar w:fldCharType="separate"/>
    </w:r>
    <w:r w:rsidR="001603DD" w:rsidRPr="001603DD">
      <w:rPr>
        <w:rFonts w:ascii="Verdana" w:hAnsi="Verdana"/>
        <w:caps/>
        <w:noProof/>
        <w:sz w:val="16"/>
        <w:szCs w:val="16"/>
        <w:lang w:val="es-ES"/>
      </w:rPr>
      <w:t>1</w:t>
    </w:r>
    <w:r w:rsidRPr="002147D4">
      <w:rPr>
        <w:rFonts w:ascii="Verdana" w:hAnsi="Verdana"/>
        <w:caps/>
        <w:sz w:val="16"/>
        <w:szCs w:val="16"/>
      </w:rPr>
      <w:fldChar w:fldCharType="end"/>
    </w:r>
  </w:p>
  <w:p w14:paraId="40E288AB" w14:textId="77777777" w:rsidR="001E4937" w:rsidRDefault="001E49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94C59" w14:textId="77777777" w:rsidR="00613D10" w:rsidRDefault="00613D10" w:rsidP="00D752D2">
      <w:pPr>
        <w:spacing w:after="0" w:line="240" w:lineRule="auto"/>
      </w:pPr>
      <w:r>
        <w:separator/>
      </w:r>
    </w:p>
  </w:footnote>
  <w:footnote w:type="continuationSeparator" w:id="0">
    <w:p w14:paraId="35F7BDB2" w14:textId="77777777" w:rsidR="00613D10" w:rsidRDefault="00613D10" w:rsidP="00D752D2">
      <w:pPr>
        <w:spacing w:after="0" w:line="240" w:lineRule="auto"/>
      </w:pPr>
      <w:r>
        <w:continuationSeparator/>
      </w:r>
    </w:p>
  </w:footnote>
  <w:footnote w:id="1">
    <w:p w14:paraId="23147483" w14:textId="0552C090" w:rsidR="001E4937" w:rsidRPr="00486FEC"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lang w:val="de-DE"/>
        </w:rPr>
        <w:t xml:space="preserve"> </w:t>
      </w:r>
      <w:r w:rsidR="00486FEC">
        <w:rPr>
          <w:rFonts w:ascii="Verdana" w:hAnsi="Verdana"/>
          <w:sz w:val="16"/>
          <w:szCs w:val="16"/>
          <w:lang w:val="de-DE"/>
        </w:rPr>
        <w:tab/>
      </w:r>
      <w:r w:rsidRPr="00486FEC">
        <w:rPr>
          <w:rFonts w:ascii="Verdana" w:hAnsi="Verdana"/>
          <w:i/>
          <w:sz w:val="16"/>
          <w:szCs w:val="16"/>
          <w:lang w:val="de-DE"/>
        </w:rPr>
        <w:t>Cfr.</w:t>
      </w:r>
      <w:r w:rsidRPr="00486FEC">
        <w:rPr>
          <w:rFonts w:ascii="Verdana" w:hAnsi="Verdana"/>
          <w:sz w:val="16"/>
          <w:szCs w:val="16"/>
          <w:lang w:val="de-DE"/>
        </w:rPr>
        <w:t xml:space="preserve"> Martin Heidegger, </w:t>
      </w:r>
      <w:r w:rsidRPr="00486FEC">
        <w:rPr>
          <w:rFonts w:ascii="Verdana" w:hAnsi="Verdana"/>
          <w:i/>
          <w:sz w:val="16"/>
          <w:szCs w:val="16"/>
          <w:lang w:val="de-DE"/>
        </w:rPr>
        <w:t>Sein und Zeit</w:t>
      </w:r>
      <w:r w:rsidRPr="00486FEC">
        <w:rPr>
          <w:rFonts w:ascii="Verdana" w:hAnsi="Verdana"/>
          <w:sz w:val="16"/>
          <w:szCs w:val="16"/>
          <w:lang w:val="de-DE"/>
        </w:rPr>
        <w:t xml:space="preserve">, Tübingen, 1953, págs. </w:t>
      </w:r>
      <w:r w:rsidRPr="00486FEC">
        <w:rPr>
          <w:rFonts w:ascii="Verdana" w:hAnsi="Verdana"/>
          <w:sz w:val="16"/>
          <w:szCs w:val="16"/>
        </w:rPr>
        <w:t>231 y ss.</w:t>
      </w:r>
    </w:p>
  </w:footnote>
  <w:footnote w:id="2">
    <w:p w14:paraId="62C69B02" w14:textId="3D5DB93B" w:rsidR="001E4937" w:rsidRPr="00486FEC"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i/>
          <w:sz w:val="16"/>
          <w:szCs w:val="16"/>
        </w:rPr>
        <w:t>Cfr.</w:t>
      </w:r>
      <w:r w:rsidRPr="00486FEC">
        <w:rPr>
          <w:rFonts w:ascii="Verdana" w:hAnsi="Verdana"/>
          <w:sz w:val="16"/>
          <w:szCs w:val="16"/>
        </w:rPr>
        <w:t xml:space="preserve"> sus fragmentos en </w:t>
      </w:r>
      <w:r w:rsidRPr="00486FEC">
        <w:rPr>
          <w:rFonts w:ascii="Verdana" w:hAnsi="Verdana"/>
          <w:i/>
          <w:sz w:val="16"/>
          <w:szCs w:val="16"/>
        </w:rPr>
        <w:t>Heráclito, Parménides, Empédocles, La sabiduría presocrática</w:t>
      </w:r>
      <w:r w:rsidRPr="00486FEC">
        <w:rPr>
          <w:rFonts w:ascii="Verdana" w:hAnsi="Verdana"/>
          <w:sz w:val="16"/>
          <w:szCs w:val="16"/>
        </w:rPr>
        <w:t xml:space="preserve">, Madrid, 1985; Martin Heidegger – Eugen Fink, </w:t>
      </w:r>
      <w:r w:rsidRPr="00486FEC">
        <w:rPr>
          <w:rFonts w:ascii="Verdana" w:hAnsi="Verdana"/>
          <w:i/>
          <w:sz w:val="16"/>
          <w:szCs w:val="16"/>
        </w:rPr>
        <w:t>Heráclito</w:t>
      </w:r>
      <w:r w:rsidRPr="00486FEC">
        <w:rPr>
          <w:rFonts w:ascii="Verdana" w:hAnsi="Verdana"/>
          <w:sz w:val="16"/>
          <w:szCs w:val="16"/>
        </w:rPr>
        <w:t xml:space="preserve">, Barcelona, 1986; Rodolfo Mondolfo, </w:t>
      </w:r>
      <w:r w:rsidRPr="00486FEC">
        <w:rPr>
          <w:rFonts w:ascii="Verdana" w:hAnsi="Verdana"/>
          <w:i/>
          <w:sz w:val="16"/>
          <w:szCs w:val="16"/>
        </w:rPr>
        <w:t>El pensamiento antiguo</w:t>
      </w:r>
      <w:r w:rsidRPr="00486FEC">
        <w:rPr>
          <w:rFonts w:ascii="Verdana" w:hAnsi="Verdana"/>
          <w:sz w:val="16"/>
          <w:szCs w:val="16"/>
        </w:rPr>
        <w:t>, Buenos Aires, 1974.</w:t>
      </w:r>
    </w:p>
  </w:footnote>
  <w:footnote w:id="3">
    <w:p w14:paraId="78357843" w14:textId="5F8D997C" w:rsidR="001E4937" w:rsidRPr="00486FEC"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i/>
          <w:sz w:val="16"/>
          <w:szCs w:val="16"/>
        </w:rPr>
        <w:t xml:space="preserve">Cfr. </w:t>
      </w:r>
      <w:r w:rsidRPr="00486FEC">
        <w:rPr>
          <w:rFonts w:ascii="Verdana" w:hAnsi="Verdana"/>
          <w:i/>
          <w:sz w:val="16"/>
          <w:szCs w:val="16"/>
          <w:lang w:val="es-ES"/>
        </w:rPr>
        <w:t xml:space="preserve">Caso Acosta y otros vs. Nicaragua. Excepciones preliminares, </w:t>
      </w:r>
      <w:r w:rsidRPr="00486FEC">
        <w:rPr>
          <w:rFonts w:ascii="Verdana" w:hAnsi="Verdana"/>
          <w:i/>
          <w:iCs/>
          <w:sz w:val="16"/>
          <w:szCs w:val="16"/>
          <w:lang w:val="es-CR"/>
        </w:rPr>
        <w:t>Fondo, Reparaciones y Costas</w:t>
      </w:r>
      <w:r w:rsidRPr="00486FEC">
        <w:rPr>
          <w:rFonts w:ascii="Verdana" w:hAnsi="Verdana"/>
          <w:sz w:val="16"/>
          <w:szCs w:val="16"/>
          <w:lang w:val="es-CR"/>
        </w:rPr>
        <w:t>. Sentencia de 25 de marzo de 2017. Serie C No. 334, párr. 30</w:t>
      </w:r>
      <w:r w:rsidRPr="00486FEC">
        <w:rPr>
          <w:rFonts w:ascii="Verdana" w:hAnsi="Verdana"/>
          <w:bCs/>
          <w:sz w:val="16"/>
          <w:szCs w:val="16"/>
          <w:lang w:val="es-MX"/>
        </w:rPr>
        <w:t>.</w:t>
      </w:r>
    </w:p>
  </w:footnote>
  <w:footnote w:id="4">
    <w:p w14:paraId="365388B1" w14:textId="207336DA" w:rsidR="001E4937" w:rsidRPr="00486FEC"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i/>
          <w:sz w:val="16"/>
          <w:szCs w:val="16"/>
        </w:rPr>
        <w:t xml:space="preserve">Cfr. </w:t>
      </w:r>
      <w:r w:rsidRPr="00486FEC">
        <w:rPr>
          <w:rFonts w:ascii="Verdana" w:hAnsi="Verdana"/>
          <w:bCs/>
          <w:i/>
          <w:sz w:val="16"/>
          <w:szCs w:val="16"/>
          <w:lang w:val="es-MX"/>
        </w:rPr>
        <w:t>Caso I.V. vs. Bolivia. Excepciones Preliminares, Fondo, Reparaciones y Costas. Sentencia de 30 de noviembre</w:t>
      </w:r>
      <w:r w:rsidRPr="00486FEC">
        <w:rPr>
          <w:rFonts w:ascii="Verdana" w:hAnsi="Verdana"/>
          <w:bCs/>
          <w:sz w:val="16"/>
          <w:szCs w:val="16"/>
          <w:lang w:val="es-MX"/>
        </w:rPr>
        <w:t xml:space="preserve"> de 2016. Serie C No. 329, párr. 45.</w:t>
      </w:r>
    </w:p>
  </w:footnote>
  <w:footnote w:id="5">
    <w:p w14:paraId="3DAFCCF0" w14:textId="466D02D7" w:rsidR="001E4937" w:rsidRPr="00486FEC" w:rsidRDefault="001E4937" w:rsidP="00522EEF">
      <w:pPr>
        <w:pStyle w:val="Textonotapie"/>
        <w:tabs>
          <w:tab w:val="left" w:pos="567"/>
        </w:tabs>
        <w:spacing w:before="120" w:after="120"/>
        <w:jc w:val="both"/>
        <w:rPr>
          <w:rFonts w:ascii="Verdana" w:hAnsi="Verdana"/>
          <w:i/>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i/>
          <w:sz w:val="16"/>
          <w:szCs w:val="16"/>
        </w:rPr>
        <w:t>Cf</w:t>
      </w:r>
      <w:r w:rsidR="00486FEC">
        <w:rPr>
          <w:rFonts w:ascii="Verdana" w:hAnsi="Verdana"/>
          <w:i/>
          <w:sz w:val="16"/>
          <w:szCs w:val="16"/>
        </w:rPr>
        <w:t>r</w:t>
      </w:r>
      <w:r w:rsidRPr="00486FEC">
        <w:rPr>
          <w:rFonts w:ascii="Verdana" w:hAnsi="Verdana"/>
          <w:i/>
          <w:sz w:val="16"/>
          <w:szCs w:val="16"/>
        </w:rPr>
        <w:t xml:space="preserve">. Caso “Cinco pensionistas” vs. Perú, Sentencia de 28 de febrero de 2003, Fondo, Reparaciones y Costas. </w:t>
      </w:r>
      <w:r w:rsidRPr="00486FEC">
        <w:rPr>
          <w:rFonts w:ascii="Verdana" w:hAnsi="Verdana"/>
          <w:sz w:val="16"/>
          <w:szCs w:val="16"/>
        </w:rPr>
        <w:t>Serie C No. 98,</w:t>
      </w:r>
      <w:r w:rsidRPr="00486FEC">
        <w:rPr>
          <w:rFonts w:ascii="Verdana" w:hAnsi="Verdana"/>
          <w:i/>
          <w:sz w:val="16"/>
          <w:szCs w:val="16"/>
        </w:rPr>
        <w:t xml:space="preserve"> </w:t>
      </w:r>
      <w:r w:rsidRPr="00486FEC">
        <w:rPr>
          <w:rFonts w:ascii="Verdana" w:hAnsi="Verdana"/>
          <w:sz w:val="16"/>
          <w:szCs w:val="16"/>
        </w:rPr>
        <w:t>párr. 154, 155.</w:t>
      </w:r>
    </w:p>
  </w:footnote>
  <w:footnote w:id="6">
    <w:p w14:paraId="1C55D67A" w14:textId="729463D9" w:rsidR="001E4937" w:rsidRPr="00486FEC" w:rsidRDefault="001E4937" w:rsidP="00522EEF">
      <w:pPr>
        <w:pStyle w:val="Textonotapie"/>
        <w:tabs>
          <w:tab w:val="left" w:pos="567"/>
        </w:tabs>
        <w:spacing w:before="120" w:after="120"/>
        <w:jc w:val="both"/>
        <w:rPr>
          <w:rFonts w:ascii="Verdana" w:hAnsi="Verdana"/>
          <w:iCs/>
          <w:sz w:val="16"/>
          <w:szCs w:val="16"/>
          <w:lang w:val="es-ES"/>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i/>
          <w:sz w:val="16"/>
          <w:szCs w:val="16"/>
        </w:rPr>
        <w:t xml:space="preserve">Cfr. </w:t>
      </w:r>
      <w:r w:rsidRPr="00486FEC">
        <w:rPr>
          <w:rFonts w:ascii="Verdana" w:hAnsi="Verdana"/>
          <w:i/>
          <w:sz w:val="16"/>
          <w:szCs w:val="16"/>
          <w:lang w:val="es-MX"/>
        </w:rPr>
        <w:t>Caso Herrera Espinoza y otros Vs. Ecuador. Excepciones Preliminares, Fondo, Reparaciones y Costas</w:t>
      </w:r>
      <w:r w:rsidRPr="00486FEC">
        <w:rPr>
          <w:rFonts w:ascii="Verdana" w:hAnsi="Verdana"/>
          <w:sz w:val="16"/>
          <w:szCs w:val="16"/>
          <w:lang w:val="es-MX"/>
        </w:rPr>
        <w:t>. Sentencia de 1 de septiembre de 2016. Serie C No. 316, párr. 41.</w:t>
      </w:r>
    </w:p>
  </w:footnote>
  <w:footnote w:id="7">
    <w:p w14:paraId="2411BE25" w14:textId="2FCD26DB" w:rsidR="001E4937" w:rsidRPr="00486FEC"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i/>
          <w:sz w:val="16"/>
          <w:szCs w:val="16"/>
          <w:lang w:val="es-MX"/>
        </w:rPr>
        <w:t xml:space="preserve">Cfr. Caso de la Masacre de Mapiripán Vs. Colombia. Fondo, Reparaciones y Costas. </w:t>
      </w:r>
      <w:r w:rsidRPr="00486FEC">
        <w:rPr>
          <w:rFonts w:ascii="Verdana" w:hAnsi="Verdana"/>
          <w:sz w:val="16"/>
          <w:szCs w:val="16"/>
          <w:lang w:val="es-MX"/>
        </w:rPr>
        <w:t>Sentencia de 15 de septiembre de 2005. Serie C No. 134, párr. 58.</w:t>
      </w:r>
    </w:p>
  </w:footnote>
  <w:footnote w:id="8">
    <w:p w14:paraId="57B85147" w14:textId="7C21430A" w:rsidR="001E4937" w:rsidRPr="00486FEC"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i/>
          <w:sz w:val="16"/>
          <w:szCs w:val="16"/>
        </w:rPr>
        <w:t xml:space="preserve">Cfr. </w:t>
      </w:r>
      <w:r w:rsidRPr="00486FEC">
        <w:rPr>
          <w:rFonts w:ascii="Verdana" w:hAnsi="Verdana"/>
          <w:i/>
          <w:sz w:val="16"/>
          <w:szCs w:val="16"/>
          <w:lang w:val="es-ES"/>
        </w:rPr>
        <w:t>Caso Acosta y otros vs. Nicaragua, supra</w:t>
      </w:r>
      <w:r w:rsidRPr="00486FEC">
        <w:rPr>
          <w:rFonts w:ascii="Verdana" w:hAnsi="Verdana"/>
          <w:sz w:val="16"/>
          <w:szCs w:val="16"/>
          <w:lang w:val="es-CR"/>
        </w:rPr>
        <w:t>, párr. 155 a 169.</w:t>
      </w:r>
    </w:p>
  </w:footnote>
  <w:footnote w:id="9">
    <w:p w14:paraId="551307B4" w14:textId="4F82D3CE" w:rsidR="001E4937" w:rsidRPr="00486FEC"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i/>
          <w:sz w:val="16"/>
          <w:szCs w:val="16"/>
        </w:rPr>
        <w:t>Cfr. Asunto Edwin Leonardo Jarrín Jarrín, Tania Elizabeth Pauker Cueva y Sonia Gabriela Vera García, Solicitud de Medidas Provisionales respecto de Ecuador, de 8 de febrero de 2018. Voto Juez Zaffaroni.</w:t>
      </w:r>
    </w:p>
  </w:footnote>
  <w:footnote w:id="10">
    <w:p w14:paraId="561B6858" w14:textId="1C426858" w:rsidR="001E4937" w:rsidRPr="002D0055"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2D0055">
        <w:rPr>
          <w:rFonts w:ascii="Verdana" w:hAnsi="Verdana"/>
          <w:sz w:val="16"/>
          <w:szCs w:val="16"/>
        </w:rPr>
        <w:t xml:space="preserve"> </w:t>
      </w:r>
      <w:r w:rsidR="00486FEC" w:rsidRPr="002D0055">
        <w:rPr>
          <w:rFonts w:ascii="Verdana" w:hAnsi="Verdana"/>
          <w:sz w:val="16"/>
          <w:szCs w:val="16"/>
        </w:rPr>
        <w:tab/>
      </w:r>
      <w:r w:rsidRPr="002D0055">
        <w:rPr>
          <w:rFonts w:ascii="Verdana" w:hAnsi="Verdana"/>
          <w:i/>
          <w:sz w:val="16"/>
          <w:szCs w:val="16"/>
        </w:rPr>
        <w:t>Der Begriff des Politischen</w:t>
      </w:r>
      <w:r w:rsidRPr="002D0055">
        <w:rPr>
          <w:rFonts w:ascii="Verdana" w:hAnsi="Verdana"/>
          <w:sz w:val="16"/>
          <w:szCs w:val="16"/>
        </w:rPr>
        <w:t>, (1932), Berlin, 1963.</w:t>
      </w:r>
    </w:p>
  </w:footnote>
  <w:footnote w:id="11">
    <w:p w14:paraId="747EDDA5" w14:textId="518F279C" w:rsidR="001E4937" w:rsidRPr="00486FEC"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sz w:val="16"/>
          <w:szCs w:val="16"/>
        </w:rPr>
        <w:t>Informe nº 195/21, Petición 2377-17, Informe de Admisibilidad Edwin Leonardo Jarrin, Tania Elizabeth Pauker Cueva y Sonia Gabriela Vera García, Ecuador.  OEA /Ser. L/V/II. Doc. 203, 7 de setiembre 2021.  Original: español.</w:t>
      </w:r>
    </w:p>
  </w:footnote>
  <w:footnote w:id="12">
    <w:p w14:paraId="4209EF70" w14:textId="64F7CE2F" w:rsidR="001E4937" w:rsidRPr="00486FEC" w:rsidRDefault="001E4937" w:rsidP="00522EEF">
      <w:pPr>
        <w:pStyle w:val="Textonotapie"/>
        <w:tabs>
          <w:tab w:val="left" w:pos="567"/>
        </w:tabs>
        <w:spacing w:before="120" w:after="120"/>
        <w:jc w:val="both"/>
        <w:rPr>
          <w:rFonts w:ascii="Verdana" w:hAnsi="Verdana"/>
          <w:color w:val="ED7D31" w:themeColor="accent2"/>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i/>
          <w:sz w:val="16"/>
          <w:szCs w:val="16"/>
        </w:rPr>
        <w:t>Cfr. Caso Cuya Lavy y otros vs. Perú, Excepciones Preliminares, Fondo, Reparaciones Y Costas, Sentencia de 28 de septiembre de 2021, Serie C No. 438; Caso Moya Solís vs. Perú, Excepciones Preliminares, Fondo, Reparaciones y Costas, Sentencia de 3 de junio de 2021, Serie C No. 425; Caso Ríos Avalos y otro vs. Paraguay, Sentencia de 19 de agosto de 2021, Fondo, Reparaciones y Costas, Serie C 429.</w:t>
      </w:r>
    </w:p>
  </w:footnote>
  <w:footnote w:id="13">
    <w:p w14:paraId="12337621" w14:textId="54976E2F" w:rsidR="001E4937" w:rsidRPr="00486FEC" w:rsidRDefault="001E4937" w:rsidP="00522EEF">
      <w:pPr>
        <w:pStyle w:val="Textonotapie"/>
        <w:tabs>
          <w:tab w:val="left" w:pos="567"/>
        </w:tabs>
        <w:spacing w:before="120" w:after="120"/>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sz w:val="16"/>
          <w:szCs w:val="16"/>
        </w:rPr>
        <w:t xml:space="preserve">Solicitud de información al Estado de Ecuador por parte del Relator Especial de la ONU, disponible en: </w:t>
      </w:r>
      <w:hyperlink r:id="rId1" w:history="1">
        <w:r w:rsidRPr="00486FEC">
          <w:rPr>
            <w:rStyle w:val="Hipervnculo"/>
            <w:rFonts w:ascii="Verdana" w:hAnsi="Verdana"/>
            <w:color w:val="auto"/>
            <w:sz w:val="16"/>
            <w:szCs w:val="16"/>
          </w:rPr>
          <w:t>https://spcommreports.ohchr.org/TMResultsBase/DownLoadPublicCommunicationFile?gId=26537</w:t>
        </w:r>
      </w:hyperlink>
    </w:p>
    <w:p w14:paraId="5B478CAE" w14:textId="77777777" w:rsidR="001E4937" w:rsidRPr="00486FEC" w:rsidRDefault="001E4937" w:rsidP="00522EEF">
      <w:pPr>
        <w:pStyle w:val="Textonotapie"/>
        <w:tabs>
          <w:tab w:val="left" w:pos="567"/>
        </w:tabs>
        <w:spacing w:before="120" w:after="120"/>
        <w:jc w:val="both"/>
        <w:rPr>
          <w:rFonts w:ascii="Verdana" w:hAnsi="Verdana"/>
          <w:sz w:val="16"/>
          <w:szCs w:val="16"/>
        </w:rPr>
      </w:pPr>
    </w:p>
  </w:footnote>
  <w:footnote w:id="14">
    <w:p w14:paraId="31A780DC" w14:textId="1844E77E" w:rsidR="001E4937" w:rsidRPr="00486FEC" w:rsidRDefault="001E4937" w:rsidP="00522EEF">
      <w:pPr>
        <w:pStyle w:val="Textonotapie"/>
        <w:tabs>
          <w:tab w:val="left" w:pos="567"/>
        </w:tabs>
        <w:spacing w:before="120" w:after="120"/>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sz w:val="16"/>
          <w:szCs w:val="16"/>
        </w:rPr>
        <w:t>La información enviada al Relator Especial ONU por parte del Estado de Ecuador, está disponible en:</w:t>
      </w:r>
      <w:r w:rsidR="00486FEC">
        <w:rPr>
          <w:rFonts w:ascii="Verdana" w:hAnsi="Verdana"/>
          <w:sz w:val="16"/>
          <w:szCs w:val="16"/>
        </w:rPr>
        <w:t xml:space="preserve"> </w:t>
      </w:r>
      <w:hyperlink r:id="rId2" w:history="1">
        <w:r w:rsidRPr="00486FEC">
          <w:rPr>
            <w:rStyle w:val="Hipervnculo"/>
            <w:rFonts w:ascii="Verdana" w:hAnsi="Verdana"/>
            <w:color w:val="auto"/>
            <w:sz w:val="16"/>
            <w:szCs w:val="16"/>
          </w:rPr>
          <w:t>https://spcommreports.ohchr.org/TMResultsBase/DownLoadFile?gId=36540</w:t>
        </w:r>
      </w:hyperlink>
    </w:p>
  </w:footnote>
  <w:footnote w:id="15">
    <w:p w14:paraId="02074DDE" w14:textId="315CB3DC" w:rsidR="001E4937" w:rsidRPr="00486FEC"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i/>
          <w:sz w:val="16"/>
          <w:szCs w:val="16"/>
        </w:rPr>
        <w:t>El caso Sobornos. Ocaso del garantismo penal. Estudio doctrinario y jurisprudencial</w:t>
      </w:r>
      <w:r w:rsidRPr="00486FEC">
        <w:rPr>
          <w:rFonts w:ascii="Verdana" w:hAnsi="Verdana"/>
          <w:sz w:val="16"/>
          <w:szCs w:val="16"/>
        </w:rPr>
        <w:t>, Murillo Editores, Quito, 2021.</w:t>
      </w:r>
    </w:p>
  </w:footnote>
  <w:footnote w:id="16">
    <w:p w14:paraId="6D42FE3C" w14:textId="4B8F4525" w:rsidR="001E4937" w:rsidRPr="00486FEC" w:rsidRDefault="001E4937" w:rsidP="00522EEF">
      <w:pPr>
        <w:pStyle w:val="Textonotapie"/>
        <w:tabs>
          <w:tab w:val="left" w:pos="567"/>
        </w:tabs>
        <w:spacing w:before="120" w:after="120"/>
        <w:jc w:val="both"/>
        <w:rPr>
          <w:rFonts w:ascii="Verdana" w:hAnsi="Verdana"/>
          <w:color w:val="ED7D31" w:themeColor="accent2"/>
          <w:sz w:val="16"/>
          <w:szCs w:val="16"/>
        </w:rPr>
      </w:pPr>
      <w:r w:rsidRPr="00486FEC">
        <w:rPr>
          <w:rStyle w:val="Refdenotaalpie"/>
          <w:rFonts w:ascii="Verdana" w:hAnsi="Verdana"/>
          <w:sz w:val="16"/>
          <w:szCs w:val="16"/>
        </w:rPr>
        <w:footnoteRef/>
      </w:r>
      <w:r w:rsidRPr="00486FEC">
        <w:rPr>
          <w:rFonts w:ascii="Verdana" w:hAnsi="Verdana"/>
          <w:sz w:val="16"/>
          <w:szCs w:val="16"/>
          <w:lang w:val="pt-BR"/>
        </w:rPr>
        <w:t xml:space="preserve"> </w:t>
      </w:r>
      <w:r w:rsidR="00486FEC">
        <w:rPr>
          <w:rFonts w:ascii="Verdana" w:hAnsi="Verdana"/>
          <w:sz w:val="16"/>
          <w:szCs w:val="16"/>
          <w:lang w:val="pt-BR"/>
        </w:rPr>
        <w:tab/>
      </w:r>
      <w:r w:rsidRPr="00486FEC">
        <w:rPr>
          <w:rFonts w:ascii="Verdana" w:hAnsi="Verdana"/>
          <w:sz w:val="16"/>
          <w:szCs w:val="16"/>
          <w:lang w:val="pt-BR"/>
        </w:rPr>
        <w:t xml:space="preserve">Corte IDH. </w:t>
      </w:r>
      <w:r w:rsidRPr="00522EEF">
        <w:rPr>
          <w:rFonts w:ascii="Verdana" w:hAnsi="Verdana"/>
          <w:i/>
          <w:sz w:val="16"/>
          <w:szCs w:val="16"/>
          <w:lang w:val="pt-BR"/>
        </w:rPr>
        <w:t xml:space="preserve">Asunto Milagro Sala respecto de Argentina. </w:t>
      </w:r>
      <w:r w:rsidRPr="00522EEF">
        <w:rPr>
          <w:rFonts w:ascii="Verdana" w:hAnsi="Verdana"/>
          <w:i/>
          <w:sz w:val="16"/>
          <w:szCs w:val="16"/>
        </w:rPr>
        <w:t>Solicitud de Medidas Provisionales.</w:t>
      </w:r>
      <w:r w:rsidRPr="00486FEC">
        <w:rPr>
          <w:rFonts w:ascii="Verdana" w:hAnsi="Verdana"/>
          <w:sz w:val="16"/>
          <w:szCs w:val="16"/>
        </w:rPr>
        <w:t xml:space="preserve"> Resolución de la Corte Interamericana de Derechos Humanos de 23 de noviembre de 2017.</w:t>
      </w:r>
    </w:p>
  </w:footnote>
  <w:footnote w:id="17">
    <w:p w14:paraId="3E2033AB" w14:textId="2BEA1010" w:rsidR="001E4937" w:rsidRPr="00486FEC"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sz w:val="16"/>
          <w:szCs w:val="16"/>
        </w:rPr>
        <w:t xml:space="preserve">Corte IDH. </w:t>
      </w:r>
      <w:r w:rsidRPr="00522EEF">
        <w:rPr>
          <w:rFonts w:ascii="Verdana" w:hAnsi="Verdana"/>
          <w:i/>
          <w:sz w:val="16"/>
          <w:szCs w:val="16"/>
        </w:rPr>
        <w:t>Asunto Juan Sebastián Chamorro y otros respecto de Nicaragua. Medidas Provisionales.</w:t>
      </w:r>
      <w:r w:rsidRPr="00486FEC">
        <w:rPr>
          <w:rFonts w:ascii="Verdana" w:hAnsi="Verdana"/>
          <w:sz w:val="16"/>
          <w:szCs w:val="16"/>
        </w:rPr>
        <w:t xml:space="preserve"> Resoluciones de la Corte Interamericana de Derechos Humanos del 4 y 22 de noviembre de 2021.</w:t>
      </w:r>
    </w:p>
  </w:footnote>
  <w:footnote w:id="18">
    <w:p w14:paraId="746AF8DD" w14:textId="7E7EDB69" w:rsidR="001E4937" w:rsidRPr="00486FEC"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sz w:val="16"/>
          <w:szCs w:val="16"/>
        </w:rPr>
        <w:t>CIDH, Medidas Cautelares a favor de Jorge David Glas Espinel en Ecuador, Resolución 69/2019, del 31 de diciembre de 2019, Medida Cautelar No. 1581-18.</w:t>
      </w:r>
    </w:p>
  </w:footnote>
  <w:footnote w:id="19">
    <w:p w14:paraId="46DA3D02" w14:textId="3075B7D5" w:rsidR="001E4937" w:rsidRPr="00486FEC"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sz w:val="16"/>
          <w:szCs w:val="16"/>
        </w:rPr>
        <w:t xml:space="preserve">Cfr. Luis Recasens Siches, </w:t>
      </w:r>
      <w:r w:rsidRPr="00486FEC">
        <w:rPr>
          <w:rFonts w:ascii="Verdana" w:hAnsi="Verdana"/>
          <w:i/>
          <w:sz w:val="16"/>
          <w:szCs w:val="16"/>
        </w:rPr>
        <w:t>Panorama del pensamiento jurídico en el siglo XX</w:t>
      </w:r>
      <w:r w:rsidRPr="00486FEC">
        <w:rPr>
          <w:rFonts w:ascii="Verdana" w:hAnsi="Verdana"/>
          <w:sz w:val="16"/>
          <w:szCs w:val="16"/>
        </w:rPr>
        <w:t>, México, 1963, pp. 619 y ss.</w:t>
      </w:r>
    </w:p>
  </w:footnote>
  <w:footnote w:id="20">
    <w:p w14:paraId="3D633FFB" w14:textId="70987F9B" w:rsidR="001E4937" w:rsidRPr="00486FEC"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sz w:val="16"/>
          <w:szCs w:val="16"/>
        </w:rPr>
        <w:t xml:space="preserve">Así, Hans Welzel, </w:t>
      </w:r>
      <w:r w:rsidRPr="00486FEC">
        <w:rPr>
          <w:rFonts w:ascii="Verdana" w:hAnsi="Verdana"/>
          <w:i/>
          <w:sz w:val="16"/>
          <w:szCs w:val="16"/>
        </w:rPr>
        <w:t>Más allá del derecho natural y del positivismo jurídico</w:t>
      </w:r>
      <w:r w:rsidRPr="00486FEC">
        <w:rPr>
          <w:rFonts w:ascii="Verdana" w:hAnsi="Verdana"/>
          <w:sz w:val="16"/>
          <w:szCs w:val="16"/>
        </w:rPr>
        <w:t xml:space="preserve">, trad. de Ernesto Garzón Valdez, Córdoba, 1962; más ampliamente en </w:t>
      </w:r>
      <w:r w:rsidRPr="00486FEC">
        <w:rPr>
          <w:rFonts w:ascii="Verdana" w:hAnsi="Verdana"/>
          <w:i/>
          <w:sz w:val="16"/>
          <w:szCs w:val="16"/>
        </w:rPr>
        <w:t>Naturrecht und materiale Gerechtigkeit</w:t>
      </w:r>
      <w:r w:rsidRPr="00486FEC">
        <w:rPr>
          <w:rFonts w:ascii="Verdana" w:hAnsi="Verdana"/>
          <w:sz w:val="16"/>
          <w:szCs w:val="16"/>
        </w:rPr>
        <w:t>, Göttingen, 1962.</w:t>
      </w:r>
    </w:p>
  </w:footnote>
  <w:footnote w:id="21">
    <w:p w14:paraId="239A5A40" w14:textId="1183070E" w:rsidR="001E4937" w:rsidRPr="00486FEC" w:rsidRDefault="001E4937" w:rsidP="00522EEF">
      <w:pPr>
        <w:pStyle w:val="Textonotapie"/>
        <w:tabs>
          <w:tab w:val="left" w:pos="567"/>
        </w:tabs>
        <w:spacing w:before="120" w:after="120"/>
        <w:jc w:val="both"/>
        <w:rPr>
          <w:rFonts w:ascii="Verdana" w:hAnsi="Verdana"/>
          <w:sz w:val="16"/>
          <w:szCs w:val="16"/>
          <w:lang w:val="de-DE"/>
        </w:rPr>
      </w:pPr>
      <w:r w:rsidRPr="00486FEC">
        <w:rPr>
          <w:rStyle w:val="Refdenotaalpie"/>
          <w:rFonts w:ascii="Verdana" w:hAnsi="Verdana"/>
          <w:sz w:val="16"/>
          <w:szCs w:val="16"/>
        </w:rPr>
        <w:footnoteRef/>
      </w:r>
      <w:r w:rsidRPr="00486FEC">
        <w:rPr>
          <w:rFonts w:ascii="Verdana" w:hAnsi="Verdana"/>
          <w:sz w:val="16"/>
          <w:szCs w:val="16"/>
          <w:lang w:val="de-DE"/>
        </w:rPr>
        <w:t xml:space="preserve"> </w:t>
      </w:r>
      <w:r w:rsidR="00486FEC">
        <w:rPr>
          <w:rFonts w:ascii="Verdana" w:hAnsi="Verdana"/>
          <w:sz w:val="16"/>
          <w:szCs w:val="16"/>
          <w:lang w:val="de-DE"/>
        </w:rPr>
        <w:tab/>
      </w:r>
      <w:r w:rsidRPr="00486FEC">
        <w:rPr>
          <w:rFonts w:ascii="Verdana" w:hAnsi="Verdana"/>
          <w:sz w:val="16"/>
          <w:szCs w:val="16"/>
          <w:lang w:val="de-DE"/>
        </w:rPr>
        <w:t xml:space="preserve">V. Wilhelm Windelband, </w:t>
      </w:r>
      <w:r w:rsidRPr="00486FEC">
        <w:rPr>
          <w:rFonts w:ascii="Verdana" w:hAnsi="Verdana"/>
          <w:i/>
          <w:sz w:val="16"/>
          <w:szCs w:val="16"/>
          <w:lang w:val="de-DE"/>
        </w:rPr>
        <w:t>Geschichte der Philosophie</w:t>
      </w:r>
      <w:r w:rsidRPr="00486FEC">
        <w:rPr>
          <w:rFonts w:ascii="Verdana" w:hAnsi="Verdana"/>
          <w:sz w:val="16"/>
          <w:szCs w:val="16"/>
          <w:lang w:val="de-DE"/>
        </w:rPr>
        <w:t xml:space="preserve">, Berlin, 1916; Heinrich Rickert, </w:t>
      </w:r>
      <w:r w:rsidRPr="00486FEC">
        <w:rPr>
          <w:rFonts w:ascii="Verdana" w:hAnsi="Verdana"/>
          <w:i/>
          <w:sz w:val="16"/>
          <w:szCs w:val="16"/>
          <w:lang w:val="de-DE"/>
        </w:rPr>
        <w:t>Ciencia cultural y ciencia natural</w:t>
      </w:r>
      <w:r w:rsidRPr="00486FEC">
        <w:rPr>
          <w:rFonts w:ascii="Verdana" w:hAnsi="Verdana"/>
          <w:sz w:val="16"/>
          <w:szCs w:val="16"/>
          <w:lang w:val="de-DE"/>
        </w:rPr>
        <w:t>, Madrid, 1963.</w:t>
      </w:r>
    </w:p>
  </w:footnote>
  <w:footnote w:id="22">
    <w:p w14:paraId="73850976" w14:textId="1FEACE02" w:rsidR="001E4937" w:rsidRPr="00486FEC" w:rsidRDefault="001E4937" w:rsidP="00522EEF">
      <w:pPr>
        <w:pStyle w:val="Textonotapie"/>
        <w:tabs>
          <w:tab w:val="left" w:pos="567"/>
        </w:tabs>
        <w:spacing w:before="120" w:after="120"/>
        <w:jc w:val="both"/>
        <w:rPr>
          <w:rFonts w:ascii="Verdana" w:hAnsi="Verdana"/>
          <w:sz w:val="16"/>
          <w:szCs w:val="16"/>
          <w:lang w:val="de-DE"/>
        </w:rPr>
      </w:pPr>
      <w:r w:rsidRPr="00486FEC">
        <w:rPr>
          <w:rStyle w:val="Refdenotaalpie"/>
          <w:rFonts w:ascii="Verdana" w:hAnsi="Verdana"/>
          <w:sz w:val="16"/>
          <w:szCs w:val="16"/>
        </w:rPr>
        <w:footnoteRef/>
      </w:r>
      <w:r w:rsidRPr="00486FEC">
        <w:rPr>
          <w:rFonts w:ascii="Verdana" w:hAnsi="Verdana"/>
          <w:sz w:val="16"/>
          <w:szCs w:val="16"/>
          <w:lang w:val="de-DE"/>
        </w:rPr>
        <w:t xml:space="preserve"> </w:t>
      </w:r>
      <w:r w:rsidR="00486FEC">
        <w:rPr>
          <w:rFonts w:ascii="Verdana" w:hAnsi="Verdana"/>
          <w:sz w:val="16"/>
          <w:szCs w:val="16"/>
          <w:lang w:val="de-DE"/>
        </w:rPr>
        <w:tab/>
      </w:r>
      <w:r w:rsidRPr="00486FEC">
        <w:rPr>
          <w:rFonts w:ascii="Verdana" w:hAnsi="Verdana"/>
          <w:sz w:val="16"/>
          <w:szCs w:val="16"/>
          <w:lang w:val="de-DE"/>
        </w:rPr>
        <w:t xml:space="preserve">Gustav Radbruch, </w:t>
      </w:r>
      <w:r w:rsidRPr="00486FEC">
        <w:rPr>
          <w:rFonts w:ascii="Verdana" w:hAnsi="Verdana"/>
          <w:i/>
          <w:sz w:val="16"/>
          <w:szCs w:val="16"/>
          <w:lang w:val="de-DE"/>
        </w:rPr>
        <w:t>Rechtsphilosophie</w:t>
      </w:r>
      <w:r w:rsidRPr="00486FEC">
        <w:rPr>
          <w:rFonts w:ascii="Verdana" w:hAnsi="Verdana"/>
          <w:sz w:val="16"/>
          <w:szCs w:val="16"/>
          <w:lang w:val="de-DE"/>
        </w:rPr>
        <w:t>, herausgegeben von Erik Wolf, Stuttgart, 1970.</w:t>
      </w:r>
    </w:p>
  </w:footnote>
  <w:footnote w:id="23">
    <w:p w14:paraId="51C8E742" w14:textId="7AF7A21D" w:rsidR="001E4937" w:rsidRPr="00486FEC"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sz w:val="16"/>
          <w:szCs w:val="16"/>
        </w:rPr>
        <w:t xml:space="preserve">Cfr. nuestra monografía </w:t>
      </w:r>
      <w:r w:rsidRPr="00486FEC">
        <w:rPr>
          <w:rFonts w:ascii="Verdana" w:hAnsi="Verdana"/>
          <w:i/>
          <w:sz w:val="16"/>
          <w:szCs w:val="16"/>
        </w:rPr>
        <w:t>Doctrina penal nazi. La dogmática penal alemana entre 1933 y 1945</w:t>
      </w:r>
      <w:r w:rsidRPr="00486FEC">
        <w:rPr>
          <w:rFonts w:ascii="Verdana" w:hAnsi="Verdana"/>
          <w:sz w:val="16"/>
          <w:szCs w:val="16"/>
        </w:rPr>
        <w:t>, Bs. As., 2017.</w:t>
      </w:r>
    </w:p>
  </w:footnote>
  <w:footnote w:id="24">
    <w:p w14:paraId="235C9E54" w14:textId="00E56107" w:rsidR="001E4937" w:rsidRPr="00486FEC" w:rsidRDefault="001E4937" w:rsidP="00522EEF">
      <w:pPr>
        <w:pStyle w:val="Textonotapie"/>
        <w:tabs>
          <w:tab w:val="left" w:pos="567"/>
        </w:tabs>
        <w:spacing w:before="120" w:after="120"/>
        <w:jc w:val="both"/>
        <w:rPr>
          <w:rFonts w:ascii="Verdana" w:hAnsi="Verdana"/>
          <w:sz w:val="16"/>
          <w:szCs w:val="16"/>
          <w:lang w:val="it-IT"/>
        </w:rPr>
      </w:pPr>
      <w:r w:rsidRPr="00486FEC">
        <w:rPr>
          <w:rStyle w:val="Refdenotaalpie"/>
          <w:rFonts w:ascii="Verdana" w:hAnsi="Verdana"/>
          <w:sz w:val="16"/>
          <w:szCs w:val="16"/>
        </w:rPr>
        <w:footnoteRef/>
      </w:r>
      <w:r w:rsidRPr="00486FEC">
        <w:rPr>
          <w:rFonts w:ascii="Verdana" w:hAnsi="Verdana"/>
          <w:sz w:val="16"/>
          <w:szCs w:val="16"/>
          <w:lang w:val="it-IT"/>
        </w:rPr>
        <w:t xml:space="preserve"> </w:t>
      </w:r>
      <w:r w:rsidR="00486FEC">
        <w:rPr>
          <w:rFonts w:ascii="Verdana" w:hAnsi="Verdana"/>
          <w:sz w:val="16"/>
          <w:szCs w:val="16"/>
          <w:lang w:val="it-IT"/>
        </w:rPr>
        <w:tab/>
      </w:r>
      <w:r w:rsidRPr="00486FEC">
        <w:rPr>
          <w:rFonts w:ascii="Verdana" w:hAnsi="Verdana"/>
          <w:sz w:val="16"/>
          <w:szCs w:val="16"/>
          <w:lang w:val="it-IT"/>
        </w:rPr>
        <w:t>Ver el estado actual de la discusión en Attilio Nisco</w:t>
      </w:r>
      <w:r w:rsidRPr="00486FEC">
        <w:rPr>
          <w:rFonts w:ascii="Verdana" w:hAnsi="Verdana"/>
          <w:i/>
          <w:sz w:val="16"/>
          <w:szCs w:val="16"/>
          <w:lang w:val="it-IT"/>
        </w:rPr>
        <w:t>, Neokantismo e scienza del diritto penale, Sull’involuzione autoritaria del pensiero penalistico tedesco nel primo novecento</w:t>
      </w:r>
      <w:r w:rsidRPr="00486FEC">
        <w:rPr>
          <w:rFonts w:ascii="Verdana" w:hAnsi="Verdana"/>
          <w:sz w:val="16"/>
          <w:szCs w:val="16"/>
          <w:lang w:val="it-IT"/>
        </w:rPr>
        <w:t>, Torino, 2019.</w:t>
      </w:r>
    </w:p>
  </w:footnote>
  <w:footnote w:id="25">
    <w:p w14:paraId="3332BDB4" w14:textId="77777777" w:rsidR="001E4937" w:rsidRPr="00486FEC"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Corte IDH, </w:t>
      </w:r>
      <w:r w:rsidRPr="00486FEC">
        <w:rPr>
          <w:rFonts w:ascii="Verdana" w:hAnsi="Verdana"/>
          <w:i/>
          <w:sz w:val="16"/>
          <w:szCs w:val="16"/>
        </w:rPr>
        <w:t>Caso Manuel Cepeda Vargas vs. Colombia, Sentencia de 26 de mayo de 2010, Excepciones preliminares, Fondo, Reparaciones y Costas.</w:t>
      </w:r>
      <w:r w:rsidRPr="00486FEC">
        <w:rPr>
          <w:rFonts w:ascii="Verdana" w:hAnsi="Verdana"/>
          <w:sz w:val="16"/>
          <w:szCs w:val="16"/>
        </w:rPr>
        <w:t xml:space="preserve"> Serie C No. 213, párr. 173.</w:t>
      </w:r>
    </w:p>
  </w:footnote>
  <w:footnote w:id="26">
    <w:p w14:paraId="3CA47D47" w14:textId="5E5206E3" w:rsidR="001E4937" w:rsidRPr="00486FEC" w:rsidRDefault="001E4937" w:rsidP="00522EEF">
      <w:pPr>
        <w:pStyle w:val="Textonotapie"/>
        <w:tabs>
          <w:tab w:val="left" w:pos="567"/>
        </w:tabs>
        <w:spacing w:before="120" w:after="120"/>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sz w:val="16"/>
          <w:szCs w:val="16"/>
        </w:rPr>
        <w:t xml:space="preserve">El código español de 1822 imponía penas hasta seis años, el ecuatoriano de 1837 hasta diez años (cfr. </w:t>
      </w:r>
      <w:r w:rsidRPr="00486FEC">
        <w:rPr>
          <w:rFonts w:ascii="Verdana" w:hAnsi="Verdana"/>
          <w:i/>
          <w:sz w:val="16"/>
          <w:szCs w:val="16"/>
        </w:rPr>
        <w:t xml:space="preserve">Código Penal Español decretado por las Cortes en 8 de Junio, sancionado por el Rey y mandado promulgar en 9 de Julio de 1822, </w:t>
      </w:r>
      <w:r w:rsidRPr="00486FEC">
        <w:rPr>
          <w:rFonts w:ascii="Verdana" w:hAnsi="Verdana"/>
          <w:sz w:val="16"/>
          <w:szCs w:val="16"/>
        </w:rPr>
        <w:t xml:space="preserve">Madrid, en la Imprenta Nacional, año de 1822, p. 143). </w:t>
      </w:r>
    </w:p>
  </w:footnote>
  <w:footnote w:id="27">
    <w:p w14:paraId="0D66F34C" w14:textId="27D821CB" w:rsidR="001E4937" w:rsidRPr="00486FEC"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i/>
          <w:sz w:val="16"/>
          <w:szCs w:val="16"/>
        </w:rPr>
        <w:t>Código Penal de la República del Ecuador. Sancionado por la Lejislatura de 1837, Reimpreso por órden del Gobierno, correcto y revisado por la Comisión Permanente del Senado</w:t>
      </w:r>
      <w:r w:rsidRPr="00486FEC">
        <w:rPr>
          <w:rFonts w:ascii="Verdana" w:hAnsi="Verdana"/>
          <w:sz w:val="16"/>
          <w:szCs w:val="16"/>
        </w:rPr>
        <w:t>, Quito, 16 de marzo de 1845, Imprenta del Gobierno, pág. 95.</w:t>
      </w:r>
    </w:p>
  </w:footnote>
  <w:footnote w:id="28">
    <w:p w14:paraId="419070AB" w14:textId="18D7D46D" w:rsidR="001E4937" w:rsidRPr="00486FEC" w:rsidRDefault="001E4937" w:rsidP="00522EEF">
      <w:pPr>
        <w:pStyle w:val="Textonotapie"/>
        <w:tabs>
          <w:tab w:val="left" w:pos="567"/>
          <w:tab w:val="left" w:pos="599"/>
        </w:tabs>
        <w:spacing w:before="120" w:after="12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sz w:val="16"/>
          <w:szCs w:val="16"/>
        </w:rPr>
        <w:t xml:space="preserve">Artículo 478, en página 104 </w:t>
      </w:r>
      <w:r w:rsidRPr="00486FEC">
        <w:rPr>
          <w:rFonts w:ascii="Verdana" w:hAnsi="Verdana"/>
          <w:i/>
          <w:sz w:val="16"/>
          <w:szCs w:val="16"/>
        </w:rPr>
        <w:t>del Código Penal y Código de Enjuiciamientos en materia criminal de la República del Ecuador</w:t>
      </w:r>
      <w:r w:rsidRPr="00486FEC">
        <w:rPr>
          <w:rFonts w:ascii="Verdana" w:hAnsi="Verdana"/>
          <w:sz w:val="16"/>
          <w:szCs w:val="16"/>
        </w:rPr>
        <w:t>, New York, Imprenta de Halley y Breen, calle de Fulton Nos. 58 y 60, 1872.</w:t>
      </w:r>
      <w:r w:rsidRPr="00486FEC">
        <w:rPr>
          <w:rFonts w:ascii="Verdana" w:hAnsi="Verdana"/>
          <w:sz w:val="16"/>
          <w:szCs w:val="16"/>
        </w:rPr>
        <w:tab/>
      </w:r>
    </w:p>
  </w:footnote>
  <w:footnote w:id="29">
    <w:p w14:paraId="5D3F2397" w14:textId="55B6DFF7" w:rsidR="001E4937" w:rsidRPr="002D0055"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2D0055">
        <w:rPr>
          <w:rFonts w:ascii="Verdana" w:hAnsi="Verdana"/>
          <w:sz w:val="16"/>
          <w:szCs w:val="16"/>
        </w:rPr>
        <w:t xml:space="preserve"> </w:t>
      </w:r>
      <w:r w:rsidR="00486FEC" w:rsidRPr="002D0055">
        <w:rPr>
          <w:rFonts w:ascii="Verdana" w:hAnsi="Verdana"/>
          <w:sz w:val="16"/>
          <w:szCs w:val="16"/>
        </w:rPr>
        <w:tab/>
      </w:r>
      <w:r w:rsidRPr="002D0055">
        <w:rPr>
          <w:rFonts w:ascii="Verdana" w:hAnsi="Verdana"/>
          <w:sz w:val="16"/>
          <w:szCs w:val="16"/>
        </w:rPr>
        <w:t xml:space="preserve">F. S. G Nyppels, </w:t>
      </w:r>
      <w:r w:rsidRPr="002D0055">
        <w:rPr>
          <w:rFonts w:ascii="Verdana" w:hAnsi="Verdana"/>
          <w:i/>
          <w:sz w:val="16"/>
          <w:szCs w:val="16"/>
        </w:rPr>
        <w:t>Législation Criminelle de la Belgique ou Commentaire et Complément du Code Pénal Belge</w:t>
      </w:r>
      <w:r w:rsidRPr="002D0055">
        <w:rPr>
          <w:rFonts w:ascii="Verdana" w:hAnsi="Verdana"/>
          <w:sz w:val="16"/>
          <w:szCs w:val="16"/>
        </w:rPr>
        <w:t>, Bruselas, 1872, tomo tercero, página XLI.</w:t>
      </w:r>
    </w:p>
  </w:footnote>
  <w:footnote w:id="30">
    <w:p w14:paraId="5A453F08" w14:textId="6620432D" w:rsidR="001E4937" w:rsidRPr="00486FEC"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i/>
          <w:sz w:val="16"/>
          <w:szCs w:val="16"/>
        </w:rPr>
        <w:t>Edición oficial</w:t>
      </w:r>
      <w:r w:rsidRPr="00486FEC">
        <w:rPr>
          <w:rFonts w:ascii="Verdana" w:hAnsi="Verdana"/>
          <w:sz w:val="16"/>
          <w:szCs w:val="16"/>
        </w:rPr>
        <w:t>, página 94.</w:t>
      </w:r>
    </w:p>
  </w:footnote>
  <w:footnote w:id="31">
    <w:p w14:paraId="2D8FF451" w14:textId="288C0935" w:rsidR="001E4937" w:rsidRPr="00486FEC"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sz w:val="16"/>
          <w:szCs w:val="16"/>
        </w:rPr>
        <w:t xml:space="preserve">Corte IDH. </w:t>
      </w:r>
      <w:r w:rsidRPr="00486FEC">
        <w:rPr>
          <w:rFonts w:ascii="Verdana" w:hAnsi="Verdana"/>
          <w:i/>
          <w:sz w:val="16"/>
          <w:szCs w:val="16"/>
        </w:rPr>
        <w:t>Caso Usón Ramírez Vs. Venezuela. Excepción Preliminar, Fondo, Reparaciones y Costas. Sentencia de 20 de noviembre de 2009.</w:t>
      </w:r>
      <w:r w:rsidRPr="00486FEC">
        <w:rPr>
          <w:rFonts w:ascii="Verdana" w:hAnsi="Verdana"/>
          <w:sz w:val="16"/>
          <w:szCs w:val="16"/>
        </w:rPr>
        <w:t xml:space="preserve"> Serie C No. 207, párr. 56 y 57.</w:t>
      </w:r>
    </w:p>
  </w:footnote>
  <w:footnote w:id="32">
    <w:p w14:paraId="069C9C2C" w14:textId="1665FE20" w:rsidR="001E4937" w:rsidRPr="00486FEC"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sz w:val="16"/>
          <w:szCs w:val="16"/>
        </w:rPr>
        <w:t xml:space="preserve">Corte IDH, </w:t>
      </w:r>
      <w:r w:rsidRPr="00486FEC">
        <w:rPr>
          <w:rFonts w:ascii="Verdana" w:hAnsi="Verdana"/>
          <w:i/>
          <w:sz w:val="16"/>
          <w:szCs w:val="16"/>
        </w:rPr>
        <w:t>Caso Kimel vs. Argentina, Sentencia de 2 de mayo de 2008, Fondo, Reparaciones y Costas.</w:t>
      </w:r>
      <w:r w:rsidRPr="00486FEC">
        <w:rPr>
          <w:rFonts w:ascii="Verdana" w:hAnsi="Verdana"/>
          <w:sz w:val="16"/>
          <w:szCs w:val="16"/>
        </w:rPr>
        <w:t xml:space="preserve"> Serie C No. 177.</w:t>
      </w:r>
    </w:p>
  </w:footnote>
  <w:footnote w:id="33">
    <w:p w14:paraId="4120082B" w14:textId="72C2D111" w:rsidR="001E4937" w:rsidRPr="00486FEC"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sz w:val="16"/>
          <w:szCs w:val="16"/>
        </w:rPr>
        <w:t xml:space="preserve">Entre muchos, son trabajos fundamentales en esta materia, Peter Berger y Thomas Luckmann, </w:t>
      </w:r>
      <w:r w:rsidRPr="00486FEC">
        <w:rPr>
          <w:rFonts w:ascii="Verdana" w:hAnsi="Verdana"/>
          <w:i/>
          <w:sz w:val="16"/>
          <w:szCs w:val="16"/>
        </w:rPr>
        <w:t xml:space="preserve">La construcción social de la realidad, </w:t>
      </w:r>
      <w:r w:rsidRPr="00486FEC">
        <w:rPr>
          <w:rFonts w:ascii="Verdana" w:hAnsi="Verdana"/>
          <w:sz w:val="16"/>
          <w:szCs w:val="16"/>
        </w:rPr>
        <w:t xml:space="preserve">Bs. As., 1986, Alfred Schutz, </w:t>
      </w:r>
      <w:r w:rsidRPr="00486FEC">
        <w:rPr>
          <w:rFonts w:ascii="Verdana" w:hAnsi="Verdana"/>
          <w:i/>
          <w:sz w:val="16"/>
          <w:szCs w:val="16"/>
        </w:rPr>
        <w:t>El problema de la realidad social</w:t>
      </w:r>
      <w:r w:rsidRPr="00486FEC">
        <w:rPr>
          <w:rFonts w:ascii="Verdana" w:hAnsi="Verdana"/>
          <w:sz w:val="16"/>
          <w:szCs w:val="16"/>
        </w:rPr>
        <w:t xml:space="preserve">, Bs. As. 1974; también es fundamental Pierre Bourdieu, </w:t>
      </w:r>
      <w:r w:rsidRPr="00486FEC">
        <w:rPr>
          <w:rFonts w:ascii="Verdana" w:hAnsi="Verdana"/>
          <w:i/>
          <w:sz w:val="16"/>
          <w:szCs w:val="16"/>
        </w:rPr>
        <w:t>Sobre la televisión</w:t>
      </w:r>
      <w:r w:rsidRPr="00486FEC">
        <w:rPr>
          <w:rFonts w:ascii="Verdana" w:hAnsi="Verdana"/>
          <w:sz w:val="16"/>
          <w:szCs w:val="16"/>
        </w:rPr>
        <w:t>, Barcelona, 1998.</w:t>
      </w:r>
    </w:p>
  </w:footnote>
  <w:footnote w:id="34">
    <w:p w14:paraId="04E63EB4" w14:textId="57350296" w:rsidR="001E4937" w:rsidRPr="00486FEC"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sz w:val="16"/>
          <w:szCs w:val="16"/>
        </w:rPr>
        <w:t xml:space="preserve">Corte IDH, </w:t>
      </w:r>
      <w:r w:rsidRPr="00486FEC">
        <w:rPr>
          <w:rFonts w:ascii="Verdana" w:hAnsi="Verdana"/>
          <w:i/>
          <w:sz w:val="16"/>
          <w:szCs w:val="16"/>
        </w:rPr>
        <w:t xml:space="preserve">Caso Mémoli vs. Argentina, Sentencia de 22 de agosto de 2013, Excepciones preliminares, Fondo, Reparaciones y Costas. </w:t>
      </w:r>
      <w:r w:rsidRPr="00486FEC">
        <w:rPr>
          <w:rFonts w:ascii="Verdana" w:hAnsi="Verdana"/>
          <w:sz w:val="16"/>
          <w:szCs w:val="16"/>
        </w:rPr>
        <w:t>Serie C No. 265.</w:t>
      </w:r>
    </w:p>
  </w:footnote>
  <w:footnote w:id="35">
    <w:p w14:paraId="10003425" w14:textId="03485A6B" w:rsidR="001E4937" w:rsidRPr="00486FEC" w:rsidRDefault="001E4937" w:rsidP="00522EEF">
      <w:pPr>
        <w:pStyle w:val="Textonotapie"/>
        <w:tabs>
          <w:tab w:val="left" w:pos="567"/>
        </w:tabs>
        <w:spacing w:before="120" w:after="12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i/>
          <w:sz w:val="16"/>
          <w:szCs w:val="16"/>
        </w:rPr>
        <w:t>Cfr.</w:t>
      </w:r>
      <w:r w:rsidRPr="00486FEC">
        <w:rPr>
          <w:rFonts w:ascii="Verdana" w:hAnsi="Verdana"/>
          <w:sz w:val="16"/>
          <w:szCs w:val="16"/>
        </w:rPr>
        <w:t xml:space="preserve"> Robert Norris, </w:t>
      </w:r>
      <w:r w:rsidRPr="00486FEC">
        <w:rPr>
          <w:rFonts w:ascii="Verdana" w:hAnsi="Verdana"/>
          <w:i/>
          <w:sz w:val="16"/>
          <w:szCs w:val="16"/>
        </w:rPr>
        <w:t>El gran ausente. Biografía de Velasco Ibarra</w:t>
      </w:r>
      <w:r w:rsidRPr="00486FEC">
        <w:rPr>
          <w:rFonts w:ascii="Verdana" w:hAnsi="Verdana"/>
          <w:sz w:val="16"/>
          <w:szCs w:val="16"/>
        </w:rPr>
        <w:t>, Quito, 2005.</w:t>
      </w:r>
    </w:p>
  </w:footnote>
  <w:footnote w:id="36">
    <w:p w14:paraId="72DD1E1E" w14:textId="34983E7C" w:rsidR="001E4937" w:rsidRPr="00486FEC" w:rsidRDefault="001E4937" w:rsidP="00522EEF">
      <w:pPr>
        <w:pStyle w:val="Textonotapie"/>
        <w:tabs>
          <w:tab w:val="left" w:pos="567"/>
        </w:tabs>
        <w:spacing w:before="120" w:after="120"/>
        <w:jc w:val="both"/>
        <w:rPr>
          <w:rFonts w:ascii="Verdana" w:hAnsi="Verdana"/>
          <w:sz w:val="16"/>
          <w:szCs w:val="16"/>
          <w:lang w:val="pt-BR"/>
        </w:rPr>
      </w:pPr>
      <w:r w:rsidRPr="00486FEC">
        <w:rPr>
          <w:rStyle w:val="Refdenotaalpie"/>
          <w:rFonts w:ascii="Verdana" w:hAnsi="Verdana"/>
          <w:sz w:val="16"/>
          <w:szCs w:val="16"/>
        </w:rPr>
        <w:footnoteRef/>
      </w:r>
      <w:r w:rsidRPr="00486FEC">
        <w:rPr>
          <w:rFonts w:ascii="Verdana" w:hAnsi="Verdana"/>
          <w:sz w:val="16"/>
          <w:szCs w:val="16"/>
          <w:lang w:val="pt-BR"/>
        </w:rPr>
        <w:t xml:space="preserve"> </w:t>
      </w:r>
      <w:r w:rsidR="00486FEC">
        <w:rPr>
          <w:rFonts w:ascii="Verdana" w:hAnsi="Verdana"/>
          <w:sz w:val="16"/>
          <w:szCs w:val="16"/>
          <w:lang w:val="pt-BR"/>
        </w:rPr>
        <w:tab/>
      </w:r>
      <w:r w:rsidRPr="00486FEC">
        <w:rPr>
          <w:rFonts w:ascii="Verdana" w:hAnsi="Verdana"/>
          <w:i/>
          <w:sz w:val="16"/>
          <w:szCs w:val="16"/>
          <w:lang w:val="pt-BR"/>
        </w:rPr>
        <w:t>Cfr.</w:t>
      </w:r>
      <w:r w:rsidRPr="00486FEC">
        <w:rPr>
          <w:rFonts w:ascii="Verdana" w:hAnsi="Verdana"/>
          <w:sz w:val="16"/>
          <w:szCs w:val="16"/>
          <w:lang w:val="pt-BR"/>
        </w:rPr>
        <w:t xml:space="preserve"> Carin Carrer Gomes, </w:t>
      </w:r>
      <w:r w:rsidRPr="00486FEC">
        <w:rPr>
          <w:rFonts w:ascii="Verdana" w:hAnsi="Verdana"/>
          <w:i/>
          <w:sz w:val="16"/>
          <w:szCs w:val="16"/>
          <w:lang w:val="pt-BR"/>
        </w:rPr>
        <w:t>O encarceramento Latino sem condenaçao, Análise da Justiça, do territorio e da globalizaçao</w:t>
      </w:r>
      <w:r w:rsidRPr="00486FEC">
        <w:rPr>
          <w:rFonts w:ascii="Verdana" w:hAnsi="Verdana"/>
          <w:sz w:val="16"/>
          <w:szCs w:val="16"/>
          <w:lang w:val="pt-BR"/>
        </w:rPr>
        <w:t>, XIV Encontro Nacional de Pos-graduaçao en Geografia, 10 a 15 de Outubro de 2021.</w:t>
      </w:r>
    </w:p>
  </w:footnote>
  <w:footnote w:id="37">
    <w:p w14:paraId="27D96B52" w14:textId="4483F2F3" w:rsidR="006642C7" w:rsidRPr="00486FEC" w:rsidRDefault="006642C7" w:rsidP="00522EEF">
      <w:pPr>
        <w:pStyle w:val="Prrafodelista"/>
        <w:tabs>
          <w:tab w:val="left" w:pos="567"/>
        </w:tabs>
        <w:spacing w:before="120" w:after="120" w:line="240" w:lineRule="auto"/>
        <w:ind w:left="0"/>
        <w:contextualSpacing w:val="0"/>
        <w:jc w:val="both"/>
        <w:rPr>
          <w:rFonts w:ascii="Verdana" w:hAnsi="Verdana"/>
          <w:sz w:val="16"/>
          <w:szCs w:val="16"/>
        </w:rPr>
      </w:pPr>
      <w:r w:rsidRPr="00486FEC">
        <w:rPr>
          <w:rStyle w:val="Refdenotaalpie"/>
          <w:rFonts w:ascii="Verdana" w:hAnsi="Verdana"/>
          <w:sz w:val="16"/>
          <w:szCs w:val="16"/>
        </w:rPr>
        <w:footnoteRef/>
      </w:r>
      <w:r w:rsidRPr="00486FEC">
        <w:rPr>
          <w:rFonts w:ascii="Verdana" w:hAnsi="Verdana"/>
          <w:sz w:val="16"/>
          <w:szCs w:val="16"/>
        </w:rPr>
        <w:t xml:space="preserve"> </w:t>
      </w:r>
      <w:r w:rsidR="00486FEC">
        <w:rPr>
          <w:rFonts w:ascii="Verdana" w:hAnsi="Verdana"/>
          <w:sz w:val="16"/>
          <w:szCs w:val="16"/>
        </w:rPr>
        <w:tab/>
      </w:r>
      <w:r w:rsidRPr="00486FEC">
        <w:rPr>
          <w:rFonts w:ascii="Verdana" w:hAnsi="Verdana"/>
          <w:sz w:val="16"/>
          <w:szCs w:val="16"/>
        </w:rPr>
        <w:t>Caso Tibi vs Ecuador, Sentencia de 07 de septiembre de 2004, Excepciones Preliminares, Fondo, Reparaciones y Costas.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05C8"/>
    <w:multiLevelType w:val="hybridMultilevel"/>
    <w:tmpl w:val="DFC8BAE0"/>
    <w:lvl w:ilvl="0" w:tplc="28B2B554">
      <w:start w:val="1"/>
      <w:numFmt w:val="decimal"/>
      <w:lvlText w:val="%1."/>
      <w:lvlJc w:val="left"/>
      <w:pPr>
        <w:ind w:left="720" w:hanging="360"/>
      </w:pPr>
      <w:rPr>
        <w:b w:val="0"/>
        <w:i w:val="0"/>
        <w:color w:val="auto"/>
      </w:rPr>
    </w:lvl>
    <w:lvl w:ilvl="1" w:tplc="74C403B4">
      <w:start w:val="1"/>
      <w:numFmt w:val="upperRoman"/>
      <w:lvlText w:val="%2."/>
      <w:lvlJc w:val="left"/>
      <w:pPr>
        <w:ind w:left="1800" w:hanging="720"/>
      </w:pPr>
      <w:rPr>
        <w:rFonts w:hint="default"/>
        <w:u w:val="none"/>
      </w:rPr>
    </w:lvl>
    <w:lvl w:ilvl="2" w:tplc="6066B614">
      <w:start w:val="1"/>
      <w:numFmt w:val="decimal"/>
      <w:lvlText w:val="%3)"/>
      <w:lvlJc w:val="left"/>
      <w:pPr>
        <w:ind w:left="2340" w:hanging="360"/>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F2959C9"/>
    <w:multiLevelType w:val="hybridMultilevel"/>
    <w:tmpl w:val="AD621F28"/>
    <w:lvl w:ilvl="0" w:tplc="EF123398">
      <w:numFmt w:val="bullet"/>
      <w:lvlText w:val="-"/>
      <w:lvlJc w:val="left"/>
      <w:pPr>
        <w:ind w:left="720" w:hanging="360"/>
      </w:pPr>
      <w:rPr>
        <w:rFonts w:ascii="Comic Sans MS" w:eastAsiaTheme="minorHAnsi" w:hAnsi="Comic Sans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62F49AA"/>
    <w:multiLevelType w:val="hybridMultilevel"/>
    <w:tmpl w:val="6888871A"/>
    <w:lvl w:ilvl="0" w:tplc="56D0EBF2">
      <w:numFmt w:val="bullet"/>
      <w:lvlText w:val="-"/>
      <w:lvlJc w:val="left"/>
      <w:pPr>
        <w:ind w:left="720" w:hanging="360"/>
      </w:pPr>
      <w:rPr>
        <w:rFonts w:ascii="Comic Sans MS" w:eastAsiaTheme="minorHAnsi" w:hAnsi="Comic Sans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67F5326"/>
    <w:multiLevelType w:val="hybridMultilevel"/>
    <w:tmpl w:val="9CF8416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62"/>
    <w:rsid w:val="00000B34"/>
    <w:rsid w:val="00000B4C"/>
    <w:rsid w:val="000021DC"/>
    <w:rsid w:val="00011C4E"/>
    <w:rsid w:val="00017653"/>
    <w:rsid w:val="000227BB"/>
    <w:rsid w:val="00025707"/>
    <w:rsid w:val="0002737A"/>
    <w:rsid w:val="00030F17"/>
    <w:rsid w:val="00042E83"/>
    <w:rsid w:val="00045BA6"/>
    <w:rsid w:val="00046A96"/>
    <w:rsid w:val="00046F00"/>
    <w:rsid w:val="0005777F"/>
    <w:rsid w:val="00057B9A"/>
    <w:rsid w:val="0006083E"/>
    <w:rsid w:val="00060DE2"/>
    <w:rsid w:val="0007280C"/>
    <w:rsid w:val="0007375A"/>
    <w:rsid w:val="00076EFC"/>
    <w:rsid w:val="00083D74"/>
    <w:rsid w:val="00085D11"/>
    <w:rsid w:val="00094A1C"/>
    <w:rsid w:val="000954A2"/>
    <w:rsid w:val="00097A64"/>
    <w:rsid w:val="000A37CC"/>
    <w:rsid w:val="000A3B97"/>
    <w:rsid w:val="000A3DF6"/>
    <w:rsid w:val="000B2B30"/>
    <w:rsid w:val="000B2D5A"/>
    <w:rsid w:val="000C16DD"/>
    <w:rsid w:val="000C4D55"/>
    <w:rsid w:val="000D2E32"/>
    <w:rsid w:val="000E2FB2"/>
    <w:rsid w:val="000F1BCA"/>
    <w:rsid w:val="000F2A58"/>
    <w:rsid w:val="000F3C31"/>
    <w:rsid w:val="000F7B94"/>
    <w:rsid w:val="0010041E"/>
    <w:rsid w:val="00104FED"/>
    <w:rsid w:val="00106B1A"/>
    <w:rsid w:val="00111877"/>
    <w:rsid w:val="00114B90"/>
    <w:rsid w:val="001245A8"/>
    <w:rsid w:val="00126A8F"/>
    <w:rsid w:val="001301D2"/>
    <w:rsid w:val="00133996"/>
    <w:rsid w:val="00137EA6"/>
    <w:rsid w:val="0014103B"/>
    <w:rsid w:val="0015088E"/>
    <w:rsid w:val="00154F0D"/>
    <w:rsid w:val="00157DEE"/>
    <w:rsid w:val="001603DD"/>
    <w:rsid w:val="00162A1B"/>
    <w:rsid w:val="001771F8"/>
    <w:rsid w:val="00181369"/>
    <w:rsid w:val="00182ADD"/>
    <w:rsid w:val="00187BCE"/>
    <w:rsid w:val="00191144"/>
    <w:rsid w:val="00192683"/>
    <w:rsid w:val="001A7F8C"/>
    <w:rsid w:val="001B46DF"/>
    <w:rsid w:val="001E1E53"/>
    <w:rsid w:val="001E34BD"/>
    <w:rsid w:val="001E4937"/>
    <w:rsid w:val="001E5322"/>
    <w:rsid w:val="001F04AF"/>
    <w:rsid w:val="001F19D3"/>
    <w:rsid w:val="001F2FAE"/>
    <w:rsid w:val="001F474C"/>
    <w:rsid w:val="001F58B4"/>
    <w:rsid w:val="001F7886"/>
    <w:rsid w:val="00202377"/>
    <w:rsid w:val="002025A2"/>
    <w:rsid w:val="002147D4"/>
    <w:rsid w:val="002174A1"/>
    <w:rsid w:val="00220896"/>
    <w:rsid w:val="00233485"/>
    <w:rsid w:val="00240CB2"/>
    <w:rsid w:val="00241F9D"/>
    <w:rsid w:val="00250C08"/>
    <w:rsid w:val="002515E1"/>
    <w:rsid w:val="00256CF7"/>
    <w:rsid w:val="00277598"/>
    <w:rsid w:val="0029472D"/>
    <w:rsid w:val="002A6ED2"/>
    <w:rsid w:val="002B060B"/>
    <w:rsid w:val="002C2B66"/>
    <w:rsid w:val="002D0055"/>
    <w:rsid w:val="002D4F4D"/>
    <w:rsid w:val="002E30E8"/>
    <w:rsid w:val="002E61A3"/>
    <w:rsid w:val="002F17FA"/>
    <w:rsid w:val="002F25FA"/>
    <w:rsid w:val="002F2A20"/>
    <w:rsid w:val="002F56F5"/>
    <w:rsid w:val="00304C35"/>
    <w:rsid w:val="003053D7"/>
    <w:rsid w:val="0030785E"/>
    <w:rsid w:val="00310A69"/>
    <w:rsid w:val="00310CDA"/>
    <w:rsid w:val="003318E6"/>
    <w:rsid w:val="003349DE"/>
    <w:rsid w:val="00334E48"/>
    <w:rsid w:val="00336542"/>
    <w:rsid w:val="00345F82"/>
    <w:rsid w:val="00363314"/>
    <w:rsid w:val="003636ED"/>
    <w:rsid w:val="003708E9"/>
    <w:rsid w:val="0037423A"/>
    <w:rsid w:val="00375AD5"/>
    <w:rsid w:val="00385F66"/>
    <w:rsid w:val="00390201"/>
    <w:rsid w:val="003B6E98"/>
    <w:rsid w:val="003D1303"/>
    <w:rsid w:val="003D1A1F"/>
    <w:rsid w:val="003E6B1F"/>
    <w:rsid w:val="004010AC"/>
    <w:rsid w:val="00411D31"/>
    <w:rsid w:val="004137E4"/>
    <w:rsid w:val="004151A8"/>
    <w:rsid w:val="004219B0"/>
    <w:rsid w:val="004332A9"/>
    <w:rsid w:val="0043636A"/>
    <w:rsid w:val="0043710A"/>
    <w:rsid w:val="00446D80"/>
    <w:rsid w:val="00450C3C"/>
    <w:rsid w:val="00452F8F"/>
    <w:rsid w:val="00455048"/>
    <w:rsid w:val="00461ED4"/>
    <w:rsid w:val="004757A1"/>
    <w:rsid w:val="0048210A"/>
    <w:rsid w:val="004856B1"/>
    <w:rsid w:val="00486F39"/>
    <w:rsid w:val="00486FEC"/>
    <w:rsid w:val="00490354"/>
    <w:rsid w:val="00491144"/>
    <w:rsid w:val="004A3D4C"/>
    <w:rsid w:val="004A6268"/>
    <w:rsid w:val="004B1536"/>
    <w:rsid w:val="004B2F4E"/>
    <w:rsid w:val="004D501B"/>
    <w:rsid w:val="004E55ED"/>
    <w:rsid w:val="004F21EC"/>
    <w:rsid w:val="005046E8"/>
    <w:rsid w:val="00514C72"/>
    <w:rsid w:val="00515A6B"/>
    <w:rsid w:val="00517C85"/>
    <w:rsid w:val="00521EAE"/>
    <w:rsid w:val="00522EEF"/>
    <w:rsid w:val="00523BD4"/>
    <w:rsid w:val="00537516"/>
    <w:rsid w:val="00542972"/>
    <w:rsid w:val="00543156"/>
    <w:rsid w:val="00547201"/>
    <w:rsid w:val="005508F2"/>
    <w:rsid w:val="0055213C"/>
    <w:rsid w:val="005541BC"/>
    <w:rsid w:val="00555CF3"/>
    <w:rsid w:val="005720AA"/>
    <w:rsid w:val="005775CD"/>
    <w:rsid w:val="00581770"/>
    <w:rsid w:val="0058201C"/>
    <w:rsid w:val="00590106"/>
    <w:rsid w:val="00593719"/>
    <w:rsid w:val="00597F94"/>
    <w:rsid w:val="005B17BA"/>
    <w:rsid w:val="005B2656"/>
    <w:rsid w:val="005B3BC9"/>
    <w:rsid w:val="005B726C"/>
    <w:rsid w:val="005C0F5C"/>
    <w:rsid w:val="005C2F00"/>
    <w:rsid w:val="005D140C"/>
    <w:rsid w:val="005D15C5"/>
    <w:rsid w:val="005D1DEC"/>
    <w:rsid w:val="005D2D08"/>
    <w:rsid w:val="005D4B5C"/>
    <w:rsid w:val="005E043A"/>
    <w:rsid w:val="005E7C36"/>
    <w:rsid w:val="005F538B"/>
    <w:rsid w:val="005F7433"/>
    <w:rsid w:val="006107EE"/>
    <w:rsid w:val="00613D10"/>
    <w:rsid w:val="006229D5"/>
    <w:rsid w:val="00626EEE"/>
    <w:rsid w:val="00634499"/>
    <w:rsid w:val="00642B63"/>
    <w:rsid w:val="00644397"/>
    <w:rsid w:val="00644AC2"/>
    <w:rsid w:val="00662432"/>
    <w:rsid w:val="0066348A"/>
    <w:rsid w:val="006638BA"/>
    <w:rsid w:val="0066398F"/>
    <w:rsid w:val="006642C7"/>
    <w:rsid w:val="00665809"/>
    <w:rsid w:val="00666D17"/>
    <w:rsid w:val="00673896"/>
    <w:rsid w:val="006822B6"/>
    <w:rsid w:val="00682E8A"/>
    <w:rsid w:val="00686181"/>
    <w:rsid w:val="00687253"/>
    <w:rsid w:val="00690CE4"/>
    <w:rsid w:val="006A1865"/>
    <w:rsid w:val="006B148C"/>
    <w:rsid w:val="006B15DC"/>
    <w:rsid w:val="006B3F78"/>
    <w:rsid w:val="006C71D0"/>
    <w:rsid w:val="006D69E2"/>
    <w:rsid w:val="006E7404"/>
    <w:rsid w:val="00724120"/>
    <w:rsid w:val="00726362"/>
    <w:rsid w:val="00744C38"/>
    <w:rsid w:val="00746292"/>
    <w:rsid w:val="007462C6"/>
    <w:rsid w:val="007530C2"/>
    <w:rsid w:val="0076044F"/>
    <w:rsid w:val="00760D24"/>
    <w:rsid w:val="0076349C"/>
    <w:rsid w:val="00781C3A"/>
    <w:rsid w:val="00787A22"/>
    <w:rsid w:val="007959CD"/>
    <w:rsid w:val="00797756"/>
    <w:rsid w:val="007A390D"/>
    <w:rsid w:val="007B3480"/>
    <w:rsid w:val="007C236A"/>
    <w:rsid w:val="007C52C9"/>
    <w:rsid w:val="007D0100"/>
    <w:rsid w:val="007D1703"/>
    <w:rsid w:val="007D1781"/>
    <w:rsid w:val="007D7713"/>
    <w:rsid w:val="007D7B5C"/>
    <w:rsid w:val="007E0558"/>
    <w:rsid w:val="007E39D7"/>
    <w:rsid w:val="007E482E"/>
    <w:rsid w:val="008109EB"/>
    <w:rsid w:val="008343D0"/>
    <w:rsid w:val="008475AA"/>
    <w:rsid w:val="008515D9"/>
    <w:rsid w:val="008560D8"/>
    <w:rsid w:val="00891830"/>
    <w:rsid w:val="00893E53"/>
    <w:rsid w:val="00894E03"/>
    <w:rsid w:val="008A4F0C"/>
    <w:rsid w:val="008B3567"/>
    <w:rsid w:val="008B744D"/>
    <w:rsid w:val="008B7F83"/>
    <w:rsid w:val="008C49B2"/>
    <w:rsid w:val="008D088B"/>
    <w:rsid w:val="008D78DC"/>
    <w:rsid w:val="008E1E8F"/>
    <w:rsid w:val="008F2B20"/>
    <w:rsid w:val="008F566F"/>
    <w:rsid w:val="00900064"/>
    <w:rsid w:val="009014EB"/>
    <w:rsid w:val="00903E2F"/>
    <w:rsid w:val="00905F95"/>
    <w:rsid w:val="009136A9"/>
    <w:rsid w:val="00925F0E"/>
    <w:rsid w:val="009302BF"/>
    <w:rsid w:val="00943F30"/>
    <w:rsid w:val="00983D94"/>
    <w:rsid w:val="00991B83"/>
    <w:rsid w:val="00997C69"/>
    <w:rsid w:val="009A12C9"/>
    <w:rsid w:val="009A7EF9"/>
    <w:rsid w:val="009B39F7"/>
    <w:rsid w:val="009B72FC"/>
    <w:rsid w:val="009C4935"/>
    <w:rsid w:val="009D21DD"/>
    <w:rsid w:val="009D6FD1"/>
    <w:rsid w:val="009F47EF"/>
    <w:rsid w:val="009F6334"/>
    <w:rsid w:val="00A028F7"/>
    <w:rsid w:val="00A06368"/>
    <w:rsid w:val="00A223CB"/>
    <w:rsid w:val="00A3647E"/>
    <w:rsid w:val="00A3729C"/>
    <w:rsid w:val="00A402DE"/>
    <w:rsid w:val="00A423B5"/>
    <w:rsid w:val="00A503E2"/>
    <w:rsid w:val="00A51438"/>
    <w:rsid w:val="00A539DC"/>
    <w:rsid w:val="00A53AD3"/>
    <w:rsid w:val="00A61F30"/>
    <w:rsid w:val="00A657D1"/>
    <w:rsid w:val="00A83F9B"/>
    <w:rsid w:val="00A87452"/>
    <w:rsid w:val="00A9172F"/>
    <w:rsid w:val="00A9410D"/>
    <w:rsid w:val="00A94E03"/>
    <w:rsid w:val="00AA2CED"/>
    <w:rsid w:val="00AA3128"/>
    <w:rsid w:val="00AA5104"/>
    <w:rsid w:val="00AB20DE"/>
    <w:rsid w:val="00AB56DF"/>
    <w:rsid w:val="00AC2138"/>
    <w:rsid w:val="00AC35F1"/>
    <w:rsid w:val="00AC7B2E"/>
    <w:rsid w:val="00AD3B3A"/>
    <w:rsid w:val="00AE6130"/>
    <w:rsid w:val="00AE6388"/>
    <w:rsid w:val="00B00C27"/>
    <w:rsid w:val="00B17B1C"/>
    <w:rsid w:val="00B21523"/>
    <w:rsid w:val="00B27937"/>
    <w:rsid w:val="00B37438"/>
    <w:rsid w:val="00B40DBE"/>
    <w:rsid w:val="00B47ED7"/>
    <w:rsid w:val="00B55DD2"/>
    <w:rsid w:val="00B61BFE"/>
    <w:rsid w:val="00B7242B"/>
    <w:rsid w:val="00B73BBD"/>
    <w:rsid w:val="00B851B4"/>
    <w:rsid w:val="00B85EE7"/>
    <w:rsid w:val="00B86ECA"/>
    <w:rsid w:val="00B94AF2"/>
    <w:rsid w:val="00BA16D8"/>
    <w:rsid w:val="00BB6B2E"/>
    <w:rsid w:val="00BC3BA4"/>
    <w:rsid w:val="00BC6949"/>
    <w:rsid w:val="00BD62FB"/>
    <w:rsid w:val="00BE46CE"/>
    <w:rsid w:val="00BF0E5B"/>
    <w:rsid w:val="00C02EDB"/>
    <w:rsid w:val="00C0396D"/>
    <w:rsid w:val="00C043D8"/>
    <w:rsid w:val="00C06799"/>
    <w:rsid w:val="00C07806"/>
    <w:rsid w:val="00C13D6E"/>
    <w:rsid w:val="00C37BC5"/>
    <w:rsid w:val="00C40385"/>
    <w:rsid w:val="00C42DDF"/>
    <w:rsid w:val="00C440FC"/>
    <w:rsid w:val="00C45A7D"/>
    <w:rsid w:val="00C5380A"/>
    <w:rsid w:val="00C6260B"/>
    <w:rsid w:val="00C62D09"/>
    <w:rsid w:val="00C7458E"/>
    <w:rsid w:val="00C83D7A"/>
    <w:rsid w:val="00CA4339"/>
    <w:rsid w:val="00CA5651"/>
    <w:rsid w:val="00CA5A0A"/>
    <w:rsid w:val="00CA5BFE"/>
    <w:rsid w:val="00CB2105"/>
    <w:rsid w:val="00CB3624"/>
    <w:rsid w:val="00CC061E"/>
    <w:rsid w:val="00CC3A72"/>
    <w:rsid w:val="00CD3554"/>
    <w:rsid w:val="00CD4F1C"/>
    <w:rsid w:val="00CD7BED"/>
    <w:rsid w:val="00CF105B"/>
    <w:rsid w:val="00CF1194"/>
    <w:rsid w:val="00D0741C"/>
    <w:rsid w:val="00D32AEE"/>
    <w:rsid w:val="00D33794"/>
    <w:rsid w:val="00D35497"/>
    <w:rsid w:val="00D37AA1"/>
    <w:rsid w:val="00D41028"/>
    <w:rsid w:val="00D50C00"/>
    <w:rsid w:val="00D51439"/>
    <w:rsid w:val="00D52D66"/>
    <w:rsid w:val="00D552C9"/>
    <w:rsid w:val="00D55B6C"/>
    <w:rsid w:val="00D57451"/>
    <w:rsid w:val="00D6123C"/>
    <w:rsid w:val="00D632B6"/>
    <w:rsid w:val="00D6504E"/>
    <w:rsid w:val="00D676AF"/>
    <w:rsid w:val="00D72B77"/>
    <w:rsid w:val="00D74E6B"/>
    <w:rsid w:val="00D752D2"/>
    <w:rsid w:val="00D910F5"/>
    <w:rsid w:val="00DA52FA"/>
    <w:rsid w:val="00DB5EE7"/>
    <w:rsid w:val="00DC2B8E"/>
    <w:rsid w:val="00DD5C56"/>
    <w:rsid w:val="00DE7F14"/>
    <w:rsid w:val="00DF401C"/>
    <w:rsid w:val="00E01B71"/>
    <w:rsid w:val="00E110E1"/>
    <w:rsid w:val="00E1285B"/>
    <w:rsid w:val="00E14974"/>
    <w:rsid w:val="00E14FC5"/>
    <w:rsid w:val="00E14FD9"/>
    <w:rsid w:val="00E15C20"/>
    <w:rsid w:val="00E20800"/>
    <w:rsid w:val="00E26084"/>
    <w:rsid w:val="00E3020F"/>
    <w:rsid w:val="00E37702"/>
    <w:rsid w:val="00E42BCE"/>
    <w:rsid w:val="00E456B9"/>
    <w:rsid w:val="00E45D53"/>
    <w:rsid w:val="00E46F55"/>
    <w:rsid w:val="00E506B5"/>
    <w:rsid w:val="00E529B3"/>
    <w:rsid w:val="00E54804"/>
    <w:rsid w:val="00E70D54"/>
    <w:rsid w:val="00E830F5"/>
    <w:rsid w:val="00E84AD9"/>
    <w:rsid w:val="00E84CF0"/>
    <w:rsid w:val="00E86180"/>
    <w:rsid w:val="00EA2EC8"/>
    <w:rsid w:val="00EB2B3E"/>
    <w:rsid w:val="00EB49BA"/>
    <w:rsid w:val="00EB547C"/>
    <w:rsid w:val="00EC1B0C"/>
    <w:rsid w:val="00EC3D2F"/>
    <w:rsid w:val="00EC5E9F"/>
    <w:rsid w:val="00ED42D8"/>
    <w:rsid w:val="00ED7770"/>
    <w:rsid w:val="00EE31F2"/>
    <w:rsid w:val="00EE5D65"/>
    <w:rsid w:val="00EF038C"/>
    <w:rsid w:val="00EF2B6B"/>
    <w:rsid w:val="00EF2F45"/>
    <w:rsid w:val="00EF46B8"/>
    <w:rsid w:val="00F07DC1"/>
    <w:rsid w:val="00F11354"/>
    <w:rsid w:val="00F123EC"/>
    <w:rsid w:val="00F16FC7"/>
    <w:rsid w:val="00F3433D"/>
    <w:rsid w:val="00F35039"/>
    <w:rsid w:val="00F3528A"/>
    <w:rsid w:val="00F354FA"/>
    <w:rsid w:val="00F36E24"/>
    <w:rsid w:val="00F400E8"/>
    <w:rsid w:val="00F41547"/>
    <w:rsid w:val="00F456BE"/>
    <w:rsid w:val="00F51752"/>
    <w:rsid w:val="00F53104"/>
    <w:rsid w:val="00F55ACD"/>
    <w:rsid w:val="00F611C5"/>
    <w:rsid w:val="00F72EF4"/>
    <w:rsid w:val="00F776F2"/>
    <w:rsid w:val="00F87857"/>
    <w:rsid w:val="00F9122F"/>
    <w:rsid w:val="00FA5C7C"/>
    <w:rsid w:val="00FB1AF3"/>
    <w:rsid w:val="00FC6230"/>
    <w:rsid w:val="00FC7DCF"/>
    <w:rsid w:val="00FE1A8A"/>
    <w:rsid w:val="00FF56EB"/>
    <w:rsid w:val="00FF67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59B7"/>
  <w15:docId w15:val="{89F8B09B-FEF4-9D42-B6A0-3AA6DED3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64439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2,Párrafo de lista1,List Paragraph1,Colorful List - Accent 11,Lista vistosa - Énfasis 11"/>
    <w:basedOn w:val="Normal"/>
    <w:link w:val="PrrafodelistaCar"/>
    <w:uiPriority w:val="99"/>
    <w:qFormat/>
    <w:rsid w:val="00726362"/>
    <w:pPr>
      <w:ind w:left="720"/>
      <w:contextualSpacing/>
    </w:pPr>
  </w:style>
  <w:style w:type="paragraph" w:styleId="Encabezado">
    <w:name w:val="header"/>
    <w:basedOn w:val="Normal"/>
    <w:link w:val="EncabezadoCar"/>
    <w:uiPriority w:val="99"/>
    <w:unhideWhenUsed/>
    <w:rsid w:val="00D75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52D2"/>
  </w:style>
  <w:style w:type="paragraph" w:styleId="Piedepgina">
    <w:name w:val="footer"/>
    <w:basedOn w:val="Normal"/>
    <w:link w:val="PiedepginaCar"/>
    <w:uiPriority w:val="99"/>
    <w:unhideWhenUsed/>
    <w:rsid w:val="00D75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52D2"/>
  </w:style>
  <w:style w:type="character" w:styleId="Hipervnculo">
    <w:name w:val="Hyperlink"/>
    <w:basedOn w:val="Fuentedeprrafopredeter"/>
    <w:uiPriority w:val="99"/>
    <w:unhideWhenUsed/>
    <w:rsid w:val="002025A2"/>
    <w:rPr>
      <w:color w:val="0000FF"/>
      <w:u w:val="single"/>
    </w:rPr>
  </w:style>
  <w:style w:type="character" w:customStyle="1" w:styleId="Ttulo2Car">
    <w:name w:val="Título 2 Car"/>
    <w:basedOn w:val="Fuentedeprrafopredeter"/>
    <w:link w:val="Ttulo2"/>
    <w:uiPriority w:val="9"/>
    <w:rsid w:val="00644397"/>
    <w:rPr>
      <w:rFonts w:ascii="Times New Roman" w:eastAsia="Times New Roman" w:hAnsi="Times New Roman" w:cs="Times New Roman"/>
      <w:b/>
      <w:bCs/>
      <w:sz w:val="36"/>
      <w:szCs w:val="36"/>
      <w:lang w:eastAsia="es-AR"/>
    </w:rPr>
  </w:style>
  <w:style w:type="paragraph" w:styleId="Textonotapie">
    <w:name w:val="footnote text"/>
    <w:basedOn w:val="Normal"/>
    <w:link w:val="TextonotapieCar"/>
    <w:uiPriority w:val="99"/>
    <w:semiHidden/>
    <w:unhideWhenUsed/>
    <w:rsid w:val="000021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21DC"/>
    <w:rPr>
      <w:sz w:val="20"/>
      <w:szCs w:val="20"/>
    </w:rPr>
  </w:style>
  <w:style w:type="character" w:styleId="Refdenotaalpie">
    <w:name w:val="footnote reference"/>
    <w:aliases w:val="Footnotes refss,Texto de nota al pie,Appel note de bas de page,Footnote number,referencia nota al pie,BVI fnr,f,Ref. de nota al pie.,4_G,16 Point,Superscript 6 Point,Footnote symbol,Footnote,Texto nota al pie,Footnote Reference Char3"/>
    <w:basedOn w:val="Fuentedeprrafopredeter"/>
    <w:unhideWhenUsed/>
    <w:qFormat/>
    <w:rsid w:val="000021DC"/>
    <w:rPr>
      <w:vertAlign w:val="superscript"/>
    </w:rPr>
  </w:style>
  <w:style w:type="character" w:styleId="Hipervnculovisitado">
    <w:name w:val="FollowedHyperlink"/>
    <w:basedOn w:val="Fuentedeprrafopredeter"/>
    <w:uiPriority w:val="99"/>
    <w:semiHidden/>
    <w:unhideWhenUsed/>
    <w:rsid w:val="00256CF7"/>
    <w:rPr>
      <w:color w:val="954F72" w:themeColor="followedHyperlink"/>
      <w:u w:val="single"/>
    </w:rPr>
  </w:style>
  <w:style w:type="paragraph" w:styleId="NormalWeb">
    <w:name w:val="Normal (Web)"/>
    <w:aliases w:val="Normal (Web) Char1,Normal (Web) Char Char,Normal (Web) Char1 Char,Normal (Web) Char Char Char"/>
    <w:basedOn w:val="Normal"/>
    <w:uiPriority w:val="99"/>
    <w:unhideWhenUsed/>
    <w:rsid w:val="00AE6130"/>
    <w:pPr>
      <w:spacing w:before="100" w:beforeAutospacing="1" w:after="100" w:afterAutospacing="1" w:line="240" w:lineRule="auto"/>
    </w:pPr>
    <w:rPr>
      <w:rFonts w:ascii="Times" w:eastAsia="Times New Roman" w:hAnsi="Times" w:cs="Times New Roman"/>
      <w:sz w:val="20"/>
      <w:szCs w:val="20"/>
      <w:lang w:val="es-MX" w:eastAsia="es-ES"/>
    </w:rPr>
  </w:style>
  <w:style w:type="character" w:customStyle="1" w:styleId="PrrafodelistaCar">
    <w:name w:val="Párrafo de lista Car"/>
    <w:aliases w:val="List Paragraph2 Car,Párrafo de lista1 Car,List Paragraph1 Car,Colorful List - Accent 11 Car,Lista vistosa - Énfasis 11 Car"/>
    <w:link w:val="Prrafodelista"/>
    <w:uiPriority w:val="99"/>
    <w:locked/>
    <w:rsid w:val="00AE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pcommreports.ohchr.org/TMResultsBase/DownLoadFile?gId=36540" TargetMode="External"/><Relationship Id="rId1" Type="http://schemas.openxmlformats.org/officeDocument/2006/relationships/hyperlink" Target="https://spcommreports.ohchr.org/TMResultsBase/DownLoadPublicCommunicationFile?gId=265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8434A-1987-49BB-AA86-D6C79D2E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13325</Words>
  <Characters>73288</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Francella Hernandez</cp:lastModifiedBy>
  <cp:revision>2</cp:revision>
  <dcterms:created xsi:type="dcterms:W3CDTF">2021-12-21T22:34:00Z</dcterms:created>
  <dcterms:modified xsi:type="dcterms:W3CDTF">2021-12-21T22:34:00Z</dcterms:modified>
</cp:coreProperties>
</file>