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7F018" w14:textId="77777777" w:rsidR="00233880" w:rsidRDefault="00233880" w:rsidP="006F1E39">
      <w:pPr>
        <w:spacing w:after="0" w:line="240" w:lineRule="auto"/>
        <w:rPr>
          <w:rFonts w:ascii="Verdana" w:hAnsi="Verdana"/>
          <w:b/>
          <w:sz w:val="20"/>
          <w:szCs w:val="20"/>
          <w:lang w:val="es-PR"/>
        </w:rPr>
      </w:pPr>
    </w:p>
    <w:p w14:paraId="7597F776" w14:textId="77777777" w:rsidR="00F04B1E" w:rsidRDefault="00F04B1E" w:rsidP="006F1E39">
      <w:pPr>
        <w:spacing w:after="0" w:line="240" w:lineRule="auto"/>
        <w:rPr>
          <w:rFonts w:ascii="Verdana" w:hAnsi="Verdana"/>
          <w:b/>
          <w:sz w:val="20"/>
          <w:szCs w:val="20"/>
          <w:lang w:val="es-PR"/>
        </w:rPr>
      </w:pPr>
    </w:p>
    <w:p w14:paraId="61FD7382" w14:textId="77777777" w:rsidR="00F04B1E" w:rsidRDefault="00F04B1E" w:rsidP="006F1E39">
      <w:pPr>
        <w:spacing w:after="0" w:line="240" w:lineRule="auto"/>
        <w:rPr>
          <w:rFonts w:ascii="Verdana" w:hAnsi="Verdana"/>
          <w:b/>
          <w:sz w:val="20"/>
          <w:szCs w:val="20"/>
          <w:lang w:val="es-PR"/>
        </w:rPr>
      </w:pPr>
    </w:p>
    <w:p w14:paraId="534535FD" w14:textId="77777777" w:rsidR="00F04B1E" w:rsidRDefault="00F04B1E" w:rsidP="006F1E39">
      <w:pPr>
        <w:spacing w:after="0" w:line="240" w:lineRule="auto"/>
        <w:rPr>
          <w:rFonts w:ascii="Verdana" w:hAnsi="Verdana"/>
          <w:b/>
          <w:sz w:val="20"/>
          <w:szCs w:val="20"/>
          <w:lang w:val="es-PR"/>
        </w:rPr>
      </w:pPr>
    </w:p>
    <w:p w14:paraId="21351D1A" w14:textId="77777777" w:rsidR="00F04B1E" w:rsidRDefault="00F04B1E" w:rsidP="006F1E39">
      <w:pPr>
        <w:spacing w:after="0" w:line="240" w:lineRule="auto"/>
        <w:rPr>
          <w:rFonts w:ascii="Verdana" w:hAnsi="Verdana"/>
          <w:b/>
          <w:sz w:val="20"/>
          <w:szCs w:val="20"/>
          <w:lang w:val="es-PR"/>
        </w:rPr>
      </w:pPr>
    </w:p>
    <w:p w14:paraId="73F57258" w14:textId="77777777" w:rsidR="002C3696" w:rsidRDefault="002C3696" w:rsidP="006D1929">
      <w:pPr>
        <w:spacing w:after="0" w:line="240" w:lineRule="auto"/>
        <w:jc w:val="center"/>
        <w:rPr>
          <w:rFonts w:ascii="Verdana" w:hAnsi="Verdana"/>
          <w:b/>
          <w:sz w:val="20"/>
          <w:szCs w:val="20"/>
          <w:lang w:val="es-PR"/>
        </w:rPr>
      </w:pPr>
    </w:p>
    <w:p w14:paraId="2A308FE8" w14:textId="58828C12" w:rsidR="008C6C40" w:rsidRDefault="009D7F18" w:rsidP="006D1929">
      <w:pPr>
        <w:spacing w:after="0" w:line="240" w:lineRule="auto"/>
        <w:jc w:val="center"/>
        <w:rPr>
          <w:rFonts w:ascii="Verdana" w:hAnsi="Verdana"/>
          <w:b/>
          <w:sz w:val="20"/>
          <w:szCs w:val="20"/>
          <w:lang w:val="es-PR"/>
        </w:rPr>
      </w:pPr>
      <w:r>
        <w:rPr>
          <w:rFonts w:ascii="Verdana" w:hAnsi="Verdana"/>
          <w:b/>
          <w:sz w:val="20"/>
          <w:szCs w:val="20"/>
          <w:lang w:val="es-PR"/>
        </w:rPr>
        <w:t>RESOLUCIÓN DE</w:t>
      </w:r>
      <w:r w:rsidR="00B9724F">
        <w:rPr>
          <w:rFonts w:ascii="Verdana" w:hAnsi="Verdana"/>
          <w:b/>
          <w:sz w:val="20"/>
          <w:szCs w:val="20"/>
          <w:lang w:val="es-PR"/>
        </w:rPr>
        <w:t xml:space="preserve"> </w:t>
      </w:r>
      <w:r>
        <w:rPr>
          <w:rFonts w:ascii="Verdana" w:hAnsi="Verdana"/>
          <w:b/>
          <w:sz w:val="20"/>
          <w:szCs w:val="20"/>
          <w:lang w:val="es-PR"/>
        </w:rPr>
        <w:t>L</w:t>
      </w:r>
      <w:r w:rsidR="00B9724F">
        <w:rPr>
          <w:rFonts w:ascii="Verdana" w:hAnsi="Verdana"/>
          <w:b/>
          <w:sz w:val="20"/>
          <w:szCs w:val="20"/>
          <w:lang w:val="es-PR"/>
        </w:rPr>
        <w:t>A</w:t>
      </w:r>
    </w:p>
    <w:p w14:paraId="240D8D87" w14:textId="77777777" w:rsidR="008C6C40" w:rsidRDefault="00112825" w:rsidP="006D1929">
      <w:pPr>
        <w:spacing w:after="0" w:line="240" w:lineRule="auto"/>
        <w:jc w:val="center"/>
        <w:rPr>
          <w:rFonts w:ascii="Verdana" w:hAnsi="Verdana"/>
          <w:b/>
          <w:sz w:val="20"/>
          <w:szCs w:val="20"/>
          <w:lang w:val="es-PR"/>
        </w:rPr>
      </w:pPr>
      <w:r w:rsidRPr="00147D52">
        <w:rPr>
          <w:rFonts w:ascii="Verdana" w:hAnsi="Verdana"/>
          <w:b/>
          <w:sz w:val="20"/>
          <w:szCs w:val="20"/>
          <w:lang w:val="es-PR"/>
        </w:rPr>
        <w:t>CORTE INTERAMERICANA DE DERECHOS HUMANOS</w:t>
      </w:r>
    </w:p>
    <w:p w14:paraId="36FB2A24" w14:textId="737CD7A1" w:rsidR="00B63B91" w:rsidRDefault="00B63B91" w:rsidP="006D1929">
      <w:pPr>
        <w:spacing w:after="0" w:line="240" w:lineRule="auto"/>
        <w:jc w:val="center"/>
        <w:rPr>
          <w:rFonts w:ascii="Verdana" w:hAnsi="Verdana"/>
          <w:b/>
          <w:sz w:val="20"/>
          <w:szCs w:val="20"/>
          <w:lang w:val="es-PR"/>
        </w:rPr>
      </w:pPr>
    </w:p>
    <w:p w14:paraId="5C8C8676" w14:textId="46AE8FA3" w:rsidR="00112825" w:rsidRPr="00147D52" w:rsidRDefault="00112825" w:rsidP="006D1929">
      <w:pPr>
        <w:spacing w:after="0" w:line="240" w:lineRule="auto"/>
        <w:jc w:val="center"/>
        <w:rPr>
          <w:rFonts w:ascii="Verdana" w:hAnsi="Verdana"/>
          <w:b/>
          <w:sz w:val="20"/>
          <w:szCs w:val="20"/>
          <w:lang w:val="es-PR"/>
        </w:rPr>
      </w:pPr>
      <w:r w:rsidRPr="000842E3">
        <w:rPr>
          <w:rFonts w:ascii="Verdana" w:hAnsi="Verdana"/>
          <w:b/>
          <w:sz w:val="20"/>
          <w:szCs w:val="20"/>
          <w:lang w:val="es-PR"/>
        </w:rPr>
        <w:t xml:space="preserve">DE </w:t>
      </w:r>
      <w:r w:rsidR="003D548F">
        <w:rPr>
          <w:rFonts w:ascii="Verdana" w:hAnsi="Verdana"/>
          <w:b/>
          <w:sz w:val="20"/>
          <w:szCs w:val="20"/>
          <w:lang w:val="es-PR"/>
        </w:rPr>
        <w:t>8</w:t>
      </w:r>
      <w:r w:rsidRPr="000842E3">
        <w:rPr>
          <w:rFonts w:ascii="Verdana" w:hAnsi="Verdana"/>
          <w:b/>
          <w:sz w:val="20"/>
          <w:szCs w:val="20"/>
          <w:lang w:val="es-PR"/>
        </w:rPr>
        <w:t xml:space="preserve"> DE </w:t>
      </w:r>
      <w:r w:rsidR="00B9724F" w:rsidRPr="000842E3">
        <w:rPr>
          <w:rFonts w:ascii="Verdana" w:hAnsi="Verdana"/>
          <w:b/>
          <w:sz w:val="20"/>
          <w:szCs w:val="20"/>
          <w:lang w:val="es-PR"/>
        </w:rPr>
        <w:t>FEBRERO</w:t>
      </w:r>
      <w:r w:rsidR="00B63B91" w:rsidRPr="00147D52">
        <w:rPr>
          <w:rFonts w:ascii="Verdana" w:hAnsi="Verdana"/>
          <w:b/>
          <w:sz w:val="20"/>
          <w:szCs w:val="20"/>
          <w:lang w:val="es-PR"/>
        </w:rPr>
        <w:t xml:space="preserve"> </w:t>
      </w:r>
      <w:r w:rsidRPr="00147D52">
        <w:rPr>
          <w:rFonts w:ascii="Verdana" w:hAnsi="Verdana"/>
          <w:b/>
          <w:sz w:val="20"/>
          <w:szCs w:val="20"/>
          <w:lang w:val="es-PR"/>
        </w:rPr>
        <w:t>DE 201</w:t>
      </w:r>
      <w:r w:rsidR="00B9724F">
        <w:rPr>
          <w:rFonts w:ascii="Verdana" w:hAnsi="Verdana"/>
          <w:b/>
          <w:sz w:val="20"/>
          <w:szCs w:val="20"/>
          <w:lang w:val="es-PR"/>
        </w:rPr>
        <w:t>8</w:t>
      </w:r>
    </w:p>
    <w:p w14:paraId="160F3F7A" w14:textId="77777777" w:rsidR="00112825" w:rsidRDefault="00112825" w:rsidP="006D1929">
      <w:pPr>
        <w:spacing w:after="0" w:line="240" w:lineRule="auto"/>
        <w:jc w:val="center"/>
        <w:rPr>
          <w:rFonts w:ascii="Verdana" w:hAnsi="Verdana"/>
          <w:b/>
          <w:sz w:val="20"/>
          <w:szCs w:val="20"/>
          <w:lang w:val="es-PR"/>
        </w:rPr>
      </w:pPr>
    </w:p>
    <w:p w14:paraId="0FE6199B" w14:textId="77777777" w:rsidR="0035275B" w:rsidRPr="00147D52" w:rsidRDefault="0035275B" w:rsidP="006D1929">
      <w:pPr>
        <w:spacing w:after="0" w:line="240" w:lineRule="auto"/>
        <w:jc w:val="center"/>
        <w:rPr>
          <w:rFonts w:ascii="Verdana" w:hAnsi="Verdana"/>
          <w:b/>
          <w:sz w:val="20"/>
          <w:szCs w:val="20"/>
          <w:lang w:val="es-PR"/>
        </w:rPr>
      </w:pPr>
    </w:p>
    <w:p w14:paraId="6202E04B" w14:textId="332D6621" w:rsidR="00112825" w:rsidRDefault="00422355" w:rsidP="006D1929">
      <w:pPr>
        <w:spacing w:after="0" w:line="240" w:lineRule="auto"/>
        <w:jc w:val="center"/>
        <w:rPr>
          <w:rFonts w:ascii="Verdana" w:hAnsi="Verdana"/>
          <w:b/>
          <w:sz w:val="20"/>
          <w:szCs w:val="20"/>
          <w:lang w:val="es-PR"/>
        </w:rPr>
      </w:pPr>
      <w:r>
        <w:rPr>
          <w:rFonts w:ascii="Verdana" w:hAnsi="Verdana"/>
          <w:b/>
          <w:sz w:val="20"/>
          <w:szCs w:val="20"/>
          <w:lang w:val="es-PR"/>
        </w:rPr>
        <w:t xml:space="preserve">ADOPCIÓN DE </w:t>
      </w:r>
      <w:r w:rsidR="00112825" w:rsidRPr="00147D52">
        <w:rPr>
          <w:rFonts w:ascii="Verdana" w:hAnsi="Verdana"/>
          <w:b/>
          <w:sz w:val="20"/>
          <w:szCs w:val="20"/>
          <w:lang w:val="es-PR"/>
        </w:rPr>
        <w:t xml:space="preserve">MEDIDAS </w:t>
      </w:r>
      <w:r w:rsidR="00B9724F">
        <w:rPr>
          <w:rFonts w:ascii="Verdana" w:hAnsi="Verdana"/>
          <w:b/>
          <w:sz w:val="20"/>
          <w:szCs w:val="20"/>
          <w:lang w:val="es-PR"/>
        </w:rPr>
        <w:t>PROVISIONALES</w:t>
      </w:r>
    </w:p>
    <w:p w14:paraId="23638732" w14:textId="77777777" w:rsidR="00C53C15" w:rsidRPr="00147D52" w:rsidRDefault="00C53C15" w:rsidP="006D1929">
      <w:pPr>
        <w:spacing w:after="0" w:line="240" w:lineRule="auto"/>
        <w:jc w:val="center"/>
        <w:rPr>
          <w:rFonts w:ascii="Verdana" w:hAnsi="Verdana"/>
          <w:b/>
          <w:sz w:val="20"/>
          <w:szCs w:val="20"/>
          <w:lang w:val="es-PR"/>
        </w:rPr>
      </w:pPr>
    </w:p>
    <w:p w14:paraId="3C465CDC" w14:textId="19BC2E8D" w:rsidR="00112825" w:rsidRPr="009C394F" w:rsidRDefault="00112825" w:rsidP="006D1929">
      <w:pPr>
        <w:spacing w:after="0" w:line="240" w:lineRule="auto"/>
        <w:jc w:val="center"/>
        <w:rPr>
          <w:rFonts w:ascii="Verdana" w:hAnsi="Verdana"/>
          <w:b/>
          <w:sz w:val="20"/>
          <w:szCs w:val="20"/>
        </w:rPr>
      </w:pPr>
      <w:r w:rsidRPr="009C394F">
        <w:rPr>
          <w:rStyle w:val="Strong"/>
          <w:rFonts w:ascii="Verdana" w:hAnsi="Verdana"/>
          <w:sz w:val="20"/>
          <w:szCs w:val="20"/>
          <w:shd w:val="clear" w:color="auto" w:fill="FFFFFF"/>
          <w:lang w:val="es-PR"/>
        </w:rPr>
        <w:t xml:space="preserve">CASO </w:t>
      </w:r>
      <w:r w:rsidR="00B9724F">
        <w:rPr>
          <w:rStyle w:val="Strong"/>
          <w:rFonts w:ascii="Verdana" w:hAnsi="Verdana"/>
          <w:sz w:val="20"/>
          <w:szCs w:val="20"/>
          <w:shd w:val="clear" w:color="auto" w:fill="FFFFFF"/>
          <w:lang w:val="es-PR"/>
        </w:rPr>
        <w:t>COC MAX Y OTROS VS. GUATEMALA</w:t>
      </w:r>
    </w:p>
    <w:p w14:paraId="726539A3" w14:textId="77777777" w:rsidR="00112825" w:rsidRDefault="00112825" w:rsidP="006D1929">
      <w:pPr>
        <w:spacing w:after="0" w:line="240" w:lineRule="auto"/>
        <w:jc w:val="both"/>
        <w:rPr>
          <w:rFonts w:ascii="Verdana" w:hAnsi="Verdana"/>
          <w:sz w:val="20"/>
          <w:szCs w:val="20"/>
        </w:rPr>
      </w:pPr>
      <w:bookmarkStart w:id="0" w:name="_GoBack"/>
      <w:bookmarkEnd w:id="0"/>
    </w:p>
    <w:p w14:paraId="2FD83BA2" w14:textId="77777777" w:rsidR="00233880" w:rsidRDefault="00233880" w:rsidP="006D1929">
      <w:pPr>
        <w:spacing w:after="0" w:line="240" w:lineRule="auto"/>
        <w:jc w:val="both"/>
        <w:rPr>
          <w:rFonts w:ascii="Verdana" w:hAnsi="Verdana"/>
          <w:sz w:val="20"/>
          <w:szCs w:val="20"/>
        </w:rPr>
      </w:pPr>
    </w:p>
    <w:p w14:paraId="06E04C9B" w14:textId="77777777" w:rsidR="0035275B" w:rsidRPr="00A22584" w:rsidRDefault="0035275B" w:rsidP="006D1929">
      <w:pPr>
        <w:spacing w:after="0" w:line="240" w:lineRule="auto"/>
        <w:jc w:val="both"/>
        <w:rPr>
          <w:rFonts w:ascii="Verdana" w:hAnsi="Verdana"/>
          <w:sz w:val="20"/>
          <w:szCs w:val="20"/>
        </w:rPr>
      </w:pPr>
    </w:p>
    <w:p w14:paraId="30611AA0" w14:textId="77777777" w:rsidR="00112825" w:rsidRPr="00A22584" w:rsidRDefault="00112825" w:rsidP="006D1929">
      <w:pPr>
        <w:spacing w:after="0" w:line="240" w:lineRule="auto"/>
        <w:jc w:val="both"/>
        <w:rPr>
          <w:rFonts w:ascii="Verdana" w:hAnsi="Verdana"/>
          <w:b/>
          <w:sz w:val="20"/>
          <w:szCs w:val="20"/>
        </w:rPr>
      </w:pPr>
      <w:r w:rsidRPr="00A22584">
        <w:rPr>
          <w:rFonts w:ascii="Verdana" w:hAnsi="Verdana"/>
          <w:b/>
          <w:sz w:val="20"/>
          <w:szCs w:val="20"/>
        </w:rPr>
        <w:t>VISTO:</w:t>
      </w:r>
    </w:p>
    <w:p w14:paraId="18474212" w14:textId="77777777" w:rsidR="00112825" w:rsidRPr="00A22584" w:rsidRDefault="00112825" w:rsidP="006D1929">
      <w:pPr>
        <w:spacing w:after="0" w:line="240" w:lineRule="auto"/>
        <w:jc w:val="both"/>
        <w:rPr>
          <w:rFonts w:ascii="Verdana" w:hAnsi="Verdana"/>
          <w:sz w:val="20"/>
          <w:szCs w:val="20"/>
        </w:rPr>
      </w:pPr>
    </w:p>
    <w:p w14:paraId="0B77038E" w14:textId="772F2ECB" w:rsidR="006F1E39" w:rsidRPr="001A27FB" w:rsidRDefault="006F1E39" w:rsidP="001A27FB">
      <w:pPr>
        <w:pStyle w:val="ListParagraph"/>
        <w:numPr>
          <w:ilvl w:val="0"/>
          <w:numId w:val="31"/>
        </w:numPr>
        <w:autoSpaceDE w:val="0"/>
        <w:autoSpaceDN w:val="0"/>
        <w:adjustRightInd w:val="0"/>
        <w:spacing w:after="0" w:line="240" w:lineRule="auto"/>
        <w:ind w:left="0" w:firstLine="0"/>
        <w:jc w:val="both"/>
        <w:rPr>
          <w:rFonts w:ascii="Verdana" w:hAnsi="Verdana" w:cs="Verdana"/>
          <w:sz w:val="20"/>
          <w:szCs w:val="20"/>
          <w:lang w:val="es-ES"/>
        </w:rPr>
      </w:pPr>
      <w:r>
        <w:rPr>
          <w:rFonts w:ascii="Verdana" w:hAnsi="Verdana" w:cs="Verdana"/>
          <w:sz w:val="20"/>
          <w:szCs w:val="20"/>
          <w:lang w:val="es-ES"/>
        </w:rPr>
        <w:t>El escrito de 21 de septiembre de 2016, por medio del cuales la Comisión Interamericana de Derechos Humanos (en adelante también “la Comisión” o “Comisión Interamericana”)</w:t>
      </w:r>
      <w:r w:rsidR="00AC27B5">
        <w:rPr>
          <w:rFonts w:ascii="Verdana" w:hAnsi="Verdana" w:cs="Verdana"/>
          <w:sz w:val="20"/>
          <w:szCs w:val="20"/>
          <w:lang w:val="es-ES"/>
        </w:rPr>
        <w:t>, mediante la remisión del y el Informe de Admisibilidad y Fondo No 28/16 de 10 de junio de 2016,</w:t>
      </w:r>
      <w:r>
        <w:rPr>
          <w:rFonts w:ascii="Verdana" w:hAnsi="Verdana" w:cs="Verdana"/>
          <w:sz w:val="20"/>
          <w:szCs w:val="20"/>
          <w:lang w:val="es-ES"/>
        </w:rPr>
        <w:t xml:space="preserve"> sometió el </w:t>
      </w:r>
      <w:r w:rsidR="00AC27B5">
        <w:rPr>
          <w:rFonts w:ascii="Verdana" w:hAnsi="Verdana" w:cs="Verdana"/>
          <w:sz w:val="20"/>
          <w:szCs w:val="20"/>
          <w:lang w:val="es-ES"/>
        </w:rPr>
        <w:t>c</w:t>
      </w:r>
      <w:r>
        <w:rPr>
          <w:rFonts w:ascii="Verdana" w:hAnsi="Verdana" w:cs="Verdana"/>
          <w:sz w:val="20"/>
          <w:szCs w:val="20"/>
          <w:lang w:val="es-ES"/>
        </w:rPr>
        <w:t>as</w:t>
      </w:r>
      <w:r w:rsidR="00AC27B5">
        <w:rPr>
          <w:rFonts w:ascii="Verdana" w:hAnsi="Verdana" w:cs="Verdana"/>
          <w:sz w:val="20"/>
          <w:szCs w:val="20"/>
          <w:lang w:val="es-ES"/>
        </w:rPr>
        <w:t xml:space="preserve">o </w:t>
      </w:r>
      <w:r w:rsidR="00AC27B5" w:rsidRPr="00AC27B5">
        <w:rPr>
          <w:rFonts w:ascii="Verdana" w:hAnsi="Verdana" w:cs="Verdana"/>
          <w:i/>
          <w:sz w:val="20"/>
          <w:szCs w:val="20"/>
          <w:lang w:val="es-ES"/>
        </w:rPr>
        <w:t>Coc Max y o</w:t>
      </w:r>
      <w:r w:rsidRPr="00AC27B5">
        <w:rPr>
          <w:rFonts w:ascii="Verdana" w:hAnsi="Verdana" w:cs="Verdana"/>
          <w:i/>
          <w:sz w:val="20"/>
          <w:szCs w:val="20"/>
          <w:lang w:val="es-ES"/>
        </w:rPr>
        <w:t xml:space="preserve">tros </w:t>
      </w:r>
      <w:r w:rsidR="00AC27B5" w:rsidRPr="00AC27B5">
        <w:rPr>
          <w:rFonts w:ascii="Verdana" w:hAnsi="Verdana" w:cs="Verdana"/>
          <w:i/>
          <w:sz w:val="20"/>
          <w:szCs w:val="20"/>
          <w:lang w:val="es-ES"/>
        </w:rPr>
        <w:t>vs. Guatemala</w:t>
      </w:r>
      <w:r w:rsidR="00AC27B5">
        <w:rPr>
          <w:rFonts w:ascii="Verdana" w:hAnsi="Verdana" w:cs="Verdana"/>
          <w:sz w:val="20"/>
          <w:szCs w:val="20"/>
          <w:lang w:val="es-ES"/>
        </w:rPr>
        <w:t xml:space="preserve"> </w:t>
      </w:r>
      <w:r>
        <w:rPr>
          <w:rFonts w:ascii="Verdana" w:hAnsi="Verdana" w:cs="Verdana"/>
          <w:sz w:val="20"/>
          <w:szCs w:val="20"/>
          <w:lang w:val="es-ES"/>
        </w:rPr>
        <w:t xml:space="preserve">a la Corte </w:t>
      </w:r>
      <w:r w:rsidRPr="001C414E">
        <w:rPr>
          <w:rFonts w:ascii="Verdana" w:hAnsi="Verdana" w:cs="Verdana"/>
          <w:sz w:val="20"/>
          <w:szCs w:val="20"/>
          <w:lang w:val="es-ES"/>
        </w:rPr>
        <w:t>Interamericana de Derechos Humanos (en adelante</w:t>
      </w:r>
      <w:r>
        <w:rPr>
          <w:rFonts w:ascii="Verdana" w:hAnsi="Verdana" w:cs="Verdana"/>
          <w:sz w:val="20"/>
          <w:szCs w:val="20"/>
          <w:lang w:val="es-ES"/>
        </w:rPr>
        <w:t xml:space="preserve"> también</w:t>
      </w:r>
      <w:r w:rsidRPr="001C414E">
        <w:rPr>
          <w:rFonts w:ascii="Verdana" w:hAnsi="Verdana" w:cs="Verdana"/>
          <w:sz w:val="20"/>
          <w:szCs w:val="20"/>
          <w:lang w:val="es-ES"/>
        </w:rPr>
        <w:t xml:space="preserve"> “la Corte Interamericana”, “la Corte” o “este Tribunal”)</w:t>
      </w:r>
      <w:r w:rsidR="00AC27B5">
        <w:rPr>
          <w:rFonts w:ascii="Verdana" w:hAnsi="Verdana" w:cs="Verdana"/>
          <w:sz w:val="20"/>
          <w:szCs w:val="20"/>
          <w:lang w:val="es-ES"/>
        </w:rPr>
        <w:t>. La Comisión indicó que el caso versa</w:t>
      </w:r>
      <w:r>
        <w:rPr>
          <w:rFonts w:ascii="Verdana" w:hAnsi="Verdana" w:cs="Verdana"/>
          <w:sz w:val="20"/>
          <w:szCs w:val="20"/>
          <w:lang w:val="es-ES"/>
        </w:rPr>
        <w:t xml:space="preserve"> sobre una </w:t>
      </w:r>
      <w:r w:rsidR="001A27FB" w:rsidRPr="001A27FB">
        <w:rPr>
          <w:rFonts w:ascii="Verdana" w:hAnsi="Verdana" w:cs="Verdana"/>
          <w:sz w:val="20"/>
          <w:szCs w:val="20"/>
          <w:lang w:val="es-ES"/>
        </w:rPr>
        <w:t>“masacre perpetrada por miembros de las Fuerzas Armadas de Guatemala el 5 de octubre de 1995 en contra de once personas […] que formaban parte de l</w:t>
      </w:r>
      <w:r w:rsidR="001A27FB">
        <w:rPr>
          <w:rFonts w:ascii="Verdana" w:hAnsi="Verdana" w:cs="Verdana"/>
          <w:sz w:val="20"/>
          <w:szCs w:val="20"/>
          <w:lang w:val="es-ES"/>
        </w:rPr>
        <w:t>a població</w:t>
      </w:r>
      <w:r w:rsidR="001A27FB" w:rsidRPr="001A27FB">
        <w:rPr>
          <w:rFonts w:ascii="Verdana" w:hAnsi="Verdana" w:cs="Verdana"/>
          <w:sz w:val="20"/>
          <w:szCs w:val="20"/>
          <w:lang w:val="es-ES"/>
        </w:rPr>
        <w:t xml:space="preserve">n </w:t>
      </w:r>
      <w:r w:rsidR="000842E3" w:rsidRPr="001A27FB">
        <w:rPr>
          <w:rFonts w:ascii="Verdana" w:hAnsi="Verdana" w:cs="Verdana"/>
          <w:sz w:val="20"/>
          <w:szCs w:val="20"/>
          <w:lang w:val="es-ES"/>
        </w:rPr>
        <w:t>indígena</w:t>
      </w:r>
      <w:r w:rsidR="001A27FB" w:rsidRPr="001A27FB">
        <w:rPr>
          <w:rFonts w:ascii="Verdana" w:hAnsi="Verdana" w:cs="Verdana"/>
          <w:sz w:val="20"/>
          <w:szCs w:val="20"/>
          <w:lang w:val="es-ES"/>
        </w:rPr>
        <w:t xml:space="preserve"> […] que ocupaba la finca Xaman tras haber estado refugiada en México como consecuencia de las graves violaciones de derechos humanos cometidas durante el conflicto armado interno”</w:t>
      </w:r>
      <w:r w:rsidR="001A27FB">
        <w:rPr>
          <w:rStyle w:val="FootnoteReference"/>
          <w:rFonts w:ascii="Verdana" w:hAnsi="Verdana" w:cs="Verdana"/>
          <w:sz w:val="20"/>
          <w:szCs w:val="20"/>
          <w:lang w:val="es-ES"/>
        </w:rPr>
        <w:footnoteReference w:id="1"/>
      </w:r>
      <w:r w:rsidR="001A27FB" w:rsidRPr="001A27FB">
        <w:rPr>
          <w:rFonts w:ascii="Verdana" w:hAnsi="Verdana" w:cs="Verdana"/>
          <w:sz w:val="20"/>
          <w:szCs w:val="20"/>
          <w:lang w:val="es-ES"/>
        </w:rPr>
        <w:t>. En</w:t>
      </w:r>
      <w:r w:rsidR="001A27FB">
        <w:rPr>
          <w:rFonts w:ascii="Verdana" w:hAnsi="Verdana" w:cs="Verdana"/>
          <w:sz w:val="20"/>
          <w:szCs w:val="20"/>
          <w:lang w:val="es-ES"/>
        </w:rPr>
        <w:t>tre otras consideraciones, la Comisión adujo que “</w:t>
      </w:r>
      <w:r w:rsidR="001A27FB" w:rsidRPr="001A27FB">
        <w:rPr>
          <w:rFonts w:ascii="Verdana" w:hAnsi="Verdana" w:cs="Verdana"/>
          <w:sz w:val="20"/>
          <w:szCs w:val="20"/>
          <w:lang w:val="es-ES"/>
        </w:rPr>
        <w:t xml:space="preserve">si bien las autoridades judiciales </w:t>
      </w:r>
      <w:r w:rsidR="001A27FB">
        <w:rPr>
          <w:rFonts w:ascii="Verdana" w:hAnsi="Verdana" w:cs="Verdana"/>
          <w:sz w:val="20"/>
          <w:szCs w:val="20"/>
          <w:lang w:val="es-ES"/>
        </w:rPr>
        <w:t xml:space="preserve">[…] </w:t>
      </w:r>
      <w:r w:rsidR="001A27FB" w:rsidRPr="001A27FB">
        <w:rPr>
          <w:rFonts w:ascii="Verdana" w:hAnsi="Verdana" w:cs="Verdana"/>
          <w:sz w:val="20"/>
          <w:szCs w:val="20"/>
          <w:lang w:val="es-ES"/>
        </w:rPr>
        <w:t xml:space="preserve">condenaron a </w:t>
      </w:r>
      <w:r w:rsidR="001A27FB">
        <w:rPr>
          <w:rFonts w:ascii="Verdana" w:hAnsi="Verdana" w:cs="Verdana"/>
          <w:sz w:val="20"/>
          <w:szCs w:val="20"/>
          <w:lang w:val="es-ES"/>
        </w:rPr>
        <w:t xml:space="preserve">[14]” militares, hubo “deficiencias e irregularidades” durante el proceso respectivo. </w:t>
      </w:r>
      <w:r w:rsidRPr="001A27FB">
        <w:rPr>
          <w:rFonts w:ascii="Verdana" w:hAnsi="Verdana" w:cs="Verdana"/>
          <w:sz w:val="20"/>
          <w:szCs w:val="20"/>
          <w:lang w:val="es-ES"/>
        </w:rPr>
        <w:t xml:space="preserve"> </w:t>
      </w:r>
    </w:p>
    <w:p w14:paraId="6FD013EF" w14:textId="77777777" w:rsidR="006F1E39" w:rsidRDefault="006F1E39" w:rsidP="006F1E39">
      <w:pPr>
        <w:pStyle w:val="ListParagraph"/>
        <w:autoSpaceDE w:val="0"/>
        <w:autoSpaceDN w:val="0"/>
        <w:adjustRightInd w:val="0"/>
        <w:spacing w:after="0" w:line="240" w:lineRule="auto"/>
        <w:ind w:left="0"/>
        <w:jc w:val="both"/>
        <w:rPr>
          <w:rFonts w:ascii="Verdana" w:hAnsi="Verdana" w:cs="Verdana"/>
          <w:sz w:val="20"/>
          <w:szCs w:val="20"/>
          <w:lang w:val="es-ES"/>
        </w:rPr>
      </w:pPr>
    </w:p>
    <w:p w14:paraId="1C999E41" w14:textId="286268A6" w:rsidR="006F1E39" w:rsidRDefault="006F1E39" w:rsidP="006F1E39">
      <w:pPr>
        <w:pStyle w:val="ListParagraph"/>
        <w:numPr>
          <w:ilvl w:val="0"/>
          <w:numId w:val="31"/>
        </w:numPr>
        <w:autoSpaceDE w:val="0"/>
        <w:autoSpaceDN w:val="0"/>
        <w:adjustRightInd w:val="0"/>
        <w:spacing w:after="0" w:line="240" w:lineRule="auto"/>
        <w:ind w:left="0" w:firstLine="0"/>
        <w:jc w:val="both"/>
        <w:rPr>
          <w:rFonts w:ascii="Verdana" w:hAnsi="Verdana" w:cs="Verdana"/>
          <w:sz w:val="20"/>
          <w:szCs w:val="20"/>
          <w:lang w:val="es-ES"/>
        </w:rPr>
      </w:pPr>
      <w:r>
        <w:rPr>
          <w:rFonts w:ascii="Verdana" w:hAnsi="Verdana" w:cs="Verdana"/>
          <w:sz w:val="20"/>
          <w:szCs w:val="20"/>
          <w:lang w:val="es-ES"/>
        </w:rPr>
        <w:t xml:space="preserve">El escrito de solicitudes, argumentos y pruebas por medio del cual los representantes </w:t>
      </w:r>
      <w:r w:rsidR="001A27FB">
        <w:rPr>
          <w:rFonts w:ascii="Verdana" w:hAnsi="Verdana" w:cs="Verdana"/>
          <w:sz w:val="20"/>
          <w:szCs w:val="20"/>
          <w:lang w:val="es-ES"/>
        </w:rPr>
        <w:t xml:space="preserve">de las presuntas víctimas </w:t>
      </w:r>
      <w:r w:rsidR="00441E01">
        <w:rPr>
          <w:rFonts w:ascii="Verdana" w:hAnsi="Verdana" w:cs="Verdana"/>
          <w:sz w:val="20"/>
          <w:szCs w:val="20"/>
          <w:lang w:val="es-ES"/>
        </w:rPr>
        <w:t xml:space="preserve">(en adelante “los representantes”) </w:t>
      </w:r>
      <w:r>
        <w:rPr>
          <w:rFonts w:ascii="Verdana" w:hAnsi="Verdana" w:cs="Verdana"/>
          <w:sz w:val="20"/>
          <w:szCs w:val="20"/>
          <w:lang w:val="es-ES"/>
        </w:rPr>
        <w:t>ofrecieron la declaración ante la Corte de</w:t>
      </w:r>
      <w:r w:rsidR="001A27FB">
        <w:rPr>
          <w:rFonts w:ascii="Verdana" w:hAnsi="Verdana" w:cs="Verdana"/>
          <w:sz w:val="20"/>
          <w:szCs w:val="20"/>
          <w:lang w:val="es-ES"/>
        </w:rPr>
        <w:t xml:space="preserve"> las presuntas víctimas</w:t>
      </w:r>
      <w:r>
        <w:rPr>
          <w:rFonts w:ascii="Verdana" w:hAnsi="Verdana" w:cs="Verdana"/>
          <w:sz w:val="20"/>
          <w:szCs w:val="20"/>
          <w:lang w:val="es-ES"/>
        </w:rPr>
        <w:t xml:space="preserve"> Tomás Grave Morente, Efraín Grave Morente y Natividad Sales Calmo</w:t>
      </w:r>
      <w:r w:rsidR="001A27FB">
        <w:rPr>
          <w:rFonts w:ascii="Verdana" w:hAnsi="Verdana" w:cs="Verdana"/>
          <w:sz w:val="20"/>
          <w:szCs w:val="20"/>
          <w:lang w:val="es-ES"/>
        </w:rPr>
        <w:t>,</w:t>
      </w:r>
      <w:r>
        <w:rPr>
          <w:rFonts w:ascii="Verdana" w:hAnsi="Verdana" w:cs="Verdana"/>
          <w:sz w:val="20"/>
          <w:szCs w:val="20"/>
          <w:lang w:val="es-ES"/>
        </w:rPr>
        <w:t xml:space="preserve"> </w:t>
      </w:r>
      <w:r w:rsidR="001A27FB">
        <w:rPr>
          <w:rFonts w:ascii="Verdana" w:hAnsi="Verdana" w:cs="Verdana"/>
          <w:sz w:val="20"/>
          <w:szCs w:val="20"/>
          <w:lang w:val="es-ES"/>
        </w:rPr>
        <w:t>a</w:t>
      </w:r>
      <w:r>
        <w:rPr>
          <w:rFonts w:ascii="Verdana" w:hAnsi="Verdana" w:cs="Verdana"/>
          <w:sz w:val="20"/>
          <w:szCs w:val="20"/>
          <w:lang w:val="es-ES"/>
        </w:rPr>
        <w:t>sí como la lista definitiva de declarantes</w:t>
      </w:r>
      <w:r w:rsidR="00441E01">
        <w:rPr>
          <w:rFonts w:ascii="Verdana" w:hAnsi="Verdana" w:cs="Verdana"/>
          <w:sz w:val="20"/>
          <w:szCs w:val="20"/>
          <w:lang w:val="es-ES"/>
        </w:rPr>
        <w:t>,</w:t>
      </w:r>
      <w:r>
        <w:rPr>
          <w:rFonts w:ascii="Verdana" w:hAnsi="Verdana" w:cs="Verdana"/>
          <w:sz w:val="20"/>
          <w:szCs w:val="20"/>
          <w:lang w:val="es-ES"/>
        </w:rPr>
        <w:t xml:space="preserve"> enviada por los representantes el 19 de abril de 2017</w:t>
      </w:r>
      <w:r w:rsidR="00441E01">
        <w:rPr>
          <w:rFonts w:ascii="Verdana" w:hAnsi="Verdana" w:cs="Verdana"/>
          <w:sz w:val="20"/>
          <w:szCs w:val="20"/>
          <w:lang w:val="es-ES"/>
        </w:rPr>
        <w:t>, mediante la cual</w:t>
      </w:r>
      <w:r>
        <w:rPr>
          <w:rFonts w:ascii="Verdana" w:hAnsi="Verdana" w:cs="Verdana"/>
          <w:sz w:val="20"/>
          <w:szCs w:val="20"/>
          <w:lang w:val="es-ES"/>
        </w:rPr>
        <w:t xml:space="preserve"> ratifica</w:t>
      </w:r>
      <w:r w:rsidR="00441E01">
        <w:rPr>
          <w:rFonts w:ascii="Verdana" w:hAnsi="Verdana" w:cs="Verdana"/>
          <w:sz w:val="20"/>
          <w:szCs w:val="20"/>
          <w:lang w:val="es-ES"/>
        </w:rPr>
        <w:t>ron</w:t>
      </w:r>
      <w:r>
        <w:rPr>
          <w:rFonts w:ascii="Verdana" w:hAnsi="Verdana" w:cs="Verdana"/>
          <w:sz w:val="20"/>
          <w:szCs w:val="20"/>
          <w:lang w:val="es-ES"/>
        </w:rPr>
        <w:t xml:space="preserve"> </w:t>
      </w:r>
      <w:r w:rsidR="00441E01">
        <w:rPr>
          <w:rFonts w:ascii="Verdana" w:hAnsi="Verdana" w:cs="Verdana"/>
          <w:sz w:val="20"/>
          <w:szCs w:val="20"/>
          <w:lang w:val="es-ES"/>
        </w:rPr>
        <w:t>lo anterior</w:t>
      </w:r>
      <w:r w:rsidR="003D548F">
        <w:rPr>
          <w:rFonts w:ascii="Verdana" w:hAnsi="Verdana" w:cs="Verdana"/>
          <w:sz w:val="20"/>
          <w:szCs w:val="20"/>
          <w:lang w:val="es-ES"/>
        </w:rPr>
        <w:t>.</w:t>
      </w:r>
      <w:r>
        <w:rPr>
          <w:rFonts w:ascii="Verdana" w:hAnsi="Verdana" w:cs="Verdana"/>
          <w:sz w:val="20"/>
          <w:szCs w:val="20"/>
          <w:lang w:val="es-ES"/>
        </w:rPr>
        <w:t xml:space="preserve"> </w:t>
      </w:r>
    </w:p>
    <w:p w14:paraId="4C58E2C7" w14:textId="77777777" w:rsidR="006F1E39" w:rsidRPr="00C8541D" w:rsidRDefault="006F1E39" w:rsidP="006F1E39">
      <w:pPr>
        <w:pStyle w:val="ListParagraph"/>
        <w:rPr>
          <w:rFonts w:ascii="Verdana" w:hAnsi="Verdana" w:cs="Verdana"/>
          <w:sz w:val="20"/>
          <w:szCs w:val="20"/>
          <w:lang w:val="es-ES"/>
        </w:rPr>
      </w:pPr>
    </w:p>
    <w:p w14:paraId="0900CADB" w14:textId="5D61F4A0" w:rsidR="006F1E39" w:rsidRDefault="006F1E39" w:rsidP="006F1E39">
      <w:pPr>
        <w:pStyle w:val="ListParagraph"/>
        <w:numPr>
          <w:ilvl w:val="0"/>
          <w:numId w:val="31"/>
        </w:numPr>
        <w:autoSpaceDE w:val="0"/>
        <w:autoSpaceDN w:val="0"/>
        <w:adjustRightInd w:val="0"/>
        <w:spacing w:after="0" w:line="240" w:lineRule="auto"/>
        <w:ind w:left="0" w:firstLine="0"/>
        <w:jc w:val="both"/>
        <w:rPr>
          <w:rFonts w:ascii="Verdana" w:hAnsi="Verdana" w:cs="Verdana"/>
          <w:sz w:val="16"/>
          <w:szCs w:val="16"/>
          <w:lang w:val="es-ES"/>
        </w:rPr>
      </w:pPr>
      <w:r>
        <w:rPr>
          <w:rFonts w:ascii="Verdana" w:hAnsi="Verdana" w:cs="Verdana"/>
          <w:sz w:val="20"/>
          <w:szCs w:val="20"/>
          <w:lang w:val="es-ES"/>
        </w:rPr>
        <w:t>La Resolución de Convocatoria del</w:t>
      </w:r>
      <w:r w:rsidRPr="001C414E">
        <w:rPr>
          <w:rFonts w:ascii="Verdana" w:hAnsi="Verdana" w:cs="Verdana"/>
          <w:sz w:val="20"/>
          <w:szCs w:val="20"/>
          <w:lang w:val="es-ES"/>
        </w:rPr>
        <w:t xml:space="preserve"> </w:t>
      </w:r>
      <w:r w:rsidR="00441E01">
        <w:rPr>
          <w:rFonts w:ascii="Verdana" w:hAnsi="Verdana" w:cs="Verdana"/>
          <w:sz w:val="20"/>
          <w:szCs w:val="20"/>
          <w:lang w:val="es-ES"/>
        </w:rPr>
        <w:t xml:space="preserve">entonces </w:t>
      </w:r>
      <w:r w:rsidRPr="001C414E">
        <w:rPr>
          <w:rFonts w:ascii="Verdana" w:hAnsi="Verdana" w:cs="Verdana"/>
          <w:sz w:val="20"/>
          <w:szCs w:val="20"/>
          <w:lang w:val="es-ES"/>
        </w:rPr>
        <w:t xml:space="preserve">Presidente </w:t>
      </w:r>
      <w:r>
        <w:rPr>
          <w:rFonts w:ascii="Verdana" w:hAnsi="Verdana" w:cs="Verdana"/>
          <w:sz w:val="20"/>
          <w:szCs w:val="20"/>
          <w:lang w:val="es-ES"/>
        </w:rPr>
        <w:t>en ejercicio de la Corte Interamericana de 13</w:t>
      </w:r>
      <w:r w:rsidRPr="001C414E">
        <w:rPr>
          <w:rFonts w:ascii="Verdana" w:hAnsi="Verdana" w:cs="Verdana"/>
          <w:sz w:val="20"/>
          <w:szCs w:val="20"/>
          <w:lang w:val="es-ES"/>
        </w:rPr>
        <w:t xml:space="preserve"> de </w:t>
      </w:r>
      <w:r>
        <w:rPr>
          <w:rFonts w:ascii="Verdana" w:hAnsi="Verdana" w:cs="Verdana"/>
          <w:sz w:val="20"/>
          <w:szCs w:val="20"/>
          <w:lang w:val="es-ES"/>
        </w:rPr>
        <w:t xml:space="preserve">diciembre de 2017, por medio de la cual la Corte convocó a </w:t>
      </w:r>
      <w:r w:rsidR="00441E01">
        <w:rPr>
          <w:rFonts w:ascii="Verdana" w:hAnsi="Verdana" w:cs="Verdana"/>
          <w:sz w:val="20"/>
          <w:szCs w:val="20"/>
          <w:lang w:val="es-ES"/>
        </w:rPr>
        <w:t xml:space="preserve">prestar declaración en una </w:t>
      </w:r>
      <w:r>
        <w:rPr>
          <w:rFonts w:ascii="Verdana" w:hAnsi="Verdana" w:cs="Verdana"/>
          <w:sz w:val="20"/>
          <w:szCs w:val="20"/>
          <w:lang w:val="es-ES"/>
        </w:rPr>
        <w:t xml:space="preserve">audiencia pública </w:t>
      </w:r>
      <w:r w:rsidR="00441E01">
        <w:rPr>
          <w:rFonts w:ascii="Verdana" w:hAnsi="Verdana" w:cs="Verdana"/>
          <w:sz w:val="20"/>
          <w:szCs w:val="20"/>
          <w:lang w:val="es-ES"/>
        </w:rPr>
        <w:t xml:space="preserve">fijada para el 9 de febrero de 2018 </w:t>
      </w:r>
      <w:r>
        <w:rPr>
          <w:rFonts w:ascii="Verdana" w:hAnsi="Verdana" w:cs="Verdana"/>
          <w:sz w:val="20"/>
          <w:szCs w:val="20"/>
          <w:lang w:val="es-ES"/>
        </w:rPr>
        <w:t>a Tomás Grave Morente y Natividad Sales Calmo</w:t>
      </w:r>
      <w:r w:rsidRPr="00C92BFC">
        <w:rPr>
          <w:rFonts w:ascii="Verdana" w:hAnsi="Verdana" w:cs="Verdana"/>
          <w:sz w:val="16"/>
          <w:szCs w:val="16"/>
          <w:lang w:val="es-ES"/>
        </w:rPr>
        <w:t>.</w:t>
      </w:r>
    </w:p>
    <w:p w14:paraId="3429176E" w14:textId="77777777" w:rsidR="00C92BFC" w:rsidRPr="00C92BFC" w:rsidRDefault="00C92BFC" w:rsidP="00C92BFC">
      <w:pPr>
        <w:pStyle w:val="ListParagraph"/>
        <w:rPr>
          <w:rFonts w:ascii="Verdana" w:hAnsi="Verdana" w:cs="Verdana"/>
          <w:sz w:val="20"/>
          <w:szCs w:val="20"/>
          <w:lang w:val="es-ES"/>
        </w:rPr>
      </w:pPr>
    </w:p>
    <w:p w14:paraId="1A6946AF" w14:textId="7DBE0F29" w:rsidR="006F1E39" w:rsidRPr="00C92BFC" w:rsidRDefault="00C92BFC" w:rsidP="00C92BFC">
      <w:pPr>
        <w:pStyle w:val="ListParagraph"/>
        <w:numPr>
          <w:ilvl w:val="0"/>
          <w:numId w:val="31"/>
        </w:numPr>
        <w:autoSpaceDE w:val="0"/>
        <w:autoSpaceDN w:val="0"/>
        <w:adjustRightInd w:val="0"/>
        <w:spacing w:after="0" w:line="240" w:lineRule="auto"/>
        <w:ind w:left="0" w:firstLine="0"/>
        <w:jc w:val="both"/>
        <w:rPr>
          <w:rFonts w:ascii="Verdana" w:hAnsi="Verdana" w:cs="Verdana"/>
          <w:sz w:val="20"/>
          <w:szCs w:val="20"/>
          <w:lang w:val="es-ES"/>
        </w:rPr>
      </w:pPr>
      <w:r>
        <w:rPr>
          <w:rFonts w:ascii="Verdana" w:hAnsi="Verdana" w:cs="Verdana"/>
          <w:sz w:val="20"/>
          <w:szCs w:val="20"/>
          <w:lang w:val="es-ES"/>
        </w:rPr>
        <w:t xml:space="preserve">Los escritos de los representantes presentados los días 15 de enero, 1 y 6 de febrero  de 2018, mediante los cuales los representantes, respectivamente: a) indicaron que la “delegación” que acudiría a la audiencia pública estaría integrada por Efraín Grave Morente, Maynor Estuardo Alvarado Galeano y Karla Lorena Campos Flores; </w:t>
      </w:r>
      <w:r w:rsidRPr="00C92BFC">
        <w:rPr>
          <w:rFonts w:ascii="Verdana" w:hAnsi="Verdana" w:cs="Verdana"/>
          <w:sz w:val="20"/>
          <w:szCs w:val="20"/>
          <w:lang w:val="es-ES"/>
        </w:rPr>
        <w:t>b)</w:t>
      </w:r>
      <w:r>
        <w:rPr>
          <w:rFonts w:ascii="Verdana" w:hAnsi="Verdana" w:cs="Verdana"/>
          <w:sz w:val="20"/>
          <w:szCs w:val="20"/>
          <w:lang w:val="es-ES"/>
        </w:rPr>
        <w:t xml:space="preserve"> realizaron una solicitud de </w:t>
      </w:r>
      <w:r w:rsidR="006F1E39" w:rsidRPr="00C92BFC">
        <w:rPr>
          <w:rFonts w:ascii="Verdana" w:hAnsi="Verdana" w:cs="Verdana"/>
          <w:sz w:val="20"/>
          <w:szCs w:val="20"/>
          <w:lang w:val="es-ES"/>
        </w:rPr>
        <w:t>“medidas cautelares”</w:t>
      </w:r>
      <w:r>
        <w:rPr>
          <w:rFonts w:ascii="Verdana" w:hAnsi="Verdana" w:cs="Verdana"/>
          <w:sz w:val="20"/>
          <w:szCs w:val="20"/>
          <w:lang w:val="es-ES"/>
        </w:rPr>
        <w:t>,</w:t>
      </w:r>
      <w:r w:rsidR="006F1E39" w:rsidRPr="00C92BFC">
        <w:rPr>
          <w:rFonts w:ascii="Verdana" w:hAnsi="Verdana" w:cs="Verdana"/>
          <w:sz w:val="20"/>
          <w:szCs w:val="20"/>
          <w:lang w:val="es-ES"/>
        </w:rPr>
        <w:t xml:space="preserve"> </w:t>
      </w:r>
      <w:r>
        <w:rPr>
          <w:rFonts w:ascii="Verdana" w:hAnsi="Verdana" w:cs="Verdana"/>
          <w:sz w:val="20"/>
          <w:szCs w:val="20"/>
          <w:lang w:val="es-ES"/>
        </w:rPr>
        <w:t>y c) precisaron la solicitud anterior, indicando que requerían “medidas provisionales” en beneficio de la “delegación” que acudiría a la audiencia</w:t>
      </w:r>
      <w:r w:rsidR="008A7420">
        <w:rPr>
          <w:rFonts w:ascii="Verdana" w:hAnsi="Verdana" w:cs="Verdana"/>
          <w:sz w:val="20"/>
          <w:szCs w:val="20"/>
          <w:lang w:val="es-ES"/>
        </w:rPr>
        <w:t xml:space="preserve">, incluyendo </w:t>
      </w:r>
      <w:r w:rsidR="008A7420">
        <w:rPr>
          <w:rFonts w:ascii="Verdana" w:hAnsi="Verdana" w:cs="Verdana"/>
          <w:sz w:val="20"/>
          <w:szCs w:val="20"/>
          <w:lang w:val="es-ES"/>
        </w:rPr>
        <w:lastRenderedPageBreak/>
        <w:t>a las dos personas declarantes (</w:t>
      </w:r>
      <w:r w:rsidR="008A7420">
        <w:rPr>
          <w:rFonts w:ascii="Verdana" w:hAnsi="Verdana" w:cs="Verdana"/>
          <w:i/>
          <w:sz w:val="20"/>
          <w:szCs w:val="20"/>
          <w:lang w:val="es-ES"/>
        </w:rPr>
        <w:t xml:space="preserve">supra </w:t>
      </w:r>
      <w:r w:rsidR="008A7420" w:rsidRPr="008A7420">
        <w:rPr>
          <w:rFonts w:ascii="Verdana" w:hAnsi="Verdana" w:cs="Verdana"/>
          <w:sz w:val="20"/>
          <w:szCs w:val="20"/>
          <w:lang w:val="es-ES"/>
        </w:rPr>
        <w:t>Visto 3</w:t>
      </w:r>
      <w:r w:rsidR="008A7420">
        <w:rPr>
          <w:rFonts w:ascii="Verdana" w:hAnsi="Verdana" w:cs="Verdana"/>
          <w:i/>
          <w:sz w:val="20"/>
          <w:szCs w:val="20"/>
          <w:lang w:val="es-ES"/>
        </w:rPr>
        <w:t>)</w:t>
      </w:r>
      <w:r w:rsidR="008A7420">
        <w:rPr>
          <w:rFonts w:ascii="Verdana" w:hAnsi="Verdana" w:cs="Verdana"/>
          <w:sz w:val="20"/>
          <w:szCs w:val="20"/>
          <w:lang w:val="es-ES"/>
        </w:rPr>
        <w:t>,</w:t>
      </w:r>
      <w:r>
        <w:rPr>
          <w:rFonts w:ascii="Verdana" w:hAnsi="Verdana" w:cs="Verdana"/>
          <w:sz w:val="20"/>
          <w:szCs w:val="20"/>
          <w:lang w:val="es-ES"/>
        </w:rPr>
        <w:t xml:space="preserve"> y señalando circunstancias en las que basaban su pedido. </w:t>
      </w:r>
    </w:p>
    <w:p w14:paraId="53C9670A" w14:textId="77777777" w:rsidR="006F1E39" w:rsidRPr="0047626F" w:rsidRDefault="006F1E39" w:rsidP="006F1E39">
      <w:pPr>
        <w:pStyle w:val="ListParagraph"/>
        <w:rPr>
          <w:rFonts w:ascii="Verdana" w:hAnsi="Verdana" w:cs="Verdana"/>
          <w:sz w:val="20"/>
          <w:szCs w:val="20"/>
          <w:lang w:val="es-ES"/>
        </w:rPr>
      </w:pPr>
    </w:p>
    <w:p w14:paraId="7082BEB3" w14:textId="5B40D282" w:rsidR="006F1E39" w:rsidRPr="00C92BFC" w:rsidRDefault="00C92BFC" w:rsidP="006F1E39">
      <w:pPr>
        <w:pStyle w:val="ListParagraph"/>
        <w:numPr>
          <w:ilvl w:val="0"/>
          <w:numId w:val="31"/>
        </w:numPr>
        <w:autoSpaceDE w:val="0"/>
        <w:autoSpaceDN w:val="0"/>
        <w:adjustRightInd w:val="0"/>
        <w:spacing w:after="0" w:line="240" w:lineRule="auto"/>
        <w:ind w:left="0" w:firstLine="0"/>
        <w:jc w:val="both"/>
        <w:rPr>
          <w:rFonts w:ascii="Verdana" w:hAnsi="Verdana" w:cs="Verdana"/>
          <w:sz w:val="20"/>
          <w:szCs w:val="20"/>
          <w:lang w:val="es-ES"/>
        </w:rPr>
      </w:pPr>
      <w:r>
        <w:rPr>
          <w:rFonts w:ascii="Verdana" w:hAnsi="Verdana" w:cs="Verdana"/>
          <w:sz w:val="20"/>
          <w:szCs w:val="20"/>
          <w:lang w:val="es-ES"/>
        </w:rPr>
        <w:t xml:space="preserve">El escrito del Estado de </w:t>
      </w:r>
      <w:r w:rsidR="003C0E7A">
        <w:rPr>
          <w:rFonts w:ascii="Verdana" w:hAnsi="Verdana" w:cs="Verdana"/>
          <w:sz w:val="20"/>
          <w:szCs w:val="20"/>
          <w:lang w:val="es-ES"/>
        </w:rPr>
        <w:t xml:space="preserve">7 de febrero de 2018, por el cual presentó observaciones sobre la solicitud de medidas provisionales. </w:t>
      </w:r>
      <w:r w:rsidRPr="00C92BFC">
        <w:rPr>
          <w:rFonts w:ascii="Verdana" w:hAnsi="Verdana" w:cs="Verdana"/>
          <w:b/>
          <w:sz w:val="20"/>
          <w:szCs w:val="20"/>
          <w:lang w:val="es-ES"/>
        </w:rPr>
        <w:t xml:space="preserve"> </w:t>
      </w:r>
    </w:p>
    <w:p w14:paraId="1F3C69A6" w14:textId="77777777" w:rsidR="00C92BFC" w:rsidRPr="00C92BFC" w:rsidRDefault="00C92BFC" w:rsidP="00C92BFC">
      <w:pPr>
        <w:pStyle w:val="ListParagraph"/>
        <w:rPr>
          <w:rFonts w:ascii="Verdana" w:hAnsi="Verdana" w:cs="Verdana"/>
          <w:sz w:val="20"/>
          <w:szCs w:val="20"/>
          <w:lang w:val="es-ES"/>
        </w:rPr>
      </w:pPr>
    </w:p>
    <w:p w14:paraId="36306468" w14:textId="77777777" w:rsidR="00C92BFC" w:rsidRPr="00C92BFC" w:rsidRDefault="00C92BFC" w:rsidP="00C92BFC">
      <w:pPr>
        <w:pStyle w:val="ListParagraph"/>
        <w:rPr>
          <w:rFonts w:ascii="Verdana" w:hAnsi="Verdana" w:cs="Verdana"/>
          <w:sz w:val="20"/>
          <w:szCs w:val="20"/>
          <w:lang w:val="es-ES"/>
        </w:rPr>
      </w:pPr>
    </w:p>
    <w:p w14:paraId="2B93B713" w14:textId="080BA751" w:rsidR="00A80BB2" w:rsidRDefault="00C92BFC" w:rsidP="00A80BB2">
      <w:pPr>
        <w:pStyle w:val="ListParagraph"/>
        <w:numPr>
          <w:ilvl w:val="0"/>
          <w:numId w:val="31"/>
        </w:numPr>
        <w:autoSpaceDE w:val="0"/>
        <w:autoSpaceDN w:val="0"/>
        <w:adjustRightInd w:val="0"/>
        <w:spacing w:after="0" w:line="240" w:lineRule="auto"/>
        <w:ind w:left="0" w:hanging="11"/>
        <w:jc w:val="both"/>
        <w:rPr>
          <w:rFonts w:ascii="Verdana" w:hAnsi="Verdana" w:cs="Verdana"/>
          <w:sz w:val="20"/>
          <w:szCs w:val="20"/>
          <w:lang w:val="es-ES"/>
        </w:rPr>
      </w:pPr>
      <w:r>
        <w:rPr>
          <w:rFonts w:ascii="Verdana" w:hAnsi="Verdana" w:cs="Verdana"/>
          <w:sz w:val="20"/>
          <w:szCs w:val="20"/>
          <w:lang w:val="es-ES"/>
        </w:rPr>
        <w:t>Las comunicacio</w:t>
      </w:r>
      <w:r w:rsidR="00A80BB2">
        <w:rPr>
          <w:rFonts w:ascii="Verdana" w:hAnsi="Verdana" w:cs="Verdana"/>
          <w:sz w:val="20"/>
          <w:szCs w:val="20"/>
          <w:lang w:val="es-ES"/>
        </w:rPr>
        <w:t>nes de la Secretaría de la Corte Interamericana de Derechos Humanos de 1, 5 y 6 de febrero de 2018, por medio de las cuales, respectivamente: a) se acusó recibo de la comunicación de los representantes de 1 de febrero del mismo año (</w:t>
      </w:r>
      <w:r w:rsidR="00A80BB2" w:rsidRPr="00A80BB2">
        <w:rPr>
          <w:rFonts w:ascii="Verdana" w:hAnsi="Verdana" w:cs="Verdana"/>
          <w:i/>
          <w:sz w:val="20"/>
          <w:szCs w:val="20"/>
          <w:lang w:val="es-ES"/>
        </w:rPr>
        <w:t>supra</w:t>
      </w:r>
      <w:r w:rsidR="00A80BB2">
        <w:rPr>
          <w:rFonts w:ascii="Verdana" w:hAnsi="Verdana" w:cs="Verdana"/>
          <w:sz w:val="20"/>
          <w:szCs w:val="20"/>
          <w:lang w:val="es-ES"/>
        </w:rPr>
        <w:t xml:space="preserve">, Visto 4) y se dio traslado de la misma al Estado y a la Comisión; b) se requirió a los representantes que el 7 de febrero de 2018 presenten “información detallada” sobre su solicitud y se pidió a la Comisión y al Estado que en la misma fecha remitan la información y consideraciones que estimen pertinentes, y c) </w:t>
      </w:r>
      <w:r w:rsidR="00A80BB2" w:rsidRPr="00A80BB2">
        <w:rPr>
          <w:rFonts w:ascii="Verdana" w:hAnsi="Verdana" w:cs="Verdana"/>
          <w:sz w:val="20"/>
          <w:szCs w:val="20"/>
          <w:lang w:val="es-ES"/>
        </w:rPr>
        <w:t>se solicit</w:t>
      </w:r>
      <w:r w:rsidR="00A80BB2">
        <w:rPr>
          <w:rFonts w:ascii="Verdana" w:hAnsi="Verdana" w:cs="Verdana"/>
          <w:sz w:val="20"/>
          <w:szCs w:val="20"/>
          <w:lang w:val="es-ES"/>
        </w:rPr>
        <w:t>ó</w:t>
      </w:r>
      <w:r w:rsidR="00A80BB2" w:rsidRPr="00A80BB2">
        <w:rPr>
          <w:rFonts w:ascii="Verdana" w:hAnsi="Verdana" w:cs="Verdana"/>
          <w:sz w:val="20"/>
          <w:szCs w:val="20"/>
          <w:lang w:val="es-ES"/>
        </w:rPr>
        <w:t xml:space="preserve"> al Estado y a la Comisión I</w:t>
      </w:r>
      <w:r w:rsidR="003C0E7A">
        <w:rPr>
          <w:rFonts w:ascii="Verdana" w:hAnsi="Verdana" w:cs="Verdana"/>
          <w:sz w:val="20"/>
          <w:szCs w:val="20"/>
          <w:lang w:val="es-ES"/>
        </w:rPr>
        <w:t xml:space="preserve">nteramericana de </w:t>
      </w:r>
      <w:r w:rsidR="00A80BB2" w:rsidRPr="00A80BB2">
        <w:rPr>
          <w:rFonts w:ascii="Verdana" w:hAnsi="Verdana" w:cs="Verdana"/>
          <w:sz w:val="20"/>
          <w:szCs w:val="20"/>
          <w:lang w:val="es-ES"/>
        </w:rPr>
        <w:t>D</w:t>
      </w:r>
      <w:r w:rsidR="003C0E7A">
        <w:rPr>
          <w:rFonts w:ascii="Verdana" w:hAnsi="Verdana" w:cs="Verdana"/>
          <w:sz w:val="20"/>
          <w:szCs w:val="20"/>
          <w:lang w:val="es-ES"/>
        </w:rPr>
        <w:t xml:space="preserve">erechos </w:t>
      </w:r>
      <w:r w:rsidR="00A80BB2" w:rsidRPr="00A80BB2">
        <w:rPr>
          <w:rFonts w:ascii="Verdana" w:hAnsi="Verdana" w:cs="Verdana"/>
          <w:sz w:val="20"/>
          <w:szCs w:val="20"/>
          <w:lang w:val="es-ES"/>
        </w:rPr>
        <w:t>H</w:t>
      </w:r>
      <w:r w:rsidR="003C0E7A">
        <w:rPr>
          <w:rFonts w:ascii="Verdana" w:hAnsi="Verdana" w:cs="Verdana"/>
          <w:sz w:val="20"/>
          <w:szCs w:val="20"/>
          <w:lang w:val="es-ES"/>
        </w:rPr>
        <w:t>umanos</w:t>
      </w:r>
      <w:r w:rsidR="00A80BB2" w:rsidRPr="00A80BB2">
        <w:rPr>
          <w:rFonts w:ascii="Verdana" w:hAnsi="Verdana" w:cs="Verdana"/>
          <w:sz w:val="20"/>
          <w:szCs w:val="20"/>
          <w:lang w:val="es-ES"/>
        </w:rPr>
        <w:t xml:space="preserve"> que al presentar la información y consideraciones </w:t>
      </w:r>
      <w:r w:rsidR="00A80BB2">
        <w:rPr>
          <w:rFonts w:ascii="Verdana" w:hAnsi="Verdana" w:cs="Verdana"/>
          <w:sz w:val="20"/>
          <w:szCs w:val="20"/>
          <w:lang w:val="es-ES"/>
        </w:rPr>
        <w:t xml:space="preserve">antes </w:t>
      </w:r>
      <w:r w:rsidR="00A80BB2" w:rsidRPr="00A80BB2">
        <w:rPr>
          <w:rFonts w:ascii="Verdana" w:hAnsi="Verdana" w:cs="Verdana"/>
          <w:sz w:val="20"/>
          <w:szCs w:val="20"/>
          <w:lang w:val="es-ES"/>
        </w:rPr>
        <w:t>requeridas, hagan referencia a lo informado y solicitado por los representantes en su comun</w:t>
      </w:r>
      <w:r w:rsidR="00A80BB2">
        <w:rPr>
          <w:rFonts w:ascii="Verdana" w:hAnsi="Verdana" w:cs="Verdana"/>
          <w:sz w:val="20"/>
          <w:szCs w:val="20"/>
          <w:lang w:val="es-ES"/>
        </w:rPr>
        <w:t>icación de 6 de febrero de 2018.</w:t>
      </w:r>
    </w:p>
    <w:p w14:paraId="126FE2EC" w14:textId="77777777" w:rsidR="00A80BB2" w:rsidRPr="00A80BB2" w:rsidRDefault="00A80BB2" w:rsidP="00A80BB2">
      <w:pPr>
        <w:pStyle w:val="ListParagraph"/>
        <w:rPr>
          <w:rFonts w:ascii="Verdana" w:hAnsi="Verdana" w:cs="Verdana"/>
          <w:sz w:val="20"/>
          <w:szCs w:val="20"/>
          <w:lang w:val="es-ES"/>
        </w:rPr>
      </w:pPr>
    </w:p>
    <w:p w14:paraId="6E4A5F21" w14:textId="50E99906" w:rsidR="00C92BFC" w:rsidRDefault="003D548F" w:rsidP="00A80BB2">
      <w:pPr>
        <w:pStyle w:val="ListParagraph"/>
        <w:numPr>
          <w:ilvl w:val="0"/>
          <w:numId w:val="31"/>
        </w:numPr>
        <w:autoSpaceDE w:val="0"/>
        <w:autoSpaceDN w:val="0"/>
        <w:adjustRightInd w:val="0"/>
        <w:spacing w:after="0" w:line="240" w:lineRule="auto"/>
        <w:ind w:left="0" w:hanging="11"/>
        <w:jc w:val="both"/>
        <w:rPr>
          <w:rFonts w:ascii="Verdana" w:hAnsi="Verdana" w:cs="Verdana"/>
          <w:sz w:val="20"/>
          <w:szCs w:val="20"/>
          <w:lang w:val="es-ES"/>
        </w:rPr>
      </w:pPr>
      <w:r>
        <w:rPr>
          <w:rFonts w:ascii="Verdana" w:hAnsi="Verdana" w:cs="Verdana"/>
          <w:sz w:val="20"/>
          <w:szCs w:val="20"/>
          <w:lang w:val="es-ES"/>
        </w:rPr>
        <w:t xml:space="preserve">Que </w:t>
      </w:r>
      <w:r w:rsidR="00A80BB2">
        <w:rPr>
          <w:rFonts w:ascii="Verdana" w:hAnsi="Verdana" w:cs="Verdana"/>
          <w:sz w:val="20"/>
          <w:szCs w:val="20"/>
          <w:lang w:val="es-ES"/>
        </w:rPr>
        <w:t xml:space="preserve">el 9 de febrero de 2018 </w:t>
      </w:r>
      <w:r>
        <w:rPr>
          <w:rFonts w:ascii="Verdana" w:hAnsi="Verdana" w:cs="Verdana"/>
          <w:sz w:val="20"/>
          <w:szCs w:val="20"/>
          <w:lang w:val="es-ES"/>
        </w:rPr>
        <w:t xml:space="preserve">tendrá lugar una audiencia pública </w:t>
      </w:r>
      <w:r w:rsidR="00A80BB2">
        <w:rPr>
          <w:rFonts w:ascii="Verdana" w:hAnsi="Verdana" w:cs="Verdana"/>
          <w:sz w:val="20"/>
          <w:szCs w:val="20"/>
          <w:lang w:val="es-ES"/>
        </w:rPr>
        <w:t xml:space="preserve">en la sede de la Corte Interamericana, en San José, Costa Rica.  </w:t>
      </w:r>
    </w:p>
    <w:p w14:paraId="6AAF768A" w14:textId="77777777" w:rsidR="00145DEC" w:rsidRDefault="00145DEC" w:rsidP="006D1929">
      <w:pPr>
        <w:spacing w:afterLines="60" w:after="144" w:line="240" w:lineRule="auto"/>
        <w:jc w:val="both"/>
        <w:rPr>
          <w:rFonts w:ascii="Verdana" w:hAnsi="Verdana"/>
          <w:b/>
          <w:sz w:val="20"/>
          <w:szCs w:val="20"/>
        </w:rPr>
      </w:pPr>
    </w:p>
    <w:p w14:paraId="2C21F0A5" w14:textId="77777777" w:rsidR="00C873B3" w:rsidRPr="00C873B3" w:rsidRDefault="004F5E47" w:rsidP="00C873B3">
      <w:pPr>
        <w:spacing w:afterLines="60" w:after="144" w:line="240" w:lineRule="auto"/>
        <w:jc w:val="both"/>
        <w:rPr>
          <w:rFonts w:ascii="Verdana" w:hAnsi="Verdana"/>
          <w:b/>
          <w:sz w:val="20"/>
          <w:szCs w:val="20"/>
        </w:rPr>
      </w:pPr>
      <w:r w:rsidRPr="00710B29">
        <w:rPr>
          <w:rFonts w:ascii="Verdana" w:hAnsi="Verdana"/>
          <w:b/>
          <w:sz w:val="20"/>
          <w:szCs w:val="20"/>
        </w:rPr>
        <w:t>CONSIDERANDO QUE:</w:t>
      </w:r>
    </w:p>
    <w:p w14:paraId="377149D7" w14:textId="5931A14E" w:rsidR="00900AF7" w:rsidRPr="005170F5" w:rsidRDefault="00885B45" w:rsidP="00900AF7">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sidRPr="005170F5">
        <w:rPr>
          <w:rFonts w:ascii="Verdana" w:hAnsi="Verdana"/>
          <w:sz w:val="20"/>
          <w:szCs w:val="20"/>
          <w:lang w:val="es-CR"/>
        </w:rPr>
        <w:t xml:space="preserve">El artículo 63.2 de la Convención Americana </w:t>
      </w:r>
      <w:r w:rsidR="005D5301" w:rsidRPr="005170F5">
        <w:rPr>
          <w:rFonts w:ascii="Verdana" w:hAnsi="Verdana"/>
          <w:sz w:val="20"/>
          <w:szCs w:val="20"/>
          <w:lang w:val="es-CR"/>
        </w:rPr>
        <w:t xml:space="preserve">sobre Derechos Humanos </w:t>
      </w:r>
      <w:r w:rsidR="00105E1A">
        <w:rPr>
          <w:rFonts w:ascii="Verdana" w:hAnsi="Verdana"/>
          <w:sz w:val="20"/>
          <w:szCs w:val="20"/>
          <w:lang w:val="es-CR"/>
        </w:rPr>
        <w:t xml:space="preserve">(en adelante “la Convención” o “la Convención Americana”) </w:t>
      </w:r>
      <w:r w:rsidRPr="005170F5">
        <w:rPr>
          <w:rFonts w:ascii="Verdana" w:hAnsi="Verdana"/>
          <w:sz w:val="20"/>
          <w:szCs w:val="20"/>
          <w:lang w:val="es-CR"/>
        </w:rPr>
        <w:t>dispone, en lo relevante, que “[e]n casos de extrema gravedad y urgencia, y cuando se haga necesario evitar daños irreparables a las personas, la Corte, en los asuntos que esté conociendo, podrá tomar las medidas provisionales que considere pertinentes”.</w:t>
      </w:r>
      <w:r w:rsidR="00900AF7" w:rsidRPr="005170F5">
        <w:rPr>
          <w:rFonts w:ascii="Verdana" w:hAnsi="Verdana" w:cs="Verdana"/>
          <w:sz w:val="20"/>
          <w:szCs w:val="20"/>
          <w:lang w:val="es-CR"/>
        </w:rPr>
        <w:t xml:space="preserve"> Esta </w:t>
      </w:r>
      <w:r w:rsidR="00900AF7" w:rsidRPr="005170F5">
        <w:rPr>
          <w:rFonts w:ascii="Verdana" w:hAnsi="Verdana" w:cs="Verdana"/>
          <w:color w:val="000000"/>
          <w:sz w:val="20"/>
          <w:szCs w:val="20"/>
          <w:lang w:val="es-CR"/>
        </w:rPr>
        <w:t>disposición obliga a los Estados a adoptar las medidas provisionales que les ordene este Tribunal; adicionalmente, estos deben cumplir sus obligaciones convencionales de buena fe (</w:t>
      </w:r>
      <w:r w:rsidR="00900AF7" w:rsidRPr="005170F5">
        <w:rPr>
          <w:rFonts w:ascii="Verdana" w:hAnsi="Verdana" w:cs="Verdana"/>
          <w:i/>
          <w:iCs/>
          <w:color w:val="000000"/>
          <w:sz w:val="20"/>
          <w:szCs w:val="20"/>
          <w:lang w:val="es-CR"/>
        </w:rPr>
        <w:t>pacta sunt servanda</w:t>
      </w:r>
      <w:r w:rsidR="00900AF7" w:rsidRPr="005170F5">
        <w:rPr>
          <w:rFonts w:ascii="Verdana" w:hAnsi="Verdana" w:cs="Verdana"/>
          <w:color w:val="000000"/>
          <w:sz w:val="20"/>
          <w:szCs w:val="20"/>
          <w:lang w:val="es-CR"/>
        </w:rPr>
        <w:t>)</w:t>
      </w:r>
      <w:r w:rsidR="00900AF7">
        <w:rPr>
          <w:rStyle w:val="FootnoteReference"/>
          <w:rFonts w:ascii="Verdana" w:hAnsi="Verdana" w:cs="Verdana"/>
          <w:color w:val="000000"/>
          <w:sz w:val="20"/>
          <w:szCs w:val="20"/>
          <w:lang w:val="es-CR"/>
        </w:rPr>
        <w:footnoteReference w:id="2"/>
      </w:r>
      <w:r w:rsidR="00900AF7" w:rsidRPr="005170F5">
        <w:rPr>
          <w:rFonts w:ascii="Verdana" w:hAnsi="Verdana" w:cs="Verdana"/>
          <w:color w:val="000000"/>
          <w:sz w:val="20"/>
          <w:szCs w:val="20"/>
          <w:lang w:val="es-CR"/>
        </w:rPr>
        <w:t xml:space="preserve">. </w:t>
      </w:r>
    </w:p>
    <w:p w14:paraId="5A9B82DE" w14:textId="77777777" w:rsidR="005170F5" w:rsidRPr="005170F5" w:rsidRDefault="005170F5" w:rsidP="005170F5">
      <w:pPr>
        <w:pStyle w:val="ListParagraph"/>
        <w:spacing w:after="0" w:line="240" w:lineRule="auto"/>
        <w:ind w:left="0"/>
        <w:contextualSpacing w:val="0"/>
        <w:jc w:val="both"/>
        <w:rPr>
          <w:rFonts w:ascii="Verdana" w:hAnsi="Verdana" w:cs="Verdana"/>
          <w:sz w:val="20"/>
          <w:szCs w:val="20"/>
          <w:lang w:val="es-CR"/>
        </w:rPr>
      </w:pPr>
    </w:p>
    <w:p w14:paraId="08089DE2" w14:textId="6339D06A" w:rsidR="005D6C95" w:rsidRPr="00900AF7" w:rsidRDefault="00900AF7" w:rsidP="00900AF7">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Pr>
          <w:rFonts w:ascii="Verdana" w:hAnsi="Verdana"/>
          <w:sz w:val="20"/>
          <w:szCs w:val="20"/>
          <w:lang w:val="es-CR"/>
        </w:rPr>
        <w:t>E</w:t>
      </w:r>
      <w:r w:rsidR="005D6C95" w:rsidRPr="005D6C95">
        <w:rPr>
          <w:rFonts w:ascii="Verdana" w:hAnsi="Verdana"/>
          <w:sz w:val="20"/>
          <w:szCs w:val="20"/>
          <w:lang w:val="es-PR"/>
        </w:rPr>
        <w:t>l a</w:t>
      </w:r>
      <w:r w:rsidR="005D6C95" w:rsidRPr="005D6C95">
        <w:rPr>
          <w:rFonts w:ascii="Verdana" w:hAnsi="Verdana" w:cs="Arial"/>
          <w:sz w:val="20"/>
          <w:szCs w:val="20"/>
          <w:lang w:val="es-PR"/>
        </w:rPr>
        <w:t>rtículo 27.3</w:t>
      </w:r>
      <w:r w:rsidR="00707C3F">
        <w:rPr>
          <w:rFonts w:ascii="Verdana" w:hAnsi="Verdana"/>
          <w:sz w:val="20"/>
          <w:szCs w:val="20"/>
          <w:lang w:val="es-PR"/>
        </w:rPr>
        <w:t xml:space="preserve"> del Reglamento </w:t>
      </w:r>
      <w:r w:rsidR="005D5301">
        <w:rPr>
          <w:rFonts w:ascii="Verdana" w:hAnsi="Verdana"/>
          <w:sz w:val="20"/>
          <w:szCs w:val="20"/>
          <w:lang w:val="es-PR"/>
        </w:rPr>
        <w:t>de</w:t>
      </w:r>
      <w:r w:rsidR="00105E1A">
        <w:rPr>
          <w:rFonts w:ascii="Verdana" w:hAnsi="Verdana"/>
          <w:sz w:val="20"/>
          <w:szCs w:val="20"/>
          <w:lang w:val="es-PR"/>
        </w:rPr>
        <w:t xml:space="preserve"> este</w:t>
      </w:r>
      <w:r w:rsidR="005D5301">
        <w:rPr>
          <w:rFonts w:ascii="Verdana" w:hAnsi="Verdana"/>
          <w:sz w:val="20"/>
          <w:szCs w:val="20"/>
          <w:lang w:val="es-PR"/>
        </w:rPr>
        <w:t xml:space="preserve"> Tribunal </w:t>
      </w:r>
      <w:r w:rsidR="00707C3F">
        <w:rPr>
          <w:rFonts w:ascii="Verdana" w:hAnsi="Verdana"/>
          <w:sz w:val="20"/>
          <w:szCs w:val="20"/>
          <w:lang w:val="es-PR"/>
        </w:rPr>
        <w:t>establece que</w:t>
      </w:r>
      <w:r w:rsidR="005D6C95" w:rsidRPr="005D6C95">
        <w:rPr>
          <w:rFonts w:ascii="Verdana" w:hAnsi="Verdana" w:cs="Arial"/>
          <w:sz w:val="20"/>
          <w:szCs w:val="20"/>
          <w:lang w:val="es-PR"/>
        </w:rPr>
        <w:t xml:space="preserve"> “</w:t>
      </w:r>
      <w:r w:rsidR="002C4B26">
        <w:rPr>
          <w:rFonts w:ascii="Verdana" w:hAnsi="Verdana" w:cs="Arial"/>
          <w:sz w:val="20"/>
          <w:szCs w:val="20"/>
          <w:lang w:val="es-PR"/>
        </w:rPr>
        <w:t>[e]</w:t>
      </w:r>
      <w:r w:rsidR="005D6C95" w:rsidRPr="005D6C95">
        <w:rPr>
          <w:rFonts w:ascii="Verdana" w:hAnsi="Verdana" w:cs="Arial"/>
          <w:sz w:val="20"/>
          <w:szCs w:val="20"/>
          <w:lang w:val="es-PR"/>
        </w:rPr>
        <w:t>n los casos contenciosos que se encuentren en conocimiento de la Corte, las víctimas o las presuntas víctimas, o sus representantes, podrán presentar directamente a ésta una solicitud de medidas provisionales, las que deberán tener relación con el objeto del caso”.</w:t>
      </w:r>
    </w:p>
    <w:p w14:paraId="57E18F0B" w14:textId="77777777" w:rsidR="00900AF7" w:rsidRPr="005D6C95" w:rsidRDefault="00900AF7" w:rsidP="00900AF7">
      <w:pPr>
        <w:pStyle w:val="ListParagraph"/>
        <w:spacing w:after="0" w:line="240" w:lineRule="auto"/>
        <w:ind w:left="0"/>
        <w:contextualSpacing w:val="0"/>
        <w:jc w:val="both"/>
        <w:rPr>
          <w:rFonts w:ascii="Verdana" w:hAnsi="Verdana" w:cs="Verdana"/>
          <w:sz w:val="20"/>
          <w:szCs w:val="20"/>
          <w:lang w:val="es-CR"/>
        </w:rPr>
      </w:pPr>
    </w:p>
    <w:p w14:paraId="48943FCC" w14:textId="1BD83690" w:rsidR="0024233C" w:rsidRPr="0024233C" w:rsidRDefault="00C873B3" w:rsidP="0024233C">
      <w:pPr>
        <w:pStyle w:val="ListParagraph"/>
        <w:numPr>
          <w:ilvl w:val="0"/>
          <w:numId w:val="15"/>
        </w:numPr>
        <w:spacing w:afterLines="60" w:after="144" w:line="240" w:lineRule="auto"/>
        <w:ind w:left="0" w:firstLine="0"/>
        <w:contextualSpacing w:val="0"/>
        <w:jc w:val="both"/>
        <w:rPr>
          <w:rFonts w:ascii="Verdana" w:hAnsi="Verdana" w:cs="Verdana"/>
          <w:sz w:val="20"/>
          <w:szCs w:val="20"/>
          <w:lang w:val="es-CR"/>
        </w:rPr>
      </w:pPr>
      <w:r w:rsidRPr="00507D8A">
        <w:rPr>
          <w:rFonts w:ascii="Verdana" w:hAnsi="Verdana"/>
          <w:sz w:val="20"/>
          <w:szCs w:val="20"/>
          <w:lang w:val="es-CR"/>
        </w:rPr>
        <w:t>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daños irreparables a las personas. De esta manera, las medidas provisionales se transforman en una verdadera garantía jurisdiccional de carácter preventivo</w:t>
      </w:r>
      <w:r w:rsidRPr="00507D8A">
        <w:rPr>
          <w:rStyle w:val="FootnoteReference"/>
          <w:rFonts w:ascii="Verdana" w:hAnsi="Verdana"/>
          <w:sz w:val="20"/>
          <w:szCs w:val="20"/>
          <w:lang w:val="es-CR"/>
        </w:rPr>
        <w:footnoteReference w:id="3"/>
      </w:r>
      <w:r w:rsidRPr="00507D8A">
        <w:rPr>
          <w:rFonts w:ascii="Verdana" w:hAnsi="Verdana"/>
          <w:sz w:val="20"/>
          <w:szCs w:val="20"/>
          <w:lang w:val="es-CR"/>
        </w:rPr>
        <w:t>.</w:t>
      </w:r>
      <w:r w:rsidR="0024233C">
        <w:rPr>
          <w:rFonts w:ascii="Verdana" w:hAnsi="Verdana"/>
          <w:sz w:val="20"/>
          <w:szCs w:val="20"/>
          <w:lang w:val="es-CR"/>
        </w:rPr>
        <w:t xml:space="preserve"> </w:t>
      </w:r>
    </w:p>
    <w:p w14:paraId="7809322D" w14:textId="73EBEA76" w:rsidR="00C20373" w:rsidRPr="00900AF7" w:rsidRDefault="0024233C" w:rsidP="00125057">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sidRPr="0024233C">
        <w:rPr>
          <w:rFonts w:ascii="Verdana" w:hAnsi="Verdana" w:cs="Verdana"/>
          <w:color w:val="000000"/>
          <w:sz w:val="20"/>
          <w:szCs w:val="20"/>
          <w:lang w:val="es-CR"/>
        </w:rPr>
        <w:t xml:space="preserve">La Corte ha señalado que las tres condiciones exigidas por el artículo 63.2 de la Convención para que pueda disponer de medidas provisionales deben concurrir en toda </w:t>
      </w:r>
      <w:r w:rsidRPr="0024233C">
        <w:rPr>
          <w:rFonts w:ascii="Verdana" w:hAnsi="Verdana" w:cs="Verdana"/>
          <w:color w:val="000000"/>
          <w:sz w:val="20"/>
          <w:szCs w:val="20"/>
          <w:lang w:val="es-CR"/>
        </w:rPr>
        <w:lastRenderedPageBreak/>
        <w:t>situación en la que se soliciten</w:t>
      </w:r>
      <w:r w:rsidR="00757DCA">
        <w:rPr>
          <w:rStyle w:val="FootnoteReference"/>
          <w:rFonts w:ascii="Verdana" w:hAnsi="Verdana" w:cs="Verdana"/>
          <w:color w:val="000000"/>
          <w:sz w:val="20"/>
          <w:szCs w:val="20"/>
          <w:lang w:val="es-CR"/>
        </w:rPr>
        <w:footnoteReference w:id="4"/>
      </w:r>
      <w:r w:rsidRPr="0024233C">
        <w:rPr>
          <w:rFonts w:ascii="Verdana" w:hAnsi="Verdana" w:cs="Verdana"/>
          <w:color w:val="000000"/>
          <w:sz w:val="20"/>
          <w:szCs w:val="20"/>
          <w:lang w:val="es-CR"/>
        </w:rPr>
        <w:t xml:space="preserve">. El Tribunal ya ha señalado que, conforme a la Convención y al Reglamento, la carga procesal de demostrar </w:t>
      </w:r>
      <w:r w:rsidRPr="0024233C">
        <w:rPr>
          <w:rFonts w:ascii="Verdana" w:hAnsi="Verdana" w:cs="Verdana"/>
          <w:i/>
          <w:iCs/>
          <w:color w:val="000000"/>
          <w:sz w:val="20"/>
          <w:szCs w:val="20"/>
          <w:lang w:val="es-CR"/>
        </w:rPr>
        <w:t xml:space="preserve">prima facie </w:t>
      </w:r>
      <w:r w:rsidRPr="0024233C">
        <w:rPr>
          <w:rFonts w:ascii="Verdana" w:hAnsi="Verdana" w:cs="Verdana"/>
          <w:color w:val="000000"/>
          <w:sz w:val="20"/>
          <w:szCs w:val="20"/>
          <w:lang w:val="es-CR"/>
        </w:rPr>
        <w:t>dichos requisitos recae en el solicitante</w:t>
      </w:r>
      <w:r w:rsidR="00757DCA">
        <w:rPr>
          <w:rStyle w:val="FootnoteReference"/>
          <w:rFonts w:ascii="Verdana" w:hAnsi="Verdana" w:cs="Verdana"/>
          <w:color w:val="000000"/>
          <w:sz w:val="20"/>
          <w:szCs w:val="20"/>
          <w:lang w:val="es-CR"/>
        </w:rPr>
        <w:footnoteReference w:id="5"/>
      </w:r>
      <w:r w:rsidRPr="0024233C">
        <w:rPr>
          <w:rFonts w:ascii="Verdana" w:hAnsi="Verdana" w:cs="Verdana"/>
          <w:color w:val="000000"/>
          <w:sz w:val="20"/>
          <w:szCs w:val="20"/>
          <w:lang w:val="es-CR"/>
        </w:rPr>
        <w:t xml:space="preserve">.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w:t>
      </w:r>
      <w:r w:rsidRPr="004B0B29">
        <w:rPr>
          <w:rFonts w:ascii="Verdana" w:hAnsi="Verdana" w:cs="Verdana"/>
          <w:color w:val="000000"/>
          <w:sz w:val="20"/>
          <w:szCs w:val="20"/>
          <w:lang w:val="es-CR"/>
        </w:rPr>
        <w:t>bienes o intereses jurídicos que puedan ser reparables</w:t>
      </w:r>
      <w:r w:rsidR="004B0B29" w:rsidRPr="004B0B29">
        <w:rPr>
          <w:rStyle w:val="FootnoteReference"/>
          <w:rFonts w:ascii="Verdana" w:hAnsi="Verdana" w:cs="Verdana"/>
          <w:color w:val="000000"/>
          <w:sz w:val="20"/>
          <w:szCs w:val="20"/>
          <w:lang w:val="es-CR"/>
        </w:rPr>
        <w:footnoteReference w:id="6"/>
      </w:r>
      <w:r w:rsidRPr="004B0B29">
        <w:rPr>
          <w:rFonts w:ascii="Verdana" w:hAnsi="Verdana" w:cs="Verdana"/>
          <w:color w:val="000000"/>
          <w:sz w:val="20"/>
          <w:szCs w:val="20"/>
          <w:lang w:val="es-CR"/>
        </w:rPr>
        <w:t xml:space="preserve">. Las tres condiciones exigidas por </w:t>
      </w:r>
      <w:r w:rsidR="004B0B29" w:rsidRPr="004B0B29">
        <w:rPr>
          <w:rFonts w:ascii="Verdana" w:hAnsi="Verdana"/>
          <w:sz w:val="20"/>
          <w:szCs w:val="20"/>
          <w:lang w:val="es-CR"/>
        </w:rPr>
        <w:t>el artículo 63.2 de la Convención para que se pueda disponer de medidas provisionales deben concurrir en toda situación en la que se soliciten</w:t>
      </w:r>
      <w:r w:rsidR="004B0B29">
        <w:rPr>
          <w:rStyle w:val="FootnoteReference"/>
          <w:rFonts w:ascii="Verdana" w:hAnsi="Verdana"/>
          <w:sz w:val="20"/>
          <w:szCs w:val="20"/>
          <w:lang w:val="es-CR"/>
        </w:rPr>
        <w:footnoteReference w:id="7"/>
      </w:r>
      <w:r w:rsidR="004B0B29">
        <w:rPr>
          <w:rFonts w:ascii="Verdana" w:hAnsi="Verdana"/>
          <w:sz w:val="20"/>
          <w:szCs w:val="20"/>
          <w:lang w:val="es-CR"/>
        </w:rPr>
        <w:t xml:space="preserve">. </w:t>
      </w:r>
    </w:p>
    <w:p w14:paraId="23D8BAE4" w14:textId="77777777" w:rsidR="00900AF7" w:rsidRPr="00900AF7" w:rsidRDefault="00900AF7" w:rsidP="00900AF7">
      <w:pPr>
        <w:pStyle w:val="ListParagraph"/>
        <w:spacing w:after="0" w:line="240" w:lineRule="auto"/>
        <w:ind w:left="0"/>
        <w:contextualSpacing w:val="0"/>
        <w:jc w:val="both"/>
        <w:rPr>
          <w:rFonts w:ascii="Verdana" w:hAnsi="Verdana" w:cs="Verdana"/>
          <w:sz w:val="20"/>
          <w:szCs w:val="20"/>
          <w:lang w:val="es-CR"/>
        </w:rPr>
      </w:pPr>
    </w:p>
    <w:p w14:paraId="4CC1048F" w14:textId="46A6FED4" w:rsidR="00900AF7" w:rsidRDefault="00900AF7" w:rsidP="00125057">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 xml:space="preserve">Con base en </w:t>
      </w:r>
      <w:r w:rsidR="007A4271">
        <w:rPr>
          <w:rFonts w:ascii="Verdana" w:hAnsi="Verdana" w:cs="Verdana"/>
          <w:sz w:val="20"/>
          <w:szCs w:val="20"/>
          <w:lang w:val="es-CR"/>
        </w:rPr>
        <w:t>las pautas señaladas</w:t>
      </w:r>
      <w:r>
        <w:rPr>
          <w:rFonts w:ascii="Verdana" w:hAnsi="Verdana" w:cs="Verdana"/>
          <w:sz w:val="20"/>
          <w:szCs w:val="20"/>
          <w:lang w:val="es-CR"/>
        </w:rPr>
        <w:t>, esta Corte debe examinar la solicitud presentada por los representantes. Para ello, en primer lugar, reseñará los motivos indicados por los representantes como sustento de su petición, así como la</w:t>
      </w:r>
      <w:r w:rsidR="00105E1A">
        <w:rPr>
          <w:rFonts w:ascii="Verdana" w:hAnsi="Verdana" w:cs="Verdana"/>
          <w:sz w:val="20"/>
          <w:szCs w:val="20"/>
          <w:lang w:val="es-CR"/>
        </w:rPr>
        <w:t xml:space="preserve"> información y</w:t>
      </w:r>
      <w:r>
        <w:rPr>
          <w:rFonts w:ascii="Verdana" w:hAnsi="Verdana" w:cs="Verdana"/>
          <w:sz w:val="20"/>
          <w:szCs w:val="20"/>
          <w:lang w:val="es-CR"/>
        </w:rPr>
        <w:t xml:space="preserve"> consideraciones del Estado</w:t>
      </w:r>
      <w:r w:rsidR="00105E1A">
        <w:rPr>
          <w:rStyle w:val="FootnoteReference"/>
          <w:rFonts w:ascii="Verdana" w:hAnsi="Verdana" w:cs="Verdana"/>
          <w:sz w:val="20"/>
          <w:szCs w:val="20"/>
          <w:lang w:val="es-CR"/>
        </w:rPr>
        <w:footnoteReference w:id="8"/>
      </w:r>
      <w:r w:rsidR="00105E1A">
        <w:rPr>
          <w:rFonts w:ascii="Verdana" w:hAnsi="Verdana" w:cs="Verdana"/>
          <w:sz w:val="20"/>
          <w:szCs w:val="20"/>
          <w:lang w:val="es-CR"/>
        </w:rPr>
        <w:t>.</w:t>
      </w:r>
      <w:r>
        <w:rPr>
          <w:rFonts w:ascii="Verdana" w:hAnsi="Verdana" w:cs="Verdana"/>
          <w:sz w:val="20"/>
          <w:szCs w:val="20"/>
          <w:lang w:val="es-CR"/>
        </w:rPr>
        <w:t xml:space="preserve"> En segundo lugar, este Tribunal expondrá sus consideraciones. </w:t>
      </w:r>
    </w:p>
    <w:p w14:paraId="705A04F2" w14:textId="77777777" w:rsidR="00900AF7" w:rsidRDefault="00900AF7" w:rsidP="00900AF7">
      <w:pPr>
        <w:pStyle w:val="ListParagraph"/>
        <w:rPr>
          <w:rFonts w:ascii="Verdana" w:hAnsi="Verdana" w:cs="Verdana"/>
          <w:sz w:val="20"/>
          <w:szCs w:val="20"/>
          <w:lang w:val="es-CR"/>
        </w:rPr>
      </w:pPr>
    </w:p>
    <w:p w14:paraId="136E6CA0" w14:textId="5FFBA5E6" w:rsidR="00900AF7" w:rsidRDefault="00900AF7" w:rsidP="00900AF7">
      <w:pPr>
        <w:pStyle w:val="ListParagraph"/>
        <w:numPr>
          <w:ilvl w:val="0"/>
          <w:numId w:val="30"/>
        </w:numPr>
        <w:rPr>
          <w:rFonts w:ascii="Verdana" w:hAnsi="Verdana" w:cs="Verdana"/>
          <w:b/>
          <w:i/>
          <w:sz w:val="20"/>
          <w:szCs w:val="20"/>
          <w:lang w:val="es-CR"/>
        </w:rPr>
      </w:pPr>
      <w:r w:rsidRPr="007A4271">
        <w:rPr>
          <w:rFonts w:ascii="Verdana" w:hAnsi="Verdana" w:cs="Verdana"/>
          <w:b/>
          <w:i/>
          <w:sz w:val="20"/>
          <w:szCs w:val="20"/>
          <w:lang w:val="es-CR"/>
        </w:rPr>
        <w:t xml:space="preserve">Solicitud presentada por los representantes y </w:t>
      </w:r>
      <w:r w:rsidR="007A4271" w:rsidRPr="007A4271">
        <w:rPr>
          <w:rFonts w:ascii="Verdana" w:hAnsi="Verdana" w:cs="Verdana"/>
          <w:b/>
          <w:i/>
          <w:sz w:val="20"/>
          <w:szCs w:val="20"/>
          <w:lang w:val="es-CR"/>
        </w:rPr>
        <w:t xml:space="preserve">observaciones del Estado </w:t>
      </w:r>
    </w:p>
    <w:p w14:paraId="3B478F77" w14:textId="35D01BB1" w:rsidR="007A4271" w:rsidRPr="007A4271" w:rsidRDefault="007A4271" w:rsidP="007A4271">
      <w:pPr>
        <w:pStyle w:val="ListParagraph"/>
        <w:ind w:left="1080"/>
        <w:rPr>
          <w:rFonts w:ascii="Verdana" w:hAnsi="Verdana" w:cs="Verdana"/>
          <w:b/>
          <w:i/>
          <w:sz w:val="20"/>
          <w:szCs w:val="20"/>
          <w:lang w:val="es-CR"/>
        </w:rPr>
      </w:pPr>
    </w:p>
    <w:p w14:paraId="5E525BC1" w14:textId="71EDA4F2" w:rsidR="00900AF7" w:rsidRDefault="007A4271" w:rsidP="00125057">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 xml:space="preserve">En su comunicación de 1 de febrero de 2018, los </w:t>
      </w:r>
      <w:r w:rsidRPr="007A4271">
        <w:rPr>
          <w:rFonts w:ascii="Verdana" w:hAnsi="Verdana" w:cs="Verdana"/>
          <w:b/>
          <w:i/>
          <w:sz w:val="20"/>
          <w:szCs w:val="20"/>
          <w:lang w:val="es-CR"/>
        </w:rPr>
        <w:t>representantes</w:t>
      </w:r>
      <w:r>
        <w:rPr>
          <w:rFonts w:ascii="Verdana" w:hAnsi="Verdana" w:cs="Verdana"/>
          <w:sz w:val="20"/>
          <w:szCs w:val="20"/>
          <w:lang w:val="es-CR"/>
        </w:rPr>
        <w:t xml:space="preserve"> señalaron que “los testigos y [presuntas] víctimas del caso […] han manifestado un fuerte temor a represalias por posibles capturas a nivel nacional y [por la] reactiva[ción del] caso al rendir declaración frente a la […] Corte”. Por ello, “solicita[ron] sean concedidas medidas cautelares para resguardar la vida y la integridad, tanto de quienes integran la delegación como de todos los miembros de la comunidad”.</w:t>
      </w:r>
    </w:p>
    <w:p w14:paraId="0B603464" w14:textId="77777777" w:rsidR="007A4271" w:rsidRDefault="007A4271" w:rsidP="007A4271">
      <w:pPr>
        <w:pStyle w:val="ListParagraph"/>
        <w:spacing w:after="0" w:line="240" w:lineRule="auto"/>
        <w:ind w:left="0"/>
        <w:contextualSpacing w:val="0"/>
        <w:jc w:val="both"/>
        <w:rPr>
          <w:rFonts w:ascii="Verdana" w:hAnsi="Verdana" w:cs="Verdana"/>
          <w:sz w:val="20"/>
          <w:szCs w:val="20"/>
          <w:lang w:val="es-CR"/>
        </w:rPr>
      </w:pPr>
    </w:p>
    <w:p w14:paraId="44DDD831" w14:textId="1EE89899" w:rsidR="007A4271" w:rsidRPr="00A52E56" w:rsidRDefault="007A4271" w:rsidP="00125057">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 xml:space="preserve">El 6 de febrero de 2018, luego de que mediante una </w:t>
      </w:r>
      <w:r w:rsidR="00DF0F96">
        <w:rPr>
          <w:rFonts w:ascii="Verdana" w:hAnsi="Verdana" w:cs="Verdana"/>
          <w:sz w:val="20"/>
          <w:szCs w:val="20"/>
          <w:lang w:val="es-CR"/>
        </w:rPr>
        <w:t>comunicación de la Secretaría de la Corte del día anterior se les solicitara “</w:t>
      </w:r>
      <w:r w:rsidR="00DF0F96">
        <w:rPr>
          <w:rFonts w:ascii="Verdana" w:hAnsi="Verdana"/>
          <w:sz w:val="20"/>
          <w:szCs w:val="20"/>
          <w:lang w:val="es-CR"/>
        </w:rPr>
        <w:t>información detallada sobre los hechos que motivan la solicitud y la situación de riesgo aducida[, así como la identifi[cación] puntual [de] las personas que estarían siendo afectadas”, los representantes señalaron que “solicitan medidas provisionales para la delegación que viaja</w:t>
      </w:r>
      <w:r w:rsidR="003D548F">
        <w:rPr>
          <w:rFonts w:ascii="Verdana" w:hAnsi="Verdana"/>
          <w:sz w:val="20"/>
          <w:szCs w:val="20"/>
          <w:lang w:val="es-CR"/>
        </w:rPr>
        <w:t>rá</w:t>
      </w:r>
      <w:r w:rsidR="00DF0F96">
        <w:rPr>
          <w:rFonts w:ascii="Verdana" w:hAnsi="Verdana"/>
          <w:sz w:val="20"/>
          <w:szCs w:val="20"/>
          <w:lang w:val="es-CR"/>
        </w:rPr>
        <w:t xml:space="preserve"> a la audiencia” que t</w:t>
      </w:r>
      <w:r w:rsidR="003D548F">
        <w:rPr>
          <w:rFonts w:ascii="Verdana" w:hAnsi="Verdana"/>
          <w:sz w:val="20"/>
          <w:szCs w:val="20"/>
          <w:lang w:val="es-CR"/>
        </w:rPr>
        <w:t>endrá</w:t>
      </w:r>
      <w:r w:rsidR="00DF0F96">
        <w:rPr>
          <w:rFonts w:ascii="Verdana" w:hAnsi="Verdana"/>
          <w:sz w:val="20"/>
          <w:szCs w:val="20"/>
          <w:lang w:val="es-CR"/>
        </w:rPr>
        <w:t xml:space="preserve"> lugar el 9 de febrero de 2018. Señalaron como integrantes de dicha “delegación” </w:t>
      </w:r>
      <w:r w:rsidR="003A5FF3">
        <w:rPr>
          <w:rFonts w:ascii="Verdana" w:hAnsi="Verdana"/>
          <w:sz w:val="20"/>
          <w:szCs w:val="20"/>
          <w:lang w:val="es-CR"/>
        </w:rPr>
        <w:t xml:space="preserve">a Efraín Grave Morente, “[r]epresentante de la comunidad”; Maynor Estuardo Alvarado Galeano, abogado; Karla Lorena Campos Flores, abogada; Natividad </w:t>
      </w:r>
      <w:r w:rsidR="00A52E56">
        <w:rPr>
          <w:rFonts w:ascii="Verdana" w:hAnsi="Verdana"/>
          <w:sz w:val="20"/>
          <w:szCs w:val="20"/>
          <w:lang w:val="es-CR"/>
        </w:rPr>
        <w:t>Sales Calmo y Tomás Grave Morente. La Corte advierte que las tres primeras personas nombradas concurri</w:t>
      </w:r>
      <w:r w:rsidR="003D548F">
        <w:rPr>
          <w:rFonts w:ascii="Verdana" w:hAnsi="Verdana"/>
          <w:sz w:val="20"/>
          <w:szCs w:val="20"/>
          <w:lang w:val="es-CR"/>
        </w:rPr>
        <w:t>rán</w:t>
      </w:r>
      <w:r w:rsidR="00A52E56">
        <w:rPr>
          <w:rFonts w:ascii="Verdana" w:hAnsi="Verdana"/>
          <w:sz w:val="20"/>
          <w:szCs w:val="20"/>
          <w:lang w:val="es-CR"/>
        </w:rPr>
        <w:t xml:space="preserve"> a la audiencia pública, como parte de la </w:t>
      </w:r>
      <w:r w:rsidR="003D548F">
        <w:rPr>
          <w:rFonts w:ascii="Verdana" w:hAnsi="Verdana"/>
          <w:sz w:val="20"/>
          <w:szCs w:val="20"/>
          <w:lang w:val="es-CR"/>
        </w:rPr>
        <w:t>representación de las presuntas víctimas</w:t>
      </w:r>
      <w:r w:rsidR="00A52E56">
        <w:rPr>
          <w:rFonts w:ascii="Verdana" w:hAnsi="Verdana"/>
          <w:sz w:val="20"/>
          <w:szCs w:val="20"/>
          <w:lang w:val="es-CR"/>
        </w:rPr>
        <w:t>, y las otras dos lo h</w:t>
      </w:r>
      <w:r w:rsidR="003D548F">
        <w:rPr>
          <w:rFonts w:ascii="Verdana" w:hAnsi="Verdana"/>
          <w:sz w:val="20"/>
          <w:szCs w:val="20"/>
          <w:lang w:val="es-CR"/>
        </w:rPr>
        <w:t>arán</w:t>
      </w:r>
      <w:r w:rsidR="00A52E56">
        <w:rPr>
          <w:rFonts w:ascii="Verdana" w:hAnsi="Verdana"/>
          <w:sz w:val="20"/>
          <w:szCs w:val="20"/>
          <w:lang w:val="es-CR"/>
        </w:rPr>
        <w:t xml:space="preserve"> como declarantes. A su vez, los señores Efraín Grave Morente y Tomás Grave Morente, así como la señora Natividad Sales Calmo, son presuntas víctimas en el caso. </w:t>
      </w:r>
    </w:p>
    <w:p w14:paraId="05DF28A8" w14:textId="77777777" w:rsidR="00A52E56" w:rsidRPr="00A52E56" w:rsidRDefault="00A52E56" w:rsidP="00A52E56">
      <w:pPr>
        <w:pStyle w:val="ListParagraph"/>
        <w:rPr>
          <w:rFonts w:ascii="Verdana" w:hAnsi="Verdana" w:cs="Verdana"/>
          <w:sz w:val="20"/>
          <w:szCs w:val="20"/>
          <w:lang w:val="es-CR"/>
        </w:rPr>
      </w:pPr>
    </w:p>
    <w:p w14:paraId="7BFFC2E1" w14:textId="77777777" w:rsidR="00A52E56" w:rsidRDefault="00A52E56" w:rsidP="00125057">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 xml:space="preserve">En la misma comunicación de 6 de febrero de 2018, los representantes precisaron los “motivos” de su solicitud, indicando lo que sigue: </w:t>
      </w:r>
    </w:p>
    <w:p w14:paraId="53B65AD1" w14:textId="77777777" w:rsidR="00A52E56" w:rsidRPr="00A52E56" w:rsidRDefault="00A52E56" w:rsidP="00A52E56">
      <w:pPr>
        <w:pStyle w:val="ListParagraph"/>
        <w:rPr>
          <w:rFonts w:ascii="Verdana" w:hAnsi="Verdana" w:cs="Verdana"/>
          <w:sz w:val="20"/>
          <w:szCs w:val="20"/>
          <w:lang w:val="es-CR"/>
        </w:rPr>
      </w:pPr>
    </w:p>
    <w:p w14:paraId="2354EF07" w14:textId="3CBA77F9" w:rsidR="00A52E56" w:rsidRPr="00A52E56" w:rsidRDefault="00A52E56" w:rsidP="00A52E56">
      <w:pPr>
        <w:pStyle w:val="ListParagraph"/>
        <w:numPr>
          <w:ilvl w:val="3"/>
          <w:numId w:val="15"/>
        </w:numPr>
        <w:spacing w:after="0" w:line="240" w:lineRule="auto"/>
        <w:ind w:left="567" w:right="576" w:firstLine="0"/>
        <w:jc w:val="both"/>
        <w:rPr>
          <w:rFonts w:ascii="Verdana" w:hAnsi="Verdana" w:cs="Verdana"/>
          <w:sz w:val="16"/>
          <w:szCs w:val="16"/>
          <w:lang w:val="es-CR"/>
        </w:rPr>
      </w:pPr>
      <w:r w:rsidRPr="00A52E56">
        <w:rPr>
          <w:rFonts w:ascii="Verdana" w:hAnsi="Verdana" w:cs="Verdana"/>
          <w:sz w:val="16"/>
          <w:szCs w:val="16"/>
          <w:lang w:val="es-CR"/>
        </w:rPr>
        <w:t>Se han visto a los prófugos rondando la comunidad, debido a que se sabe que una nueva audiencia se llevará a cabo.</w:t>
      </w:r>
    </w:p>
    <w:p w14:paraId="49DBED83" w14:textId="77777777" w:rsidR="00A52E56" w:rsidRPr="00A52E56" w:rsidRDefault="00A52E56" w:rsidP="00A52E56">
      <w:pPr>
        <w:pStyle w:val="ListParagraph"/>
        <w:numPr>
          <w:ilvl w:val="3"/>
          <w:numId w:val="15"/>
        </w:numPr>
        <w:spacing w:after="0" w:line="240" w:lineRule="auto"/>
        <w:ind w:left="567" w:right="576" w:firstLine="0"/>
        <w:jc w:val="both"/>
        <w:rPr>
          <w:rFonts w:ascii="Verdana" w:hAnsi="Verdana" w:cs="Verdana"/>
          <w:sz w:val="16"/>
          <w:szCs w:val="16"/>
          <w:lang w:val="es-CR"/>
        </w:rPr>
      </w:pPr>
      <w:r w:rsidRPr="00A52E56">
        <w:rPr>
          <w:rFonts w:ascii="Verdana" w:hAnsi="Verdana" w:cs="Verdana"/>
          <w:sz w:val="16"/>
          <w:szCs w:val="16"/>
          <w:lang w:val="es-CR"/>
        </w:rPr>
        <w:lastRenderedPageBreak/>
        <w:t>Personas desconocidas han seguido a Natividad Sales Calmo.</w:t>
      </w:r>
    </w:p>
    <w:p w14:paraId="09B3AF0A" w14:textId="77777777" w:rsidR="00A52E56" w:rsidRPr="00A52E56" w:rsidRDefault="00A52E56" w:rsidP="00A52E56">
      <w:pPr>
        <w:pStyle w:val="ListParagraph"/>
        <w:numPr>
          <w:ilvl w:val="3"/>
          <w:numId w:val="15"/>
        </w:numPr>
        <w:spacing w:after="0" w:line="240" w:lineRule="auto"/>
        <w:ind w:left="567" w:right="576" w:firstLine="0"/>
        <w:jc w:val="both"/>
        <w:rPr>
          <w:rFonts w:ascii="Verdana" w:hAnsi="Verdana" w:cs="Verdana"/>
          <w:sz w:val="16"/>
          <w:szCs w:val="16"/>
          <w:lang w:val="es-CR"/>
        </w:rPr>
      </w:pPr>
      <w:r w:rsidRPr="00A52E56">
        <w:rPr>
          <w:rFonts w:ascii="Verdana" w:hAnsi="Verdana" w:cs="Verdana"/>
          <w:sz w:val="16"/>
          <w:szCs w:val="16"/>
          <w:lang w:val="es-CR"/>
        </w:rPr>
        <w:t>En [un] hecho violento ocurrido en la comunidad en donde murió un sacerdote, existe la posibilidad de que uno de los asesinos fuera un prófugo, lo cual hace ver que ellos están cerca de las [presuntas] víctimas.</w:t>
      </w:r>
    </w:p>
    <w:p w14:paraId="4E5501B8" w14:textId="4D4ED3BF" w:rsidR="00A52E56" w:rsidRPr="00A52E56" w:rsidRDefault="00A52E56" w:rsidP="00A52E56">
      <w:pPr>
        <w:pStyle w:val="ListParagraph"/>
        <w:numPr>
          <w:ilvl w:val="3"/>
          <w:numId w:val="15"/>
        </w:numPr>
        <w:spacing w:after="0" w:line="240" w:lineRule="auto"/>
        <w:ind w:left="567" w:right="576" w:firstLine="0"/>
        <w:jc w:val="both"/>
        <w:rPr>
          <w:rFonts w:ascii="Verdana" w:hAnsi="Verdana" w:cs="Verdana"/>
          <w:sz w:val="16"/>
          <w:szCs w:val="16"/>
          <w:lang w:val="es-CR"/>
        </w:rPr>
      </w:pPr>
      <w:r w:rsidRPr="00A52E56">
        <w:rPr>
          <w:rFonts w:ascii="Verdana" w:hAnsi="Verdana" w:cs="Verdana"/>
          <w:sz w:val="16"/>
          <w:szCs w:val="16"/>
          <w:lang w:val="es-CR"/>
        </w:rPr>
        <w:t xml:space="preserve">Tuvo que ponerse una talanquera (un cierre de seguridad) en la comunidad porque vehículos extraños llegaban en la madrugada. </w:t>
      </w:r>
    </w:p>
    <w:p w14:paraId="53CE0A2C" w14:textId="77777777" w:rsidR="00A52E56" w:rsidRDefault="00A52E56" w:rsidP="00A52E56">
      <w:pPr>
        <w:pStyle w:val="ListParagraph"/>
        <w:rPr>
          <w:rFonts w:ascii="Verdana" w:hAnsi="Verdana" w:cs="Verdana"/>
          <w:sz w:val="20"/>
          <w:szCs w:val="20"/>
          <w:lang w:val="es-CR"/>
        </w:rPr>
      </w:pPr>
    </w:p>
    <w:p w14:paraId="6633DC1E" w14:textId="77777777" w:rsidR="000842E3" w:rsidRPr="00A52E56" w:rsidRDefault="000842E3" w:rsidP="00A52E56">
      <w:pPr>
        <w:pStyle w:val="ListParagraph"/>
        <w:rPr>
          <w:rFonts w:ascii="Verdana" w:hAnsi="Verdana" w:cs="Verdana"/>
          <w:sz w:val="20"/>
          <w:szCs w:val="20"/>
          <w:lang w:val="es-CR"/>
        </w:rPr>
      </w:pPr>
    </w:p>
    <w:p w14:paraId="4C3529F2" w14:textId="77777777" w:rsidR="001C0AAB" w:rsidRDefault="00A52E56" w:rsidP="001C0AAB">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 xml:space="preserve">El </w:t>
      </w:r>
      <w:r w:rsidRPr="00A52E56">
        <w:rPr>
          <w:rFonts w:ascii="Verdana" w:hAnsi="Verdana" w:cs="Verdana"/>
          <w:b/>
          <w:i/>
          <w:sz w:val="20"/>
          <w:szCs w:val="20"/>
          <w:lang w:val="es-CR"/>
        </w:rPr>
        <w:t>Estado</w:t>
      </w:r>
      <w:r w:rsidR="003C0E7A" w:rsidRPr="003C0E7A">
        <w:rPr>
          <w:rFonts w:ascii="Verdana" w:hAnsi="Verdana" w:cs="Verdana"/>
          <w:sz w:val="20"/>
          <w:szCs w:val="20"/>
          <w:lang w:val="es-CR"/>
        </w:rPr>
        <w:t xml:space="preserve">, </w:t>
      </w:r>
      <w:r w:rsidR="003C0E7A">
        <w:rPr>
          <w:rFonts w:ascii="Verdana" w:hAnsi="Verdana" w:cs="Verdana"/>
          <w:sz w:val="20"/>
          <w:szCs w:val="20"/>
          <w:lang w:val="es-CR"/>
        </w:rPr>
        <w:t xml:space="preserve">en su comunicación de 6 de febrero de 2018 indicó que </w:t>
      </w:r>
    </w:p>
    <w:p w14:paraId="706BADA3" w14:textId="77777777" w:rsidR="001C0AAB" w:rsidRDefault="001C0AAB" w:rsidP="001C0AAB">
      <w:pPr>
        <w:pStyle w:val="ListParagraph"/>
        <w:spacing w:after="0" w:line="240" w:lineRule="auto"/>
        <w:ind w:left="0"/>
        <w:contextualSpacing w:val="0"/>
        <w:jc w:val="both"/>
        <w:rPr>
          <w:rFonts w:ascii="Verdana" w:hAnsi="Verdana" w:cs="Verdana"/>
          <w:sz w:val="20"/>
          <w:szCs w:val="20"/>
          <w:lang w:val="es-CR"/>
        </w:rPr>
      </w:pPr>
    </w:p>
    <w:p w14:paraId="07EB6230" w14:textId="5CF91F1A" w:rsidR="001C0AAB" w:rsidRPr="001C0AAB" w:rsidRDefault="001C0AAB" w:rsidP="001C0AAB">
      <w:pPr>
        <w:pStyle w:val="ListParagraph"/>
        <w:spacing w:after="0" w:line="240" w:lineRule="auto"/>
        <w:ind w:left="567" w:right="576"/>
        <w:contextualSpacing w:val="0"/>
        <w:jc w:val="both"/>
        <w:rPr>
          <w:rFonts w:ascii="Verdana" w:hAnsi="Verdana" w:cs="Verdana"/>
          <w:sz w:val="16"/>
          <w:szCs w:val="16"/>
          <w:lang w:val="es-CR"/>
        </w:rPr>
      </w:pPr>
      <w:r w:rsidRPr="001C0AAB">
        <w:rPr>
          <w:rFonts w:ascii="Verdana" w:hAnsi="Verdana" w:cs="Verdana"/>
          <w:sz w:val="16"/>
          <w:szCs w:val="16"/>
          <w:lang w:val="es-CR"/>
        </w:rPr>
        <w:t xml:space="preserve">a través de [la] Comisión Presidencial [Coordinadora de la Política del Ejecutivo en Materia de Derechos Humanos (COPREDEH), se] solicitó a la Subdirección de Operaciones de la Policía Nacional Civil, coordinar seguridad a la delegación de representantes de la comunidad en su ingreso a la [c]iudad de Guatemala, traslado al [h]otel en el cual pernocta[rían] el miércoles 7 de febrero [de 2018], y su traslado al aeropuerto internacional la Aurora el jueves 8 de febrero [del mismo año], con el acompañamiento de la COPREDEH. </w:t>
      </w:r>
    </w:p>
    <w:p w14:paraId="52A7ACE1" w14:textId="77777777" w:rsidR="001C0AAB" w:rsidRDefault="001C0AAB" w:rsidP="001C0AAB">
      <w:pPr>
        <w:pStyle w:val="ListParagraph"/>
        <w:spacing w:after="0" w:line="240" w:lineRule="auto"/>
        <w:ind w:left="0"/>
        <w:contextualSpacing w:val="0"/>
        <w:jc w:val="both"/>
        <w:rPr>
          <w:rFonts w:ascii="Verdana" w:hAnsi="Verdana" w:cs="Verdana"/>
          <w:sz w:val="20"/>
          <w:szCs w:val="20"/>
          <w:lang w:val="es-CR"/>
        </w:rPr>
      </w:pPr>
    </w:p>
    <w:p w14:paraId="171692E8" w14:textId="3BC742FF" w:rsidR="001C0AAB" w:rsidRDefault="001C0AAB" w:rsidP="001C0AAB">
      <w:pPr>
        <w:pStyle w:val="ListParagraph"/>
        <w:spacing w:after="0" w:line="240" w:lineRule="auto"/>
        <w:ind w:left="0"/>
        <w:contextualSpacing w:val="0"/>
        <w:jc w:val="both"/>
        <w:rPr>
          <w:rFonts w:ascii="Verdana" w:hAnsi="Verdana" w:cs="Verdana"/>
          <w:sz w:val="20"/>
          <w:szCs w:val="20"/>
          <w:lang w:val="es-CR"/>
        </w:rPr>
      </w:pPr>
      <w:r>
        <w:rPr>
          <w:rFonts w:ascii="Verdana" w:hAnsi="Verdana" w:cs="Verdana"/>
          <w:sz w:val="20"/>
          <w:szCs w:val="20"/>
          <w:lang w:val="es-CR"/>
        </w:rPr>
        <w:t>Expresó también que “se requirió a la Embajada de Guatemala acreditada en San José de Costa Rica, coordinar el traslado de la delegación del aeropuerto de San José al [h]otel en el cual se hospedarán”.</w:t>
      </w:r>
    </w:p>
    <w:p w14:paraId="00214311" w14:textId="77777777" w:rsidR="001C0AAB" w:rsidRDefault="001C0AAB" w:rsidP="001C0AAB">
      <w:pPr>
        <w:pStyle w:val="ListParagraph"/>
        <w:spacing w:after="0" w:line="240" w:lineRule="auto"/>
        <w:ind w:left="0"/>
        <w:contextualSpacing w:val="0"/>
        <w:jc w:val="both"/>
        <w:rPr>
          <w:rFonts w:ascii="Verdana" w:hAnsi="Verdana" w:cs="Verdana"/>
          <w:sz w:val="20"/>
          <w:szCs w:val="20"/>
          <w:lang w:val="es-CR"/>
        </w:rPr>
      </w:pPr>
    </w:p>
    <w:p w14:paraId="487AA356" w14:textId="1D7FA903" w:rsidR="00A52E56" w:rsidRPr="001C0AAB" w:rsidRDefault="00871A33" w:rsidP="001C0AAB">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 xml:space="preserve">El 7 de febrero de 2018 </w:t>
      </w:r>
      <w:r w:rsidR="001C0AAB">
        <w:rPr>
          <w:rFonts w:ascii="Verdana" w:hAnsi="Verdana" w:cs="Verdana"/>
          <w:sz w:val="20"/>
          <w:szCs w:val="20"/>
          <w:lang w:val="es-CR"/>
        </w:rPr>
        <w:t>Guatemala</w:t>
      </w:r>
      <w:r>
        <w:rPr>
          <w:rFonts w:ascii="Verdana" w:hAnsi="Verdana" w:cs="Verdana"/>
          <w:sz w:val="20"/>
          <w:szCs w:val="20"/>
          <w:lang w:val="es-CR"/>
        </w:rPr>
        <w:t>,</w:t>
      </w:r>
      <w:r w:rsidR="001C0AAB">
        <w:rPr>
          <w:rFonts w:ascii="Verdana" w:hAnsi="Verdana" w:cs="Verdana"/>
          <w:sz w:val="20"/>
          <w:szCs w:val="20"/>
          <w:lang w:val="es-CR"/>
        </w:rPr>
        <w:t xml:space="preserve"> además</w:t>
      </w:r>
      <w:r>
        <w:rPr>
          <w:rFonts w:ascii="Verdana" w:hAnsi="Verdana" w:cs="Verdana"/>
          <w:sz w:val="20"/>
          <w:szCs w:val="20"/>
          <w:lang w:val="es-CR"/>
        </w:rPr>
        <w:t>,</w:t>
      </w:r>
      <w:r w:rsidR="001C0AAB">
        <w:rPr>
          <w:rFonts w:ascii="Verdana" w:hAnsi="Verdana" w:cs="Verdana"/>
          <w:sz w:val="20"/>
          <w:szCs w:val="20"/>
          <w:lang w:val="es-CR"/>
        </w:rPr>
        <w:t xml:space="preserve"> “</w:t>
      </w:r>
      <w:r>
        <w:rPr>
          <w:rFonts w:ascii="Verdana" w:hAnsi="Verdana" w:cs="Verdana"/>
          <w:sz w:val="20"/>
          <w:szCs w:val="20"/>
          <w:lang w:val="es-CR"/>
        </w:rPr>
        <w:t xml:space="preserve">inform[ó] que estará ampliando </w:t>
      </w:r>
      <w:r w:rsidR="00085E2B">
        <w:rPr>
          <w:rFonts w:ascii="Verdana" w:hAnsi="Verdana" w:cs="Verdana"/>
          <w:sz w:val="20"/>
          <w:szCs w:val="20"/>
          <w:lang w:val="es-CR"/>
        </w:rPr>
        <w:t xml:space="preserve">los avances que surjan en el presente caso” y los “avances en las medidas de seguridad adoptadas”. En la misma oportunidad solicitó a la Corte que “considere” que el Estado “se encuentra brindando medidas de protección efectivas y coordinadas de común acuerdo con los propuestos beneficiarios para proteger su vida e integridad personal” y que “tome nota que el Estado se encuentra realizando las acciones necesarias para garantizar los derechos” de las personas respecto de las cuales los representantes han solicitado que se ordene la adopción de medidas provisionales. </w:t>
      </w:r>
    </w:p>
    <w:p w14:paraId="044845BA" w14:textId="77777777" w:rsidR="00445C8A" w:rsidRDefault="00445C8A" w:rsidP="00A52E56">
      <w:pPr>
        <w:pStyle w:val="ListParagraph"/>
        <w:spacing w:after="0" w:line="240" w:lineRule="auto"/>
        <w:ind w:left="0"/>
        <w:contextualSpacing w:val="0"/>
        <w:jc w:val="both"/>
        <w:rPr>
          <w:rFonts w:ascii="Verdana" w:hAnsi="Verdana" w:cs="Verdana"/>
          <w:sz w:val="20"/>
          <w:szCs w:val="20"/>
          <w:lang w:val="es-CR"/>
        </w:rPr>
      </w:pPr>
    </w:p>
    <w:p w14:paraId="0533F72B" w14:textId="3B40C310" w:rsidR="00A52E56" w:rsidRPr="00125057" w:rsidRDefault="00105E1A" w:rsidP="00125057">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Es pertinente dejar sentado que l</w:t>
      </w:r>
      <w:r w:rsidR="00A52E56">
        <w:rPr>
          <w:rFonts w:ascii="Verdana" w:hAnsi="Verdana" w:cs="Verdana"/>
          <w:sz w:val="20"/>
          <w:szCs w:val="20"/>
          <w:lang w:val="es-CR"/>
        </w:rPr>
        <w:t xml:space="preserve">a </w:t>
      </w:r>
      <w:r w:rsidR="00A52E56" w:rsidRPr="00A52E56">
        <w:rPr>
          <w:rFonts w:ascii="Verdana" w:hAnsi="Verdana" w:cs="Verdana"/>
          <w:b/>
          <w:i/>
          <w:sz w:val="20"/>
          <w:szCs w:val="20"/>
          <w:lang w:val="es-CR"/>
        </w:rPr>
        <w:t>Comisión</w:t>
      </w:r>
      <w:r w:rsidR="00085E2B">
        <w:rPr>
          <w:rFonts w:ascii="Verdana" w:hAnsi="Verdana" w:cs="Verdana"/>
          <w:sz w:val="20"/>
          <w:szCs w:val="20"/>
          <w:lang w:val="es-CR"/>
        </w:rPr>
        <w:t>, pese al requerimiento que se le efectuó mediante las comunicaciones de la Secretaría de la Corte 5 y 6 de febrero de 2018 (</w:t>
      </w:r>
      <w:r w:rsidR="00085E2B">
        <w:rPr>
          <w:rFonts w:ascii="Verdana" w:hAnsi="Verdana" w:cs="Verdana"/>
          <w:i/>
          <w:sz w:val="20"/>
          <w:szCs w:val="20"/>
          <w:lang w:val="es-CR"/>
        </w:rPr>
        <w:t>supra</w:t>
      </w:r>
      <w:r w:rsidR="00085E2B">
        <w:rPr>
          <w:rFonts w:ascii="Verdana" w:hAnsi="Verdana" w:cs="Verdana"/>
          <w:sz w:val="20"/>
          <w:szCs w:val="20"/>
          <w:lang w:val="es-CR"/>
        </w:rPr>
        <w:t xml:space="preserve"> Visto 6), no presentó observaciones. </w:t>
      </w:r>
    </w:p>
    <w:p w14:paraId="0BC31E6F" w14:textId="77777777" w:rsidR="007A4271" w:rsidRDefault="007A4271" w:rsidP="00125057">
      <w:pPr>
        <w:pStyle w:val="ListParagraph"/>
        <w:spacing w:after="0" w:line="240" w:lineRule="auto"/>
        <w:ind w:left="0"/>
        <w:contextualSpacing w:val="0"/>
        <w:jc w:val="both"/>
        <w:rPr>
          <w:rFonts w:ascii="Verdana" w:hAnsi="Verdana" w:cs="Verdana"/>
          <w:sz w:val="20"/>
          <w:szCs w:val="20"/>
          <w:lang w:val="es-CR"/>
        </w:rPr>
      </w:pPr>
    </w:p>
    <w:p w14:paraId="57734697" w14:textId="481AB868" w:rsidR="007A4271" w:rsidRDefault="007A4271" w:rsidP="007A4271">
      <w:pPr>
        <w:pStyle w:val="ListParagraph"/>
        <w:numPr>
          <w:ilvl w:val="0"/>
          <w:numId w:val="30"/>
        </w:numPr>
        <w:spacing w:after="0" w:line="240" w:lineRule="auto"/>
        <w:contextualSpacing w:val="0"/>
        <w:jc w:val="both"/>
        <w:rPr>
          <w:rFonts w:ascii="Verdana" w:hAnsi="Verdana" w:cs="Verdana"/>
          <w:sz w:val="20"/>
          <w:szCs w:val="20"/>
          <w:lang w:val="es-CR"/>
        </w:rPr>
      </w:pPr>
      <w:r>
        <w:rPr>
          <w:rFonts w:ascii="Verdana" w:hAnsi="Verdana" w:cs="Verdana"/>
          <w:b/>
          <w:i/>
          <w:sz w:val="20"/>
          <w:szCs w:val="20"/>
          <w:lang w:val="es-CR"/>
        </w:rPr>
        <w:t>Consideraciones de la Corte</w:t>
      </w:r>
    </w:p>
    <w:p w14:paraId="39036A16" w14:textId="77777777" w:rsidR="007A4271" w:rsidRPr="00C20373" w:rsidRDefault="007A4271" w:rsidP="00125057">
      <w:pPr>
        <w:pStyle w:val="ListParagraph"/>
        <w:spacing w:after="0" w:line="240" w:lineRule="auto"/>
        <w:ind w:left="0"/>
        <w:contextualSpacing w:val="0"/>
        <w:jc w:val="both"/>
        <w:rPr>
          <w:rFonts w:ascii="Verdana" w:hAnsi="Verdana" w:cs="Verdana"/>
          <w:sz w:val="20"/>
          <w:szCs w:val="20"/>
          <w:lang w:val="es-CR"/>
        </w:rPr>
      </w:pPr>
    </w:p>
    <w:p w14:paraId="6C2785BA" w14:textId="6FB5A19C" w:rsidR="004E482F" w:rsidRDefault="00A52E56" w:rsidP="00154569">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La Corte recuerda que, de conformidad a lo indicado por la Comisión en el Informe de</w:t>
      </w:r>
      <w:r w:rsidR="00540923">
        <w:rPr>
          <w:rFonts w:ascii="Verdana" w:hAnsi="Verdana" w:cs="Verdana"/>
          <w:sz w:val="20"/>
          <w:szCs w:val="20"/>
          <w:lang w:val="es-CR"/>
        </w:rPr>
        <w:t xml:space="preserve"> Admisibilidad y</w:t>
      </w:r>
      <w:r>
        <w:rPr>
          <w:rFonts w:ascii="Verdana" w:hAnsi="Verdana" w:cs="Verdana"/>
          <w:sz w:val="20"/>
          <w:szCs w:val="20"/>
          <w:lang w:val="es-CR"/>
        </w:rPr>
        <w:t xml:space="preserve"> Fondo</w:t>
      </w:r>
      <w:r w:rsidR="004E482F">
        <w:rPr>
          <w:rFonts w:ascii="Verdana" w:hAnsi="Verdana" w:cs="Verdana"/>
          <w:sz w:val="20"/>
          <w:szCs w:val="20"/>
          <w:lang w:val="es-CR"/>
        </w:rPr>
        <w:t xml:space="preserve"> (</w:t>
      </w:r>
      <w:r w:rsidR="004E482F">
        <w:rPr>
          <w:rFonts w:ascii="Verdana" w:hAnsi="Verdana" w:cs="Verdana"/>
          <w:i/>
          <w:sz w:val="20"/>
          <w:szCs w:val="20"/>
          <w:lang w:val="es-CR"/>
        </w:rPr>
        <w:t>supra</w:t>
      </w:r>
      <w:r w:rsidR="004E482F">
        <w:rPr>
          <w:rFonts w:ascii="Verdana" w:hAnsi="Verdana" w:cs="Verdana"/>
          <w:sz w:val="20"/>
          <w:szCs w:val="20"/>
          <w:lang w:val="es-CR"/>
        </w:rPr>
        <w:t xml:space="preserve"> visto </w:t>
      </w:r>
      <w:r w:rsidR="00737701">
        <w:rPr>
          <w:rFonts w:ascii="Verdana" w:hAnsi="Verdana" w:cs="Verdana"/>
          <w:sz w:val="20"/>
          <w:szCs w:val="20"/>
          <w:lang w:val="es-CR"/>
        </w:rPr>
        <w:t>1</w:t>
      </w:r>
      <w:r w:rsidR="004E482F">
        <w:rPr>
          <w:rFonts w:ascii="Verdana" w:hAnsi="Verdana" w:cs="Verdana"/>
          <w:sz w:val="20"/>
          <w:szCs w:val="20"/>
          <w:lang w:val="es-CR"/>
        </w:rPr>
        <w:t xml:space="preserve">), </w:t>
      </w:r>
      <w:r w:rsidR="00540923">
        <w:rPr>
          <w:rFonts w:ascii="Verdana" w:hAnsi="Verdana" w:cs="Verdana"/>
          <w:sz w:val="20"/>
          <w:szCs w:val="20"/>
          <w:lang w:val="es-CR"/>
        </w:rPr>
        <w:t xml:space="preserve">entre los señalamientos de hecho del caso sometidos al conocimiento de la Corte, se encuentra que el 5 de octubre de 1995 en la finca Xamán, donde se asentaba la Comunidad Aurora 8 de Octubre, en circunstancias que involucraron la participación de una patrulla del ejército, 11 personas pertenecientes a la Comunidad murieron, y otras resultaron heridas. </w:t>
      </w:r>
      <w:r w:rsidR="0013693E">
        <w:rPr>
          <w:rFonts w:ascii="Verdana" w:hAnsi="Verdana" w:cs="Verdana"/>
          <w:sz w:val="20"/>
          <w:szCs w:val="20"/>
          <w:lang w:val="es-CR"/>
        </w:rPr>
        <w:t>La Comisión afirmó que el 29 de junio de 1996 el Ministerio Público presentó una acusación en contra de 25 personas integrantes de la patrulla miliar, y que 14 militares fueron condenados el 8 de julio de 2004 a 40 años de prisión. La Comisión indicó que el Estado, en una comunicación de 7 de junio de 2005, informó que de los demás miembros de la patrulla militar, había 11 cuya aprehensión y posterior sometimiento a juicio estaba pendiente</w:t>
      </w:r>
      <w:r w:rsidR="0013693E">
        <w:rPr>
          <w:rStyle w:val="FootnoteReference"/>
          <w:rFonts w:ascii="Verdana" w:hAnsi="Verdana" w:cs="Verdana"/>
          <w:sz w:val="20"/>
          <w:szCs w:val="20"/>
          <w:lang w:val="es-CR"/>
        </w:rPr>
        <w:footnoteReference w:id="9"/>
      </w:r>
      <w:r w:rsidR="0013693E">
        <w:rPr>
          <w:rFonts w:ascii="Verdana" w:hAnsi="Verdana" w:cs="Verdana"/>
          <w:sz w:val="20"/>
          <w:szCs w:val="20"/>
          <w:lang w:val="es-CR"/>
        </w:rPr>
        <w:t xml:space="preserve">. </w:t>
      </w:r>
    </w:p>
    <w:p w14:paraId="3FDD84CA" w14:textId="43422D53" w:rsidR="00A52E56" w:rsidRDefault="004E482F" w:rsidP="004E482F">
      <w:pPr>
        <w:pStyle w:val="ListParagraph"/>
        <w:spacing w:after="0" w:line="240" w:lineRule="auto"/>
        <w:ind w:left="0"/>
        <w:contextualSpacing w:val="0"/>
        <w:jc w:val="both"/>
        <w:rPr>
          <w:rFonts w:ascii="Verdana" w:hAnsi="Verdana" w:cs="Verdana"/>
          <w:sz w:val="20"/>
          <w:szCs w:val="20"/>
          <w:lang w:val="es-CR"/>
        </w:rPr>
      </w:pPr>
      <w:r>
        <w:rPr>
          <w:rFonts w:ascii="Verdana" w:hAnsi="Verdana" w:cs="Verdana"/>
          <w:sz w:val="20"/>
          <w:szCs w:val="20"/>
          <w:lang w:val="es-CR"/>
        </w:rPr>
        <w:t xml:space="preserve"> </w:t>
      </w:r>
    </w:p>
    <w:p w14:paraId="430859EE" w14:textId="5C32F72D" w:rsidR="00506962" w:rsidRDefault="001B305B" w:rsidP="00506962">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 xml:space="preserve">Es pertinente tener en cuenta lo anterior a efectos de apreciar las circunstancias aducidas por los representantes sobre la presencia </w:t>
      </w:r>
      <w:r w:rsidR="001A27FB">
        <w:rPr>
          <w:rFonts w:ascii="Verdana" w:hAnsi="Verdana" w:cs="Verdana"/>
          <w:sz w:val="20"/>
          <w:szCs w:val="20"/>
          <w:lang w:val="es-CR"/>
        </w:rPr>
        <w:t xml:space="preserve">de </w:t>
      </w:r>
      <w:r>
        <w:rPr>
          <w:rFonts w:ascii="Verdana" w:hAnsi="Verdana" w:cs="Verdana"/>
          <w:sz w:val="20"/>
          <w:szCs w:val="20"/>
          <w:lang w:val="es-CR"/>
        </w:rPr>
        <w:t>“extraños” o “prófugos” cerca de la comunidad y la posible participación de uno de ellos en un hecho de violencia, así como los seguimientos a Natividad Sales Calmo. Asimismo, es relevante la indicación de los representantes de que la presencia de “prófugos” cerca de la comunidad mantiene vinculación</w:t>
      </w:r>
      <w:r w:rsidR="00506962">
        <w:rPr>
          <w:rFonts w:ascii="Verdana" w:hAnsi="Verdana" w:cs="Verdana"/>
          <w:sz w:val="20"/>
          <w:szCs w:val="20"/>
          <w:lang w:val="es-CR"/>
        </w:rPr>
        <w:t xml:space="preserve">, </w:t>
      </w:r>
      <w:r w:rsidR="00506962">
        <w:rPr>
          <w:rFonts w:ascii="Verdana" w:hAnsi="Verdana" w:cs="Verdana"/>
          <w:sz w:val="20"/>
          <w:szCs w:val="20"/>
          <w:lang w:val="es-CR"/>
        </w:rPr>
        <w:lastRenderedPageBreak/>
        <w:t>en consideración de los representantes,</w:t>
      </w:r>
      <w:r>
        <w:rPr>
          <w:rFonts w:ascii="Verdana" w:hAnsi="Verdana" w:cs="Verdana"/>
          <w:sz w:val="20"/>
          <w:szCs w:val="20"/>
          <w:lang w:val="es-CR"/>
        </w:rPr>
        <w:t xml:space="preserve"> con que </w:t>
      </w:r>
      <w:r w:rsidR="00506962">
        <w:rPr>
          <w:rFonts w:ascii="Verdana" w:hAnsi="Verdana" w:cs="Verdana"/>
          <w:sz w:val="20"/>
          <w:szCs w:val="20"/>
          <w:lang w:val="es-CR"/>
        </w:rPr>
        <w:t xml:space="preserve">“una nueva audiencia [sobre el caso] se lleva[ría] a cabo”. </w:t>
      </w:r>
    </w:p>
    <w:p w14:paraId="610656FB" w14:textId="77777777" w:rsidR="00506962" w:rsidRPr="00506962" w:rsidRDefault="00506962" w:rsidP="00506962">
      <w:pPr>
        <w:pStyle w:val="ListParagraph"/>
        <w:rPr>
          <w:rFonts w:ascii="Verdana" w:hAnsi="Verdana" w:cs="Verdana"/>
          <w:sz w:val="20"/>
          <w:szCs w:val="20"/>
          <w:lang w:val="es-CR"/>
        </w:rPr>
      </w:pPr>
    </w:p>
    <w:p w14:paraId="0282632F" w14:textId="2605D795" w:rsidR="00506962" w:rsidRPr="00506962" w:rsidRDefault="001B305B" w:rsidP="00506962">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sidRPr="00506962">
        <w:rPr>
          <w:rFonts w:ascii="Verdana" w:hAnsi="Verdana" w:cs="Verdana"/>
          <w:sz w:val="20"/>
          <w:szCs w:val="20"/>
          <w:lang w:val="es-CR"/>
        </w:rPr>
        <w:t>S</w:t>
      </w:r>
      <w:r w:rsidR="003D548F">
        <w:rPr>
          <w:rFonts w:ascii="Verdana" w:hAnsi="Verdana" w:cs="Verdana"/>
          <w:sz w:val="20"/>
          <w:szCs w:val="20"/>
          <w:lang w:val="es-CR"/>
        </w:rPr>
        <w:t>obre la base de la</w:t>
      </w:r>
      <w:r w:rsidRPr="00506962">
        <w:rPr>
          <w:rFonts w:ascii="Verdana" w:hAnsi="Verdana" w:cs="Verdana"/>
          <w:sz w:val="20"/>
          <w:szCs w:val="20"/>
          <w:lang w:val="es-CR"/>
        </w:rPr>
        <w:t xml:space="preserve"> información presentada por los representantes, la Corte </w:t>
      </w:r>
      <w:r w:rsidR="00506962" w:rsidRPr="00506962">
        <w:rPr>
          <w:rFonts w:ascii="Verdana" w:hAnsi="Verdana" w:cs="Verdana"/>
          <w:sz w:val="20"/>
          <w:szCs w:val="20"/>
          <w:lang w:val="es-CR"/>
        </w:rPr>
        <w:t>recuerda que</w:t>
      </w:r>
      <w:r w:rsidR="00506962">
        <w:rPr>
          <w:rFonts w:ascii="Verdana" w:hAnsi="Verdana" w:cs="Verdana"/>
          <w:sz w:val="20"/>
          <w:szCs w:val="20"/>
          <w:lang w:val="es-CR"/>
        </w:rPr>
        <w:t>, como ha señalado,</w:t>
      </w:r>
      <w:r w:rsidR="00506962" w:rsidRPr="00506962">
        <w:rPr>
          <w:rFonts w:ascii="Verdana" w:hAnsi="Verdana" w:cs="Verdana"/>
          <w:sz w:val="20"/>
          <w:szCs w:val="20"/>
          <w:lang w:val="es-CR"/>
        </w:rPr>
        <w:t xml:space="preserve"> la apreciación</w:t>
      </w:r>
      <w:r w:rsidR="00506962">
        <w:rPr>
          <w:rFonts w:ascii="Verdana" w:hAnsi="Verdana" w:cs="Verdana"/>
          <w:sz w:val="20"/>
          <w:szCs w:val="20"/>
          <w:lang w:val="es-CR"/>
        </w:rPr>
        <w:t>, en un primer momento,</w:t>
      </w:r>
      <w:r w:rsidR="00506962" w:rsidRPr="00506962">
        <w:rPr>
          <w:rFonts w:ascii="Verdana" w:hAnsi="Verdana" w:cs="Verdana"/>
          <w:sz w:val="20"/>
          <w:szCs w:val="20"/>
          <w:lang w:val="es-CR"/>
        </w:rPr>
        <w:t xml:space="preserve"> de </w:t>
      </w:r>
      <w:r w:rsidR="00506962">
        <w:rPr>
          <w:rFonts w:ascii="Verdana" w:hAnsi="Verdana" w:cs="Verdana"/>
          <w:sz w:val="20"/>
          <w:szCs w:val="20"/>
          <w:lang w:val="es-CR"/>
        </w:rPr>
        <w:t>los</w:t>
      </w:r>
      <w:r w:rsidR="00506962" w:rsidRPr="00506962">
        <w:rPr>
          <w:rFonts w:ascii="Verdana" w:hAnsi="Verdana" w:cs="Verdana"/>
          <w:sz w:val="20"/>
          <w:szCs w:val="20"/>
          <w:lang w:val="es-CR"/>
        </w:rPr>
        <w:t xml:space="preserve"> requisitos </w:t>
      </w:r>
      <w:r w:rsidR="00506962">
        <w:rPr>
          <w:rFonts w:ascii="Verdana" w:hAnsi="Verdana" w:cs="Verdana"/>
          <w:sz w:val="20"/>
          <w:szCs w:val="20"/>
          <w:lang w:val="es-CR"/>
        </w:rPr>
        <w:t xml:space="preserve">correspondientes para </w:t>
      </w:r>
      <w:r w:rsidR="00506962" w:rsidRPr="00506962">
        <w:rPr>
          <w:rFonts w:ascii="Verdana" w:hAnsi="Verdana" w:cs="Verdana"/>
          <w:sz w:val="20"/>
          <w:szCs w:val="20"/>
          <w:lang w:val="es-CR"/>
        </w:rPr>
        <w:t>dictar la adopción de las medidas provisionales se hace “</w:t>
      </w:r>
      <w:r w:rsidR="00506962" w:rsidRPr="00506962">
        <w:rPr>
          <w:rFonts w:ascii="Verdana" w:hAnsi="Verdana" w:cs="Verdana"/>
          <w:i/>
          <w:sz w:val="20"/>
          <w:szCs w:val="20"/>
          <w:lang w:val="es-CR"/>
        </w:rPr>
        <w:t>prima facie</w:t>
      </w:r>
      <w:r w:rsidR="00506962" w:rsidRPr="00506962">
        <w:rPr>
          <w:rFonts w:ascii="Verdana" w:hAnsi="Verdana" w:cs="Verdana"/>
          <w:sz w:val="20"/>
          <w:szCs w:val="20"/>
          <w:lang w:val="es-CR"/>
        </w:rPr>
        <w:t xml:space="preserve">, siendo en ocasiones necesaria la aplicación de presunciones ante </w:t>
      </w:r>
      <w:r w:rsidR="00506962">
        <w:rPr>
          <w:rFonts w:ascii="Verdana" w:hAnsi="Verdana" w:cs="Verdana"/>
          <w:sz w:val="20"/>
          <w:szCs w:val="20"/>
          <w:lang w:val="es-CR"/>
        </w:rPr>
        <w:t>las necesidades de protección</w:t>
      </w:r>
      <w:r w:rsidR="00506962" w:rsidRPr="00506962">
        <w:rPr>
          <w:rFonts w:ascii="Verdana" w:hAnsi="Verdana" w:cs="Verdana"/>
          <w:sz w:val="20"/>
          <w:szCs w:val="20"/>
          <w:lang w:val="es-CR"/>
        </w:rPr>
        <w:t>”</w:t>
      </w:r>
      <w:r w:rsidR="00506962" w:rsidRPr="00506962">
        <w:rPr>
          <w:rStyle w:val="FootnoteReference"/>
          <w:rFonts w:ascii="Verdana" w:hAnsi="Verdana" w:cs="Verdana"/>
          <w:sz w:val="20"/>
          <w:szCs w:val="20"/>
          <w:lang w:val="es-CR"/>
        </w:rPr>
        <w:footnoteReference w:id="10"/>
      </w:r>
      <w:r w:rsidR="00506962" w:rsidRPr="00506962">
        <w:rPr>
          <w:rFonts w:ascii="Verdana" w:hAnsi="Verdana" w:cs="Verdana"/>
          <w:sz w:val="20"/>
          <w:szCs w:val="20"/>
          <w:lang w:val="es-CR"/>
        </w:rPr>
        <w:t>.</w:t>
      </w:r>
      <w:r w:rsidR="00506962">
        <w:rPr>
          <w:rFonts w:ascii="Verdana" w:hAnsi="Verdana" w:cs="Verdana"/>
          <w:sz w:val="20"/>
          <w:szCs w:val="20"/>
          <w:lang w:val="es-CR"/>
        </w:rPr>
        <w:t xml:space="preserve"> Además</w:t>
      </w:r>
      <w:r w:rsidR="00506962" w:rsidRPr="00506962">
        <w:rPr>
          <w:rFonts w:ascii="Verdana" w:hAnsi="Verdana" w:cs="Verdana"/>
          <w:sz w:val="20"/>
          <w:szCs w:val="20"/>
          <w:lang w:val="es-CR"/>
        </w:rPr>
        <w:t>, p</w:t>
      </w:r>
      <w:r w:rsidR="00506962" w:rsidRPr="00506962">
        <w:rPr>
          <w:rFonts w:ascii="Verdana" w:hAnsi="Verdana"/>
          <w:sz w:val="20"/>
          <w:szCs w:val="20"/>
          <w:lang w:val="es-CR"/>
        </w:rPr>
        <w:t>ara determinar si la situación de extrema gravedad y urgencia para evitar daños irreparables existe, es posible valorar el conjunto de factores o circunstancias que afectan a</w:t>
      </w:r>
      <w:r w:rsidR="00506962">
        <w:rPr>
          <w:rFonts w:ascii="Verdana" w:hAnsi="Verdana"/>
          <w:sz w:val="20"/>
          <w:szCs w:val="20"/>
          <w:lang w:val="es-CR"/>
        </w:rPr>
        <w:t xml:space="preserve"> las personas cuya protección se requiere</w:t>
      </w:r>
      <w:r w:rsidR="004F701A">
        <w:rPr>
          <w:rFonts w:ascii="Verdana" w:hAnsi="Verdana"/>
          <w:sz w:val="20"/>
          <w:szCs w:val="20"/>
          <w:lang w:val="es-CR"/>
        </w:rPr>
        <w:t>,</w:t>
      </w:r>
      <w:r w:rsidR="00506962" w:rsidRPr="00506962">
        <w:rPr>
          <w:rFonts w:ascii="Verdana" w:hAnsi="Verdana"/>
          <w:sz w:val="20"/>
          <w:szCs w:val="20"/>
          <w:lang w:val="es-CR"/>
        </w:rPr>
        <w:t xml:space="preserve"> o </w:t>
      </w:r>
      <w:r w:rsidR="00506962">
        <w:rPr>
          <w:rFonts w:ascii="Verdana" w:hAnsi="Verdana"/>
          <w:sz w:val="20"/>
          <w:szCs w:val="20"/>
          <w:lang w:val="es-CR"/>
        </w:rPr>
        <w:t xml:space="preserve">que </w:t>
      </w:r>
      <w:r w:rsidR="00506962" w:rsidRPr="00506962">
        <w:rPr>
          <w:rFonts w:ascii="Verdana" w:hAnsi="Verdana"/>
          <w:sz w:val="20"/>
          <w:szCs w:val="20"/>
          <w:lang w:val="es-CR"/>
        </w:rPr>
        <w:t>l</w:t>
      </w:r>
      <w:r w:rsidR="00506962">
        <w:rPr>
          <w:rFonts w:ascii="Verdana" w:hAnsi="Verdana"/>
          <w:sz w:val="20"/>
          <w:szCs w:val="20"/>
          <w:lang w:val="es-CR"/>
        </w:rPr>
        <w:t>as</w:t>
      </w:r>
      <w:r w:rsidR="00506962" w:rsidRPr="00506962">
        <w:rPr>
          <w:rFonts w:ascii="Verdana" w:hAnsi="Verdana"/>
          <w:sz w:val="20"/>
          <w:szCs w:val="20"/>
          <w:lang w:val="es-CR"/>
        </w:rPr>
        <w:t xml:space="preserve"> ubican en una situación de vulnerabilidad en un determinado momento</w:t>
      </w:r>
      <w:r w:rsidR="00506962">
        <w:rPr>
          <w:rFonts w:ascii="Verdana" w:hAnsi="Verdana"/>
          <w:sz w:val="20"/>
          <w:szCs w:val="20"/>
          <w:lang w:val="es-CR"/>
        </w:rPr>
        <w:t>,</w:t>
      </w:r>
      <w:r w:rsidR="00506962" w:rsidRPr="00506962">
        <w:rPr>
          <w:rFonts w:ascii="Verdana" w:hAnsi="Verdana"/>
          <w:sz w:val="20"/>
          <w:szCs w:val="20"/>
          <w:lang w:val="es-CR"/>
        </w:rPr>
        <w:t xml:space="preserve"> </w:t>
      </w:r>
      <w:r w:rsidR="00506962">
        <w:rPr>
          <w:rFonts w:ascii="Verdana" w:hAnsi="Verdana"/>
          <w:sz w:val="20"/>
          <w:szCs w:val="20"/>
          <w:lang w:val="es-CR"/>
        </w:rPr>
        <w:t>exponiéndolas</w:t>
      </w:r>
      <w:r w:rsidR="00506962" w:rsidRPr="00506962">
        <w:rPr>
          <w:rFonts w:ascii="Verdana" w:hAnsi="Verdana"/>
          <w:sz w:val="20"/>
          <w:szCs w:val="20"/>
          <w:lang w:val="es-CR"/>
        </w:rPr>
        <w:t xml:space="preserve"> a recibir lesiones a sus derechos</w:t>
      </w:r>
      <w:r w:rsidR="00506962" w:rsidRPr="00506962">
        <w:rPr>
          <w:rStyle w:val="FootnoteReference"/>
          <w:rFonts w:ascii="Verdana" w:hAnsi="Verdana"/>
          <w:sz w:val="20"/>
          <w:szCs w:val="20"/>
        </w:rPr>
        <w:footnoteReference w:id="11"/>
      </w:r>
      <w:r w:rsidR="00506962" w:rsidRPr="00506962">
        <w:rPr>
          <w:rFonts w:ascii="Verdana" w:hAnsi="Verdana"/>
          <w:sz w:val="20"/>
          <w:szCs w:val="20"/>
          <w:lang w:val="es-CR"/>
        </w:rPr>
        <w:t xml:space="preserve">. </w:t>
      </w:r>
      <w:r w:rsidR="00506962" w:rsidRPr="00AC27B5">
        <w:rPr>
          <w:rFonts w:ascii="Verdana" w:hAnsi="Verdana"/>
          <w:sz w:val="20"/>
          <w:szCs w:val="20"/>
          <w:lang w:val="es-CR"/>
        </w:rPr>
        <w:t>Por otra parte, la Corte ha sostenido que pueden existir un conjunto de factores o circunstancias que revelen graves agresiones contra un grupo de personas en particular, que sitúe a estas personas en una situación de extrema gravedad y urgencia de sufrir daños irreparables</w:t>
      </w:r>
      <w:r w:rsidR="00506962" w:rsidRPr="00506962">
        <w:rPr>
          <w:rStyle w:val="FootnoteReference"/>
          <w:rFonts w:ascii="Verdana" w:hAnsi="Verdana"/>
          <w:sz w:val="20"/>
          <w:szCs w:val="20"/>
        </w:rPr>
        <w:footnoteReference w:id="12"/>
      </w:r>
      <w:r w:rsidR="00506962" w:rsidRPr="00AC27B5">
        <w:rPr>
          <w:rFonts w:ascii="Verdana" w:hAnsi="Verdana"/>
          <w:sz w:val="20"/>
          <w:szCs w:val="20"/>
          <w:lang w:val="es-CR"/>
        </w:rPr>
        <w:t>.</w:t>
      </w:r>
      <w:r w:rsidR="00506962" w:rsidRPr="00AC27B5">
        <w:rPr>
          <w:sz w:val="20"/>
          <w:szCs w:val="20"/>
          <w:lang w:val="es-CR"/>
        </w:rPr>
        <w:t xml:space="preserve"> </w:t>
      </w:r>
    </w:p>
    <w:p w14:paraId="24ECA8B0" w14:textId="77777777" w:rsidR="001B305B" w:rsidRPr="001B305B" w:rsidRDefault="001B305B" w:rsidP="001B305B">
      <w:pPr>
        <w:pStyle w:val="ListParagraph"/>
        <w:rPr>
          <w:rFonts w:ascii="Verdana" w:hAnsi="Verdana" w:cs="Verdana"/>
          <w:sz w:val="20"/>
          <w:szCs w:val="20"/>
          <w:lang w:val="es-CR"/>
        </w:rPr>
      </w:pPr>
    </w:p>
    <w:p w14:paraId="5CD4090B" w14:textId="6C062F23" w:rsidR="00154569" w:rsidRPr="00A73D44" w:rsidRDefault="00506962" w:rsidP="00154569">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Asimismo, la Corte recuerda que ha señalado que e</w:t>
      </w:r>
      <w:r w:rsidR="00C20373" w:rsidRPr="00C20373">
        <w:rPr>
          <w:rFonts w:ascii="Verdana" w:hAnsi="Verdana" w:cs="Verdana"/>
          <w:sz w:val="20"/>
          <w:szCs w:val="20"/>
          <w:lang w:val="es-CR"/>
        </w:rPr>
        <w:t xml:space="preserve">s responsabilidad del Estado adoptar medidas de seguridad para proteger a todas las personas que </w:t>
      </w:r>
      <w:r>
        <w:rPr>
          <w:rFonts w:ascii="Verdana" w:hAnsi="Verdana" w:cs="Verdana"/>
          <w:sz w:val="20"/>
          <w:szCs w:val="20"/>
          <w:lang w:val="es-CR"/>
        </w:rPr>
        <w:t>estén sujetas a su jurisdicción, y que e</w:t>
      </w:r>
      <w:r w:rsidR="00C20373" w:rsidRPr="00C20373">
        <w:rPr>
          <w:rFonts w:ascii="Verdana" w:hAnsi="Verdana" w:cs="Verdana"/>
          <w:sz w:val="20"/>
          <w:szCs w:val="20"/>
          <w:lang w:val="es-CR"/>
        </w:rPr>
        <w:t>ste deber se torna aún más evidente en relación con las personas que se encuentran vinculadas a procesos ante los órganos de supervi</w:t>
      </w:r>
      <w:r w:rsidR="00C20373">
        <w:rPr>
          <w:rFonts w:ascii="Verdana" w:hAnsi="Verdana" w:cs="Verdana"/>
          <w:sz w:val="20"/>
          <w:szCs w:val="20"/>
          <w:lang w:val="es-CR"/>
        </w:rPr>
        <w:t>sión de la Convención Americana</w:t>
      </w:r>
      <w:r w:rsidR="00C20373">
        <w:rPr>
          <w:rStyle w:val="FootnoteReference"/>
          <w:rFonts w:ascii="Verdana" w:hAnsi="Verdana" w:cs="Verdana"/>
          <w:sz w:val="20"/>
          <w:szCs w:val="20"/>
          <w:lang w:val="es-CR"/>
        </w:rPr>
        <w:footnoteReference w:id="13"/>
      </w:r>
      <w:r w:rsidR="00C20373" w:rsidRPr="00C20373">
        <w:rPr>
          <w:rFonts w:ascii="Verdana" w:hAnsi="Verdana" w:cs="Verdana"/>
          <w:sz w:val="20"/>
          <w:szCs w:val="20"/>
          <w:lang w:val="es-CR"/>
        </w:rPr>
        <w:t>, máxime si se trata de víctimas o presuntas víctimas, familiares de éstos, o de personas que rindieron declaración ante la Corte respecto de un caso contencioso</w:t>
      </w:r>
      <w:r w:rsidR="005170F5">
        <w:rPr>
          <w:rStyle w:val="FootnoteReference"/>
          <w:rFonts w:ascii="Verdana" w:hAnsi="Verdana" w:cs="Verdana"/>
          <w:sz w:val="20"/>
          <w:szCs w:val="20"/>
          <w:lang w:val="es-CR"/>
        </w:rPr>
        <w:footnoteReference w:id="14"/>
      </w:r>
      <w:r w:rsidR="00C20373" w:rsidRPr="00C20373">
        <w:rPr>
          <w:rFonts w:ascii="Verdana" w:hAnsi="Verdana" w:cs="Verdana"/>
          <w:sz w:val="20"/>
          <w:szCs w:val="20"/>
          <w:lang w:val="es-CR"/>
        </w:rPr>
        <w:t>.</w:t>
      </w:r>
      <w:r w:rsidR="00C20373">
        <w:rPr>
          <w:rFonts w:ascii="Verdana" w:hAnsi="Verdana" w:cs="Verdana"/>
          <w:sz w:val="20"/>
          <w:szCs w:val="20"/>
          <w:lang w:val="es-CR"/>
        </w:rPr>
        <w:t xml:space="preserve"> </w:t>
      </w:r>
      <w:r w:rsidR="001F1174">
        <w:rPr>
          <w:rFonts w:ascii="Verdana" w:hAnsi="Verdana" w:cs="Verdana"/>
          <w:sz w:val="20"/>
          <w:szCs w:val="20"/>
          <w:lang w:val="es-CR"/>
        </w:rPr>
        <w:t>Lo dicho resulta también pertinente respecto de representantes legales de víctimas o presuntas víctimas o, en general, de personas que aboguen por la defensa de sus derechos</w:t>
      </w:r>
      <w:r w:rsidR="001F1174">
        <w:rPr>
          <w:rStyle w:val="FootnoteReference"/>
          <w:rFonts w:ascii="Verdana" w:hAnsi="Verdana" w:cs="Verdana"/>
          <w:sz w:val="20"/>
          <w:szCs w:val="20"/>
          <w:lang w:val="es-CR"/>
        </w:rPr>
        <w:footnoteReference w:id="15"/>
      </w:r>
      <w:r w:rsidR="001F1174">
        <w:rPr>
          <w:rFonts w:ascii="Verdana" w:hAnsi="Verdana" w:cs="Verdana"/>
          <w:sz w:val="20"/>
          <w:szCs w:val="20"/>
          <w:lang w:val="es-CR"/>
        </w:rPr>
        <w:t xml:space="preserve">. </w:t>
      </w:r>
      <w:r>
        <w:rPr>
          <w:rFonts w:ascii="Verdana" w:hAnsi="Verdana" w:cs="Verdana"/>
          <w:sz w:val="20"/>
          <w:szCs w:val="20"/>
          <w:lang w:val="es-CR"/>
        </w:rPr>
        <w:t>Además, la Corte ha expresado</w:t>
      </w:r>
      <w:r w:rsidR="00154569" w:rsidRPr="00A73D44">
        <w:rPr>
          <w:rFonts w:ascii="Verdana" w:hAnsi="Verdana" w:cs="Verdana"/>
          <w:sz w:val="20"/>
          <w:szCs w:val="20"/>
          <w:lang w:val="es-CR"/>
        </w:rPr>
        <w:t xml:space="preserve"> que “</w:t>
      </w:r>
      <w:r w:rsidR="00154569" w:rsidRPr="00A73D44">
        <w:rPr>
          <w:rFonts w:ascii="Verdana" w:hAnsi="Verdana"/>
          <w:sz w:val="20"/>
          <w:szCs w:val="20"/>
          <w:lang w:val="es-CR"/>
        </w:rPr>
        <w:t>los Estados tienen el deber particular de proteger a aquellas personas que trabajen en organizaciones no gubernamentales, así como de otorgar garantías efectivas y adecuadas a los defensores de derechos humanos para que éstos realicen libremente sus actividades”</w:t>
      </w:r>
      <w:r w:rsidR="00A73D44">
        <w:rPr>
          <w:rStyle w:val="FootnoteReference"/>
          <w:rFonts w:ascii="Verdana" w:hAnsi="Verdana"/>
          <w:sz w:val="20"/>
          <w:szCs w:val="20"/>
          <w:lang w:val="es-CR"/>
        </w:rPr>
        <w:footnoteReference w:id="16"/>
      </w:r>
      <w:r w:rsidR="00154569" w:rsidRPr="00A73D44">
        <w:rPr>
          <w:rFonts w:ascii="Verdana" w:hAnsi="Verdana"/>
          <w:sz w:val="20"/>
          <w:szCs w:val="20"/>
          <w:lang w:val="es-CR"/>
        </w:rPr>
        <w:t xml:space="preserve">.  </w:t>
      </w:r>
    </w:p>
    <w:p w14:paraId="258DFF63" w14:textId="77777777" w:rsidR="0024233C" w:rsidRPr="0024233C" w:rsidRDefault="0024233C" w:rsidP="00125057">
      <w:pPr>
        <w:pStyle w:val="ListParagraph"/>
        <w:spacing w:after="0" w:line="240" w:lineRule="auto"/>
        <w:ind w:left="0"/>
        <w:contextualSpacing w:val="0"/>
        <w:jc w:val="both"/>
        <w:rPr>
          <w:rFonts w:ascii="Verdana" w:hAnsi="Verdana" w:cs="Verdana"/>
          <w:sz w:val="20"/>
          <w:szCs w:val="20"/>
          <w:lang w:val="es-CR"/>
        </w:rPr>
      </w:pPr>
    </w:p>
    <w:p w14:paraId="30F0C5DB" w14:textId="683527B9" w:rsidR="00F92CCA" w:rsidRDefault="00085E2B" w:rsidP="00F92CCA">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La Corte valora la información presentada por el Estado</w:t>
      </w:r>
      <w:r w:rsidR="00F92CCA">
        <w:rPr>
          <w:rFonts w:ascii="Verdana" w:hAnsi="Verdana" w:cs="Verdana"/>
          <w:sz w:val="20"/>
          <w:szCs w:val="20"/>
          <w:lang w:val="es-CR"/>
        </w:rPr>
        <w:t xml:space="preserve"> (</w:t>
      </w:r>
      <w:r w:rsidR="00F92CCA">
        <w:rPr>
          <w:rFonts w:ascii="Verdana" w:hAnsi="Verdana" w:cs="Verdana"/>
          <w:i/>
          <w:sz w:val="20"/>
          <w:szCs w:val="20"/>
          <w:lang w:val="es-CR"/>
        </w:rPr>
        <w:t>supra</w:t>
      </w:r>
      <w:r w:rsidR="00F92CCA">
        <w:rPr>
          <w:rFonts w:ascii="Verdana" w:hAnsi="Verdana" w:cs="Verdana"/>
          <w:sz w:val="20"/>
          <w:szCs w:val="20"/>
          <w:lang w:val="es-CR"/>
        </w:rPr>
        <w:t xml:space="preserve"> Considerando 9) sobre</w:t>
      </w:r>
      <w:r>
        <w:rPr>
          <w:rFonts w:ascii="Verdana" w:hAnsi="Verdana" w:cs="Verdana"/>
          <w:sz w:val="20"/>
          <w:szCs w:val="20"/>
          <w:lang w:val="es-CR"/>
        </w:rPr>
        <w:t xml:space="preserve"> la </w:t>
      </w:r>
      <w:r w:rsidR="00F92CCA">
        <w:rPr>
          <w:rFonts w:ascii="Verdana" w:hAnsi="Verdana" w:cs="Verdana"/>
          <w:sz w:val="20"/>
          <w:szCs w:val="20"/>
          <w:lang w:val="es-CR"/>
        </w:rPr>
        <w:t>adopción de medidas de seguridad para la “delegación” de los representantes que acudi</w:t>
      </w:r>
      <w:r w:rsidR="003D548F">
        <w:rPr>
          <w:rFonts w:ascii="Verdana" w:hAnsi="Verdana" w:cs="Verdana"/>
          <w:sz w:val="20"/>
          <w:szCs w:val="20"/>
          <w:lang w:val="es-CR"/>
        </w:rPr>
        <w:t>rá</w:t>
      </w:r>
      <w:r w:rsidR="00F92CCA">
        <w:rPr>
          <w:rFonts w:ascii="Verdana" w:hAnsi="Verdana" w:cs="Verdana"/>
          <w:sz w:val="20"/>
          <w:szCs w:val="20"/>
          <w:lang w:val="es-CR"/>
        </w:rPr>
        <w:t xml:space="preserve"> a la audiencia el 9 de febrero de 2018 (</w:t>
      </w:r>
      <w:r w:rsidR="00F92CCA">
        <w:rPr>
          <w:rFonts w:ascii="Verdana" w:hAnsi="Verdana" w:cs="Verdana"/>
          <w:i/>
          <w:sz w:val="20"/>
          <w:szCs w:val="20"/>
          <w:lang w:val="es-CR"/>
        </w:rPr>
        <w:t>supra</w:t>
      </w:r>
      <w:r w:rsidR="00F92CCA">
        <w:rPr>
          <w:rFonts w:ascii="Verdana" w:hAnsi="Verdana" w:cs="Verdana"/>
          <w:sz w:val="20"/>
          <w:szCs w:val="20"/>
          <w:lang w:val="es-CR"/>
        </w:rPr>
        <w:t xml:space="preserve"> Considerando 7). Debe destacarse que, de conformidad con dicha información, el Estado adoptó medidas de seguridad relativas al traslado de dicha delegación durante su partida a San José de Costa Rica y su </w:t>
      </w:r>
      <w:r w:rsidR="005B6FA9">
        <w:rPr>
          <w:rFonts w:ascii="Verdana" w:hAnsi="Verdana" w:cs="Verdana"/>
          <w:sz w:val="20"/>
          <w:szCs w:val="20"/>
          <w:lang w:val="es-CR"/>
        </w:rPr>
        <w:t>llegada a esa ciudad</w:t>
      </w:r>
      <w:r w:rsidR="00F92CCA">
        <w:rPr>
          <w:rFonts w:ascii="Verdana" w:hAnsi="Verdana" w:cs="Verdana"/>
          <w:sz w:val="20"/>
          <w:szCs w:val="20"/>
          <w:lang w:val="es-CR"/>
        </w:rPr>
        <w:t xml:space="preserve">. Asimismo, la Corte toma aprecia la aseveración estatal de que presentará información sobre </w:t>
      </w:r>
      <w:r w:rsidR="00F92CCA" w:rsidRPr="00F92CCA">
        <w:rPr>
          <w:rFonts w:ascii="Verdana" w:hAnsi="Verdana" w:cs="Verdana"/>
          <w:sz w:val="20"/>
          <w:szCs w:val="20"/>
          <w:lang w:val="es-CR"/>
        </w:rPr>
        <w:t>“avances en las medidas de seguridad</w:t>
      </w:r>
      <w:r w:rsidR="00F92CCA">
        <w:rPr>
          <w:rFonts w:ascii="Verdana" w:hAnsi="Verdana" w:cs="Verdana"/>
          <w:sz w:val="20"/>
          <w:szCs w:val="20"/>
          <w:lang w:val="es-CR"/>
        </w:rPr>
        <w:t>”.</w:t>
      </w:r>
    </w:p>
    <w:p w14:paraId="01F7B7D3" w14:textId="77777777" w:rsidR="00F92CCA" w:rsidRPr="00F92CCA" w:rsidRDefault="00F92CCA" w:rsidP="00F92CCA">
      <w:pPr>
        <w:pStyle w:val="ListParagraph"/>
        <w:rPr>
          <w:rFonts w:ascii="Verdana" w:hAnsi="Verdana" w:cs="Verdana"/>
          <w:sz w:val="20"/>
          <w:szCs w:val="20"/>
          <w:lang w:val="es-CR"/>
        </w:rPr>
      </w:pPr>
    </w:p>
    <w:p w14:paraId="0CCA1244" w14:textId="624385A5" w:rsidR="00F92CCA" w:rsidRPr="00F92CCA" w:rsidRDefault="00F92CCA" w:rsidP="00F92CCA">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 xml:space="preserve">Sin perjuicio de lo anterior, este Tribunal advierte que de los señalamientos de los representantes se desprende que la situación de riesgo a la que aluden no se restringe al viaje </w:t>
      </w:r>
      <w:r>
        <w:rPr>
          <w:rFonts w:ascii="Verdana" w:hAnsi="Verdana" w:cs="Verdana"/>
          <w:sz w:val="20"/>
          <w:szCs w:val="20"/>
          <w:lang w:val="es-CR"/>
        </w:rPr>
        <w:lastRenderedPageBreak/>
        <w:t xml:space="preserve">de la delegación a San José de Costa Rica. En efecto, surge de sus señalamientos que ha sido en las inmediaciones de la comunidad donde han percibido circunstancias que, según aluden, generan una situación de riesgo. </w:t>
      </w:r>
    </w:p>
    <w:p w14:paraId="38604245" w14:textId="77777777" w:rsidR="00085E2B" w:rsidRPr="00085E2B" w:rsidRDefault="00085E2B" w:rsidP="00085E2B">
      <w:pPr>
        <w:pStyle w:val="ListParagraph"/>
        <w:rPr>
          <w:rFonts w:ascii="Verdana" w:hAnsi="Verdana" w:cs="Verdana"/>
          <w:sz w:val="20"/>
          <w:szCs w:val="20"/>
          <w:lang w:val="es-CR"/>
        </w:rPr>
      </w:pPr>
    </w:p>
    <w:p w14:paraId="77406783" w14:textId="4107D9F2" w:rsidR="00C33838" w:rsidRPr="002B06A6" w:rsidRDefault="002D5A6A" w:rsidP="002B06A6">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Pr>
          <w:rFonts w:ascii="Verdana" w:hAnsi="Verdana"/>
          <w:sz w:val="20"/>
          <w:szCs w:val="20"/>
          <w:lang w:val="es-CR"/>
        </w:rPr>
        <w:t>En ese sentido, en el marco de las circunstancias del caso que está sometido al conocimiento de la Corte</w:t>
      </w:r>
      <w:r w:rsidR="00737701">
        <w:rPr>
          <w:rFonts w:ascii="Verdana" w:hAnsi="Verdana"/>
          <w:sz w:val="20"/>
          <w:szCs w:val="20"/>
          <w:lang w:val="es-CR"/>
        </w:rPr>
        <w:t xml:space="preserve"> (</w:t>
      </w:r>
      <w:r w:rsidR="00737701">
        <w:rPr>
          <w:rFonts w:ascii="Verdana" w:hAnsi="Verdana"/>
          <w:i/>
          <w:sz w:val="20"/>
          <w:szCs w:val="20"/>
          <w:lang w:val="es-CR"/>
        </w:rPr>
        <w:t>supra</w:t>
      </w:r>
      <w:r w:rsidR="00737701">
        <w:rPr>
          <w:rFonts w:ascii="Verdana" w:hAnsi="Verdana"/>
          <w:sz w:val="20"/>
          <w:szCs w:val="20"/>
          <w:lang w:val="es-CR"/>
        </w:rPr>
        <w:t xml:space="preserve"> Considerando 12)</w:t>
      </w:r>
      <w:r>
        <w:rPr>
          <w:rFonts w:ascii="Verdana" w:hAnsi="Verdana"/>
          <w:sz w:val="20"/>
          <w:szCs w:val="20"/>
          <w:lang w:val="es-CR"/>
        </w:rPr>
        <w:t xml:space="preserve">, </w:t>
      </w:r>
      <w:r w:rsidR="002B06A6">
        <w:rPr>
          <w:rFonts w:ascii="Verdana" w:hAnsi="Verdana"/>
          <w:sz w:val="20"/>
          <w:szCs w:val="20"/>
          <w:lang w:val="es-CR"/>
        </w:rPr>
        <w:t xml:space="preserve">el señalamiento de que personas “extrañas” o “prófugas”, que podrían ser militares vinculados a los hechos del caso, habrían efectuado seguimientos o que estarían “rondando” la comunidad, puede indicar un elevado riesgo </w:t>
      </w:r>
      <w:r w:rsidRPr="002B06A6">
        <w:rPr>
          <w:rFonts w:ascii="Verdana" w:hAnsi="Verdana"/>
          <w:sz w:val="20"/>
          <w:szCs w:val="20"/>
          <w:lang w:val="es-CR"/>
        </w:rPr>
        <w:t>de daños irreparables, atinentes a la vida o a la integridad personal.</w:t>
      </w:r>
      <w:r w:rsidR="002B06A6">
        <w:rPr>
          <w:rFonts w:ascii="Verdana" w:hAnsi="Verdana"/>
          <w:sz w:val="20"/>
          <w:szCs w:val="20"/>
          <w:lang w:val="es-CR"/>
        </w:rPr>
        <w:t xml:space="preserve"> A su vez, la expresión de los representantes de que ese riesgo estaría relacionado con la realización de la audiencia pública sobre el caso es un elemento que denota la inminencia de la posible materialización del daño.</w:t>
      </w:r>
      <w:r w:rsidR="00737701" w:rsidRPr="00737701">
        <w:rPr>
          <w:rFonts w:ascii="Verdana" w:hAnsi="Verdana" w:cs="Verdana"/>
          <w:sz w:val="20"/>
          <w:szCs w:val="20"/>
          <w:lang w:val="es-CR"/>
        </w:rPr>
        <w:t xml:space="preserve"> </w:t>
      </w:r>
      <w:r w:rsidR="00737701">
        <w:rPr>
          <w:rFonts w:ascii="Verdana" w:hAnsi="Verdana" w:cs="Verdana"/>
          <w:sz w:val="20"/>
          <w:szCs w:val="20"/>
          <w:lang w:val="es-CR"/>
        </w:rPr>
        <w:t xml:space="preserve">Teniendo en cuenta todo lo expuesto, la Corte considera, </w:t>
      </w:r>
      <w:r w:rsidR="00737701">
        <w:rPr>
          <w:rFonts w:ascii="Verdana" w:hAnsi="Verdana" w:cs="Verdana"/>
          <w:i/>
          <w:sz w:val="20"/>
          <w:szCs w:val="20"/>
          <w:lang w:val="es-CR"/>
        </w:rPr>
        <w:t>prima facie,</w:t>
      </w:r>
      <w:r w:rsidR="00737701">
        <w:rPr>
          <w:rFonts w:ascii="Verdana" w:hAnsi="Verdana" w:cs="Verdana"/>
          <w:sz w:val="20"/>
          <w:szCs w:val="20"/>
          <w:lang w:val="es-CR"/>
        </w:rPr>
        <w:t xml:space="preserve"> que </w:t>
      </w:r>
      <w:r w:rsidR="00737701">
        <w:rPr>
          <w:rFonts w:ascii="Verdana" w:hAnsi="Verdana"/>
          <w:sz w:val="20"/>
          <w:szCs w:val="20"/>
          <w:lang w:val="es-CR"/>
        </w:rPr>
        <w:t>Efraín Grave Morente, Maynor Estuardo Alvarado Galeano, Karla Lorena Campos Flores, Natividad Sales Calmo y Tomás Grave Morente se encuentran en una situación de extrema gravedad y urgencia relacionada con la posibilidad de sufrir daños irreparables</w:t>
      </w:r>
    </w:p>
    <w:p w14:paraId="3B29DB5C" w14:textId="77777777" w:rsidR="002B06A6" w:rsidRPr="002B06A6" w:rsidRDefault="002B06A6" w:rsidP="002B06A6">
      <w:pPr>
        <w:pStyle w:val="ListParagraph"/>
        <w:spacing w:after="0"/>
        <w:rPr>
          <w:rFonts w:ascii="Verdana" w:hAnsi="Verdana" w:cs="Verdana"/>
          <w:sz w:val="20"/>
          <w:szCs w:val="20"/>
          <w:lang w:val="es-CR"/>
        </w:rPr>
      </w:pPr>
    </w:p>
    <w:p w14:paraId="634228A3" w14:textId="57CE86B5" w:rsidR="00CF6ED0" w:rsidRPr="00CF6ED0" w:rsidRDefault="002B06A6" w:rsidP="00CF6ED0">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 xml:space="preserve">Por lo dicho, esta Corte entiende procedente ordenar la adopción de las medidas provisionales solicitadas. Al respecto, nota que si bien en su </w:t>
      </w:r>
      <w:r w:rsidR="00A52FC1">
        <w:rPr>
          <w:rFonts w:ascii="Verdana" w:hAnsi="Verdana" w:cs="Verdana"/>
          <w:sz w:val="20"/>
          <w:szCs w:val="20"/>
          <w:lang w:val="es-CR"/>
        </w:rPr>
        <w:t xml:space="preserve">comunicación de 1 de febrero de 2018 los representantes hiceron una solicitud respecto de “todos los miembros de la comunidad” luego de que </w:t>
      </w:r>
      <w:r w:rsidR="00737701">
        <w:rPr>
          <w:rFonts w:ascii="Verdana" w:hAnsi="Verdana" w:cs="Verdana"/>
          <w:sz w:val="20"/>
          <w:szCs w:val="20"/>
          <w:lang w:val="es-CR"/>
        </w:rPr>
        <w:t>en la comunicación de la Secretaría de la Corte de 5 de febrero de 2018 (</w:t>
      </w:r>
      <w:r w:rsidR="00737701" w:rsidRPr="00737701">
        <w:rPr>
          <w:rFonts w:ascii="Verdana" w:hAnsi="Verdana" w:cs="Verdana"/>
          <w:i/>
          <w:sz w:val="20"/>
          <w:szCs w:val="20"/>
          <w:lang w:val="es-CR"/>
        </w:rPr>
        <w:t>supra</w:t>
      </w:r>
      <w:r w:rsidR="00737701">
        <w:rPr>
          <w:rFonts w:ascii="Verdana" w:hAnsi="Verdana" w:cs="Verdana"/>
          <w:sz w:val="20"/>
          <w:szCs w:val="20"/>
          <w:lang w:val="es-CR"/>
        </w:rPr>
        <w:t xml:space="preserve"> Visto 6) </w:t>
      </w:r>
      <w:r w:rsidR="00A52FC1" w:rsidRPr="00737701">
        <w:rPr>
          <w:rFonts w:ascii="Verdana" w:hAnsi="Verdana" w:cs="Verdana"/>
          <w:sz w:val="20"/>
          <w:szCs w:val="20"/>
          <w:lang w:val="es-CR"/>
        </w:rPr>
        <w:t>se</w:t>
      </w:r>
      <w:r w:rsidR="00A52FC1">
        <w:rPr>
          <w:rFonts w:ascii="Verdana" w:hAnsi="Verdana" w:cs="Verdana"/>
          <w:sz w:val="20"/>
          <w:szCs w:val="20"/>
          <w:lang w:val="es-CR"/>
        </w:rPr>
        <w:t xml:space="preserve"> les requiriera “</w:t>
      </w:r>
      <w:r w:rsidR="00A52FC1">
        <w:rPr>
          <w:rFonts w:ascii="Verdana" w:hAnsi="Verdana"/>
          <w:sz w:val="20"/>
          <w:szCs w:val="20"/>
          <w:lang w:val="es-CR"/>
        </w:rPr>
        <w:t xml:space="preserve">la identifi[cación] puntual [de] las personas que estarían siendo afectadas”, señalaron sólo a las personas nombradas en el párrafo anterior. Por ello, este Tribunal limita su orden a Efraín Grave Morente, Maynor Estuardo Alvarado Galeano, Karla Lorena Campos Flores, Natividad Sales Calmo y Tomás Grave Morente. </w:t>
      </w:r>
      <w:r w:rsidR="00CF6ED0" w:rsidRPr="00CF6ED0">
        <w:rPr>
          <w:rFonts w:ascii="Verdana" w:hAnsi="Verdana"/>
          <w:sz w:val="20"/>
          <w:szCs w:val="20"/>
          <w:lang w:val="es-CR"/>
        </w:rPr>
        <w:t xml:space="preserve">Las medidas que se adopten </w:t>
      </w:r>
      <w:r w:rsidR="003D548F">
        <w:rPr>
          <w:rFonts w:ascii="Verdana" w:hAnsi="Verdana"/>
          <w:sz w:val="20"/>
          <w:szCs w:val="20"/>
          <w:lang w:val="es-CR"/>
        </w:rPr>
        <w:t>deben planificarse e implementarse</w:t>
      </w:r>
      <w:r w:rsidR="00CF6ED0" w:rsidRPr="00CF6ED0">
        <w:rPr>
          <w:rFonts w:ascii="Verdana" w:hAnsi="Verdana"/>
          <w:sz w:val="20"/>
          <w:szCs w:val="20"/>
          <w:lang w:val="es-CR"/>
        </w:rPr>
        <w:t xml:space="preserve"> con la participación de las personas beneficiarias o sus representantes y el Estado debe mantener informadas a dichas personas sobre el avance de su ejecución. </w:t>
      </w:r>
    </w:p>
    <w:p w14:paraId="65A1440C" w14:textId="77777777" w:rsidR="00CF6ED0" w:rsidRPr="00A52FC1" w:rsidRDefault="00CF6ED0" w:rsidP="00A52FC1">
      <w:pPr>
        <w:pStyle w:val="ListParagraph"/>
        <w:rPr>
          <w:rFonts w:ascii="Verdana" w:hAnsi="Verdana" w:cs="Verdana"/>
          <w:sz w:val="20"/>
          <w:szCs w:val="20"/>
          <w:lang w:val="es-CR"/>
        </w:rPr>
      </w:pPr>
    </w:p>
    <w:p w14:paraId="69BB0A5D" w14:textId="2912ABA4" w:rsidR="00FB4B3B" w:rsidRPr="00A52FC1" w:rsidRDefault="00A52FC1" w:rsidP="00711253">
      <w:pPr>
        <w:pStyle w:val="ListParagraph"/>
        <w:numPr>
          <w:ilvl w:val="0"/>
          <w:numId w:val="15"/>
        </w:numPr>
        <w:spacing w:after="0" w:line="240" w:lineRule="auto"/>
        <w:ind w:left="0" w:firstLine="0"/>
        <w:contextualSpacing w:val="0"/>
        <w:jc w:val="both"/>
        <w:rPr>
          <w:rFonts w:ascii="Verdana" w:hAnsi="Verdana" w:cs="Verdana"/>
          <w:sz w:val="20"/>
          <w:szCs w:val="20"/>
          <w:lang w:val="es-CR"/>
        </w:rPr>
      </w:pPr>
      <w:r w:rsidRPr="00A52FC1">
        <w:rPr>
          <w:rFonts w:ascii="Verdana" w:hAnsi="Verdana" w:cs="Verdana"/>
          <w:sz w:val="20"/>
          <w:szCs w:val="20"/>
          <w:lang w:val="es-CR"/>
        </w:rPr>
        <w:t xml:space="preserve">La Corte resalta que adopta su decisión en una valoración </w:t>
      </w:r>
      <w:r w:rsidRPr="00A52FC1">
        <w:rPr>
          <w:rFonts w:ascii="Verdana" w:hAnsi="Verdana" w:cs="Verdana"/>
          <w:i/>
          <w:sz w:val="20"/>
          <w:szCs w:val="20"/>
          <w:lang w:val="es-CR"/>
        </w:rPr>
        <w:t>prima facie</w:t>
      </w:r>
      <w:r w:rsidRPr="00A52FC1">
        <w:rPr>
          <w:rFonts w:ascii="Verdana" w:hAnsi="Verdana" w:cs="Verdana"/>
          <w:sz w:val="20"/>
          <w:szCs w:val="20"/>
          <w:lang w:val="es-CR"/>
        </w:rPr>
        <w:t xml:space="preserve"> de las circunstancias pertinentes</w:t>
      </w:r>
      <w:r w:rsidR="00C201B1">
        <w:rPr>
          <w:rFonts w:ascii="Verdana" w:hAnsi="Verdana" w:cs="Verdana"/>
          <w:sz w:val="20"/>
          <w:szCs w:val="20"/>
          <w:lang w:val="es-CR"/>
        </w:rPr>
        <w:t>. Lo hace, en atención a la urgencia, a la necesidad de evitar daños irreparables y a fin de procurar el efecto útil de su decisión</w:t>
      </w:r>
      <w:r w:rsidRPr="00A52FC1">
        <w:rPr>
          <w:rFonts w:ascii="Verdana" w:hAnsi="Verdana" w:cs="Verdana"/>
          <w:sz w:val="20"/>
          <w:szCs w:val="20"/>
          <w:lang w:val="es-CR"/>
        </w:rPr>
        <w:t xml:space="preserve">. En ese sentido, </w:t>
      </w:r>
      <w:r w:rsidR="00C201B1">
        <w:rPr>
          <w:rFonts w:ascii="Verdana" w:hAnsi="Verdana" w:cs="Verdana"/>
          <w:sz w:val="20"/>
          <w:szCs w:val="20"/>
          <w:lang w:val="es-CR"/>
        </w:rPr>
        <w:t xml:space="preserve">considera pertinente recordar que </w:t>
      </w:r>
      <w:r w:rsidRPr="00A52FC1">
        <w:rPr>
          <w:rFonts w:ascii="Verdana" w:hAnsi="Verdana" w:cs="Verdana"/>
          <w:sz w:val="20"/>
          <w:szCs w:val="20"/>
          <w:lang w:val="es-CR"/>
        </w:rPr>
        <w:t>l</w:t>
      </w:r>
      <w:r w:rsidR="00FB4B3B" w:rsidRPr="00A52FC1">
        <w:rPr>
          <w:rFonts w:ascii="Verdana" w:hAnsi="Verdana"/>
          <w:sz w:val="20"/>
          <w:szCs w:val="20"/>
          <w:lang w:val="es-CR"/>
        </w:rPr>
        <w:t>as medidas provisionales tienen un carácter excepcional</w:t>
      </w:r>
      <w:r w:rsidR="006757D9" w:rsidRPr="00A52FC1">
        <w:rPr>
          <w:rStyle w:val="FootnoteReference"/>
          <w:rFonts w:ascii="Verdana" w:hAnsi="Verdana"/>
          <w:sz w:val="20"/>
          <w:szCs w:val="20"/>
        </w:rPr>
        <w:footnoteReference w:id="17"/>
      </w:r>
      <w:r w:rsidRPr="00A52FC1">
        <w:rPr>
          <w:rFonts w:ascii="Verdana" w:hAnsi="Verdana"/>
          <w:sz w:val="20"/>
          <w:szCs w:val="20"/>
          <w:lang w:val="es-CR"/>
        </w:rPr>
        <w:t xml:space="preserve">, </w:t>
      </w:r>
      <w:r w:rsidR="00C201B1">
        <w:rPr>
          <w:rFonts w:ascii="Verdana" w:hAnsi="Verdana"/>
          <w:sz w:val="20"/>
          <w:szCs w:val="20"/>
          <w:lang w:val="es-CR"/>
        </w:rPr>
        <w:t>así como</w:t>
      </w:r>
      <w:r w:rsidRPr="00A52FC1">
        <w:rPr>
          <w:rFonts w:ascii="Verdana" w:hAnsi="Verdana"/>
          <w:sz w:val="20"/>
          <w:szCs w:val="20"/>
          <w:lang w:val="es-CR"/>
        </w:rPr>
        <w:t xml:space="preserve"> </w:t>
      </w:r>
      <w:r w:rsidR="00C201B1">
        <w:rPr>
          <w:rFonts w:ascii="Verdana" w:hAnsi="Verdana"/>
          <w:sz w:val="20"/>
          <w:szCs w:val="20"/>
          <w:lang w:val="es-CR"/>
        </w:rPr>
        <w:t xml:space="preserve">advertir </w:t>
      </w:r>
      <w:r w:rsidRPr="00A52FC1">
        <w:rPr>
          <w:rFonts w:ascii="Verdana" w:hAnsi="Verdana"/>
          <w:sz w:val="20"/>
          <w:szCs w:val="20"/>
          <w:lang w:val="es-CR"/>
        </w:rPr>
        <w:t>que</w:t>
      </w:r>
      <w:r w:rsidR="00C201B1">
        <w:rPr>
          <w:rFonts w:ascii="Verdana" w:hAnsi="Verdana"/>
          <w:sz w:val="20"/>
          <w:szCs w:val="20"/>
          <w:lang w:val="es-CR"/>
        </w:rPr>
        <w:t>, consecuentemente,</w:t>
      </w:r>
      <w:r w:rsidRPr="00A52FC1">
        <w:rPr>
          <w:rFonts w:ascii="Verdana" w:hAnsi="Verdana"/>
          <w:sz w:val="20"/>
          <w:szCs w:val="20"/>
          <w:lang w:val="es-CR"/>
        </w:rPr>
        <w:t xml:space="preserve"> el eventual</w:t>
      </w:r>
      <w:r w:rsidR="00FB4B3B" w:rsidRPr="00A52FC1">
        <w:rPr>
          <w:rFonts w:ascii="Verdana" w:hAnsi="Verdana"/>
          <w:sz w:val="20"/>
          <w:szCs w:val="20"/>
          <w:lang w:val="es-CR"/>
        </w:rPr>
        <w:t xml:space="preserve"> mantenimiento </w:t>
      </w:r>
      <w:r w:rsidRPr="00A52FC1">
        <w:rPr>
          <w:rFonts w:ascii="Verdana" w:hAnsi="Verdana"/>
          <w:sz w:val="20"/>
          <w:szCs w:val="20"/>
          <w:lang w:val="es-CR"/>
        </w:rPr>
        <w:t xml:space="preserve">de las medidas que en este acto se ordenan </w:t>
      </w:r>
      <w:r w:rsidR="00FB4B3B" w:rsidRPr="00A52FC1">
        <w:rPr>
          <w:rFonts w:ascii="Verdana" w:hAnsi="Verdana"/>
          <w:sz w:val="20"/>
          <w:szCs w:val="20"/>
          <w:lang w:val="es-CR"/>
        </w:rPr>
        <w:t>exig</w:t>
      </w:r>
      <w:r w:rsidRPr="00A52FC1">
        <w:rPr>
          <w:rFonts w:ascii="Verdana" w:hAnsi="Verdana"/>
          <w:sz w:val="20"/>
          <w:szCs w:val="20"/>
          <w:lang w:val="es-CR"/>
        </w:rPr>
        <w:t xml:space="preserve">irá </w:t>
      </w:r>
      <w:r w:rsidR="00FB4B3B" w:rsidRPr="00A52FC1">
        <w:rPr>
          <w:rFonts w:ascii="Verdana" w:hAnsi="Verdana"/>
          <w:sz w:val="20"/>
          <w:szCs w:val="20"/>
          <w:lang w:val="es-CR"/>
        </w:rPr>
        <w:t xml:space="preserve">una evaluación </w:t>
      </w:r>
      <w:r w:rsidRPr="00A52FC1">
        <w:rPr>
          <w:rFonts w:ascii="Verdana" w:hAnsi="Verdana"/>
          <w:sz w:val="20"/>
          <w:szCs w:val="20"/>
          <w:lang w:val="es-CR"/>
        </w:rPr>
        <w:t xml:space="preserve">más </w:t>
      </w:r>
      <w:r w:rsidR="00FB4B3B" w:rsidRPr="00A52FC1">
        <w:rPr>
          <w:rFonts w:ascii="Verdana" w:hAnsi="Verdana"/>
          <w:sz w:val="20"/>
          <w:szCs w:val="20"/>
          <w:lang w:val="es-CR"/>
        </w:rPr>
        <w:t>rigurosa de este Tribunal en cuanto a la persistencia de la situación que dio origen a las mismas</w:t>
      </w:r>
      <w:r w:rsidR="006757D9" w:rsidRPr="00A52FC1">
        <w:rPr>
          <w:rStyle w:val="FootnoteReference"/>
          <w:rFonts w:ascii="Verdana" w:hAnsi="Verdana"/>
          <w:sz w:val="20"/>
          <w:szCs w:val="20"/>
        </w:rPr>
        <w:footnoteReference w:id="18"/>
      </w:r>
      <w:r w:rsidR="00C201B1">
        <w:rPr>
          <w:rFonts w:ascii="Verdana" w:hAnsi="Verdana"/>
          <w:sz w:val="20"/>
          <w:szCs w:val="20"/>
          <w:lang w:val="es-CR"/>
        </w:rPr>
        <w:t>.</w:t>
      </w:r>
    </w:p>
    <w:p w14:paraId="55B2B136" w14:textId="77777777" w:rsidR="00143D36" w:rsidRDefault="00143D36" w:rsidP="00711253">
      <w:pPr>
        <w:pStyle w:val="Default"/>
      </w:pPr>
    </w:p>
    <w:p w14:paraId="28A1A6C0" w14:textId="77777777" w:rsidR="00711253" w:rsidRDefault="004F5E47" w:rsidP="00711253">
      <w:pPr>
        <w:tabs>
          <w:tab w:val="left" w:pos="680"/>
          <w:tab w:val="left" w:pos="1860"/>
        </w:tabs>
        <w:spacing w:after="0" w:line="240" w:lineRule="auto"/>
        <w:ind w:right="18"/>
        <w:jc w:val="both"/>
        <w:rPr>
          <w:rFonts w:ascii="Verdana" w:hAnsi="Verdana"/>
          <w:b/>
          <w:sz w:val="20"/>
          <w:szCs w:val="20"/>
        </w:rPr>
      </w:pPr>
      <w:r w:rsidRPr="00710B29">
        <w:rPr>
          <w:rFonts w:ascii="Verdana" w:hAnsi="Verdana"/>
          <w:b/>
          <w:sz w:val="20"/>
          <w:szCs w:val="20"/>
        </w:rPr>
        <w:t>POR TANTO:</w:t>
      </w:r>
    </w:p>
    <w:p w14:paraId="58BA7680" w14:textId="5C86C9B2" w:rsidR="004F5E47" w:rsidRPr="00710B29" w:rsidRDefault="00711253" w:rsidP="00711253">
      <w:pPr>
        <w:tabs>
          <w:tab w:val="left" w:pos="680"/>
          <w:tab w:val="left" w:pos="1860"/>
        </w:tabs>
        <w:spacing w:after="0" w:line="240" w:lineRule="auto"/>
        <w:ind w:right="18"/>
        <w:jc w:val="both"/>
        <w:rPr>
          <w:rFonts w:ascii="Verdana" w:hAnsi="Verdana"/>
          <w:b/>
          <w:sz w:val="20"/>
          <w:szCs w:val="20"/>
        </w:rPr>
      </w:pPr>
      <w:r>
        <w:rPr>
          <w:rFonts w:ascii="Verdana" w:hAnsi="Verdana"/>
          <w:b/>
          <w:sz w:val="20"/>
          <w:szCs w:val="20"/>
        </w:rPr>
        <w:tab/>
      </w:r>
    </w:p>
    <w:p w14:paraId="0460F3AE" w14:textId="08FDE173" w:rsidR="004F5E47" w:rsidRDefault="004F5E47" w:rsidP="00711253">
      <w:pPr>
        <w:spacing w:after="0" w:line="240" w:lineRule="auto"/>
        <w:ind w:right="18"/>
        <w:jc w:val="both"/>
        <w:rPr>
          <w:rFonts w:ascii="Verdana" w:hAnsi="Verdana"/>
          <w:b/>
          <w:sz w:val="20"/>
          <w:szCs w:val="20"/>
        </w:rPr>
      </w:pPr>
      <w:r w:rsidRPr="00710B29">
        <w:rPr>
          <w:rFonts w:ascii="Verdana" w:hAnsi="Verdana"/>
          <w:b/>
          <w:sz w:val="20"/>
          <w:szCs w:val="20"/>
        </w:rPr>
        <w:t>LA CORTE INTERAMERICANA DE DERECHOS HUMANOS,</w:t>
      </w:r>
    </w:p>
    <w:p w14:paraId="39F4A97A" w14:textId="77777777" w:rsidR="00711253" w:rsidRPr="00496095" w:rsidRDefault="00711253" w:rsidP="00711253">
      <w:pPr>
        <w:spacing w:after="0" w:line="240" w:lineRule="auto"/>
        <w:ind w:right="18"/>
        <w:jc w:val="both"/>
        <w:rPr>
          <w:rFonts w:ascii="Verdana" w:hAnsi="Verdana"/>
          <w:b/>
          <w:sz w:val="20"/>
          <w:szCs w:val="20"/>
        </w:rPr>
      </w:pPr>
    </w:p>
    <w:p w14:paraId="41C49A1E" w14:textId="43885181" w:rsidR="00994383" w:rsidRPr="00994383" w:rsidRDefault="004F5E47" w:rsidP="00711253">
      <w:pPr>
        <w:spacing w:after="0" w:line="240" w:lineRule="auto"/>
        <w:jc w:val="both"/>
        <w:rPr>
          <w:rFonts w:ascii="Verdana" w:hAnsi="Verdana"/>
          <w:sz w:val="20"/>
          <w:szCs w:val="20"/>
          <w:lang w:val="es-MX"/>
        </w:rPr>
      </w:pPr>
      <w:r w:rsidRPr="00710B29">
        <w:rPr>
          <w:rFonts w:ascii="Verdana" w:hAnsi="Verdana"/>
          <w:sz w:val="20"/>
          <w:szCs w:val="20"/>
          <w:lang w:val="es-MX"/>
        </w:rPr>
        <w:t xml:space="preserve">en uso de las </w:t>
      </w:r>
      <w:r w:rsidRPr="00890A49">
        <w:rPr>
          <w:rFonts w:ascii="Verdana" w:hAnsi="Verdana"/>
          <w:sz w:val="20"/>
          <w:szCs w:val="20"/>
          <w:lang w:val="es-MX"/>
        </w:rPr>
        <w:t xml:space="preserve">atribuciones que le confieren </w:t>
      </w:r>
      <w:r w:rsidR="00890A49" w:rsidRPr="00890A49">
        <w:rPr>
          <w:rFonts w:ascii="Verdana" w:hAnsi="Verdana"/>
          <w:sz w:val="20"/>
          <w:szCs w:val="20"/>
        </w:rPr>
        <w:t>los artículos 63.2 de la Convención Americana, y 27, y 31.2 del Reglamento del Tribuna</w:t>
      </w:r>
      <w:r w:rsidR="00E52F55">
        <w:rPr>
          <w:rFonts w:ascii="Verdana" w:hAnsi="Verdana"/>
          <w:sz w:val="20"/>
          <w:szCs w:val="20"/>
        </w:rPr>
        <w:t>l</w:t>
      </w:r>
      <w:r w:rsidRPr="00890A49">
        <w:rPr>
          <w:rFonts w:ascii="Verdana" w:hAnsi="Verdana"/>
          <w:sz w:val="20"/>
          <w:szCs w:val="20"/>
          <w:lang w:val="es-MX"/>
        </w:rPr>
        <w:t>,</w:t>
      </w:r>
      <w:r w:rsidR="00994383">
        <w:rPr>
          <w:rFonts w:ascii="Verdana" w:hAnsi="Verdana"/>
          <w:sz w:val="20"/>
          <w:szCs w:val="20"/>
          <w:lang w:val="es-MX"/>
        </w:rPr>
        <w:t xml:space="preserve"> </w:t>
      </w:r>
    </w:p>
    <w:p w14:paraId="3175C2B6" w14:textId="77777777" w:rsidR="009628C8" w:rsidRDefault="009628C8" w:rsidP="0098261C">
      <w:pPr>
        <w:tabs>
          <w:tab w:val="left" w:pos="680"/>
        </w:tabs>
        <w:spacing w:before="480" w:after="360" w:line="240" w:lineRule="auto"/>
        <w:ind w:right="18"/>
        <w:jc w:val="both"/>
        <w:rPr>
          <w:rFonts w:ascii="Verdana" w:hAnsi="Verdana"/>
          <w:b/>
          <w:sz w:val="20"/>
          <w:szCs w:val="20"/>
        </w:rPr>
      </w:pPr>
    </w:p>
    <w:p w14:paraId="58CA7764" w14:textId="77777777" w:rsidR="004F5E47" w:rsidRPr="00123498" w:rsidRDefault="004F5E47" w:rsidP="0098261C">
      <w:pPr>
        <w:tabs>
          <w:tab w:val="left" w:pos="680"/>
        </w:tabs>
        <w:spacing w:before="480" w:after="360" w:line="240" w:lineRule="auto"/>
        <w:ind w:right="18"/>
        <w:jc w:val="both"/>
        <w:rPr>
          <w:rFonts w:ascii="Verdana" w:hAnsi="Verdana"/>
          <w:b/>
          <w:sz w:val="20"/>
          <w:szCs w:val="20"/>
        </w:rPr>
      </w:pPr>
      <w:r w:rsidRPr="00710B29">
        <w:rPr>
          <w:rFonts w:ascii="Verdana" w:hAnsi="Verdana"/>
          <w:b/>
          <w:sz w:val="20"/>
          <w:szCs w:val="20"/>
        </w:rPr>
        <w:lastRenderedPageBreak/>
        <w:t>RESUELVE:</w:t>
      </w:r>
    </w:p>
    <w:p w14:paraId="6D9B6D57" w14:textId="53F37227" w:rsidR="00D6344C" w:rsidRPr="00D6344C" w:rsidRDefault="00973258" w:rsidP="00D6344C">
      <w:pPr>
        <w:pStyle w:val="ListParagraph"/>
        <w:numPr>
          <w:ilvl w:val="3"/>
          <w:numId w:val="7"/>
        </w:numPr>
        <w:spacing w:after="0" w:line="240" w:lineRule="auto"/>
        <w:ind w:left="0" w:firstLine="0"/>
        <w:contextualSpacing w:val="0"/>
        <w:jc w:val="both"/>
        <w:rPr>
          <w:rFonts w:ascii="Verdana" w:hAnsi="Verdana"/>
          <w:sz w:val="20"/>
          <w:szCs w:val="20"/>
          <w:lang w:val="es-ES_tradnl"/>
        </w:rPr>
      </w:pPr>
      <w:r w:rsidRPr="00D6344C">
        <w:rPr>
          <w:rFonts w:ascii="Verdana" w:hAnsi="Verdana"/>
          <w:sz w:val="20"/>
          <w:szCs w:val="20"/>
          <w:lang w:val="es-CR"/>
        </w:rPr>
        <w:t>R</w:t>
      </w:r>
      <w:r w:rsidR="00890A49" w:rsidRPr="00D6344C">
        <w:rPr>
          <w:rFonts w:ascii="Verdana" w:hAnsi="Verdana"/>
          <w:sz w:val="20"/>
          <w:szCs w:val="20"/>
          <w:lang w:val="es-CR"/>
        </w:rPr>
        <w:t xml:space="preserve">equerir al Estado </w:t>
      </w:r>
      <w:r w:rsidR="007201F5" w:rsidRPr="00D6344C">
        <w:rPr>
          <w:rFonts w:ascii="Verdana" w:hAnsi="Verdana"/>
          <w:sz w:val="20"/>
          <w:szCs w:val="20"/>
          <w:lang w:val="es-CR"/>
        </w:rPr>
        <w:t xml:space="preserve">de Guatemala que </w:t>
      </w:r>
      <w:r w:rsidR="00CF6ED0" w:rsidRPr="00D6344C">
        <w:rPr>
          <w:rFonts w:ascii="Verdana" w:hAnsi="Verdana"/>
          <w:sz w:val="20"/>
          <w:szCs w:val="20"/>
          <w:lang w:val="es-CR"/>
        </w:rPr>
        <w:t xml:space="preserve">adopte, de manera inmediata, las medidas de protección que sean necesarias y efectivas para garantizar la vida e integridad personal de Efraín Grave Morente, Maynor Estuardo Alvarado Galeano, Karla Lorena Campos Flores, Natividad Sales Calmo y Tomás Grave Morente, de conformidad con lo establecido en </w:t>
      </w:r>
      <w:r w:rsidR="00D6344C" w:rsidRPr="00D6344C">
        <w:rPr>
          <w:rFonts w:ascii="Verdana" w:hAnsi="Verdana"/>
          <w:sz w:val="20"/>
          <w:szCs w:val="20"/>
          <w:lang w:val="es-CR"/>
        </w:rPr>
        <w:t>e</w:t>
      </w:r>
      <w:r w:rsidR="00CF6ED0" w:rsidRPr="00D6344C">
        <w:rPr>
          <w:rFonts w:ascii="Verdana" w:hAnsi="Verdana"/>
          <w:sz w:val="20"/>
          <w:szCs w:val="20"/>
          <w:lang w:val="es-CR"/>
        </w:rPr>
        <w:t xml:space="preserve">l Considerando </w:t>
      </w:r>
      <w:r w:rsidR="00B45F56">
        <w:rPr>
          <w:rFonts w:ascii="Verdana" w:hAnsi="Verdana"/>
          <w:sz w:val="20"/>
          <w:szCs w:val="20"/>
          <w:lang w:val="es-CR"/>
        </w:rPr>
        <w:t>19</w:t>
      </w:r>
      <w:r w:rsidR="00CF6ED0" w:rsidRPr="00D6344C">
        <w:rPr>
          <w:rFonts w:ascii="Verdana" w:hAnsi="Verdana"/>
          <w:sz w:val="20"/>
          <w:szCs w:val="20"/>
          <w:lang w:val="es-CR"/>
        </w:rPr>
        <w:t xml:space="preserve"> de la</w:t>
      </w:r>
      <w:r w:rsidR="00D6344C" w:rsidRPr="00D6344C">
        <w:rPr>
          <w:rFonts w:ascii="Verdana" w:hAnsi="Verdana"/>
          <w:sz w:val="20"/>
          <w:szCs w:val="20"/>
          <w:lang w:val="es-CR"/>
        </w:rPr>
        <w:t xml:space="preserve"> presente Resolución.</w:t>
      </w:r>
    </w:p>
    <w:p w14:paraId="14A49822" w14:textId="77777777" w:rsidR="00D6344C" w:rsidRPr="00D6344C" w:rsidRDefault="00D6344C" w:rsidP="00D6344C">
      <w:pPr>
        <w:pStyle w:val="ListParagraph"/>
        <w:spacing w:after="0" w:line="240" w:lineRule="auto"/>
        <w:ind w:left="0"/>
        <w:contextualSpacing w:val="0"/>
        <w:jc w:val="both"/>
        <w:rPr>
          <w:rFonts w:ascii="Verdana" w:hAnsi="Verdana"/>
          <w:sz w:val="20"/>
          <w:szCs w:val="20"/>
          <w:lang w:val="es-ES_tradnl"/>
        </w:rPr>
      </w:pPr>
    </w:p>
    <w:p w14:paraId="41A2EB49" w14:textId="77777777" w:rsidR="00D6344C" w:rsidRPr="00D6344C" w:rsidRDefault="00D6344C" w:rsidP="00D6344C">
      <w:pPr>
        <w:pStyle w:val="ListParagraph"/>
        <w:numPr>
          <w:ilvl w:val="3"/>
          <w:numId w:val="7"/>
        </w:numPr>
        <w:spacing w:after="0" w:line="240" w:lineRule="auto"/>
        <w:ind w:left="0" w:firstLine="0"/>
        <w:contextualSpacing w:val="0"/>
        <w:jc w:val="both"/>
        <w:rPr>
          <w:rFonts w:ascii="Verdana" w:hAnsi="Verdana"/>
          <w:sz w:val="20"/>
          <w:szCs w:val="20"/>
          <w:lang w:val="es-ES_tradnl"/>
        </w:rPr>
      </w:pPr>
      <w:r w:rsidRPr="00D6344C">
        <w:rPr>
          <w:rFonts w:ascii="Verdana" w:hAnsi="Verdana"/>
          <w:sz w:val="20"/>
          <w:szCs w:val="20"/>
          <w:lang w:val="es-CR"/>
        </w:rPr>
        <w:t xml:space="preserve">Ordenar al Estado que presente, a más tardar el </w:t>
      </w:r>
      <w:r w:rsidRPr="000842E3">
        <w:rPr>
          <w:rFonts w:ascii="Verdana" w:hAnsi="Verdana"/>
          <w:sz w:val="20"/>
          <w:szCs w:val="20"/>
          <w:lang w:val="es-CR"/>
        </w:rPr>
        <w:t>1 de marzo de 2018</w:t>
      </w:r>
      <w:r w:rsidRPr="00D6344C">
        <w:rPr>
          <w:rFonts w:ascii="Verdana" w:hAnsi="Verdana"/>
          <w:sz w:val="20"/>
          <w:szCs w:val="20"/>
          <w:lang w:val="es-CR"/>
        </w:rPr>
        <w:t xml:space="preserve">, un informe completo y detallado sobre lo dispuesto en el punto resolutivo 1 de esta Resolución, luego de lo cual deberá continuar informando a la Corte cada tres meses, contados a partir de la remisión de su último informe, sobre las medidas provisionales adoptadas. </w:t>
      </w:r>
    </w:p>
    <w:p w14:paraId="096D0900" w14:textId="77777777" w:rsidR="00D6344C" w:rsidRPr="00D6344C" w:rsidRDefault="00D6344C" w:rsidP="00D6344C">
      <w:pPr>
        <w:pStyle w:val="ListParagraph"/>
        <w:spacing w:after="0" w:line="240" w:lineRule="auto"/>
        <w:ind w:left="0"/>
        <w:contextualSpacing w:val="0"/>
        <w:jc w:val="both"/>
        <w:rPr>
          <w:rFonts w:ascii="Verdana" w:hAnsi="Verdana"/>
          <w:sz w:val="20"/>
          <w:szCs w:val="20"/>
          <w:lang w:val="es-ES_tradnl"/>
        </w:rPr>
      </w:pPr>
    </w:p>
    <w:p w14:paraId="7D885E60" w14:textId="77777777" w:rsidR="007C09E9" w:rsidRPr="007C09E9" w:rsidRDefault="00D6344C" w:rsidP="007C09E9">
      <w:pPr>
        <w:pStyle w:val="ListParagraph"/>
        <w:numPr>
          <w:ilvl w:val="3"/>
          <w:numId w:val="7"/>
        </w:numPr>
        <w:spacing w:after="0" w:line="240" w:lineRule="auto"/>
        <w:ind w:left="0" w:firstLine="0"/>
        <w:contextualSpacing w:val="0"/>
        <w:jc w:val="both"/>
        <w:rPr>
          <w:rFonts w:ascii="Verdana" w:hAnsi="Verdana"/>
          <w:sz w:val="20"/>
          <w:szCs w:val="20"/>
          <w:lang w:val="es-ES_tradnl"/>
        </w:rPr>
      </w:pPr>
      <w:r w:rsidRPr="00D6344C">
        <w:rPr>
          <w:rFonts w:ascii="Verdana" w:hAnsi="Verdana"/>
          <w:sz w:val="20"/>
          <w:szCs w:val="20"/>
          <w:lang w:val="es-CR"/>
        </w:rPr>
        <w:t xml:space="preserve">Requerir a los representantes de las personas beneficiarias que presenten sus observaciones dentro de un plazo de cuatro semanas contadas a partir de la notificación de los informes del Estado, así como a la Comisión Interamericana de Derechos Humanos que presente sus observaciones a dichos informes del Estado dentro de un plazo de dos semanas contadas a partir de la recepción de las observaciones de los representantes. </w:t>
      </w:r>
    </w:p>
    <w:p w14:paraId="60B45DE6" w14:textId="77777777" w:rsidR="007C09E9" w:rsidRPr="007C09E9" w:rsidRDefault="007C09E9" w:rsidP="007C09E9">
      <w:pPr>
        <w:pStyle w:val="ListParagraph"/>
        <w:rPr>
          <w:rFonts w:ascii="Verdana" w:hAnsi="Verdana"/>
          <w:sz w:val="20"/>
          <w:szCs w:val="20"/>
          <w:lang w:val="es-CR"/>
        </w:rPr>
      </w:pPr>
    </w:p>
    <w:p w14:paraId="35D92340" w14:textId="739971EC" w:rsidR="005A4460" w:rsidRPr="004F0CAD" w:rsidRDefault="00D6344C" w:rsidP="007C09E9">
      <w:pPr>
        <w:pStyle w:val="ListParagraph"/>
        <w:numPr>
          <w:ilvl w:val="3"/>
          <w:numId w:val="7"/>
        </w:numPr>
        <w:spacing w:after="0" w:line="240" w:lineRule="auto"/>
        <w:ind w:left="0" w:firstLine="0"/>
        <w:contextualSpacing w:val="0"/>
        <w:jc w:val="both"/>
        <w:rPr>
          <w:rFonts w:ascii="Verdana" w:hAnsi="Verdana"/>
          <w:sz w:val="20"/>
          <w:szCs w:val="20"/>
          <w:lang w:val="es-ES_tradnl"/>
        </w:rPr>
      </w:pPr>
      <w:r w:rsidRPr="007C09E9">
        <w:rPr>
          <w:rFonts w:ascii="Verdana" w:hAnsi="Verdana"/>
          <w:sz w:val="20"/>
          <w:szCs w:val="20"/>
          <w:lang w:val="es-CR"/>
        </w:rPr>
        <w:t>Disponer que la Secretaría de la Corte notifique la presente Resolución al Estado de Guatemala, a los representantes de las personas beneficiarias y a la Comisión Interamericana Derechos Humanos.</w:t>
      </w:r>
    </w:p>
    <w:p w14:paraId="3A339A2C" w14:textId="77777777" w:rsidR="004F0CAD" w:rsidRPr="004F0CAD" w:rsidRDefault="004F0CAD" w:rsidP="004F0CAD">
      <w:pPr>
        <w:pStyle w:val="ListParagraph"/>
        <w:rPr>
          <w:rFonts w:ascii="Verdana" w:hAnsi="Verdana"/>
          <w:sz w:val="20"/>
          <w:szCs w:val="20"/>
          <w:lang w:val="es-ES_tradnl"/>
        </w:rPr>
      </w:pPr>
    </w:p>
    <w:p w14:paraId="050F621D" w14:textId="77777777" w:rsidR="004F0CAD" w:rsidRDefault="004F0CAD" w:rsidP="004F0CAD">
      <w:pPr>
        <w:spacing w:after="0" w:line="240" w:lineRule="auto"/>
        <w:jc w:val="both"/>
        <w:rPr>
          <w:rFonts w:ascii="Verdana" w:hAnsi="Verdana"/>
          <w:sz w:val="20"/>
          <w:szCs w:val="20"/>
          <w:lang w:val="es-ES_tradnl"/>
        </w:rPr>
      </w:pPr>
    </w:p>
    <w:p w14:paraId="33655B40" w14:textId="77777777" w:rsidR="004F0CAD" w:rsidRDefault="004F0CAD" w:rsidP="004F0CAD">
      <w:pPr>
        <w:spacing w:after="0" w:line="240" w:lineRule="auto"/>
        <w:jc w:val="both"/>
        <w:rPr>
          <w:rFonts w:ascii="Verdana" w:hAnsi="Verdana"/>
          <w:sz w:val="20"/>
          <w:szCs w:val="20"/>
          <w:lang w:val="es-ES_tradnl"/>
        </w:rPr>
      </w:pPr>
    </w:p>
    <w:p w14:paraId="526A6B68" w14:textId="77777777" w:rsidR="004F0CAD" w:rsidRDefault="004F0CAD" w:rsidP="004F0CAD">
      <w:pPr>
        <w:spacing w:after="0" w:line="240" w:lineRule="auto"/>
        <w:jc w:val="both"/>
        <w:rPr>
          <w:rFonts w:ascii="Verdana" w:hAnsi="Verdana"/>
          <w:sz w:val="20"/>
          <w:szCs w:val="20"/>
          <w:lang w:val="es-ES_tradnl"/>
        </w:rPr>
      </w:pPr>
    </w:p>
    <w:p w14:paraId="57A767B8" w14:textId="77777777" w:rsidR="004F0CAD" w:rsidRDefault="004F0CAD" w:rsidP="004F0CAD">
      <w:pPr>
        <w:spacing w:after="0" w:line="240" w:lineRule="auto"/>
        <w:jc w:val="both"/>
        <w:rPr>
          <w:rFonts w:ascii="Verdana" w:hAnsi="Verdana"/>
          <w:sz w:val="20"/>
          <w:szCs w:val="20"/>
          <w:lang w:val="es-ES_tradnl"/>
        </w:rPr>
      </w:pPr>
    </w:p>
    <w:p w14:paraId="4C42F01C" w14:textId="77777777" w:rsidR="004F0CAD" w:rsidRDefault="004F0CAD" w:rsidP="004F0CAD">
      <w:pPr>
        <w:spacing w:after="0" w:line="240" w:lineRule="auto"/>
        <w:jc w:val="both"/>
        <w:rPr>
          <w:rFonts w:ascii="Verdana" w:hAnsi="Verdana"/>
          <w:sz w:val="20"/>
          <w:szCs w:val="20"/>
          <w:lang w:val="es-ES_tradnl"/>
        </w:rPr>
      </w:pPr>
    </w:p>
    <w:p w14:paraId="3F023C16" w14:textId="77777777" w:rsidR="004F0CAD" w:rsidRDefault="004F0CAD" w:rsidP="004F0CAD">
      <w:pPr>
        <w:spacing w:after="0" w:line="240" w:lineRule="auto"/>
        <w:jc w:val="both"/>
        <w:rPr>
          <w:rFonts w:ascii="Verdana" w:hAnsi="Verdana"/>
          <w:sz w:val="20"/>
          <w:szCs w:val="20"/>
          <w:lang w:val="es-ES_tradnl"/>
        </w:rPr>
      </w:pPr>
    </w:p>
    <w:p w14:paraId="53C7F0A2" w14:textId="77777777" w:rsidR="004F0CAD" w:rsidRDefault="004F0CAD" w:rsidP="004F0CAD">
      <w:pPr>
        <w:spacing w:after="0" w:line="240" w:lineRule="auto"/>
        <w:jc w:val="both"/>
        <w:rPr>
          <w:rFonts w:ascii="Verdana" w:hAnsi="Verdana"/>
          <w:sz w:val="20"/>
          <w:szCs w:val="20"/>
          <w:lang w:val="es-ES_tradnl"/>
        </w:rPr>
      </w:pPr>
    </w:p>
    <w:p w14:paraId="38674C1F" w14:textId="77777777" w:rsidR="004F0CAD" w:rsidRDefault="004F0CAD" w:rsidP="004F0CAD">
      <w:pPr>
        <w:spacing w:after="0" w:line="240" w:lineRule="auto"/>
        <w:jc w:val="both"/>
        <w:rPr>
          <w:rFonts w:ascii="Verdana" w:hAnsi="Verdana"/>
          <w:sz w:val="20"/>
          <w:szCs w:val="20"/>
          <w:lang w:val="es-ES_tradnl"/>
        </w:rPr>
      </w:pPr>
    </w:p>
    <w:p w14:paraId="6DE00FDC" w14:textId="77777777" w:rsidR="004F0CAD" w:rsidRDefault="004F0CAD" w:rsidP="004F0CAD">
      <w:pPr>
        <w:spacing w:after="0" w:line="240" w:lineRule="auto"/>
        <w:jc w:val="both"/>
        <w:rPr>
          <w:rFonts w:ascii="Verdana" w:hAnsi="Verdana"/>
          <w:sz w:val="20"/>
          <w:szCs w:val="20"/>
          <w:lang w:val="es-ES_tradnl"/>
        </w:rPr>
      </w:pPr>
    </w:p>
    <w:p w14:paraId="47CD5984" w14:textId="77777777" w:rsidR="004F0CAD" w:rsidRDefault="004F0CAD" w:rsidP="004F0CAD">
      <w:pPr>
        <w:spacing w:after="0" w:line="240" w:lineRule="auto"/>
        <w:jc w:val="both"/>
        <w:rPr>
          <w:rFonts w:ascii="Verdana" w:hAnsi="Verdana"/>
          <w:sz w:val="20"/>
          <w:szCs w:val="20"/>
          <w:lang w:val="es-ES_tradnl"/>
        </w:rPr>
      </w:pPr>
    </w:p>
    <w:p w14:paraId="2BEFFAB1" w14:textId="77777777" w:rsidR="004F0CAD" w:rsidRDefault="004F0CAD" w:rsidP="004F0CAD">
      <w:pPr>
        <w:spacing w:after="0" w:line="240" w:lineRule="auto"/>
        <w:jc w:val="both"/>
        <w:rPr>
          <w:rFonts w:ascii="Verdana" w:hAnsi="Verdana"/>
          <w:sz w:val="20"/>
          <w:szCs w:val="20"/>
          <w:lang w:val="es-ES_tradnl"/>
        </w:rPr>
      </w:pPr>
    </w:p>
    <w:p w14:paraId="307114B2" w14:textId="77777777" w:rsidR="004F0CAD" w:rsidRDefault="004F0CAD" w:rsidP="004F0CAD">
      <w:pPr>
        <w:spacing w:after="0" w:line="240" w:lineRule="auto"/>
        <w:jc w:val="both"/>
        <w:rPr>
          <w:rFonts w:ascii="Verdana" w:hAnsi="Verdana"/>
          <w:sz w:val="20"/>
          <w:szCs w:val="20"/>
          <w:lang w:val="es-ES_tradnl"/>
        </w:rPr>
      </w:pPr>
    </w:p>
    <w:p w14:paraId="7D33B392" w14:textId="77777777" w:rsidR="004F0CAD" w:rsidRDefault="004F0CAD" w:rsidP="004F0CAD">
      <w:pPr>
        <w:spacing w:after="0" w:line="240" w:lineRule="auto"/>
        <w:jc w:val="both"/>
        <w:rPr>
          <w:rFonts w:ascii="Verdana" w:hAnsi="Verdana"/>
          <w:sz w:val="20"/>
          <w:szCs w:val="20"/>
          <w:lang w:val="es-ES_tradnl"/>
        </w:rPr>
      </w:pPr>
    </w:p>
    <w:p w14:paraId="437CF01C" w14:textId="77777777" w:rsidR="004F0CAD" w:rsidRDefault="004F0CAD" w:rsidP="004F0CAD">
      <w:pPr>
        <w:spacing w:after="0" w:line="240" w:lineRule="auto"/>
        <w:jc w:val="both"/>
        <w:rPr>
          <w:rFonts w:ascii="Verdana" w:hAnsi="Verdana"/>
          <w:sz w:val="20"/>
          <w:szCs w:val="20"/>
          <w:lang w:val="es-ES_tradnl"/>
        </w:rPr>
      </w:pPr>
    </w:p>
    <w:p w14:paraId="2B14369E" w14:textId="77777777" w:rsidR="004F0CAD" w:rsidRDefault="004F0CAD" w:rsidP="004F0CAD">
      <w:pPr>
        <w:spacing w:after="0" w:line="240" w:lineRule="auto"/>
        <w:jc w:val="both"/>
        <w:rPr>
          <w:rFonts w:ascii="Verdana" w:hAnsi="Verdana"/>
          <w:sz w:val="20"/>
          <w:szCs w:val="20"/>
          <w:lang w:val="es-ES_tradnl"/>
        </w:rPr>
      </w:pPr>
    </w:p>
    <w:p w14:paraId="41801A13" w14:textId="77777777" w:rsidR="004F0CAD" w:rsidRDefault="004F0CAD" w:rsidP="004F0CAD">
      <w:pPr>
        <w:spacing w:after="0" w:line="240" w:lineRule="auto"/>
        <w:jc w:val="both"/>
        <w:rPr>
          <w:rFonts w:ascii="Verdana" w:hAnsi="Verdana"/>
          <w:sz w:val="20"/>
          <w:szCs w:val="20"/>
          <w:lang w:val="es-ES_tradnl"/>
        </w:rPr>
      </w:pPr>
    </w:p>
    <w:p w14:paraId="6A751A19" w14:textId="77777777" w:rsidR="004F0CAD" w:rsidRDefault="004F0CAD" w:rsidP="004F0CAD">
      <w:pPr>
        <w:spacing w:after="0" w:line="240" w:lineRule="auto"/>
        <w:jc w:val="both"/>
        <w:rPr>
          <w:rFonts w:ascii="Verdana" w:hAnsi="Verdana"/>
          <w:sz w:val="20"/>
          <w:szCs w:val="20"/>
          <w:lang w:val="es-ES_tradnl"/>
        </w:rPr>
      </w:pPr>
    </w:p>
    <w:p w14:paraId="29773110" w14:textId="77777777" w:rsidR="004F0CAD" w:rsidRDefault="004F0CAD" w:rsidP="004F0CAD">
      <w:pPr>
        <w:spacing w:after="0" w:line="240" w:lineRule="auto"/>
        <w:jc w:val="both"/>
        <w:rPr>
          <w:rFonts w:ascii="Verdana" w:hAnsi="Verdana"/>
          <w:sz w:val="20"/>
          <w:szCs w:val="20"/>
          <w:lang w:val="es-ES_tradnl"/>
        </w:rPr>
      </w:pPr>
    </w:p>
    <w:p w14:paraId="5CA1EF94" w14:textId="77777777" w:rsidR="004F0CAD" w:rsidRDefault="004F0CAD" w:rsidP="004F0CAD">
      <w:pPr>
        <w:spacing w:after="0" w:line="240" w:lineRule="auto"/>
        <w:jc w:val="both"/>
        <w:rPr>
          <w:rFonts w:ascii="Verdana" w:hAnsi="Verdana"/>
          <w:sz w:val="20"/>
          <w:szCs w:val="20"/>
          <w:lang w:val="es-ES_tradnl"/>
        </w:rPr>
      </w:pPr>
    </w:p>
    <w:p w14:paraId="4B70E685" w14:textId="77777777" w:rsidR="004F0CAD" w:rsidRDefault="004F0CAD" w:rsidP="004F0CAD">
      <w:pPr>
        <w:spacing w:after="0" w:line="240" w:lineRule="auto"/>
        <w:jc w:val="both"/>
        <w:rPr>
          <w:rFonts w:ascii="Verdana" w:hAnsi="Verdana"/>
          <w:sz w:val="20"/>
          <w:szCs w:val="20"/>
          <w:lang w:val="es-ES_tradnl"/>
        </w:rPr>
      </w:pPr>
    </w:p>
    <w:p w14:paraId="4548496B" w14:textId="77777777" w:rsidR="004F0CAD" w:rsidRDefault="004F0CAD" w:rsidP="004F0CAD">
      <w:pPr>
        <w:spacing w:after="0" w:line="240" w:lineRule="auto"/>
        <w:jc w:val="both"/>
        <w:rPr>
          <w:rFonts w:ascii="Verdana" w:hAnsi="Verdana"/>
          <w:sz w:val="20"/>
          <w:szCs w:val="20"/>
          <w:lang w:val="es-ES_tradnl"/>
        </w:rPr>
      </w:pPr>
    </w:p>
    <w:p w14:paraId="01356431" w14:textId="77777777" w:rsidR="004F0CAD" w:rsidRDefault="004F0CAD" w:rsidP="004F0CAD">
      <w:pPr>
        <w:spacing w:after="0" w:line="240" w:lineRule="auto"/>
        <w:jc w:val="both"/>
        <w:rPr>
          <w:rFonts w:ascii="Verdana" w:hAnsi="Verdana"/>
          <w:sz w:val="20"/>
          <w:szCs w:val="20"/>
          <w:lang w:val="es-ES_tradnl"/>
        </w:rPr>
      </w:pPr>
    </w:p>
    <w:p w14:paraId="785168DD" w14:textId="77777777" w:rsidR="004F0CAD" w:rsidRDefault="004F0CAD" w:rsidP="004F0CAD">
      <w:pPr>
        <w:spacing w:after="0" w:line="240" w:lineRule="auto"/>
        <w:jc w:val="both"/>
        <w:rPr>
          <w:rFonts w:ascii="Verdana" w:hAnsi="Verdana"/>
          <w:sz w:val="20"/>
          <w:szCs w:val="20"/>
          <w:lang w:val="es-ES_tradnl"/>
        </w:rPr>
      </w:pPr>
    </w:p>
    <w:p w14:paraId="6630E7E9" w14:textId="77777777" w:rsidR="004F0CAD" w:rsidRDefault="004F0CAD" w:rsidP="004F0CAD">
      <w:pPr>
        <w:spacing w:after="0" w:line="240" w:lineRule="auto"/>
        <w:jc w:val="both"/>
        <w:rPr>
          <w:rFonts w:ascii="Verdana" w:hAnsi="Verdana"/>
          <w:sz w:val="20"/>
          <w:szCs w:val="20"/>
          <w:lang w:val="es-ES_tradnl"/>
        </w:rPr>
      </w:pPr>
    </w:p>
    <w:p w14:paraId="7D3DC429" w14:textId="77777777" w:rsidR="004F0CAD" w:rsidRDefault="004F0CAD" w:rsidP="004F0CAD">
      <w:pPr>
        <w:spacing w:after="0" w:line="240" w:lineRule="auto"/>
        <w:jc w:val="both"/>
        <w:rPr>
          <w:rFonts w:ascii="Verdana" w:hAnsi="Verdana"/>
          <w:sz w:val="20"/>
          <w:szCs w:val="20"/>
          <w:lang w:val="es-ES_tradnl"/>
        </w:rPr>
      </w:pPr>
    </w:p>
    <w:p w14:paraId="459B5606" w14:textId="77777777" w:rsidR="004F0CAD" w:rsidRDefault="004F0CAD" w:rsidP="004F0CAD">
      <w:pPr>
        <w:spacing w:after="0" w:line="240" w:lineRule="auto"/>
        <w:jc w:val="both"/>
        <w:rPr>
          <w:rFonts w:ascii="Verdana" w:hAnsi="Verdana"/>
          <w:sz w:val="20"/>
          <w:szCs w:val="20"/>
          <w:lang w:val="es-ES_tradnl"/>
        </w:rPr>
      </w:pPr>
    </w:p>
    <w:p w14:paraId="73400B0E" w14:textId="77777777" w:rsidR="004F0CAD" w:rsidRDefault="004F0CAD" w:rsidP="004F0CAD">
      <w:pPr>
        <w:spacing w:after="0" w:line="240" w:lineRule="auto"/>
        <w:jc w:val="both"/>
        <w:rPr>
          <w:rFonts w:ascii="Verdana" w:hAnsi="Verdana"/>
          <w:sz w:val="20"/>
          <w:szCs w:val="20"/>
          <w:lang w:val="es-ES_tradnl"/>
        </w:rPr>
      </w:pPr>
    </w:p>
    <w:p w14:paraId="7AF500FB" w14:textId="77777777" w:rsidR="004F0CAD" w:rsidRDefault="004F0CAD" w:rsidP="004F0CAD">
      <w:pPr>
        <w:spacing w:after="0" w:line="240" w:lineRule="auto"/>
        <w:jc w:val="both"/>
        <w:rPr>
          <w:rFonts w:ascii="Verdana" w:hAnsi="Verdana"/>
          <w:sz w:val="20"/>
          <w:szCs w:val="20"/>
          <w:lang w:val="es-ES_tradnl"/>
        </w:rPr>
      </w:pPr>
    </w:p>
    <w:p w14:paraId="2433A8C7" w14:textId="77777777" w:rsidR="004F0CAD" w:rsidRDefault="004F0CAD" w:rsidP="004F0CAD">
      <w:pPr>
        <w:spacing w:after="0" w:line="240" w:lineRule="auto"/>
        <w:jc w:val="both"/>
        <w:rPr>
          <w:rFonts w:ascii="Verdana" w:hAnsi="Verdana"/>
          <w:sz w:val="20"/>
          <w:szCs w:val="20"/>
          <w:lang w:val="es-ES_tradnl"/>
        </w:rPr>
      </w:pPr>
    </w:p>
    <w:p w14:paraId="710FC6DA" w14:textId="77777777" w:rsidR="00A74B52" w:rsidRDefault="00A74B52" w:rsidP="00A74B52">
      <w:pPr>
        <w:spacing w:after="0"/>
        <w:jc w:val="both"/>
        <w:rPr>
          <w:rFonts w:ascii="Verdana" w:hAnsi="Verdana"/>
          <w:sz w:val="20"/>
          <w:lang w:val="es-ES"/>
        </w:rPr>
      </w:pPr>
      <w:r w:rsidRPr="00E1703F">
        <w:rPr>
          <w:rFonts w:ascii="Verdana" w:hAnsi="Verdana"/>
          <w:sz w:val="20"/>
          <w:lang w:val="es-ES"/>
        </w:rPr>
        <w:t xml:space="preserve">Corte IDH. </w:t>
      </w:r>
      <w:r w:rsidRPr="00E1703F">
        <w:rPr>
          <w:rFonts w:ascii="Verdana" w:hAnsi="Verdana"/>
          <w:i/>
          <w:sz w:val="20"/>
          <w:lang w:val="es-ES"/>
        </w:rPr>
        <w:t>Caso Coc Max y otros Vs. Guatemala.</w:t>
      </w:r>
      <w:r w:rsidRPr="00E1703F">
        <w:rPr>
          <w:rFonts w:ascii="Verdana" w:hAnsi="Verdana"/>
          <w:sz w:val="20"/>
          <w:lang w:val="es-ES"/>
        </w:rPr>
        <w:t xml:space="preserve"> Medidas Provisionales. Adopción de medidas </w:t>
      </w:r>
      <w:r>
        <w:rPr>
          <w:rFonts w:ascii="Verdana" w:hAnsi="Verdana"/>
          <w:sz w:val="20"/>
          <w:lang w:val="es-ES"/>
        </w:rPr>
        <w:t>provisionales</w:t>
      </w:r>
      <w:r w:rsidRPr="00E1703F">
        <w:rPr>
          <w:rFonts w:ascii="Verdana" w:hAnsi="Verdana"/>
          <w:sz w:val="20"/>
          <w:lang w:val="es-ES"/>
        </w:rPr>
        <w:t>. Resolución de la Corte Interamericana de Derechos Humanos de 8 de febrero de 2018.</w:t>
      </w:r>
    </w:p>
    <w:p w14:paraId="64AEA65B" w14:textId="77777777" w:rsidR="00A74B52" w:rsidRDefault="00A74B52" w:rsidP="00A74B52">
      <w:pPr>
        <w:spacing w:after="0"/>
        <w:jc w:val="center"/>
        <w:rPr>
          <w:rFonts w:ascii="Verdana" w:hAnsi="Verdana"/>
          <w:sz w:val="20"/>
          <w:lang w:val="pt-BR"/>
        </w:rPr>
      </w:pPr>
    </w:p>
    <w:p w14:paraId="465110B3" w14:textId="77777777" w:rsidR="00A74B52" w:rsidRDefault="00A74B52" w:rsidP="00A74B52">
      <w:pPr>
        <w:spacing w:after="0"/>
        <w:jc w:val="center"/>
        <w:rPr>
          <w:rFonts w:ascii="Verdana" w:hAnsi="Verdana"/>
          <w:sz w:val="20"/>
          <w:lang w:val="pt-BR"/>
        </w:rPr>
      </w:pPr>
    </w:p>
    <w:p w14:paraId="315923CF" w14:textId="77777777" w:rsidR="00A74B52" w:rsidRPr="00D560D9" w:rsidRDefault="00A74B52" w:rsidP="00A74B52">
      <w:pPr>
        <w:spacing w:after="0"/>
        <w:jc w:val="center"/>
        <w:rPr>
          <w:rFonts w:ascii="Verdana" w:hAnsi="Verdana"/>
          <w:sz w:val="20"/>
          <w:lang w:val="pt-BR"/>
        </w:rPr>
      </w:pPr>
    </w:p>
    <w:p w14:paraId="43BF882D" w14:textId="77777777" w:rsidR="00A74B52" w:rsidRPr="0019261A" w:rsidRDefault="00A74B52" w:rsidP="00A74B52">
      <w:pPr>
        <w:spacing w:after="0"/>
        <w:rPr>
          <w:rFonts w:ascii="Verdana" w:hAnsi="Verdana"/>
          <w:sz w:val="20"/>
          <w:lang w:val="pt-BR"/>
        </w:rPr>
      </w:pPr>
    </w:p>
    <w:p w14:paraId="25D8073B" w14:textId="77777777" w:rsidR="00A74B52" w:rsidRPr="0019261A" w:rsidRDefault="00A74B52" w:rsidP="00A74B52">
      <w:pPr>
        <w:spacing w:after="0"/>
        <w:jc w:val="center"/>
        <w:rPr>
          <w:rFonts w:ascii="Verdana" w:hAnsi="Verdana"/>
          <w:sz w:val="20"/>
          <w:lang w:val="pt-BR"/>
        </w:rPr>
      </w:pPr>
      <w:r w:rsidRPr="0019261A">
        <w:rPr>
          <w:rFonts w:ascii="Verdana" w:hAnsi="Verdana"/>
          <w:sz w:val="20"/>
          <w:lang w:val="pt-BR"/>
        </w:rPr>
        <w:t>Eduardo Ferrer Mac-Gregor Poisot</w:t>
      </w:r>
    </w:p>
    <w:p w14:paraId="6B9A36F3" w14:textId="77777777" w:rsidR="00A74B52" w:rsidRDefault="00A74B52" w:rsidP="00A74B52">
      <w:pPr>
        <w:spacing w:after="0"/>
        <w:jc w:val="center"/>
        <w:rPr>
          <w:rFonts w:ascii="Verdana" w:hAnsi="Verdana"/>
          <w:sz w:val="20"/>
        </w:rPr>
      </w:pPr>
      <w:r>
        <w:rPr>
          <w:rFonts w:ascii="Verdana" w:hAnsi="Verdana"/>
          <w:sz w:val="20"/>
          <w:lang w:val="es-ES"/>
        </w:rPr>
        <w:t xml:space="preserve">Presidente </w:t>
      </w:r>
    </w:p>
    <w:p w14:paraId="163B0449" w14:textId="77777777" w:rsidR="00A74B52" w:rsidRDefault="00A74B52" w:rsidP="00A74B52">
      <w:pPr>
        <w:spacing w:after="0"/>
        <w:rPr>
          <w:rFonts w:ascii="Verdana" w:hAnsi="Verdana"/>
          <w:sz w:val="20"/>
        </w:rPr>
      </w:pPr>
    </w:p>
    <w:p w14:paraId="7AD1BA70" w14:textId="77777777" w:rsidR="00A74B52" w:rsidRDefault="00A74B52" w:rsidP="00A74B52">
      <w:pPr>
        <w:spacing w:after="0"/>
        <w:rPr>
          <w:rFonts w:ascii="Verdana" w:hAnsi="Verdana"/>
          <w:sz w:val="20"/>
        </w:rPr>
      </w:pPr>
    </w:p>
    <w:p w14:paraId="5AEA5C89" w14:textId="77777777" w:rsidR="00A74B52" w:rsidRDefault="00A74B52" w:rsidP="00A74B52">
      <w:pPr>
        <w:spacing w:after="0"/>
        <w:rPr>
          <w:rFonts w:ascii="Verdana" w:hAnsi="Verdana"/>
          <w:sz w:val="20"/>
        </w:rPr>
      </w:pPr>
    </w:p>
    <w:p w14:paraId="6BECEBBA" w14:textId="77777777" w:rsidR="00A74B52" w:rsidRDefault="00A74B52" w:rsidP="00A74B52">
      <w:pPr>
        <w:spacing w:after="0"/>
        <w:rPr>
          <w:rFonts w:ascii="Verdana" w:hAnsi="Verdana"/>
          <w:sz w:val="20"/>
        </w:rPr>
      </w:pPr>
    </w:p>
    <w:p w14:paraId="7B1C375A" w14:textId="77777777" w:rsidR="00A74B52" w:rsidRDefault="00A74B52" w:rsidP="00A74B52">
      <w:pPr>
        <w:spacing w:after="0"/>
        <w:rPr>
          <w:rFonts w:ascii="Verdana" w:hAnsi="Verdana"/>
          <w:sz w:val="20"/>
        </w:rPr>
      </w:pPr>
      <w:r>
        <w:rPr>
          <w:rFonts w:ascii="Verdana" w:hAnsi="Verdana"/>
          <w:sz w:val="20"/>
        </w:rPr>
        <w:t xml:space="preserve"> Eduardo Vio Grossi</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Roberto F. Caldas</w:t>
      </w:r>
    </w:p>
    <w:p w14:paraId="04847069" w14:textId="77777777" w:rsidR="00A74B52" w:rsidRDefault="00A74B52" w:rsidP="00A74B52">
      <w:pPr>
        <w:spacing w:after="0"/>
        <w:rPr>
          <w:rFonts w:ascii="Verdana" w:hAnsi="Verdana"/>
          <w:sz w:val="20"/>
        </w:rPr>
      </w:pPr>
    </w:p>
    <w:p w14:paraId="67D9113B" w14:textId="77777777" w:rsidR="00A74B52" w:rsidRDefault="00A74B52" w:rsidP="00A74B52">
      <w:pPr>
        <w:spacing w:after="0"/>
        <w:rPr>
          <w:rFonts w:ascii="Verdana" w:hAnsi="Verdana"/>
          <w:sz w:val="20"/>
        </w:rPr>
      </w:pPr>
    </w:p>
    <w:p w14:paraId="0D770144" w14:textId="77777777" w:rsidR="00A74B52" w:rsidRDefault="00A74B52" w:rsidP="00A74B52">
      <w:pPr>
        <w:spacing w:after="0"/>
        <w:rPr>
          <w:rFonts w:ascii="Verdana" w:hAnsi="Verdana"/>
          <w:sz w:val="20"/>
        </w:rPr>
      </w:pPr>
    </w:p>
    <w:p w14:paraId="297858B5" w14:textId="77777777" w:rsidR="00A74B52" w:rsidRDefault="00A74B52" w:rsidP="00A74B52">
      <w:pPr>
        <w:spacing w:after="0"/>
        <w:rPr>
          <w:rFonts w:ascii="Verdana" w:hAnsi="Verdana"/>
          <w:sz w:val="20"/>
        </w:rPr>
      </w:pPr>
    </w:p>
    <w:p w14:paraId="08EFEAC7" w14:textId="77777777" w:rsidR="00A74B52" w:rsidRDefault="00A74B52" w:rsidP="00A74B52">
      <w:pPr>
        <w:spacing w:after="0"/>
        <w:rPr>
          <w:rFonts w:ascii="Verdana" w:hAnsi="Verdana"/>
          <w:sz w:val="20"/>
        </w:rPr>
      </w:pPr>
    </w:p>
    <w:p w14:paraId="770E91A8" w14:textId="77777777" w:rsidR="00A74B52" w:rsidRDefault="00A74B52" w:rsidP="00A74B52">
      <w:pPr>
        <w:spacing w:after="0"/>
        <w:rPr>
          <w:rFonts w:ascii="Verdana" w:hAnsi="Verdana"/>
          <w:sz w:val="20"/>
          <w:lang w:val="es-ES"/>
        </w:rPr>
      </w:pPr>
      <w:r>
        <w:rPr>
          <w:rFonts w:ascii="Verdana" w:hAnsi="Verdana"/>
          <w:sz w:val="20"/>
          <w:lang w:val="es-ES"/>
        </w:rPr>
        <w:t xml:space="preserve">Humberto </w:t>
      </w:r>
      <w:r>
        <w:rPr>
          <w:rFonts w:ascii="Verdana" w:hAnsi="Verdana"/>
          <w:caps/>
          <w:sz w:val="20"/>
          <w:lang w:val="es-ES"/>
        </w:rPr>
        <w:t xml:space="preserve">A. </w:t>
      </w:r>
      <w:r>
        <w:rPr>
          <w:rFonts w:ascii="Verdana" w:hAnsi="Verdana"/>
          <w:sz w:val="20"/>
          <w:lang w:val="es-ES"/>
        </w:rPr>
        <w:t>Sierra Porto</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Elizabeth Odio Benito</w:t>
      </w:r>
      <w:r>
        <w:rPr>
          <w:rFonts w:ascii="Verdana" w:hAnsi="Verdana"/>
          <w:sz w:val="20"/>
          <w:lang w:val="es-ES"/>
        </w:rPr>
        <w:tab/>
      </w:r>
    </w:p>
    <w:p w14:paraId="04F6D12C" w14:textId="77777777" w:rsidR="00A74B52" w:rsidRDefault="00A74B52" w:rsidP="00A74B52">
      <w:pPr>
        <w:spacing w:after="0"/>
        <w:rPr>
          <w:rFonts w:ascii="Verdana" w:hAnsi="Verdana"/>
          <w:sz w:val="20"/>
          <w:lang w:val="es-ES"/>
        </w:rPr>
      </w:pPr>
    </w:p>
    <w:p w14:paraId="0BC3311F" w14:textId="77777777" w:rsidR="00A74B52" w:rsidRDefault="00A74B52" w:rsidP="00A74B52">
      <w:pPr>
        <w:spacing w:after="0"/>
        <w:rPr>
          <w:rFonts w:ascii="Verdana" w:hAnsi="Verdana"/>
          <w:sz w:val="20"/>
          <w:lang w:val="es-ES"/>
        </w:rPr>
      </w:pPr>
    </w:p>
    <w:p w14:paraId="5A402536" w14:textId="77777777" w:rsidR="00A74B52" w:rsidRDefault="00A74B52" w:rsidP="00A74B52">
      <w:pPr>
        <w:spacing w:after="0"/>
        <w:rPr>
          <w:rFonts w:ascii="Verdana" w:hAnsi="Verdana"/>
          <w:sz w:val="20"/>
          <w:lang w:val="es-ES"/>
        </w:rPr>
      </w:pPr>
    </w:p>
    <w:p w14:paraId="69E0763C" w14:textId="77777777" w:rsidR="00A74B52" w:rsidRDefault="00A74B52" w:rsidP="00A74B52">
      <w:pPr>
        <w:spacing w:after="0"/>
        <w:rPr>
          <w:rFonts w:ascii="Verdana" w:hAnsi="Verdana"/>
          <w:sz w:val="20"/>
          <w:lang w:val="es-ES"/>
        </w:rPr>
      </w:pPr>
    </w:p>
    <w:p w14:paraId="6324D208" w14:textId="77777777" w:rsidR="00A74B52" w:rsidRDefault="00A74B52" w:rsidP="00A74B52">
      <w:pPr>
        <w:spacing w:after="0"/>
        <w:rPr>
          <w:rFonts w:ascii="Verdana" w:hAnsi="Verdana"/>
          <w:sz w:val="20"/>
          <w:lang w:val="es-ES"/>
        </w:rPr>
      </w:pPr>
    </w:p>
    <w:p w14:paraId="169A6EE0" w14:textId="77777777" w:rsidR="00A74B52" w:rsidRPr="007C06A1" w:rsidRDefault="00A74B52" w:rsidP="00A74B52">
      <w:pPr>
        <w:spacing w:after="0"/>
        <w:rPr>
          <w:rFonts w:ascii="Verdana" w:hAnsi="Verdana"/>
          <w:sz w:val="20"/>
          <w:lang w:val="es-ES"/>
        </w:rPr>
      </w:pPr>
      <w:r>
        <w:rPr>
          <w:rFonts w:ascii="Verdana" w:hAnsi="Verdana"/>
          <w:sz w:val="20"/>
          <w:lang w:val="es-ES"/>
        </w:rPr>
        <w:t>Eugenio Raúl Zaffaroni</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L. Patricio Pazmiño Freire</w:t>
      </w:r>
    </w:p>
    <w:p w14:paraId="3D9C456B" w14:textId="77777777" w:rsidR="00A74B52" w:rsidRPr="008D290D" w:rsidRDefault="00A74B52" w:rsidP="00A74B52">
      <w:pPr>
        <w:spacing w:after="0"/>
        <w:rPr>
          <w:rFonts w:ascii="Verdana" w:hAnsi="Verdana"/>
          <w:sz w:val="20"/>
          <w:lang w:val="es-ES"/>
        </w:rPr>
      </w:pPr>
    </w:p>
    <w:p w14:paraId="2F1FDCA2" w14:textId="77777777" w:rsidR="00A74B52" w:rsidRDefault="00A74B52" w:rsidP="00A74B52">
      <w:pPr>
        <w:spacing w:after="0"/>
        <w:rPr>
          <w:rFonts w:ascii="Verdana" w:hAnsi="Verdana"/>
          <w:sz w:val="20"/>
        </w:rPr>
      </w:pPr>
    </w:p>
    <w:p w14:paraId="2764AFC8" w14:textId="77777777" w:rsidR="00A74B52" w:rsidRDefault="00A74B52" w:rsidP="00A74B52">
      <w:pPr>
        <w:spacing w:after="0"/>
        <w:jc w:val="both"/>
        <w:rPr>
          <w:rFonts w:ascii="Verdana" w:hAnsi="Verdana"/>
          <w:sz w:val="20"/>
        </w:rPr>
      </w:pPr>
    </w:p>
    <w:p w14:paraId="5CB84281" w14:textId="77777777" w:rsidR="00A74B52" w:rsidRDefault="00A74B52" w:rsidP="00A74B52">
      <w:pPr>
        <w:spacing w:after="0"/>
        <w:jc w:val="both"/>
        <w:rPr>
          <w:rFonts w:ascii="Verdana" w:hAnsi="Verdana"/>
          <w:sz w:val="20"/>
        </w:rPr>
      </w:pPr>
    </w:p>
    <w:p w14:paraId="23DC2735" w14:textId="77777777" w:rsidR="00A74B52" w:rsidRPr="0019261A" w:rsidRDefault="00A74B52" w:rsidP="00A74B52">
      <w:pPr>
        <w:spacing w:after="0"/>
        <w:jc w:val="center"/>
        <w:rPr>
          <w:rFonts w:ascii="Verdana" w:hAnsi="Verdana"/>
          <w:sz w:val="20"/>
          <w:lang w:val="es-ES"/>
        </w:rPr>
      </w:pPr>
      <w:r w:rsidRPr="0019261A">
        <w:rPr>
          <w:rFonts w:ascii="Verdana" w:hAnsi="Verdana"/>
          <w:sz w:val="20"/>
          <w:lang w:val="es-ES"/>
        </w:rPr>
        <w:t>Pablo Saavedra Alessandri</w:t>
      </w:r>
    </w:p>
    <w:p w14:paraId="4FD8D5A6" w14:textId="77777777" w:rsidR="00A74B52" w:rsidRPr="0019261A" w:rsidRDefault="00A74B52" w:rsidP="00A74B52">
      <w:pPr>
        <w:spacing w:after="0"/>
        <w:jc w:val="center"/>
        <w:rPr>
          <w:rFonts w:ascii="Verdana" w:hAnsi="Verdana"/>
          <w:sz w:val="20"/>
          <w:lang w:val="es-ES"/>
        </w:rPr>
      </w:pPr>
      <w:r>
        <w:rPr>
          <w:rFonts w:ascii="Verdana" w:hAnsi="Verdana"/>
          <w:sz w:val="20"/>
          <w:lang w:val="es-ES"/>
        </w:rPr>
        <w:t>Secreta</w:t>
      </w:r>
      <w:r w:rsidRPr="0019261A">
        <w:rPr>
          <w:rFonts w:ascii="Verdana" w:hAnsi="Verdana"/>
          <w:sz w:val="20"/>
          <w:lang w:val="es-ES"/>
        </w:rPr>
        <w:t>rio</w:t>
      </w:r>
    </w:p>
    <w:p w14:paraId="4C892063" w14:textId="77777777" w:rsidR="00A74B52" w:rsidRPr="0019261A" w:rsidRDefault="00A74B52" w:rsidP="00A74B52">
      <w:pPr>
        <w:pStyle w:val="FootnoteText"/>
        <w:rPr>
          <w:lang w:val="es-ES"/>
        </w:rPr>
      </w:pPr>
    </w:p>
    <w:p w14:paraId="43AC630F" w14:textId="77777777" w:rsidR="00A74B52" w:rsidRPr="0019261A" w:rsidRDefault="00A74B52" w:rsidP="00A74B52">
      <w:pPr>
        <w:pStyle w:val="FootnoteText"/>
        <w:rPr>
          <w:lang w:val="es-ES"/>
        </w:rPr>
      </w:pPr>
    </w:p>
    <w:p w14:paraId="47612245" w14:textId="77777777" w:rsidR="00A74B52" w:rsidRPr="0019261A" w:rsidRDefault="00A74B52" w:rsidP="00A74B52">
      <w:pPr>
        <w:spacing w:after="0"/>
        <w:jc w:val="both"/>
        <w:rPr>
          <w:rFonts w:ascii="Verdana" w:hAnsi="Verdana"/>
          <w:sz w:val="20"/>
          <w:lang w:val="es-ES"/>
        </w:rPr>
      </w:pPr>
      <w:r w:rsidRPr="0019261A">
        <w:rPr>
          <w:rFonts w:ascii="Verdana" w:hAnsi="Verdana"/>
          <w:sz w:val="20"/>
          <w:lang w:val="es-ES"/>
        </w:rPr>
        <w:t>Comuníquese y ejecútese,</w:t>
      </w:r>
    </w:p>
    <w:p w14:paraId="746C9983" w14:textId="77777777" w:rsidR="00A74B52" w:rsidRPr="0019261A" w:rsidRDefault="00A74B52" w:rsidP="00A74B52">
      <w:pPr>
        <w:spacing w:after="0"/>
        <w:rPr>
          <w:rFonts w:ascii="Verdana" w:hAnsi="Verdana"/>
          <w:sz w:val="20"/>
          <w:lang w:val="es-ES"/>
        </w:rPr>
      </w:pPr>
    </w:p>
    <w:p w14:paraId="054A3EBD" w14:textId="77777777" w:rsidR="00A74B52" w:rsidRDefault="00A74B52" w:rsidP="00A74B52">
      <w:pPr>
        <w:spacing w:after="0"/>
        <w:rPr>
          <w:rFonts w:ascii="Verdana" w:hAnsi="Verdana"/>
          <w:sz w:val="20"/>
          <w:lang w:val="es-ES"/>
        </w:rPr>
      </w:pPr>
    </w:p>
    <w:p w14:paraId="492D298B" w14:textId="77777777" w:rsidR="00A74B52" w:rsidRPr="0019261A" w:rsidRDefault="00A74B52" w:rsidP="00A74B52">
      <w:pPr>
        <w:spacing w:after="0"/>
        <w:jc w:val="right"/>
        <w:rPr>
          <w:rFonts w:ascii="Verdana" w:hAnsi="Verdana"/>
          <w:sz w:val="20"/>
          <w:lang w:val="es-ES"/>
        </w:rPr>
      </w:pPr>
    </w:p>
    <w:p w14:paraId="649F84F2" w14:textId="77777777" w:rsidR="00A74B52" w:rsidRPr="0019261A" w:rsidRDefault="00A74B52" w:rsidP="00A74B52">
      <w:pPr>
        <w:spacing w:after="0"/>
        <w:jc w:val="right"/>
        <w:rPr>
          <w:rFonts w:ascii="Verdana" w:hAnsi="Verdana"/>
          <w:sz w:val="20"/>
          <w:lang w:val="es-ES"/>
        </w:rPr>
      </w:pPr>
    </w:p>
    <w:p w14:paraId="56BC34BE" w14:textId="77777777" w:rsidR="00A74B52" w:rsidRPr="0019261A" w:rsidRDefault="00A74B52" w:rsidP="00A74B52">
      <w:pPr>
        <w:spacing w:after="0"/>
        <w:jc w:val="center"/>
        <w:rPr>
          <w:rFonts w:ascii="Verdana" w:hAnsi="Verdana"/>
          <w:sz w:val="20"/>
          <w:lang w:val="es-ES"/>
        </w:rPr>
      </w:pPr>
      <w:r w:rsidRPr="0019261A">
        <w:rPr>
          <w:rFonts w:ascii="Verdana" w:hAnsi="Verdana"/>
          <w:sz w:val="20"/>
          <w:lang w:val="es-ES"/>
        </w:rPr>
        <w:t xml:space="preserve">                                                                                   </w:t>
      </w:r>
      <w:r>
        <w:rPr>
          <w:rFonts w:ascii="Verdana" w:hAnsi="Verdana"/>
          <w:sz w:val="20"/>
          <w:lang w:val="es-ES"/>
        </w:rPr>
        <w:t>Eduardo Ferrer Mac-Gregor Poisot</w:t>
      </w:r>
    </w:p>
    <w:p w14:paraId="0D404E65" w14:textId="1A2987F2" w:rsidR="00A74B52" w:rsidRDefault="00A74B52" w:rsidP="00A74B52">
      <w:pPr>
        <w:spacing w:after="0"/>
        <w:rPr>
          <w:rFonts w:ascii="Verdana" w:hAnsi="Verdana"/>
          <w:sz w:val="20"/>
        </w:rPr>
      </w:pPr>
      <w:r>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Presidente </w:t>
      </w:r>
    </w:p>
    <w:p w14:paraId="770C2558" w14:textId="77777777" w:rsidR="00A74B52" w:rsidRPr="0019261A" w:rsidRDefault="00A74B52" w:rsidP="00A74B52">
      <w:pPr>
        <w:spacing w:after="0"/>
        <w:ind w:firstLine="720"/>
        <w:jc w:val="center"/>
        <w:rPr>
          <w:rFonts w:ascii="Verdana" w:hAnsi="Verdana"/>
          <w:sz w:val="20"/>
          <w:lang w:val="es-ES"/>
        </w:rPr>
      </w:pPr>
    </w:p>
    <w:p w14:paraId="630C55A9" w14:textId="77777777" w:rsidR="00A74B52" w:rsidRPr="0019261A" w:rsidRDefault="00A74B52" w:rsidP="00A74B52">
      <w:pPr>
        <w:spacing w:after="0"/>
        <w:jc w:val="both"/>
        <w:rPr>
          <w:rFonts w:ascii="Verdana" w:hAnsi="Verdana"/>
          <w:sz w:val="20"/>
          <w:lang w:val="es-ES"/>
        </w:rPr>
      </w:pPr>
    </w:p>
    <w:p w14:paraId="6B3F0DDB" w14:textId="77777777" w:rsidR="00A74B52" w:rsidRPr="0019261A" w:rsidRDefault="00A74B52" w:rsidP="00A74B52">
      <w:pPr>
        <w:spacing w:after="0"/>
        <w:jc w:val="both"/>
        <w:rPr>
          <w:rFonts w:ascii="Verdana" w:hAnsi="Verdana"/>
          <w:sz w:val="20"/>
          <w:lang w:val="es-ES"/>
        </w:rPr>
      </w:pPr>
      <w:r w:rsidRPr="0019261A">
        <w:rPr>
          <w:rFonts w:ascii="Verdana" w:hAnsi="Verdana"/>
          <w:sz w:val="20"/>
          <w:lang w:val="es-ES"/>
        </w:rPr>
        <w:t>Pablo Saavedra Alessandri</w:t>
      </w:r>
    </w:p>
    <w:p w14:paraId="6D03861D" w14:textId="77777777" w:rsidR="00A74B52" w:rsidRDefault="00A74B52" w:rsidP="00A74B52">
      <w:pPr>
        <w:spacing w:after="0"/>
      </w:pPr>
      <w:r w:rsidRPr="0019261A">
        <w:rPr>
          <w:rFonts w:ascii="Verdana" w:hAnsi="Verdana"/>
          <w:sz w:val="20"/>
          <w:lang w:val="es-ES"/>
        </w:rPr>
        <w:tab/>
      </w:r>
      <w:r w:rsidRPr="00FC4051">
        <w:rPr>
          <w:rFonts w:ascii="Verdana" w:hAnsi="Verdana"/>
          <w:sz w:val="20"/>
          <w:lang w:val="pt-BR"/>
        </w:rPr>
        <w:t>Secret</w:t>
      </w:r>
      <w:r>
        <w:rPr>
          <w:rFonts w:ascii="Verdana" w:hAnsi="Verdana"/>
          <w:sz w:val="20"/>
          <w:lang w:val="pt-BR"/>
        </w:rPr>
        <w:t>a</w:t>
      </w:r>
      <w:r w:rsidRPr="00FC4051">
        <w:rPr>
          <w:rFonts w:ascii="Verdana" w:hAnsi="Verdana"/>
          <w:sz w:val="20"/>
          <w:lang w:val="pt-BR"/>
        </w:rPr>
        <w:t>rio</w:t>
      </w:r>
    </w:p>
    <w:p w14:paraId="6CDE9D0D" w14:textId="77777777" w:rsidR="004F0CAD" w:rsidRPr="00A74B52" w:rsidRDefault="004F0CAD" w:rsidP="00A74B52">
      <w:pPr>
        <w:spacing w:after="0" w:line="240" w:lineRule="auto"/>
        <w:jc w:val="both"/>
        <w:rPr>
          <w:rFonts w:ascii="Verdana" w:hAnsi="Verdana"/>
          <w:sz w:val="20"/>
          <w:szCs w:val="20"/>
        </w:rPr>
      </w:pPr>
    </w:p>
    <w:sectPr w:rsidR="004F0CAD" w:rsidRPr="00A74B52" w:rsidSect="009815F6">
      <w:headerReference w:type="default" r:id="rId12"/>
      <w:footerReference w:type="default" r:id="rId13"/>
      <w:headerReference w:type="first" r:id="rId14"/>
      <w:pgSz w:w="12240" w:h="15840" w:code="1"/>
      <w:pgMar w:top="1296" w:right="1296" w:bottom="1296" w:left="1296"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A9634" w14:textId="77777777" w:rsidR="0033258C" w:rsidRDefault="0033258C" w:rsidP="004F5E47">
      <w:pPr>
        <w:spacing w:after="0" w:line="240" w:lineRule="auto"/>
      </w:pPr>
      <w:r>
        <w:separator/>
      </w:r>
    </w:p>
  </w:endnote>
  <w:endnote w:type="continuationSeparator" w:id="0">
    <w:p w14:paraId="66BEA7D5" w14:textId="77777777" w:rsidR="0033258C" w:rsidRDefault="0033258C" w:rsidP="004F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E8F3" w14:textId="77777777" w:rsidR="00B9724F" w:rsidRPr="00192D33" w:rsidRDefault="00B9724F" w:rsidP="00507D8A">
    <w:pPr>
      <w:pStyle w:val="Footer"/>
      <w:tabs>
        <w:tab w:val="center" w:pos="5490"/>
        <w:tab w:val="right" w:pos="10980"/>
      </w:tabs>
      <w:ind w:right="720"/>
      <w:jc w:val="center"/>
      <w:rPr>
        <w:sz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7CB40" w14:textId="77777777" w:rsidR="0033258C" w:rsidRDefault="0033258C" w:rsidP="004F5E47">
      <w:pPr>
        <w:spacing w:after="0" w:line="240" w:lineRule="auto"/>
      </w:pPr>
      <w:r>
        <w:separator/>
      </w:r>
    </w:p>
  </w:footnote>
  <w:footnote w:type="continuationSeparator" w:id="0">
    <w:p w14:paraId="5D9DFB78" w14:textId="77777777" w:rsidR="0033258C" w:rsidRDefault="0033258C" w:rsidP="004F5E47">
      <w:pPr>
        <w:spacing w:after="0" w:line="240" w:lineRule="auto"/>
      </w:pPr>
      <w:r>
        <w:continuationSeparator/>
      </w:r>
    </w:p>
  </w:footnote>
  <w:footnote w:id="1">
    <w:p w14:paraId="10B37798" w14:textId="43209F5C" w:rsidR="001A27FB" w:rsidRPr="001A27FB" w:rsidRDefault="001A27FB">
      <w:pPr>
        <w:pStyle w:val="FootnoteText"/>
        <w:rPr>
          <w:szCs w:val="16"/>
          <w:lang w:val="es-CR"/>
        </w:rPr>
      </w:pPr>
      <w:r w:rsidRPr="001A27FB">
        <w:rPr>
          <w:rStyle w:val="FootnoteReference"/>
          <w:szCs w:val="16"/>
        </w:rPr>
        <w:footnoteRef/>
      </w:r>
      <w:r w:rsidRPr="001A27FB">
        <w:rPr>
          <w:szCs w:val="16"/>
          <w:lang w:val="es-CR"/>
        </w:rPr>
        <w:t xml:space="preserve"> </w:t>
      </w:r>
      <w:r>
        <w:rPr>
          <w:szCs w:val="16"/>
          <w:lang w:val="es-CR"/>
        </w:rPr>
        <w:tab/>
      </w:r>
      <w:r w:rsidRPr="001A27FB">
        <w:rPr>
          <w:rFonts w:cs="Verdana"/>
          <w:szCs w:val="16"/>
          <w:lang w:val="es-ES"/>
        </w:rPr>
        <w:t xml:space="preserve">Indicó también que </w:t>
      </w:r>
      <w:r w:rsidR="00105E1A">
        <w:rPr>
          <w:rFonts w:cs="Verdana"/>
          <w:szCs w:val="16"/>
          <w:lang w:val="es-ES"/>
        </w:rPr>
        <w:t xml:space="preserve"> otras personas </w:t>
      </w:r>
      <w:r w:rsidRPr="001A27FB">
        <w:rPr>
          <w:rFonts w:cs="Verdana"/>
          <w:szCs w:val="16"/>
          <w:lang w:val="es-ES"/>
        </w:rPr>
        <w:t>“en los mismos hechos</w:t>
      </w:r>
      <w:r w:rsidR="00105E1A">
        <w:rPr>
          <w:rFonts w:cs="Verdana"/>
          <w:szCs w:val="16"/>
          <w:lang w:val="es-ES"/>
        </w:rPr>
        <w:t xml:space="preserve"> […] </w:t>
      </w:r>
      <w:r w:rsidRPr="001A27FB">
        <w:rPr>
          <w:rFonts w:cs="Verdana"/>
          <w:szCs w:val="16"/>
          <w:lang w:val="es-ES"/>
        </w:rPr>
        <w:t>resultaron heridas, tres de las cuales fallecieron posteriormente debido a las heridas causadas”.</w:t>
      </w:r>
    </w:p>
  </w:footnote>
  <w:footnote w:id="2">
    <w:p w14:paraId="4D1B9184" w14:textId="2DE7BFFC" w:rsidR="00B9724F" w:rsidRPr="00711253" w:rsidRDefault="00B9724F" w:rsidP="00711253">
      <w:pPr>
        <w:pStyle w:val="FootnoteText"/>
        <w:rPr>
          <w:szCs w:val="16"/>
          <w:lang w:val="es-CR"/>
        </w:rPr>
      </w:pPr>
      <w:r w:rsidRPr="00711253">
        <w:rPr>
          <w:rStyle w:val="FootnoteReference"/>
          <w:szCs w:val="16"/>
        </w:rPr>
        <w:footnoteRef/>
      </w:r>
      <w:r w:rsidRPr="00711253">
        <w:rPr>
          <w:szCs w:val="16"/>
          <w:lang w:val="es-CR"/>
        </w:rPr>
        <w:t xml:space="preserve"> </w:t>
      </w:r>
      <w:r w:rsidR="00711253">
        <w:rPr>
          <w:szCs w:val="16"/>
          <w:lang w:val="es-CR"/>
        </w:rPr>
        <w:tab/>
      </w:r>
      <w:r w:rsidRPr="00711253">
        <w:rPr>
          <w:i/>
          <w:iCs/>
          <w:szCs w:val="16"/>
          <w:lang w:val="es-CR"/>
        </w:rPr>
        <w:t>Cfr. Asunto James y otros respecto Trinidad y Tobago. Medidas Provisionales</w:t>
      </w:r>
      <w:r w:rsidRPr="00711253">
        <w:rPr>
          <w:szCs w:val="16"/>
          <w:lang w:val="es-CR"/>
        </w:rPr>
        <w:t xml:space="preserve">. Resolución de la Corte Interamericana de Derechos Humanos de 14 de junio de 1998, Considerando 6, y </w:t>
      </w:r>
      <w:r w:rsidR="005170F5" w:rsidRPr="00711253">
        <w:rPr>
          <w:i/>
          <w:szCs w:val="16"/>
          <w:lang w:val="es-CR"/>
        </w:rPr>
        <w:t>Asunto Milagro Sala respecto de Argentina. Solicitud de Medidas Provisionales.</w:t>
      </w:r>
      <w:r w:rsidR="005170F5" w:rsidRPr="00711253">
        <w:rPr>
          <w:szCs w:val="16"/>
          <w:lang w:val="es-CR"/>
        </w:rPr>
        <w:t xml:space="preserve"> Resolución de la Corte Interamericana de Derechos Humanos de 23 de noviembre de 2017, Considerando 4.</w:t>
      </w:r>
      <w:r w:rsidRPr="00711253">
        <w:rPr>
          <w:szCs w:val="16"/>
          <w:lang w:val="es-CR"/>
        </w:rPr>
        <w:t xml:space="preserve"> </w:t>
      </w:r>
    </w:p>
  </w:footnote>
  <w:footnote w:id="3">
    <w:p w14:paraId="2773EBED" w14:textId="609A55BE" w:rsidR="00B9724F" w:rsidRPr="00711253" w:rsidRDefault="00B9724F" w:rsidP="00711253">
      <w:pPr>
        <w:tabs>
          <w:tab w:val="left" w:pos="567"/>
        </w:tabs>
        <w:spacing w:after="0" w:line="240" w:lineRule="auto"/>
        <w:jc w:val="both"/>
        <w:rPr>
          <w:rFonts w:ascii="Verdana" w:hAnsi="Verdana"/>
          <w:sz w:val="16"/>
          <w:szCs w:val="16"/>
        </w:rPr>
      </w:pPr>
      <w:r w:rsidRPr="00711253">
        <w:rPr>
          <w:rStyle w:val="FootnoteReference"/>
          <w:rFonts w:ascii="Verdana" w:hAnsi="Verdana"/>
          <w:sz w:val="16"/>
          <w:szCs w:val="16"/>
        </w:rPr>
        <w:footnoteRef/>
      </w:r>
      <w:r w:rsidRPr="00711253">
        <w:rPr>
          <w:rFonts w:ascii="Verdana" w:hAnsi="Verdana"/>
          <w:sz w:val="16"/>
          <w:szCs w:val="16"/>
        </w:rPr>
        <w:t xml:space="preserve"> </w:t>
      </w:r>
      <w:r w:rsidRPr="00711253">
        <w:rPr>
          <w:rFonts w:ascii="Verdana" w:hAnsi="Verdana"/>
          <w:sz w:val="16"/>
          <w:szCs w:val="16"/>
        </w:rPr>
        <w:tab/>
      </w:r>
      <w:r w:rsidRPr="00711253">
        <w:rPr>
          <w:rFonts w:ascii="Verdana" w:hAnsi="Verdana"/>
          <w:i/>
          <w:sz w:val="16"/>
          <w:szCs w:val="16"/>
        </w:rPr>
        <w:t>Cfr.</w:t>
      </w:r>
      <w:r w:rsidRPr="00711253">
        <w:rPr>
          <w:rFonts w:ascii="Verdana" w:hAnsi="Verdana"/>
          <w:sz w:val="16"/>
          <w:szCs w:val="16"/>
        </w:rPr>
        <w:t xml:space="preserve"> </w:t>
      </w:r>
      <w:r w:rsidRPr="00711253">
        <w:rPr>
          <w:rFonts w:ascii="Verdana" w:hAnsi="Verdana"/>
          <w:i/>
          <w:sz w:val="16"/>
          <w:szCs w:val="16"/>
        </w:rPr>
        <w:t>Caso Herrera Ulloa respecto Costa Rica.</w:t>
      </w:r>
      <w:r w:rsidRPr="00711253">
        <w:rPr>
          <w:rFonts w:ascii="Verdana" w:hAnsi="Verdana"/>
          <w:sz w:val="16"/>
          <w:szCs w:val="16"/>
        </w:rPr>
        <w:t xml:space="preserve"> Medidas Provisionales. Resolución de la Corte Interamericana de Derechos Humanos de 7 de septiembre de 2001, Considerando 4, </w:t>
      </w:r>
      <w:r w:rsidRPr="00711253">
        <w:rPr>
          <w:rFonts w:ascii="Verdana" w:hAnsi="Verdana"/>
          <w:bCs/>
          <w:color w:val="000000"/>
          <w:sz w:val="16"/>
          <w:szCs w:val="16"/>
        </w:rPr>
        <w:t xml:space="preserve">y </w:t>
      </w:r>
      <w:r w:rsidR="005170F5" w:rsidRPr="00711253">
        <w:rPr>
          <w:rFonts w:ascii="Verdana" w:hAnsi="Verdana"/>
          <w:bCs/>
          <w:i/>
          <w:color w:val="000000"/>
          <w:sz w:val="16"/>
          <w:szCs w:val="16"/>
        </w:rPr>
        <w:t>Caso Durand y Ugarte Vs. Perú. Medidas Provisionales.</w:t>
      </w:r>
      <w:r w:rsidR="005170F5" w:rsidRPr="00711253">
        <w:rPr>
          <w:rFonts w:ascii="Verdana" w:hAnsi="Verdana"/>
          <w:bCs/>
          <w:color w:val="000000"/>
          <w:sz w:val="16"/>
          <w:szCs w:val="16"/>
        </w:rPr>
        <w:t xml:space="preserve"> Adopción de Medidas Urgentes. Resolución del Presidente de la Corte Interamericana de Derechos Humanos de 17 de diciembre del 2017, Considerando 6</w:t>
      </w:r>
      <w:r w:rsidRPr="00711253">
        <w:rPr>
          <w:rFonts w:ascii="Verdana" w:hAnsi="Verdana"/>
          <w:bCs/>
          <w:color w:val="000000"/>
          <w:sz w:val="16"/>
          <w:szCs w:val="16"/>
        </w:rPr>
        <w:t xml:space="preserve">. </w:t>
      </w:r>
    </w:p>
  </w:footnote>
  <w:footnote w:id="4">
    <w:p w14:paraId="200DB2F8" w14:textId="2EBCE0EB" w:rsidR="00B9724F" w:rsidRPr="00711253" w:rsidRDefault="00B9724F" w:rsidP="00711253">
      <w:pPr>
        <w:pStyle w:val="FootnoteText"/>
        <w:rPr>
          <w:szCs w:val="16"/>
          <w:lang w:val="es-CR"/>
        </w:rPr>
      </w:pPr>
      <w:r w:rsidRPr="00711253">
        <w:rPr>
          <w:rStyle w:val="FootnoteReference"/>
          <w:szCs w:val="16"/>
        </w:rPr>
        <w:footnoteRef/>
      </w:r>
      <w:r w:rsidRPr="00711253">
        <w:rPr>
          <w:szCs w:val="16"/>
          <w:lang w:val="es-CR"/>
        </w:rPr>
        <w:t xml:space="preserve"> </w:t>
      </w:r>
      <w:r w:rsidR="00711253">
        <w:rPr>
          <w:szCs w:val="16"/>
          <w:lang w:val="es-CR"/>
        </w:rPr>
        <w:tab/>
      </w:r>
      <w:r w:rsidRPr="00711253">
        <w:rPr>
          <w:i/>
          <w:iCs/>
          <w:szCs w:val="16"/>
          <w:lang w:val="es-CR"/>
        </w:rPr>
        <w:t xml:space="preserve">Cfr. Caso Carpio Nicolle y otros respecto Guatemala. Medidas Provisionales. </w:t>
      </w:r>
      <w:r w:rsidRPr="00711253">
        <w:rPr>
          <w:szCs w:val="16"/>
          <w:lang w:val="es-CR"/>
        </w:rPr>
        <w:t xml:space="preserve">Resolución de la Corte Interamericana de Derechos Humanos de 6 de julio de 2009, Considerando 14  </w:t>
      </w:r>
    </w:p>
  </w:footnote>
  <w:footnote w:id="5">
    <w:p w14:paraId="6B9435A9" w14:textId="1F0D5DF5" w:rsidR="00B9724F" w:rsidRPr="00711253" w:rsidRDefault="00B9724F" w:rsidP="00711253">
      <w:pPr>
        <w:pStyle w:val="Default"/>
        <w:jc w:val="both"/>
        <w:rPr>
          <w:sz w:val="16"/>
          <w:szCs w:val="16"/>
        </w:rPr>
      </w:pPr>
      <w:r w:rsidRPr="00711253">
        <w:rPr>
          <w:rStyle w:val="FootnoteReference"/>
          <w:sz w:val="16"/>
          <w:szCs w:val="16"/>
        </w:rPr>
        <w:footnoteRef/>
      </w:r>
      <w:r w:rsidRPr="00711253">
        <w:rPr>
          <w:sz w:val="16"/>
          <w:szCs w:val="16"/>
        </w:rPr>
        <w:t xml:space="preserve"> </w:t>
      </w:r>
      <w:r w:rsidR="00711253">
        <w:rPr>
          <w:sz w:val="16"/>
          <w:szCs w:val="16"/>
        </w:rPr>
        <w:tab/>
      </w:r>
      <w:r w:rsidRPr="00711253">
        <w:rPr>
          <w:i/>
          <w:iCs/>
          <w:sz w:val="16"/>
          <w:szCs w:val="16"/>
        </w:rPr>
        <w:t xml:space="preserve">Cfr. Asunto Belfort Istúriz y otros respecto Venezuela. Medidas Provisionales. </w:t>
      </w:r>
      <w:r w:rsidRPr="00711253">
        <w:rPr>
          <w:sz w:val="16"/>
          <w:szCs w:val="16"/>
        </w:rPr>
        <w:t xml:space="preserve">Resolución de la Corte de 15 de </w:t>
      </w:r>
    </w:p>
    <w:p w14:paraId="067B56C7" w14:textId="2FDB750E" w:rsidR="00B9724F" w:rsidRPr="00711253" w:rsidRDefault="00B9724F" w:rsidP="00711253">
      <w:pPr>
        <w:pStyle w:val="FootnoteText"/>
        <w:rPr>
          <w:szCs w:val="16"/>
          <w:lang w:val="es-CR"/>
        </w:rPr>
      </w:pPr>
      <w:r w:rsidRPr="00711253">
        <w:rPr>
          <w:rFonts w:cs="Verdana"/>
          <w:color w:val="000000"/>
          <w:szCs w:val="16"/>
          <w:lang w:val="es-CR"/>
        </w:rPr>
        <w:t xml:space="preserve">abril de 2010, Considerando 5  </w:t>
      </w:r>
    </w:p>
  </w:footnote>
  <w:footnote w:id="6">
    <w:p w14:paraId="6BEF67D5" w14:textId="5EDA3786" w:rsidR="00B9724F" w:rsidRPr="00711253" w:rsidRDefault="00B9724F" w:rsidP="00711253">
      <w:pPr>
        <w:pStyle w:val="FootnoteText"/>
        <w:rPr>
          <w:szCs w:val="16"/>
          <w:lang w:val="es-CR"/>
        </w:rPr>
      </w:pPr>
      <w:r w:rsidRPr="00711253">
        <w:rPr>
          <w:rStyle w:val="FootnoteReference"/>
          <w:szCs w:val="16"/>
        </w:rPr>
        <w:footnoteRef/>
      </w:r>
      <w:r w:rsidRPr="00711253">
        <w:rPr>
          <w:szCs w:val="16"/>
          <w:lang w:val="es-CR"/>
        </w:rPr>
        <w:t xml:space="preserve"> </w:t>
      </w:r>
      <w:r w:rsidR="00711253">
        <w:rPr>
          <w:szCs w:val="16"/>
          <w:lang w:val="es-CR"/>
        </w:rPr>
        <w:tab/>
      </w:r>
      <w:r w:rsidRPr="00711253">
        <w:rPr>
          <w:i/>
          <w:iCs/>
          <w:szCs w:val="16"/>
          <w:lang w:val="es-CR"/>
        </w:rPr>
        <w:t>Cfr. Asuntos Internado Judicial de Monagas (“La Pica”) respecto de Venezuela. Medidas Provisionales</w:t>
      </w:r>
      <w:r w:rsidRPr="00711253">
        <w:rPr>
          <w:szCs w:val="16"/>
          <w:lang w:val="es-CR"/>
        </w:rPr>
        <w:t xml:space="preserve">. Resolución de la Corte Interamericana de Derechos Humanos de 24 de noviembre de 2009, Considerando 3,  </w:t>
      </w:r>
    </w:p>
  </w:footnote>
  <w:footnote w:id="7">
    <w:p w14:paraId="34D17211" w14:textId="7491005E" w:rsidR="00B9724F" w:rsidRPr="00711253" w:rsidRDefault="00B9724F" w:rsidP="00711253">
      <w:pPr>
        <w:pStyle w:val="FootnoteText"/>
        <w:rPr>
          <w:szCs w:val="16"/>
          <w:lang w:val="es-CR"/>
        </w:rPr>
      </w:pPr>
      <w:r w:rsidRPr="00711253">
        <w:rPr>
          <w:rStyle w:val="FootnoteReference"/>
          <w:szCs w:val="16"/>
        </w:rPr>
        <w:footnoteRef/>
      </w:r>
      <w:r w:rsidRPr="00711253">
        <w:rPr>
          <w:szCs w:val="16"/>
          <w:lang w:val="es-CR"/>
        </w:rPr>
        <w:t xml:space="preserve"> </w:t>
      </w:r>
      <w:r w:rsidR="00711253">
        <w:rPr>
          <w:szCs w:val="16"/>
          <w:lang w:val="es-CR"/>
        </w:rPr>
        <w:tab/>
      </w:r>
      <w:r w:rsidRPr="00711253">
        <w:rPr>
          <w:i/>
          <w:iCs/>
          <w:szCs w:val="16"/>
          <w:lang w:val="es-CR"/>
        </w:rPr>
        <w:t xml:space="preserve">Cfr. Caso Carpio Nicolle y otros respecto Guatemala. Medidas Provisionales. </w:t>
      </w:r>
      <w:r w:rsidRPr="00711253">
        <w:rPr>
          <w:szCs w:val="16"/>
          <w:lang w:val="es-CR"/>
        </w:rPr>
        <w:t xml:space="preserve">Resolución de la Corte Interamericana de Derechos Humanos de 6 de julio de 2009, Considerando 14, </w:t>
      </w:r>
      <w:r w:rsidR="005170F5" w:rsidRPr="00711253">
        <w:rPr>
          <w:szCs w:val="16"/>
          <w:lang w:val="es-CR"/>
        </w:rPr>
        <w:t xml:space="preserve">y </w:t>
      </w:r>
      <w:r w:rsidR="005170F5" w:rsidRPr="00711253">
        <w:rPr>
          <w:bCs/>
          <w:i/>
          <w:color w:val="000000"/>
          <w:szCs w:val="16"/>
          <w:lang w:val="es-CR"/>
        </w:rPr>
        <w:t>Caso Durand y Ugarte Vs. Perú. Medidas Provisionales.</w:t>
      </w:r>
      <w:r w:rsidR="005170F5" w:rsidRPr="00711253">
        <w:rPr>
          <w:bCs/>
          <w:color w:val="000000"/>
          <w:szCs w:val="16"/>
          <w:lang w:val="es-CR"/>
        </w:rPr>
        <w:t xml:space="preserve"> Adopción de Medidas Urgentes. Resolución del Presidente de la Corte Interamericana de Derechos Humanos de 17 de diciembre del 2017, Considerando 13.</w:t>
      </w:r>
    </w:p>
  </w:footnote>
  <w:footnote w:id="8">
    <w:p w14:paraId="0F5F247F" w14:textId="44C56DD1" w:rsidR="00105E1A" w:rsidRPr="00105E1A" w:rsidRDefault="00105E1A">
      <w:pPr>
        <w:pStyle w:val="FootnoteText"/>
        <w:rPr>
          <w:lang w:val="es-CR"/>
        </w:rPr>
      </w:pPr>
      <w:r>
        <w:rPr>
          <w:rStyle w:val="FootnoteReference"/>
        </w:rPr>
        <w:footnoteRef/>
      </w:r>
      <w:r w:rsidRPr="00105E1A">
        <w:rPr>
          <w:lang w:val="es-CR"/>
        </w:rPr>
        <w:t xml:space="preserve"> </w:t>
      </w:r>
      <w:r>
        <w:rPr>
          <w:lang w:val="es-CR"/>
        </w:rPr>
        <w:t xml:space="preserve"> </w:t>
      </w:r>
      <w:r>
        <w:rPr>
          <w:lang w:val="es-CR"/>
        </w:rPr>
        <w:tab/>
        <w:t>Pese a serle requerido, la Comisión Interamericana de Derechos Humanos no presentó observaciones (</w:t>
      </w:r>
      <w:r>
        <w:rPr>
          <w:i/>
          <w:lang w:val="es-CR"/>
        </w:rPr>
        <w:t>infra</w:t>
      </w:r>
      <w:r>
        <w:rPr>
          <w:lang w:val="es-CR"/>
        </w:rPr>
        <w:t xml:space="preserve"> Considerando 11). </w:t>
      </w:r>
    </w:p>
  </w:footnote>
  <w:footnote w:id="9">
    <w:p w14:paraId="2445DA9B" w14:textId="79C81D8A" w:rsidR="00B9724F" w:rsidRPr="00711253" w:rsidRDefault="00B9724F" w:rsidP="00711253">
      <w:pPr>
        <w:pStyle w:val="FootnoteText"/>
        <w:rPr>
          <w:szCs w:val="16"/>
          <w:lang w:val="es-CR"/>
        </w:rPr>
      </w:pPr>
      <w:r w:rsidRPr="00711253">
        <w:rPr>
          <w:rStyle w:val="FootnoteReference"/>
          <w:szCs w:val="16"/>
        </w:rPr>
        <w:footnoteRef/>
      </w:r>
      <w:r w:rsidRPr="00711253">
        <w:rPr>
          <w:szCs w:val="16"/>
          <w:lang w:val="es-CR"/>
        </w:rPr>
        <w:t xml:space="preserve"> </w:t>
      </w:r>
      <w:r w:rsidR="00711253">
        <w:rPr>
          <w:szCs w:val="16"/>
          <w:lang w:val="es-CR"/>
        </w:rPr>
        <w:tab/>
      </w:r>
      <w:r w:rsidRPr="00711253">
        <w:rPr>
          <w:i/>
          <w:szCs w:val="16"/>
          <w:lang w:val="es-CR"/>
        </w:rPr>
        <w:t xml:space="preserve">Cfr. </w:t>
      </w:r>
      <w:r w:rsidRPr="00711253">
        <w:rPr>
          <w:szCs w:val="16"/>
          <w:lang w:val="es-CR"/>
        </w:rPr>
        <w:t xml:space="preserve">Informe de Admisibilidad y Fondo, párrs. 51, 53, 54, 55, 74, 92, 94 y 98. </w:t>
      </w:r>
    </w:p>
  </w:footnote>
  <w:footnote w:id="10">
    <w:p w14:paraId="41B7AB9B" w14:textId="0D224008" w:rsidR="00B9724F" w:rsidRPr="00711253" w:rsidRDefault="00B9724F" w:rsidP="00711253">
      <w:pPr>
        <w:pStyle w:val="FootnoteText"/>
        <w:rPr>
          <w:szCs w:val="16"/>
          <w:lang w:val="es-CR"/>
        </w:rPr>
      </w:pPr>
      <w:r w:rsidRPr="00711253">
        <w:rPr>
          <w:rStyle w:val="FootnoteReference"/>
          <w:szCs w:val="16"/>
        </w:rPr>
        <w:footnoteRef/>
      </w:r>
      <w:r w:rsidRPr="00711253">
        <w:rPr>
          <w:szCs w:val="16"/>
          <w:lang w:val="es-CR"/>
        </w:rPr>
        <w:t xml:space="preserve"> </w:t>
      </w:r>
      <w:r w:rsidR="00711253">
        <w:rPr>
          <w:szCs w:val="16"/>
          <w:lang w:val="es-CR"/>
        </w:rPr>
        <w:tab/>
      </w:r>
      <w:r w:rsidRPr="00711253">
        <w:rPr>
          <w:i/>
          <w:iCs/>
          <w:szCs w:val="16"/>
          <w:lang w:val="es-CR"/>
        </w:rPr>
        <w:t>Cfr</w:t>
      </w:r>
      <w:r w:rsidRPr="00711253">
        <w:rPr>
          <w:szCs w:val="16"/>
          <w:lang w:val="es-CR"/>
        </w:rPr>
        <w:t xml:space="preserve">. </w:t>
      </w:r>
      <w:r w:rsidRPr="00711253">
        <w:rPr>
          <w:i/>
          <w:iCs/>
          <w:szCs w:val="16"/>
          <w:lang w:val="es-CR"/>
        </w:rPr>
        <w:t xml:space="preserve">Caso Raxcacó Reyes y otros. Medidas Provisionales respecto de Guatemala. </w:t>
      </w:r>
      <w:r w:rsidRPr="00711253">
        <w:rPr>
          <w:szCs w:val="16"/>
          <w:lang w:val="es-CR"/>
        </w:rPr>
        <w:t xml:space="preserve">Resolución de la Corte de 30 de agosto de 2004, Considerando 10, y </w:t>
      </w:r>
      <w:r w:rsidRPr="00711253">
        <w:rPr>
          <w:i/>
          <w:szCs w:val="16"/>
          <w:lang w:val="es-CR"/>
        </w:rPr>
        <w:t>Caso Fernández Ortega y otros Vs. México. Medidas Provisionales</w:t>
      </w:r>
      <w:r w:rsidRPr="00711253">
        <w:rPr>
          <w:szCs w:val="16"/>
          <w:lang w:val="es-CR"/>
        </w:rPr>
        <w:t>. Resolución de la Corte Interamericana de Derechos Humanos de 7 de febrero de 2017, Considerando 17.</w:t>
      </w:r>
    </w:p>
  </w:footnote>
  <w:footnote w:id="11">
    <w:p w14:paraId="5F23C103" w14:textId="75FF20FC" w:rsidR="00B9724F" w:rsidRPr="00711253" w:rsidRDefault="00B9724F" w:rsidP="00711253">
      <w:pPr>
        <w:pStyle w:val="FootnoteText"/>
        <w:rPr>
          <w:szCs w:val="16"/>
          <w:lang w:val="es-CR"/>
        </w:rPr>
      </w:pPr>
      <w:r w:rsidRPr="00711253">
        <w:rPr>
          <w:rStyle w:val="FootnoteReference"/>
          <w:szCs w:val="16"/>
        </w:rPr>
        <w:footnoteRef/>
      </w:r>
      <w:r w:rsidRPr="00711253">
        <w:rPr>
          <w:szCs w:val="16"/>
          <w:lang w:val="es-CR"/>
        </w:rPr>
        <w:t xml:space="preserve"> </w:t>
      </w:r>
      <w:r w:rsidR="00711253">
        <w:rPr>
          <w:szCs w:val="16"/>
          <w:lang w:val="es-CR"/>
        </w:rPr>
        <w:tab/>
      </w:r>
      <w:r w:rsidRPr="00711253">
        <w:rPr>
          <w:i/>
          <w:iCs/>
          <w:szCs w:val="16"/>
          <w:lang w:val="es-CR"/>
        </w:rPr>
        <w:t>Cfr. Caso Carpio Nicolle</w:t>
      </w:r>
      <w:r w:rsidRPr="00711253">
        <w:rPr>
          <w:szCs w:val="16"/>
          <w:lang w:val="es-CR"/>
        </w:rPr>
        <w:t xml:space="preserve">. </w:t>
      </w:r>
      <w:r w:rsidRPr="00711253">
        <w:rPr>
          <w:i/>
          <w:szCs w:val="16"/>
          <w:lang w:val="es-CR"/>
        </w:rPr>
        <w:t>Medidas Provisionales respecto de Guatemala.</w:t>
      </w:r>
      <w:r w:rsidRPr="00711253">
        <w:rPr>
          <w:szCs w:val="16"/>
          <w:lang w:val="es-CR"/>
        </w:rPr>
        <w:t xml:space="preserve"> Resolución de la Corte de 6 de julio de 2009 Considerando 26, y </w:t>
      </w:r>
      <w:r w:rsidRPr="00711253">
        <w:rPr>
          <w:i/>
          <w:szCs w:val="16"/>
          <w:lang w:val="es-CR"/>
        </w:rPr>
        <w:t>Asunto Integrantes de la Comunidad Indígena de Choréachi respecto de México. Solicitud de medidas provisionales.</w:t>
      </w:r>
      <w:r w:rsidRPr="00711253">
        <w:rPr>
          <w:szCs w:val="16"/>
          <w:lang w:val="es-CR"/>
        </w:rPr>
        <w:t xml:space="preserve"> Resolución de la Corte Interamericana de Derechos Humanos de 25 de marzo de 2017, Considerando 19.  </w:t>
      </w:r>
    </w:p>
  </w:footnote>
  <w:footnote w:id="12">
    <w:p w14:paraId="79B0801B" w14:textId="57A15895" w:rsidR="00B9724F" w:rsidRPr="00711253" w:rsidRDefault="00B9724F" w:rsidP="00711253">
      <w:pPr>
        <w:pStyle w:val="FootnoteText"/>
        <w:rPr>
          <w:szCs w:val="16"/>
          <w:lang w:val="es-CR"/>
        </w:rPr>
      </w:pPr>
      <w:r w:rsidRPr="00711253">
        <w:rPr>
          <w:rStyle w:val="FootnoteReference"/>
          <w:szCs w:val="16"/>
        </w:rPr>
        <w:footnoteRef/>
      </w:r>
      <w:r w:rsidRPr="00711253">
        <w:rPr>
          <w:szCs w:val="16"/>
          <w:lang w:val="es-CR"/>
        </w:rPr>
        <w:t xml:space="preserve"> </w:t>
      </w:r>
      <w:r w:rsidR="00711253">
        <w:rPr>
          <w:szCs w:val="16"/>
          <w:lang w:val="es-CR"/>
        </w:rPr>
        <w:tab/>
      </w:r>
      <w:r w:rsidRPr="00711253">
        <w:rPr>
          <w:i/>
          <w:iCs/>
          <w:szCs w:val="16"/>
          <w:lang w:val="es-CR"/>
        </w:rPr>
        <w:t>Cfr. Caso Carpio Nicolle</w:t>
      </w:r>
      <w:r w:rsidRPr="00711253">
        <w:rPr>
          <w:szCs w:val="16"/>
          <w:lang w:val="es-CR"/>
        </w:rPr>
        <w:t xml:space="preserve">. </w:t>
      </w:r>
      <w:r w:rsidRPr="00711253">
        <w:rPr>
          <w:i/>
          <w:szCs w:val="16"/>
          <w:lang w:val="es-CR"/>
        </w:rPr>
        <w:t>Medidas Provisionales respecto de Guatemala.</w:t>
      </w:r>
      <w:r w:rsidRPr="00711253">
        <w:rPr>
          <w:szCs w:val="16"/>
          <w:lang w:val="es-CR"/>
        </w:rPr>
        <w:t xml:space="preserve"> Resolución de la Corte de 6 de julio de 2009 Considerando 26, y </w:t>
      </w:r>
      <w:r w:rsidRPr="00711253">
        <w:rPr>
          <w:i/>
          <w:szCs w:val="16"/>
          <w:lang w:val="es-CR"/>
        </w:rPr>
        <w:t>Asunto Integrantes de la Comunidad Indígena de Choréachi respecto de México. Solicitud de medidas provisionales.</w:t>
      </w:r>
      <w:r w:rsidRPr="00711253">
        <w:rPr>
          <w:szCs w:val="16"/>
          <w:lang w:val="es-CR"/>
        </w:rPr>
        <w:t xml:space="preserve"> Resolución de la Corte Interamericana de Derechos Humanos de 25 de marzo de 2017, Considerando 19.  </w:t>
      </w:r>
    </w:p>
  </w:footnote>
  <w:footnote w:id="13">
    <w:p w14:paraId="05FC6A01" w14:textId="63D041B1" w:rsidR="00B9724F" w:rsidRPr="00711253" w:rsidRDefault="00B9724F" w:rsidP="00711253">
      <w:pPr>
        <w:pStyle w:val="FootnoteText"/>
        <w:rPr>
          <w:szCs w:val="16"/>
          <w:lang w:val="es-CR"/>
        </w:rPr>
      </w:pPr>
      <w:r w:rsidRPr="00711253">
        <w:rPr>
          <w:rStyle w:val="FootnoteReference"/>
          <w:szCs w:val="16"/>
        </w:rPr>
        <w:footnoteRef/>
      </w:r>
      <w:r w:rsidRPr="00711253">
        <w:rPr>
          <w:szCs w:val="16"/>
          <w:lang w:val="es-CR"/>
        </w:rPr>
        <w:t xml:space="preserve"> </w:t>
      </w:r>
      <w:r w:rsidR="00711253">
        <w:rPr>
          <w:szCs w:val="16"/>
          <w:lang w:val="es-CR"/>
        </w:rPr>
        <w:tab/>
      </w:r>
      <w:r w:rsidRPr="00711253">
        <w:rPr>
          <w:i/>
          <w:iCs/>
          <w:szCs w:val="16"/>
          <w:lang w:val="es-CR"/>
        </w:rPr>
        <w:t>Cfr</w:t>
      </w:r>
      <w:r w:rsidRPr="00711253">
        <w:rPr>
          <w:szCs w:val="16"/>
          <w:lang w:val="es-CR"/>
        </w:rPr>
        <w:t xml:space="preserve">. </w:t>
      </w:r>
      <w:r w:rsidRPr="00711253">
        <w:rPr>
          <w:i/>
          <w:iCs/>
          <w:szCs w:val="16"/>
          <w:lang w:val="es-CR"/>
        </w:rPr>
        <w:t>Asunto Gallardo Rodríguez</w:t>
      </w:r>
      <w:r w:rsidRPr="00711253">
        <w:rPr>
          <w:szCs w:val="16"/>
          <w:lang w:val="es-CR"/>
        </w:rPr>
        <w:t xml:space="preserve">. Medidas provisionales respecto de México. </w:t>
      </w:r>
      <w:r w:rsidRPr="00AC27B5">
        <w:rPr>
          <w:szCs w:val="16"/>
          <w:lang w:val="es-CR"/>
        </w:rPr>
        <w:t xml:space="preserve">Resolución de la Corte de 18 de febrero de 2002, Considerando 6. </w:t>
      </w:r>
    </w:p>
  </w:footnote>
  <w:footnote w:id="14">
    <w:p w14:paraId="6BEB3247" w14:textId="169BA478" w:rsidR="005170F5" w:rsidRPr="00711253" w:rsidRDefault="005170F5" w:rsidP="00711253">
      <w:pPr>
        <w:pStyle w:val="FootnoteText"/>
        <w:rPr>
          <w:szCs w:val="16"/>
          <w:lang w:val="es-CR"/>
        </w:rPr>
      </w:pPr>
      <w:r w:rsidRPr="00711253">
        <w:rPr>
          <w:rStyle w:val="FootnoteReference"/>
          <w:szCs w:val="16"/>
        </w:rPr>
        <w:footnoteRef/>
      </w:r>
      <w:r w:rsidRPr="00711253">
        <w:rPr>
          <w:szCs w:val="16"/>
          <w:lang w:val="es-CR"/>
        </w:rPr>
        <w:t xml:space="preserve"> </w:t>
      </w:r>
      <w:r w:rsidR="00711253">
        <w:rPr>
          <w:szCs w:val="16"/>
          <w:lang w:val="es-CR"/>
        </w:rPr>
        <w:tab/>
      </w:r>
      <w:r w:rsidRPr="00711253">
        <w:rPr>
          <w:rStyle w:val="Strong"/>
          <w:b w:val="0"/>
          <w:i/>
          <w:szCs w:val="16"/>
          <w:lang w:val="es-CR"/>
        </w:rPr>
        <w:t>Asunto González Medina y familiares respecto de República Dominicana. Medidas Provisionales.</w:t>
      </w:r>
      <w:r w:rsidRPr="00711253">
        <w:rPr>
          <w:rStyle w:val="Strong"/>
          <w:b w:val="0"/>
          <w:szCs w:val="16"/>
          <w:lang w:val="es-CR"/>
        </w:rPr>
        <w:t xml:space="preserve"> Resolución de la Corte Interamericana de Derechos </w:t>
      </w:r>
      <w:r w:rsidR="00B27977" w:rsidRPr="00711253">
        <w:rPr>
          <w:rStyle w:val="Strong"/>
          <w:b w:val="0"/>
          <w:szCs w:val="16"/>
          <w:lang w:val="es-CR"/>
        </w:rPr>
        <w:t>Humanos de 30 de agosto de 2011, Considerando 7.</w:t>
      </w:r>
    </w:p>
  </w:footnote>
  <w:footnote w:id="15">
    <w:p w14:paraId="1AB044B1" w14:textId="6C015CB1" w:rsidR="00B9724F" w:rsidRPr="00711253" w:rsidRDefault="00B9724F" w:rsidP="00711253">
      <w:pPr>
        <w:pStyle w:val="FootnoteText"/>
        <w:rPr>
          <w:szCs w:val="16"/>
          <w:lang w:val="es-CR"/>
        </w:rPr>
      </w:pPr>
      <w:r w:rsidRPr="00711253">
        <w:rPr>
          <w:rStyle w:val="FootnoteReference"/>
          <w:szCs w:val="16"/>
        </w:rPr>
        <w:footnoteRef/>
      </w:r>
      <w:r w:rsidRPr="00711253">
        <w:rPr>
          <w:szCs w:val="16"/>
          <w:lang w:val="es-CR"/>
        </w:rPr>
        <w:t xml:space="preserve"> </w:t>
      </w:r>
      <w:r w:rsidR="00711253">
        <w:rPr>
          <w:szCs w:val="16"/>
          <w:lang w:val="es-CR"/>
        </w:rPr>
        <w:tab/>
      </w:r>
      <w:r w:rsidRPr="00711253">
        <w:rPr>
          <w:i/>
          <w:szCs w:val="16"/>
          <w:lang w:val="es-CR"/>
        </w:rPr>
        <w:t>Cfr.</w:t>
      </w:r>
      <w:r w:rsidRPr="00711253">
        <w:rPr>
          <w:szCs w:val="16"/>
          <w:lang w:val="es-CR"/>
        </w:rPr>
        <w:t xml:space="preserve"> </w:t>
      </w:r>
      <w:r w:rsidRPr="00711253">
        <w:rPr>
          <w:i/>
          <w:szCs w:val="16"/>
          <w:lang w:val="es-CR"/>
        </w:rPr>
        <w:t>Asunto Helen Mack Chang y otros respecto Guatemala. Medidas Provisionales.</w:t>
      </w:r>
      <w:r w:rsidRPr="00711253">
        <w:rPr>
          <w:szCs w:val="16"/>
          <w:lang w:val="es-CR"/>
        </w:rPr>
        <w:t xml:space="preserve"> Resolución de la Corte Interamericana de Derechos Humanos de 26 de agosto de 2002, Considerando 7. </w:t>
      </w:r>
    </w:p>
  </w:footnote>
  <w:footnote w:id="16">
    <w:p w14:paraId="721E421D" w14:textId="70554742" w:rsidR="00B9724F" w:rsidRPr="00711253" w:rsidRDefault="00B9724F" w:rsidP="00711253">
      <w:pPr>
        <w:pStyle w:val="FootnoteText"/>
        <w:rPr>
          <w:szCs w:val="16"/>
          <w:lang w:val="es-CR"/>
        </w:rPr>
      </w:pPr>
      <w:r w:rsidRPr="00711253">
        <w:rPr>
          <w:rStyle w:val="FootnoteReference"/>
          <w:szCs w:val="16"/>
        </w:rPr>
        <w:footnoteRef/>
      </w:r>
      <w:r w:rsidRPr="00711253">
        <w:rPr>
          <w:szCs w:val="16"/>
          <w:lang w:val="es-CR"/>
        </w:rPr>
        <w:t xml:space="preserve"> </w:t>
      </w:r>
      <w:r w:rsidR="00711253">
        <w:rPr>
          <w:szCs w:val="16"/>
          <w:lang w:val="es-CR"/>
        </w:rPr>
        <w:tab/>
      </w:r>
      <w:r w:rsidRPr="00711253">
        <w:rPr>
          <w:i/>
          <w:iCs/>
          <w:szCs w:val="16"/>
          <w:lang w:val="es-CR"/>
        </w:rPr>
        <w:t xml:space="preserve">Cfr. </w:t>
      </w:r>
      <w:r w:rsidRPr="008A7420">
        <w:rPr>
          <w:rFonts w:cs="Calibri"/>
          <w:i/>
          <w:iCs/>
          <w:szCs w:val="16"/>
          <w:lang w:val="es-CR"/>
        </w:rPr>
        <w:t>Caso Lysias Fleury</w:t>
      </w:r>
      <w:r w:rsidRPr="008A7420">
        <w:rPr>
          <w:rFonts w:cs="Calibri"/>
          <w:szCs w:val="16"/>
          <w:lang w:val="es-CR"/>
        </w:rPr>
        <w:t>. Medidas</w:t>
      </w:r>
      <w:r w:rsidRPr="00711253">
        <w:rPr>
          <w:rFonts w:cs="Calibri"/>
          <w:szCs w:val="16"/>
          <w:lang w:val="es-CR"/>
        </w:rPr>
        <w:t xml:space="preserve"> Provisionales. Resolución de la Corte de 7 de junio de 2003, considerando 5</w:t>
      </w:r>
      <w:r w:rsidR="003D548F">
        <w:rPr>
          <w:rFonts w:cs="Calibri"/>
          <w:szCs w:val="16"/>
          <w:lang w:val="es-CR"/>
        </w:rPr>
        <w:t>.</w:t>
      </w:r>
      <w:r w:rsidRPr="00711253">
        <w:rPr>
          <w:szCs w:val="16"/>
          <w:lang w:val="es-CR"/>
        </w:rPr>
        <w:t xml:space="preserve">   </w:t>
      </w:r>
    </w:p>
  </w:footnote>
  <w:footnote w:id="17">
    <w:p w14:paraId="18754F40" w14:textId="47D5F69D" w:rsidR="00B9724F" w:rsidRPr="00711253" w:rsidRDefault="00B9724F" w:rsidP="00711253">
      <w:pPr>
        <w:pStyle w:val="FootnoteText"/>
        <w:rPr>
          <w:szCs w:val="16"/>
          <w:lang w:val="es-CR"/>
        </w:rPr>
      </w:pPr>
      <w:r w:rsidRPr="00711253">
        <w:rPr>
          <w:rStyle w:val="FootnoteReference"/>
          <w:szCs w:val="16"/>
        </w:rPr>
        <w:footnoteRef/>
      </w:r>
      <w:r w:rsidRPr="00711253">
        <w:rPr>
          <w:szCs w:val="16"/>
          <w:lang w:val="es-CR"/>
        </w:rPr>
        <w:t xml:space="preserve"> </w:t>
      </w:r>
      <w:r w:rsidR="00711253">
        <w:rPr>
          <w:szCs w:val="16"/>
          <w:lang w:val="es-CR"/>
        </w:rPr>
        <w:tab/>
      </w:r>
      <w:r w:rsidRPr="00711253">
        <w:rPr>
          <w:i/>
          <w:iCs/>
          <w:szCs w:val="16"/>
          <w:lang w:val="es-CR"/>
        </w:rPr>
        <w:t xml:space="preserve">Cfr. Asunto Chunimá respecto Guatemala. Medidas Provisionales. </w:t>
      </w:r>
      <w:r w:rsidRPr="00711253">
        <w:rPr>
          <w:iCs/>
          <w:szCs w:val="16"/>
          <w:lang w:val="es-CR"/>
        </w:rPr>
        <w:t>Resolución de la Corte de 1 de agosto de 1991</w:t>
      </w:r>
      <w:r w:rsidRPr="008A7420">
        <w:rPr>
          <w:iCs/>
          <w:szCs w:val="16"/>
          <w:lang w:val="es-CR"/>
        </w:rPr>
        <w:t xml:space="preserve">, </w:t>
      </w:r>
      <w:r w:rsidRPr="008A7420">
        <w:rPr>
          <w:szCs w:val="16"/>
          <w:lang w:val="es-CR"/>
        </w:rPr>
        <w:t>párr.</w:t>
      </w:r>
      <w:r w:rsidRPr="00711253">
        <w:rPr>
          <w:szCs w:val="16"/>
          <w:lang w:val="es-CR"/>
        </w:rPr>
        <w:t xml:space="preserve"> 6, y </w:t>
      </w:r>
      <w:r w:rsidRPr="00711253">
        <w:rPr>
          <w:i/>
          <w:szCs w:val="16"/>
          <w:lang w:val="es-CR"/>
        </w:rPr>
        <w:t>Asunto Mery Naranjo y otros respecto de Colombia. Medidas Provisionales.</w:t>
      </w:r>
      <w:r w:rsidRPr="00711253">
        <w:rPr>
          <w:szCs w:val="16"/>
          <w:lang w:val="es-CR"/>
        </w:rPr>
        <w:t xml:space="preserve"> Resolución de la Corte Interamericana de Derechos Humanos de 22 de agosto de 2017. Considerando 62.  </w:t>
      </w:r>
    </w:p>
  </w:footnote>
  <w:footnote w:id="18">
    <w:p w14:paraId="2C67DBAD" w14:textId="7662C04B" w:rsidR="00B9724F" w:rsidRPr="006757D9" w:rsidRDefault="00B9724F" w:rsidP="00711253">
      <w:pPr>
        <w:pStyle w:val="FootnoteText"/>
        <w:rPr>
          <w:lang w:val="es-CR"/>
        </w:rPr>
      </w:pPr>
      <w:r w:rsidRPr="00711253">
        <w:rPr>
          <w:rStyle w:val="FootnoteReference"/>
          <w:szCs w:val="16"/>
        </w:rPr>
        <w:footnoteRef/>
      </w:r>
      <w:r w:rsidRPr="00711253">
        <w:rPr>
          <w:szCs w:val="16"/>
          <w:lang w:val="es-CR"/>
        </w:rPr>
        <w:t xml:space="preserve"> </w:t>
      </w:r>
      <w:r w:rsidR="00711253">
        <w:rPr>
          <w:szCs w:val="16"/>
          <w:lang w:val="es-CR"/>
        </w:rPr>
        <w:tab/>
      </w:r>
      <w:r w:rsidRPr="00711253">
        <w:rPr>
          <w:i/>
          <w:iCs/>
          <w:szCs w:val="16"/>
          <w:lang w:val="es-CR"/>
        </w:rPr>
        <w:t>Cfr. Asunto Pueblo Indígena Kankuamo respecto Colombia. Medidas Provisionales</w:t>
      </w:r>
      <w:r w:rsidRPr="00711253">
        <w:rPr>
          <w:szCs w:val="16"/>
          <w:lang w:val="es-CR"/>
        </w:rPr>
        <w:t xml:space="preserve">. Resolución de la Corte de 3 de abril del 2009, Considerando 7, y </w:t>
      </w:r>
      <w:r w:rsidRPr="00711253">
        <w:rPr>
          <w:i/>
          <w:szCs w:val="16"/>
          <w:lang w:val="es-CR"/>
        </w:rPr>
        <w:t>Asunto Mery Naranjo y otros respecto de Colombia. Medidas Provisionales.</w:t>
      </w:r>
      <w:r w:rsidRPr="00711253">
        <w:rPr>
          <w:szCs w:val="16"/>
          <w:lang w:val="es-CR"/>
        </w:rPr>
        <w:t xml:space="preserve"> Resolución de la Corte Interamericana de Derechos Humanos de 22 de agosto de 2017. Considerando 62.</w:t>
      </w:r>
      <w:r w:rsidRPr="006757D9">
        <w:rPr>
          <w:szCs w:val="16"/>
          <w:lang w:val="es-CR"/>
        </w:rPr>
        <w:t xml:space="preserve">  </w:t>
      </w:r>
      <w:r w:rsidRPr="006757D9">
        <w:rPr>
          <w:lang w:val="es-C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85975"/>
      <w:docPartObj>
        <w:docPartGallery w:val="Page Numbers (Top of Page)"/>
        <w:docPartUnique/>
      </w:docPartObj>
    </w:sdtPr>
    <w:sdtEndPr>
      <w:rPr>
        <w:noProof/>
      </w:rPr>
    </w:sdtEndPr>
    <w:sdtContent>
      <w:p w14:paraId="389AAB34" w14:textId="3697A703" w:rsidR="00B9724F" w:rsidRDefault="00B9724F">
        <w:pPr>
          <w:pStyle w:val="Header"/>
          <w:jc w:val="center"/>
        </w:pPr>
        <w:r>
          <w:t>-</w:t>
        </w:r>
        <w:r>
          <w:fldChar w:fldCharType="begin"/>
        </w:r>
        <w:r>
          <w:instrText xml:space="preserve"> PAGE   \* MERGEFORMAT </w:instrText>
        </w:r>
        <w:r>
          <w:fldChar w:fldCharType="separate"/>
        </w:r>
        <w:r w:rsidR="00F77B25">
          <w:rPr>
            <w:noProof/>
          </w:rPr>
          <w:t>2</w:t>
        </w:r>
        <w:r>
          <w:rPr>
            <w:noProof/>
          </w:rPr>
          <w:fldChar w:fldCharType="end"/>
        </w:r>
        <w:r>
          <w:rPr>
            <w:noProof/>
          </w:rPr>
          <w:t>-</w:t>
        </w:r>
      </w:p>
    </w:sdtContent>
  </w:sdt>
  <w:p w14:paraId="3D47D561" w14:textId="77777777" w:rsidR="00B9724F" w:rsidRPr="00495FBB" w:rsidRDefault="00B9724F" w:rsidP="00495FBB">
    <w:pPr>
      <w:pStyle w:val="Header"/>
      <w:jc w:val="right"/>
      <w:rPr>
        <w:rFonts w:ascii="Calibri Light" w:hAnsi="Calibri Light"/>
        <w: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F5A97" w14:textId="6ECBCAF4" w:rsidR="00B9724F" w:rsidRPr="00495FBB" w:rsidRDefault="00B9724F" w:rsidP="00495FBB">
    <w:pPr>
      <w:pStyle w:val="Header"/>
      <w:jc w:val="right"/>
      <w:rPr>
        <w:rFonts w:ascii="Calibri Light" w:hAnsi="Calibri Light"/>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731"/>
    <w:multiLevelType w:val="hybridMultilevel"/>
    <w:tmpl w:val="D8D88DE6"/>
    <w:lvl w:ilvl="0" w:tplc="140A0001">
      <w:start w:val="1"/>
      <w:numFmt w:val="bullet"/>
      <w:lvlText w:val=""/>
      <w:lvlJc w:val="left"/>
      <w:pPr>
        <w:ind w:left="1260" w:hanging="360"/>
      </w:pPr>
      <w:rPr>
        <w:rFonts w:ascii="Symbol" w:hAnsi="Symbol" w:hint="default"/>
      </w:rPr>
    </w:lvl>
    <w:lvl w:ilvl="1" w:tplc="140A0003" w:tentative="1">
      <w:start w:val="1"/>
      <w:numFmt w:val="bullet"/>
      <w:lvlText w:val="o"/>
      <w:lvlJc w:val="left"/>
      <w:pPr>
        <w:ind w:left="1980" w:hanging="360"/>
      </w:pPr>
      <w:rPr>
        <w:rFonts w:ascii="Courier New" w:hAnsi="Courier New" w:cs="Courier New" w:hint="default"/>
      </w:rPr>
    </w:lvl>
    <w:lvl w:ilvl="2" w:tplc="140A0005" w:tentative="1">
      <w:start w:val="1"/>
      <w:numFmt w:val="bullet"/>
      <w:lvlText w:val=""/>
      <w:lvlJc w:val="left"/>
      <w:pPr>
        <w:ind w:left="2700" w:hanging="360"/>
      </w:pPr>
      <w:rPr>
        <w:rFonts w:ascii="Wingdings" w:hAnsi="Wingdings" w:hint="default"/>
      </w:rPr>
    </w:lvl>
    <w:lvl w:ilvl="3" w:tplc="140A0001" w:tentative="1">
      <w:start w:val="1"/>
      <w:numFmt w:val="bullet"/>
      <w:lvlText w:val=""/>
      <w:lvlJc w:val="left"/>
      <w:pPr>
        <w:ind w:left="3420" w:hanging="360"/>
      </w:pPr>
      <w:rPr>
        <w:rFonts w:ascii="Symbol" w:hAnsi="Symbol" w:hint="default"/>
      </w:rPr>
    </w:lvl>
    <w:lvl w:ilvl="4" w:tplc="140A0003" w:tentative="1">
      <w:start w:val="1"/>
      <w:numFmt w:val="bullet"/>
      <w:lvlText w:val="o"/>
      <w:lvlJc w:val="left"/>
      <w:pPr>
        <w:ind w:left="4140" w:hanging="360"/>
      </w:pPr>
      <w:rPr>
        <w:rFonts w:ascii="Courier New" w:hAnsi="Courier New" w:cs="Courier New" w:hint="default"/>
      </w:rPr>
    </w:lvl>
    <w:lvl w:ilvl="5" w:tplc="140A0005" w:tentative="1">
      <w:start w:val="1"/>
      <w:numFmt w:val="bullet"/>
      <w:lvlText w:val=""/>
      <w:lvlJc w:val="left"/>
      <w:pPr>
        <w:ind w:left="4860" w:hanging="360"/>
      </w:pPr>
      <w:rPr>
        <w:rFonts w:ascii="Wingdings" w:hAnsi="Wingdings" w:hint="default"/>
      </w:rPr>
    </w:lvl>
    <w:lvl w:ilvl="6" w:tplc="140A0001" w:tentative="1">
      <w:start w:val="1"/>
      <w:numFmt w:val="bullet"/>
      <w:lvlText w:val=""/>
      <w:lvlJc w:val="left"/>
      <w:pPr>
        <w:ind w:left="5580" w:hanging="360"/>
      </w:pPr>
      <w:rPr>
        <w:rFonts w:ascii="Symbol" w:hAnsi="Symbol" w:hint="default"/>
      </w:rPr>
    </w:lvl>
    <w:lvl w:ilvl="7" w:tplc="140A0003" w:tentative="1">
      <w:start w:val="1"/>
      <w:numFmt w:val="bullet"/>
      <w:lvlText w:val="o"/>
      <w:lvlJc w:val="left"/>
      <w:pPr>
        <w:ind w:left="6300" w:hanging="360"/>
      </w:pPr>
      <w:rPr>
        <w:rFonts w:ascii="Courier New" w:hAnsi="Courier New" w:cs="Courier New" w:hint="default"/>
      </w:rPr>
    </w:lvl>
    <w:lvl w:ilvl="8" w:tplc="140A0005" w:tentative="1">
      <w:start w:val="1"/>
      <w:numFmt w:val="bullet"/>
      <w:lvlText w:val=""/>
      <w:lvlJc w:val="left"/>
      <w:pPr>
        <w:ind w:left="7020" w:hanging="360"/>
      </w:pPr>
      <w:rPr>
        <w:rFonts w:ascii="Wingdings" w:hAnsi="Wingdings" w:hint="default"/>
      </w:rPr>
    </w:lvl>
  </w:abstractNum>
  <w:abstractNum w:abstractNumId="1">
    <w:nsid w:val="0506645E"/>
    <w:multiLevelType w:val="hybridMultilevel"/>
    <w:tmpl w:val="3F147206"/>
    <w:lvl w:ilvl="0" w:tplc="15CC9FEA">
      <w:start w:val="1"/>
      <w:numFmt w:val="decimal"/>
      <w:lvlText w:val="%1."/>
      <w:lvlJc w:val="left"/>
      <w:pPr>
        <w:ind w:left="540" w:hanging="360"/>
      </w:pPr>
      <w:rPr>
        <w:b w:val="0"/>
      </w:rPr>
    </w:lvl>
    <w:lvl w:ilvl="1" w:tplc="C972902A">
      <w:start w:val="1"/>
      <w:numFmt w:val="lowerLetter"/>
      <w:lvlText w:val="%2."/>
      <w:lvlJc w:val="left"/>
      <w:pPr>
        <w:ind w:left="1080" w:hanging="360"/>
      </w:pPr>
      <w:rPr>
        <w:rFonts w:ascii="Verdana" w:eastAsiaTheme="minorHAnsi" w:hAnsi="Verdana" w:cs="Verdana"/>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A2E43ED"/>
    <w:multiLevelType w:val="hybridMultilevel"/>
    <w:tmpl w:val="0EFA13F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nsid w:val="1172078B"/>
    <w:multiLevelType w:val="hybridMultilevel"/>
    <w:tmpl w:val="880A4D4C"/>
    <w:lvl w:ilvl="0" w:tplc="849CD9D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D3C1B"/>
    <w:multiLevelType w:val="hybridMultilevel"/>
    <w:tmpl w:val="89F871FC"/>
    <w:lvl w:ilvl="0" w:tplc="004CBE9C">
      <w:start w:val="1"/>
      <w:numFmt w:val="decimal"/>
      <w:lvlText w:val="%1."/>
      <w:lvlJc w:val="left"/>
      <w:pPr>
        <w:tabs>
          <w:tab w:val="num" w:pos="360"/>
        </w:tabs>
        <w:ind w:left="360" w:hanging="360"/>
      </w:pPr>
      <w:rPr>
        <w:rFonts w:ascii="Verdana" w:hAnsi="Verdana" w:hint="default"/>
        <w:b w:val="0"/>
        <w:color w:val="auto"/>
        <w:sz w:val="20"/>
      </w:rPr>
    </w:lvl>
    <w:lvl w:ilvl="1" w:tplc="140A0017">
      <w:start w:val="1"/>
      <w:numFmt w:val="lowerLetter"/>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0A63652"/>
    <w:multiLevelType w:val="hybridMultilevel"/>
    <w:tmpl w:val="2702FFB6"/>
    <w:lvl w:ilvl="0" w:tplc="C972902A">
      <w:start w:val="1"/>
      <w:numFmt w:val="lowerLetter"/>
      <w:lvlText w:val="%1."/>
      <w:lvlJc w:val="left"/>
      <w:pPr>
        <w:ind w:left="1080" w:hanging="360"/>
      </w:pPr>
      <w:rPr>
        <w:rFonts w:ascii="Verdana" w:eastAsiaTheme="minorHAnsi" w:hAnsi="Verdana" w:cs="Verdan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2E97C8A"/>
    <w:multiLevelType w:val="hybridMultilevel"/>
    <w:tmpl w:val="890ABA50"/>
    <w:lvl w:ilvl="0" w:tplc="0B74AAF0">
      <w:start w:val="2"/>
      <w:numFmt w:val="decimal"/>
      <w:lvlText w:val="%1."/>
      <w:lvlJc w:val="left"/>
      <w:pPr>
        <w:ind w:left="72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3133FF7"/>
    <w:multiLevelType w:val="hybridMultilevel"/>
    <w:tmpl w:val="B1DE2150"/>
    <w:lvl w:ilvl="0" w:tplc="8392E204">
      <w:start w:val="1"/>
      <w:numFmt w:val="decimal"/>
      <w:lvlText w:val="%1)"/>
      <w:lvlJc w:val="left"/>
      <w:pPr>
        <w:ind w:left="1068" w:hanging="360"/>
      </w:pPr>
      <w:rPr>
        <w:rFonts w:hint="default"/>
        <w:color w:val="auto"/>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
    <w:nsid w:val="25EF76EE"/>
    <w:multiLevelType w:val="hybridMultilevel"/>
    <w:tmpl w:val="5B3C6DA0"/>
    <w:lvl w:ilvl="0" w:tplc="0F32471C">
      <w:start w:val="198"/>
      <w:numFmt w:val="bullet"/>
      <w:lvlText w:val=""/>
      <w:lvlJc w:val="left"/>
      <w:pPr>
        <w:ind w:left="643" w:hanging="360"/>
      </w:pPr>
      <w:rPr>
        <w:rFonts w:ascii="Symbol" w:eastAsia="Calibri" w:hAnsi="Symbol" w:cs="Times New Roman" w:hint="default"/>
      </w:rPr>
    </w:lvl>
    <w:lvl w:ilvl="1" w:tplc="04160003" w:tentative="1">
      <w:start w:val="1"/>
      <w:numFmt w:val="bullet"/>
      <w:lvlText w:val="o"/>
      <w:lvlJc w:val="left"/>
      <w:pPr>
        <w:ind w:left="1363" w:hanging="360"/>
      </w:pPr>
      <w:rPr>
        <w:rFonts w:ascii="Courier New" w:hAnsi="Courier New" w:cs="Courier New" w:hint="default"/>
      </w:rPr>
    </w:lvl>
    <w:lvl w:ilvl="2" w:tplc="04160005" w:tentative="1">
      <w:start w:val="1"/>
      <w:numFmt w:val="bullet"/>
      <w:lvlText w:val=""/>
      <w:lvlJc w:val="left"/>
      <w:pPr>
        <w:ind w:left="2083" w:hanging="360"/>
      </w:pPr>
      <w:rPr>
        <w:rFonts w:ascii="Wingdings" w:hAnsi="Wingdings" w:hint="default"/>
      </w:rPr>
    </w:lvl>
    <w:lvl w:ilvl="3" w:tplc="04160001" w:tentative="1">
      <w:start w:val="1"/>
      <w:numFmt w:val="bullet"/>
      <w:lvlText w:val=""/>
      <w:lvlJc w:val="left"/>
      <w:pPr>
        <w:ind w:left="2803" w:hanging="360"/>
      </w:pPr>
      <w:rPr>
        <w:rFonts w:ascii="Symbol" w:hAnsi="Symbol" w:hint="default"/>
      </w:rPr>
    </w:lvl>
    <w:lvl w:ilvl="4" w:tplc="04160003" w:tentative="1">
      <w:start w:val="1"/>
      <w:numFmt w:val="bullet"/>
      <w:lvlText w:val="o"/>
      <w:lvlJc w:val="left"/>
      <w:pPr>
        <w:ind w:left="3523" w:hanging="360"/>
      </w:pPr>
      <w:rPr>
        <w:rFonts w:ascii="Courier New" w:hAnsi="Courier New" w:cs="Courier New" w:hint="default"/>
      </w:rPr>
    </w:lvl>
    <w:lvl w:ilvl="5" w:tplc="04160005" w:tentative="1">
      <w:start w:val="1"/>
      <w:numFmt w:val="bullet"/>
      <w:lvlText w:val=""/>
      <w:lvlJc w:val="left"/>
      <w:pPr>
        <w:ind w:left="4243" w:hanging="360"/>
      </w:pPr>
      <w:rPr>
        <w:rFonts w:ascii="Wingdings" w:hAnsi="Wingdings" w:hint="default"/>
      </w:rPr>
    </w:lvl>
    <w:lvl w:ilvl="6" w:tplc="04160001" w:tentative="1">
      <w:start w:val="1"/>
      <w:numFmt w:val="bullet"/>
      <w:lvlText w:val=""/>
      <w:lvlJc w:val="left"/>
      <w:pPr>
        <w:ind w:left="4963" w:hanging="360"/>
      </w:pPr>
      <w:rPr>
        <w:rFonts w:ascii="Symbol" w:hAnsi="Symbol" w:hint="default"/>
      </w:rPr>
    </w:lvl>
    <w:lvl w:ilvl="7" w:tplc="04160003" w:tentative="1">
      <w:start w:val="1"/>
      <w:numFmt w:val="bullet"/>
      <w:lvlText w:val="o"/>
      <w:lvlJc w:val="left"/>
      <w:pPr>
        <w:ind w:left="5683" w:hanging="360"/>
      </w:pPr>
      <w:rPr>
        <w:rFonts w:ascii="Courier New" w:hAnsi="Courier New" w:cs="Courier New" w:hint="default"/>
      </w:rPr>
    </w:lvl>
    <w:lvl w:ilvl="8" w:tplc="04160005" w:tentative="1">
      <w:start w:val="1"/>
      <w:numFmt w:val="bullet"/>
      <w:lvlText w:val=""/>
      <w:lvlJc w:val="left"/>
      <w:pPr>
        <w:ind w:left="6403" w:hanging="360"/>
      </w:pPr>
      <w:rPr>
        <w:rFonts w:ascii="Wingdings" w:hAnsi="Wingdings" w:hint="default"/>
      </w:rPr>
    </w:lvl>
  </w:abstractNum>
  <w:abstractNum w:abstractNumId="9">
    <w:nsid w:val="274242EA"/>
    <w:multiLevelType w:val="hybridMultilevel"/>
    <w:tmpl w:val="6596AFC6"/>
    <w:lvl w:ilvl="0" w:tplc="E556AD64">
      <w:start w:val="1"/>
      <w:numFmt w:val="lowerLetter"/>
      <w:lvlText w:val="%1)"/>
      <w:lvlJc w:val="left"/>
      <w:pPr>
        <w:tabs>
          <w:tab w:val="num" w:pos="1065"/>
        </w:tabs>
        <w:ind w:left="1065" w:hanging="705"/>
      </w:pPr>
      <w:rPr>
        <w:rFonts w:ascii="Verdana" w:eastAsiaTheme="minorHAnsi" w:hAnsi="Verdana" w:cs="Courier New"/>
        <w:b w:val="0"/>
        <w:i w:val="0"/>
        <w:strike w:val="0"/>
        <w:dstrike w:val="0"/>
        <w:sz w:val="20"/>
        <w:szCs w:val="20"/>
        <w:u w:val="none"/>
        <w:effect w:val="none"/>
      </w:rPr>
    </w:lvl>
    <w:lvl w:ilvl="1" w:tplc="2598939A">
      <w:start w:val="1"/>
      <w:numFmt w:val="lowerLetter"/>
      <w:lvlText w:val="%2)"/>
      <w:lvlJc w:val="left"/>
      <w:pPr>
        <w:tabs>
          <w:tab w:val="num" w:pos="720"/>
        </w:tabs>
        <w:ind w:left="720" w:hanging="360"/>
      </w:pPr>
      <w:rPr>
        <w:rFonts w:cs="Times New Roman"/>
        <w:b w:val="0"/>
        <w:i w:val="0"/>
        <w:sz w:val="20"/>
        <w:szCs w:val="20"/>
      </w:rPr>
    </w:lvl>
    <w:lvl w:ilvl="2" w:tplc="0409001B">
      <w:start w:val="1"/>
      <w:numFmt w:val="lowerRoman"/>
      <w:lvlText w:val="%3."/>
      <w:lvlJc w:val="right"/>
      <w:pPr>
        <w:tabs>
          <w:tab w:val="num" w:pos="2160"/>
        </w:tabs>
        <w:ind w:left="2160" w:hanging="180"/>
      </w:pPr>
      <w:rPr>
        <w:rFonts w:cs="Times New Roman"/>
      </w:rPr>
    </w:lvl>
    <w:lvl w:ilvl="3" w:tplc="C844919E">
      <w:start w:val="1"/>
      <w:numFmt w:val="decimal"/>
      <w:lvlText w:val="%4."/>
      <w:lvlJc w:val="left"/>
      <w:pPr>
        <w:tabs>
          <w:tab w:val="num" w:pos="2880"/>
        </w:tabs>
        <w:ind w:left="2880" w:hanging="360"/>
      </w:pPr>
      <w:rPr>
        <w:rFonts w:ascii="Verdana" w:hAnsi="Verdana" w:cs="Times New Roman" w:hint="default"/>
        <w:b w:val="0"/>
        <w:sz w:val="20"/>
        <w:szCs w:val="2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9943210"/>
    <w:multiLevelType w:val="hybridMultilevel"/>
    <w:tmpl w:val="7F788D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3E4F1D0B"/>
    <w:multiLevelType w:val="hybridMultilevel"/>
    <w:tmpl w:val="3894F2F8"/>
    <w:lvl w:ilvl="0" w:tplc="D4BCAD7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83443"/>
    <w:multiLevelType w:val="hybridMultilevel"/>
    <w:tmpl w:val="5754A7BA"/>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3">
    <w:nsid w:val="45C3148D"/>
    <w:multiLevelType w:val="hybridMultilevel"/>
    <w:tmpl w:val="CFFC80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4A9739E2"/>
    <w:multiLevelType w:val="hybridMultilevel"/>
    <w:tmpl w:val="06346FDC"/>
    <w:lvl w:ilvl="0" w:tplc="EC2ABBB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B176B9C"/>
    <w:multiLevelType w:val="hybridMultilevel"/>
    <w:tmpl w:val="098CA59C"/>
    <w:lvl w:ilvl="0" w:tplc="FA866E2C">
      <w:start w:val="1"/>
      <w:numFmt w:val="upperLetter"/>
      <w:lvlText w:val="%1)"/>
      <w:lvlJc w:val="left"/>
      <w:pPr>
        <w:ind w:left="1080" w:hanging="360"/>
      </w:pPr>
      <w:rPr>
        <w:rFonts w:hint="default"/>
        <w:b/>
        <w:i/>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nsid w:val="583B0EDB"/>
    <w:multiLevelType w:val="hybridMultilevel"/>
    <w:tmpl w:val="3F343D68"/>
    <w:lvl w:ilvl="0" w:tplc="1040A576">
      <w:start w:val="1"/>
      <w:numFmt w:val="decimal"/>
      <w:lvlText w:val="%1."/>
      <w:lvlJc w:val="left"/>
      <w:pPr>
        <w:tabs>
          <w:tab w:val="num" w:pos="644"/>
        </w:tabs>
        <w:ind w:left="644" w:hanging="360"/>
      </w:pPr>
      <w:rPr>
        <w:rFonts w:ascii="Verdana" w:hAnsi="Verdana" w:hint="default"/>
        <w:b w:val="0"/>
        <w:i w:val="0"/>
        <w:color w:val="auto"/>
        <w:sz w:val="20"/>
        <w:szCs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C4746A4"/>
    <w:multiLevelType w:val="hybridMultilevel"/>
    <w:tmpl w:val="7F2C5402"/>
    <w:lvl w:ilvl="0" w:tplc="58BA6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2455D0"/>
    <w:multiLevelType w:val="hybridMultilevel"/>
    <w:tmpl w:val="A52063F2"/>
    <w:lvl w:ilvl="0" w:tplc="C972902A">
      <w:start w:val="1"/>
      <w:numFmt w:val="lowerLetter"/>
      <w:lvlText w:val="%1."/>
      <w:lvlJc w:val="left"/>
      <w:pPr>
        <w:ind w:left="1080" w:hanging="360"/>
      </w:pPr>
      <w:rPr>
        <w:rFonts w:ascii="Verdana" w:eastAsiaTheme="minorHAnsi" w:hAnsi="Verdana" w:cs="Verdan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6CE02291"/>
    <w:multiLevelType w:val="hybridMultilevel"/>
    <w:tmpl w:val="EEF4C08C"/>
    <w:lvl w:ilvl="0" w:tplc="2C9A56D0">
      <w:start w:val="199"/>
      <w:numFmt w:val="decimal"/>
      <w:lvlText w:val="%1."/>
      <w:lvlJc w:val="left"/>
      <w:pPr>
        <w:ind w:left="2265" w:hanging="37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6DA11262"/>
    <w:multiLevelType w:val="hybridMultilevel"/>
    <w:tmpl w:val="762CD824"/>
    <w:lvl w:ilvl="0" w:tplc="4A9218AE">
      <w:start w:val="1"/>
      <w:numFmt w:val="decimal"/>
      <w:lvlText w:val="%1."/>
      <w:lvlJc w:val="left"/>
      <w:pPr>
        <w:ind w:left="540" w:hanging="360"/>
      </w:pPr>
      <w:rPr>
        <w:b w:val="0"/>
        <w:i w:val="0"/>
        <w:sz w:val="20"/>
      </w:rPr>
    </w:lvl>
    <w:lvl w:ilvl="1" w:tplc="578ABD8E">
      <w:start w:val="1"/>
      <w:numFmt w:val="lowerLetter"/>
      <w:lvlText w:val="%2."/>
      <w:lvlJc w:val="left"/>
      <w:pPr>
        <w:ind w:left="1080" w:hanging="360"/>
      </w:pPr>
      <w:rPr>
        <w:rFonts w:ascii="Verdana" w:eastAsiaTheme="minorHAnsi" w:hAnsi="Verdana" w:cs="Verdana"/>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6FAF5179"/>
    <w:multiLevelType w:val="hybridMultilevel"/>
    <w:tmpl w:val="36720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FB47F6"/>
    <w:multiLevelType w:val="hybridMultilevel"/>
    <w:tmpl w:val="07FA4B68"/>
    <w:lvl w:ilvl="0" w:tplc="5A34F1FA">
      <w:start w:val="1"/>
      <w:numFmt w:val="decimal"/>
      <w:lvlText w:val="%1."/>
      <w:lvlJc w:val="left"/>
      <w:pPr>
        <w:ind w:left="1068" w:hanging="360"/>
      </w:pPr>
      <w:rPr>
        <w:rFonts w:ascii="Verdana" w:hAnsi="Verdana" w:hint="default"/>
        <w:color w:val="000000"/>
        <w:sz w:val="16"/>
        <w:szCs w:val="16"/>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3">
    <w:nsid w:val="744010E1"/>
    <w:multiLevelType w:val="hybridMultilevel"/>
    <w:tmpl w:val="B3A68B28"/>
    <w:lvl w:ilvl="0" w:tplc="004CBE9C">
      <w:start w:val="1"/>
      <w:numFmt w:val="decimal"/>
      <w:lvlText w:val="%1."/>
      <w:lvlJc w:val="left"/>
      <w:pPr>
        <w:tabs>
          <w:tab w:val="num" w:pos="360"/>
        </w:tabs>
        <w:ind w:left="360" w:hanging="360"/>
      </w:pPr>
      <w:rPr>
        <w:rFonts w:ascii="Verdana" w:hAnsi="Verdana" w:hint="default"/>
        <w:b w:val="0"/>
        <w:color w:val="auto"/>
        <w:sz w:val="20"/>
      </w:rPr>
    </w:lvl>
    <w:lvl w:ilvl="1" w:tplc="0409000F">
      <w:start w:val="1"/>
      <w:numFmt w:val="decimal"/>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6526917"/>
    <w:multiLevelType w:val="hybridMultilevel"/>
    <w:tmpl w:val="D6C021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7854122F"/>
    <w:multiLevelType w:val="hybridMultilevel"/>
    <w:tmpl w:val="457AE05C"/>
    <w:lvl w:ilvl="0" w:tplc="E556AD64">
      <w:start w:val="1"/>
      <w:numFmt w:val="lowerLetter"/>
      <w:lvlText w:val="%1)"/>
      <w:lvlJc w:val="left"/>
      <w:pPr>
        <w:tabs>
          <w:tab w:val="num" w:pos="1065"/>
        </w:tabs>
        <w:ind w:left="1065" w:hanging="705"/>
      </w:pPr>
      <w:rPr>
        <w:rFonts w:ascii="Verdana" w:eastAsiaTheme="minorHAnsi" w:hAnsi="Verdana" w:cs="Courier New"/>
        <w:b w:val="0"/>
        <w:i w:val="0"/>
        <w:strike w:val="0"/>
        <w:dstrike w:val="0"/>
        <w:sz w:val="20"/>
        <w:szCs w:val="20"/>
        <w:u w:val="none"/>
        <w:effect w:val="none"/>
      </w:rPr>
    </w:lvl>
    <w:lvl w:ilvl="1" w:tplc="2598939A">
      <w:start w:val="1"/>
      <w:numFmt w:val="lowerLetter"/>
      <w:lvlText w:val="%2)"/>
      <w:lvlJc w:val="left"/>
      <w:pPr>
        <w:tabs>
          <w:tab w:val="num" w:pos="720"/>
        </w:tabs>
        <w:ind w:left="720" w:hanging="360"/>
      </w:pPr>
      <w:rPr>
        <w:rFonts w:cs="Times New Roman"/>
        <w:b w:val="0"/>
        <w:i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D2D73A7"/>
    <w:multiLevelType w:val="hybridMultilevel"/>
    <w:tmpl w:val="AD0E994A"/>
    <w:lvl w:ilvl="0" w:tplc="15CC9FEA">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7E1E2A92"/>
    <w:multiLevelType w:val="hybridMultilevel"/>
    <w:tmpl w:val="AD0E994A"/>
    <w:lvl w:ilvl="0" w:tplc="15CC9FEA">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1"/>
  </w:num>
  <w:num w:numId="5">
    <w:abstractNumId w:val="9"/>
  </w:num>
  <w:num w:numId="6">
    <w:abstractNumId w:val="1"/>
  </w:num>
  <w:num w:numId="7">
    <w:abstractNumId w:val="26"/>
  </w:num>
  <w:num w:numId="8">
    <w:abstractNumId w:val="27"/>
  </w:num>
  <w:num w:numId="9">
    <w:abstractNumId w:val="5"/>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4"/>
  </w:num>
  <w:num w:numId="15">
    <w:abstractNumId w:val="20"/>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4"/>
  </w:num>
  <w:num w:numId="21">
    <w:abstractNumId w:val="0"/>
  </w:num>
  <w:num w:numId="22">
    <w:abstractNumId w:val="12"/>
  </w:num>
  <w:num w:numId="23">
    <w:abstractNumId w:val="19"/>
  </w:num>
  <w:num w:numId="24">
    <w:abstractNumId w:val="17"/>
  </w:num>
  <w:num w:numId="25">
    <w:abstractNumId w:val="7"/>
  </w:num>
  <w:num w:numId="26">
    <w:abstractNumId w:val="22"/>
  </w:num>
  <w:num w:numId="27">
    <w:abstractNumId w:val="16"/>
  </w:num>
  <w:num w:numId="28">
    <w:abstractNumId w:val="8"/>
  </w:num>
  <w:num w:numId="29">
    <w:abstractNumId w:val="6"/>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47"/>
    <w:rsid w:val="00001516"/>
    <w:rsid w:val="0000252B"/>
    <w:rsid w:val="00004B13"/>
    <w:rsid w:val="00005A78"/>
    <w:rsid w:val="00010CE4"/>
    <w:rsid w:val="00011077"/>
    <w:rsid w:val="00011376"/>
    <w:rsid w:val="00013D65"/>
    <w:rsid w:val="000157CF"/>
    <w:rsid w:val="000169C5"/>
    <w:rsid w:val="00020E10"/>
    <w:rsid w:val="000237D5"/>
    <w:rsid w:val="0002611F"/>
    <w:rsid w:val="0004611C"/>
    <w:rsid w:val="000469F1"/>
    <w:rsid w:val="0005214D"/>
    <w:rsid w:val="00052F8B"/>
    <w:rsid w:val="000625A2"/>
    <w:rsid w:val="00062F28"/>
    <w:rsid w:val="00065A8A"/>
    <w:rsid w:val="00066566"/>
    <w:rsid w:val="00066850"/>
    <w:rsid w:val="0006791F"/>
    <w:rsid w:val="00071D1F"/>
    <w:rsid w:val="000753D6"/>
    <w:rsid w:val="00075905"/>
    <w:rsid w:val="00075F01"/>
    <w:rsid w:val="00076BC7"/>
    <w:rsid w:val="0008374C"/>
    <w:rsid w:val="00083D64"/>
    <w:rsid w:val="000842E3"/>
    <w:rsid w:val="00084AE4"/>
    <w:rsid w:val="00085483"/>
    <w:rsid w:val="00085E2B"/>
    <w:rsid w:val="000869D0"/>
    <w:rsid w:val="000903A4"/>
    <w:rsid w:val="00092C0B"/>
    <w:rsid w:val="0009453A"/>
    <w:rsid w:val="00095D56"/>
    <w:rsid w:val="000960F7"/>
    <w:rsid w:val="00097592"/>
    <w:rsid w:val="000A0C0D"/>
    <w:rsid w:val="000A1F3E"/>
    <w:rsid w:val="000B358A"/>
    <w:rsid w:val="000B47E3"/>
    <w:rsid w:val="000B5CEB"/>
    <w:rsid w:val="000B5E15"/>
    <w:rsid w:val="000B7C8B"/>
    <w:rsid w:val="000C27A1"/>
    <w:rsid w:val="000C3832"/>
    <w:rsid w:val="000C40E9"/>
    <w:rsid w:val="000D08B8"/>
    <w:rsid w:val="000D17C0"/>
    <w:rsid w:val="000D3062"/>
    <w:rsid w:val="000D5367"/>
    <w:rsid w:val="000D66E4"/>
    <w:rsid w:val="000E1376"/>
    <w:rsid w:val="000E1E73"/>
    <w:rsid w:val="000E2708"/>
    <w:rsid w:val="000E6508"/>
    <w:rsid w:val="000E6F84"/>
    <w:rsid w:val="000F0341"/>
    <w:rsid w:val="000F15DC"/>
    <w:rsid w:val="000F4653"/>
    <w:rsid w:val="000F56D1"/>
    <w:rsid w:val="000F62F3"/>
    <w:rsid w:val="000F645E"/>
    <w:rsid w:val="00101EFC"/>
    <w:rsid w:val="001029A7"/>
    <w:rsid w:val="00102ED7"/>
    <w:rsid w:val="00105E1A"/>
    <w:rsid w:val="00111745"/>
    <w:rsid w:val="00112825"/>
    <w:rsid w:val="00113619"/>
    <w:rsid w:val="00113A87"/>
    <w:rsid w:val="00117142"/>
    <w:rsid w:val="001178FD"/>
    <w:rsid w:val="001211B1"/>
    <w:rsid w:val="00121F3C"/>
    <w:rsid w:val="00122E17"/>
    <w:rsid w:val="00123498"/>
    <w:rsid w:val="00123A60"/>
    <w:rsid w:val="00125057"/>
    <w:rsid w:val="00125148"/>
    <w:rsid w:val="001326AC"/>
    <w:rsid w:val="0013693E"/>
    <w:rsid w:val="00136F52"/>
    <w:rsid w:val="00141988"/>
    <w:rsid w:val="001433CE"/>
    <w:rsid w:val="00143D36"/>
    <w:rsid w:val="00145BDE"/>
    <w:rsid w:val="00145DEC"/>
    <w:rsid w:val="001463D9"/>
    <w:rsid w:val="00147F34"/>
    <w:rsid w:val="00150C48"/>
    <w:rsid w:val="00153EBC"/>
    <w:rsid w:val="00154569"/>
    <w:rsid w:val="0015795E"/>
    <w:rsid w:val="00162D03"/>
    <w:rsid w:val="001634E6"/>
    <w:rsid w:val="0016539F"/>
    <w:rsid w:val="00165477"/>
    <w:rsid w:val="001744A2"/>
    <w:rsid w:val="00176FB7"/>
    <w:rsid w:val="00186766"/>
    <w:rsid w:val="0019224A"/>
    <w:rsid w:val="00196E0E"/>
    <w:rsid w:val="001A0821"/>
    <w:rsid w:val="001A27FB"/>
    <w:rsid w:val="001A30CE"/>
    <w:rsid w:val="001A4AFB"/>
    <w:rsid w:val="001A4CCD"/>
    <w:rsid w:val="001A7B68"/>
    <w:rsid w:val="001B0A7B"/>
    <w:rsid w:val="001B0F88"/>
    <w:rsid w:val="001B169E"/>
    <w:rsid w:val="001B17F1"/>
    <w:rsid w:val="001B19C4"/>
    <w:rsid w:val="001B305B"/>
    <w:rsid w:val="001B3109"/>
    <w:rsid w:val="001B4180"/>
    <w:rsid w:val="001C0AAB"/>
    <w:rsid w:val="001C1612"/>
    <w:rsid w:val="001C7A2F"/>
    <w:rsid w:val="001D12DA"/>
    <w:rsid w:val="001D25D6"/>
    <w:rsid w:val="001D3CD5"/>
    <w:rsid w:val="001D42D2"/>
    <w:rsid w:val="001D5F9E"/>
    <w:rsid w:val="001D65F3"/>
    <w:rsid w:val="001D7716"/>
    <w:rsid w:val="001E3DC1"/>
    <w:rsid w:val="001E5D17"/>
    <w:rsid w:val="001E6132"/>
    <w:rsid w:val="001F1174"/>
    <w:rsid w:val="001F3073"/>
    <w:rsid w:val="001F3AB0"/>
    <w:rsid w:val="001F40A9"/>
    <w:rsid w:val="001F452A"/>
    <w:rsid w:val="002020D5"/>
    <w:rsid w:val="0020798C"/>
    <w:rsid w:val="0021617F"/>
    <w:rsid w:val="002169CD"/>
    <w:rsid w:val="0022028C"/>
    <w:rsid w:val="002213EC"/>
    <w:rsid w:val="0022438B"/>
    <w:rsid w:val="00227870"/>
    <w:rsid w:val="00227F34"/>
    <w:rsid w:val="00233880"/>
    <w:rsid w:val="0023606B"/>
    <w:rsid w:val="0024233C"/>
    <w:rsid w:val="00243C06"/>
    <w:rsid w:val="00243CA5"/>
    <w:rsid w:val="00247A42"/>
    <w:rsid w:val="002506CF"/>
    <w:rsid w:val="002516BD"/>
    <w:rsid w:val="00251A6E"/>
    <w:rsid w:val="00251D39"/>
    <w:rsid w:val="00253684"/>
    <w:rsid w:val="00254851"/>
    <w:rsid w:val="00256539"/>
    <w:rsid w:val="00260524"/>
    <w:rsid w:val="002672C4"/>
    <w:rsid w:val="00271528"/>
    <w:rsid w:val="00274F60"/>
    <w:rsid w:val="00275236"/>
    <w:rsid w:val="002761A1"/>
    <w:rsid w:val="00277CFC"/>
    <w:rsid w:val="00280415"/>
    <w:rsid w:val="00284B5D"/>
    <w:rsid w:val="0028589B"/>
    <w:rsid w:val="00285FF4"/>
    <w:rsid w:val="002904E1"/>
    <w:rsid w:val="002932DD"/>
    <w:rsid w:val="00295FE3"/>
    <w:rsid w:val="00297FB5"/>
    <w:rsid w:val="002A0B31"/>
    <w:rsid w:val="002A195D"/>
    <w:rsid w:val="002A6CFE"/>
    <w:rsid w:val="002A6F79"/>
    <w:rsid w:val="002B06A6"/>
    <w:rsid w:val="002B21C9"/>
    <w:rsid w:val="002B2B74"/>
    <w:rsid w:val="002B2FF4"/>
    <w:rsid w:val="002B382E"/>
    <w:rsid w:val="002B6B5A"/>
    <w:rsid w:val="002C1EBF"/>
    <w:rsid w:val="002C2953"/>
    <w:rsid w:val="002C3114"/>
    <w:rsid w:val="002C3696"/>
    <w:rsid w:val="002C3B6D"/>
    <w:rsid w:val="002C40AD"/>
    <w:rsid w:val="002C4B26"/>
    <w:rsid w:val="002C5E76"/>
    <w:rsid w:val="002C71A1"/>
    <w:rsid w:val="002C733B"/>
    <w:rsid w:val="002D1129"/>
    <w:rsid w:val="002D3952"/>
    <w:rsid w:val="002D4176"/>
    <w:rsid w:val="002D4E3B"/>
    <w:rsid w:val="002D5A6A"/>
    <w:rsid w:val="002E0AC2"/>
    <w:rsid w:val="002E173C"/>
    <w:rsid w:val="002E5066"/>
    <w:rsid w:val="002E5B0E"/>
    <w:rsid w:val="002E7FE5"/>
    <w:rsid w:val="002F2271"/>
    <w:rsid w:val="002F55AB"/>
    <w:rsid w:val="00300CEB"/>
    <w:rsid w:val="00300D10"/>
    <w:rsid w:val="00301C55"/>
    <w:rsid w:val="00314E1B"/>
    <w:rsid w:val="00316710"/>
    <w:rsid w:val="00317A4F"/>
    <w:rsid w:val="00322EFA"/>
    <w:rsid w:val="00325C86"/>
    <w:rsid w:val="0033258C"/>
    <w:rsid w:val="00334CBF"/>
    <w:rsid w:val="00336ED4"/>
    <w:rsid w:val="003454FE"/>
    <w:rsid w:val="0034627B"/>
    <w:rsid w:val="00346570"/>
    <w:rsid w:val="0034660E"/>
    <w:rsid w:val="00347A60"/>
    <w:rsid w:val="0035275B"/>
    <w:rsid w:val="00353E22"/>
    <w:rsid w:val="00357134"/>
    <w:rsid w:val="00357839"/>
    <w:rsid w:val="003658C8"/>
    <w:rsid w:val="00371E96"/>
    <w:rsid w:val="003726E2"/>
    <w:rsid w:val="00373C85"/>
    <w:rsid w:val="003800D2"/>
    <w:rsid w:val="0038190D"/>
    <w:rsid w:val="003842BF"/>
    <w:rsid w:val="003859A5"/>
    <w:rsid w:val="00390058"/>
    <w:rsid w:val="003901FF"/>
    <w:rsid w:val="003904E0"/>
    <w:rsid w:val="00392394"/>
    <w:rsid w:val="003964C7"/>
    <w:rsid w:val="003A0CD1"/>
    <w:rsid w:val="003A23E5"/>
    <w:rsid w:val="003A3326"/>
    <w:rsid w:val="003A46DE"/>
    <w:rsid w:val="003A5FF3"/>
    <w:rsid w:val="003A7BD7"/>
    <w:rsid w:val="003B023F"/>
    <w:rsid w:val="003B1890"/>
    <w:rsid w:val="003C0E7A"/>
    <w:rsid w:val="003C0FB9"/>
    <w:rsid w:val="003C2A4D"/>
    <w:rsid w:val="003C2EC0"/>
    <w:rsid w:val="003C4E20"/>
    <w:rsid w:val="003C5F2B"/>
    <w:rsid w:val="003C6F0C"/>
    <w:rsid w:val="003D0391"/>
    <w:rsid w:val="003D44FB"/>
    <w:rsid w:val="003D548F"/>
    <w:rsid w:val="003E1A93"/>
    <w:rsid w:val="003E4EED"/>
    <w:rsid w:val="003E57B3"/>
    <w:rsid w:val="003F2DC0"/>
    <w:rsid w:val="003F362E"/>
    <w:rsid w:val="003F665A"/>
    <w:rsid w:val="003F7031"/>
    <w:rsid w:val="004051D4"/>
    <w:rsid w:val="0040685C"/>
    <w:rsid w:val="00407571"/>
    <w:rsid w:val="004102D5"/>
    <w:rsid w:val="00415044"/>
    <w:rsid w:val="0042011D"/>
    <w:rsid w:val="00422355"/>
    <w:rsid w:val="00422E15"/>
    <w:rsid w:val="004328AB"/>
    <w:rsid w:val="00434E18"/>
    <w:rsid w:val="00435835"/>
    <w:rsid w:val="00436489"/>
    <w:rsid w:val="004367D7"/>
    <w:rsid w:val="004414E1"/>
    <w:rsid w:val="00441E01"/>
    <w:rsid w:val="00445C8A"/>
    <w:rsid w:val="004516A3"/>
    <w:rsid w:val="0045250E"/>
    <w:rsid w:val="00456B07"/>
    <w:rsid w:val="00460D41"/>
    <w:rsid w:val="00466E8A"/>
    <w:rsid w:val="004710FC"/>
    <w:rsid w:val="00481E13"/>
    <w:rsid w:val="004822E8"/>
    <w:rsid w:val="004836E8"/>
    <w:rsid w:val="004856C4"/>
    <w:rsid w:val="00487800"/>
    <w:rsid w:val="00491B97"/>
    <w:rsid w:val="00492733"/>
    <w:rsid w:val="0049360F"/>
    <w:rsid w:val="004943A7"/>
    <w:rsid w:val="00495294"/>
    <w:rsid w:val="004956E4"/>
    <w:rsid w:val="00495FBB"/>
    <w:rsid w:val="00496095"/>
    <w:rsid w:val="00497896"/>
    <w:rsid w:val="004A0762"/>
    <w:rsid w:val="004A0AD1"/>
    <w:rsid w:val="004A178A"/>
    <w:rsid w:val="004A1969"/>
    <w:rsid w:val="004A4B70"/>
    <w:rsid w:val="004A7120"/>
    <w:rsid w:val="004A7C0F"/>
    <w:rsid w:val="004B01C9"/>
    <w:rsid w:val="004B0827"/>
    <w:rsid w:val="004B0B29"/>
    <w:rsid w:val="004B1B58"/>
    <w:rsid w:val="004B41B6"/>
    <w:rsid w:val="004B737F"/>
    <w:rsid w:val="004C3159"/>
    <w:rsid w:val="004C5589"/>
    <w:rsid w:val="004C7639"/>
    <w:rsid w:val="004D4713"/>
    <w:rsid w:val="004D62CA"/>
    <w:rsid w:val="004D6F00"/>
    <w:rsid w:val="004E104C"/>
    <w:rsid w:val="004E380A"/>
    <w:rsid w:val="004E40C4"/>
    <w:rsid w:val="004E482F"/>
    <w:rsid w:val="004E502B"/>
    <w:rsid w:val="004E60DB"/>
    <w:rsid w:val="004E7C65"/>
    <w:rsid w:val="004F0CAD"/>
    <w:rsid w:val="004F40C2"/>
    <w:rsid w:val="004F5135"/>
    <w:rsid w:val="004F5E47"/>
    <w:rsid w:val="004F701A"/>
    <w:rsid w:val="00501B41"/>
    <w:rsid w:val="00503B2C"/>
    <w:rsid w:val="00506962"/>
    <w:rsid w:val="00507183"/>
    <w:rsid w:val="00507D8A"/>
    <w:rsid w:val="00516E62"/>
    <w:rsid w:val="00516F2C"/>
    <w:rsid w:val="005170F5"/>
    <w:rsid w:val="005217AB"/>
    <w:rsid w:val="00522E51"/>
    <w:rsid w:val="0052483B"/>
    <w:rsid w:val="00525949"/>
    <w:rsid w:val="00533A18"/>
    <w:rsid w:val="00534E43"/>
    <w:rsid w:val="005351E5"/>
    <w:rsid w:val="005355DF"/>
    <w:rsid w:val="00536B7A"/>
    <w:rsid w:val="00540923"/>
    <w:rsid w:val="005409E9"/>
    <w:rsid w:val="00541265"/>
    <w:rsid w:val="00543D92"/>
    <w:rsid w:val="00550A0E"/>
    <w:rsid w:val="0055133D"/>
    <w:rsid w:val="0055452D"/>
    <w:rsid w:val="00554CA7"/>
    <w:rsid w:val="005550E3"/>
    <w:rsid w:val="00555327"/>
    <w:rsid w:val="00563B4E"/>
    <w:rsid w:val="005707B3"/>
    <w:rsid w:val="00570F9B"/>
    <w:rsid w:val="005725FB"/>
    <w:rsid w:val="00573CA3"/>
    <w:rsid w:val="005758D9"/>
    <w:rsid w:val="00581181"/>
    <w:rsid w:val="00581806"/>
    <w:rsid w:val="00582057"/>
    <w:rsid w:val="00585E3B"/>
    <w:rsid w:val="0058781A"/>
    <w:rsid w:val="00591AEF"/>
    <w:rsid w:val="00591B48"/>
    <w:rsid w:val="00591B9A"/>
    <w:rsid w:val="0059305A"/>
    <w:rsid w:val="005937F7"/>
    <w:rsid w:val="0059456D"/>
    <w:rsid w:val="00596ACB"/>
    <w:rsid w:val="00597A86"/>
    <w:rsid w:val="005A128F"/>
    <w:rsid w:val="005A3018"/>
    <w:rsid w:val="005A4460"/>
    <w:rsid w:val="005A4FD7"/>
    <w:rsid w:val="005A597B"/>
    <w:rsid w:val="005B377E"/>
    <w:rsid w:val="005B4746"/>
    <w:rsid w:val="005B50A4"/>
    <w:rsid w:val="005B67E6"/>
    <w:rsid w:val="005B6FA9"/>
    <w:rsid w:val="005C2073"/>
    <w:rsid w:val="005C372A"/>
    <w:rsid w:val="005C5FD9"/>
    <w:rsid w:val="005D1085"/>
    <w:rsid w:val="005D1693"/>
    <w:rsid w:val="005D2F71"/>
    <w:rsid w:val="005D3751"/>
    <w:rsid w:val="005D5301"/>
    <w:rsid w:val="005D6140"/>
    <w:rsid w:val="005D6C95"/>
    <w:rsid w:val="005D77AB"/>
    <w:rsid w:val="005E0634"/>
    <w:rsid w:val="005F1485"/>
    <w:rsid w:val="005F5271"/>
    <w:rsid w:val="00600481"/>
    <w:rsid w:val="0060055D"/>
    <w:rsid w:val="00601FD2"/>
    <w:rsid w:val="0060315C"/>
    <w:rsid w:val="006041E9"/>
    <w:rsid w:val="00605695"/>
    <w:rsid w:val="0060709D"/>
    <w:rsid w:val="006208B0"/>
    <w:rsid w:val="006228C0"/>
    <w:rsid w:val="0062346F"/>
    <w:rsid w:val="00632D52"/>
    <w:rsid w:val="00633CCF"/>
    <w:rsid w:val="00637E56"/>
    <w:rsid w:val="00660A77"/>
    <w:rsid w:val="00662404"/>
    <w:rsid w:val="006633C6"/>
    <w:rsid w:val="006639ED"/>
    <w:rsid w:val="00663D06"/>
    <w:rsid w:val="00666C02"/>
    <w:rsid w:val="006715E4"/>
    <w:rsid w:val="00673BA4"/>
    <w:rsid w:val="006757D9"/>
    <w:rsid w:val="00676752"/>
    <w:rsid w:val="00677360"/>
    <w:rsid w:val="006817AE"/>
    <w:rsid w:val="006834D3"/>
    <w:rsid w:val="006838A5"/>
    <w:rsid w:val="00683CE7"/>
    <w:rsid w:val="00697E5C"/>
    <w:rsid w:val="006A0F3A"/>
    <w:rsid w:val="006A3770"/>
    <w:rsid w:val="006A64DB"/>
    <w:rsid w:val="006A6CBB"/>
    <w:rsid w:val="006A6E3A"/>
    <w:rsid w:val="006B237A"/>
    <w:rsid w:val="006B2E6E"/>
    <w:rsid w:val="006B33F1"/>
    <w:rsid w:val="006B3645"/>
    <w:rsid w:val="006B7E6B"/>
    <w:rsid w:val="006C0CE2"/>
    <w:rsid w:val="006C1C40"/>
    <w:rsid w:val="006C3F88"/>
    <w:rsid w:val="006C40E2"/>
    <w:rsid w:val="006C7804"/>
    <w:rsid w:val="006D1929"/>
    <w:rsid w:val="006D21A8"/>
    <w:rsid w:val="006D5A72"/>
    <w:rsid w:val="006E179F"/>
    <w:rsid w:val="006E191A"/>
    <w:rsid w:val="006E1E9E"/>
    <w:rsid w:val="006E48D6"/>
    <w:rsid w:val="006E59FD"/>
    <w:rsid w:val="006E787E"/>
    <w:rsid w:val="006F106B"/>
    <w:rsid w:val="006F16A1"/>
    <w:rsid w:val="006F1E39"/>
    <w:rsid w:val="006F6B62"/>
    <w:rsid w:val="0070035C"/>
    <w:rsid w:val="0070049A"/>
    <w:rsid w:val="00700C24"/>
    <w:rsid w:val="007017EF"/>
    <w:rsid w:val="0070401A"/>
    <w:rsid w:val="00707C3F"/>
    <w:rsid w:val="0071088E"/>
    <w:rsid w:val="00710B29"/>
    <w:rsid w:val="00710B64"/>
    <w:rsid w:val="00711253"/>
    <w:rsid w:val="0071404C"/>
    <w:rsid w:val="00714717"/>
    <w:rsid w:val="00714B21"/>
    <w:rsid w:val="007201F5"/>
    <w:rsid w:val="0072114B"/>
    <w:rsid w:val="00726B56"/>
    <w:rsid w:val="00730804"/>
    <w:rsid w:val="007333E1"/>
    <w:rsid w:val="00734139"/>
    <w:rsid w:val="00737701"/>
    <w:rsid w:val="00741587"/>
    <w:rsid w:val="00746104"/>
    <w:rsid w:val="0075367F"/>
    <w:rsid w:val="00753A18"/>
    <w:rsid w:val="00757DCA"/>
    <w:rsid w:val="007604E9"/>
    <w:rsid w:val="00760CE6"/>
    <w:rsid w:val="007705E5"/>
    <w:rsid w:val="00771CC5"/>
    <w:rsid w:val="007721D8"/>
    <w:rsid w:val="0077369C"/>
    <w:rsid w:val="007754A8"/>
    <w:rsid w:val="00775F54"/>
    <w:rsid w:val="0078290E"/>
    <w:rsid w:val="0078678D"/>
    <w:rsid w:val="007906FC"/>
    <w:rsid w:val="00792ACA"/>
    <w:rsid w:val="007933C6"/>
    <w:rsid w:val="00793F95"/>
    <w:rsid w:val="007949EE"/>
    <w:rsid w:val="007A1BCB"/>
    <w:rsid w:val="007A4271"/>
    <w:rsid w:val="007A7100"/>
    <w:rsid w:val="007A7878"/>
    <w:rsid w:val="007B0728"/>
    <w:rsid w:val="007B7431"/>
    <w:rsid w:val="007B7867"/>
    <w:rsid w:val="007B7A3C"/>
    <w:rsid w:val="007C09E9"/>
    <w:rsid w:val="007C29B9"/>
    <w:rsid w:val="007C29F6"/>
    <w:rsid w:val="007C2BE8"/>
    <w:rsid w:val="007D00E7"/>
    <w:rsid w:val="007D3B47"/>
    <w:rsid w:val="007D45B8"/>
    <w:rsid w:val="007D634B"/>
    <w:rsid w:val="007E1000"/>
    <w:rsid w:val="007E15DF"/>
    <w:rsid w:val="007E21E5"/>
    <w:rsid w:val="007E39ED"/>
    <w:rsid w:val="007E7B66"/>
    <w:rsid w:val="007F2BA5"/>
    <w:rsid w:val="007F4197"/>
    <w:rsid w:val="007F5970"/>
    <w:rsid w:val="007F79C7"/>
    <w:rsid w:val="0080029B"/>
    <w:rsid w:val="00803C9C"/>
    <w:rsid w:val="00803D9C"/>
    <w:rsid w:val="008100E3"/>
    <w:rsid w:val="00811D5E"/>
    <w:rsid w:val="00812358"/>
    <w:rsid w:val="00814518"/>
    <w:rsid w:val="00815D7C"/>
    <w:rsid w:val="008226CB"/>
    <w:rsid w:val="00835A14"/>
    <w:rsid w:val="00840F3D"/>
    <w:rsid w:val="00843637"/>
    <w:rsid w:val="00843BE9"/>
    <w:rsid w:val="00844A21"/>
    <w:rsid w:val="00845FAC"/>
    <w:rsid w:val="00850332"/>
    <w:rsid w:val="0085053D"/>
    <w:rsid w:val="008527B2"/>
    <w:rsid w:val="008570C4"/>
    <w:rsid w:val="00857A74"/>
    <w:rsid w:val="008622A4"/>
    <w:rsid w:val="00870BDA"/>
    <w:rsid w:val="0087175C"/>
    <w:rsid w:val="00871784"/>
    <w:rsid w:val="00871A33"/>
    <w:rsid w:val="0087251E"/>
    <w:rsid w:val="00873C38"/>
    <w:rsid w:val="00882981"/>
    <w:rsid w:val="00885B45"/>
    <w:rsid w:val="00890A49"/>
    <w:rsid w:val="00890BC5"/>
    <w:rsid w:val="00890F77"/>
    <w:rsid w:val="008927F5"/>
    <w:rsid w:val="00897296"/>
    <w:rsid w:val="008A0591"/>
    <w:rsid w:val="008A06F0"/>
    <w:rsid w:val="008A396F"/>
    <w:rsid w:val="008A4FB8"/>
    <w:rsid w:val="008A7420"/>
    <w:rsid w:val="008A7CD0"/>
    <w:rsid w:val="008B3B04"/>
    <w:rsid w:val="008B43B9"/>
    <w:rsid w:val="008C0540"/>
    <w:rsid w:val="008C0AEB"/>
    <w:rsid w:val="008C2A33"/>
    <w:rsid w:val="008C3666"/>
    <w:rsid w:val="008C6C40"/>
    <w:rsid w:val="008C6E41"/>
    <w:rsid w:val="008D1AEF"/>
    <w:rsid w:val="008D5FA4"/>
    <w:rsid w:val="008E095B"/>
    <w:rsid w:val="008E6CD1"/>
    <w:rsid w:val="008F4081"/>
    <w:rsid w:val="008F525E"/>
    <w:rsid w:val="008F57E1"/>
    <w:rsid w:val="008F7052"/>
    <w:rsid w:val="00900AF7"/>
    <w:rsid w:val="009034DF"/>
    <w:rsid w:val="009042AD"/>
    <w:rsid w:val="00904550"/>
    <w:rsid w:val="0090494F"/>
    <w:rsid w:val="009064F6"/>
    <w:rsid w:val="00910C49"/>
    <w:rsid w:val="00912320"/>
    <w:rsid w:val="00913099"/>
    <w:rsid w:val="0091561B"/>
    <w:rsid w:val="00916916"/>
    <w:rsid w:val="00917145"/>
    <w:rsid w:val="00921887"/>
    <w:rsid w:val="00922380"/>
    <w:rsid w:val="00930BAD"/>
    <w:rsid w:val="00940DD3"/>
    <w:rsid w:val="00940F64"/>
    <w:rsid w:val="00942B48"/>
    <w:rsid w:val="00944721"/>
    <w:rsid w:val="009449AB"/>
    <w:rsid w:val="00946582"/>
    <w:rsid w:val="009514A8"/>
    <w:rsid w:val="00956AEA"/>
    <w:rsid w:val="00956B4C"/>
    <w:rsid w:val="00957A57"/>
    <w:rsid w:val="009628C8"/>
    <w:rsid w:val="00965970"/>
    <w:rsid w:val="00967956"/>
    <w:rsid w:val="00973258"/>
    <w:rsid w:val="0097534C"/>
    <w:rsid w:val="00980175"/>
    <w:rsid w:val="009815F6"/>
    <w:rsid w:val="0098261C"/>
    <w:rsid w:val="00986184"/>
    <w:rsid w:val="00986F85"/>
    <w:rsid w:val="009877AE"/>
    <w:rsid w:val="00994383"/>
    <w:rsid w:val="009A4F55"/>
    <w:rsid w:val="009A5085"/>
    <w:rsid w:val="009A6273"/>
    <w:rsid w:val="009A71A1"/>
    <w:rsid w:val="009B0DEF"/>
    <w:rsid w:val="009B10EF"/>
    <w:rsid w:val="009B597B"/>
    <w:rsid w:val="009B7B63"/>
    <w:rsid w:val="009C394F"/>
    <w:rsid w:val="009D2105"/>
    <w:rsid w:val="009D42D3"/>
    <w:rsid w:val="009D7F18"/>
    <w:rsid w:val="009D7FE3"/>
    <w:rsid w:val="009E6325"/>
    <w:rsid w:val="009F12C3"/>
    <w:rsid w:val="009F133D"/>
    <w:rsid w:val="009F17B3"/>
    <w:rsid w:val="009F1B9F"/>
    <w:rsid w:val="009F2CFB"/>
    <w:rsid w:val="009F3DDB"/>
    <w:rsid w:val="00A02410"/>
    <w:rsid w:val="00A02E5B"/>
    <w:rsid w:val="00A04281"/>
    <w:rsid w:val="00A062ED"/>
    <w:rsid w:val="00A0676A"/>
    <w:rsid w:val="00A067C8"/>
    <w:rsid w:val="00A079A2"/>
    <w:rsid w:val="00A13C42"/>
    <w:rsid w:val="00A1546F"/>
    <w:rsid w:val="00A210C4"/>
    <w:rsid w:val="00A215ED"/>
    <w:rsid w:val="00A22584"/>
    <w:rsid w:val="00A24530"/>
    <w:rsid w:val="00A257EE"/>
    <w:rsid w:val="00A345AB"/>
    <w:rsid w:val="00A35BC7"/>
    <w:rsid w:val="00A361BC"/>
    <w:rsid w:val="00A41EC8"/>
    <w:rsid w:val="00A436A9"/>
    <w:rsid w:val="00A50227"/>
    <w:rsid w:val="00A516BC"/>
    <w:rsid w:val="00A52E56"/>
    <w:rsid w:val="00A52FC1"/>
    <w:rsid w:val="00A532E5"/>
    <w:rsid w:val="00A55F29"/>
    <w:rsid w:val="00A55F8A"/>
    <w:rsid w:val="00A56E93"/>
    <w:rsid w:val="00A6096A"/>
    <w:rsid w:val="00A617ED"/>
    <w:rsid w:val="00A6187F"/>
    <w:rsid w:val="00A6429C"/>
    <w:rsid w:val="00A7193A"/>
    <w:rsid w:val="00A71C93"/>
    <w:rsid w:val="00A72F34"/>
    <w:rsid w:val="00A73026"/>
    <w:rsid w:val="00A739DC"/>
    <w:rsid w:val="00A73D44"/>
    <w:rsid w:val="00A74B52"/>
    <w:rsid w:val="00A76E38"/>
    <w:rsid w:val="00A80BB2"/>
    <w:rsid w:val="00A8269C"/>
    <w:rsid w:val="00A826E4"/>
    <w:rsid w:val="00A82AE8"/>
    <w:rsid w:val="00A871BB"/>
    <w:rsid w:val="00A87E1E"/>
    <w:rsid w:val="00A9579A"/>
    <w:rsid w:val="00A96938"/>
    <w:rsid w:val="00A96C7E"/>
    <w:rsid w:val="00AA2633"/>
    <w:rsid w:val="00AA3056"/>
    <w:rsid w:val="00AA526A"/>
    <w:rsid w:val="00AA6ED1"/>
    <w:rsid w:val="00AA757C"/>
    <w:rsid w:val="00AA7717"/>
    <w:rsid w:val="00AA7B70"/>
    <w:rsid w:val="00AB3E3D"/>
    <w:rsid w:val="00AB47E7"/>
    <w:rsid w:val="00AB7DF2"/>
    <w:rsid w:val="00AC1C50"/>
    <w:rsid w:val="00AC27B5"/>
    <w:rsid w:val="00AC3979"/>
    <w:rsid w:val="00AC4335"/>
    <w:rsid w:val="00AD0F68"/>
    <w:rsid w:val="00AD5E43"/>
    <w:rsid w:val="00AE23C9"/>
    <w:rsid w:val="00AE29C7"/>
    <w:rsid w:val="00AE7B11"/>
    <w:rsid w:val="00AF3441"/>
    <w:rsid w:val="00AF3FDF"/>
    <w:rsid w:val="00AF6050"/>
    <w:rsid w:val="00AF6C6D"/>
    <w:rsid w:val="00B01B2D"/>
    <w:rsid w:val="00B02A8A"/>
    <w:rsid w:val="00B06D8D"/>
    <w:rsid w:val="00B15BC6"/>
    <w:rsid w:val="00B17EA4"/>
    <w:rsid w:val="00B21D6A"/>
    <w:rsid w:val="00B22459"/>
    <w:rsid w:val="00B23A66"/>
    <w:rsid w:val="00B24B86"/>
    <w:rsid w:val="00B26236"/>
    <w:rsid w:val="00B2691F"/>
    <w:rsid w:val="00B26D63"/>
    <w:rsid w:val="00B272CF"/>
    <w:rsid w:val="00B27977"/>
    <w:rsid w:val="00B3126F"/>
    <w:rsid w:val="00B3140F"/>
    <w:rsid w:val="00B332DC"/>
    <w:rsid w:val="00B35429"/>
    <w:rsid w:val="00B44748"/>
    <w:rsid w:val="00B45F56"/>
    <w:rsid w:val="00B522FD"/>
    <w:rsid w:val="00B53688"/>
    <w:rsid w:val="00B57951"/>
    <w:rsid w:val="00B6034F"/>
    <w:rsid w:val="00B60714"/>
    <w:rsid w:val="00B63B91"/>
    <w:rsid w:val="00B670C5"/>
    <w:rsid w:val="00B70773"/>
    <w:rsid w:val="00B711FA"/>
    <w:rsid w:val="00B72821"/>
    <w:rsid w:val="00B81F5B"/>
    <w:rsid w:val="00B83024"/>
    <w:rsid w:val="00B86295"/>
    <w:rsid w:val="00B91E6D"/>
    <w:rsid w:val="00B96B10"/>
    <w:rsid w:val="00B9724F"/>
    <w:rsid w:val="00BA2F38"/>
    <w:rsid w:val="00BA31DE"/>
    <w:rsid w:val="00BA54AB"/>
    <w:rsid w:val="00BA64C0"/>
    <w:rsid w:val="00BB291C"/>
    <w:rsid w:val="00BB2C32"/>
    <w:rsid w:val="00BB5D02"/>
    <w:rsid w:val="00BB739F"/>
    <w:rsid w:val="00BC173E"/>
    <w:rsid w:val="00BC5F46"/>
    <w:rsid w:val="00BD14D9"/>
    <w:rsid w:val="00BD1E6D"/>
    <w:rsid w:val="00BD2BE3"/>
    <w:rsid w:val="00BD6A61"/>
    <w:rsid w:val="00BE4D8E"/>
    <w:rsid w:val="00BF02D1"/>
    <w:rsid w:val="00BF1AAA"/>
    <w:rsid w:val="00BF4B9C"/>
    <w:rsid w:val="00BF5DDB"/>
    <w:rsid w:val="00C00A20"/>
    <w:rsid w:val="00C00A4A"/>
    <w:rsid w:val="00C04527"/>
    <w:rsid w:val="00C10B7A"/>
    <w:rsid w:val="00C1165A"/>
    <w:rsid w:val="00C123E9"/>
    <w:rsid w:val="00C136D9"/>
    <w:rsid w:val="00C152E6"/>
    <w:rsid w:val="00C178AD"/>
    <w:rsid w:val="00C201B1"/>
    <w:rsid w:val="00C20373"/>
    <w:rsid w:val="00C20CEC"/>
    <w:rsid w:val="00C21B43"/>
    <w:rsid w:val="00C225E5"/>
    <w:rsid w:val="00C22D48"/>
    <w:rsid w:val="00C324E1"/>
    <w:rsid w:val="00C3261C"/>
    <w:rsid w:val="00C32F74"/>
    <w:rsid w:val="00C33181"/>
    <w:rsid w:val="00C33838"/>
    <w:rsid w:val="00C33E9E"/>
    <w:rsid w:val="00C341EE"/>
    <w:rsid w:val="00C36C7E"/>
    <w:rsid w:val="00C3799B"/>
    <w:rsid w:val="00C40915"/>
    <w:rsid w:val="00C41D8E"/>
    <w:rsid w:val="00C42BAC"/>
    <w:rsid w:val="00C46567"/>
    <w:rsid w:val="00C47C56"/>
    <w:rsid w:val="00C53C15"/>
    <w:rsid w:val="00C578CF"/>
    <w:rsid w:val="00C60895"/>
    <w:rsid w:val="00C61D5C"/>
    <w:rsid w:val="00C65307"/>
    <w:rsid w:val="00C667B2"/>
    <w:rsid w:val="00C66E77"/>
    <w:rsid w:val="00C71361"/>
    <w:rsid w:val="00C71F62"/>
    <w:rsid w:val="00C71F69"/>
    <w:rsid w:val="00C761C5"/>
    <w:rsid w:val="00C80891"/>
    <w:rsid w:val="00C828B5"/>
    <w:rsid w:val="00C86C46"/>
    <w:rsid w:val="00C873B3"/>
    <w:rsid w:val="00C90A0F"/>
    <w:rsid w:val="00C92BFC"/>
    <w:rsid w:val="00C94BCC"/>
    <w:rsid w:val="00C9536F"/>
    <w:rsid w:val="00C9769A"/>
    <w:rsid w:val="00CA0427"/>
    <w:rsid w:val="00CA07A4"/>
    <w:rsid w:val="00CA0A36"/>
    <w:rsid w:val="00CA1FF6"/>
    <w:rsid w:val="00CA28CB"/>
    <w:rsid w:val="00CA28D3"/>
    <w:rsid w:val="00CA3F80"/>
    <w:rsid w:val="00CA7853"/>
    <w:rsid w:val="00CB7CCD"/>
    <w:rsid w:val="00CC2DC7"/>
    <w:rsid w:val="00CC526D"/>
    <w:rsid w:val="00CC7932"/>
    <w:rsid w:val="00CD056B"/>
    <w:rsid w:val="00CD0FF5"/>
    <w:rsid w:val="00CD49E0"/>
    <w:rsid w:val="00CE03D4"/>
    <w:rsid w:val="00CE090C"/>
    <w:rsid w:val="00CE441C"/>
    <w:rsid w:val="00CF0CD7"/>
    <w:rsid w:val="00CF6ED0"/>
    <w:rsid w:val="00D01670"/>
    <w:rsid w:val="00D03178"/>
    <w:rsid w:val="00D03D4C"/>
    <w:rsid w:val="00D0635D"/>
    <w:rsid w:val="00D071EE"/>
    <w:rsid w:val="00D07B4A"/>
    <w:rsid w:val="00D1049C"/>
    <w:rsid w:val="00D10595"/>
    <w:rsid w:val="00D13557"/>
    <w:rsid w:val="00D17EAE"/>
    <w:rsid w:val="00D202A4"/>
    <w:rsid w:val="00D21960"/>
    <w:rsid w:val="00D24023"/>
    <w:rsid w:val="00D25F56"/>
    <w:rsid w:val="00D2700C"/>
    <w:rsid w:val="00D30D4A"/>
    <w:rsid w:val="00D323E1"/>
    <w:rsid w:val="00D3377E"/>
    <w:rsid w:val="00D35582"/>
    <w:rsid w:val="00D445AD"/>
    <w:rsid w:val="00D451A4"/>
    <w:rsid w:val="00D46278"/>
    <w:rsid w:val="00D466E5"/>
    <w:rsid w:val="00D504F2"/>
    <w:rsid w:val="00D524A9"/>
    <w:rsid w:val="00D60B84"/>
    <w:rsid w:val="00D6344C"/>
    <w:rsid w:val="00D63D7C"/>
    <w:rsid w:val="00D64080"/>
    <w:rsid w:val="00D65DD1"/>
    <w:rsid w:val="00D671D9"/>
    <w:rsid w:val="00D70DB4"/>
    <w:rsid w:val="00D71567"/>
    <w:rsid w:val="00D72170"/>
    <w:rsid w:val="00D73456"/>
    <w:rsid w:val="00D75B3D"/>
    <w:rsid w:val="00D76903"/>
    <w:rsid w:val="00D77CA2"/>
    <w:rsid w:val="00D83039"/>
    <w:rsid w:val="00D84626"/>
    <w:rsid w:val="00D84801"/>
    <w:rsid w:val="00D86FF8"/>
    <w:rsid w:val="00DA5852"/>
    <w:rsid w:val="00DA6512"/>
    <w:rsid w:val="00DB2981"/>
    <w:rsid w:val="00DB2B46"/>
    <w:rsid w:val="00DB4781"/>
    <w:rsid w:val="00DB535E"/>
    <w:rsid w:val="00DB5568"/>
    <w:rsid w:val="00DB6166"/>
    <w:rsid w:val="00DB6A8C"/>
    <w:rsid w:val="00DC3AB4"/>
    <w:rsid w:val="00DC44AD"/>
    <w:rsid w:val="00DC5B13"/>
    <w:rsid w:val="00DD0F8D"/>
    <w:rsid w:val="00DD678D"/>
    <w:rsid w:val="00DD67EE"/>
    <w:rsid w:val="00DE0870"/>
    <w:rsid w:val="00DE130A"/>
    <w:rsid w:val="00DE4C62"/>
    <w:rsid w:val="00DE5157"/>
    <w:rsid w:val="00DF0F96"/>
    <w:rsid w:val="00DF29C0"/>
    <w:rsid w:val="00DF2A31"/>
    <w:rsid w:val="00DF3A2C"/>
    <w:rsid w:val="00DF5F7C"/>
    <w:rsid w:val="00DF6545"/>
    <w:rsid w:val="00E0338B"/>
    <w:rsid w:val="00E03643"/>
    <w:rsid w:val="00E1314A"/>
    <w:rsid w:val="00E15829"/>
    <w:rsid w:val="00E16E60"/>
    <w:rsid w:val="00E22034"/>
    <w:rsid w:val="00E251EF"/>
    <w:rsid w:val="00E25320"/>
    <w:rsid w:val="00E2621E"/>
    <w:rsid w:val="00E2672A"/>
    <w:rsid w:val="00E318D9"/>
    <w:rsid w:val="00E33A4E"/>
    <w:rsid w:val="00E41DB1"/>
    <w:rsid w:val="00E4218F"/>
    <w:rsid w:val="00E45441"/>
    <w:rsid w:val="00E478B9"/>
    <w:rsid w:val="00E50FD2"/>
    <w:rsid w:val="00E52F55"/>
    <w:rsid w:val="00E535C3"/>
    <w:rsid w:val="00E575F4"/>
    <w:rsid w:val="00E57E44"/>
    <w:rsid w:val="00E60E7D"/>
    <w:rsid w:val="00E63405"/>
    <w:rsid w:val="00E635C8"/>
    <w:rsid w:val="00E6496F"/>
    <w:rsid w:val="00E706C2"/>
    <w:rsid w:val="00E773DE"/>
    <w:rsid w:val="00E81695"/>
    <w:rsid w:val="00E84BC1"/>
    <w:rsid w:val="00E852A2"/>
    <w:rsid w:val="00E87B8D"/>
    <w:rsid w:val="00E927D7"/>
    <w:rsid w:val="00E93A4C"/>
    <w:rsid w:val="00E96377"/>
    <w:rsid w:val="00EA0059"/>
    <w:rsid w:val="00EA237A"/>
    <w:rsid w:val="00EA2CDA"/>
    <w:rsid w:val="00EA6882"/>
    <w:rsid w:val="00EB42E0"/>
    <w:rsid w:val="00EB61C1"/>
    <w:rsid w:val="00EB67E5"/>
    <w:rsid w:val="00EC306B"/>
    <w:rsid w:val="00EC3123"/>
    <w:rsid w:val="00EC32CB"/>
    <w:rsid w:val="00EC3FE4"/>
    <w:rsid w:val="00EC471D"/>
    <w:rsid w:val="00EC5CC2"/>
    <w:rsid w:val="00ED1939"/>
    <w:rsid w:val="00ED1A27"/>
    <w:rsid w:val="00ED356D"/>
    <w:rsid w:val="00ED3B8D"/>
    <w:rsid w:val="00ED4A7C"/>
    <w:rsid w:val="00ED4F51"/>
    <w:rsid w:val="00ED52F7"/>
    <w:rsid w:val="00ED6225"/>
    <w:rsid w:val="00ED6EB7"/>
    <w:rsid w:val="00EE18E7"/>
    <w:rsid w:val="00EE7164"/>
    <w:rsid w:val="00EF21D7"/>
    <w:rsid w:val="00EF2309"/>
    <w:rsid w:val="00EF4C79"/>
    <w:rsid w:val="00EF5110"/>
    <w:rsid w:val="00EF7270"/>
    <w:rsid w:val="00F0032E"/>
    <w:rsid w:val="00F0202D"/>
    <w:rsid w:val="00F04B1E"/>
    <w:rsid w:val="00F04FEB"/>
    <w:rsid w:val="00F138B9"/>
    <w:rsid w:val="00F13A79"/>
    <w:rsid w:val="00F14ACE"/>
    <w:rsid w:val="00F21255"/>
    <w:rsid w:val="00F22E13"/>
    <w:rsid w:val="00F248E6"/>
    <w:rsid w:val="00F2694A"/>
    <w:rsid w:val="00F27A5E"/>
    <w:rsid w:val="00F31709"/>
    <w:rsid w:val="00F34710"/>
    <w:rsid w:val="00F411A9"/>
    <w:rsid w:val="00F464A4"/>
    <w:rsid w:val="00F477C5"/>
    <w:rsid w:val="00F5402D"/>
    <w:rsid w:val="00F54EDD"/>
    <w:rsid w:val="00F5510C"/>
    <w:rsid w:val="00F55C3F"/>
    <w:rsid w:val="00F5679D"/>
    <w:rsid w:val="00F57ED5"/>
    <w:rsid w:val="00F60488"/>
    <w:rsid w:val="00F6557E"/>
    <w:rsid w:val="00F66AB4"/>
    <w:rsid w:val="00F66E66"/>
    <w:rsid w:val="00F66F0F"/>
    <w:rsid w:val="00F752D0"/>
    <w:rsid w:val="00F77B25"/>
    <w:rsid w:val="00F82A2E"/>
    <w:rsid w:val="00F84C2F"/>
    <w:rsid w:val="00F910E5"/>
    <w:rsid w:val="00F92CCA"/>
    <w:rsid w:val="00F93DAF"/>
    <w:rsid w:val="00F941F9"/>
    <w:rsid w:val="00F9424B"/>
    <w:rsid w:val="00F97201"/>
    <w:rsid w:val="00FA41C0"/>
    <w:rsid w:val="00FA4960"/>
    <w:rsid w:val="00FA7601"/>
    <w:rsid w:val="00FB129D"/>
    <w:rsid w:val="00FB20BE"/>
    <w:rsid w:val="00FB4005"/>
    <w:rsid w:val="00FB4267"/>
    <w:rsid w:val="00FB474E"/>
    <w:rsid w:val="00FB4B3B"/>
    <w:rsid w:val="00FC5620"/>
    <w:rsid w:val="00FC69E2"/>
    <w:rsid w:val="00FC78E1"/>
    <w:rsid w:val="00FD1FFB"/>
    <w:rsid w:val="00FD2B74"/>
    <w:rsid w:val="00FD39EB"/>
    <w:rsid w:val="00FE5102"/>
    <w:rsid w:val="00FE56E7"/>
    <w:rsid w:val="00FF21F9"/>
    <w:rsid w:val="00FF23CE"/>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A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74"/>
  </w:style>
  <w:style w:type="paragraph" w:styleId="Heading2">
    <w:name w:val="heading 2"/>
    <w:basedOn w:val="Normal"/>
    <w:link w:val="Heading2Char"/>
    <w:uiPriority w:val="9"/>
    <w:qFormat/>
    <w:rsid w:val="00EB67E5"/>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E47"/>
    <w:rPr>
      <w:strike w:val="0"/>
      <w:dstrike w:val="0"/>
      <w:color w:val="5383A9"/>
      <w:sz w:val="18"/>
      <w:szCs w:val="18"/>
      <w:u w:val="none"/>
      <w:effect w:val="none"/>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locked/>
    <w:rsid w:val="00FD2B74"/>
    <w:rPr>
      <w:rFonts w:ascii="Verdana" w:hAnsi="Verdana"/>
      <w:sz w:val="16"/>
      <w:lang w:val="en-US"/>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FootnoteTextChar"/>
    <w:unhideWhenUsed/>
    <w:qFormat/>
    <w:rsid w:val="00FD2B74"/>
    <w:pPr>
      <w:spacing w:after="0" w:line="240" w:lineRule="auto"/>
      <w:jc w:val="both"/>
    </w:pPr>
    <w:rPr>
      <w:rFonts w:ascii="Verdana" w:hAnsi="Verdana"/>
      <w:sz w:val="16"/>
      <w:lang w:val="en-US"/>
    </w:rPr>
  </w:style>
  <w:style w:type="character" w:customStyle="1" w:styleId="TextonotapieCar">
    <w:name w:val="Texto nota pie Car"/>
    <w:aliases w:val="Footnote Text Char Char Char Char Char Car1,Footnote Text Char Char Char Char Car1,Footnote reference Car1,Footnote Text Char Char Char Car1,Footnote Text Cha Car1,FA Fußnotentext Car1,FA Fuﬂnotentext Car1"/>
    <w:basedOn w:val="DefaultParagraphFont"/>
    <w:uiPriority w:val="99"/>
    <w:rsid w:val="004F5E47"/>
    <w:rPr>
      <w:sz w:val="20"/>
      <w:szCs w:val="20"/>
    </w:rPr>
  </w:style>
  <w:style w:type="paragraph" w:styleId="ListParagraph">
    <w:name w:val="List Paragraph"/>
    <w:aliases w:val="Footnote,Párrafo de lista1,Colorful List - Accent 11"/>
    <w:basedOn w:val="Normal"/>
    <w:link w:val="ListParagraphChar"/>
    <w:uiPriority w:val="34"/>
    <w:qFormat/>
    <w:rsid w:val="004F5E47"/>
    <w:pPr>
      <w:ind w:left="720"/>
      <w:contextualSpacing/>
    </w:pPr>
    <w:rPr>
      <w:rFonts w:ascii="Calibri" w:eastAsia="Calibri" w:hAnsi="Calibri" w:cs="Times New Roman"/>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link w:val="4GChar"/>
    <w:uiPriority w:val="99"/>
    <w:unhideWhenUsed/>
    <w:qFormat/>
    <w:rsid w:val="004F5E47"/>
    <w:rPr>
      <w:vertAlign w:val="superscript"/>
    </w:rPr>
  </w:style>
  <w:style w:type="character" w:customStyle="1" w:styleId="eacep">
    <w:name w:val="eacep"/>
    <w:basedOn w:val="DefaultParagraphFont"/>
    <w:rsid w:val="004F5E47"/>
  </w:style>
  <w:style w:type="character" w:styleId="Emphasis">
    <w:name w:val="Emphasis"/>
    <w:basedOn w:val="DefaultParagraphFont"/>
    <w:qFormat/>
    <w:rsid w:val="004F5E47"/>
    <w:rPr>
      <w:i/>
      <w:iCs/>
    </w:rPr>
  </w:style>
  <w:style w:type="character" w:customStyle="1" w:styleId="ListParagraphChar">
    <w:name w:val="List Paragraph Char"/>
    <w:aliases w:val="Footnote Char,Párrafo de lista1 Char,Colorful List - Accent 11 Char"/>
    <w:link w:val="ListParagraph"/>
    <w:uiPriority w:val="34"/>
    <w:locked/>
    <w:rsid w:val="004F5E47"/>
    <w:rPr>
      <w:rFonts w:ascii="Calibri" w:eastAsia="Calibri" w:hAnsi="Calibri" w:cs="Times New Roman"/>
      <w:lang w:val="en-US"/>
    </w:rPr>
  </w:style>
  <w:style w:type="character" w:styleId="Strong">
    <w:name w:val="Strong"/>
    <w:basedOn w:val="DefaultParagraphFont"/>
    <w:uiPriority w:val="22"/>
    <w:qFormat/>
    <w:rsid w:val="004F5E47"/>
    <w:rPr>
      <w:b/>
      <w:bCs/>
    </w:rPr>
  </w:style>
  <w:style w:type="paragraph" w:customStyle="1" w:styleId="sq">
    <w:name w:val="sq"/>
    <w:basedOn w:val="Normal"/>
    <w:uiPriority w:val="99"/>
    <w:rsid w:val="004F5E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40" w:lineRule="auto"/>
      <w:jc w:val="both"/>
    </w:pPr>
    <w:rPr>
      <w:rFonts w:ascii="Garamond" w:eastAsia="Times New Roman" w:hAnsi="Garamond" w:cs="Times New Roman"/>
      <w:sz w:val="24"/>
      <w:szCs w:val="20"/>
      <w:lang w:val="en-US"/>
    </w:rPr>
  </w:style>
  <w:style w:type="character" w:customStyle="1" w:styleId="CharAttribute1">
    <w:name w:val="CharAttribute1"/>
    <w:rsid w:val="004F5E47"/>
    <w:rPr>
      <w:rFonts w:ascii="Verdana" w:eastAsia="Verdana" w:hAnsi="Verdana"/>
      <w:b/>
    </w:rPr>
  </w:style>
  <w:style w:type="paragraph" w:styleId="Header">
    <w:name w:val="header"/>
    <w:basedOn w:val="Normal"/>
    <w:link w:val="HeaderChar"/>
    <w:uiPriority w:val="99"/>
    <w:unhideWhenUsed/>
    <w:rsid w:val="004F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47"/>
  </w:style>
  <w:style w:type="paragraph" w:styleId="BalloonText">
    <w:name w:val="Balloon Text"/>
    <w:basedOn w:val="Normal"/>
    <w:link w:val="BalloonTextChar"/>
    <w:uiPriority w:val="99"/>
    <w:semiHidden/>
    <w:unhideWhenUsed/>
    <w:rsid w:val="007F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70"/>
    <w:rPr>
      <w:rFonts w:ascii="Tahoma" w:hAnsi="Tahoma" w:cs="Tahoma"/>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B17EA4"/>
    <w:pPr>
      <w:spacing w:after="0" w:line="240" w:lineRule="auto"/>
      <w:jc w:val="both"/>
    </w:pPr>
    <w:rPr>
      <w:vertAlign w:val="superscript"/>
    </w:rPr>
  </w:style>
  <w:style w:type="paragraph" w:styleId="Footer">
    <w:name w:val="footer"/>
    <w:basedOn w:val="Normal"/>
    <w:link w:val="FooterChar"/>
    <w:unhideWhenUsed/>
    <w:rsid w:val="000F62F3"/>
    <w:pPr>
      <w:tabs>
        <w:tab w:val="center" w:pos="4680"/>
        <w:tab w:val="right" w:pos="9360"/>
      </w:tabs>
      <w:spacing w:after="0" w:line="240" w:lineRule="auto"/>
    </w:pPr>
  </w:style>
  <w:style w:type="character" w:customStyle="1" w:styleId="FooterChar">
    <w:name w:val="Footer Char"/>
    <w:basedOn w:val="DefaultParagraphFont"/>
    <w:link w:val="Footer"/>
    <w:rsid w:val="000F62F3"/>
  </w:style>
  <w:style w:type="character" w:styleId="CommentReference">
    <w:name w:val="annotation reference"/>
    <w:basedOn w:val="DefaultParagraphFont"/>
    <w:uiPriority w:val="99"/>
    <w:semiHidden/>
    <w:unhideWhenUsed/>
    <w:rsid w:val="007B0728"/>
    <w:rPr>
      <w:sz w:val="16"/>
      <w:szCs w:val="16"/>
    </w:rPr>
  </w:style>
  <w:style w:type="paragraph" w:styleId="CommentText">
    <w:name w:val="annotation text"/>
    <w:basedOn w:val="Normal"/>
    <w:link w:val="CommentTextChar"/>
    <w:uiPriority w:val="99"/>
    <w:unhideWhenUsed/>
    <w:rsid w:val="007B0728"/>
    <w:pPr>
      <w:spacing w:line="240" w:lineRule="auto"/>
    </w:pPr>
    <w:rPr>
      <w:sz w:val="20"/>
      <w:szCs w:val="20"/>
    </w:rPr>
  </w:style>
  <w:style w:type="character" w:customStyle="1" w:styleId="CommentTextChar">
    <w:name w:val="Comment Text Char"/>
    <w:basedOn w:val="DefaultParagraphFont"/>
    <w:link w:val="CommentText"/>
    <w:uiPriority w:val="99"/>
    <w:rsid w:val="007B0728"/>
    <w:rPr>
      <w:sz w:val="20"/>
      <w:szCs w:val="20"/>
    </w:rPr>
  </w:style>
  <w:style w:type="paragraph" w:styleId="CommentSubject">
    <w:name w:val="annotation subject"/>
    <w:basedOn w:val="CommentText"/>
    <w:next w:val="CommentText"/>
    <w:link w:val="CommentSubjectChar"/>
    <w:uiPriority w:val="99"/>
    <w:semiHidden/>
    <w:unhideWhenUsed/>
    <w:rsid w:val="007B0728"/>
    <w:rPr>
      <w:b/>
      <w:bCs/>
    </w:rPr>
  </w:style>
  <w:style w:type="character" w:customStyle="1" w:styleId="CommentSubjectChar">
    <w:name w:val="Comment Subject Char"/>
    <w:basedOn w:val="CommentTextChar"/>
    <w:link w:val="CommentSubject"/>
    <w:uiPriority w:val="99"/>
    <w:semiHidden/>
    <w:rsid w:val="007B0728"/>
    <w:rPr>
      <w:b/>
      <w:bCs/>
      <w:sz w:val="20"/>
      <w:szCs w:val="20"/>
    </w:rPr>
  </w:style>
  <w:style w:type="paragraph" w:styleId="Revision">
    <w:name w:val="Revision"/>
    <w:hidden/>
    <w:uiPriority w:val="99"/>
    <w:semiHidden/>
    <w:rsid w:val="00A56E93"/>
    <w:pPr>
      <w:spacing w:after="0" w:line="240" w:lineRule="auto"/>
    </w:pPr>
  </w:style>
  <w:style w:type="character" w:styleId="LineNumber">
    <w:name w:val="line number"/>
    <w:basedOn w:val="DefaultParagraphFont"/>
    <w:uiPriority w:val="99"/>
    <w:semiHidden/>
    <w:unhideWhenUsed/>
    <w:rsid w:val="006715E4"/>
  </w:style>
  <w:style w:type="paragraph" w:styleId="NormalWeb">
    <w:name w:val="Normal (Web)"/>
    <w:basedOn w:val="Normal"/>
    <w:uiPriority w:val="99"/>
    <w:unhideWhenUsed/>
    <w:rsid w:val="00A8269C"/>
    <w:pPr>
      <w:spacing w:before="100" w:beforeAutospacing="1" w:after="100" w:afterAutospacing="1" w:line="240" w:lineRule="auto"/>
    </w:pPr>
    <w:rPr>
      <w:rFonts w:ascii="Times" w:hAnsi="Times" w:cs="Times New Roman"/>
      <w:sz w:val="20"/>
      <w:szCs w:val="20"/>
      <w:lang w:val="en-US"/>
    </w:rPr>
  </w:style>
  <w:style w:type="paragraph" w:styleId="BodyText">
    <w:name w:val="Body Text"/>
    <w:basedOn w:val="Normal"/>
    <w:link w:val="BodyTextChar"/>
    <w:rsid w:val="001F3073"/>
    <w:pPr>
      <w:spacing w:after="120" w:line="240" w:lineRule="auto"/>
    </w:pPr>
    <w:rPr>
      <w:rFonts w:ascii="Times" w:eastAsia="Times" w:hAnsi="Times" w:cs="Times New Roman"/>
      <w:sz w:val="24"/>
      <w:szCs w:val="20"/>
      <w:lang w:val="es-ES_tradnl"/>
    </w:rPr>
  </w:style>
  <w:style w:type="character" w:customStyle="1" w:styleId="BodyTextChar">
    <w:name w:val="Body Text Char"/>
    <w:basedOn w:val="DefaultParagraphFont"/>
    <w:link w:val="BodyText"/>
    <w:rsid w:val="001F3073"/>
    <w:rPr>
      <w:rFonts w:ascii="Times" w:eastAsia="Times" w:hAnsi="Times" w:cs="Times New Roman"/>
      <w:sz w:val="24"/>
      <w:szCs w:val="20"/>
      <w:lang w:val="es-ES_tradnl"/>
    </w:rPr>
  </w:style>
  <w:style w:type="paragraph" w:customStyle="1" w:styleId="Default">
    <w:name w:val="Default"/>
    <w:rsid w:val="00917145"/>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EB67E5"/>
    <w:rPr>
      <w:rFonts w:ascii="Times New Roman" w:hAnsi="Times New Roman" w:cs="Times New Roman"/>
      <w:b/>
      <w:bCs/>
      <w:sz w:val="36"/>
      <w:szCs w:val="36"/>
      <w:lang w:val="en-US"/>
    </w:rPr>
  </w:style>
  <w:style w:type="character" w:customStyle="1" w:styleId="apple-converted-space">
    <w:name w:val="apple-converted-space"/>
    <w:basedOn w:val="DefaultParagraphFont"/>
    <w:rsid w:val="005A597B"/>
  </w:style>
  <w:style w:type="character" w:styleId="FollowedHyperlink">
    <w:name w:val="FollowedHyperlink"/>
    <w:basedOn w:val="DefaultParagraphFont"/>
    <w:uiPriority w:val="99"/>
    <w:semiHidden/>
    <w:unhideWhenUsed/>
    <w:rsid w:val="004E50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74"/>
  </w:style>
  <w:style w:type="paragraph" w:styleId="Heading2">
    <w:name w:val="heading 2"/>
    <w:basedOn w:val="Normal"/>
    <w:link w:val="Heading2Char"/>
    <w:uiPriority w:val="9"/>
    <w:qFormat/>
    <w:rsid w:val="00EB67E5"/>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E47"/>
    <w:rPr>
      <w:strike w:val="0"/>
      <w:dstrike w:val="0"/>
      <w:color w:val="5383A9"/>
      <w:sz w:val="18"/>
      <w:szCs w:val="18"/>
      <w:u w:val="none"/>
      <w:effect w:val="none"/>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locked/>
    <w:rsid w:val="00FD2B74"/>
    <w:rPr>
      <w:rFonts w:ascii="Verdana" w:hAnsi="Verdana"/>
      <w:sz w:val="16"/>
      <w:lang w:val="en-US"/>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FootnoteTextChar"/>
    <w:unhideWhenUsed/>
    <w:qFormat/>
    <w:rsid w:val="00FD2B74"/>
    <w:pPr>
      <w:spacing w:after="0" w:line="240" w:lineRule="auto"/>
      <w:jc w:val="both"/>
    </w:pPr>
    <w:rPr>
      <w:rFonts w:ascii="Verdana" w:hAnsi="Verdana"/>
      <w:sz w:val="16"/>
      <w:lang w:val="en-US"/>
    </w:rPr>
  </w:style>
  <w:style w:type="character" w:customStyle="1" w:styleId="TextonotapieCar">
    <w:name w:val="Texto nota pie Car"/>
    <w:aliases w:val="Footnote Text Char Char Char Char Char Car1,Footnote Text Char Char Char Char Car1,Footnote reference Car1,Footnote Text Char Char Char Car1,Footnote Text Cha Car1,FA Fußnotentext Car1,FA Fuﬂnotentext Car1"/>
    <w:basedOn w:val="DefaultParagraphFont"/>
    <w:uiPriority w:val="99"/>
    <w:rsid w:val="004F5E47"/>
    <w:rPr>
      <w:sz w:val="20"/>
      <w:szCs w:val="20"/>
    </w:rPr>
  </w:style>
  <w:style w:type="paragraph" w:styleId="ListParagraph">
    <w:name w:val="List Paragraph"/>
    <w:aliases w:val="Footnote,Párrafo de lista1,Colorful List - Accent 11"/>
    <w:basedOn w:val="Normal"/>
    <w:link w:val="ListParagraphChar"/>
    <w:uiPriority w:val="34"/>
    <w:qFormat/>
    <w:rsid w:val="004F5E47"/>
    <w:pPr>
      <w:ind w:left="720"/>
      <w:contextualSpacing/>
    </w:pPr>
    <w:rPr>
      <w:rFonts w:ascii="Calibri" w:eastAsia="Calibri" w:hAnsi="Calibri" w:cs="Times New Roman"/>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link w:val="4GChar"/>
    <w:uiPriority w:val="99"/>
    <w:unhideWhenUsed/>
    <w:qFormat/>
    <w:rsid w:val="004F5E47"/>
    <w:rPr>
      <w:vertAlign w:val="superscript"/>
    </w:rPr>
  </w:style>
  <w:style w:type="character" w:customStyle="1" w:styleId="eacep">
    <w:name w:val="eacep"/>
    <w:basedOn w:val="DefaultParagraphFont"/>
    <w:rsid w:val="004F5E47"/>
  </w:style>
  <w:style w:type="character" w:styleId="Emphasis">
    <w:name w:val="Emphasis"/>
    <w:basedOn w:val="DefaultParagraphFont"/>
    <w:qFormat/>
    <w:rsid w:val="004F5E47"/>
    <w:rPr>
      <w:i/>
      <w:iCs/>
    </w:rPr>
  </w:style>
  <w:style w:type="character" w:customStyle="1" w:styleId="ListParagraphChar">
    <w:name w:val="List Paragraph Char"/>
    <w:aliases w:val="Footnote Char,Párrafo de lista1 Char,Colorful List - Accent 11 Char"/>
    <w:link w:val="ListParagraph"/>
    <w:uiPriority w:val="34"/>
    <w:locked/>
    <w:rsid w:val="004F5E47"/>
    <w:rPr>
      <w:rFonts w:ascii="Calibri" w:eastAsia="Calibri" w:hAnsi="Calibri" w:cs="Times New Roman"/>
      <w:lang w:val="en-US"/>
    </w:rPr>
  </w:style>
  <w:style w:type="character" w:styleId="Strong">
    <w:name w:val="Strong"/>
    <w:basedOn w:val="DefaultParagraphFont"/>
    <w:uiPriority w:val="22"/>
    <w:qFormat/>
    <w:rsid w:val="004F5E47"/>
    <w:rPr>
      <w:b/>
      <w:bCs/>
    </w:rPr>
  </w:style>
  <w:style w:type="paragraph" w:customStyle="1" w:styleId="sq">
    <w:name w:val="sq"/>
    <w:basedOn w:val="Normal"/>
    <w:uiPriority w:val="99"/>
    <w:rsid w:val="004F5E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40" w:lineRule="auto"/>
      <w:jc w:val="both"/>
    </w:pPr>
    <w:rPr>
      <w:rFonts w:ascii="Garamond" w:eastAsia="Times New Roman" w:hAnsi="Garamond" w:cs="Times New Roman"/>
      <w:sz w:val="24"/>
      <w:szCs w:val="20"/>
      <w:lang w:val="en-US"/>
    </w:rPr>
  </w:style>
  <w:style w:type="character" w:customStyle="1" w:styleId="CharAttribute1">
    <w:name w:val="CharAttribute1"/>
    <w:rsid w:val="004F5E47"/>
    <w:rPr>
      <w:rFonts w:ascii="Verdana" w:eastAsia="Verdana" w:hAnsi="Verdana"/>
      <w:b/>
    </w:rPr>
  </w:style>
  <w:style w:type="paragraph" w:styleId="Header">
    <w:name w:val="header"/>
    <w:basedOn w:val="Normal"/>
    <w:link w:val="HeaderChar"/>
    <w:uiPriority w:val="99"/>
    <w:unhideWhenUsed/>
    <w:rsid w:val="004F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47"/>
  </w:style>
  <w:style w:type="paragraph" w:styleId="BalloonText">
    <w:name w:val="Balloon Text"/>
    <w:basedOn w:val="Normal"/>
    <w:link w:val="BalloonTextChar"/>
    <w:uiPriority w:val="99"/>
    <w:semiHidden/>
    <w:unhideWhenUsed/>
    <w:rsid w:val="007F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70"/>
    <w:rPr>
      <w:rFonts w:ascii="Tahoma" w:hAnsi="Tahoma" w:cs="Tahoma"/>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B17EA4"/>
    <w:pPr>
      <w:spacing w:after="0" w:line="240" w:lineRule="auto"/>
      <w:jc w:val="both"/>
    </w:pPr>
    <w:rPr>
      <w:vertAlign w:val="superscript"/>
    </w:rPr>
  </w:style>
  <w:style w:type="paragraph" w:styleId="Footer">
    <w:name w:val="footer"/>
    <w:basedOn w:val="Normal"/>
    <w:link w:val="FooterChar"/>
    <w:unhideWhenUsed/>
    <w:rsid w:val="000F62F3"/>
    <w:pPr>
      <w:tabs>
        <w:tab w:val="center" w:pos="4680"/>
        <w:tab w:val="right" w:pos="9360"/>
      </w:tabs>
      <w:spacing w:after="0" w:line="240" w:lineRule="auto"/>
    </w:pPr>
  </w:style>
  <w:style w:type="character" w:customStyle="1" w:styleId="FooterChar">
    <w:name w:val="Footer Char"/>
    <w:basedOn w:val="DefaultParagraphFont"/>
    <w:link w:val="Footer"/>
    <w:rsid w:val="000F62F3"/>
  </w:style>
  <w:style w:type="character" w:styleId="CommentReference">
    <w:name w:val="annotation reference"/>
    <w:basedOn w:val="DefaultParagraphFont"/>
    <w:uiPriority w:val="99"/>
    <w:semiHidden/>
    <w:unhideWhenUsed/>
    <w:rsid w:val="007B0728"/>
    <w:rPr>
      <w:sz w:val="16"/>
      <w:szCs w:val="16"/>
    </w:rPr>
  </w:style>
  <w:style w:type="paragraph" w:styleId="CommentText">
    <w:name w:val="annotation text"/>
    <w:basedOn w:val="Normal"/>
    <w:link w:val="CommentTextChar"/>
    <w:uiPriority w:val="99"/>
    <w:unhideWhenUsed/>
    <w:rsid w:val="007B0728"/>
    <w:pPr>
      <w:spacing w:line="240" w:lineRule="auto"/>
    </w:pPr>
    <w:rPr>
      <w:sz w:val="20"/>
      <w:szCs w:val="20"/>
    </w:rPr>
  </w:style>
  <w:style w:type="character" w:customStyle="1" w:styleId="CommentTextChar">
    <w:name w:val="Comment Text Char"/>
    <w:basedOn w:val="DefaultParagraphFont"/>
    <w:link w:val="CommentText"/>
    <w:uiPriority w:val="99"/>
    <w:rsid w:val="007B0728"/>
    <w:rPr>
      <w:sz w:val="20"/>
      <w:szCs w:val="20"/>
    </w:rPr>
  </w:style>
  <w:style w:type="paragraph" w:styleId="CommentSubject">
    <w:name w:val="annotation subject"/>
    <w:basedOn w:val="CommentText"/>
    <w:next w:val="CommentText"/>
    <w:link w:val="CommentSubjectChar"/>
    <w:uiPriority w:val="99"/>
    <w:semiHidden/>
    <w:unhideWhenUsed/>
    <w:rsid w:val="007B0728"/>
    <w:rPr>
      <w:b/>
      <w:bCs/>
    </w:rPr>
  </w:style>
  <w:style w:type="character" w:customStyle="1" w:styleId="CommentSubjectChar">
    <w:name w:val="Comment Subject Char"/>
    <w:basedOn w:val="CommentTextChar"/>
    <w:link w:val="CommentSubject"/>
    <w:uiPriority w:val="99"/>
    <w:semiHidden/>
    <w:rsid w:val="007B0728"/>
    <w:rPr>
      <w:b/>
      <w:bCs/>
      <w:sz w:val="20"/>
      <w:szCs w:val="20"/>
    </w:rPr>
  </w:style>
  <w:style w:type="paragraph" w:styleId="Revision">
    <w:name w:val="Revision"/>
    <w:hidden/>
    <w:uiPriority w:val="99"/>
    <w:semiHidden/>
    <w:rsid w:val="00A56E93"/>
    <w:pPr>
      <w:spacing w:after="0" w:line="240" w:lineRule="auto"/>
    </w:pPr>
  </w:style>
  <w:style w:type="character" w:styleId="LineNumber">
    <w:name w:val="line number"/>
    <w:basedOn w:val="DefaultParagraphFont"/>
    <w:uiPriority w:val="99"/>
    <w:semiHidden/>
    <w:unhideWhenUsed/>
    <w:rsid w:val="006715E4"/>
  </w:style>
  <w:style w:type="paragraph" w:styleId="NormalWeb">
    <w:name w:val="Normal (Web)"/>
    <w:basedOn w:val="Normal"/>
    <w:uiPriority w:val="99"/>
    <w:unhideWhenUsed/>
    <w:rsid w:val="00A8269C"/>
    <w:pPr>
      <w:spacing w:before="100" w:beforeAutospacing="1" w:after="100" w:afterAutospacing="1" w:line="240" w:lineRule="auto"/>
    </w:pPr>
    <w:rPr>
      <w:rFonts w:ascii="Times" w:hAnsi="Times" w:cs="Times New Roman"/>
      <w:sz w:val="20"/>
      <w:szCs w:val="20"/>
      <w:lang w:val="en-US"/>
    </w:rPr>
  </w:style>
  <w:style w:type="paragraph" w:styleId="BodyText">
    <w:name w:val="Body Text"/>
    <w:basedOn w:val="Normal"/>
    <w:link w:val="BodyTextChar"/>
    <w:rsid w:val="001F3073"/>
    <w:pPr>
      <w:spacing w:after="120" w:line="240" w:lineRule="auto"/>
    </w:pPr>
    <w:rPr>
      <w:rFonts w:ascii="Times" w:eastAsia="Times" w:hAnsi="Times" w:cs="Times New Roman"/>
      <w:sz w:val="24"/>
      <w:szCs w:val="20"/>
      <w:lang w:val="es-ES_tradnl"/>
    </w:rPr>
  </w:style>
  <w:style w:type="character" w:customStyle="1" w:styleId="BodyTextChar">
    <w:name w:val="Body Text Char"/>
    <w:basedOn w:val="DefaultParagraphFont"/>
    <w:link w:val="BodyText"/>
    <w:rsid w:val="001F3073"/>
    <w:rPr>
      <w:rFonts w:ascii="Times" w:eastAsia="Times" w:hAnsi="Times" w:cs="Times New Roman"/>
      <w:sz w:val="24"/>
      <w:szCs w:val="20"/>
      <w:lang w:val="es-ES_tradnl"/>
    </w:rPr>
  </w:style>
  <w:style w:type="paragraph" w:customStyle="1" w:styleId="Default">
    <w:name w:val="Default"/>
    <w:rsid w:val="00917145"/>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EB67E5"/>
    <w:rPr>
      <w:rFonts w:ascii="Times New Roman" w:hAnsi="Times New Roman" w:cs="Times New Roman"/>
      <w:b/>
      <w:bCs/>
      <w:sz w:val="36"/>
      <w:szCs w:val="36"/>
      <w:lang w:val="en-US"/>
    </w:rPr>
  </w:style>
  <w:style w:type="character" w:customStyle="1" w:styleId="apple-converted-space">
    <w:name w:val="apple-converted-space"/>
    <w:basedOn w:val="DefaultParagraphFont"/>
    <w:rsid w:val="005A597B"/>
  </w:style>
  <w:style w:type="character" w:styleId="FollowedHyperlink">
    <w:name w:val="FollowedHyperlink"/>
    <w:basedOn w:val="DefaultParagraphFont"/>
    <w:uiPriority w:val="99"/>
    <w:semiHidden/>
    <w:unhideWhenUsed/>
    <w:rsid w:val="004E5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6179">
      <w:bodyDiv w:val="1"/>
      <w:marLeft w:val="0"/>
      <w:marRight w:val="0"/>
      <w:marTop w:val="0"/>
      <w:marBottom w:val="0"/>
      <w:divBdr>
        <w:top w:val="none" w:sz="0" w:space="0" w:color="auto"/>
        <w:left w:val="none" w:sz="0" w:space="0" w:color="auto"/>
        <w:bottom w:val="none" w:sz="0" w:space="0" w:color="auto"/>
        <w:right w:val="none" w:sz="0" w:space="0" w:color="auto"/>
      </w:divBdr>
    </w:div>
    <w:div w:id="55860624">
      <w:bodyDiv w:val="1"/>
      <w:marLeft w:val="0"/>
      <w:marRight w:val="0"/>
      <w:marTop w:val="0"/>
      <w:marBottom w:val="0"/>
      <w:divBdr>
        <w:top w:val="none" w:sz="0" w:space="0" w:color="auto"/>
        <w:left w:val="none" w:sz="0" w:space="0" w:color="auto"/>
        <w:bottom w:val="none" w:sz="0" w:space="0" w:color="auto"/>
        <w:right w:val="none" w:sz="0" w:space="0" w:color="auto"/>
      </w:divBdr>
    </w:div>
    <w:div w:id="119419666">
      <w:bodyDiv w:val="1"/>
      <w:marLeft w:val="0"/>
      <w:marRight w:val="0"/>
      <w:marTop w:val="0"/>
      <w:marBottom w:val="0"/>
      <w:divBdr>
        <w:top w:val="none" w:sz="0" w:space="0" w:color="auto"/>
        <w:left w:val="none" w:sz="0" w:space="0" w:color="auto"/>
        <w:bottom w:val="none" w:sz="0" w:space="0" w:color="auto"/>
        <w:right w:val="none" w:sz="0" w:space="0" w:color="auto"/>
      </w:divBdr>
    </w:div>
    <w:div w:id="277302781">
      <w:bodyDiv w:val="1"/>
      <w:marLeft w:val="0"/>
      <w:marRight w:val="0"/>
      <w:marTop w:val="0"/>
      <w:marBottom w:val="0"/>
      <w:divBdr>
        <w:top w:val="none" w:sz="0" w:space="0" w:color="auto"/>
        <w:left w:val="none" w:sz="0" w:space="0" w:color="auto"/>
        <w:bottom w:val="none" w:sz="0" w:space="0" w:color="auto"/>
        <w:right w:val="none" w:sz="0" w:space="0" w:color="auto"/>
      </w:divBdr>
    </w:div>
    <w:div w:id="515577364">
      <w:bodyDiv w:val="1"/>
      <w:marLeft w:val="0"/>
      <w:marRight w:val="0"/>
      <w:marTop w:val="0"/>
      <w:marBottom w:val="0"/>
      <w:divBdr>
        <w:top w:val="none" w:sz="0" w:space="0" w:color="auto"/>
        <w:left w:val="none" w:sz="0" w:space="0" w:color="auto"/>
        <w:bottom w:val="none" w:sz="0" w:space="0" w:color="auto"/>
        <w:right w:val="none" w:sz="0" w:space="0" w:color="auto"/>
      </w:divBdr>
    </w:div>
    <w:div w:id="552350319">
      <w:bodyDiv w:val="1"/>
      <w:marLeft w:val="0"/>
      <w:marRight w:val="0"/>
      <w:marTop w:val="0"/>
      <w:marBottom w:val="0"/>
      <w:divBdr>
        <w:top w:val="none" w:sz="0" w:space="0" w:color="auto"/>
        <w:left w:val="none" w:sz="0" w:space="0" w:color="auto"/>
        <w:bottom w:val="none" w:sz="0" w:space="0" w:color="auto"/>
        <w:right w:val="none" w:sz="0" w:space="0" w:color="auto"/>
      </w:divBdr>
    </w:div>
    <w:div w:id="643630436">
      <w:bodyDiv w:val="1"/>
      <w:marLeft w:val="0"/>
      <w:marRight w:val="0"/>
      <w:marTop w:val="0"/>
      <w:marBottom w:val="0"/>
      <w:divBdr>
        <w:top w:val="none" w:sz="0" w:space="0" w:color="auto"/>
        <w:left w:val="none" w:sz="0" w:space="0" w:color="auto"/>
        <w:bottom w:val="none" w:sz="0" w:space="0" w:color="auto"/>
        <w:right w:val="none" w:sz="0" w:space="0" w:color="auto"/>
      </w:divBdr>
    </w:div>
    <w:div w:id="765273227">
      <w:bodyDiv w:val="1"/>
      <w:marLeft w:val="0"/>
      <w:marRight w:val="0"/>
      <w:marTop w:val="0"/>
      <w:marBottom w:val="0"/>
      <w:divBdr>
        <w:top w:val="none" w:sz="0" w:space="0" w:color="auto"/>
        <w:left w:val="none" w:sz="0" w:space="0" w:color="auto"/>
        <w:bottom w:val="none" w:sz="0" w:space="0" w:color="auto"/>
        <w:right w:val="none" w:sz="0" w:space="0" w:color="auto"/>
      </w:divBdr>
    </w:div>
    <w:div w:id="793325749">
      <w:bodyDiv w:val="1"/>
      <w:marLeft w:val="0"/>
      <w:marRight w:val="0"/>
      <w:marTop w:val="0"/>
      <w:marBottom w:val="0"/>
      <w:divBdr>
        <w:top w:val="none" w:sz="0" w:space="0" w:color="auto"/>
        <w:left w:val="none" w:sz="0" w:space="0" w:color="auto"/>
        <w:bottom w:val="none" w:sz="0" w:space="0" w:color="auto"/>
        <w:right w:val="none" w:sz="0" w:space="0" w:color="auto"/>
      </w:divBdr>
    </w:div>
    <w:div w:id="976181879">
      <w:bodyDiv w:val="1"/>
      <w:marLeft w:val="0"/>
      <w:marRight w:val="0"/>
      <w:marTop w:val="0"/>
      <w:marBottom w:val="0"/>
      <w:divBdr>
        <w:top w:val="none" w:sz="0" w:space="0" w:color="auto"/>
        <w:left w:val="none" w:sz="0" w:space="0" w:color="auto"/>
        <w:bottom w:val="none" w:sz="0" w:space="0" w:color="auto"/>
        <w:right w:val="none" w:sz="0" w:space="0" w:color="auto"/>
      </w:divBdr>
    </w:div>
    <w:div w:id="1058211503">
      <w:bodyDiv w:val="1"/>
      <w:marLeft w:val="0"/>
      <w:marRight w:val="0"/>
      <w:marTop w:val="0"/>
      <w:marBottom w:val="0"/>
      <w:divBdr>
        <w:top w:val="none" w:sz="0" w:space="0" w:color="auto"/>
        <w:left w:val="none" w:sz="0" w:space="0" w:color="auto"/>
        <w:bottom w:val="none" w:sz="0" w:space="0" w:color="auto"/>
        <w:right w:val="none" w:sz="0" w:space="0" w:color="auto"/>
      </w:divBdr>
    </w:div>
    <w:div w:id="1135174334">
      <w:bodyDiv w:val="1"/>
      <w:marLeft w:val="0"/>
      <w:marRight w:val="0"/>
      <w:marTop w:val="0"/>
      <w:marBottom w:val="0"/>
      <w:divBdr>
        <w:top w:val="none" w:sz="0" w:space="0" w:color="auto"/>
        <w:left w:val="none" w:sz="0" w:space="0" w:color="auto"/>
        <w:bottom w:val="none" w:sz="0" w:space="0" w:color="auto"/>
        <w:right w:val="none" w:sz="0" w:space="0" w:color="auto"/>
      </w:divBdr>
    </w:div>
    <w:div w:id="1207569217">
      <w:bodyDiv w:val="1"/>
      <w:marLeft w:val="0"/>
      <w:marRight w:val="0"/>
      <w:marTop w:val="0"/>
      <w:marBottom w:val="0"/>
      <w:divBdr>
        <w:top w:val="none" w:sz="0" w:space="0" w:color="auto"/>
        <w:left w:val="none" w:sz="0" w:space="0" w:color="auto"/>
        <w:bottom w:val="none" w:sz="0" w:space="0" w:color="auto"/>
        <w:right w:val="none" w:sz="0" w:space="0" w:color="auto"/>
      </w:divBdr>
    </w:div>
    <w:div w:id="1415785231">
      <w:bodyDiv w:val="1"/>
      <w:marLeft w:val="0"/>
      <w:marRight w:val="0"/>
      <w:marTop w:val="0"/>
      <w:marBottom w:val="0"/>
      <w:divBdr>
        <w:top w:val="none" w:sz="0" w:space="0" w:color="auto"/>
        <w:left w:val="none" w:sz="0" w:space="0" w:color="auto"/>
        <w:bottom w:val="none" w:sz="0" w:space="0" w:color="auto"/>
        <w:right w:val="none" w:sz="0" w:space="0" w:color="auto"/>
      </w:divBdr>
    </w:div>
    <w:div w:id="1416125219">
      <w:bodyDiv w:val="1"/>
      <w:marLeft w:val="0"/>
      <w:marRight w:val="0"/>
      <w:marTop w:val="0"/>
      <w:marBottom w:val="0"/>
      <w:divBdr>
        <w:top w:val="none" w:sz="0" w:space="0" w:color="auto"/>
        <w:left w:val="none" w:sz="0" w:space="0" w:color="auto"/>
        <w:bottom w:val="none" w:sz="0" w:space="0" w:color="auto"/>
        <w:right w:val="none" w:sz="0" w:space="0" w:color="auto"/>
      </w:divBdr>
    </w:div>
    <w:div w:id="1421178623">
      <w:bodyDiv w:val="1"/>
      <w:marLeft w:val="0"/>
      <w:marRight w:val="0"/>
      <w:marTop w:val="0"/>
      <w:marBottom w:val="0"/>
      <w:divBdr>
        <w:top w:val="none" w:sz="0" w:space="0" w:color="auto"/>
        <w:left w:val="none" w:sz="0" w:space="0" w:color="auto"/>
        <w:bottom w:val="none" w:sz="0" w:space="0" w:color="auto"/>
        <w:right w:val="none" w:sz="0" w:space="0" w:color="auto"/>
      </w:divBdr>
    </w:div>
    <w:div w:id="1439256758">
      <w:bodyDiv w:val="1"/>
      <w:marLeft w:val="0"/>
      <w:marRight w:val="0"/>
      <w:marTop w:val="0"/>
      <w:marBottom w:val="0"/>
      <w:divBdr>
        <w:top w:val="none" w:sz="0" w:space="0" w:color="auto"/>
        <w:left w:val="none" w:sz="0" w:space="0" w:color="auto"/>
        <w:bottom w:val="none" w:sz="0" w:space="0" w:color="auto"/>
        <w:right w:val="none" w:sz="0" w:space="0" w:color="auto"/>
      </w:divBdr>
    </w:div>
    <w:div w:id="1540705338">
      <w:bodyDiv w:val="1"/>
      <w:marLeft w:val="0"/>
      <w:marRight w:val="0"/>
      <w:marTop w:val="0"/>
      <w:marBottom w:val="0"/>
      <w:divBdr>
        <w:top w:val="none" w:sz="0" w:space="0" w:color="auto"/>
        <w:left w:val="none" w:sz="0" w:space="0" w:color="auto"/>
        <w:bottom w:val="none" w:sz="0" w:space="0" w:color="auto"/>
        <w:right w:val="none" w:sz="0" w:space="0" w:color="auto"/>
      </w:divBdr>
    </w:div>
    <w:div w:id="1543708011">
      <w:bodyDiv w:val="1"/>
      <w:marLeft w:val="0"/>
      <w:marRight w:val="0"/>
      <w:marTop w:val="0"/>
      <w:marBottom w:val="0"/>
      <w:divBdr>
        <w:top w:val="none" w:sz="0" w:space="0" w:color="auto"/>
        <w:left w:val="none" w:sz="0" w:space="0" w:color="auto"/>
        <w:bottom w:val="none" w:sz="0" w:space="0" w:color="auto"/>
        <w:right w:val="none" w:sz="0" w:space="0" w:color="auto"/>
      </w:divBdr>
    </w:div>
    <w:div w:id="1566143363">
      <w:bodyDiv w:val="1"/>
      <w:marLeft w:val="0"/>
      <w:marRight w:val="0"/>
      <w:marTop w:val="0"/>
      <w:marBottom w:val="0"/>
      <w:divBdr>
        <w:top w:val="none" w:sz="0" w:space="0" w:color="auto"/>
        <w:left w:val="none" w:sz="0" w:space="0" w:color="auto"/>
        <w:bottom w:val="none" w:sz="0" w:space="0" w:color="auto"/>
        <w:right w:val="none" w:sz="0" w:space="0" w:color="auto"/>
      </w:divBdr>
      <w:divsChild>
        <w:div w:id="419449795">
          <w:marLeft w:val="0"/>
          <w:marRight w:val="0"/>
          <w:marTop w:val="0"/>
          <w:marBottom w:val="0"/>
          <w:divBdr>
            <w:top w:val="none" w:sz="0" w:space="0" w:color="auto"/>
            <w:left w:val="none" w:sz="0" w:space="0" w:color="auto"/>
            <w:bottom w:val="none" w:sz="0" w:space="0" w:color="auto"/>
            <w:right w:val="none" w:sz="0" w:space="0" w:color="auto"/>
          </w:divBdr>
        </w:div>
        <w:div w:id="530461915">
          <w:marLeft w:val="0"/>
          <w:marRight w:val="0"/>
          <w:marTop w:val="0"/>
          <w:marBottom w:val="0"/>
          <w:divBdr>
            <w:top w:val="none" w:sz="0" w:space="0" w:color="auto"/>
            <w:left w:val="none" w:sz="0" w:space="0" w:color="auto"/>
            <w:bottom w:val="none" w:sz="0" w:space="0" w:color="auto"/>
            <w:right w:val="none" w:sz="0" w:space="0" w:color="auto"/>
          </w:divBdr>
        </w:div>
      </w:divsChild>
    </w:div>
    <w:div w:id="1657146489">
      <w:bodyDiv w:val="1"/>
      <w:marLeft w:val="0"/>
      <w:marRight w:val="0"/>
      <w:marTop w:val="0"/>
      <w:marBottom w:val="0"/>
      <w:divBdr>
        <w:top w:val="none" w:sz="0" w:space="0" w:color="auto"/>
        <w:left w:val="none" w:sz="0" w:space="0" w:color="auto"/>
        <w:bottom w:val="none" w:sz="0" w:space="0" w:color="auto"/>
        <w:right w:val="none" w:sz="0" w:space="0" w:color="auto"/>
      </w:divBdr>
    </w:div>
    <w:div w:id="1720394619">
      <w:bodyDiv w:val="1"/>
      <w:marLeft w:val="0"/>
      <w:marRight w:val="0"/>
      <w:marTop w:val="0"/>
      <w:marBottom w:val="0"/>
      <w:divBdr>
        <w:top w:val="none" w:sz="0" w:space="0" w:color="auto"/>
        <w:left w:val="none" w:sz="0" w:space="0" w:color="auto"/>
        <w:bottom w:val="none" w:sz="0" w:space="0" w:color="auto"/>
        <w:right w:val="none" w:sz="0" w:space="0" w:color="auto"/>
      </w:divBdr>
    </w:div>
    <w:div w:id="1842620840">
      <w:bodyDiv w:val="1"/>
      <w:marLeft w:val="0"/>
      <w:marRight w:val="0"/>
      <w:marTop w:val="0"/>
      <w:marBottom w:val="0"/>
      <w:divBdr>
        <w:top w:val="none" w:sz="0" w:space="0" w:color="auto"/>
        <w:left w:val="none" w:sz="0" w:space="0" w:color="auto"/>
        <w:bottom w:val="none" w:sz="0" w:space="0" w:color="auto"/>
        <w:right w:val="none" w:sz="0" w:space="0" w:color="auto"/>
      </w:divBdr>
    </w:div>
    <w:div w:id="1877966493">
      <w:bodyDiv w:val="1"/>
      <w:marLeft w:val="0"/>
      <w:marRight w:val="0"/>
      <w:marTop w:val="0"/>
      <w:marBottom w:val="0"/>
      <w:divBdr>
        <w:top w:val="none" w:sz="0" w:space="0" w:color="auto"/>
        <w:left w:val="none" w:sz="0" w:space="0" w:color="auto"/>
        <w:bottom w:val="none" w:sz="0" w:space="0" w:color="auto"/>
        <w:right w:val="none" w:sz="0" w:space="0" w:color="auto"/>
      </w:divBdr>
      <w:divsChild>
        <w:div w:id="1503818423">
          <w:marLeft w:val="0"/>
          <w:marRight w:val="0"/>
          <w:marTop w:val="0"/>
          <w:marBottom w:val="0"/>
          <w:divBdr>
            <w:top w:val="none" w:sz="0" w:space="0" w:color="auto"/>
            <w:left w:val="none" w:sz="0" w:space="0" w:color="auto"/>
            <w:bottom w:val="none" w:sz="0" w:space="0" w:color="auto"/>
            <w:right w:val="none" w:sz="0" w:space="0" w:color="auto"/>
          </w:divBdr>
        </w:div>
        <w:div w:id="161706548">
          <w:marLeft w:val="0"/>
          <w:marRight w:val="0"/>
          <w:marTop w:val="0"/>
          <w:marBottom w:val="0"/>
          <w:divBdr>
            <w:top w:val="none" w:sz="0" w:space="0" w:color="auto"/>
            <w:left w:val="none" w:sz="0" w:space="0" w:color="auto"/>
            <w:bottom w:val="none" w:sz="0" w:space="0" w:color="auto"/>
            <w:right w:val="none" w:sz="0" w:space="0" w:color="auto"/>
          </w:divBdr>
        </w:div>
      </w:divsChild>
    </w:div>
    <w:div w:id="2052418963">
      <w:bodyDiv w:val="1"/>
      <w:marLeft w:val="0"/>
      <w:marRight w:val="0"/>
      <w:marTop w:val="0"/>
      <w:marBottom w:val="0"/>
      <w:divBdr>
        <w:top w:val="none" w:sz="0" w:space="0" w:color="auto"/>
        <w:left w:val="none" w:sz="0" w:space="0" w:color="auto"/>
        <w:bottom w:val="none" w:sz="0" w:space="0" w:color="auto"/>
        <w:right w:val="none" w:sz="0" w:space="0" w:color="auto"/>
      </w:divBdr>
    </w:div>
    <w:div w:id="20720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F196-505E-4B31-A222-6360EA151A00}">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02B1122-2D71-4C76-8A29-DC630CD7964F}">
  <ds:schemaRefs>
    <ds:schemaRef ds:uri="http://schemas.microsoft.com/sharepoint/v3/contenttype/forms"/>
  </ds:schemaRefs>
</ds:datastoreItem>
</file>

<file path=customXml/itemProps3.xml><?xml version="1.0" encoding="utf-8"?>
<ds:datastoreItem xmlns:ds="http://schemas.openxmlformats.org/officeDocument/2006/customXml" ds:itemID="{7C875C92-ED99-49CF-A192-E7DF83291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1A15B7-C65F-4E8F-8C07-C9EB48AF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3025</Words>
  <Characters>16638</Characters>
  <Application>Microsoft Office Word</Application>
  <DocSecurity>4</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2017-12-17T17:31:00Z</cp:lastPrinted>
  <dcterms:created xsi:type="dcterms:W3CDTF">2018-02-09T17:13:00Z</dcterms:created>
  <dcterms:modified xsi:type="dcterms:W3CDTF">2018-02-09T17:13:00Z</dcterms:modified>
</cp:coreProperties>
</file>