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6BD7A" w14:textId="77777777" w:rsidR="0092519E" w:rsidRDefault="0092519E">
      <w:pPr>
        <w:ind w:right="18"/>
        <w:rPr>
          <w:rFonts w:ascii="Garamond" w:eastAsia="Garamond" w:hAnsi="Garamond" w:cs="Garamond"/>
          <w:b/>
          <w:bCs/>
          <w:smallCaps/>
        </w:rPr>
      </w:pPr>
    </w:p>
    <w:p w14:paraId="2FFFE769" w14:textId="77777777" w:rsidR="0092519E" w:rsidRDefault="0092519E">
      <w:pPr>
        <w:ind w:right="18"/>
        <w:rPr>
          <w:rFonts w:ascii="Garamond" w:eastAsia="Garamond" w:hAnsi="Garamond" w:cs="Garamond"/>
          <w:b/>
          <w:bCs/>
          <w:smallCaps/>
        </w:rPr>
      </w:pPr>
    </w:p>
    <w:p w14:paraId="075D64D0" w14:textId="77777777" w:rsidR="0092519E" w:rsidRDefault="0092519E">
      <w:pPr>
        <w:ind w:right="18"/>
        <w:rPr>
          <w:rFonts w:ascii="Garamond" w:eastAsia="Garamond" w:hAnsi="Garamond" w:cs="Garamond"/>
          <w:b/>
          <w:bCs/>
          <w:smallCaps/>
        </w:rPr>
      </w:pPr>
    </w:p>
    <w:p w14:paraId="24F145D9" w14:textId="77777777" w:rsidR="0092519E" w:rsidRDefault="002A5A89">
      <w:pPr>
        <w:ind w:right="18"/>
        <w:jc w:val="center"/>
        <w:rPr>
          <w:rFonts w:ascii="Verdana" w:eastAsia="Verdana" w:hAnsi="Verdana" w:cs="Verdana"/>
          <w:b/>
          <w:bCs/>
          <w:smallCaps/>
          <w:sz w:val="20"/>
          <w:szCs w:val="20"/>
        </w:rPr>
      </w:pPr>
      <w:r>
        <w:rPr>
          <w:rFonts w:ascii="Verdana" w:hAnsi="Verdana"/>
          <w:b/>
          <w:bCs/>
          <w:smallCaps/>
          <w:sz w:val="20"/>
          <w:szCs w:val="20"/>
        </w:rPr>
        <w:t xml:space="preserve">RESOLUCIÓN </w:t>
      </w:r>
    </w:p>
    <w:p w14:paraId="571157D8" w14:textId="77777777" w:rsidR="0092519E" w:rsidRDefault="002A5A89">
      <w:pPr>
        <w:pStyle w:val="Ttulo1"/>
        <w:ind w:right="18"/>
      </w:pPr>
      <w:r>
        <w:rPr>
          <w:rStyle w:val="Nmerodepgina"/>
        </w:rPr>
        <w:t>DE LA CORTE INTERAMERICANA DE DERECHOS HUMANOS</w:t>
      </w:r>
      <w:r>
        <w:rPr>
          <w:b w:val="0"/>
          <w:bCs w:val="0"/>
          <w:smallCaps/>
          <w:vertAlign w:val="superscript"/>
        </w:rPr>
        <w:footnoteReference w:id="2"/>
      </w:r>
    </w:p>
    <w:p w14:paraId="4F63D448" w14:textId="77777777" w:rsidR="0092519E" w:rsidRDefault="00723FCF" w:rsidP="008F595C">
      <w:pPr>
        <w:jc w:val="center"/>
        <w:rPr>
          <w:rFonts w:ascii="Verdana" w:eastAsia="Verdana" w:hAnsi="Verdana" w:cs="Verdana"/>
          <w:sz w:val="20"/>
          <w:szCs w:val="20"/>
        </w:rPr>
      </w:pPr>
      <w:r>
        <w:rPr>
          <w:rFonts w:ascii="Verdana" w:hAnsi="Verdana"/>
          <w:b/>
          <w:bCs/>
          <w:smallCaps/>
          <w:sz w:val="20"/>
          <w:szCs w:val="20"/>
        </w:rPr>
        <w:t>DE 12</w:t>
      </w:r>
      <w:r w:rsidR="002A5A89">
        <w:rPr>
          <w:rFonts w:ascii="Verdana" w:hAnsi="Verdana"/>
          <w:b/>
          <w:bCs/>
          <w:smallCaps/>
          <w:sz w:val="20"/>
          <w:szCs w:val="20"/>
        </w:rPr>
        <w:t xml:space="preserve"> DE MARZO DE 2020</w:t>
      </w:r>
    </w:p>
    <w:p w14:paraId="43D3ADB1" w14:textId="77777777" w:rsidR="0092519E" w:rsidRDefault="0092519E">
      <w:pPr>
        <w:ind w:right="18"/>
        <w:jc w:val="center"/>
        <w:rPr>
          <w:rFonts w:ascii="Verdana" w:eastAsia="Verdana" w:hAnsi="Verdana" w:cs="Verdana"/>
          <w:b/>
          <w:bCs/>
          <w:smallCaps/>
          <w:sz w:val="20"/>
          <w:szCs w:val="20"/>
        </w:rPr>
      </w:pPr>
    </w:p>
    <w:p w14:paraId="2ABB297B" w14:textId="77777777" w:rsidR="0092519E" w:rsidRDefault="0092519E">
      <w:pPr>
        <w:ind w:right="18"/>
        <w:jc w:val="both"/>
        <w:rPr>
          <w:rFonts w:ascii="Verdana" w:eastAsia="Verdana" w:hAnsi="Verdana" w:cs="Verdana"/>
          <w:b/>
          <w:bCs/>
          <w:smallCaps/>
          <w:sz w:val="20"/>
          <w:szCs w:val="20"/>
        </w:rPr>
      </w:pPr>
    </w:p>
    <w:p w14:paraId="693326C7" w14:textId="77777777" w:rsidR="0092519E" w:rsidRDefault="0092519E">
      <w:pPr>
        <w:ind w:right="18"/>
        <w:jc w:val="both"/>
        <w:rPr>
          <w:rFonts w:ascii="Verdana" w:eastAsia="Verdana" w:hAnsi="Verdana" w:cs="Verdana"/>
          <w:b/>
          <w:bCs/>
          <w:smallCaps/>
          <w:sz w:val="20"/>
          <w:szCs w:val="20"/>
        </w:rPr>
      </w:pPr>
    </w:p>
    <w:p w14:paraId="6A638AFD" w14:textId="77777777" w:rsidR="0092519E" w:rsidRDefault="002A5A89">
      <w:pPr>
        <w:ind w:right="18"/>
        <w:jc w:val="center"/>
        <w:rPr>
          <w:rFonts w:ascii="Verdana" w:eastAsia="Verdana" w:hAnsi="Verdana" w:cs="Verdana"/>
          <w:b/>
          <w:bCs/>
          <w:smallCaps/>
          <w:sz w:val="20"/>
          <w:szCs w:val="20"/>
        </w:rPr>
      </w:pPr>
      <w:r>
        <w:rPr>
          <w:rFonts w:ascii="Verdana" w:hAnsi="Verdana"/>
          <w:b/>
          <w:bCs/>
          <w:sz w:val="20"/>
          <w:szCs w:val="20"/>
        </w:rPr>
        <w:t>SOLICITUD DE MEDIDAS PROVISIONALES</w:t>
      </w:r>
    </w:p>
    <w:p w14:paraId="07D7FEEE" w14:textId="77777777" w:rsidR="0092519E" w:rsidRDefault="002A5A89">
      <w:pPr>
        <w:ind w:right="18"/>
        <w:jc w:val="center"/>
        <w:rPr>
          <w:rFonts w:ascii="Verdana" w:eastAsia="Verdana" w:hAnsi="Verdana" w:cs="Verdana"/>
          <w:b/>
          <w:bCs/>
          <w:smallCaps/>
          <w:sz w:val="20"/>
          <w:szCs w:val="20"/>
        </w:rPr>
      </w:pPr>
      <w:r>
        <w:rPr>
          <w:rFonts w:ascii="Verdana" w:hAnsi="Verdana"/>
          <w:b/>
          <w:bCs/>
          <w:smallCaps/>
          <w:sz w:val="20"/>
          <w:szCs w:val="20"/>
        </w:rPr>
        <w:t xml:space="preserve"> RESPECTO DE LA REPÚBLICA DEL PERÚ</w:t>
      </w:r>
    </w:p>
    <w:p w14:paraId="045B9CF9" w14:textId="77777777" w:rsidR="0092519E" w:rsidRDefault="0092519E">
      <w:pPr>
        <w:ind w:right="18"/>
        <w:jc w:val="center"/>
        <w:rPr>
          <w:rFonts w:ascii="Verdana" w:eastAsia="Verdana" w:hAnsi="Verdana" w:cs="Verdana"/>
          <w:b/>
          <w:bCs/>
          <w:smallCaps/>
          <w:sz w:val="20"/>
          <w:szCs w:val="20"/>
        </w:rPr>
      </w:pPr>
    </w:p>
    <w:p w14:paraId="49A1ABE3" w14:textId="77777777" w:rsidR="0092519E" w:rsidRDefault="002A5A89">
      <w:pPr>
        <w:ind w:right="18"/>
        <w:jc w:val="center"/>
        <w:rPr>
          <w:rFonts w:ascii="Verdana" w:eastAsia="Verdana" w:hAnsi="Verdana" w:cs="Verdana"/>
          <w:b/>
          <w:bCs/>
          <w:smallCaps/>
          <w:sz w:val="20"/>
          <w:szCs w:val="20"/>
        </w:rPr>
      </w:pPr>
      <w:r>
        <w:rPr>
          <w:rFonts w:ascii="Verdana" w:hAnsi="Verdana"/>
          <w:b/>
          <w:bCs/>
          <w:smallCaps/>
          <w:sz w:val="20"/>
          <w:szCs w:val="20"/>
        </w:rPr>
        <w:t xml:space="preserve">CASO CUYA LAVY Y OTROS  </w:t>
      </w:r>
    </w:p>
    <w:p w14:paraId="5A4BFC7A" w14:textId="77777777" w:rsidR="0092519E" w:rsidRDefault="0092519E">
      <w:pPr>
        <w:ind w:right="18"/>
        <w:jc w:val="center"/>
        <w:rPr>
          <w:rFonts w:ascii="Verdana" w:eastAsia="Verdana" w:hAnsi="Verdana" w:cs="Verdana"/>
          <w:b/>
          <w:bCs/>
          <w:smallCaps/>
          <w:sz w:val="20"/>
          <w:szCs w:val="20"/>
        </w:rPr>
      </w:pPr>
    </w:p>
    <w:p w14:paraId="3021CC6F" w14:textId="77777777" w:rsidR="0092519E" w:rsidRDefault="0092519E">
      <w:pPr>
        <w:ind w:right="18"/>
        <w:jc w:val="both"/>
        <w:rPr>
          <w:rFonts w:ascii="Verdana" w:eastAsia="Verdana" w:hAnsi="Verdana" w:cs="Verdana"/>
          <w:b/>
          <w:bCs/>
          <w:sz w:val="20"/>
          <w:szCs w:val="20"/>
        </w:rPr>
      </w:pPr>
    </w:p>
    <w:p w14:paraId="1BAC7852" w14:textId="77777777" w:rsidR="0092519E" w:rsidRDefault="0092519E">
      <w:pPr>
        <w:ind w:right="18"/>
        <w:jc w:val="both"/>
        <w:rPr>
          <w:rFonts w:ascii="Verdana" w:eastAsia="Verdana" w:hAnsi="Verdana" w:cs="Verdana"/>
          <w:b/>
          <w:bCs/>
          <w:sz w:val="20"/>
          <w:szCs w:val="20"/>
        </w:rPr>
      </w:pPr>
    </w:p>
    <w:p w14:paraId="4290ABE5" w14:textId="77777777" w:rsidR="0092519E" w:rsidRDefault="002A5A89">
      <w:pPr>
        <w:ind w:right="18"/>
        <w:jc w:val="both"/>
        <w:rPr>
          <w:rFonts w:ascii="Verdana" w:eastAsia="Verdana" w:hAnsi="Verdana" w:cs="Verdana"/>
          <w:b/>
          <w:bCs/>
          <w:sz w:val="20"/>
          <w:szCs w:val="20"/>
        </w:rPr>
      </w:pPr>
      <w:r>
        <w:rPr>
          <w:rFonts w:ascii="Verdana" w:hAnsi="Verdana"/>
          <w:b/>
          <w:bCs/>
          <w:sz w:val="20"/>
          <w:szCs w:val="20"/>
        </w:rPr>
        <w:t>VISTOS:</w:t>
      </w:r>
    </w:p>
    <w:p w14:paraId="431F3C52" w14:textId="77777777" w:rsidR="0092519E" w:rsidRDefault="0092519E">
      <w:pPr>
        <w:pStyle w:val="Textonotapie"/>
        <w:ind w:right="18"/>
        <w:rPr>
          <w:rFonts w:ascii="Verdana" w:eastAsia="Verdana" w:hAnsi="Verdana" w:cs="Verdana"/>
        </w:rPr>
      </w:pPr>
    </w:p>
    <w:p w14:paraId="2059DE3F" w14:textId="77777777" w:rsidR="0092519E" w:rsidRDefault="0092519E">
      <w:pPr>
        <w:pStyle w:val="Prrafodelista"/>
        <w:rPr>
          <w:rFonts w:ascii="Verdana" w:eastAsia="Verdana" w:hAnsi="Verdana" w:cs="Verdana"/>
          <w:sz w:val="18"/>
          <w:szCs w:val="18"/>
        </w:rPr>
      </w:pPr>
    </w:p>
    <w:p w14:paraId="32AFE32A" w14:textId="77777777" w:rsidR="002A5A89" w:rsidRDefault="002A5A89" w:rsidP="008F595C">
      <w:pPr>
        <w:pStyle w:val="Prrafodelista"/>
        <w:numPr>
          <w:ilvl w:val="0"/>
          <w:numId w:val="2"/>
        </w:numPr>
        <w:spacing w:line="276" w:lineRule="auto"/>
        <w:ind w:left="0" w:firstLine="0"/>
        <w:jc w:val="both"/>
        <w:rPr>
          <w:rFonts w:ascii="Verdana" w:hAnsi="Verdana"/>
          <w:color w:val="212121"/>
          <w:sz w:val="20"/>
          <w:szCs w:val="20"/>
        </w:rPr>
      </w:pPr>
      <w:r>
        <w:rPr>
          <w:rFonts w:ascii="Verdana" w:hAnsi="Verdana"/>
          <w:sz w:val="20"/>
          <w:szCs w:val="20"/>
        </w:rPr>
        <w:t>El escrito de 6 de agosto de 2019 de sometimiento de la Comisión</w:t>
      </w:r>
      <w:r w:rsidRPr="008F595C">
        <w:rPr>
          <w:rFonts w:ascii="Verdana" w:hAnsi="Verdana"/>
          <w:sz w:val="20"/>
          <w:szCs w:val="20"/>
          <w:lang w:val="es-CR"/>
        </w:rPr>
        <w:t xml:space="preserve"> Interamericana de Derechos Humanos (en adelante “Comisión”)</w:t>
      </w:r>
      <w:r>
        <w:rPr>
          <w:rFonts w:ascii="Verdana" w:hAnsi="Verdana"/>
          <w:sz w:val="20"/>
          <w:szCs w:val="20"/>
        </w:rPr>
        <w:t xml:space="preserve">, según el cual el presente caso se relaciona con una serie de violaciones a las garantías judiciales, principio de legalidad y protección judicial en el marco de un proceso de evaluación y ratificación de las </w:t>
      </w:r>
      <w:r w:rsidR="0041107F">
        <w:rPr>
          <w:rFonts w:ascii="Verdana" w:hAnsi="Verdana"/>
          <w:sz w:val="20"/>
          <w:szCs w:val="20"/>
        </w:rPr>
        <w:t>cuatro</w:t>
      </w:r>
      <w:r>
        <w:rPr>
          <w:rFonts w:ascii="Verdana" w:hAnsi="Verdana"/>
          <w:sz w:val="20"/>
          <w:szCs w:val="20"/>
        </w:rPr>
        <w:t xml:space="preserve"> presuntas víctimas del presente caso, fiscales y jueces, por el Consejo Nacional de la Magistratura, entre los años 2001 y 2002, lo que resultó con la separación de sus cargos. Al respecto, solicitó como medida de reparación reincorporar a las presuntas víctimas en un cargo similar al que desempeñaban y, en el caso de la imposibilidad de su reincorporación, el pago de una indemnización. </w:t>
      </w:r>
    </w:p>
    <w:p w14:paraId="20AA98A7" w14:textId="77777777" w:rsidR="002A5A89" w:rsidRPr="002A5A89" w:rsidRDefault="002A5A89" w:rsidP="002A5A89">
      <w:pPr>
        <w:pStyle w:val="Prrafodelista"/>
        <w:spacing w:line="276" w:lineRule="auto"/>
        <w:ind w:left="0"/>
        <w:jc w:val="both"/>
        <w:rPr>
          <w:rFonts w:ascii="Verdana" w:hAnsi="Verdana"/>
          <w:color w:val="212121"/>
          <w:sz w:val="20"/>
          <w:szCs w:val="20"/>
        </w:rPr>
      </w:pPr>
    </w:p>
    <w:p w14:paraId="4BAF02B4" w14:textId="77777777" w:rsidR="0092519E" w:rsidRPr="002A5A89" w:rsidRDefault="002A5A89" w:rsidP="002A5A89">
      <w:pPr>
        <w:pStyle w:val="Prrafodelista"/>
        <w:numPr>
          <w:ilvl w:val="0"/>
          <w:numId w:val="2"/>
        </w:numPr>
        <w:spacing w:after="200" w:line="276" w:lineRule="auto"/>
        <w:ind w:left="0" w:firstLine="0"/>
        <w:jc w:val="both"/>
        <w:rPr>
          <w:rFonts w:ascii="Verdana" w:hAnsi="Verdana"/>
          <w:color w:val="212121"/>
          <w:sz w:val="20"/>
          <w:szCs w:val="20"/>
        </w:rPr>
      </w:pPr>
      <w:r w:rsidRPr="002A5A89">
        <w:rPr>
          <w:rFonts w:ascii="Verdana" w:hAnsi="Verdana"/>
          <w:color w:val="212121"/>
          <w:sz w:val="20"/>
          <w:szCs w:val="20"/>
          <w:u w:color="212121"/>
        </w:rPr>
        <w:t>Los escritos de 20 de septiembre de 2019 relativo a la acreditación de la representación y de 2</w:t>
      </w:r>
      <w:r w:rsidRPr="008F595C">
        <w:rPr>
          <w:rFonts w:ascii="Verdana" w:hAnsi="Verdana"/>
          <w:color w:val="212121"/>
          <w:sz w:val="20"/>
          <w:szCs w:val="20"/>
          <w:u w:color="212121"/>
          <w:lang w:val="es-CR"/>
        </w:rPr>
        <w:t>9</w:t>
      </w:r>
      <w:r w:rsidRPr="002A5A89">
        <w:rPr>
          <w:rFonts w:ascii="Verdana" w:hAnsi="Verdana"/>
          <w:color w:val="212121"/>
          <w:sz w:val="20"/>
          <w:szCs w:val="20"/>
          <w:u w:color="212121"/>
        </w:rPr>
        <w:t xml:space="preserve"> de enero de 2020 sobre solicitudes, argumentos y pruebas del representante de las presuntas víctimas Jean </w:t>
      </w:r>
      <w:proofErr w:type="spellStart"/>
      <w:r w:rsidRPr="002A5A89">
        <w:rPr>
          <w:rFonts w:ascii="Verdana" w:hAnsi="Verdana"/>
          <w:color w:val="212121"/>
          <w:sz w:val="20"/>
          <w:szCs w:val="20"/>
          <w:u w:color="212121"/>
        </w:rPr>
        <w:t>Aubert</w:t>
      </w:r>
      <w:proofErr w:type="spellEnd"/>
      <w:r w:rsidRPr="002A5A89">
        <w:rPr>
          <w:rFonts w:ascii="Verdana" w:hAnsi="Verdana"/>
          <w:color w:val="212121"/>
          <w:sz w:val="20"/>
          <w:szCs w:val="20"/>
          <w:u w:color="212121"/>
        </w:rPr>
        <w:t xml:space="preserve"> D</w:t>
      </w:r>
      <w:r w:rsidRPr="008F595C">
        <w:rPr>
          <w:rFonts w:ascii="Verdana" w:hAnsi="Verdana"/>
          <w:color w:val="212121"/>
          <w:sz w:val="20"/>
          <w:szCs w:val="20"/>
          <w:u w:color="212121"/>
          <w:lang w:val="es-CR"/>
        </w:rPr>
        <w:t>í</w:t>
      </w:r>
      <w:proofErr w:type="spellStart"/>
      <w:r w:rsidRPr="002A5A89">
        <w:rPr>
          <w:rFonts w:ascii="Verdana" w:hAnsi="Verdana"/>
          <w:color w:val="212121"/>
          <w:sz w:val="20"/>
          <w:szCs w:val="20"/>
          <w:u w:color="212121"/>
        </w:rPr>
        <w:t>az</w:t>
      </w:r>
      <w:proofErr w:type="spellEnd"/>
      <w:r w:rsidRPr="002A5A89">
        <w:rPr>
          <w:rFonts w:ascii="Verdana" w:hAnsi="Verdana"/>
          <w:color w:val="212121"/>
          <w:sz w:val="20"/>
          <w:szCs w:val="20"/>
          <w:u w:color="212121"/>
        </w:rPr>
        <w:t xml:space="preserve"> Alvarado y Marta Silvana Rodríguez </w:t>
      </w:r>
      <w:proofErr w:type="spellStart"/>
      <w:r w:rsidRPr="002A5A89">
        <w:rPr>
          <w:rFonts w:ascii="Verdana" w:hAnsi="Verdana"/>
          <w:color w:val="212121"/>
          <w:sz w:val="20"/>
          <w:szCs w:val="20"/>
          <w:u w:color="212121"/>
        </w:rPr>
        <w:t>Ricse</w:t>
      </w:r>
      <w:proofErr w:type="spellEnd"/>
      <w:r w:rsidRPr="002A5A89">
        <w:rPr>
          <w:rFonts w:ascii="Verdana" w:hAnsi="Verdana"/>
          <w:color w:val="212121"/>
          <w:sz w:val="20"/>
          <w:szCs w:val="20"/>
          <w:u w:color="212121"/>
        </w:rPr>
        <w:t xml:space="preserve">, en los cuales solicitó una “medida cautelar de reincorporación provisional”, con base en: a) “la verosimilitud, […] toda vez que </w:t>
      </w:r>
      <w:r w:rsidRPr="008F595C">
        <w:rPr>
          <w:rFonts w:ascii="Verdana" w:hAnsi="Verdana"/>
          <w:color w:val="212121"/>
          <w:sz w:val="20"/>
          <w:szCs w:val="20"/>
          <w:u w:color="212121"/>
          <w:lang w:val="es-CR"/>
        </w:rPr>
        <w:t>[</w:t>
      </w:r>
      <w:r w:rsidRPr="002A5A89">
        <w:rPr>
          <w:rFonts w:ascii="Verdana" w:hAnsi="Verdana"/>
          <w:color w:val="212121"/>
          <w:sz w:val="20"/>
          <w:szCs w:val="20"/>
          <w:u w:color="212121"/>
        </w:rPr>
        <w:t>fue</w:t>
      </w:r>
      <w:r w:rsidRPr="008F595C">
        <w:rPr>
          <w:rFonts w:ascii="Verdana" w:hAnsi="Verdana"/>
          <w:color w:val="212121"/>
          <w:sz w:val="20"/>
          <w:szCs w:val="20"/>
          <w:u w:color="212121"/>
          <w:lang w:val="es-CR"/>
        </w:rPr>
        <w:t>]</w:t>
      </w:r>
      <w:r w:rsidRPr="002A5A89">
        <w:rPr>
          <w:rFonts w:ascii="Verdana" w:hAnsi="Verdana"/>
          <w:color w:val="212121"/>
          <w:sz w:val="20"/>
          <w:szCs w:val="20"/>
          <w:u w:color="212121"/>
        </w:rPr>
        <w:t xml:space="preserve"> demostrado en el proceso que fue[ron] cesados sin un debido procedimiento administrativo</w:t>
      </w:r>
      <w:r w:rsidRPr="008F595C">
        <w:rPr>
          <w:rFonts w:ascii="Verdana" w:hAnsi="Verdana"/>
          <w:color w:val="212121"/>
          <w:sz w:val="20"/>
          <w:szCs w:val="20"/>
          <w:u w:color="212121"/>
          <w:lang w:val="es-CR"/>
        </w:rPr>
        <w:t>,</w:t>
      </w:r>
      <w:r w:rsidRPr="002A5A89">
        <w:rPr>
          <w:rFonts w:ascii="Verdana" w:hAnsi="Verdana"/>
          <w:color w:val="212121"/>
          <w:sz w:val="20"/>
          <w:szCs w:val="20"/>
          <w:u w:color="212121"/>
        </w:rPr>
        <w:t xml:space="preserve"> y afectando [su] derecho de acceso a la justicia”, y b) “el peligro de demora, </w:t>
      </w:r>
      <w:r w:rsidRPr="008F595C">
        <w:rPr>
          <w:rFonts w:ascii="Verdana" w:hAnsi="Verdana"/>
          <w:color w:val="212121"/>
          <w:sz w:val="20"/>
          <w:szCs w:val="20"/>
          <w:u w:color="212121"/>
          <w:lang w:val="es-CR"/>
        </w:rPr>
        <w:t xml:space="preserve">[…] </w:t>
      </w:r>
      <w:r w:rsidRPr="002A5A89">
        <w:rPr>
          <w:rFonts w:ascii="Verdana" w:hAnsi="Verdana"/>
          <w:color w:val="212121"/>
          <w:sz w:val="20"/>
          <w:szCs w:val="20"/>
          <w:u w:color="212121"/>
        </w:rPr>
        <w:t>[ya que</w:t>
      </w:r>
      <w:r w:rsidRPr="008F595C">
        <w:rPr>
          <w:rFonts w:ascii="Verdana" w:hAnsi="Verdana"/>
          <w:color w:val="212121"/>
          <w:sz w:val="20"/>
          <w:szCs w:val="20"/>
          <w:u w:color="212121"/>
          <w:lang w:val="es-CR"/>
        </w:rPr>
        <w:t xml:space="preserve"> </w:t>
      </w:r>
      <w:r w:rsidRPr="002A5A89">
        <w:rPr>
          <w:rFonts w:ascii="Verdana" w:hAnsi="Verdana"/>
          <w:color w:val="212121"/>
          <w:sz w:val="20"/>
          <w:szCs w:val="20"/>
          <w:u w:color="212121"/>
        </w:rPr>
        <w:t>han</w:t>
      </w:r>
      <w:r w:rsidRPr="008F595C">
        <w:rPr>
          <w:rFonts w:ascii="Verdana" w:hAnsi="Verdana"/>
          <w:color w:val="212121"/>
          <w:sz w:val="20"/>
          <w:szCs w:val="20"/>
          <w:u w:color="212121"/>
          <w:lang w:val="es-CR"/>
        </w:rPr>
        <w:t>]</w:t>
      </w:r>
      <w:r w:rsidRPr="002A5A89">
        <w:rPr>
          <w:rFonts w:ascii="Verdana" w:hAnsi="Verdana"/>
          <w:color w:val="212121"/>
          <w:sz w:val="20"/>
          <w:szCs w:val="20"/>
          <w:u w:color="212121"/>
        </w:rPr>
        <w:t xml:space="preserve"> sido cesado</w:t>
      </w:r>
      <w:r w:rsidRPr="008F595C">
        <w:rPr>
          <w:rFonts w:ascii="Verdana" w:hAnsi="Verdana"/>
          <w:color w:val="212121"/>
          <w:sz w:val="20"/>
          <w:szCs w:val="20"/>
          <w:u w:color="212121"/>
          <w:lang w:val="es-CR"/>
        </w:rPr>
        <w:t>[</w:t>
      </w:r>
      <w:r w:rsidRPr="002A5A89">
        <w:rPr>
          <w:rFonts w:ascii="Verdana" w:hAnsi="Verdana"/>
          <w:color w:val="212121"/>
          <w:sz w:val="20"/>
          <w:szCs w:val="20"/>
          <w:u w:color="212121"/>
        </w:rPr>
        <w:t>s</w:t>
      </w:r>
      <w:r w:rsidRPr="008F595C">
        <w:rPr>
          <w:rFonts w:ascii="Verdana" w:hAnsi="Verdana"/>
          <w:color w:val="212121"/>
          <w:sz w:val="20"/>
          <w:szCs w:val="20"/>
          <w:u w:color="212121"/>
          <w:lang w:val="es-CR"/>
        </w:rPr>
        <w:t>]</w:t>
      </w:r>
      <w:r w:rsidRPr="002A5A89">
        <w:rPr>
          <w:rFonts w:ascii="Verdana" w:hAnsi="Verdana"/>
          <w:color w:val="212121"/>
          <w:sz w:val="20"/>
          <w:szCs w:val="20"/>
          <w:u w:color="212121"/>
        </w:rPr>
        <w:t xml:space="preserve"> todos los integrantes del Consejo Nacional de la Magistratura y se </w:t>
      </w:r>
      <w:proofErr w:type="spellStart"/>
      <w:r w:rsidRPr="002A5A89">
        <w:rPr>
          <w:rFonts w:ascii="Verdana" w:hAnsi="Verdana"/>
          <w:color w:val="212121"/>
          <w:sz w:val="20"/>
          <w:szCs w:val="20"/>
          <w:u w:color="212121"/>
        </w:rPr>
        <w:t>cre</w:t>
      </w:r>
      <w:proofErr w:type="spellEnd"/>
      <w:r w:rsidRPr="008F595C">
        <w:rPr>
          <w:rFonts w:ascii="Verdana" w:hAnsi="Verdana"/>
          <w:color w:val="212121"/>
          <w:sz w:val="20"/>
          <w:szCs w:val="20"/>
          <w:u w:color="212121"/>
          <w:lang w:val="es-CR"/>
        </w:rPr>
        <w:t>[</w:t>
      </w:r>
      <w:proofErr w:type="spellStart"/>
      <w:r w:rsidRPr="002A5A89">
        <w:rPr>
          <w:rFonts w:ascii="Verdana" w:hAnsi="Verdana"/>
          <w:color w:val="212121"/>
          <w:sz w:val="20"/>
          <w:szCs w:val="20"/>
          <w:u w:color="212121"/>
        </w:rPr>
        <w:t>ó</w:t>
      </w:r>
      <w:proofErr w:type="spellEnd"/>
      <w:r w:rsidRPr="008F595C">
        <w:rPr>
          <w:rFonts w:ascii="Verdana" w:hAnsi="Verdana"/>
          <w:color w:val="212121"/>
          <w:sz w:val="20"/>
          <w:szCs w:val="20"/>
          <w:u w:color="212121"/>
          <w:lang w:val="es-CR"/>
        </w:rPr>
        <w:t>]</w:t>
      </w:r>
      <w:r w:rsidRPr="002A5A89">
        <w:rPr>
          <w:rFonts w:ascii="Verdana" w:hAnsi="Verdana"/>
          <w:color w:val="212121"/>
          <w:sz w:val="20"/>
          <w:szCs w:val="20"/>
          <w:u w:color="212121"/>
        </w:rPr>
        <w:t xml:space="preserve"> la Junta Nacional de Justicia, que aún no se conforma, </w:t>
      </w:r>
      <w:r w:rsidRPr="008F595C">
        <w:rPr>
          <w:rFonts w:ascii="Verdana" w:hAnsi="Verdana"/>
          <w:color w:val="212121"/>
          <w:sz w:val="20"/>
          <w:szCs w:val="20"/>
          <w:u w:color="212121"/>
          <w:lang w:val="es-CR"/>
        </w:rPr>
        <w:t>[</w:t>
      </w:r>
      <w:r w:rsidRPr="002A5A89">
        <w:rPr>
          <w:rFonts w:ascii="Verdana" w:hAnsi="Verdana"/>
          <w:color w:val="212121"/>
          <w:sz w:val="20"/>
          <w:szCs w:val="20"/>
          <w:u w:color="212121"/>
        </w:rPr>
        <w:t>lo que</w:t>
      </w:r>
      <w:r w:rsidRPr="008F595C">
        <w:rPr>
          <w:rFonts w:ascii="Verdana" w:hAnsi="Verdana"/>
          <w:color w:val="212121"/>
          <w:sz w:val="20"/>
          <w:szCs w:val="20"/>
          <w:u w:color="212121"/>
          <w:lang w:val="es-CR"/>
        </w:rPr>
        <w:t>]</w:t>
      </w:r>
      <w:r w:rsidRPr="002A5A89">
        <w:rPr>
          <w:rFonts w:ascii="Verdana" w:hAnsi="Verdana"/>
          <w:color w:val="212121"/>
          <w:sz w:val="20"/>
          <w:szCs w:val="20"/>
          <w:u w:color="212121"/>
        </w:rPr>
        <w:t xml:space="preserve"> está afectando [su] derecho fundamental al ‘derecho </w:t>
      </w:r>
      <w:r w:rsidRPr="008F595C">
        <w:rPr>
          <w:rFonts w:ascii="Verdana" w:hAnsi="Verdana"/>
          <w:color w:val="212121"/>
          <w:sz w:val="20"/>
          <w:szCs w:val="20"/>
          <w:u w:color="212121"/>
          <w:lang w:val="es-CR"/>
        </w:rPr>
        <w:t>del</w:t>
      </w:r>
      <w:r w:rsidRPr="002A5A89">
        <w:rPr>
          <w:rFonts w:ascii="Verdana" w:hAnsi="Verdana"/>
          <w:color w:val="212121"/>
          <w:sz w:val="20"/>
          <w:szCs w:val="20"/>
          <w:u w:color="212121"/>
        </w:rPr>
        <w:t xml:space="preserve"> trabajo´”.</w:t>
      </w:r>
    </w:p>
    <w:p w14:paraId="14078A89" w14:textId="77777777" w:rsidR="0092519E" w:rsidRDefault="002A5A89">
      <w:pPr>
        <w:tabs>
          <w:tab w:val="left" w:pos="680"/>
        </w:tabs>
        <w:ind w:right="18"/>
        <w:jc w:val="both"/>
        <w:rPr>
          <w:rFonts w:ascii="Verdana" w:eastAsia="Verdana" w:hAnsi="Verdana" w:cs="Verdana"/>
          <w:b/>
          <w:bCs/>
          <w:sz w:val="20"/>
          <w:szCs w:val="20"/>
        </w:rPr>
      </w:pPr>
      <w:r>
        <w:rPr>
          <w:rFonts w:ascii="Verdana" w:hAnsi="Verdana"/>
          <w:b/>
          <w:bCs/>
          <w:sz w:val="20"/>
          <w:szCs w:val="20"/>
        </w:rPr>
        <w:t>CONSIDERANDO:</w:t>
      </w:r>
    </w:p>
    <w:p w14:paraId="005A66C4" w14:textId="77777777" w:rsidR="0092519E" w:rsidRDefault="0092519E">
      <w:pPr>
        <w:tabs>
          <w:tab w:val="left" w:pos="680"/>
        </w:tabs>
        <w:ind w:right="18"/>
        <w:jc w:val="both"/>
        <w:rPr>
          <w:rFonts w:ascii="Verdana" w:eastAsia="Verdana" w:hAnsi="Verdana" w:cs="Verdana"/>
          <w:b/>
          <w:bCs/>
          <w:sz w:val="20"/>
          <w:szCs w:val="20"/>
        </w:rPr>
      </w:pPr>
    </w:p>
    <w:p w14:paraId="27251B23" w14:textId="77777777" w:rsidR="0092519E" w:rsidRDefault="002A5A89" w:rsidP="002A5A89">
      <w:pPr>
        <w:pStyle w:val="Prrafodelista1"/>
        <w:numPr>
          <w:ilvl w:val="0"/>
          <w:numId w:val="4"/>
        </w:numPr>
        <w:ind w:left="0" w:firstLine="0"/>
        <w:jc w:val="both"/>
        <w:rPr>
          <w:sz w:val="20"/>
          <w:szCs w:val="20"/>
        </w:rPr>
      </w:pPr>
      <w:r>
        <w:rPr>
          <w:rStyle w:val="Nmerodepgina"/>
          <w:sz w:val="20"/>
          <w:szCs w:val="20"/>
        </w:rPr>
        <w:t xml:space="preserve">El Perú ratificó la Convención Americana sobre Derechos Humanos (en adelante también “la Convención Americana” o “la Convención”) el 28 de julio de </w:t>
      </w:r>
      <w:r>
        <w:rPr>
          <w:rStyle w:val="Nmerodepgina"/>
          <w:sz w:val="20"/>
          <w:szCs w:val="20"/>
        </w:rPr>
        <w:lastRenderedPageBreak/>
        <w:t>1978 y, de acuerdo con su artículo 62, reconoció la competencia contenciosa de la Corte el 21 de enero de 1981.</w:t>
      </w:r>
    </w:p>
    <w:p w14:paraId="558ECE74" w14:textId="77777777" w:rsidR="0092519E" w:rsidRDefault="0092519E">
      <w:pPr>
        <w:pStyle w:val="Prrafodelista"/>
        <w:ind w:left="0"/>
        <w:rPr>
          <w:rStyle w:val="Nmerodepgina"/>
          <w:sz w:val="20"/>
          <w:szCs w:val="20"/>
        </w:rPr>
      </w:pPr>
    </w:p>
    <w:p w14:paraId="62931DF7" w14:textId="77777777" w:rsidR="0092519E" w:rsidRDefault="002A5A89" w:rsidP="002A5A89">
      <w:pPr>
        <w:pStyle w:val="Prrafodelista1"/>
        <w:numPr>
          <w:ilvl w:val="0"/>
          <w:numId w:val="4"/>
        </w:numPr>
        <w:ind w:left="0" w:firstLine="0"/>
        <w:jc w:val="both"/>
        <w:rPr>
          <w:sz w:val="20"/>
          <w:szCs w:val="20"/>
        </w:rPr>
      </w:pPr>
      <w:r>
        <w:rPr>
          <w:rStyle w:val="Nmerodepgina"/>
          <w:sz w:val="20"/>
          <w:szCs w:val="20"/>
        </w:rPr>
        <w:t>En los términos del artículo 27.3 del Reglamento de la Corte, “[e]n los casos contenciosos que se encuentren en conocimiento de la Corte, las víctimas o las presuntas víctimas, o sus representantes, podrán presentar directamente a ésta una solicitud de medidas provisionales, las que deberán tener relación con el objeto del caso”.</w:t>
      </w:r>
    </w:p>
    <w:p w14:paraId="40F1872A" w14:textId="77777777" w:rsidR="0092519E" w:rsidRDefault="0092519E">
      <w:pPr>
        <w:jc w:val="both"/>
      </w:pPr>
    </w:p>
    <w:p w14:paraId="0CDB2875" w14:textId="77777777" w:rsidR="002A5A89" w:rsidRPr="002A5A89" w:rsidRDefault="002A5A89" w:rsidP="002A5A89">
      <w:pPr>
        <w:numPr>
          <w:ilvl w:val="0"/>
          <w:numId w:val="5"/>
        </w:numPr>
        <w:ind w:left="0" w:firstLine="0"/>
        <w:jc w:val="both"/>
        <w:rPr>
          <w:rFonts w:ascii="Verdana" w:hAnsi="Verdana"/>
          <w:b/>
          <w:bCs/>
          <w:sz w:val="20"/>
          <w:szCs w:val="20"/>
        </w:rPr>
      </w:pPr>
      <w:r>
        <w:rPr>
          <w:rFonts w:ascii="Verdana" w:hAnsi="Verdana"/>
          <w:sz w:val="20"/>
          <w:szCs w:val="20"/>
        </w:rPr>
        <w:t>En el Derecho Internacional de los Derechos Humanos las medidas provisionales tienen un carácter no sólo cautelar, en el sentido de que preservan una situación jurídica, sino fundamentalmente tutelar por cuanto protegen derechos humanos y en la medida que buscan evitar daños irreparables a las personas. De esta manera, las medidas provisionales se transforman en una verdadera garantía jurisdiccional de carácter preventivo</w:t>
      </w:r>
      <w:r>
        <w:rPr>
          <w:rFonts w:ascii="Verdana" w:eastAsia="Verdana" w:hAnsi="Verdana" w:cs="Verdana"/>
          <w:sz w:val="20"/>
          <w:szCs w:val="20"/>
          <w:vertAlign w:val="superscript"/>
        </w:rPr>
        <w:footnoteReference w:id="3"/>
      </w:r>
      <w:r>
        <w:rPr>
          <w:rFonts w:ascii="Verdana" w:hAnsi="Verdana"/>
          <w:sz w:val="20"/>
          <w:szCs w:val="20"/>
        </w:rPr>
        <w:t>.</w:t>
      </w:r>
    </w:p>
    <w:p w14:paraId="4EABCDF2" w14:textId="77777777" w:rsidR="002A5A89" w:rsidRPr="002A5A89" w:rsidRDefault="002A5A89" w:rsidP="002A5A89">
      <w:pPr>
        <w:jc w:val="both"/>
        <w:rPr>
          <w:rFonts w:ascii="Verdana" w:hAnsi="Verdana"/>
          <w:b/>
          <w:bCs/>
          <w:sz w:val="20"/>
          <w:szCs w:val="20"/>
        </w:rPr>
      </w:pPr>
    </w:p>
    <w:p w14:paraId="300894A8" w14:textId="77777777" w:rsidR="002A5A89" w:rsidRPr="002A5A89" w:rsidRDefault="002A5A89" w:rsidP="002A5A89">
      <w:pPr>
        <w:numPr>
          <w:ilvl w:val="0"/>
          <w:numId w:val="5"/>
        </w:numPr>
        <w:ind w:left="0" w:firstLine="0"/>
        <w:jc w:val="both"/>
        <w:rPr>
          <w:rStyle w:val="Nmerodepgina"/>
          <w:rFonts w:ascii="Verdana" w:hAnsi="Verdana"/>
          <w:b/>
          <w:bCs/>
          <w:sz w:val="20"/>
          <w:szCs w:val="20"/>
        </w:rPr>
      </w:pPr>
      <w:r w:rsidRPr="002A5A89">
        <w:rPr>
          <w:rStyle w:val="Nmerodepgina"/>
          <w:rFonts w:ascii="Verdana" w:hAnsi="Verdana"/>
          <w:sz w:val="20"/>
          <w:szCs w:val="20"/>
        </w:rPr>
        <w:t>El artículo 63.2 de la Convención exige que para que la Corte pueda disponer de medidas provisionales deben concurrir tres condiciones: i) “extrema gravedad”; ii) “urgencia”, y iii) que se trate de “evitar daños irreparables” a las personas. Estas tres condiciones son coexistentes y deben estar presentes en toda situación en la que se solicite la intervención del Tribunal a través de una medida provisional. En razón de su competencia, en el marco de medidas provisionales corresponde al Tribunal considerar única y estrictamente aquellos argumentos que se relacionan directamente con esos presupuestos o condiciones. Cualquier otro hecho o argumento solo puede ser analizado y resuelto durante la consideración del fondo de un caso contencioso o, eventualmente, dentro del proceso de supervisión de cumplimiento de la sentencia respectiva</w:t>
      </w:r>
      <w:r>
        <w:rPr>
          <w:rStyle w:val="FootnoteReferenceTextodenotaalpieFootnotesrefssAppelnotedebasdepageFootnotenumberreferencianotaalpieBVIfnrf4G16PointSuperscript6PointTextonotaalpieFootnoteReferenceChar3FootnoteReferenceChar1CharRefdenotaal"/>
          <w:rFonts w:ascii="Verdana" w:eastAsia="Verdana" w:hAnsi="Verdana" w:cs="Verdana"/>
          <w:sz w:val="20"/>
          <w:szCs w:val="20"/>
        </w:rPr>
        <w:footnoteReference w:id="4"/>
      </w:r>
      <w:r w:rsidRPr="002A5A89">
        <w:rPr>
          <w:rStyle w:val="Nmerodepgina"/>
          <w:rFonts w:ascii="Verdana" w:hAnsi="Verdana"/>
          <w:sz w:val="20"/>
          <w:szCs w:val="20"/>
        </w:rPr>
        <w:t>.</w:t>
      </w:r>
    </w:p>
    <w:p w14:paraId="543BBF68" w14:textId="77777777" w:rsidR="002A5A89" w:rsidRDefault="002A5A89" w:rsidP="002A5A89">
      <w:pPr>
        <w:pStyle w:val="Prrafodelista"/>
        <w:rPr>
          <w:rStyle w:val="Nmerodepgina"/>
          <w:rFonts w:ascii="Verdana" w:hAnsi="Verdana"/>
          <w:sz w:val="20"/>
          <w:szCs w:val="20"/>
        </w:rPr>
      </w:pPr>
    </w:p>
    <w:p w14:paraId="132AD279" w14:textId="77777777" w:rsidR="002A5A89" w:rsidRDefault="002A5A89" w:rsidP="002A5A89">
      <w:pPr>
        <w:numPr>
          <w:ilvl w:val="0"/>
          <w:numId w:val="5"/>
        </w:numPr>
        <w:ind w:left="0" w:firstLine="0"/>
        <w:jc w:val="both"/>
        <w:rPr>
          <w:rFonts w:ascii="Verdana" w:hAnsi="Verdana"/>
          <w:b/>
          <w:bCs/>
          <w:sz w:val="20"/>
          <w:szCs w:val="20"/>
        </w:rPr>
      </w:pPr>
      <w:r w:rsidRPr="002A5A89">
        <w:rPr>
          <w:rStyle w:val="Nmerodepgina"/>
          <w:rFonts w:ascii="Verdana" w:hAnsi="Verdana"/>
          <w:sz w:val="20"/>
          <w:szCs w:val="20"/>
        </w:rPr>
        <w:t>En lo que se refiere al requisito de “gravedad”, la Convención requiere que aquella sea “extrema”, es decir, que se encuentre en su grado más intenso o elevado. El carácter “urgente” implica que el riesgo o amenaza involucrados sean inminentes, lo cual requiere que la respuesta para remediarlos sea inmediata. Finalmente, en cuanto al daño, debe existir una probabilidad razonable de que se materialice y no debe recaer en bienes o intereses jurídicos que puedan ser reparables</w:t>
      </w:r>
      <w:r>
        <w:rPr>
          <w:rStyle w:val="FootnoteReferenceTextodenotaalpieFootnotesrefssAppelnotedebasdepageFootnotenumberreferencianotaalpieBVIfnrf4G16PointSuperscript6PointTextonotaalpieFootnoteReferenceChar3FootnoteReferenceChar1CharRefdenotaal"/>
          <w:rFonts w:ascii="Verdana" w:eastAsia="Verdana" w:hAnsi="Verdana" w:cs="Verdana"/>
          <w:sz w:val="20"/>
          <w:szCs w:val="20"/>
        </w:rPr>
        <w:footnoteReference w:id="5"/>
      </w:r>
      <w:r w:rsidRPr="002A5A89">
        <w:rPr>
          <w:rStyle w:val="Nmerodepgina"/>
          <w:rFonts w:ascii="Verdana" w:hAnsi="Verdana"/>
          <w:sz w:val="20"/>
          <w:szCs w:val="20"/>
        </w:rPr>
        <w:t>.</w:t>
      </w:r>
    </w:p>
    <w:p w14:paraId="6CD92FB1" w14:textId="77777777" w:rsidR="002A5A89" w:rsidRDefault="002A5A89" w:rsidP="002A5A89">
      <w:pPr>
        <w:pStyle w:val="Prrafodelista"/>
        <w:rPr>
          <w:rStyle w:val="Nmerodepgina"/>
          <w:rFonts w:ascii="Verdana" w:hAnsi="Verdana"/>
          <w:sz w:val="20"/>
          <w:szCs w:val="20"/>
        </w:rPr>
      </w:pPr>
    </w:p>
    <w:p w14:paraId="63077AEE" w14:textId="77777777" w:rsidR="002A5A89" w:rsidRDefault="002A5A89" w:rsidP="002A5A89">
      <w:pPr>
        <w:numPr>
          <w:ilvl w:val="0"/>
          <w:numId w:val="5"/>
        </w:numPr>
        <w:ind w:left="0" w:firstLine="0"/>
        <w:jc w:val="both"/>
        <w:rPr>
          <w:rFonts w:ascii="Verdana" w:hAnsi="Verdana"/>
          <w:b/>
          <w:bCs/>
          <w:sz w:val="20"/>
          <w:szCs w:val="20"/>
        </w:rPr>
      </w:pPr>
      <w:r w:rsidRPr="002A5A89">
        <w:rPr>
          <w:rStyle w:val="Nmerodepgina"/>
          <w:rFonts w:ascii="Verdana" w:hAnsi="Verdana"/>
          <w:sz w:val="20"/>
          <w:szCs w:val="20"/>
        </w:rPr>
        <w:lastRenderedPageBreak/>
        <w:t xml:space="preserve">Según la Comisión el presente caso se relaciona con una serie de violaciones en el marco de un proceso de evaluación y ratificación de las </w:t>
      </w:r>
      <w:r w:rsidR="0041107F">
        <w:rPr>
          <w:rStyle w:val="Nmerodepgina"/>
          <w:rFonts w:ascii="Verdana" w:hAnsi="Verdana"/>
          <w:sz w:val="20"/>
          <w:szCs w:val="20"/>
        </w:rPr>
        <w:t>cuatro</w:t>
      </w:r>
      <w:r w:rsidRPr="002A5A89">
        <w:rPr>
          <w:rStyle w:val="Nmerodepgina"/>
          <w:rFonts w:ascii="Verdana" w:hAnsi="Verdana"/>
          <w:sz w:val="20"/>
          <w:szCs w:val="20"/>
        </w:rPr>
        <w:t xml:space="preserve"> presuntas víctimas del presente caso, fiscales y jueces, por el Consejo Nacional de la Magistratura, entre los años 2001 y 2002, lo que resultó con la separación de sus cargos. Además, la Comisión y el representante de las presuntas víctimas solicitaron</w:t>
      </w:r>
      <w:r w:rsidR="00FF5F5C">
        <w:rPr>
          <w:rStyle w:val="Nmerodepgina"/>
          <w:rFonts w:ascii="Verdana" w:hAnsi="Verdana"/>
          <w:sz w:val="20"/>
          <w:szCs w:val="20"/>
        </w:rPr>
        <w:t>, en su escrito de sometimiento del caso y en el escrito de solicitudes, argumentos y pruebas,</w:t>
      </w:r>
      <w:r w:rsidRPr="002A5A89">
        <w:rPr>
          <w:rStyle w:val="Nmerodepgina"/>
          <w:rFonts w:ascii="Verdana" w:hAnsi="Verdana"/>
          <w:sz w:val="20"/>
          <w:szCs w:val="20"/>
        </w:rPr>
        <w:t xml:space="preserve"> como medida de reparación</w:t>
      </w:r>
      <w:r w:rsidR="00FF5F5C">
        <w:rPr>
          <w:rStyle w:val="Nmerodepgina"/>
          <w:rFonts w:ascii="Verdana" w:hAnsi="Verdana"/>
          <w:sz w:val="20"/>
          <w:szCs w:val="20"/>
        </w:rPr>
        <w:t>,</w:t>
      </w:r>
      <w:r w:rsidRPr="002A5A89">
        <w:rPr>
          <w:rStyle w:val="Nmerodepgina"/>
          <w:rFonts w:ascii="Verdana" w:hAnsi="Verdana"/>
          <w:sz w:val="20"/>
          <w:szCs w:val="20"/>
        </w:rPr>
        <w:t xml:space="preserve"> reincorporar a las presuntas víctimas en un cargo similar a la que desempeñaban y, en el caso de la imposibilidad de su reincorporación, el pago de una indemnización.</w:t>
      </w:r>
    </w:p>
    <w:p w14:paraId="3103F060" w14:textId="77777777" w:rsidR="002A5A89" w:rsidRDefault="002A5A89" w:rsidP="002A5A89">
      <w:pPr>
        <w:pStyle w:val="Prrafodelista"/>
        <w:rPr>
          <w:rStyle w:val="Nmerodepgina"/>
          <w:rFonts w:ascii="Verdana" w:hAnsi="Verdana"/>
          <w:sz w:val="20"/>
          <w:szCs w:val="20"/>
        </w:rPr>
      </w:pPr>
    </w:p>
    <w:p w14:paraId="7F296CA3" w14:textId="77777777" w:rsidR="002A5A89" w:rsidRDefault="002A5A89" w:rsidP="002A5A89">
      <w:pPr>
        <w:numPr>
          <w:ilvl w:val="0"/>
          <w:numId w:val="5"/>
        </w:numPr>
        <w:ind w:left="0" w:firstLine="0"/>
        <w:jc w:val="both"/>
        <w:rPr>
          <w:rFonts w:ascii="Verdana" w:hAnsi="Verdana"/>
          <w:b/>
          <w:bCs/>
          <w:sz w:val="20"/>
          <w:szCs w:val="20"/>
        </w:rPr>
      </w:pPr>
      <w:r w:rsidRPr="002A5A89">
        <w:rPr>
          <w:rStyle w:val="Nmerodepgina"/>
          <w:rFonts w:ascii="Verdana" w:hAnsi="Verdana"/>
          <w:sz w:val="20"/>
          <w:szCs w:val="20"/>
        </w:rPr>
        <w:t xml:space="preserve">En atención a lo anterior, es evidente que </w:t>
      </w:r>
      <w:r w:rsidRPr="002A5A89">
        <w:rPr>
          <w:rFonts w:ascii="Verdana" w:hAnsi="Verdana"/>
          <w:color w:val="212121"/>
          <w:sz w:val="20"/>
          <w:szCs w:val="20"/>
          <w:u w:color="212121"/>
        </w:rPr>
        <w:t>el objeto de las medidas provisionales solicitadas coincide con el fondo del caso, en tanto que la Corte deberá examinar las violaciones alegadas respecto a la cesación de los cargos de las presuntas víctimas y, en consecuencia, pronunciarse sobre las alegadas violaciones, y de ser procedente ordenar las medidas de reparación solicitadas, dentro de las cuales precisamente se encuentra la solicitud de reincorporación de las referidas presuntas víctimas a sus cargos.</w:t>
      </w:r>
    </w:p>
    <w:p w14:paraId="73399A47" w14:textId="77777777" w:rsidR="002A5A89" w:rsidRDefault="002A5A89" w:rsidP="002A5A89">
      <w:pPr>
        <w:pStyle w:val="Prrafodelista"/>
        <w:rPr>
          <w:rStyle w:val="Nmerodepgina"/>
          <w:rFonts w:ascii="Verdana" w:hAnsi="Verdana"/>
          <w:sz w:val="20"/>
          <w:szCs w:val="20"/>
        </w:rPr>
      </w:pPr>
    </w:p>
    <w:p w14:paraId="03E099BF" w14:textId="77777777" w:rsidR="0092519E" w:rsidRPr="002A5A89" w:rsidRDefault="002A5A89" w:rsidP="002A5A89">
      <w:pPr>
        <w:numPr>
          <w:ilvl w:val="0"/>
          <w:numId w:val="5"/>
        </w:numPr>
        <w:ind w:left="0" w:firstLine="0"/>
        <w:jc w:val="both"/>
        <w:rPr>
          <w:rFonts w:ascii="Verdana" w:hAnsi="Verdana"/>
          <w:b/>
          <w:bCs/>
          <w:sz w:val="20"/>
          <w:szCs w:val="20"/>
        </w:rPr>
      </w:pPr>
      <w:r w:rsidRPr="002A5A89">
        <w:rPr>
          <w:rStyle w:val="Nmerodepgina"/>
          <w:rFonts w:ascii="Verdana" w:hAnsi="Verdana"/>
          <w:sz w:val="20"/>
          <w:szCs w:val="20"/>
        </w:rPr>
        <w:t xml:space="preserve">Después de haber examinado los hechos y las circunstancias en que se fundamenta el pedido de la “medida cautelar”, no resulta posible en este caso apreciar </w:t>
      </w:r>
      <w:r w:rsidRPr="002A5A89">
        <w:rPr>
          <w:rFonts w:ascii="Verdana" w:hAnsi="Verdana"/>
          <w:i/>
          <w:iCs/>
          <w:sz w:val="20"/>
          <w:szCs w:val="20"/>
        </w:rPr>
        <w:t>prima facie</w:t>
      </w:r>
      <w:r w:rsidRPr="002A5A89">
        <w:rPr>
          <w:rStyle w:val="Nmerodepgina"/>
          <w:rFonts w:ascii="Verdana" w:hAnsi="Verdana"/>
          <w:sz w:val="20"/>
          <w:szCs w:val="20"/>
        </w:rPr>
        <w:t xml:space="preserve"> que </w:t>
      </w:r>
      <w:r w:rsidRPr="002A5A89">
        <w:rPr>
          <w:rFonts w:ascii="Verdana" w:hAnsi="Verdana"/>
          <w:color w:val="212121"/>
          <w:sz w:val="20"/>
          <w:szCs w:val="20"/>
          <w:u w:color="212121"/>
        </w:rPr>
        <w:t xml:space="preserve">Jean </w:t>
      </w:r>
      <w:proofErr w:type="spellStart"/>
      <w:r w:rsidRPr="002A5A89">
        <w:rPr>
          <w:rFonts w:ascii="Verdana" w:hAnsi="Verdana"/>
          <w:color w:val="212121"/>
          <w:sz w:val="20"/>
          <w:szCs w:val="20"/>
          <w:u w:color="212121"/>
        </w:rPr>
        <w:t>Aubert</w:t>
      </w:r>
      <w:proofErr w:type="spellEnd"/>
      <w:r w:rsidRPr="002A5A89">
        <w:rPr>
          <w:rFonts w:ascii="Verdana" w:hAnsi="Verdana"/>
          <w:color w:val="212121"/>
          <w:sz w:val="20"/>
          <w:szCs w:val="20"/>
          <w:u w:color="212121"/>
        </w:rPr>
        <w:t xml:space="preserve"> Díaz Alvarado y Marta Silvana Rodríguez </w:t>
      </w:r>
      <w:proofErr w:type="spellStart"/>
      <w:r w:rsidRPr="002A5A89">
        <w:rPr>
          <w:rFonts w:ascii="Verdana" w:hAnsi="Verdana"/>
          <w:color w:val="212121"/>
          <w:sz w:val="20"/>
          <w:szCs w:val="20"/>
          <w:u w:color="212121"/>
        </w:rPr>
        <w:t>Ricse</w:t>
      </w:r>
      <w:proofErr w:type="spellEnd"/>
      <w:r w:rsidRPr="002A5A89">
        <w:rPr>
          <w:rStyle w:val="Nmerodepgina"/>
          <w:rFonts w:ascii="Verdana" w:hAnsi="Verdana"/>
          <w:sz w:val="20"/>
          <w:szCs w:val="20"/>
        </w:rPr>
        <w:t xml:space="preserve"> se encuentren, en los términos exigidos por el artículo 63.2 de la Convención Americana, en una situación de “extrema gravedad y urgencia” relacionada con la necesidad de evitar “daños irreparables”, y además, que el objeto de la medida coincide con el objeto del fondo del asunto el cual este Tribunal tendrá que dilucidar oportunamente en su sentencia. En consecuencia, se desestima la referida solicitud.</w:t>
      </w:r>
    </w:p>
    <w:p w14:paraId="5A76E2EA" w14:textId="77777777" w:rsidR="0092519E" w:rsidRDefault="0092519E">
      <w:pPr>
        <w:spacing w:before="20" w:after="20"/>
        <w:ind w:right="14"/>
        <w:jc w:val="both"/>
        <w:rPr>
          <w:rFonts w:ascii="Verdana" w:eastAsia="Verdana" w:hAnsi="Verdana" w:cs="Verdana"/>
          <w:b/>
          <w:bCs/>
          <w:sz w:val="20"/>
          <w:szCs w:val="20"/>
        </w:rPr>
      </w:pPr>
    </w:p>
    <w:p w14:paraId="1DEC237F" w14:textId="77777777" w:rsidR="0092519E" w:rsidRDefault="002A5A89">
      <w:pPr>
        <w:spacing w:before="20" w:after="20"/>
        <w:ind w:right="14"/>
        <w:jc w:val="both"/>
        <w:rPr>
          <w:rFonts w:ascii="Verdana" w:eastAsia="Verdana" w:hAnsi="Verdana" w:cs="Verdana"/>
          <w:b/>
          <w:bCs/>
          <w:sz w:val="20"/>
          <w:szCs w:val="20"/>
        </w:rPr>
      </w:pPr>
      <w:r>
        <w:rPr>
          <w:rFonts w:ascii="Verdana" w:hAnsi="Verdana"/>
          <w:b/>
          <w:bCs/>
          <w:sz w:val="20"/>
          <w:szCs w:val="20"/>
        </w:rPr>
        <w:t>POR TANTO:</w:t>
      </w:r>
    </w:p>
    <w:p w14:paraId="071A759D" w14:textId="77777777" w:rsidR="0092519E" w:rsidRDefault="0092519E">
      <w:pPr>
        <w:tabs>
          <w:tab w:val="left" w:pos="680"/>
        </w:tabs>
        <w:spacing w:before="20" w:after="20"/>
        <w:ind w:right="18"/>
        <w:jc w:val="both"/>
        <w:rPr>
          <w:rFonts w:ascii="Verdana" w:eastAsia="Verdana" w:hAnsi="Verdana" w:cs="Verdana"/>
          <w:b/>
          <w:bCs/>
          <w:sz w:val="20"/>
          <w:szCs w:val="20"/>
        </w:rPr>
      </w:pPr>
    </w:p>
    <w:p w14:paraId="1D1EBD89" w14:textId="77777777" w:rsidR="0092519E" w:rsidRDefault="002A5A89">
      <w:pPr>
        <w:spacing w:before="20" w:after="20"/>
        <w:ind w:right="18"/>
        <w:jc w:val="both"/>
        <w:rPr>
          <w:rFonts w:ascii="Verdana" w:eastAsia="Verdana" w:hAnsi="Verdana" w:cs="Verdana"/>
          <w:b/>
          <w:bCs/>
          <w:sz w:val="20"/>
          <w:szCs w:val="20"/>
        </w:rPr>
      </w:pPr>
      <w:r>
        <w:rPr>
          <w:rFonts w:ascii="Verdana" w:hAnsi="Verdana"/>
          <w:b/>
          <w:bCs/>
          <w:sz w:val="20"/>
          <w:szCs w:val="20"/>
        </w:rPr>
        <w:t>LA CORTE INTERAMERICANA DE DERECHOS HUMANOS,</w:t>
      </w:r>
    </w:p>
    <w:p w14:paraId="3F59FEC5" w14:textId="77777777" w:rsidR="0092519E" w:rsidRDefault="0092519E">
      <w:pPr>
        <w:spacing w:before="20" w:after="20"/>
        <w:ind w:right="18"/>
        <w:jc w:val="both"/>
        <w:rPr>
          <w:rFonts w:ascii="Verdana" w:eastAsia="Verdana" w:hAnsi="Verdana" w:cs="Verdana"/>
          <w:sz w:val="20"/>
          <w:szCs w:val="20"/>
        </w:rPr>
      </w:pPr>
    </w:p>
    <w:p w14:paraId="7A8FA8C6" w14:textId="77777777" w:rsidR="0092519E" w:rsidRDefault="002A5A89">
      <w:pPr>
        <w:jc w:val="both"/>
        <w:rPr>
          <w:rFonts w:ascii="Verdana" w:eastAsia="Verdana" w:hAnsi="Verdana" w:cs="Verdana"/>
          <w:sz w:val="20"/>
          <w:szCs w:val="20"/>
        </w:rPr>
      </w:pPr>
      <w:r>
        <w:rPr>
          <w:rFonts w:ascii="Verdana" w:hAnsi="Verdana"/>
          <w:sz w:val="20"/>
          <w:szCs w:val="20"/>
        </w:rPr>
        <w:t>en uso de las atribuciones que le confieren el artículo 63.2 de la Convención Americana y los artículos 27 y</w:t>
      </w:r>
      <w:r>
        <w:rPr>
          <w:rFonts w:ascii="Verdana" w:hAnsi="Verdana"/>
          <w:color w:val="00B050"/>
          <w:sz w:val="20"/>
          <w:szCs w:val="20"/>
          <w:u w:color="00B050"/>
        </w:rPr>
        <w:t xml:space="preserve"> </w:t>
      </w:r>
      <w:r>
        <w:rPr>
          <w:rFonts w:ascii="Verdana" w:hAnsi="Verdana"/>
          <w:sz w:val="20"/>
          <w:szCs w:val="20"/>
        </w:rPr>
        <w:t>31.2 del Reglamento,</w:t>
      </w:r>
    </w:p>
    <w:p w14:paraId="744AB2A1" w14:textId="77777777" w:rsidR="0092519E" w:rsidRDefault="0092519E">
      <w:pPr>
        <w:tabs>
          <w:tab w:val="left" w:pos="680"/>
        </w:tabs>
        <w:spacing w:before="20" w:after="20"/>
        <w:ind w:right="18"/>
        <w:jc w:val="both"/>
        <w:rPr>
          <w:rFonts w:ascii="Verdana" w:eastAsia="Verdana" w:hAnsi="Verdana" w:cs="Verdana"/>
          <w:b/>
          <w:bCs/>
          <w:sz w:val="20"/>
          <w:szCs w:val="20"/>
        </w:rPr>
      </w:pPr>
    </w:p>
    <w:p w14:paraId="70B3D0AF" w14:textId="77777777" w:rsidR="0092519E" w:rsidRDefault="002A5A89">
      <w:pPr>
        <w:tabs>
          <w:tab w:val="left" w:pos="680"/>
        </w:tabs>
        <w:spacing w:before="20" w:after="20"/>
        <w:ind w:right="18"/>
        <w:jc w:val="both"/>
        <w:rPr>
          <w:rFonts w:ascii="Verdana" w:eastAsia="Verdana" w:hAnsi="Verdana" w:cs="Verdana"/>
          <w:b/>
          <w:bCs/>
          <w:sz w:val="20"/>
          <w:szCs w:val="20"/>
        </w:rPr>
      </w:pPr>
      <w:r>
        <w:rPr>
          <w:rFonts w:ascii="Verdana" w:hAnsi="Verdana"/>
          <w:b/>
          <w:bCs/>
          <w:sz w:val="20"/>
          <w:szCs w:val="20"/>
        </w:rPr>
        <w:t>RESUELVE:</w:t>
      </w:r>
    </w:p>
    <w:p w14:paraId="3D59AFB4" w14:textId="77777777" w:rsidR="0092519E" w:rsidRDefault="0092519E">
      <w:pPr>
        <w:spacing w:before="20" w:after="20"/>
        <w:ind w:left="720" w:right="18"/>
        <w:jc w:val="both"/>
        <w:rPr>
          <w:rFonts w:ascii="Verdana" w:eastAsia="Verdana" w:hAnsi="Verdana" w:cs="Verdana"/>
          <w:sz w:val="20"/>
          <w:szCs w:val="20"/>
        </w:rPr>
      </w:pPr>
    </w:p>
    <w:p w14:paraId="34B6560C" w14:textId="77777777" w:rsidR="0092519E" w:rsidRDefault="002A5A89" w:rsidP="002A5A89">
      <w:pPr>
        <w:numPr>
          <w:ilvl w:val="0"/>
          <w:numId w:val="7"/>
        </w:numPr>
        <w:spacing w:before="20" w:after="20"/>
        <w:ind w:left="0" w:right="18" w:firstLine="0"/>
        <w:jc w:val="both"/>
        <w:rPr>
          <w:rFonts w:ascii="Verdana" w:hAnsi="Verdana"/>
          <w:sz w:val="20"/>
          <w:szCs w:val="20"/>
        </w:rPr>
      </w:pPr>
      <w:r>
        <w:rPr>
          <w:rStyle w:val="Nmerodepgina"/>
          <w:rFonts w:ascii="Verdana" w:hAnsi="Verdana"/>
          <w:sz w:val="20"/>
          <w:szCs w:val="20"/>
        </w:rPr>
        <w:t xml:space="preserve">Desestimar la solicitud de medidas provisionales a favor de </w:t>
      </w:r>
      <w:r>
        <w:rPr>
          <w:rFonts w:ascii="Verdana" w:hAnsi="Verdana"/>
          <w:color w:val="212121"/>
          <w:sz w:val="20"/>
          <w:szCs w:val="20"/>
          <w:u w:color="212121"/>
        </w:rPr>
        <w:t xml:space="preserve">Jean </w:t>
      </w:r>
      <w:proofErr w:type="spellStart"/>
      <w:r>
        <w:rPr>
          <w:rFonts w:ascii="Verdana" w:hAnsi="Verdana"/>
          <w:color w:val="212121"/>
          <w:sz w:val="20"/>
          <w:szCs w:val="20"/>
          <w:u w:color="212121"/>
        </w:rPr>
        <w:t>Aubert</w:t>
      </w:r>
      <w:proofErr w:type="spellEnd"/>
      <w:r>
        <w:rPr>
          <w:rFonts w:ascii="Verdana" w:hAnsi="Verdana"/>
          <w:color w:val="212121"/>
          <w:sz w:val="20"/>
          <w:szCs w:val="20"/>
          <w:u w:color="212121"/>
        </w:rPr>
        <w:t xml:space="preserve"> Diaz Alvarado y Marta Silvana Rodríguez </w:t>
      </w:r>
      <w:proofErr w:type="spellStart"/>
      <w:r>
        <w:rPr>
          <w:rFonts w:ascii="Verdana" w:hAnsi="Verdana"/>
          <w:color w:val="212121"/>
          <w:sz w:val="20"/>
          <w:szCs w:val="20"/>
          <w:u w:color="212121"/>
        </w:rPr>
        <w:t>Ricse</w:t>
      </w:r>
      <w:proofErr w:type="spellEnd"/>
      <w:r>
        <w:rPr>
          <w:rStyle w:val="Nmerodepgina"/>
          <w:rFonts w:ascii="Verdana" w:hAnsi="Verdana"/>
          <w:sz w:val="20"/>
          <w:szCs w:val="20"/>
        </w:rPr>
        <w:t>.</w:t>
      </w:r>
    </w:p>
    <w:p w14:paraId="520FD30A" w14:textId="77777777" w:rsidR="0092519E" w:rsidRDefault="0092519E">
      <w:pPr>
        <w:spacing w:before="20" w:after="20"/>
        <w:ind w:left="360" w:right="18"/>
        <w:jc w:val="both"/>
        <w:rPr>
          <w:rFonts w:ascii="Verdana" w:eastAsia="Verdana" w:hAnsi="Verdana" w:cs="Verdana"/>
          <w:sz w:val="20"/>
          <w:szCs w:val="20"/>
        </w:rPr>
      </w:pPr>
    </w:p>
    <w:p w14:paraId="442007D1" w14:textId="77777777" w:rsidR="0092519E" w:rsidRDefault="002A5A89">
      <w:pPr>
        <w:spacing w:before="20" w:after="20"/>
        <w:ind w:right="18"/>
        <w:jc w:val="both"/>
        <w:rPr>
          <w:rFonts w:ascii="Verdana" w:hAnsi="Verdana"/>
          <w:sz w:val="20"/>
          <w:szCs w:val="20"/>
        </w:rPr>
      </w:pPr>
      <w:r>
        <w:rPr>
          <w:rFonts w:ascii="Verdana" w:hAnsi="Verdana"/>
          <w:sz w:val="20"/>
          <w:szCs w:val="20"/>
        </w:rPr>
        <w:t>2.</w:t>
      </w:r>
      <w:r>
        <w:rPr>
          <w:rFonts w:ascii="Verdana" w:hAnsi="Verdana"/>
          <w:sz w:val="20"/>
          <w:szCs w:val="20"/>
        </w:rPr>
        <w:tab/>
        <w:t xml:space="preserve">Requerir a la Secretaría de la Corte que notifique la presente Resolución al Estado del Perú, a la Comisión Interamericana Derechos Humanos y al representante de las presuntas víctimas </w:t>
      </w:r>
      <w:r>
        <w:rPr>
          <w:rFonts w:ascii="Verdana" w:hAnsi="Verdana"/>
          <w:color w:val="212121"/>
          <w:sz w:val="20"/>
          <w:szCs w:val="20"/>
          <w:u w:color="212121"/>
        </w:rPr>
        <w:t xml:space="preserve">Jean </w:t>
      </w:r>
      <w:proofErr w:type="spellStart"/>
      <w:r>
        <w:rPr>
          <w:rFonts w:ascii="Verdana" w:hAnsi="Verdana"/>
          <w:color w:val="212121"/>
          <w:sz w:val="20"/>
          <w:szCs w:val="20"/>
          <w:u w:color="212121"/>
        </w:rPr>
        <w:t>Aubert</w:t>
      </w:r>
      <w:proofErr w:type="spellEnd"/>
      <w:r>
        <w:rPr>
          <w:rFonts w:ascii="Verdana" w:hAnsi="Verdana"/>
          <w:color w:val="212121"/>
          <w:sz w:val="20"/>
          <w:szCs w:val="20"/>
          <w:u w:color="212121"/>
        </w:rPr>
        <w:t xml:space="preserve"> Diaz Alvarado y Marta Silvana Rodríguez </w:t>
      </w:r>
      <w:proofErr w:type="spellStart"/>
      <w:r>
        <w:rPr>
          <w:rFonts w:ascii="Verdana" w:hAnsi="Verdana"/>
          <w:color w:val="212121"/>
          <w:sz w:val="20"/>
          <w:szCs w:val="20"/>
          <w:u w:color="212121"/>
        </w:rPr>
        <w:t>Ricse</w:t>
      </w:r>
      <w:proofErr w:type="spellEnd"/>
      <w:r>
        <w:rPr>
          <w:rFonts w:ascii="Verdana" w:hAnsi="Verdana"/>
          <w:sz w:val="20"/>
          <w:szCs w:val="20"/>
        </w:rPr>
        <w:t>.</w:t>
      </w:r>
    </w:p>
    <w:p w14:paraId="1BD8A6F5" w14:textId="77777777" w:rsidR="00574CB1" w:rsidRDefault="00574CB1">
      <w:pPr>
        <w:spacing w:before="20" w:after="20"/>
        <w:ind w:right="18"/>
        <w:jc w:val="both"/>
        <w:rPr>
          <w:rFonts w:ascii="Verdana" w:eastAsia="Verdana" w:hAnsi="Verdana" w:cs="Verdana"/>
          <w:sz w:val="20"/>
          <w:szCs w:val="20"/>
        </w:rPr>
      </w:pPr>
    </w:p>
    <w:p w14:paraId="6189CA29" w14:textId="77777777" w:rsidR="00574CB1" w:rsidRDefault="00574CB1">
      <w:pPr>
        <w:spacing w:before="20" w:after="20"/>
        <w:ind w:right="18"/>
        <w:jc w:val="both"/>
        <w:rPr>
          <w:rFonts w:ascii="Verdana" w:eastAsia="Verdana" w:hAnsi="Verdana" w:cs="Verdana"/>
          <w:sz w:val="20"/>
          <w:szCs w:val="20"/>
        </w:rPr>
      </w:pPr>
    </w:p>
    <w:p w14:paraId="7E1D79D5" w14:textId="77777777" w:rsidR="00574CB1" w:rsidRDefault="00574CB1">
      <w:pPr>
        <w:spacing w:before="20" w:after="20"/>
        <w:ind w:right="18"/>
        <w:jc w:val="both"/>
        <w:rPr>
          <w:rFonts w:ascii="Verdana" w:eastAsia="Verdana" w:hAnsi="Verdana" w:cs="Verdana"/>
          <w:sz w:val="20"/>
          <w:szCs w:val="20"/>
        </w:rPr>
      </w:pPr>
    </w:p>
    <w:p w14:paraId="4BD7D2A5" w14:textId="77777777" w:rsidR="00574CB1" w:rsidRDefault="00574CB1">
      <w:pPr>
        <w:spacing w:before="20" w:after="20"/>
        <w:ind w:right="18"/>
        <w:jc w:val="both"/>
        <w:rPr>
          <w:rFonts w:ascii="Verdana" w:eastAsia="Verdana" w:hAnsi="Verdana" w:cs="Verdana"/>
          <w:sz w:val="20"/>
          <w:szCs w:val="20"/>
        </w:rPr>
      </w:pPr>
    </w:p>
    <w:p w14:paraId="31B8DDEE" w14:textId="77777777" w:rsidR="00574CB1" w:rsidRDefault="00574CB1">
      <w:pPr>
        <w:spacing w:before="20" w:after="20"/>
        <w:ind w:right="18"/>
        <w:jc w:val="both"/>
        <w:rPr>
          <w:rFonts w:ascii="Verdana" w:eastAsia="Verdana" w:hAnsi="Verdana" w:cs="Verdana"/>
          <w:sz w:val="20"/>
          <w:szCs w:val="20"/>
        </w:rPr>
      </w:pPr>
    </w:p>
    <w:p w14:paraId="1C26D312" w14:textId="77777777" w:rsidR="00574CB1" w:rsidRDefault="00574CB1">
      <w:pPr>
        <w:spacing w:before="20" w:after="20"/>
        <w:ind w:right="18"/>
        <w:jc w:val="both"/>
        <w:rPr>
          <w:rFonts w:ascii="Verdana" w:eastAsia="Verdana" w:hAnsi="Verdana" w:cs="Verdana"/>
          <w:sz w:val="20"/>
          <w:szCs w:val="20"/>
        </w:rPr>
      </w:pPr>
    </w:p>
    <w:p w14:paraId="187C2AB0" w14:textId="77777777" w:rsidR="00574CB1" w:rsidRDefault="00574CB1">
      <w:pPr>
        <w:spacing w:before="20" w:after="20"/>
        <w:ind w:right="18"/>
        <w:jc w:val="both"/>
        <w:rPr>
          <w:rFonts w:ascii="Verdana" w:eastAsia="Verdana" w:hAnsi="Verdana" w:cs="Verdana"/>
          <w:sz w:val="20"/>
          <w:szCs w:val="20"/>
        </w:rPr>
      </w:pPr>
    </w:p>
    <w:p w14:paraId="6E7E70E9" w14:textId="77777777" w:rsidR="00C017CF" w:rsidRDefault="00C017CF" w:rsidP="00C017CF">
      <w:pPr>
        <w:jc w:val="both"/>
        <w:rPr>
          <w:rFonts w:ascii="Verdana" w:hAnsi="Verdana"/>
          <w:strike/>
          <w:sz w:val="20"/>
          <w:lang w:val="es-ES"/>
        </w:rPr>
      </w:pPr>
    </w:p>
    <w:p w14:paraId="03BE85B9" w14:textId="77777777" w:rsidR="00C017CF" w:rsidRPr="002D12F9" w:rsidRDefault="00C017CF" w:rsidP="00C017CF">
      <w:pPr>
        <w:jc w:val="both"/>
        <w:rPr>
          <w:rFonts w:ascii="Verdana" w:hAnsi="Verdana"/>
          <w:sz w:val="20"/>
          <w:lang w:val="es-ES"/>
        </w:rPr>
      </w:pPr>
      <w:r w:rsidRPr="002D12F9">
        <w:rPr>
          <w:rFonts w:ascii="Verdana" w:hAnsi="Verdana"/>
          <w:sz w:val="20"/>
          <w:lang w:val="es-ES"/>
        </w:rPr>
        <w:t xml:space="preserve">Corte IDH. </w:t>
      </w:r>
      <w:r w:rsidRPr="000304D5">
        <w:rPr>
          <w:rFonts w:ascii="Verdana" w:hAnsi="Verdana"/>
          <w:i/>
          <w:sz w:val="20"/>
          <w:lang w:val="es-ES"/>
        </w:rPr>
        <w:t xml:space="preserve">Caso </w:t>
      </w:r>
      <w:r>
        <w:rPr>
          <w:rFonts w:ascii="Verdana" w:hAnsi="Verdana"/>
          <w:i/>
          <w:iCs/>
          <w:sz w:val="20"/>
          <w:lang w:val="es-CR"/>
        </w:rPr>
        <w:t xml:space="preserve">Cuya </w:t>
      </w:r>
      <w:proofErr w:type="spellStart"/>
      <w:r>
        <w:rPr>
          <w:rFonts w:ascii="Verdana" w:hAnsi="Verdana"/>
          <w:i/>
          <w:iCs/>
          <w:sz w:val="20"/>
          <w:lang w:val="es-CR"/>
        </w:rPr>
        <w:t>Lavy</w:t>
      </w:r>
      <w:proofErr w:type="spellEnd"/>
      <w:r>
        <w:rPr>
          <w:rFonts w:ascii="Verdana" w:hAnsi="Verdana"/>
          <w:i/>
          <w:iCs/>
          <w:sz w:val="20"/>
          <w:lang w:val="es-CR"/>
        </w:rPr>
        <w:t xml:space="preserve"> y otros</w:t>
      </w:r>
      <w:r w:rsidRPr="000304D5">
        <w:rPr>
          <w:rFonts w:ascii="Verdana" w:hAnsi="Verdana"/>
          <w:i/>
          <w:iCs/>
          <w:sz w:val="20"/>
          <w:lang w:val="es-CR"/>
        </w:rPr>
        <w:t xml:space="preserve"> </w:t>
      </w:r>
      <w:r>
        <w:rPr>
          <w:rFonts w:ascii="Verdana" w:hAnsi="Verdana"/>
          <w:i/>
          <w:iCs/>
          <w:sz w:val="20"/>
          <w:lang w:val="es-CR"/>
        </w:rPr>
        <w:t>V</w:t>
      </w:r>
      <w:r w:rsidRPr="000304D5">
        <w:rPr>
          <w:rFonts w:ascii="Verdana" w:hAnsi="Verdana"/>
          <w:i/>
          <w:iCs/>
          <w:sz w:val="20"/>
          <w:lang w:val="es-CR"/>
        </w:rPr>
        <w:t xml:space="preserve">s. </w:t>
      </w:r>
      <w:r>
        <w:rPr>
          <w:rFonts w:ascii="Verdana" w:hAnsi="Verdana"/>
          <w:i/>
          <w:iCs/>
          <w:sz w:val="20"/>
          <w:lang w:val="es-CR"/>
        </w:rPr>
        <w:t>Perú</w:t>
      </w:r>
      <w:r>
        <w:rPr>
          <w:rFonts w:ascii="Verdana" w:hAnsi="Verdana"/>
          <w:iCs/>
          <w:sz w:val="20"/>
          <w:lang w:val="es-CR"/>
        </w:rPr>
        <w:t>. Solicitud de medidas provisionales. Resolución</w:t>
      </w:r>
      <w:r w:rsidRPr="002D12F9">
        <w:rPr>
          <w:rFonts w:ascii="Verdana" w:hAnsi="Verdana"/>
          <w:sz w:val="20"/>
          <w:lang w:val="es-ES"/>
        </w:rPr>
        <w:t xml:space="preserve"> </w:t>
      </w:r>
      <w:r>
        <w:rPr>
          <w:rFonts w:ascii="Verdana" w:hAnsi="Verdana"/>
          <w:sz w:val="20"/>
          <w:lang w:val="es-ES"/>
        </w:rPr>
        <w:t xml:space="preserve">de la Corte Interamericana de Derechos Humanos </w:t>
      </w:r>
      <w:r w:rsidRPr="002D12F9">
        <w:rPr>
          <w:rFonts w:ascii="Verdana" w:hAnsi="Verdana"/>
          <w:sz w:val="20"/>
          <w:lang w:val="es-ES"/>
        </w:rPr>
        <w:t xml:space="preserve">de </w:t>
      </w:r>
      <w:r>
        <w:rPr>
          <w:rFonts w:ascii="Verdana" w:hAnsi="Verdana"/>
          <w:sz w:val="20"/>
          <w:lang w:val="es-ES"/>
        </w:rPr>
        <w:t>12 de marzo</w:t>
      </w:r>
      <w:r w:rsidRPr="002D12F9">
        <w:rPr>
          <w:rFonts w:ascii="Verdana" w:hAnsi="Verdana"/>
          <w:sz w:val="20"/>
          <w:lang w:val="es-ES"/>
        </w:rPr>
        <w:t xml:space="preserve"> de 20</w:t>
      </w:r>
      <w:r>
        <w:rPr>
          <w:rFonts w:ascii="Verdana" w:hAnsi="Verdana"/>
          <w:sz w:val="20"/>
          <w:lang w:val="es-ES"/>
        </w:rPr>
        <w:t>20</w:t>
      </w:r>
      <w:r w:rsidRPr="002D12F9">
        <w:rPr>
          <w:rFonts w:ascii="Verdana" w:hAnsi="Verdana"/>
          <w:sz w:val="20"/>
          <w:lang w:val="es-ES"/>
        </w:rPr>
        <w:t>.</w:t>
      </w:r>
    </w:p>
    <w:p w14:paraId="3F1CAD0D" w14:textId="77777777" w:rsidR="00C017CF" w:rsidRPr="00785CC5" w:rsidRDefault="00C017CF" w:rsidP="00C017CF">
      <w:pPr>
        <w:jc w:val="center"/>
        <w:rPr>
          <w:rFonts w:ascii="Verdana" w:hAnsi="Verdana"/>
          <w:sz w:val="20"/>
          <w:lang w:val="es-ES"/>
        </w:rPr>
      </w:pPr>
    </w:p>
    <w:p w14:paraId="4A2790F5" w14:textId="77777777" w:rsidR="00C017CF" w:rsidRDefault="00C017CF" w:rsidP="00C017CF">
      <w:pPr>
        <w:jc w:val="center"/>
        <w:rPr>
          <w:rFonts w:ascii="Verdana" w:hAnsi="Verdana"/>
          <w:sz w:val="20"/>
          <w:lang w:val="pt-BR"/>
        </w:rPr>
      </w:pPr>
    </w:p>
    <w:p w14:paraId="6AF0DA8C" w14:textId="77777777" w:rsidR="00C017CF" w:rsidRDefault="00C017CF" w:rsidP="00C017CF">
      <w:pPr>
        <w:jc w:val="center"/>
        <w:rPr>
          <w:rFonts w:ascii="Verdana" w:hAnsi="Verdana"/>
          <w:sz w:val="20"/>
          <w:lang w:val="pt-BR"/>
        </w:rPr>
      </w:pPr>
    </w:p>
    <w:p w14:paraId="34FD1B01" w14:textId="77777777" w:rsidR="00C017CF" w:rsidRDefault="00C017CF" w:rsidP="00C017CF">
      <w:pPr>
        <w:jc w:val="center"/>
        <w:rPr>
          <w:rFonts w:ascii="Verdana" w:hAnsi="Verdana"/>
          <w:sz w:val="20"/>
          <w:lang w:val="pt-BR"/>
        </w:rPr>
      </w:pPr>
    </w:p>
    <w:p w14:paraId="6D01CFCD" w14:textId="77777777" w:rsidR="00C017CF" w:rsidRDefault="00C017CF" w:rsidP="00C017CF">
      <w:pPr>
        <w:jc w:val="center"/>
        <w:rPr>
          <w:rFonts w:ascii="Verdana" w:hAnsi="Verdana"/>
          <w:sz w:val="20"/>
          <w:lang w:val="pt-BR"/>
        </w:rPr>
      </w:pPr>
      <w:r>
        <w:rPr>
          <w:rFonts w:ascii="Verdana" w:hAnsi="Verdana"/>
          <w:sz w:val="20"/>
          <w:lang w:val="pt-BR"/>
        </w:rPr>
        <w:t>Elizabeth Odio Benito</w:t>
      </w:r>
    </w:p>
    <w:p w14:paraId="798DCE86" w14:textId="77777777" w:rsidR="00C017CF" w:rsidRDefault="00C017CF" w:rsidP="00C017CF">
      <w:pPr>
        <w:jc w:val="center"/>
        <w:rPr>
          <w:rFonts w:ascii="Verdana" w:hAnsi="Verdana"/>
          <w:sz w:val="20"/>
          <w:lang w:val="pt-BR"/>
        </w:rPr>
      </w:pPr>
      <w:r>
        <w:rPr>
          <w:rFonts w:ascii="Verdana" w:hAnsi="Verdana"/>
          <w:sz w:val="20"/>
          <w:lang w:val="pt-BR"/>
        </w:rPr>
        <w:t>Presidenta</w:t>
      </w:r>
    </w:p>
    <w:p w14:paraId="5038EFFA" w14:textId="77777777" w:rsidR="00C017CF" w:rsidRDefault="00C017CF" w:rsidP="00C017CF">
      <w:pPr>
        <w:jc w:val="center"/>
        <w:rPr>
          <w:rFonts w:ascii="Verdana" w:hAnsi="Verdana"/>
          <w:sz w:val="20"/>
          <w:lang w:val="pt-BR"/>
        </w:rPr>
      </w:pPr>
    </w:p>
    <w:p w14:paraId="335B290E" w14:textId="77777777" w:rsidR="00C017CF" w:rsidRDefault="00C017CF" w:rsidP="00C017CF">
      <w:pPr>
        <w:jc w:val="center"/>
        <w:rPr>
          <w:rFonts w:ascii="Verdana" w:hAnsi="Verdana"/>
          <w:sz w:val="20"/>
          <w:lang w:val="pt-BR"/>
        </w:rPr>
      </w:pPr>
    </w:p>
    <w:p w14:paraId="4B42D2C1" w14:textId="77777777" w:rsidR="00C017CF" w:rsidRDefault="00C017CF" w:rsidP="00C017CF">
      <w:pPr>
        <w:rPr>
          <w:rFonts w:ascii="Verdana" w:hAnsi="Verdana"/>
          <w:sz w:val="20"/>
          <w:lang w:val="pt-BR"/>
        </w:rPr>
      </w:pPr>
    </w:p>
    <w:p w14:paraId="5D9C19B1" w14:textId="77777777" w:rsidR="00C017CF" w:rsidRDefault="00C017CF" w:rsidP="00C017CF">
      <w:pPr>
        <w:rPr>
          <w:rFonts w:ascii="Verdana" w:hAnsi="Verdana"/>
          <w:sz w:val="20"/>
          <w:lang w:val="pt-BR"/>
        </w:rPr>
      </w:pPr>
    </w:p>
    <w:p w14:paraId="48928480" w14:textId="77777777" w:rsidR="00C017CF" w:rsidRDefault="00C017CF" w:rsidP="00C017CF">
      <w:pPr>
        <w:rPr>
          <w:rFonts w:ascii="Verdana" w:hAnsi="Verdana"/>
          <w:sz w:val="20"/>
          <w:lang w:val="pt-BR"/>
        </w:rPr>
      </w:pPr>
      <w:r>
        <w:rPr>
          <w:rFonts w:ascii="Verdana" w:hAnsi="Verdana"/>
          <w:sz w:val="20"/>
          <w:lang w:val="pt-BR"/>
        </w:rPr>
        <w:t>L. Patricio Pazmiño Frei</w:t>
      </w:r>
      <w:r w:rsidRPr="0019261A">
        <w:rPr>
          <w:rFonts w:ascii="Verdana" w:hAnsi="Verdana"/>
          <w:sz w:val="20"/>
          <w:lang w:val="pt-BR"/>
        </w:rPr>
        <w:t>re</w:t>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t xml:space="preserve">     Humberto Antonio Sierra Porto</w:t>
      </w:r>
      <w:r>
        <w:rPr>
          <w:rFonts w:ascii="Verdana" w:hAnsi="Verdana"/>
          <w:sz w:val="20"/>
          <w:lang w:val="pt-BR"/>
        </w:rPr>
        <w:tab/>
      </w:r>
    </w:p>
    <w:p w14:paraId="37F1FD3D" w14:textId="77777777" w:rsidR="00C017CF" w:rsidRDefault="00C017CF" w:rsidP="00C017CF">
      <w:pPr>
        <w:rPr>
          <w:rFonts w:ascii="Verdana" w:hAnsi="Verdana"/>
          <w:sz w:val="20"/>
          <w:lang w:val="pt-BR"/>
        </w:rPr>
      </w:pPr>
    </w:p>
    <w:p w14:paraId="598CE5B9" w14:textId="77777777" w:rsidR="00C017CF" w:rsidRDefault="00C017CF" w:rsidP="00C017CF">
      <w:pPr>
        <w:rPr>
          <w:rFonts w:ascii="Verdana" w:hAnsi="Verdana"/>
          <w:sz w:val="20"/>
          <w:lang w:val="pt-BR"/>
        </w:rPr>
      </w:pPr>
    </w:p>
    <w:p w14:paraId="0D55DEE0" w14:textId="77777777" w:rsidR="00C017CF" w:rsidRDefault="00C017CF" w:rsidP="00C017CF">
      <w:pPr>
        <w:rPr>
          <w:rFonts w:ascii="Verdana" w:hAnsi="Verdana"/>
          <w:sz w:val="20"/>
          <w:lang w:val="pt-BR"/>
        </w:rPr>
      </w:pPr>
    </w:p>
    <w:p w14:paraId="3253E3BC" w14:textId="77777777" w:rsidR="00C017CF" w:rsidRDefault="00C017CF" w:rsidP="00C017CF">
      <w:pPr>
        <w:rPr>
          <w:rFonts w:ascii="Verdana" w:hAnsi="Verdana"/>
          <w:sz w:val="20"/>
          <w:lang w:val="pt-BR"/>
        </w:rPr>
      </w:pPr>
    </w:p>
    <w:p w14:paraId="57546B27" w14:textId="77777777" w:rsidR="00C017CF" w:rsidRDefault="00C017CF" w:rsidP="00C017CF">
      <w:pPr>
        <w:rPr>
          <w:rFonts w:ascii="Verdana" w:hAnsi="Verdana"/>
          <w:sz w:val="20"/>
          <w:lang w:val="pt-BR"/>
        </w:rPr>
      </w:pPr>
    </w:p>
    <w:p w14:paraId="5C9F986C" w14:textId="77777777" w:rsidR="00C017CF" w:rsidRPr="0019261A" w:rsidRDefault="00C017CF" w:rsidP="00C017CF">
      <w:pPr>
        <w:rPr>
          <w:rFonts w:ascii="Verdana" w:hAnsi="Verdana"/>
          <w:sz w:val="20"/>
          <w:lang w:val="pt-BR"/>
        </w:rPr>
      </w:pPr>
      <w:r>
        <w:rPr>
          <w:rFonts w:ascii="Verdana" w:hAnsi="Verdana"/>
          <w:sz w:val="20"/>
          <w:lang w:val="pt-BR"/>
        </w:rPr>
        <w:t xml:space="preserve">Eugenio Raúl Zaffaroni </w:t>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t xml:space="preserve">  Ricardo C. Pérez Manrique</w:t>
      </w:r>
    </w:p>
    <w:p w14:paraId="71A75E98" w14:textId="77777777" w:rsidR="00C017CF" w:rsidRDefault="00C017CF" w:rsidP="00C017CF">
      <w:pPr>
        <w:jc w:val="both"/>
        <w:rPr>
          <w:rFonts w:ascii="Verdana" w:hAnsi="Verdana"/>
          <w:sz w:val="20"/>
          <w:lang w:val="pt-BR"/>
        </w:rPr>
      </w:pPr>
    </w:p>
    <w:p w14:paraId="3CE4D49F" w14:textId="77777777" w:rsidR="00C017CF" w:rsidRDefault="00C017CF" w:rsidP="00C017CF">
      <w:pPr>
        <w:jc w:val="both"/>
        <w:rPr>
          <w:rFonts w:ascii="Verdana" w:hAnsi="Verdana"/>
          <w:sz w:val="20"/>
          <w:lang w:val="pt-BR"/>
        </w:rPr>
      </w:pPr>
    </w:p>
    <w:p w14:paraId="31BDA4B7" w14:textId="77777777" w:rsidR="00C017CF" w:rsidRDefault="00C017CF" w:rsidP="00C017CF">
      <w:pPr>
        <w:jc w:val="both"/>
        <w:rPr>
          <w:rFonts w:ascii="Verdana" w:hAnsi="Verdana"/>
          <w:sz w:val="20"/>
          <w:lang w:val="pt-BR"/>
        </w:rPr>
      </w:pPr>
    </w:p>
    <w:p w14:paraId="5364C8DC" w14:textId="77777777" w:rsidR="00C017CF" w:rsidRDefault="00C017CF" w:rsidP="00C017CF">
      <w:pPr>
        <w:jc w:val="both"/>
        <w:rPr>
          <w:rFonts w:ascii="Verdana" w:hAnsi="Verdana"/>
          <w:sz w:val="20"/>
          <w:lang w:val="pt-BR"/>
        </w:rPr>
      </w:pPr>
    </w:p>
    <w:p w14:paraId="5C7A8B98" w14:textId="77777777" w:rsidR="00C017CF" w:rsidRPr="0019261A" w:rsidRDefault="00C017CF" w:rsidP="00C017CF">
      <w:pPr>
        <w:jc w:val="both"/>
        <w:rPr>
          <w:rFonts w:ascii="Verdana" w:hAnsi="Verdana"/>
          <w:sz w:val="20"/>
          <w:lang w:val="pt-BR"/>
        </w:rPr>
      </w:pPr>
    </w:p>
    <w:p w14:paraId="644A20BB" w14:textId="77777777" w:rsidR="00C017CF" w:rsidRPr="0019261A" w:rsidRDefault="00C017CF" w:rsidP="00C017CF">
      <w:pPr>
        <w:jc w:val="both"/>
        <w:rPr>
          <w:rFonts w:ascii="Verdana" w:hAnsi="Verdana"/>
          <w:sz w:val="20"/>
          <w:lang w:val="pt-BR"/>
        </w:rPr>
      </w:pPr>
    </w:p>
    <w:p w14:paraId="0AD68FF6" w14:textId="77777777" w:rsidR="00C017CF" w:rsidRPr="00FC4051" w:rsidRDefault="00C017CF" w:rsidP="00C017CF">
      <w:pPr>
        <w:jc w:val="center"/>
        <w:rPr>
          <w:rFonts w:ascii="Verdana" w:hAnsi="Verdana"/>
          <w:sz w:val="20"/>
          <w:lang w:val="pt-BR"/>
        </w:rPr>
      </w:pPr>
      <w:r w:rsidRPr="00FC4051">
        <w:rPr>
          <w:rFonts w:ascii="Verdana" w:hAnsi="Verdana"/>
          <w:sz w:val="20"/>
          <w:lang w:val="pt-BR"/>
        </w:rPr>
        <w:t>Pablo Saavedra Alessandri</w:t>
      </w:r>
    </w:p>
    <w:p w14:paraId="645D84AA" w14:textId="77777777" w:rsidR="00C017CF" w:rsidRDefault="00C017CF" w:rsidP="00C017CF">
      <w:pPr>
        <w:jc w:val="center"/>
        <w:rPr>
          <w:rFonts w:ascii="Verdana" w:hAnsi="Verdana"/>
          <w:sz w:val="20"/>
          <w:lang w:val="pt-BR"/>
        </w:rPr>
      </w:pPr>
      <w:r w:rsidRPr="00FC4051">
        <w:rPr>
          <w:rFonts w:ascii="Verdana" w:hAnsi="Verdana"/>
          <w:sz w:val="20"/>
          <w:lang w:val="pt-BR"/>
        </w:rPr>
        <w:t>Secret</w:t>
      </w:r>
      <w:r>
        <w:rPr>
          <w:rFonts w:ascii="Verdana" w:hAnsi="Verdana"/>
          <w:sz w:val="20"/>
          <w:lang w:val="pt-BR"/>
        </w:rPr>
        <w:t>a</w:t>
      </w:r>
      <w:r w:rsidRPr="00FC4051">
        <w:rPr>
          <w:rFonts w:ascii="Verdana" w:hAnsi="Verdana"/>
          <w:sz w:val="20"/>
          <w:lang w:val="pt-BR"/>
        </w:rPr>
        <w:t>rio</w:t>
      </w:r>
    </w:p>
    <w:p w14:paraId="72B765B7" w14:textId="77777777" w:rsidR="00C017CF" w:rsidRDefault="00C017CF" w:rsidP="00C017CF">
      <w:pPr>
        <w:pStyle w:val="Textonotapie"/>
        <w:rPr>
          <w:rFonts w:ascii="Verdana" w:hAnsi="Verdana"/>
          <w:lang w:val="pt-BR"/>
        </w:rPr>
      </w:pPr>
    </w:p>
    <w:p w14:paraId="00C61645" w14:textId="77777777" w:rsidR="00C017CF" w:rsidRPr="00FC4051" w:rsidRDefault="00C017CF" w:rsidP="00C017CF">
      <w:pPr>
        <w:pStyle w:val="Textonotapie"/>
        <w:rPr>
          <w:rFonts w:ascii="Verdana" w:hAnsi="Verdana"/>
          <w:lang w:val="pt-BR"/>
        </w:rPr>
      </w:pPr>
    </w:p>
    <w:p w14:paraId="4A51010D" w14:textId="77777777" w:rsidR="00C017CF" w:rsidRPr="00FC4051" w:rsidRDefault="00C017CF" w:rsidP="00C017CF">
      <w:pPr>
        <w:pStyle w:val="Textonotapie"/>
        <w:rPr>
          <w:rFonts w:ascii="Verdana" w:hAnsi="Verdana"/>
          <w:lang w:val="pt-BR"/>
        </w:rPr>
      </w:pPr>
    </w:p>
    <w:p w14:paraId="20A21B1B" w14:textId="77777777" w:rsidR="00C017CF" w:rsidRPr="00FC4051" w:rsidRDefault="00C017CF" w:rsidP="00C017CF">
      <w:pPr>
        <w:jc w:val="both"/>
        <w:rPr>
          <w:rFonts w:ascii="Verdana" w:hAnsi="Verdana"/>
          <w:sz w:val="20"/>
          <w:lang w:val="pt-BR"/>
        </w:rPr>
      </w:pPr>
      <w:r>
        <w:rPr>
          <w:rFonts w:ascii="Verdana" w:hAnsi="Verdana"/>
          <w:sz w:val="20"/>
          <w:lang w:val="pt-BR"/>
        </w:rPr>
        <w:t>Comuníquese y ejecútese</w:t>
      </w:r>
      <w:r w:rsidRPr="00FC4051">
        <w:rPr>
          <w:rFonts w:ascii="Verdana" w:hAnsi="Verdana"/>
          <w:sz w:val="20"/>
          <w:lang w:val="pt-BR"/>
        </w:rPr>
        <w:t>,</w:t>
      </w:r>
    </w:p>
    <w:p w14:paraId="05F68F6A" w14:textId="77777777" w:rsidR="00C017CF" w:rsidRDefault="00C017CF" w:rsidP="00C017CF">
      <w:pPr>
        <w:jc w:val="center"/>
        <w:rPr>
          <w:rFonts w:ascii="Verdana" w:hAnsi="Verdana"/>
          <w:sz w:val="20"/>
          <w:lang w:val="pt-BR"/>
        </w:rPr>
      </w:pPr>
    </w:p>
    <w:p w14:paraId="5EE87640" w14:textId="77777777" w:rsidR="00C017CF" w:rsidRDefault="00C017CF" w:rsidP="00C017CF">
      <w:pPr>
        <w:jc w:val="center"/>
        <w:rPr>
          <w:rFonts w:ascii="Verdana" w:hAnsi="Verdana"/>
          <w:sz w:val="20"/>
          <w:lang w:val="pt-BR"/>
        </w:rPr>
      </w:pPr>
    </w:p>
    <w:p w14:paraId="170D5D8E" w14:textId="77777777" w:rsidR="00C017CF" w:rsidRPr="00FC4051" w:rsidRDefault="00C017CF" w:rsidP="00C017CF">
      <w:pPr>
        <w:jc w:val="right"/>
        <w:rPr>
          <w:rFonts w:ascii="Verdana" w:hAnsi="Verdana"/>
          <w:sz w:val="20"/>
          <w:lang w:val="pt-BR"/>
        </w:rPr>
      </w:pPr>
    </w:p>
    <w:p w14:paraId="76CABE10" w14:textId="77777777" w:rsidR="00C017CF" w:rsidRDefault="00C017CF" w:rsidP="00C017CF">
      <w:pPr>
        <w:jc w:val="center"/>
        <w:rPr>
          <w:rFonts w:ascii="Verdana" w:hAnsi="Verdana"/>
          <w:sz w:val="20"/>
          <w:lang w:val="pt-BR"/>
        </w:rPr>
      </w:pPr>
      <w:r>
        <w:rPr>
          <w:rFonts w:ascii="Verdana" w:hAnsi="Verdana"/>
          <w:sz w:val="20"/>
          <w:lang w:val="pt-BR"/>
        </w:rPr>
        <w:t xml:space="preserve">                                                                                        Elizabeth Odio Benito</w:t>
      </w:r>
    </w:p>
    <w:p w14:paraId="5AEA75D4" w14:textId="77777777" w:rsidR="00C017CF" w:rsidRDefault="00C017CF" w:rsidP="00C017CF">
      <w:pPr>
        <w:ind w:firstLine="720"/>
        <w:rPr>
          <w:rFonts w:ascii="Verdana" w:hAnsi="Verdana"/>
          <w:sz w:val="20"/>
          <w:lang w:val="pt-BR"/>
        </w:rPr>
      </w:pPr>
      <w:r>
        <w:rPr>
          <w:rFonts w:ascii="Verdana" w:hAnsi="Verdana"/>
          <w:sz w:val="20"/>
          <w:lang w:val="pt-BR"/>
        </w:rPr>
        <w:t xml:space="preserve">    </w:t>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t xml:space="preserve">       Presidenta</w:t>
      </w:r>
    </w:p>
    <w:p w14:paraId="6FB73655" w14:textId="77777777" w:rsidR="00C017CF" w:rsidRDefault="00C017CF" w:rsidP="00C017CF">
      <w:pPr>
        <w:jc w:val="both"/>
        <w:rPr>
          <w:rFonts w:ascii="Verdana" w:hAnsi="Verdana"/>
          <w:sz w:val="20"/>
          <w:lang w:val="pt-BR"/>
        </w:rPr>
      </w:pPr>
    </w:p>
    <w:p w14:paraId="62AC3F6E" w14:textId="77777777" w:rsidR="00C017CF" w:rsidRDefault="00C017CF" w:rsidP="00C017CF">
      <w:pPr>
        <w:jc w:val="both"/>
        <w:rPr>
          <w:rFonts w:ascii="Verdana" w:hAnsi="Verdana"/>
          <w:sz w:val="20"/>
          <w:lang w:val="pt-BR"/>
        </w:rPr>
      </w:pPr>
    </w:p>
    <w:p w14:paraId="050A562D" w14:textId="77777777" w:rsidR="00C017CF" w:rsidRPr="00FC4051" w:rsidRDefault="00C017CF" w:rsidP="00C017CF">
      <w:pPr>
        <w:jc w:val="both"/>
        <w:rPr>
          <w:rFonts w:ascii="Verdana" w:hAnsi="Verdana"/>
          <w:sz w:val="20"/>
          <w:lang w:val="pt-BR"/>
        </w:rPr>
      </w:pPr>
    </w:p>
    <w:p w14:paraId="7898AF72" w14:textId="77777777" w:rsidR="00C017CF" w:rsidRPr="00FC4051" w:rsidRDefault="00C017CF" w:rsidP="00C017CF">
      <w:pPr>
        <w:jc w:val="both"/>
        <w:rPr>
          <w:rFonts w:ascii="Verdana" w:hAnsi="Verdana"/>
          <w:sz w:val="20"/>
          <w:lang w:val="pt-BR"/>
        </w:rPr>
      </w:pPr>
      <w:r w:rsidRPr="00FC4051">
        <w:rPr>
          <w:rFonts w:ascii="Verdana" w:hAnsi="Verdana"/>
          <w:sz w:val="20"/>
          <w:lang w:val="pt-BR"/>
        </w:rPr>
        <w:t>Pablo Saavedra Alessandri</w:t>
      </w:r>
    </w:p>
    <w:p w14:paraId="148FA3F9" w14:textId="77777777" w:rsidR="0092519E" w:rsidRDefault="00C017CF" w:rsidP="00C017CF">
      <w:r>
        <w:rPr>
          <w:rFonts w:ascii="Verdana" w:hAnsi="Verdana"/>
          <w:sz w:val="20"/>
          <w:lang w:val="pt-BR"/>
        </w:rPr>
        <w:t xml:space="preserve">          </w:t>
      </w:r>
      <w:r w:rsidRPr="0019261A">
        <w:rPr>
          <w:rFonts w:ascii="Verdana" w:hAnsi="Verdana"/>
          <w:sz w:val="20"/>
          <w:lang w:val="es-ES"/>
        </w:rPr>
        <w:t>Secret</w:t>
      </w:r>
      <w:r>
        <w:rPr>
          <w:rFonts w:ascii="Verdana" w:hAnsi="Verdana"/>
          <w:sz w:val="20"/>
          <w:lang w:val="es-ES"/>
        </w:rPr>
        <w:t>ario</w:t>
      </w:r>
    </w:p>
    <w:sectPr w:rsidR="0092519E">
      <w:headerReference w:type="default" r:id="rId8"/>
      <w:pgSz w:w="12240" w:h="15840"/>
      <w:pgMar w:top="1872" w:right="1872" w:bottom="1584" w:left="1872" w:header="706"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77712" w14:textId="77777777" w:rsidR="00D60B46" w:rsidRDefault="00D60B46">
      <w:r>
        <w:separator/>
      </w:r>
    </w:p>
  </w:endnote>
  <w:endnote w:type="continuationSeparator" w:id="0">
    <w:p w14:paraId="5E0E88E2" w14:textId="77777777" w:rsidR="00D60B46" w:rsidRDefault="00D60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Helvetica Neue">
    <w:altName w:val="Times New Roman"/>
    <w:charset w:val="00"/>
    <w:family w:val="roman"/>
    <w:pitch w:val="default"/>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24F29" w14:textId="77777777" w:rsidR="00D60B46" w:rsidRDefault="00D60B46">
      <w:r>
        <w:separator/>
      </w:r>
    </w:p>
  </w:footnote>
  <w:footnote w:type="continuationSeparator" w:id="0">
    <w:p w14:paraId="7CBBF400" w14:textId="77777777" w:rsidR="00D60B46" w:rsidRDefault="00D60B46">
      <w:r>
        <w:continuationSeparator/>
      </w:r>
    </w:p>
  </w:footnote>
  <w:footnote w:type="continuationNotice" w:id="1">
    <w:p w14:paraId="1D6FBA9A" w14:textId="77777777" w:rsidR="00D60B46" w:rsidRDefault="00D60B46"/>
  </w:footnote>
  <w:footnote w:id="2">
    <w:p w14:paraId="5F5D56ED" w14:textId="77777777" w:rsidR="0092519E" w:rsidRDefault="002A5A89" w:rsidP="00FF5F5C">
      <w:pPr>
        <w:pStyle w:val="Textonotapie"/>
        <w:jc w:val="both"/>
      </w:pPr>
      <w:r>
        <w:rPr>
          <w:rFonts w:ascii="Symbol" w:hAnsi="Symbol"/>
          <w:sz w:val="16"/>
          <w:szCs w:val="16"/>
          <w:vertAlign w:val="superscript"/>
        </w:rPr>
        <w:t></w:t>
      </w:r>
      <w:r>
        <w:rPr>
          <w:rFonts w:ascii="Verdana" w:eastAsia="Verdana" w:hAnsi="Verdana" w:cs="Verdana"/>
          <w:sz w:val="16"/>
          <w:szCs w:val="16"/>
        </w:rPr>
        <w:tab/>
      </w:r>
      <w:r w:rsidRPr="00FF5F5C">
        <w:rPr>
          <w:rFonts w:ascii="Verdana" w:hAnsi="Verdana"/>
          <w:spacing w:val="-4"/>
          <w:sz w:val="16"/>
          <w:szCs w:val="16"/>
        </w:rPr>
        <w:t xml:space="preserve">El </w:t>
      </w:r>
      <w:r w:rsidRPr="00FF5F5C">
        <w:rPr>
          <w:rFonts w:ascii="Verdana" w:hAnsi="Verdana"/>
          <w:sz w:val="16"/>
          <w:szCs w:val="16"/>
        </w:rPr>
        <w:t>Juez</w:t>
      </w:r>
      <w:r w:rsidRPr="00FF5F5C">
        <w:rPr>
          <w:rFonts w:ascii="Verdana" w:hAnsi="Verdana"/>
          <w:spacing w:val="-4"/>
          <w:sz w:val="16"/>
          <w:szCs w:val="16"/>
        </w:rPr>
        <w:t xml:space="preserve"> Eduardo Vio Grossi</w:t>
      </w:r>
      <w:r w:rsidR="00FF5F5C" w:rsidRPr="00FF5F5C">
        <w:rPr>
          <w:rFonts w:ascii="Verdana" w:hAnsi="Verdana"/>
          <w:spacing w:val="-4"/>
          <w:sz w:val="16"/>
          <w:szCs w:val="16"/>
        </w:rPr>
        <w:t xml:space="preserve"> y el Juez Eduardo Ferrer Mac-Gregor Poisot</w:t>
      </w:r>
      <w:r w:rsidRPr="00FF5F5C">
        <w:rPr>
          <w:rFonts w:ascii="Verdana" w:hAnsi="Verdana"/>
          <w:spacing w:val="-4"/>
          <w:sz w:val="16"/>
          <w:szCs w:val="16"/>
        </w:rPr>
        <w:t>,</w:t>
      </w:r>
      <w:r w:rsidRPr="00FF5F5C">
        <w:rPr>
          <w:rFonts w:ascii="Verdana" w:hAnsi="Verdana"/>
          <w:sz w:val="16"/>
          <w:szCs w:val="16"/>
        </w:rPr>
        <w:t xml:space="preserve"> por razones de fuerza mayor aceptadas por el </w:t>
      </w:r>
      <w:r w:rsidR="00FF5F5C">
        <w:rPr>
          <w:rFonts w:ascii="Verdana" w:hAnsi="Verdana"/>
          <w:sz w:val="16"/>
          <w:szCs w:val="16"/>
        </w:rPr>
        <w:t>Pleno del Tribunal, no participaron</w:t>
      </w:r>
      <w:r w:rsidRPr="00FF5F5C">
        <w:rPr>
          <w:rFonts w:ascii="Verdana" w:hAnsi="Verdana"/>
          <w:sz w:val="16"/>
          <w:szCs w:val="16"/>
        </w:rPr>
        <w:t xml:space="preserve"> en la deliberación y firma de la presente Resolución.</w:t>
      </w:r>
    </w:p>
  </w:footnote>
  <w:footnote w:id="3">
    <w:p w14:paraId="1ADCA83A" w14:textId="77777777" w:rsidR="0092519E" w:rsidRDefault="002A5A89">
      <w:pPr>
        <w:pStyle w:val="Textonotapie"/>
        <w:spacing w:before="120" w:after="120"/>
        <w:jc w:val="both"/>
      </w:pPr>
      <w:r>
        <w:rPr>
          <w:rFonts w:ascii="Verdana" w:eastAsia="Verdana" w:hAnsi="Verdana" w:cs="Verdana"/>
          <w:vertAlign w:val="superscript"/>
        </w:rPr>
        <w:footnoteRef/>
      </w:r>
      <w:r>
        <w:rPr>
          <w:rFonts w:ascii="Verdana" w:hAnsi="Verdana"/>
          <w:i/>
          <w:iCs/>
          <w:sz w:val="16"/>
          <w:szCs w:val="16"/>
        </w:rPr>
        <w:t xml:space="preserve"> </w:t>
      </w:r>
      <w:r>
        <w:rPr>
          <w:rFonts w:ascii="Verdana" w:hAnsi="Verdana"/>
          <w:i/>
          <w:iCs/>
          <w:sz w:val="16"/>
          <w:szCs w:val="16"/>
        </w:rPr>
        <w:tab/>
        <w:t xml:space="preserve">Cfr. Caso Herrera Ulloa respecto Costa Rica. Medidas Provisionales. </w:t>
      </w:r>
      <w:r>
        <w:rPr>
          <w:rFonts w:ascii="Verdana" w:hAnsi="Verdana"/>
          <w:sz w:val="16"/>
          <w:szCs w:val="16"/>
        </w:rPr>
        <w:t>Resolución de la Corte Interamericana de Derechos Humanos de 7 de septiembre de 2001</w:t>
      </w:r>
      <w:r w:rsidRPr="008F595C">
        <w:rPr>
          <w:rFonts w:ascii="Verdana" w:hAnsi="Verdana"/>
          <w:sz w:val="16"/>
          <w:szCs w:val="16"/>
          <w:lang w:val="es-CR"/>
        </w:rPr>
        <w:t xml:space="preserve">, </w:t>
      </w:r>
      <w:r>
        <w:rPr>
          <w:rFonts w:ascii="Verdana" w:hAnsi="Verdana"/>
          <w:sz w:val="16"/>
          <w:szCs w:val="16"/>
        </w:rPr>
        <w:t xml:space="preserve">Considerando 4, y </w:t>
      </w:r>
      <w:r>
        <w:rPr>
          <w:rFonts w:ascii="Verdana" w:hAnsi="Verdana"/>
          <w:i/>
          <w:iCs/>
          <w:sz w:val="16"/>
          <w:szCs w:val="16"/>
        </w:rPr>
        <w:t xml:space="preserve">Caso </w:t>
      </w:r>
      <w:proofErr w:type="spellStart"/>
      <w:r>
        <w:rPr>
          <w:rFonts w:ascii="Verdana" w:hAnsi="Verdana"/>
          <w:i/>
          <w:iCs/>
          <w:sz w:val="16"/>
          <w:szCs w:val="16"/>
        </w:rPr>
        <w:t>Cesti</w:t>
      </w:r>
      <w:proofErr w:type="spellEnd"/>
      <w:r>
        <w:rPr>
          <w:rFonts w:ascii="Verdana" w:hAnsi="Verdana"/>
          <w:i/>
          <w:iCs/>
          <w:sz w:val="16"/>
          <w:szCs w:val="16"/>
        </w:rPr>
        <w:t xml:space="preserve"> Hurtado respecto Perú</w:t>
      </w:r>
      <w:r>
        <w:rPr>
          <w:rFonts w:ascii="Verdana" w:hAnsi="Verdana"/>
          <w:sz w:val="16"/>
          <w:szCs w:val="16"/>
        </w:rPr>
        <w:t xml:space="preserve">. </w:t>
      </w:r>
      <w:r>
        <w:rPr>
          <w:rFonts w:ascii="Verdana" w:hAnsi="Verdana"/>
          <w:i/>
          <w:iCs/>
          <w:sz w:val="16"/>
          <w:szCs w:val="16"/>
        </w:rPr>
        <w:t xml:space="preserve">Solicitud de Medidas Provisionales y Supervisión de Cumplimiento de Sentencia. </w:t>
      </w:r>
      <w:r>
        <w:rPr>
          <w:rFonts w:ascii="Verdana" w:hAnsi="Verdana"/>
          <w:sz w:val="16"/>
          <w:szCs w:val="16"/>
        </w:rPr>
        <w:t>Resolución de la Corte Interamericana de Derechos Humanos de 14 de octubre de 2019</w:t>
      </w:r>
      <w:r w:rsidRPr="008F595C">
        <w:rPr>
          <w:rFonts w:ascii="Verdana" w:hAnsi="Verdana"/>
          <w:sz w:val="16"/>
          <w:szCs w:val="16"/>
          <w:lang w:val="es-CR"/>
        </w:rPr>
        <w:t>,</w:t>
      </w:r>
      <w:r>
        <w:rPr>
          <w:rFonts w:ascii="Verdana" w:hAnsi="Verdana"/>
          <w:sz w:val="16"/>
          <w:szCs w:val="16"/>
        </w:rPr>
        <w:t xml:space="preserve"> Considerando </w:t>
      </w:r>
      <w:r w:rsidRPr="008F595C">
        <w:rPr>
          <w:rFonts w:ascii="Verdana" w:hAnsi="Verdana"/>
          <w:sz w:val="16"/>
          <w:szCs w:val="16"/>
          <w:lang w:val="es-CR"/>
        </w:rPr>
        <w:t>19</w:t>
      </w:r>
      <w:r>
        <w:rPr>
          <w:rFonts w:ascii="Verdana" w:hAnsi="Verdana"/>
          <w:sz w:val="16"/>
          <w:szCs w:val="16"/>
        </w:rPr>
        <w:t>.</w:t>
      </w:r>
    </w:p>
  </w:footnote>
  <w:footnote w:id="4">
    <w:p w14:paraId="1E2E82A7" w14:textId="77777777" w:rsidR="0092519E" w:rsidRDefault="002A5A89">
      <w:pPr>
        <w:pStyle w:val="Textonotapie"/>
        <w:spacing w:before="120" w:after="120"/>
        <w:jc w:val="both"/>
      </w:pPr>
      <w:r>
        <w:rPr>
          <w:rFonts w:ascii="Verdana" w:eastAsia="Verdana" w:hAnsi="Verdana" w:cs="Verdana"/>
          <w:vertAlign w:val="superscript"/>
        </w:rPr>
        <w:footnoteRef/>
      </w:r>
      <w:r>
        <w:rPr>
          <w:rFonts w:ascii="Verdana" w:hAnsi="Verdana"/>
          <w:spacing w:val="-12"/>
          <w:sz w:val="16"/>
          <w:szCs w:val="16"/>
        </w:rPr>
        <w:t xml:space="preserve"> </w:t>
      </w:r>
      <w:r>
        <w:rPr>
          <w:rFonts w:ascii="Verdana" w:hAnsi="Verdana"/>
          <w:spacing w:val="-12"/>
          <w:sz w:val="16"/>
          <w:szCs w:val="16"/>
        </w:rPr>
        <w:tab/>
      </w:r>
      <w:r>
        <w:rPr>
          <w:rFonts w:ascii="Verdana" w:hAnsi="Verdana"/>
          <w:i/>
          <w:iCs/>
          <w:spacing w:val="-12"/>
          <w:sz w:val="16"/>
          <w:szCs w:val="16"/>
        </w:rPr>
        <w:t>Cfr. Asunto James y otros respecto de Trinidad y Tobago</w:t>
      </w:r>
      <w:r>
        <w:rPr>
          <w:rFonts w:ascii="Verdana" w:hAnsi="Verdana"/>
          <w:spacing w:val="-12"/>
          <w:sz w:val="16"/>
          <w:szCs w:val="16"/>
        </w:rPr>
        <w:t xml:space="preserve">. </w:t>
      </w:r>
      <w:r>
        <w:rPr>
          <w:rFonts w:ascii="Verdana" w:hAnsi="Verdana"/>
          <w:i/>
          <w:iCs/>
          <w:spacing w:val="-12"/>
          <w:sz w:val="16"/>
          <w:szCs w:val="16"/>
        </w:rPr>
        <w:t xml:space="preserve">Medidas Provisionales. </w:t>
      </w:r>
      <w:r>
        <w:rPr>
          <w:rFonts w:ascii="Verdana" w:hAnsi="Verdana"/>
          <w:spacing w:val="-12"/>
          <w:sz w:val="16"/>
          <w:szCs w:val="16"/>
        </w:rPr>
        <w:t xml:space="preserve">Resolución de la Corte Interamericana de Derechos Humanos de 29 de agosto de 1998, Considerando </w:t>
      </w:r>
      <w:r w:rsidRPr="008F595C">
        <w:rPr>
          <w:rFonts w:ascii="Verdana" w:hAnsi="Verdana"/>
          <w:spacing w:val="-12"/>
          <w:sz w:val="16"/>
          <w:szCs w:val="16"/>
          <w:lang w:val="es-CR"/>
        </w:rPr>
        <w:t>6</w:t>
      </w:r>
      <w:r>
        <w:rPr>
          <w:rFonts w:ascii="Verdana" w:hAnsi="Verdana"/>
          <w:spacing w:val="-12"/>
          <w:sz w:val="16"/>
          <w:szCs w:val="16"/>
        </w:rPr>
        <w:t xml:space="preserve">, y </w:t>
      </w:r>
      <w:r>
        <w:rPr>
          <w:rFonts w:ascii="Verdana" w:hAnsi="Verdana"/>
          <w:i/>
          <w:iCs/>
          <w:spacing w:val="-12"/>
          <w:sz w:val="16"/>
          <w:szCs w:val="16"/>
        </w:rPr>
        <w:t xml:space="preserve">Caso Romero </w:t>
      </w:r>
      <w:proofErr w:type="spellStart"/>
      <w:r>
        <w:rPr>
          <w:rFonts w:ascii="Verdana" w:hAnsi="Verdana"/>
          <w:i/>
          <w:iCs/>
          <w:spacing w:val="-12"/>
          <w:sz w:val="16"/>
          <w:szCs w:val="16"/>
        </w:rPr>
        <w:t>Feris</w:t>
      </w:r>
      <w:proofErr w:type="spellEnd"/>
      <w:r>
        <w:rPr>
          <w:rFonts w:ascii="Verdana" w:hAnsi="Verdana"/>
          <w:i/>
          <w:iCs/>
          <w:spacing w:val="-12"/>
          <w:sz w:val="16"/>
          <w:szCs w:val="16"/>
        </w:rPr>
        <w:t xml:space="preserve"> Vs. Argentina. Solicitud de Medidas Provisionales. </w:t>
      </w:r>
      <w:r>
        <w:rPr>
          <w:rFonts w:ascii="Verdana" w:hAnsi="Verdana"/>
          <w:spacing w:val="-12"/>
          <w:sz w:val="16"/>
          <w:szCs w:val="16"/>
        </w:rPr>
        <w:t xml:space="preserve">Resolución del Presidente de la Corte Interamericana de Derechos Humanos de 22 de agosto de 2018, Considerando </w:t>
      </w:r>
      <w:r w:rsidRPr="008F595C">
        <w:rPr>
          <w:rFonts w:ascii="Verdana" w:hAnsi="Verdana"/>
          <w:spacing w:val="-12"/>
          <w:sz w:val="16"/>
          <w:szCs w:val="16"/>
          <w:lang w:val="es-CR"/>
        </w:rPr>
        <w:t>2</w:t>
      </w:r>
      <w:r>
        <w:rPr>
          <w:rFonts w:ascii="Verdana" w:hAnsi="Verdana"/>
          <w:spacing w:val="-12"/>
          <w:sz w:val="16"/>
          <w:szCs w:val="16"/>
        </w:rPr>
        <w:t>.</w:t>
      </w:r>
    </w:p>
  </w:footnote>
  <w:footnote w:id="5">
    <w:p w14:paraId="79570260" w14:textId="77777777" w:rsidR="0092519E" w:rsidRDefault="002A5A89">
      <w:pPr>
        <w:pStyle w:val="Textonotapie"/>
        <w:spacing w:before="120" w:after="120"/>
        <w:jc w:val="both"/>
      </w:pPr>
      <w:r>
        <w:rPr>
          <w:rFonts w:ascii="Verdana" w:eastAsia="Verdana" w:hAnsi="Verdana" w:cs="Verdana"/>
          <w:vertAlign w:val="superscript"/>
        </w:rPr>
        <w:footnoteRef/>
      </w:r>
      <w:r>
        <w:rPr>
          <w:rFonts w:ascii="Verdana" w:hAnsi="Verdana"/>
          <w:spacing w:val="-12"/>
          <w:sz w:val="16"/>
          <w:szCs w:val="16"/>
        </w:rPr>
        <w:t xml:space="preserve"> </w:t>
      </w:r>
      <w:r>
        <w:rPr>
          <w:rFonts w:ascii="Verdana" w:hAnsi="Verdana"/>
          <w:spacing w:val="-12"/>
          <w:sz w:val="16"/>
          <w:szCs w:val="16"/>
        </w:rPr>
        <w:tab/>
      </w:r>
      <w:r>
        <w:rPr>
          <w:rFonts w:ascii="Verdana" w:hAnsi="Verdana"/>
          <w:i/>
          <w:iCs/>
          <w:spacing w:val="-12"/>
          <w:sz w:val="16"/>
          <w:szCs w:val="16"/>
        </w:rPr>
        <w:t xml:space="preserve">Cfr. Asuntos Internado Judicial de Monagas (“La Pica”); Centro Penitenciario Región Capital Yare I y Yare II (Cárcel de Yare); Centro Penitenciario de la Región Centro Occidental (Cárcel de </w:t>
      </w:r>
      <w:proofErr w:type="spellStart"/>
      <w:r>
        <w:rPr>
          <w:rFonts w:ascii="Verdana" w:hAnsi="Verdana"/>
          <w:i/>
          <w:iCs/>
          <w:spacing w:val="-12"/>
          <w:sz w:val="16"/>
          <w:szCs w:val="16"/>
        </w:rPr>
        <w:t>Uribana</w:t>
      </w:r>
      <w:proofErr w:type="spellEnd"/>
      <w:r>
        <w:rPr>
          <w:rFonts w:ascii="Verdana" w:hAnsi="Verdana"/>
          <w:i/>
          <w:iCs/>
          <w:spacing w:val="-12"/>
          <w:sz w:val="16"/>
          <w:szCs w:val="16"/>
        </w:rPr>
        <w:t>), e Internado Judicial Capital El Rodeo I y el Rodeo II</w:t>
      </w:r>
      <w:r w:rsidRPr="008F595C">
        <w:rPr>
          <w:rFonts w:ascii="Verdana" w:hAnsi="Verdana"/>
          <w:i/>
          <w:iCs/>
          <w:spacing w:val="-12"/>
          <w:sz w:val="16"/>
          <w:szCs w:val="16"/>
          <w:lang w:val="es-CR"/>
        </w:rPr>
        <w:t>.</w:t>
      </w:r>
      <w:r>
        <w:rPr>
          <w:rFonts w:ascii="Verdana" w:hAnsi="Verdana"/>
          <w:i/>
          <w:iCs/>
          <w:spacing w:val="-12"/>
          <w:sz w:val="16"/>
          <w:szCs w:val="16"/>
        </w:rPr>
        <w:t xml:space="preserve"> Medidas Provisionales</w:t>
      </w:r>
      <w:r>
        <w:t xml:space="preserve"> </w:t>
      </w:r>
      <w:r>
        <w:rPr>
          <w:rFonts w:ascii="Verdana" w:hAnsi="Verdana"/>
          <w:i/>
          <w:iCs/>
          <w:spacing w:val="-12"/>
          <w:sz w:val="16"/>
          <w:szCs w:val="16"/>
        </w:rPr>
        <w:t xml:space="preserve">respecto de </w:t>
      </w:r>
      <w:proofErr w:type="gramStart"/>
      <w:r>
        <w:rPr>
          <w:rFonts w:ascii="Verdana" w:hAnsi="Verdana"/>
          <w:i/>
          <w:iCs/>
          <w:spacing w:val="-12"/>
          <w:sz w:val="16"/>
          <w:szCs w:val="16"/>
        </w:rPr>
        <w:t>Venezuela</w:t>
      </w:r>
      <w:r>
        <w:rPr>
          <w:rFonts w:ascii="Verdana" w:hAnsi="Verdana"/>
          <w:spacing w:val="-12"/>
          <w:sz w:val="16"/>
          <w:szCs w:val="16"/>
        </w:rPr>
        <w:t>.</w:t>
      </w:r>
      <w:r>
        <w:rPr>
          <w:rFonts w:ascii="Verdana" w:hAnsi="Verdana"/>
          <w:i/>
          <w:iCs/>
          <w:spacing w:val="-12"/>
          <w:sz w:val="16"/>
          <w:szCs w:val="16"/>
        </w:rPr>
        <w:t>.</w:t>
      </w:r>
      <w:proofErr w:type="gramEnd"/>
      <w:r>
        <w:rPr>
          <w:rFonts w:ascii="Verdana" w:hAnsi="Verdana"/>
          <w:i/>
          <w:iCs/>
          <w:spacing w:val="-12"/>
          <w:sz w:val="16"/>
          <w:szCs w:val="16"/>
        </w:rPr>
        <w:t xml:space="preserve"> </w:t>
      </w:r>
      <w:r>
        <w:rPr>
          <w:rFonts w:ascii="Verdana" w:hAnsi="Verdana"/>
          <w:spacing w:val="-12"/>
          <w:sz w:val="16"/>
          <w:szCs w:val="16"/>
        </w:rPr>
        <w:t xml:space="preserve">Resolución de la Corte Interamericana de Derechos Humanos de 24 de noviembre de 2009, Considerando </w:t>
      </w:r>
      <w:r w:rsidRPr="008F595C">
        <w:rPr>
          <w:rFonts w:ascii="Verdana" w:hAnsi="Verdana"/>
          <w:spacing w:val="-12"/>
          <w:sz w:val="16"/>
          <w:szCs w:val="16"/>
          <w:lang w:val="es-CR"/>
        </w:rPr>
        <w:t>3</w:t>
      </w:r>
      <w:r>
        <w:rPr>
          <w:rFonts w:ascii="Verdana" w:hAnsi="Verdana"/>
          <w:spacing w:val="-12"/>
          <w:sz w:val="16"/>
          <w:szCs w:val="16"/>
        </w:rPr>
        <w:t xml:space="preserve">, y </w:t>
      </w:r>
      <w:r>
        <w:rPr>
          <w:rFonts w:ascii="Verdana" w:hAnsi="Verdana"/>
          <w:i/>
          <w:iCs/>
          <w:spacing w:val="-12"/>
          <w:sz w:val="16"/>
          <w:szCs w:val="16"/>
        </w:rPr>
        <w:t>Asunto Integrantes del Centro Nicaragüense de Derechos Humanos y de la Comisión Permanente de Derechos Humanos (CENIDH-CPDH) respecto de Nicaragua. Medidas Provisionales.</w:t>
      </w:r>
      <w:r>
        <w:rPr>
          <w:rFonts w:ascii="Verdana" w:hAnsi="Verdana"/>
          <w:spacing w:val="-12"/>
          <w:sz w:val="16"/>
          <w:szCs w:val="16"/>
        </w:rPr>
        <w:t xml:space="preserve"> Resolución de la Corte Interamericana de Derechos Humanos de 14 de octubre de 2019., Considerando </w:t>
      </w:r>
      <w:r w:rsidRPr="008F595C">
        <w:rPr>
          <w:rFonts w:ascii="Verdana" w:hAnsi="Verdana"/>
          <w:spacing w:val="-12"/>
          <w:sz w:val="16"/>
          <w:szCs w:val="16"/>
          <w:lang w:val="es-CR"/>
        </w:rPr>
        <w:t>28</w:t>
      </w:r>
      <w:r>
        <w:rPr>
          <w:rFonts w:ascii="Verdana" w:hAnsi="Verdana"/>
          <w:spacing w:val="-12"/>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7B3D4" w14:textId="77777777" w:rsidR="0092519E" w:rsidRDefault="002A5A89" w:rsidP="00447B1D">
    <w:pPr>
      <w:pStyle w:val="Encabezado"/>
      <w:tabs>
        <w:tab w:val="clear" w:pos="8640"/>
        <w:tab w:val="right" w:pos="8476"/>
      </w:tabs>
      <w:jc w:val="center"/>
    </w:pPr>
    <w:r>
      <w:rPr>
        <w:rFonts w:ascii="Verdana" w:hAnsi="Verdana"/>
        <w:sz w:val="20"/>
        <w:szCs w:val="20"/>
      </w:rPr>
      <w:t>-</w:t>
    </w:r>
    <w:r>
      <w:rPr>
        <w:rFonts w:ascii="Verdana" w:eastAsia="Verdana" w:hAnsi="Verdana" w:cs="Verdana"/>
        <w:sz w:val="20"/>
        <w:szCs w:val="20"/>
      </w:rPr>
      <w:fldChar w:fldCharType="begin"/>
    </w:r>
    <w:r>
      <w:rPr>
        <w:rFonts w:ascii="Verdana" w:eastAsia="Verdana" w:hAnsi="Verdana" w:cs="Verdana"/>
        <w:sz w:val="20"/>
        <w:szCs w:val="20"/>
      </w:rPr>
      <w:instrText xml:space="preserve"> PAGE </w:instrText>
    </w:r>
    <w:r>
      <w:rPr>
        <w:rFonts w:ascii="Verdana" w:eastAsia="Verdana" w:hAnsi="Verdana" w:cs="Verdana"/>
        <w:sz w:val="20"/>
        <w:szCs w:val="20"/>
      </w:rPr>
      <w:fldChar w:fldCharType="separate"/>
    </w:r>
    <w:r w:rsidR="0041107F">
      <w:rPr>
        <w:rFonts w:ascii="Verdana" w:eastAsia="Verdana" w:hAnsi="Verdana" w:cs="Verdana"/>
        <w:noProof/>
        <w:sz w:val="20"/>
        <w:szCs w:val="20"/>
      </w:rPr>
      <w:t>4</w:t>
    </w:r>
    <w:r>
      <w:rPr>
        <w:rFonts w:ascii="Verdana" w:eastAsia="Verdana" w:hAnsi="Verdana" w:cs="Verdana"/>
        <w:sz w:val="20"/>
        <w:szCs w:val="20"/>
      </w:rPr>
      <w:fldChar w:fldCharType="end"/>
    </w:r>
    <w:r>
      <w:rPr>
        <w:rFonts w:ascii="Verdana" w:hAnsi="Verdana"/>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52625"/>
    <w:multiLevelType w:val="hybridMultilevel"/>
    <w:tmpl w:val="8620E062"/>
    <w:numStyleLink w:val="ImportedStyle2"/>
  </w:abstractNum>
  <w:abstractNum w:abstractNumId="1" w15:restartNumberingAfterBreak="0">
    <w:nsid w:val="307E7B98"/>
    <w:multiLevelType w:val="hybridMultilevel"/>
    <w:tmpl w:val="8620E062"/>
    <w:styleLink w:val="ImportedStyle2"/>
    <w:lvl w:ilvl="0" w:tplc="9C76EA22">
      <w:start w:val="1"/>
      <w:numFmt w:val="decimal"/>
      <w:lvlText w:val="%1."/>
      <w:lvlJc w:val="left"/>
      <w:pPr>
        <w:ind w:left="708" w:hanging="70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A15AA382">
      <w:start w:val="1"/>
      <w:numFmt w:val="decimal"/>
      <w:lvlText w:val="%2."/>
      <w:lvlJc w:val="left"/>
      <w:pPr>
        <w:ind w:left="10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57DE3372">
      <w:start w:val="1"/>
      <w:numFmt w:val="lowerLetter"/>
      <w:lvlText w:val="%3."/>
      <w:lvlJc w:val="left"/>
      <w:pPr>
        <w:ind w:left="19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FB860E00">
      <w:start w:val="1"/>
      <w:numFmt w:val="lowerLetter"/>
      <w:lvlText w:val="%4)"/>
      <w:lvlJc w:val="left"/>
      <w:pPr>
        <w:ind w:left="10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9176DC5A">
      <w:start w:val="1"/>
      <w:numFmt w:val="lowerLetter"/>
      <w:lvlText w:val="%5."/>
      <w:lvlJc w:val="left"/>
      <w:pPr>
        <w:ind w:left="32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15F23656">
      <w:start w:val="1"/>
      <w:numFmt w:val="lowerRoman"/>
      <w:lvlText w:val="%6."/>
      <w:lvlJc w:val="left"/>
      <w:pPr>
        <w:ind w:left="3960" w:hanging="30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E4E81D92">
      <w:start w:val="1"/>
      <w:numFmt w:val="decimal"/>
      <w:lvlText w:val="%7."/>
      <w:lvlJc w:val="left"/>
      <w:pPr>
        <w:ind w:left="46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D5F844A8">
      <w:start w:val="1"/>
      <w:numFmt w:val="lowerLetter"/>
      <w:lvlText w:val="%8."/>
      <w:lvlJc w:val="left"/>
      <w:pPr>
        <w:ind w:left="540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6784979E">
      <w:start w:val="1"/>
      <w:numFmt w:val="lowerRoman"/>
      <w:lvlText w:val="%9."/>
      <w:lvlJc w:val="left"/>
      <w:pPr>
        <w:ind w:left="6120" w:hanging="30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F5F7C6C"/>
    <w:multiLevelType w:val="hybridMultilevel"/>
    <w:tmpl w:val="01A2E94E"/>
    <w:styleLink w:val="ImportedStyle3"/>
    <w:lvl w:ilvl="0" w:tplc="F55A4582">
      <w:start w:val="1"/>
      <w:numFmt w:val="decimal"/>
      <w:lvlText w:val="%1."/>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1" w:tplc="0A2ECCC6">
      <w:start w:val="1"/>
      <w:numFmt w:val="lowerLetter"/>
      <w:lvlText w:val="%2."/>
      <w:lvlJc w:val="left"/>
      <w:pPr>
        <w:ind w:left="696"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73027B88">
      <w:start w:val="1"/>
      <w:numFmt w:val="lowerRoman"/>
      <w:lvlText w:val="%3."/>
      <w:lvlJc w:val="left"/>
      <w:pPr>
        <w:ind w:left="1095" w:hanging="631"/>
      </w:pPr>
      <w:rPr>
        <w:rFonts w:hAnsi="Arial Unicode MS"/>
        <w:caps w:val="0"/>
        <w:smallCaps w:val="0"/>
        <w:strike w:val="0"/>
        <w:dstrike w:val="0"/>
        <w:outline w:val="0"/>
        <w:emboss w:val="0"/>
        <w:imprint w:val="0"/>
        <w:spacing w:val="0"/>
        <w:w w:val="100"/>
        <w:kern w:val="0"/>
        <w:position w:val="0"/>
        <w:highlight w:val="none"/>
        <w:vertAlign w:val="baseline"/>
      </w:rPr>
    </w:lvl>
    <w:lvl w:ilvl="3" w:tplc="A0045E2E">
      <w:start w:val="1"/>
      <w:numFmt w:val="decimal"/>
      <w:lvlText w:val="%4."/>
      <w:lvlJc w:val="left"/>
      <w:pPr>
        <w:ind w:left="1815"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98B84744">
      <w:start w:val="1"/>
      <w:numFmt w:val="lowerLetter"/>
      <w:lvlText w:val="%5."/>
      <w:lvlJc w:val="left"/>
      <w:pPr>
        <w:ind w:left="2535"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6242FE06">
      <w:start w:val="1"/>
      <w:numFmt w:val="lowerRoman"/>
      <w:lvlText w:val="%6."/>
      <w:lvlJc w:val="left"/>
      <w:pPr>
        <w:ind w:left="3255" w:hanging="595"/>
      </w:pPr>
      <w:rPr>
        <w:rFonts w:hAnsi="Arial Unicode MS"/>
        <w:caps w:val="0"/>
        <w:smallCaps w:val="0"/>
        <w:strike w:val="0"/>
        <w:dstrike w:val="0"/>
        <w:outline w:val="0"/>
        <w:emboss w:val="0"/>
        <w:imprint w:val="0"/>
        <w:spacing w:val="0"/>
        <w:w w:val="100"/>
        <w:kern w:val="0"/>
        <w:position w:val="0"/>
        <w:highlight w:val="none"/>
        <w:vertAlign w:val="baseline"/>
      </w:rPr>
    </w:lvl>
    <w:lvl w:ilvl="6" w:tplc="DB363A72">
      <w:start w:val="1"/>
      <w:numFmt w:val="decimal"/>
      <w:lvlText w:val="%7."/>
      <w:lvlJc w:val="left"/>
      <w:pPr>
        <w:ind w:left="3975"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9CAAA2F4">
      <w:start w:val="1"/>
      <w:numFmt w:val="lowerLetter"/>
      <w:lvlText w:val="%8."/>
      <w:lvlJc w:val="left"/>
      <w:pPr>
        <w:ind w:left="4695"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DD9AF7A4">
      <w:start w:val="1"/>
      <w:numFmt w:val="lowerRoman"/>
      <w:lvlText w:val="%9."/>
      <w:lvlJc w:val="left"/>
      <w:pPr>
        <w:ind w:left="5415" w:hanging="55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5B33DD0"/>
    <w:multiLevelType w:val="hybridMultilevel"/>
    <w:tmpl w:val="11987250"/>
    <w:styleLink w:val="ImportedStyle1"/>
    <w:lvl w:ilvl="0" w:tplc="FD2AF304">
      <w:start w:val="1"/>
      <w:numFmt w:val="decimal"/>
      <w:lvlText w:val="%1."/>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1" w:tplc="63E6E8CE">
      <w:start w:val="1"/>
      <w:numFmt w:val="lowerLetter"/>
      <w:lvlText w:val="%2."/>
      <w:lvlJc w:val="left"/>
      <w:pPr>
        <w:ind w:left="696"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E160B7E4">
      <w:start w:val="1"/>
      <w:numFmt w:val="lowerRoman"/>
      <w:lvlText w:val="%3."/>
      <w:lvlJc w:val="left"/>
      <w:pPr>
        <w:ind w:left="1095" w:hanging="631"/>
      </w:pPr>
      <w:rPr>
        <w:rFonts w:hAnsi="Arial Unicode MS"/>
        <w:caps w:val="0"/>
        <w:smallCaps w:val="0"/>
        <w:strike w:val="0"/>
        <w:dstrike w:val="0"/>
        <w:outline w:val="0"/>
        <w:emboss w:val="0"/>
        <w:imprint w:val="0"/>
        <w:spacing w:val="0"/>
        <w:w w:val="100"/>
        <w:kern w:val="0"/>
        <w:position w:val="0"/>
        <w:highlight w:val="none"/>
        <w:vertAlign w:val="baseline"/>
      </w:rPr>
    </w:lvl>
    <w:lvl w:ilvl="3" w:tplc="4C2CC548">
      <w:start w:val="1"/>
      <w:numFmt w:val="decimal"/>
      <w:lvlText w:val="%4."/>
      <w:lvlJc w:val="left"/>
      <w:pPr>
        <w:ind w:left="1815"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12A6B62C">
      <w:start w:val="1"/>
      <w:numFmt w:val="lowerLetter"/>
      <w:lvlText w:val="%5."/>
      <w:lvlJc w:val="left"/>
      <w:pPr>
        <w:ind w:left="2535"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5A76B444">
      <w:start w:val="1"/>
      <w:numFmt w:val="lowerRoman"/>
      <w:lvlText w:val="%6."/>
      <w:lvlJc w:val="left"/>
      <w:pPr>
        <w:ind w:left="3255" w:hanging="595"/>
      </w:pPr>
      <w:rPr>
        <w:rFonts w:hAnsi="Arial Unicode MS"/>
        <w:caps w:val="0"/>
        <w:smallCaps w:val="0"/>
        <w:strike w:val="0"/>
        <w:dstrike w:val="0"/>
        <w:outline w:val="0"/>
        <w:emboss w:val="0"/>
        <w:imprint w:val="0"/>
        <w:spacing w:val="0"/>
        <w:w w:val="100"/>
        <w:kern w:val="0"/>
        <w:position w:val="0"/>
        <w:highlight w:val="none"/>
        <w:vertAlign w:val="baseline"/>
      </w:rPr>
    </w:lvl>
    <w:lvl w:ilvl="6" w:tplc="1E923FF6">
      <w:start w:val="1"/>
      <w:numFmt w:val="decimal"/>
      <w:lvlText w:val="%7."/>
      <w:lvlJc w:val="left"/>
      <w:pPr>
        <w:ind w:left="3975"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2F145D92">
      <w:start w:val="1"/>
      <w:numFmt w:val="lowerLetter"/>
      <w:lvlText w:val="%8."/>
      <w:lvlJc w:val="left"/>
      <w:pPr>
        <w:ind w:left="4695"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328450FA">
      <w:start w:val="1"/>
      <w:numFmt w:val="lowerRoman"/>
      <w:lvlText w:val="%9."/>
      <w:lvlJc w:val="left"/>
      <w:pPr>
        <w:ind w:left="5415" w:hanging="55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C6C410D"/>
    <w:multiLevelType w:val="hybridMultilevel"/>
    <w:tmpl w:val="11987250"/>
    <w:numStyleLink w:val="ImportedStyle1"/>
  </w:abstractNum>
  <w:abstractNum w:abstractNumId="5" w15:restartNumberingAfterBreak="0">
    <w:nsid w:val="7DEA5EF0"/>
    <w:multiLevelType w:val="hybridMultilevel"/>
    <w:tmpl w:val="01A2E94E"/>
    <w:numStyleLink w:val="ImportedStyle3"/>
  </w:abstractNum>
  <w:num w:numId="1">
    <w:abstractNumId w:val="3"/>
  </w:num>
  <w:num w:numId="2">
    <w:abstractNumId w:val="4"/>
  </w:num>
  <w:num w:numId="3">
    <w:abstractNumId w:val="1"/>
  </w:num>
  <w:num w:numId="4">
    <w:abstractNumId w:val="0"/>
  </w:num>
  <w:num w:numId="5">
    <w:abstractNumId w:val="0"/>
    <w:lvlOverride w:ilvl="0">
      <w:lvl w:ilvl="0" w:tplc="8306EBAA">
        <w:start w:val="1"/>
        <w:numFmt w:val="decimal"/>
        <w:lvlText w:val="%1."/>
        <w:lvlJc w:val="left"/>
        <w:pPr>
          <w:ind w:left="720" w:hanging="72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672C980">
        <w:start w:val="1"/>
        <w:numFmt w:val="decimal"/>
        <w:lvlText w:val="%2."/>
        <w:lvlJc w:val="left"/>
        <w:pPr>
          <w:tabs>
            <w:tab w:val="left" w:pos="720"/>
          </w:tabs>
          <w:ind w:left="10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35C0CB8">
        <w:start w:val="1"/>
        <w:numFmt w:val="lowerLetter"/>
        <w:lvlText w:val="%3."/>
        <w:lvlJc w:val="left"/>
        <w:pPr>
          <w:tabs>
            <w:tab w:val="left" w:pos="720"/>
          </w:tabs>
          <w:ind w:left="19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FB6AC0E">
        <w:start w:val="1"/>
        <w:numFmt w:val="lowerLetter"/>
        <w:lvlText w:val="%4)"/>
        <w:lvlJc w:val="left"/>
        <w:pPr>
          <w:tabs>
            <w:tab w:val="left" w:pos="720"/>
          </w:tabs>
          <w:ind w:left="10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194D46C">
        <w:start w:val="1"/>
        <w:numFmt w:val="lowerLetter"/>
        <w:lvlText w:val="%5."/>
        <w:lvlJc w:val="left"/>
        <w:pPr>
          <w:tabs>
            <w:tab w:val="left" w:pos="720"/>
          </w:tabs>
          <w:ind w:left="32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6127644">
        <w:start w:val="1"/>
        <w:numFmt w:val="lowerRoman"/>
        <w:lvlText w:val="%6."/>
        <w:lvlJc w:val="left"/>
        <w:pPr>
          <w:tabs>
            <w:tab w:val="left" w:pos="720"/>
          </w:tabs>
          <w:ind w:left="3960" w:hanging="32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4C0FDCE">
        <w:start w:val="1"/>
        <w:numFmt w:val="decimal"/>
        <w:lvlText w:val="%7."/>
        <w:lvlJc w:val="left"/>
        <w:pPr>
          <w:tabs>
            <w:tab w:val="left" w:pos="720"/>
          </w:tabs>
          <w:ind w:left="46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93E716E">
        <w:start w:val="1"/>
        <w:numFmt w:val="lowerLetter"/>
        <w:lvlText w:val="%8."/>
        <w:lvlJc w:val="left"/>
        <w:pPr>
          <w:tabs>
            <w:tab w:val="left" w:pos="720"/>
          </w:tabs>
          <w:ind w:left="540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AE4882C">
        <w:start w:val="1"/>
        <w:numFmt w:val="lowerRoman"/>
        <w:lvlText w:val="%9."/>
        <w:lvlJc w:val="left"/>
        <w:pPr>
          <w:tabs>
            <w:tab w:val="left" w:pos="720"/>
          </w:tabs>
          <w:ind w:left="6120" w:hanging="32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displayBackgroundShape/>
  <w:proofState w:spelling="clean" w:grammar="clean"/>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19E"/>
    <w:rsid w:val="001920C9"/>
    <w:rsid w:val="002422C5"/>
    <w:rsid w:val="002A5A89"/>
    <w:rsid w:val="003A7E14"/>
    <w:rsid w:val="0041107F"/>
    <w:rsid w:val="00447B1D"/>
    <w:rsid w:val="00574CB1"/>
    <w:rsid w:val="006928E6"/>
    <w:rsid w:val="006D607F"/>
    <w:rsid w:val="00723FCF"/>
    <w:rsid w:val="008F595C"/>
    <w:rsid w:val="0092519E"/>
    <w:rsid w:val="00C017CF"/>
    <w:rsid w:val="00CD77F4"/>
    <w:rsid w:val="00D60B46"/>
    <w:rsid w:val="00EC38EC"/>
    <w:rsid w:val="00FF5F5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F6EDA"/>
  <w15:docId w15:val="{B14CAE7B-FDB9-4983-BFF1-35012EFFD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s-CR" w:eastAsia="es-C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eastAsia="Times New Roman"/>
      <w:color w:val="000000"/>
      <w:sz w:val="24"/>
      <w:szCs w:val="24"/>
      <w:u w:color="000000"/>
      <w:lang w:val="es-ES_tradnl"/>
      <w14:textOutline w14:w="0" w14:cap="flat" w14:cmpd="sng" w14:algn="ctr">
        <w14:noFill/>
        <w14:prstDash w14:val="solid"/>
        <w14:bevel/>
      </w14:textOutline>
    </w:rPr>
  </w:style>
  <w:style w:type="paragraph" w:styleId="Ttulo1">
    <w:name w:val="heading 1"/>
    <w:next w:val="Normal"/>
    <w:pPr>
      <w:keepNext/>
      <w:jc w:val="center"/>
      <w:outlineLvl w:val="0"/>
    </w:pPr>
    <w:rPr>
      <w:rFonts w:ascii="Verdana" w:hAnsi="Verdana" w:cs="Arial Unicode MS"/>
      <w:b/>
      <w:bCs/>
      <w:color w:val="000000"/>
      <w:u w:color="000000"/>
      <w:lang w:val="es-ES_tradnl"/>
      <w14:textOutline w14:w="0" w14:cap="flat" w14:cmpd="sng" w14:algn="ctr">
        <w14:noFill/>
        <w14:prstDash w14:val="solid"/>
        <w14:bevel/>
      </w14:textOutli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Encabezado">
    <w:name w:val="header"/>
    <w:pPr>
      <w:tabs>
        <w:tab w:val="center" w:pos="4320"/>
        <w:tab w:val="right" w:pos="8640"/>
      </w:tabs>
    </w:pPr>
    <w:rPr>
      <w:rFonts w:ascii="Garamond" w:hAnsi="Garamond" w:cs="Arial Unicode MS"/>
      <w:color w:val="000000"/>
      <w:sz w:val="24"/>
      <w:szCs w:val="24"/>
      <w:u w:color="000000"/>
      <w:lang w:val="es-ES_tradnl"/>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styleId="Nmerodepgina">
    <w:name w:val="page number"/>
    <w:rPr>
      <w:lang w:val="es-ES_tradnl"/>
    </w:rPr>
  </w:style>
  <w:style w:type="paragraph" w:styleId="Textonotapie">
    <w:name w:val="footnote text"/>
    <w:link w:val="TextonotapieCar"/>
    <w:rPr>
      <w:rFonts w:ascii="Times" w:hAnsi="Times" w:cs="Arial Unicode MS"/>
      <w:color w:val="000000"/>
      <w:u w:color="000000"/>
      <w:lang w:val="es-ES_tradnl"/>
    </w:rPr>
  </w:style>
  <w:style w:type="paragraph" w:styleId="Prrafodelista">
    <w:name w:val="List Paragraph"/>
    <w:pPr>
      <w:ind w:left="720"/>
    </w:pPr>
    <w:rPr>
      <w:rFonts w:eastAsia="Times New Roman"/>
      <w:color w:val="000000"/>
      <w:sz w:val="24"/>
      <w:szCs w:val="24"/>
      <w:u w:color="000000"/>
      <w:lang w:val="es-ES_tradnl"/>
    </w:rPr>
  </w:style>
  <w:style w:type="numbering" w:customStyle="1" w:styleId="ImportedStyle1">
    <w:name w:val="Imported Style 1"/>
    <w:pPr>
      <w:numPr>
        <w:numId w:val="1"/>
      </w:numPr>
    </w:pPr>
  </w:style>
  <w:style w:type="paragraph" w:customStyle="1" w:styleId="Prrafodelista1">
    <w:name w:val="Párrafo de lista1"/>
    <w:rPr>
      <w:rFonts w:ascii="Verdana" w:hAnsi="Verdana" w:cs="Arial Unicode MS"/>
      <w:color w:val="000000"/>
      <w:sz w:val="16"/>
      <w:szCs w:val="16"/>
      <w:u w:color="000000"/>
      <w:lang w:val="es-ES_tradnl"/>
      <w14:textOutline w14:w="0" w14:cap="flat" w14:cmpd="sng" w14:algn="ctr">
        <w14:noFill/>
        <w14:prstDash w14:val="solid"/>
        <w14:bevel/>
      </w14:textOutline>
    </w:rPr>
  </w:style>
  <w:style w:type="numbering" w:customStyle="1" w:styleId="ImportedStyle2">
    <w:name w:val="Imported Style 2"/>
    <w:pPr>
      <w:numPr>
        <w:numId w:val="3"/>
      </w:numPr>
    </w:pPr>
  </w:style>
  <w:style w:type="paragraph" w:styleId="Textoindependiente">
    <w:name w:val="Body Text"/>
    <w:pPr>
      <w:widowControl w:val="0"/>
      <w:tabs>
        <w:tab w:val="left" w:pos="360"/>
      </w:tabs>
      <w:ind w:right="720"/>
      <w:jc w:val="both"/>
    </w:pPr>
    <w:rPr>
      <w:rFonts w:ascii="Garamond" w:hAnsi="Garamond" w:cs="Arial Unicode MS"/>
      <w:color w:val="000000"/>
      <w:sz w:val="24"/>
      <w:szCs w:val="24"/>
      <w:u w:color="000000"/>
      <w:lang w:val="es-ES_tradnl"/>
    </w:rPr>
  </w:style>
  <w:style w:type="character" w:customStyle="1" w:styleId="FootnoteReferenceTextodenotaalpieFootnotesrefssAppelnotedebasdepageFootnotenumberreferencianotaalpieBVIfnrf4G16PointSuperscript6PointTextonotaalpieFootnoteReferenceChar3FootnoteReferenceChar1CharRefdenotaal">
    <w:name w:val="Footnote Reference;Texto de nota al pie;Footnotes refss;Appel note de bas de page;Footnote number;referencia nota al pie;BVI fnr;f;4_G;16 Point;Superscript 6 Point;Texto nota al pie;Footnote Reference Char3;Footnote Reference Char1 Char;Ref. de nota al"/>
    <w:rPr>
      <w:vertAlign w:val="superscript"/>
    </w:rPr>
  </w:style>
  <w:style w:type="numbering" w:customStyle="1" w:styleId="ImportedStyle3">
    <w:name w:val="Imported Style 3"/>
    <w:pPr>
      <w:numPr>
        <w:numId w:val="6"/>
      </w:numPr>
    </w:pPr>
  </w:style>
  <w:style w:type="paragraph" w:styleId="Textodeglobo">
    <w:name w:val="Balloon Text"/>
    <w:basedOn w:val="Normal"/>
    <w:link w:val="TextodegloboCar"/>
    <w:uiPriority w:val="99"/>
    <w:semiHidden/>
    <w:unhideWhenUsed/>
    <w:rsid w:val="008F59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595C"/>
    <w:rPr>
      <w:rFonts w:ascii="Segoe UI" w:eastAsia="Times New Roman" w:hAnsi="Segoe UI" w:cs="Segoe UI"/>
      <w:color w:val="000000"/>
      <w:sz w:val="18"/>
      <w:szCs w:val="18"/>
      <w:u w:color="000000"/>
      <w:lang w:val="es-ES_tradnl"/>
      <w14:textOutline w14:w="0" w14:cap="flat" w14:cmpd="sng" w14:algn="ctr">
        <w14:noFill/>
        <w14:prstDash w14:val="solid"/>
        <w14:bevel/>
      </w14:textOutline>
    </w:rPr>
  </w:style>
  <w:style w:type="paragraph" w:styleId="Piedepgina">
    <w:name w:val="footer"/>
    <w:basedOn w:val="Normal"/>
    <w:link w:val="PiedepginaCar"/>
    <w:uiPriority w:val="99"/>
    <w:unhideWhenUsed/>
    <w:rsid w:val="00447B1D"/>
    <w:pPr>
      <w:tabs>
        <w:tab w:val="center" w:pos="4680"/>
        <w:tab w:val="right" w:pos="9360"/>
      </w:tabs>
    </w:pPr>
  </w:style>
  <w:style w:type="character" w:customStyle="1" w:styleId="PiedepginaCar">
    <w:name w:val="Pie de página Car"/>
    <w:basedOn w:val="Fuentedeprrafopredeter"/>
    <w:link w:val="Piedepgina"/>
    <w:uiPriority w:val="99"/>
    <w:rsid w:val="00447B1D"/>
    <w:rPr>
      <w:rFonts w:eastAsia="Times New Roman"/>
      <w:color w:val="000000"/>
      <w:sz w:val="24"/>
      <w:szCs w:val="24"/>
      <w:u w:color="000000"/>
      <w:lang w:val="es-ES_tradnl"/>
      <w14:textOutline w14:w="0" w14:cap="flat" w14:cmpd="sng" w14:algn="ctr">
        <w14:noFill/>
        <w14:prstDash w14:val="solid"/>
        <w14:bevel/>
      </w14:textOutline>
    </w:rPr>
  </w:style>
  <w:style w:type="character" w:customStyle="1" w:styleId="TextonotapieCar">
    <w:name w:val="Texto nota pie Car"/>
    <w:basedOn w:val="Fuentedeprrafopredeter"/>
    <w:link w:val="Textonotapie"/>
    <w:rsid w:val="00C017CF"/>
    <w:rPr>
      <w:rFonts w:ascii="Times" w:hAnsi="Times" w:cs="Arial Unicode MS"/>
      <w:color w:val="000000"/>
      <w:u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38727-130F-44AB-8796-B5E6F907B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1093</Words>
  <Characters>6013</Characters>
  <Application>Microsoft Office Word</Application>
  <DocSecurity>6</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Gloriana von Herold</dc:creator>
  <cp:lastModifiedBy>Ana Rita Ramirez</cp:lastModifiedBy>
  <cp:revision>2</cp:revision>
  <cp:lastPrinted>2020-03-20T18:34:00Z</cp:lastPrinted>
  <dcterms:created xsi:type="dcterms:W3CDTF">2020-06-16T22:57:00Z</dcterms:created>
  <dcterms:modified xsi:type="dcterms:W3CDTF">2020-06-16T22:57:00Z</dcterms:modified>
</cp:coreProperties>
</file>