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C8153F" w14:textId="77777777" w:rsidR="002C3696" w:rsidRDefault="002C3696" w:rsidP="0083014D">
      <w:pPr>
        <w:spacing w:after="0" w:line="240" w:lineRule="auto"/>
        <w:rPr>
          <w:rFonts w:ascii="Verdana" w:hAnsi="Verdana"/>
          <w:b/>
          <w:sz w:val="20"/>
          <w:szCs w:val="20"/>
          <w:lang w:val="es-PR"/>
        </w:rPr>
      </w:pPr>
    </w:p>
    <w:p w14:paraId="4B9150CF" w14:textId="77777777" w:rsidR="00143BC1" w:rsidRDefault="00143BC1" w:rsidP="0083014D">
      <w:pPr>
        <w:spacing w:after="0" w:line="240" w:lineRule="auto"/>
        <w:rPr>
          <w:rFonts w:ascii="Verdana" w:hAnsi="Verdana"/>
          <w:b/>
          <w:sz w:val="20"/>
          <w:szCs w:val="20"/>
          <w:lang w:val="es-PR"/>
        </w:rPr>
      </w:pPr>
    </w:p>
    <w:p w14:paraId="20D5F170" w14:textId="77777777" w:rsidR="00143BC1" w:rsidRDefault="00143BC1" w:rsidP="0083014D">
      <w:pPr>
        <w:spacing w:after="0" w:line="240" w:lineRule="auto"/>
        <w:rPr>
          <w:rFonts w:ascii="Verdana" w:hAnsi="Verdana"/>
          <w:b/>
          <w:sz w:val="20"/>
          <w:szCs w:val="20"/>
          <w:lang w:val="es-PR"/>
        </w:rPr>
      </w:pPr>
    </w:p>
    <w:p w14:paraId="4A9C202A" w14:textId="77777777" w:rsidR="00143BC1" w:rsidRDefault="00143BC1" w:rsidP="0083014D">
      <w:pPr>
        <w:spacing w:after="0" w:line="240" w:lineRule="auto"/>
        <w:rPr>
          <w:rFonts w:ascii="Verdana" w:hAnsi="Verdana"/>
          <w:b/>
          <w:sz w:val="20"/>
          <w:szCs w:val="20"/>
          <w:lang w:val="es-PR"/>
        </w:rPr>
      </w:pPr>
    </w:p>
    <w:p w14:paraId="628ADA3A" w14:textId="77777777" w:rsidR="00143BC1" w:rsidRDefault="00143BC1" w:rsidP="0083014D">
      <w:pPr>
        <w:spacing w:after="0" w:line="240" w:lineRule="auto"/>
        <w:rPr>
          <w:rFonts w:ascii="Verdana" w:hAnsi="Verdana"/>
          <w:b/>
          <w:sz w:val="20"/>
          <w:szCs w:val="20"/>
          <w:lang w:val="es-PR"/>
        </w:rPr>
      </w:pPr>
    </w:p>
    <w:p w14:paraId="03E2BD4A" w14:textId="77777777" w:rsidR="00143BC1" w:rsidRDefault="00143BC1" w:rsidP="0083014D">
      <w:pPr>
        <w:spacing w:after="0" w:line="240" w:lineRule="auto"/>
        <w:rPr>
          <w:rFonts w:ascii="Verdana" w:hAnsi="Verdana"/>
          <w:b/>
          <w:sz w:val="20"/>
          <w:szCs w:val="20"/>
          <w:lang w:val="es-PR"/>
        </w:rPr>
      </w:pPr>
    </w:p>
    <w:p w14:paraId="61E75235" w14:textId="77777777" w:rsidR="006A0776" w:rsidRDefault="006A0776" w:rsidP="0083014D">
      <w:pPr>
        <w:spacing w:after="0" w:line="240" w:lineRule="auto"/>
        <w:rPr>
          <w:rFonts w:ascii="Verdana" w:hAnsi="Verdana"/>
          <w:b/>
          <w:sz w:val="20"/>
          <w:szCs w:val="20"/>
          <w:lang w:val="es-PR"/>
        </w:rPr>
      </w:pPr>
    </w:p>
    <w:p w14:paraId="79E3F863" w14:textId="77777777" w:rsidR="008C6C40" w:rsidRDefault="009D7F18" w:rsidP="00AB381D">
      <w:pPr>
        <w:spacing w:after="0" w:line="240" w:lineRule="auto"/>
        <w:jc w:val="center"/>
        <w:rPr>
          <w:rFonts w:ascii="Verdana" w:hAnsi="Verdana"/>
          <w:b/>
          <w:sz w:val="20"/>
          <w:szCs w:val="20"/>
          <w:lang w:val="es-PR"/>
        </w:rPr>
      </w:pPr>
      <w:r>
        <w:rPr>
          <w:rFonts w:ascii="Verdana" w:hAnsi="Verdana"/>
          <w:b/>
          <w:sz w:val="20"/>
          <w:szCs w:val="20"/>
          <w:lang w:val="es-PR"/>
        </w:rPr>
        <w:t>RESOLUCIÓN DE LA</w:t>
      </w:r>
    </w:p>
    <w:p w14:paraId="39BCDA63" w14:textId="77777777" w:rsidR="008C6C40" w:rsidRDefault="00112825" w:rsidP="00AB381D">
      <w:pPr>
        <w:spacing w:after="0" w:line="240" w:lineRule="auto"/>
        <w:jc w:val="center"/>
        <w:rPr>
          <w:rFonts w:ascii="Verdana" w:hAnsi="Verdana"/>
          <w:b/>
          <w:sz w:val="20"/>
          <w:szCs w:val="20"/>
          <w:lang w:val="es-PR"/>
        </w:rPr>
      </w:pPr>
      <w:r w:rsidRPr="00147D52">
        <w:rPr>
          <w:rFonts w:ascii="Verdana" w:hAnsi="Verdana"/>
          <w:b/>
          <w:sz w:val="20"/>
          <w:szCs w:val="20"/>
          <w:lang w:val="es-PR"/>
        </w:rPr>
        <w:t>CORTE INTERAMERICANA DE DERECHOS HUMANOS</w:t>
      </w:r>
    </w:p>
    <w:p w14:paraId="1D12DB83" w14:textId="77777777" w:rsidR="00B63B91" w:rsidRDefault="00B63B91" w:rsidP="00AB381D">
      <w:pPr>
        <w:spacing w:after="0" w:line="240" w:lineRule="auto"/>
        <w:jc w:val="center"/>
        <w:rPr>
          <w:rFonts w:ascii="Verdana" w:hAnsi="Verdana"/>
          <w:b/>
          <w:sz w:val="20"/>
          <w:szCs w:val="20"/>
          <w:lang w:val="es-PR"/>
        </w:rPr>
      </w:pPr>
    </w:p>
    <w:p w14:paraId="777BF85E" w14:textId="11367CD8" w:rsidR="00112825" w:rsidRPr="00147D52" w:rsidRDefault="00112825" w:rsidP="00AB381D">
      <w:pPr>
        <w:spacing w:after="0" w:line="240" w:lineRule="auto"/>
        <w:jc w:val="center"/>
        <w:rPr>
          <w:rFonts w:ascii="Verdana" w:hAnsi="Verdana"/>
          <w:b/>
          <w:sz w:val="20"/>
          <w:szCs w:val="20"/>
          <w:lang w:val="es-PR"/>
        </w:rPr>
      </w:pPr>
      <w:r w:rsidRPr="00147D52">
        <w:rPr>
          <w:rFonts w:ascii="Verdana" w:hAnsi="Verdana"/>
          <w:b/>
          <w:sz w:val="20"/>
          <w:szCs w:val="20"/>
          <w:lang w:val="es-PR"/>
        </w:rPr>
        <w:t xml:space="preserve">DE </w:t>
      </w:r>
      <w:r w:rsidR="00143BC1">
        <w:rPr>
          <w:rFonts w:ascii="Verdana" w:hAnsi="Verdana"/>
          <w:b/>
          <w:sz w:val="20"/>
          <w:szCs w:val="20"/>
          <w:lang w:val="es-PR"/>
        </w:rPr>
        <w:t>8</w:t>
      </w:r>
      <w:r w:rsidRPr="00147D52">
        <w:rPr>
          <w:rFonts w:ascii="Verdana" w:hAnsi="Verdana"/>
          <w:b/>
          <w:sz w:val="20"/>
          <w:szCs w:val="20"/>
          <w:lang w:val="es-PR"/>
        </w:rPr>
        <w:t xml:space="preserve"> DE </w:t>
      </w:r>
      <w:r w:rsidR="000B2D48">
        <w:rPr>
          <w:rFonts w:ascii="Verdana" w:hAnsi="Verdana"/>
          <w:b/>
          <w:sz w:val="20"/>
          <w:szCs w:val="20"/>
          <w:lang w:val="es-PR"/>
        </w:rPr>
        <w:t>FEBRERO</w:t>
      </w:r>
      <w:r w:rsidR="00B63B91" w:rsidRPr="00147D52">
        <w:rPr>
          <w:rFonts w:ascii="Verdana" w:hAnsi="Verdana"/>
          <w:b/>
          <w:sz w:val="20"/>
          <w:szCs w:val="20"/>
          <w:lang w:val="es-PR"/>
        </w:rPr>
        <w:t xml:space="preserve"> </w:t>
      </w:r>
      <w:r w:rsidR="005258B5">
        <w:rPr>
          <w:rFonts w:ascii="Verdana" w:hAnsi="Verdana"/>
          <w:b/>
          <w:sz w:val="20"/>
          <w:szCs w:val="20"/>
          <w:lang w:val="es-PR"/>
        </w:rPr>
        <w:t>DE 2018</w:t>
      </w:r>
    </w:p>
    <w:p w14:paraId="69F42ECC" w14:textId="77777777" w:rsidR="00112825" w:rsidRDefault="00112825" w:rsidP="00AB381D">
      <w:pPr>
        <w:spacing w:after="0" w:line="240" w:lineRule="auto"/>
        <w:jc w:val="center"/>
        <w:rPr>
          <w:rFonts w:ascii="Verdana" w:hAnsi="Verdana"/>
          <w:b/>
          <w:sz w:val="20"/>
          <w:szCs w:val="20"/>
          <w:lang w:val="es-PR"/>
        </w:rPr>
      </w:pPr>
    </w:p>
    <w:p w14:paraId="57B443AA" w14:textId="77777777" w:rsidR="0035275B" w:rsidRPr="00147D52" w:rsidRDefault="0035275B" w:rsidP="00AB381D">
      <w:pPr>
        <w:spacing w:after="0" w:line="240" w:lineRule="auto"/>
        <w:jc w:val="center"/>
        <w:rPr>
          <w:rFonts w:ascii="Verdana" w:hAnsi="Verdana"/>
          <w:b/>
          <w:sz w:val="20"/>
          <w:szCs w:val="20"/>
          <w:lang w:val="es-PR"/>
        </w:rPr>
      </w:pPr>
    </w:p>
    <w:p w14:paraId="3994BEC1" w14:textId="0CB3664B" w:rsidR="00112825" w:rsidRDefault="000B2D48" w:rsidP="00AB381D">
      <w:pPr>
        <w:spacing w:after="0" w:line="240" w:lineRule="auto"/>
        <w:jc w:val="center"/>
        <w:rPr>
          <w:rFonts w:ascii="Verdana" w:hAnsi="Verdana"/>
          <w:b/>
          <w:sz w:val="20"/>
          <w:szCs w:val="20"/>
          <w:lang w:val="es-PR"/>
        </w:rPr>
      </w:pPr>
      <w:r>
        <w:rPr>
          <w:rFonts w:ascii="Verdana" w:hAnsi="Verdana"/>
          <w:b/>
          <w:sz w:val="20"/>
          <w:szCs w:val="20"/>
          <w:lang w:val="es-PR"/>
        </w:rPr>
        <w:t>MEDIDAS PROVISIONALES</w:t>
      </w:r>
    </w:p>
    <w:p w14:paraId="1A66BE78" w14:textId="77777777" w:rsidR="000B2D48" w:rsidRDefault="000B2D48" w:rsidP="00AB381D">
      <w:pPr>
        <w:spacing w:after="0" w:line="240" w:lineRule="auto"/>
        <w:jc w:val="center"/>
        <w:rPr>
          <w:rFonts w:ascii="Verdana" w:hAnsi="Verdana"/>
          <w:b/>
          <w:sz w:val="20"/>
          <w:szCs w:val="20"/>
          <w:lang w:val="es-PR"/>
        </w:rPr>
      </w:pPr>
      <w:r>
        <w:rPr>
          <w:rFonts w:ascii="Verdana" w:hAnsi="Verdana"/>
          <w:b/>
          <w:sz w:val="20"/>
          <w:szCs w:val="20"/>
          <w:lang w:val="es-PR"/>
        </w:rPr>
        <w:t>RESPECTO DE</w:t>
      </w:r>
      <w:r w:rsidR="005258B5">
        <w:rPr>
          <w:rFonts w:ascii="Verdana" w:hAnsi="Verdana"/>
          <w:b/>
          <w:sz w:val="20"/>
          <w:szCs w:val="20"/>
          <w:lang w:val="es-PR"/>
        </w:rPr>
        <w:t>L</w:t>
      </w:r>
      <w:r>
        <w:rPr>
          <w:rFonts w:ascii="Verdana" w:hAnsi="Verdana"/>
          <w:b/>
          <w:sz w:val="20"/>
          <w:szCs w:val="20"/>
          <w:lang w:val="es-PR"/>
        </w:rPr>
        <w:t xml:space="preserve"> PERÚ</w:t>
      </w:r>
    </w:p>
    <w:p w14:paraId="72A5B897" w14:textId="77777777" w:rsidR="00C53C15" w:rsidRPr="00147D52" w:rsidRDefault="00C53C15" w:rsidP="00AB381D">
      <w:pPr>
        <w:spacing w:after="0" w:line="240" w:lineRule="auto"/>
        <w:jc w:val="center"/>
        <w:rPr>
          <w:rFonts w:ascii="Verdana" w:hAnsi="Verdana"/>
          <w:b/>
          <w:sz w:val="20"/>
          <w:szCs w:val="20"/>
          <w:lang w:val="es-PR"/>
        </w:rPr>
      </w:pPr>
    </w:p>
    <w:p w14:paraId="5AA75F22" w14:textId="77777777" w:rsidR="00112825" w:rsidRPr="009C394F" w:rsidRDefault="00112825" w:rsidP="00AB381D">
      <w:pPr>
        <w:spacing w:after="0" w:line="240" w:lineRule="auto"/>
        <w:jc w:val="center"/>
        <w:rPr>
          <w:rFonts w:ascii="Verdana" w:hAnsi="Verdana"/>
          <w:b/>
          <w:sz w:val="20"/>
          <w:szCs w:val="20"/>
        </w:rPr>
      </w:pPr>
      <w:r w:rsidRPr="009C394F">
        <w:rPr>
          <w:rStyle w:val="Strong"/>
          <w:rFonts w:ascii="Verdana" w:hAnsi="Verdana"/>
          <w:sz w:val="20"/>
          <w:szCs w:val="20"/>
          <w:shd w:val="clear" w:color="auto" w:fill="FFFFFF"/>
          <w:lang w:val="es-PR"/>
        </w:rPr>
        <w:t xml:space="preserve">CASO </w:t>
      </w:r>
      <w:r w:rsidR="009D7F18" w:rsidRPr="009C394F">
        <w:rPr>
          <w:rStyle w:val="Strong"/>
          <w:rFonts w:ascii="Verdana" w:hAnsi="Verdana"/>
          <w:sz w:val="20"/>
          <w:szCs w:val="20"/>
          <w:shd w:val="clear" w:color="auto" w:fill="FFFFFF"/>
          <w:lang w:val="es-PR"/>
        </w:rPr>
        <w:t>DURAND Y UGARTE</w:t>
      </w:r>
      <w:r w:rsidRPr="009C394F">
        <w:rPr>
          <w:rFonts w:ascii="Verdana" w:hAnsi="Verdana"/>
          <w:b/>
          <w:sz w:val="20"/>
          <w:szCs w:val="20"/>
          <w:lang w:val="es-PR"/>
        </w:rPr>
        <w:t xml:space="preserve"> VS. </w:t>
      </w:r>
      <w:r w:rsidR="009D7F18" w:rsidRPr="009C394F">
        <w:rPr>
          <w:rFonts w:ascii="Verdana" w:hAnsi="Verdana"/>
          <w:b/>
          <w:sz w:val="20"/>
          <w:szCs w:val="20"/>
        </w:rPr>
        <w:t>PERÚ</w:t>
      </w:r>
    </w:p>
    <w:p w14:paraId="61F972F1" w14:textId="77777777" w:rsidR="0035275B" w:rsidRDefault="0035275B" w:rsidP="00AB381D">
      <w:pPr>
        <w:spacing w:after="0" w:line="240" w:lineRule="auto"/>
        <w:jc w:val="both"/>
        <w:rPr>
          <w:rFonts w:ascii="Verdana" w:hAnsi="Verdana"/>
          <w:sz w:val="20"/>
          <w:szCs w:val="20"/>
        </w:rPr>
      </w:pPr>
    </w:p>
    <w:p w14:paraId="7260231D" w14:textId="77777777" w:rsidR="00143BC1" w:rsidRDefault="00143BC1" w:rsidP="00AB381D">
      <w:pPr>
        <w:spacing w:after="0" w:line="240" w:lineRule="auto"/>
        <w:jc w:val="both"/>
        <w:rPr>
          <w:rFonts w:ascii="Verdana" w:hAnsi="Verdana"/>
          <w:sz w:val="20"/>
          <w:szCs w:val="20"/>
        </w:rPr>
      </w:pPr>
    </w:p>
    <w:p w14:paraId="45F39FF8" w14:textId="77777777" w:rsidR="000D640C" w:rsidRDefault="000D640C" w:rsidP="00AB381D">
      <w:pPr>
        <w:spacing w:after="0" w:line="240" w:lineRule="auto"/>
        <w:jc w:val="both"/>
        <w:rPr>
          <w:rFonts w:ascii="Verdana" w:hAnsi="Verdana"/>
          <w:sz w:val="20"/>
          <w:szCs w:val="20"/>
        </w:rPr>
      </w:pPr>
    </w:p>
    <w:p w14:paraId="59807498" w14:textId="77777777" w:rsidR="000C2908" w:rsidRDefault="000C2908" w:rsidP="00AB381D">
      <w:pPr>
        <w:spacing w:after="0" w:line="240" w:lineRule="auto"/>
        <w:jc w:val="both"/>
        <w:rPr>
          <w:rFonts w:ascii="Verdana" w:hAnsi="Verdana"/>
          <w:sz w:val="20"/>
          <w:szCs w:val="20"/>
        </w:rPr>
      </w:pPr>
    </w:p>
    <w:p w14:paraId="2E4CD0E6" w14:textId="77777777" w:rsidR="000D640C" w:rsidRPr="00A22584" w:rsidRDefault="000D640C" w:rsidP="00AB381D">
      <w:pPr>
        <w:spacing w:after="0" w:line="240" w:lineRule="auto"/>
        <w:jc w:val="both"/>
        <w:rPr>
          <w:rFonts w:ascii="Verdana" w:hAnsi="Verdana"/>
          <w:sz w:val="20"/>
          <w:szCs w:val="20"/>
        </w:rPr>
      </w:pPr>
    </w:p>
    <w:p w14:paraId="39BB6E5A" w14:textId="77777777" w:rsidR="00112825" w:rsidRPr="00A22584" w:rsidRDefault="00112825" w:rsidP="00AB381D">
      <w:pPr>
        <w:spacing w:after="0" w:line="240" w:lineRule="auto"/>
        <w:jc w:val="both"/>
        <w:rPr>
          <w:rFonts w:ascii="Verdana" w:hAnsi="Verdana"/>
          <w:b/>
          <w:sz w:val="20"/>
          <w:szCs w:val="20"/>
        </w:rPr>
      </w:pPr>
      <w:r w:rsidRPr="00A22584">
        <w:rPr>
          <w:rFonts w:ascii="Verdana" w:hAnsi="Verdana"/>
          <w:b/>
          <w:sz w:val="20"/>
          <w:szCs w:val="20"/>
        </w:rPr>
        <w:t>VISTO:</w:t>
      </w:r>
    </w:p>
    <w:p w14:paraId="668554A0" w14:textId="77777777" w:rsidR="00112825" w:rsidRPr="00A22584" w:rsidRDefault="00112825" w:rsidP="00AB381D">
      <w:pPr>
        <w:spacing w:after="0" w:line="240" w:lineRule="auto"/>
        <w:jc w:val="both"/>
        <w:rPr>
          <w:rFonts w:ascii="Verdana" w:hAnsi="Verdana"/>
          <w:sz w:val="20"/>
          <w:szCs w:val="20"/>
        </w:rPr>
      </w:pPr>
    </w:p>
    <w:p w14:paraId="240C677A" w14:textId="5D461614" w:rsidR="00112825" w:rsidRPr="006C1C40" w:rsidRDefault="001029A7" w:rsidP="00AB381D">
      <w:pPr>
        <w:pStyle w:val="ListParagraph"/>
        <w:numPr>
          <w:ilvl w:val="0"/>
          <w:numId w:val="1"/>
        </w:numPr>
        <w:spacing w:after="0" w:line="240" w:lineRule="auto"/>
        <w:ind w:left="0" w:right="-90" w:firstLine="0"/>
        <w:contextualSpacing w:val="0"/>
        <w:jc w:val="both"/>
        <w:rPr>
          <w:rFonts w:ascii="Verdana" w:hAnsi="Verdana"/>
          <w:sz w:val="20"/>
          <w:szCs w:val="20"/>
          <w:lang w:val="es-CL"/>
        </w:rPr>
      </w:pPr>
      <w:r>
        <w:rPr>
          <w:rFonts w:ascii="Verdana" w:hAnsi="Verdana"/>
          <w:sz w:val="20"/>
          <w:szCs w:val="20"/>
          <w:lang w:val="es-CR"/>
        </w:rPr>
        <w:t>La Sentencia de fondo</w:t>
      </w:r>
      <w:r w:rsidR="00112825" w:rsidRPr="00162D03">
        <w:rPr>
          <w:rFonts w:ascii="Verdana" w:hAnsi="Verdana"/>
          <w:sz w:val="20"/>
          <w:szCs w:val="20"/>
          <w:lang w:val="es-CR"/>
        </w:rPr>
        <w:t xml:space="preserve"> </w:t>
      </w:r>
      <w:r w:rsidR="0052483B" w:rsidRPr="00162D03">
        <w:rPr>
          <w:rFonts w:ascii="Verdana" w:hAnsi="Verdana"/>
          <w:sz w:val="20"/>
          <w:szCs w:val="20"/>
          <w:lang w:val="es-CR"/>
        </w:rPr>
        <w:t xml:space="preserve">de </w:t>
      </w:r>
      <w:r w:rsidR="0052483B">
        <w:rPr>
          <w:rFonts w:ascii="Verdana" w:hAnsi="Verdana"/>
          <w:sz w:val="20"/>
          <w:szCs w:val="20"/>
          <w:lang w:val="es-CR"/>
        </w:rPr>
        <w:t>16 de agosto de 2000</w:t>
      </w:r>
      <w:r w:rsidR="00112825" w:rsidRPr="00162D03">
        <w:rPr>
          <w:rFonts w:ascii="Verdana" w:hAnsi="Verdana"/>
          <w:sz w:val="20"/>
          <w:szCs w:val="20"/>
          <w:lang w:val="es-CR"/>
        </w:rPr>
        <w:t xml:space="preserve"> </w:t>
      </w:r>
      <w:r w:rsidR="000C3832">
        <w:rPr>
          <w:rFonts w:ascii="Verdana" w:hAnsi="Verdana"/>
          <w:sz w:val="20"/>
          <w:szCs w:val="20"/>
          <w:lang w:val="es-CR"/>
        </w:rPr>
        <w:t>(en adelante “la Sentencia”)</w:t>
      </w:r>
      <w:r w:rsidR="00C9769A">
        <w:rPr>
          <w:rStyle w:val="FootnoteReference"/>
          <w:rFonts w:ascii="Verdana" w:hAnsi="Verdana"/>
          <w:sz w:val="20"/>
          <w:szCs w:val="20"/>
          <w:lang w:val="es-CR"/>
        </w:rPr>
        <w:footnoteReference w:id="1"/>
      </w:r>
      <w:r w:rsidR="000C3832">
        <w:rPr>
          <w:rFonts w:ascii="Verdana" w:hAnsi="Verdana"/>
          <w:sz w:val="20"/>
          <w:szCs w:val="20"/>
          <w:lang w:val="es-CR"/>
        </w:rPr>
        <w:t xml:space="preserve"> </w:t>
      </w:r>
      <w:r w:rsidR="00112825" w:rsidRPr="00162D03">
        <w:rPr>
          <w:rFonts w:ascii="Verdana" w:hAnsi="Verdana"/>
          <w:sz w:val="20"/>
          <w:szCs w:val="20"/>
          <w:lang w:val="es-CR"/>
        </w:rPr>
        <w:t xml:space="preserve">mediante la cual la Corte Interamericana de Derechos Humanos (en adelante también </w:t>
      </w:r>
      <w:r w:rsidR="00112825" w:rsidRPr="00EF21D7">
        <w:rPr>
          <w:rFonts w:ascii="Verdana" w:hAnsi="Verdana"/>
          <w:sz w:val="20"/>
          <w:szCs w:val="20"/>
          <w:lang w:val="es-CR"/>
        </w:rPr>
        <w:t>“la Corte Interamericana” o “el Tribunal”) declaró responsable internacionalmente a la República de</w:t>
      </w:r>
      <w:r w:rsidR="009D7F18" w:rsidRPr="00EF21D7">
        <w:rPr>
          <w:rFonts w:ascii="Verdana" w:hAnsi="Verdana"/>
          <w:sz w:val="20"/>
          <w:szCs w:val="20"/>
          <w:lang w:val="es-CR"/>
        </w:rPr>
        <w:t>l</w:t>
      </w:r>
      <w:r w:rsidR="00112825" w:rsidRPr="00EF21D7">
        <w:rPr>
          <w:rFonts w:ascii="Verdana" w:hAnsi="Verdana"/>
          <w:sz w:val="20"/>
          <w:szCs w:val="20"/>
          <w:lang w:val="es-CR"/>
        </w:rPr>
        <w:t xml:space="preserve"> </w:t>
      </w:r>
      <w:r w:rsidR="009D7F18" w:rsidRPr="00EF21D7">
        <w:rPr>
          <w:rFonts w:ascii="Verdana" w:hAnsi="Verdana"/>
          <w:sz w:val="20"/>
          <w:szCs w:val="20"/>
          <w:lang w:val="es-CR"/>
        </w:rPr>
        <w:t>Perú</w:t>
      </w:r>
      <w:r w:rsidR="00112825" w:rsidRPr="00EF21D7">
        <w:rPr>
          <w:rFonts w:ascii="Verdana" w:hAnsi="Verdana"/>
          <w:sz w:val="20"/>
          <w:szCs w:val="20"/>
          <w:lang w:val="es-CR"/>
        </w:rPr>
        <w:t xml:space="preserve"> (en adelante “el Estado” o “</w:t>
      </w:r>
      <w:r w:rsidR="009D7F18" w:rsidRPr="00EF21D7">
        <w:rPr>
          <w:rFonts w:ascii="Verdana" w:hAnsi="Verdana"/>
          <w:sz w:val="20"/>
          <w:szCs w:val="20"/>
          <w:lang w:val="es-CR"/>
        </w:rPr>
        <w:t>Perú</w:t>
      </w:r>
      <w:r w:rsidR="00112825" w:rsidRPr="00EF21D7">
        <w:rPr>
          <w:rFonts w:ascii="Verdana" w:hAnsi="Verdana"/>
          <w:sz w:val="20"/>
          <w:szCs w:val="20"/>
          <w:lang w:val="es-CR"/>
        </w:rPr>
        <w:t>”)</w:t>
      </w:r>
      <w:r w:rsidR="004943A7" w:rsidRPr="00EF21D7">
        <w:rPr>
          <w:rFonts w:ascii="Verdana" w:hAnsi="Verdana"/>
          <w:sz w:val="20"/>
          <w:szCs w:val="20"/>
          <w:lang w:val="es-CR"/>
        </w:rPr>
        <w:t xml:space="preserve"> por </w:t>
      </w:r>
      <w:r w:rsidR="001F3073">
        <w:rPr>
          <w:rFonts w:ascii="Verdana" w:hAnsi="Verdana"/>
          <w:sz w:val="20"/>
          <w:szCs w:val="20"/>
          <w:lang w:val="es-CR"/>
        </w:rPr>
        <w:t xml:space="preserve">la violación del derecho a la vida </w:t>
      </w:r>
      <w:r w:rsidR="001F3073" w:rsidRPr="00EF21D7">
        <w:rPr>
          <w:rFonts w:ascii="Verdana" w:hAnsi="Verdana"/>
          <w:sz w:val="20"/>
          <w:szCs w:val="20"/>
          <w:lang w:val="es-CR"/>
        </w:rPr>
        <w:t>de los señores Nolberto Durand Ugarte y Gabriel Pablo Ugarte Rivera</w:t>
      </w:r>
      <w:r w:rsidR="001F3073" w:rsidRPr="001F3073">
        <w:rPr>
          <w:rFonts w:ascii="Verdana" w:hAnsi="Verdana"/>
          <w:sz w:val="20"/>
          <w:szCs w:val="20"/>
          <w:lang w:val="es-CR"/>
        </w:rPr>
        <w:t xml:space="preserve">, quienes se encontraban detenidos en el </w:t>
      </w:r>
      <w:r w:rsidR="00522E51">
        <w:rPr>
          <w:rFonts w:ascii="Verdana" w:hAnsi="Verdana"/>
          <w:sz w:val="20"/>
          <w:szCs w:val="20"/>
          <w:lang w:val="es-CR"/>
        </w:rPr>
        <w:t>establecimiento p</w:t>
      </w:r>
      <w:r w:rsidR="001F3073" w:rsidRPr="001F3073">
        <w:rPr>
          <w:rFonts w:ascii="Verdana" w:hAnsi="Verdana"/>
          <w:sz w:val="20"/>
          <w:szCs w:val="20"/>
          <w:lang w:val="es-CR"/>
        </w:rPr>
        <w:t xml:space="preserve">enal de la </w:t>
      </w:r>
      <w:r w:rsidR="007A7100">
        <w:rPr>
          <w:rFonts w:ascii="Verdana" w:hAnsi="Verdana"/>
          <w:sz w:val="20"/>
          <w:szCs w:val="20"/>
          <w:lang w:val="es-CR"/>
        </w:rPr>
        <w:t>I</w:t>
      </w:r>
      <w:r w:rsidR="007A7100" w:rsidRPr="001F3073">
        <w:rPr>
          <w:rFonts w:ascii="Verdana" w:hAnsi="Verdana"/>
          <w:sz w:val="20"/>
          <w:szCs w:val="20"/>
          <w:lang w:val="es-CR"/>
        </w:rPr>
        <w:t xml:space="preserve">sla </w:t>
      </w:r>
      <w:r w:rsidR="00053D7F">
        <w:rPr>
          <w:rFonts w:ascii="Verdana" w:hAnsi="Verdana"/>
          <w:sz w:val="20"/>
          <w:szCs w:val="20"/>
          <w:lang w:val="es-CR"/>
        </w:rPr>
        <w:t>“</w:t>
      </w:r>
      <w:r w:rsidR="001F3073" w:rsidRPr="001F3073">
        <w:rPr>
          <w:rFonts w:ascii="Verdana" w:hAnsi="Verdana"/>
          <w:sz w:val="20"/>
          <w:szCs w:val="20"/>
          <w:lang w:val="es-CR"/>
        </w:rPr>
        <w:t>El Frontón</w:t>
      </w:r>
      <w:r w:rsidR="00053D7F">
        <w:rPr>
          <w:rFonts w:ascii="Verdana" w:hAnsi="Verdana"/>
          <w:sz w:val="20"/>
          <w:szCs w:val="20"/>
          <w:lang w:val="es-CR"/>
        </w:rPr>
        <w:t>”</w:t>
      </w:r>
      <w:r w:rsidR="001F3073" w:rsidRPr="001F3073">
        <w:rPr>
          <w:rFonts w:ascii="Verdana" w:hAnsi="Verdana"/>
          <w:sz w:val="20"/>
          <w:szCs w:val="20"/>
          <w:lang w:val="es-CR"/>
        </w:rPr>
        <w:t xml:space="preserve"> cuando, en junio de 1986, el Estado develó el motín que se dio en el mismo, resultando en un gran número de reclusos muertos o cuyos restos no fueron encontrados.</w:t>
      </w:r>
      <w:r w:rsidR="001F3073">
        <w:rPr>
          <w:rFonts w:ascii="Verdana" w:hAnsi="Verdana"/>
          <w:sz w:val="18"/>
          <w:szCs w:val="18"/>
          <w:lang w:val="es-CR"/>
        </w:rPr>
        <w:t xml:space="preserve"> </w:t>
      </w:r>
      <w:r w:rsidR="001F3073">
        <w:rPr>
          <w:rFonts w:ascii="Verdana" w:hAnsi="Verdana"/>
          <w:sz w:val="20"/>
          <w:szCs w:val="20"/>
          <w:lang w:val="es-CR"/>
        </w:rPr>
        <w:t>A</w:t>
      </w:r>
      <w:r w:rsidR="004943A7" w:rsidRPr="001F3073">
        <w:rPr>
          <w:rFonts w:ascii="Verdana" w:hAnsi="Verdana"/>
          <w:sz w:val="20"/>
          <w:szCs w:val="20"/>
          <w:lang w:val="es-CR"/>
        </w:rPr>
        <w:t xml:space="preserve">l momento de emisión de la Sentencia se desconocía el paradero de </w:t>
      </w:r>
      <w:r w:rsidR="001F3073">
        <w:rPr>
          <w:rFonts w:ascii="Verdana" w:hAnsi="Verdana"/>
          <w:sz w:val="20"/>
          <w:szCs w:val="20"/>
          <w:lang w:val="es-CR"/>
        </w:rPr>
        <w:t>dichas víctimas</w:t>
      </w:r>
      <w:r w:rsidR="004943A7" w:rsidRPr="001F3073">
        <w:rPr>
          <w:rFonts w:ascii="Verdana" w:hAnsi="Verdana"/>
          <w:sz w:val="20"/>
          <w:szCs w:val="20"/>
          <w:lang w:val="es-CL"/>
        </w:rPr>
        <w:t xml:space="preserve">. </w:t>
      </w:r>
      <w:r w:rsidR="00EB61C1">
        <w:rPr>
          <w:rFonts w:ascii="Verdana" w:hAnsi="Verdana"/>
          <w:sz w:val="20"/>
          <w:szCs w:val="20"/>
          <w:lang w:val="es-CR"/>
        </w:rPr>
        <w:t>Asimismo, debido a</w:t>
      </w:r>
      <w:r w:rsidR="004943A7" w:rsidRPr="001F3073">
        <w:rPr>
          <w:rFonts w:ascii="Verdana" w:hAnsi="Verdana"/>
          <w:sz w:val="20"/>
          <w:szCs w:val="20"/>
          <w:lang w:val="es-CR"/>
        </w:rPr>
        <w:t xml:space="preserve"> que el señor Durand y el señor Ugarte fueron detenidos sin mediar orden judicial ni haber sido encontrados en flagrante delito, y tampoco fueron puestos sin demora a disposición del órgano jurisdiccional competente, la Corte declaró que el Estado violó el derecho a la libertad personal de dichas víctimas. </w:t>
      </w:r>
      <w:r w:rsidR="00C341EE" w:rsidRPr="001F3073">
        <w:rPr>
          <w:rFonts w:ascii="Verdana" w:hAnsi="Verdana"/>
          <w:sz w:val="20"/>
          <w:szCs w:val="20"/>
          <w:lang w:val="es-CR"/>
        </w:rPr>
        <w:t xml:space="preserve">Por otra parte, en razón de la aplicación de Decretos-Supremos que declararon el estado de emergencia y una zona militar restringida, así como el control efectivo de las Fuerzas Armadas sobre el centro penitenciario </w:t>
      </w:r>
      <w:r w:rsidR="00053D7F">
        <w:rPr>
          <w:rFonts w:ascii="Verdana" w:hAnsi="Verdana"/>
          <w:sz w:val="20"/>
          <w:szCs w:val="20"/>
          <w:lang w:val="es-CR"/>
        </w:rPr>
        <w:t>“</w:t>
      </w:r>
      <w:r w:rsidR="00C341EE" w:rsidRPr="001F3073">
        <w:rPr>
          <w:rFonts w:ascii="Verdana" w:hAnsi="Verdana"/>
          <w:sz w:val="20"/>
          <w:szCs w:val="20"/>
          <w:lang w:val="es-CR"/>
        </w:rPr>
        <w:t>El Frontón</w:t>
      </w:r>
      <w:r w:rsidR="00053D7F">
        <w:rPr>
          <w:rFonts w:ascii="Verdana" w:hAnsi="Verdana"/>
          <w:sz w:val="20"/>
          <w:szCs w:val="20"/>
          <w:lang w:val="es-CR"/>
        </w:rPr>
        <w:t>”</w:t>
      </w:r>
      <w:r w:rsidR="00C341EE" w:rsidRPr="001F3073">
        <w:rPr>
          <w:rFonts w:ascii="Verdana" w:hAnsi="Verdana"/>
          <w:sz w:val="20"/>
          <w:szCs w:val="20"/>
          <w:lang w:val="es-CR"/>
        </w:rPr>
        <w:t>, produciendo implícitamente la suspensión de la acción de hábeas corpus, el Tribunal encontró al Perú responsable por la violación a los derechos a recurrir ante un juez o tribunal competente y a la protección judicial. A su vez,</w:t>
      </w:r>
      <w:r w:rsidR="008D5FA4" w:rsidRPr="001F3073">
        <w:rPr>
          <w:rFonts w:ascii="Verdana" w:hAnsi="Verdana"/>
          <w:sz w:val="20"/>
          <w:szCs w:val="20"/>
          <w:lang w:val="es-CR"/>
        </w:rPr>
        <w:t xml:space="preserve"> la Corte declaró la violación a los derechos a las garantía</w:t>
      </w:r>
      <w:r w:rsidR="00AA2633" w:rsidRPr="001F3073">
        <w:rPr>
          <w:rFonts w:ascii="Verdana" w:hAnsi="Verdana"/>
          <w:sz w:val="20"/>
          <w:szCs w:val="20"/>
          <w:lang w:val="es-CR"/>
        </w:rPr>
        <w:t>s</w:t>
      </w:r>
      <w:r w:rsidR="008D5FA4" w:rsidRPr="001F3073">
        <w:rPr>
          <w:rFonts w:ascii="Verdana" w:hAnsi="Verdana"/>
          <w:sz w:val="20"/>
          <w:szCs w:val="20"/>
          <w:lang w:val="es-CR"/>
        </w:rPr>
        <w:t xml:space="preserve"> judiciales y protección judicial de los familiares del señor Durand y del señor Ugarte, </w:t>
      </w:r>
      <w:r w:rsidR="0006791F" w:rsidRPr="001F3073">
        <w:rPr>
          <w:rFonts w:ascii="Verdana" w:hAnsi="Verdana"/>
          <w:sz w:val="20"/>
          <w:szCs w:val="20"/>
          <w:lang w:val="es-CR"/>
        </w:rPr>
        <w:t>debido a que las autoridades estatales no</w:t>
      </w:r>
      <w:r w:rsidR="008D5FA4" w:rsidRPr="001F3073">
        <w:rPr>
          <w:rFonts w:ascii="Verdana" w:hAnsi="Verdana"/>
          <w:sz w:val="20"/>
          <w:szCs w:val="20"/>
          <w:lang w:val="es-CR"/>
        </w:rPr>
        <w:t xml:space="preserve"> les</w:t>
      </w:r>
      <w:r w:rsidR="001F3073">
        <w:rPr>
          <w:rFonts w:ascii="Verdana" w:hAnsi="Verdana"/>
          <w:sz w:val="20"/>
          <w:szCs w:val="20"/>
          <w:lang w:val="es-CR"/>
        </w:rPr>
        <w:t xml:space="preserve"> garantizaron</w:t>
      </w:r>
      <w:r w:rsidR="0006791F" w:rsidRPr="001F3073">
        <w:rPr>
          <w:rFonts w:ascii="Verdana" w:hAnsi="Verdana"/>
          <w:sz w:val="20"/>
          <w:szCs w:val="20"/>
          <w:lang w:val="es-CR"/>
        </w:rPr>
        <w:t xml:space="preserve"> una investigación de la desaparición y muerte de </w:t>
      </w:r>
      <w:r w:rsidR="008D5FA4" w:rsidRPr="001F3073">
        <w:rPr>
          <w:rFonts w:ascii="Verdana" w:hAnsi="Verdana"/>
          <w:sz w:val="20"/>
          <w:szCs w:val="20"/>
          <w:lang w:val="es-CR"/>
        </w:rPr>
        <w:t>los referidos señores</w:t>
      </w:r>
      <w:r w:rsidR="0006791F" w:rsidRPr="001F3073">
        <w:rPr>
          <w:rFonts w:ascii="Verdana" w:hAnsi="Verdana"/>
          <w:sz w:val="20"/>
          <w:szCs w:val="20"/>
          <w:lang w:val="es-CR"/>
        </w:rPr>
        <w:t>.</w:t>
      </w:r>
      <w:r w:rsidR="008D5FA4" w:rsidRPr="001F3073">
        <w:rPr>
          <w:rFonts w:ascii="Verdana" w:hAnsi="Verdana"/>
          <w:sz w:val="20"/>
          <w:szCs w:val="20"/>
          <w:lang w:val="es-CR"/>
        </w:rPr>
        <w:t xml:space="preserve"> </w:t>
      </w:r>
      <w:r w:rsidR="004A0762">
        <w:rPr>
          <w:rFonts w:ascii="Verdana" w:hAnsi="Verdana"/>
          <w:sz w:val="20"/>
          <w:szCs w:val="20"/>
          <w:lang w:val="es-CR"/>
        </w:rPr>
        <w:t xml:space="preserve">Tanto en la Sentencia de fondo como en la posterior </w:t>
      </w:r>
      <w:r w:rsidR="00EB61C1">
        <w:rPr>
          <w:rFonts w:ascii="Verdana" w:hAnsi="Verdana"/>
          <w:sz w:val="20"/>
          <w:szCs w:val="20"/>
          <w:lang w:val="es-CR"/>
        </w:rPr>
        <w:t xml:space="preserve">sentencia </w:t>
      </w:r>
      <w:r w:rsidR="004A0762">
        <w:rPr>
          <w:rFonts w:ascii="Verdana" w:hAnsi="Verdana"/>
          <w:sz w:val="20"/>
          <w:szCs w:val="20"/>
          <w:lang w:val="es-CR"/>
        </w:rPr>
        <w:t xml:space="preserve">de </w:t>
      </w:r>
      <w:r w:rsidR="001F3073">
        <w:rPr>
          <w:rFonts w:ascii="Verdana" w:hAnsi="Verdana"/>
          <w:sz w:val="20"/>
          <w:szCs w:val="20"/>
          <w:lang w:val="es-CR"/>
        </w:rPr>
        <w:t>reparaciones</w:t>
      </w:r>
      <w:r w:rsidR="004A0762">
        <w:rPr>
          <w:rStyle w:val="FootnoteReference"/>
          <w:rFonts w:ascii="Verdana" w:hAnsi="Verdana"/>
          <w:sz w:val="20"/>
          <w:szCs w:val="20"/>
          <w:lang w:val="es-CR"/>
        </w:rPr>
        <w:footnoteReference w:id="2"/>
      </w:r>
      <w:r w:rsidR="001F3073">
        <w:rPr>
          <w:rFonts w:ascii="Verdana" w:hAnsi="Verdana"/>
          <w:sz w:val="20"/>
          <w:szCs w:val="20"/>
          <w:lang w:val="es-CR"/>
        </w:rPr>
        <w:t>, e</w:t>
      </w:r>
      <w:r w:rsidR="00AA2633" w:rsidRPr="001F3073">
        <w:rPr>
          <w:rFonts w:ascii="Verdana" w:hAnsi="Verdana"/>
          <w:sz w:val="20"/>
          <w:szCs w:val="20"/>
          <w:lang w:val="es-CR"/>
        </w:rPr>
        <w:t xml:space="preserve">l Tribunal dispuso que el </w:t>
      </w:r>
      <w:r w:rsidR="00AA2633" w:rsidRPr="006C1C40">
        <w:rPr>
          <w:rFonts w:ascii="Verdana" w:hAnsi="Verdana"/>
          <w:sz w:val="20"/>
          <w:szCs w:val="20"/>
          <w:lang w:val="es-CR"/>
        </w:rPr>
        <w:t xml:space="preserve">Estado debía </w:t>
      </w:r>
      <w:r w:rsidR="004A0762">
        <w:rPr>
          <w:rFonts w:ascii="Verdana" w:hAnsi="Verdana"/>
          <w:sz w:val="20"/>
          <w:szCs w:val="20"/>
          <w:lang w:val="es-CR"/>
        </w:rPr>
        <w:t xml:space="preserve">cumplir con su obligación de </w:t>
      </w:r>
      <w:r w:rsidR="00AA2633" w:rsidRPr="006C1C40">
        <w:rPr>
          <w:rFonts w:ascii="Verdana" w:hAnsi="Verdana"/>
          <w:sz w:val="20"/>
          <w:szCs w:val="20"/>
          <w:lang w:val="es-CR"/>
        </w:rPr>
        <w:t>investigar</w:t>
      </w:r>
      <w:r w:rsidR="004A0762">
        <w:rPr>
          <w:rFonts w:ascii="Verdana" w:hAnsi="Verdana"/>
          <w:sz w:val="20"/>
          <w:szCs w:val="20"/>
          <w:lang w:val="es-CR"/>
        </w:rPr>
        <w:t>, juzgar y sancionar (</w:t>
      </w:r>
      <w:r w:rsidR="004A0762" w:rsidRPr="004A0762">
        <w:rPr>
          <w:rFonts w:ascii="Verdana" w:hAnsi="Verdana"/>
          <w:i/>
          <w:sz w:val="20"/>
          <w:szCs w:val="20"/>
          <w:lang w:val="es-CR"/>
        </w:rPr>
        <w:t>infra</w:t>
      </w:r>
      <w:r w:rsidR="004A0762">
        <w:rPr>
          <w:rFonts w:ascii="Verdana" w:hAnsi="Verdana"/>
          <w:sz w:val="20"/>
          <w:szCs w:val="20"/>
          <w:lang w:val="es-CR"/>
        </w:rPr>
        <w:t xml:space="preserve"> Considerando 1)</w:t>
      </w:r>
      <w:r w:rsidR="00083D64" w:rsidRPr="006C1C40">
        <w:rPr>
          <w:rFonts w:ascii="Verdana" w:hAnsi="Verdana"/>
          <w:sz w:val="20"/>
          <w:szCs w:val="20"/>
          <w:lang w:val="es-CR"/>
        </w:rPr>
        <w:t xml:space="preserve">. </w:t>
      </w:r>
    </w:p>
    <w:p w14:paraId="0AEA75A3" w14:textId="77777777" w:rsidR="00AB381D" w:rsidRDefault="00AB381D" w:rsidP="00AB381D">
      <w:pPr>
        <w:pStyle w:val="ListParagraph"/>
        <w:spacing w:after="0" w:line="240" w:lineRule="auto"/>
        <w:ind w:left="0" w:right="-90"/>
        <w:contextualSpacing w:val="0"/>
        <w:jc w:val="both"/>
        <w:rPr>
          <w:rFonts w:ascii="Verdana" w:hAnsi="Verdana"/>
          <w:sz w:val="20"/>
          <w:szCs w:val="20"/>
          <w:lang w:val="es-CR"/>
        </w:rPr>
      </w:pPr>
    </w:p>
    <w:p w14:paraId="5FAF982C" w14:textId="77777777" w:rsidR="004368CC" w:rsidRPr="004368CC" w:rsidRDefault="00591B48" w:rsidP="00AB381D">
      <w:pPr>
        <w:pStyle w:val="ListParagraph"/>
        <w:numPr>
          <w:ilvl w:val="0"/>
          <w:numId w:val="1"/>
        </w:numPr>
        <w:spacing w:after="0" w:line="240" w:lineRule="auto"/>
        <w:ind w:left="0" w:right="-90" w:firstLine="0"/>
        <w:contextualSpacing w:val="0"/>
        <w:jc w:val="both"/>
        <w:rPr>
          <w:rFonts w:ascii="Verdana" w:hAnsi="Verdana"/>
          <w:sz w:val="20"/>
          <w:szCs w:val="20"/>
          <w:lang w:val="es-CR"/>
        </w:rPr>
      </w:pPr>
      <w:r w:rsidRPr="006C1C40">
        <w:rPr>
          <w:rFonts w:ascii="Verdana" w:hAnsi="Verdana"/>
          <w:sz w:val="20"/>
          <w:szCs w:val="20"/>
          <w:lang w:val="es-CR"/>
        </w:rPr>
        <w:lastRenderedPageBreak/>
        <w:t xml:space="preserve">Las dos resoluciones de supervisión de cumplimiento de sentencia emitidas </w:t>
      </w:r>
      <w:r w:rsidR="00633CCF" w:rsidRPr="006C1C40">
        <w:rPr>
          <w:rFonts w:ascii="Verdana" w:hAnsi="Verdana"/>
          <w:sz w:val="20"/>
          <w:szCs w:val="20"/>
          <w:lang w:val="es-CR"/>
        </w:rPr>
        <w:t xml:space="preserve">por la Corte </w:t>
      </w:r>
      <w:r w:rsidR="00633CCF" w:rsidRPr="00CA07A4">
        <w:rPr>
          <w:rFonts w:ascii="Verdana" w:hAnsi="Verdana"/>
          <w:sz w:val="20"/>
          <w:szCs w:val="20"/>
          <w:lang w:val="es-CR"/>
        </w:rPr>
        <w:t xml:space="preserve">Interamericana </w:t>
      </w:r>
      <w:r w:rsidRPr="00CA07A4">
        <w:rPr>
          <w:rFonts w:ascii="Verdana" w:hAnsi="Verdana"/>
          <w:sz w:val="20"/>
          <w:szCs w:val="20"/>
          <w:lang w:val="es-CR"/>
        </w:rPr>
        <w:t>el 27 de noviembre de 2002 y el 5 de agosto de 2008</w:t>
      </w:r>
      <w:r w:rsidRPr="00CA07A4">
        <w:rPr>
          <w:rStyle w:val="FootnoteReference"/>
          <w:rFonts w:ascii="Verdana" w:hAnsi="Verdana"/>
          <w:sz w:val="20"/>
          <w:szCs w:val="20"/>
          <w:lang w:val="es-CR"/>
        </w:rPr>
        <w:footnoteReference w:id="3"/>
      </w:r>
      <w:r w:rsidR="006C1C40" w:rsidRPr="00CA07A4">
        <w:rPr>
          <w:rFonts w:ascii="Verdana" w:hAnsi="Verdana"/>
          <w:sz w:val="20"/>
          <w:szCs w:val="20"/>
          <w:lang w:val="es-CR"/>
        </w:rPr>
        <w:t>, en las cuales consideró que se encontraba pendiente el cumplimiento de la obligación de investigar.</w:t>
      </w:r>
      <w:r w:rsidRPr="00CA07A4">
        <w:rPr>
          <w:rFonts w:ascii="Verdana" w:hAnsi="Verdana"/>
          <w:sz w:val="20"/>
          <w:szCs w:val="20"/>
          <w:lang w:val="es-CR"/>
        </w:rPr>
        <w:t xml:space="preserve"> </w:t>
      </w:r>
    </w:p>
    <w:p w14:paraId="6E6DC565" w14:textId="77777777" w:rsidR="00AB381D" w:rsidRDefault="00AB381D" w:rsidP="00AB381D">
      <w:pPr>
        <w:pStyle w:val="ListParagraph"/>
        <w:spacing w:after="0" w:line="240" w:lineRule="auto"/>
        <w:ind w:left="0" w:right="-90"/>
        <w:contextualSpacing w:val="0"/>
        <w:jc w:val="both"/>
        <w:rPr>
          <w:rFonts w:ascii="Verdana" w:hAnsi="Verdana"/>
          <w:sz w:val="20"/>
          <w:szCs w:val="20"/>
          <w:lang w:val="es-CR"/>
        </w:rPr>
      </w:pPr>
    </w:p>
    <w:p w14:paraId="5DAE3DC2" w14:textId="53FFCC80" w:rsidR="001F2EDC" w:rsidRDefault="001F2EDC" w:rsidP="002252AC">
      <w:pPr>
        <w:pStyle w:val="ListParagraph"/>
        <w:numPr>
          <w:ilvl w:val="0"/>
          <w:numId w:val="1"/>
        </w:numPr>
        <w:spacing w:after="0" w:line="240" w:lineRule="auto"/>
        <w:ind w:left="0" w:firstLine="0"/>
        <w:contextualSpacing w:val="0"/>
        <w:jc w:val="both"/>
        <w:rPr>
          <w:rFonts w:ascii="Verdana" w:hAnsi="Verdana"/>
          <w:sz w:val="20"/>
          <w:szCs w:val="20"/>
          <w:lang w:val="es-CR"/>
        </w:rPr>
      </w:pPr>
      <w:r>
        <w:rPr>
          <w:rFonts w:ascii="Verdana" w:hAnsi="Verdana"/>
          <w:sz w:val="20"/>
          <w:szCs w:val="20"/>
          <w:lang w:val="es-CR"/>
        </w:rPr>
        <w:t xml:space="preserve">El escrito </w:t>
      </w:r>
      <w:r>
        <w:rPr>
          <w:rFonts w:ascii="Verdana" w:hAnsi="Verdana"/>
          <w:sz w:val="20"/>
          <w:szCs w:val="20"/>
          <w:lang w:val="es-PR"/>
        </w:rPr>
        <w:t>d</w:t>
      </w:r>
      <w:r w:rsidRPr="00A22584">
        <w:rPr>
          <w:rFonts w:ascii="Verdana" w:hAnsi="Verdana"/>
          <w:sz w:val="20"/>
          <w:szCs w:val="20"/>
          <w:lang w:val="es-PR"/>
        </w:rPr>
        <w:t xml:space="preserve">e </w:t>
      </w:r>
      <w:r>
        <w:rPr>
          <w:rFonts w:ascii="Verdana" w:hAnsi="Verdana"/>
          <w:sz w:val="20"/>
          <w:szCs w:val="20"/>
          <w:lang w:val="es-PR"/>
        </w:rPr>
        <w:t>11</w:t>
      </w:r>
      <w:r w:rsidRPr="00A22584">
        <w:rPr>
          <w:rFonts w:ascii="Verdana" w:hAnsi="Verdana"/>
          <w:sz w:val="20"/>
          <w:szCs w:val="20"/>
          <w:lang w:val="es-PR"/>
        </w:rPr>
        <w:t xml:space="preserve"> de </w:t>
      </w:r>
      <w:r>
        <w:rPr>
          <w:rFonts w:ascii="Verdana" w:hAnsi="Verdana"/>
          <w:sz w:val="20"/>
          <w:szCs w:val="20"/>
          <w:lang w:val="es-PR"/>
        </w:rPr>
        <w:t xml:space="preserve">diciembre </w:t>
      </w:r>
      <w:r w:rsidRPr="00A22584">
        <w:rPr>
          <w:rFonts w:ascii="Verdana" w:hAnsi="Verdana"/>
          <w:sz w:val="20"/>
          <w:szCs w:val="20"/>
          <w:lang w:val="es-PR"/>
        </w:rPr>
        <w:t xml:space="preserve">de 2017 y sus anexos, mediante los cuales </w:t>
      </w:r>
      <w:r>
        <w:rPr>
          <w:rFonts w:ascii="Verdana" w:hAnsi="Verdana"/>
          <w:sz w:val="20"/>
          <w:szCs w:val="20"/>
          <w:lang w:val="es-PR"/>
        </w:rPr>
        <w:t>los representantes de las víctimas</w:t>
      </w:r>
      <w:r>
        <w:rPr>
          <w:rStyle w:val="FootnoteReference"/>
          <w:rFonts w:ascii="Verdana" w:hAnsi="Verdana"/>
          <w:sz w:val="20"/>
          <w:szCs w:val="20"/>
          <w:lang w:val="es-PR"/>
        </w:rPr>
        <w:footnoteReference w:id="4"/>
      </w:r>
      <w:r>
        <w:rPr>
          <w:rFonts w:ascii="Verdana" w:hAnsi="Verdana"/>
          <w:sz w:val="20"/>
          <w:szCs w:val="20"/>
          <w:lang w:val="es-PR"/>
        </w:rPr>
        <w:t xml:space="preserve"> solicitaron “la interposición de una medida provisional en tutela de la estabilidad en sus puestos” de los magistrados del Tribunal Constitucional del Perú Manuel Miranda Canales, Marianella Ledesma Narváez, Carlos Ramos Núñez y Eloy Espinosa-Saldaña Barrera</w:t>
      </w:r>
      <w:r w:rsidR="003B1A19">
        <w:rPr>
          <w:rFonts w:ascii="Verdana" w:hAnsi="Verdana"/>
          <w:sz w:val="20"/>
          <w:szCs w:val="20"/>
          <w:lang w:val="es-PR"/>
        </w:rPr>
        <w:t xml:space="preserve">, alegando que </w:t>
      </w:r>
      <w:r w:rsidR="003B1A19">
        <w:rPr>
          <w:rFonts w:ascii="Verdana" w:hAnsi="Verdana"/>
          <w:sz w:val="20"/>
          <w:szCs w:val="20"/>
          <w:lang w:val="es-CR"/>
        </w:rPr>
        <w:t>“</w:t>
      </w:r>
      <w:r>
        <w:rPr>
          <w:rFonts w:ascii="Verdana" w:hAnsi="Verdana"/>
          <w:sz w:val="20"/>
          <w:szCs w:val="20"/>
          <w:lang w:val="es-CR"/>
        </w:rPr>
        <w:t xml:space="preserve">se les busca destituir a través de una medida exclusivamente política, que tiene como finalidad de impedir la ejecución de lo dispuesto por la Corte” en la Sentencia del caso </w:t>
      </w:r>
      <w:r>
        <w:rPr>
          <w:rFonts w:ascii="Verdana" w:hAnsi="Verdana"/>
          <w:i/>
          <w:sz w:val="20"/>
          <w:szCs w:val="20"/>
          <w:lang w:val="es-CR"/>
        </w:rPr>
        <w:t>Durand y Ugarte</w:t>
      </w:r>
      <w:r w:rsidR="00951588">
        <w:rPr>
          <w:rFonts w:ascii="Verdana" w:hAnsi="Verdana"/>
          <w:sz w:val="20"/>
          <w:szCs w:val="20"/>
          <w:lang w:val="es-CR"/>
        </w:rPr>
        <w:t xml:space="preserve"> (</w:t>
      </w:r>
      <w:r w:rsidR="00951588">
        <w:rPr>
          <w:rFonts w:ascii="Verdana" w:hAnsi="Verdana"/>
          <w:i/>
          <w:sz w:val="20"/>
          <w:szCs w:val="20"/>
          <w:lang w:val="es-CR"/>
        </w:rPr>
        <w:t xml:space="preserve">supra </w:t>
      </w:r>
      <w:r w:rsidR="00951588">
        <w:rPr>
          <w:rFonts w:ascii="Verdana" w:hAnsi="Verdana"/>
          <w:sz w:val="20"/>
          <w:szCs w:val="20"/>
          <w:lang w:val="es-CR"/>
        </w:rPr>
        <w:t>Visto 1)</w:t>
      </w:r>
      <w:r w:rsidR="003B1A19">
        <w:rPr>
          <w:rFonts w:ascii="Verdana" w:hAnsi="Verdana"/>
          <w:sz w:val="20"/>
          <w:szCs w:val="20"/>
          <w:lang w:val="es-CR"/>
        </w:rPr>
        <w:t>.</w:t>
      </w:r>
    </w:p>
    <w:p w14:paraId="4F7ABF23" w14:textId="77777777" w:rsidR="002252AC" w:rsidRPr="002252AC" w:rsidRDefault="002252AC" w:rsidP="002252AC">
      <w:pPr>
        <w:spacing w:after="0" w:line="240" w:lineRule="auto"/>
        <w:jc w:val="both"/>
        <w:rPr>
          <w:rFonts w:ascii="Verdana" w:hAnsi="Verdana"/>
          <w:sz w:val="20"/>
          <w:szCs w:val="20"/>
        </w:rPr>
      </w:pPr>
    </w:p>
    <w:p w14:paraId="6D4F0AD1" w14:textId="3D53052C" w:rsidR="002252AC" w:rsidRPr="00AE1238" w:rsidRDefault="002252AC" w:rsidP="002252AC">
      <w:pPr>
        <w:pStyle w:val="ListParagraph"/>
        <w:numPr>
          <w:ilvl w:val="0"/>
          <w:numId w:val="1"/>
        </w:numPr>
        <w:spacing w:after="0" w:line="240" w:lineRule="auto"/>
        <w:ind w:left="0" w:firstLine="0"/>
        <w:contextualSpacing w:val="0"/>
        <w:jc w:val="both"/>
        <w:rPr>
          <w:rFonts w:ascii="Verdana" w:hAnsi="Verdana" w:cs="Verdana"/>
          <w:sz w:val="20"/>
          <w:szCs w:val="20"/>
          <w:lang w:val="es-CR"/>
        </w:rPr>
      </w:pPr>
      <w:r w:rsidRPr="00AE1238">
        <w:rPr>
          <w:rFonts w:ascii="Verdana" w:hAnsi="Verdana" w:cs="Verdana"/>
          <w:sz w:val="20"/>
          <w:szCs w:val="20"/>
          <w:lang w:val="es-CR"/>
        </w:rPr>
        <w:t>El escrito de 13 de diciembre de 2017, mediante el cual los representantes de las víctimas remitieron copia del “Informe Final” suscrito por el Congresista Cesar Antonio Segura Izquierdo, según le fue encomendado por la Subcomisión de Acusaciones Constitucionales del Congreso de la República del Perú y la comunicación electrónica de 14 de diciembre de 2017, mediante la cual los representantes de las víctimas indicaron que ese día “en horas de la noche la Sub</w:t>
      </w:r>
      <w:r w:rsidR="00D76599" w:rsidRPr="00AE1238">
        <w:rPr>
          <w:rFonts w:ascii="Verdana" w:hAnsi="Verdana" w:cs="Verdana"/>
          <w:sz w:val="20"/>
          <w:szCs w:val="20"/>
          <w:lang w:val="es-CR"/>
        </w:rPr>
        <w:t>[c]</w:t>
      </w:r>
      <w:r w:rsidRPr="00AE1238">
        <w:rPr>
          <w:rFonts w:ascii="Verdana" w:hAnsi="Verdana" w:cs="Verdana"/>
          <w:sz w:val="20"/>
          <w:szCs w:val="20"/>
          <w:lang w:val="es-CR"/>
        </w:rPr>
        <w:t>omisión de Acusaciones Constitucionales del Congreso de la República” aprobó un informe.</w:t>
      </w:r>
    </w:p>
    <w:p w14:paraId="3F373A1F" w14:textId="77777777" w:rsidR="002252AC" w:rsidRDefault="002252AC" w:rsidP="002252AC">
      <w:pPr>
        <w:pStyle w:val="ListParagraph"/>
        <w:spacing w:after="0" w:line="240" w:lineRule="auto"/>
        <w:ind w:left="0"/>
        <w:contextualSpacing w:val="0"/>
        <w:jc w:val="both"/>
        <w:rPr>
          <w:rFonts w:ascii="Verdana" w:hAnsi="Verdana" w:cs="Verdana"/>
          <w:sz w:val="20"/>
          <w:szCs w:val="20"/>
          <w:lang w:val="es-CR"/>
        </w:rPr>
      </w:pPr>
    </w:p>
    <w:p w14:paraId="0EEC381B" w14:textId="0B7A5564" w:rsidR="001F2EDC" w:rsidRDefault="001F2EDC" w:rsidP="002252AC">
      <w:pPr>
        <w:pStyle w:val="ListParagraph"/>
        <w:numPr>
          <w:ilvl w:val="0"/>
          <w:numId w:val="1"/>
        </w:numPr>
        <w:spacing w:after="0" w:line="240" w:lineRule="auto"/>
        <w:ind w:left="0" w:firstLine="0"/>
        <w:contextualSpacing w:val="0"/>
        <w:jc w:val="both"/>
        <w:rPr>
          <w:rFonts w:ascii="Verdana" w:hAnsi="Verdana" w:cs="Verdana"/>
          <w:sz w:val="20"/>
          <w:szCs w:val="20"/>
          <w:lang w:val="es-CR"/>
        </w:rPr>
      </w:pPr>
      <w:r>
        <w:rPr>
          <w:rFonts w:ascii="Verdana" w:hAnsi="Verdana" w:cs="Verdana"/>
          <w:sz w:val="20"/>
          <w:szCs w:val="20"/>
          <w:lang w:val="es-CR"/>
        </w:rPr>
        <w:t>Los</w:t>
      </w:r>
      <w:r w:rsidRPr="00A210C4">
        <w:rPr>
          <w:rFonts w:ascii="Verdana" w:hAnsi="Verdana" w:cs="Verdana"/>
          <w:sz w:val="20"/>
          <w:szCs w:val="20"/>
          <w:lang w:val="es-CR"/>
        </w:rPr>
        <w:t xml:space="preserve"> escrito</w:t>
      </w:r>
      <w:r>
        <w:rPr>
          <w:rFonts w:ascii="Verdana" w:hAnsi="Verdana" w:cs="Verdana"/>
          <w:sz w:val="20"/>
          <w:szCs w:val="20"/>
          <w:lang w:val="es-CR"/>
        </w:rPr>
        <w:t>s</w:t>
      </w:r>
      <w:r w:rsidRPr="00A210C4">
        <w:rPr>
          <w:rFonts w:ascii="Verdana" w:hAnsi="Verdana" w:cs="Verdana"/>
          <w:sz w:val="20"/>
          <w:szCs w:val="20"/>
          <w:lang w:val="es-CR"/>
        </w:rPr>
        <w:t xml:space="preserve"> presentado</w:t>
      </w:r>
      <w:r>
        <w:rPr>
          <w:rFonts w:ascii="Verdana" w:hAnsi="Verdana" w:cs="Verdana"/>
          <w:sz w:val="20"/>
          <w:szCs w:val="20"/>
          <w:lang w:val="es-CR"/>
        </w:rPr>
        <w:t>s por el Estado los días</w:t>
      </w:r>
      <w:r w:rsidRPr="00A210C4">
        <w:rPr>
          <w:rFonts w:ascii="Verdana" w:hAnsi="Verdana" w:cs="Verdana"/>
          <w:sz w:val="20"/>
          <w:szCs w:val="20"/>
          <w:lang w:val="es-CR"/>
        </w:rPr>
        <w:t xml:space="preserve"> 14 </w:t>
      </w:r>
      <w:r>
        <w:rPr>
          <w:rFonts w:ascii="Verdana" w:hAnsi="Verdana" w:cs="Verdana"/>
          <w:sz w:val="20"/>
          <w:szCs w:val="20"/>
          <w:lang w:val="es-CR"/>
        </w:rPr>
        <w:t xml:space="preserve">y 15 </w:t>
      </w:r>
      <w:r w:rsidRPr="00A210C4">
        <w:rPr>
          <w:rFonts w:ascii="Verdana" w:hAnsi="Verdana" w:cs="Verdana"/>
          <w:sz w:val="20"/>
          <w:szCs w:val="20"/>
          <w:lang w:val="es-CR"/>
        </w:rPr>
        <w:t>d</w:t>
      </w:r>
      <w:r>
        <w:rPr>
          <w:rFonts w:ascii="Verdana" w:hAnsi="Verdana" w:cs="Verdana"/>
          <w:sz w:val="20"/>
          <w:szCs w:val="20"/>
          <w:lang w:val="es-CR"/>
        </w:rPr>
        <w:t>e diciembre de 2017, mediante los</w:t>
      </w:r>
      <w:r w:rsidRPr="00A210C4">
        <w:rPr>
          <w:rFonts w:ascii="Verdana" w:hAnsi="Verdana" w:cs="Verdana"/>
          <w:sz w:val="20"/>
          <w:szCs w:val="20"/>
          <w:lang w:val="es-CR"/>
        </w:rPr>
        <w:t xml:space="preserve"> cual</w:t>
      </w:r>
      <w:r w:rsidR="00DF2A09">
        <w:rPr>
          <w:rFonts w:ascii="Verdana" w:hAnsi="Verdana" w:cs="Verdana"/>
          <w:sz w:val="20"/>
          <w:szCs w:val="20"/>
          <w:lang w:val="es-CR"/>
        </w:rPr>
        <w:t>es</w:t>
      </w:r>
      <w:r w:rsidRPr="00A210C4">
        <w:rPr>
          <w:rFonts w:ascii="Verdana" w:hAnsi="Verdana" w:cs="Verdana"/>
          <w:sz w:val="20"/>
          <w:szCs w:val="20"/>
          <w:lang w:val="es-CR"/>
        </w:rPr>
        <w:t xml:space="preserve"> presentó sus observaciones a la solicitud de medidas provisionales (</w:t>
      </w:r>
      <w:r w:rsidRPr="00A9579A">
        <w:rPr>
          <w:rFonts w:ascii="Verdana" w:hAnsi="Verdana" w:cs="Verdana"/>
          <w:i/>
          <w:sz w:val="20"/>
          <w:szCs w:val="20"/>
          <w:lang w:val="es-CR"/>
        </w:rPr>
        <w:t xml:space="preserve">supra </w:t>
      </w:r>
      <w:r>
        <w:rPr>
          <w:rFonts w:ascii="Verdana" w:hAnsi="Verdana" w:cs="Verdana"/>
          <w:sz w:val="20"/>
          <w:szCs w:val="20"/>
          <w:lang w:val="es-CR"/>
        </w:rPr>
        <w:t>Visto 3</w:t>
      </w:r>
      <w:r w:rsidRPr="00A9579A">
        <w:rPr>
          <w:rFonts w:ascii="Verdana" w:hAnsi="Verdana" w:cs="Verdana"/>
          <w:sz w:val="20"/>
          <w:szCs w:val="20"/>
          <w:lang w:val="es-CR"/>
        </w:rPr>
        <w:t>)</w:t>
      </w:r>
      <w:r>
        <w:rPr>
          <w:rFonts w:ascii="Verdana" w:hAnsi="Verdana" w:cs="Verdana"/>
          <w:sz w:val="20"/>
          <w:szCs w:val="20"/>
          <w:lang w:val="es-CR"/>
        </w:rPr>
        <w:t xml:space="preserve"> </w:t>
      </w:r>
      <w:r w:rsidR="00DF2A09">
        <w:rPr>
          <w:rFonts w:ascii="Verdana" w:hAnsi="Verdana" w:cs="Verdana"/>
          <w:sz w:val="20"/>
          <w:szCs w:val="20"/>
          <w:lang w:val="es-CR"/>
        </w:rPr>
        <w:t>y remitió</w:t>
      </w:r>
      <w:r>
        <w:rPr>
          <w:rFonts w:ascii="Verdana" w:hAnsi="Verdana" w:cs="Verdana"/>
          <w:sz w:val="20"/>
          <w:szCs w:val="20"/>
          <w:lang w:val="es-CR"/>
        </w:rPr>
        <w:t xml:space="preserve"> información adicional</w:t>
      </w:r>
      <w:r w:rsidRPr="00A9579A">
        <w:rPr>
          <w:rFonts w:ascii="Verdana" w:hAnsi="Verdana" w:cs="Verdana"/>
          <w:sz w:val="20"/>
          <w:szCs w:val="20"/>
          <w:lang w:val="es-CR"/>
        </w:rPr>
        <w:t>.</w:t>
      </w:r>
    </w:p>
    <w:p w14:paraId="05DE4A75" w14:textId="77777777" w:rsidR="002252AC" w:rsidRPr="00A210C4" w:rsidRDefault="002252AC" w:rsidP="002252AC">
      <w:pPr>
        <w:pStyle w:val="ListParagraph"/>
        <w:spacing w:after="0" w:line="240" w:lineRule="auto"/>
        <w:ind w:left="0"/>
        <w:contextualSpacing w:val="0"/>
        <w:jc w:val="both"/>
        <w:rPr>
          <w:rFonts w:ascii="Verdana" w:hAnsi="Verdana" w:cs="Verdana"/>
          <w:sz w:val="20"/>
          <w:szCs w:val="20"/>
          <w:lang w:val="es-CR"/>
        </w:rPr>
      </w:pPr>
    </w:p>
    <w:p w14:paraId="050F8AD6" w14:textId="6F2A9645" w:rsidR="001F2EDC" w:rsidRDefault="003B1A19" w:rsidP="00AB381D">
      <w:pPr>
        <w:pStyle w:val="ListParagraph"/>
        <w:numPr>
          <w:ilvl w:val="0"/>
          <w:numId w:val="1"/>
        </w:numPr>
        <w:spacing w:after="0" w:line="240" w:lineRule="auto"/>
        <w:ind w:left="0" w:right="-90" w:firstLine="0"/>
        <w:contextualSpacing w:val="0"/>
        <w:jc w:val="both"/>
        <w:rPr>
          <w:rFonts w:ascii="Verdana" w:hAnsi="Verdana"/>
          <w:sz w:val="20"/>
          <w:szCs w:val="20"/>
          <w:lang w:val="es-CR"/>
        </w:rPr>
      </w:pPr>
      <w:r>
        <w:rPr>
          <w:rFonts w:ascii="Verdana" w:hAnsi="Verdana"/>
          <w:sz w:val="20"/>
          <w:szCs w:val="20"/>
          <w:lang w:val="es-CR"/>
        </w:rPr>
        <w:t>El escrito presentado por la Comisión Interamericana el 15 de diciembre de 2017, mediante el cual remitió sus observaciones a la solicitud de medidas provisionales.</w:t>
      </w:r>
    </w:p>
    <w:p w14:paraId="00843204" w14:textId="77777777" w:rsidR="001F2EDC" w:rsidRPr="001F2EDC" w:rsidRDefault="001F2EDC" w:rsidP="001F2EDC">
      <w:pPr>
        <w:spacing w:after="0" w:line="240" w:lineRule="auto"/>
        <w:ind w:right="-90"/>
        <w:jc w:val="both"/>
        <w:rPr>
          <w:rFonts w:ascii="Verdana" w:hAnsi="Verdana"/>
          <w:sz w:val="20"/>
          <w:szCs w:val="20"/>
        </w:rPr>
      </w:pPr>
    </w:p>
    <w:p w14:paraId="043AA5BC" w14:textId="38475616" w:rsidR="00DD435C" w:rsidRPr="00DD435C" w:rsidRDefault="00F21255" w:rsidP="00AB381D">
      <w:pPr>
        <w:pStyle w:val="ListParagraph"/>
        <w:numPr>
          <w:ilvl w:val="0"/>
          <w:numId w:val="1"/>
        </w:numPr>
        <w:spacing w:after="0" w:line="240" w:lineRule="auto"/>
        <w:ind w:left="0" w:right="-90" w:firstLine="0"/>
        <w:contextualSpacing w:val="0"/>
        <w:jc w:val="both"/>
        <w:rPr>
          <w:rFonts w:ascii="Verdana" w:hAnsi="Verdana"/>
          <w:sz w:val="20"/>
          <w:szCs w:val="20"/>
          <w:lang w:val="es-CR"/>
        </w:rPr>
      </w:pPr>
      <w:r w:rsidRPr="00DD435C">
        <w:rPr>
          <w:rFonts w:ascii="Verdana" w:hAnsi="Verdana"/>
          <w:sz w:val="20"/>
          <w:szCs w:val="20"/>
          <w:lang w:val="es-CR"/>
        </w:rPr>
        <w:t>La</w:t>
      </w:r>
      <w:r w:rsidR="00243B12" w:rsidRPr="00DD435C">
        <w:rPr>
          <w:rFonts w:ascii="Verdana" w:hAnsi="Verdana"/>
          <w:sz w:val="20"/>
          <w:szCs w:val="20"/>
          <w:lang w:val="es-CR"/>
        </w:rPr>
        <w:t xml:space="preserve"> Resolución del Presidente de la Corte de 17 de diciembre de 2017</w:t>
      </w:r>
      <w:r w:rsidR="00DD435C">
        <w:rPr>
          <w:rStyle w:val="FootnoteReference"/>
          <w:rFonts w:ascii="Verdana" w:hAnsi="Verdana"/>
          <w:sz w:val="20"/>
          <w:szCs w:val="20"/>
          <w:lang w:val="es-CR"/>
        </w:rPr>
        <w:footnoteReference w:id="5"/>
      </w:r>
      <w:r w:rsidR="00AA33E2">
        <w:rPr>
          <w:rFonts w:ascii="Verdana" w:hAnsi="Verdana"/>
          <w:sz w:val="20"/>
          <w:szCs w:val="20"/>
          <w:lang w:val="es-CR"/>
        </w:rPr>
        <w:t xml:space="preserve"> (</w:t>
      </w:r>
      <w:r w:rsidR="00AA33E2" w:rsidRPr="00AA33E2">
        <w:rPr>
          <w:rFonts w:ascii="Verdana" w:hAnsi="Verdana"/>
          <w:i/>
          <w:sz w:val="20"/>
          <w:szCs w:val="20"/>
          <w:lang w:val="es-CR"/>
        </w:rPr>
        <w:t>infra</w:t>
      </w:r>
      <w:r w:rsidR="00444124">
        <w:rPr>
          <w:rFonts w:ascii="Verdana" w:hAnsi="Verdana"/>
          <w:sz w:val="20"/>
          <w:szCs w:val="20"/>
          <w:lang w:val="es-CR"/>
        </w:rPr>
        <w:t xml:space="preserve"> Considerandos 8 y 9</w:t>
      </w:r>
      <w:r w:rsidR="00AA33E2">
        <w:rPr>
          <w:rFonts w:ascii="Verdana" w:hAnsi="Verdana"/>
          <w:sz w:val="20"/>
          <w:szCs w:val="20"/>
          <w:lang w:val="es-CR"/>
        </w:rPr>
        <w:t>)</w:t>
      </w:r>
      <w:r w:rsidR="002E77DC">
        <w:rPr>
          <w:rFonts w:ascii="Verdana" w:hAnsi="Verdana"/>
          <w:sz w:val="20"/>
          <w:szCs w:val="20"/>
          <w:lang w:val="es-CR"/>
        </w:rPr>
        <w:t>,</w:t>
      </w:r>
      <w:r w:rsidR="00243B12" w:rsidRPr="00DD435C">
        <w:rPr>
          <w:rFonts w:ascii="Verdana" w:hAnsi="Verdana"/>
          <w:sz w:val="20"/>
          <w:szCs w:val="20"/>
          <w:lang w:val="es-CR"/>
        </w:rPr>
        <w:t xml:space="preserve"> mediante la cual adoptó </w:t>
      </w:r>
      <w:r w:rsidR="00DD435C" w:rsidRPr="00DD435C">
        <w:rPr>
          <w:rFonts w:ascii="Verdana" w:hAnsi="Verdana"/>
          <w:sz w:val="20"/>
          <w:szCs w:val="20"/>
          <w:lang w:val="es-CR"/>
        </w:rPr>
        <w:t>medida</w:t>
      </w:r>
      <w:r w:rsidR="00602D96">
        <w:rPr>
          <w:rFonts w:ascii="Verdana" w:hAnsi="Verdana"/>
          <w:sz w:val="20"/>
          <w:szCs w:val="20"/>
          <w:lang w:val="es-CR"/>
        </w:rPr>
        <w:t>s</w:t>
      </w:r>
      <w:r w:rsidR="00DD435C" w:rsidRPr="00DD435C">
        <w:rPr>
          <w:rFonts w:ascii="Verdana" w:hAnsi="Verdana"/>
          <w:sz w:val="20"/>
          <w:szCs w:val="20"/>
          <w:lang w:val="es-CR"/>
        </w:rPr>
        <w:t xml:space="preserve"> urgente</w:t>
      </w:r>
      <w:r w:rsidR="00602D96">
        <w:rPr>
          <w:rFonts w:ascii="Verdana" w:hAnsi="Verdana"/>
          <w:sz w:val="20"/>
          <w:szCs w:val="20"/>
          <w:lang w:val="es-CR"/>
        </w:rPr>
        <w:t>s</w:t>
      </w:r>
      <w:r w:rsidR="00243B12" w:rsidRPr="00DD435C">
        <w:rPr>
          <w:rFonts w:ascii="Verdana" w:hAnsi="Verdana"/>
          <w:sz w:val="20"/>
          <w:szCs w:val="20"/>
          <w:lang w:val="es-CR"/>
        </w:rPr>
        <w:t xml:space="preserve"> </w:t>
      </w:r>
      <w:r w:rsidR="00DD435C">
        <w:rPr>
          <w:rFonts w:ascii="Verdana" w:hAnsi="Verdana"/>
          <w:sz w:val="20"/>
          <w:szCs w:val="20"/>
          <w:lang w:val="es-CR"/>
        </w:rPr>
        <w:t>“</w:t>
      </w:r>
      <w:r w:rsidR="00DD435C" w:rsidRPr="00DD435C">
        <w:rPr>
          <w:rFonts w:ascii="Verdana" w:hAnsi="Verdana"/>
          <w:sz w:val="20"/>
          <w:szCs w:val="20"/>
          <w:lang w:val="es-CR"/>
        </w:rPr>
        <w:t>hasta que el Pleno de la Corte conozca la solicitud de medidas provisionales”, requirió información</w:t>
      </w:r>
      <w:r w:rsidR="00830A91">
        <w:rPr>
          <w:rFonts w:ascii="Verdana" w:hAnsi="Verdana"/>
          <w:sz w:val="20"/>
          <w:szCs w:val="20"/>
          <w:lang w:val="es-CR"/>
        </w:rPr>
        <w:t xml:space="preserve"> adicional</w:t>
      </w:r>
      <w:r w:rsidR="00DD435C" w:rsidRPr="00DD435C">
        <w:rPr>
          <w:rFonts w:ascii="Verdana" w:hAnsi="Verdana"/>
          <w:sz w:val="20"/>
          <w:szCs w:val="20"/>
          <w:lang w:val="es-CR"/>
        </w:rPr>
        <w:t xml:space="preserve"> a los representantes de las víctimas y amplió el objeto de la audiencia convocada por el Tribunal para ser celebrada en </w:t>
      </w:r>
      <w:r w:rsidR="004368CC">
        <w:rPr>
          <w:rFonts w:ascii="Verdana" w:hAnsi="Verdana"/>
          <w:sz w:val="20"/>
          <w:szCs w:val="20"/>
          <w:lang w:val="es-CR"/>
        </w:rPr>
        <w:t xml:space="preserve">el 2 de febrero de 2018 durante </w:t>
      </w:r>
      <w:r w:rsidR="00DD435C" w:rsidRPr="00DD435C">
        <w:rPr>
          <w:rFonts w:ascii="Verdana" w:hAnsi="Verdana"/>
          <w:sz w:val="20"/>
          <w:szCs w:val="20"/>
          <w:lang w:val="es-CR"/>
        </w:rPr>
        <w:t>el 121 Período Ordinario de Sesiones</w:t>
      </w:r>
      <w:r w:rsidR="00E93E75">
        <w:rPr>
          <w:rFonts w:ascii="Verdana" w:hAnsi="Verdana"/>
          <w:sz w:val="20"/>
          <w:szCs w:val="20"/>
          <w:lang w:val="es-CR"/>
        </w:rPr>
        <w:t>, de manera que la misma a</w:t>
      </w:r>
      <w:r w:rsidR="00DD435C" w:rsidRPr="00DD435C">
        <w:rPr>
          <w:rFonts w:ascii="Verdana" w:hAnsi="Verdana" w:cs="Verdana"/>
          <w:sz w:val="20"/>
          <w:szCs w:val="20"/>
          <w:lang w:val="es-CR"/>
        </w:rPr>
        <w:t>barcara “t</w:t>
      </w:r>
      <w:r w:rsidR="00DD435C" w:rsidRPr="00DD435C">
        <w:rPr>
          <w:rFonts w:ascii="Verdana" w:hAnsi="Verdana"/>
          <w:sz w:val="20"/>
          <w:szCs w:val="20"/>
          <w:lang w:val="es-CR"/>
        </w:rPr>
        <w:t>anto la supervisión de cumplimiento de sentencia como los argumentos de las partes y la Comisión Interamericana sobre la solicitud de medidas provisionales</w:t>
      </w:r>
      <w:r w:rsidR="00830A91">
        <w:rPr>
          <w:rFonts w:ascii="Verdana" w:hAnsi="Verdana"/>
          <w:sz w:val="20"/>
          <w:szCs w:val="20"/>
          <w:lang w:val="es-CR"/>
        </w:rPr>
        <w:t>”.</w:t>
      </w:r>
      <w:r w:rsidR="00DD435C">
        <w:rPr>
          <w:rFonts w:ascii="Verdana" w:hAnsi="Verdana"/>
          <w:sz w:val="20"/>
          <w:szCs w:val="20"/>
          <w:lang w:val="es-CR"/>
        </w:rPr>
        <w:t xml:space="preserve"> </w:t>
      </w:r>
    </w:p>
    <w:p w14:paraId="58F4E274" w14:textId="77777777" w:rsidR="00AB381D" w:rsidRDefault="00AB381D" w:rsidP="00AB381D">
      <w:pPr>
        <w:pStyle w:val="ListParagraph"/>
        <w:spacing w:after="0" w:line="240" w:lineRule="auto"/>
        <w:ind w:left="0" w:right="-90"/>
        <w:contextualSpacing w:val="0"/>
        <w:jc w:val="both"/>
        <w:rPr>
          <w:rFonts w:ascii="Verdana" w:hAnsi="Verdana"/>
          <w:sz w:val="20"/>
          <w:szCs w:val="20"/>
          <w:lang w:val="es-CR"/>
        </w:rPr>
      </w:pPr>
    </w:p>
    <w:p w14:paraId="45A06F15" w14:textId="5EEEFBC5" w:rsidR="00A11F49" w:rsidRDefault="00A11F49" w:rsidP="00AB381D">
      <w:pPr>
        <w:pStyle w:val="ListParagraph"/>
        <w:numPr>
          <w:ilvl w:val="0"/>
          <w:numId w:val="1"/>
        </w:numPr>
        <w:spacing w:after="0" w:line="240" w:lineRule="auto"/>
        <w:ind w:left="0" w:right="-90" w:firstLine="0"/>
        <w:contextualSpacing w:val="0"/>
        <w:jc w:val="both"/>
        <w:rPr>
          <w:rFonts w:ascii="Verdana" w:hAnsi="Verdana"/>
          <w:sz w:val="20"/>
          <w:szCs w:val="20"/>
          <w:lang w:val="es-CR"/>
        </w:rPr>
      </w:pPr>
      <w:r>
        <w:rPr>
          <w:rFonts w:ascii="Verdana" w:hAnsi="Verdana"/>
          <w:sz w:val="20"/>
          <w:szCs w:val="20"/>
          <w:lang w:val="es-CR"/>
        </w:rPr>
        <w:t xml:space="preserve">El escrito de 18 de diciembre de 2018, mediante el cual el Estado presentó un informe </w:t>
      </w:r>
      <w:r w:rsidR="00EA0AA8">
        <w:rPr>
          <w:rFonts w:ascii="Verdana" w:hAnsi="Verdana"/>
          <w:sz w:val="20"/>
          <w:szCs w:val="20"/>
          <w:lang w:val="es-CR"/>
        </w:rPr>
        <w:t xml:space="preserve">sobre </w:t>
      </w:r>
      <w:r>
        <w:rPr>
          <w:rFonts w:ascii="Verdana" w:hAnsi="Verdana"/>
          <w:sz w:val="20"/>
          <w:szCs w:val="20"/>
          <w:lang w:val="es-CR"/>
        </w:rPr>
        <w:t>cumplimiento</w:t>
      </w:r>
      <w:r w:rsidR="00EA0AA8">
        <w:rPr>
          <w:rFonts w:ascii="Verdana" w:hAnsi="Verdana"/>
          <w:sz w:val="20"/>
          <w:szCs w:val="20"/>
          <w:lang w:val="es-CR"/>
        </w:rPr>
        <w:t xml:space="preserve"> de sentencia que contempla información relativa</w:t>
      </w:r>
      <w:r>
        <w:rPr>
          <w:rFonts w:ascii="Verdana" w:hAnsi="Verdana"/>
          <w:sz w:val="20"/>
          <w:szCs w:val="20"/>
          <w:lang w:val="es-CR"/>
        </w:rPr>
        <w:t xml:space="preserve"> al procedimiento de acusación constitucional seguido co</w:t>
      </w:r>
      <w:r w:rsidR="00EA0AA8">
        <w:rPr>
          <w:rFonts w:ascii="Verdana" w:hAnsi="Verdana"/>
          <w:sz w:val="20"/>
          <w:szCs w:val="20"/>
          <w:lang w:val="es-CR"/>
        </w:rPr>
        <w:t>ntra cuatro</w:t>
      </w:r>
      <w:r>
        <w:rPr>
          <w:rFonts w:ascii="Verdana" w:hAnsi="Verdana"/>
          <w:sz w:val="20"/>
          <w:szCs w:val="20"/>
          <w:lang w:val="es-CR"/>
        </w:rPr>
        <w:t xml:space="preserve"> magistrados del Tribunal Constitucional.</w:t>
      </w:r>
    </w:p>
    <w:p w14:paraId="36D24488" w14:textId="77777777" w:rsidR="00AB381D" w:rsidRDefault="00AB381D" w:rsidP="00AB381D">
      <w:pPr>
        <w:pStyle w:val="ListParagraph"/>
        <w:spacing w:after="0" w:line="240" w:lineRule="auto"/>
        <w:ind w:left="0" w:right="-90"/>
        <w:contextualSpacing w:val="0"/>
        <w:jc w:val="both"/>
        <w:rPr>
          <w:rFonts w:ascii="Verdana" w:hAnsi="Verdana"/>
          <w:sz w:val="20"/>
          <w:szCs w:val="20"/>
          <w:lang w:val="es-CR"/>
        </w:rPr>
      </w:pPr>
    </w:p>
    <w:p w14:paraId="3B9BEF52" w14:textId="49C1FA15" w:rsidR="00ED21D6" w:rsidRDefault="00D1188B" w:rsidP="00AB381D">
      <w:pPr>
        <w:pStyle w:val="ListParagraph"/>
        <w:numPr>
          <w:ilvl w:val="0"/>
          <w:numId w:val="1"/>
        </w:numPr>
        <w:spacing w:after="0" w:line="240" w:lineRule="auto"/>
        <w:ind w:left="0" w:right="-90" w:firstLine="0"/>
        <w:contextualSpacing w:val="0"/>
        <w:jc w:val="both"/>
        <w:rPr>
          <w:rFonts w:ascii="Verdana" w:hAnsi="Verdana"/>
          <w:sz w:val="20"/>
          <w:szCs w:val="20"/>
          <w:lang w:val="es-CR"/>
        </w:rPr>
      </w:pPr>
      <w:r>
        <w:rPr>
          <w:rFonts w:ascii="Verdana" w:hAnsi="Verdana"/>
          <w:sz w:val="20"/>
          <w:szCs w:val="20"/>
          <w:lang w:val="es-CR"/>
        </w:rPr>
        <w:t>Los</w:t>
      </w:r>
      <w:r w:rsidR="00ED21D6">
        <w:rPr>
          <w:rFonts w:ascii="Verdana" w:hAnsi="Verdana"/>
          <w:sz w:val="20"/>
          <w:szCs w:val="20"/>
          <w:lang w:val="es-CR"/>
        </w:rPr>
        <w:t xml:space="preserve"> escrito</w:t>
      </w:r>
      <w:r>
        <w:rPr>
          <w:rFonts w:ascii="Verdana" w:hAnsi="Verdana"/>
          <w:sz w:val="20"/>
          <w:szCs w:val="20"/>
          <w:lang w:val="es-CR"/>
        </w:rPr>
        <w:t>s</w:t>
      </w:r>
      <w:r w:rsidR="00ED21D6">
        <w:rPr>
          <w:rFonts w:ascii="Verdana" w:hAnsi="Verdana"/>
          <w:sz w:val="20"/>
          <w:szCs w:val="20"/>
          <w:lang w:val="es-CR"/>
        </w:rPr>
        <w:t xml:space="preserve"> </w:t>
      </w:r>
      <w:r w:rsidR="00ED21D6">
        <w:rPr>
          <w:rFonts w:ascii="Verdana" w:hAnsi="Verdana"/>
          <w:sz w:val="20"/>
          <w:szCs w:val="20"/>
          <w:lang w:val="es-PR"/>
        </w:rPr>
        <w:t>d</w:t>
      </w:r>
      <w:r w:rsidR="00ED21D6" w:rsidRPr="00A22584">
        <w:rPr>
          <w:rFonts w:ascii="Verdana" w:hAnsi="Verdana"/>
          <w:sz w:val="20"/>
          <w:szCs w:val="20"/>
          <w:lang w:val="es-PR"/>
        </w:rPr>
        <w:t xml:space="preserve">e </w:t>
      </w:r>
      <w:r w:rsidR="00ED21D6">
        <w:rPr>
          <w:rFonts w:ascii="Verdana" w:hAnsi="Verdana"/>
          <w:sz w:val="20"/>
          <w:szCs w:val="20"/>
          <w:lang w:val="es-PR"/>
        </w:rPr>
        <w:t xml:space="preserve">10 de enero </w:t>
      </w:r>
      <w:r>
        <w:rPr>
          <w:rFonts w:ascii="Verdana" w:hAnsi="Verdana"/>
          <w:sz w:val="20"/>
          <w:szCs w:val="20"/>
          <w:lang w:val="es-PR"/>
        </w:rPr>
        <w:t xml:space="preserve">y 1 de febrero </w:t>
      </w:r>
      <w:r w:rsidR="00ED21D6">
        <w:rPr>
          <w:rFonts w:ascii="Verdana" w:hAnsi="Verdana"/>
          <w:sz w:val="20"/>
          <w:szCs w:val="20"/>
          <w:lang w:val="es-PR"/>
        </w:rPr>
        <w:t>de 2018</w:t>
      </w:r>
      <w:r w:rsidR="00ED21D6" w:rsidRPr="00A22584">
        <w:rPr>
          <w:rFonts w:ascii="Verdana" w:hAnsi="Verdana"/>
          <w:sz w:val="20"/>
          <w:szCs w:val="20"/>
          <w:lang w:val="es-PR"/>
        </w:rPr>
        <w:t xml:space="preserve">, mediante </w:t>
      </w:r>
      <w:r>
        <w:rPr>
          <w:rFonts w:ascii="Verdana" w:hAnsi="Verdana"/>
          <w:sz w:val="20"/>
          <w:szCs w:val="20"/>
          <w:lang w:val="es-PR"/>
        </w:rPr>
        <w:t>los</w:t>
      </w:r>
      <w:r w:rsidR="00ED21D6">
        <w:rPr>
          <w:rFonts w:ascii="Verdana" w:hAnsi="Verdana"/>
          <w:sz w:val="20"/>
          <w:szCs w:val="20"/>
          <w:lang w:val="es-PR"/>
        </w:rPr>
        <w:t xml:space="preserve"> </w:t>
      </w:r>
      <w:r w:rsidR="00ED21D6" w:rsidRPr="00A22584">
        <w:rPr>
          <w:rFonts w:ascii="Verdana" w:hAnsi="Verdana"/>
          <w:sz w:val="20"/>
          <w:szCs w:val="20"/>
          <w:lang w:val="es-PR"/>
        </w:rPr>
        <w:t>cual</w:t>
      </w:r>
      <w:r>
        <w:rPr>
          <w:rFonts w:ascii="Verdana" w:hAnsi="Verdana"/>
          <w:sz w:val="20"/>
          <w:szCs w:val="20"/>
          <w:lang w:val="es-PR"/>
        </w:rPr>
        <w:t>es</w:t>
      </w:r>
      <w:r w:rsidR="00ED21D6" w:rsidRPr="00A22584">
        <w:rPr>
          <w:rFonts w:ascii="Verdana" w:hAnsi="Verdana"/>
          <w:sz w:val="20"/>
          <w:szCs w:val="20"/>
          <w:lang w:val="es-PR"/>
        </w:rPr>
        <w:t xml:space="preserve"> </w:t>
      </w:r>
      <w:r w:rsidR="00ED21D6">
        <w:rPr>
          <w:rFonts w:ascii="Verdana" w:hAnsi="Verdana"/>
          <w:sz w:val="20"/>
          <w:szCs w:val="20"/>
          <w:lang w:val="es-PR"/>
        </w:rPr>
        <w:t xml:space="preserve">los representantes de las víctimas </w:t>
      </w:r>
      <w:r>
        <w:rPr>
          <w:rFonts w:ascii="Verdana" w:hAnsi="Verdana"/>
          <w:sz w:val="20"/>
          <w:szCs w:val="20"/>
          <w:lang w:val="es-PR"/>
        </w:rPr>
        <w:t xml:space="preserve">dieron respuesta a la solicitud de </w:t>
      </w:r>
      <w:r w:rsidR="00ED21D6">
        <w:rPr>
          <w:rFonts w:ascii="Verdana" w:hAnsi="Verdana"/>
          <w:sz w:val="20"/>
          <w:szCs w:val="20"/>
          <w:lang w:val="es-PR"/>
        </w:rPr>
        <w:t xml:space="preserve">información </w:t>
      </w:r>
      <w:r>
        <w:rPr>
          <w:rFonts w:ascii="Verdana" w:hAnsi="Verdana"/>
          <w:sz w:val="20"/>
          <w:szCs w:val="20"/>
          <w:lang w:val="es-PR"/>
        </w:rPr>
        <w:t xml:space="preserve">efectuada por el </w:t>
      </w:r>
      <w:r w:rsidR="00ED21D6">
        <w:rPr>
          <w:rFonts w:ascii="Verdana" w:hAnsi="Verdana"/>
          <w:sz w:val="20"/>
          <w:szCs w:val="20"/>
          <w:lang w:val="es-PR"/>
        </w:rPr>
        <w:t>Presidente del Tribunal (</w:t>
      </w:r>
      <w:r w:rsidR="00ED21D6">
        <w:rPr>
          <w:rFonts w:ascii="Verdana" w:hAnsi="Verdana"/>
          <w:i/>
          <w:sz w:val="20"/>
          <w:szCs w:val="20"/>
          <w:lang w:val="es-PR"/>
        </w:rPr>
        <w:t xml:space="preserve">supra </w:t>
      </w:r>
      <w:r w:rsidR="003D0652">
        <w:rPr>
          <w:rFonts w:ascii="Verdana" w:hAnsi="Verdana"/>
          <w:sz w:val="20"/>
          <w:szCs w:val="20"/>
          <w:lang w:val="es-PR"/>
        </w:rPr>
        <w:t>Visto 6</w:t>
      </w:r>
      <w:r w:rsidR="00ED21D6">
        <w:rPr>
          <w:rFonts w:ascii="Verdana" w:hAnsi="Verdana"/>
          <w:sz w:val="20"/>
          <w:szCs w:val="20"/>
          <w:lang w:val="es-PR"/>
        </w:rPr>
        <w:t>)</w:t>
      </w:r>
      <w:r w:rsidR="00ED21D6">
        <w:rPr>
          <w:rFonts w:ascii="Verdana" w:hAnsi="Verdana"/>
          <w:sz w:val="20"/>
          <w:szCs w:val="20"/>
          <w:lang w:val="es-CR"/>
        </w:rPr>
        <w:t xml:space="preserve">. </w:t>
      </w:r>
    </w:p>
    <w:p w14:paraId="4FB48589" w14:textId="77777777" w:rsidR="00AB381D" w:rsidRDefault="00AB381D" w:rsidP="00AB381D">
      <w:pPr>
        <w:pStyle w:val="ListParagraph"/>
        <w:spacing w:after="0" w:line="240" w:lineRule="auto"/>
        <w:ind w:left="0" w:right="-90"/>
        <w:contextualSpacing w:val="0"/>
        <w:jc w:val="both"/>
        <w:rPr>
          <w:rFonts w:ascii="Verdana" w:hAnsi="Verdana"/>
          <w:sz w:val="18"/>
          <w:szCs w:val="20"/>
          <w:lang w:val="es-CR"/>
        </w:rPr>
      </w:pPr>
    </w:p>
    <w:p w14:paraId="3005CE5A" w14:textId="77777777" w:rsidR="000C2908" w:rsidRPr="00AB381D" w:rsidRDefault="000C2908" w:rsidP="00AB381D">
      <w:pPr>
        <w:pStyle w:val="ListParagraph"/>
        <w:spacing w:after="0" w:line="240" w:lineRule="auto"/>
        <w:ind w:left="0" w:right="-90"/>
        <w:contextualSpacing w:val="0"/>
        <w:jc w:val="both"/>
        <w:rPr>
          <w:rFonts w:ascii="Verdana" w:hAnsi="Verdana"/>
          <w:sz w:val="18"/>
          <w:szCs w:val="20"/>
          <w:lang w:val="es-CR"/>
        </w:rPr>
      </w:pPr>
    </w:p>
    <w:p w14:paraId="5B73BA2D" w14:textId="7930CD3E" w:rsidR="00ED21D6" w:rsidRPr="00ED21D6" w:rsidRDefault="00ED21D6" w:rsidP="00AB381D">
      <w:pPr>
        <w:pStyle w:val="ListParagraph"/>
        <w:numPr>
          <w:ilvl w:val="0"/>
          <w:numId w:val="1"/>
        </w:numPr>
        <w:spacing w:after="0" w:line="240" w:lineRule="auto"/>
        <w:ind w:left="0" w:right="-90" w:firstLine="0"/>
        <w:contextualSpacing w:val="0"/>
        <w:jc w:val="both"/>
        <w:rPr>
          <w:rFonts w:ascii="Verdana" w:hAnsi="Verdana"/>
          <w:sz w:val="18"/>
          <w:szCs w:val="20"/>
          <w:lang w:val="es-CR"/>
        </w:rPr>
      </w:pPr>
      <w:r w:rsidRPr="00ED21D6">
        <w:rPr>
          <w:rFonts w:ascii="Verdana" w:hAnsi="Verdana"/>
          <w:sz w:val="20"/>
          <w:lang w:val="es-CR"/>
        </w:rPr>
        <w:lastRenderedPageBreak/>
        <w:t xml:space="preserve">El escrito de </w:t>
      </w:r>
      <w:r>
        <w:rPr>
          <w:rFonts w:ascii="Verdana" w:hAnsi="Verdana"/>
          <w:sz w:val="20"/>
          <w:lang w:val="es-CR"/>
        </w:rPr>
        <w:t>26 de enero de 2018</w:t>
      </w:r>
      <w:r w:rsidRPr="00ED21D6">
        <w:rPr>
          <w:rFonts w:ascii="Verdana" w:hAnsi="Verdana"/>
          <w:sz w:val="20"/>
          <w:lang w:val="es-CR"/>
        </w:rPr>
        <w:t xml:space="preserve"> presentado en calidad de </w:t>
      </w:r>
      <w:r w:rsidRPr="00ED21D6">
        <w:rPr>
          <w:rFonts w:ascii="Verdana" w:hAnsi="Verdana"/>
          <w:i/>
          <w:sz w:val="20"/>
          <w:lang w:val="es-CR"/>
        </w:rPr>
        <w:t>amici curiae</w:t>
      </w:r>
      <w:r w:rsidRPr="00ED21D6">
        <w:rPr>
          <w:rFonts w:ascii="Verdana" w:hAnsi="Verdana"/>
          <w:sz w:val="20"/>
          <w:lang w:val="es-CR"/>
        </w:rPr>
        <w:t xml:space="preserve"> por </w:t>
      </w:r>
      <w:r w:rsidR="00735CE4" w:rsidRPr="00735CE4">
        <w:rPr>
          <w:rFonts w:ascii="Verdana" w:hAnsi="Verdana"/>
          <w:sz w:val="20"/>
          <w:lang w:val="es-CR"/>
        </w:rPr>
        <w:t xml:space="preserve">Juan Alberto Ágreda Huamán, José Santiago Bryson De La Barrera, Julio César Casusol Martínez, Jorge Enrique Curzo Ramírez, Toribio Dioses Lupu, Américo Manuel Martínez Cárdenas, Wilbert William Puerta Calderón, Edgar Félix Rojas Poma, Nicolás David Romero Saldaña, Cilas Timoteo </w:t>
      </w:r>
      <w:r w:rsidR="00B2253A">
        <w:rPr>
          <w:rFonts w:ascii="Verdana" w:hAnsi="Verdana"/>
          <w:sz w:val="20"/>
          <w:lang w:val="es-CR"/>
        </w:rPr>
        <w:t>Sanabria Payano,</w:t>
      </w:r>
      <w:r w:rsidR="00735CE4" w:rsidRPr="00735CE4">
        <w:rPr>
          <w:rFonts w:ascii="Verdana" w:hAnsi="Verdana"/>
          <w:sz w:val="20"/>
          <w:lang w:val="es-CR"/>
        </w:rPr>
        <w:t xml:space="preserve"> Hipólito Fermín Silva Torres, Sergio C. B. Tapia Tap</w:t>
      </w:r>
      <w:r w:rsidR="00735CE4">
        <w:rPr>
          <w:rFonts w:ascii="Verdana" w:hAnsi="Verdana"/>
          <w:sz w:val="20"/>
          <w:lang w:val="es-CR"/>
        </w:rPr>
        <w:t>ia y Humberto Abanto Verástegui</w:t>
      </w:r>
      <w:r w:rsidR="006A1FFF">
        <w:rPr>
          <w:rStyle w:val="FootnoteReference"/>
          <w:rFonts w:ascii="Verdana" w:hAnsi="Verdana"/>
          <w:sz w:val="20"/>
          <w:lang w:val="es-CR"/>
        </w:rPr>
        <w:footnoteReference w:id="6"/>
      </w:r>
      <w:r w:rsidR="00735CE4">
        <w:rPr>
          <w:rFonts w:ascii="Verdana" w:hAnsi="Verdana"/>
          <w:sz w:val="20"/>
          <w:lang w:val="es-CR"/>
        </w:rPr>
        <w:t>.</w:t>
      </w:r>
    </w:p>
    <w:p w14:paraId="56A93D21" w14:textId="77777777" w:rsidR="00AB381D" w:rsidRDefault="00AB381D" w:rsidP="00AB381D">
      <w:pPr>
        <w:pStyle w:val="ListParagraph"/>
        <w:spacing w:after="0" w:line="240" w:lineRule="auto"/>
        <w:ind w:left="0" w:right="-90"/>
        <w:contextualSpacing w:val="0"/>
        <w:jc w:val="both"/>
        <w:rPr>
          <w:rFonts w:ascii="Verdana" w:hAnsi="Verdana"/>
          <w:sz w:val="20"/>
          <w:szCs w:val="20"/>
          <w:lang w:val="es-CR"/>
        </w:rPr>
      </w:pPr>
    </w:p>
    <w:p w14:paraId="359AF354" w14:textId="77777777" w:rsidR="003C56C7" w:rsidRDefault="003C56C7" w:rsidP="00AB381D">
      <w:pPr>
        <w:pStyle w:val="ListParagraph"/>
        <w:numPr>
          <w:ilvl w:val="0"/>
          <w:numId w:val="1"/>
        </w:numPr>
        <w:spacing w:after="0" w:line="240" w:lineRule="auto"/>
        <w:ind w:left="0" w:right="-90" w:firstLine="0"/>
        <w:contextualSpacing w:val="0"/>
        <w:jc w:val="both"/>
        <w:rPr>
          <w:rFonts w:ascii="Verdana" w:hAnsi="Verdana"/>
          <w:sz w:val="20"/>
          <w:szCs w:val="20"/>
          <w:lang w:val="es-CR"/>
        </w:rPr>
      </w:pPr>
      <w:r>
        <w:rPr>
          <w:rFonts w:ascii="Verdana" w:hAnsi="Verdana"/>
          <w:sz w:val="20"/>
          <w:szCs w:val="20"/>
          <w:lang w:val="es-CR"/>
        </w:rPr>
        <w:t>La audiencia pública sobre supervisión de cumplimiento de sentencia y solicitud de medidas provisionales, celebrada el 2 de febrero de 2018 en la sede del Tribunal</w:t>
      </w:r>
      <w:r w:rsidR="00646D55">
        <w:rPr>
          <w:rStyle w:val="FootnoteReference"/>
          <w:rFonts w:ascii="Verdana" w:hAnsi="Verdana"/>
          <w:sz w:val="20"/>
          <w:szCs w:val="20"/>
          <w:lang w:val="es-CR"/>
        </w:rPr>
        <w:footnoteReference w:id="7"/>
      </w:r>
      <w:r>
        <w:rPr>
          <w:rFonts w:ascii="Verdana" w:hAnsi="Verdana"/>
          <w:sz w:val="20"/>
          <w:szCs w:val="20"/>
          <w:lang w:val="es-CR"/>
        </w:rPr>
        <w:t>.</w:t>
      </w:r>
    </w:p>
    <w:p w14:paraId="028A8F5D" w14:textId="77777777" w:rsidR="002252AC" w:rsidRPr="002252AC" w:rsidRDefault="002252AC" w:rsidP="002252AC">
      <w:pPr>
        <w:spacing w:after="0" w:line="240" w:lineRule="auto"/>
        <w:rPr>
          <w:rFonts w:ascii="Verdana" w:hAnsi="Verdana"/>
          <w:sz w:val="20"/>
          <w:szCs w:val="20"/>
        </w:rPr>
      </w:pPr>
    </w:p>
    <w:p w14:paraId="50CE9612" w14:textId="58C185B7" w:rsidR="002252AC" w:rsidRPr="00AE1238" w:rsidRDefault="00322EC7" w:rsidP="002252AC">
      <w:pPr>
        <w:pStyle w:val="ListParagraph"/>
        <w:numPr>
          <w:ilvl w:val="0"/>
          <w:numId w:val="1"/>
        </w:numPr>
        <w:spacing w:after="0" w:line="240" w:lineRule="auto"/>
        <w:ind w:left="0" w:firstLine="0"/>
        <w:contextualSpacing w:val="0"/>
        <w:jc w:val="both"/>
        <w:rPr>
          <w:rFonts w:ascii="Verdana" w:hAnsi="Verdana"/>
          <w:sz w:val="20"/>
          <w:szCs w:val="20"/>
          <w:lang w:val="es-CR"/>
        </w:rPr>
      </w:pPr>
      <w:r w:rsidRPr="00AE1238">
        <w:rPr>
          <w:rFonts w:ascii="Verdana" w:hAnsi="Verdana"/>
          <w:sz w:val="20"/>
          <w:lang w:val="es-CR"/>
        </w:rPr>
        <w:t>El anexo al escrito presentado por el Estado el 6 de febrero de 2018 que contiene la copia del Reglamento del Congreso de la República, de conformidad con lo requerido por el Presidente de la Corte mediante nota de la Secretaría del Tribunal 1 de febrero de 2018.</w:t>
      </w:r>
    </w:p>
    <w:p w14:paraId="6D2FF5A9" w14:textId="77777777" w:rsidR="00143BC1" w:rsidRDefault="00143BC1" w:rsidP="00AB381D">
      <w:pPr>
        <w:spacing w:after="0" w:line="240" w:lineRule="auto"/>
        <w:jc w:val="both"/>
        <w:rPr>
          <w:rFonts w:ascii="Verdana" w:hAnsi="Verdana"/>
          <w:b/>
          <w:sz w:val="20"/>
          <w:szCs w:val="20"/>
        </w:rPr>
      </w:pPr>
    </w:p>
    <w:p w14:paraId="69CA1215" w14:textId="77777777" w:rsidR="000C2908" w:rsidRDefault="000C2908" w:rsidP="00AB381D">
      <w:pPr>
        <w:spacing w:after="0" w:line="240" w:lineRule="auto"/>
        <w:jc w:val="both"/>
        <w:rPr>
          <w:rFonts w:ascii="Verdana" w:hAnsi="Verdana"/>
          <w:b/>
          <w:sz w:val="20"/>
          <w:szCs w:val="20"/>
        </w:rPr>
      </w:pPr>
    </w:p>
    <w:p w14:paraId="03EB0585" w14:textId="77777777" w:rsidR="00C873B3" w:rsidRPr="00C873B3" w:rsidRDefault="004F5E47" w:rsidP="00AB381D">
      <w:pPr>
        <w:spacing w:after="0" w:line="240" w:lineRule="auto"/>
        <w:jc w:val="both"/>
        <w:rPr>
          <w:rFonts w:ascii="Verdana" w:hAnsi="Verdana"/>
          <w:b/>
          <w:sz w:val="20"/>
          <w:szCs w:val="20"/>
        </w:rPr>
      </w:pPr>
      <w:r w:rsidRPr="00710B29">
        <w:rPr>
          <w:rFonts w:ascii="Verdana" w:hAnsi="Verdana"/>
          <w:b/>
          <w:sz w:val="20"/>
          <w:szCs w:val="20"/>
        </w:rPr>
        <w:t>CONSIDERANDO QUE:</w:t>
      </w:r>
    </w:p>
    <w:p w14:paraId="6A3F5FAF" w14:textId="77777777" w:rsidR="00AB381D" w:rsidRDefault="00AB381D" w:rsidP="00AB381D">
      <w:pPr>
        <w:pStyle w:val="ListParagraph"/>
        <w:spacing w:after="0" w:line="240" w:lineRule="auto"/>
        <w:ind w:left="0"/>
        <w:contextualSpacing w:val="0"/>
        <w:jc w:val="both"/>
        <w:rPr>
          <w:rFonts w:ascii="Verdana" w:hAnsi="Verdana" w:cs="Verdana"/>
          <w:sz w:val="20"/>
          <w:szCs w:val="20"/>
          <w:lang w:val="es-CR"/>
        </w:rPr>
      </w:pPr>
    </w:p>
    <w:p w14:paraId="1C46A866" w14:textId="77777777" w:rsidR="005D6C95" w:rsidRPr="00A257EE" w:rsidRDefault="00726B56" w:rsidP="007C15A1">
      <w:pPr>
        <w:pStyle w:val="ListParagraph"/>
        <w:numPr>
          <w:ilvl w:val="0"/>
          <w:numId w:val="3"/>
        </w:numPr>
        <w:spacing w:after="0" w:line="240" w:lineRule="auto"/>
        <w:ind w:left="0" w:firstLine="0"/>
        <w:contextualSpacing w:val="0"/>
        <w:jc w:val="both"/>
        <w:rPr>
          <w:rFonts w:ascii="Verdana" w:hAnsi="Verdana" w:cs="Verdana"/>
          <w:sz w:val="20"/>
          <w:szCs w:val="20"/>
          <w:lang w:val="es-CR"/>
        </w:rPr>
      </w:pPr>
      <w:r>
        <w:rPr>
          <w:rFonts w:ascii="Verdana" w:hAnsi="Verdana" w:cs="Verdana"/>
          <w:sz w:val="20"/>
          <w:szCs w:val="20"/>
          <w:lang w:val="es-CR"/>
        </w:rPr>
        <w:t xml:space="preserve">En las </w:t>
      </w:r>
      <w:r w:rsidR="00E4218F">
        <w:rPr>
          <w:rFonts w:ascii="Verdana" w:hAnsi="Verdana" w:cs="Verdana"/>
          <w:sz w:val="20"/>
          <w:szCs w:val="20"/>
          <w:lang w:val="es-CR"/>
        </w:rPr>
        <w:t>Sentencia</w:t>
      </w:r>
      <w:r>
        <w:rPr>
          <w:rFonts w:ascii="Verdana" w:hAnsi="Verdana" w:cs="Verdana"/>
          <w:sz w:val="20"/>
          <w:szCs w:val="20"/>
          <w:lang w:val="es-CR"/>
        </w:rPr>
        <w:t>s</w:t>
      </w:r>
      <w:r w:rsidR="006208B0">
        <w:rPr>
          <w:rFonts w:ascii="Verdana" w:hAnsi="Verdana" w:cs="Verdana"/>
          <w:sz w:val="20"/>
          <w:szCs w:val="20"/>
          <w:lang w:val="es-CR"/>
        </w:rPr>
        <w:t xml:space="preserve"> </w:t>
      </w:r>
      <w:r>
        <w:rPr>
          <w:rFonts w:ascii="Verdana" w:hAnsi="Verdana" w:cs="Verdana"/>
          <w:sz w:val="20"/>
          <w:szCs w:val="20"/>
          <w:lang w:val="es-CR"/>
        </w:rPr>
        <w:t xml:space="preserve">que emitió la Corte </w:t>
      </w:r>
      <w:r w:rsidR="006208B0">
        <w:rPr>
          <w:rFonts w:ascii="Verdana" w:hAnsi="Verdana" w:cs="Verdana"/>
          <w:sz w:val="20"/>
          <w:szCs w:val="20"/>
          <w:lang w:val="es-CR"/>
        </w:rPr>
        <w:t xml:space="preserve">en el </w:t>
      </w:r>
      <w:r w:rsidR="006208B0" w:rsidRPr="006208B0">
        <w:rPr>
          <w:rFonts w:ascii="Verdana" w:hAnsi="Verdana" w:cs="Verdana"/>
          <w:i/>
          <w:sz w:val="20"/>
          <w:szCs w:val="20"/>
          <w:lang w:val="es-CR"/>
        </w:rPr>
        <w:t>caso Durand y Ugarte Vs. Perú</w:t>
      </w:r>
      <w:r>
        <w:rPr>
          <w:rFonts w:ascii="Verdana" w:hAnsi="Verdana"/>
          <w:sz w:val="20"/>
          <w:szCs w:val="20"/>
          <w:lang w:val="es-CR"/>
        </w:rPr>
        <w:t xml:space="preserve"> ordenó al Estado que cumpla con su obligación de investigar los hechos violatorios (</w:t>
      </w:r>
      <w:r w:rsidRPr="00A257EE">
        <w:rPr>
          <w:rFonts w:ascii="Verdana" w:hAnsi="Verdana"/>
          <w:i/>
          <w:sz w:val="20"/>
          <w:szCs w:val="20"/>
          <w:lang w:val="es-CR"/>
        </w:rPr>
        <w:t>supra</w:t>
      </w:r>
      <w:r w:rsidRPr="00A257EE">
        <w:rPr>
          <w:rFonts w:ascii="Verdana" w:hAnsi="Verdana"/>
          <w:sz w:val="20"/>
          <w:szCs w:val="20"/>
          <w:lang w:val="es-CR"/>
        </w:rPr>
        <w:t xml:space="preserve"> Visto 1), y juzgar y sancionar a los responsables</w:t>
      </w:r>
      <w:r w:rsidR="00917145" w:rsidRPr="00A257EE">
        <w:rPr>
          <w:rStyle w:val="FootnoteReference"/>
          <w:rFonts w:ascii="Verdana" w:hAnsi="Verdana"/>
          <w:sz w:val="20"/>
          <w:szCs w:val="20"/>
          <w:lang w:val="es-CR"/>
        </w:rPr>
        <w:footnoteReference w:id="8"/>
      </w:r>
      <w:r w:rsidRPr="00A257EE">
        <w:rPr>
          <w:rFonts w:ascii="Verdana" w:hAnsi="Verdana"/>
          <w:sz w:val="20"/>
          <w:szCs w:val="20"/>
          <w:lang w:val="es-CR"/>
        </w:rPr>
        <w:t xml:space="preserve">. </w:t>
      </w:r>
    </w:p>
    <w:p w14:paraId="5DB71324" w14:textId="77777777" w:rsidR="00AB381D" w:rsidRDefault="00AB381D" w:rsidP="00AB381D">
      <w:pPr>
        <w:pStyle w:val="ListParagraph"/>
        <w:spacing w:after="0" w:line="240" w:lineRule="auto"/>
        <w:ind w:left="0"/>
        <w:contextualSpacing w:val="0"/>
        <w:jc w:val="both"/>
        <w:rPr>
          <w:rFonts w:ascii="Verdana" w:hAnsi="Verdana" w:cs="Verdana"/>
          <w:sz w:val="20"/>
          <w:szCs w:val="20"/>
          <w:lang w:val="es-CR"/>
        </w:rPr>
      </w:pPr>
    </w:p>
    <w:p w14:paraId="0824A319" w14:textId="77777777" w:rsidR="000C2908" w:rsidRPr="00AB381D" w:rsidRDefault="000C2908" w:rsidP="00AB381D">
      <w:pPr>
        <w:pStyle w:val="ListParagraph"/>
        <w:spacing w:after="0" w:line="240" w:lineRule="auto"/>
        <w:ind w:left="0"/>
        <w:contextualSpacing w:val="0"/>
        <w:jc w:val="both"/>
        <w:rPr>
          <w:rFonts w:ascii="Verdana" w:hAnsi="Verdana" w:cs="Verdana"/>
          <w:sz w:val="20"/>
          <w:szCs w:val="20"/>
          <w:lang w:val="es-CR"/>
        </w:rPr>
      </w:pPr>
    </w:p>
    <w:p w14:paraId="53662DDC" w14:textId="65B7B42D" w:rsidR="00353E22" w:rsidRPr="00310307" w:rsidRDefault="00726B56" w:rsidP="007C15A1">
      <w:pPr>
        <w:pStyle w:val="ListParagraph"/>
        <w:numPr>
          <w:ilvl w:val="0"/>
          <w:numId w:val="3"/>
        </w:numPr>
        <w:spacing w:after="0" w:line="240" w:lineRule="auto"/>
        <w:ind w:left="0" w:firstLine="0"/>
        <w:contextualSpacing w:val="0"/>
        <w:jc w:val="both"/>
        <w:rPr>
          <w:rFonts w:ascii="Verdana" w:hAnsi="Verdana" w:cs="Verdana"/>
          <w:sz w:val="20"/>
          <w:szCs w:val="20"/>
          <w:lang w:val="es-CR"/>
        </w:rPr>
      </w:pPr>
      <w:r w:rsidRPr="00A257EE">
        <w:rPr>
          <w:rFonts w:ascii="Verdana" w:eastAsia="Times" w:hAnsi="Verdana"/>
          <w:sz w:val="20"/>
          <w:szCs w:val="20"/>
          <w:lang w:val="es-ES_tradnl" w:eastAsia="es-ES"/>
        </w:rPr>
        <w:lastRenderedPageBreak/>
        <w:t>La</w:t>
      </w:r>
      <w:r w:rsidRPr="00A257EE">
        <w:rPr>
          <w:rFonts w:ascii="Verdana" w:hAnsi="Verdana"/>
          <w:sz w:val="20"/>
          <w:szCs w:val="20"/>
          <w:lang w:val="es-CR"/>
        </w:rPr>
        <w:t xml:space="preserve"> solicitud de medidas provisionales fue presentada por los representantes de las víctimas en el </w:t>
      </w:r>
      <w:r w:rsidRPr="00A257EE">
        <w:rPr>
          <w:rFonts w:ascii="Verdana" w:hAnsi="Verdana"/>
          <w:i/>
          <w:sz w:val="20"/>
          <w:szCs w:val="20"/>
          <w:lang w:val="es-CR"/>
        </w:rPr>
        <w:t>caso Durand y Ugarte Vs. Perú</w:t>
      </w:r>
      <w:r w:rsidRPr="00A257EE">
        <w:rPr>
          <w:rFonts w:ascii="Verdana" w:hAnsi="Verdana"/>
          <w:sz w:val="20"/>
          <w:szCs w:val="20"/>
          <w:lang w:val="es-CR"/>
        </w:rPr>
        <w:t>,</w:t>
      </w:r>
      <w:r w:rsidRPr="00A257EE">
        <w:rPr>
          <w:rFonts w:ascii="Verdana" w:hAnsi="Verdana"/>
          <w:i/>
          <w:sz w:val="20"/>
          <w:szCs w:val="20"/>
          <w:lang w:val="es-CR"/>
        </w:rPr>
        <w:t xml:space="preserve"> </w:t>
      </w:r>
      <w:r w:rsidRPr="00A257EE">
        <w:rPr>
          <w:rFonts w:ascii="Verdana" w:hAnsi="Verdana"/>
          <w:sz w:val="20"/>
          <w:szCs w:val="20"/>
          <w:lang w:val="es-CR"/>
        </w:rPr>
        <w:t>el cual se encuentra actualmente en etapa de supervisión de cumplimiento de sentencia</w:t>
      </w:r>
      <w:r w:rsidRPr="00310307">
        <w:rPr>
          <w:rFonts w:ascii="Verdana" w:hAnsi="Verdana"/>
          <w:sz w:val="20"/>
          <w:szCs w:val="20"/>
          <w:lang w:val="es-CR"/>
        </w:rPr>
        <w:t xml:space="preserve">. Dicha solicitud fue presentada </w:t>
      </w:r>
      <w:r w:rsidR="00560989" w:rsidRPr="00310307">
        <w:rPr>
          <w:rFonts w:ascii="Verdana" w:hAnsi="Verdana"/>
          <w:sz w:val="20"/>
          <w:szCs w:val="20"/>
          <w:lang w:val="es-CR"/>
        </w:rPr>
        <w:t xml:space="preserve">para resguardar la </w:t>
      </w:r>
      <w:r w:rsidR="00FB320B" w:rsidRPr="00310307">
        <w:rPr>
          <w:rFonts w:ascii="Verdana" w:hAnsi="Verdana"/>
          <w:sz w:val="20"/>
          <w:szCs w:val="20"/>
          <w:lang w:val="es-CR"/>
        </w:rPr>
        <w:t>“</w:t>
      </w:r>
      <w:r w:rsidR="00560989" w:rsidRPr="00310307">
        <w:rPr>
          <w:rFonts w:ascii="Verdana" w:hAnsi="Verdana"/>
          <w:sz w:val="20"/>
          <w:szCs w:val="20"/>
          <w:lang w:val="es-CR"/>
        </w:rPr>
        <w:t xml:space="preserve">estabilidad en </w:t>
      </w:r>
      <w:r w:rsidR="00FB320B" w:rsidRPr="00310307">
        <w:rPr>
          <w:rFonts w:ascii="Verdana" w:hAnsi="Verdana"/>
          <w:sz w:val="20"/>
          <w:szCs w:val="20"/>
          <w:lang w:val="es-CR"/>
        </w:rPr>
        <w:t>sus</w:t>
      </w:r>
      <w:r w:rsidR="00560989" w:rsidRPr="00310307">
        <w:rPr>
          <w:rFonts w:ascii="Verdana" w:hAnsi="Verdana"/>
          <w:sz w:val="20"/>
          <w:szCs w:val="20"/>
          <w:lang w:val="es-CR"/>
        </w:rPr>
        <w:t xml:space="preserve"> puestos</w:t>
      </w:r>
      <w:r w:rsidR="00FB320B" w:rsidRPr="00310307">
        <w:rPr>
          <w:rFonts w:ascii="Verdana" w:hAnsi="Verdana"/>
          <w:sz w:val="20"/>
          <w:szCs w:val="20"/>
          <w:lang w:val="es-CR"/>
        </w:rPr>
        <w:t>”</w:t>
      </w:r>
      <w:r w:rsidR="00560989" w:rsidRPr="00310307">
        <w:rPr>
          <w:rFonts w:ascii="Verdana" w:hAnsi="Verdana"/>
          <w:sz w:val="20"/>
          <w:szCs w:val="20"/>
          <w:lang w:val="es-CR"/>
        </w:rPr>
        <w:t xml:space="preserve"> de cuatro m</w:t>
      </w:r>
      <w:r w:rsidRPr="00310307">
        <w:rPr>
          <w:rFonts w:ascii="Verdana" w:hAnsi="Verdana"/>
          <w:sz w:val="20"/>
          <w:szCs w:val="20"/>
          <w:lang w:val="es-CR"/>
        </w:rPr>
        <w:t xml:space="preserve">agistrados del Tribunal Constitucional del Perú que emitieron decisiones </w:t>
      </w:r>
      <w:r w:rsidR="00E706C2" w:rsidRPr="00310307">
        <w:rPr>
          <w:rFonts w:ascii="Verdana" w:hAnsi="Verdana"/>
          <w:sz w:val="20"/>
          <w:szCs w:val="20"/>
          <w:lang w:val="es-CR"/>
        </w:rPr>
        <w:t>en los años</w:t>
      </w:r>
      <w:r w:rsidR="00E706C2" w:rsidRPr="00A257EE">
        <w:rPr>
          <w:rFonts w:ascii="Verdana" w:hAnsi="Verdana"/>
          <w:sz w:val="20"/>
          <w:szCs w:val="20"/>
          <w:lang w:val="es-CR"/>
        </w:rPr>
        <w:t xml:space="preserve"> 2016 y 2017 con respecto </w:t>
      </w:r>
      <w:r w:rsidR="00E706C2" w:rsidRPr="00AE1238">
        <w:rPr>
          <w:rFonts w:ascii="Verdana" w:hAnsi="Verdana"/>
          <w:sz w:val="20"/>
          <w:szCs w:val="20"/>
          <w:lang w:val="es-CR"/>
        </w:rPr>
        <w:t>a</w:t>
      </w:r>
      <w:r w:rsidR="00C96F0E" w:rsidRPr="00AE1238">
        <w:rPr>
          <w:rFonts w:ascii="Verdana" w:hAnsi="Verdana"/>
          <w:sz w:val="20"/>
          <w:szCs w:val="20"/>
          <w:lang w:val="es-CR"/>
        </w:rPr>
        <w:t xml:space="preserve"> la sentencia que resolvió</w:t>
      </w:r>
      <w:r w:rsidR="00E706C2" w:rsidRPr="00AE1238">
        <w:rPr>
          <w:rFonts w:ascii="Verdana" w:hAnsi="Verdana"/>
          <w:sz w:val="20"/>
          <w:szCs w:val="20"/>
          <w:lang w:val="es-CR"/>
        </w:rPr>
        <w:t xml:space="preserve"> una</w:t>
      </w:r>
      <w:r w:rsidR="00E706C2" w:rsidRPr="00A257EE">
        <w:rPr>
          <w:rFonts w:ascii="Verdana" w:hAnsi="Verdana"/>
          <w:sz w:val="20"/>
          <w:szCs w:val="20"/>
          <w:lang w:val="es-CR"/>
        </w:rPr>
        <w:t xml:space="preserve"> demanda </w:t>
      </w:r>
      <w:r w:rsidRPr="00A257EE">
        <w:rPr>
          <w:rFonts w:ascii="Verdana" w:hAnsi="Verdana"/>
          <w:sz w:val="20"/>
          <w:szCs w:val="20"/>
          <w:lang w:val="es-CR"/>
        </w:rPr>
        <w:t xml:space="preserve">de </w:t>
      </w:r>
      <w:r w:rsidR="00E706C2" w:rsidRPr="00A257EE">
        <w:rPr>
          <w:rFonts w:ascii="Verdana" w:hAnsi="Verdana"/>
          <w:sz w:val="20"/>
          <w:szCs w:val="20"/>
          <w:lang w:val="es-CR"/>
        </w:rPr>
        <w:t>agravio constitucional</w:t>
      </w:r>
      <w:r w:rsidR="00A71C93">
        <w:rPr>
          <w:rStyle w:val="FootnoteReference"/>
          <w:rFonts w:ascii="Verdana" w:hAnsi="Verdana"/>
          <w:sz w:val="20"/>
          <w:szCs w:val="20"/>
          <w:lang w:val="es-CR"/>
        </w:rPr>
        <w:footnoteReference w:id="9"/>
      </w:r>
      <w:r w:rsidR="00353E22" w:rsidRPr="00A257EE">
        <w:rPr>
          <w:rFonts w:ascii="Verdana" w:hAnsi="Verdana"/>
          <w:sz w:val="20"/>
          <w:szCs w:val="20"/>
          <w:lang w:val="es-CR"/>
        </w:rPr>
        <w:t xml:space="preserve"> interpuesta</w:t>
      </w:r>
      <w:r w:rsidRPr="00A257EE">
        <w:rPr>
          <w:rFonts w:ascii="Verdana" w:hAnsi="Verdana"/>
          <w:sz w:val="20"/>
          <w:szCs w:val="20"/>
          <w:lang w:val="es-CR"/>
        </w:rPr>
        <w:t xml:space="preserve"> </w:t>
      </w:r>
      <w:r w:rsidR="00353E22" w:rsidRPr="00A257EE">
        <w:rPr>
          <w:rFonts w:ascii="Verdana" w:hAnsi="Verdana"/>
          <w:sz w:val="20"/>
          <w:szCs w:val="20"/>
          <w:lang w:val="es-CR"/>
        </w:rPr>
        <w:t xml:space="preserve">a </w:t>
      </w:r>
      <w:r w:rsidR="00353E22" w:rsidRPr="00310307">
        <w:rPr>
          <w:rFonts w:ascii="Verdana" w:hAnsi="Verdana"/>
          <w:sz w:val="20"/>
          <w:szCs w:val="20"/>
          <w:lang w:val="es-CR"/>
        </w:rPr>
        <w:t xml:space="preserve">favor de </w:t>
      </w:r>
      <w:r w:rsidRPr="00310307">
        <w:rPr>
          <w:rFonts w:ascii="Verdana" w:hAnsi="Verdana"/>
          <w:sz w:val="20"/>
          <w:szCs w:val="20"/>
          <w:lang w:val="es-CR"/>
        </w:rPr>
        <w:t>imputado</w:t>
      </w:r>
      <w:r w:rsidR="00353E22" w:rsidRPr="00310307">
        <w:rPr>
          <w:rFonts w:ascii="Verdana" w:hAnsi="Verdana"/>
          <w:sz w:val="20"/>
          <w:szCs w:val="20"/>
          <w:lang w:val="es-CR"/>
        </w:rPr>
        <w:t>s</w:t>
      </w:r>
      <w:r w:rsidRPr="00310307">
        <w:rPr>
          <w:rFonts w:ascii="Verdana" w:hAnsi="Verdana"/>
          <w:sz w:val="20"/>
          <w:szCs w:val="20"/>
          <w:lang w:val="es-CR"/>
        </w:rPr>
        <w:t xml:space="preserve"> del proceso penal que se sigue por los hechos</w:t>
      </w:r>
      <w:r w:rsidR="00E706C2" w:rsidRPr="00310307">
        <w:rPr>
          <w:rFonts w:ascii="Verdana" w:hAnsi="Verdana"/>
          <w:sz w:val="20"/>
          <w:szCs w:val="20"/>
          <w:lang w:val="es-CR"/>
        </w:rPr>
        <w:t xml:space="preserve"> ocurridos </w:t>
      </w:r>
      <w:r w:rsidR="00E706C2" w:rsidRPr="00310307">
        <w:rPr>
          <w:rFonts w:ascii="Verdana" w:eastAsiaTheme="minorHAnsi" w:hAnsi="Verdana" w:cs="Verdana"/>
          <w:color w:val="000000"/>
          <w:sz w:val="20"/>
          <w:szCs w:val="20"/>
          <w:lang w:val="es-CR"/>
        </w:rPr>
        <w:t xml:space="preserve">en 1986 en el </w:t>
      </w:r>
      <w:r w:rsidR="009F136A" w:rsidRPr="00310307">
        <w:rPr>
          <w:rFonts w:ascii="Verdana" w:eastAsiaTheme="minorHAnsi" w:hAnsi="Verdana" w:cs="Verdana"/>
          <w:color w:val="000000"/>
          <w:sz w:val="20"/>
          <w:szCs w:val="20"/>
          <w:lang w:val="es-CR"/>
        </w:rPr>
        <w:t>establecimiento penal</w:t>
      </w:r>
      <w:r w:rsidR="00E706C2" w:rsidRPr="00310307">
        <w:rPr>
          <w:rFonts w:ascii="Verdana" w:eastAsiaTheme="minorHAnsi" w:hAnsi="Verdana" w:cs="Verdana"/>
          <w:color w:val="000000"/>
          <w:sz w:val="20"/>
          <w:szCs w:val="20"/>
          <w:lang w:val="es-CR"/>
        </w:rPr>
        <w:t xml:space="preserve"> “El Frontón”.</w:t>
      </w:r>
    </w:p>
    <w:p w14:paraId="11FA2C56" w14:textId="77777777" w:rsidR="00AB381D" w:rsidRPr="00310307" w:rsidRDefault="00AB381D" w:rsidP="00AB381D">
      <w:pPr>
        <w:pStyle w:val="ListParagraph"/>
        <w:spacing w:after="0" w:line="240" w:lineRule="auto"/>
        <w:ind w:left="0"/>
        <w:contextualSpacing w:val="0"/>
        <w:jc w:val="both"/>
        <w:rPr>
          <w:rFonts w:ascii="Verdana" w:hAnsi="Verdana" w:cs="Verdana"/>
          <w:sz w:val="20"/>
          <w:szCs w:val="20"/>
          <w:lang w:val="es-CR"/>
        </w:rPr>
      </w:pPr>
    </w:p>
    <w:p w14:paraId="46801C25" w14:textId="77777777" w:rsidR="006033C4" w:rsidRPr="006033C4" w:rsidRDefault="00885B45" w:rsidP="007C15A1">
      <w:pPr>
        <w:pStyle w:val="ListParagraph"/>
        <w:numPr>
          <w:ilvl w:val="0"/>
          <w:numId w:val="3"/>
        </w:numPr>
        <w:spacing w:after="0" w:line="240" w:lineRule="auto"/>
        <w:ind w:left="0" w:firstLine="0"/>
        <w:contextualSpacing w:val="0"/>
        <w:jc w:val="both"/>
        <w:rPr>
          <w:rFonts w:ascii="Verdana" w:hAnsi="Verdana" w:cs="Verdana"/>
          <w:sz w:val="20"/>
          <w:szCs w:val="20"/>
          <w:lang w:val="es-CR"/>
        </w:rPr>
      </w:pPr>
      <w:r w:rsidRPr="00310307">
        <w:rPr>
          <w:rFonts w:ascii="Verdana" w:hAnsi="Verdana"/>
          <w:sz w:val="20"/>
          <w:szCs w:val="20"/>
          <w:lang w:val="es-CR"/>
        </w:rPr>
        <w:t xml:space="preserve">El artículo 63.2 de la Convención Americana </w:t>
      </w:r>
      <w:r w:rsidR="005D5301" w:rsidRPr="00310307">
        <w:rPr>
          <w:rFonts w:ascii="Verdana" w:hAnsi="Verdana"/>
          <w:sz w:val="20"/>
          <w:szCs w:val="20"/>
          <w:lang w:val="es-CR"/>
        </w:rPr>
        <w:t xml:space="preserve">sobre Derechos Humanos </w:t>
      </w:r>
      <w:r w:rsidRPr="00310307">
        <w:rPr>
          <w:rFonts w:ascii="Verdana" w:hAnsi="Verdana"/>
          <w:sz w:val="20"/>
          <w:szCs w:val="20"/>
          <w:lang w:val="es-CR"/>
        </w:rPr>
        <w:t>dispone, en lo relevante, que “[e]n casos de extrema gravedad y urgencia, y cuando se haga necesario evitar daños irreparables a las personas, la Corte, en los asuntos</w:t>
      </w:r>
      <w:r w:rsidRPr="00353E22">
        <w:rPr>
          <w:rFonts w:ascii="Verdana" w:hAnsi="Verdana"/>
          <w:sz w:val="20"/>
          <w:szCs w:val="20"/>
          <w:lang w:val="es-CR"/>
        </w:rPr>
        <w:t xml:space="preserve"> que esté conociendo, podrá tomar las medidas provisionales que considere pertinentes”.</w:t>
      </w:r>
    </w:p>
    <w:p w14:paraId="66230736" w14:textId="77777777" w:rsidR="006033C4" w:rsidRPr="006033C4" w:rsidRDefault="006033C4" w:rsidP="006033C4">
      <w:pPr>
        <w:pStyle w:val="ListParagraph"/>
        <w:rPr>
          <w:rFonts w:ascii="Verdana" w:hAnsi="Verdana"/>
          <w:sz w:val="20"/>
          <w:szCs w:val="20"/>
          <w:lang w:val="es-PR"/>
        </w:rPr>
      </w:pPr>
    </w:p>
    <w:p w14:paraId="4327BDCE" w14:textId="77777777" w:rsidR="00485FAD" w:rsidRPr="00485FAD" w:rsidRDefault="005D6C95" w:rsidP="007C15A1">
      <w:pPr>
        <w:pStyle w:val="ListParagraph"/>
        <w:numPr>
          <w:ilvl w:val="0"/>
          <w:numId w:val="3"/>
        </w:numPr>
        <w:spacing w:after="0" w:line="240" w:lineRule="auto"/>
        <w:ind w:left="0" w:firstLine="0"/>
        <w:contextualSpacing w:val="0"/>
        <w:jc w:val="both"/>
        <w:rPr>
          <w:rFonts w:ascii="Verdana" w:hAnsi="Verdana" w:cs="Verdana"/>
          <w:sz w:val="20"/>
          <w:szCs w:val="20"/>
          <w:lang w:val="es-CR"/>
        </w:rPr>
      </w:pPr>
      <w:r w:rsidRPr="006033C4">
        <w:rPr>
          <w:rFonts w:ascii="Verdana" w:hAnsi="Verdana"/>
          <w:sz w:val="20"/>
          <w:szCs w:val="20"/>
          <w:lang w:val="es-PR"/>
        </w:rPr>
        <w:t>Asimismo, el a</w:t>
      </w:r>
      <w:r w:rsidRPr="006033C4">
        <w:rPr>
          <w:rFonts w:ascii="Verdana" w:hAnsi="Verdana" w:cs="Arial"/>
          <w:sz w:val="20"/>
          <w:szCs w:val="20"/>
          <w:lang w:val="es-PR"/>
        </w:rPr>
        <w:t>rtículo 27.3</w:t>
      </w:r>
      <w:r w:rsidR="00707C3F" w:rsidRPr="006033C4">
        <w:rPr>
          <w:rFonts w:ascii="Verdana" w:hAnsi="Verdana"/>
          <w:sz w:val="20"/>
          <w:szCs w:val="20"/>
          <w:lang w:val="es-PR"/>
        </w:rPr>
        <w:t xml:space="preserve"> del Reglamento </w:t>
      </w:r>
      <w:r w:rsidR="005D5301" w:rsidRPr="006033C4">
        <w:rPr>
          <w:rFonts w:ascii="Verdana" w:hAnsi="Verdana"/>
          <w:sz w:val="20"/>
          <w:szCs w:val="20"/>
          <w:lang w:val="es-PR"/>
        </w:rPr>
        <w:t xml:space="preserve">del Tribunal </w:t>
      </w:r>
      <w:r w:rsidR="00707C3F" w:rsidRPr="006033C4">
        <w:rPr>
          <w:rFonts w:ascii="Verdana" w:hAnsi="Verdana"/>
          <w:sz w:val="20"/>
          <w:szCs w:val="20"/>
          <w:lang w:val="es-PR"/>
        </w:rPr>
        <w:t>establece que</w:t>
      </w:r>
      <w:r w:rsidRPr="006033C4">
        <w:rPr>
          <w:rFonts w:ascii="Verdana" w:hAnsi="Verdana" w:cs="Arial"/>
          <w:sz w:val="20"/>
          <w:szCs w:val="20"/>
          <w:lang w:val="es-PR"/>
        </w:rPr>
        <w:t xml:space="preserve"> “</w:t>
      </w:r>
      <w:r w:rsidR="002C4B26" w:rsidRPr="006033C4">
        <w:rPr>
          <w:rFonts w:ascii="Verdana" w:hAnsi="Verdana" w:cs="Arial"/>
          <w:sz w:val="20"/>
          <w:szCs w:val="20"/>
          <w:lang w:val="es-PR"/>
        </w:rPr>
        <w:t>[e]</w:t>
      </w:r>
      <w:r w:rsidRPr="006033C4">
        <w:rPr>
          <w:rFonts w:ascii="Verdana" w:hAnsi="Verdana" w:cs="Arial"/>
          <w:sz w:val="20"/>
          <w:szCs w:val="20"/>
          <w:lang w:val="es-PR"/>
        </w:rPr>
        <w:t>n los casos contenciosos que se encuentren en conocimiento de la Corte, las víctimas o las presuntas víctimas, o sus representantes, podrán presentar directamente a ésta una solicitud de medidas provisionales, las que deberán tener relación con el objeto del caso”.</w:t>
      </w:r>
      <w:r w:rsidR="004521CA" w:rsidRPr="006033C4">
        <w:rPr>
          <w:rFonts w:ascii="Verdana" w:hAnsi="Verdana" w:cs="Arial"/>
          <w:sz w:val="20"/>
          <w:szCs w:val="20"/>
          <w:lang w:val="es-PR"/>
        </w:rPr>
        <w:t xml:space="preserve"> Asimismo, el artí</w:t>
      </w:r>
      <w:r w:rsidR="00492BFC" w:rsidRPr="006033C4">
        <w:rPr>
          <w:rFonts w:ascii="Verdana" w:hAnsi="Verdana" w:cs="Arial"/>
          <w:sz w:val="20"/>
          <w:szCs w:val="20"/>
          <w:lang w:val="es-PR"/>
        </w:rPr>
        <w:t>culo 27.6</w:t>
      </w:r>
      <w:r w:rsidR="00382502" w:rsidRPr="006033C4">
        <w:rPr>
          <w:rFonts w:ascii="Verdana" w:hAnsi="Verdana" w:cs="Arial"/>
          <w:sz w:val="20"/>
          <w:szCs w:val="20"/>
          <w:lang w:val="es-PR"/>
        </w:rPr>
        <w:t xml:space="preserve"> del Reglamento establece que “si l</w:t>
      </w:r>
      <w:r w:rsidR="00492BFC" w:rsidRPr="006033C4">
        <w:rPr>
          <w:rFonts w:ascii="Verdana" w:hAnsi="Verdana" w:cs="Arial"/>
          <w:sz w:val="20"/>
          <w:szCs w:val="20"/>
          <w:lang w:val="es-PR"/>
        </w:rPr>
        <w:t>a Corte no estuviere reunida, la Presidencia</w:t>
      </w:r>
      <w:r w:rsidR="00382502" w:rsidRPr="006033C4">
        <w:rPr>
          <w:rFonts w:ascii="Verdana" w:hAnsi="Verdana" w:cs="Arial"/>
          <w:sz w:val="20"/>
          <w:szCs w:val="20"/>
          <w:lang w:val="es-PR"/>
        </w:rPr>
        <w:t>, en consulta con la Comisión Permanente y,</w:t>
      </w:r>
      <w:r w:rsidR="00492BFC" w:rsidRPr="006033C4">
        <w:rPr>
          <w:rFonts w:ascii="Verdana" w:hAnsi="Verdana" w:cs="Arial"/>
          <w:sz w:val="20"/>
          <w:szCs w:val="20"/>
          <w:lang w:val="es-PR"/>
        </w:rPr>
        <w:t xml:space="preserve"> de ser posible, con los demás J</w:t>
      </w:r>
      <w:r w:rsidR="00382502" w:rsidRPr="006033C4">
        <w:rPr>
          <w:rFonts w:ascii="Verdana" w:hAnsi="Verdana" w:cs="Arial"/>
          <w:sz w:val="20"/>
          <w:szCs w:val="20"/>
          <w:lang w:val="es-PR"/>
        </w:rPr>
        <w:t xml:space="preserve">ueces, requerirá del </w:t>
      </w:r>
      <w:r w:rsidR="00492BFC" w:rsidRPr="006033C4">
        <w:rPr>
          <w:rFonts w:ascii="Verdana" w:hAnsi="Verdana" w:cs="Arial"/>
          <w:sz w:val="20"/>
          <w:szCs w:val="20"/>
          <w:lang w:val="es-PR"/>
        </w:rPr>
        <w:t xml:space="preserve">Estado </w:t>
      </w:r>
      <w:r w:rsidR="00382502" w:rsidRPr="006033C4">
        <w:rPr>
          <w:rFonts w:ascii="Verdana" w:hAnsi="Verdana" w:cs="Arial"/>
          <w:sz w:val="20"/>
          <w:szCs w:val="20"/>
          <w:lang w:val="es-PR"/>
        </w:rPr>
        <w:t>respectivo que dicte las providencias urgentes necesarias a fin de asegurar la eficacia de las medidas provisionales  que después pueda tomar la Corte en su próximo período de sesiones”.</w:t>
      </w:r>
    </w:p>
    <w:p w14:paraId="1EF1625E" w14:textId="77777777" w:rsidR="00485FAD" w:rsidRPr="00485FAD" w:rsidRDefault="00485FAD" w:rsidP="00485FAD">
      <w:pPr>
        <w:pStyle w:val="ListParagraph"/>
        <w:rPr>
          <w:rFonts w:ascii="Verdana" w:hAnsi="Verdana"/>
          <w:sz w:val="20"/>
          <w:szCs w:val="20"/>
          <w:lang w:val="es-CR"/>
        </w:rPr>
      </w:pPr>
    </w:p>
    <w:p w14:paraId="5C300B8A" w14:textId="4E803523" w:rsidR="00485FAD" w:rsidRPr="00485FAD" w:rsidRDefault="00C873B3" w:rsidP="007C15A1">
      <w:pPr>
        <w:pStyle w:val="ListParagraph"/>
        <w:numPr>
          <w:ilvl w:val="0"/>
          <w:numId w:val="3"/>
        </w:numPr>
        <w:spacing w:after="0" w:line="240" w:lineRule="auto"/>
        <w:ind w:left="0" w:firstLine="0"/>
        <w:contextualSpacing w:val="0"/>
        <w:jc w:val="both"/>
        <w:rPr>
          <w:rFonts w:ascii="Verdana" w:hAnsi="Verdana"/>
          <w:sz w:val="20"/>
          <w:szCs w:val="20"/>
          <w:lang w:val="es-CR"/>
        </w:rPr>
      </w:pPr>
      <w:r w:rsidRPr="00485FAD">
        <w:rPr>
          <w:rFonts w:ascii="Verdana" w:hAnsi="Verdana"/>
          <w:sz w:val="20"/>
          <w:szCs w:val="20"/>
          <w:lang w:val="es-CR"/>
        </w:rPr>
        <w:t>En el Derecho Internacional de los Derechos Humanos las medidas provisionales tienen un carácter no sólo cautelar, en el sentido de que preservan una situación jurídica, sino fundamentalmente tutelar, por cuanto protegen derechos humanos, en tanto que buscan evitar daños irreparables a las personas. Éstas se aplican siempre y cuando se reúnan los requisitos básicos de extrema gravedad y urgencia y de la prevención de da</w:t>
      </w:r>
      <w:r w:rsidR="00766F18" w:rsidRPr="00485FAD">
        <w:rPr>
          <w:rFonts w:ascii="Verdana" w:hAnsi="Verdana"/>
          <w:sz w:val="20"/>
          <w:szCs w:val="20"/>
          <w:lang w:val="es-CR"/>
        </w:rPr>
        <w:t>ños irreparables a las personas</w:t>
      </w:r>
      <w:r w:rsidRPr="00507D8A">
        <w:rPr>
          <w:rStyle w:val="FootnoteReference"/>
          <w:rFonts w:ascii="Verdana" w:hAnsi="Verdana"/>
          <w:sz w:val="20"/>
          <w:szCs w:val="20"/>
          <w:lang w:val="es-CR"/>
        </w:rPr>
        <w:footnoteReference w:id="10"/>
      </w:r>
      <w:r w:rsidRPr="00485FAD">
        <w:rPr>
          <w:rFonts w:ascii="Verdana" w:hAnsi="Verdana"/>
          <w:sz w:val="20"/>
          <w:szCs w:val="20"/>
          <w:lang w:val="es-CR"/>
        </w:rPr>
        <w:t>.</w:t>
      </w:r>
      <w:r w:rsidR="00485FAD" w:rsidRPr="00485FAD">
        <w:rPr>
          <w:rFonts w:ascii="Verdana" w:hAnsi="Verdana"/>
          <w:sz w:val="20"/>
          <w:szCs w:val="20"/>
          <w:lang w:val="es-CR"/>
        </w:rPr>
        <w:t xml:space="preserve"> </w:t>
      </w:r>
      <w:r w:rsidR="00485FAD" w:rsidRPr="00143BC1">
        <w:rPr>
          <w:rFonts w:ascii="Verdana" w:hAnsi="Verdana"/>
          <w:sz w:val="20"/>
          <w:szCs w:val="20"/>
          <w:lang w:val="es-CR"/>
        </w:rPr>
        <w:t>Las medidas provisionales pueden ser otorgadas para proteger tanto los derechos a la vida e integridad personal como también otros derechos consagrados en la Convención Americana</w:t>
      </w:r>
      <w:r w:rsidR="00485FAD" w:rsidRPr="00143BC1">
        <w:rPr>
          <w:rStyle w:val="FootnoteReference"/>
          <w:rFonts w:ascii="Verdana" w:hAnsi="Verdana"/>
          <w:sz w:val="20"/>
          <w:szCs w:val="20"/>
          <w:lang w:val="es-CR"/>
        </w:rPr>
        <w:footnoteReference w:id="11"/>
      </w:r>
      <w:r w:rsidR="00485FAD" w:rsidRPr="00143BC1">
        <w:rPr>
          <w:rFonts w:ascii="Verdana" w:hAnsi="Verdana"/>
          <w:sz w:val="20"/>
          <w:szCs w:val="20"/>
          <w:lang w:val="es-CR"/>
        </w:rPr>
        <w:t>.</w:t>
      </w:r>
      <w:r w:rsidR="00485FAD" w:rsidRPr="00485FAD">
        <w:rPr>
          <w:rFonts w:ascii="Verdana" w:hAnsi="Verdana"/>
          <w:sz w:val="20"/>
          <w:szCs w:val="20"/>
          <w:lang w:val="es-CR"/>
        </w:rPr>
        <w:t xml:space="preserve"> </w:t>
      </w:r>
    </w:p>
    <w:p w14:paraId="64026888" w14:textId="77777777" w:rsidR="00AB381D" w:rsidRDefault="00AB381D" w:rsidP="00AB381D">
      <w:pPr>
        <w:pStyle w:val="ListParagraph"/>
        <w:spacing w:after="0" w:line="240" w:lineRule="auto"/>
        <w:ind w:left="0"/>
        <w:contextualSpacing w:val="0"/>
        <w:jc w:val="both"/>
        <w:rPr>
          <w:rFonts w:ascii="Verdana" w:hAnsi="Verdana"/>
          <w:sz w:val="20"/>
          <w:szCs w:val="20"/>
          <w:lang w:val="es-CR"/>
        </w:rPr>
      </w:pPr>
    </w:p>
    <w:p w14:paraId="4B7122CA" w14:textId="77777777" w:rsidR="00145356" w:rsidRDefault="00145356" w:rsidP="007C15A1">
      <w:pPr>
        <w:pStyle w:val="ListParagraph"/>
        <w:numPr>
          <w:ilvl w:val="0"/>
          <w:numId w:val="3"/>
        </w:numPr>
        <w:spacing w:after="0" w:line="240" w:lineRule="auto"/>
        <w:ind w:left="0" w:firstLine="0"/>
        <w:contextualSpacing w:val="0"/>
        <w:jc w:val="both"/>
        <w:rPr>
          <w:rFonts w:ascii="Verdana" w:hAnsi="Verdana"/>
          <w:sz w:val="20"/>
          <w:szCs w:val="20"/>
          <w:lang w:val="es-CR"/>
        </w:rPr>
      </w:pPr>
      <w:r w:rsidRPr="00145356">
        <w:rPr>
          <w:rFonts w:ascii="Verdana" w:hAnsi="Verdana"/>
          <w:sz w:val="20"/>
          <w:szCs w:val="20"/>
          <w:lang w:val="es-CR"/>
        </w:rPr>
        <w:t>La disposición establecida en el artículo 63.2 de la Convención obliga a los Estados a adoptar las medidas provisionales que les ordene este Tribunal. Adicionalmente estos deben cumplir sus obligaciones convencionales de buena fe (</w:t>
      </w:r>
      <w:r w:rsidRPr="00145356">
        <w:rPr>
          <w:rFonts w:ascii="Verdana" w:hAnsi="Verdana"/>
          <w:i/>
          <w:sz w:val="20"/>
          <w:szCs w:val="20"/>
          <w:lang w:val="es-CR"/>
        </w:rPr>
        <w:t>pacta sunt servanda</w:t>
      </w:r>
      <w:r w:rsidRPr="00145356">
        <w:rPr>
          <w:rFonts w:ascii="Verdana" w:hAnsi="Verdana"/>
          <w:sz w:val="20"/>
          <w:szCs w:val="20"/>
          <w:lang w:val="es-CR"/>
        </w:rPr>
        <w:t>)</w:t>
      </w:r>
      <w:r w:rsidRPr="00145356">
        <w:rPr>
          <w:rFonts w:ascii="Verdana" w:hAnsi="Verdana"/>
          <w:sz w:val="20"/>
          <w:szCs w:val="20"/>
          <w:vertAlign w:val="superscript"/>
          <w:lang w:val="es-CR"/>
        </w:rPr>
        <w:footnoteReference w:id="12"/>
      </w:r>
      <w:r w:rsidRPr="00145356">
        <w:rPr>
          <w:rFonts w:ascii="Verdana" w:hAnsi="Verdana"/>
          <w:sz w:val="20"/>
          <w:szCs w:val="20"/>
          <w:lang w:val="es-CR"/>
        </w:rPr>
        <w:t xml:space="preserve">. </w:t>
      </w:r>
    </w:p>
    <w:p w14:paraId="4E50831D" w14:textId="77777777" w:rsidR="00AB381D" w:rsidRPr="00AB381D" w:rsidRDefault="00AB381D" w:rsidP="00AB381D">
      <w:pPr>
        <w:pStyle w:val="ListParagraph"/>
        <w:spacing w:after="0" w:line="240" w:lineRule="auto"/>
        <w:ind w:left="0"/>
        <w:contextualSpacing w:val="0"/>
        <w:jc w:val="both"/>
        <w:rPr>
          <w:rFonts w:ascii="Verdana" w:hAnsi="Verdana"/>
          <w:sz w:val="20"/>
          <w:szCs w:val="20"/>
          <w:lang w:val="es-CR"/>
        </w:rPr>
      </w:pPr>
    </w:p>
    <w:p w14:paraId="01C2C050" w14:textId="26FE00D4" w:rsidR="00BE4224" w:rsidRPr="00865CA0" w:rsidRDefault="00BE4224" w:rsidP="007C15A1">
      <w:pPr>
        <w:pStyle w:val="ListParagraph"/>
        <w:numPr>
          <w:ilvl w:val="0"/>
          <w:numId w:val="3"/>
        </w:numPr>
        <w:spacing w:after="0" w:line="240" w:lineRule="auto"/>
        <w:ind w:left="0" w:firstLine="0"/>
        <w:contextualSpacing w:val="0"/>
        <w:jc w:val="both"/>
        <w:rPr>
          <w:rFonts w:ascii="Verdana" w:hAnsi="Verdana"/>
          <w:sz w:val="20"/>
          <w:szCs w:val="20"/>
          <w:lang w:val="es-CR"/>
        </w:rPr>
      </w:pPr>
      <w:r w:rsidRPr="00274F39">
        <w:rPr>
          <w:rFonts w:ascii="Verdana" w:hAnsi="Verdana"/>
          <w:sz w:val="20"/>
          <w:lang w:val="es-CR"/>
        </w:rPr>
        <w:t xml:space="preserve">El 11 de diciembre de 2017, los representantes de las víctimas solicitaron a la Corte “la interposición de una medida provisional en tutela de la estabilidad en sus puestos” de los magistrados del Tribunal Constitucional del Perú Manuel Miranda Canales, Marianella Ledesma Narváez, Carlos Ramos Núñez y Eloy Espinosa-Saldaña Barrera. </w:t>
      </w:r>
      <w:r>
        <w:rPr>
          <w:rFonts w:ascii="Verdana" w:hAnsi="Verdana"/>
          <w:sz w:val="20"/>
          <w:lang w:val="es-CR"/>
        </w:rPr>
        <w:t>S</w:t>
      </w:r>
      <w:r w:rsidRPr="00274F39">
        <w:rPr>
          <w:rFonts w:ascii="Verdana" w:hAnsi="Verdana"/>
          <w:sz w:val="20"/>
          <w:lang w:val="es-CR"/>
        </w:rPr>
        <w:t xml:space="preserve">eñalaron que “[a] los referidos jueces constitucionales se les busca destituir a través de una medida exclusivamente política, que tiene como finalidad de impedir la ejecución de lo dispuesto por la Corte” en la </w:t>
      </w:r>
      <w:r w:rsidRPr="00274F39">
        <w:rPr>
          <w:rFonts w:ascii="Verdana" w:hAnsi="Verdana"/>
          <w:sz w:val="20"/>
          <w:lang w:val="es-CR"/>
        </w:rPr>
        <w:lastRenderedPageBreak/>
        <w:t xml:space="preserve">Sentencia del </w:t>
      </w:r>
      <w:r w:rsidRPr="009A14E2">
        <w:rPr>
          <w:rFonts w:ascii="Verdana" w:hAnsi="Verdana"/>
          <w:i/>
          <w:sz w:val="20"/>
          <w:lang w:val="es-CR"/>
        </w:rPr>
        <w:t>caso Durand y Ugarte</w:t>
      </w:r>
      <w:r w:rsidRPr="00274F39">
        <w:rPr>
          <w:rFonts w:ascii="Verdana" w:hAnsi="Verdana"/>
          <w:sz w:val="20"/>
          <w:lang w:val="es-CR"/>
        </w:rPr>
        <w:t xml:space="preserve">, y que “busca asimismo </w:t>
      </w:r>
      <w:r w:rsidRPr="00865CA0">
        <w:rPr>
          <w:rFonts w:ascii="Verdana" w:hAnsi="Verdana"/>
          <w:sz w:val="20"/>
          <w:lang w:val="es-CR"/>
        </w:rPr>
        <w:t>amedrentar a todo juez o jueza peruana en el desarrollo independiente de sus funciones”</w:t>
      </w:r>
      <w:r w:rsidRPr="00865CA0">
        <w:rPr>
          <w:rStyle w:val="FootnoteReference"/>
          <w:rFonts w:ascii="Verdana" w:hAnsi="Verdana"/>
          <w:sz w:val="18"/>
          <w:szCs w:val="20"/>
          <w:lang w:val="es-CR"/>
        </w:rPr>
        <w:footnoteReference w:id="13"/>
      </w:r>
      <w:r w:rsidRPr="00865CA0">
        <w:rPr>
          <w:rFonts w:ascii="Verdana" w:hAnsi="Verdana"/>
          <w:sz w:val="20"/>
          <w:lang w:val="es-CR"/>
        </w:rPr>
        <w:t>.</w:t>
      </w:r>
      <w:r w:rsidR="00865CA0" w:rsidRPr="00865CA0">
        <w:rPr>
          <w:rFonts w:ascii="Verdana" w:hAnsi="Verdana"/>
          <w:sz w:val="20"/>
          <w:lang w:val="es-CR"/>
        </w:rPr>
        <w:t xml:space="preserve"> R</w:t>
      </w:r>
      <w:r w:rsidR="00EE16E8">
        <w:rPr>
          <w:rFonts w:ascii="Verdana" w:hAnsi="Verdana"/>
          <w:sz w:val="20"/>
          <w:lang w:val="es-CR"/>
        </w:rPr>
        <w:t>especto a dicha solicitud, se</w:t>
      </w:r>
      <w:r w:rsidR="00865CA0" w:rsidRPr="00865CA0">
        <w:rPr>
          <w:rFonts w:ascii="Verdana" w:hAnsi="Verdana"/>
          <w:sz w:val="20"/>
          <w:lang w:val="es-CR"/>
        </w:rPr>
        <w:t xml:space="preserve"> dio al Estado la oportunidad de presentar sus observaciones </w:t>
      </w:r>
      <w:r w:rsidR="00EE16E8">
        <w:rPr>
          <w:rFonts w:ascii="Verdana" w:hAnsi="Verdana"/>
          <w:sz w:val="20"/>
          <w:lang w:val="es-CR"/>
        </w:rPr>
        <w:t xml:space="preserve">tanto por escrito como en audiencia </w:t>
      </w:r>
      <w:r w:rsidRPr="00865CA0">
        <w:rPr>
          <w:rFonts w:ascii="Verdana" w:hAnsi="Verdana"/>
          <w:sz w:val="20"/>
          <w:lang w:val="es-CR"/>
        </w:rPr>
        <w:t xml:space="preserve">y </w:t>
      </w:r>
      <w:r w:rsidR="00865CA0" w:rsidRPr="00865CA0">
        <w:rPr>
          <w:rFonts w:ascii="Verdana" w:hAnsi="Verdana"/>
          <w:sz w:val="20"/>
          <w:lang w:val="es-CR"/>
        </w:rPr>
        <w:t>también</w:t>
      </w:r>
      <w:r w:rsidRPr="00865CA0">
        <w:rPr>
          <w:rFonts w:ascii="Verdana" w:hAnsi="Verdana"/>
          <w:sz w:val="20"/>
          <w:lang w:val="es-CR"/>
        </w:rPr>
        <w:t xml:space="preserve"> </w:t>
      </w:r>
      <w:r w:rsidR="009A14E2">
        <w:rPr>
          <w:rFonts w:ascii="Verdana" w:hAnsi="Verdana"/>
          <w:sz w:val="20"/>
          <w:lang w:val="es-CR"/>
        </w:rPr>
        <w:t xml:space="preserve">a </w:t>
      </w:r>
      <w:r w:rsidRPr="00865CA0">
        <w:rPr>
          <w:rFonts w:ascii="Verdana" w:hAnsi="Verdana"/>
          <w:sz w:val="20"/>
          <w:lang w:val="es-CR"/>
        </w:rPr>
        <w:t>la Comisión</w:t>
      </w:r>
      <w:r w:rsidR="00865CA0" w:rsidRPr="00865CA0">
        <w:rPr>
          <w:rStyle w:val="FootnoteReference"/>
          <w:rFonts w:ascii="Verdana" w:hAnsi="Verdana"/>
          <w:sz w:val="20"/>
          <w:szCs w:val="20"/>
          <w:lang w:val="es-CR"/>
        </w:rPr>
        <w:footnoteReference w:id="14"/>
      </w:r>
      <w:r w:rsidRPr="00865CA0">
        <w:rPr>
          <w:rFonts w:ascii="Verdana" w:hAnsi="Verdana"/>
          <w:sz w:val="20"/>
          <w:lang w:val="es-CR"/>
        </w:rPr>
        <w:t>.</w:t>
      </w:r>
    </w:p>
    <w:p w14:paraId="27586932" w14:textId="77777777" w:rsidR="00AB381D" w:rsidRPr="000A2DF9" w:rsidRDefault="00AB381D" w:rsidP="00AB381D">
      <w:pPr>
        <w:pStyle w:val="ListParagraph"/>
        <w:spacing w:after="0" w:line="240" w:lineRule="auto"/>
        <w:ind w:left="0"/>
        <w:contextualSpacing w:val="0"/>
        <w:jc w:val="both"/>
        <w:rPr>
          <w:rFonts w:ascii="Verdana" w:hAnsi="Verdana" w:cs="Verdana"/>
          <w:sz w:val="20"/>
          <w:szCs w:val="20"/>
          <w:lang w:val="es-CR"/>
        </w:rPr>
      </w:pPr>
    </w:p>
    <w:p w14:paraId="775C58F1" w14:textId="77777777" w:rsidR="0078021F" w:rsidRDefault="0078021F" w:rsidP="00AB381D">
      <w:pPr>
        <w:pStyle w:val="ListParagraph"/>
        <w:spacing w:after="0" w:line="240" w:lineRule="auto"/>
        <w:contextualSpacing w:val="0"/>
        <w:jc w:val="both"/>
        <w:rPr>
          <w:rFonts w:ascii="Verdana" w:hAnsi="Verdana" w:cs="Verdana"/>
          <w:b/>
          <w:i/>
          <w:sz w:val="20"/>
          <w:szCs w:val="20"/>
          <w:lang w:val="es-CR"/>
        </w:rPr>
      </w:pPr>
    </w:p>
    <w:p w14:paraId="619A2516" w14:textId="7BE5C214" w:rsidR="00AB381D" w:rsidRDefault="004C7661" w:rsidP="007C15A1">
      <w:pPr>
        <w:pStyle w:val="ListParagraph"/>
        <w:numPr>
          <w:ilvl w:val="0"/>
          <w:numId w:val="4"/>
        </w:numPr>
        <w:spacing w:after="0" w:line="240" w:lineRule="auto"/>
        <w:contextualSpacing w:val="0"/>
        <w:jc w:val="both"/>
        <w:rPr>
          <w:rFonts w:ascii="Verdana" w:hAnsi="Verdana" w:cs="Verdana"/>
          <w:b/>
          <w:i/>
          <w:sz w:val="20"/>
          <w:szCs w:val="20"/>
          <w:lang w:val="es-CR"/>
        </w:rPr>
      </w:pPr>
      <w:r>
        <w:rPr>
          <w:rFonts w:ascii="Verdana" w:hAnsi="Verdana" w:cs="Verdana"/>
          <w:b/>
          <w:i/>
          <w:sz w:val="20"/>
          <w:szCs w:val="20"/>
          <w:lang w:val="es-CR"/>
        </w:rPr>
        <w:t>Res</w:t>
      </w:r>
      <w:r w:rsidR="00E17D06">
        <w:rPr>
          <w:rFonts w:ascii="Verdana" w:hAnsi="Verdana" w:cs="Verdana"/>
          <w:b/>
          <w:i/>
          <w:sz w:val="20"/>
          <w:szCs w:val="20"/>
          <w:lang w:val="es-CR"/>
        </w:rPr>
        <w:t>olución de medidas urgentes</w:t>
      </w:r>
      <w:r>
        <w:rPr>
          <w:rFonts w:ascii="Verdana" w:hAnsi="Verdana" w:cs="Verdana"/>
          <w:b/>
          <w:i/>
          <w:sz w:val="20"/>
          <w:szCs w:val="20"/>
          <w:lang w:val="es-CR"/>
        </w:rPr>
        <w:t xml:space="preserve"> emitida por el Presid</w:t>
      </w:r>
      <w:r w:rsidR="00E17D06">
        <w:rPr>
          <w:rFonts w:ascii="Verdana" w:hAnsi="Verdana" w:cs="Verdana"/>
          <w:b/>
          <w:i/>
          <w:sz w:val="20"/>
          <w:szCs w:val="20"/>
          <w:lang w:val="es-CR"/>
        </w:rPr>
        <w:t>ente del Tribunal el 17 de diciembre</w:t>
      </w:r>
      <w:r>
        <w:rPr>
          <w:rFonts w:ascii="Verdana" w:hAnsi="Verdana" w:cs="Verdana"/>
          <w:b/>
          <w:i/>
          <w:sz w:val="20"/>
          <w:szCs w:val="20"/>
          <w:lang w:val="es-CR"/>
        </w:rPr>
        <w:t xml:space="preserve"> de 2017 </w:t>
      </w:r>
    </w:p>
    <w:p w14:paraId="38537A4B" w14:textId="77777777" w:rsidR="00585057" w:rsidRPr="00585057" w:rsidRDefault="00585057" w:rsidP="00585057">
      <w:pPr>
        <w:pStyle w:val="ListParagraph"/>
        <w:spacing w:after="0" w:line="240" w:lineRule="auto"/>
        <w:contextualSpacing w:val="0"/>
        <w:jc w:val="both"/>
        <w:rPr>
          <w:rFonts w:ascii="Verdana" w:hAnsi="Verdana" w:cs="Verdana"/>
          <w:b/>
          <w:i/>
          <w:sz w:val="20"/>
          <w:szCs w:val="20"/>
          <w:lang w:val="es-CR"/>
        </w:rPr>
      </w:pPr>
    </w:p>
    <w:p w14:paraId="020EEE0E" w14:textId="7998772E" w:rsidR="00274F39" w:rsidRDefault="00585057" w:rsidP="007C15A1">
      <w:pPr>
        <w:pStyle w:val="ListParagraph"/>
        <w:numPr>
          <w:ilvl w:val="0"/>
          <w:numId w:val="3"/>
        </w:numPr>
        <w:spacing w:after="0" w:line="240" w:lineRule="auto"/>
        <w:ind w:left="0" w:firstLine="0"/>
        <w:contextualSpacing w:val="0"/>
        <w:jc w:val="both"/>
        <w:rPr>
          <w:rFonts w:ascii="Verdana" w:hAnsi="Verdana"/>
          <w:sz w:val="20"/>
          <w:szCs w:val="20"/>
          <w:lang w:val="es-CR"/>
        </w:rPr>
      </w:pPr>
      <w:r w:rsidRPr="00990CE5">
        <w:rPr>
          <w:rFonts w:ascii="Verdana" w:hAnsi="Verdana"/>
          <w:sz w:val="20"/>
          <w:szCs w:val="20"/>
          <w:lang w:val="es-CR"/>
        </w:rPr>
        <w:t>“</w:t>
      </w:r>
      <w:r>
        <w:rPr>
          <w:rFonts w:ascii="Verdana" w:hAnsi="Verdana" w:cs="Verdana"/>
          <w:color w:val="000000"/>
          <w:sz w:val="20"/>
          <w:szCs w:val="20"/>
          <w:lang w:val="es-CR"/>
        </w:rPr>
        <w:t>[D</w:t>
      </w:r>
      <w:r w:rsidRPr="00585057">
        <w:rPr>
          <w:rFonts w:ascii="Verdana" w:hAnsi="Verdana" w:cs="Verdana"/>
          <w:color w:val="000000"/>
          <w:sz w:val="20"/>
          <w:szCs w:val="20"/>
          <w:lang w:val="es-CR"/>
        </w:rPr>
        <w:t>]</w:t>
      </w:r>
      <w:r w:rsidRPr="00990CE5">
        <w:rPr>
          <w:rFonts w:ascii="Verdana" w:hAnsi="Verdana"/>
          <w:sz w:val="20"/>
          <w:szCs w:val="20"/>
          <w:lang w:val="es-CR"/>
        </w:rPr>
        <w:t>espués de haber consultado a todos los Jueces de la Corte</w:t>
      </w:r>
      <w:r>
        <w:rPr>
          <w:rFonts w:ascii="Verdana" w:hAnsi="Verdana"/>
          <w:sz w:val="20"/>
          <w:szCs w:val="20"/>
          <w:lang w:val="es-CR"/>
        </w:rPr>
        <w:t>”, e</w:t>
      </w:r>
      <w:r w:rsidR="00085D15">
        <w:rPr>
          <w:rFonts w:ascii="Verdana" w:hAnsi="Verdana"/>
          <w:sz w:val="20"/>
          <w:szCs w:val="20"/>
          <w:lang w:val="es-CR"/>
        </w:rPr>
        <w:t xml:space="preserve">l entonces Presidente del Tribunal </w:t>
      </w:r>
      <w:r w:rsidR="00274F39">
        <w:rPr>
          <w:rFonts w:ascii="Verdana" w:hAnsi="Verdana"/>
          <w:sz w:val="20"/>
          <w:szCs w:val="20"/>
          <w:lang w:val="es-CR"/>
        </w:rPr>
        <w:t>dispuso</w:t>
      </w:r>
      <w:r w:rsidR="00056C14">
        <w:rPr>
          <w:rFonts w:ascii="Verdana" w:hAnsi="Verdana"/>
          <w:sz w:val="20"/>
          <w:szCs w:val="20"/>
          <w:lang w:val="es-CR"/>
        </w:rPr>
        <w:t xml:space="preserve"> la</w:t>
      </w:r>
      <w:r w:rsidR="00582A20">
        <w:rPr>
          <w:rFonts w:ascii="Verdana" w:hAnsi="Verdana"/>
          <w:sz w:val="20"/>
          <w:szCs w:val="20"/>
          <w:lang w:val="es-CR"/>
        </w:rPr>
        <w:t xml:space="preserve"> siguiente</w:t>
      </w:r>
      <w:r w:rsidR="00056C14">
        <w:rPr>
          <w:rFonts w:ascii="Verdana" w:hAnsi="Verdana"/>
          <w:sz w:val="20"/>
          <w:szCs w:val="20"/>
          <w:lang w:val="es-CR"/>
        </w:rPr>
        <w:t xml:space="preserve"> medida urgente</w:t>
      </w:r>
      <w:r w:rsidR="00274F39">
        <w:rPr>
          <w:rFonts w:ascii="Verdana" w:hAnsi="Verdana"/>
          <w:sz w:val="20"/>
          <w:szCs w:val="20"/>
          <w:lang w:val="es-CR"/>
        </w:rPr>
        <w:t>:</w:t>
      </w:r>
    </w:p>
    <w:p w14:paraId="11CF46C3" w14:textId="77777777" w:rsidR="00AB381D" w:rsidRPr="00F237C3" w:rsidRDefault="00AB381D" w:rsidP="00AB381D">
      <w:pPr>
        <w:pStyle w:val="ListParagraph"/>
        <w:spacing w:after="0" w:line="240" w:lineRule="auto"/>
        <w:ind w:right="720"/>
        <w:contextualSpacing w:val="0"/>
        <w:jc w:val="both"/>
        <w:rPr>
          <w:rFonts w:ascii="Verdana" w:hAnsi="Verdana"/>
          <w:sz w:val="16"/>
          <w:szCs w:val="16"/>
          <w:lang w:val="es-CR"/>
        </w:rPr>
      </w:pPr>
    </w:p>
    <w:p w14:paraId="57DA58BE" w14:textId="77777777" w:rsidR="00274F39" w:rsidRPr="00F237C3" w:rsidRDefault="00274F39" w:rsidP="00AB381D">
      <w:pPr>
        <w:pStyle w:val="ListParagraph"/>
        <w:spacing w:after="0" w:line="240" w:lineRule="auto"/>
        <w:ind w:right="720"/>
        <w:contextualSpacing w:val="0"/>
        <w:jc w:val="both"/>
        <w:rPr>
          <w:rFonts w:ascii="Verdana" w:hAnsi="Verdana"/>
          <w:sz w:val="16"/>
          <w:szCs w:val="16"/>
          <w:lang w:val="es-CR"/>
        </w:rPr>
      </w:pPr>
      <w:r w:rsidRPr="00F237C3">
        <w:rPr>
          <w:rFonts w:ascii="Verdana" w:hAnsi="Verdana"/>
          <w:sz w:val="16"/>
          <w:szCs w:val="16"/>
          <w:lang w:val="es-CR"/>
        </w:rPr>
        <w:t>24. De acuerdo a las facultades que le otorgan los artículos 63.2 de la Convención Americana y 27 del Reglamento del Tribunal, el Presidente ordena, como medida urgente, que el Estado suspenda inmediatamente el procedimiento de acusación constitucional seguido en el Congreso de la República contra los Magistrados del Tribunal Constitucional Manuel Miranda, Marianella Ledesma, Carlos Ramos y Eloy Espinosa-Saldaña, hasta que el Pleno de la Corte Interamericana pueda conocer y pronunciarse sobre la presente solicitud de medidas provisionales durante su 121 Período Ordinario de Sesiones, que celebrará en su sede en San José, Costa Rica, del 29 de enero al 9 de febrero de 2018, ya que la adopción de eventuales sanciones a los magistrados tendrían consecuencias irreparables.</w:t>
      </w:r>
    </w:p>
    <w:p w14:paraId="6E8B60D0" w14:textId="77777777" w:rsidR="00AB381D" w:rsidRDefault="00AB381D" w:rsidP="00AB381D">
      <w:pPr>
        <w:pStyle w:val="ListParagraph"/>
        <w:spacing w:after="0" w:line="240" w:lineRule="auto"/>
        <w:ind w:left="0"/>
        <w:contextualSpacing w:val="0"/>
        <w:jc w:val="both"/>
        <w:rPr>
          <w:rFonts w:ascii="Verdana" w:hAnsi="Verdana"/>
          <w:sz w:val="20"/>
          <w:szCs w:val="20"/>
          <w:lang w:val="es-CR"/>
        </w:rPr>
      </w:pPr>
    </w:p>
    <w:p w14:paraId="0091A60A" w14:textId="77777777" w:rsidR="000C2908" w:rsidRDefault="000C2908" w:rsidP="00AB381D">
      <w:pPr>
        <w:pStyle w:val="ListParagraph"/>
        <w:spacing w:after="0" w:line="240" w:lineRule="auto"/>
        <w:ind w:left="0"/>
        <w:contextualSpacing w:val="0"/>
        <w:jc w:val="both"/>
        <w:rPr>
          <w:rFonts w:ascii="Verdana" w:hAnsi="Verdana"/>
          <w:sz w:val="20"/>
          <w:szCs w:val="20"/>
          <w:lang w:val="es-CR"/>
        </w:rPr>
      </w:pPr>
    </w:p>
    <w:p w14:paraId="740E0C10" w14:textId="15E0B3AC" w:rsidR="00056C14" w:rsidRPr="004C7661" w:rsidRDefault="00582A20" w:rsidP="007C15A1">
      <w:pPr>
        <w:pStyle w:val="ListParagraph"/>
        <w:numPr>
          <w:ilvl w:val="0"/>
          <w:numId w:val="3"/>
        </w:numPr>
        <w:spacing w:after="0" w:line="240" w:lineRule="auto"/>
        <w:ind w:left="0" w:firstLine="0"/>
        <w:contextualSpacing w:val="0"/>
        <w:jc w:val="both"/>
        <w:rPr>
          <w:rFonts w:ascii="Verdana" w:hAnsi="Verdana"/>
          <w:sz w:val="20"/>
          <w:szCs w:val="20"/>
          <w:lang w:val="es-CR"/>
        </w:rPr>
      </w:pPr>
      <w:r>
        <w:rPr>
          <w:rFonts w:ascii="Verdana" w:hAnsi="Verdana"/>
          <w:sz w:val="20"/>
          <w:szCs w:val="20"/>
          <w:lang w:val="es-CR"/>
        </w:rPr>
        <w:t>Asimismo</w:t>
      </w:r>
      <w:r w:rsidR="003A5F36">
        <w:rPr>
          <w:rFonts w:ascii="Verdana" w:hAnsi="Verdana"/>
          <w:sz w:val="20"/>
          <w:szCs w:val="20"/>
          <w:lang w:val="es-CR"/>
        </w:rPr>
        <w:t>, en la referida Resolución</w:t>
      </w:r>
      <w:r>
        <w:rPr>
          <w:rFonts w:ascii="Verdana" w:hAnsi="Verdana"/>
          <w:sz w:val="20"/>
          <w:szCs w:val="20"/>
          <w:lang w:val="es-CR"/>
        </w:rPr>
        <w:t>, el Presidente del Tribunal “estim[ó]</w:t>
      </w:r>
      <w:r w:rsidRPr="00582A20">
        <w:rPr>
          <w:rFonts w:ascii="Verdana" w:hAnsi="Verdana"/>
          <w:sz w:val="20"/>
          <w:szCs w:val="20"/>
          <w:lang w:val="es-CR"/>
        </w:rPr>
        <w:t xml:space="preserve"> pertinente atender el pedido del Estado […] relativo a que los representantes precisen cuál es el mandato específico que requieren que sea adoptado por el Tribunal, así como que se refieran a la vigencia de la medida solicitada</w:t>
      </w:r>
      <w:r>
        <w:rPr>
          <w:rFonts w:ascii="Verdana" w:hAnsi="Verdana"/>
          <w:sz w:val="20"/>
          <w:szCs w:val="20"/>
          <w:lang w:val="es-CR"/>
        </w:rPr>
        <w:t>” y también requirió a los representantes de las víctimas “</w:t>
      </w:r>
      <w:r w:rsidRPr="00582A20">
        <w:rPr>
          <w:rFonts w:ascii="Verdana" w:hAnsi="Verdana"/>
          <w:sz w:val="20"/>
          <w:szCs w:val="20"/>
          <w:lang w:val="es-CR"/>
        </w:rPr>
        <w:t>complement</w:t>
      </w:r>
      <w:r>
        <w:rPr>
          <w:rFonts w:ascii="Verdana" w:hAnsi="Verdana"/>
          <w:sz w:val="20"/>
          <w:szCs w:val="20"/>
          <w:lang w:val="es-CR"/>
        </w:rPr>
        <w:t>[ar]</w:t>
      </w:r>
      <w:r w:rsidRPr="00582A20">
        <w:rPr>
          <w:rFonts w:ascii="Verdana" w:hAnsi="Verdana"/>
          <w:sz w:val="20"/>
          <w:szCs w:val="20"/>
          <w:lang w:val="es-CR"/>
        </w:rPr>
        <w:t xml:space="preserve"> su argumentación sobre el impacto que tienen o pueden tener en el proceso penal en trámite las decisiones del Tribunal Constitucional en materia del referido recurso de agravio constitucional presentado por imputados de dicho proceso</w:t>
      </w:r>
      <w:r>
        <w:rPr>
          <w:rFonts w:ascii="Verdana" w:hAnsi="Verdana"/>
          <w:sz w:val="20"/>
          <w:szCs w:val="20"/>
          <w:lang w:val="es-CR"/>
        </w:rPr>
        <w:t>”</w:t>
      </w:r>
      <w:r w:rsidR="00692115">
        <w:rPr>
          <w:rStyle w:val="FootnoteReference"/>
          <w:rFonts w:ascii="Verdana" w:hAnsi="Verdana"/>
          <w:sz w:val="20"/>
          <w:szCs w:val="20"/>
          <w:lang w:val="es-CR"/>
        </w:rPr>
        <w:footnoteReference w:id="15"/>
      </w:r>
      <w:r w:rsidRPr="00582A20">
        <w:rPr>
          <w:rFonts w:ascii="Verdana" w:hAnsi="Verdana"/>
          <w:sz w:val="20"/>
          <w:szCs w:val="20"/>
          <w:lang w:val="es-CR"/>
        </w:rPr>
        <w:t>.</w:t>
      </w:r>
      <w:r>
        <w:rPr>
          <w:rFonts w:ascii="Verdana" w:hAnsi="Verdana"/>
          <w:sz w:val="20"/>
          <w:szCs w:val="20"/>
          <w:lang w:val="es-CR"/>
        </w:rPr>
        <w:t xml:space="preserve"> </w:t>
      </w:r>
      <w:r w:rsidR="004C7661">
        <w:rPr>
          <w:rFonts w:ascii="Verdana" w:hAnsi="Verdana"/>
          <w:sz w:val="20"/>
          <w:szCs w:val="20"/>
          <w:lang w:val="es-CR"/>
        </w:rPr>
        <w:t>Por otra parte, el Presidente también dispuso en dicha Resolución ampliar el objeto de la audiencia de supervisión de cumplimiento que había sido convocada por la Corte para celebrarse el 2 de febrero de 2018, de manera que también pudiese abarcar “</w:t>
      </w:r>
      <w:r w:rsidR="004C7661" w:rsidRPr="004C7661">
        <w:rPr>
          <w:rFonts w:ascii="Verdana" w:hAnsi="Verdana"/>
          <w:sz w:val="20"/>
          <w:szCs w:val="20"/>
          <w:lang w:val="es-CR"/>
        </w:rPr>
        <w:t>los argumentos de las partes y la Comisión Interamericana sobre la solicitud de medidas provisionales, de manera que el Tribunal cuente con todos los elementos necesarios para adoptar una decisión en razón de la complejidad de la misma y sus implicancias”.</w:t>
      </w:r>
    </w:p>
    <w:p w14:paraId="59F1AF6E" w14:textId="77777777" w:rsidR="00AB381D" w:rsidRDefault="00AB381D" w:rsidP="00AB381D">
      <w:pPr>
        <w:pStyle w:val="ListParagraph"/>
        <w:spacing w:after="0" w:line="240" w:lineRule="auto"/>
        <w:ind w:left="0"/>
        <w:contextualSpacing w:val="0"/>
        <w:jc w:val="both"/>
        <w:rPr>
          <w:rFonts w:ascii="Verdana" w:hAnsi="Verdana"/>
          <w:sz w:val="20"/>
          <w:szCs w:val="20"/>
          <w:lang w:val="es-CR"/>
        </w:rPr>
      </w:pPr>
    </w:p>
    <w:p w14:paraId="7C6C9C25" w14:textId="1BDC80A6" w:rsidR="00143BC1" w:rsidRDefault="0073189C" w:rsidP="007C15A1">
      <w:pPr>
        <w:pStyle w:val="ListParagraph"/>
        <w:numPr>
          <w:ilvl w:val="0"/>
          <w:numId w:val="3"/>
        </w:numPr>
        <w:spacing w:after="0" w:line="240" w:lineRule="auto"/>
        <w:ind w:left="0" w:firstLine="0"/>
        <w:contextualSpacing w:val="0"/>
        <w:jc w:val="both"/>
        <w:rPr>
          <w:rFonts w:ascii="Verdana" w:hAnsi="Verdana"/>
          <w:b/>
          <w:sz w:val="20"/>
          <w:szCs w:val="20"/>
          <w:lang w:val="es-CR"/>
        </w:rPr>
      </w:pPr>
      <w:r w:rsidRPr="00143BC1">
        <w:rPr>
          <w:rFonts w:ascii="Verdana" w:hAnsi="Verdana"/>
          <w:sz w:val="20"/>
          <w:szCs w:val="20"/>
          <w:lang w:val="es-CR"/>
        </w:rPr>
        <w:t xml:space="preserve">Por consiguiente, para adoptar la presente resolución el </w:t>
      </w:r>
      <w:r w:rsidR="00B67788">
        <w:rPr>
          <w:rFonts w:ascii="Verdana" w:hAnsi="Verdana"/>
          <w:sz w:val="20"/>
          <w:szCs w:val="20"/>
          <w:lang w:val="es-CR"/>
        </w:rPr>
        <w:t>P</w:t>
      </w:r>
      <w:r w:rsidRPr="00143BC1">
        <w:rPr>
          <w:rFonts w:ascii="Verdana" w:hAnsi="Verdana"/>
          <w:sz w:val="20"/>
          <w:szCs w:val="20"/>
          <w:lang w:val="es-CR"/>
        </w:rPr>
        <w:t xml:space="preserve">leno del Tribunal valorará tanto la información y argumentos presentados previo a la audiencia </w:t>
      </w:r>
      <w:r w:rsidR="004F76DF" w:rsidRPr="00143BC1">
        <w:rPr>
          <w:rFonts w:ascii="Verdana" w:hAnsi="Verdana"/>
          <w:sz w:val="20"/>
          <w:szCs w:val="20"/>
          <w:lang w:val="es-CR"/>
        </w:rPr>
        <w:t xml:space="preserve">pública </w:t>
      </w:r>
      <w:r w:rsidRPr="00143BC1">
        <w:rPr>
          <w:rFonts w:ascii="Verdana" w:hAnsi="Verdana"/>
          <w:sz w:val="20"/>
          <w:szCs w:val="20"/>
          <w:lang w:val="es-CR"/>
        </w:rPr>
        <w:t>que se efectuó el 2 de febrero como los expuestos en la misma</w:t>
      </w:r>
      <w:r w:rsidR="00950834" w:rsidRPr="00143BC1">
        <w:rPr>
          <w:rFonts w:ascii="Verdana" w:hAnsi="Verdana"/>
          <w:sz w:val="20"/>
          <w:szCs w:val="20"/>
          <w:lang w:val="es-CR"/>
        </w:rPr>
        <w:t xml:space="preserve">. </w:t>
      </w:r>
      <w:r w:rsidR="00AA0F9C" w:rsidRPr="00143BC1">
        <w:rPr>
          <w:rFonts w:ascii="Verdana" w:hAnsi="Verdana"/>
          <w:sz w:val="20"/>
          <w:szCs w:val="20"/>
          <w:lang w:val="es-CR"/>
        </w:rPr>
        <w:t>Asimismo, tomar</w:t>
      </w:r>
      <w:r w:rsidR="003A471C" w:rsidRPr="00143BC1">
        <w:rPr>
          <w:rFonts w:ascii="Verdana" w:hAnsi="Verdana"/>
          <w:sz w:val="20"/>
          <w:szCs w:val="20"/>
          <w:lang w:val="es-CR"/>
        </w:rPr>
        <w:t xml:space="preserve">á en cuenta </w:t>
      </w:r>
      <w:r w:rsidR="00B67788" w:rsidRPr="00AE1238">
        <w:rPr>
          <w:rFonts w:ascii="Verdana" w:hAnsi="Verdana"/>
          <w:sz w:val="20"/>
          <w:szCs w:val="20"/>
          <w:lang w:val="es-CR"/>
        </w:rPr>
        <w:t xml:space="preserve">el </w:t>
      </w:r>
      <w:r w:rsidR="003A471C" w:rsidRPr="00AE1238">
        <w:rPr>
          <w:rFonts w:ascii="Verdana" w:hAnsi="Verdana"/>
          <w:sz w:val="20"/>
          <w:szCs w:val="20"/>
          <w:lang w:val="es-CR"/>
        </w:rPr>
        <w:t>documento</w:t>
      </w:r>
      <w:r w:rsidR="00AA0F9C" w:rsidRPr="00AE1238">
        <w:rPr>
          <w:rFonts w:ascii="Verdana" w:hAnsi="Verdana"/>
          <w:sz w:val="20"/>
          <w:szCs w:val="20"/>
          <w:lang w:val="es-CR"/>
        </w:rPr>
        <w:t xml:space="preserve"> </w:t>
      </w:r>
      <w:r w:rsidR="003A471C" w:rsidRPr="00AE1238">
        <w:rPr>
          <w:rFonts w:ascii="Verdana" w:hAnsi="Verdana"/>
          <w:sz w:val="20"/>
          <w:szCs w:val="20"/>
          <w:lang w:val="es-CR"/>
        </w:rPr>
        <w:t>aportado</w:t>
      </w:r>
      <w:r w:rsidR="00AA0F9C" w:rsidRPr="00143BC1">
        <w:rPr>
          <w:rFonts w:ascii="Verdana" w:hAnsi="Verdana"/>
          <w:sz w:val="20"/>
          <w:szCs w:val="20"/>
          <w:lang w:val="es-CR"/>
        </w:rPr>
        <w:t xml:space="preserve"> por el Estado </w:t>
      </w:r>
      <w:r w:rsidR="003A471C" w:rsidRPr="00143BC1">
        <w:rPr>
          <w:rFonts w:ascii="Verdana" w:hAnsi="Verdana"/>
          <w:sz w:val="20"/>
          <w:szCs w:val="20"/>
          <w:lang w:val="es-CR"/>
        </w:rPr>
        <w:t xml:space="preserve">como anexo a </w:t>
      </w:r>
      <w:r w:rsidR="00AA0F9C" w:rsidRPr="00143BC1">
        <w:rPr>
          <w:rFonts w:ascii="Verdana" w:hAnsi="Verdana"/>
          <w:sz w:val="20"/>
          <w:szCs w:val="20"/>
          <w:lang w:val="es-CR"/>
        </w:rPr>
        <w:t xml:space="preserve">su escrito de 6 de febrero de </w:t>
      </w:r>
      <w:r w:rsidR="003A471C" w:rsidRPr="00143BC1">
        <w:rPr>
          <w:rFonts w:ascii="Verdana" w:hAnsi="Verdana"/>
          <w:sz w:val="20"/>
          <w:szCs w:val="20"/>
          <w:lang w:val="es-CR"/>
        </w:rPr>
        <w:t xml:space="preserve">2018, en respuesta a la solicitud de información efectuada por el Presidente del Tribunal </w:t>
      </w:r>
      <w:r w:rsidR="008F3CDD" w:rsidRPr="00143BC1">
        <w:rPr>
          <w:rFonts w:ascii="Verdana" w:hAnsi="Verdana"/>
          <w:sz w:val="20"/>
          <w:szCs w:val="20"/>
          <w:lang w:val="es-CR"/>
        </w:rPr>
        <w:t>previo a dicha audiencia</w:t>
      </w:r>
      <w:r w:rsidR="008F3CDD" w:rsidRPr="00143BC1">
        <w:rPr>
          <w:rStyle w:val="FootnoteReference"/>
          <w:rFonts w:ascii="Verdana" w:hAnsi="Verdana"/>
          <w:sz w:val="20"/>
          <w:szCs w:val="20"/>
          <w:lang w:val="es-CR"/>
        </w:rPr>
        <w:footnoteReference w:id="16"/>
      </w:r>
      <w:r w:rsidR="008F3CDD" w:rsidRPr="00143BC1">
        <w:rPr>
          <w:rFonts w:ascii="Verdana" w:hAnsi="Verdana"/>
          <w:sz w:val="20"/>
          <w:szCs w:val="20"/>
          <w:lang w:val="es-CR"/>
        </w:rPr>
        <w:t>.</w:t>
      </w:r>
      <w:r w:rsidR="003A471C" w:rsidRPr="00143BC1">
        <w:rPr>
          <w:rFonts w:ascii="Verdana" w:hAnsi="Verdana"/>
          <w:sz w:val="20"/>
          <w:szCs w:val="20"/>
          <w:lang w:val="es-CR"/>
        </w:rPr>
        <w:t xml:space="preserve"> </w:t>
      </w:r>
      <w:r w:rsidR="00D435A2" w:rsidRPr="00143BC1">
        <w:rPr>
          <w:rFonts w:ascii="Verdana" w:hAnsi="Verdana"/>
          <w:sz w:val="20"/>
          <w:szCs w:val="20"/>
          <w:lang w:val="es-CR"/>
        </w:rPr>
        <w:t>Los escritos presentados por el Estado y por los r</w:t>
      </w:r>
      <w:r w:rsidR="00A23EFD">
        <w:rPr>
          <w:rFonts w:ascii="Verdana" w:hAnsi="Verdana"/>
          <w:sz w:val="20"/>
          <w:szCs w:val="20"/>
          <w:lang w:val="es-CR"/>
        </w:rPr>
        <w:t>epresentantes de las víctimas los días</w:t>
      </w:r>
      <w:r w:rsidR="00D435A2" w:rsidRPr="00143BC1">
        <w:rPr>
          <w:rFonts w:ascii="Verdana" w:hAnsi="Verdana"/>
          <w:sz w:val="20"/>
          <w:szCs w:val="20"/>
          <w:lang w:val="es-CR"/>
        </w:rPr>
        <w:t xml:space="preserve"> 6 </w:t>
      </w:r>
      <w:r w:rsidR="00A23EFD">
        <w:rPr>
          <w:rFonts w:ascii="Verdana" w:hAnsi="Verdana"/>
          <w:sz w:val="20"/>
          <w:szCs w:val="20"/>
          <w:lang w:val="es-CR"/>
        </w:rPr>
        <w:t xml:space="preserve">y 7 </w:t>
      </w:r>
      <w:r w:rsidR="00D435A2" w:rsidRPr="00143BC1">
        <w:rPr>
          <w:rFonts w:ascii="Verdana" w:hAnsi="Verdana"/>
          <w:sz w:val="20"/>
          <w:szCs w:val="20"/>
          <w:lang w:val="es-CR"/>
        </w:rPr>
        <w:t xml:space="preserve">de febrero de 2018, en los cuales se refieren a puntos controvertidos durante la audiencia o complementan sus argumentos, no podrán ser tenidos en cuenta </w:t>
      </w:r>
      <w:r w:rsidR="00C345CD" w:rsidRPr="00143BC1">
        <w:rPr>
          <w:rFonts w:ascii="Verdana" w:hAnsi="Verdana"/>
          <w:sz w:val="20"/>
          <w:szCs w:val="20"/>
          <w:lang w:val="es-CR"/>
        </w:rPr>
        <w:t xml:space="preserve">en la presente Resolución debido a que no se tuvo la oportunidad de que las partes pudieran presentar observaciones previo </w:t>
      </w:r>
      <w:r w:rsidR="00C345CD" w:rsidRPr="000C2908">
        <w:rPr>
          <w:rFonts w:ascii="Verdana" w:hAnsi="Verdana"/>
          <w:sz w:val="20"/>
          <w:szCs w:val="20"/>
          <w:lang w:val="es-CR"/>
        </w:rPr>
        <w:t xml:space="preserve">a su </w:t>
      </w:r>
      <w:r w:rsidR="000C59EC" w:rsidRPr="000C2908">
        <w:rPr>
          <w:rFonts w:ascii="Verdana" w:hAnsi="Verdana"/>
          <w:sz w:val="20"/>
          <w:szCs w:val="20"/>
          <w:lang w:val="es-CR"/>
        </w:rPr>
        <w:t xml:space="preserve">deliberación y </w:t>
      </w:r>
      <w:r w:rsidR="00C345CD" w:rsidRPr="000C2908">
        <w:rPr>
          <w:rFonts w:ascii="Verdana" w:hAnsi="Verdana"/>
          <w:sz w:val="20"/>
          <w:szCs w:val="20"/>
          <w:lang w:val="es-CR"/>
        </w:rPr>
        <w:t>adopción</w:t>
      </w:r>
      <w:r w:rsidR="00C345CD" w:rsidRPr="00143BC1">
        <w:rPr>
          <w:rFonts w:ascii="Verdana" w:hAnsi="Verdana"/>
          <w:sz w:val="20"/>
          <w:szCs w:val="20"/>
          <w:lang w:val="es-CR"/>
        </w:rPr>
        <w:t xml:space="preserve">. </w:t>
      </w:r>
    </w:p>
    <w:p w14:paraId="75109108" w14:textId="77777777" w:rsidR="00143BC1" w:rsidRPr="00143BC1" w:rsidRDefault="00143BC1" w:rsidP="00143BC1">
      <w:pPr>
        <w:pStyle w:val="ListParagraph"/>
        <w:rPr>
          <w:rFonts w:ascii="Verdana" w:hAnsi="Verdana"/>
          <w:sz w:val="20"/>
          <w:szCs w:val="20"/>
          <w:lang w:val="es-CR"/>
        </w:rPr>
      </w:pPr>
    </w:p>
    <w:p w14:paraId="27E40546" w14:textId="61A058AC" w:rsidR="00145356" w:rsidRPr="00143BC1" w:rsidRDefault="00950834" w:rsidP="007C15A1">
      <w:pPr>
        <w:pStyle w:val="ListParagraph"/>
        <w:numPr>
          <w:ilvl w:val="0"/>
          <w:numId w:val="3"/>
        </w:numPr>
        <w:spacing w:after="0" w:line="240" w:lineRule="auto"/>
        <w:ind w:left="0" w:firstLine="0"/>
        <w:contextualSpacing w:val="0"/>
        <w:jc w:val="both"/>
        <w:rPr>
          <w:rFonts w:ascii="Verdana" w:hAnsi="Verdana"/>
          <w:b/>
          <w:sz w:val="20"/>
          <w:szCs w:val="20"/>
          <w:lang w:val="es-CR"/>
        </w:rPr>
      </w:pPr>
      <w:r w:rsidRPr="00143BC1">
        <w:rPr>
          <w:rFonts w:ascii="Verdana" w:hAnsi="Verdana"/>
          <w:sz w:val="20"/>
          <w:szCs w:val="20"/>
          <w:lang w:val="es-CR"/>
        </w:rPr>
        <w:lastRenderedPageBreak/>
        <w:t>En la Resolución de la Presidencia de 17 de diciembre de 2017 se resumen los argu</w:t>
      </w:r>
      <w:r w:rsidR="000D681F">
        <w:rPr>
          <w:rFonts w:ascii="Verdana" w:hAnsi="Verdana"/>
          <w:sz w:val="20"/>
          <w:szCs w:val="20"/>
          <w:lang w:val="es-CR"/>
        </w:rPr>
        <w:t>mentos e información presentados</w:t>
      </w:r>
      <w:r w:rsidRPr="00143BC1">
        <w:rPr>
          <w:rFonts w:ascii="Verdana" w:hAnsi="Verdana"/>
          <w:sz w:val="20"/>
          <w:szCs w:val="20"/>
          <w:lang w:val="es-CR"/>
        </w:rPr>
        <w:t xml:space="preserve"> hasta ese momento</w:t>
      </w:r>
      <w:r w:rsidR="002C2816">
        <w:rPr>
          <w:rStyle w:val="FootnoteReference"/>
          <w:rFonts w:ascii="Verdana" w:hAnsi="Verdana"/>
          <w:sz w:val="20"/>
          <w:szCs w:val="20"/>
          <w:lang w:val="es-CR"/>
        </w:rPr>
        <w:footnoteReference w:id="17"/>
      </w:r>
      <w:r w:rsidR="00615DCD">
        <w:rPr>
          <w:rFonts w:ascii="Verdana" w:hAnsi="Verdana"/>
          <w:sz w:val="20"/>
          <w:szCs w:val="20"/>
          <w:lang w:val="es-CR"/>
        </w:rPr>
        <w:t>, y seguidamente se resume lo</w:t>
      </w:r>
      <w:r w:rsidRPr="00143BC1">
        <w:rPr>
          <w:rFonts w:ascii="Verdana" w:hAnsi="Verdana"/>
          <w:sz w:val="20"/>
          <w:szCs w:val="20"/>
          <w:lang w:val="es-CR"/>
        </w:rPr>
        <w:t xml:space="preserve"> expuesto con posterioridad a la misma. </w:t>
      </w:r>
    </w:p>
    <w:p w14:paraId="71AB20FF" w14:textId="77777777" w:rsidR="0078021F" w:rsidRDefault="0078021F" w:rsidP="00AB381D">
      <w:pPr>
        <w:pStyle w:val="ListParagraph"/>
        <w:spacing w:after="0" w:line="240" w:lineRule="auto"/>
        <w:contextualSpacing w:val="0"/>
        <w:jc w:val="both"/>
        <w:rPr>
          <w:rFonts w:ascii="Verdana" w:hAnsi="Verdana" w:cs="Verdana"/>
          <w:b/>
          <w:i/>
          <w:sz w:val="20"/>
          <w:szCs w:val="20"/>
          <w:lang w:val="es-CR"/>
        </w:rPr>
      </w:pPr>
    </w:p>
    <w:p w14:paraId="76825CF3" w14:textId="77777777" w:rsidR="00565E0A" w:rsidRDefault="00565E0A" w:rsidP="00AB381D">
      <w:pPr>
        <w:pStyle w:val="ListParagraph"/>
        <w:spacing w:after="0" w:line="240" w:lineRule="auto"/>
        <w:contextualSpacing w:val="0"/>
        <w:jc w:val="both"/>
        <w:rPr>
          <w:rFonts w:ascii="Verdana" w:hAnsi="Verdana" w:cs="Verdana"/>
          <w:b/>
          <w:i/>
          <w:sz w:val="20"/>
          <w:szCs w:val="20"/>
          <w:lang w:val="es-CR"/>
        </w:rPr>
      </w:pPr>
    </w:p>
    <w:p w14:paraId="4D1DDD48" w14:textId="1FE83316" w:rsidR="0022438B" w:rsidRPr="0022438B" w:rsidRDefault="008833F1" w:rsidP="007C15A1">
      <w:pPr>
        <w:pStyle w:val="ListParagraph"/>
        <w:numPr>
          <w:ilvl w:val="0"/>
          <w:numId w:val="4"/>
        </w:numPr>
        <w:spacing w:after="0" w:line="240" w:lineRule="auto"/>
        <w:contextualSpacing w:val="0"/>
        <w:jc w:val="both"/>
        <w:rPr>
          <w:rFonts w:ascii="Verdana" w:hAnsi="Verdana" w:cs="Verdana"/>
          <w:b/>
          <w:i/>
          <w:sz w:val="20"/>
          <w:szCs w:val="20"/>
          <w:lang w:val="es-CR"/>
        </w:rPr>
      </w:pPr>
      <w:r>
        <w:rPr>
          <w:rFonts w:ascii="Verdana" w:hAnsi="Verdana" w:cs="Verdana"/>
          <w:b/>
          <w:i/>
          <w:sz w:val="20"/>
          <w:szCs w:val="20"/>
          <w:lang w:val="es-CR"/>
        </w:rPr>
        <w:t>Argumentos e i</w:t>
      </w:r>
      <w:r w:rsidR="00B627DE">
        <w:rPr>
          <w:rFonts w:ascii="Verdana" w:hAnsi="Verdana" w:cs="Verdana"/>
          <w:b/>
          <w:i/>
          <w:sz w:val="20"/>
          <w:szCs w:val="20"/>
          <w:lang w:val="es-CR"/>
        </w:rPr>
        <w:t xml:space="preserve">nformación </w:t>
      </w:r>
      <w:r>
        <w:rPr>
          <w:rFonts w:ascii="Verdana" w:hAnsi="Verdana" w:cs="Verdana"/>
          <w:b/>
          <w:i/>
          <w:sz w:val="20"/>
          <w:szCs w:val="20"/>
          <w:lang w:val="es-CR"/>
        </w:rPr>
        <w:t xml:space="preserve">de </w:t>
      </w:r>
      <w:r w:rsidR="0022438B" w:rsidRPr="0022438B">
        <w:rPr>
          <w:rFonts w:ascii="Verdana" w:hAnsi="Verdana" w:cs="Verdana"/>
          <w:b/>
          <w:i/>
          <w:sz w:val="20"/>
          <w:szCs w:val="20"/>
          <w:lang w:val="es-CR"/>
        </w:rPr>
        <w:t>los representantes de las víctimas</w:t>
      </w:r>
    </w:p>
    <w:p w14:paraId="0DBEFCBC" w14:textId="77777777" w:rsidR="00AB381D" w:rsidRPr="00AB381D" w:rsidRDefault="00AB381D" w:rsidP="00AB381D">
      <w:pPr>
        <w:pStyle w:val="ListParagraph"/>
        <w:widowControl w:val="0"/>
        <w:autoSpaceDE w:val="0"/>
        <w:autoSpaceDN w:val="0"/>
        <w:adjustRightInd w:val="0"/>
        <w:spacing w:after="0" w:line="240" w:lineRule="auto"/>
        <w:ind w:left="0"/>
        <w:contextualSpacing w:val="0"/>
        <w:jc w:val="both"/>
        <w:rPr>
          <w:rFonts w:ascii="Verdana" w:hAnsi="Verdana"/>
          <w:b/>
          <w:sz w:val="20"/>
          <w:szCs w:val="20"/>
          <w:lang w:val="es-CR"/>
        </w:rPr>
      </w:pPr>
    </w:p>
    <w:p w14:paraId="58B8C120" w14:textId="6A4797B4" w:rsidR="00AB381D" w:rsidRPr="00D8171E" w:rsidRDefault="00D6785E" w:rsidP="007C15A1">
      <w:pPr>
        <w:pStyle w:val="ListParagraph"/>
        <w:widowControl w:val="0"/>
        <w:numPr>
          <w:ilvl w:val="0"/>
          <w:numId w:val="3"/>
        </w:numPr>
        <w:autoSpaceDE w:val="0"/>
        <w:autoSpaceDN w:val="0"/>
        <w:adjustRightInd w:val="0"/>
        <w:spacing w:after="0" w:line="240" w:lineRule="auto"/>
        <w:ind w:left="0" w:firstLine="0"/>
        <w:contextualSpacing w:val="0"/>
        <w:jc w:val="both"/>
        <w:rPr>
          <w:rFonts w:ascii="Verdana" w:hAnsi="Verdana"/>
          <w:b/>
          <w:sz w:val="20"/>
          <w:szCs w:val="20"/>
          <w:lang w:val="es-CR"/>
        </w:rPr>
      </w:pPr>
      <w:r w:rsidRPr="00D6785E">
        <w:rPr>
          <w:rFonts w:ascii="Verdana" w:hAnsi="Verdana"/>
          <w:sz w:val="20"/>
          <w:szCs w:val="20"/>
          <w:lang w:val="es-CR"/>
        </w:rPr>
        <w:t>Los representantes señalaron</w:t>
      </w:r>
      <w:r w:rsidR="005F517B" w:rsidRPr="00D6785E">
        <w:rPr>
          <w:rFonts w:ascii="Verdana" w:hAnsi="Verdana"/>
          <w:sz w:val="20"/>
          <w:szCs w:val="20"/>
          <w:lang w:val="es-CR"/>
        </w:rPr>
        <w:t xml:space="preserve"> que </w:t>
      </w:r>
      <w:r w:rsidR="00937688" w:rsidRPr="00D6785E">
        <w:rPr>
          <w:rFonts w:ascii="Verdana" w:hAnsi="Verdana"/>
          <w:sz w:val="20"/>
          <w:szCs w:val="20"/>
          <w:lang w:val="es-CR"/>
        </w:rPr>
        <w:t>el “mandato específico que la Corte [IDH] debe disponer es una medida de cese o archivamiento de los procedimientos internos de acusación constitucional seguidos a la fecha ante el Congreso de la República de Perú contra los [cuatro] magistrados del Tribunal Constitucional […] como único medio efectivo para garantizar la independencia judicial y ejercicio autónomo de la función judicial”</w:t>
      </w:r>
      <w:r w:rsidR="005F517B" w:rsidRPr="00D6785E">
        <w:rPr>
          <w:rFonts w:ascii="Verdana" w:hAnsi="Verdana"/>
          <w:sz w:val="20"/>
          <w:szCs w:val="20"/>
          <w:lang w:val="es-CR"/>
        </w:rPr>
        <w:t xml:space="preserve">. Asimismo, indicaron que </w:t>
      </w:r>
      <w:r w:rsidR="00937688" w:rsidRPr="00D6785E">
        <w:rPr>
          <w:rFonts w:ascii="Verdana" w:hAnsi="Verdana"/>
          <w:sz w:val="20"/>
          <w:szCs w:val="20"/>
          <w:lang w:val="es-CR"/>
        </w:rPr>
        <w:t xml:space="preserve">dicha medida </w:t>
      </w:r>
      <w:r w:rsidR="00511BFA" w:rsidRPr="00D6785E">
        <w:rPr>
          <w:rFonts w:ascii="Verdana" w:hAnsi="Verdana"/>
          <w:sz w:val="20"/>
          <w:szCs w:val="20"/>
          <w:lang w:val="es-CR"/>
        </w:rPr>
        <w:t xml:space="preserve">debe tener vigencia “hasta en tanto no se garantice la adecuada investigación de las violaciones en el caso concreto”, incluyendo a los autores mediatos </w:t>
      </w:r>
      <w:r w:rsidR="004418A3" w:rsidRPr="00D6785E">
        <w:rPr>
          <w:rFonts w:ascii="Verdana" w:hAnsi="Verdana"/>
          <w:sz w:val="20"/>
          <w:szCs w:val="20"/>
          <w:lang w:val="es-CR"/>
        </w:rPr>
        <w:t xml:space="preserve">que no estén aún imputados. </w:t>
      </w:r>
    </w:p>
    <w:p w14:paraId="4AA157B7" w14:textId="77777777" w:rsidR="00D8171E" w:rsidRDefault="00D8171E" w:rsidP="00D8171E">
      <w:pPr>
        <w:pStyle w:val="ListParagraph"/>
        <w:widowControl w:val="0"/>
        <w:autoSpaceDE w:val="0"/>
        <w:autoSpaceDN w:val="0"/>
        <w:adjustRightInd w:val="0"/>
        <w:spacing w:after="0" w:line="240" w:lineRule="auto"/>
        <w:ind w:left="0"/>
        <w:contextualSpacing w:val="0"/>
        <w:jc w:val="both"/>
        <w:rPr>
          <w:rFonts w:ascii="Verdana" w:hAnsi="Verdana"/>
          <w:b/>
          <w:sz w:val="20"/>
          <w:szCs w:val="20"/>
          <w:lang w:val="es-CR"/>
        </w:rPr>
      </w:pPr>
    </w:p>
    <w:p w14:paraId="0234BF2E" w14:textId="77777777" w:rsidR="00565E0A" w:rsidRPr="00D8171E" w:rsidRDefault="00565E0A" w:rsidP="00D8171E">
      <w:pPr>
        <w:pStyle w:val="ListParagraph"/>
        <w:widowControl w:val="0"/>
        <w:autoSpaceDE w:val="0"/>
        <w:autoSpaceDN w:val="0"/>
        <w:adjustRightInd w:val="0"/>
        <w:spacing w:after="0" w:line="240" w:lineRule="auto"/>
        <w:ind w:left="0"/>
        <w:contextualSpacing w:val="0"/>
        <w:jc w:val="both"/>
        <w:rPr>
          <w:rFonts w:ascii="Verdana" w:hAnsi="Verdana"/>
          <w:b/>
          <w:sz w:val="20"/>
          <w:szCs w:val="20"/>
          <w:lang w:val="es-CR"/>
        </w:rPr>
      </w:pPr>
    </w:p>
    <w:p w14:paraId="2AAEF0C2" w14:textId="77777777" w:rsidR="00D8171E" w:rsidRPr="00D8171E" w:rsidRDefault="00D8171E" w:rsidP="007C15A1">
      <w:pPr>
        <w:pStyle w:val="ListParagraph"/>
        <w:widowControl w:val="0"/>
        <w:numPr>
          <w:ilvl w:val="0"/>
          <w:numId w:val="3"/>
        </w:numPr>
        <w:autoSpaceDE w:val="0"/>
        <w:autoSpaceDN w:val="0"/>
        <w:adjustRightInd w:val="0"/>
        <w:spacing w:after="0" w:line="240" w:lineRule="auto"/>
        <w:ind w:left="0" w:firstLine="0"/>
        <w:contextualSpacing w:val="0"/>
        <w:jc w:val="both"/>
        <w:rPr>
          <w:rFonts w:ascii="Verdana" w:hAnsi="Verdana"/>
          <w:b/>
          <w:sz w:val="20"/>
          <w:szCs w:val="20"/>
          <w:lang w:val="es-CR"/>
        </w:rPr>
      </w:pPr>
      <w:r w:rsidRPr="00D8171E">
        <w:rPr>
          <w:rFonts w:ascii="Verdana" w:hAnsi="Verdana"/>
          <w:sz w:val="20"/>
          <w:szCs w:val="20"/>
          <w:lang w:val="es-CR"/>
        </w:rPr>
        <w:t>Con respecto a los requisitos para la adopción de medidas provisionales, indicaron:</w:t>
      </w:r>
    </w:p>
    <w:p w14:paraId="1456FDD3" w14:textId="77777777" w:rsidR="00D8171E" w:rsidRPr="00D8171E" w:rsidRDefault="00D8171E" w:rsidP="00D8171E">
      <w:pPr>
        <w:widowControl w:val="0"/>
        <w:autoSpaceDE w:val="0"/>
        <w:autoSpaceDN w:val="0"/>
        <w:adjustRightInd w:val="0"/>
        <w:spacing w:after="0" w:line="240" w:lineRule="auto"/>
        <w:jc w:val="both"/>
        <w:rPr>
          <w:rFonts w:ascii="Verdana" w:hAnsi="Verdana"/>
          <w:sz w:val="20"/>
          <w:szCs w:val="20"/>
        </w:rPr>
      </w:pPr>
    </w:p>
    <w:p w14:paraId="685435BB" w14:textId="77777777" w:rsidR="00D8171E" w:rsidRPr="00D8171E" w:rsidRDefault="00D8171E" w:rsidP="007C15A1">
      <w:pPr>
        <w:pStyle w:val="ListParagraph"/>
        <w:widowControl w:val="0"/>
        <w:numPr>
          <w:ilvl w:val="0"/>
          <w:numId w:val="7"/>
        </w:numPr>
        <w:autoSpaceDE w:val="0"/>
        <w:autoSpaceDN w:val="0"/>
        <w:adjustRightInd w:val="0"/>
        <w:spacing w:after="0" w:line="240" w:lineRule="auto"/>
        <w:contextualSpacing w:val="0"/>
        <w:jc w:val="both"/>
        <w:rPr>
          <w:rFonts w:ascii="Verdana" w:hAnsi="Verdana"/>
          <w:b/>
          <w:sz w:val="20"/>
          <w:szCs w:val="20"/>
          <w:lang w:val="es-CR"/>
        </w:rPr>
      </w:pPr>
      <w:r w:rsidRPr="00D8171E">
        <w:rPr>
          <w:rFonts w:ascii="Verdana" w:hAnsi="Verdana"/>
          <w:sz w:val="20"/>
          <w:szCs w:val="20"/>
          <w:lang w:val="es-CR"/>
        </w:rPr>
        <w:t>en cuanto a la relación de la solicitud con el caso, indicaron algunos procesados acudieron vía habeas corpus a cuestionar la existencia del proceso penal y pretendían que se anulara la persecución penal. Consideran que la decisión emitida en el 2013 por el Tribunal Constitucional “tiene graves consecuencias sobre el proceso judicial” en tanto determina que el caso va a prescribir cuando termine el proceso penal en trámite, inventando un plazo de prescripción que no existe. Indicaron que esa decisión establece que no pueden haber otros procesamientos distintos al proceso penal en trámite. Los representantes indicaron que “revivir” esa decisión del 2013 “afecta gravemente el sentido del proceso penal”;</w:t>
      </w:r>
    </w:p>
    <w:p w14:paraId="019E3BFA" w14:textId="77777777" w:rsidR="00D8171E" w:rsidRPr="00D8171E" w:rsidRDefault="00D8171E" w:rsidP="007C15A1">
      <w:pPr>
        <w:pStyle w:val="ListParagraph"/>
        <w:widowControl w:val="0"/>
        <w:numPr>
          <w:ilvl w:val="0"/>
          <w:numId w:val="7"/>
        </w:numPr>
        <w:autoSpaceDE w:val="0"/>
        <w:autoSpaceDN w:val="0"/>
        <w:adjustRightInd w:val="0"/>
        <w:spacing w:after="0" w:line="240" w:lineRule="auto"/>
        <w:contextualSpacing w:val="0"/>
        <w:jc w:val="both"/>
        <w:rPr>
          <w:rFonts w:ascii="Verdana" w:hAnsi="Verdana"/>
          <w:b/>
          <w:sz w:val="20"/>
          <w:szCs w:val="20"/>
          <w:lang w:val="es-CR"/>
        </w:rPr>
      </w:pPr>
      <w:r w:rsidRPr="00D8171E">
        <w:rPr>
          <w:rFonts w:ascii="Verdana" w:hAnsi="Verdana"/>
          <w:sz w:val="20"/>
          <w:szCs w:val="20"/>
          <w:lang w:val="es-CR"/>
        </w:rPr>
        <w:t xml:space="preserve">en cuanto al impacto que tienen o pueden tener en el proceso penal en trámite las referidas decisiones del Tribunal Constitucional, hicieron notar que han transcurrido 17 años desde que se emitió la sentencia de la Corte Interamericana sin que se hayan determinado responsabilidades penales. Agregaron que </w:t>
      </w:r>
      <w:r w:rsidRPr="00D8171E">
        <w:rPr>
          <w:rFonts w:ascii="Verdana" w:hAnsi="Verdana" w:cs="Times"/>
          <w:color w:val="000000"/>
          <w:sz w:val="20"/>
          <w:szCs w:val="20"/>
          <w:lang w:val="es-CR"/>
        </w:rPr>
        <w:t>“[s]i bien los magistrados del Poder Judicial y la fiscalía han emitido pronunciamientos en los que han declarado y reiterado en diferentes fechas la calificación de los hechos de El Frontón como crimen de lesa humanidad, […] la existencia de una sentencia –irregularmente emitida- del Tribunal Constitucional que declara que los hechos materia de investigación no tienen tal condición es un elemento que en cualquier momento se puede convertir en una verdadera palanca legal para buscar interrumpir o hacer concluir el curso regular del proceso judicial o el inicio de nuevas investigaciones en relación a otras personas hasta la fecha no comprendidas en el proceso actualmente [en] curso ante el tribunal de juzgamiento de la Sala Penal Nacional”;</w:t>
      </w:r>
    </w:p>
    <w:p w14:paraId="2E6F8EA8" w14:textId="77777777" w:rsidR="00D8171E" w:rsidRPr="00D8171E" w:rsidRDefault="00D8171E" w:rsidP="007C15A1">
      <w:pPr>
        <w:pStyle w:val="ListParagraph"/>
        <w:widowControl w:val="0"/>
        <w:numPr>
          <w:ilvl w:val="0"/>
          <w:numId w:val="7"/>
        </w:numPr>
        <w:autoSpaceDE w:val="0"/>
        <w:autoSpaceDN w:val="0"/>
        <w:adjustRightInd w:val="0"/>
        <w:spacing w:after="0" w:line="240" w:lineRule="auto"/>
        <w:contextualSpacing w:val="0"/>
        <w:jc w:val="both"/>
        <w:rPr>
          <w:rFonts w:ascii="Verdana" w:hAnsi="Verdana"/>
          <w:b/>
          <w:sz w:val="20"/>
          <w:szCs w:val="20"/>
          <w:lang w:val="es-CR"/>
        </w:rPr>
      </w:pPr>
      <w:r w:rsidRPr="00D8171E">
        <w:rPr>
          <w:rFonts w:ascii="Verdana" w:hAnsi="Verdana" w:cs="Times"/>
          <w:color w:val="000000"/>
          <w:sz w:val="20"/>
          <w:szCs w:val="20"/>
          <w:lang w:val="es-CR"/>
        </w:rPr>
        <w:t>indicaron que se ha dado “un avance significativo de los procedimientos de acusación” constitucional, y se refirieron a la “gravísima arbitrariedad que se está cometiendo sobre el Tribunal Constitucional”</w:t>
      </w:r>
      <w:r w:rsidRPr="00D8171E">
        <w:rPr>
          <w:rStyle w:val="FootnoteReference"/>
          <w:rFonts w:ascii="Verdana" w:hAnsi="Verdana"/>
          <w:sz w:val="20"/>
          <w:szCs w:val="20"/>
          <w:lang w:val="es-CR"/>
        </w:rPr>
        <w:footnoteReference w:id="18"/>
      </w:r>
      <w:r w:rsidRPr="00D8171E">
        <w:rPr>
          <w:rFonts w:ascii="Verdana" w:hAnsi="Verdana" w:cs="Times"/>
          <w:color w:val="000000"/>
          <w:sz w:val="20"/>
          <w:szCs w:val="20"/>
          <w:lang w:val="es-CR"/>
        </w:rPr>
        <w:t>. Consideran que en la acusación constitucional contra los magistrados que adoptaron el auto del 2016, se está analizando cómo aquellos votaron en ese auto “contraviniendo inclusive las propias reglas de la Constitución Peruana que establece la inmunidad en relación con la votación”;</w:t>
      </w:r>
    </w:p>
    <w:p w14:paraId="08C09CA6" w14:textId="77777777" w:rsidR="00D8171E" w:rsidRPr="00D8171E" w:rsidRDefault="00D8171E" w:rsidP="007C15A1">
      <w:pPr>
        <w:pStyle w:val="ListParagraph"/>
        <w:widowControl w:val="0"/>
        <w:numPr>
          <w:ilvl w:val="0"/>
          <w:numId w:val="7"/>
        </w:numPr>
        <w:autoSpaceDE w:val="0"/>
        <w:autoSpaceDN w:val="0"/>
        <w:adjustRightInd w:val="0"/>
        <w:spacing w:after="0" w:line="240" w:lineRule="auto"/>
        <w:contextualSpacing w:val="0"/>
        <w:jc w:val="both"/>
        <w:rPr>
          <w:rFonts w:ascii="Verdana" w:hAnsi="Verdana" w:cs="Times"/>
          <w:color w:val="000000"/>
          <w:sz w:val="20"/>
          <w:szCs w:val="20"/>
          <w:lang w:val="es-CR"/>
        </w:rPr>
      </w:pPr>
      <w:r w:rsidRPr="00D8171E">
        <w:rPr>
          <w:rFonts w:ascii="Verdana" w:hAnsi="Verdana" w:cs="Times"/>
          <w:color w:val="000000"/>
          <w:sz w:val="20"/>
          <w:szCs w:val="20"/>
          <w:lang w:val="es-CR"/>
        </w:rPr>
        <w:t xml:space="preserve">“en el contexto político peruano, […] la destitución e inhabilitación por 10 años de por lo menos un magistrado […] no solo es una sanción extrema y abusiva, sino que </w:t>
      </w:r>
      <w:r w:rsidRPr="00D8171E">
        <w:rPr>
          <w:rFonts w:ascii="Verdana" w:hAnsi="Verdana" w:cs="Times"/>
          <w:color w:val="000000"/>
          <w:sz w:val="20"/>
          <w:szCs w:val="20"/>
          <w:lang w:val="es-CR"/>
        </w:rPr>
        <w:lastRenderedPageBreak/>
        <w:t xml:space="preserve">constituye un mensaje político al sistema de justicia penal y en especial a los jueces del tribunal penal de la Sala Penal Nacional que actualmente están encargados de desarrollar el juicio oral por la matanza en El Frontón”. “La acusación y la destitución y sanción de los magistrados del Tribunal Constitucional busca, en realidad, sancionar a quienes han tomado una medida jurisdiccional que garantiz[a] en mejores condiciones el acceso a la […] justicia y que libera de un obstáculo ducha posibilidad”. </w:t>
      </w:r>
    </w:p>
    <w:p w14:paraId="283BF628" w14:textId="77777777" w:rsidR="00615DCD" w:rsidRDefault="00615DCD" w:rsidP="00D8171E">
      <w:pPr>
        <w:pStyle w:val="ListParagraph"/>
        <w:widowControl w:val="0"/>
        <w:autoSpaceDE w:val="0"/>
        <w:autoSpaceDN w:val="0"/>
        <w:adjustRightInd w:val="0"/>
        <w:spacing w:after="0" w:line="240" w:lineRule="auto"/>
        <w:ind w:left="0"/>
        <w:contextualSpacing w:val="0"/>
        <w:jc w:val="both"/>
        <w:rPr>
          <w:rFonts w:ascii="Verdana" w:hAnsi="Verdana"/>
          <w:b/>
          <w:sz w:val="20"/>
          <w:szCs w:val="20"/>
          <w:lang w:val="es-CR"/>
        </w:rPr>
      </w:pPr>
    </w:p>
    <w:p w14:paraId="3C970694" w14:textId="77777777" w:rsidR="00565E0A" w:rsidRPr="00D8171E" w:rsidRDefault="00565E0A" w:rsidP="00D8171E">
      <w:pPr>
        <w:pStyle w:val="ListParagraph"/>
        <w:widowControl w:val="0"/>
        <w:autoSpaceDE w:val="0"/>
        <w:autoSpaceDN w:val="0"/>
        <w:adjustRightInd w:val="0"/>
        <w:spacing w:after="0" w:line="240" w:lineRule="auto"/>
        <w:ind w:left="0"/>
        <w:contextualSpacing w:val="0"/>
        <w:jc w:val="both"/>
        <w:rPr>
          <w:rFonts w:ascii="Verdana" w:hAnsi="Verdana"/>
          <w:b/>
          <w:sz w:val="20"/>
          <w:szCs w:val="20"/>
          <w:lang w:val="es-CR"/>
        </w:rPr>
      </w:pPr>
    </w:p>
    <w:p w14:paraId="0F181D16" w14:textId="77777777" w:rsidR="005D6C95" w:rsidRPr="00E2672A" w:rsidRDefault="005D6C95" w:rsidP="007C15A1">
      <w:pPr>
        <w:pStyle w:val="ListParagraph"/>
        <w:numPr>
          <w:ilvl w:val="0"/>
          <w:numId w:val="4"/>
        </w:numPr>
        <w:spacing w:after="0" w:line="240" w:lineRule="auto"/>
        <w:contextualSpacing w:val="0"/>
        <w:jc w:val="both"/>
        <w:rPr>
          <w:rFonts w:ascii="Verdana" w:hAnsi="Verdana" w:cs="Verdana"/>
          <w:b/>
          <w:i/>
          <w:sz w:val="20"/>
          <w:szCs w:val="20"/>
          <w:lang w:val="es-CR"/>
        </w:rPr>
      </w:pPr>
      <w:r>
        <w:rPr>
          <w:rFonts w:ascii="Verdana" w:hAnsi="Verdana" w:cs="Verdana"/>
          <w:b/>
          <w:i/>
          <w:sz w:val="20"/>
          <w:szCs w:val="20"/>
          <w:lang w:val="es-CR"/>
        </w:rPr>
        <w:t>Observaciones presentadas por el Estado</w:t>
      </w:r>
    </w:p>
    <w:p w14:paraId="2B208014" w14:textId="77777777" w:rsidR="00AB381D" w:rsidRPr="00AB381D" w:rsidRDefault="00AB381D" w:rsidP="00AB381D">
      <w:pPr>
        <w:pStyle w:val="ListParagraph"/>
        <w:spacing w:after="0" w:line="240" w:lineRule="auto"/>
        <w:ind w:left="0"/>
        <w:contextualSpacing w:val="0"/>
        <w:jc w:val="both"/>
        <w:rPr>
          <w:rFonts w:ascii="Verdana" w:hAnsi="Verdana" w:cs="Verdana"/>
          <w:sz w:val="20"/>
          <w:szCs w:val="20"/>
          <w:lang w:val="es-CR"/>
        </w:rPr>
      </w:pPr>
    </w:p>
    <w:p w14:paraId="71FF48FA" w14:textId="774B2A66" w:rsidR="00D8171E" w:rsidRPr="00D8171E" w:rsidRDefault="00B21830" w:rsidP="007C15A1">
      <w:pPr>
        <w:pStyle w:val="ListParagraph"/>
        <w:numPr>
          <w:ilvl w:val="0"/>
          <w:numId w:val="3"/>
        </w:numPr>
        <w:spacing w:after="0" w:line="240" w:lineRule="auto"/>
        <w:ind w:left="0" w:firstLine="0"/>
        <w:contextualSpacing w:val="0"/>
        <w:jc w:val="both"/>
        <w:rPr>
          <w:rFonts w:ascii="Verdana" w:hAnsi="Verdana"/>
          <w:sz w:val="20"/>
          <w:szCs w:val="20"/>
          <w:lang w:val="es-CR"/>
        </w:rPr>
      </w:pPr>
      <w:r w:rsidRPr="00D8171E">
        <w:rPr>
          <w:rFonts w:ascii="Verdana" w:hAnsi="Verdana"/>
          <w:sz w:val="20"/>
          <w:szCs w:val="20"/>
          <w:lang w:val="es-CR"/>
        </w:rPr>
        <w:t>E</w:t>
      </w:r>
      <w:r w:rsidR="00EF4C79" w:rsidRPr="00D8171E">
        <w:rPr>
          <w:rFonts w:ascii="Verdana" w:hAnsi="Verdana"/>
          <w:sz w:val="20"/>
          <w:szCs w:val="20"/>
          <w:lang w:val="es-CR"/>
        </w:rPr>
        <w:t>l</w:t>
      </w:r>
      <w:r w:rsidR="00FB474E" w:rsidRPr="00D8171E">
        <w:rPr>
          <w:rFonts w:ascii="Verdana" w:hAnsi="Verdana"/>
          <w:sz w:val="20"/>
          <w:szCs w:val="20"/>
          <w:lang w:val="es-CR"/>
        </w:rPr>
        <w:t xml:space="preserve"> Estado</w:t>
      </w:r>
      <w:r w:rsidR="00EF4C79" w:rsidRPr="00D8171E">
        <w:rPr>
          <w:rFonts w:ascii="Verdana" w:hAnsi="Verdana"/>
          <w:sz w:val="20"/>
          <w:szCs w:val="20"/>
          <w:lang w:val="es-CR"/>
        </w:rPr>
        <w:t xml:space="preserve"> </w:t>
      </w:r>
      <w:r w:rsidRPr="00D8171E">
        <w:rPr>
          <w:rFonts w:ascii="Verdana" w:hAnsi="Verdana"/>
          <w:sz w:val="20"/>
          <w:szCs w:val="20"/>
          <w:lang w:val="es-CR"/>
        </w:rPr>
        <w:t>sostuvo</w:t>
      </w:r>
      <w:r w:rsidR="00DE4F75" w:rsidRPr="00D8171E">
        <w:rPr>
          <w:rFonts w:ascii="Verdana" w:hAnsi="Verdana"/>
          <w:sz w:val="20"/>
          <w:szCs w:val="20"/>
          <w:lang w:val="es-CR"/>
        </w:rPr>
        <w:t xml:space="preserve"> </w:t>
      </w:r>
      <w:r w:rsidR="00D8171E" w:rsidRPr="00D8171E">
        <w:rPr>
          <w:rFonts w:ascii="Verdana" w:hAnsi="Verdana"/>
          <w:sz w:val="20"/>
          <w:szCs w:val="20"/>
          <w:lang w:val="es-CR"/>
        </w:rPr>
        <w:t>que “la solicitud de medidas provisionales […] debe ser denegada por carecer de todo sustento”. Como punto fundamental solicitó al Tribunal que, previo a analizar la concurrencia o no de los elementos para la adopción de medidas, valore que “no existe una relación directa entre la solicitud de medida provisional y el objeto del caso” ante la Corte Interamericana, respecto a lo cual formuló, entre otros, los siguientes argumentos:</w:t>
      </w:r>
    </w:p>
    <w:p w14:paraId="699F8EFC" w14:textId="77777777" w:rsidR="00D8171E" w:rsidRPr="00D8171E" w:rsidRDefault="00D8171E" w:rsidP="00D8171E">
      <w:pPr>
        <w:pStyle w:val="ListParagraph"/>
        <w:spacing w:after="0" w:line="240" w:lineRule="auto"/>
        <w:contextualSpacing w:val="0"/>
        <w:jc w:val="both"/>
        <w:rPr>
          <w:rFonts w:ascii="Verdana" w:hAnsi="Verdana"/>
          <w:sz w:val="20"/>
          <w:szCs w:val="20"/>
          <w:lang w:val="es-CR"/>
        </w:rPr>
      </w:pPr>
    </w:p>
    <w:p w14:paraId="293D569B" w14:textId="77777777" w:rsidR="00D8171E" w:rsidRPr="00D8171E" w:rsidRDefault="00D8171E" w:rsidP="007C15A1">
      <w:pPr>
        <w:pStyle w:val="ListParagraph"/>
        <w:numPr>
          <w:ilvl w:val="0"/>
          <w:numId w:val="8"/>
        </w:numPr>
        <w:spacing w:after="0" w:line="240" w:lineRule="auto"/>
        <w:contextualSpacing w:val="0"/>
        <w:jc w:val="both"/>
        <w:rPr>
          <w:rFonts w:ascii="Verdana" w:hAnsi="Verdana"/>
          <w:sz w:val="20"/>
          <w:szCs w:val="20"/>
          <w:lang w:val="es-CR"/>
        </w:rPr>
      </w:pPr>
      <w:r w:rsidRPr="00D8171E">
        <w:rPr>
          <w:rFonts w:ascii="Verdana" w:hAnsi="Verdana"/>
          <w:sz w:val="20"/>
          <w:szCs w:val="20"/>
          <w:lang w:val="es-CR"/>
        </w:rPr>
        <w:t>considera que esa relación debe ser “inmediata y evidente”. Expresó que la solicitud se trata de una “concatenación indirecta de potenciales hechos sustentados en una mera especulación”, en tanto la sentencia del Tribunal Constitucional de 2013 y los autos constitucionales de 2016 y 2017 no han tenido una incidencia o impacto negativo en el proceso penal actualmente en trámite. El Estado señaló que considera incorrecto “que se trate de vincular la totalidad del proceso penal del caso ‘El Frontón’ con el objeto del [presente] caso, que solo se circunscribe [a] los señores Durand y Ugarte, por lo que se solicita centrar el análisis en [los] casos particulares [de dichas víctimas]”;</w:t>
      </w:r>
    </w:p>
    <w:p w14:paraId="313031DB" w14:textId="77777777" w:rsidR="00D8171E" w:rsidRPr="00D8171E" w:rsidRDefault="00D8171E" w:rsidP="007C15A1">
      <w:pPr>
        <w:pStyle w:val="ListParagraph"/>
        <w:numPr>
          <w:ilvl w:val="0"/>
          <w:numId w:val="8"/>
        </w:numPr>
        <w:spacing w:after="0" w:line="240" w:lineRule="auto"/>
        <w:contextualSpacing w:val="0"/>
        <w:jc w:val="both"/>
        <w:rPr>
          <w:rFonts w:ascii="Verdana" w:hAnsi="Verdana"/>
          <w:sz w:val="20"/>
          <w:szCs w:val="20"/>
          <w:lang w:val="es-CR"/>
        </w:rPr>
      </w:pPr>
      <w:r w:rsidRPr="00D8171E">
        <w:rPr>
          <w:rFonts w:ascii="Verdana" w:hAnsi="Verdana"/>
          <w:sz w:val="20"/>
          <w:szCs w:val="20"/>
          <w:lang w:val="es-CR"/>
        </w:rPr>
        <w:t>no existe una conexidad porque el auto de apertura de instrucción emitido en el 2009, que fue objeto de habeas corpus, e impugnado ante el Tribunal Constitucional en el 2013, no hace referencia expresa a los casos de los señores Durand y Ugarte. El Perù considera que ello descarta la alegada conexidad entre dicha sentencia del 2013 y el proceso penal en trámite. Indicó que como los dos autos de instrucción que se refieren a lo ocurrido a los señores Durand y Ugarte no han sido objeto de ningún cuestionamiento, “tienen plenos efectos y permite que se realicen las investigaciones y continúe el proceso conforme a lo precisado por [la] honorable Corte en su sentencia en el caso Durand y Ugarte”;</w:t>
      </w:r>
    </w:p>
    <w:p w14:paraId="20F56538" w14:textId="77777777" w:rsidR="00D8171E" w:rsidRPr="00D8171E" w:rsidRDefault="00D8171E" w:rsidP="007C15A1">
      <w:pPr>
        <w:pStyle w:val="ListParagraph"/>
        <w:numPr>
          <w:ilvl w:val="0"/>
          <w:numId w:val="8"/>
        </w:numPr>
        <w:spacing w:after="0" w:line="240" w:lineRule="auto"/>
        <w:contextualSpacing w:val="0"/>
        <w:jc w:val="both"/>
        <w:rPr>
          <w:rFonts w:ascii="Verdana" w:hAnsi="Verdana"/>
          <w:sz w:val="20"/>
          <w:szCs w:val="20"/>
          <w:lang w:val="es-CR"/>
        </w:rPr>
      </w:pPr>
      <w:r w:rsidRPr="00D8171E">
        <w:rPr>
          <w:rFonts w:ascii="Verdana" w:hAnsi="Verdana"/>
          <w:sz w:val="20"/>
          <w:szCs w:val="20"/>
          <w:lang w:val="es-CR"/>
        </w:rPr>
        <w:t>adicionalmente, de acuerdo al punto resolutivo 3 de la sentencia de abril de 2013 del Tribunal Constitucional, se entiende que la prescripción no operaría en el proceso penal en trámite, aun cuando hipotéticamente el recurso de reposición pendiente de resolución ante el Tribunal Constitucional determinara que la referida sentencia de 2013 contó con los votos necesarios para determinar que los hechos no son delitos de lesa humanidad. El Estado también indicó que “actualmente lo resuelto en la subsanación [del auto de 2016] es lo que continúa vigente a la fecha”, con lo cual se impide que se concrete la alegada amenaza. Añadió que la propia Sala Penal Nacional ha sostenido recientemente que las decisiones emitidas por el Tribunal Constitucional no han tenido ninguna repercusión en el desarrollo del proceso penal del caso de El Frontón;</w:t>
      </w:r>
    </w:p>
    <w:p w14:paraId="0138D3D7" w14:textId="77777777" w:rsidR="00D8171E" w:rsidRPr="00D8171E" w:rsidRDefault="00D8171E" w:rsidP="007C15A1">
      <w:pPr>
        <w:pStyle w:val="ListParagraph"/>
        <w:numPr>
          <w:ilvl w:val="0"/>
          <w:numId w:val="8"/>
        </w:numPr>
        <w:spacing w:after="0" w:line="240" w:lineRule="auto"/>
        <w:contextualSpacing w:val="0"/>
        <w:jc w:val="both"/>
        <w:rPr>
          <w:rFonts w:ascii="Verdana" w:hAnsi="Verdana"/>
          <w:sz w:val="20"/>
          <w:szCs w:val="20"/>
          <w:lang w:val="es-CR"/>
        </w:rPr>
      </w:pPr>
      <w:r w:rsidRPr="00D8171E">
        <w:rPr>
          <w:rFonts w:ascii="Verdana" w:hAnsi="Verdana"/>
          <w:sz w:val="20"/>
          <w:szCs w:val="20"/>
          <w:lang w:val="es-CR"/>
        </w:rPr>
        <w:t xml:space="preserve">con relación a los “posibles futuros procesos penales”, indicó que la alegada conexidad con lo dispuesto en la sentencia del 2013 es “errada” porque tiene como sustento la señalado en la parte considerativa de la sentencia y no en un punto resolutivo; </w:t>
      </w:r>
    </w:p>
    <w:p w14:paraId="7C237EF2" w14:textId="77777777" w:rsidR="00D8171E" w:rsidRPr="00D8171E" w:rsidRDefault="00D8171E" w:rsidP="007C15A1">
      <w:pPr>
        <w:pStyle w:val="ListParagraph"/>
        <w:numPr>
          <w:ilvl w:val="0"/>
          <w:numId w:val="8"/>
        </w:numPr>
        <w:spacing w:after="0" w:line="240" w:lineRule="auto"/>
        <w:contextualSpacing w:val="0"/>
        <w:jc w:val="both"/>
        <w:rPr>
          <w:rFonts w:ascii="Verdana" w:hAnsi="Verdana"/>
          <w:sz w:val="20"/>
          <w:szCs w:val="20"/>
          <w:lang w:val="es-CR"/>
        </w:rPr>
      </w:pPr>
      <w:r w:rsidRPr="00D8171E">
        <w:rPr>
          <w:rFonts w:ascii="Verdana" w:hAnsi="Verdana"/>
          <w:sz w:val="20"/>
          <w:szCs w:val="20"/>
          <w:lang w:val="es-CR"/>
        </w:rPr>
        <w:t>“no resulta adecuado que se proponga a los magistrados del Tribunal Constitucional como potenciales beneficiarios de estas medidas, aludiendo a sus derechos a la estabilidad en sus puestos laborales, a su debido proceso, a su independencia e imparcialidad […], dejando de lado toda referencia direccional específicamente a las víctimas del caso de la sentencia Durand y Ugarte cuales son los familiares”. El Estado sostuvo que “de llegarse a adoptar estas medidas, se daría una situación tal en que la Corte decida proteger a personas que no fueron reconocidas como víctimas en su sentencia del caso de fondo”.</w:t>
      </w:r>
    </w:p>
    <w:p w14:paraId="78CA11AF" w14:textId="77777777" w:rsidR="00D8171E" w:rsidRPr="00D8171E" w:rsidRDefault="00D8171E" w:rsidP="00D8171E">
      <w:pPr>
        <w:spacing w:after="0" w:line="240" w:lineRule="auto"/>
        <w:jc w:val="both"/>
        <w:rPr>
          <w:rFonts w:ascii="Verdana" w:hAnsi="Verdana"/>
          <w:sz w:val="20"/>
          <w:szCs w:val="20"/>
        </w:rPr>
      </w:pPr>
    </w:p>
    <w:p w14:paraId="7B15510B" w14:textId="676D4F67" w:rsidR="00D8171E" w:rsidRPr="00D8171E" w:rsidRDefault="00D8171E" w:rsidP="007C15A1">
      <w:pPr>
        <w:pStyle w:val="ListParagraph"/>
        <w:numPr>
          <w:ilvl w:val="0"/>
          <w:numId w:val="3"/>
        </w:numPr>
        <w:spacing w:after="0" w:line="240" w:lineRule="auto"/>
        <w:ind w:left="0" w:firstLine="0"/>
        <w:contextualSpacing w:val="0"/>
        <w:jc w:val="both"/>
        <w:rPr>
          <w:rFonts w:ascii="Verdana" w:hAnsi="Verdana"/>
          <w:sz w:val="20"/>
          <w:szCs w:val="20"/>
          <w:lang w:val="es-CR"/>
        </w:rPr>
      </w:pPr>
      <w:r w:rsidRPr="00D8171E">
        <w:rPr>
          <w:rFonts w:ascii="Verdana" w:hAnsi="Verdana"/>
          <w:sz w:val="20"/>
          <w:szCs w:val="20"/>
          <w:lang w:val="es-CR"/>
        </w:rPr>
        <w:t>El Perú sostuvo que la medida provisional requerida de cese o archivamiento de la acusación constitucional con una vigencia indefinida en el tiempo, “atenta contra el sentido común del uso del lenguaje” por tratarse de “medidas definitivas” en un procedimiento de medidas provisionales. Sostuvo que “resulta […] carente de lógica que como medida provisional se solicite una medida definitiva”, por lo que la Corte debería desestimar la solicitud de medidas prov</w:t>
      </w:r>
      <w:r w:rsidR="000D681F">
        <w:rPr>
          <w:rFonts w:ascii="Verdana" w:hAnsi="Verdana"/>
          <w:sz w:val="20"/>
          <w:szCs w:val="20"/>
          <w:lang w:val="es-CR"/>
        </w:rPr>
        <w:t>i</w:t>
      </w:r>
      <w:r w:rsidRPr="00D8171E">
        <w:rPr>
          <w:rFonts w:ascii="Verdana" w:hAnsi="Verdana"/>
          <w:sz w:val="20"/>
          <w:szCs w:val="20"/>
          <w:lang w:val="es-CR"/>
        </w:rPr>
        <w:t xml:space="preserve">sionales. El Estado también expuso argumentos relativos a que no se acreditaron los requisitos para el otorgamiento de las medidas provisionales, respecto a lo cual indicó lo siguiente: </w:t>
      </w:r>
    </w:p>
    <w:p w14:paraId="7BD3178A" w14:textId="77777777" w:rsidR="00D8171E" w:rsidRPr="00D8171E" w:rsidRDefault="00D8171E" w:rsidP="00D8171E">
      <w:pPr>
        <w:spacing w:after="0" w:line="240" w:lineRule="auto"/>
        <w:jc w:val="both"/>
        <w:rPr>
          <w:rFonts w:ascii="Verdana" w:hAnsi="Verdana"/>
          <w:sz w:val="20"/>
          <w:szCs w:val="20"/>
        </w:rPr>
      </w:pPr>
    </w:p>
    <w:p w14:paraId="6C3B15C5" w14:textId="41080650" w:rsidR="00D8171E" w:rsidRPr="00D8171E" w:rsidRDefault="00D8171E" w:rsidP="00D8171E">
      <w:pPr>
        <w:spacing w:after="0" w:line="240" w:lineRule="auto"/>
        <w:ind w:left="700" w:hanging="340"/>
        <w:jc w:val="both"/>
        <w:rPr>
          <w:rFonts w:ascii="Verdana" w:hAnsi="Verdana"/>
          <w:sz w:val="20"/>
          <w:szCs w:val="20"/>
        </w:rPr>
      </w:pPr>
      <w:r w:rsidRPr="00D8171E">
        <w:rPr>
          <w:rFonts w:ascii="Verdana" w:hAnsi="Verdana"/>
          <w:sz w:val="20"/>
          <w:szCs w:val="20"/>
        </w:rPr>
        <w:t>a)</w:t>
      </w:r>
      <w:r w:rsidRPr="00D8171E">
        <w:rPr>
          <w:rFonts w:ascii="Verdana" w:hAnsi="Verdana"/>
          <w:sz w:val="20"/>
          <w:szCs w:val="20"/>
        </w:rPr>
        <w:tab/>
        <w:t>no se configura el requisito de extrema grave</w:t>
      </w:r>
      <w:r w:rsidR="000D681F">
        <w:rPr>
          <w:rFonts w:ascii="Verdana" w:hAnsi="Verdana"/>
          <w:sz w:val="20"/>
          <w:szCs w:val="20"/>
        </w:rPr>
        <w:t>dad porque el informe de la Subc</w:t>
      </w:r>
      <w:r w:rsidRPr="00D8171E">
        <w:rPr>
          <w:rFonts w:ascii="Verdana" w:hAnsi="Verdana"/>
          <w:sz w:val="20"/>
          <w:szCs w:val="20"/>
        </w:rPr>
        <w:t xml:space="preserve">omisión de Acusaciones Constitucionales </w:t>
      </w:r>
      <w:r w:rsidR="000D681F" w:rsidRPr="00D8171E">
        <w:rPr>
          <w:rFonts w:ascii="Verdana" w:hAnsi="Verdana"/>
          <w:sz w:val="20"/>
          <w:szCs w:val="20"/>
        </w:rPr>
        <w:t>únicamente</w:t>
      </w:r>
      <w:r w:rsidRPr="00D8171E">
        <w:rPr>
          <w:rFonts w:ascii="Verdana" w:hAnsi="Verdana"/>
          <w:sz w:val="20"/>
          <w:szCs w:val="20"/>
        </w:rPr>
        <w:t xml:space="preserve"> recomienda la destitución de uno de los cuatro magistrados acusados y, de acuerdo al artículo 89 del Reglamento del Congreso, el pleno </w:t>
      </w:r>
      <w:r w:rsidR="000D681F" w:rsidRPr="00D8171E">
        <w:rPr>
          <w:rFonts w:ascii="Verdana" w:hAnsi="Verdana"/>
          <w:sz w:val="20"/>
          <w:szCs w:val="20"/>
        </w:rPr>
        <w:t>únicamente</w:t>
      </w:r>
      <w:r w:rsidRPr="00D8171E">
        <w:rPr>
          <w:rFonts w:ascii="Verdana" w:hAnsi="Verdana"/>
          <w:sz w:val="20"/>
          <w:szCs w:val="20"/>
        </w:rPr>
        <w:t xml:space="preserve"> puede “aprobar o desaprobar” ese informe. Según el Estado, “en el peor de los escenarios planteados por la parte contraria, solo se podría destituir a uno de los magistrados”</w:t>
      </w:r>
      <w:r w:rsidRPr="00D8171E">
        <w:rPr>
          <w:rStyle w:val="FootnoteReference"/>
          <w:rFonts w:ascii="Verdana" w:hAnsi="Verdana"/>
          <w:sz w:val="20"/>
          <w:szCs w:val="20"/>
        </w:rPr>
        <w:footnoteReference w:id="19"/>
      </w:r>
      <w:r w:rsidRPr="00D8171E">
        <w:rPr>
          <w:rFonts w:ascii="Verdana" w:hAnsi="Verdana"/>
          <w:sz w:val="20"/>
          <w:szCs w:val="20"/>
        </w:rPr>
        <w:t>. Indicó que el planteamiento de los representantes “se basa en hechos que son posibles que puedan ocurrir pero no hay […] certeza de que ello ocurra[, sino que] faltan diferentes estadios que deberían cumplirse para que, a su vez, pueda ello representar la concretización o materialización de la amenaza o el riesgo frente al posible incumplimiento de la obligación de investigar y sancionar eventualmente los hechos que dieron lugar a la Sentencia del caso Durand y Ugarte”;</w:t>
      </w:r>
    </w:p>
    <w:p w14:paraId="31BF2486" w14:textId="77777777" w:rsidR="00D8171E" w:rsidRPr="00D8171E" w:rsidRDefault="00D8171E" w:rsidP="007C15A1">
      <w:pPr>
        <w:pStyle w:val="ListParagraph"/>
        <w:numPr>
          <w:ilvl w:val="0"/>
          <w:numId w:val="8"/>
        </w:numPr>
        <w:spacing w:after="0" w:line="240" w:lineRule="auto"/>
        <w:contextualSpacing w:val="0"/>
        <w:jc w:val="both"/>
        <w:rPr>
          <w:rFonts w:ascii="Verdana" w:hAnsi="Verdana"/>
          <w:sz w:val="20"/>
          <w:szCs w:val="20"/>
          <w:lang w:val="es-CR"/>
        </w:rPr>
      </w:pPr>
      <w:r w:rsidRPr="00D8171E">
        <w:rPr>
          <w:rFonts w:ascii="Verdana" w:hAnsi="Verdana"/>
          <w:sz w:val="20"/>
          <w:szCs w:val="20"/>
          <w:lang w:val="es-CR"/>
        </w:rPr>
        <w:t>“no se evidencia la situación de urgencia porque […] desde el 14 de diciembre [de 2017, fecha…] en que se [… aprobó] el informe de la Subcomisión de Asuntos Constitucionales, no ha habido ninguna programación de sesión” para conocer el referido informe y “[m]ucho menos se evidencia que haya próximamente una decisión por parte del Pleno” del Congreso;</w:t>
      </w:r>
    </w:p>
    <w:p w14:paraId="0CE8E932" w14:textId="77777777" w:rsidR="00D8171E" w:rsidRPr="00D8171E" w:rsidRDefault="00D8171E" w:rsidP="007C15A1">
      <w:pPr>
        <w:pStyle w:val="ListParagraph"/>
        <w:numPr>
          <w:ilvl w:val="0"/>
          <w:numId w:val="8"/>
        </w:numPr>
        <w:spacing w:after="0" w:line="240" w:lineRule="auto"/>
        <w:contextualSpacing w:val="0"/>
        <w:jc w:val="both"/>
        <w:rPr>
          <w:rFonts w:ascii="Verdana" w:hAnsi="Verdana"/>
          <w:sz w:val="20"/>
          <w:szCs w:val="20"/>
          <w:lang w:val="es-CR"/>
        </w:rPr>
      </w:pPr>
      <w:r w:rsidRPr="00D8171E">
        <w:rPr>
          <w:rFonts w:ascii="Verdana" w:hAnsi="Verdana"/>
          <w:sz w:val="20"/>
          <w:szCs w:val="20"/>
          <w:lang w:val="es-CR"/>
        </w:rPr>
        <w:t>“[e]n cuanto a la situación de irreparabilidad [del daño …] la posibilidad de destitución [es] respecto a un solo magistrado y la parte contraria no ha acreditado que esto afectaría el normal funcionamiento del colegiado del Tribunal Constitucional”, y</w:t>
      </w:r>
    </w:p>
    <w:p w14:paraId="5E46E5B3" w14:textId="77777777" w:rsidR="00D8171E" w:rsidRPr="00D8171E" w:rsidRDefault="00D8171E" w:rsidP="007C15A1">
      <w:pPr>
        <w:pStyle w:val="ListParagraph"/>
        <w:numPr>
          <w:ilvl w:val="0"/>
          <w:numId w:val="8"/>
        </w:numPr>
        <w:spacing w:after="0" w:line="240" w:lineRule="auto"/>
        <w:contextualSpacing w:val="0"/>
        <w:jc w:val="both"/>
        <w:rPr>
          <w:rFonts w:ascii="Verdana" w:hAnsi="Verdana"/>
          <w:sz w:val="20"/>
          <w:szCs w:val="20"/>
          <w:lang w:val="es-CR"/>
        </w:rPr>
      </w:pPr>
      <w:r w:rsidRPr="00D8171E">
        <w:rPr>
          <w:rFonts w:ascii="Verdana" w:hAnsi="Verdana"/>
          <w:sz w:val="20"/>
          <w:szCs w:val="20"/>
          <w:lang w:val="es-CR"/>
        </w:rPr>
        <w:t>el procedimiento de acusación constitucional está establecido en el artículo 89 del Reglamento del Congreso y quienes lo interpusieron “fueron personas que […] se vieron afectados”, de manera que no fue presentado por “los representantes al Congreso de la República”.</w:t>
      </w:r>
    </w:p>
    <w:p w14:paraId="3184E959" w14:textId="77777777" w:rsidR="00C17D92" w:rsidRDefault="00C17D92" w:rsidP="00AB381D">
      <w:pPr>
        <w:spacing w:after="0" w:line="240" w:lineRule="auto"/>
        <w:ind w:left="2880" w:hanging="2880"/>
        <w:jc w:val="both"/>
        <w:rPr>
          <w:rFonts w:ascii="Verdana" w:hAnsi="Verdana"/>
          <w:sz w:val="20"/>
          <w:szCs w:val="24"/>
        </w:rPr>
      </w:pPr>
    </w:p>
    <w:p w14:paraId="2EFA0BF3" w14:textId="77777777" w:rsidR="00822994" w:rsidRPr="004D5CAB" w:rsidRDefault="00822994" w:rsidP="009C4D69">
      <w:pPr>
        <w:spacing w:after="0" w:line="240" w:lineRule="auto"/>
        <w:jc w:val="both"/>
        <w:rPr>
          <w:rFonts w:ascii="Verdana" w:hAnsi="Verdana"/>
          <w:sz w:val="20"/>
          <w:szCs w:val="24"/>
        </w:rPr>
      </w:pPr>
    </w:p>
    <w:p w14:paraId="49A94584" w14:textId="77777777" w:rsidR="00EA0059" w:rsidRPr="004D5CAB" w:rsidRDefault="00EA0059" w:rsidP="007C15A1">
      <w:pPr>
        <w:pStyle w:val="ListParagraph"/>
        <w:numPr>
          <w:ilvl w:val="0"/>
          <w:numId w:val="4"/>
        </w:numPr>
        <w:spacing w:after="0" w:line="240" w:lineRule="auto"/>
        <w:contextualSpacing w:val="0"/>
        <w:jc w:val="both"/>
        <w:rPr>
          <w:rFonts w:ascii="Verdana" w:hAnsi="Verdana" w:cs="Verdana"/>
          <w:b/>
          <w:i/>
          <w:sz w:val="20"/>
          <w:szCs w:val="20"/>
          <w:lang w:val="es-CR"/>
        </w:rPr>
      </w:pPr>
      <w:r w:rsidRPr="004D5CAB">
        <w:rPr>
          <w:rFonts w:ascii="Verdana" w:hAnsi="Verdana" w:cs="Verdana"/>
          <w:b/>
          <w:i/>
          <w:sz w:val="20"/>
          <w:szCs w:val="20"/>
          <w:lang w:val="es-CR"/>
        </w:rPr>
        <w:t>Observaciones de la Comisión Interamericana</w:t>
      </w:r>
    </w:p>
    <w:p w14:paraId="7DDCA36E" w14:textId="77777777" w:rsidR="00AB381D" w:rsidRPr="00AB381D" w:rsidRDefault="00AB381D" w:rsidP="00AB381D">
      <w:pPr>
        <w:pStyle w:val="ListParagraph"/>
        <w:spacing w:after="0" w:line="240" w:lineRule="auto"/>
        <w:ind w:left="0"/>
        <w:contextualSpacing w:val="0"/>
        <w:jc w:val="both"/>
        <w:rPr>
          <w:rFonts w:ascii="Verdana" w:hAnsi="Verdana" w:cs="Verdana"/>
          <w:sz w:val="20"/>
          <w:szCs w:val="20"/>
          <w:lang w:val="es-CR"/>
        </w:rPr>
      </w:pPr>
    </w:p>
    <w:p w14:paraId="7A77555F" w14:textId="2FC56473" w:rsidR="001F7439" w:rsidRPr="001F7439" w:rsidRDefault="006A7824" w:rsidP="007C15A1">
      <w:pPr>
        <w:pStyle w:val="ListParagraph"/>
        <w:numPr>
          <w:ilvl w:val="0"/>
          <w:numId w:val="3"/>
        </w:numPr>
        <w:spacing w:after="0" w:line="240" w:lineRule="auto"/>
        <w:ind w:left="0" w:firstLine="0"/>
        <w:contextualSpacing w:val="0"/>
        <w:jc w:val="both"/>
        <w:rPr>
          <w:rFonts w:ascii="Verdana" w:hAnsi="Verdana" w:cs="Verdana"/>
          <w:sz w:val="20"/>
          <w:szCs w:val="20"/>
          <w:lang w:val="es-CR"/>
        </w:rPr>
      </w:pPr>
      <w:r w:rsidRPr="001F7439">
        <w:rPr>
          <w:rFonts w:ascii="Verdana" w:hAnsi="Verdana"/>
          <w:sz w:val="20"/>
          <w:szCs w:val="20"/>
          <w:lang w:val="es-CR"/>
        </w:rPr>
        <w:t xml:space="preserve">Respecto al estado del trámite </w:t>
      </w:r>
      <w:r w:rsidR="001F7439" w:rsidRPr="001F7439">
        <w:rPr>
          <w:rFonts w:ascii="Verdana" w:hAnsi="Verdana"/>
          <w:sz w:val="20"/>
          <w:szCs w:val="20"/>
          <w:lang w:val="es-CR"/>
        </w:rPr>
        <w:t xml:space="preserve">de la solicitud de medidas cautelares que fue presentada ante la Comisión el </w:t>
      </w:r>
      <w:r w:rsidR="001F7439" w:rsidRPr="001F7439">
        <w:rPr>
          <w:rFonts w:ascii="Verdana" w:hAnsi="Verdana" w:cs="Verdana"/>
          <w:sz w:val="20"/>
          <w:szCs w:val="20"/>
          <w:lang w:val="es-CR"/>
        </w:rPr>
        <w:t>12 de octubre de 2017 a favor de los referidos cuatro magistrados del Tribunal Constitucional, dicho órgano indicó que tal solicitud está “en evaluación”. Al mismo tiempo indicó que la Comisión está  a la “expectativa” de lo que resuelva la Corte, de manera que “</w:t>
      </w:r>
      <w:r w:rsidR="001F7439" w:rsidRPr="001F7439">
        <w:rPr>
          <w:rFonts w:ascii="Verdana" w:hAnsi="Verdana"/>
          <w:sz w:val="20"/>
          <w:szCs w:val="20"/>
          <w:lang w:val="es-CR"/>
        </w:rPr>
        <w:t>[y]a no está en manos de la Comisión hacer una decisión sobre la medida cautelar solicitada”</w:t>
      </w:r>
      <w:r w:rsidR="001F7439" w:rsidRPr="001F7439">
        <w:rPr>
          <w:rFonts w:ascii="Verdana" w:hAnsi="Verdana" w:cs="Verdana"/>
          <w:sz w:val="20"/>
          <w:szCs w:val="20"/>
          <w:lang w:val="es-CR"/>
        </w:rPr>
        <w:t xml:space="preserve">. </w:t>
      </w:r>
    </w:p>
    <w:p w14:paraId="4F130E6E" w14:textId="77777777" w:rsidR="001F7439" w:rsidRPr="001F7439" w:rsidRDefault="001F7439" w:rsidP="001F7439">
      <w:pPr>
        <w:pStyle w:val="ListParagraph"/>
        <w:spacing w:after="0" w:line="240" w:lineRule="auto"/>
        <w:ind w:left="0"/>
        <w:contextualSpacing w:val="0"/>
        <w:jc w:val="both"/>
        <w:rPr>
          <w:rFonts w:ascii="Verdana" w:hAnsi="Verdana" w:cs="Verdana"/>
          <w:sz w:val="20"/>
          <w:szCs w:val="20"/>
          <w:lang w:val="es-CR"/>
        </w:rPr>
      </w:pPr>
    </w:p>
    <w:p w14:paraId="291D619D" w14:textId="77777777" w:rsidR="001F7439" w:rsidRPr="001F7439" w:rsidRDefault="001F7439" w:rsidP="007C15A1">
      <w:pPr>
        <w:pStyle w:val="ListParagraph"/>
        <w:numPr>
          <w:ilvl w:val="0"/>
          <w:numId w:val="3"/>
        </w:numPr>
        <w:spacing w:after="0" w:line="240" w:lineRule="auto"/>
        <w:ind w:left="0" w:firstLine="0"/>
        <w:contextualSpacing w:val="0"/>
        <w:jc w:val="both"/>
        <w:rPr>
          <w:rFonts w:ascii="Verdana" w:hAnsi="Verdana" w:cs="Verdana"/>
          <w:sz w:val="20"/>
          <w:szCs w:val="20"/>
          <w:lang w:val="es-CR"/>
        </w:rPr>
      </w:pPr>
      <w:r w:rsidRPr="001F7439">
        <w:rPr>
          <w:rFonts w:ascii="Verdana" w:hAnsi="Verdana" w:cs="Verdana"/>
          <w:sz w:val="20"/>
          <w:szCs w:val="20"/>
          <w:lang w:val="es-CR"/>
        </w:rPr>
        <w:t>La Comisión manifestó que considera que se cumplen los requisitos convencionales para la adopción de medidas provisionales, respecto a lo cual destacó que:</w:t>
      </w:r>
    </w:p>
    <w:p w14:paraId="67367ABB" w14:textId="77777777" w:rsidR="001F7439" w:rsidRPr="001F7439" w:rsidRDefault="001F7439" w:rsidP="001F7439">
      <w:pPr>
        <w:spacing w:after="0" w:line="240" w:lineRule="auto"/>
        <w:jc w:val="both"/>
        <w:rPr>
          <w:rFonts w:ascii="Verdana" w:hAnsi="Verdana"/>
          <w:sz w:val="20"/>
          <w:szCs w:val="20"/>
        </w:rPr>
      </w:pPr>
    </w:p>
    <w:p w14:paraId="300F48B4" w14:textId="77777777" w:rsidR="001F7439" w:rsidRPr="001F7439" w:rsidRDefault="001F7439" w:rsidP="007C15A1">
      <w:pPr>
        <w:pStyle w:val="ListParagraph"/>
        <w:numPr>
          <w:ilvl w:val="0"/>
          <w:numId w:val="9"/>
        </w:numPr>
        <w:spacing w:after="0" w:line="240" w:lineRule="auto"/>
        <w:contextualSpacing w:val="0"/>
        <w:jc w:val="both"/>
        <w:rPr>
          <w:rFonts w:ascii="Verdana" w:hAnsi="Verdana"/>
          <w:sz w:val="20"/>
          <w:szCs w:val="20"/>
          <w:lang w:val="es-CR"/>
        </w:rPr>
      </w:pPr>
      <w:r w:rsidRPr="001F7439">
        <w:rPr>
          <w:rFonts w:ascii="Verdana" w:hAnsi="Verdana"/>
          <w:sz w:val="20"/>
          <w:szCs w:val="20"/>
          <w:lang w:val="es-CR"/>
        </w:rPr>
        <w:t xml:space="preserve">la Corte “está legitimada a pronunciarse sobre la manera en que el proceso de acusación constitucional puede poner en riesgo” el cumplimiento de la Sentencia. </w:t>
      </w:r>
      <w:r w:rsidRPr="001F7439">
        <w:rPr>
          <w:rFonts w:ascii="Verdana" w:hAnsi="Verdana"/>
          <w:sz w:val="20"/>
          <w:szCs w:val="20"/>
          <w:lang w:val="es-CR"/>
        </w:rPr>
        <w:lastRenderedPageBreak/>
        <w:t xml:space="preserve">Considera que el actual proceso de acusación constitucional ante el Congreso constituye una situación superviniente que claramente guarda relación con la supervisión del cumplimiento de la sentencia Durand y Ugarte. La Comisión sostuvo que esa relación “es directa porque el resultado de dicho proceso [podría] constituir un obstáculo para su cumplimiento con el efecto de consolidar la situación de impunidad imperante a la fecha en el presente caso”; </w:t>
      </w:r>
    </w:p>
    <w:p w14:paraId="5564E307" w14:textId="77777777" w:rsidR="001F7439" w:rsidRPr="001F7439" w:rsidRDefault="001F7439" w:rsidP="007C15A1">
      <w:pPr>
        <w:pStyle w:val="ListParagraph"/>
        <w:numPr>
          <w:ilvl w:val="0"/>
          <w:numId w:val="9"/>
        </w:numPr>
        <w:spacing w:after="0" w:line="240" w:lineRule="auto"/>
        <w:contextualSpacing w:val="0"/>
        <w:jc w:val="both"/>
        <w:rPr>
          <w:rFonts w:ascii="Verdana" w:hAnsi="Verdana"/>
          <w:sz w:val="20"/>
          <w:szCs w:val="20"/>
          <w:lang w:val="es-CR"/>
        </w:rPr>
      </w:pPr>
      <w:r w:rsidRPr="001F7439">
        <w:rPr>
          <w:rFonts w:ascii="Verdana" w:hAnsi="Verdana"/>
          <w:sz w:val="20"/>
          <w:szCs w:val="20"/>
          <w:lang w:val="es-CR"/>
        </w:rPr>
        <w:t xml:space="preserve"> “de conformidad con el artículo 63.2 de la Convención, los representantes de las víctimas están integralmente legitimados procesalmente para solicitar medidas provisionales directamente” al Tribunal</w:t>
      </w:r>
      <w:r w:rsidRPr="001F7439">
        <w:rPr>
          <w:rStyle w:val="FootnoteReference"/>
          <w:rFonts w:ascii="Verdana" w:hAnsi="Verdana"/>
          <w:sz w:val="20"/>
          <w:szCs w:val="20"/>
          <w:lang w:val="es-CR"/>
        </w:rPr>
        <w:footnoteReference w:id="20"/>
      </w:r>
      <w:r w:rsidRPr="001F7439">
        <w:rPr>
          <w:rFonts w:ascii="Verdana" w:hAnsi="Verdana"/>
          <w:sz w:val="20"/>
          <w:szCs w:val="20"/>
          <w:lang w:val="es-CR"/>
        </w:rPr>
        <w:t>;</w:t>
      </w:r>
    </w:p>
    <w:p w14:paraId="1A6661E1" w14:textId="77777777" w:rsidR="001F7439" w:rsidRPr="001F7439" w:rsidRDefault="001F7439" w:rsidP="007C15A1">
      <w:pPr>
        <w:pStyle w:val="ListParagraph"/>
        <w:numPr>
          <w:ilvl w:val="0"/>
          <w:numId w:val="9"/>
        </w:numPr>
        <w:spacing w:after="0" w:line="240" w:lineRule="auto"/>
        <w:contextualSpacing w:val="0"/>
        <w:jc w:val="both"/>
        <w:rPr>
          <w:rFonts w:ascii="Verdana" w:hAnsi="Verdana"/>
          <w:sz w:val="20"/>
          <w:szCs w:val="20"/>
          <w:lang w:val="es-CR"/>
        </w:rPr>
      </w:pPr>
      <w:r w:rsidRPr="001F7439">
        <w:rPr>
          <w:rFonts w:ascii="Verdana" w:hAnsi="Verdana"/>
          <w:sz w:val="20"/>
          <w:szCs w:val="20"/>
          <w:lang w:val="es-CR"/>
        </w:rPr>
        <w:t>respecto a las violaciones constatadas en la Sentencia respecto a los señores Durand y Ugarte, “al tratarse de una ejecución seguida de desaparición, la calificación jurídica que se desprende de los estándares interamericanos es la de grave violación de derechos humanos”. Al respecto indicó que “la jurisprudencia interamericana se ha referido de forma consistente a la irrenunciabilidad del deber estatal de investigar las graves violaciones a los derechos humanos, y con ello la incompatibilidad de aplicar figuras legales en el ámbito interno para evadir dicha obligación internacional”. Agregó que “el cumplimiento de las obligaciones internacionales del Estado en materia de verdad y justicia de graves violaciones de derechos humanos como las ocurridas en este caso, no pueden estar supeditado a la calificación que de las mismas se puedan hacer por las autoridades internas”;</w:t>
      </w:r>
    </w:p>
    <w:p w14:paraId="64C5C283" w14:textId="77777777" w:rsidR="001F7439" w:rsidRPr="001F7439" w:rsidRDefault="001F7439" w:rsidP="007C15A1">
      <w:pPr>
        <w:pStyle w:val="ListParagraph"/>
        <w:numPr>
          <w:ilvl w:val="0"/>
          <w:numId w:val="9"/>
        </w:numPr>
        <w:spacing w:after="0" w:line="240" w:lineRule="auto"/>
        <w:contextualSpacing w:val="0"/>
        <w:jc w:val="both"/>
        <w:rPr>
          <w:rFonts w:ascii="Verdana" w:hAnsi="Verdana"/>
          <w:sz w:val="20"/>
          <w:szCs w:val="20"/>
          <w:lang w:val="es-CR"/>
        </w:rPr>
      </w:pPr>
      <w:r w:rsidRPr="001F7439">
        <w:rPr>
          <w:rFonts w:ascii="Verdana" w:hAnsi="Verdana"/>
          <w:sz w:val="20"/>
          <w:szCs w:val="20"/>
          <w:lang w:val="es-CR"/>
        </w:rPr>
        <w:t>“frente a la grave situación de impunidad en la que hoy se encuentran los hechos del caso Durand y Ugarte y la naturaleza de los mismos, cualquiera decisión o actuación de las autoridades peruanas que pusieran en riesgo la continuidad de las todas las investigaciones internas, constituiría un incumplimiento manifiesto de la sentencia de esta Corte y una afrenta a las expectativas de los familiares que llevan más de 30 años en espera de verdad, justicia”;</w:t>
      </w:r>
    </w:p>
    <w:p w14:paraId="11C40A43" w14:textId="77777777" w:rsidR="001F7439" w:rsidRPr="001F7439" w:rsidRDefault="001F7439" w:rsidP="007C15A1">
      <w:pPr>
        <w:pStyle w:val="ListParagraph"/>
        <w:numPr>
          <w:ilvl w:val="0"/>
          <w:numId w:val="9"/>
        </w:numPr>
        <w:spacing w:after="0" w:line="240" w:lineRule="auto"/>
        <w:contextualSpacing w:val="0"/>
        <w:jc w:val="both"/>
        <w:rPr>
          <w:rFonts w:ascii="Verdana" w:hAnsi="Verdana"/>
          <w:sz w:val="20"/>
          <w:szCs w:val="20"/>
          <w:lang w:val="es-CR"/>
        </w:rPr>
      </w:pPr>
      <w:r w:rsidRPr="001F7439">
        <w:rPr>
          <w:rFonts w:ascii="Verdana" w:hAnsi="Verdana"/>
          <w:sz w:val="20"/>
          <w:szCs w:val="20"/>
          <w:lang w:val="es-CR"/>
        </w:rPr>
        <w:t>“ambos componentes del proceso de acusación constitucional contra la magistrada y los magistrados del Tribunal Constitucional de Perú, levantan serias preocupaciones a la luz de los principios de separación de poderes y de independencia judicial, especialmente tomando en cuenta que el auto que motivó el proceso está relacionado con la lucha contra la impunidad de graves violaciones de derechos humanos”;</w:t>
      </w:r>
    </w:p>
    <w:p w14:paraId="28CA6AAF" w14:textId="77777777" w:rsidR="001F7439" w:rsidRPr="001F7439" w:rsidRDefault="001F7439" w:rsidP="007C15A1">
      <w:pPr>
        <w:pStyle w:val="ListParagraph"/>
        <w:numPr>
          <w:ilvl w:val="0"/>
          <w:numId w:val="9"/>
        </w:numPr>
        <w:spacing w:after="0" w:line="240" w:lineRule="auto"/>
        <w:contextualSpacing w:val="0"/>
        <w:jc w:val="both"/>
        <w:rPr>
          <w:rFonts w:ascii="Verdana" w:hAnsi="Verdana"/>
          <w:sz w:val="20"/>
          <w:szCs w:val="20"/>
          <w:lang w:val="es-CR"/>
        </w:rPr>
      </w:pPr>
      <w:r w:rsidRPr="001F7439">
        <w:rPr>
          <w:rFonts w:ascii="Verdana" w:hAnsi="Verdana"/>
          <w:sz w:val="20"/>
          <w:szCs w:val="20"/>
          <w:lang w:val="es-CR"/>
        </w:rPr>
        <w:t xml:space="preserve">“se podría valorar que el requisito de extrema gravedad se cumpliría en atención a los bienes jurídicos que la medida busca proteger, esto es, el derecho de los familiares de las víctimas a la verdad y a la justicia en el caso”; </w:t>
      </w:r>
    </w:p>
    <w:p w14:paraId="786B73D8" w14:textId="77777777" w:rsidR="001F7439" w:rsidRPr="001F7439" w:rsidRDefault="001F7439" w:rsidP="007C15A1">
      <w:pPr>
        <w:pStyle w:val="ListParagraph"/>
        <w:numPr>
          <w:ilvl w:val="0"/>
          <w:numId w:val="9"/>
        </w:numPr>
        <w:spacing w:after="0" w:line="240" w:lineRule="auto"/>
        <w:contextualSpacing w:val="0"/>
        <w:jc w:val="both"/>
        <w:rPr>
          <w:rFonts w:ascii="Verdana" w:hAnsi="Verdana"/>
          <w:sz w:val="20"/>
          <w:szCs w:val="20"/>
          <w:lang w:val="es-CR"/>
        </w:rPr>
      </w:pPr>
      <w:r w:rsidRPr="001F7439">
        <w:rPr>
          <w:rFonts w:ascii="Verdana" w:hAnsi="Verdana"/>
          <w:sz w:val="20"/>
          <w:szCs w:val="20"/>
          <w:lang w:val="es-CR"/>
        </w:rPr>
        <w:t>en cuanto a la urgencia, “la Corte podría tomar en cuenta la situación actual de la acusación constitucional[, … pues] su simple existencia […] y la eventual eminencia en su avance [podría llevar a] una decisión definitiva que tiene implicación inmediata al principio fundamental del estado de derecho que es la independencia judicial y la separación de poderes”, y</w:t>
      </w:r>
    </w:p>
    <w:p w14:paraId="4D480F1E" w14:textId="77777777" w:rsidR="001F7439" w:rsidRPr="001F7439" w:rsidRDefault="001F7439" w:rsidP="007C15A1">
      <w:pPr>
        <w:pStyle w:val="ListParagraph"/>
        <w:numPr>
          <w:ilvl w:val="0"/>
          <w:numId w:val="9"/>
        </w:numPr>
        <w:spacing w:after="0" w:line="240" w:lineRule="auto"/>
        <w:contextualSpacing w:val="0"/>
        <w:jc w:val="both"/>
        <w:rPr>
          <w:rFonts w:ascii="Verdana" w:hAnsi="Verdana"/>
          <w:sz w:val="20"/>
          <w:szCs w:val="20"/>
          <w:lang w:val="es-CR"/>
        </w:rPr>
      </w:pPr>
      <w:r w:rsidRPr="001F7439">
        <w:rPr>
          <w:rFonts w:ascii="Verdana" w:hAnsi="Verdana"/>
          <w:sz w:val="20"/>
          <w:szCs w:val="20"/>
          <w:lang w:val="es-CR"/>
        </w:rPr>
        <w:t xml:space="preserve">en relación con la irreparabilidad del daño, la misma “se podría desprender del efecto que el resultado de dicho proceso [de acusación constitucional] podría tener en la vigencia del auto publicado en marzo de 2017 y la eventual  vigencia de la de 2013, que […] impacta negativamente en el bien jurídico que se pretende proteger con esta solicitud”. </w:t>
      </w:r>
    </w:p>
    <w:p w14:paraId="13147B9F" w14:textId="77777777" w:rsidR="00822994" w:rsidRDefault="00822994" w:rsidP="00AB381D">
      <w:pPr>
        <w:tabs>
          <w:tab w:val="left" w:pos="2848"/>
        </w:tabs>
        <w:spacing w:after="0" w:line="240" w:lineRule="auto"/>
        <w:jc w:val="both"/>
        <w:rPr>
          <w:rFonts w:ascii="Verdana" w:hAnsi="Verdana" w:cs="Verdana"/>
          <w:b/>
          <w:sz w:val="20"/>
          <w:szCs w:val="20"/>
        </w:rPr>
      </w:pPr>
    </w:p>
    <w:p w14:paraId="267B0EF4" w14:textId="77777777" w:rsidR="005D65DE" w:rsidRDefault="005D65DE" w:rsidP="00AB381D">
      <w:pPr>
        <w:tabs>
          <w:tab w:val="left" w:pos="2848"/>
        </w:tabs>
        <w:spacing w:after="0" w:line="240" w:lineRule="auto"/>
        <w:jc w:val="both"/>
        <w:rPr>
          <w:rFonts w:ascii="Verdana" w:hAnsi="Verdana" w:cs="Verdana"/>
          <w:b/>
          <w:sz w:val="20"/>
          <w:szCs w:val="20"/>
        </w:rPr>
      </w:pPr>
    </w:p>
    <w:p w14:paraId="59F96C9F" w14:textId="77777777" w:rsidR="005D65DE" w:rsidRDefault="005D65DE" w:rsidP="00AB381D">
      <w:pPr>
        <w:tabs>
          <w:tab w:val="left" w:pos="2848"/>
        </w:tabs>
        <w:spacing w:after="0" w:line="240" w:lineRule="auto"/>
        <w:jc w:val="both"/>
        <w:rPr>
          <w:rFonts w:ascii="Verdana" w:hAnsi="Verdana" w:cs="Verdana"/>
          <w:b/>
          <w:sz w:val="20"/>
          <w:szCs w:val="20"/>
        </w:rPr>
      </w:pPr>
    </w:p>
    <w:p w14:paraId="024999AB" w14:textId="61EEB740" w:rsidR="007012DA" w:rsidRDefault="007012DA">
      <w:pPr>
        <w:rPr>
          <w:rFonts w:ascii="Verdana" w:hAnsi="Verdana" w:cs="Verdana"/>
          <w:b/>
          <w:sz w:val="20"/>
          <w:szCs w:val="20"/>
        </w:rPr>
      </w:pPr>
      <w:r>
        <w:rPr>
          <w:rFonts w:ascii="Verdana" w:hAnsi="Verdana" w:cs="Verdana"/>
          <w:b/>
          <w:sz w:val="20"/>
          <w:szCs w:val="20"/>
        </w:rPr>
        <w:br w:type="page"/>
      </w:r>
    </w:p>
    <w:p w14:paraId="13D74CDE" w14:textId="77777777" w:rsidR="00D466E5" w:rsidRPr="006208A4" w:rsidRDefault="005D6C95" w:rsidP="007C15A1">
      <w:pPr>
        <w:pStyle w:val="ListParagraph"/>
        <w:numPr>
          <w:ilvl w:val="0"/>
          <w:numId w:val="4"/>
        </w:numPr>
        <w:spacing w:after="0" w:line="240" w:lineRule="auto"/>
        <w:contextualSpacing w:val="0"/>
        <w:jc w:val="both"/>
        <w:rPr>
          <w:rFonts w:ascii="Verdana" w:hAnsi="Verdana" w:cs="Verdana"/>
          <w:b/>
          <w:i/>
          <w:sz w:val="20"/>
          <w:szCs w:val="20"/>
          <w:lang w:val="es-CR"/>
        </w:rPr>
      </w:pPr>
      <w:r w:rsidRPr="006208A4">
        <w:rPr>
          <w:rFonts w:ascii="Verdana" w:hAnsi="Verdana" w:cs="Verdana"/>
          <w:b/>
          <w:i/>
          <w:sz w:val="20"/>
          <w:szCs w:val="20"/>
          <w:lang w:val="es-CR"/>
        </w:rPr>
        <w:lastRenderedPageBreak/>
        <w:t>Consideraciones de la Corte</w:t>
      </w:r>
    </w:p>
    <w:p w14:paraId="45ACACC7" w14:textId="77777777" w:rsidR="00AB381D" w:rsidRPr="00AB381D" w:rsidRDefault="00AB381D" w:rsidP="00AB381D">
      <w:pPr>
        <w:pStyle w:val="ListParagraph"/>
        <w:spacing w:after="0" w:line="240" w:lineRule="auto"/>
        <w:ind w:left="0"/>
        <w:contextualSpacing w:val="0"/>
        <w:jc w:val="both"/>
        <w:rPr>
          <w:rFonts w:ascii="Verdana" w:hAnsi="Verdana"/>
          <w:bCs/>
          <w:sz w:val="20"/>
          <w:szCs w:val="20"/>
          <w:lang w:val="es-CR"/>
        </w:rPr>
      </w:pPr>
    </w:p>
    <w:p w14:paraId="0C6D16C1" w14:textId="0952B95D" w:rsidR="009A6273" w:rsidRDefault="008F7052" w:rsidP="007C15A1">
      <w:pPr>
        <w:pStyle w:val="ListParagraph"/>
        <w:numPr>
          <w:ilvl w:val="0"/>
          <w:numId w:val="3"/>
        </w:numPr>
        <w:spacing w:after="0" w:line="240" w:lineRule="auto"/>
        <w:ind w:left="0" w:firstLine="0"/>
        <w:contextualSpacing w:val="0"/>
        <w:jc w:val="both"/>
        <w:rPr>
          <w:rFonts w:ascii="Verdana" w:hAnsi="Verdana"/>
          <w:bCs/>
          <w:sz w:val="20"/>
          <w:szCs w:val="20"/>
          <w:lang w:val="es-CR"/>
        </w:rPr>
      </w:pPr>
      <w:r>
        <w:rPr>
          <w:rFonts w:ascii="Verdana" w:hAnsi="Verdana"/>
          <w:sz w:val="20"/>
          <w:szCs w:val="20"/>
          <w:lang w:val="es-CR"/>
        </w:rPr>
        <w:t>La Corte ha señalado</w:t>
      </w:r>
      <w:r w:rsidR="00917145" w:rsidRPr="00917145">
        <w:rPr>
          <w:rFonts w:ascii="Verdana" w:hAnsi="Verdana"/>
          <w:sz w:val="20"/>
          <w:szCs w:val="20"/>
          <w:lang w:val="es-CR"/>
        </w:rPr>
        <w:t xml:space="preserve"> que las tres condiciones exigidas por el artículo 63.2 de la Convención para que pueda disponer de medidas provisionales deben concurrir en toda situación en la que se soliciten</w:t>
      </w:r>
      <w:r w:rsidR="00917145">
        <w:rPr>
          <w:rStyle w:val="FootnoteReference"/>
          <w:rFonts w:ascii="Verdana" w:hAnsi="Verdana"/>
          <w:sz w:val="20"/>
          <w:szCs w:val="20"/>
          <w:lang w:val="es-CR"/>
        </w:rPr>
        <w:footnoteReference w:id="21"/>
      </w:r>
      <w:r w:rsidR="00917145" w:rsidRPr="00917145">
        <w:rPr>
          <w:rFonts w:ascii="Verdana" w:hAnsi="Verdana"/>
          <w:sz w:val="20"/>
          <w:szCs w:val="20"/>
          <w:lang w:val="es-CR"/>
        </w:rPr>
        <w:t>.</w:t>
      </w:r>
      <w:r w:rsidR="00917145" w:rsidRPr="00917145">
        <w:rPr>
          <w:sz w:val="20"/>
          <w:szCs w:val="20"/>
          <w:lang w:val="es-CR"/>
        </w:rPr>
        <w:t xml:space="preserve"> </w:t>
      </w:r>
      <w:r w:rsidR="003807AD" w:rsidRPr="006D5CEF">
        <w:rPr>
          <w:rFonts w:ascii="Verdana" w:hAnsi="Verdana"/>
          <w:bCs/>
          <w:sz w:val="20"/>
          <w:szCs w:val="20"/>
          <w:lang w:val="es-CR"/>
        </w:rPr>
        <w:t>De conformidad con</w:t>
      </w:r>
      <w:r w:rsidR="009A6273" w:rsidRPr="006D5CEF">
        <w:rPr>
          <w:rFonts w:ascii="Verdana" w:hAnsi="Verdana"/>
          <w:sz w:val="20"/>
          <w:szCs w:val="20"/>
          <w:lang w:val="es-CR"/>
        </w:rPr>
        <w:t xml:space="preserve"> </w:t>
      </w:r>
      <w:r w:rsidR="003807AD" w:rsidRPr="006D5CEF">
        <w:rPr>
          <w:rFonts w:ascii="Verdana" w:hAnsi="Verdana"/>
          <w:sz w:val="20"/>
          <w:szCs w:val="20"/>
          <w:lang w:val="es-CR"/>
        </w:rPr>
        <w:t>la Convención y e</w:t>
      </w:r>
      <w:r w:rsidR="009A6273" w:rsidRPr="006D5CEF">
        <w:rPr>
          <w:rFonts w:ascii="Verdana" w:hAnsi="Verdana"/>
          <w:sz w:val="20"/>
          <w:szCs w:val="20"/>
          <w:lang w:val="es-CR"/>
        </w:rPr>
        <w:t>l Reglamento</w:t>
      </w:r>
      <w:r w:rsidR="003807AD" w:rsidRPr="006D5CEF">
        <w:rPr>
          <w:rFonts w:ascii="Verdana" w:hAnsi="Verdana"/>
          <w:sz w:val="20"/>
          <w:szCs w:val="20"/>
          <w:lang w:val="es-CR"/>
        </w:rPr>
        <w:t xml:space="preserve"> del Tribunal</w:t>
      </w:r>
      <w:r w:rsidR="009A6273" w:rsidRPr="006D5CEF">
        <w:rPr>
          <w:rFonts w:ascii="Verdana" w:hAnsi="Verdana"/>
          <w:sz w:val="20"/>
          <w:szCs w:val="20"/>
          <w:lang w:val="es-CR"/>
        </w:rPr>
        <w:t>, la carga procesal de demostrar</w:t>
      </w:r>
      <w:r w:rsidR="009A6273" w:rsidRPr="009A6273">
        <w:rPr>
          <w:rFonts w:ascii="Verdana" w:hAnsi="Verdana"/>
          <w:sz w:val="20"/>
          <w:szCs w:val="20"/>
          <w:lang w:val="es-CR"/>
        </w:rPr>
        <w:t xml:space="preserve"> </w:t>
      </w:r>
      <w:r w:rsidR="009A6273" w:rsidRPr="009A6273">
        <w:rPr>
          <w:rFonts w:ascii="Verdana" w:hAnsi="Verdana"/>
          <w:i/>
          <w:sz w:val="20"/>
          <w:szCs w:val="20"/>
          <w:lang w:val="es-CR"/>
        </w:rPr>
        <w:t>prima facie</w:t>
      </w:r>
      <w:r w:rsidR="009A6273" w:rsidRPr="009A6273">
        <w:rPr>
          <w:rFonts w:ascii="Verdana" w:hAnsi="Verdana"/>
          <w:sz w:val="20"/>
          <w:szCs w:val="20"/>
          <w:lang w:val="es-CR"/>
        </w:rPr>
        <w:t xml:space="preserve"> dichos requisitos recae en el solicitante</w:t>
      </w:r>
      <w:r w:rsidR="009A6273" w:rsidRPr="009A6273">
        <w:rPr>
          <w:rFonts w:ascii="Verdana" w:hAnsi="Verdana"/>
          <w:sz w:val="20"/>
          <w:szCs w:val="20"/>
          <w:vertAlign w:val="superscript"/>
          <w:lang w:val="es-CR"/>
        </w:rPr>
        <w:footnoteReference w:id="22"/>
      </w:r>
      <w:r w:rsidR="009A6273" w:rsidRPr="009A6273">
        <w:rPr>
          <w:rFonts w:ascii="Verdana" w:hAnsi="Verdana"/>
          <w:sz w:val="20"/>
          <w:szCs w:val="20"/>
          <w:lang w:val="es-CR"/>
        </w:rPr>
        <w:t>. En cuanto a la gravedad, para efectos de la adopción de medidas provisionales, la Convención requiere que aquélla sea “extrema”, es decir, que se encuentre en su grado más intenso o elevado. El carácter urgente implica que el riesgo o amenaza involucrados sean inminentes, lo cual requiere que la respuesta para remediarlos sea inmediata. Finalmente, en cuanto al daño, debe existir una probabilidad razonable de que se materialice y no debe recaer en bienes o intereses jurídicos que puedan ser reparables</w:t>
      </w:r>
      <w:r w:rsidR="009A6273" w:rsidRPr="009A6273">
        <w:rPr>
          <w:rFonts w:ascii="Verdana" w:hAnsi="Verdana"/>
          <w:sz w:val="20"/>
          <w:szCs w:val="20"/>
          <w:vertAlign w:val="superscript"/>
          <w:lang w:val="es-CR"/>
        </w:rPr>
        <w:footnoteReference w:id="23"/>
      </w:r>
      <w:r w:rsidR="009A6273" w:rsidRPr="009A6273">
        <w:rPr>
          <w:rFonts w:ascii="Verdana" w:hAnsi="Verdana"/>
          <w:sz w:val="20"/>
          <w:szCs w:val="20"/>
          <w:lang w:val="es-CR"/>
        </w:rPr>
        <w:t xml:space="preserve">. </w:t>
      </w:r>
      <w:r w:rsidR="00196E0E">
        <w:rPr>
          <w:rFonts w:ascii="Verdana" w:hAnsi="Verdana"/>
          <w:sz w:val="20"/>
          <w:szCs w:val="20"/>
          <w:lang w:val="es-CR"/>
        </w:rPr>
        <w:t>L</w:t>
      </w:r>
      <w:r w:rsidR="009A6273" w:rsidRPr="009A6273">
        <w:rPr>
          <w:rFonts w:ascii="Verdana" w:hAnsi="Verdana"/>
          <w:sz w:val="20"/>
          <w:szCs w:val="20"/>
          <w:lang w:val="es-CR"/>
        </w:rPr>
        <w:t xml:space="preserve">as tres condiciones exigidas por el artículo 63.2 de la Convención para que </w:t>
      </w:r>
      <w:r w:rsidR="00196E0E">
        <w:rPr>
          <w:rFonts w:ascii="Verdana" w:hAnsi="Verdana"/>
          <w:sz w:val="20"/>
          <w:szCs w:val="20"/>
          <w:lang w:val="es-CR"/>
        </w:rPr>
        <w:t xml:space="preserve">se </w:t>
      </w:r>
      <w:r w:rsidR="009A6273" w:rsidRPr="009A6273">
        <w:rPr>
          <w:rFonts w:ascii="Verdana" w:hAnsi="Verdana"/>
          <w:sz w:val="20"/>
          <w:szCs w:val="20"/>
          <w:lang w:val="es-CR"/>
        </w:rPr>
        <w:t xml:space="preserve">pueda disponer de medidas provisionales deben </w:t>
      </w:r>
      <w:r w:rsidR="009A6273" w:rsidRPr="009A6273">
        <w:rPr>
          <w:rFonts w:ascii="Verdana" w:hAnsi="Verdana"/>
          <w:sz w:val="20"/>
          <w:lang w:val="es-CR"/>
        </w:rPr>
        <w:t xml:space="preserve">concurrir </w:t>
      </w:r>
      <w:r w:rsidR="009A6273" w:rsidRPr="009A6273">
        <w:rPr>
          <w:rFonts w:ascii="Verdana" w:hAnsi="Verdana"/>
          <w:sz w:val="20"/>
          <w:szCs w:val="20"/>
          <w:lang w:val="es-CR"/>
        </w:rPr>
        <w:t>en toda situación en la que se soliciten</w:t>
      </w:r>
      <w:r w:rsidR="009A6273" w:rsidRPr="009A6273">
        <w:rPr>
          <w:rStyle w:val="FootnoteReference"/>
          <w:rFonts w:ascii="Verdana" w:hAnsi="Verdana"/>
          <w:sz w:val="20"/>
          <w:szCs w:val="20"/>
          <w:lang w:val="es-CR"/>
        </w:rPr>
        <w:footnoteReference w:id="24"/>
      </w:r>
      <w:r w:rsidR="009A6273" w:rsidRPr="009A6273">
        <w:rPr>
          <w:rFonts w:ascii="Verdana" w:hAnsi="Verdana"/>
          <w:sz w:val="20"/>
          <w:szCs w:val="20"/>
          <w:lang w:val="es-CR"/>
        </w:rPr>
        <w:t xml:space="preserve">. </w:t>
      </w:r>
    </w:p>
    <w:p w14:paraId="500E9007" w14:textId="77777777" w:rsidR="00AB381D" w:rsidRPr="00AB381D" w:rsidRDefault="00AB381D" w:rsidP="00AB381D">
      <w:pPr>
        <w:pStyle w:val="ListParagraph"/>
        <w:spacing w:after="0" w:line="240" w:lineRule="auto"/>
        <w:ind w:left="0"/>
        <w:contextualSpacing w:val="0"/>
        <w:jc w:val="both"/>
        <w:rPr>
          <w:rFonts w:ascii="Verdana" w:hAnsi="Verdana" w:cs="Verdana"/>
          <w:sz w:val="20"/>
          <w:szCs w:val="20"/>
          <w:lang w:val="es-CO"/>
        </w:rPr>
      </w:pPr>
    </w:p>
    <w:p w14:paraId="01D18418" w14:textId="29EB571E" w:rsidR="00D71990" w:rsidRPr="00EF1C24" w:rsidRDefault="00EF1C24" w:rsidP="007C15A1">
      <w:pPr>
        <w:pStyle w:val="ListParagraph"/>
        <w:numPr>
          <w:ilvl w:val="0"/>
          <w:numId w:val="3"/>
        </w:numPr>
        <w:spacing w:after="0" w:line="240" w:lineRule="auto"/>
        <w:ind w:left="0" w:firstLine="0"/>
        <w:contextualSpacing w:val="0"/>
        <w:jc w:val="both"/>
        <w:rPr>
          <w:rFonts w:ascii="Verdana" w:hAnsi="Verdana" w:cs="Verdana"/>
          <w:sz w:val="20"/>
          <w:szCs w:val="20"/>
          <w:lang w:val="es-CO"/>
        </w:rPr>
      </w:pPr>
      <w:r w:rsidRPr="00EF1C24">
        <w:rPr>
          <w:rFonts w:ascii="Verdana" w:hAnsi="Verdana" w:cs="Verdana"/>
          <w:sz w:val="20"/>
          <w:szCs w:val="20"/>
          <w:lang w:val="es-CO"/>
        </w:rPr>
        <w:t>Primeramente e</w:t>
      </w:r>
      <w:r w:rsidR="005D76A8" w:rsidRPr="00EF1C24">
        <w:rPr>
          <w:rFonts w:ascii="Verdana" w:hAnsi="Verdana" w:cs="Verdana"/>
          <w:sz w:val="20"/>
          <w:szCs w:val="20"/>
          <w:lang w:val="es-CO"/>
        </w:rPr>
        <w:t xml:space="preserve">l Tribunal </w:t>
      </w:r>
      <w:r w:rsidRPr="00EF1C24">
        <w:rPr>
          <w:rFonts w:ascii="Verdana" w:hAnsi="Verdana" w:cs="Verdana"/>
          <w:sz w:val="20"/>
          <w:szCs w:val="20"/>
          <w:lang w:val="es-CO"/>
        </w:rPr>
        <w:t xml:space="preserve">efectuará consideraciones sobre la </w:t>
      </w:r>
      <w:r w:rsidRPr="00EF1C24">
        <w:rPr>
          <w:rFonts w:ascii="Verdana" w:hAnsi="Verdana" w:cs="Verdana"/>
          <w:sz w:val="20"/>
          <w:szCs w:val="20"/>
          <w:lang w:val="es-CR"/>
        </w:rPr>
        <w:t>relación entre el objeto del presente caso con la solicitud de medidas provisionales formulada</w:t>
      </w:r>
      <w:r w:rsidR="00021245">
        <w:rPr>
          <w:rFonts w:ascii="Verdana" w:hAnsi="Verdana" w:cs="Verdana"/>
          <w:sz w:val="20"/>
          <w:szCs w:val="20"/>
          <w:lang w:val="es-CR"/>
        </w:rPr>
        <w:t xml:space="preserve"> (</w:t>
      </w:r>
      <w:r w:rsidR="00021245" w:rsidRPr="00021245">
        <w:rPr>
          <w:rFonts w:ascii="Verdana" w:hAnsi="Verdana" w:cs="Verdana"/>
          <w:i/>
          <w:sz w:val="20"/>
          <w:szCs w:val="20"/>
          <w:lang w:val="es-CR"/>
        </w:rPr>
        <w:t>infra</w:t>
      </w:r>
      <w:r w:rsidR="00021245">
        <w:rPr>
          <w:rFonts w:ascii="Verdana" w:hAnsi="Verdana" w:cs="Verdana"/>
          <w:sz w:val="20"/>
          <w:szCs w:val="20"/>
          <w:lang w:val="es-CR"/>
        </w:rPr>
        <w:t xml:space="preserve"> </w:t>
      </w:r>
      <w:r w:rsidR="00021245" w:rsidRPr="0058269D">
        <w:rPr>
          <w:rFonts w:ascii="Verdana" w:hAnsi="Verdana" w:cs="Verdana"/>
          <w:sz w:val="20"/>
          <w:szCs w:val="20"/>
          <w:lang w:val="es-CR"/>
        </w:rPr>
        <w:t xml:space="preserve">Considerandos </w:t>
      </w:r>
      <w:r w:rsidR="003807AD" w:rsidRPr="0058269D">
        <w:rPr>
          <w:rFonts w:ascii="Verdana" w:hAnsi="Verdana" w:cs="Verdana"/>
          <w:sz w:val="20"/>
          <w:szCs w:val="20"/>
          <w:lang w:val="es-CR"/>
        </w:rPr>
        <w:t>20</w:t>
      </w:r>
      <w:r w:rsidR="00021245" w:rsidRPr="0058269D">
        <w:rPr>
          <w:rFonts w:ascii="Verdana" w:hAnsi="Verdana" w:cs="Verdana"/>
          <w:sz w:val="20"/>
          <w:szCs w:val="20"/>
          <w:lang w:val="es-CR"/>
        </w:rPr>
        <w:t xml:space="preserve"> a </w:t>
      </w:r>
      <w:r w:rsidR="003807AD" w:rsidRPr="0058269D">
        <w:rPr>
          <w:rFonts w:ascii="Verdana" w:hAnsi="Verdana" w:cs="Verdana"/>
          <w:sz w:val="20"/>
          <w:szCs w:val="20"/>
          <w:lang w:val="es-CR"/>
        </w:rPr>
        <w:t>30</w:t>
      </w:r>
      <w:r w:rsidR="00021245" w:rsidRPr="0058269D">
        <w:rPr>
          <w:rFonts w:ascii="Verdana" w:hAnsi="Verdana" w:cs="Verdana"/>
          <w:sz w:val="20"/>
          <w:szCs w:val="20"/>
          <w:lang w:val="es-CR"/>
        </w:rPr>
        <w:t>)</w:t>
      </w:r>
      <w:r w:rsidRPr="0058269D">
        <w:rPr>
          <w:rFonts w:ascii="Verdana" w:hAnsi="Verdana" w:cs="Verdana"/>
          <w:sz w:val="20"/>
          <w:szCs w:val="20"/>
          <w:lang w:val="es-CR"/>
        </w:rPr>
        <w:t>, para luego pasar a examinar los referidos requisitos de extrema gravedad</w:t>
      </w:r>
      <w:r w:rsidR="00021245" w:rsidRPr="0058269D">
        <w:rPr>
          <w:rFonts w:ascii="Verdana" w:hAnsi="Verdana" w:cs="Verdana"/>
          <w:sz w:val="20"/>
          <w:szCs w:val="20"/>
          <w:lang w:val="es-CR"/>
        </w:rPr>
        <w:t xml:space="preserve"> (</w:t>
      </w:r>
      <w:r w:rsidR="00021245" w:rsidRPr="0058269D">
        <w:rPr>
          <w:rFonts w:ascii="Verdana" w:hAnsi="Verdana" w:cs="Verdana"/>
          <w:i/>
          <w:sz w:val="20"/>
          <w:szCs w:val="20"/>
          <w:lang w:val="es-CR"/>
        </w:rPr>
        <w:t xml:space="preserve">infra </w:t>
      </w:r>
      <w:r w:rsidR="00021245" w:rsidRPr="0058269D">
        <w:rPr>
          <w:rFonts w:ascii="Verdana" w:hAnsi="Verdana" w:cs="Verdana"/>
          <w:sz w:val="20"/>
          <w:szCs w:val="20"/>
          <w:lang w:val="es-CR"/>
        </w:rPr>
        <w:t xml:space="preserve">Considerandos </w:t>
      </w:r>
      <w:r w:rsidR="003807AD" w:rsidRPr="0058269D">
        <w:rPr>
          <w:rFonts w:ascii="Verdana" w:hAnsi="Verdana" w:cs="Verdana"/>
          <w:sz w:val="20"/>
          <w:szCs w:val="20"/>
          <w:lang w:val="es-CR"/>
        </w:rPr>
        <w:t>31</w:t>
      </w:r>
      <w:r w:rsidR="00021245" w:rsidRPr="0058269D">
        <w:rPr>
          <w:rFonts w:ascii="Verdana" w:hAnsi="Verdana" w:cs="Verdana"/>
          <w:sz w:val="20"/>
          <w:szCs w:val="20"/>
          <w:lang w:val="es-CR"/>
        </w:rPr>
        <w:t xml:space="preserve"> a </w:t>
      </w:r>
      <w:r w:rsidR="003807AD" w:rsidRPr="0058269D">
        <w:rPr>
          <w:rFonts w:ascii="Verdana" w:hAnsi="Verdana" w:cs="Verdana"/>
          <w:sz w:val="20"/>
          <w:szCs w:val="20"/>
          <w:lang w:val="es-CR"/>
        </w:rPr>
        <w:t>38</w:t>
      </w:r>
      <w:r w:rsidR="00021245" w:rsidRPr="0058269D">
        <w:rPr>
          <w:rFonts w:ascii="Verdana" w:hAnsi="Verdana" w:cs="Verdana"/>
          <w:sz w:val="20"/>
          <w:szCs w:val="20"/>
          <w:lang w:val="es-CR"/>
        </w:rPr>
        <w:t>)</w:t>
      </w:r>
      <w:r w:rsidRPr="0058269D">
        <w:rPr>
          <w:rFonts w:ascii="Verdana" w:hAnsi="Verdana" w:cs="Verdana"/>
          <w:sz w:val="20"/>
          <w:szCs w:val="20"/>
          <w:lang w:val="es-CR"/>
        </w:rPr>
        <w:t xml:space="preserve">, urgencia </w:t>
      </w:r>
      <w:r w:rsidR="00021245" w:rsidRPr="0058269D">
        <w:rPr>
          <w:rFonts w:ascii="Verdana" w:hAnsi="Verdana" w:cs="Verdana"/>
          <w:sz w:val="20"/>
          <w:szCs w:val="20"/>
          <w:lang w:val="es-CR"/>
        </w:rPr>
        <w:t>(</w:t>
      </w:r>
      <w:r w:rsidR="00021245" w:rsidRPr="0058269D">
        <w:rPr>
          <w:rFonts w:ascii="Verdana" w:hAnsi="Verdana" w:cs="Verdana"/>
          <w:i/>
          <w:sz w:val="20"/>
          <w:szCs w:val="20"/>
          <w:lang w:val="es-CR"/>
        </w:rPr>
        <w:t>infra</w:t>
      </w:r>
      <w:r w:rsidR="00021245" w:rsidRPr="0058269D">
        <w:rPr>
          <w:rFonts w:ascii="Verdana" w:hAnsi="Verdana" w:cs="Verdana"/>
          <w:sz w:val="20"/>
          <w:szCs w:val="20"/>
          <w:lang w:val="es-CR"/>
        </w:rPr>
        <w:t xml:space="preserve"> Considerando </w:t>
      </w:r>
      <w:r w:rsidR="003807AD" w:rsidRPr="0058269D">
        <w:rPr>
          <w:rFonts w:ascii="Verdana" w:hAnsi="Verdana" w:cs="Verdana"/>
          <w:sz w:val="20"/>
          <w:szCs w:val="20"/>
          <w:lang w:val="es-CR"/>
        </w:rPr>
        <w:t>39</w:t>
      </w:r>
      <w:r w:rsidR="00021245" w:rsidRPr="0058269D">
        <w:rPr>
          <w:rFonts w:ascii="Verdana" w:hAnsi="Verdana" w:cs="Verdana"/>
          <w:sz w:val="20"/>
          <w:szCs w:val="20"/>
          <w:lang w:val="es-CR"/>
        </w:rPr>
        <w:t xml:space="preserve">) </w:t>
      </w:r>
      <w:r w:rsidRPr="0058269D">
        <w:rPr>
          <w:rFonts w:ascii="Verdana" w:hAnsi="Verdana" w:cs="Verdana"/>
          <w:sz w:val="20"/>
          <w:szCs w:val="20"/>
          <w:lang w:val="es-CR"/>
        </w:rPr>
        <w:t>e irreparabilidad del daño</w:t>
      </w:r>
      <w:r w:rsidR="00021245" w:rsidRPr="0058269D">
        <w:rPr>
          <w:rFonts w:ascii="Verdana" w:hAnsi="Verdana" w:cs="Verdana"/>
          <w:sz w:val="20"/>
          <w:szCs w:val="20"/>
          <w:lang w:val="es-CR"/>
        </w:rPr>
        <w:t xml:space="preserve"> (</w:t>
      </w:r>
      <w:r w:rsidR="00021245" w:rsidRPr="0058269D">
        <w:rPr>
          <w:rFonts w:ascii="Verdana" w:hAnsi="Verdana" w:cs="Verdana"/>
          <w:i/>
          <w:sz w:val="20"/>
          <w:szCs w:val="20"/>
          <w:lang w:val="es-CR"/>
        </w:rPr>
        <w:t xml:space="preserve">infra </w:t>
      </w:r>
      <w:r w:rsidR="00021245" w:rsidRPr="0058269D">
        <w:rPr>
          <w:rFonts w:ascii="Verdana" w:hAnsi="Verdana" w:cs="Verdana"/>
          <w:sz w:val="20"/>
          <w:szCs w:val="20"/>
          <w:lang w:val="es-CR"/>
        </w:rPr>
        <w:t xml:space="preserve">Considerando </w:t>
      </w:r>
      <w:r w:rsidR="003807AD" w:rsidRPr="0058269D">
        <w:rPr>
          <w:rFonts w:ascii="Verdana" w:hAnsi="Verdana" w:cs="Verdana"/>
          <w:sz w:val="20"/>
          <w:szCs w:val="20"/>
          <w:lang w:val="es-CR"/>
        </w:rPr>
        <w:t>40</w:t>
      </w:r>
      <w:r w:rsidR="00021245" w:rsidRPr="0058269D">
        <w:rPr>
          <w:rFonts w:ascii="Verdana" w:hAnsi="Verdana" w:cs="Verdana"/>
          <w:sz w:val="20"/>
          <w:szCs w:val="20"/>
          <w:lang w:val="es-CR"/>
        </w:rPr>
        <w:t>)</w:t>
      </w:r>
      <w:r w:rsidRPr="0058269D">
        <w:rPr>
          <w:rFonts w:ascii="Verdana" w:hAnsi="Verdana" w:cs="Verdana"/>
          <w:sz w:val="20"/>
          <w:szCs w:val="20"/>
          <w:lang w:val="es-CR"/>
        </w:rPr>
        <w:t xml:space="preserve">, </w:t>
      </w:r>
      <w:r w:rsidR="00021245" w:rsidRPr="0058269D">
        <w:rPr>
          <w:rFonts w:ascii="Verdana" w:hAnsi="Verdana" w:cs="Verdana"/>
          <w:sz w:val="20"/>
          <w:szCs w:val="20"/>
          <w:lang w:val="es-CR"/>
        </w:rPr>
        <w:t>así como otras objeciones efectuadas por el Perú (</w:t>
      </w:r>
      <w:r w:rsidR="00021245" w:rsidRPr="0058269D">
        <w:rPr>
          <w:rFonts w:ascii="Verdana" w:hAnsi="Verdana" w:cs="Verdana"/>
          <w:i/>
          <w:sz w:val="20"/>
          <w:szCs w:val="20"/>
          <w:lang w:val="es-CR"/>
        </w:rPr>
        <w:t>infra</w:t>
      </w:r>
      <w:r w:rsidR="00021245" w:rsidRPr="0058269D">
        <w:rPr>
          <w:rFonts w:ascii="Verdana" w:hAnsi="Verdana" w:cs="Verdana"/>
          <w:sz w:val="20"/>
          <w:szCs w:val="20"/>
          <w:lang w:val="es-CR"/>
        </w:rPr>
        <w:t xml:space="preserve"> Considerando </w:t>
      </w:r>
      <w:r w:rsidR="003807AD" w:rsidRPr="0058269D">
        <w:rPr>
          <w:rFonts w:ascii="Verdana" w:hAnsi="Verdana" w:cs="Verdana"/>
          <w:sz w:val="20"/>
          <w:szCs w:val="20"/>
          <w:lang w:val="es-CR"/>
        </w:rPr>
        <w:t>41</w:t>
      </w:r>
      <w:r w:rsidR="00021245" w:rsidRPr="0058269D">
        <w:rPr>
          <w:rFonts w:ascii="Verdana" w:hAnsi="Verdana" w:cs="Verdana"/>
          <w:sz w:val="20"/>
          <w:szCs w:val="20"/>
          <w:lang w:val="es-CR"/>
        </w:rPr>
        <w:t>)</w:t>
      </w:r>
      <w:r w:rsidRPr="0058269D">
        <w:rPr>
          <w:rFonts w:ascii="Verdana" w:hAnsi="Verdana" w:cs="Verdana"/>
          <w:sz w:val="20"/>
          <w:szCs w:val="20"/>
          <w:lang w:val="es-CR"/>
        </w:rPr>
        <w:t>.</w:t>
      </w:r>
      <w:r w:rsidRPr="00EF1C24">
        <w:rPr>
          <w:rFonts w:ascii="Verdana" w:hAnsi="Verdana" w:cs="Verdana"/>
          <w:sz w:val="20"/>
          <w:szCs w:val="20"/>
          <w:lang w:val="es-CR"/>
        </w:rPr>
        <w:t xml:space="preserve"> </w:t>
      </w:r>
    </w:p>
    <w:p w14:paraId="688226DC" w14:textId="77777777" w:rsidR="00D71990" w:rsidRPr="00D71990" w:rsidRDefault="00D71990" w:rsidP="00D71990">
      <w:pPr>
        <w:pStyle w:val="ListParagraph"/>
        <w:rPr>
          <w:rFonts w:ascii="Verdana" w:hAnsi="Verdana" w:cs="Verdana"/>
          <w:sz w:val="20"/>
          <w:szCs w:val="20"/>
          <w:lang w:val="es-CR"/>
        </w:rPr>
      </w:pPr>
    </w:p>
    <w:p w14:paraId="68D81D7F" w14:textId="75E184AE" w:rsidR="00184EB9" w:rsidRPr="00184EB9" w:rsidRDefault="00D71990" w:rsidP="007C15A1">
      <w:pPr>
        <w:pStyle w:val="ListParagraph"/>
        <w:numPr>
          <w:ilvl w:val="0"/>
          <w:numId w:val="3"/>
        </w:numPr>
        <w:spacing w:after="0" w:line="240" w:lineRule="auto"/>
        <w:ind w:left="0" w:firstLine="0"/>
        <w:contextualSpacing w:val="0"/>
        <w:jc w:val="both"/>
        <w:rPr>
          <w:rFonts w:ascii="Verdana" w:hAnsi="Verdana" w:cs="Verdana"/>
          <w:sz w:val="20"/>
          <w:szCs w:val="20"/>
          <w:lang w:val="es-CO"/>
        </w:rPr>
      </w:pPr>
      <w:r>
        <w:rPr>
          <w:rFonts w:ascii="Verdana" w:hAnsi="Verdana" w:cs="Verdana"/>
          <w:sz w:val="20"/>
          <w:szCs w:val="20"/>
          <w:lang w:val="es-CR"/>
        </w:rPr>
        <w:t xml:space="preserve">Previo a valorar que se configure una </w:t>
      </w:r>
      <w:r w:rsidR="000C0AA7" w:rsidRPr="0058269D">
        <w:rPr>
          <w:rFonts w:ascii="Verdana" w:hAnsi="Verdana" w:cs="Verdana"/>
          <w:sz w:val="20"/>
          <w:szCs w:val="20"/>
          <w:lang w:val="es-CR"/>
        </w:rPr>
        <w:t>relación entre el objeto del presente caso con la solicitud de medidas provisionales formulada</w:t>
      </w:r>
      <w:r w:rsidR="000C0AA7">
        <w:rPr>
          <w:rFonts w:ascii="Verdana" w:hAnsi="Verdana" w:cs="Verdana"/>
          <w:sz w:val="20"/>
          <w:szCs w:val="20"/>
          <w:lang w:val="es-CR"/>
        </w:rPr>
        <w:t>,</w:t>
      </w:r>
      <w:r w:rsidR="000C0AA7">
        <w:rPr>
          <w:rFonts w:ascii="Verdana" w:hAnsi="Verdana" w:cs="Verdana"/>
          <w:sz w:val="20"/>
          <w:szCs w:val="20"/>
          <w:lang w:val="es-CO"/>
        </w:rPr>
        <w:t xml:space="preserve"> </w:t>
      </w:r>
      <w:r w:rsidR="00EF1C24">
        <w:rPr>
          <w:rFonts w:ascii="Verdana" w:hAnsi="Verdana" w:cs="Verdana"/>
          <w:sz w:val="20"/>
          <w:szCs w:val="20"/>
          <w:lang w:val="es-CO"/>
        </w:rPr>
        <w:t xml:space="preserve">se efectuarán </w:t>
      </w:r>
      <w:r>
        <w:rPr>
          <w:rFonts w:ascii="Verdana" w:hAnsi="Verdana" w:cs="Verdana"/>
          <w:sz w:val="20"/>
          <w:szCs w:val="20"/>
          <w:lang w:val="es-CR"/>
        </w:rPr>
        <w:t xml:space="preserve">primero </w:t>
      </w:r>
      <w:r w:rsidR="00EF1C24">
        <w:rPr>
          <w:rFonts w:ascii="Verdana" w:hAnsi="Verdana" w:cs="Verdana"/>
          <w:sz w:val="20"/>
          <w:szCs w:val="20"/>
          <w:lang w:val="es-CR"/>
        </w:rPr>
        <w:t xml:space="preserve">consideraciones respecto </w:t>
      </w:r>
      <w:r>
        <w:rPr>
          <w:rFonts w:ascii="Verdana" w:hAnsi="Verdana" w:cs="Verdana"/>
          <w:sz w:val="20"/>
          <w:szCs w:val="20"/>
          <w:lang w:val="es-CR"/>
        </w:rPr>
        <w:t xml:space="preserve">al contenido de las decisiones emitidas por el Tribunal Constitucional </w:t>
      </w:r>
      <w:r w:rsidR="00EF1C24">
        <w:rPr>
          <w:rFonts w:ascii="Verdana" w:hAnsi="Verdana" w:cs="Verdana"/>
          <w:sz w:val="20"/>
          <w:szCs w:val="20"/>
          <w:lang w:val="es-CR"/>
        </w:rPr>
        <w:t xml:space="preserve">sobre </w:t>
      </w:r>
      <w:r>
        <w:rPr>
          <w:rFonts w:ascii="Verdana" w:hAnsi="Verdana" w:cs="Verdana"/>
          <w:sz w:val="20"/>
          <w:szCs w:val="20"/>
          <w:lang w:val="es-CR"/>
        </w:rPr>
        <w:t xml:space="preserve">recursos presentados en relación con el proceso penal de los hechos ocurridos en el establecimiento penal </w:t>
      </w:r>
      <w:r w:rsidR="00053D7F">
        <w:rPr>
          <w:rFonts w:ascii="Verdana" w:hAnsi="Verdana" w:cs="Verdana"/>
          <w:sz w:val="20"/>
          <w:szCs w:val="20"/>
          <w:lang w:val="es-CR"/>
        </w:rPr>
        <w:t>“</w:t>
      </w:r>
      <w:r>
        <w:rPr>
          <w:rFonts w:ascii="Verdana" w:hAnsi="Verdana" w:cs="Verdana"/>
          <w:sz w:val="20"/>
          <w:szCs w:val="20"/>
          <w:lang w:val="es-CR"/>
        </w:rPr>
        <w:t>El Frontón</w:t>
      </w:r>
      <w:r w:rsidR="00053D7F">
        <w:rPr>
          <w:rFonts w:ascii="Verdana" w:hAnsi="Verdana" w:cs="Verdana"/>
          <w:sz w:val="20"/>
          <w:szCs w:val="20"/>
          <w:lang w:val="es-CR"/>
        </w:rPr>
        <w:t>”</w:t>
      </w:r>
      <w:r>
        <w:rPr>
          <w:rFonts w:ascii="Verdana" w:hAnsi="Verdana" w:cs="Verdana"/>
          <w:sz w:val="20"/>
          <w:szCs w:val="20"/>
          <w:lang w:val="es-CR"/>
        </w:rPr>
        <w:t xml:space="preserve">, en los </w:t>
      </w:r>
      <w:r w:rsidRPr="00310307">
        <w:rPr>
          <w:rFonts w:ascii="Verdana" w:hAnsi="Verdana" w:cs="Verdana"/>
          <w:sz w:val="20"/>
          <w:szCs w:val="20"/>
          <w:lang w:val="es-CR"/>
        </w:rPr>
        <w:t xml:space="preserve">que </w:t>
      </w:r>
      <w:r w:rsidR="003807AD" w:rsidRPr="00310307">
        <w:rPr>
          <w:rFonts w:ascii="Verdana" w:hAnsi="Verdana" w:cs="Verdana"/>
          <w:sz w:val="20"/>
          <w:szCs w:val="20"/>
          <w:lang w:val="es-CR"/>
        </w:rPr>
        <w:t xml:space="preserve">fueron </w:t>
      </w:r>
      <w:r w:rsidRPr="00310307">
        <w:rPr>
          <w:rFonts w:ascii="Verdana" w:hAnsi="Verdana" w:cs="Verdana"/>
          <w:sz w:val="20"/>
          <w:szCs w:val="20"/>
          <w:lang w:val="es-CR"/>
        </w:rPr>
        <w:t>privad</w:t>
      </w:r>
      <w:r w:rsidR="003807AD" w:rsidRPr="00310307">
        <w:rPr>
          <w:rFonts w:ascii="Verdana" w:hAnsi="Verdana" w:cs="Verdana"/>
          <w:sz w:val="20"/>
          <w:szCs w:val="20"/>
          <w:lang w:val="es-CR"/>
        </w:rPr>
        <w:t>a</w:t>
      </w:r>
      <w:r w:rsidRPr="00310307">
        <w:rPr>
          <w:rFonts w:ascii="Verdana" w:hAnsi="Verdana" w:cs="Verdana"/>
          <w:sz w:val="20"/>
          <w:szCs w:val="20"/>
          <w:lang w:val="es-CR"/>
        </w:rPr>
        <w:t>s de</w:t>
      </w:r>
      <w:r>
        <w:rPr>
          <w:rFonts w:ascii="Verdana" w:hAnsi="Verdana" w:cs="Verdana"/>
          <w:sz w:val="20"/>
          <w:szCs w:val="20"/>
          <w:lang w:val="es-CR"/>
        </w:rPr>
        <w:t xml:space="preserve"> la vida las víctimas del presente caso</w:t>
      </w:r>
      <w:r w:rsidR="00184EB9">
        <w:rPr>
          <w:rFonts w:ascii="Verdana" w:hAnsi="Verdana" w:cs="Verdana"/>
          <w:sz w:val="20"/>
          <w:szCs w:val="20"/>
          <w:lang w:val="es-CR"/>
        </w:rPr>
        <w:t xml:space="preserve"> (</w:t>
      </w:r>
      <w:r w:rsidR="00184EB9" w:rsidRPr="009E6F36">
        <w:rPr>
          <w:rFonts w:ascii="Verdana" w:hAnsi="Verdana" w:cs="Verdana"/>
          <w:i/>
          <w:sz w:val="20"/>
          <w:szCs w:val="20"/>
          <w:lang w:val="es-CR"/>
        </w:rPr>
        <w:t xml:space="preserve">infra </w:t>
      </w:r>
      <w:r w:rsidR="00184EB9" w:rsidRPr="0058269D">
        <w:rPr>
          <w:rFonts w:ascii="Verdana" w:hAnsi="Verdana" w:cs="Verdana"/>
          <w:sz w:val="20"/>
          <w:szCs w:val="20"/>
          <w:lang w:val="es-CR"/>
        </w:rPr>
        <w:t xml:space="preserve">Considerando </w:t>
      </w:r>
      <w:r w:rsidR="003807AD" w:rsidRPr="0058269D">
        <w:rPr>
          <w:rFonts w:ascii="Verdana" w:hAnsi="Verdana" w:cs="Verdana"/>
          <w:sz w:val="20"/>
          <w:szCs w:val="20"/>
          <w:lang w:val="es-CR"/>
        </w:rPr>
        <w:t>21</w:t>
      </w:r>
      <w:r w:rsidR="00184EB9" w:rsidRPr="0058269D">
        <w:rPr>
          <w:rFonts w:ascii="Verdana" w:hAnsi="Verdana" w:cs="Verdana"/>
          <w:sz w:val="20"/>
          <w:szCs w:val="20"/>
          <w:lang w:val="es-CR"/>
        </w:rPr>
        <w:t>)</w:t>
      </w:r>
      <w:r w:rsidRPr="0058269D">
        <w:rPr>
          <w:rFonts w:ascii="Verdana" w:hAnsi="Verdana" w:cs="Verdana"/>
          <w:sz w:val="20"/>
          <w:szCs w:val="20"/>
          <w:lang w:val="es-CR"/>
        </w:rPr>
        <w:t xml:space="preserve">. </w:t>
      </w:r>
      <w:r w:rsidR="00184EB9" w:rsidRPr="0058269D">
        <w:rPr>
          <w:rFonts w:ascii="Verdana" w:hAnsi="Verdana" w:cs="Verdana"/>
          <w:sz w:val="20"/>
          <w:szCs w:val="20"/>
          <w:lang w:val="es-CR"/>
        </w:rPr>
        <w:t>Luego se referirá brevemente al mencionado proceso penal que se encuentra en trámite en cumplimiento de la obligación estatal de investigar, juzgar y, de ser el caso, sancionar ordenada en la Sentencia del 2000 (</w:t>
      </w:r>
      <w:r w:rsidR="00184EB9" w:rsidRPr="0058269D">
        <w:rPr>
          <w:rFonts w:ascii="Verdana" w:hAnsi="Verdana" w:cs="Verdana"/>
          <w:i/>
          <w:sz w:val="20"/>
          <w:szCs w:val="20"/>
          <w:lang w:val="es-CR"/>
        </w:rPr>
        <w:t>infra</w:t>
      </w:r>
      <w:r w:rsidR="00184EB9" w:rsidRPr="0058269D">
        <w:rPr>
          <w:rFonts w:ascii="Verdana" w:hAnsi="Verdana" w:cs="Verdana"/>
          <w:sz w:val="20"/>
          <w:szCs w:val="20"/>
          <w:lang w:val="es-CR"/>
        </w:rPr>
        <w:t xml:space="preserve"> Considerandos </w:t>
      </w:r>
      <w:r w:rsidR="003807AD" w:rsidRPr="0058269D">
        <w:rPr>
          <w:rFonts w:ascii="Verdana" w:hAnsi="Verdana" w:cs="Verdana"/>
          <w:sz w:val="20"/>
          <w:szCs w:val="20"/>
          <w:lang w:val="es-CR"/>
        </w:rPr>
        <w:t>22</w:t>
      </w:r>
      <w:r w:rsidR="00184EB9" w:rsidRPr="0058269D">
        <w:rPr>
          <w:rFonts w:ascii="Verdana" w:hAnsi="Verdana" w:cs="Verdana"/>
          <w:sz w:val="20"/>
          <w:szCs w:val="20"/>
          <w:lang w:val="es-CR"/>
        </w:rPr>
        <w:t xml:space="preserve"> y </w:t>
      </w:r>
      <w:r w:rsidR="003807AD" w:rsidRPr="0058269D">
        <w:rPr>
          <w:rFonts w:ascii="Verdana" w:hAnsi="Verdana" w:cs="Verdana"/>
          <w:sz w:val="20"/>
          <w:szCs w:val="20"/>
          <w:lang w:val="es-CR"/>
        </w:rPr>
        <w:t>23</w:t>
      </w:r>
      <w:r w:rsidR="00184EB9" w:rsidRPr="0058269D">
        <w:rPr>
          <w:rFonts w:ascii="Verdana" w:hAnsi="Verdana" w:cs="Verdana"/>
          <w:sz w:val="20"/>
          <w:szCs w:val="20"/>
          <w:lang w:val="es-CR"/>
        </w:rPr>
        <w:t>), para proceder a pronunciarse respecto de dicha relación (</w:t>
      </w:r>
      <w:r w:rsidR="00184EB9" w:rsidRPr="0058269D">
        <w:rPr>
          <w:rFonts w:ascii="Verdana" w:hAnsi="Verdana" w:cs="Verdana"/>
          <w:i/>
          <w:sz w:val="20"/>
          <w:szCs w:val="20"/>
          <w:lang w:val="es-CR"/>
        </w:rPr>
        <w:t>infra</w:t>
      </w:r>
      <w:r w:rsidR="00184EB9" w:rsidRPr="0058269D">
        <w:rPr>
          <w:rFonts w:ascii="Verdana" w:hAnsi="Verdana" w:cs="Verdana"/>
          <w:sz w:val="20"/>
          <w:szCs w:val="20"/>
          <w:lang w:val="es-CR"/>
        </w:rPr>
        <w:t xml:space="preserve"> Considerandos </w:t>
      </w:r>
      <w:r w:rsidR="003807AD" w:rsidRPr="0058269D">
        <w:rPr>
          <w:rFonts w:ascii="Verdana" w:hAnsi="Verdana" w:cs="Verdana"/>
          <w:sz w:val="20"/>
          <w:szCs w:val="20"/>
          <w:lang w:val="es-CR"/>
        </w:rPr>
        <w:t>24</w:t>
      </w:r>
      <w:r w:rsidR="00184EB9" w:rsidRPr="0058269D">
        <w:rPr>
          <w:rFonts w:ascii="Verdana" w:hAnsi="Verdana" w:cs="Verdana"/>
          <w:sz w:val="20"/>
          <w:szCs w:val="20"/>
          <w:lang w:val="es-CR"/>
        </w:rPr>
        <w:t xml:space="preserve"> a </w:t>
      </w:r>
      <w:r w:rsidR="003807AD" w:rsidRPr="0058269D">
        <w:rPr>
          <w:rFonts w:ascii="Verdana" w:hAnsi="Verdana" w:cs="Verdana"/>
          <w:sz w:val="20"/>
          <w:szCs w:val="20"/>
          <w:lang w:val="es-CR"/>
        </w:rPr>
        <w:t>30</w:t>
      </w:r>
      <w:r w:rsidR="00184EB9" w:rsidRPr="0058269D">
        <w:rPr>
          <w:rFonts w:ascii="Verdana" w:hAnsi="Verdana" w:cs="Verdana"/>
          <w:sz w:val="20"/>
          <w:szCs w:val="20"/>
          <w:lang w:val="es-CR"/>
        </w:rPr>
        <w:t>).</w:t>
      </w:r>
      <w:r w:rsidR="009E6F36">
        <w:rPr>
          <w:rFonts w:ascii="Verdana" w:hAnsi="Verdana" w:cs="Verdana"/>
          <w:sz w:val="20"/>
          <w:szCs w:val="20"/>
          <w:lang w:val="es-CR"/>
        </w:rPr>
        <w:t xml:space="preserve"> </w:t>
      </w:r>
    </w:p>
    <w:p w14:paraId="3C410C20" w14:textId="77777777" w:rsidR="005D65DE" w:rsidRPr="00184EB9" w:rsidRDefault="005D65DE" w:rsidP="00184EB9">
      <w:pPr>
        <w:pStyle w:val="ListParagraph"/>
        <w:rPr>
          <w:rFonts w:ascii="Verdana" w:hAnsi="Verdana" w:cs="Verdana"/>
          <w:sz w:val="20"/>
          <w:szCs w:val="20"/>
          <w:lang w:val="es-CR"/>
        </w:rPr>
      </w:pPr>
    </w:p>
    <w:p w14:paraId="37984AD2" w14:textId="50AB2CD4" w:rsidR="00D71990" w:rsidRPr="00D71990" w:rsidRDefault="00184EB9" w:rsidP="007C15A1">
      <w:pPr>
        <w:pStyle w:val="ListParagraph"/>
        <w:numPr>
          <w:ilvl w:val="0"/>
          <w:numId w:val="3"/>
        </w:numPr>
        <w:spacing w:after="0" w:line="240" w:lineRule="auto"/>
        <w:ind w:left="0" w:firstLine="0"/>
        <w:contextualSpacing w:val="0"/>
        <w:jc w:val="both"/>
        <w:rPr>
          <w:rFonts w:ascii="Verdana" w:hAnsi="Verdana" w:cs="Verdana"/>
          <w:sz w:val="20"/>
          <w:szCs w:val="20"/>
          <w:lang w:val="es-CO"/>
        </w:rPr>
      </w:pPr>
      <w:r>
        <w:rPr>
          <w:rFonts w:ascii="Verdana" w:hAnsi="Verdana" w:cs="Verdana"/>
          <w:sz w:val="20"/>
          <w:szCs w:val="20"/>
          <w:lang w:val="es-CR"/>
        </w:rPr>
        <w:t xml:space="preserve">El Tribunal </w:t>
      </w:r>
      <w:r w:rsidR="00D71990" w:rsidRPr="00D71990">
        <w:rPr>
          <w:rFonts w:ascii="Verdana" w:hAnsi="Verdana" w:cs="Verdana"/>
          <w:sz w:val="20"/>
          <w:szCs w:val="20"/>
          <w:lang w:val="es-CR"/>
        </w:rPr>
        <w:t>constata que las decisiones de abril de 2016 y marzo de 2017</w:t>
      </w:r>
      <w:r w:rsidR="00D71990" w:rsidRPr="000A2DF9">
        <w:rPr>
          <w:rStyle w:val="FootnoteReference"/>
          <w:rFonts w:ascii="Verdana" w:hAnsi="Verdana" w:cs="Verdana"/>
          <w:sz w:val="20"/>
          <w:szCs w:val="20"/>
          <w:lang w:val="es-CR"/>
        </w:rPr>
        <w:footnoteReference w:id="25"/>
      </w:r>
      <w:r w:rsidR="00D71990" w:rsidRPr="00D71990">
        <w:rPr>
          <w:rFonts w:ascii="Verdana" w:hAnsi="Verdana" w:cs="Verdana"/>
          <w:sz w:val="20"/>
          <w:szCs w:val="20"/>
          <w:lang w:val="es-CR"/>
        </w:rPr>
        <w:t xml:space="preserve">, por las cuales están siendo objeto de acusación ante el Congreso los referidos cuatro magistrados del </w:t>
      </w:r>
      <w:r w:rsidR="00D71990" w:rsidRPr="00D71990">
        <w:rPr>
          <w:rFonts w:ascii="Verdana" w:hAnsi="Verdana" w:cs="Verdana"/>
          <w:sz w:val="20"/>
          <w:szCs w:val="20"/>
          <w:lang w:val="es-CR"/>
        </w:rPr>
        <w:lastRenderedPageBreak/>
        <w:t>Tribunal Constitucional, se limitan a corroborar y fundamentar si hubo o no un error en el conteo de votos respecto a lo resuelto en el punto resolutivo primero y fundamento jurídico 68 de la sentencia emitida por el propio Tribunal en el 2013</w:t>
      </w:r>
      <w:r w:rsidR="00D71990" w:rsidRPr="000A2DF9">
        <w:rPr>
          <w:rStyle w:val="FootnoteReference"/>
          <w:rFonts w:ascii="Verdana" w:hAnsi="Verdana" w:cs="Verdana"/>
          <w:sz w:val="20"/>
          <w:szCs w:val="20"/>
          <w:lang w:val="es-CR"/>
        </w:rPr>
        <w:footnoteReference w:id="26"/>
      </w:r>
      <w:r w:rsidR="00D71990" w:rsidRPr="00D71990">
        <w:rPr>
          <w:rFonts w:ascii="Verdana" w:hAnsi="Verdana" w:cs="Verdana"/>
          <w:sz w:val="20"/>
          <w:szCs w:val="20"/>
          <w:lang w:val="es-CR"/>
        </w:rPr>
        <w:t xml:space="preserve">, que resolvió un recurso de agravio constitucional presentado a favor de varios acusados en el proceso penal relativo a los hechos del </w:t>
      </w:r>
      <w:r w:rsidR="00053D7F">
        <w:rPr>
          <w:rFonts w:ascii="Verdana" w:hAnsi="Verdana" w:cs="Verdana"/>
          <w:sz w:val="20"/>
          <w:szCs w:val="20"/>
          <w:lang w:val="es-CR"/>
        </w:rPr>
        <w:t>establecimiento penal</w:t>
      </w:r>
      <w:r w:rsidR="00D71990" w:rsidRPr="00D71990">
        <w:rPr>
          <w:rFonts w:ascii="Verdana" w:hAnsi="Verdana" w:cs="Verdana"/>
          <w:sz w:val="20"/>
          <w:szCs w:val="20"/>
          <w:lang w:val="es-CR"/>
        </w:rPr>
        <w:t xml:space="preserve"> “El Frontón”</w:t>
      </w:r>
      <w:r w:rsidR="00D71990" w:rsidRPr="000A2DF9">
        <w:rPr>
          <w:rStyle w:val="FootnoteReference"/>
          <w:rFonts w:ascii="Verdana" w:hAnsi="Verdana"/>
          <w:sz w:val="20"/>
          <w:szCs w:val="20"/>
          <w:lang w:val="es-CR"/>
        </w:rPr>
        <w:footnoteReference w:id="27"/>
      </w:r>
      <w:r w:rsidR="00D71990" w:rsidRPr="00D71990">
        <w:rPr>
          <w:rFonts w:ascii="Verdana" w:hAnsi="Verdana" w:cs="Verdana"/>
          <w:sz w:val="20"/>
          <w:szCs w:val="20"/>
          <w:lang w:val="es-CR"/>
        </w:rPr>
        <w:t>. La decisión del Tribunal Constitucional del 2016, confirmada mediante decisión del 2017, se pronuncia sobre solicitudes planteadas en el 2013 a la composición anterior del Tribunal Constitucional; es decir, la que adoptó la sentencia ese año, pero no emitió una decisión sobre dichas solicitudes. Las referidas decisiones de 2016 y 2017 resuelven “subsanar el error material de la sentencia de autos, consistente en haber incluido indebidamente el fundamento jurídico 68 y el punto 1 de la parte resolutiva</w:t>
      </w:r>
      <w:r w:rsidR="003807AD">
        <w:rPr>
          <w:rFonts w:ascii="Verdana" w:hAnsi="Verdana" w:cs="Verdana"/>
          <w:sz w:val="20"/>
          <w:szCs w:val="20"/>
          <w:lang w:val="es-CR"/>
        </w:rPr>
        <w:t xml:space="preserve"> </w:t>
      </w:r>
      <w:r w:rsidR="00D71990" w:rsidRPr="00D71990">
        <w:rPr>
          <w:rFonts w:ascii="Verdana" w:hAnsi="Verdana" w:cs="Verdana"/>
          <w:sz w:val="20"/>
          <w:szCs w:val="20"/>
          <w:lang w:val="es-CR"/>
        </w:rPr>
        <w:t xml:space="preserve">[…] y por ende, </w:t>
      </w:r>
      <w:r w:rsidR="003807AD">
        <w:rPr>
          <w:rFonts w:ascii="Verdana" w:hAnsi="Verdana" w:cs="Verdana"/>
          <w:sz w:val="20"/>
          <w:szCs w:val="20"/>
          <w:lang w:val="es-CR"/>
        </w:rPr>
        <w:t xml:space="preserve">[resuelve] </w:t>
      </w:r>
      <w:r w:rsidR="00D71990" w:rsidRPr="00D71990">
        <w:rPr>
          <w:rFonts w:ascii="Verdana" w:hAnsi="Verdana" w:cs="Verdana"/>
          <w:sz w:val="20"/>
          <w:szCs w:val="20"/>
          <w:lang w:val="es-CR"/>
        </w:rPr>
        <w:t xml:space="preserve">tener[los] por no incorporados […]”. Dentro de los fundamentos para adoptar tal decisión, se hace referencia a los argumentos contenidos en el voto del magistrado Vergara Gotteli y se considera que el mismo no estaba de acuerdo con lo incorporado en el fundamento 68 y en el punto 1 de la parte resolutoria de la sentencia de 2013. Se determina que la conclusión relativa a que los hechos delictivos no pueden ser calificados como crímenes de lesa humanidad, “carecía de la cantidad suficiente de votos para conformar una decisión válida”, debido a que ello no se ajustaba “a lo dispuesto en el artículo 10 del Reglamento Normativo del Tribunal Constitucional” relativo al requerimiento de una mayoría simple de votos. Con posterioridad a la decisión de marzo de 2017, la defensa legal de los imputados en la causa penal planteó un recurso de reposición ante el Tribunal Constitucional, el cual se encuentra pendiente de pronunciamiento. </w:t>
      </w:r>
    </w:p>
    <w:p w14:paraId="57BB3BFD" w14:textId="77777777" w:rsidR="0095314A" w:rsidRPr="0095314A" w:rsidRDefault="0095314A" w:rsidP="0095314A">
      <w:pPr>
        <w:spacing w:after="0" w:line="240" w:lineRule="auto"/>
        <w:jc w:val="both"/>
        <w:rPr>
          <w:rFonts w:ascii="Verdana" w:hAnsi="Verdana"/>
          <w:sz w:val="20"/>
          <w:szCs w:val="20"/>
        </w:rPr>
      </w:pPr>
    </w:p>
    <w:p w14:paraId="0A86E53A" w14:textId="750EE3F0" w:rsidR="00AB381D" w:rsidRPr="006A0776" w:rsidRDefault="0095314A" w:rsidP="007C15A1">
      <w:pPr>
        <w:pStyle w:val="ListParagraph"/>
        <w:numPr>
          <w:ilvl w:val="0"/>
          <w:numId w:val="3"/>
        </w:numPr>
        <w:spacing w:after="0" w:line="240" w:lineRule="auto"/>
        <w:ind w:left="0" w:firstLine="0"/>
        <w:contextualSpacing w:val="0"/>
        <w:jc w:val="both"/>
        <w:rPr>
          <w:rFonts w:ascii="Verdana" w:hAnsi="Verdana" w:cs="Verdana"/>
          <w:sz w:val="20"/>
          <w:szCs w:val="20"/>
          <w:lang w:val="es-CO"/>
        </w:rPr>
      </w:pPr>
      <w:r>
        <w:rPr>
          <w:rFonts w:ascii="Verdana" w:hAnsi="Verdana"/>
          <w:sz w:val="20"/>
          <w:szCs w:val="20"/>
          <w:lang w:val="es-CR"/>
        </w:rPr>
        <w:t>P</w:t>
      </w:r>
      <w:r w:rsidR="006B6846">
        <w:rPr>
          <w:rFonts w:ascii="Verdana" w:hAnsi="Verdana"/>
          <w:sz w:val="20"/>
          <w:szCs w:val="20"/>
          <w:lang w:val="es-CR"/>
        </w:rPr>
        <w:t>ara dar cumplimiento a la</w:t>
      </w:r>
      <w:r>
        <w:rPr>
          <w:rFonts w:ascii="Verdana" w:hAnsi="Verdana"/>
          <w:sz w:val="20"/>
          <w:szCs w:val="20"/>
          <w:lang w:val="es-CR"/>
        </w:rPr>
        <w:t xml:space="preserve"> obligación de investigar, juzgar y, en su caso sancionar</w:t>
      </w:r>
      <w:r w:rsidR="006B6846">
        <w:rPr>
          <w:rFonts w:ascii="Verdana" w:hAnsi="Verdana"/>
          <w:sz w:val="20"/>
          <w:szCs w:val="20"/>
          <w:lang w:val="es-CR"/>
        </w:rPr>
        <w:t xml:space="preserve">, </w:t>
      </w:r>
      <w:r>
        <w:rPr>
          <w:rFonts w:ascii="Verdana" w:hAnsi="Verdana"/>
          <w:sz w:val="20"/>
          <w:szCs w:val="20"/>
          <w:lang w:val="es-CR"/>
        </w:rPr>
        <w:t xml:space="preserve">con posterioridad a la Sentencia, </w:t>
      </w:r>
      <w:r w:rsidR="006B6846">
        <w:rPr>
          <w:rFonts w:ascii="Verdana" w:hAnsi="Verdana"/>
          <w:sz w:val="20"/>
          <w:szCs w:val="20"/>
          <w:lang w:val="es-CR"/>
        </w:rPr>
        <w:t>el Estado inici</w:t>
      </w:r>
      <w:r w:rsidR="002370D3">
        <w:rPr>
          <w:rFonts w:ascii="Verdana" w:hAnsi="Verdana"/>
          <w:sz w:val="20"/>
          <w:szCs w:val="20"/>
          <w:lang w:val="es-CR"/>
        </w:rPr>
        <w:t xml:space="preserve">ó </w:t>
      </w:r>
      <w:r w:rsidR="00C83830">
        <w:rPr>
          <w:rFonts w:ascii="Verdana" w:hAnsi="Verdana"/>
          <w:sz w:val="20"/>
          <w:szCs w:val="20"/>
          <w:lang w:val="es-CR"/>
        </w:rPr>
        <w:t>dos</w:t>
      </w:r>
      <w:r w:rsidR="006B6846">
        <w:rPr>
          <w:rFonts w:ascii="Verdana" w:hAnsi="Verdana"/>
          <w:sz w:val="20"/>
          <w:szCs w:val="20"/>
          <w:lang w:val="es-CR"/>
        </w:rPr>
        <w:t xml:space="preserve"> </w:t>
      </w:r>
      <w:r w:rsidR="002370D3">
        <w:rPr>
          <w:rFonts w:ascii="Verdana" w:hAnsi="Verdana"/>
          <w:sz w:val="20"/>
          <w:szCs w:val="20"/>
          <w:lang w:val="es-CR"/>
        </w:rPr>
        <w:t>procesos penales</w:t>
      </w:r>
      <w:r w:rsidR="006B6846">
        <w:rPr>
          <w:rFonts w:ascii="Verdana" w:hAnsi="Verdana"/>
          <w:sz w:val="20"/>
          <w:szCs w:val="20"/>
          <w:lang w:val="es-CR"/>
        </w:rPr>
        <w:t xml:space="preserve"> en la jurisdicción penal ordinaria: </w:t>
      </w:r>
    </w:p>
    <w:p w14:paraId="5C98E380" w14:textId="77777777" w:rsidR="006A0776" w:rsidRPr="0083014D" w:rsidRDefault="006A0776" w:rsidP="006A0776">
      <w:pPr>
        <w:pStyle w:val="ListParagraph"/>
        <w:spacing w:after="0" w:line="240" w:lineRule="auto"/>
        <w:ind w:left="0"/>
        <w:contextualSpacing w:val="0"/>
        <w:jc w:val="both"/>
        <w:rPr>
          <w:rFonts w:ascii="Verdana" w:hAnsi="Verdana" w:cs="Verdana"/>
          <w:sz w:val="20"/>
          <w:szCs w:val="20"/>
          <w:lang w:val="es-CO"/>
        </w:rPr>
      </w:pPr>
    </w:p>
    <w:p w14:paraId="54527230" w14:textId="5E214F03" w:rsidR="00AB381D" w:rsidRPr="0083014D" w:rsidRDefault="00C83830" w:rsidP="007C15A1">
      <w:pPr>
        <w:pStyle w:val="ListParagraph"/>
        <w:numPr>
          <w:ilvl w:val="0"/>
          <w:numId w:val="10"/>
        </w:numPr>
        <w:spacing w:after="0" w:line="240" w:lineRule="auto"/>
        <w:contextualSpacing w:val="0"/>
        <w:jc w:val="both"/>
        <w:rPr>
          <w:rFonts w:ascii="Verdana" w:hAnsi="Verdana" w:cs="Verdana"/>
          <w:sz w:val="19"/>
          <w:szCs w:val="19"/>
          <w:lang w:val="es-CO"/>
        </w:rPr>
      </w:pPr>
      <w:r w:rsidRPr="004B5305">
        <w:rPr>
          <w:rFonts w:ascii="Verdana" w:hAnsi="Verdana"/>
          <w:sz w:val="19"/>
          <w:szCs w:val="19"/>
          <w:lang w:val="es-CR"/>
        </w:rPr>
        <w:t>Expediente N° 125-04: este</w:t>
      </w:r>
      <w:r w:rsidRPr="00AB381D">
        <w:rPr>
          <w:rFonts w:ascii="Verdana" w:hAnsi="Verdana"/>
          <w:sz w:val="19"/>
          <w:szCs w:val="19"/>
          <w:lang w:val="es-CR"/>
        </w:rPr>
        <w:t xml:space="preserve"> proceso inició en agosto de 2002 y en el mismo se investigaron a 11 personas por los “delitos contra la vida, el cuerpo y la salud” en perjuicio de 112 personas, entre quienes se encontraban las víctimas del caso: el señor Durand y el señor Ugarte. </w:t>
      </w:r>
      <w:r w:rsidRPr="00C83830">
        <w:rPr>
          <w:rFonts w:ascii="Verdana" w:hAnsi="Verdana"/>
          <w:sz w:val="19"/>
          <w:szCs w:val="19"/>
          <w:lang w:val="es-CR"/>
        </w:rPr>
        <w:t xml:space="preserve">En febrero de 2007 se resolvió formalizar la </w:t>
      </w:r>
      <w:r w:rsidR="0083014D">
        <w:rPr>
          <w:rFonts w:ascii="Verdana" w:hAnsi="Verdana"/>
          <w:sz w:val="19"/>
          <w:szCs w:val="19"/>
          <w:lang w:val="es-CR"/>
        </w:rPr>
        <w:t>denuncia penal en dicho proceso,</w:t>
      </w:r>
      <w:r w:rsidR="00AB381D">
        <w:rPr>
          <w:rFonts w:ascii="Verdana" w:hAnsi="Verdana"/>
          <w:sz w:val="19"/>
          <w:szCs w:val="19"/>
          <w:lang w:val="es-CR"/>
        </w:rPr>
        <w:t xml:space="preserve"> y</w:t>
      </w:r>
    </w:p>
    <w:p w14:paraId="79F36FE1" w14:textId="72FC399A" w:rsidR="00C83830" w:rsidRPr="00C83830" w:rsidRDefault="00C83830" w:rsidP="007C15A1">
      <w:pPr>
        <w:pStyle w:val="ListParagraph"/>
        <w:numPr>
          <w:ilvl w:val="0"/>
          <w:numId w:val="10"/>
        </w:numPr>
        <w:spacing w:after="0" w:line="240" w:lineRule="auto"/>
        <w:contextualSpacing w:val="0"/>
        <w:jc w:val="both"/>
        <w:rPr>
          <w:rFonts w:ascii="Verdana" w:hAnsi="Verdana" w:cs="Verdana"/>
          <w:sz w:val="19"/>
          <w:szCs w:val="19"/>
          <w:lang w:val="es-CO"/>
        </w:rPr>
      </w:pPr>
      <w:r w:rsidRPr="00C83830">
        <w:rPr>
          <w:rFonts w:ascii="Verdana" w:hAnsi="Verdana"/>
          <w:sz w:val="19"/>
          <w:szCs w:val="19"/>
          <w:lang w:val="es-CR"/>
        </w:rPr>
        <w:t xml:space="preserve">Expediente N° 213-07: este proceso inició </w:t>
      </w:r>
      <w:r w:rsidR="005B6286">
        <w:rPr>
          <w:rFonts w:ascii="Verdana" w:hAnsi="Verdana"/>
          <w:sz w:val="19"/>
          <w:szCs w:val="19"/>
          <w:lang w:val="es-CR"/>
        </w:rPr>
        <w:t xml:space="preserve">en </w:t>
      </w:r>
      <w:r w:rsidRPr="00C83830">
        <w:rPr>
          <w:rFonts w:ascii="Verdana" w:hAnsi="Verdana"/>
          <w:sz w:val="19"/>
          <w:szCs w:val="19"/>
          <w:lang w:val="es-CR"/>
        </w:rPr>
        <w:t>noviembre de 2004 y en el mismo se investigaron a 24 personas por los “delitos contra la vida, el cuerpo y la salud” en perjuicio de 4 personas identificadas y otras por ser identificadas, que se encontraban listadas en protocolos de necropsia</w:t>
      </w:r>
      <w:r w:rsidR="005B6286">
        <w:rPr>
          <w:rFonts w:ascii="Verdana" w:hAnsi="Verdana"/>
          <w:sz w:val="19"/>
          <w:szCs w:val="19"/>
          <w:lang w:val="es-CR"/>
        </w:rPr>
        <w:t xml:space="preserve"> de los fallecidos en los hechos del</w:t>
      </w:r>
      <w:r w:rsidR="00F727B4">
        <w:rPr>
          <w:rFonts w:ascii="Verdana" w:hAnsi="Verdana"/>
          <w:sz w:val="19"/>
          <w:szCs w:val="19"/>
          <w:lang w:val="es-CR"/>
        </w:rPr>
        <w:t xml:space="preserve"> establecimiento</w:t>
      </w:r>
      <w:r w:rsidR="005B6286">
        <w:rPr>
          <w:rFonts w:ascii="Verdana" w:hAnsi="Verdana"/>
          <w:sz w:val="19"/>
          <w:szCs w:val="19"/>
          <w:lang w:val="es-CR"/>
        </w:rPr>
        <w:t xml:space="preserve"> penal </w:t>
      </w:r>
      <w:r w:rsidR="00F727B4">
        <w:rPr>
          <w:rFonts w:ascii="Verdana" w:hAnsi="Verdana"/>
          <w:sz w:val="19"/>
          <w:szCs w:val="19"/>
          <w:lang w:val="es-CR"/>
        </w:rPr>
        <w:t>“</w:t>
      </w:r>
      <w:r w:rsidR="005B6286">
        <w:rPr>
          <w:rFonts w:ascii="Verdana" w:hAnsi="Verdana"/>
          <w:sz w:val="19"/>
          <w:szCs w:val="19"/>
          <w:lang w:val="es-CR"/>
        </w:rPr>
        <w:t>El Frontón</w:t>
      </w:r>
      <w:r w:rsidR="00F727B4">
        <w:rPr>
          <w:rFonts w:ascii="Verdana" w:hAnsi="Verdana"/>
          <w:sz w:val="19"/>
          <w:szCs w:val="19"/>
          <w:lang w:val="es-CR"/>
        </w:rPr>
        <w:t>”</w:t>
      </w:r>
      <w:r w:rsidRPr="00C83830">
        <w:rPr>
          <w:rFonts w:ascii="Verdana" w:hAnsi="Verdana"/>
          <w:sz w:val="19"/>
          <w:szCs w:val="19"/>
          <w:lang w:val="es-CR"/>
        </w:rPr>
        <w:t>. En dicha investigación no se hizo referencia a las víctimas Durand y Ugarte. En este proceso</w:t>
      </w:r>
      <w:r w:rsidR="000C5ACD">
        <w:rPr>
          <w:rFonts w:ascii="Verdana" w:hAnsi="Verdana"/>
          <w:sz w:val="19"/>
          <w:szCs w:val="19"/>
          <w:lang w:val="es-CR"/>
        </w:rPr>
        <w:t xml:space="preserve">, el Cuarto Juzgado Penal Supraprovincial </w:t>
      </w:r>
      <w:r w:rsidRPr="00C83830">
        <w:rPr>
          <w:rFonts w:ascii="Verdana" w:hAnsi="Verdana"/>
          <w:sz w:val="19"/>
          <w:szCs w:val="19"/>
          <w:lang w:val="es-CR"/>
        </w:rPr>
        <w:t xml:space="preserve">dictó </w:t>
      </w:r>
      <w:r w:rsidR="000C5ACD">
        <w:rPr>
          <w:rFonts w:ascii="Verdana" w:hAnsi="Verdana"/>
          <w:sz w:val="19"/>
          <w:szCs w:val="19"/>
          <w:lang w:val="es-CR"/>
        </w:rPr>
        <w:t xml:space="preserve">el 9 de enero de 2009 </w:t>
      </w:r>
      <w:r w:rsidRPr="00C83830">
        <w:rPr>
          <w:rFonts w:ascii="Verdana" w:hAnsi="Verdana"/>
          <w:sz w:val="19"/>
          <w:szCs w:val="19"/>
          <w:lang w:val="es-CR"/>
        </w:rPr>
        <w:t xml:space="preserve">un auto de apertura de instrucción contra 22 de las personas imputadas y declaró que los hechos denunciados “constituyen delitos de lesa humanidad”. </w:t>
      </w:r>
      <w:r w:rsidR="000C5ACD" w:rsidRPr="000C5ACD">
        <w:rPr>
          <w:rFonts w:ascii="Verdana" w:hAnsi="Verdana"/>
          <w:sz w:val="19"/>
          <w:szCs w:val="19"/>
          <w:lang w:val="es-CR"/>
        </w:rPr>
        <w:t>Este auto de apertura de instrucción es el que posteriormente fue impugnado mediante un recurso de agravio constitucional ante el Tribuna</w:t>
      </w:r>
      <w:r w:rsidR="00EE6438">
        <w:rPr>
          <w:rFonts w:ascii="Verdana" w:hAnsi="Verdana"/>
          <w:sz w:val="19"/>
          <w:szCs w:val="19"/>
          <w:lang w:val="es-CR"/>
        </w:rPr>
        <w:t>l Constitucional, el cual resolvió</w:t>
      </w:r>
      <w:r w:rsidR="000C5ACD" w:rsidRPr="000C5ACD">
        <w:rPr>
          <w:rFonts w:ascii="Verdana" w:hAnsi="Verdana"/>
          <w:sz w:val="19"/>
          <w:szCs w:val="19"/>
          <w:lang w:val="es-CR"/>
        </w:rPr>
        <w:t xml:space="preserve"> en junio de 2013 que el referido auto de apertura era nulo “en el extremo que declara que los hechos materia del proceso penal constituyen crímenes de lesa humanidad, manteniéndose subsistentes los demás extremos de la imputación”. A su vez, dicha sentencia de junio de 2013 fue la que posteriormente fue subsanada por el auto constitucional de abril de 2016, mediante el cual se indicó que la sentencia de 2013 no tenía los votos requeridos para haber señalado que los hechos no constituían crímenes de lesa humanidad. Dicho auto de abril de 2016 fue mantenido por el Tribunal Constitucional en marzo de 2017 y fue ello lo que llevó a varias personas imputadas en dicho proceso a interponer la referida acusación constitucional contra los magistrados de dicho tribunal en abril de 2017</w:t>
      </w:r>
      <w:r w:rsidR="00BB5CEA">
        <w:rPr>
          <w:rFonts w:ascii="Verdana" w:hAnsi="Verdana"/>
          <w:sz w:val="19"/>
          <w:szCs w:val="19"/>
          <w:lang w:val="es-CR"/>
        </w:rPr>
        <w:t xml:space="preserve"> (</w:t>
      </w:r>
      <w:r w:rsidR="00BB5CEA">
        <w:rPr>
          <w:rFonts w:ascii="Verdana" w:hAnsi="Verdana"/>
          <w:i/>
          <w:sz w:val="19"/>
          <w:szCs w:val="19"/>
          <w:lang w:val="es-CR"/>
        </w:rPr>
        <w:t xml:space="preserve">supra </w:t>
      </w:r>
      <w:r w:rsidR="00BB5CEA" w:rsidRPr="0058269D">
        <w:rPr>
          <w:rFonts w:ascii="Verdana" w:hAnsi="Verdana"/>
          <w:sz w:val="19"/>
          <w:szCs w:val="19"/>
          <w:lang w:val="es-CR"/>
        </w:rPr>
        <w:t xml:space="preserve">Considerando </w:t>
      </w:r>
      <w:r w:rsidR="00F727B4" w:rsidRPr="0058269D">
        <w:rPr>
          <w:rFonts w:ascii="Verdana" w:hAnsi="Verdana"/>
          <w:sz w:val="19"/>
          <w:szCs w:val="19"/>
          <w:lang w:val="es-CR"/>
        </w:rPr>
        <w:t>21)</w:t>
      </w:r>
      <w:r w:rsidR="00BB5CEA">
        <w:rPr>
          <w:rFonts w:ascii="Verdana" w:hAnsi="Verdana"/>
          <w:sz w:val="19"/>
          <w:szCs w:val="19"/>
          <w:lang w:val="es-CR"/>
        </w:rPr>
        <w:t xml:space="preserve"> </w:t>
      </w:r>
    </w:p>
    <w:p w14:paraId="0B17FFC8" w14:textId="77777777" w:rsidR="004B5305" w:rsidRDefault="004B5305" w:rsidP="00AB381D">
      <w:pPr>
        <w:pStyle w:val="ListParagraph"/>
        <w:spacing w:after="0" w:line="240" w:lineRule="auto"/>
        <w:ind w:left="0"/>
        <w:contextualSpacing w:val="0"/>
        <w:jc w:val="both"/>
        <w:rPr>
          <w:rFonts w:ascii="Verdana" w:hAnsi="Verdana" w:cs="Verdana"/>
          <w:sz w:val="20"/>
          <w:szCs w:val="20"/>
          <w:lang w:val="es-CO"/>
        </w:rPr>
      </w:pPr>
    </w:p>
    <w:p w14:paraId="50C902A0" w14:textId="77777777" w:rsidR="005D65DE" w:rsidRPr="004B5305" w:rsidRDefault="005D65DE" w:rsidP="00AB381D">
      <w:pPr>
        <w:pStyle w:val="ListParagraph"/>
        <w:spacing w:after="0" w:line="240" w:lineRule="auto"/>
        <w:ind w:left="0"/>
        <w:contextualSpacing w:val="0"/>
        <w:jc w:val="both"/>
        <w:rPr>
          <w:rFonts w:ascii="Verdana" w:hAnsi="Verdana" w:cs="Verdana"/>
          <w:sz w:val="20"/>
          <w:szCs w:val="20"/>
          <w:lang w:val="es-CO"/>
        </w:rPr>
      </w:pPr>
    </w:p>
    <w:p w14:paraId="32BC44A5" w14:textId="6BA34839" w:rsidR="00D641A4" w:rsidRDefault="000E484E" w:rsidP="007C15A1">
      <w:pPr>
        <w:pStyle w:val="ListParagraph"/>
        <w:numPr>
          <w:ilvl w:val="0"/>
          <w:numId w:val="3"/>
        </w:numPr>
        <w:spacing w:after="0" w:line="240" w:lineRule="auto"/>
        <w:ind w:left="0" w:firstLine="0"/>
        <w:contextualSpacing w:val="0"/>
        <w:jc w:val="both"/>
        <w:rPr>
          <w:rFonts w:ascii="Verdana" w:hAnsi="Verdana" w:cs="Verdana"/>
          <w:sz w:val="20"/>
          <w:szCs w:val="20"/>
          <w:lang w:val="es-CO"/>
        </w:rPr>
      </w:pPr>
      <w:r>
        <w:rPr>
          <w:rFonts w:ascii="Verdana" w:hAnsi="Verdana" w:cs="Verdana"/>
          <w:sz w:val="20"/>
          <w:szCs w:val="20"/>
          <w:lang w:val="es-CO"/>
        </w:rPr>
        <w:t>E</w:t>
      </w:r>
      <w:r w:rsidR="004B5305">
        <w:rPr>
          <w:rFonts w:ascii="Verdana" w:hAnsi="Verdana" w:cs="Verdana"/>
          <w:sz w:val="20"/>
          <w:szCs w:val="20"/>
          <w:lang w:val="es-CO"/>
        </w:rPr>
        <w:t>n julio de 2010</w:t>
      </w:r>
      <w:r>
        <w:rPr>
          <w:rFonts w:ascii="Verdana" w:hAnsi="Verdana" w:cs="Verdana"/>
          <w:sz w:val="20"/>
          <w:szCs w:val="20"/>
          <w:lang w:val="es-CO"/>
        </w:rPr>
        <w:t xml:space="preserve"> </w:t>
      </w:r>
      <w:r w:rsidR="004B5305">
        <w:rPr>
          <w:rFonts w:ascii="Verdana" w:hAnsi="Verdana" w:cs="Verdana"/>
          <w:sz w:val="20"/>
          <w:szCs w:val="20"/>
          <w:lang w:val="es-CO"/>
        </w:rPr>
        <w:t xml:space="preserve">el Primer Juzgado Penal Supraprovincial acumuló el expediente </w:t>
      </w:r>
      <w:r w:rsidR="0042282A">
        <w:rPr>
          <w:rFonts w:ascii="Verdana" w:hAnsi="Verdana" w:cs="Verdana"/>
          <w:sz w:val="20"/>
          <w:szCs w:val="20"/>
          <w:lang w:val="es-CO"/>
        </w:rPr>
        <w:t>N</w:t>
      </w:r>
      <w:r w:rsidR="004B5305">
        <w:rPr>
          <w:rFonts w:ascii="Verdana" w:hAnsi="Verdana" w:cs="Verdana"/>
          <w:sz w:val="20"/>
          <w:szCs w:val="20"/>
          <w:lang w:val="es-CO"/>
        </w:rPr>
        <w:t xml:space="preserve">° 213-07 al expediente </w:t>
      </w:r>
      <w:r w:rsidR="0042282A">
        <w:rPr>
          <w:rFonts w:ascii="Verdana" w:hAnsi="Verdana" w:cs="Verdana"/>
          <w:sz w:val="20"/>
          <w:szCs w:val="20"/>
          <w:lang w:val="es-CO"/>
        </w:rPr>
        <w:t>N</w:t>
      </w:r>
      <w:r w:rsidR="004B5305">
        <w:rPr>
          <w:rFonts w:ascii="Verdana" w:hAnsi="Verdana" w:cs="Verdana"/>
          <w:sz w:val="20"/>
          <w:szCs w:val="20"/>
          <w:lang w:val="es-CO"/>
        </w:rPr>
        <w:t>° 125-04, al considerar que si bien los procesados eran personas distintas, todos eran investigados por la presunt</w:t>
      </w:r>
      <w:r w:rsidR="00516F25">
        <w:rPr>
          <w:rFonts w:ascii="Verdana" w:hAnsi="Verdana" w:cs="Verdana"/>
          <w:sz w:val="20"/>
          <w:szCs w:val="20"/>
          <w:lang w:val="es-CO"/>
        </w:rPr>
        <w:t xml:space="preserve">a participación en los hechos ocuridos los días 18 y 19 de junio de 1986 en el </w:t>
      </w:r>
      <w:r w:rsidR="00F727B4">
        <w:rPr>
          <w:rFonts w:ascii="Verdana" w:hAnsi="Verdana" w:cs="Verdana"/>
          <w:sz w:val="20"/>
          <w:szCs w:val="20"/>
          <w:lang w:val="es-CO"/>
        </w:rPr>
        <w:t xml:space="preserve">establecimiento </w:t>
      </w:r>
      <w:r w:rsidR="00516F25">
        <w:rPr>
          <w:rFonts w:ascii="Verdana" w:hAnsi="Verdana" w:cs="Verdana"/>
          <w:sz w:val="20"/>
          <w:szCs w:val="20"/>
          <w:lang w:val="es-CO"/>
        </w:rPr>
        <w:t xml:space="preserve">penal </w:t>
      </w:r>
      <w:r w:rsidR="00F727B4">
        <w:rPr>
          <w:rFonts w:ascii="Verdana" w:hAnsi="Verdana" w:cs="Verdana"/>
          <w:sz w:val="20"/>
          <w:szCs w:val="20"/>
          <w:lang w:val="es-CO"/>
        </w:rPr>
        <w:t>“</w:t>
      </w:r>
      <w:r w:rsidR="004B5305">
        <w:rPr>
          <w:rFonts w:ascii="Verdana" w:hAnsi="Verdana" w:cs="Verdana"/>
          <w:sz w:val="20"/>
          <w:szCs w:val="20"/>
          <w:lang w:val="es-CO"/>
        </w:rPr>
        <w:t>El Frontón</w:t>
      </w:r>
      <w:r w:rsidR="00F727B4">
        <w:rPr>
          <w:rFonts w:ascii="Verdana" w:hAnsi="Verdana" w:cs="Verdana"/>
          <w:sz w:val="20"/>
          <w:szCs w:val="20"/>
          <w:lang w:val="es-CO"/>
        </w:rPr>
        <w:t>”</w:t>
      </w:r>
      <w:r w:rsidR="004B5305">
        <w:rPr>
          <w:rFonts w:ascii="Verdana" w:hAnsi="Verdana" w:cs="Verdana"/>
          <w:sz w:val="20"/>
          <w:szCs w:val="20"/>
          <w:lang w:val="es-CO"/>
        </w:rPr>
        <w:t>, de manera que existía “conexidad objetiva entre ambos procesos” y ambos se encontraban “en el mismo estadio procesal”. El 20 de diciembre de 2012, la Segunda Fiscalía Superior Penal Nacional formuló la acusación dentro de la causa acumulada, considerando que “ha</w:t>
      </w:r>
      <w:r w:rsidR="007174CE">
        <w:rPr>
          <w:rFonts w:ascii="Verdana" w:hAnsi="Verdana" w:cs="Verdana"/>
          <w:sz w:val="20"/>
          <w:szCs w:val="20"/>
          <w:lang w:val="es-CO"/>
        </w:rPr>
        <w:t>[bía]</w:t>
      </w:r>
      <w:r w:rsidR="004B5305">
        <w:rPr>
          <w:rFonts w:ascii="Verdana" w:hAnsi="Verdana" w:cs="Verdana"/>
          <w:sz w:val="20"/>
          <w:szCs w:val="20"/>
          <w:lang w:val="es-CO"/>
        </w:rPr>
        <w:t xml:space="preserve"> mérito para pasar a juicio oral” </w:t>
      </w:r>
      <w:r w:rsidR="007174CE">
        <w:rPr>
          <w:rFonts w:ascii="Verdana" w:hAnsi="Verdana" w:cs="Verdana"/>
          <w:sz w:val="20"/>
          <w:szCs w:val="20"/>
          <w:lang w:val="es-CO"/>
        </w:rPr>
        <w:t xml:space="preserve">por “crímenes contra la humanidad” consistentes en el delito de “[h]omicidio [c]alificado – [a]sesinato por [f]erocidad”, en perjuicio de 25 personas y “[h]omicidio calificado – [a]sesinato por [e]xplosión”, en perjuicio de 108 personas, entre </w:t>
      </w:r>
      <w:r w:rsidR="00516F25">
        <w:rPr>
          <w:rFonts w:ascii="Verdana" w:hAnsi="Verdana" w:cs="Verdana"/>
          <w:sz w:val="20"/>
          <w:szCs w:val="20"/>
          <w:lang w:val="es-CO"/>
        </w:rPr>
        <w:t xml:space="preserve">quienes </w:t>
      </w:r>
      <w:r w:rsidR="007174CE">
        <w:rPr>
          <w:rFonts w:ascii="Verdana" w:hAnsi="Verdana" w:cs="Verdana"/>
          <w:sz w:val="20"/>
          <w:szCs w:val="20"/>
          <w:lang w:val="es-CO"/>
        </w:rPr>
        <w:t xml:space="preserve">se encuentran el señor Durand y el señor Ugarte. </w:t>
      </w:r>
      <w:r w:rsidR="0042282A">
        <w:rPr>
          <w:rFonts w:ascii="Verdana" w:hAnsi="Verdana" w:cs="Verdana"/>
          <w:sz w:val="20"/>
          <w:szCs w:val="20"/>
          <w:lang w:val="es-CO"/>
        </w:rPr>
        <w:t>Asimismo, según afirmaron los representantes, se inició un tercer proceso penal bajo el expediente N°</w:t>
      </w:r>
      <w:r w:rsidR="009171AC">
        <w:rPr>
          <w:rFonts w:ascii="Verdana" w:hAnsi="Verdana" w:cs="Verdana"/>
          <w:sz w:val="20"/>
          <w:szCs w:val="20"/>
          <w:lang w:val="es-CO"/>
        </w:rPr>
        <w:t xml:space="preserve"> 397-2012, abierto por el Primer Juzgado Penal Supraprov</w:t>
      </w:r>
      <w:r w:rsidR="004036DE">
        <w:rPr>
          <w:rFonts w:ascii="Verdana" w:hAnsi="Verdana" w:cs="Verdana"/>
          <w:sz w:val="20"/>
          <w:szCs w:val="20"/>
          <w:lang w:val="es-CO"/>
        </w:rPr>
        <w:t>i</w:t>
      </w:r>
      <w:r w:rsidR="009171AC">
        <w:rPr>
          <w:rFonts w:ascii="Verdana" w:hAnsi="Verdana" w:cs="Verdana"/>
          <w:sz w:val="20"/>
          <w:szCs w:val="20"/>
          <w:lang w:val="es-CO"/>
        </w:rPr>
        <w:t>ncial contra dos personas; dicho proceso también fue “acumula[do] a la acusación principal”, correspondiente al expediente N° 125-04.</w:t>
      </w:r>
      <w:r w:rsidR="0042282A">
        <w:rPr>
          <w:rFonts w:ascii="Verdana" w:hAnsi="Verdana" w:cs="Verdana"/>
          <w:sz w:val="20"/>
          <w:szCs w:val="20"/>
          <w:lang w:val="es-CO"/>
        </w:rPr>
        <w:t xml:space="preserve"> </w:t>
      </w:r>
      <w:r w:rsidR="00FE444A">
        <w:rPr>
          <w:rFonts w:ascii="Verdana" w:hAnsi="Verdana" w:cs="Verdana"/>
          <w:sz w:val="20"/>
          <w:szCs w:val="20"/>
          <w:lang w:val="es-CO"/>
        </w:rPr>
        <w:t xml:space="preserve">Según afirmaron tanto el Estado como los representantes, este proceso penal </w:t>
      </w:r>
      <w:r w:rsidR="00516F25">
        <w:rPr>
          <w:rFonts w:ascii="Verdana" w:hAnsi="Verdana" w:cs="Verdana"/>
          <w:sz w:val="20"/>
          <w:szCs w:val="20"/>
          <w:lang w:val="es-CO"/>
        </w:rPr>
        <w:t xml:space="preserve">(que acumuló esos tres expedientes) </w:t>
      </w:r>
      <w:r w:rsidR="00FE444A">
        <w:rPr>
          <w:rFonts w:ascii="Verdana" w:hAnsi="Verdana" w:cs="Verdana"/>
          <w:sz w:val="20"/>
          <w:szCs w:val="20"/>
          <w:lang w:val="es-CO"/>
        </w:rPr>
        <w:t xml:space="preserve">inició la etapa de juicio oral en septiembre de 2017. </w:t>
      </w:r>
    </w:p>
    <w:p w14:paraId="7BA22F20" w14:textId="77777777" w:rsidR="005811F1" w:rsidRDefault="005811F1" w:rsidP="005811F1">
      <w:pPr>
        <w:pStyle w:val="ListParagraph"/>
        <w:spacing w:after="0" w:line="240" w:lineRule="auto"/>
        <w:ind w:left="0"/>
        <w:contextualSpacing w:val="0"/>
        <w:jc w:val="both"/>
        <w:rPr>
          <w:rFonts w:ascii="Verdana" w:hAnsi="Verdana" w:cs="Verdana"/>
          <w:sz w:val="20"/>
          <w:szCs w:val="20"/>
          <w:lang w:val="es-CO"/>
        </w:rPr>
      </w:pPr>
    </w:p>
    <w:p w14:paraId="5C5E7AE3" w14:textId="575C44B0" w:rsidR="00A16614" w:rsidRDefault="0019512B" w:rsidP="007C15A1">
      <w:pPr>
        <w:pStyle w:val="ListParagraph"/>
        <w:numPr>
          <w:ilvl w:val="0"/>
          <w:numId w:val="3"/>
        </w:numPr>
        <w:spacing w:after="0" w:line="240" w:lineRule="auto"/>
        <w:ind w:left="0" w:firstLine="0"/>
        <w:contextualSpacing w:val="0"/>
        <w:jc w:val="both"/>
        <w:rPr>
          <w:rFonts w:ascii="Verdana" w:hAnsi="Verdana" w:cs="Verdana"/>
          <w:sz w:val="20"/>
          <w:szCs w:val="20"/>
          <w:lang w:val="es-CO"/>
        </w:rPr>
      </w:pPr>
      <w:r>
        <w:rPr>
          <w:rFonts w:ascii="Verdana" w:hAnsi="Verdana" w:cs="Verdana"/>
          <w:sz w:val="20"/>
          <w:szCs w:val="20"/>
          <w:lang w:val="es-CO"/>
        </w:rPr>
        <w:t xml:space="preserve">Tomando en cuenta que </w:t>
      </w:r>
      <w:r w:rsidR="00A22FCF">
        <w:rPr>
          <w:rFonts w:ascii="Verdana" w:hAnsi="Verdana" w:cs="Verdana"/>
          <w:sz w:val="20"/>
          <w:szCs w:val="20"/>
          <w:lang w:val="es-CO"/>
        </w:rPr>
        <w:t xml:space="preserve">los tres expedientes fueron acumulados en un solo proceso penal </w:t>
      </w:r>
      <w:r w:rsidR="004B42C5">
        <w:rPr>
          <w:rFonts w:ascii="Verdana" w:hAnsi="Verdana" w:cs="Verdana"/>
          <w:sz w:val="20"/>
          <w:szCs w:val="20"/>
          <w:lang w:val="es-CO"/>
        </w:rPr>
        <w:t xml:space="preserve">porque tenían el mismo objeto de </w:t>
      </w:r>
      <w:r>
        <w:rPr>
          <w:rFonts w:ascii="Verdana" w:hAnsi="Verdana" w:cs="Verdana"/>
          <w:sz w:val="20"/>
          <w:szCs w:val="20"/>
          <w:lang w:val="es-CO"/>
        </w:rPr>
        <w:t>investiga</w:t>
      </w:r>
      <w:r w:rsidR="004B42C5">
        <w:rPr>
          <w:rFonts w:ascii="Verdana" w:hAnsi="Verdana" w:cs="Verdana"/>
          <w:sz w:val="20"/>
          <w:szCs w:val="20"/>
          <w:lang w:val="es-CO"/>
        </w:rPr>
        <w:t>r</w:t>
      </w:r>
      <w:r>
        <w:rPr>
          <w:rFonts w:ascii="Verdana" w:hAnsi="Verdana" w:cs="Verdana"/>
          <w:sz w:val="20"/>
          <w:szCs w:val="20"/>
          <w:lang w:val="es-CO"/>
        </w:rPr>
        <w:t xml:space="preserve"> los diferentes hechos delictivos ocurridos a los privados de libertad en el </w:t>
      </w:r>
      <w:r w:rsidR="00F727B4">
        <w:rPr>
          <w:rFonts w:ascii="Verdana" w:hAnsi="Verdana" w:cs="Verdana"/>
          <w:sz w:val="20"/>
          <w:szCs w:val="20"/>
          <w:lang w:val="es-CO"/>
        </w:rPr>
        <w:t xml:space="preserve">establecimiento </w:t>
      </w:r>
      <w:r>
        <w:rPr>
          <w:rFonts w:ascii="Verdana" w:hAnsi="Verdana" w:cs="Verdana"/>
          <w:sz w:val="20"/>
          <w:szCs w:val="20"/>
          <w:lang w:val="es-CO"/>
        </w:rPr>
        <w:t xml:space="preserve">penal </w:t>
      </w:r>
      <w:r w:rsidR="00F727B4">
        <w:rPr>
          <w:rFonts w:ascii="Verdana" w:hAnsi="Verdana" w:cs="Verdana"/>
          <w:sz w:val="20"/>
          <w:szCs w:val="20"/>
          <w:lang w:val="es-CO"/>
        </w:rPr>
        <w:t>“</w:t>
      </w:r>
      <w:r>
        <w:rPr>
          <w:rFonts w:ascii="Verdana" w:hAnsi="Verdana" w:cs="Verdana"/>
          <w:sz w:val="20"/>
          <w:szCs w:val="20"/>
          <w:lang w:val="es-CO"/>
        </w:rPr>
        <w:t>El Frontón</w:t>
      </w:r>
      <w:r w:rsidR="00F727B4">
        <w:rPr>
          <w:rFonts w:ascii="Verdana" w:hAnsi="Verdana" w:cs="Verdana"/>
          <w:sz w:val="20"/>
          <w:szCs w:val="20"/>
          <w:lang w:val="es-CO"/>
        </w:rPr>
        <w:t>”</w:t>
      </w:r>
      <w:r>
        <w:rPr>
          <w:rFonts w:ascii="Verdana" w:hAnsi="Verdana" w:cs="Verdana"/>
          <w:sz w:val="20"/>
          <w:szCs w:val="20"/>
          <w:lang w:val="es-CO"/>
        </w:rPr>
        <w:t xml:space="preserve"> </w:t>
      </w:r>
      <w:r w:rsidR="00A22FCF">
        <w:rPr>
          <w:rFonts w:ascii="Verdana" w:hAnsi="Verdana" w:cs="Verdana"/>
          <w:sz w:val="20"/>
          <w:szCs w:val="20"/>
          <w:lang w:val="es-CO"/>
        </w:rPr>
        <w:t xml:space="preserve">y que en septiembre de 2017 inició la etapa de juicio oral del mismo, la Corte considera improcedente el argumento estatal que </w:t>
      </w:r>
      <w:r w:rsidR="00A27BCA">
        <w:rPr>
          <w:rFonts w:ascii="Verdana" w:hAnsi="Verdana" w:cs="Verdana"/>
          <w:sz w:val="20"/>
          <w:szCs w:val="20"/>
          <w:lang w:val="es-CO"/>
        </w:rPr>
        <w:t xml:space="preserve">se basa en que </w:t>
      </w:r>
      <w:r w:rsidR="00DB497E" w:rsidRPr="000C0AA7">
        <w:rPr>
          <w:rFonts w:ascii="Verdana" w:hAnsi="Verdana" w:cs="Verdana"/>
          <w:sz w:val="20"/>
          <w:szCs w:val="20"/>
          <w:lang w:val="es-CO"/>
        </w:rPr>
        <w:t xml:space="preserve">el </w:t>
      </w:r>
      <w:r w:rsidR="005D6346" w:rsidRPr="000C0AA7">
        <w:rPr>
          <w:rFonts w:ascii="Verdana" w:hAnsi="Verdana" w:cs="Verdana"/>
          <w:sz w:val="20"/>
          <w:szCs w:val="20"/>
          <w:lang w:val="es-CO"/>
        </w:rPr>
        <w:t xml:space="preserve">auto de apertura de instrucción de 9 de enero de 2009 </w:t>
      </w:r>
      <w:r w:rsidR="00A27BCA">
        <w:rPr>
          <w:rFonts w:ascii="Verdana" w:hAnsi="Verdana" w:cs="Verdana"/>
          <w:sz w:val="20"/>
          <w:szCs w:val="20"/>
          <w:lang w:val="es-CO"/>
        </w:rPr>
        <w:t>no correspondía</w:t>
      </w:r>
      <w:r>
        <w:rPr>
          <w:rFonts w:ascii="Verdana" w:hAnsi="Verdana" w:cs="Verdana"/>
          <w:sz w:val="20"/>
          <w:szCs w:val="20"/>
          <w:lang w:val="es-CO"/>
        </w:rPr>
        <w:t xml:space="preserve"> a las víctimas Durand y Ugarte. A</w:t>
      </w:r>
      <w:r w:rsidR="00A27BCA">
        <w:rPr>
          <w:rFonts w:ascii="Verdana" w:hAnsi="Verdana" w:cs="Verdana"/>
          <w:sz w:val="20"/>
          <w:szCs w:val="20"/>
          <w:lang w:val="es-CO"/>
        </w:rPr>
        <w:t xml:space="preserve">un cuando ese auto </w:t>
      </w:r>
      <w:r w:rsidR="005D6346" w:rsidRPr="000C0AA7">
        <w:rPr>
          <w:rFonts w:ascii="Verdana" w:hAnsi="Verdana" w:cs="Verdana"/>
          <w:sz w:val="20"/>
          <w:szCs w:val="20"/>
          <w:lang w:val="es-CO"/>
        </w:rPr>
        <w:t>originalmente había sido dictado dentro de</w:t>
      </w:r>
      <w:r w:rsidR="003053AC" w:rsidRPr="000C0AA7">
        <w:rPr>
          <w:rFonts w:ascii="Verdana" w:hAnsi="Verdana" w:cs="Verdana"/>
          <w:sz w:val="20"/>
          <w:szCs w:val="20"/>
          <w:lang w:val="es-CO"/>
        </w:rPr>
        <w:t xml:space="preserve"> un proceso penal en el cual los señores Durand y Ugarte no eran víctimas, para el momento en que el Tribunal Constitucional </w:t>
      </w:r>
      <w:r w:rsidR="006B0F9C">
        <w:rPr>
          <w:rFonts w:ascii="Verdana" w:hAnsi="Verdana" w:cs="Verdana"/>
          <w:sz w:val="20"/>
          <w:szCs w:val="20"/>
          <w:lang w:val="es-CO"/>
        </w:rPr>
        <w:t xml:space="preserve">se pronunció en el 2013 </w:t>
      </w:r>
      <w:r w:rsidR="003053AC" w:rsidRPr="000C0AA7">
        <w:rPr>
          <w:rFonts w:ascii="Verdana" w:hAnsi="Verdana" w:cs="Verdana"/>
          <w:sz w:val="20"/>
          <w:szCs w:val="20"/>
          <w:lang w:val="es-CO"/>
        </w:rPr>
        <w:t>sobre el referido recurso de agravio constitucional</w:t>
      </w:r>
      <w:r w:rsidR="005D6346" w:rsidRPr="000C0AA7">
        <w:rPr>
          <w:rFonts w:ascii="Verdana" w:hAnsi="Verdana" w:cs="Verdana"/>
          <w:sz w:val="20"/>
          <w:szCs w:val="20"/>
          <w:lang w:val="es-CO"/>
        </w:rPr>
        <w:t xml:space="preserve"> que impugnaba dicho auto de apertura</w:t>
      </w:r>
      <w:r w:rsidR="003053AC" w:rsidRPr="000C0AA7">
        <w:rPr>
          <w:rFonts w:ascii="Verdana" w:hAnsi="Verdana" w:cs="Verdana"/>
          <w:sz w:val="20"/>
          <w:szCs w:val="20"/>
          <w:lang w:val="es-CO"/>
        </w:rPr>
        <w:t xml:space="preserve">, </w:t>
      </w:r>
      <w:r w:rsidR="00C20129" w:rsidRPr="00056C90">
        <w:rPr>
          <w:rFonts w:ascii="Verdana" w:hAnsi="Verdana" w:cs="Verdana"/>
          <w:sz w:val="20"/>
          <w:szCs w:val="20"/>
          <w:lang w:val="es-CO"/>
        </w:rPr>
        <w:t>el</w:t>
      </w:r>
      <w:r w:rsidR="003053AC" w:rsidRPr="00056C90">
        <w:rPr>
          <w:rFonts w:ascii="Verdana" w:hAnsi="Verdana" w:cs="Verdana"/>
          <w:sz w:val="20"/>
          <w:szCs w:val="20"/>
          <w:lang w:val="es-CO"/>
        </w:rPr>
        <w:t xml:space="preserve"> </w:t>
      </w:r>
      <w:r w:rsidR="006B0F9C">
        <w:rPr>
          <w:rFonts w:ascii="Verdana" w:hAnsi="Verdana" w:cs="Verdana"/>
          <w:sz w:val="20"/>
          <w:szCs w:val="20"/>
          <w:lang w:val="es-CO"/>
        </w:rPr>
        <w:t xml:space="preserve">proceso penal </w:t>
      </w:r>
      <w:r w:rsidR="005D6346" w:rsidRPr="00056C90">
        <w:rPr>
          <w:rFonts w:ascii="Verdana" w:hAnsi="Verdana" w:cs="Verdana"/>
          <w:sz w:val="20"/>
          <w:szCs w:val="20"/>
          <w:lang w:val="es-CO"/>
        </w:rPr>
        <w:t>ya</w:t>
      </w:r>
      <w:r w:rsidR="00DB497E" w:rsidRPr="00056C90">
        <w:rPr>
          <w:rFonts w:ascii="Verdana" w:hAnsi="Verdana" w:cs="Verdana"/>
          <w:sz w:val="20"/>
          <w:szCs w:val="20"/>
          <w:lang w:val="es-CO"/>
        </w:rPr>
        <w:t xml:space="preserve"> incluía</w:t>
      </w:r>
      <w:r w:rsidR="003053AC" w:rsidRPr="00056C90">
        <w:rPr>
          <w:rFonts w:ascii="Verdana" w:hAnsi="Verdana" w:cs="Verdana"/>
          <w:sz w:val="20"/>
          <w:szCs w:val="20"/>
          <w:lang w:val="es-CO"/>
        </w:rPr>
        <w:t xml:space="preserve"> a las víctimas del caso, los señores Durand y Ugarte</w:t>
      </w:r>
      <w:r w:rsidR="00DB497E" w:rsidRPr="00056C90">
        <w:rPr>
          <w:rFonts w:ascii="Verdana" w:hAnsi="Verdana" w:cs="Verdana"/>
          <w:sz w:val="20"/>
          <w:szCs w:val="20"/>
          <w:lang w:val="es-CO"/>
        </w:rPr>
        <w:t xml:space="preserve">, </w:t>
      </w:r>
      <w:r w:rsidR="005D6346" w:rsidRPr="00056C90">
        <w:rPr>
          <w:rFonts w:ascii="Verdana" w:hAnsi="Verdana" w:cs="Verdana"/>
          <w:sz w:val="20"/>
          <w:szCs w:val="20"/>
          <w:lang w:val="es-CO"/>
        </w:rPr>
        <w:t>po</w:t>
      </w:r>
      <w:r w:rsidR="00DE01E5" w:rsidRPr="00056C90">
        <w:rPr>
          <w:rFonts w:ascii="Verdana" w:hAnsi="Verdana" w:cs="Verdana"/>
          <w:sz w:val="20"/>
          <w:szCs w:val="20"/>
          <w:lang w:val="es-CO"/>
        </w:rPr>
        <w:t xml:space="preserve">r estar los procesos acumulados. </w:t>
      </w:r>
      <w:r w:rsidR="006B0F9C">
        <w:rPr>
          <w:rFonts w:ascii="Verdana" w:hAnsi="Verdana" w:cs="Verdana"/>
          <w:sz w:val="20"/>
          <w:szCs w:val="20"/>
          <w:lang w:val="es-CO"/>
        </w:rPr>
        <w:t xml:space="preserve">En consecuencia, </w:t>
      </w:r>
      <w:r w:rsidR="006B0F9C" w:rsidRPr="000C0AA7">
        <w:rPr>
          <w:rFonts w:ascii="Verdana" w:hAnsi="Verdana" w:cs="Verdana"/>
          <w:sz w:val="20"/>
          <w:szCs w:val="20"/>
          <w:lang w:val="es-CO"/>
        </w:rPr>
        <w:t xml:space="preserve">lo </w:t>
      </w:r>
      <w:r w:rsidR="006B0F9C" w:rsidRPr="00056C90">
        <w:rPr>
          <w:rFonts w:ascii="Verdana" w:hAnsi="Verdana" w:cs="Verdana"/>
          <w:sz w:val="20"/>
          <w:szCs w:val="20"/>
          <w:lang w:val="es-CO"/>
        </w:rPr>
        <w:t xml:space="preserve">resuelto </w:t>
      </w:r>
      <w:r w:rsidR="006B0F9C">
        <w:rPr>
          <w:rFonts w:ascii="Verdana" w:hAnsi="Verdana" w:cs="Verdana"/>
          <w:sz w:val="20"/>
          <w:szCs w:val="20"/>
          <w:lang w:val="es-CO"/>
        </w:rPr>
        <w:t>por el Tribunal Constitucional en el 2013, 2016 y 2017 podría afectar</w:t>
      </w:r>
      <w:r w:rsidR="006B0F9C" w:rsidRPr="00056C90">
        <w:rPr>
          <w:rFonts w:ascii="Verdana" w:hAnsi="Verdana" w:cs="Verdana"/>
          <w:sz w:val="20"/>
          <w:szCs w:val="20"/>
          <w:lang w:val="es-CO"/>
        </w:rPr>
        <w:t xml:space="preserve"> a</w:t>
      </w:r>
      <w:r w:rsidR="006B0F9C">
        <w:rPr>
          <w:rFonts w:ascii="Verdana" w:hAnsi="Verdana" w:cs="Verdana"/>
          <w:sz w:val="20"/>
          <w:szCs w:val="20"/>
          <w:lang w:val="es-CO"/>
        </w:rPr>
        <w:t>l proceso penal en su totalidad</w:t>
      </w:r>
      <w:r w:rsidR="00CF2BC5">
        <w:rPr>
          <w:rFonts w:ascii="Verdana" w:hAnsi="Verdana" w:cs="Verdana"/>
          <w:sz w:val="20"/>
          <w:szCs w:val="20"/>
          <w:lang w:val="es-CO"/>
        </w:rPr>
        <w:t>, el cual actualmente se encuentra en etapa de juicio oral</w:t>
      </w:r>
      <w:r w:rsidR="006B0F9C">
        <w:rPr>
          <w:rFonts w:ascii="Verdana" w:hAnsi="Verdana" w:cs="Verdana"/>
          <w:sz w:val="20"/>
          <w:szCs w:val="20"/>
          <w:lang w:val="es-CO"/>
        </w:rPr>
        <w:t>.</w:t>
      </w:r>
      <w:r w:rsidR="006B0F9C" w:rsidRPr="00056C90">
        <w:rPr>
          <w:rFonts w:ascii="Verdana" w:hAnsi="Verdana" w:cs="Verdana"/>
          <w:sz w:val="20"/>
          <w:szCs w:val="20"/>
          <w:lang w:val="es-CO"/>
        </w:rPr>
        <w:t xml:space="preserve"> </w:t>
      </w:r>
    </w:p>
    <w:p w14:paraId="3F834D48" w14:textId="77777777" w:rsidR="00A16614" w:rsidRPr="00A16614" w:rsidRDefault="00A16614" w:rsidP="00A16614">
      <w:pPr>
        <w:spacing w:after="0" w:line="240" w:lineRule="auto"/>
        <w:jc w:val="both"/>
        <w:rPr>
          <w:rFonts w:ascii="Verdana" w:hAnsi="Verdana" w:cs="Verdana"/>
          <w:sz w:val="20"/>
          <w:szCs w:val="20"/>
          <w:lang w:val="es-CO"/>
        </w:rPr>
      </w:pPr>
    </w:p>
    <w:p w14:paraId="42423D4A" w14:textId="55507D6A" w:rsidR="006B0F9C" w:rsidRPr="0058269D" w:rsidRDefault="00DE01E5" w:rsidP="007C15A1">
      <w:pPr>
        <w:pStyle w:val="ListParagraph"/>
        <w:numPr>
          <w:ilvl w:val="0"/>
          <w:numId w:val="3"/>
        </w:numPr>
        <w:spacing w:after="0" w:line="240" w:lineRule="auto"/>
        <w:ind w:left="0" w:firstLine="0"/>
        <w:contextualSpacing w:val="0"/>
        <w:jc w:val="both"/>
        <w:rPr>
          <w:rFonts w:ascii="Verdana" w:hAnsi="Verdana" w:cs="Verdana"/>
          <w:sz w:val="20"/>
          <w:szCs w:val="20"/>
          <w:lang w:val="es-CO"/>
        </w:rPr>
      </w:pPr>
      <w:r w:rsidRPr="00056C90">
        <w:rPr>
          <w:rFonts w:ascii="Verdana" w:hAnsi="Verdana" w:cs="Verdana"/>
          <w:sz w:val="20"/>
          <w:szCs w:val="20"/>
          <w:lang w:val="es-CO"/>
        </w:rPr>
        <w:t xml:space="preserve">Adicionalmente, lo resuelto por el Tribunal Constitucional </w:t>
      </w:r>
      <w:r w:rsidR="006B0F9C">
        <w:rPr>
          <w:rFonts w:ascii="Verdana" w:hAnsi="Verdana" w:cs="Verdana"/>
          <w:sz w:val="20"/>
          <w:szCs w:val="20"/>
          <w:lang w:val="es-CO"/>
        </w:rPr>
        <w:t xml:space="preserve">respecto a entrar a calificar o no </w:t>
      </w:r>
      <w:r w:rsidRPr="00056C90">
        <w:rPr>
          <w:rFonts w:ascii="Verdana" w:hAnsi="Verdana" w:cs="Verdana"/>
          <w:sz w:val="20"/>
          <w:szCs w:val="20"/>
          <w:lang w:val="es-CO"/>
        </w:rPr>
        <w:t xml:space="preserve">los hechos </w:t>
      </w:r>
      <w:r w:rsidR="006B0F9C">
        <w:rPr>
          <w:rFonts w:ascii="Verdana" w:hAnsi="Verdana" w:cs="Verdana"/>
          <w:sz w:val="20"/>
          <w:szCs w:val="20"/>
          <w:lang w:val="es-CO"/>
        </w:rPr>
        <w:t xml:space="preserve">como </w:t>
      </w:r>
      <w:r w:rsidRPr="00056C90">
        <w:rPr>
          <w:rFonts w:ascii="Verdana" w:hAnsi="Verdana" w:cs="Verdana"/>
          <w:sz w:val="20"/>
          <w:szCs w:val="20"/>
          <w:lang w:val="es-CO"/>
        </w:rPr>
        <w:t xml:space="preserve">delitos de lesa humanidad </w:t>
      </w:r>
      <w:r w:rsidR="006B0F9C">
        <w:rPr>
          <w:rFonts w:ascii="Verdana" w:hAnsi="Verdana" w:cs="Verdana"/>
          <w:sz w:val="20"/>
          <w:szCs w:val="20"/>
          <w:lang w:val="es-CO"/>
        </w:rPr>
        <w:t xml:space="preserve">y como prescritos para futuros </w:t>
      </w:r>
      <w:r w:rsidR="00CA763F">
        <w:rPr>
          <w:rFonts w:ascii="Verdana" w:hAnsi="Verdana" w:cs="Verdana"/>
          <w:sz w:val="20"/>
          <w:szCs w:val="20"/>
          <w:lang w:val="es-CO"/>
        </w:rPr>
        <w:t>procesos distintos al que</w:t>
      </w:r>
      <w:r w:rsidR="006B0F9C">
        <w:rPr>
          <w:rFonts w:ascii="Verdana" w:hAnsi="Verdana" w:cs="Verdana"/>
          <w:sz w:val="20"/>
          <w:szCs w:val="20"/>
          <w:lang w:val="es-CO"/>
        </w:rPr>
        <w:t xml:space="preserve"> está en trámite, </w:t>
      </w:r>
      <w:r w:rsidRPr="00056C90">
        <w:rPr>
          <w:rFonts w:ascii="Verdana" w:hAnsi="Verdana" w:cs="Verdana"/>
          <w:sz w:val="20"/>
          <w:szCs w:val="20"/>
          <w:lang w:val="es-CO"/>
        </w:rPr>
        <w:t xml:space="preserve">también </w:t>
      </w:r>
      <w:r w:rsidR="00777F0E">
        <w:rPr>
          <w:rFonts w:ascii="Verdana" w:hAnsi="Verdana" w:cs="Verdana"/>
          <w:sz w:val="20"/>
          <w:szCs w:val="20"/>
          <w:lang w:val="es-CO"/>
        </w:rPr>
        <w:t>podría tener</w:t>
      </w:r>
      <w:r w:rsidRPr="00056C90">
        <w:rPr>
          <w:rFonts w:ascii="Verdana" w:hAnsi="Verdana" w:cs="Verdana"/>
          <w:sz w:val="20"/>
          <w:szCs w:val="20"/>
          <w:lang w:val="es-CO"/>
        </w:rPr>
        <w:t xml:space="preserve"> efecto</w:t>
      </w:r>
      <w:r w:rsidR="00777F0E">
        <w:rPr>
          <w:rFonts w:ascii="Verdana" w:hAnsi="Verdana" w:cs="Verdana"/>
          <w:sz w:val="20"/>
          <w:szCs w:val="20"/>
          <w:lang w:val="es-CO"/>
        </w:rPr>
        <w:t>s</w:t>
      </w:r>
      <w:r w:rsidRPr="00056C90">
        <w:rPr>
          <w:rFonts w:ascii="Verdana" w:hAnsi="Verdana" w:cs="Verdana"/>
          <w:sz w:val="20"/>
          <w:szCs w:val="20"/>
          <w:lang w:val="es-CO"/>
        </w:rPr>
        <w:t xml:space="preserve"> </w:t>
      </w:r>
      <w:r w:rsidR="006B0F9C">
        <w:rPr>
          <w:rFonts w:ascii="Verdana" w:hAnsi="Verdana" w:cs="Verdana"/>
          <w:sz w:val="20"/>
          <w:szCs w:val="20"/>
          <w:lang w:val="es-CO"/>
        </w:rPr>
        <w:t>respecto de la investigación, juzgamiento y sanción de lo ocurrido a</w:t>
      </w:r>
      <w:r w:rsidR="00777F0E">
        <w:rPr>
          <w:rFonts w:ascii="Verdana" w:hAnsi="Verdana" w:cs="Verdana"/>
          <w:sz w:val="20"/>
          <w:szCs w:val="20"/>
          <w:lang w:val="es-CO"/>
        </w:rPr>
        <w:t xml:space="preserve"> las víctimas del presente caso. P</w:t>
      </w:r>
      <w:r w:rsidR="006B0F9C">
        <w:rPr>
          <w:rFonts w:ascii="Verdana" w:hAnsi="Verdana" w:cs="Verdana"/>
          <w:sz w:val="20"/>
          <w:szCs w:val="20"/>
          <w:lang w:val="es-CO"/>
        </w:rPr>
        <w:t>or un lado,</w:t>
      </w:r>
      <w:r w:rsidRPr="00056C90">
        <w:rPr>
          <w:rFonts w:ascii="Verdana" w:hAnsi="Verdana" w:cs="Verdana"/>
          <w:sz w:val="20"/>
          <w:szCs w:val="20"/>
          <w:lang w:val="es-CO"/>
        </w:rPr>
        <w:t xml:space="preserve"> la </w:t>
      </w:r>
      <w:r w:rsidR="005D6346" w:rsidRPr="00056C90">
        <w:rPr>
          <w:rFonts w:ascii="Verdana" w:hAnsi="Verdana" w:cs="Verdana"/>
          <w:sz w:val="20"/>
          <w:szCs w:val="20"/>
          <w:lang w:val="es-CO"/>
        </w:rPr>
        <w:t xml:space="preserve">acusación </w:t>
      </w:r>
      <w:r w:rsidRPr="00056C90">
        <w:rPr>
          <w:rFonts w:ascii="Verdana" w:hAnsi="Verdana" w:cs="Verdana"/>
          <w:sz w:val="20"/>
          <w:szCs w:val="20"/>
          <w:lang w:val="es-CO"/>
        </w:rPr>
        <w:t xml:space="preserve">penal formulada </w:t>
      </w:r>
      <w:r w:rsidR="005D6346" w:rsidRPr="00056C90">
        <w:rPr>
          <w:rFonts w:ascii="Verdana" w:hAnsi="Verdana" w:cs="Verdana"/>
          <w:sz w:val="20"/>
          <w:szCs w:val="20"/>
          <w:lang w:val="es-CO"/>
        </w:rPr>
        <w:t>en diciembre de 2012 en la causa acumulada</w:t>
      </w:r>
      <w:r w:rsidR="006B0F9C">
        <w:rPr>
          <w:rFonts w:ascii="Verdana" w:hAnsi="Verdana" w:cs="Verdana"/>
          <w:sz w:val="20"/>
          <w:szCs w:val="20"/>
          <w:lang w:val="es-CO"/>
        </w:rPr>
        <w:t xml:space="preserve"> califica </w:t>
      </w:r>
      <w:r w:rsidRPr="00056C90">
        <w:rPr>
          <w:rFonts w:ascii="Verdana" w:hAnsi="Verdana" w:cs="Verdana"/>
          <w:sz w:val="20"/>
          <w:szCs w:val="20"/>
          <w:lang w:val="es-CO"/>
        </w:rPr>
        <w:t xml:space="preserve">los referidos </w:t>
      </w:r>
      <w:r w:rsidR="005D6346" w:rsidRPr="00056C90">
        <w:rPr>
          <w:rFonts w:ascii="Verdana" w:hAnsi="Verdana" w:cs="Verdana"/>
          <w:sz w:val="20"/>
          <w:szCs w:val="20"/>
          <w:lang w:val="es-CO"/>
        </w:rPr>
        <w:t xml:space="preserve">hechos </w:t>
      </w:r>
      <w:r w:rsidRPr="00056C90">
        <w:rPr>
          <w:rFonts w:ascii="Verdana" w:hAnsi="Verdana" w:cs="Verdana"/>
          <w:sz w:val="20"/>
          <w:szCs w:val="20"/>
          <w:lang w:val="es-CO"/>
        </w:rPr>
        <w:t>de</w:t>
      </w:r>
      <w:r w:rsidR="005D6346" w:rsidRPr="00056C90">
        <w:rPr>
          <w:rFonts w:ascii="Verdana" w:hAnsi="Verdana" w:cs="Verdana"/>
          <w:sz w:val="20"/>
          <w:szCs w:val="20"/>
          <w:lang w:val="es-CO"/>
        </w:rPr>
        <w:t xml:space="preserve"> </w:t>
      </w:r>
      <w:r w:rsidR="00056C90">
        <w:rPr>
          <w:rFonts w:ascii="Verdana" w:hAnsi="Verdana" w:cs="Verdana"/>
          <w:sz w:val="20"/>
          <w:szCs w:val="20"/>
          <w:lang w:val="es-CO"/>
        </w:rPr>
        <w:t>“</w:t>
      </w:r>
      <w:r w:rsidR="005D6346" w:rsidRPr="00056C90">
        <w:rPr>
          <w:rFonts w:ascii="Verdana" w:hAnsi="Verdana" w:cs="Verdana"/>
          <w:sz w:val="20"/>
          <w:szCs w:val="20"/>
          <w:lang w:val="es-CO"/>
        </w:rPr>
        <w:t>El Frontón</w:t>
      </w:r>
      <w:r w:rsidR="00056C90">
        <w:rPr>
          <w:rFonts w:ascii="Verdana" w:hAnsi="Verdana" w:cs="Verdana"/>
          <w:sz w:val="20"/>
          <w:szCs w:val="20"/>
          <w:lang w:val="es-CO"/>
        </w:rPr>
        <w:t>”</w:t>
      </w:r>
      <w:r w:rsidR="00CA763F">
        <w:rPr>
          <w:rFonts w:ascii="Verdana" w:hAnsi="Verdana" w:cs="Verdana"/>
          <w:sz w:val="20"/>
          <w:szCs w:val="20"/>
          <w:lang w:val="es-CO"/>
        </w:rPr>
        <w:t xml:space="preserve"> como delitos de lesa humanidad</w:t>
      </w:r>
      <w:r w:rsidR="00777F0E">
        <w:rPr>
          <w:rFonts w:ascii="Verdana" w:hAnsi="Verdana" w:cs="Verdana"/>
          <w:sz w:val="20"/>
          <w:szCs w:val="20"/>
          <w:lang w:val="es-CO"/>
        </w:rPr>
        <w:t>. Además</w:t>
      </w:r>
      <w:r w:rsidR="006B0F9C">
        <w:rPr>
          <w:rFonts w:ascii="Verdana" w:hAnsi="Verdana" w:cs="Verdana"/>
          <w:sz w:val="20"/>
          <w:szCs w:val="20"/>
          <w:lang w:val="es-CO"/>
        </w:rPr>
        <w:t xml:space="preserve">, </w:t>
      </w:r>
      <w:r w:rsidR="009512BC">
        <w:rPr>
          <w:rFonts w:ascii="Verdana" w:hAnsi="Verdana" w:cs="Verdana"/>
          <w:sz w:val="20"/>
          <w:szCs w:val="20"/>
          <w:lang w:val="es-CO"/>
        </w:rPr>
        <w:t>el Perú limita sus argumentos a la relación con el proceso penal en trámite sin referirse a lo alegado por los representantes de las vícti</w:t>
      </w:r>
      <w:r w:rsidR="00CA763F">
        <w:rPr>
          <w:rFonts w:ascii="Verdana" w:hAnsi="Verdana" w:cs="Verdana"/>
          <w:sz w:val="20"/>
          <w:szCs w:val="20"/>
          <w:lang w:val="es-CO"/>
        </w:rPr>
        <w:t>mas respecto a que en el mismo ú</w:t>
      </w:r>
      <w:r w:rsidR="009512BC">
        <w:rPr>
          <w:rFonts w:ascii="Verdana" w:hAnsi="Verdana" w:cs="Verdana"/>
          <w:sz w:val="20"/>
          <w:szCs w:val="20"/>
          <w:lang w:val="es-CO"/>
        </w:rPr>
        <w:t xml:space="preserve">nicamente están siendo juzgados los supuestos autores materiales y podría requerirse de otro proceso para determinar otros posibles responsables de las violaciones cometidas tanto contra los señores Durand y Ugarte como respecto a las demás personas que perdieron la vida en los hechos del </w:t>
      </w:r>
      <w:r w:rsidR="00053D7F">
        <w:rPr>
          <w:rFonts w:ascii="Verdana" w:hAnsi="Verdana" w:cs="Verdana"/>
          <w:sz w:val="20"/>
          <w:szCs w:val="20"/>
          <w:lang w:val="es-CO"/>
        </w:rPr>
        <w:t>establecimiento penal</w:t>
      </w:r>
      <w:r w:rsidR="009512BC">
        <w:rPr>
          <w:rFonts w:ascii="Verdana" w:hAnsi="Verdana" w:cs="Verdana"/>
          <w:sz w:val="20"/>
          <w:szCs w:val="20"/>
          <w:lang w:val="es-CO"/>
        </w:rPr>
        <w:t xml:space="preserve"> </w:t>
      </w:r>
      <w:r w:rsidR="00053D7F">
        <w:rPr>
          <w:rFonts w:ascii="Verdana" w:hAnsi="Verdana" w:cs="Verdana"/>
          <w:sz w:val="20"/>
          <w:szCs w:val="20"/>
          <w:lang w:val="es-CO"/>
        </w:rPr>
        <w:t>“</w:t>
      </w:r>
      <w:r w:rsidR="009512BC">
        <w:rPr>
          <w:rFonts w:ascii="Verdana" w:hAnsi="Verdana" w:cs="Verdana"/>
          <w:sz w:val="20"/>
          <w:szCs w:val="20"/>
          <w:lang w:val="es-CO"/>
        </w:rPr>
        <w:t>El Frontón</w:t>
      </w:r>
      <w:r w:rsidR="00053D7F">
        <w:rPr>
          <w:rFonts w:ascii="Verdana" w:hAnsi="Verdana" w:cs="Verdana"/>
          <w:sz w:val="20"/>
          <w:szCs w:val="20"/>
          <w:lang w:val="es-CO"/>
        </w:rPr>
        <w:t>”</w:t>
      </w:r>
      <w:r w:rsidR="00CA763F">
        <w:rPr>
          <w:rFonts w:ascii="Verdana" w:hAnsi="Verdana" w:cs="Verdana"/>
          <w:sz w:val="20"/>
          <w:szCs w:val="20"/>
          <w:lang w:val="es-CO"/>
        </w:rPr>
        <w:t xml:space="preserve"> (</w:t>
      </w:r>
      <w:r w:rsidR="00CA763F" w:rsidRPr="00777F0E">
        <w:rPr>
          <w:rFonts w:ascii="Verdana" w:hAnsi="Verdana" w:cs="Verdana"/>
          <w:i/>
          <w:sz w:val="20"/>
          <w:szCs w:val="20"/>
          <w:lang w:val="es-CO"/>
        </w:rPr>
        <w:t>supra</w:t>
      </w:r>
      <w:r w:rsidR="00CA763F">
        <w:rPr>
          <w:rFonts w:ascii="Verdana" w:hAnsi="Verdana" w:cs="Verdana"/>
          <w:sz w:val="20"/>
          <w:szCs w:val="20"/>
          <w:lang w:val="es-CO"/>
        </w:rPr>
        <w:t xml:space="preserve"> Considerando </w:t>
      </w:r>
      <w:r w:rsidR="00F727B4" w:rsidRPr="0058269D">
        <w:rPr>
          <w:rFonts w:ascii="Verdana" w:hAnsi="Verdana" w:cs="Verdana"/>
          <w:sz w:val="20"/>
          <w:szCs w:val="20"/>
          <w:lang w:val="es-CO"/>
        </w:rPr>
        <w:t>13</w:t>
      </w:r>
      <w:r w:rsidR="00777F0E" w:rsidRPr="0058269D">
        <w:rPr>
          <w:rFonts w:ascii="Verdana" w:hAnsi="Verdana" w:cs="Verdana"/>
          <w:sz w:val="20"/>
          <w:szCs w:val="20"/>
          <w:lang w:val="es-CO"/>
        </w:rPr>
        <w:t>.d</w:t>
      </w:r>
      <w:r w:rsidR="00CA763F" w:rsidRPr="0058269D">
        <w:rPr>
          <w:rFonts w:ascii="Verdana" w:hAnsi="Verdana" w:cs="Verdana"/>
          <w:sz w:val="20"/>
          <w:szCs w:val="20"/>
          <w:lang w:val="es-CO"/>
        </w:rPr>
        <w:t>)</w:t>
      </w:r>
      <w:r w:rsidR="00777F0E" w:rsidRPr="0058269D">
        <w:rPr>
          <w:rFonts w:ascii="Verdana" w:hAnsi="Verdana" w:cs="Verdana"/>
          <w:sz w:val="20"/>
          <w:szCs w:val="20"/>
          <w:lang w:val="es-CO"/>
        </w:rPr>
        <w:t>, con lo cual dicha declaratoria de prescripción podría incidir en el cumplimiento cabal de la obligación de investigar, juzgar y sancionar</w:t>
      </w:r>
      <w:r w:rsidR="009512BC" w:rsidRPr="0058269D">
        <w:rPr>
          <w:rFonts w:ascii="Verdana" w:hAnsi="Verdana" w:cs="Verdana"/>
          <w:sz w:val="20"/>
          <w:szCs w:val="20"/>
          <w:lang w:val="es-CO"/>
        </w:rPr>
        <w:t xml:space="preserve">. </w:t>
      </w:r>
    </w:p>
    <w:p w14:paraId="63E64205" w14:textId="77777777" w:rsidR="000207D5" w:rsidRPr="0058269D" w:rsidRDefault="000207D5" w:rsidP="000207D5">
      <w:pPr>
        <w:pStyle w:val="ListParagraph"/>
        <w:spacing w:after="0" w:line="240" w:lineRule="auto"/>
        <w:ind w:left="0"/>
        <w:contextualSpacing w:val="0"/>
        <w:jc w:val="both"/>
        <w:rPr>
          <w:rFonts w:ascii="Verdana" w:hAnsi="Verdana" w:cs="Verdana"/>
          <w:sz w:val="20"/>
          <w:szCs w:val="20"/>
          <w:lang w:val="es-CO"/>
        </w:rPr>
      </w:pPr>
    </w:p>
    <w:p w14:paraId="1E91EC81" w14:textId="0E3CCF51" w:rsidR="00615DCD" w:rsidRDefault="00C83158" w:rsidP="007C15A1">
      <w:pPr>
        <w:pStyle w:val="ListParagraph"/>
        <w:numPr>
          <w:ilvl w:val="0"/>
          <w:numId w:val="3"/>
        </w:numPr>
        <w:spacing w:after="0" w:line="240" w:lineRule="auto"/>
        <w:ind w:left="0" w:firstLine="0"/>
        <w:contextualSpacing w:val="0"/>
        <w:jc w:val="both"/>
        <w:rPr>
          <w:rFonts w:ascii="Verdana" w:hAnsi="Verdana" w:cs="Verdana"/>
          <w:sz w:val="20"/>
          <w:szCs w:val="20"/>
          <w:lang w:val="es-CR"/>
        </w:rPr>
      </w:pPr>
      <w:r w:rsidRPr="0058269D">
        <w:rPr>
          <w:rFonts w:ascii="Verdana" w:hAnsi="Verdana" w:cs="Verdana"/>
          <w:sz w:val="20"/>
          <w:szCs w:val="20"/>
          <w:lang w:val="es-CO"/>
        </w:rPr>
        <w:t xml:space="preserve">En lo que respecta al alegato del Perú </w:t>
      </w:r>
      <w:r w:rsidR="00DB1F9F" w:rsidRPr="0058269D">
        <w:rPr>
          <w:rFonts w:ascii="Verdana" w:hAnsi="Verdana" w:cs="Verdana"/>
          <w:sz w:val="20"/>
          <w:szCs w:val="20"/>
          <w:lang w:val="es-CO"/>
        </w:rPr>
        <w:t xml:space="preserve">relativo </w:t>
      </w:r>
      <w:r w:rsidRPr="0058269D">
        <w:rPr>
          <w:rFonts w:ascii="Verdana" w:hAnsi="Verdana" w:cs="Verdana"/>
          <w:sz w:val="20"/>
          <w:szCs w:val="20"/>
          <w:lang w:val="es-CO"/>
        </w:rPr>
        <w:t xml:space="preserve">a que sería inadecuado adoptar medidas provisionales a favor de personas que no fueron declaradas víctimas del caso, </w:t>
      </w:r>
      <w:r w:rsidR="007656E2" w:rsidRPr="0058269D">
        <w:rPr>
          <w:rFonts w:ascii="Verdana" w:hAnsi="Verdana" w:cs="Verdana"/>
          <w:sz w:val="20"/>
          <w:szCs w:val="20"/>
          <w:lang w:val="es-CO"/>
        </w:rPr>
        <w:t xml:space="preserve">el Tribunal considera que, </w:t>
      </w:r>
      <w:r w:rsidR="0076316F" w:rsidRPr="0058269D">
        <w:rPr>
          <w:rFonts w:ascii="Verdana" w:hAnsi="Verdana" w:cs="Verdana"/>
          <w:sz w:val="20"/>
          <w:szCs w:val="20"/>
          <w:lang w:val="es-CO"/>
        </w:rPr>
        <w:t>en el presente caso</w:t>
      </w:r>
      <w:r w:rsidR="00F7251C" w:rsidRPr="0058269D">
        <w:rPr>
          <w:rFonts w:ascii="Verdana" w:hAnsi="Verdana" w:cs="Verdana"/>
          <w:sz w:val="20"/>
          <w:szCs w:val="20"/>
          <w:lang w:val="es-CO"/>
        </w:rPr>
        <w:t>,</w:t>
      </w:r>
      <w:r w:rsidR="0076316F" w:rsidRPr="0058269D">
        <w:rPr>
          <w:rFonts w:ascii="Verdana" w:hAnsi="Verdana" w:cs="Verdana"/>
          <w:sz w:val="20"/>
          <w:szCs w:val="20"/>
          <w:lang w:val="es-CO"/>
        </w:rPr>
        <w:t xml:space="preserve"> aun cuando una medida provisional beneficie de fo</w:t>
      </w:r>
      <w:r w:rsidR="00DB1F9F" w:rsidRPr="0058269D">
        <w:rPr>
          <w:rFonts w:ascii="Verdana" w:hAnsi="Verdana" w:cs="Verdana"/>
          <w:sz w:val="20"/>
          <w:szCs w:val="20"/>
          <w:lang w:val="es-CO"/>
        </w:rPr>
        <w:t>rma indirecta a cuatro</w:t>
      </w:r>
      <w:r w:rsidR="00F7251C" w:rsidRPr="0058269D">
        <w:rPr>
          <w:rFonts w:ascii="Verdana" w:hAnsi="Verdana" w:cs="Verdana"/>
          <w:sz w:val="20"/>
          <w:szCs w:val="20"/>
          <w:lang w:val="es-CO"/>
        </w:rPr>
        <w:t xml:space="preserve"> magistrados</w:t>
      </w:r>
      <w:r w:rsidR="00DB1F9F" w:rsidRPr="0058269D">
        <w:rPr>
          <w:rFonts w:ascii="Verdana" w:hAnsi="Verdana" w:cs="Verdana"/>
          <w:sz w:val="20"/>
          <w:szCs w:val="20"/>
          <w:lang w:val="es-CO"/>
        </w:rPr>
        <w:t xml:space="preserve"> del Tribunal Constitucional</w:t>
      </w:r>
      <w:r w:rsidR="00F7251C" w:rsidRPr="0058269D">
        <w:rPr>
          <w:rFonts w:ascii="Verdana" w:hAnsi="Verdana" w:cs="Verdana"/>
          <w:sz w:val="20"/>
          <w:szCs w:val="20"/>
          <w:lang w:val="es-CO"/>
        </w:rPr>
        <w:t>, el derecho que se estaría tutelando es el de los familiares de los señores Durand y Ugarte a acceder a la justicia en el juzgamiento y eventual sanción de los responsables</w:t>
      </w:r>
      <w:r w:rsidR="00054895" w:rsidRPr="0058269D">
        <w:rPr>
          <w:rFonts w:ascii="Verdana" w:hAnsi="Verdana" w:cs="Verdana"/>
          <w:sz w:val="20"/>
          <w:szCs w:val="20"/>
          <w:lang w:val="es-CO"/>
        </w:rPr>
        <w:t>, protegido en los artículos 8 y 25 de la Convención Americana</w:t>
      </w:r>
      <w:r w:rsidR="00D70286" w:rsidRPr="0058269D">
        <w:rPr>
          <w:rStyle w:val="FootnoteReference"/>
          <w:rFonts w:ascii="Verdana" w:hAnsi="Verdana" w:cs="Verdana"/>
          <w:sz w:val="20"/>
          <w:szCs w:val="20"/>
          <w:lang w:val="es-CO"/>
        </w:rPr>
        <w:footnoteReference w:id="28"/>
      </w:r>
      <w:r w:rsidR="00054895" w:rsidRPr="0058269D">
        <w:rPr>
          <w:rFonts w:ascii="Verdana" w:hAnsi="Verdana" w:cs="Verdana"/>
          <w:sz w:val="20"/>
          <w:szCs w:val="20"/>
          <w:lang w:val="es-CO"/>
        </w:rPr>
        <w:t>,</w:t>
      </w:r>
      <w:r w:rsidR="00054895">
        <w:rPr>
          <w:rFonts w:ascii="Verdana" w:hAnsi="Verdana" w:cs="Verdana"/>
          <w:sz w:val="20"/>
          <w:szCs w:val="20"/>
          <w:lang w:val="es-CO"/>
        </w:rPr>
        <w:t xml:space="preserve"> que exige que las determinaciones y sentencias sean </w:t>
      </w:r>
      <w:r w:rsidR="00054895">
        <w:rPr>
          <w:rFonts w:ascii="Verdana" w:hAnsi="Verdana" w:cs="Verdana"/>
          <w:sz w:val="20"/>
          <w:szCs w:val="20"/>
          <w:lang w:val="es-ES"/>
        </w:rPr>
        <w:t xml:space="preserve">realizadas </w:t>
      </w:r>
      <w:r w:rsidR="00054895" w:rsidRPr="00CA153C">
        <w:rPr>
          <w:rFonts w:ascii="Verdana" w:hAnsi="Verdana" w:cs="Verdana"/>
          <w:sz w:val="20"/>
          <w:szCs w:val="20"/>
          <w:lang w:val="es-ES"/>
        </w:rPr>
        <w:t xml:space="preserve">por un juez o </w:t>
      </w:r>
      <w:r w:rsidR="00054895">
        <w:rPr>
          <w:rFonts w:ascii="Verdana" w:hAnsi="Verdana" w:cs="Verdana"/>
          <w:sz w:val="20"/>
          <w:szCs w:val="20"/>
          <w:lang w:val="es-ES"/>
        </w:rPr>
        <w:t xml:space="preserve">tribunal </w:t>
      </w:r>
      <w:r w:rsidR="00054895" w:rsidRPr="00CA153C">
        <w:rPr>
          <w:rFonts w:ascii="Verdana" w:hAnsi="Verdana" w:cs="Verdana"/>
          <w:sz w:val="20"/>
          <w:szCs w:val="20"/>
          <w:lang w:val="es-ES"/>
        </w:rPr>
        <w:t>independiente</w:t>
      </w:r>
      <w:r w:rsidR="00054895">
        <w:rPr>
          <w:rFonts w:ascii="Verdana" w:hAnsi="Verdana" w:cs="Verdana"/>
          <w:sz w:val="20"/>
          <w:szCs w:val="20"/>
          <w:lang w:val="es-ES"/>
        </w:rPr>
        <w:t xml:space="preserve"> e imparcial</w:t>
      </w:r>
      <w:r w:rsidR="00054895" w:rsidRPr="00CA153C">
        <w:rPr>
          <w:rFonts w:ascii="Verdana" w:hAnsi="Verdana" w:cs="Verdana"/>
          <w:sz w:val="20"/>
          <w:szCs w:val="20"/>
          <w:lang w:val="es-ES"/>
        </w:rPr>
        <w:t xml:space="preserve">. </w:t>
      </w:r>
    </w:p>
    <w:p w14:paraId="0B417B2A" w14:textId="77777777" w:rsidR="00615DCD" w:rsidRPr="00615DCD" w:rsidRDefault="00615DCD" w:rsidP="00615DCD">
      <w:pPr>
        <w:pStyle w:val="ListParagraph"/>
        <w:rPr>
          <w:rFonts w:ascii="Verdana" w:hAnsi="Verdana" w:cs="Verdana"/>
          <w:sz w:val="20"/>
          <w:szCs w:val="20"/>
          <w:lang w:val="es-CO"/>
        </w:rPr>
      </w:pPr>
    </w:p>
    <w:p w14:paraId="18A02D34" w14:textId="216A5890" w:rsidR="0076316F" w:rsidRPr="00615DCD" w:rsidRDefault="00F7251C" w:rsidP="007C15A1">
      <w:pPr>
        <w:pStyle w:val="ListParagraph"/>
        <w:numPr>
          <w:ilvl w:val="0"/>
          <w:numId w:val="3"/>
        </w:numPr>
        <w:spacing w:after="0" w:line="240" w:lineRule="auto"/>
        <w:ind w:left="0" w:firstLine="0"/>
        <w:contextualSpacing w:val="0"/>
        <w:jc w:val="both"/>
        <w:rPr>
          <w:rFonts w:ascii="Verdana" w:hAnsi="Verdana" w:cs="Verdana"/>
          <w:sz w:val="20"/>
          <w:szCs w:val="20"/>
          <w:lang w:val="es-CR"/>
        </w:rPr>
      </w:pPr>
      <w:r w:rsidRPr="00615DCD">
        <w:rPr>
          <w:rFonts w:ascii="Verdana" w:hAnsi="Verdana" w:cs="Verdana"/>
          <w:sz w:val="20"/>
          <w:szCs w:val="20"/>
          <w:lang w:val="es-CO"/>
        </w:rPr>
        <w:t xml:space="preserve">De permitirse una afectación a la independencia judicial en los términos planteados en la solicitud, </w:t>
      </w:r>
      <w:r w:rsidR="00ED5B3F" w:rsidRPr="00615DCD">
        <w:rPr>
          <w:rFonts w:ascii="Verdana" w:hAnsi="Verdana" w:cs="Verdana"/>
          <w:sz w:val="20"/>
          <w:szCs w:val="20"/>
          <w:lang w:val="es-CO"/>
        </w:rPr>
        <w:t xml:space="preserve">como consecuencia de </w:t>
      </w:r>
      <w:r w:rsidR="00DB1F9F" w:rsidRPr="00615DCD">
        <w:rPr>
          <w:rFonts w:ascii="Verdana" w:hAnsi="Verdana" w:cs="Verdana"/>
          <w:sz w:val="20"/>
          <w:szCs w:val="20"/>
          <w:lang w:val="es-CO"/>
        </w:rPr>
        <w:t>una decisión que corrobora y fundamenta si hubo o no un error en el conteo de votos (</w:t>
      </w:r>
      <w:r w:rsidR="00DB1F9F" w:rsidRPr="00615DCD">
        <w:rPr>
          <w:rFonts w:ascii="Verdana" w:hAnsi="Verdana" w:cs="Verdana"/>
          <w:i/>
          <w:sz w:val="20"/>
          <w:szCs w:val="20"/>
          <w:lang w:val="es-CO"/>
        </w:rPr>
        <w:t>supra</w:t>
      </w:r>
      <w:r w:rsidR="00DB1F9F" w:rsidRPr="00615DCD">
        <w:rPr>
          <w:rFonts w:ascii="Verdana" w:hAnsi="Verdana" w:cs="Verdana"/>
          <w:sz w:val="20"/>
          <w:szCs w:val="20"/>
          <w:lang w:val="es-CO"/>
        </w:rPr>
        <w:t xml:space="preserve"> </w:t>
      </w:r>
      <w:r w:rsidR="00DB1F9F" w:rsidRPr="0058269D">
        <w:rPr>
          <w:rFonts w:ascii="Verdana" w:hAnsi="Verdana" w:cs="Verdana"/>
          <w:sz w:val="20"/>
          <w:szCs w:val="20"/>
          <w:lang w:val="es-CO"/>
        </w:rPr>
        <w:t xml:space="preserve">Considerando </w:t>
      </w:r>
      <w:r w:rsidR="00F727B4" w:rsidRPr="0058269D">
        <w:rPr>
          <w:rFonts w:ascii="Verdana" w:hAnsi="Verdana" w:cs="Verdana"/>
          <w:sz w:val="20"/>
          <w:szCs w:val="20"/>
          <w:lang w:val="es-CO"/>
        </w:rPr>
        <w:t>21</w:t>
      </w:r>
      <w:r w:rsidR="00DB1F9F" w:rsidRPr="0058269D">
        <w:rPr>
          <w:rFonts w:ascii="Verdana" w:hAnsi="Verdana" w:cs="Verdana"/>
          <w:sz w:val="20"/>
          <w:szCs w:val="20"/>
          <w:lang w:val="es-CO"/>
        </w:rPr>
        <w:t xml:space="preserve">), </w:t>
      </w:r>
      <w:r w:rsidRPr="0058269D">
        <w:rPr>
          <w:rFonts w:ascii="Verdana" w:hAnsi="Verdana" w:cs="Verdana"/>
          <w:sz w:val="20"/>
          <w:szCs w:val="20"/>
          <w:lang w:val="es-CO"/>
        </w:rPr>
        <w:t xml:space="preserve">el impacto y daño irreparable lo sufrirían las víctimas </w:t>
      </w:r>
      <w:r w:rsidR="0076316F" w:rsidRPr="0058269D">
        <w:rPr>
          <w:rFonts w:ascii="Verdana" w:hAnsi="Verdana" w:cs="Verdana"/>
          <w:sz w:val="20"/>
          <w:szCs w:val="20"/>
          <w:lang w:val="es-CR"/>
        </w:rPr>
        <w:t xml:space="preserve">en su </w:t>
      </w:r>
      <w:r w:rsidR="00CA153C" w:rsidRPr="0058269D">
        <w:rPr>
          <w:rFonts w:ascii="Verdana" w:hAnsi="Verdana" w:cs="Verdana"/>
          <w:sz w:val="20"/>
          <w:szCs w:val="20"/>
          <w:lang w:val="es-CR"/>
        </w:rPr>
        <w:t xml:space="preserve">derecho de </w:t>
      </w:r>
      <w:r w:rsidR="0076316F" w:rsidRPr="0058269D">
        <w:rPr>
          <w:rFonts w:ascii="Verdana" w:hAnsi="Verdana" w:cs="Verdana"/>
          <w:sz w:val="20"/>
          <w:szCs w:val="20"/>
          <w:lang w:val="es-CR"/>
        </w:rPr>
        <w:t>acceso a la justicia</w:t>
      </w:r>
      <w:r w:rsidR="00F727B4" w:rsidRPr="0058269D">
        <w:rPr>
          <w:rFonts w:ascii="Verdana" w:hAnsi="Verdana" w:cs="Verdana"/>
          <w:sz w:val="20"/>
          <w:szCs w:val="20"/>
          <w:lang w:val="es-CR"/>
        </w:rPr>
        <w:t xml:space="preserve"> (</w:t>
      </w:r>
      <w:r w:rsidR="00F727B4" w:rsidRPr="0058269D">
        <w:rPr>
          <w:rFonts w:ascii="Verdana" w:hAnsi="Verdana" w:cs="Verdana"/>
          <w:i/>
          <w:sz w:val="20"/>
          <w:szCs w:val="20"/>
          <w:lang w:val="es-CR"/>
        </w:rPr>
        <w:t xml:space="preserve">infra </w:t>
      </w:r>
      <w:r w:rsidR="00F727B4" w:rsidRPr="0058269D">
        <w:rPr>
          <w:rFonts w:ascii="Verdana" w:hAnsi="Verdana" w:cs="Verdana"/>
          <w:sz w:val="20"/>
          <w:szCs w:val="20"/>
          <w:lang w:val="es-CR"/>
        </w:rPr>
        <w:t>Considerando 40)</w:t>
      </w:r>
      <w:r w:rsidR="00CA153C" w:rsidRPr="0058269D">
        <w:rPr>
          <w:rFonts w:ascii="Verdana" w:hAnsi="Verdana" w:cs="Verdana"/>
          <w:sz w:val="20"/>
          <w:szCs w:val="20"/>
          <w:lang w:val="es-CR"/>
        </w:rPr>
        <w:t>. H</w:t>
      </w:r>
      <w:r w:rsidR="0076316F" w:rsidRPr="0058269D">
        <w:rPr>
          <w:rFonts w:ascii="Verdana" w:hAnsi="Verdana" w:cs="Verdana"/>
          <w:sz w:val="20"/>
          <w:szCs w:val="20"/>
          <w:lang w:val="es-CR"/>
        </w:rPr>
        <w:t>an transcurrido 17 años desde que la Corte ordenó al Estado cumplir con dicha obligación</w:t>
      </w:r>
      <w:r w:rsidR="00B63818" w:rsidRPr="0058269D">
        <w:rPr>
          <w:rFonts w:ascii="Verdana" w:hAnsi="Verdana" w:cs="Verdana"/>
          <w:sz w:val="20"/>
          <w:szCs w:val="20"/>
          <w:lang w:val="es-CR"/>
        </w:rPr>
        <w:t xml:space="preserve"> y </w:t>
      </w:r>
      <w:r w:rsidR="00F727B4" w:rsidRPr="0058269D">
        <w:rPr>
          <w:rFonts w:ascii="Verdana" w:hAnsi="Verdana" w:cs="Verdana"/>
          <w:sz w:val="20"/>
          <w:szCs w:val="20"/>
          <w:lang w:val="es-CR"/>
        </w:rPr>
        <w:t>31</w:t>
      </w:r>
      <w:r w:rsidR="006C1532" w:rsidRPr="00615DCD">
        <w:rPr>
          <w:rFonts w:ascii="Verdana" w:hAnsi="Verdana" w:cs="Verdana"/>
          <w:sz w:val="20"/>
          <w:szCs w:val="20"/>
          <w:lang w:val="es-CR"/>
        </w:rPr>
        <w:t xml:space="preserve"> años desde que ocurrieron los hechos</w:t>
      </w:r>
      <w:r w:rsidR="0076316F" w:rsidRPr="00615DCD">
        <w:rPr>
          <w:rFonts w:ascii="Verdana" w:hAnsi="Verdana" w:cs="Verdana"/>
          <w:sz w:val="20"/>
          <w:szCs w:val="20"/>
          <w:lang w:val="es-CR"/>
        </w:rPr>
        <w:t>. Si bien se ha avanzado en que actualmente hay un proceso penal en trámite, que se encuentra en etapa de juicio oral, resulta indispensable que el Estado garantice el derecho de los familiares de las víctimas a que los jueces que adopten decisiones en relación con dicho proceso</w:t>
      </w:r>
      <w:r w:rsidR="00F727B4">
        <w:rPr>
          <w:rFonts w:ascii="Verdana" w:hAnsi="Verdana" w:cs="Verdana"/>
          <w:sz w:val="20"/>
          <w:szCs w:val="20"/>
          <w:lang w:val="es-CR"/>
        </w:rPr>
        <w:t>,</w:t>
      </w:r>
      <w:r w:rsidR="0076316F" w:rsidRPr="00615DCD">
        <w:rPr>
          <w:rFonts w:ascii="Verdana" w:hAnsi="Verdana" w:cs="Verdana"/>
          <w:sz w:val="20"/>
          <w:szCs w:val="20"/>
          <w:lang w:val="es-CR"/>
        </w:rPr>
        <w:t xml:space="preserve"> </w:t>
      </w:r>
      <w:r w:rsidR="006C1532" w:rsidRPr="00615DCD">
        <w:rPr>
          <w:rFonts w:ascii="Verdana" w:hAnsi="Verdana" w:cs="Verdana"/>
          <w:sz w:val="20"/>
          <w:szCs w:val="20"/>
          <w:lang w:val="es-CR"/>
        </w:rPr>
        <w:t>o que incidan en el mismo</w:t>
      </w:r>
      <w:r w:rsidR="00F727B4">
        <w:rPr>
          <w:rFonts w:ascii="Verdana" w:hAnsi="Verdana" w:cs="Verdana"/>
          <w:sz w:val="20"/>
          <w:szCs w:val="20"/>
          <w:lang w:val="es-CR"/>
        </w:rPr>
        <w:t>,</w:t>
      </w:r>
      <w:r w:rsidR="006C1532" w:rsidRPr="00615DCD">
        <w:rPr>
          <w:rFonts w:ascii="Verdana" w:hAnsi="Verdana" w:cs="Verdana"/>
          <w:sz w:val="20"/>
          <w:szCs w:val="20"/>
          <w:lang w:val="es-CR"/>
        </w:rPr>
        <w:t xml:space="preserve"> </w:t>
      </w:r>
      <w:r w:rsidR="0076316F" w:rsidRPr="00615DCD">
        <w:rPr>
          <w:rFonts w:ascii="Verdana" w:hAnsi="Verdana" w:cs="Verdana"/>
          <w:sz w:val="20"/>
          <w:szCs w:val="20"/>
          <w:lang w:val="es-CR"/>
        </w:rPr>
        <w:t xml:space="preserve">se encuentren protegidos por la garantía de independencia judicial, de manera que puedan realizar un ejercicio autónomo de su función judicial, sin ser objeto de </w:t>
      </w:r>
      <w:r w:rsidR="00B63818" w:rsidRPr="00615DCD">
        <w:rPr>
          <w:rFonts w:ascii="Verdana" w:hAnsi="Verdana" w:cs="Verdana"/>
          <w:sz w:val="20"/>
          <w:szCs w:val="20"/>
          <w:lang w:val="es-CR"/>
        </w:rPr>
        <w:t>represa</w:t>
      </w:r>
      <w:r w:rsidR="00B87AC5" w:rsidRPr="00615DCD">
        <w:rPr>
          <w:rFonts w:ascii="Verdana" w:hAnsi="Verdana" w:cs="Verdana"/>
          <w:sz w:val="20"/>
          <w:szCs w:val="20"/>
          <w:lang w:val="es-CR"/>
        </w:rPr>
        <w:t xml:space="preserve">lias, </w:t>
      </w:r>
      <w:r w:rsidR="0076316F" w:rsidRPr="00615DCD">
        <w:rPr>
          <w:rFonts w:ascii="Verdana" w:hAnsi="Verdana" w:cs="Verdana"/>
          <w:sz w:val="20"/>
          <w:szCs w:val="20"/>
          <w:lang w:val="es-CR"/>
        </w:rPr>
        <w:t xml:space="preserve">amenazas ni intimidaciones directas o indirectas. </w:t>
      </w:r>
      <w:r w:rsidR="0076316F" w:rsidRPr="00615DCD">
        <w:rPr>
          <w:rFonts w:ascii="Verdana" w:hAnsi="Verdana" w:cs="Verdana"/>
          <w:sz w:val="20"/>
          <w:szCs w:val="20"/>
          <w:lang w:val="es-ES"/>
        </w:rPr>
        <w:t>Es decir, la independencia judicial constituye un requisito fundamental para garantizar los derechos y libertades fundamentales, lo cual se encuentra además reconocido en los Principios Básicos sobre la Independencia de la Judicatura, adoptados por las Naciones Unidas en 1985</w:t>
      </w:r>
      <w:r w:rsidR="0076316F" w:rsidRPr="006665A4">
        <w:rPr>
          <w:rStyle w:val="FootnoteReference"/>
          <w:rFonts w:ascii="Verdana" w:hAnsi="Verdana" w:cs="Verdana"/>
          <w:sz w:val="20"/>
          <w:szCs w:val="20"/>
          <w:lang w:val="es-ES"/>
        </w:rPr>
        <w:footnoteReference w:id="29"/>
      </w:r>
      <w:r w:rsidR="0076316F" w:rsidRPr="00615DCD">
        <w:rPr>
          <w:rFonts w:ascii="Verdana" w:hAnsi="Verdana" w:cs="Verdana"/>
          <w:sz w:val="20"/>
          <w:szCs w:val="20"/>
          <w:lang w:val="es-ES"/>
        </w:rPr>
        <w:t>.</w:t>
      </w:r>
    </w:p>
    <w:p w14:paraId="7EC6867C" w14:textId="77777777" w:rsidR="00D0071C" w:rsidRPr="00CA153C" w:rsidRDefault="00D0071C" w:rsidP="00D0071C">
      <w:pPr>
        <w:pStyle w:val="ListParagraph"/>
        <w:spacing w:after="0" w:line="240" w:lineRule="auto"/>
        <w:ind w:left="0"/>
        <w:contextualSpacing w:val="0"/>
        <w:jc w:val="both"/>
        <w:rPr>
          <w:rFonts w:ascii="Verdana" w:hAnsi="Verdana" w:cs="Verdana"/>
          <w:sz w:val="20"/>
          <w:szCs w:val="20"/>
          <w:lang w:val="es-CR"/>
        </w:rPr>
      </w:pPr>
    </w:p>
    <w:p w14:paraId="23DD5DC6" w14:textId="5CAB689E" w:rsidR="008B532B" w:rsidRPr="00794312" w:rsidRDefault="006B0F9C" w:rsidP="007C15A1">
      <w:pPr>
        <w:pStyle w:val="ListParagraph"/>
        <w:numPr>
          <w:ilvl w:val="0"/>
          <w:numId w:val="3"/>
        </w:numPr>
        <w:spacing w:after="0" w:line="240" w:lineRule="auto"/>
        <w:ind w:left="0" w:firstLine="0"/>
        <w:contextualSpacing w:val="0"/>
        <w:jc w:val="both"/>
        <w:rPr>
          <w:rFonts w:ascii="Verdana" w:hAnsi="Verdana" w:cs="Verdana"/>
          <w:sz w:val="20"/>
          <w:szCs w:val="20"/>
          <w:u w:val="single"/>
          <w:lang w:val="es-CO"/>
        </w:rPr>
      </w:pPr>
      <w:r>
        <w:rPr>
          <w:rFonts w:ascii="Verdana" w:hAnsi="Verdana" w:cs="Verdana"/>
          <w:sz w:val="20"/>
          <w:szCs w:val="20"/>
          <w:lang w:val="es-CO"/>
        </w:rPr>
        <w:t xml:space="preserve">Por las razones expuestas, </w:t>
      </w:r>
      <w:r w:rsidR="005D6346" w:rsidRPr="00056C90">
        <w:rPr>
          <w:rFonts w:ascii="Verdana" w:hAnsi="Verdana" w:cs="Verdana"/>
          <w:sz w:val="20"/>
          <w:szCs w:val="20"/>
          <w:lang w:val="es-CO"/>
        </w:rPr>
        <w:t>la Corte considera improcedente</w:t>
      </w:r>
      <w:r>
        <w:rPr>
          <w:rFonts w:ascii="Verdana" w:hAnsi="Verdana" w:cs="Verdana"/>
          <w:sz w:val="20"/>
          <w:szCs w:val="20"/>
          <w:lang w:val="es-CO"/>
        </w:rPr>
        <w:t>s los</w:t>
      </w:r>
      <w:r w:rsidR="005D6346" w:rsidRPr="00056C90">
        <w:rPr>
          <w:rFonts w:ascii="Verdana" w:hAnsi="Verdana" w:cs="Verdana"/>
          <w:sz w:val="20"/>
          <w:szCs w:val="20"/>
          <w:lang w:val="es-CO"/>
        </w:rPr>
        <w:t xml:space="preserve"> argumento</w:t>
      </w:r>
      <w:r>
        <w:rPr>
          <w:rFonts w:ascii="Verdana" w:hAnsi="Verdana" w:cs="Verdana"/>
          <w:sz w:val="20"/>
          <w:szCs w:val="20"/>
          <w:lang w:val="es-CO"/>
        </w:rPr>
        <w:t>s</w:t>
      </w:r>
      <w:r w:rsidR="005D6346" w:rsidRPr="00056C90">
        <w:rPr>
          <w:rFonts w:ascii="Verdana" w:hAnsi="Verdana" w:cs="Verdana"/>
          <w:sz w:val="20"/>
          <w:szCs w:val="20"/>
          <w:lang w:val="es-CO"/>
        </w:rPr>
        <w:t xml:space="preserve"> formula</w:t>
      </w:r>
      <w:r w:rsidR="00815460" w:rsidRPr="00056C90">
        <w:rPr>
          <w:rFonts w:ascii="Verdana" w:hAnsi="Verdana" w:cs="Verdana"/>
          <w:sz w:val="20"/>
          <w:szCs w:val="20"/>
          <w:lang w:val="es-CO"/>
        </w:rPr>
        <w:t>do</w:t>
      </w:r>
      <w:r>
        <w:rPr>
          <w:rFonts w:ascii="Verdana" w:hAnsi="Verdana" w:cs="Verdana"/>
          <w:sz w:val="20"/>
          <w:szCs w:val="20"/>
          <w:lang w:val="es-CO"/>
        </w:rPr>
        <w:t>s</w:t>
      </w:r>
      <w:r w:rsidR="00815460" w:rsidRPr="00056C90">
        <w:rPr>
          <w:rFonts w:ascii="Verdana" w:hAnsi="Verdana" w:cs="Verdana"/>
          <w:sz w:val="20"/>
          <w:szCs w:val="20"/>
          <w:lang w:val="es-CO"/>
        </w:rPr>
        <w:t xml:space="preserve"> por el Estado </w:t>
      </w:r>
      <w:r>
        <w:rPr>
          <w:rFonts w:ascii="Verdana" w:hAnsi="Verdana" w:cs="Verdana"/>
          <w:sz w:val="20"/>
          <w:szCs w:val="20"/>
          <w:lang w:val="es-CO"/>
        </w:rPr>
        <w:t xml:space="preserve">relativos a que no hay una </w:t>
      </w:r>
      <w:r w:rsidR="00A27BCA">
        <w:rPr>
          <w:rFonts w:ascii="Verdana" w:hAnsi="Verdana" w:cs="Verdana"/>
          <w:sz w:val="20"/>
          <w:szCs w:val="20"/>
          <w:lang w:val="es-CO"/>
        </w:rPr>
        <w:t>relación directa entre la solicitud de medidas provisionales y el objeto del caso</w:t>
      </w:r>
      <w:r w:rsidR="009512BC">
        <w:rPr>
          <w:rFonts w:ascii="Verdana" w:hAnsi="Verdana" w:cs="Verdana"/>
          <w:sz w:val="20"/>
          <w:szCs w:val="20"/>
          <w:lang w:val="es-CO"/>
        </w:rPr>
        <w:t xml:space="preserve"> (</w:t>
      </w:r>
      <w:r w:rsidR="009512BC" w:rsidRPr="009C4D69">
        <w:rPr>
          <w:rFonts w:ascii="Verdana" w:hAnsi="Verdana" w:cs="Verdana"/>
          <w:i/>
          <w:sz w:val="20"/>
          <w:szCs w:val="20"/>
          <w:lang w:val="es-CO"/>
        </w:rPr>
        <w:t>supra</w:t>
      </w:r>
      <w:r w:rsidR="009512BC">
        <w:rPr>
          <w:rFonts w:ascii="Verdana" w:hAnsi="Verdana" w:cs="Verdana"/>
          <w:sz w:val="20"/>
          <w:szCs w:val="20"/>
          <w:lang w:val="es-CO"/>
        </w:rPr>
        <w:t xml:space="preserve"> Considerando </w:t>
      </w:r>
      <w:r w:rsidR="00F727B4" w:rsidRPr="0058269D">
        <w:rPr>
          <w:rFonts w:ascii="Verdana" w:hAnsi="Verdana" w:cs="Verdana"/>
          <w:sz w:val="20"/>
          <w:szCs w:val="20"/>
          <w:lang w:val="es-CO"/>
        </w:rPr>
        <w:t>14</w:t>
      </w:r>
      <w:r w:rsidR="009512BC" w:rsidRPr="0058269D">
        <w:rPr>
          <w:rFonts w:ascii="Verdana" w:hAnsi="Verdana" w:cs="Verdana"/>
          <w:sz w:val="20"/>
          <w:szCs w:val="20"/>
          <w:lang w:val="es-CO"/>
        </w:rPr>
        <w:t>)</w:t>
      </w:r>
      <w:r w:rsidR="00A27BCA" w:rsidRPr="0058269D">
        <w:rPr>
          <w:rFonts w:ascii="Verdana" w:hAnsi="Verdana" w:cs="Verdana"/>
          <w:sz w:val="20"/>
          <w:szCs w:val="20"/>
          <w:lang w:val="es-CO"/>
        </w:rPr>
        <w:t>.</w:t>
      </w:r>
      <w:r w:rsidR="00A27BCA">
        <w:rPr>
          <w:rFonts w:ascii="Verdana" w:hAnsi="Verdana" w:cs="Verdana"/>
          <w:sz w:val="20"/>
          <w:szCs w:val="20"/>
          <w:lang w:val="es-CO"/>
        </w:rPr>
        <w:t xml:space="preserve"> </w:t>
      </w:r>
      <w:r w:rsidR="00354C56" w:rsidRPr="00ED5B3F">
        <w:rPr>
          <w:rFonts w:ascii="Verdana" w:hAnsi="Verdana" w:cs="Verdana"/>
          <w:sz w:val="20"/>
          <w:szCs w:val="20"/>
          <w:lang w:val="es-CO"/>
        </w:rPr>
        <w:t>Adicionalmente</w:t>
      </w:r>
      <w:r w:rsidR="00777F0E" w:rsidRPr="00ED5B3F">
        <w:rPr>
          <w:rFonts w:ascii="Verdana" w:hAnsi="Verdana" w:cs="Verdana"/>
          <w:sz w:val="20"/>
          <w:szCs w:val="20"/>
          <w:lang w:val="es-CO"/>
        </w:rPr>
        <w:t xml:space="preserve">, </w:t>
      </w:r>
      <w:r w:rsidR="00354C56" w:rsidRPr="00ED5B3F">
        <w:rPr>
          <w:rFonts w:ascii="Verdana" w:hAnsi="Verdana" w:cs="Verdana"/>
          <w:sz w:val="20"/>
          <w:szCs w:val="20"/>
          <w:lang w:val="es-CO"/>
        </w:rPr>
        <w:t>ante los argumentos del Estado respecto a que el objeto del caso ante</w:t>
      </w:r>
      <w:r w:rsidR="00C74734" w:rsidRPr="00ED5B3F">
        <w:rPr>
          <w:rFonts w:ascii="Verdana" w:hAnsi="Verdana" w:cs="Verdana"/>
          <w:sz w:val="20"/>
          <w:szCs w:val="20"/>
          <w:lang w:val="es-CO"/>
        </w:rPr>
        <w:t xml:space="preserve"> la Corte Interamericana atañe </w:t>
      </w:r>
      <w:r w:rsidR="00C74734" w:rsidRPr="00ED5B3F">
        <w:rPr>
          <w:rFonts w:ascii="Verdana" w:hAnsi="Verdana" w:cs="Verdana"/>
          <w:sz w:val="20"/>
          <w:szCs w:val="20"/>
          <w:lang w:val="es-CO"/>
        </w:rPr>
        <w:lastRenderedPageBreak/>
        <w:t>ú</w:t>
      </w:r>
      <w:r w:rsidR="00354C56" w:rsidRPr="00ED5B3F">
        <w:rPr>
          <w:rFonts w:ascii="Verdana" w:hAnsi="Verdana" w:cs="Verdana"/>
          <w:sz w:val="20"/>
          <w:szCs w:val="20"/>
          <w:lang w:val="es-CO"/>
        </w:rPr>
        <w:t xml:space="preserve">nicamente a garantizar la obligación de investigar, juzgar y, en su caso, sancionar a los responsables de las violaciones perpetradas contra los señores Durand y Ugarte, </w:t>
      </w:r>
      <w:r w:rsidR="00777F0E" w:rsidRPr="00ED5B3F">
        <w:rPr>
          <w:rFonts w:ascii="Verdana" w:hAnsi="Verdana" w:cs="Verdana"/>
          <w:sz w:val="20"/>
          <w:szCs w:val="20"/>
          <w:lang w:val="es-CO"/>
        </w:rPr>
        <w:t xml:space="preserve">la Corte </w:t>
      </w:r>
      <w:r w:rsidR="00C74734" w:rsidRPr="00ED5B3F">
        <w:rPr>
          <w:rFonts w:ascii="Verdana" w:hAnsi="Verdana" w:cs="Verdana"/>
          <w:sz w:val="20"/>
          <w:szCs w:val="20"/>
          <w:lang w:val="es-CO"/>
        </w:rPr>
        <w:t>estima conveniente recordar que efectivamente las víctimas del caso en e</w:t>
      </w:r>
      <w:r w:rsidR="00794312" w:rsidRPr="00ED5B3F">
        <w:rPr>
          <w:rFonts w:ascii="Verdana" w:hAnsi="Verdana" w:cs="Verdana"/>
          <w:sz w:val="20"/>
          <w:szCs w:val="20"/>
          <w:lang w:val="es-CO"/>
        </w:rPr>
        <w:t>l proceso internacional fueron ú</w:t>
      </w:r>
      <w:r w:rsidR="00C74734" w:rsidRPr="00ED5B3F">
        <w:rPr>
          <w:rFonts w:ascii="Verdana" w:hAnsi="Verdana" w:cs="Verdana"/>
          <w:sz w:val="20"/>
          <w:szCs w:val="20"/>
          <w:lang w:val="es-CO"/>
        </w:rPr>
        <w:t>nicame</w:t>
      </w:r>
      <w:r w:rsidR="00800413" w:rsidRPr="00ED5B3F">
        <w:rPr>
          <w:rFonts w:ascii="Verdana" w:hAnsi="Verdana" w:cs="Verdana"/>
          <w:sz w:val="20"/>
          <w:szCs w:val="20"/>
          <w:lang w:val="es-CO"/>
        </w:rPr>
        <w:t xml:space="preserve">nte </w:t>
      </w:r>
      <w:r w:rsidR="00800413" w:rsidRPr="00ED5B3F">
        <w:rPr>
          <w:rFonts w:ascii="Verdana" w:hAnsi="Verdana"/>
          <w:sz w:val="20"/>
          <w:lang w:val="es-ES_tradnl"/>
        </w:rPr>
        <w:t>los señores Nolberto Durand Ugarte y Gabriel Pablo Ugarte Rivera y sus familiares</w:t>
      </w:r>
      <w:r w:rsidR="00C74734" w:rsidRPr="00ED5B3F">
        <w:rPr>
          <w:rFonts w:ascii="Verdana" w:hAnsi="Verdana" w:cs="Verdana"/>
          <w:sz w:val="20"/>
          <w:szCs w:val="20"/>
          <w:lang w:val="es-CO"/>
        </w:rPr>
        <w:t>, debido a que fue</w:t>
      </w:r>
      <w:r w:rsidR="00A770B1" w:rsidRPr="00ED5B3F">
        <w:rPr>
          <w:rFonts w:ascii="Verdana" w:hAnsi="Verdana" w:cs="Verdana"/>
          <w:sz w:val="20"/>
          <w:szCs w:val="20"/>
          <w:lang w:val="es-CO"/>
        </w:rPr>
        <w:t>ron las únicas personas incluidas como presuntas víctimas por la Comisió</w:t>
      </w:r>
      <w:r w:rsidR="00C74734" w:rsidRPr="00ED5B3F">
        <w:rPr>
          <w:rFonts w:ascii="Verdana" w:hAnsi="Verdana" w:cs="Verdana"/>
          <w:sz w:val="20"/>
          <w:szCs w:val="20"/>
          <w:lang w:val="es-CO"/>
        </w:rPr>
        <w:t>n Interamericana tanto en su informe de</w:t>
      </w:r>
      <w:r w:rsidR="00A770B1" w:rsidRPr="00ED5B3F">
        <w:rPr>
          <w:rFonts w:ascii="Verdana" w:hAnsi="Verdana" w:cs="Verdana"/>
          <w:sz w:val="20"/>
          <w:szCs w:val="20"/>
          <w:lang w:val="es-CO"/>
        </w:rPr>
        <w:t xml:space="preserve"> fondo como en la demanda prese</w:t>
      </w:r>
      <w:r w:rsidR="00C74734" w:rsidRPr="00ED5B3F">
        <w:rPr>
          <w:rFonts w:ascii="Verdana" w:hAnsi="Verdana" w:cs="Verdana"/>
          <w:sz w:val="20"/>
          <w:szCs w:val="20"/>
          <w:lang w:val="es-CO"/>
        </w:rPr>
        <w:t>ntada ante este Tribunal. No obstante, también considera</w:t>
      </w:r>
      <w:r w:rsidR="00777F0E" w:rsidRPr="00ED5B3F">
        <w:rPr>
          <w:rFonts w:ascii="Verdana" w:hAnsi="Verdana" w:cs="Verdana"/>
          <w:sz w:val="20"/>
          <w:szCs w:val="20"/>
          <w:lang w:val="es-CO"/>
        </w:rPr>
        <w:t xml:space="preserve"> oportuno recordar al Perú que en el acuerdo de reparaciones que suscribió con las víctimas del </w:t>
      </w:r>
      <w:r w:rsidR="00777F0E" w:rsidRPr="00231C31">
        <w:rPr>
          <w:rFonts w:ascii="Verdana" w:hAnsi="Verdana" w:cs="Verdana"/>
          <w:i/>
          <w:sz w:val="20"/>
          <w:szCs w:val="20"/>
          <w:lang w:val="es-CO"/>
        </w:rPr>
        <w:t>caso Durand y Ugarte</w:t>
      </w:r>
      <w:r w:rsidR="00777F0E" w:rsidRPr="00ED5B3F">
        <w:rPr>
          <w:rFonts w:ascii="Verdana" w:hAnsi="Verdana" w:cs="Verdana"/>
          <w:sz w:val="20"/>
          <w:szCs w:val="20"/>
          <w:lang w:val="es-CO"/>
        </w:rPr>
        <w:t>, que fue homo</w:t>
      </w:r>
      <w:r w:rsidR="00C74734" w:rsidRPr="00ED5B3F">
        <w:rPr>
          <w:rFonts w:ascii="Verdana" w:hAnsi="Verdana" w:cs="Verdana"/>
          <w:sz w:val="20"/>
          <w:szCs w:val="20"/>
          <w:lang w:val="es-CO"/>
        </w:rPr>
        <w:t>logado por este tribunal en la S</w:t>
      </w:r>
      <w:r w:rsidR="00777F0E" w:rsidRPr="00ED5B3F">
        <w:rPr>
          <w:rFonts w:ascii="Verdana" w:hAnsi="Verdana" w:cs="Verdana"/>
          <w:sz w:val="20"/>
          <w:szCs w:val="20"/>
          <w:lang w:val="es-CO"/>
        </w:rPr>
        <w:t>entencia de reparacione</w:t>
      </w:r>
      <w:r w:rsidR="008B532B" w:rsidRPr="00ED5B3F">
        <w:rPr>
          <w:rFonts w:ascii="Verdana" w:hAnsi="Verdana" w:cs="Verdana"/>
          <w:sz w:val="20"/>
          <w:szCs w:val="20"/>
          <w:lang w:val="es-CO"/>
        </w:rPr>
        <w:t xml:space="preserve">s, el Estado se comprometió </w:t>
      </w:r>
      <w:r w:rsidR="00794312" w:rsidRPr="00ED5B3F">
        <w:rPr>
          <w:rFonts w:ascii="Verdana" w:hAnsi="Verdana" w:cs="Verdana"/>
          <w:sz w:val="20"/>
          <w:szCs w:val="20"/>
          <w:lang w:val="es-CO"/>
        </w:rPr>
        <w:t>a “</w:t>
      </w:r>
      <w:r w:rsidR="008B532B" w:rsidRPr="00ED5B3F">
        <w:rPr>
          <w:rFonts w:ascii="Verdana" w:hAnsi="Verdana"/>
          <w:sz w:val="20"/>
          <w:lang w:val="es-ES_tradnl"/>
        </w:rPr>
        <w:t>seguir impulsando la investigación que se tramita ante la 41 Fiscalía Penal de Lima, por el delito de homicidio en perjuicio de 30 personas, entre las cuales se encuentran Nolberto Durand Ugarte y Gabriel Pablo Ugarte Rivera</w:t>
      </w:r>
      <w:r w:rsidR="00F727B4">
        <w:rPr>
          <w:rFonts w:ascii="Verdana" w:hAnsi="Verdana"/>
          <w:sz w:val="20"/>
          <w:lang w:val="es-ES_tradnl"/>
        </w:rPr>
        <w:t>”</w:t>
      </w:r>
      <w:r w:rsidR="008B532B" w:rsidRPr="00ED5B3F">
        <w:rPr>
          <w:rStyle w:val="FootnoteReference"/>
          <w:rFonts w:ascii="Verdana" w:hAnsi="Verdana"/>
          <w:sz w:val="20"/>
          <w:lang w:val="es-ES_tradnl"/>
        </w:rPr>
        <w:footnoteReference w:id="30"/>
      </w:r>
      <w:r w:rsidR="00794312" w:rsidRPr="00ED5B3F">
        <w:rPr>
          <w:rFonts w:ascii="Verdana" w:hAnsi="Verdana"/>
          <w:sz w:val="20"/>
          <w:lang w:val="es-ES_tradnl"/>
        </w:rPr>
        <w:t>, compromiso que debería cumplir en acatamiento de sus obligaciones convencionales</w:t>
      </w:r>
      <w:r w:rsidR="00794312">
        <w:rPr>
          <w:rFonts w:ascii="Verdana" w:hAnsi="Verdana"/>
          <w:sz w:val="20"/>
          <w:lang w:val="es-ES_tradnl"/>
        </w:rPr>
        <w:t xml:space="preserve">. </w:t>
      </w:r>
    </w:p>
    <w:p w14:paraId="74F77AF3" w14:textId="77777777" w:rsidR="005811F1" w:rsidRPr="005811F1" w:rsidRDefault="005811F1" w:rsidP="005811F1">
      <w:pPr>
        <w:pStyle w:val="ListParagraph"/>
        <w:spacing w:after="0" w:line="240" w:lineRule="auto"/>
        <w:ind w:left="0"/>
        <w:contextualSpacing w:val="0"/>
        <w:jc w:val="both"/>
        <w:rPr>
          <w:rFonts w:ascii="Verdana" w:hAnsi="Verdana" w:cs="Verdana"/>
          <w:sz w:val="16"/>
          <w:szCs w:val="16"/>
          <w:lang w:val="es-CO"/>
        </w:rPr>
      </w:pPr>
    </w:p>
    <w:p w14:paraId="5534AFAA" w14:textId="6B33E259" w:rsidR="004A5B94" w:rsidRPr="000E6D5A" w:rsidRDefault="00963310" w:rsidP="007C15A1">
      <w:pPr>
        <w:pStyle w:val="ListParagraph"/>
        <w:numPr>
          <w:ilvl w:val="0"/>
          <w:numId w:val="3"/>
        </w:numPr>
        <w:spacing w:after="0" w:line="240" w:lineRule="auto"/>
        <w:ind w:left="0" w:firstLine="0"/>
        <w:contextualSpacing w:val="0"/>
        <w:jc w:val="both"/>
        <w:rPr>
          <w:rFonts w:ascii="Verdana" w:hAnsi="Verdana" w:cs="Verdana"/>
          <w:sz w:val="16"/>
          <w:szCs w:val="16"/>
          <w:lang w:val="es-CO"/>
        </w:rPr>
      </w:pPr>
      <w:r>
        <w:rPr>
          <w:rFonts w:ascii="Verdana" w:hAnsi="Verdana" w:cs="Verdana"/>
          <w:sz w:val="20"/>
          <w:szCs w:val="20"/>
          <w:lang w:val="es-CO"/>
        </w:rPr>
        <w:t>En este sentido, el</w:t>
      </w:r>
      <w:r w:rsidR="00C20129" w:rsidRPr="00056C90">
        <w:rPr>
          <w:rFonts w:ascii="Verdana" w:hAnsi="Verdana" w:cs="Verdana"/>
          <w:sz w:val="20"/>
          <w:szCs w:val="20"/>
          <w:lang w:val="es-CO"/>
        </w:rPr>
        <w:t xml:space="preserve"> Tribunal</w:t>
      </w:r>
      <w:r w:rsidR="00ED7C20" w:rsidRPr="00056C90">
        <w:rPr>
          <w:rFonts w:ascii="Verdana" w:eastAsiaTheme="minorHAnsi" w:hAnsi="Verdana" w:cs="Verdana"/>
          <w:color w:val="000000"/>
          <w:sz w:val="20"/>
          <w:szCs w:val="20"/>
          <w:lang w:val="es-CR"/>
        </w:rPr>
        <w:t xml:space="preserve"> considera que </w:t>
      </w:r>
      <w:r w:rsidR="00C20129" w:rsidRPr="00056C90">
        <w:rPr>
          <w:rFonts w:ascii="Verdana" w:eastAsiaTheme="minorHAnsi" w:hAnsi="Verdana" w:cs="Verdana"/>
          <w:color w:val="000000"/>
          <w:sz w:val="20"/>
          <w:szCs w:val="20"/>
          <w:lang w:val="es-CR"/>
        </w:rPr>
        <w:t xml:space="preserve">se configura el requisito relativo a que la solicitud de las medidas provisionales tenga “relación con el objeto del caso”, </w:t>
      </w:r>
      <w:r w:rsidR="00ED7C20" w:rsidRPr="00056C90">
        <w:rPr>
          <w:rFonts w:ascii="Verdana" w:eastAsiaTheme="minorHAnsi" w:hAnsi="Verdana" w:cs="Verdana"/>
          <w:color w:val="000000"/>
          <w:sz w:val="20"/>
          <w:szCs w:val="20"/>
          <w:lang w:val="es-CR"/>
        </w:rPr>
        <w:t xml:space="preserve">en tanto la solicitud </w:t>
      </w:r>
      <w:r w:rsidR="007C321C" w:rsidRPr="00056C90">
        <w:rPr>
          <w:rFonts w:ascii="Verdana" w:eastAsiaTheme="minorHAnsi" w:hAnsi="Verdana" w:cs="Verdana"/>
          <w:color w:val="000000"/>
          <w:sz w:val="20"/>
          <w:szCs w:val="20"/>
          <w:lang w:val="es-CR"/>
        </w:rPr>
        <w:t xml:space="preserve">en cuestión </w:t>
      </w:r>
      <w:r w:rsidR="00125148" w:rsidRPr="00056C90">
        <w:rPr>
          <w:rFonts w:ascii="Verdana" w:eastAsiaTheme="minorHAnsi" w:hAnsi="Verdana" w:cs="Verdana"/>
          <w:color w:val="000000"/>
          <w:sz w:val="20"/>
          <w:szCs w:val="20"/>
          <w:lang w:val="es-CR"/>
        </w:rPr>
        <w:t xml:space="preserve">se refiere </w:t>
      </w:r>
      <w:r w:rsidR="009B597B" w:rsidRPr="00056C90">
        <w:rPr>
          <w:rFonts w:ascii="Verdana" w:eastAsiaTheme="minorHAnsi" w:hAnsi="Verdana" w:cs="Verdana"/>
          <w:color w:val="000000"/>
          <w:sz w:val="20"/>
          <w:szCs w:val="20"/>
          <w:lang w:val="es-CR"/>
        </w:rPr>
        <w:t xml:space="preserve">al </w:t>
      </w:r>
      <w:r w:rsidR="00917145" w:rsidRPr="00056C90">
        <w:rPr>
          <w:rFonts w:ascii="Verdana" w:hAnsi="Verdana"/>
          <w:sz w:val="20"/>
          <w:szCs w:val="20"/>
          <w:lang w:val="es-CR"/>
        </w:rPr>
        <w:t xml:space="preserve">procedimiento de acusación constitucional seguido ante el Congreso de la República contra </w:t>
      </w:r>
      <w:r w:rsidR="009B597B" w:rsidRPr="00056C90">
        <w:rPr>
          <w:rFonts w:ascii="Verdana" w:hAnsi="Verdana"/>
          <w:sz w:val="20"/>
          <w:szCs w:val="20"/>
          <w:lang w:val="es-CR"/>
        </w:rPr>
        <w:t xml:space="preserve">cuatro </w:t>
      </w:r>
      <w:r w:rsidR="00917145" w:rsidRPr="00056C90">
        <w:rPr>
          <w:rFonts w:ascii="Verdana" w:hAnsi="Verdana"/>
          <w:sz w:val="20"/>
          <w:szCs w:val="20"/>
          <w:lang w:val="es-CR"/>
        </w:rPr>
        <w:t xml:space="preserve">magistrados del Tribunal Constitucional del Perú por </w:t>
      </w:r>
      <w:r w:rsidR="007C321C" w:rsidRPr="00056C90">
        <w:rPr>
          <w:rFonts w:ascii="Verdana" w:hAnsi="Verdana"/>
          <w:sz w:val="20"/>
          <w:szCs w:val="20"/>
          <w:lang w:val="es-CR"/>
        </w:rPr>
        <w:t>autos emitidos</w:t>
      </w:r>
      <w:r w:rsidR="00917145" w:rsidRPr="00056C90">
        <w:rPr>
          <w:rFonts w:ascii="Verdana" w:hAnsi="Verdana"/>
          <w:sz w:val="20"/>
          <w:szCs w:val="20"/>
          <w:lang w:val="es-CR"/>
        </w:rPr>
        <w:t xml:space="preserve"> en los años 2016 y 2017, mediante las cuales resolvieron “subsanar un error material” </w:t>
      </w:r>
      <w:r w:rsidR="006A6CBB" w:rsidRPr="00056C90">
        <w:rPr>
          <w:rFonts w:ascii="Verdana" w:hAnsi="Verdana"/>
          <w:sz w:val="20"/>
          <w:szCs w:val="20"/>
          <w:lang w:val="es-CR"/>
        </w:rPr>
        <w:t xml:space="preserve">con respecto al conteo de votos </w:t>
      </w:r>
      <w:r w:rsidR="00C20129" w:rsidRPr="00056C90">
        <w:rPr>
          <w:rFonts w:ascii="Verdana" w:hAnsi="Verdana"/>
          <w:sz w:val="20"/>
          <w:szCs w:val="20"/>
          <w:lang w:val="es-CR"/>
        </w:rPr>
        <w:t xml:space="preserve">de una sentencia del año 2013 que resolvió un recurso de agravio constitucional presentado por varios imputados del referido proceso penal abierto por los hechos sucedidos en el </w:t>
      </w:r>
      <w:r w:rsidR="00F727B4">
        <w:rPr>
          <w:rFonts w:ascii="Verdana" w:hAnsi="Verdana"/>
          <w:sz w:val="20"/>
          <w:szCs w:val="20"/>
          <w:lang w:val="es-CR"/>
        </w:rPr>
        <w:t>establecimiento penal</w:t>
      </w:r>
      <w:r w:rsidR="00C20129" w:rsidRPr="00056C90">
        <w:rPr>
          <w:rFonts w:ascii="Verdana" w:hAnsi="Verdana"/>
          <w:sz w:val="20"/>
          <w:szCs w:val="20"/>
          <w:lang w:val="es-CR"/>
        </w:rPr>
        <w:t xml:space="preserve"> “El Frontón”. Tales decisiones del Tribunal </w:t>
      </w:r>
      <w:r w:rsidR="00C20129" w:rsidRPr="00615DCD">
        <w:rPr>
          <w:rFonts w:ascii="Verdana" w:hAnsi="Verdana"/>
          <w:sz w:val="20"/>
          <w:szCs w:val="20"/>
          <w:lang w:val="es-CR"/>
        </w:rPr>
        <w:t xml:space="preserve">Constitucional </w:t>
      </w:r>
      <w:r w:rsidR="00094204" w:rsidRPr="00615DCD">
        <w:rPr>
          <w:rFonts w:ascii="Verdana" w:hAnsi="Verdana"/>
          <w:sz w:val="20"/>
          <w:szCs w:val="20"/>
          <w:lang w:val="es-CR"/>
        </w:rPr>
        <w:t>tienen</w:t>
      </w:r>
      <w:r w:rsidR="00094204">
        <w:rPr>
          <w:rFonts w:ascii="Verdana" w:hAnsi="Verdana"/>
          <w:sz w:val="20"/>
          <w:szCs w:val="20"/>
          <w:lang w:val="es-CR"/>
        </w:rPr>
        <w:t xml:space="preserve"> </w:t>
      </w:r>
      <w:r w:rsidR="00C20129" w:rsidRPr="00056C90">
        <w:rPr>
          <w:rFonts w:ascii="Verdana" w:hAnsi="Verdana"/>
          <w:sz w:val="20"/>
          <w:szCs w:val="20"/>
          <w:lang w:val="es-CR"/>
        </w:rPr>
        <w:t xml:space="preserve">incidencia en </w:t>
      </w:r>
      <w:r w:rsidR="008E3E78" w:rsidRPr="00056C90">
        <w:rPr>
          <w:rFonts w:ascii="Verdana" w:hAnsi="Verdana"/>
          <w:sz w:val="20"/>
          <w:szCs w:val="20"/>
          <w:lang w:val="es-CR"/>
        </w:rPr>
        <w:t>el</w:t>
      </w:r>
      <w:r w:rsidR="00C20129" w:rsidRPr="00056C90">
        <w:rPr>
          <w:rFonts w:ascii="Verdana" w:hAnsi="Verdana"/>
          <w:sz w:val="20"/>
          <w:szCs w:val="20"/>
          <w:lang w:val="es-CR"/>
        </w:rPr>
        <w:t xml:space="preserve"> proceso penal </w:t>
      </w:r>
      <w:r w:rsidR="008E3E78" w:rsidRPr="00056C90">
        <w:rPr>
          <w:rFonts w:ascii="Verdana" w:hAnsi="Verdana"/>
          <w:sz w:val="20"/>
          <w:szCs w:val="20"/>
          <w:lang w:val="es-CR"/>
        </w:rPr>
        <w:t xml:space="preserve">actualmente en trámite </w:t>
      </w:r>
      <w:r w:rsidR="00C20129" w:rsidRPr="00056C90">
        <w:rPr>
          <w:rFonts w:ascii="Verdana" w:hAnsi="Verdana"/>
          <w:sz w:val="20"/>
          <w:szCs w:val="20"/>
          <w:lang w:val="es-CR"/>
        </w:rPr>
        <w:t xml:space="preserve">contra </w:t>
      </w:r>
      <w:r w:rsidR="00F727B4">
        <w:rPr>
          <w:rFonts w:ascii="Verdana" w:hAnsi="Verdana"/>
          <w:sz w:val="20"/>
          <w:szCs w:val="20"/>
          <w:lang w:val="es-CR"/>
        </w:rPr>
        <w:t>35</w:t>
      </w:r>
      <w:r w:rsidR="00C20129" w:rsidRPr="00056C90">
        <w:rPr>
          <w:rFonts w:ascii="Verdana" w:hAnsi="Verdana"/>
          <w:sz w:val="20"/>
          <w:szCs w:val="20"/>
          <w:lang w:val="es-CR"/>
        </w:rPr>
        <w:t xml:space="preserve"> imputados, en cumplimiento de la obligación de investigar las violaciones constatadas por la Corte Interamericana en su Sentencia, así como en la posibilidad de iniciar nuevos procesos contra otros eventuales responsables. En particular, dichas decisiones </w:t>
      </w:r>
      <w:r w:rsidR="006C7A4A">
        <w:rPr>
          <w:rFonts w:ascii="Verdana" w:hAnsi="Verdana"/>
          <w:sz w:val="20"/>
          <w:szCs w:val="20"/>
          <w:lang w:val="es-CR"/>
        </w:rPr>
        <w:t xml:space="preserve">crean </w:t>
      </w:r>
      <w:r w:rsidR="008E3E78" w:rsidRPr="00056C90">
        <w:rPr>
          <w:rFonts w:ascii="Verdana" w:hAnsi="Verdana"/>
          <w:sz w:val="20"/>
          <w:szCs w:val="20"/>
          <w:lang w:val="es-CR"/>
        </w:rPr>
        <w:t>in</w:t>
      </w:r>
      <w:r w:rsidR="00AB6622" w:rsidRPr="00056C90">
        <w:rPr>
          <w:rFonts w:ascii="Verdana" w:hAnsi="Verdana"/>
          <w:sz w:val="20"/>
          <w:szCs w:val="20"/>
          <w:lang w:val="es-CR"/>
        </w:rPr>
        <w:t>seguridad</w:t>
      </w:r>
      <w:r w:rsidR="008E3E78" w:rsidRPr="00056C90">
        <w:rPr>
          <w:rFonts w:ascii="Verdana" w:hAnsi="Verdana"/>
          <w:sz w:val="20"/>
          <w:szCs w:val="20"/>
          <w:lang w:val="es-CR"/>
        </w:rPr>
        <w:t xml:space="preserve"> jurídica en </w:t>
      </w:r>
      <w:r w:rsidR="00AE4E81" w:rsidRPr="00056C90">
        <w:rPr>
          <w:rFonts w:ascii="Verdana" w:hAnsi="Verdana"/>
          <w:sz w:val="20"/>
          <w:szCs w:val="20"/>
          <w:lang w:val="es-CR"/>
        </w:rPr>
        <w:t xml:space="preserve">relación con </w:t>
      </w:r>
      <w:r w:rsidR="00C20129" w:rsidRPr="00056C90">
        <w:rPr>
          <w:rFonts w:ascii="Verdana" w:hAnsi="Verdana"/>
          <w:sz w:val="20"/>
          <w:szCs w:val="20"/>
          <w:lang w:val="es-CR"/>
        </w:rPr>
        <w:t xml:space="preserve">la calificación realizada por las instancias penales sobre los hechos de </w:t>
      </w:r>
      <w:r w:rsidR="00F77C31">
        <w:rPr>
          <w:rFonts w:ascii="Verdana" w:hAnsi="Verdana"/>
          <w:sz w:val="20"/>
          <w:szCs w:val="20"/>
          <w:lang w:val="es-CR"/>
        </w:rPr>
        <w:t>“</w:t>
      </w:r>
      <w:r w:rsidR="00C20129" w:rsidRPr="00056C90">
        <w:rPr>
          <w:rFonts w:ascii="Verdana" w:hAnsi="Verdana"/>
          <w:sz w:val="20"/>
          <w:szCs w:val="20"/>
          <w:lang w:val="es-CR"/>
        </w:rPr>
        <w:t>El Frontón</w:t>
      </w:r>
      <w:r w:rsidR="00F77C31">
        <w:rPr>
          <w:rFonts w:ascii="Verdana" w:hAnsi="Verdana"/>
          <w:sz w:val="20"/>
          <w:szCs w:val="20"/>
          <w:lang w:val="es-CR"/>
        </w:rPr>
        <w:t>”</w:t>
      </w:r>
      <w:r w:rsidR="00C20129" w:rsidRPr="00056C90">
        <w:rPr>
          <w:rFonts w:ascii="Verdana" w:hAnsi="Verdana"/>
          <w:sz w:val="20"/>
          <w:szCs w:val="20"/>
          <w:lang w:val="es-CR"/>
        </w:rPr>
        <w:t xml:space="preserve">, </w:t>
      </w:r>
      <w:r w:rsidR="00A93173" w:rsidRPr="00056C90">
        <w:rPr>
          <w:rFonts w:ascii="Verdana" w:hAnsi="Verdana"/>
          <w:sz w:val="20"/>
          <w:szCs w:val="20"/>
          <w:lang w:val="es-CR"/>
        </w:rPr>
        <w:t xml:space="preserve">con la respectiva consecuencia </w:t>
      </w:r>
      <w:r w:rsidR="00C20129" w:rsidRPr="00056C90">
        <w:rPr>
          <w:rFonts w:ascii="Verdana" w:hAnsi="Verdana"/>
          <w:sz w:val="20"/>
          <w:szCs w:val="20"/>
          <w:lang w:val="es-CR"/>
        </w:rPr>
        <w:t>de</w:t>
      </w:r>
      <w:r w:rsidR="00F77C31">
        <w:rPr>
          <w:rFonts w:ascii="Verdana" w:hAnsi="Verdana"/>
          <w:sz w:val="20"/>
          <w:szCs w:val="20"/>
          <w:lang w:val="es-CR"/>
        </w:rPr>
        <w:t xml:space="preserve"> que los jueces no tienen certeza respecto de</w:t>
      </w:r>
      <w:r w:rsidR="00C20129" w:rsidRPr="00056C90">
        <w:rPr>
          <w:rFonts w:ascii="Verdana" w:hAnsi="Verdana"/>
          <w:sz w:val="20"/>
          <w:szCs w:val="20"/>
          <w:lang w:val="es-CR"/>
        </w:rPr>
        <w:t xml:space="preserve"> si </w:t>
      </w:r>
      <w:r w:rsidR="008E3E78" w:rsidRPr="00056C90">
        <w:rPr>
          <w:rFonts w:ascii="Verdana" w:hAnsi="Verdana"/>
          <w:sz w:val="20"/>
          <w:szCs w:val="20"/>
          <w:lang w:val="es-CR"/>
        </w:rPr>
        <w:t>los m</w:t>
      </w:r>
      <w:r w:rsidR="00AB6622" w:rsidRPr="00056C90">
        <w:rPr>
          <w:rFonts w:ascii="Verdana" w:hAnsi="Verdana"/>
          <w:sz w:val="20"/>
          <w:szCs w:val="20"/>
          <w:lang w:val="es-CR"/>
        </w:rPr>
        <w:t>i</w:t>
      </w:r>
      <w:r w:rsidR="008E3E78" w:rsidRPr="00056C90">
        <w:rPr>
          <w:rFonts w:ascii="Verdana" w:hAnsi="Verdana"/>
          <w:sz w:val="20"/>
          <w:szCs w:val="20"/>
          <w:lang w:val="es-CR"/>
        </w:rPr>
        <w:t>smos</w:t>
      </w:r>
      <w:r w:rsidR="00C20129" w:rsidRPr="00056C90">
        <w:rPr>
          <w:rFonts w:ascii="Verdana" w:hAnsi="Verdana"/>
          <w:sz w:val="20"/>
          <w:szCs w:val="20"/>
          <w:lang w:val="es-CR"/>
        </w:rPr>
        <w:t xml:space="preserve"> podrían estar prescritos o no</w:t>
      </w:r>
      <w:r w:rsidR="00F77C31">
        <w:rPr>
          <w:rFonts w:ascii="Verdana" w:hAnsi="Verdana"/>
          <w:sz w:val="20"/>
          <w:szCs w:val="20"/>
          <w:lang w:val="es-CR"/>
        </w:rPr>
        <w:t>, según lo señalado por la alta corte constitucional</w:t>
      </w:r>
      <w:r w:rsidR="00AB6622" w:rsidRPr="00056C90">
        <w:rPr>
          <w:rFonts w:ascii="Verdana" w:hAnsi="Verdana"/>
          <w:sz w:val="20"/>
          <w:szCs w:val="20"/>
          <w:lang w:val="es-CR"/>
        </w:rPr>
        <w:t xml:space="preserve">. En razón de ello, </w:t>
      </w:r>
      <w:r w:rsidR="006C7A4A">
        <w:rPr>
          <w:rFonts w:ascii="Verdana" w:hAnsi="Verdana"/>
          <w:sz w:val="20"/>
          <w:szCs w:val="20"/>
          <w:lang w:val="es-CR"/>
        </w:rPr>
        <w:t xml:space="preserve">el avance en el trámite de </w:t>
      </w:r>
      <w:r w:rsidR="00C20129" w:rsidRPr="00056C90">
        <w:rPr>
          <w:rFonts w:ascii="Verdana" w:hAnsi="Verdana"/>
          <w:sz w:val="20"/>
          <w:szCs w:val="20"/>
          <w:lang w:val="es-CR"/>
        </w:rPr>
        <w:t xml:space="preserve">la acusación ante el Congreso </w:t>
      </w:r>
      <w:r w:rsidR="00AB6622" w:rsidRPr="00056C90">
        <w:rPr>
          <w:rFonts w:ascii="Verdana" w:hAnsi="Verdana"/>
          <w:sz w:val="20"/>
          <w:szCs w:val="20"/>
          <w:lang w:val="es-CR"/>
        </w:rPr>
        <w:t xml:space="preserve">de los magistrados del Tribunal Constitucional </w:t>
      </w:r>
      <w:r w:rsidR="00C20129" w:rsidRPr="00056C90">
        <w:rPr>
          <w:rFonts w:ascii="Verdana" w:hAnsi="Verdana"/>
          <w:sz w:val="20"/>
          <w:szCs w:val="20"/>
          <w:lang w:val="es-CR"/>
        </w:rPr>
        <w:t>genera una incertidumbre jurídica y presión sobre los jueces penales que</w:t>
      </w:r>
      <w:r w:rsidR="00AB6622" w:rsidRPr="00056C90">
        <w:rPr>
          <w:rFonts w:ascii="Verdana" w:hAnsi="Verdana"/>
          <w:sz w:val="20"/>
          <w:szCs w:val="20"/>
          <w:lang w:val="es-CR"/>
        </w:rPr>
        <w:t xml:space="preserve"> llevan el proceso penal actualmente en trámite</w:t>
      </w:r>
      <w:r w:rsidR="00F26953">
        <w:rPr>
          <w:rFonts w:ascii="Verdana" w:hAnsi="Verdana"/>
          <w:sz w:val="20"/>
          <w:szCs w:val="20"/>
          <w:lang w:val="es-CR"/>
        </w:rPr>
        <w:t>, así como sobre los</w:t>
      </w:r>
      <w:r w:rsidR="00AB6622" w:rsidRPr="00056C90">
        <w:rPr>
          <w:rFonts w:ascii="Verdana" w:hAnsi="Verdana"/>
          <w:sz w:val="20"/>
          <w:szCs w:val="20"/>
          <w:lang w:val="es-CR"/>
        </w:rPr>
        <w:t xml:space="preserve"> que</w:t>
      </w:r>
      <w:r w:rsidR="00C20129" w:rsidRPr="00056C90">
        <w:rPr>
          <w:rFonts w:ascii="Verdana" w:hAnsi="Verdana"/>
          <w:sz w:val="20"/>
          <w:szCs w:val="20"/>
          <w:lang w:val="es-CR"/>
        </w:rPr>
        <w:t xml:space="preserve"> puedan dar inicio a investigaciones de personas que no sean parte del</w:t>
      </w:r>
      <w:r w:rsidR="00AB6622" w:rsidRPr="00056C90">
        <w:rPr>
          <w:rFonts w:ascii="Verdana" w:hAnsi="Verdana"/>
          <w:sz w:val="20"/>
          <w:szCs w:val="20"/>
          <w:lang w:val="es-CR"/>
        </w:rPr>
        <w:t xml:space="preserve"> mismo</w:t>
      </w:r>
      <w:r w:rsidR="00C20129" w:rsidRPr="00056C90">
        <w:rPr>
          <w:rFonts w:ascii="Verdana" w:hAnsi="Verdana"/>
          <w:sz w:val="20"/>
          <w:szCs w:val="20"/>
          <w:lang w:val="es-CR"/>
        </w:rPr>
        <w:t xml:space="preserve">. </w:t>
      </w:r>
    </w:p>
    <w:p w14:paraId="61440278" w14:textId="77777777" w:rsidR="005811F1" w:rsidRPr="005811F1" w:rsidRDefault="005811F1" w:rsidP="005811F1">
      <w:pPr>
        <w:pStyle w:val="ListParagraph"/>
        <w:spacing w:after="0" w:line="240" w:lineRule="auto"/>
        <w:ind w:left="0"/>
        <w:contextualSpacing w:val="0"/>
        <w:jc w:val="both"/>
        <w:rPr>
          <w:rFonts w:ascii="Verdana" w:hAnsi="Verdana" w:cs="Verdana"/>
          <w:sz w:val="20"/>
          <w:szCs w:val="20"/>
          <w:lang w:val="es-CR"/>
        </w:rPr>
      </w:pPr>
    </w:p>
    <w:p w14:paraId="4F817A6E" w14:textId="77777777" w:rsidR="00A44523" w:rsidRPr="00A44523" w:rsidRDefault="00F26953" w:rsidP="007C15A1">
      <w:pPr>
        <w:pStyle w:val="ListParagraph"/>
        <w:numPr>
          <w:ilvl w:val="0"/>
          <w:numId w:val="3"/>
        </w:numPr>
        <w:spacing w:after="0" w:line="240" w:lineRule="auto"/>
        <w:ind w:left="0" w:firstLine="0"/>
        <w:contextualSpacing w:val="0"/>
        <w:jc w:val="both"/>
        <w:rPr>
          <w:rFonts w:ascii="Verdana" w:hAnsi="Verdana" w:cs="Verdana"/>
          <w:strike/>
          <w:sz w:val="20"/>
          <w:szCs w:val="20"/>
          <w:lang w:val="es-CR"/>
        </w:rPr>
      </w:pPr>
      <w:r w:rsidRPr="00615DCD">
        <w:rPr>
          <w:rFonts w:ascii="Verdana" w:hAnsi="Verdana"/>
          <w:sz w:val="20"/>
          <w:szCs w:val="20"/>
          <w:lang w:val="es-CR"/>
        </w:rPr>
        <w:t xml:space="preserve">Al respecto, esta Corte considera pertinente recordar que </w:t>
      </w:r>
      <w:r w:rsidR="00056C90" w:rsidRPr="00615DCD">
        <w:rPr>
          <w:rFonts w:ascii="Verdana" w:hAnsi="Verdana"/>
          <w:sz w:val="20"/>
          <w:szCs w:val="20"/>
          <w:lang w:val="es-CR"/>
        </w:rPr>
        <w:t>su jurisprudenci</w:t>
      </w:r>
      <w:r w:rsidRPr="00615DCD">
        <w:rPr>
          <w:rFonts w:ascii="Verdana" w:hAnsi="Verdana"/>
          <w:sz w:val="20"/>
          <w:szCs w:val="20"/>
          <w:lang w:val="es-CR"/>
        </w:rPr>
        <w:t xml:space="preserve">a constante ha sido clara en señalar que </w:t>
      </w:r>
      <w:r w:rsidR="002C5A3D" w:rsidRPr="00615DCD">
        <w:rPr>
          <w:rFonts w:ascii="Verdana" w:hAnsi="Verdana"/>
          <w:sz w:val="20"/>
          <w:szCs w:val="20"/>
          <w:lang w:val="es-CR"/>
        </w:rPr>
        <w:t>son inadmisibles las disposiciones de amnistía, las disposiciones de prescripción y el establecimiento de excluyentes de responsabilidad que pretendan impedir la investigación y sanción de los responsables de las violaciones graves de los derechos humanos tales como la tortura, las ejecuciones sumarias, extralegales o arbitrarias y las desapariciones forzadas, todas ellas prohibidas por contravenir derechos inderogables reconocidos por el Derecho Internacional de los Derechos Humanos</w:t>
      </w:r>
      <w:r w:rsidR="00056C90" w:rsidRPr="00615DCD">
        <w:rPr>
          <w:rStyle w:val="FootnoteReference"/>
          <w:rFonts w:ascii="Verdana" w:hAnsi="Verdana" w:cs="Verdana"/>
          <w:sz w:val="20"/>
          <w:szCs w:val="20"/>
          <w:lang w:val="es-CR"/>
        </w:rPr>
        <w:footnoteReference w:id="31"/>
      </w:r>
      <w:r w:rsidR="00056C90" w:rsidRPr="00615DCD">
        <w:rPr>
          <w:rFonts w:ascii="Verdana" w:hAnsi="Verdana"/>
          <w:sz w:val="20"/>
          <w:szCs w:val="20"/>
          <w:lang w:val="es-CR"/>
        </w:rPr>
        <w:t>.</w:t>
      </w:r>
      <w:r w:rsidRPr="00615DCD">
        <w:rPr>
          <w:rFonts w:ascii="Verdana" w:hAnsi="Verdana"/>
          <w:sz w:val="20"/>
          <w:szCs w:val="20"/>
          <w:lang w:val="es-CR"/>
        </w:rPr>
        <w:t xml:space="preserve"> </w:t>
      </w:r>
    </w:p>
    <w:p w14:paraId="5AAA83F1" w14:textId="77777777" w:rsidR="00A44523" w:rsidRPr="00A44523" w:rsidRDefault="00A44523" w:rsidP="00A44523">
      <w:pPr>
        <w:pStyle w:val="ListParagraph"/>
        <w:rPr>
          <w:rFonts w:ascii="Verdana" w:hAnsi="Verdana"/>
          <w:sz w:val="20"/>
          <w:szCs w:val="20"/>
          <w:lang w:val="es-CR"/>
        </w:rPr>
      </w:pPr>
    </w:p>
    <w:p w14:paraId="4E957B12" w14:textId="0BE83F20" w:rsidR="00B16E6E" w:rsidRPr="00F727B4" w:rsidRDefault="00A44523" w:rsidP="007C15A1">
      <w:pPr>
        <w:pStyle w:val="ListParagraph"/>
        <w:numPr>
          <w:ilvl w:val="0"/>
          <w:numId w:val="3"/>
        </w:numPr>
        <w:spacing w:after="0" w:line="240" w:lineRule="auto"/>
        <w:ind w:left="0" w:firstLine="0"/>
        <w:contextualSpacing w:val="0"/>
        <w:jc w:val="both"/>
        <w:rPr>
          <w:rFonts w:ascii="Verdana" w:hAnsi="Verdana" w:cs="Verdana"/>
          <w:strike/>
          <w:sz w:val="20"/>
          <w:szCs w:val="20"/>
          <w:lang w:val="es-CR"/>
        </w:rPr>
      </w:pPr>
      <w:r w:rsidRPr="00A44523">
        <w:rPr>
          <w:rFonts w:ascii="Verdana" w:hAnsi="Verdana"/>
          <w:sz w:val="20"/>
          <w:szCs w:val="20"/>
          <w:lang w:val="es-CR"/>
        </w:rPr>
        <w:t xml:space="preserve">En relación con el requisito relativo </w:t>
      </w:r>
      <w:r w:rsidRPr="0058269D">
        <w:rPr>
          <w:rFonts w:ascii="Verdana" w:hAnsi="Verdana"/>
          <w:sz w:val="20"/>
          <w:szCs w:val="20"/>
          <w:lang w:val="es-CR"/>
        </w:rPr>
        <w:t xml:space="preserve">a la extrema gravedad, la misma se manifiesta </w:t>
      </w:r>
      <w:r w:rsidRPr="0058269D">
        <w:rPr>
          <w:rFonts w:ascii="Verdana" w:hAnsi="Verdana" w:cs="Verdana"/>
          <w:sz w:val="20"/>
          <w:szCs w:val="20"/>
          <w:lang w:val="es-CR"/>
        </w:rPr>
        <w:t xml:space="preserve">en que se está afectando el derecho de los familiares de los señores Durand y Ugarte a que se garantice la independencia de los jueces que adopten decisiones que tengan incidencia en el </w:t>
      </w:r>
      <w:r w:rsidRPr="0058269D">
        <w:rPr>
          <w:rFonts w:ascii="Verdana" w:hAnsi="Verdana" w:cs="Verdana"/>
          <w:sz w:val="20"/>
          <w:szCs w:val="20"/>
          <w:lang w:val="es-CR"/>
        </w:rPr>
        <w:lastRenderedPageBreak/>
        <w:t xml:space="preserve">juzgamiento y eventual sanción de los responsables de los hechos ocurridos a tales víctimas en el </w:t>
      </w:r>
      <w:r w:rsidR="00053D7F" w:rsidRPr="0058269D">
        <w:rPr>
          <w:rFonts w:ascii="Verdana" w:hAnsi="Verdana" w:cs="Verdana"/>
          <w:sz w:val="20"/>
          <w:szCs w:val="20"/>
          <w:lang w:val="es-CR"/>
        </w:rPr>
        <w:t xml:space="preserve">establecimiento </w:t>
      </w:r>
      <w:r w:rsidRPr="0058269D">
        <w:rPr>
          <w:rFonts w:ascii="Verdana" w:hAnsi="Verdana" w:cs="Verdana"/>
          <w:sz w:val="20"/>
          <w:szCs w:val="20"/>
          <w:lang w:val="es-CR"/>
        </w:rPr>
        <w:t xml:space="preserve">penal El Frontón. Ello se debe a que indebidamente ha avanzado </w:t>
      </w:r>
      <w:r w:rsidR="00AC79FB" w:rsidRPr="0058269D">
        <w:rPr>
          <w:rFonts w:ascii="Verdana" w:hAnsi="Verdana" w:cs="Verdana"/>
          <w:sz w:val="20"/>
          <w:szCs w:val="20"/>
          <w:lang w:val="es-CR"/>
        </w:rPr>
        <w:t>(</w:t>
      </w:r>
      <w:r w:rsidR="00AC79FB" w:rsidRPr="0058269D">
        <w:rPr>
          <w:rFonts w:ascii="Verdana" w:hAnsi="Verdana" w:cs="Verdana"/>
          <w:i/>
          <w:sz w:val="20"/>
          <w:szCs w:val="20"/>
          <w:lang w:val="es-CR"/>
        </w:rPr>
        <w:t>infra</w:t>
      </w:r>
      <w:r w:rsidR="00AC79FB" w:rsidRPr="0058269D">
        <w:rPr>
          <w:rFonts w:ascii="Verdana" w:hAnsi="Verdana" w:cs="Verdana"/>
          <w:sz w:val="20"/>
          <w:szCs w:val="20"/>
          <w:lang w:val="es-CR"/>
        </w:rPr>
        <w:t xml:space="preserve"> Considerando </w:t>
      </w:r>
      <w:r w:rsidR="00F727B4" w:rsidRPr="0058269D">
        <w:rPr>
          <w:rFonts w:ascii="Verdana" w:hAnsi="Verdana" w:cs="Verdana"/>
          <w:sz w:val="20"/>
          <w:szCs w:val="20"/>
          <w:lang w:val="es-CR"/>
        </w:rPr>
        <w:t>32</w:t>
      </w:r>
      <w:r w:rsidR="00AC79FB" w:rsidRPr="0058269D">
        <w:rPr>
          <w:rFonts w:ascii="Verdana" w:hAnsi="Verdana" w:cs="Verdana"/>
          <w:sz w:val="20"/>
          <w:szCs w:val="20"/>
          <w:lang w:val="es-CR"/>
        </w:rPr>
        <w:t xml:space="preserve">) </w:t>
      </w:r>
      <w:r w:rsidRPr="0058269D">
        <w:rPr>
          <w:rFonts w:ascii="Verdana" w:hAnsi="Verdana" w:cs="Verdana"/>
          <w:sz w:val="20"/>
          <w:szCs w:val="20"/>
          <w:lang w:val="es-CR"/>
        </w:rPr>
        <w:t>en el Congreso de la República del Perú un procedimiento de acusación contra los cuatro magistrados del Tribunal Constitucional que adoptaron una decisión en el 2016 que se limita a corroborar y fundamentar, de oficio, si hubo o no un error en el conteo de votos respecto a lo resuelto por el propio tribunal en el 2013 al pronunciarse sobre un recurso presentado a favor de varios acusados en el referido proceso penal (</w:t>
      </w:r>
      <w:r w:rsidRPr="0058269D">
        <w:rPr>
          <w:rFonts w:ascii="Verdana" w:hAnsi="Verdana" w:cs="Verdana"/>
          <w:i/>
          <w:sz w:val="20"/>
          <w:szCs w:val="20"/>
          <w:lang w:val="es-CR"/>
        </w:rPr>
        <w:t>supra</w:t>
      </w:r>
      <w:r w:rsidRPr="0058269D">
        <w:rPr>
          <w:rFonts w:ascii="Verdana" w:hAnsi="Verdana" w:cs="Verdana"/>
          <w:sz w:val="20"/>
          <w:szCs w:val="20"/>
          <w:lang w:val="es-CR"/>
        </w:rPr>
        <w:t xml:space="preserve"> Considerando </w:t>
      </w:r>
      <w:r w:rsidR="00F727B4" w:rsidRPr="0058269D">
        <w:rPr>
          <w:rFonts w:ascii="Verdana" w:hAnsi="Verdana" w:cs="Verdana"/>
          <w:sz w:val="20"/>
          <w:szCs w:val="20"/>
          <w:lang w:val="es-CR"/>
        </w:rPr>
        <w:t>21</w:t>
      </w:r>
      <w:r w:rsidRPr="0058269D">
        <w:rPr>
          <w:rFonts w:ascii="Verdana" w:hAnsi="Verdana" w:cs="Verdana"/>
          <w:sz w:val="20"/>
          <w:szCs w:val="20"/>
          <w:lang w:val="es-CR"/>
        </w:rPr>
        <w:t>).</w:t>
      </w:r>
      <w:r w:rsidRPr="00F727B4">
        <w:rPr>
          <w:rFonts w:ascii="Verdana" w:hAnsi="Verdana" w:cs="Verdana"/>
          <w:sz w:val="20"/>
          <w:szCs w:val="20"/>
          <w:lang w:val="es-CR"/>
        </w:rPr>
        <w:t xml:space="preserve"> </w:t>
      </w:r>
      <w:r w:rsidRPr="00A44523">
        <w:rPr>
          <w:rFonts w:ascii="Verdana" w:hAnsi="Verdana" w:cs="Verdana"/>
          <w:sz w:val="20"/>
          <w:szCs w:val="20"/>
          <w:lang w:val="es-CR"/>
        </w:rPr>
        <w:t xml:space="preserve">Aun cuando el </w:t>
      </w:r>
      <w:r w:rsidRPr="00A44523">
        <w:rPr>
          <w:rFonts w:ascii="Verdana" w:eastAsia="Times New Roman" w:hAnsi="Verdana" w:cs="Vrinda"/>
          <w:color w:val="000000"/>
          <w:sz w:val="20"/>
          <w:szCs w:val="20"/>
          <w:lang w:val="es-CR"/>
        </w:rPr>
        <w:t>artículo 99 de la Constitución Política del Perú</w:t>
      </w:r>
      <w:r w:rsidRPr="00A44523">
        <w:rPr>
          <w:rStyle w:val="FootnoteReference"/>
          <w:rFonts w:ascii="Verdana" w:eastAsia="Times New Roman" w:hAnsi="Verdana" w:cs="Vrinda"/>
          <w:color w:val="000000"/>
          <w:sz w:val="20"/>
          <w:szCs w:val="20"/>
        </w:rPr>
        <w:footnoteReference w:id="32"/>
      </w:r>
      <w:r w:rsidRPr="00A44523">
        <w:rPr>
          <w:rFonts w:ascii="Verdana" w:eastAsia="Times New Roman" w:hAnsi="Verdana" w:cs="Vrinda"/>
          <w:color w:val="000000"/>
          <w:sz w:val="20"/>
          <w:szCs w:val="20"/>
          <w:lang w:val="es-CR"/>
        </w:rPr>
        <w:t xml:space="preserve"> permite el procedimiento de acusación de los miembros del Tribunal Constitucional ante el Congreso, el mismo debe ser entendido tomando en cuenta lo dispuesto </w:t>
      </w:r>
      <w:r w:rsidRPr="00A44523">
        <w:rPr>
          <w:rFonts w:ascii="Verdana" w:eastAsia="Times New Roman" w:hAnsi="Verdana"/>
          <w:color w:val="000000"/>
          <w:sz w:val="20"/>
          <w:szCs w:val="20"/>
          <w:lang w:val="es-CR"/>
        </w:rPr>
        <w:t>en los artículos 93 y 201 de dicha Constitución</w:t>
      </w:r>
      <w:r w:rsidRPr="00A44523">
        <w:rPr>
          <w:rStyle w:val="FootnoteReference"/>
          <w:rFonts w:ascii="Verdana" w:eastAsia="Times New Roman" w:hAnsi="Verdana"/>
          <w:color w:val="000000"/>
          <w:sz w:val="20"/>
          <w:szCs w:val="20"/>
        </w:rPr>
        <w:footnoteReference w:id="33"/>
      </w:r>
      <w:r w:rsidRPr="00A44523">
        <w:rPr>
          <w:rFonts w:ascii="Verdana" w:eastAsia="Times New Roman" w:hAnsi="Verdana"/>
          <w:color w:val="000000"/>
          <w:sz w:val="20"/>
          <w:szCs w:val="20"/>
          <w:lang w:val="es-CR"/>
        </w:rPr>
        <w:t>. En este último se establece que “[l]os miembros del Tribunal Constitucional gozan de la misma inmunidad y de las mismas prerrogativas que los congresistas”, y en el referido artículo 93 se dispone que los congresistas “[n]o son responsables ante autoridad ni órgano jurisdiccional alguno por las opiniones y votos que emiten en el ejercicio de sus funciones”. Es decir, los miembros del Tribunal Constitucional no podrían ser objeto de acusación ante el Congreso por el contenido de</w:t>
      </w:r>
      <w:r w:rsidRPr="00F727B4">
        <w:rPr>
          <w:rFonts w:ascii="Verdana" w:eastAsia="Times New Roman" w:hAnsi="Verdana"/>
          <w:color w:val="000000"/>
          <w:sz w:val="20"/>
          <w:szCs w:val="20"/>
          <w:lang w:val="es-CR"/>
        </w:rPr>
        <w:t xml:space="preserve"> </w:t>
      </w:r>
      <w:r w:rsidRPr="00A44523">
        <w:rPr>
          <w:rFonts w:ascii="Verdana" w:eastAsia="Times New Roman" w:hAnsi="Verdana"/>
          <w:color w:val="000000"/>
          <w:sz w:val="20"/>
          <w:szCs w:val="20"/>
          <w:lang w:val="es-CR"/>
        </w:rPr>
        <w:t>las decisiones jurisdiccionales emitidas en el marco de sus funciones, con la excepción de que constituyan la comisión de un delito, para cuya determinación posteriormente</w:t>
      </w:r>
      <w:r w:rsidRPr="00A44523">
        <w:rPr>
          <w:rFonts w:ascii="Verdana" w:eastAsia="Times New Roman" w:hAnsi="Verdana"/>
          <w:b/>
          <w:color w:val="000000"/>
          <w:sz w:val="20"/>
          <w:szCs w:val="20"/>
          <w:lang w:val="es-CR"/>
        </w:rPr>
        <w:t xml:space="preserve"> </w:t>
      </w:r>
      <w:r w:rsidRPr="00A44523">
        <w:rPr>
          <w:rFonts w:ascii="Verdana" w:eastAsia="Times New Roman" w:hAnsi="Verdana"/>
          <w:color w:val="000000"/>
          <w:sz w:val="20"/>
          <w:szCs w:val="20"/>
          <w:lang w:val="es-CR"/>
        </w:rPr>
        <w:t>se requiere de un proceso judicial para determinar su responsabilidad.</w:t>
      </w:r>
      <w:r w:rsidRPr="00A44523">
        <w:rPr>
          <w:rFonts w:ascii="Times New Roman" w:hAnsi="Times New Roman"/>
          <w:sz w:val="20"/>
          <w:szCs w:val="20"/>
          <w:lang w:val="es-CR" w:eastAsia="es-CR"/>
        </w:rPr>
        <w:t xml:space="preserve"> </w:t>
      </w:r>
    </w:p>
    <w:p w14:paraId="3C5ED9D2" w14:textId="77777777" w:rsidR="00F727B4" w:rsidRDefault="00F727B4" w:rsidP="00F727B4">
      <w:pPr>
        <w:pStyle w:val="ListParagraph"/>
        <w:spacing w:after="0" w:line="240" w:lineRule="auto"/>
        <w:ind w:left="0"/>
        <w:contextualSpacing w:val="0"/>
        <w:jc w:val="both"/>
        <w:rPr>
          <w:rFonts w:ascii="Verdana" w:hAnsi="Verdana" w:cs="Verdana"/>
          <w:strike/>
          <w:sz w:val="20"/>
          <w:szCs w:val="20"/>
          <w:lang w:val="es-CR"/>
        </w:rPr>
      </w:pPr>
    </w:p>
    <w:p w14:paraId="035FAC12" w14:textId="5BB50C02" w:rsidR="00150EB6" w:rsidRPr="00254C85" w:rsidRDefault="00253DD8" w:rsidP="007C15A1">
      <w:pPr>
        <w:pStyle w:val="ListParagraph"/>
        <w:numPr>
          <w:ilvl w:val="0"/>
          <w:numId w:val="3"/>
        </w:numPr>
        <w:spacing w:after="0" w:line="240" w:lineRule="auto"/>
        <w:ind w:left="0" w:firstLine="0"/>
        <w:contextualSpacing w:val="0"/>
        <w:jc w:val="both"/>
        <w:rPr>
          <w:rFonts w:ascii="Verdana" w:hAnsi="Verdana" w:cs="Verdana"/>
          <w:strike/>
          <w:sz w:val="20"/>
          <w:szCs w:val="20"/>
          <w:lang w:val="es-CR"/>
        </w:rPr>
      </w:pPr>
      <w:r w:rsidRPr="00B16E6E">
        <w:rPr>
          <w:rFonts w:ascii="Verdana" w:hAnsi="Verdana" w:cs="Verdana"/>
          <w:sz w:val="20"/>
          <w:szCs w:val="20"/>
          <w:lang w:val="es-CR"/>
        </w:rPr>
        <w:t>En cuanto al argumento estatal relativo a que la acusación constitucional no fue presentada por congresistas (</w:t>
      </w:r>
      <w:r w:rsidRPr="00B16E6E">
        <w:rPr>
          <w:rFonts w:ascii="Verdana" w:hAnsi="Verdana" w:cs="Verdana"/>
          <w:i/>
          <w:sz w:val="20"/>
          <w:szCs w:val="20"/>
          <w:lang w:val="es-CR"/>
        </w:rPr>
        <w:t>supra</w:t>
      </w:r>
      <w:r w:rsidRPr="00B16E6E">
        <w:rPr>
          <w:rFonts w:ascii="Verdana" w:hAnsi="Verdana" w:cs="Verdana"/>
          <w:sz w:val="20"/>
          <w:szCs w:val="20"/>
          <w:lang w:val="es-CR"/>
        </w:rPr>
        <w:t xml:space="preserve"> </w:t>
      </w:r>
      <w:r w:rsidRPr="00254C85">
        <w:rPr>
          <w:rFonts w:ascii="Verdana" w:hAnsi="Verdana" w:cs="Verdana"/>
          <w:sz w:val="20"/>
          <w:szCs w:val="20"/>
          <w:lang w:val="es-CR"/>
        </w:rPr>
        <w:t xml:space="preserve">Considerando </w:t>
      </w:r>
      <w:r w:rsidR="00F727B4" w:rsidRPr="00254C85">
        <w:rPr>
          <w:rFonts w:ascii="Verdana" w:hAnsi="Verdana" w:cs="Verdana"/>
          <w:sz w:val="20"/>
          <w:szCs w:val="20"/>
          <w:lang w:val="es-CR"/>
        </w:rPr>
        <w:t>15.d</w:t>
      </w:r>
      <w:r w:rsidRPr="00254C85">
        <w:rPr>
          <w:rFonts w:ascii="Verdana" w:hAnsi="Verdana" w:cs="Verdana"/>
          <w:sz w:val="20"/>
          <w:szCs w:val="20"/>
          <w:lang w:val="es-CR"/>
        </w:rPr>
        <w:t xml:space="preserve">), el mismo resulta irrelevante a la luz del avance que ha tenido el procedimiento ante el Congreso. </w:t>
      </w:r>
      <w:r w:rsidR="00166CBD" w:rsidRPr="00254C85">
        <w:rPr>
          <w:rFonts w:ascii="Verdana" w:hAnsi="Verdana" w:cs="Verdana"/>
          <w:sz w:val="20"/>
          <w:szCs w:val="20"/>
          <w:lang w:val="es-CR"/>
        </w:rPr>
        <w:t>A l</w:t>
      </w:r>
      <w:r w:rsidRPr="00254C85">
        <w:rPr>
          <w:rFonts w:ascii="Verdana" w:hAnsi="Verdana" w:cs="Verdana"/>
          <w:sz w:val="20"/>
          <w:szCs w:val="20"/>
          <w:lang w:val="es-CR"/>
        </w:rPr>
        <w:t xml:space="preserve">a acusación </w:t>
      </w:r>
      <w:r w:rsidR="00166CBD" w:rsidRPr="00254C85">
        <w:rPr>
          <w:rFonts w:ascii="Verdana" w:hAnsi="Verdana" w:cs="Verdana"/>
          <w:sz w:val="20"/>
          <w:szCs w:val="20"/>
          <w:lang w:val="es-CR"/>
        </w:rPr>
        <w:t xml:space="preserve">se le dio trámite y, aun cuando </w:t>
      </w:r>
      <w:r w:rsidRPr="00254C85">
        <w:rPr>
          <w:rFonts w:ascii="Verdana" w:hAnsi="Verdana" w:cs="Verdana"/>
          <w:sz w:val="20"/>
          <w:szCs w:val="20"/>
          <w:lang w:val="es-CR"/>
        </w:rPr>
        <w:t>podría haber sido desestimada por la Subcomisión de Acusaciones Constitucionales</w:t>
      </w:r>
      <w:r w:rsidR="00CA3516" w:rsidRPr="00254C85">
        <w:rPr>
          <w:rFonts w:ascii="Verdana" w:hAnsi="Verdana" w:cs="Verdana"/>
          <w:sz w:val="20"/>
          <w:szCs w:val="20"/>
          <w:lang w:val="es-CR"/>
        </w:rPr>
        <w:t xml:space="preserve"> por tener su objeto en motivos contrarios a la independencia judicial</w:t>
      </w:r>
      <w:r w:rsidR="00166CBD" w:rsidRPr="00254C85">
        <w:rPr>
          <w:rFonts w:ascii="Verdana" w:hAnsi="Verdana" w:cs="Verdana"/>
          <w:sz w:val="20"/>
          <w:szCs w:val="20"/>
          <w:lang w:val="es-CR"/>
        </w:rPr>
        <w:t xml:space="preserve">, </w:t>
      </w:r>
      <w:r w:rsidR="00EC68E2" w:rsidRPr="00254C85">
        <w:rPr>
          <w:rFonts w:ascii="Verdana" w:hAnsi="Verdana" w:cs="Verdana"/>
          <w:sz w:val="20"/>
          <w:szCs w:val="20"/>
          <w:lang w:val="es-CR"/>
        </w:rPr>
        <w:t>ya que no debería</w:t>
      </w:r>
      <w:r w:rsidR="008630F9" w:rsidRPr="00254C85">
        <w:rPr>
          <w:rFonts w:ascii="Verdana" w:hAnsi="Verdana" w:cs="Verdana"/>
          <w:sz w:val="20"/>
          <w:szCs w:val="20"/>
          <w:lang w:val="es-CR"/>
        </w:rPr>
        <w:t xml:space="preserve"> procesarse</w:t>
      </w:r>
      <w:r w:rsidR="00EC68E2" w:rsidRPr="00254C85">
        <w:rPr>
          <w:rFonts w:ascii="Verdana" w:hAnsi="Verdana" w:cs="Verdana"/>
          <w:sz w:val="20"/>
          <w:szCs w:val="20"/>
          <w:lang w:val="es-CR"/>
        </w:rPr>
        <w:t xml:space="preserve"> en el Congreso a tales magistrados por </w:t>
      </w:r>
      <w:r w:rsidR="00B16E6E" w:rsidRPr="00254C85">
        <w:rPr>
          <w:rFonts w:ascii="Verdana" w:hAnsi="Verdana" w:cs="Verdana"/>
          <w:sz w:val="20"/>
          <w:szCs w:val="20"/>
          <w:lang w:val="es-CR"/>
        </w:rPr>
        <w:t>sus decisiones jurisdiccionales emitida</w:t>
      </w:r>
      <w:r w:rsidR="00EC68E2" w:rsidRPr="00254C85">
        <w:rPr>
          <w:rFonts w:ascii="Verdana" w:hAnsi="Verdana" w:cs="Verdana"/>
          <w:sz w:val="20"/>
          <w:szCs w:val="20"/>
          <w:lang w:val="es-CR"/>
        </w:rPr>
        <w:t xml:space="preserve">s en el ejercicio de su labor, </w:t>
      </w:r>
      <w:r w:rsidR="00166CBD" w:rsidRPr="00254C85">
        <w:rPr>
          <w:rFonts w:ascii="Verdana" w:hAnsi="Verdana" w:cs="Verdana"/>
          <w:sz w:val="20"/>
          <w:szCs w:val="20"/>
          <w:lang w:val="es-CR"/>
        </w:rPr>
        <w:t>en su lugar</w:t>
      </w:r>
      <w:r w:rsidR="00EC68E2" w:rsidRPr="00254C85">
        <w:rPr>
          <w:rFonts w:ascii="Verdana" w:hAnsi="Verdana" w:cs="Verdana"/>
          <w:sz w:val="20"/>
          <w:szCs w:val="20"/>
          <w:lang w:val="es-CR"/>
        </w:rPr>
        <w:t>,</w:t>
      </w:r>
      <w:r w:rsidR="00166CBD" w:rsidRPr="00254C85">
        <w:rPr>
          <w:rFonts w:ascii="Verdana" w:hAnsi="Verdana" w:cs="Verdana"/>
          <w:sz w:val="20"/>
          <w:szCs w:val="20"/>
          <w:lang w:val="es-CR"/>
        </w:rPr>
        <w:t xml:space="preserve"> en </w:t>
      </w:r>
      <w:r w:rsidR="001A0CA6" w:rsidRPr="00254C85">
        <w:rPr>
          <w:rFonts w:ascii="Verdana" w:hAnsi="Verdana" w:cs="Verdana"/>
          <w:sz w:val="20"/>
          <w:szCs w:val="20"/>
          <w:lang w:val="es-CR"/>
        </w:rPr>
        <w:t>el informe final</w:t>
      </w:r>
      <w:r w:rsidR="00166CBD" w:rsidRPr="00254C85">
        <w:rPr>
          <w:rFonts w:ascii="Verdana" w:hAnsi="Verdana" w:cs="Verdana"/>
          <w:sz w:val="20"/>
          <w:szCs w:val="20"/>
          <w:lang w:val="es-CR"/>
        </w:rPr>
        <w:t xml:space="preserve"> que emitió</w:t>
      </w:r>
      <w:r w:rsidR="00EC68E2" w:rsidRPr="00254C85">
        <w:rPr>
          <w:rFonts w:ascii="Verdana" w:hAnsi="Verdana" w:cs="Verdana"/>
          <w:sz w:val="20"/>
          <w:szCs w:val="20"/>
          <w:lang w:val="es-CR"/>
        </w:rPr>
        <w:t xml:space="preserve"> el 14</w:t>
      </w:r>
      <w:r w:rsidR="001A0CA6" w:rsidRPr="00254C85">
        <w:rPr>
          <w:rFonts w:ascii="Verdana" w:hAnsi="Verdana" w:cs="Verdana"/>
          <w:sz w:val="20"/>
          <w:szCs w:val="20"/>
          <w:lang w:val="es-CR"/>
        </w:rPr>
        <w:t xml:space="preserve"> de diciembre </w:t>
      </w:r>
      <w:r w:rsidR="00166CBD" w:rsidRPr="00254C85">
        <w:rPr>
          <w:rFonts w:ascii="Verdana" w:hAnsi="Verdana" w:cs="Verdana"/>
          <w:sz w:val="20"/>
          <w:szCs w:val="20"/>
          <w:lang w:val="es-CR"/>
        </w:rPr>
        <w:t xml:space="preserve">de 2017 </w:t>
      </w:r>
      <w:r w:rsidR="001A0CA6" w:rsidRPr="00254C85">
        <w:rPr>
          <w:rFonts w:ascii="Verdana" w:hAnsi="Verdana" w:cs="Verdana"/>
          <w:sz w:val="20"/>
          <w:szCs w:val="20"/>
          <w:lang w:val="es-CR"/>
        </w:rPr>
        <w:t xml:space="preserve">recomendó que tres magistrados fueran </w:t>
      </w:r>
      <w:r w:rsidR="00F727B4" w:rsidRPr="00254C85">
        <w:rPr>
          <w:rFonts w:ascii="Verdana" w:hAnsi="Verdana" w:cs="Verdana"/>
          <w:sz w:val="20"/>
          <w:szCs w:val="20"/>
          <w:lang w:val="es-CR"/>
        </w:rPr>
        <w:t xml:space="preserve">suspendidos </w:t>
      </w:r>
      <w:r w:rsidR="001A0CA6" w:rsidRPr="00254C85">
        <w:rPr>
          <w:rFonts w:ascii="Verdana" w:hAnsi="Verdana" w:cs="Verdana"/>
          <w:sz w:val="20"/>
          <w:szCs w:val="20"/>
          <w:lang w:val="es-CR"/>
        </w:rPr>
        <w:t>y uno fuese destituido</w:t>
      </w:r>
      <w:r w:rsidR="00EC68E2" w:rsidRPr="00254C85">
        <w:rPr>
          <w:rFonts w:ascii="Verdana" w:hAnsi="Verdana" w:cs="Verdana"/>
          <w:sz w:val="20"/>
          <w:szCs w:val="20"/>
          <w:lang w:val="es-CR"/>
        </w:rPr>
        <w:t xml:space="preserve"> e inhabilitado</w:t>
      </w:r>
      <w:r w:rsidR="001A0CA6" w:rsidRPr="00254C85">
        <w:rPr>
          <w:rFonts w:ascii="Verdana" w:hAnsi="Verdana" w:cs="Verdana"/>
          <w:sz w:val="20"/>
          <w:szCs w:val="20"/>
          <w:lang w:val="es-CR"/>
        </w:rPr>
        <w:t xml:space="preserve">. </w:t>
      </w:r>
    </w:p>
    <w:p w14:paraId="6A7516CB" w14:textId="77777777" w:rsidR="005811F1" w:rsidRPr="00254C85" w:rsidRDefault="005811F1" w:rsidP="005811F1">
      <w:pPr>
        <w:pStyle w:val="ListParagraph"/>
        <w:spacing w:after="0" w:line="240" w:lineRule="auto"/>
        <w:ind w:left="0"/>
        <w:contextualSpacing w:val="0"/>
        <w:jc w:val="both"/>
        <w:rPr>
          <w:rFonts w:ascii="Verdana" w:hAnsi="Verdana"/>
          <w:sz w:val="20"/>
          <w:szCs w:val="20"/>
          <w:lang w:val="es-CR"/>
        </w:rPr>
      </w:pPr>
    </w:p>
    <w:p w14:paraId="28F85618" w14:textId="44B3F33B" w:rsidR="00421966" w:rsidRDefault="00C41892" w:rsidP="007C15A1">
      <w:pPr>
        <w:pStyle w:val="ListParagraph"/>
        <w:numPr>
          <w:ilvl w:val="0"/>
          <w:numId w:val="3"/>
        </w:numPr>
        <w:spacing w:after="0" w:line="240" w:lineRule="auto"/>
        <w:ind w:left="0" w:firstLine="0"/>
        <w:contextualSpacing w:val="0"/>
        <w:jc w:val="both"/>
        <w:rPr>
          <w:rFonts w:ascii="Verdana" w:hAnsi="Verdana"/>
          <w:sz w:val="20"/>
          <w:szCs w:val="20"/>
          <w:lang w:val="es-CR"/>
        </w:rPr>
      </w:pPr>
      <w:r w:rsidRPr="00254C85">
        <w:rPr>
          <w:rFonts w:ascii="Verdana" w:hAnsi="Verdana"/>
          <w:sz w:val="20"/>
          <w:szCs w:val="20"/>
          <w:lang w:val="es-CR"/>
        </w:rPr>
        <w:t xml:space="preserve">Adicionalmente, </w:t>
      </w:r>
      <w:r w:rsidR="002D4FF6" w:rsidRPr="00254C85">
        <w:rPr>
          <w:rFonts w:ascii="Verdana" w:hAnsi="Verdana" w:cs="Verdana"/>
          <w:sz w:val="20"/>
          <w:szCs w:val="20"/>
          <w:lang w:val="es-CR"/>
        </w:rPr>
        <w:t xml:space="preserve">frente al argumento del Estado relativo a que no se ha materializado una amenaza o riesgo frente al posible incumplimiento de la obligación de investigar, juzgar y, en su caso, sancionar porque se plantean “hechos que son posibles que puedan ocurrir pero no </w:t>
      </w:r>
      <w:r w:rsidR="002D4FF6" w:rsidRPr="00254C85">
        <w:rPr>
          <w:rFonts w:ascii="Verdana" w:hAnsi="Verdana" w:cs="Verdana"/>
          <w:sz w:val="20"/>
          <w:szCs w:val="20"/>
          <w:lang w:val="es-CR"/>
        </w:rPr>
        <w:lastRenderedPageBreak/>
        <w:t>hay certeza de que ello ocurra”</w:t>
      </w:r>
      <w:r w:rsidR="00F727B4" w:rsidRPr="00254C85">
        <w:rPr>
          <w:rFonts w:ascii="Verdana" w:hAnsi="Verdana" w:cs="Verdana"/>
          <w:sz w:val="20"/>
          <w:szCs w:val="20"/>
          <w:lang w:val="es-CR"/>
        </w:rPr>
        <w:t xml:space="preserve"> (</w:t>
      </w:r>
      <w:r w:rsidR="00F727B4" w:rsidRPr="00254C85">
        <w:rPr>
          <w:rFonts w:ascii="Verdana" w:hAnsi="Verdana" w:cs="Verdana"/>
          <w:i/>
          <w:sz w:val="20"/>
          <w:szCs w:val="20"/>
          <w:lang w:val="es-CR"/>
        </w:rPr>
        <w:t xml:space="preserve">supra </w:t>
      </w:r>
      <w:r w:rsidR="00F727B4" w:rsidRPr="00254C85">
        <w:rPr>
          <w:rFonts w:ascii="Verdana" w:hAnsi="Verdana" w:cs="Verdana"/>
          <w:sz w:val="20"/>
          <w:szCs w:val="20"/>
          <w:lang w:val="es-CR"/>
        </w:rPr>
        <w:t>Considerando 15.a)</w:t>
      </w:r>
      <w:r w:rsidR="002D4FF6" w:rsidRPr="00254C85">
        <w:rPr>
          <w:rFonts w:ascii="Verdana" w:hAnsi="Verdana" w:cs="Verdana"/>
          <w:sz w:val="20"/>
          <w:szCs w:val="20"/>
          <w:lang w:val="es-CR"/>
        </w:rPr>
        <w:t>,</w:t>
      </w:r>
      <w:r w:rsidR="002D4FF6">
        <w:rPr>
          <w:rFonts w:ascii="Verdana" w:hAnsi="Verdana" w:cs="Verdana"/>
          <w:sz w:val="20"/>
          <w:szCs w:val="20"/>
          <w:lang w:val="es-CR"/>
        </w:rPr>
        <w:t xml:space="preserve"> esta Corte considera que </w:t>
      </w:r>
      <w:r>
        <w:rPr>
          <w:rFonts w:ascii="Verdana" w:hAnsi="Verdana"/>
          <w:sz w:val="20"/>
          <w:szCs w:val="20"/>
          <w:lang w:val="es-CR"/>
        </w:rPr>
        <w:t>tanto la admisi</w:t>
      </w:r>
      <w:r w:rsidR="009573E1">
        <w:rPr>
          <w:rFonts w:ascii="Verdana" w:hAnsi="Verdana"/>
          <w:sz w:val="20"/>
          <w:szCs w:val="20"/>
          <w:lang w:val="es-CR"/>
        </w:rPr>
        <w:t>ó</w:t>
      </w:r>
      <w:r>
        <w:rPr>
          <w:rFonts w:ascii="Verdana" w:hAnsi="Verdana"/>
          <w:sz w:val="20"/>
          <w:szCs w:val="20"/>
          <w:lang w:val="es-CR"/>
        </w:rPr>
        <w:t xml:space="preserve">n de esa acusación constitucional, el avance de etapas en los órganos ante el Congreso como la posibilidad de que se llegue a adoptar </w:t>
      </w:r>
      <w:r w:rsidR="009573E1">
        <w:rPr>
          <w:rFonts w:ascii="Verdana" w:hAnsi="Verdana" w:cs="Verdana"/>
          <w:sz w:val="20"/>
          <w:szCs w:val="20"/>
          <w:lang w:val="es-CR"/>
        </w:rPr>
        <w:t xml:space="preserve">cualquiera de las </w:t>
      </w:r>
      <w:r>
        <w:rPr>
          <w:rFonts w:ascii="Verdana" w:hAnsi="Verdana" w:cs="Verdana"/>
          <w:sz w:val="20"/>
          <w:szCs w:val="20"/>
          <w:lang w:val="es-CR"/>
        </w:rPr>
        <w:t xml:space="preserve">sanciones </w:t>
      </w:r>
      <w:r w:rsidR="009573E1">
        <w:rPr>
          <w:rFonts w:ascii="Verdana" w:hAnsi="Verdana" w:cs="Verdana"/>
          <w:sz w:val="20"/>
          <w:szCs w:val="20"/>
          <w:lang w:val="es-CR"/>
        </w:rPr>
        <w:t>recomendadas por la Sub</w:t>
      </w:r>
      <w:r w:rsidR="00F727B4">
        <w:rPr>
          <w:rFonts w:ascii="Verdana" w:hAnsi="Verdana" w:cs="Verdana"/>
          <w:sz w:val="20"/>
          <w:szCs w:val="20"/>
          <w:lang w:val="es-CR"/>
        </w:rPr>
        <w:t>c</w:t>
      </w:r>
      <w:r w:rsidR="009573E1">
        <w:rPr>
          <w:rFonts w:ascii="Verdana" w:hAnsi="Verdana" w:cs="Verdana"/>
          <w:sz w:val="20"/>
          <w:szCs w:val="20"/>
          <w:lang w:val="es-CR"/>
        </w:rPr>
        <w:t>omisión de Acusaciones Constitucionales del Congreso (</w:t>
      </w:r>
      <w:r w:rsidR="009573E1" w:rsidRPr="001A3056">
        <w:rPr>
          <w:rFonts w:ascii="Verdana" w:hAnsi="Verdana" w:cs="Verdana"/>
          <w:sz w:val="20"/>
          <w:szCs w:val="20"/>
          <w:lang w:val="es-CR"/>
        </w:rPr>
        <w:t>destitución</w:t>
      </w:r>
      <w:r w:rsidR="009573E1">
        <w:rPr>
          <w:rFonts w:ascii="Verdana" w:hAnsi="Verdana" w:cs="Verdana"/>
          <w:sz w:val="20"/>
          <w:szCs w:val="20"/>
          <w:lang w:val="es-CR"/>
        </w:rPr>
        <w:t xml:space="preserve"> e inhabilitación por diez años para un magistrado y la suspensión por treinta días de los otros tres magistrados) </w:t>
      </w:r>
      <w:r>
        <w:rPr>
          <w:rFonts w:ascii="Verdana" w:hAnsi="Verdana" w:cs="Verdana"/>
          <w:sz w:val="20"/>
          <w:szCs w:val="20"/>
          <w:lang w:val="es-CR"/>
        </w:rPr>
        <w:t>tiene</w:t>
      </w:r>
      <w:r w:rsidR="008F3552">
        <w:rPr>
          <w:rFonts w:ascii="Verdana" w:hAnsi="Verdana" w:cs="Verdana"/>
          <w:sz w:val="20"/>
          <w:szCs w:val="20"/>
          <w:lang w:val="es-CR"/>
        </w:rPr>
        <w:t>n</w:t>
      </w:r>
      <w:r>
        <w:rPr>
          <w:rFonts w:ascii="Verdana" w:hAnsi="Verdana" w:cs="Verdana"/>
          <w:sz w:val="20"/>
          <w:szCs w:val="20"/>
          <w:lang w:val="es-CR"/>
        </w:rPr>
        <w:t xml:space="preserve"> un impacto en la garantía de independencia judicial</w:t>
      </w:r>
      <w:r w:rsidR="00F052DC">
        <w:rPr>
          <w:rFonts w:ascii="Verdana" w:hAnsi="Verdana" w:cs="Verdana"/>
          <w:sz w:val="20"/>
          <w:szCs w:val="20"/>
          <w:lang w:val="es-CR"/>
        </w:rPr>
        <w:t xml:space="preserve"> en razón de </w:t>
      </w:r>
      <w:r w:rsidR="00F052DC" w:rsidRPr="00F052DC">
        <w:rPr>
          <w:rFonts w:ascii="Verdana" w:hAnsi="Verdana" w:cs="Verdana"/>
          <w:sz w:val="20"/>
          <w:szCs w:val="20"/>
          <w:lang w:val="es-CR"/>
        </w:rPr>
        <w:t>su</w:t>
      </w:r>
      <w:r w:rsidR="005D7251" w:rsidRPr="00F052DC">
        <w:rPr>
          <w:rFonts w:ascii="Verdana" w:hAnsi="Verdana" w:cs="Verdana"/>
          <w:sz w:val="20"/>
          <w:szCs w:val="20"/>
          <w:lang w:val="es-CR"/>
        </w:rPr>
        <w:t xml:space="preserve"> posible efecto intimidatorio para toda la magistratura nacional</w:t>
      </w:r>
      <w:r w:rsidR="009573E1" w:rsidRPr="00F052DC">
        <w:rPr>
          <w:rFonts w:ascii="Verdana" w:hAnsi="Verdana" w:cs="Verdana"/>
          <w:sz w:val="20"/>
          <w:szCs w:val="20"/>
          <w:lang w:val="es-CR"/>
        </w:rPr>
        <w:t>.</w:t>
      </w:r>
      <w:r>
        <w:rPr>
          <w:rFonts w:ascii="Verdana" w:hAnsi="Verdana"/>
          <w:sz w:val="20"/>
          <w:szCs w:val="20"/>
          <w:lang w:val="es-CR"/>
        </w:rPr>
        <w:t xml:space="preserve"> </w:t>
      </w:r>
      <w:r w:rsidR="009573E1">
        <w:rPr>
          <w:rFonts w:ascii="Verdana" w:hAnsi="Verdana"/>
          <w:sz w:val="20"/>
          <w:szCs w:val="20"/>
          <w:lang w:val="es-CR"/>
        </w:rPr>
        <w:t>E</w:t>
      </w:r>
      <w:r w:rsidR="00650C04" w:rsidRPr="001A3056">
        <w:rPr>
          <w:rFonts w:ascii="Verdana" w:hAnsi="Verdana"/>
          <w:sz w:val="20"/>
          <w:szCs w:val="20"/>
          <w:lang w:val="es-CR"/>
        </w:rPr>
        <w:t xml:space="preserve">n la sentencia del </w:t>
      </w:r>
      <w:r w:rsidR="00650C04" w:rsidRPr="001A3056">
        <w:rPr>
          <w:rFonts w:ascii="Verdana" w:hAnsi="Verdana"/>
          <w:i/>
          <w:sz w:val="20"/>
          <w:szCs w:val="20"/>
          <w:lang w:val="es-CR"/>
        </w:rPr>
        <w:t>caso López Lone Vs. Honduras</w:t>
      </w:r>
      <w:r w:rsidR="00650C04" w:rsidRPr="001A3056">
        <w:rPr>
          <w:rFonts w:ascii="Verdana" w:hAnsi="Verdana"/>
          <w:sz w:val="20"/>
          <w:szCs w:val="20"/>
          <w:lang w:val="es-CR"/>
        </w:rPr>
        <w:t xml:space="preserve">, </w:t>
      </w:r>
      <w:r w:rsidR="009573E1">
        <w:rPr>
          <w:rFonts w:ascii="Verdana" w:hAnsi="Verdana"/>
          <w:sz w:val="20"/>
          <w:szCs w:val="20"/>
          <w:lang w:val="es-CR"/>
        </w:rPr>
        <w:t xml:space="preserve">este Tribunal </w:t>
      </w:r>
      <w:r w:rsidR="00650C04" w:rsidRPr="001A3056">
        <w:rPr>
          <w:rFonts w:ascii="Verdana" w:hAnsi="Verdana"/>
          <w:sz w:val="20"/>
          <w:szCs w:val="20"/>
          <w:lang w:val="es-CR"/>
        </w:rPr>
        <w:t>señaló que “el mero hecho de iniciar un proceso disciplinario en contr</w:t>
      </w:r>
      <w:r w:rsidR="00300974">
        <w:rPr>
          <w:rFonts w:ascii="Verdana" w:hAnsi="Verdana"/>
          <w:sz w:val="20"/>
          <w:szCs w:val="20"/>
          <w:lang w:val="es-CR"/>
        </w:rPr>
        <w:t>a de los jueces y la magistrada</w:t>
      </w:r>
      <w:r w:rsidR="00650C04" w:rsidRPr="001A3056">
        <w:rPr>
          <w:rFonts w:ascii="Verdana" w:hAnsi="Verdana"/>
          <w:sz w:val="20"/>
          <w:szCs w:val="20"/>
          <w:lang w:val="es-CR"/>
        </w:rPr>
        <w:t>[</w:t>
      </w:r>
      <w:r w:rsidR="00300974">
        <w:rPr>
          <w:rFonts w:ascii="Verdana" w:hAnsi="Verdana"/>
          <w:sz w:val="20"/>
          <w:szCs w:val="20"/>
          <w:lang w:val="es-CR"/>
        </w:rPr>
        <w:t xml:space="preserve">, quienes en ese caso </w:t>
      </w:r>
      <w:r w:rsidR="00650C04" w:rsidRPr="001A3056">
        <w:rPr>
          <w:rFonts w:ascii="Verdana" w:hAnsi="Verdana"/>
          <w:sz w:val="20"/>
          <w:szCs w:val="20"/>
          <w:lang w:val="es-CR"/>
        </w:rPr>
        <w:t>no pertenecían a un mismo órgano colegiado</w:t>
      </w:r>
      <w:r w:rsidR="00300974">
        <w:rPr>
          <w:rFonts w:ascii="Verdana" w:hAnsi="Verdana"/>
          <w:sz w:val="20"/>
          <w:szCs w:val="20"/>
          <w:lang w:val="es-CR"/>
        </w:rPr>
        <w:t>,</w:t>
      </w:r>
      <w:r w:rsidR="00650C04" w:rsidRPr="001A3056">
        <w:rPr>
          <w:rFonts w:ascii="Verdana" w:hAnsi="Verdana"/>
          <w:sz w:val="20"/>
          <w:szCs w:val="20"/>
          <w:lang w:val="es-CR"/>
        </w:rPr>
        <w:t xml:space="preserve">] por sus actuaciones en contra del golpe de Estado y </w:t>
      </w:r>
      <w:r w:rsidR="00650C04" w:rsidRPr="00AC3AE1">
        <w:rPr>
          <w:rFonts w:ascii="Verdana" w:hAnsi="Verdana"/>
          <w:sz w:val="20"/>
          <w:szCs w:val="20"/>
          <w:lang w:val="es-CR"/>
        </w:rPr>
        <w:t xml:space="preserve">a favor del Estado de Derecho, podría tener el efecto intimidante […] y por lo tanto constituir una restricción indebida a sus derechos”. </w:t>
      </w:r>
      <w:r w:rsidR="00C505E0">
        <w:rPr>
          <w:rFonts w:ascii="Verdana" w:hAnsi="Verdana"/>
          <w:sz w:val="20"/>
          <w:szCs w:val="20"/>
          <w:lang w:val="es-CR"/>
        </w:rPr>
        <w:t xml:space="preserve">En el presente caso, esta Corte considera que el referido </w:t>
      </w:r>
      <w:r w:rsidR="00F052DC">
        <w:rPr>
          <w:rFonts w:ascii="Verdana" w:hAnsi="Verdana"/>
          <w:sz w:val="20"/>
          <w:szCs w:val="20"/>
          <w:lang w:val="es-CR"/>
        </w:rPr>
        <w:t xml:space="preserve">posible </w:t>
      </w:r>
      <w:r w:rsidR="00C505E0">
        <w:rPr>
          <w:rFonts w:ascii="Verdana" w:hAnsi="Verdana"/>
          <w:sz w:val="20"/>
          <w:szCs w:val="20"/>
          <w:lang w:val="es-CR"/>
        </w:rPr>
        <w:t>efecto intimidante puede generarse tanto con la destitución de un magistrado como de cuatro magistrados, cuando el motivo de las sanciones es haber suscrito el referido auto de 2016</w:t>
      </w:r>
      <w:r w:rsidR="00F727B4">
        <w:rPr>
          <w:rFonts w:ascii="Verdana" w:hAnsi="Verdana"/>
          <w:sz w:val="20"/>
          <w:szCs w:val="20"/>
          <w:lang w:val="es-CR"/>
        </w:rPr>
        <w:t xml:space="preserve"> </w:t>
      </w:r>
      <w:r w:rsidR="00F727B4" w:rsidRPr="00254C85">
        <w:rPr>
          <w:rFonts w:ascii="Verdana" w:hAnsi="Verdana"/>
          <w:sz w:val="20"/>
          <w:szCs w:val="20"/>
          <w:lang w:val="es-CR"/>
        </w:rPr>
        <w:t>(</w:t>
      </w:r>
      <w:r w:rsidR="00F727B4" w:rsidRPr="00254C85">
        <w:rPr>
          <w:rFonts w:ascii="Verdana" w:hAnsi="Verdana"/>
          <w:i/>
          <w:sz w:val="20"/>
          <w:szCs w:val="20"/>
          <w:lang w:val="es-CR"/>
        </w:rPr>
        <w:t xml:space="preserve">supra </w:t>
      </w:r>
      <w:r w:rsidR="00F727B4" w:rsidRPr="00254C85">
        <w:rPr>
          <w:rFonts w:ascii="Verdana" w:hAnsi="Verdana"/>
          <w:sz w:val="20"/>
          <w:szCs w:val="20"/>
          <w:lang w:val="es-CR"/>
        </w:rPr>
        <w:t>Considerando 21)</w:t>
      </w:r>
      <w:r w:rsidR="00C505E0" w:rsidRPr="00254C85">
        <w:rPr>
          <w:rFonts w:ascii="Verdana" w:hAnsi="Verdana"/>
          <w:sz w:val="20"/>
          <w:szCs w:val="20"/>
          <w:lang w:val="es-CR"/>
        </w:rPr>
        <w:t>.</w:t>
      </w:r>
    </w:p>
    <w:p w14:paraId="5A0BA338" w14:textId="77777777" w:rsidR="005811F1" w:rsidRDefault="005811F1" w:rsidP="005811F1">
      <w:pPr>
        <w:pStyle w:val="ListParagraph"/>
        <w:spacing w:after="0" w:line="240" w:lineRule="auto"/>
        <w:ind w:left="0"/>
        <w:contextualSpacing w:val="0"/>
        <w:jc w:val="both"/>
        <w:rPr>
          <w:rFonts w:ascii="Verdana" w:hAnsi="Verdana" w:cs="Verdana"/>
          <w:sz w:val="20"/>
          <w:szCs w:val="20"/>
          <w:lang w:val="es-CR"/>
        </w:rPr>
      </w:pPr>
    </w:p>
    <w:p w14:paraId="64F0C987" w14:textId="2AA5E878" w:rsidR="00F052DC" w:rsidRDefault="001A3056" w:rsidP="007C15A1">
      <w:pPr>
        <w:pStyle w:val="ListParagraph"/>
        <w:numPr>
          <w:ilvl w:val="0"/>
          <w:numId w:val="3"/>
        </w:numPr>
        <w:spacing w:after="0" w:line="240" w:lineRule="auto"/>
        <w:ind w:left="0" w:firstLine="0"/>
        <w:contextualSpacing w:val="0"/>
        <w:jc w:val="both"/>
        <w:rPr>
          <w:rFonts w:ascii="Verdana" w:hAnsi="Verdana" w:cs="Verdana"/>
          <w:sz w:val="20"/>
          <w:szCs w:val="20"/>
          <w:lang w:val="es-CR"/>
        </w:rPr>
      </w:pPr>
      <w:r w:rsidRPr="00AC3AE1">
        <w:rPr>
          <w:rFonts w:ascii="Verdana" w:hAnsi="Verdana" w:cs="Verdana"/>
          <w:sz w:val="20"/>
          <w:szCs w:val="20"/>
          <w:lang w:val="es-CR"/>
        </w:rPr>
        <w:t>Asimismo, l</w:t>
      </w:r>
      <w:r w:rsidR="008F4081" w:rsidRPr="00AC3AE1">
        <w:rPr>
          <w:rFonts w:ascii="Verdana" w:hAnsi="Verdana" w:cs="Verdana"/>
          <w:sz w:val="20"/>
          <w:szCs w:val="20"/>
          <w:lang w:val="es-CR"/>
        </w:rPr>
        <w:t xml:space="preserve">a eventual destitución de magistrados </w:t>
      </w:r>
      <w:r w:rsidR="00F052DC">
        <w:rPr>
          <w:rFonts w:ascii="Verdana" w:hAnsi="Verdana" w:cs="Verdana"/>
          <w:sz w:val="20"/>
          <w:szCs w:val="20"/>
          <w:lang w:val="es-CR"/>
        </w:rPr>
        <w:t>es susceptible de provocar un grave impacto en los tribunales que deben intervenir en el actual proceso penal, como también en otros que fuesen necesarios para identificar a otros posibles responsables, e incluso en el recurso pendiente de resolución en el Tribunal Constitucional</w:t>
      </w:r>
      <w:r w:rsidR="00F052DC">
        <w:rPr>
          <w:rStyle w:val="FootnoteReference"/>
          <w:rFonts w:ascii="Verdana" w:hAnsi="Verdana" w:cs="Verdana"/>
          <w:sz w:val="20"/>
          <w:szCs w:val="20"/>
          <w:lang w:val="es-CR"/>
        </w:rPr>
        <w:footnoteReference w:id="34"/>
      </w:r>
      <w:r w:rsidR="00F052DC">
        <w:rPr>
          <w:rFonts w:ascii="Verdana" w:hAnsi="Verdana" w:cs="Verdana"/>
          <w:sz w:val="20"/>
          <w:szCs w:val="20"/>
          <w:lang w:val="es-CR"/>
        </w:rPr>
        <w:t xml:space="preserve">. </w:t>
      </w:r>
    </w:p>
    <w:p w14:paraId="03171F9E" w14:textId="77777777" w:rsidR="005811F1" w:rsidRDefault="005811F1" w:rsidP="005811F1">
      <w:pPr>
        <w:pStyle w:val="ListParagraph"/>
        <w:spacing w:after="0" w:line="240" w:lineRule="auto"/>
        <w:ind w:left="0"/>
        <w:contextualSpacing w:val="0"/>
        <w:jc w:val="both"/>
        <w:rPr>
          <w:rFonts w:ascii="Verdana" w:hAnsi="Verdana" w:cs="Verdana"/>
          <w:sz w:val="20"/>
          <w:szCs w:val="20"/>
          <w:lang w:val="es-CR"/>
        </w:rPr>
      </w:pPr>
    </w:p>
    <w:p w14:paraId="2924A24D" w14:textId="77777777" w:rsidR="00BC173E" w:rsidRDefault="007D3B47" w:rsidP="007C15A1">
      <w:pPr>
        <w:pStyle w:val="ListParagraph"/>
        <w:numPr>
          <w:ilvl w:val="0"/>
          <w:numId w:val="3"/>
        </w:numPr>
        <w:spacing w:after="0" w:line="240" w:lineRule="auto"/>
        <w:ind w:left="0" w:firstLine="0"/>
        <w:contextualSpacing w:val="0"/>
        <w:jc w:val="both"/>
        <w:rPr>
          <w:rFonts w:ascii="Verdana" w:hAnsi="Verdana" w:cs="Verdana"/>
          <w:sz w:val="20"/>
          <w:szCs w:val="20"/>
          <w:lang w:val="es-CR"/>
        </w:rPr>
      </w:pPr>
      <w:r w:rsidRPr="002875CD">
        <w:rPr>
          <w:rFonts w:ascii="Verdana" w:hAnsi="Verdana" w:cs="Verdana"/>
          <w:sz w:val="20"/>
          <w:szCs w:val="20"/>
          <w:lang w:val="es-CR"/>
        </w:rPr>
        <w:t xml:space="preserve">En este sentido, si bien </w:t>
      </w:r>
      <w:r w:rsidR="000B5CEB" w:rsidRPr="002875CD">
        <w:rPr>
          <w:rFonts w:ascii="Verdana" w:hAnsi="Verdana" w:cs="Verdana"/>
          <w:sz w:val="20"/>
          <w:szCs w:val="20"/>
          <w:lang w:val="es-CR"/>
        </w:rPr>
        <w:t xml:space="preserve">este tribunal internacional </w:t>
      </w:r>
      <w:r w:rsidRPr="002875CD">
        <w:rPr>
          <w:rFonts w:ascii="Verdana" w:hAnsi="Verdana" w:cs="Verdana"/>
          <w:sz w:val="20"/>
          <w:szCs w:val="20"/>
          <w:lang w:val="es-CR"/>
        </w:rPr>
        <w:t>ha señalado con anterioridad que la garantía de estabilidad e inamovilidad de los jueces no es absoluta, también ha indicado que los procesos relativos a medidas disciplinarias, suspensión o separación del cargo no pueden tener una “aparente legalidad” de manera que “una mayoría parlamentaria” pueda “ejercer un mayor control” sobre un Tribunal Constitucional con un “fin completamente distinto y relacionado con una desviación de poder dirigida a obtener el control de la función judicial a través de diferentes procedimientos” como pueden ser “el cese y los juicios políticos”</w:t>
      </w:r>
      <w:r w:rsidRPr="002875CD">
        <w:rPr>
          <w:rStyle w:val="FootnoteReference"/>
          <w:rFonts w:ascii="Verdana" w:hAnsi="Verdana" w:cs="Verdana"/>
          <w:sz w:val="20"/>
          <w:szCs w:val="20"/>
          <w:lang w:val="es-CR"/>
        </w:rPr>
        <w:footnoteReference w:id="35"/>
      </w:r>
      <w:r w:rsidRPr="002875CD">
        <w:rPr>
          <w:rFonts w:ascii="Verdana" w:hAnsi="Verdana" w:cs="Verdana"/>
          <w:sz w:val="20"/>
          <w:szCs w:val="20"/>
          <w:lang w:val="es-CR"/>
        </w:rPr>
        <w:t>.</w:t>
      </w:r>
      <w:r>
        <w:rPr>
          <w:rFonts w:ascii="Verdana" w:hAnsi="Verdana" w:cs="Verdana"/>
          <w:sz w:val="20"/>
          <w:szCs w:val="20"/>
          <w:lang w:val="es-CR"/>
        </w:rPr>
        <w:t xml:space="preserve"> </w:t>
      </w:r>
      <w:r w:rsidR="00913099" w:rsidRPr="006665A4">
        <w:rPr>
          <w:rFonts w:ascii="Verdana" w:hAnsi="Verdana" w:cs="Verdana"/>
          <w:sz w:val="20"/>
          <w:szCs w:val="20"/>
          <w:lang w:val="es-ES"/>
        </w:rPr>
        <w:t xml:space="preserve">La Carta Democrática Interamericana establece, en su artículo 3, que “la separación e independencia de los poderes públicos” es uno de los </w:t>
      </w:r>
      <w:r w:rsidR="00ED4F51">
        <w:rPr>
          <w:rFonts w:ascii="Verdana" w:hAnsi="Verdana" w:cs="Verdana"/>
          <w:sz w:val="20"/>
          <w:szCs w:val="20"/>
          <w:lang w:val="es-ES"/>
        </w:rPr>
        <w:t>“</w:t>
      </w:r>
      <w:r w:rsidR="00913099" w:rsidRPr="006665A4">
        <w:rPr>
          <w:rFonts w:ascii="Verdana" w:hAnsi="Verdana" w:cs="Verdana"/>
          <w:sz w:val="20"/>
          <w:szCs w:val="20"/>
          <w:lang w:val="es-ES"/>
        </w:rPr>
        <w:t>elementos esenciales de</w:t>
      </w:r>
      <w:r w:rsidR="00495294">
        <w:rPr>
          <w:rFonts w:ascii="Verdana" w:hAnsi="Verdana" w:cs="Verdana"/>
          <w:sz w:val="20"/>
          <w:szCs w:val="20"/>
          <w:lang w:val="es-ES"/>
        </w:rPr>
        <w:t xml:space="preserve"> la democracia representativa</w:t>
      </w:r>
      <w:r w:rsidR="00ED4F51">
        <w:rPr>
          <w:rFonts w:ascii="Verdana" w:hAnsi="Verdana" w:cs="Verdana"/>
          <w:sz w:val="20"/>
          <w:szCs w:val="20"/>
          <w:lang w:val="es-ES"/>
        </w:rPr>
        <w:t>”</w:t>
      </w:r>
      <w:r w:rsidR="00495294">
        <w:rPr>
          <w:rFonts w:ascii="Verdana" w:hAnsi="Verdana" w:cs="Verdana"/>
          <w:sz w:val="20"/>
          <w:szCs w:val="20"/>
          <w:lang w:val="es-ES"/>
        </w:rPr>
        <w:t>. E</w:t>
      </w:r>
      <w:r w:rsidR="00913099" w:rsidRPr="006665A4">
        <w:rPr>
          <w:rFonts w:ascii="Verdana" w:hAnsi="Verdana" w:cs="Verdana"/>
          <w:sz w:val="20"/>
          <w:szCs w:val="20"/>
          <w:lang w:val="es-ES"/>
        </w:rPr>
        <w:t xml:space="preserve">n el artículo 4 del mismo </w:t>
      </w:r>
      <w:r w:rsidR="00913099">
        <w:rPr>
          <w:rFonts w:ascii="Verdana" w:hAnsi="Verdana" w:cs="Verdana"/>
          <w:sz w:val="20"/>
          <w:szCs w:val="20"/>
          <w:lang w:val="es-ES"/>
        </w:rPr>
        <w:t>instrum</w:t>
      </w:r>
      <w:r w:rsidR="00913099" w:rsidRPr="006665A4">
        <w:rPr>
          <w:rFonts w:ascii="Verdana" w:hAnsi="Verdana" w:cs="Verdana"/>
          <w:sz w:val="20"/>
          <w:szCs w:val="20"/>
          <w:lang w:val="es-ES"/>
        </w:rPr>
        <w:t xml:space="preserve">ento </w:t>
      </w:r>
      <w:r w:rsidR="00495294">
        <w:rPr>
          <w:rFonts w:ascii="Verdana" w:hAnsi="Verdana" w:cs="Verdana"/>
          <w:sz w:val="20"/>
          <w:szCs w:val="20"/>
          <w:lang w:val="es-ES"/>
        </w:rPr>
        <w:t xml:space="preserve">se </w:t>
      </w:r>
      <w:r w:rsidR="00A6187F">
        <w:rPr>
          <w:rFonts w:ascii="Verdana" w:hAnsi="Verdana" w:cs="Verdana"/>
          <w:sz w:val="20"/>
          <w:szCs w:val="20"/>
          <w:lang w:val="es-ES"/>
        </w:rPr>
        <w:t xml:space="preserve">determina que </w:t>
      </w:r>
      <w:r w:rsidR="00A6187F" w:rsidRPr="00FB129D">
        <w:rPr>
          <w:rFonts w:ascii="Verdana" w:hAnsi="Verdana" w:cs="Verdana"/>
          <w:sz w:val="20"/>
          <w:szCs w:val="20"/>
          <w:lang w:val="es-ES"/>
        </w:rPr>
        <w:t>“[l]a</w:t>
      </w:r>
      <w:r w:rsidR="00913099" w:rsidRPr="006665A4">
        <w:rPr>
          <w:rFonts w:ascii="Verdana" w:hAnsi="Verdana" w:cs="Verdana"/>
          <w:sz w:val="20"/>
          <w:szCs w:val="20"/>
          <w:lang w:val="es-ES"/>
        </w:rPr>
        <w:t xml:space="preserve"> subordinación constitucional de todas las instituciones del Estado a la autoridad civil legalmente constituida y el respeto al estado de derecho de todas las entidades y sectores de la sociedad son igualmente fundamentales para la democracia”.</w:t>
      </w:r>
    </w:p>
    <w:p w14:paraId="7D733CC3" w14:textId="77777777" w:rsidR="005811F1" w:rsidRDefault="005811F1" w:rsidP="005811F1">
      <w:pPr>
        <w:pStyle w:val="ListParagraph"/>
        <w:spacing w:after="0" w:line="240" w:lineRule="auto"/>
        <w:ind w:left="0"/>
        <w:contextualSpacing w:val="0"/>
        <w:jc w:val="both"/>
        <w:rPr>
          <w:rFonts w:ascii="Verdana" w:hAnsi="Verdana" w:cs="Verdana"/>
          <w:sz w:val="20"/>
          <w:szCs w:val="20"/>
          <w:lang w:val="es-CR"/>
        </w:rPr>
      </w:pPr>
    </w:p>
    <w:p w14:paraId="48EEFF0C" w14:textId="3023436F" w:rsidR="00507183" w:rsidRPr="00BC173E" w:rsidRDefault="00BC173E" w:rsidP="007C15A1">
      <w:pPr>
        <w:pStyle w:val="ListParagraph"/>
        <w:numPr>
          <w:ilvl w:val="0"/>
          <w:numId w:val="3"/>
        </w:numPr>
        <w:spacing w:after="0" w:line="240" w:lineRule="auto"/>
        <w:ind w:left="0" w:firstLine="0"/>
        <w:contextualSpacing w:val="0"/>
        <w:jc w:val="both"/>
        <w:rPr>
          <w:rFonts w:ascii="Verdana" w:hAnsi="Verdana" w:cs="Verdana"/>
          <w:sz w:val="20"/>
          <w:szCs w:val="20"/>
          <w:lang w:val="es-CR"/>
        </w:rPr>
      </w:pPr>
      <w:r w:rsidRPr="00B332DC">
        <w:rPr>
          <w:rFonts w:ascii="Verdana" w:hAnsi="Verdana" w:cs="Verdana"/>
          <w:sz w:val="20"/>
          <w:szCs w:val="20"/>
          <w:lang w:val="es-CR"/>
        </w:rPr>
        <w:t xml:space="preserve">En múltiples oportunidades </w:t>
      </w:r>
      <w:r w:rsidR="00F44F56">
        <w:rPr>
          <w:rFonts w:ascii="Verdana" w:hAnsi="Verdana" w:cs="Verdana"/>
          <w:sz w:val="20"/>
          <w:szCs w:val="20"/>
          <w:lang w:val="es-CR"/>
        </w:rPr>
        <w:t xml:space="preserve">esta </w:t>
      </w:r>
      <w:r w:rsidRPr="00B332DC">
        <w:rPr>
          <w:rFonts w:ascii="Verdana" w:hAnsi="Verdana" w:cs="Verdana"/>
          <w:sz w:val="20"/>
          <w:szCs w:val="20"/>
          <w:lang w:val="es-CR"/>
        </w:rPr>
        <w:t xml:space="preserve">Corte se ha pronunciado sobre la importancia de la protección de la independencia judicial. </w:t>
      </w:r>
      <w:r w:rsidR="00FA4960" w:rsidRPr="00B332DC">
        <w:rPr>
          <w:rFonts w:ascii="Verdana" w:hAnsi="Verdana" w:cs="Verdana"/>
          <w:sz w:val="20"/>
          <w:szCs w:val="20"/>
          <w:lang w:val="es-CR"/>
        </w:rPr>
        <w:t xml:space="preserve">En la Sentencia del </w:t>
      </w:r>
      <w:r w:rsidR="00FA4960" w:rsidRPr="00B332DC">
        <w:rPr>
          <w:rFonts w:ascii="Verdana" w:hAnsi="Verdana" w:cs="Verdana"/>
          <w:i/>
          <w:sz w:val="20"/>
          <w:szCs w:val="20"/>
          <w:lang w:val="es-CR"/>
        </w:rPr>
        <w:t xml:space="preserve">caso del Tribunal Constitucional Vs. Perú </w:t>
      </w:r>
      <w:r w:rsidR="007017EF" w:rsidRPr="00B332DC">
        <w:rPr>
          <w:rFonts w:ascii="Verdana" w:hAnsi="Verdana" w:cs="Verdana"/>
          <w:sz w:val="20"/>
          <w:szCs w:val="20"/>
          <w:lang w:val="es-CR"/>
        </w:rPr>
        <w:t xml:space="preserve">resaltó la necesidad de que </w:t>
      </w:r>
      <w:r w:rsidR="00FA4960" w:rsidRPr="00B332DC">
        <w:rPr>
          <w:rFonts w:ascii="Verdana" w:hAnsi="Verdana" w:cs="Verdana"/>
          <w:sz w:val="20"/>
          <w:szCs w:val="20"/>
          <w:lang w:val="es-CR"/>
        </w:rPr>
        <w:t>“se garantice la independencia de cualquier juez en un Estado de Derecho y, en especial, la del</w:t>
      </w:r>
      <w:r w:rsidR="00FA4960">
        <w:rPr>
          <w:rFonts w:ascii="Verdana" w:hAnsi="Verdana" w:cs="Verdana"/>
          <w:sz w:val="20"/>
          <w:szCs w:val="20"/>
          <w:lang w:val="es-CR"/>
        </w:rPr>
        <w:t xml:space="preserve"> juez constitucional en razón de la naturaleza de los asuntos sometidos a su conocimiento”</w:t>
      </w:r>
      <w:r w:rsidR="0072114B">
        <w:rPr>
          <w:rStyle w:val="FootnoteReference"/>
          <w:rFonts w:ascii="Verdana" w:hAnsi="Verdana" w:cs="Verdana"/>
          <w:sz w:val="20"/>
          <w:szCs w:val="20"/>
          <w:lang w:val="es-CR"/>
        </w:rPr>
        <w:footnoteReference w:id="36"/>
      </w:r>
      <w:r w:rsidR="00FA4960">
        <w:rPr>
          <w:rFonts w:ascii="Verdana" w:hAnsi="Verdana" w:cs="Verdana"/>
          <w:sz w:val="20"/>
          <w:szCs w:val="20"/>
          <w:lang w:val="es-CR"/>
        </w:rPr>
        <w:t xml:space="preserve">. </w:t>
      </w:r>
      <w:r>
        <w:rPr>
          <w:rFonts w:ascii="Verdana" w:hAnsi="Verdana" w:cs="Verdana"/>
          <w:sz w:val="20"/>
          <w:szCs w:val="20"/>
          <w:lang w:val="es-CR"/>
        </w:rPr>
        <w:t xml:space="preserve">En la Sentencia del </w:t>
      </w:r>
      <w:r w:rsidR="00507183" w:rsidRPr="00BC173E">
        <w:rPr>
          <w:rFonts w:ascii="Verdana" w:hAnsi="Verdana" w:cs="Verdana"/>
          <w:i/>
          <w:sz w:val="20"/>
          <w:szCs w:val="20"/>
          <w:lang w:val="es-ES_tradnl"/>
        </w:rPr>
        <w:t>caso del Tribunal Constitucional (Camba Campos y otros) Vs. Ecuador</w:t>
      </w:r>
      <w:r>
        <w:rPr>
          <w:rFonts w:ascii="Verdana" w:hAnsi="Verdana" w:cs="Verdana"/>
          <w:i/>
          <w:sz w:val="20"/>
          <w:szCs w:val="20"/>
          <w:lang w:val="es-ES_tradnl"/>
        </w:rPr>
        <w:t xml:space="preserve"> </w:t>
      </w:r>
      <w:r>
        <w:rPr>
          <w:rFonts w:ascii="Verdana" w:hAnsi="Verdana" w:cs="Verdana"/>
          <w:sz w:val="20"/>
          <w:szCs w:val="20"/>
          <w:lang w:val="es-ES_tradnl"/>
        </w:rPr>
        <w:t>sostuvo que</w:t>
      </w:r>
      <w:r w:rsidR="00507183" w:rsidRPr="00BC173E">
        <w:rPr>
          <w:rFonts w:ascii="Verdana" w:hAnsi="Verdana" w:cs="Verdana"/>
          <w:sz w:val="20"/>
          <w:szCs w:val="20"/>
          <w:lang w:val="es-ES_tradnl"/>
        </w:rPr>
        <w:t>:</w:t>
      </w:r>
    </w:p>
    <w:p w14:paraId="13BB5318" w14:textId="77777777" w:rsidR="005811F1" w:rsidRPr="006D5CEF" w:rsidRDefault="005811F1" w:rsidP="00AB381D">
      <w:pPr>
        <w:widowControl w:val="0"/>
        <w:tabs>
          <w:tab w:val="left" w:pos="0"/>
          <w:tab w:val="left" w:pos="709"/>
        </w:tabs>
        <w:autoSpaceDE w:val="0"/>
        <w:autoSpaceDN w:val="0"/>
        <w:adjustRightInd w:val="0"/>
        <w:spacing w:after="0" w:line="240" w:lineRule="auto"/>
        <w:ind w:left="720" w:right="720"/>
        <w:jc w:val="both"/>
        <w:rPr>
          <w:rFonts w:ascii="Verdana" w:hAnsi="Verdana"/>
          <w:sz w:val="16"/>
          <w:szCs w:val="16"/>
        </w:rPr>
      </w:pPr>
    </w:p>
    <w:p w14:paraId="146F6A22" w14:textId="77777777" w:rsidR="00507183" w:rsidRPr="006D5CEF" w:rsidRDefault="00507183" w:rsidP="00AB381D">
      <w:pPr>
        <w:widowControl w:val="0"/>
        <w:tabs>
          <w:tab w:val="left" w:pos="0"/>
          <w:tab w:val="left" w:pos="709"/>
        </w:tabs>
        <w:autoSpaceDE w:val="0"/>
        <w:autoSpaceDN w:val="0"/>
        <w:adjustRightInd w:val="0"/>
        <w:spacing w:after="0" w:line="240" w:lineRule="auto"/>
        <w:ind w:left="720" w:right="720"/>
        <w:jc w:val="both"/>
        <w:rPr>
          <w:rFonts w:ascii="Verdana" w:hAnsi="Verdana"/>
          <w:sz w:val="16"/>
          <w:szCs w:val="16"/>
          <w:lang w:val="es-VE"/>
        </w:rPr>
      </w:pPr>
      <w:r w:rsidRPr="006D5CEF">
        <w:rPr>
          <w:rFonts w:ascii="Verdana" w:hAnsi="Verdana"/>
          <w:sz w:val="16"/>
          <w:szCs w:val="16"/>
        </w:rPr>
        <w:t xml:space="preserve">198. </w:t>
      </w:r>
      <w:r w:rsidR="00BC173E" w:rsidRPr="006D5CEF">
        <w:rPr>
          <w:rFonts w:ascii="Verdana" w:hAnsi="Verdana"/>
          <w:sz w:val="16"/>
          <w:szCs w:val="16"/>
        </w:rPr>
        <w:t xml:space="preserve">[…] </w:t>
      </w:r>
      <w:r w:rsidRPr="006D5CEF">
        <w:rPr>
          <w:rFonts w:ascii="Verdana" w:hAnsi="Verdana"/>
          <w:sz w:val="16"/>
          <w:szCs w:val="16"/>
        </w:rPr>
        <w:t xml:space="preserve">el ejercicio autónomo de la función judicial debe ser garantizado por el Estado tanto en su faceta institucional, esto es, en relación con el Poder Judicial como sistema, así como también en conexión con su vertiente individual, es decir, con relación a la persona del juez específico. El Tribunal estima pertinente precisar que la dimensión objetiva se relaciona con aspectos esenciales para el Estado de Derecho, tales como el principio de separación de poderes, y el importante rol que cumple la función judicial en una democracia. Por ello, esta dimensión objetiva trasciende la figura </w:t>
      </w:r>
      <w:r w:rsidRPr="006D5CEF">
        <w:rPr>
          <w:rFonts w:ascii="Verdana" w:hAnsi="Verdana"/>
          <w:sz w:val="16"/>
          <w:szCs w:val="16"/>
        </w:rPr>
        <w:lastRenderedPageBreak/>
        <w:t xml:space="preserve">del juez e impacta colectivamente en toda la sociedad. Asimismo, existe una relación directa entre </w:t>
      </w:r>
      <w:r w:rsidRPr="006D5CEF">
        <w:rPr>
          <w:rFonts w:ascii="Verdana" w:hAnsi="Verdana"/>
          <w:sz w:val="16"/>
          <w:szCs w:val="16"/>
          <w:lang w:val="es-VE"/>
        </w:rPr>
        <w:t xml:space="preserve">la dimensión objetiva de la independencia judicial y el derecho de los jueces a acceder y permanecer en sus cargos en condiciones generales de igualdad, como expresión de su garantía de estabilidad. </w:t>
      </w:r>
    </w:p>
    <w:p w14:paraId="1147467D" w14:textId="77777777" w:rsidR="00507183" w:rsidRPr="002B382E" w:rsidRDefault="00507183" w:rsidP="00AB381D">
      <w:pPr>
        <w:widowControl w:val="0"/>
        <w:tabs>
          <w:tab w:val="left" w:pos="0"/>
          <w:tab w:val="left" w:pos="709"/>
        </w:tabs>
        <w:autoSpaceDE w:val="0"/>
        <w:autoSpaceDN w:val="0"/>
        <w:adjustRightInd w:val="0"/>
        <w:spacing w:after="0" w:line="240" w:lineRule="auto"/>
        <w:ind w:left="720" w:right="720"/>
        <w:jc w:val="both"/>
        <w:rPr>
          <w:rFonts w:ascii="Verdana" w:hAnsi="Verdana"/>
          <w:sz w:val="16"/>
          <w:szCs w:val="16"/>
          <w:lang w:val="es-CO"/>
        </w:rPr>
      </w:pPr>
    </w:p>
    <w:p w14:paraId="7667DC5C" w14:textId="77777777" w:rsidR="00507183" w:rsidRPr="002B382E" w:rsidRDefault="00507183" w:rsidP="007C15A1">
      <w:pPr>
        <w:pStyle w:val="ListParagraph"/>
        <w:widowControl w:val="0"/>
        <w:numPr>
          <w:ilvl w:val="0"/>
          <w:numId w:val="5"/>
        </w:numPr>
        <w:tabs>
          <w:tab w:val="left" w:pos="709"/>
        </w:tabs>
        <w:autoSpaceDE w:val="0"/>
        <w:autoSpaceDN w:val="0"/>
        <w:adjustRightInd w:val="0"/>
        <w:spacing w:after="0" w:line="240" w:lineRule="auto"/>
        <w:ind w:left="720" w:right="720" w:firstLine="0"/>
        <w:contextualSpacing w:val="0"/>
        <w:jc w:val="both"/>
        <w:rPr>
          <w:rFonts w:ascii="Verdana" w:hAnsi="Verdana"/>
          <w:sz w:val="16"/>
          <w:szCs w:val="16"/>
          <w:lang w:val="es-CO"/>
        </w:rPr>
      </w:pPr>
      <w:bookmarkStart w:id="0" w:name="_Ref369180218"/>
      <w:r w:rsidRPr="002B382E">
        <w:rPr>
          <w:rFonts w:ascii="Verdana" w:hAnsi="Verdana"/>
          <w:sz w:val="16"/>
          <w:szCs w:val="16"/>
          <w:lang w:val="es-CO"/>
        </w:rPr>
        <w:t xml:space="preserve">Teniendo en cuenta los estándares señalados anteriormente, la Corte considera que: i) el respeto de las garantías judiciales implica respetar la independencia judicial; ii) las dimensiones de la independencia judicial se traducen en el derecho subjetivo del juez a que su separación del cargo obedezca exclusivamente a las causales permitidas, ya sea por medio de un proceso que cumpla con las garantías judiciales o porque se ha cumplido el término o período de su mandato, y iii) cuando </w:t>
      </w:r>
      <w:r w:rsidRPr="002B382E">
        <w:rPr>
          <w:rFonts w:ascii="Verdana" w:hAnsi="Verdana" w:cs="Times"/>
          <w:sz w:val="16"/>
          <w:szCs w:val="16"/>
          <w:lang w:val="es-ES"/>
        </w:rPr>
        <w:t>se afecta en forma arbitraria la permanencia de los jueces en su cargo, se vulnera el derecho a la independencia judicial consagrado en el artículo 8.1 de la Convención Americana, en conjunción con el derecho de acceso y permanencia en condiciones generales de igualdad en un cargo público, establecido en el artículo 23.1.c de la Convención Americana</w:t>
      </w:r>
      <w:r w:rsidRPr="002B382E">
        <w:rPr>
          <w:rStyle w:val="FootnoteReference"/>
          <w:rFonts w:ascii="Verdana" w:hAnsi="Verdana" w:cs="Times"/>
          <w:sz w:val="16"/>
          <w:szCs w:val="16"/>
          <w:lang w:val="es-ES"/>
        </w:rPr>
        <w:footnoteReference w:id="37"/>
      </w:r>
      <w:r w:rsidRPr="002B382E">
        <w:rPr>
          <w:rFonts w:ascii="Verdana" w:hAnsi="Verdana" w:cs="Times"/>
          <w:sz w:val="16"/>
          <w:szCs w:val="16"/>
          <w:lang w:val="es-ES"/>
        </w:rPr>
        <w:t>.</w:t>
      </w:r>
      <w:bookmarkEnd w:id="0"/>
      <w:r w:rsidRPr="002B382E">
        <w:rPr>
          <w:rFonts w:ascii="Verdana" w:hAnsi="Verdana" w:cs="Times"/>
          <w:sz w:val="16"/>
          <w:szCs w:val="16"/>
          <w:lang w:val="es-ES"/>
        </w:rPr>
        <w:t xml:space="preserve"> </w:t>
      </w:r>
    </w:p>
    <w:p w14:paraId="523DA655" w14:textId="77777777" w:rsidR="006A0776" w:rsidRDefault="006A0776" w:rsidP="00AB381D">
      <w:pPr>
        <w:pStyle w:val="ListParagraph"/>
        <w:spacing w:after="0" w:line="240" w:lineRule="auto"/>
        <w:ind w:left="0"/>
        <w:contextualSpacing w:val="0"/>
        <w:jc w:val="both"/>
        <w:rPr>
          <w:rFonts w:ascii="Verdana" w:hAnsi="Verdana" w:cs="Verdana"/>
          <w:sz w:val="20"/>
          <w:szCs w:val="20"/>
          <w:lang w:val="es-CR"/>
        </w:rPr>
      </w:pPr>
    </w:p>
    <w:p w14:paraId="4A769F6C" w14:textId="77777777" w:rsidR="005D65DE" w:rsidRDefault="005D65DE" w:rsidP="00AB381D">
      <w:pPr>
        <w:pStyle w:val="ListParagraph"/>
        <w:spacing w:after="0" w:line="240" w:lineRule="auto"/>
        <w:ind w:left="0"/>
        <w:contextualSpacing w:val="0"/>
        <w:jc w:val="both"/>
        <w:rPr>
          <w:rFonts w:ascii="Verdana" w:hAnsi="Verdana" w:cs="Verdana"/>
          <w:sz w:val="20"/>
          <w:szCs w:val="20"/>
          <w:lang w:val="es-CR"/>
        </w:rPr>
      </w:pPr>
    </w:p>
    <w:p w14:paraId="33E4ACF2" w14:textId="77777777" w:rsidR="00582057" w:rsidRPr="00F322E4" w:rsidRDefault="00F910E5" w:rsidP="007C15A1">
      <w:pPr>
        <w:pStyle w:val="ListParagraph"/>
        <w:numPr>
          <w:ilvl w:val="0"/>
          <w:numId w:val="3"/>
        </w:numPr>
        <w:spacing w:after="0" w:line="240" w:lineRule="auto"/>
        <w:ind w:left="0" w:firstLine="0"/>
        <w:contextualSpacing w:val="0"/>
        <w:jc w:val="both"/>
        <w:rPr>
          <w:rFonts w:ascii="Verdana" w:eastAsia="Times New Roman" w:hAnsi="Verdana"/>
          <w:sz w:val="20"/>
          <w:szCs w:val="20"/>
          <w:lang w:val="es-ES_tradnl"/>
        </w:rPr>
      </w:pPr>
      <w:r w:rsidRPr="00F910E5">
        <w:rPr>
          <w:rFonts w:ascii="Verdana" w:hAnsi="Verdana"/>
          <w:sz w:val="20"/>
          <w:szCs w:val="20"/>
          <w:lang w:val="es-ES_tradnl"/>
        </w:rPr>
        <w:t>El Comité de Derechos Humanos del Pacto de Internacional de Derechos Civiles y Políticos ha señalado</w:t>
      </w:r>
      <w:r w:rsidR="00582057">
        <w:rPr>
          <w:rFonts w:ascii="Verdana" w:hAnsi="Verdana"/>
          <w:sz w:val="20"/>
          <w:szCs w:val="20"/>
          <w:lang w:val="es-ES_tradnl"/>
        </w:rPr>
        <w:t xml:space="preserve">, en su </w:t>
      </w:r>
      <w:r w:rsidR="00582057" w:rsidRPr="00582057">
        <w:rPr>
          <w:rFonts w:ascii="Verdana" w:hAnsi="Verdana"/>
          <w:sz w:val="20"/>
          <w:szCs w:val="20"/>
          <w:lang w:val="es-ES_tradnl"/>
        </w:rPr>
        <w:t>Observaci</w:t>
      </w:r>
      <w:r w:rsidR="00582057">
        <w:rPr>
          <w:rFonts w:ascii="Verdana" w:hAnsi="Verdana"/>
          <w:sz w:val="20"/>
          <w:szCs w:val="20"/>
          <w:lang w:val="es-ES_tradnl"/>
        </w:rPr>
        <w:t>ón General No. 32 sobre “</w:t>
      </w:r>
      <w:r w:rsidR="00582057" w:rsidRPr="00582057">
        <w:rPr>
          <w:rFonts w:ascii="Verdana" w:hAnsi="Verdana"/>
          <w:sz w:val="20"/>
          <w:szCs w:val="20"/>
          <w:lang w:val="es-ES_tradnl"/>
        </w:rPr>
        <w:t>El Derecho a un Juicio Imparcial y a la Igualdad ante los Tribunales y Cortes de Justicia</w:t>
      </w:r>
      <w:r w:rsidR="00582057">
        <w:rPr>
          <w:rFonts w:ascii="Verdana" w:hAnsi="Verdana"/>
          <w:sz w:val="20"/>
          <w:szCs w:val="20"/>
          <w:lang w:val="es-ES_tradnl"/>
        </w:rPr>
        <w:t>”,</w:t>
      </w:r>
      <w:r w:rsidRPr="00F910E5">
        <w:rPr>
          <w:rFonts w:ascii="Verdana" w:hAnsi="Verdana"/>
          <w:sz w:val="20"/>
          <w:szCs w:val="20"/>
          <w:lang w:val="es-ES_tradnl"/>
        </w:rPr>
        <w:t xml:space="preserve"> que “</w:t>
      </w:r>
      <w:r w:rsidR="00582057">
        <w:rPr>
          <w:rFonts w:ascii="Verdana" w:eastAsia="Times New Roman" w:hAnsi="Verdana"/>
          <w:color w:val="000000"/>
          <w:sz w:val="20"/>
          <w:szCs w:val="20"/>
          <w:lang w:val="es-ES_tradnl"/>
        </w:rPr>
        <w:t>[e]</w:t>
      </w:r>
      <w:r w:rsidR="00582057" w:rsidRPr="00F910E5">
        <w:rPr>
          <w:rFonts w:ascii="Verdana" w:eastAsia="Times New Roman" w:hAnsi="Verdana"/>
          <w:color w:val="000000"/>
          <w:sz w:val="20"/>
          <w:szCs w:val="20"/>
          <w:lang w:val="es-ES_tradnl"/>
        </w:rPr>
        <w:t>l requisito de la competencia, independencia e imparcialidad de un tribunal en el sentido del párrafo 1 del artículo 14 es un derecho absoluto que no puede ser objeto de excepción alguna</w:t>
      </w:r>
      <w:r w:rsidR="00582057">
        <w:rPr>
          <w:rFonts w:ascii="Verdana" w:eastAsia="Times New Roman" w:hAnsi="Verdana"/>
          <w:color w:val="000000"/>
          <w:sz w:val="20"/>
          <w:szCs w:val="20"/>
          <w:lang w:val="es-ES_tradnl"/>
        </w:rPr>
        <w:t>”, y que “</w:t>
      </w:r>
      <w:r w:rsidRPr="00F910E5">
        <w:rPr>
          <w:rFonts w:ascii="Verdana" w:hAnsi="Verdana"/>
          <w:sz w:val="20"/>
          <w:szCs w:val="20"/>
          <w:lang w:val="es-ES_tradnl"/>
        </w:rPr>
        <w:t>[e]l requisito de independencia se refiere, en particular, al procedimiento y las cualificaciones para el nombramiento de los jueces, y las garantías en relación con su seguridad en el cargo hasta la edad de jubilación obligatoria o la expiración de su mandato, en los casos en que exista, las condiciones que rigen los ascensos, traslados, la suspensión y la cesación en sus funciones y la independencia efectiva del poder judicial respecto de la injerencia política por los poderes ejecutivo y legislativo”</w:t>
      </w:r>
      <w:r w:rsidRPr="00F910E5">
        <w:rPr>
          <w:rStyle w:val="FootnoteReference"/>
          <w:rFonts w:ascii="Verdana" w:hAnsi="Verdana"/>
          <w:sz w:val="20"/>
          <w:szCs w:val="20"/>
          <w:lang w:val="es-ES_tradnl"/>
        </w:rPr>
        <w:footnoteReference w:id="38"/>
      </w:r>
      <w:r w:rsidRPr="00F910E5">
        <w:rPr>
          <w:rFonts w:ascii="Verdana" w:hAnsi="Verdana"/>
          <w:sz w:val="20"/>
          <w:szCs w:val="20"/>
          <w:lang w:val="es-ES_tradnl"/>
        </w:rPr>
        <w:t xml:space="preserve">. </w:t>
      </w:r>
    </w:p>
    <w:p w14:paraId="66CB927C" w14:textId="77777777" w:rsidR="005811F1" w:rsidRDefault="005811F1" w:rsidP="005811F1">
      <w:pPr>
        <w:pStyle w:val="ListParagraph"/>
        <w:spacing w:after="0" w:line="240" w:lineRule="auto"/>
        <w:ind w:left="0"/>
        <w:contextualSpacing w:val="0"/>
        <w:jc w:val="both"/>
        <w:rPr>
          <w:rFonts w:ascii="Verdana" w:eastAsia="Times New Roman" w:hAnsi="Verdana"/>
          <w:sz w:val="20"/>
          <w:szCs w:val="20"/>
          <w:lang w:val="es-ES_tradnl"/>
        </w:rPr>
      </w:pPr>
    </w:p>
    <w:p w14:paraId="43CED045" w14:textId="77777777" w:rsidR="005D65DE" w:rsidRPr="005811F1" w:rsidRDefault="005D65DE" w:rsidP="005811F1">
      <w:pPr>
        <w:pStyle w:val="ListParagraph"/>
        <w:spacing w:after="0" w:line="240" w:lineRule="auto"/>
        <w:ind w:left="0"/>
        <w:contextualSpacing w:val="0"/>
        <w:jc w:val="both"/>
        <w:rPr>
          <w:rFonts w:ascii="Verdana" w:eastAsia="Times New Roman" w:hAnsi="Verdana"/>
          <w:sz w:val="20"/>
          <w:szCs w:val="20"/>
          <w:lang w:val="es-ES_tradnl"/>
        </w:rPr>
      </w:pPr>
    </w:p>
    <w:p w14:paraId="2ABF7F55" w14:textId="2FE5EE4E" w:rsidR="006B7E6B" w:rsidRPr="00F322E4" w:rsidRDefault="007173A0" w:rsidP="007C15A1">
      <w:pPr>
        <w:pStyle w:val="ListParagraph"/>
        <w:numPr>
          <w:ilvl w:val="0"/>
          <w:numId w:val="3"/>
        </w:numPr>
        <w:spacing w:after="0" w:line="240" w:lineRule="auto"/>
        <w:ind w:left="0" w:firstLine="0"/>
        <w:contextualSpacing w:val="0"/>
        <w:jc w:val="both"/>
        <w:rPr>
          <w:rFonts w:ascii="Verdana" w:eastAsia="Times New Roman" w:hAnsi="Verdana"/>
          <w:sz w:val="20"/>
          <w:szCs w:val="20"/>
          <w:lang w:val="es-ES_tradnl"/>
        </w:rPr>
      </w:pPr>
      <w:r w:rsidRPr="000D640C">
        <w:rPr>
          <w:rFonts w:ascii="Verdana" w:hAnsi="Verdana"/>
          <w:sz w:val="20"/>
          <w:szCs w:val="20"/>
          <w:lang w:val="es-ES_tradnl"/>
        </w:rPr>
        <w:t>Este Tribunal también ha señalado que “</w:t>
      </w:r>
      <w:r w:rsidRPr="000D640C">
        <w:rPr>
          <w:rFonts w:ascii="Verdana" w:eastAsia="Times New Roman" w:hAnsi="Verdana"/>
          <w:color w:val="000000"/>
          <w:sz w:val="20"/>
          <w:szCs w:val="20"/>
          <w:lang w:val="es-ES_tradnl"/>
        </w:rPr>
        <w:t>[e]l</w:t>
      </w:r>
      <w:r w:rsidRPr="000D640C">
        <w:rPr>
          <w:rFonts w:ascii="Verdana" w:hAnsi="Verdana"/>
          <w:sz w:val="20"/>
          <w:szCs w:val="20"/>
          <w:lang w:val="es-CR"/>
        </w:rPr>
        <w:t xml:space="preserve"> principio de independencia judicial constituye uno de los pilares básicos de las garantías del debido proceso” y “resulta indispensable para la protección de los derechos fundamentales”</w:t>
      </w:r>
      <w:r w:rsidR="00382A19" w:rsidRPr="000D640C">
        <w:rPr>
          <w:rStyle w:val="FootnoteReference"/>
          <w:rFonts w:ascii="Verdana" w:hAnsi="Verdana"/>
          <w:sz w:val="20"/>
          <w:szCs w:val="20"/>
          <w:lang w:val="es-CR"/>
        </w:rPr>
        <w:footnoteReference w:id="39"/>
      </w:r>
      <w:r w:rsidRPr="000D640C">
        <w:rPr>
          <w:rFonts w:ascii="Verdana" w:hAnsi="Verdana"/>
          <w:sz w:val="20"/>
          <w:szCs w:val="20"/>
          <w:lang w:val="es-CR"/>
        </w:rPr>
        <w:t xml:space="preserve">. </w:t>
      </w:r>
      <w:r w:rsidR="00382A19" w:rsidRPr="000D640C">
        <w:rPr>
          <w:rFonts w:ascii="Verdana" w:hAnsi="Verdana"/>
          <w:sz w:val="20"/>
          <w:szCs w:val="20"/>
          <w:lang w:val="es-CR"/>
        </w:rPr>
        <w:t>Asimismo</w:t>
      </w:r>
      <w:r w:rsidR="00382A19">
        <w:rPr>
          <w:rFonts w:ascii="Verdana" w:hAnsi="Verdana"/>
          <w:sz w:val="20"/>
          <w:szCs w:val="20"/>
          <w:lang w:val="es-CR"/>
        </w:rPr>
        <w:t xml:space="preserve">, ha indicado </w:t>
      </w:r>
      <w:r w:rsidR="00F322E4" w:rsidRPr="00F322E4">
        <w:rPr>
          <w:rFonts w:ascii="Verdana" w:hAnsi="Verdana"/>
          <w:sz w:val="20"/>
          <w:szCs w:val="20"/>
          <w:lang w:val="es-CR"/>
        </w:rPr>
        <w:t>que “el Estado está en el deber de garantizar una apariencia de independencia de la magistratura que inspire legitimidad y confianza suficiente no sólo al justiciable, sino a los ciudadanos en una sociedad democrática”</w:t>
      </w:r>
      <w:r w:rsidR="00F322E4" w:rsidRPr="00F322E4">
        <w:rPr>
          <w:rStyle w:val="FootnoteReference"/>
          <w:rFonts w:ascii="Verdana" w:hAnsi="Verdana"/>
          <w:sz w:val="20"/>
          <w:szCs w:val="20"/>
          <w:lang w:val="es-CR"/>
        </w:rPr>
        <w:footnoteReference w:id="40"/>
      </w:r>
      <w:r w:rsidR="00F322E4" w:rsidRPr="00F322E4">
        <w:rPr>
          <w:rFonts w:ascii="Verdana" w:hAnsi="Verdana"/>
          <w:sz w:val="20"/>
          <w:szCs w:val="20"/>
          <w:lang w:val="es-CR"/>
        </w:rPr>
        <w:t>.</w:t>
      </w:r>
      <w:r w:rsidR="00F322E4">
        <w:rPr>
          <w:rFonts w:ascii="Verdana" w:hAnsi="Verdana"/>
          <w:sz w:val="20"/>
          <w:szCs w:val="20"/>
          <w:lang w:val="es-CR"/>
        </w:rPr>
        <w:t xml:space="preserve"> </w:t>
      </w:r>
    </w:p>
    <w:p w14:paraId="0F84A305" w14:textId="77777777" w:rsidR="005811F1" w:rsidRDefault="005811F1" w:rsidP="005811F1">
      <w:pPr>
        <w:pStyle w:val="ListParagraph"/>
        <w:spacing w:after="0" w:line="240" w:lineRule="auto"/>
        <w:ind w:left="0"/>
        <w:contextualSpacing w:val="0"/>
        <w:jc w:val="both"/>
        <w:rPr>
          <w:rFonts w:ascii="Verdana" w:hAnsi="Verdana" w:cs="Verdana"/>
          <w:sz w:val="20"/>
          <w:szCs w:val="20"/>
          <w:lang w:val="es-CO"/>
        </w:rPr>
      </w:pPr>
    </w:p>
    <w:p w14:paraId="7018BF54" w14:textId="77777777" w:rsidR="005D65DE" w:rsidRPr="005811F1" w:rsidRDefault="005D65DE" w:rsidP="005811F1">
      <w:pPr>
        <w:pStyle w:val="ListParagraph"/>
        <w:spacing w:after="0" w:line="240" w:lineRule="auto"/>
        <w:ind w:left="0"/>
        <w:contextualSpacing w:val="0"/>
        <w:jc w:val="both"/>
        <w:rPr>
          <w:rFonts w:ascii="Verdana" w:hAnsi="Verdana" w:cs="Verdana"/>
          <w:sz w:val="20"/>
          <w:szCs w:val="20"/>
          <w:lang w:val="es-CO"/>
        </w:rPr>
      </w:pPr>
    </w:p>
    <w:p w14:paraId="6E6EA0B3" w14:textId="294915E2" w:rsidR="00F449BD" w:rsidRPr="004710FC" w:rsidRDefault="00C505E0" w:rsidP="007C15A1">
      <w:pPr>
        <w:pStyle w:val="ListParagraph"/>
        <w:numPr>
          <w:ilvl w:val="0"/>
          <w:numId w:val="3"/>
        </w:numPr>
        <w:spacing w:after="0" w:line="240" w:lineRule="auto"/>
        <w:ind w:left="0" w:firstLine="0"/>
        <w:contextualSpacing w:val="0"/>
        <w:jc w:val="both"/>
        <w:rPr>
          <w:rFonts w:ascii="Verdana" w:hAnsi="Verdana" w:cs="Verdana"/>
          <w:sz w:val="20"/>
          <w:szCs w:val="20"/>
          <w:lang w:val="es-CO"/>
        </w:rPr>
      </w:pPr>
      <w:r>
        <w:rPr>
          <w:rFonts w:ascii="Verdana" w:hAnsi="Verdana" w:cs="Verdana"/>
          <w:sz w:val="20"/>
          <w:szCs w:val="20"/>
          <w:lang w:val="es-CR"/>
        </w:rPr>
        <w:t>Por otra parte, este Tribunal</w:t>
      </w:r>
      <w:r w:rsidR="00BC173E">
        <w:rPr>
          <w:rFonts w:ascii="Verdana" w:hAnsi="Verdana" w:cs="Verdana"/>
          <w:sz w:val="20"/>
          <w:szCs w:val="20"/>
          <w:lang w:val="es-CR"/>
        </w:rPr>
        <w:t xml:space="preserve"> constata el </w:t>
      </w:r>
      <w:r w:rsidR="00BC173E" w:rsidRPr="00254C85">
        <w:rPr>
          <w:rFonts w:ascii="Verdana" w:hAnsi="Verdana" w:cs="Verdana"/>
          <w:sz w:val="20"/>
          <w:szCs w:val="20"/>
          <w:lang w:val="es-CR"/>
        </w:rPr>
        <w:t>requisito de urgencia</w:t>
      </w:r>
      <w:r w:rsidR="00BC173E">
        <w:rPr>
          <w:rFonts w:ascii="Verdana" w:hAnsi="Verdana" w:cs="Verdana"/>
          <w:sz w:val="20"/>
          <w:szCs w:val="20"/>
          <w:lang w:val="es-CR"/>
        </w:rPr>
        <w:t xml:space="preserve"> </w:t>
      </w:r>
      <w:r w:rsidR="00C33181">
        <w:rPr>
          <w:rFonts w:ascii="Verdana" w:hAnsi="Verdana" w:cs="Verdana"/>
          <w:sz w:val="20"/>
          <w:szCs w:val="20"/>
          <w:lang w:val="es-CR"/>
        </w:rPr>
        <w:t xml:space="preserve">en tanto </w:t>
      </w:r>
      <w:r w:rsidR="00502F46">
        <w:rPr>
          <w:rFonts w:ascii="Verdana" w:hAnsi="Verdana" w:cs="Verdana"/>
          <w:sz w:val="20"/>
          <w:szCs w:val="20"/>
          <w:lang w:val="es-CR"/>
        </w:rPr>
        <w:t xml:space="preserve">el procedimiento de acusación fue avanzando en sus etapas: fue </w:t>
      </w:r>
      <w:r w:rsidR="002A195D">
        <w:rPr>
          <w:rFonts w:ascii="Verdana" w:hAnsi="Verdana" w:cs="Verdana"/>
          <w:sz w:val="20"/>
          <w:szCs w:val="20"/>
          <w:lang w:val="es-CR"/>
        </w:rPr>
        <w:t>aprobada la admisibilidad de</w:t>
      </w:r>
      <w:r w:rsidR="00C33181">
        <w:rPr>
          <w:rFonts w:ascii="Verdana" w:hAnsi="Verdana" w:cs="Verdana"/>
          <w:sz w:val="20"/>
          <w:szCs w:val="20"/>
          <w:lang w:val="es-CR"/>
        </w:rPr>
        <w:t xml:space="preserve"> la acusación </w:t>
      </w:r>
      <w:r w:rsidR="002A195D">
        <w:rPr>
          <w:rFonts w:ascii="Verdana" w:hAnsi="Verdana" w:cs="Verdana"/>
          <w:sz w:val="20"/>
          <w:szCs w:val="20"/>
          <w:lang w:val="es-CR"/>
        </w:rPr>
        <w:t>por la Subcomisión de Acusaciones Constitucionales</w:t>
      </w:r>
      <w:r w:rsidR="00904550">
        <w:rPr>
          <w:rFonts w:ascii="Verdana" w:hAnsi="Verdana" w:cs="Verdana"/>
          <w:sz w:val="20"/>
          <w:szCs w:val="20"/>
          <w:lang w:val="es-CR"/>
        </w:rPr>
        <w:t xml:space="preserve"> del Co</w:t>
      </w:r>
      <w:r w:rsidR="00495294">
        <w:rPr>
          <w:rFonts w:ascii="Verdana" w:hAnsi="Verdana" w:cs="Verdana"/>
          <w:sz w:val="20"/>
          <w:szCs w:val="20"/>
          <w:lang w:val="es-CR"/>
        </w:rPr>
        <w:t>ngreso</w:t>
      </w:r>
      <w:r w:rsidR="00502F46">
        <w:rPr>
          <w:rFonts w:ascii="Verdana" w:hAnsi="Verdana" w:cs="Verdana"/>
          <w:sz w:val="20"/>
          <w:szCs w:val="20"/>
          <w:lang w:val="es-CR"/>
        </w:rPr>
        <w:t xml:space="preserve"> y emitido el informe final por la misma </w:t>
      </w:r>
      <w:r w:rsidR="00247A42" w:rsidRPr="00D77CA2">
        <w:rPr>
          <w:rFonts w:ascii="Verdana" w:hAnsi="Verdana" w:cs="Verdana"/>
          <w:sz w:val="20"/>
          <w:szCs w:val="20"/>
          <w:lang w:val="es-CR"/>
        </w:rPr>
        <w:t>el 14 de diciembre de 2017</w:t>
      </w:r>
      <w:r w:rsidR="00C72D9D">
        <w:rPr>
          <w:rFonts w:ascii="Verdana" w:hAnsi="Verdana" w:cs="Verdana"/>
          <w:sz w:val="20"/>
          <w:szCs w:val="20"/>
          <w:lang w:val="es-CR"/>
        </w:rPr>
        <w:t>. Esta Corte valora que, con posterioridad a la medida urgente dictada por la Presidencia, no ha avanzado formalmente el procedimiento de acusación. Sin embargo, de levantarse esa medida</w:t>
      </w:r>
      <w:r w:rsidR="002C6FDC">
        <w:rPr>
          <w:rFonts w:ascii="Verdana" w:hAnsi="Verdana" w:cs="Verdana"/>
          <w:sz w:val="20"/>
          <w:szCs w:val="20"/>
          <w:lang w:val="es-CR"/>
        </w:rPr>
        <w:t>,</w:t>
      </w:r>
      <w:r w:rsidR="00C72D9D">
        <w:rPr>
          <w:rFonts w:ascii="Verdana" w:hAnsi="Verdana" w:cs="Verdana"/>
          <w:sz w:val="20"/>
          <w:szCs w:val="20"/>
          <w:lang w:val="es-CR"/>
        </w:rPr>
        <w:t xml:space="preserve"> </w:t>
      </w:r>
      <w:r w:rsidR="002C6FDC">
        <w:rPr>
          <w:rFonts w:ascii="Verdana" w:hAnsi="Verdana" w:cs="Verdana"/>
          <w:sz w:val="20"/>
          <w:szCs w:val="20"/>
          <w:lang w:val="es-CR"/>
        </w:rPr>
        <w:t xml:space="preserve">en cualquier momento </w:t>
      </w:r>
      <w:r w:rsidR="00C72D9D">
        <w:rPr>
          <w:rFonts w:ascii="Verdana" w:hAnsi="Verdana" w:cs="Verdana"/>
          <w:sz w:val="20"/>
          <w:szCs w:val="20"/>
          <w:lang w:val="es-CR"/>
        </w:rPr>
        <w:t>podría</w:t>
      </w:r>
      <w:r w:rsidR="00F727B4">
        <w:rPr>
          <w:rFonts w:ascii="Verdana" w:hAnsi="Verdana" w:cs="Verdana"/>
          <w:sz w:val="20"/>
          <w:szCs w:val="20"/>
          <w:lang w:val="es-CR"/>
        </w:rPr>
        <w:t>n</w:t>
      </w:r>
      <w:r w:rsidR="00C72D9D">
        <w:rPr>
          <w:rFonts w:ascii="Verdana" w:hAnsi="Verdana" w:cs="Verdana"/>
          <w:sz w:val="20"/>
          <w:szCs w:val="20"/>
          <w:lang w:val="es-CR"/>
        </w:rPr>
        <w:t xml:space="preserve"> continuar </w:t>
      </w:r>
      <w:r w:rsidR="00502F46">
        <w:rPr>
          <w:rFonts w:ascii="Verdana" w:hAnsi="Verdana" w:cs="Verdana"/>
          <w:sz w:val="20"/>
          <w:szCs w:val="20"/>
          <w:lang w:val="es-CR"/>
        </w:rPr>
        <w:lastRenderedPageBreak/>
        <w:t>las siguientes etapas d</w:t>
      </w:r>
      <w:r w:rsidR="00C72D9D">
        <w:rPr>
          <w:rFonts w:ascii="Verdana" w:hAnsi="Verdana" w:cs="Verdana"/>
          <w:sz w:val="20"/>
          <w:szCs w:val="20"/>
          <w:lang w:val="es-CR"/>
        </w:rPr>
        <w:t>el procedimiento</w:t>
      </w:r>
      <w:r w:rsidR="00AC79FB" w:rsidRPr="00A44523">
        <w:rPr>
          <w:rStyle w:val="FootnoteReference"/>
          <w:rFonts w:ascii="Verdana" w:hAnsi="Verdana" w:cs="Verdana"/>
          <w:sz w:val="20"/>
          <w:szCs w:val="20"/>
        </w:rPr>
        <w:footnoteReference w:id="41"/>
      </w:r>
      <w:r w:rsidR="00190A05">
        <w:rPr>
          <w:rFonts w:ascii="Verdana" w:hAnsi="Verdana" w:cs="Verdana"/>
          <w:sz w:val="20"/>
          <w:szCs w:val="20"/>
          <w:lang w:val="es-CR"/>
        </w:rPr>
        <w:t xml:space="preserve"> y</w:t>
      </w:r>
      <w:r w:rsidR="00495294">
        <w:rPr>
          <w:rFonts w:ascii="Verdana" w:hAnsi="Verdana" w:cs="Verdana"/>
          <w:sz w:val="20"/>
          <w:szCs w:val="20"/>
          <w:lang w:val="es-CR"/>
        </w:rPr>
        <w:t xml:space="preserve"> </w:t>
      </w:r>
      <w:r w:rsidR="00C72D9D">
        <w:rPr>
          <w:rFonts w:ascii="Verdana" w:hAnsi="Verdana" w:cs="Verdana"/>
          <w:sz w:val="20"/>
          <w:szCs w:val="20"/>
          <w:lang w:val="es-CR"/>
        </w:rPr>
        <w:t>configurarse sanciones</w:t>
      </w:r>
      <w:r w:rsidR="00495294">
        <w:rPr>
          <w:rFonts w:ascii="Verdana" w:hAnsi="Verdana" w:cs="Verdana"/>
          <w:sz w:val="20"/>
          <w:szCs w:val="20"/>
          <w:lang w:val="es-CR"/>
        </w:rPr>
        <w:t xml:space="preserve"> que </w:t>
      </w:r>
      <w:r w:rsidR="00495294" w:rsidRPr="00E6424B">
        <w:rPr>
          <w:rFonts w:ascii="Verdana" w:hAnsi="Verdana" w:cs="Verdana"/>
          <w:sz w:val="20"/>
          <w:szCs w:val="20"/>
          <w:lang w:val="es-CR"/>
        </w:rPr>
        <w:t xml:space="preserve">podrían </w:t>
      </w:r>
      <w:r w:rsidR="00495294">
        <w:rPr>
          <w:rFonts w:ascii="Verdana" w:hAnsi="Verdana" w:cs="Verdana"/>
          <w:sz w:val="20"/>
          <w:szCs w:val="20"/>
          <w:lang w:val="es-CR"/>
        </w:rPr>
        <w:t>conllevar la destitución</w:t>
      </w:r>
      <w:r w:rsidR="00190A05">
        <w:rPr>
          <w:rFonts w:ascii="Verdana" w:hAnsi="Verdana" w:cs="Verdana"/>
          <w:sz w:val="20"/>
          <w:szCs w:val="20"/>
          <w:lang w:val="es-CR"/>
        </w:rPr>
        <w:t xml:space="preserve">, </w:t>
      </w:r>
      <w:r w:rsidR="002875CD">
        <w:rPr>
          <w:rFonts w:ascii="Verdana" w:hAnsi="Verdana" w:cs="Verdana"/>
          <w:sz w:val="20"/>
          <w:szCs w:val="20"/>
          <w:lang w:val="es-CR"/>
        </w:rPr>
        <w:t xml:space="preserve">inhabilitación o </w:t>
      </w:r>
      <w:r w:rsidR="00190A05">
        <w:rPr>
          <w:rFonts w:ascii="Verdana" w:hAnsi="Verdana" w:cs="Verdana"/>
          <w:sz w:val="20"/>
          <w:szCs w:val="20"/>
          <w:lang w:val="es-CR"/>
        </w:rPr>
        <w:t>suspensión por un tiempo determinado</w:t>
      </w:r>
      <w:r w:rsidR="00904550">
        <w:rPr>
          <w:rFonts w:ascii="Verdana" w:hAnsi="Verdana" w:cs="Verdana"/>
          <w:sz w:val="20"/>
          <w:szCs w:val="20"/>
          <w:lang w:val="es-CR"/>
        </w:rPr>
        <w:t>.</w:t>
      </w:r>
    </w:p>
    <w:p w14:paraId="2517E179" w14:textId="77777777" w:rsidR="005811F1" w:rsidRDefault="005811F1" w:rsidP="005811F1">
      <w:pPr>
        <w:pStyle w:val="ListParagraph"/>
        <w:spacing w:after="0" w:line="240" w:lineRule="auto"/>
        <w:ind w:left="0"/>
        <w:contextualSpacing w:val="0"/>
        <w:jc w:val="both"/>
        <w:rPr>
          <w:rFonts w:ascii="Verdana" w:hAnsi="Verdana" w:cs="Verdana"/>
          <w:sz w:val="20"/>
          <w:szCs w:val="20"/>
          <w:lang w:val="es-CR"/>
        </w:rPr>
      </w:pPr>
    </w:p>
    <w:p w14:paraId="0070F8AC" w14:textId="77777777" w:rsidR="005D65DE" w:rsidRPr="005811F1" w:rsidRDefault="005D65DE" w:rsidP="005811F1">
      <w:pPr>
        <w:pStyle w:val="ListParagraph"/>
        <w:spacing w:after="0" w:line="240" w:lineRule="auto"/>
        <w:ind w:left="0"/>
        <w:contextualSpacing w:val="0"/>
        <w:jc w:val="both"/>
        <w:rPr>
          <w:rFonts w:ascii="Verdana" w:hAnsi="Verdana" w:cs="Verdana"/>
          <w:sz w:val="20"/>
          <w:szCs w:val="20"/>
          <w:lang w:val="es-CR"/>
        </w:rPr>
      </w:pPr>
    </w:p>
    <w:p w14:paraId="542E4733" w14:textId="04CE55BD" w:rsidR="00B0390C" w:rsidRPr="002875CD" w:rsidRDefault="002875CD" w:rsidP="007C15A1">
      <w:pPr>
        <w:pStyle w:val="ListParagraph"/>
        <w:numPr>
          <w:ilvl w:val="0"/>
          <w:numId w:val="3"/>
        </w:numPr>
        <w:spacing w:after="0" w:line="240" w:lineRule="auto"/>
        <w:ind w:left="0" w:firstLine="0"/>
        <w:contextualSpacing w:val="0"/>
        <w:jc w:val="both"/>
        <w:rPr>
          <w:rFonts w:ascii="Verdana" w:hAnsi="Verdana" w:cs="Verdana"/>
          <w:sz w:val="20"/>
          <w:szCs w:val="20"/>
          <w:lang w:val="es-CR"/>
        </w:rPr>
      </w:pPr>
      <w:r w:rsidRPr="002875CD">
        <w:rPr>
          <w:rFonts w:ascii="Verdana" w:hAnsi="Verdana"/>
          <w:sz w:val="20"/>
          <w:szCs w:val="20"/>
          <w:lang w:val="es-CR"/>
        </w:rPr>
        <w:t xml:space="preserve">La Corte también verifica que se cumple el </w:t>
      </w:r>
      <w:r w:rsidRPr="00254C85">
        <w:rPr>
          <w:rFonts w:ascii="Verdana" w:hAnsi="Verdana"/>
          <w:bCs/>
          <w:sz w:val="20"/>
          <w:szCs w:val="20"/>
          <w:lang w:val="es-CR"/>
        </w:rPr>
        <w:t>requisito de irreparabilidad del daño,</w:t>
      </w:r>
      <w:r w:rsidRPr="002875CD">
        <w:rPr>
          <w:rFonts w:ascii="Verdana" w:hAnsi="Verdana"/>
          <w:sz w:val="20"/>
          <w:szCs w:val="20"/>
          <w:lang w:val="es-CR"/>
        </w:rPr>
        <w:t xml:space="preserve"> debido a que una eventual destitución e inhabilitación de un magistrado y eventual suspensión de otros tres magistrados del Tribunal Constitucional por el Congreso con motivo de haber emitido el referido auto del 2016, </w:t>
      </w:r>
      <w:r w:rsidRPr="00BF66E9">
        <w:rPr>
          <w:rFonts w:ascii="Verdana" w:hAnsi="Verdana"/>
          <w:sz w:val="20"/>
          <w:szCs w:val="20"/>
          <w:lang w:val="es-CR"/>
        </w:rPr>
        <w:t>que realizaba la corrección de oficio de un error en el conteo de votos (</w:t>
      </w:r>
      <w:r w:rsidRPr="00BF66E9">
        <w:rPr>
          <w:rFonts w:ascii="Verdana" w:hAnsi="Verdana"/>
          <w:i/>
          <w:sz w:val="20"/>
          <w:szCs w:val="20"/>
          <w:lang w:val="es-CR"/>
        </w:rPr>
        <w:t>supra</w:t>
      </w:r>
      <w:r w:rsidRPr="00BF66E9">
        <w:rPr>
          <w:rFonts w:ascii="Verdana" w:hAnsi="Verdana"/>
          <w:sz w:val="20"/>
          <w:szCs w:val="20"/>
          <w:lang w:val="es-CR"/>
        </w:rPr>
        <w:t xml:space="preserve"> Considerando </w:t>
      </w:r>
      <w:r w:rsidR="00BF66E9" w:rsidRPr="00BF66E9">
        <w:rPr>
          <w:rFonts w:ascii="Verdana" w:hAnsi="Verdana"/>
          <w:sz w:val="20"/>
          <w:szCs w:val="20"/>
          <w:lang w:val="es-CR"/>
        </w:rPr>
        <w:t>21</w:t>
      </w:r>
      <w:r w:rsidRPr="00BF66E9">
        <w:rPr>
          <w:rFonts w:ascii="Verdana" w:hAnsi="Verdana"/>
          <w:sz w:val="20"/>
          <w:szCs w:val="20"/>
          <w:lang w:val="es-CR"/>
        </w:rPr>
        <w:t xml:space="preserve">), </w:t>
      </w:r>
      <w:r w:rsidRPr="002875CD">
        <w:rPr>
          <w:rFonts w:ascii="Verdana" w:hAnsi="Verdana"/>
          <w:sz w:val="20"/>
          <w:szCs w:val="20"/>
          <w:lang w:val="es-CR"/>
        </w:rPr>
        <w:t>podría conllevar una inseguridad jurídica en relación con la calificación realizada en el proceso penal en trámite respecto de si los hechos podrían estar prescritos o no, así como la imposibilidad o no de abrir nuevos procesos penales para investigar a otros autores materiales o autores mediatos</w:t>
      </w:r>
      <w:r w:rsidR="00F727B4">
        <w:rPr>
          <w:rFonts w:ascii="Verdana" w:hAnsi="Verdana"/>
          <w:sz w:val="20"/>
          <w:szCs w:val="20"/>
          <w:lang w:val="es-CR"/>
        </w:rPr>
        <w:t xml:space="preserve"> </w:t>
      </w:r>
      <w:r w:rsidR="00F727B4" w:rsidRPr="00254C85">
        <w:rPr>
          <w:rFonts w:ascii="Verdana" w:hAnsi="Verdana"/>
          <w:sz w:val="20"/>
          <w:szCs w:val="20"/>
          <w:lang w:val="es-CR"/>
        </w:rPr>
        <w:t>(</w:t>
      </w:r>
      <w:r w:rsidR="00F727B4" w:rsidRPr="00254C85">
        <w:rPr>
          <w:rFonts w:ascii="Verdana" w:hAnsi="Verdana"/>
          <w:i/>
          <w:iCs/>
          <w:sz w:val="20"/>
          <w:szCs w:val="20"/>
          <w:lang w:val="es-CR"/>
        </w:rPr>
        <w:t xml:space="preserve">supra </w:t>
      </w:r>
      <w:r w:rsidR="00F727B4" w:rsidRPr="00254C85">
        <w:rPr>
          <w:rFonts w:ascii="Verdana" w:hAnsi="Verdana"/>
          <w:sz w:val="20"/>
          <w:szCs w:val="20"/>
          <w:lang w:val="es-CR"/>
        </w:rPr>
        <w:t>Considerando 25)</w:t>
      </w:r>
      <w:r w:rsidRPr="00254C85">
        <w:rPr>
          <w:rFonts w:ascii="Verdana" w:hAnsi="Verdana"/>
          <w:sz w:val="20"/>
          <w:szCs w:val="20"/>
          <w:lang w:val="es-CR"/>
        </w:rPr>
        <w:t>,</w:t>
      </w:r>
      <w:r w:rsidRPr="002875CD">
        <w:rPr>
          <w:rFonts w:ascii="Verdana" w:hAnsi="Verdana"/>
          <w:sz w:val="20"/>
          <w:szCs w:val="20"/>
          <w:lang w:val="es-CR"/>
        </w:rPr>
        <w:t xml:space="preserve"> lo cual podría constituirse en un daño grave al cumplimiento de la obligación de investigar, juzgar y, de ser el caso, sancionar los hechos ocurridos hace 31 años. </w:t>
      </w:r>
      <w:r w:rsidRPr="00A23EFD">
        <w:rPr>
          <w:rFonts w:ascii="Verdana" w:hAnsi="Verdana"/>
          <w:sz w:val="20"/>
          <w:szCs w:val="20"/>
          <w:lang w:val="es-CR"/>
        </w:rPr>
        <w:t>En este sentido, la eventual imposibilidad de investigar a todos los posibles responsables de los hechos podría generar un daño irreparable al derecho del acceso de la justicia de las víctimas del caso (</w:t>
      </w:r>
      <w:r w:rsidRPr="00A23EFD">
        <w:rPr>
          <w:rFonts w:ascii="Verdana" w:hAnsi="Verdana"/>
          <w:i/>
          <w:iCs/>
          <w:sz w:val="20"/>
          <w:szCs w:val="20"/>
          <w:lang w:val="es-CR"/>
        </w:rPr>
        <w:t xml:space="preserve">infra </w:t>
      </w:r>
      <w:r w:rsidRPr="00A23EFD">
        <w:rPr>
          <w:rFonts w:ascii="Verdana" w:hAnsi="Verdana"/>
          <w:sz w:val="20"/>
          <w:szCs w:val="20"/>
          <w:lang w:val="es-CR"/>
        </w:rPr>
        <w:t xml:space="preserve">Considerando </w:t>
      </w:r>
      <w:r w:rsidR="00F727B4" w:rsidRPr="00254C85">
        <w:rPr>
          <w:rFonts w:ascii="Verdana" w:hAnsi="Verdana"/>
          <w:sz w:val="20"/>
          <w:szCs w:val="20"/>
          <w:lang w:val="es-CR"/>
        </w:rPr>
        <w:t>41</w:t>
      </w:r>
      <w:r w:rsidRPr="00254C85">
        <w:rPr>
          <w:rFonts w:ascii="Verdana" w:hAnsi="Verdana"/>
          <w:sz w:val="20"/>
          <w:szCs w:val="20"/>
          <w:lang w:val="es-CR"/>
        </w:rPr>
        <w:t>).</w:t>
      </w:r>
    </w:p>
    <w:p w14:paraId="20904A61" w14:textId="77777777" w:rsidR="002875CD" w:rsidRDefault="002875CD" w:rsidP="00B0390C">
      <w:pPr>
        <w:spacing w:after="0" w:line="240" w:lineRule="auto"/>
        <w:jc w:val="both"/>
        <w:rPr>
          <w:rFonts w:ascii="Verdana" w:hAnsi="Verdana" w:cs="Verdana"/>
          <w:sz w:val="20"/>
          <w:szCs w:val="20"/>
        </w:rPr>
      </w:pPr>
    </w:p>
    <w:p w14:paraId="09009B68" w14:textId="77777777" w:rsidR="005D65DE" w:rsidRPr="00B0390C" w:rsidRDefault="005D65DE" w:rsidP="00B0390C">
      <w:pPr>
        <w:spacing w:after="0" w:line="240" w:lineRule="auto"/>
        <w:jc w:val="both"/>
        <w:rPr>
          <w:rFonts w:ascii="Verdana" w:hAnsi="Verdana" w:cs="Verdana"/>
          <w:sz w:val="20"/>
          <w:szCs w:val="20"/>
        </w:rPr>
      </w:pPr>
    </w:p>
    <w:p w14:paraId="324D226C" w14:textId="0F777DFD" w:rsidR="00B0390C" w:rsidRDefault="00B0390C" w:rsidP="007C15A1">
      <w:pPr>
        <w:pStyle w:val="ListParagraph"/>
        <w:numPr>
          <w:ilvl w:val="0"/>
          <w:numId w:val="3"/>
        </w:numPr>
        <w:spacing w:after="0" w:line="240" w:lineRule="auto"/>
        <w:ind w:left="0" w:firstLine="0"/>
        <w:contextualSpacing w:val="0"/>
        <w:jc w:val="both"/>
        <w:rPr>
          <w:rFonts w:ascii="Verdana" w:hAnsi="Verdana" w:cs="Verdana"/>
          <w:sz w:val="20"/>
          <w:szCs w:val="20"/>
          <w:lang w:val="es-CR"/>
        </w:rPr>
      </w:pPr>
      <w:r>
        <w:rPr>
          <w:rFonts w:ascii="Verdana" w:hAnsi="Verdana" w:cs="Verdana"/>
          <w:sz w:val="20"/>
          <w:szCs w:val="20"/>
          <w:lang w:val="es-CR"/>
        </w:rPr>
        <w:t xml:space="preserve">Finalmente, en cuanto al alegato del Perú relativo a que </w:t>
      </w:r>
      <w:r w:rsidR="00BF66E9">
        <w:rPr>
          <w:rFonts w:ascii="Verdana" w:hAnsi="Verdana" w:cs="Verdana"/>
          <w:sz w:val="20"/>
          <w:szCs w:val="20"/>
          <w:lang w:val="es-CR"/>
        </w:rPr>
        <w:t xml:space="preserve">“resulta […] carente de lógica que como medida provisional se solicite una medida definitiva”, </w:t>
      </w:r>
      <w:r w:rsidR="002C330F" w:rsidRPr="00901365">
        <w:rPr>
          <w:rFonts w:ascii="Verdana" w:hAnsi="Verdana" w:cs="Verdana"/>
          <w:sz w:val="20"/>
          <w:szCs w:val="20"/>
          <w:lang w:val="es-CR"/>
        </w:rPr>
        <w:t xml:space="preserve">esta Corte reitera que las medidas que adopte en esta oportunidad no deben ser evaluadas desde el punto de vista </w:t>
      </w:r>
      <w:r w:rsidR="00487943">
        <w:rPr>
          <w:rFonts w:ascii="Verdana" w:hAnsi="Verdana" w:cs="Verdana"/>
          <w:sz w:val="20"/>
          <w:szCs w:val="20"/>
          <w:lang w:val="es-CR"/>
        </w:rPr>
        <w:t xml:space="preserve">de la lógica </w:t>
      </w:r>
      <w:r w:rsidR="002C330F" w:rsidRPr="00901365">
        <w:rPr>
          <w:rFonts w:ascii="Verdana" w:hAnsi="Verdana" w:cs="Verdana"/>
          <w:sz w:val="20"/>
          <w:szCs w:val="20"/>
          <w:lang w:val="es-CR"/>
        </w:rPr>
        <w:t xml:space="preserve">de la protección de los magistrados del Tribunal Constitucional sino </w:t>
      </w:r>
      <w:r w:rsidR="00487943">
        <w:rPr>
          <w:rFonts w:ascii="Verdana" w:hAnsi="Verdana" w:cs="Verdana"/>
          <w:sz w:val="20"/>
          <w:szCs w:val="20"/>
          <w:lang w:val="es-CR"/>
        </w:rPr>
        <w:t xml:space="preserve">desde </w:t>
      </w:r>
      <w:r w:rsidR="002C330F" w:rsidRPr="00901365">
        <w:rPr>
          <w:rFonts w:ascii="Verdana" w:hAnsi="Verdana" w:cs="Verdana"/>
          <w:sz w:val="20"/>
          <w:szCs w:val="20"/>
          <w:lang w:val="es-CR"/>
        </w:rPr>
        <w:t>de la protección efectiva de los derechos de las víctimas al acceso a la justicia ante un</w:t>
      </w:r>
      <w:r w:rsidR="00901365" w:rsidRPr="00901365">
        <w:rPr>
          <w:rFonts w:ascii="Verdana" w:hAnsi="Verdana" w:cs="Verdana"/>
          <w:sz w:val="20"/>
          <w:szCs w:val="20"/>
          <w:lang w:val="es-CR"/>
        </w:rPr>
        <w:t>a situaci</w:t>
      </w:r>
      <w:r w:rsidR="002875CD">
        <w:rPr>
          <w:rFonts w:ascii="Verdana" w:hAnsi="Verdana" w:cs="Verdana"/>
          <w:sz w:val="20"/>
          <w:szCs w:val="20"/>
          <w:lang w:val="es-CR"/>
        </w:rPr>
        <w:t>ón particular</w:t>
      </w:r>
      <w:r w:rsidR="00F727B4">
        <w:rPr>
          <w:rFonts w:ascii="Verdana" w:hAnsi="Verdana" w:cs="Verdana"/>
          <w:sz w:val="20"/>
          <w:szCs w:val="20"/>
          <w:lang w:val="es-CR"/>
        </w:rPr>
        <w:t>,</w:t>
      </w:r>
      <w:r w:rsidR="002875CD">
        <w:rPr>
          <w:rFonts w:ascii="Verdana" w:hAnsi="Verdana" w:cs="Verdana"/>
          <w:sz w:val="20"/>
          <w:szCs w:val="20"/>
          <w:lang w:val="es-CR"/>
        </w:rPr>
        <w:t xml:space="preserve"> como lo es la pos</w:t>
      </w:r>
      <w:r w:rsidR="00901365" w:rsidRPr="00901365">
        <w:rPr>
          <w:rFonts w:ascii="Verdana" w:hAnsi="Verdana" w:cs="Verdana"/>
          <w:sz w:val="20"/>
          <w:szCs w:val="20"/>
          <w:lang w:val="es-CR"/>
        </w:rPr>
        <w:t>ible afectación a su derecho a contar con jueces independientes</w:t>
      </w:r>
      <w:r w:rsidR="00901365">
        <w:rPr>
          <w:rFonts w:ascii="Verdana" w:hAnsi="Verdana" w:cs="Verdana"/>
          <w:sz w:val="20"/>
          <w:szCs w:val="20"/>
          <w:lang w:val="es-CR"/>
        </w:rPr>
        <w:t xml:space="preserve"> (</w:t>
      </w:r>
      <w:r w:rsidR="00901365" w:rsidRPr="00901365">
        <w:rPr>
          <w:rFonts w:ascii="Verdana" w:hAnsi="Verdana" w:cs="Verdana"/>
          <w:i/>
          <w:sz w:val="20"/>
          <w:szCs w:val="20"/>
          <w:lang w:val="es-CR"/>
        </w:rPr>
        <w:t>supra</w:t>
      </w:r>
      <w:r w:rsidR="00901365">
        <w:rPr>
          <w:rFonts w:ascii="Verdana" w:hAnsi="Verdana" w:cs="Verdana"/>
          <w:sz w:val="20"/>
          <w:szCs w:val="20"/>
          <w:lang w:val="es-CR"/>
        </w:rPr>
        <w:t xml:space="preserve"> Considerando </w:t>
      </w:r>
      <w:r w:rsidR="00F727B4">
        <w:rPr>
          <w:rFonts w:ascii="Verdana" w:hAnsi="Verdana" w:cs="Verdana"/>
          <w:sz w:val="20"/>
          <w:szCs w:val="20"/>
          <w:lang w:val="es-CR"/>
        </w:rPr>
        <w:t>26</w:t>
      </w:r>
      <w:r w:rsidR="00901365">
        <w:rPr>
          <w:rFonts w:ascii="Verdana" w:hAnsi="Verdana" w:cs="Verdana"/>
          <w:sz w:val="20"/>
          <w:szCs w:val="20"/>
          <w:lang w:val="es-CR"/>
        </w:rPr>
        <w:t>)</w:t>
      </w:r>
      <w:r w:rsidR="00901365" w:rsidRPr="00901365">
        <w:rPr>
          <w:rFonts w:ascii="Verdana" w:hAnsi="Verdana" w:cs="Verdana"/>
          <w:sz w:val="20"/>
          <w:szCs w:val="20"/>
          <w:lang w:val="es-CR"/>
        </w:rPr>
        <w:t>. En el ámbito del Derecho Internacional de los Derechos Humanos las medidas que se adopten de acuerdo a las potestades conferidas en el artículo 63.2 de la Convención Americana pueden tener un amplio ámbito de protección tutelar por la materia que se trata cual es la protección de derechos humanos.</w:t>
      </w:r>
    </w:p>
    <w:p w14:paraId="7C4FDCD1" w14:textId="77777777" w:rsidR="00346570" w:rsidRDefault="00346570" w:rsidP="00AB381D">
      <w:pPr>
        <w:pStyle w:val="ListParagraph"/>
        <w:spacing w:after="0" w:line="240" w:lineRule="auto"/>
        <w:ind w:left="0"/>
        <w:contextualSpacing w:val="0"/>
        <w:jc w:val="both"/>
        <w:rPr>
          <w:rFonts w:ascii="Verdana" w:hAnsi="Verdana" w:cs="Verdana"/>
          <w:sz w:val="20"/>
          <w:szCs w:val="20"/>
          <w:lang w:val="es-CR"/>
        </w:rPr>
      </w:pPr>
    </w:p>
    <w:p w14:paraId="77568BBE" w14:textId="77777777" w:rsidR="005D65DE" w:rsidRPr="00D35582" w:rsidRDefault="005D65DE" w:rsidP="00AB381D">
      <w:pPr>
        <w:pStyle w:val="ListParagraph"/>
        <w:spacing w:after="0" w:line="240" w:lineRule="auto"/>
        <w:ind w:left="0"/>
        <w:contextualSpacing w:val="0"/>
        <w:jc w:val="both"/>
        <w:rPr>
          <w:rFonts w:ascii="Verdana" w:hAnsi="Verdana" w:cs="Verdana"/>
          <w:sz w:val="20"/>
          <w:szCs w:val="20"/>
          <w:lang w:val="es-CR"/>
        </w:rPr>
      </w:pPr>
    </w:p>
    <w:p w14:paraId="1ED7348A" w14:textId="7112856D" w:rsidR="00346570" w:rsidRPr="00084928" w:rsidRDefault="002B382E" w:rsidP="007C15A1">
      <w:pPr>
        <w:pStyle w:val="ListParagraph"/>
        <w:numPr>
          <w:ilvl w:val="0"/>
          <w:numId w:val="3"/>
        </w:numPr>
        <w:spacing w:after="0" w:line="240" w:lineRule="auto"/>
        <w:ind w:left="0" w:firstLine="0"/>
        <w:contextualSpacing w:val="0"/>
        <w:jc w:val="both"/>
        <w:rPr>
          <w:rFonts w:ascii="Verdana" w:eastAsia="Times New Roman" w:hAnsi="Verdana"/>
          <w:sz w:val="18"/>
          <w:szCs w:val="18"/>
          <w:lang w:val="es-CR"/>
        </w:rPr>
      </w:pPr>
      <w:r w:rsidRPr="00084928">
        <w:rPr>
          <w:rFonts w:ascii="Verdana" w:hAnsi="Verdana" w:cs="Verdana"/>
          <w:sz w:val="20"/>
          <w:szCs w:val="20"/>
          <w:lang w:val="es-CR"/>
        </w:rPr>
        <w:t xml:space="preserve">De acuerdo a las facultades que le otorga </w:t>
      </w:r>
      <w:r w:rsidR="00560EFE" w:rsidRPr="00084928">
        <w:rPr>
          <w:rFonts w:ascii="Verdana" w:hAnsi="Verdana" w:cs="Verdana"/>
          <w:sz w:val="20"/>
          <w:szCs w:val="20"/>
          <w:lang w:val="es-CR"/>
        </w:rPr>
        <w:t>el</w:t>
      </w:r>
      <w:r w:rsidR="00A41EC8" w:rsidRPr="00084928">
        <w:rPr>
          <w:rFonts w:ascii="Verdana" w:hAnsi="Verdana" w:cs="Verdana"/>
          <w:sz w:val="20"/>
          <w:szCs w:val="20"/>
          <w:lang w:val="es-CR"/>
        </w:rPr>
        <w:t xml:space="preserve"> artículo </w:t>
      </w:r>
      <w:r w:rsidR="00B711FA" w:rsidRPr="00084928">
        <w:rPr>
          <w:rFonts w:ascii="Verdana" w:hAnsi="Verdana" w:cs="Verdana"/>
          <w:sz w:val="20"/>
          <w:szCs w:val="20"/>
          <w:lang w:val="es-CR"/>
        </w:rPr>
        <w:t>63.2</w:t>
      </w:r>
      <w:r w:rsidR="00A41EC8" w:rsidRPr="00084928">
        <w:rPr>
          <w:rFonts w:ascii="Verdana" w:hAnsi="Verdana" w:cs="Verdana"/>
          <w:sz w:val="20"/>
          <w:szCs w:val="20"/>
          <w:lang w:val="es-CR"/>
        </w:rPr>
        <w:t xml:space="preserve"> de la Convención Americana</w:t>
      </w:r>
      <w:r w:rsidRPr="00084928">
        <w:rPr>
          <w:rFonts w:ascii="Verdana" w:hAnsi="Verdana" w:cs="Verdana"/>
          <w:sz w:val="20"/>
          <w:szCs w:val="20"/>
          <w:lang w:val="es-CR"/>
        </w:rPr>
        <w:t xml:space="preserve">, </w:t>
      </w:r>
      <w:r w:rsidR="0090733A" w:rsidRPr="00885A46">
        <w:rPr>
          <w:rFonts w:ascii="Verdana" w:hAnsi="Verdana" w:cs="Verdana"/>
          <w:sz w:val="20"/>
          <w:szCs w:val="20"/>
          <w:lang w:val="es-CR"/>
        </w:rPr>
        <w:t xml:space="preserve">para garantizar </w:t>
      </w:r>
      <w:r w:rsidR="00A344D9" w:rsidRPr="00885A46">
        <w:rPr>
          <w:rFonts w:ascii="Verdana" w:hAnsi="Verdana" w:cs="Verdana"/>
          <w:sz w:val="20"/>
          <w:szCs w:val="20"/>
          <w:lang w:val="es-CR"/>
        </w:rPr>
        <w:t xml:space="preserve">el derecho de las víctimas del </w:t>
      </w:r>
      <w:r w:rsidR="00A344D9" w:rsidRPr="00F727B4">
        <w:rPr>
          <w:rFonts w:ascii="Verdana" w:hAnsi="Verdana" w:cs="Verdana"/>
          <w:i/>
          <w:sz w:val="20"/>
          <w:szCs w:val="20"/>
          <w:lang w:val="es-CR"/>
        </w:rPr>
        <w:t>caso Durand y Ugarte</w:t>
      </w:r>
      <w:r w:rsidR="00A344D9" w:rsidRPr="00885A46">
        <w:rPr>
          <w:rFonts w:ascii="Verdana" w:hAnsi="Verdana" w:cs="Verdana"/>
          <w:sz w:val="20"/>
          <w:szCs w:val="20"/>
          <w:lang w:val="es-CR"/>
        </w:rPr>
        <w:t xml:space="preserve"> a obtener un acceso a la justicia sin interferencias en la independencia judicial, </w:t>
      </w:r>
      <w:r w:rsidR="0090733A" w:rsidRPr="00885A46">
        <w:rPr>
          <w:rFonts w:ascii="Verdana" w:hAnsi="Verdana" w:cs="Verdana"/>
          <w:sz w:val="20"/>
          <w:szCs w:val="20"/>
          <w:lang w:val="es-CR"/>
        </w:rPr>
        <w:t xml:space="preserve">la Corte </w:t>
      </w:r>
      <w:r w:rsidR="00A344D9" w:rsidRPr="00885A46">
        <w:rPr>
          <w:rFonts w:ascii="Verdana" w:hAnsi="Verdana" w:cs="Verdana"/>
          <w:sz w:val="20"/>
          <w:szCs w:val="20"/>
          <w:lang w:val="es-CR"/>
        </w:rPr>
        <w:t xml:space="preserve">requiere </w:t>
      </w:r>
      <w:r w:rsidR="0090733A" w:rsidRPr="00885A46">
        <w:rPr>
          <w:rFonts w:ascii="Verdana" w:hAnsi="Verdana" w:cs="Verdana"/>
          <w:sz w:val="20"/>
          <w:szCs w:val="20"/>
          <w:lang w:val="es-CR"/>
        </w:rPr>
        <w:t xml:space="preserve">al Estado archivar </w:t>
      </w:r>
      <w:r w:rsidR="0090733A" w:rsidRPr="00885A46">
        <w:rPr>
          <w:rFonts w:ascii="Verdana" w:hAnsi="Verdana"/>
          <w:sz w:val="20"/>
          <w:szCs w:val="20"/>
          <w:lang w:val="es-CR"/>
        </w:rPr>
        <w:t xml:space="preserve">el </w:t>
      </w:r>
      <w:r w:rsidRPr="00885A46">
        <w:rPr>
          <w:rFonts w:ascii="Verdana" w:hAnsi="Verdana"/>
          <w:sz w:val="20"/>
          <w:szCs w:val="20"/>
          <w:lang w:val="es-CR"/>
        </w:rPr>
        <w:t xml:space="preserve">procedimiento </w:t>
      </w:r>
      <w:r w:rsidR="00A41EC8" w:rsidRPr="00885A46">
        <w:rPr>
          <w:rFonts w:ascii="Verdana" w:hAnsi="Verdana"/>
          <w:sz w:val="20"/>
          <w:szCs w:val="20"/>
          <w:lang w:val="es-CR"/>
        </w:rPr>
        <w:t xml:space="preserve">de acusación constitucional seguido </w:t>
      </w:r>
      <w:r w:rsidR="002A4024" w:rsidRPr="00885A46">
        <w:rPr>
          <w:rFonts w:ascii="Verdana" w:hAnsi="Verdana"/>
          <w:sz w:val="20"/>
          <w:szCs w:val="20"/>
          <w:lang w:val="es-CR"/>
        </w:rPr>
        <w:t xml:space="preserve">actualmente </w:t>
      </w:r>
      <w:r w:rsidRPr="00885A46">
        <w:rPr>
          <w:rFonts w:ascii="Verdana" w:hAnsi="Verdana"/>
          <w:sz w:val="20"/>
          <w:szCs w:val="20"/>
          <w:lang w:val="es-CR"/>
        </w:rPr>
        <w:t>e</w:t>
      </w:r>
      <w:r w:rsidR="00B53688" w:rsidRPr="00885A46">
        <w:rPr>
          <w:rFonts w:ascii="Verdana" w:hAnsi="Verdana"/>
          <w:sz w:val="20"/>
          <w:szCs w:val="20"/>
          <w:lang w:val="es-CR"/>
        </w:rPr>
        <w:t>n</w:t>
      </w:r>
      <w:r w:rsidRPr="00885A46">
        <w:rPr>
          <w:rFonts w:ascii="Verdana" w:hAnsi="Verdana"/>
          <w:sz w:val="20"/>
          <w:szCs w:val="20"/>
          <w:lang w:val="es-CR"/>
        </w:rPr>
        <w:t xml:space="preserve"> el Congreso </w:t>
      </w:r>
      <w:r w:rsidR="00415044" w:rsidRPr="00885A46">
        <w:rPr>
          <w:rFonts w:ascii="Verdana" w:hAnsi="Verdana"/>
          <w:sz w:val="20"/>
          <w:szCs w:val="20"/>
          <w:lang w:val="es-CR"/>
        </w:rPr>
        <w:t xml:space="preserve">de la República </w:t>
      </w:r>
      <w:r w:rsidR="00A41EC8" w:rsidRPr="00885A46">
        <w:rPr>
          <w:rFonts w:ascii="Verdana" w:hAnsi="Verdana"/>
          <w:sz w:val="20"/>
          <w:szCs w:val="20"/>
          <w:lang w:val="es-CR"/>
        </w:rPr>
        <w:t>contra los Magistrados</w:t>
      </w:r>
      <w:r w:rsidR="00B670C5" w:rsidRPr="00885A46">
        <w:rPr>
          <w:rFonts w:ascii="Verdana" w:hAnsi="Verdana"/>
          <w:sz w:val="20"/>
          <w:szCs w:val="20"/>
          <w:lang w:val="es-CR"/>
        </w:rPr>
        <w:t xml:space="preserve"> del Tribunal Constitucional</w:t>
      </w:r>
      <w:r w:rsidR="00A41EC8" w:rsidRPr="00885A46">
        <w:rPr>
          <w:rFonts w:ascii="Verdana" w:hAnsi="Verdana"/>
          <w:sz w:val="20"/>
          <w:szCs w:val="20"/>
          <w:lang w:val="es-CR"/>
        </w:rPr>
        <w:t xml:space="preserve"> </w:t>
      </w:r>
      <w:r w:rsidR="00B670C5" w:rsidRPr="00885A46">
        <w:rPr>
          <w:rFonts w:ascii="Verdana" w:eastAsiaTheme="minorHAnsi" w:hAnsi="Verdana" w:cs="Verdana"/>
          <w:color w:val="000000"/>
          <w:sz w:val="20"/>
          <w:szCs w:val="20"/>
          <w:lang w:val="es-CR"/>
        </w:rPr>
        <w:t>Manuel Miranda, Marianella Ledesma, Carlos Ramos y Eloy Espinosa-Saldaña,</w:t>
      </w:r>
      <w:r w:rsidR="00B670C5" w:rsidRPr="00885A46">
        <w:rPr>
          <w:rFonts w:ascii="Verdana" w:hAnsi="Verdana"/>
          <w:sz w:val="20"/>
          <w:szCs w:val="20"/>
          <w:lang w:val="es-CR"/>
        </w:rPr>
        <w:t xml:space="preserve"> </w:t>
      </w:r>
      <w:r w:rsidR="000D38F2" w:rsidRPr="00885A46">
        <w:rPr>
          <w:rFonts w:ascii="Verdana" w:eastAsiaTheme="minorHAnsi" w:hAnsi="Verdana" w:cs="Verdana"/>
          <w:color w:val="000000"/>
          <w:sz w:val="20"/>
          <w:szCs w:val="20"/>
          <w:lang w:val="es-CR"/>
        </w:rPr>
        <w:t>al que se ha hecho referencia en esta Resolución,</w:t>
      </w:r>
      <w:r w:rsidR="000D38F2">
        <w:rPr>
          <w:rFonts w:ascii="Verdana" w:eastAsiaTheme="minorHAnsi" w:hAnsi="Verdana" w:cs="Verdana"/>
          <w:b/>
          <w:color w:val="000000"/>
          <w:sz w:val="20"/>
          <w:szCs w:val="20"/>
          <w:lang w:val="es-CR"/>
        </w:rPr>
        <w:t xml:space="preserve"> </w:t>
      </w:r>
      <w:r w:rsidR="00A344D9">
        <w:rPr>
          <w:rFonts w:ascii="Verdana" w:hAnsi="Verdana"/>
          <w:sz w:val="20"/>
          <w:szCs w:val="20"/>
          <w:lang w:val="es-CR"/>
        </w:rPr>
        <w:t>de manera que ese procedi</w:t>
      </w:r>
      <w:r w:rsidR="002A4024">
        <w:rPr>
          <w:rFonts w:ascii="Verdana" w:hAnsi="Verdana"/>
          <w:sz w:val="20"/>
          <w:szCs w:val="20"/>
          <w:lang w:val="es-CR"/>
        </w:rPr>
        <w:t>m</w:t>
      </w:r>
      <w:r w:rsidR="00A344D9">
        <w:rPr>
          <w:rFonts w:ascii="Verdana" w:hAnsi="Verdana"/>
          <w:sz w:val="20"/>
          <w:szCs w:val="20"/>
          <w:lang w:val="es-CR"/>
        </w:rPr>
        <w:t xml:space="preserve">iento no siga generando </w:t>
      </w:r>
      <w:r w:rsidR="00222066" w:rsidRPr="00084928">
        <w:rPr>
          <w:rFonts w:ascii="Verdana" w:hAnsi="Verdana"/>
          <w:sz w:val="20"/>
          <w:szCs w:val="20"/>
          <w:lang w:val="es-CR"/>
        </w:rPr>
        <w:t xml:space="preserve">presiones indebidas </w:t>
      </w:r>
      <w:r w:rsidR="00A344D9">
        <w:rPr>
          <w:rFonts w:ascii="Verdana" w:hAnsi="Verdana"/>
          <w:sz w:val="20"/>
          <w:szCs w:val="20"/>
          <w:lang w:val="es-CR"/>
        </w:rPr>
        <w:t xml:space="preserve">tanto en ese alto tribunal como en los jueces penales </w:t>
      </w:r>
      <w:r w:rsidR="00222066" w:rsidRPr="00084928">
        <w:rPr>
          <w:rFonts w:ascii="Verdana" w:hAnsi="Verdana"/>
          <w:sz w:val="20"/>
          <w:szCs w:val="20"/>
          <w:lang w:val="es-CR"/>
        </w:rPr>
        <w:t xml:space="preserve">para resolver lo pertinente en relación con el referido caso. Esto constituye una condición necesaria para que </w:t>
      </w:r>
      <w:r w:rsidR="007E6BF1" w:rsidRPr="00084928">
        <w:rPr>
          <w:rFonts w:ascii="Verdana" w:hAnsi="Verdana"/>
          <w:sz w:val="20"/>
          <w:szCs w:val="20"/>
          <w:lang w:val="es-CR"/>
        </w:rPr>
        <w:t xml:space="preserve">los familiares de los señores Nolberto Durand y Gabriel Ugarte, víctimas del caso, </w:t>
      </w:r>
      <w:r w:rsidR="00222066" w:rsidRPr="00084928">
        <w:rPr>
          <w:rFonts w:ascii="Verdana" w:hAnsi="Verdana"/>
          <w:sz w:val="20"/>
          <w:szCs w:val="20"/>
          <w:lang w:val="es-CR"/>
        </w:rPr>
        <w:t>sean</w:t>
      </w:r>
      <w:r w:rsidR="007E6BF1" w:rsidRPr="00084928">
        <w:rPr>
          <w:rFonts w:ascii="Verdana" w:hAnsi="Verdana"/>
          <w:sz w:val="20"/>
          <w:szCs w:val="20"/>
          <w:lang w:val="es-CR"/>
        </w:rPr>
        <w:t xml:space="preserve"> reparados en su derecho a conocer la verdad en el caso a través del cumplimiento efectivo de la obligación de investigar, juzgar y, de ser el caso, sancionar, ordenada en la Sentencia. </w:t>
      </w:r>
      <w:r w:rsidR="00084928" w:rsidRPr="00084928">
        <w:rPr>
          <w:rFonts w:ascii="Verdana" w:hAnsi="Verdana"/>
          <w:sz w:val="20"/>
          <w:szCs w:val="20"/>
          <w:lang w:val="es-CR"/>
        </w:rPr>
        <w:t>Por tanto, l</w:t>
      </w:r>
      <w:r w:rsidR="00866394" w:rsidRPr="00084928">
        <w:rPr>
          <w:rFonts w:ascii="Verdana" w:hAnsi="Verdana"/>
          <w:sz w:val="20"/>
          <w:szCs w:val="20"/>
          <w:lang w:val="es-CR"/>
        </w:rPr>
        <w:t>a presente medida se ordena en relación con l</w:t>
      </w:r>
      <w:r w:rsidR="00AD5B05" w:rsidRPr="00084928">
        <w:rPr>
          <w:rFonts w:ascii="Verdana" w:hAnsi="Verdana"/>
          <w:sz w:val="20"/>
          <w:szCs w:val="20"/>
          <w:lang w:val="es-CR"/>
        </w:rPr>
        <w:t>a</w:t>
      </w:r>
      <w:r w:rsidR="007E6BF1" w:rsidRPr="00084928">
        <w:rPr>
          <w:rFonts w:ascii="Verdana" w:hAnsi="Verdana"/>
          <w:sz w:val="20"/>
          <w:szCs w:val="20"/>
          <w:lang w:val="es-CR"/>
        </w:rPr>
        <w:t xml:space="preserve"> situación que actualmente enfrentan las v</w:t>
      </w:r>
      <w:r w:rsidR="00866394" w:rsidRPr="00084928">
        <w:rPr>
          <w:rFonts w:ascii="Verdana" w:hAnsi="Verdana"/>
          <w:sz w:val="20"/>
          <w:szCs w:val="20"/>
          <w:lang w:val="es-CR"/>
        </w:rPr>
        <w:t xml:space="preserve">íctimas del caso, en tanto </w:t>
      </w:r>
      <w:r w:rsidR="00AD5B05" w:rsidRPr="00084928">
        <w:rPr>
          <w:rFonts w:ascii="Verdana" w:hAnsi="Verdana"/>
          <w:sz w:val="20"/>
          <w:szCs w:val="20"/>
          <w:lang w:val="es-CR"/>
        </w:rPr>
        <w:t xml:space="preserve">si bien existen avances </w:t>
      </w:r>
      <w:r w:rsidR="00084928" w:rsidRPr="00084928">
        <w:rPr>
          <w:rFonts w:ascii="Verdana" w:hAnsi="Verdana"/>
          <w:sz w:val="20"/>
          <w:szCs w:val="20"/>
          <w:lang w:val="es-CR"/>
        </w:rPr>
        <w:t>en la obligación de investigar</w:t>
      </w:r>
      <w:r w:rsidR="00AD5B05" w:rsidRPr="00084928">
        <w:rPr>
          <w:rFonts w:ascii="Verdana" w:hAnsi="Verdana"/>
          <w:sz w:val="20"/>
          <w:szCs w:val="20"/>
          <w:lang w:val="es-CR"/>
        </w:rPr>
        <w:t xml:space="preserve"> </w:t>
      </w:r>
      <w:r w:rsidR="00084928" w:rsidRPr="00084928">
        <w:rPr>
          <w:rFonts w:ascii="Verdana" w:hAnsi="Verdana"/>
          <w:sz w:val="20"/>
          <w:szCs w:val="20"/>
          <w:lang w:val="es-CR"/>
        </w:rPr>
        <w:t xml:space="preserve">con </w:t>
      </w:r>
      <w:r w:rsidR="00AD5B05" w:rsidRPr="00084928">
        <w:rPr>
          <w:rFonts w:ascii="Verdana" w:hAnsi="Verdana"/>
          <w:sz w:val="20"/>
          <w:szCs w:val="20"/>
          <w:lang w:val="es-CR"/>
        </w:rPr>
        <w:t>el inicio del juicio oral</w:t>
      </w:r>
      <w:r w:rsidR="00866394" w:rsidRPr="00084928">
        <w:rPr>
          <w:rFonts w:ascii="Verdana" w:hAnsi="Verdana"/>
          <w:sz w:val="20"/>
          <w:szCs w:val="20"/>
          <w:lang w:val="es-CR"/>
        </w:rPr>
        <w:t xml:space="preserve"> del proceso penal actualmente en trámite</w:t>
      </w:r>
      <w:r w:rsidR="00AD5B05" w:rsidRPr="00084928">
        <w:rPr>
          <w:rFonts w:ascii="Verdana" w:hAnsi="Verdana"/>
          <w:sz w:val="20"/>
          <w:szCs w:val="20"/>
          <w:lang w:val="es-CR"/>
        </w:rPr>
        <w:t xml:space="preserve">, han transcurrido más </w:t>
      </w:r>
      <w:r w:rsidR="007E6BF1" w:rsidRPr="00084928">
        <w:rPr>
          <w:rFonts w:ascii="Verdana" w:hAnsi="Verdana"/>
          <w:sz w:val="20"/>
          <w:szCs w:val="20"/>
          <w:lang w:val="es-CR"/>
        </w:rPr>
        <w:t>de treinta y un años de</w:t>
      </w:r>
      <w:r w:rsidR="00AD5B05" w:rsidRPr="00084928">
        <w:rPr>
          <w:rFonts w:ascii="Verdana" w:hAnsi="Verdana"/>
          <w:sz w:val="20"/>
          <w:szCs w:val="20"/>
          <w:lang w:val="es-CR"/>
        </w:rPr>
        <w:t>sde que ocurrieron los hechos sin que, a la fecha, se hayan determinado las res</w:t>
      </w:r>
      <w:r w:rsidR="00866394" w:rsidRPr="00084928">
        <w:rPr>
          <w:rFonts w:ascii="Verdana" w:hAnsi="Verdana"/>
          <w:sz w:val="20"/>
          <w:szCs w:val="20"/>
          <w:lang w:val="es-CR"/>
        </w:rPr>
        <w:t xml:space="preserve">ponsabilidades correspondientes, lo cual es una afrenta a su acceso a la justicia. </w:t>
      </w:r>
    </w:p>
    <w:p w14:paraId="4E3BEEBF" w14:textId="77777777" w:rsidR="005D65DE" w:rsidRDefault="005D65DE" w:rsidP="0083014D">
      <w:pPr>
        <w:tabs>
          <w:tab w:val="left" w:pos="680"/>
        </w:tabs>
        <w:spacing w:after="0" w:line="240" w:lineRule="auto"/>
        <w:ind w:right="18"/>
        <w:jc w:val="both"/>
        <w:rPr>
          <w:rFonts w:ascii="Verdana" w:hAnsi="Verdana"/>
          <w:b/>
          <w:sz w:val="20"/>
          <w:szCs w:val="20"/>
        </w:rPr>
      </w:pPr>
    </w:p>
    <w:p w14:paraId="7C652614" w14:textId="77777777" w:rsidR="003504A3" w:rsidRDefault="003504A3">
      <w:pPr>
        <w:rPr>
          <w:rFonts w:ascii="Verdana" w:hAnsi="Verdana"/>
          <w:b/>
          <w:sz w:val="20"/>
          <w:szCs w:val="20"/>
        </w:rPr>
      </w:pPr>
      <w:r>
        <w:rPr>
          <w:rFonts w:ascii="Verdana" w:hAnsi="Verdana"/>
          <w:b/>
          <w:sz w:val="20"/>
          <w:szCs w:val="20"/>
        </w:rPr>
        <w:br w:type="page"/>
      </w:r>
    </w:p>
    <w:p w14:paraId="4F72D70F" w14:textId="77777777" w:rsidR="003504A3" w:rsidRDefault="003504A3" w:rsidP="0083014D">
      <w:pPr>
        <w:tabs>
          <w:tab w:val="left" w:pos="680"/>
        </w:tabs>
        <w:spacing w:after="0" w:line="240" w:lineRule="auto"/>
        <w:ind w:right="18"/>
        <w:jc w:val="both"/>
        <w:rPr>
          <w:rFonts w:ascii="Verdana" w:hAnsi="Verdana"/>
          <w:b/>
          <w:sz w:val="20"/>
          <w:szCs w:val="20"/>
        </w:rPr>
      </w:pPr>
    </w:p>
    <w:p w14:paraId="03B135CA" w14:textId="77777777" w:rsidR="003504A3" w:rsidRDefault="003504A3" w:rsidP="0083014D">
      <w:pPr>
        <w:tabs>
          <w:tab w:val="left" w:pos="680"/>
        </w:tabs>
        <w:spacing w:after="0" w:line="240" w:lineRule="auto"/>
        <w:ind w:right="18"/>
        <w:jc w:val="both"/>
        <w:rPr>
          <w:rFonts w:ascii="Verdana" w:hAnsi="Verdana"/>
          <w:b/>
          <w:sz w:val="20"/>
          <w:szCs w:val="20"/>
        </w:rPr>
      </w:pPr>
    </w:p>
    <w:p w14:paraId="223C8A2F" w14:textId="0DA48A95" w:rsidR="00440C9C" w:rsidRDefault="004F5E47" w:rsidP="0083014D">
      <w:pPr>
        <w:tabs>
          <w:tab w:val="left" w:pos="680"/>
        </w:tabs>
        <w:spacing w:after="0" w:line="240" w:lineRule="auto"/>
        <w:ind w:right="18"/>
        <w:jc w:val="both"/>
        <w:rPr>
          <w:rFonts w:ascii="Verdana" w:hAnsi="Verdana"/>
          <w:b/>
          <w:sz w:val="20"/>
          <w:szCs w:val="20"/>
        </w:rPr>
      </w:pPr>
      <w:r w:rsidRPr="00710B29">
        <w:rPr>
          <w:rFonts w:ascii="Verdana" w:hAnsi="Verdana"/>
          <w:b/>
          <w:sz w:val="20"/>
          <w:szCs w:val="20"/>
        </w:rPr>
        <w:t>POR TANTO:</w:t>
      </w:r>
    </w:p>
    <w:p w14:paraId="0A607FAB" w14:textId="77777777" w:rsidR="00885A46" w:rsidRDefault="00885A46" w:rsidP="0083014D">
      <w:pPr>
        <w:tabs>
          <w:tab w:val="left" w:pos="680"/>
        </w:tabs>
        <w:spacing w:after="0" w:line="240" w:lineRule="auto"/>
        <w:ind w:right="18"/>
        <w:jc w:val="both"/>
        <w:rPr>
          <w:rFonts w:ascii="Verdana" w:hAnsi="Verdana"/>
          <w:b/>
          <w:sz w:val="20"/>
          <w:szCs w:val="20"/>
        </w:rPr>
      </w:pPr>
    </w:p>
    <w:p w14:paraId="60A6814F" w14:textId="77777777" w:rsidR="005D65DE" w:rsidRDefault="005D65DE" w:rsidP="0083014D">
      <w:pPr>
        <w:tabs>
          <w:tab w:val="left" w:pos="680"/>
        </w:tabs>
        <w:spacing w:after="0" w:line="240" w:lineRule="auto"/>
        <w:ind w:right="18"/>
        <w:jc w:val="both"/>
        <w:rPr>
          <w:rFonts w:ascii="Verdana" w:hAnsi="Verdana"/>
          <w:b/>
          <w:sz w:val="20"/>
          <w:szCs w:val="20"/>
        </w:rPr>
      </w:pPr>
    </w:p>
    <w:p w14:paraId="6B2E18E6" w14:textId="65D1251E" w:rsidR="009B021C" w:rsidRDefault="004F5E47" w:rsidP="0083014D">
      <w:pPr>
        <w:spacing w:after="0" w:line="240" w:lineRule="auto"/>
        <w:ind w:right="18"/>
        <w:jc w:val="both"/>
        <w:rPr>
          <w:rFonts w:ascii="Verdana" w:hAnsi="Verdana"/>
          <w:b/>
          <w:sz w:val="20"/>
          <w:szCs w:val="20"/>
        </w:rPr>
      </w:pPr>
      <w:r w:rsidRPr="00710B29">
        <w:rPr>
          <w:rFonts w:ascii="Verdana" w:hAnsi="Verdana"/>
          <w:b/>
          <w:sz w:val="20"/>
          <w:szCs w:val="20"/>
        </w:rPr>
        <w:t>LA CORTE INTERAMERICANA DE DERECHOS HUMANOS,</w:t>
      </w:r>
    </w:p>
    <w:p w14:paraId="330E8595" w14:textId="77777777" w:rsidR="00885A46" w:rsidRPr="0083014D" w:rsidRDefault="00885A46" w:rsidP="0083014D">
      <w:pPr>
        <w:spacing w:after="0" w:line="240" w:lineRule="auto"/>
        <w:ind w:right="18"/>
        <w:jc w:val="both"/>
        <w:rPr>
          <w:rFonts w:ascii="Verdana" w:hAnsi="Verdana"/>
          <w:b/>
          <w:sz w:val="20"/>
          <w:szCs w:val="20"/>
        </w:rPr>
      </w:pPr>
    </w:p>
    <w:p w14:paraId="627E189A" w14:textId="77777777" w:rsidR="00994383" w:rsidRPr="009B021C" w:rsidRDefault="009B021C" w:rsidP="00AB381D">
      <w:pPr>
        <w:spacing w:after="0" w:line="240" w:lineRule="auto"/>
        <w:jc w:val="both"/>
        <w:rPr>
          <w:rFonts w:ascii="Verdana" w:eastAsia="Calibri" w:hAnsi="Verdana" w:cs="Times New Roman"/>
          <w:sz w:val="20"/>
          <w:szCs w:val="20"/>
        </w:rPr>
      </w:pPr>
      <w:r w:rsidRPr="009B021C">
        <w:rPr>
          <w:rFonts w:ascii="Verdana" w:eastAsia="Calibri" w:hAnsi="Verdana" w:cs="Times New Roman"/>
          <w:sz w:val="20"/>
          <w:szCs w:val="20"/>
        </w:rPr>
        <w:t>en uso de las atribuciones que le confieren el artículo 63.2 de la Convención Americana, y los artículos 27 y 31 del Reglamento</w:t>
      </w:r>
      <w:r w:rsidR="00994383" w:rsidRPr="009B021C">
        <w:rPr>
          <w:rFonts w:ascii="Verdana" w:eastAsia="Calibri" w:hAnsi="Verdana" w:cs="Times New Roman"/>
          <w:sz w:val="20"/>
          <w:szCs w:val="20"/>
        </w:rPr>
        <w:t>,</w:t>
      </w:r>
    </w:p>
    <w:p w14:paraId="1A82BF43" w14:textId="77777777" w:rsidR="009B021C" w:rsidRDefault="009B021C" w:rsidP="00AB381D">
      <w:pPr>
        <w:tabs>
          <w:tab w:val="left" w:pos="680"/>
        </w:tabs>
        <w:spacing w:after="0" w:line="240" w:lineRule="auto"/>
        <w:ind w:right="18"/>
        <w:jc w:val="both"/>
        <w:rPr>
          <w:rFonts w:ascii="Verdana" w:hAnsi="Verdana"/>
          <w:b/>
          <w:sz w:val="20"/>
          <w:szCs w:val="20"/>
        </w:rPr>
      </w:pPr>
    </w:p>
    <w:p w14:paraId="31EC1EA7" w14:textId="77777777" w:rsidR="006A0776" w:rsidRDefault="006A0776" w:rsidP="00AB381D">
      <w:pPr>
        <w:tabs>
          <w:tab w:val="left" w:pos="680"/>
        </w:tabs>
        <w:spacing w:after="0" w:line="240" w:lineRule="auto"/>
        <w:ind w:right="18"/>
        <w:jc w:val="both"/>
        <w:rPr>
          <w:rFonts w:ascii="Verdana" w:hAnsi="Verdana"/>
          <w:b/>
          <w:sz w:val="20"/>
          <w:szCs w:val="20"/>
        </w:rPr>
      </w:pPr>
    </w:p>
    <w:p w14:paraId="24F035B9" w14:textId="77777777" w:rsidR="004F5E47" w:rsidRDefault="004F5E47" w:rsidP="00AB381D">
      <w:pPr>
        <w:tabs>
          <w:tab w:val="left" w:pos="680"/>
        </w:tabs>
        <w:spacing w:after="0" w:line="240" w:lineRule="auto"/>
        <w:ind w:right="18"/>
        <w:jc w:val="both"/>
        <w:rPr>
          <w:rFonts w:ascii="Verdana" w:hAnsi="Verdana"/>
          <w:b/>
          <w:sz w:val="20"/>
          <w:szCs w:val="20"/>
        </w:rPr>
      </w:pPr>
      <w:r w:rsidRPr="00710B29">
        <w:rPr>
          <w:rFonts w:ascii="Verdana" w:hAnsi="Verdana"/>
          <w:b/>
          <w:sz w:val="20"/>
          <w:szCs w:val="20"/>
        </w:rPr>
        <w:t>RESUELVE:</w:t>
      </w:r>
    </w:p>
    <w:p w14:paraId="2E49BF84" w14:textId="77777777" w:rsidR="009B021C" w:rsidRDefault="009B021C" w:rsidP="00AB381D">
      <w:pPr>
        <w:tabs>
          <w:tab w:val="left" w:pos="680"/>
        </w:tabs>
        <w:spacing w:after="0" w:line="240" w:lineRule="auto"/>
        <w:ind w:right="18"/>
        <w:jc w:val="both"/>
        <w:rPr>
          <w:rFonts w:ascii="Verdana" w:hAnsi="Verdana"/>
          <w:b/>
          <w:sz w:val="20"/>
          <w:szCs w:val="20"/>
        </w:rPr>
      </w:pPr>
    </w:p>
    <w:p w14:paraId="49953D30" w14:textId="57A95CAA" w:rsidR="00C96422" w:rsidRDefault="00C96422" w:rsidP="00AB381D">
      <w:pPr>
        <w:tabs>
          <w:tab w:val="left" w:pos="680"/>
        </w:tabs>
        <w:spacing w:after="0" w:line="240" w:lineRule="auto"/>
        <w:ind w:right="18"/>
        <w:jc w:val="both"/>
        <w:rPr>
          <w:rFonts w:ascii="Verdana" w:hAnsi="Verdana"/>
          <w:sz w:val="20"/>
          <w:szCs w:val="20"/>
        </w:rPr>
      </w:pPr>
      <w:r w:rsidRPr="00C96422">
        <w:rPr>
          <w:rFonts w:ascii="Verdana" w:hAnsi="Verdana"/>
          <w:sz w:val="20"/>
          <w:szCs w:val="20"/>
        </w:rPr>
        <w:t xml:space="preserve">Por cinco votos </w:t>
      </w:r>
      <w:r>
        <w:rPr>
          <w:rFonts w:ascii="Verdana" w:hAnsi="Verdana"/>
          <w:sz w:val="20"/>
          <w:szCs w:val="20"/>
        </w:rPr>
        <w:t>a favor y</w:t>
      </w:r>
      <w:r w:rsidRPr="00C96422">
        <w:rPr>
          <w:rFonts w:ascii="Verdana" w:hAnsi="Verdana"/>
          <w:sz w:val="20"/>
          <w:szCs w:val="20"/>
        </w:rPr>
        <w:t xml:space="preserve"> dos</w:t>
      </w:r>
      <w:r>
        <w:rPr>
          <w:rFonts w:ascii="Verdana" w:hAnsi="Verdana"/>
          <w:sz w:val="20"/>
          <w:szCs w:val="20"/>
        </w:rPr>
        <w:t xml:space="preserve"> en contra</w:t>
      </w:r>
      <w:r w:rsidR="00F148B5">
        <w:rPr>
          <w:rFonts w:ascii="Verdana" w:hAnsi="Verdana"/>
          <w:sz w:val="20"/>
          <w:szCs w:val="20"/>
        </w:rPr>
        <w:t>,</w:t>
      </w:r>
    </w:p>
    <w:p w14:paraId="187396F9" w14:textId="77777777" w:rsidR="00C96422" w:rsidRPr="00C96422" w:rsidRDefault="00C96422" w:rsidP="00AB381D">
      <w:pPr>
        <w:tabs>
          <w:tab w:val="left" w:pos="680"/>
        </w:tabs>
        <w:spacing w:after="0" w:line="240" w:lineRule="auto"/>
        <w:ind w:right="18"/>
        <w:jc w:val="both"/>
        <w:rPr>
          <w:rFonts w:ascii="Verdana" w:hAnsi="Verdana"/>
          <w:sz w:val="20"/>
          <w:szCs w:val="20"/>
        </w:rPr>
      </w:pPr>
    </w:p>
    <w:p w14:paraId="5E450577" w14:textId="040DA44C" w:rsidR="00E50232" w:rsidRPr="00E50232" w:rsidRDefault="00E50232" w:rsidP="007C15A1">
      <w:pPr>
        <w:pStyle w:val="ListParagraph"/>
        <w:numPr>
          <w:ilvl w:val="3"/>
          <w:numId w:val="2"/>
        </w:numPr>
        <w:spacing w:after="0" w:line="240" w:lineRule="auto"/>
        <w:ind w:left="0" w:firstLine="0"/>
        <w:contextualSpacing w:val="0"/>
        <w:jc w:val="both"/>
        <w:rPr>
          <w:rFonts w:ascii="Verdana" w:hAnsi="Verdana"/>
          <w:sz w:val="20"/>
          <w:szCs w:val="20"/>
          <w:lang w:val="es-ES_tradnl"/>
        </w:rPr>
      </w:pPr>
      <w:r w:rsidRPr="00E50232">
        <w:rPr>
          <w:rFonts w:ascii="Verdana" w:hAnsi="Verdana"/>
          <w:sz w:val="20"/>
          <w:lang w:val="es-CR"/>
        </w:rPr>
        <w:t xml:space="preserve">Ratificar la Resolución del Presidente de la Corte Interamericana de Derechos Humanos de 17 de diciembre de </w:t>
      </w:r>
      <w:r w:rsidR="00DD5F56">
        <w:rPr>
          <w:rFonts w:ascii="Verdana" w:hAnsi="Verdana"/>
          <w:sz w:val="20"/>
          <w:szCs w:val="20"/>
          <w:lang w:val="es-CR"/>
        </w:rPr>
        <w:t xml:space="preserve">2017 y </w:t>
      </w:r>
      <w:r w:rsidRPr="00E50232">
        <w:rPr>
          <w:rFonts w:ascii="Verdana" w:hAnsi="Verdana"/>
          <w:sz w:val="20"/>
          <w:szCs w:val="20"/>
          <w:lang w:val="es-CR"/>
        </w:rPr>
        <w:t>re</w:t>
      </w:r>
      <w:r w:rsidR="00890A49" w:rsidRPr="00E50232">
        <w:rPr>
          <w:rFonts w:ascii="Verdana" w:hAnsi="Verdana"/>
          <w:sz w:val="20"/>
          <w:szCs w:val="20"/>
          <w:lang w:val="es-CR"/>
        </w:rPr>
        <w:t xml:space="preserve">querir al Estado </w:t>
      </w:r>
      <w:r w:rsidRPr="00E50232">
        <w:rPr>
          <w:rFonts w:ascii="Verdana" w:hAnsi="Verdana"/>
          <w:sz w:val="20"/>
          <w:szCs w:val="20"/>
          <w:lang w:val="es-CR"/>
        </w:rPr>
        <w:t xml:space="preserve">del Perú </w:t>
      </w:r>
      <w:r w:rsidR="00890A49" w:rsidRPr="00E50232">
        <w:rPr>
          <w:rFonts w:ascii="Verdana" w:hAnsi="Verdana"/>
          <w:sz w:val="20"/>
          <w:szCs w:val="20"/>
          <w:lang w:val="es-CR"/>
        </w:rPr>
        <w:t>que</w:t>
      </w:r>
      <w:r w:rsidR="002A4024">
        <w:rPr>
          <w:rFonts w:ascii="Verdana" w:hAnsi="Verdana"/>
          <w:sz w:val="20"/>
          <w:szCs w:val="20"/>
          <w:lang w:val="es-CR"/>
        </w:rPr>
        <w:t>,</w:t>
      </w:r>
      <w:r w:rsidR="00890A49" w:rsidRPr="00E50232">
        <w:rPr>
          <w:rFonts w:ascii="Verdana" w:hAnsi="Verdana"/>
          <w:sz w:val="20"/>
          <w:szCs w:val="20"/>
          <w:lang w:val="es-CR"/>
        </w:rPr>
        <w:t xml:space="preserve"> </w:t>
      </w:r>
      <w:r w:rsidR="002A4024" w:rsidRPr="00885A46">
        <w:rPr>
          <w:rFonts w:ascii="Verdana" w:hAnsi="Verdana"/>
          <w:sz w:val="20"/>
          <w:szCs w:val="20"/>
          <w:lang w:val="es-CR"/>
        </w:rPr>
        <w:t xml:space="preserve">para garantizar </w:t>
      </w:r>
      <w:r w:rsidR="00DD5F56" w:rsidRPr="00885A46">
        <w:rPr>
          <w:rFonts w:ascii="Verdana" w:hAnsi="Verdana" w:cs="Verdana"/>
          <w:sz w:val="20"/>
          <w:szCs w:val="20"/>
          <w:lang w:val="es-CR"/>
        </w:rPr>
        <w:t xml:space="preserve">el derecho de las víctimas del </w:t>
      </w:r>
      <w:r w:rsidR="00DD5F56" w:rsidRPr="00F727B4">
        <w:rPr>
          <w:rFonts w:ascii="Verdana" w:hAnsi="Verdana" w:cs="Verdana"/>
          <w:i/>
          <w:sz w:val="20"/>
          <w:szCs w:val="20"/>
          <w:lang w:val="es-CR"/>
        </w:rPr>
        <w:t>caso Durand y Ugarte</w:t>
      </w:r>
      <w:r w:rsidR="00DD5F56" w:rsidRPr="00885A46">
        <w:rPr>
          <w:rFonts w:ascii="Verdana" w:hAnsi="Verdana" w:cs="Verdana"/>
          <w:sz w:val="20"/>
          <w:szCs w:val="20"/>
          <w:lang w:val="es-CR"/>
        </w:rPr>
        <w:t xml:space="preserve"> a obtener un acceso a la justicia sin interferencias en la independencia judicial, </w:t>
      </w:r>
      <w:r w:rsidR="002A4024" w:rsidRPr="00885A46">
        <w:rPr>
          <w:rFonts w:ascii="Verdana" w:hAnsi="Verdana"/>
          <w:sz w:val="20"/>
          <w:szCs w:val="20"/>
          <w:lang w:val="es-CR"/>
        </w:rPr>
        <w:t xml:space="preserve">archive el </w:t>
      </w:r>
      <w:r w:rsidR="00DD5F56" w:rsidRPr="00885A46">
        <w:rPr>
          <w:rFonts w:ascii="Verdana" w:hAnsi="Verdana"/>
          <w:sz w:val="20"/>
          <w:szCs w:val="20"/>
          <w:lang w:val="es-CR"/>
        </w:rPr>
        <w:t xml:space="preserve">procedimiento de acusación constitucional </w:t>
      </w:r>
      <w:r w:rsidR="002A4024" w:rsidRPr="00885A46">
        <w:rPr>
          <w:rFonts w:ascii="Verdana" w:hAnsi="Verdana"/>
          <w:sz w:val="20"/>
          <w:szCs w:val="20"/>
          <w:lang w:val="es-CR"/>
        </w:rPr>
        <w:t xml:space="preserve">actualmente </w:t>
      </w:r>
      <w:r w:rsidR="00075905" w:rsidRPr="00885A46">
        <w:rPr>
          <w:rFonts w:ascii="Verdana" w:hAnsi="Verdana"/>
          <w:sz w:val="20"/>
          <w:szCs w:val="20"/>
          <w:lang w:val="es-CR"/>
        </w:rPr>
        <w:t xml:space="preserve">seguido </w:t>
      </w:r>
      <w:r w:rsidR="00DD5F56" w:rsidRPr="00885A46">
        <w:rPr>
          <w:rFonts w:ascii="Verdana" w:hAnsi="Verdana"/>
          <w:sz w:val="20"/>
          <w:szCs w:val="20"/>
          <w:lang w:val="es-CR"/>
        </w:rPr>
        <w:t xml:space="preserve">ante el Congreso de la República </w:t>
      </w:r>
      <w:r w:rsidR="00075905" w:rsidRPr="00885A46">
        <w:rPr>
          <w:rFonts w:ascii="Verdana" w:hAnsi="Verdana"/>
          <w:sz w:val="20"/>
          <w:szCs w:val="20"/>
          <w:lang w:val="es-CR"/>
        </w:rPr>
        <w:t xml:space="preserve">contra los Magistrados </w:t>
      </w:r>
      <w:r w:rsidR="00075905" w:rsidRPr="00885A46">
        <w:rPr>
          <w:rFonts w:ascii="Verdana" w:eastAsiaTheme="minorHAnsi" w:hAnsi="Verdana" w:cs="Verdana"/>
          <w:color w:val="000000"/>
          <w:sz w:val="20"/>
          <w:szCs w:val="20"/>
          <w:lang w:val="es-CR"/>
        </w:rPr>
        <w:t>Manuel Miranda, Marianella Ledesma, Carlos Ramos y Eloy Espinosa-Saldaña</w:t>
      </w:r>
      <w:r w:rsidR="000D38F2" w:rsidRPr="00885A46">
        <w:rPr>
          <w:rFonts w:ascii="Verdana" w:eastAsiaTheme="minorHAnsi" w:hAnsi="Verdana" w:cs="Verdana"/>
          <w:color w:val="000000"/>
          <w:sz w:val="20"/>
          <w:szCs w:val="20"/>
          <w:lang w:val="es-CR"/>
        </w:rPr>
        <w:t>, al que se ha hecho referencia en esta Resolución</w:t>
      </w:r>
      <w:r w:rsidR="00885A46" w:rsidRPr="00885A46">
        <w:rPr>
          <w:rFonts w:ascii="Verdana" w:hAnsi="Verdana"/>
          <w:sz w:val="20"/>
          <w:szCs w:val="20"/>
          <w:lang w:val="es-CR"/>
        </w:rPr>
        <w:t>.</w:t>
      </w:r>
    </w:p>
    <w:p w14:paraId="18EF9042" w14:textId="3F3742B2" w:rsidR="00E50232" w:rsidRDefault="00F148B5" w:rsidP="00E50232">
      <w:pPr>
        <w:pStyle w:val="ListParagraph"/>
        <w:spacing w:after="0" w:line="240" w:lineRule="auto"/>
        <w:ind w:left="0"/>
        <w:contextualSpacing w:val="0"/>
        <w:jc w:val="both"/>
        <w:rPr>
          <w:rFonts w:ascii="Verdana" w:hAnsi="Verdana"/>
          <w:sz w:val="20"/>
          <w:szCs w:val="20"/>
          <w:lang w:val="es-ES_tradnl"/>
        </w:rPr>
      </w:pPr>
      <w:r>
        <w:rPr>
          <w:rFonts w:ascii="Verdana" w:hAnsi="Verdana"/>
          <w:sz w:val="20"/>
          <w:szCs w:val="20"/>
          <w:lang w:val="es-ES_tradnl"/>
        </w:rPr>
        <w:t xml:space="preserve">Disidentes los Jueces Eduardo Vio Grossi y Humberto Antonio Sierra Porto. </w:t>
      </w:r>
    </w:p>
    <w:p w14:paraId="0F09391B" w14:textId="77777777" w:rsidR="00F148B5" w:rsidRDefault="00F148B5" w:rsidP="00E50232">
      <w:pPr>
        <w:pStyle w:val="ListParagraph"/>
        <w:spacing w:after="0" w:line="240" w:lineRule="auto"/>
        <w:ind w:left="0"/>
        <w:contextualSpacing w:val="0"/>
        <w:jc w:val="both"/>
        <w:rPr>
          <w:rFonts w:ascii="Verdana" w:hAnsi="Verdana"/>
          <w:sz w:val="20"/>
          <w:szCs w:val="20"/>
          <w:lang w:val="es-ES_tradnl"/>
        </w:rPr>
      </w:pPr>
    </w:p>
    <w:p w14:paraId="03EF75DB" w14:textId="77777777" w:rsidR="00F148B5" w:rsidRDefault="00F148B5" w:rsidP="00E50232">
      <w:pPr>
        <w:pStyle w:val="ListParagraph"/>
        <w:spacing w:after="0" w:line="240" w:lineRule="auto"/>
        <w:ind w:left="0"/>
        <w:contextualSpacing w:val="0"/>
        <w:jc w:val="both"/>
        <w:rPr>
          <w:rFonts w:ascii="Verdana" w:hAnsi="Verdana"/>
          <w:sz w:val="20"/>
          <w:szCs w:val="20"/>
          <w:lang w:val="es-ES_tradnl"/>
        </w:rPr>
      </w:pPr>
    </w:p>
    <w:p w14:paraId="5A2EFEF7" w14:textId="2B524AB8" w:rsidR="00C96422" w:rsidRDefault="00C96422" w:rsidP="00C96422">
      <w:pPr>
        <w:tabs>
          <w:tab w:val="left" w:pos="680"/>
        </w:tabs>
        <w:spacing w:after="0" w:line="240" w:lineRule="auto"/>
        <w:ind w:right="18"/>
        <w:jc w:val="both"/>
        <w:rPr>
          <w:rFonts w:ascii="Verdana" w:hAnsi="Verdana"/>
          <w:sz w:val="20"/>
          <w:szCs w:val="20"/>
        </w:rPr>
      </w:pPr>
      <w:r w:rsidRPr="00C96422">
        <w:rPr>
          <w:rFonts w:ascii="Verdana" w:hAnsi="Verdana"/>
          <w:sz w:val="20"/>
          <w:szCs w:val="20"/>
        </w:rPr>
        <w:t xml:space="preserve">Por cinco votos </w:t>
      </w:r>
      <w:r>
        <w:rPr>
          <w:rFonts w:ascii="Verdana" w:hAnsi="Verdana"/>
          <w:sz w:val="20"/>
          <w:szCs w:val="20"/>
        </w:rPr>
        <w:t>a favor y</w:t>
      </w:r>
      <w:r w:rsidRPr="00C96422">
        <w:rPr>
          <w:rFonts w:ascii="Verdana" w:hAnsi="Verdana"/>
          <w:sz w:val="20"/>
          <w:szCs w:val="20"/>
        </w:rPr>
        <w:t xml:space="preserve"> dos</w:t>
      </w:r>
      <w:r>
        <w:rPr>
          <w:rFonts w:ascii="Verdana" w:hAnsi="Verdana"/>
          <w:sz w:val="20"/>
          <w:szCs w:val="20"/>
        </w:rPr>
        <w:t xml:space="preserve"> en contra</w:t>
      </w:r>
      <w:r w:rsidR="00F148B5">
        <w:rPr>
          <w:rFonts w:ascii="Verdana" w:hAnsi="Verdana"/>
          <w:sz w:val="20"/>
          <w:szCs w:val="20"/>
        </w:rPr>
        <w:t>,</w:t>
      </w:r>
    </w:p>
    <w:p w14:paraId="1D44243D" w14:textId="77777777" w:rsidR="00C96422" w:rsidRPr="00C96422" w:rsidRDefault="00C96422" w:rsidP="00E50232">
      <w:pPr>
        <w:pStyle w:val="ListParagraph"/>
        <w:spacing w:after="0" w:line="240" w:lineRule="auto"/>
        <w:ind w:left="0"/>
        <w:contextualSpacing w:val="0"/>
        <w:jc w:val="both"/>
        <w:rPr>
          <w:rFonts w:ascii="Verdana" w:hAnsi="Verdana"/>
          <w:sz w:val="20"/>
          <w:szCs w:val="20"/>
          <w:lang w:val="es-CR"/>
        </w:rPr>
      </w:pPr>
    </w:p>
    <w:p w14:paraId="397DE847" w14:textId="78E43A4A" w:rsidR="001942B3" w:rsidRPr="00E50232" w:rsidRDefault="00DD5F56" w:rsidP="007C15A1">
      <w:pPr>
        <w:pStyle w:val="ListParagraph"/>
        <w:numPr>
          <w:ilvl w:val="3"/>
          <w:numId w:val="2"/>
        </w:numPr>
        <w:spacing w:after="0" w:line="240" w:lineRule="auto"/>
        <w:ind w:left="0" w:firstLine="0"/>
        <w:contextualSpacing w:val="0"/>
        <w:jc w:val="both"/>
        <w:rPr>
          <w:rFonts w:ascii="Verdana" w:hAnsi="Verdana"/>
          <w:sz w:val="20"/>
          <w:szCs w:val="20"/>
          <w:lang w:val="es-ES_tradnl"/>
        </w:rPr>
      </w:pPr>
      <w:r>
        <w:rPr>
          <w:rFonts w:ascii="Verdana" w:hAnsi="Verdana"/>
          <w:sz w:val="20"/>
          <w:szCs w:val="20"/>
          <w:lang w:val="es-CR"/>
        </w:rPr>
        <w:t>Requerir</w:t>
      </w:r>
      <w:r w:rsidR="00E50232" w:rsidRPr="00E50232">
        <w:rPr>
          <w:rFonts w:ascii="Verdana" w:hAnsi="Verdana"/>
          <w:sz w:val="20"/>
          <w:szCs w:val="20"/>
          <w:lang w:val="es-CR"/>
        </w:rPr>
        <w:t xml:space="preserve"> al Estado</w:t>
      </w:r>
      <w:r w:rsidR="005A1903">
        <w:rPr>
          <w:rFonts w:ascii="Verdana" w:hAnsi="Verdana"/>
          <w:sz w:val="20"/>
          <w:szCs w:val="20"/>
          <w:lang w:val="es-CR"/>
        </w:rPr>
        <w:t xml:space="preserve"> que presente, a más tardar el 15</w:t>
      </w:r>
      <w:r w:rsidR="00E50232" w:rsidRPr="00E50232">
        <w:rPr>
          <w:rFonts w:ascii="Verdana" w:hAnsi="Verdana"/>
          <w:sz w:val="20"/>
          <w:szCs w:val="20"/>
          <w:lang w:val="es-CR"/>
        </w:rPr>
        <w:t xml:space="preserve"> </w:t>
      </w:r>
      <w:r w:rsidR="00E50232" w:rsidRPr="00885A46">
        <w:rPr>
          <w:rFonts w:ascii="Verdana" w:hAnsi="Verdana"/>
          <w:sz w:val="20"/>
          <w:szCs w:val="20"/>
          <w:lang w:val="es-CR"/>
        </w:rPr>
        <w:t xml:space="preserve">de </w:t>
      </w:r>
      <w:r w:rsidR="000D38F2" w:rsidRPr="00885A46">
        <w:rPr>
          <w:rFonts w:ascii="Verdana" w:hAnsi="Verdana"/>
          <w:sz w:val="20"/>
          <w:szCs w:val="20"/>
          <w:lang w:val="es-CR"/>
        </w:rPr>
        <w:t>abril</w:t>
      </w:r>
      <w:r w:rsidR="00E50232" w:rsidRPr="00E50232">
        <w:rPr>
          <w:rFonts w:ascii="Verdana" w:hAnsi="Verdana"/>
          <w:sz w:val="20"/>
          <w:szCs w:val="20"/>
          <w:lang w:val="es-CR"/>
        </w:rPr>
        <w:t xml:space="preserve"> de 2018, un informe completo y detallado sobre </w:t>
      </w:r>
      <w:r w:rsidR="005A1903">
        <w:rPr>
          <w:rFonts w:ascii="Verdana" w:hAnsi="Verdana"/>
          <w:sz w:val="20"/>
          <w:szCs w:val="20"/>
          <w:lang w:val="es-CR"/>
        </w:rPr>
        <w:t xml:space="preserve">el cumplimiento de </w:t>
      </w:r>
      <w:r w:rsidR="00E50232" w:rsidRPr="00E50232">
        <w:rPr>
          <w:rFonts w:ascii="Verdana" w:hAnsi="Verdana"/>
          <w:sz w:val="20"/>
          <w:szCs w:val="20"/>
          <w:lang w:val="es-CR"/>
        </w:rPr>
        <w:t>lo dispuesto en el punto resolutivo 1 de esta Resolución.</w:t>
      </w:r>
    </w:p>
    <w:p w14:paraId="14890B0F" w14:textId="77777777" w:rsidR="00F148B5" w:rsidRPr="00F148B5" w:rsidRDefault="00F148B5" w:rsidP="00F148B5">
      <w:pPr>
        <w:spacing w:after="0" w:line="240" w:lineRule="auto"/>
        <w:jc w:val="both"/>
        <w:rPr>
          <w:rFonts w:ascii="Verdana" w:hAnsi="Verdana"/>
          <w:sz w:val="20"/>
          <w:szCs w:val="20"/>
          <w:lang w:val="es-ES_tradnl"/>
        </w:rPr>
      </w:pPr>
      <w:r w:rsidRPr="00F148B5">
        <w:rPr>
          <w:rFonts w:ascii="Verdana" w:hAnsi="Verdana"/>
          <w:sz w:val="20"/>
          <w:szCs w:val="20"/>
          <w:lang w:val="es-ES_tradnl"/>
        </w:rPr>
        <w:t xml:space="preserve">Disidentes los Jueces Eduardo Vio Grossi y Humberto Antonio Sierra Porto. </w:t>
      </w:r>
    </w:p>
    <w:p w14:paraId="2E44BD64" w14:textId="77777777" w:rsidR="00E50232" w:rsidRDefault="00E50232" w:rsidP="00E50232">
      <w:pPr>
        <w:pStyle w:val="ListParagraph"/>
        <w:spacing w:after="0" w:line="240" w:lineRule="auto"/>
        <w:ind w:left="0"/>
        <w:contextualSpacing w:val="0"/>
        <w:jc w:val="both"/>
        <w:rPr>
          <w:rFonts w:ascii="Verdana" w:hAnsi="Verdana"/>
          <w:sz w:val="20"/>
          <w:szCs w:val="20"/>
          <w:lang w:val="es-ES_tradnl"/>
        </w:rPr>
      </w:pPr>
    </w:p>
    <w:p w14:paraId="4A60B37A" w14:textId="77777777" w:rsidR="006A0776" w:rsidRDefault="006A0776" w:rsidP="00E50232">
      <w:pPr>
        <w:pStyle w:val="ListParagraph"/>
        <w:spacing w:after="0" w:line="240" w:lineRule="auto"/>
        <w:ind w:left="0"/>
        <w:contextualSpacing w:val="0"/>
        <w:jc w:val="both"/>
        <w:rPr>
          <w:rFonts w:ascii="Verdana" w:hAnsi="Verdana"/>
          <w:sz w:val="20"/>
          <w:szCs w:val="20"/>
          <w:lang w:val="es-ES_tradnl"/>
        </w:rPr>
      </w:pPr>
    </w:p>
    <w:p w14:paraId="0737397A" w14:textId="6CA4B4FD" w:rsidR="00F148B5" w:rsidRDefault="00F148B5" w:rsidP="00E50232">
      <w:pPr>
        <w:pStyle w:val="ListParagraph"/>
        <w:spacing w:after="0" w:line="240" w:lineRule="auto"/>
        <w:ind w:left="0"/>
        <w:contextualSpacing w:val="0"/>
        <w:jc w:val="both"/>
        <w:rPr>
          <w:rFonts w:ascii="Verdana" w:hAnsi="Verdana"/>
          <w:sz w:val="20"/>
          <w:szCs w:val="20"/>
          <w:lang w:val="es-ES_tradnl"/>
        </w:rPr>
      </w:pPr>
      <w:r>
        <w:rPr>
          <w:rFonts w:ascii="Verdana" w:hAnsi="Verdana"/>
          <w:sz w:val="20"/>
          <w:szCs w:val="20"/>
          <w:lang w:val="es-ES_tradnl"/>
        </w:rPr>
        <w:t>Por unanimidad,</w:t>
      </w:r>
    </w:p>
    <w:p w14:paraId="2977F939" w14:textId="77777777" w:rsidR="00F148B5" w:rsidRPr="00E50232" w:rsidRDefault="00F148B5" w:rsidP="00E50232">
      <w:pPr>
        <w:pStyle w:val="ListParagraph"/>
        <w:spacing w:after="0" w:line="240" w:lineRule="auto"/>
        <w:ind w:left="0"/>
        <w:contextualSpacing w:val="0"/>
        <w:jc w:val="both"/>
        <w:rPr>
          <w:rFonts w:ascii="Verdana" w:hAnsi="Verdana"/>
          <w:sz w:val="20"/>
          <w:szCs w:val="20"/>
          <w:lang w:val="es-ES_tradnl"/>
        </w:rPr>
      </w:pPr>
    </w:p>
    <w:p w14:paraId="2B58D319" w14:textId="4A03888D" w:rsidR="0098261C" w:rsidRDefault="00601FD2" w:rsidP="007C15A1">
      <w:pPr>
        <w:pStyle w:val="ListParagraph"/>
        <w:numPr>
          <w:ilvl w:val="3"/>
          <w:numId w:val="2"/>
        </w:numPr>
        <w:spacing w:after="0" w:line="240" w:lineRule="auto"/>
        <w:ind w:left="0" w:firstLine="0"/>
        <w:contextualSpacing w:val="0"/>
        <w:jc w:val="both"/>
        <w:rPr>
          <w:rFonts w:ascii="Verdana" w:hAnsi="Verdana"/>
          <w:sz w:val="20"/>
          <w:szCs w:val="20"/>
          <w:lang w:val="es-PR"/>
        </w:rPr>
      </w:pPr>
      <w:r w:rsidRPr="00E50232">
        <w:rPr>
          <w:rFonts w:ascii="Verdana" w:hAnsi="Verdana"/>
          <w:sz w:val="20"/>
          <w:szCs w:val="20"/>
          <w:lang w:val="es-PR"/>
        </w:rPr>
        <w:t>Disponer que la</w:t>
      </w:r>
      <w:r w:rsidR="00710B29" w:rsidRPr="00E50232">
        <w:rPr>
          <w:rFonts w:ascii="Verdana" w:hAnsi="Verdana"/>
          <w:sz w:val="20"/>
          <w:szCs w:val="20"/>
          <w:lang w:val="es-PR"/>
        </w:rPr>
        <w:t xml:space="preserve"> Secretaría</w:t>
      </w:r>
      <w:r w:rsidR="00563B4E" w:rsidRPr="00E50232">
        <w:rPr>
          <w:rFonts w:ascii="Verdana" w:hAnsi="Verdana"/>
          <w:sz w:val="20"/>
          <w:szCs w:val="20"/>
          <w:lang w:val="es-PR"/>
        </w:rPr>
        <w:t xml:space="preserve"> de la Corte Interamericana de Derechos Humanos</w:t>
      </w:r>
      <w:r w:rsidR="00710B29" w:rsidRPr="00E50232">
        <w:rPr>
          <w:rFonts w:ascii="Verdana" w:hAnsi="Verdana"/>
          <w:sz w:val="20"/>
          <w:szCs w:val="20"/>
          <w:lang w:val="es-PR"/>
        </w:rPr>
        <w:t xml:space="preserve"> notifique la presente Resolución al Estado, </w:t>
      </w:r>
      <w:r w:rsidR="00F66F0F" w:rsidRPr="00E50232">
        <w:rPr>
          <w:rFonts w:ascii="Verdana" w:hAnsi="Verdana"/>
          <w:sz w:val="20"/>
          <w:szCs w:val="20"/>
          <w:lang w:val="es-PR"/>
        </w:rPr>
        <w:t xml:space="preserve">a los representantes de las víctimas y </w:t>
      </w:r>
      <w:r w:rsidR="00710B29" w:rsidRPr="00E50232">
        <w:rPr>
          <w:rFonts w:ascii="Verdana" w:hAnsi="Verdana"/>
          <w:sz w:val="20"/>
          <w:szCs w:val="20"/>
          <w:lang w:val="es-PR"/>
        </w:rPr>
        <w:t>a la Comisión Interamericana de Derechos Humanos.</w:t>
      </w:r>
    </w:p>
    <w:p w14:paraId="5C38CF76" w14:textId="77777777" w:rsidR="00C96422" w:rsidRDefault="00C96422" w:rsidP="00C96422">
      <w:pPr>
        <w:pStyle w:val="ListParagraph"/>
        <w:rPr>
          <w:rFonts w:ascii="Verdana" w:hAnsi="Verdana"/>
          <w:sz w:val="20"/>
          <w:szCs w:val="20"/>
          <w:lang w:val="es-PR"/>
        </w:rPr>
      </w:pPr>
    </w:p>
    <w:p w14:paraId="7AD21BBE" w14:textId="77777777" w:rsidR="006A0776" w:rsidRPr="00C96422" w:rsidRDefault="006A0776" w:rsidP="00C96422">
      <w:pPr>
        <w:pStyle w:val="ListParagraph"/>
        <w:rPr>
          <w:rFonts w:ascii="Verdana" w:hAnsi="Verdana"/>
          <w:sz w:val="20"/>
          <w:szCs w:val="20"/>
          <w:lang w:val="es-PR"/>
        </w:rPr>
      </w:pPr>
    </w:p>
    <w:p w14:paraId="77E66189" w14:textId="135E3DB5" w:rsidR="00C96422" w:rsidRDefault="00F148B5" w:rsidP="00C96422">
      <w:pPr>
        <w:pStyle w:val="ListParagraph"/>
        <w:spacing w:after="0" w:line="240" w:lineRule="auto"/>
        <w:ind w:left="0"/>
        <w:contextualSpacing w:val="0"/>
        <w:jc w:val="both"/>
        <w:rPr>
          <w:rFonts w:ascii="Verdana" w:hAnsi="Verdana"/>
          <w:sz w:val="20"/>
          <w:szCs w:val="20"/>
          <w:lang w:val="es-ES_tradnl"/>
        </w:rPr>
      </w:pPr>
      <w:r w:rsidRPr="00F148B5">
        <w:rPr>
          <w:rFonts w:ascii="Verdana" w:hAnsi="Verdana"/>
          <w:sz w:val="20"/>
          <w:szCs w:val="20"/>
          <w:lang w:val="es-ES_tradnl"/>
        </w:rPr>
        <w:t xml:space="preserve">Los Jueces </w:t>
      </w:r>
      <w:r>
        <w:rPr>
          <w:rFonts w:ascii="Verdana" w:hAnsi="Verdana"/>
          <w:sz w:val="20"/>
          <w:szCs w:val="20"/>
          <w:lang w:val="es-ES_tradnl"/>
        </w:rPr>
        <w:t>Eduardo Vio Grossi y Humberto Antonio Sierra Porto</w:t>
      </w:r>
      <w:r w:rsidRPr="00F148B5">
        <w:rPr>
          <w:rFonts w:ascii="Verdana" w:hAnsi="Verdana"/>
          <w:sz w:val="20"/>
          <w:szCs w:val="20"/>
          <w:lang w:val="es-ES_tradnl"/>
        </w:rPr>
        <w:t xml:space="preserve"> </w:t>
      </w:r>
      <w:r w:rsidRPr="00254C85">
        <w:rPr>
          <w:rFonts w:ascii="Verdana" w:hAnsi="Verdana"/>
          <w:sz w:val="20"/>
          <w:szCs w:val="20"/>
          <w:lang w:val="es-ES_tradnl"/>
        </w:rPr>
        <w:t>hicieron</w:t>
      </w:r>
      <w:r w:rsidR="00C96422" w:rsidRPr="00254C85">
        <w:rPr>
          <w:rFonts w:ascii="Verdana" w:hAnsi="Verdana"/>
          <w:sz w:val="20"/>
          <w:szCs w:val="20"/>
          <w:lang w:val="es-ES_tradnl"/>
        </w:rPr>
        <w:t xml:space="preserve"> conocer </w:t>
      </w:r>
      <w:r w:rsidRPr="00254C85">
        <w:rPr>
          <w:rFonts w:ascii="Verdana" w:hAnsi="Verdana"/>
          <w:sz w:val="20"/>
          <w:szCs w:val="20"/>
          <w:lang w:val="es-ES_tradnl"/>
        </w:rPr>
        <w:t>a la Corte sus votos disidentes, los</w:t>
      </w:r>
      <w:r w:rsidR="00C96422" w:rsidRPr="00254C85">
        <w:rPr>
          <w:rFonts w:ascii="Verdana" w:hAnsi="Verdana"/>
          <w:sz w:val="20"/>
          <w:szCs w:val="20"/>
          <w:lang w:val="es-ES_tradnl"/>
        </w:rPr>
        <w:t xml:space="preserve"> cual</w:t>
      </w:r>
      <w:r w:rsidRPr="00254C85">
        <w:rPr>
          <w:rFonts w:ascii="Verdana" w:hAnsi="Verdana"/>
          <w:sz w:val="20"/>
          <w:szCs w:val="20"/>
          <w:lang w:val="es-ES_tradnl"/>
        </w:rPr>
        <w:t>es</w:t>
      </w:r>
      <w:r w:rsidR="00C96422" w:rsidRPr="00254C85">
        <w:rPr>
          <w:rFonts w:ascii="Verdana" w:hAnsi="Verdana"/>
          <w:sz w:val="20"/>
          <w:szCs w:val="20"/>
          <w:lang w:val="es-ES_tradnl"/>
        </w:rPr>
        <w:t xml:space="preserve"> acompaña</w:t>
      </w:r>
      <w:r w:rsidRPr="00254C85">
        <w:rPr>
          <w:rFonts w:ascii="Verdana" w:hAnsi="Verdana"/>
          <w:sz w:val="20"/>
          <w:szCs w:val="20"/>
          <w:lang w:val="es-ES_tradnl"/>
        </w:rPr>
        <w:t>n</w:t>
      </w:r>
      <w:r w:rsidR="00C96422" w:rsidRPr="00254C85">
        <w:rPr>
          <w:rFonts w:ascii="Verdana" w:hAnsi="Verdana"/>
          <w:sz w:val="20"/>
          <w:szCs w:val="20"/>
          <w:lang w:val="es-ES_tradnl"/>
        </w:rPr>
        <w:t xml:space="preserve"> la presente Resolución.</w:t>
      </w:r>
    </w:p>
    <w:p w14:paraId="7DDD2102" w14:textId="77777777" w:rsidR="000B6B57" w:rsidRDefault="000B6B57" w:rsidP="00C96422">
      <w:pPr>
        <w:pStyle w:val="ListParagraph"/>
        <w:spacing w:after="0" w:line="240" w:lineRule="auto"/>
        <w:ind w:left="0"/>
        <w:contextualSpacing w:val="0"/>
        <w:jc w:val="both"/>
        <w:rPr>
          <w:rFonts w:ascii="Verdana" w:hAnsi="Verdana"/>
          <w:sz w:val="20"/>
          <w:szCs w:val="20"/>
          <w:lang w:val="es-ES_tradnl"/>
        </w:rPr>
      </w:pPr>
    </w:p>
    <w:p w14:paraId="27483759" w14:textId="77777777" w:rsidR="000B6B57" w:rsidRDefault="000B6B57" w:rsidP="00C96422">
      <w:pPr>
        <w:pStyle w:val="ListParagraph"/>
        <w:spacing w:after="0" w:line="240" w:lineRule="auto"/>
        <w:ind w:left="0"/>
        <w:contextualSpacing w:val="0"/>
        <w:jc w:val="both"/>
        <w:rPr>
          <w:rFonts w:ascii="Verdana" w:hAnsi="Verdana"/>
          <w:sz w:val="20"/>
          <w:szCs w:val="20"/>
          <w:lang w:val="es-ES_tradnl"/>
        </w:rPr>
      </w:pPr>
    </w:p>
    <w:p w14:paraId="18802149" w14:textId="77777777" w:rsidR="000B6B57" w:rsidRDefault="000B6B57" w:rsidP="00C96422">
      <w:pPr>
        <w:pStyle w:val="ListParagraph"/>
        <w:spacing w:after="0" w:line="240" w:lineRule="auto"/>
        <w:ind w:left="0"/>
        <w:contextualSpacing w:val="0"/>
        <w:jc w:val="both"/>
        <w:rPr>
          <w:rFonts w:ascii="Verdana" w:hAnsi="Verdana"/>
          <w:sz w:val="20"/>
          <w:szCs w:val="20"/>
          <w:lang w:val="es-ES_tradnl"/>
        </w:rPr>
      </w:pPr>
    </w:p>
    <w:p w14:paraId="068999BB" w14:textId="77777777" w:rsidR="000B6B57" w:rsidRDefault="000B6B57" w:rsidP="00C96422">
      <w:pPr>
        <w:pStyle w:val="ListParagraph"/>
        <w:spacing w:after="0" w:line="240" w:lineRule="auto"/>
        <w:ind w:left="0"/>
        <w:contextualSpacing w:val="0"/>
        <w:jc w:val="both"/>
        <w:rPr>
          <w:rFonts w:ascii="Verdana" w:hAnsi="Verdana"/>
          <w:sz w:val="20"/>
          <w:szCs w:val="20"/>
          <w:lang w:val="es-ES_tradnl"/>
        </w:rPr>
      </w:pPr>
    </w:p>
    <w:p w14:paraId="67DB54DA" w14:textId="77777777" w:rsidR="000B6B57" w:rsidRDefault="000B6B57" w:rsidP="00C96422">
      <w:pPr>
        <w:pStyle w:val="ListParagraph"/>
        <w:spacing w:after="0" w:line="240" w:lineRule="auto"/>
        <w:ind w:left="0"/>
        <w:contextualSpacing w:val="0"/>
        <w:jc w:val="both"/>
        <w:rPr>
          <w:rFonts w:ascii="Verdana" w:hAnsi="Verdana"/>
          <w:sz w:val="20"/>
          <w:szCs w:val="20"/>
          <w:lang w:val="es-ES_tradnl"/>
        </w:rPr>
      </w:pPr>
    </w:p>
    <w:p w14:paraId="48E41A68" w14:textId="34DBA6D5" w:rsidR="000B6B57" w:rsidRDefault="000B6B57" w:rsidP="00C96422">
      <w:pPr>
        <w:pStyle w:val="ListParagraph"/>
        <w:spacing w:after="0" w:line="240" w:lineRule="auto"/>
        <w:ind w:left="0"/>
        <w:contextualSpacing w:val="0"/>
        <w:jc w:val="both"/>
        <w:rPr>
          <w:rFonts w:ascii="Verdana" w:hAnsi="Verdana"/>
          <w:sz w:val="20"/>
          <w:szCs w:val="20"/>
          <w:lang w:val="es-ES_tradnl"/>
        </w:rPr>
      </w:pPr>
      <w:r>
        <w:rPr>
          <w:rFonts w:ascii="Verdana" w:hAnsi="Verdana"/>
          <w:sz w:val="20"/>
          <w:szCs w:val="20"/>
          <w:lang w:val="es-ES_tradnl"/>
        </w:rPr>
        <w:br w:type="page"/>
      </w:r>
    </w:p>
    <w:p w14:paraId="30BEE7BB" w14:textId="77777777" w:rsidR="000B6B57" w:rsidRPr="000B6B57" w:rsidRDefault="000B6B57" w:rsidP="000B6B57">
      <w:pPr>
        <w:spacing w:after="0" w:line="240" w:lineRule="auto"/>
        <w:jc w:val="center"/>
        <w:rPr>
          <w:rFonts w:ascii="Verdana" w:eastAsia="Times" w:hAnsi="Verdana" w:cs="Times New Roman"/>
          <w:sz w:val="20"/>
          <w:szCs w:val="20"/>
          <w:lang w:val="es-ES"/>
        </w:rPr>
      </w:pPr>
    </w:p>
    <w:p w14:paraId="26CCC502" w14:textId="77777777" w:rsidR="000B6B57" w:rsidRPr="000B6B57" w:rsidRDefault="000B6B57" w:rsidP="000B6B57">
      <w:pPr>
        <w:keepNext/>
        <w:spacing w:after="0" w:line="240" w:lineRule="auto"/>
        <w:jc w:val="both"/>
        <w:outlineLvl w:val="0"/>
        <w:rPr>
          <w:rFonts w:ascii="Verdana" w:eastAsia="Times" w:hAnsi="Verdana" w:cs="Verdana"/>
          <w:b/>
          <w:bCs/>
          <w:sz w:val="20"/>
          <w:szCs w:val="20"/>
          <w:lang w:val="es-ES"/>
        </w:rPr>
      </w:pPr>
      <w:r w:rsidRPr="000B6B57">
        <w:rPr>
          <w:rFonts w:ascii="Verdana" w:eastAsia="Times" w:hAnsi="Verdana" w:cs="Courier New"/>
          <w:noProof/>
          <w:sz w:val="20"/>
          <w:szCs w:val="20"/>
          <w:lang w:val="es-AR"/>
        </w:rPr>
        <w:t xml:space="preserve">Corte IDH. </w:t>
      </w:r>
      <w:r w:rsidRPr="000B6B57">
        <w:rPr>
          <w:rFonts w:ascii="Verdana" w:eastAsia="Times" w:hAnsi="Verdana" w:cs="Times New Roman"/>
          <w:bCs/>
          <w:i/>
          <w:sz w:val="20"/>
          <w:szCs w:val="20"/>
        </w:rPr>
        <w:t>Caso Durand y Ugarte Vs. Perú</w:t>
      </w:r>
      <w:r w:rsidRPr="000B6B57">
        <w:rPr>
          <w:rFonts w:ascii="Verdana" w:eastAsia="Times" w:hAnsi="Verdana" w:cs="Times New Roman"/>
          <w:i/>
          <w:sz w:val="20"/>
          <w:szCs w:val="20"/>
          <w:lang w:val="es-ES"/>
        </w:rPr>
        <w:t>.</w:t>
      </w:r>
      <w:r w:rsidRPr="000B6B57">
        <w:rPr>
          <w:rFonts w:ascii="Verdana" w:eastAsia="Times" w:hAnsi="Verdana" w:cs="Arial"/>
          <w:i/>
          <w:sz w:val="20"/>
          <w:szCs w:val="20"/>
        </w:rPr>
        <w:t xml:space="preserve"> </w:t>
      </w:r>
      <w:r w:rsidRPr="000B6B57">
        <w:rPr>
          <w:rFonts w:ascii="Verdana" w:eastAsia="Times" w:hAnsi="Verdana" w:cs="Times New Roman"/>
          <w:sz w:val="20"/>
          <w:szCs w:val="20"/>
        </w:rPr>
        <w:t xml:space="preserve">Medidas Provisionales. </w:t>
      </w:r>
      <w:r w:rsidRPr="000B6B57">
        <w:rPr>
          <w:rFonts w:ascii="Verdana" w:eastAsia="Times" w:hAnsi="Verdana" w:cs="Times New Roman"/>
          <w:sz w:val="20"/>
          <w:szCs w:val="20"/>
          <w:lang w:val="es-ES"/>
        </w:rPr>
        <w:t xml:space="preserve">Resolución de la Corte Interamericana de Derechos Humanos de </w:t>
      </w:r>
      <w:r w:rsidRPr="000B6B57">
        <w:rPr>
          <w:rFonts w:ascii="Verdana" w:eastAsia="Times" w:hAnsi="Verdana" w:cs="Times New Roman"/>
          <w:sz w:val="20"/>
          <w:szCs w:val="20"/>
        </w:rPr>
        <w:t>8 de febrero de 2018</w:t>
      </w:r>
      <w:r w:rsidRPr="000B6B57">
        <w:rPr>
          <w:rFonts w:ascii="Verdana" w:eastAsia="Times" w:hAnsi="Verdana" w:cs="Times New Roman"/>
          <w:sz w:val="20"/>
          <w:szCs w:val="20"/>
          <w:lang w:val="es-ES"/>
        </w:rPr>
        <w:t xml:space="preserve">. </w:t>
      </w:r>
    </w:p>
    <w:p w14:paraId="18AE9733" w14:textId="77777777" w:rsidR="000B6B57" w:rsidRPr="000B6B57" w:rsidRDefault="000B6B57" w:rsidP="000B6B57">
      <w:pPr>
        <w:spacing w:after="0" w:line="240" w:lineRule="auto"/>
        <w:jc w:val="center"/>
        <w:rPr>
          <w:rFonts w:ascii="Verdana" w:eastAsia="Times" w:hAnsi="Verdana" w:cs="Times New Roman"/>
          <w:sz w:val="20"/>
          <w:szCs w:val="20"/>
          <w:lang w:val="es-ES"/>
        </w:rPr>
      </w:pPr>
    </w:p>
    <w:p w14:paraId="7CEB3F37" w14:textId="77777777" w:rsidR="000B6B57" w:rsidRPr="000B6B57" w:rsidRDefault="000B6B57" w:rsidP="000B6B57">
      <w:pPr>
        <w:spacing w:after="0" w:line="240" w:lineRule="auto"/>
        <w:jc w:val="center"/>
        <w:rPr>
          <w:rFonts w:ascii="Verdana" w:eastAsia="Times" w:hAnsi="Verdana" w:cs="Times New Roman"/>
          <w:sz w:val="20"/>
          <w:szCs w:val="20"/>
          <w:lang w:val="es-ES"/>
        </w:rPr>
      </w:pPr>
    </w:p>
    <w:p w14:paraId="67E509F4" w14:textId="77777777" w:rsidR="000B6B57" w:rsidRPr="000B6B57" w:rsidRDefault="000B6B57" w:rsidP="000B6B57">
      <w:pPr>
        <w:spacing w:after="0" w:line="240" w:lineRule="auto"/>
        <w:jc w:val="center"/>
        <w:rPr>
          <w:rFonts w:ascii="Verdana" w:eastAsia="Times" w:hAnsi="Verdana" w:cs="Times New Roman"/>
          <w:sz w:val="20"/>
          <w:szCs w:val="20"/>
          <w:lang w:val="es-ES"/>
        </w:rPr>
      </w:pPr>
    </w:p>
    <w:p w14:paraId="58BBC1E9" w14:textId="77777777" w:rsidR="000B6B57" w:rsidRPr="000B6B57" w:rsidRDefault="000B6B57" w:rsidP="000B6B57">
      <w:pPr>
        <w:spacing w:after="0" w:line="240" w:lineRule="auto"/>
        <w:jc w:val="center"/>
        <w:rPr>
          <w:rFonts w:ascii="Verdana" w:eastAsia="Times" w:hAnsi="Verdana" w:cs="Times New Roman"/>
          <w:sz w:val="20"/>
          <w:szCs w:val="20"/>
          <w:lang w:val="es-ES"/>
        </w:rPr>
      </w:pPr>
    </w:p>
    <w:p w14:paraId="360AF38B" w14:textId="77777777" w:rsidR="000B6B57" w:rsidRPr="000B6B57" w:rsidRDefault="000B6B57" w:rsidP="000B6B57">
      <w:pPr>
        <w:spacing w:after="0" w:line="240" w:lineRule="auto"/>
        <w:jc w:val="center"/>
        <w:rPr>
          <w:rFonts w:ascii="Verdana" w:eastAsia="Times" w:hAnsi="Verdana" w:cs="Times New Roman"/>
          <w:sz w:val="20"/>
          <w:szCs w:val="20"/>
          <w:lang w:val="es-ES"/>
        </w:rPr>
      </w:pPr>
    </w:p>
    <w:p w14:paraId="5D2DE48D" w14:textId="77777777" w:rsidR="000B6B57" w:rsidRPr="000B6B57" w:rsidRDefault="000B6B57" w:rsidP="000B6B57">
      <w:pPr>
        <w:spacing w:after="0" w:line="240" w:lineRule="auto"/>
        <w:jc w:val="center"/>
        <w:rPr>
          <w:rFonts w:ascii="Verdana" w:eastAsia="Times" w:hAnsi="Verdana" w:cs="Times New Roman"/>
          <w:sz w:val="20"/>
          <w:szCs w:val="20"/>
          <w:lang w:val="es-ES"/>
        </w:rPr>
      </w:pPr>
    </w:p>
    <w:p w14:paraId="44A5D2E2" w14:textId="77777777" w:rsidR="000B6B57" w:rsidRPr="000B6B57" w:rsidRDefault="000B6B57" w:rsidP="000B6B57">
      <w:pPr>
        <w:spacing w:after="0" w:line="240" w:lineRule="auto"/>
        <w:jc w:val="center"/>
        <w:rPr>
          <w:rFonts w:ascii="Verdana" w:eastAsia="Times" w:hAnsi="Verdana" w:cs="Times New Roman"/>
          <w:sz w:val="20"/>
          <w:szCs w:val="20"/>
          <w:lang w:val="pt-BR"/>
        </w:rPr>
      </w:pPr>
      <w:r w:rsidRPr="000B6B57">
        <w:rPr>
          <w:rFonts w:ascii="Verdana" w:eastAsia="Times" w:hAnsi="Verdana" w:cs="Times New Roman"/>
          <w:sz w:val="20"/>
          <w:szCs w:val="20"/>
          <w:lang w:val="pt-BR"/>
        </w:rPr>
        <w:t xml:space="preserve">Eduardo Ferrer Mac-Gregor Poisot </w:t>
      </w:r>
    </w:p>
    <w:p w14:paraId="289803E4" w14:textId="77777777" w:rsidR="000B6B57" w:rsidRPr="000B6B57" w:rsidRDefault="000B6B57" w:rsidP="000B6B57">
      <w:pPr>
        <w:spacing w:after="0" w:line="240" w:lineRule="auto"/>
        <w:jc w:val="center"/>
        <w:rPr>
          <w:rFonts w:ascii="Verdana" w:eastAsia="Times" w:hAnsi="Verdana" w:cs="Times New Roman"/>
          <w:sz w:val="20"/>
          <w:szCs w:val="20"/>
          <w:lang w:val="pt-BR"/>
        </w:rPr>
      </w:pPr>
      <w:r w:rsidRPr="000B6B57">
        <w:rPr>
          <w:rFonts w:ascii="Verdana" w:eastAsia="Times" w:hAnsi="Verdana" w:cs="Times New Roman"/>
          <w:sz w:val="20"/>
          <w:szCs w:val="20"/>
          <w:lang w:val="pt-BR"/>
        </w:rPr>
        <w:t>Presidente</w:t>
      </w:r>
    </w:p>
    <w:p w14:paraId="6ADA08DC" w14:textId="77777777" w:rsidR="000B6B57" w:rsidRPr="000B6B57" w:rsidRDefault="000B6B57" w:rsidP="000B6B57">
      <w:pPr>
        <w:spacing w:after="0" w:line="240" w:lineRule="auto"/>
        <w:jc w:val="both"/>
        <w:rPr>
          <w:rFonts w:ascii="Verdana" w:eastAsia="Times" w:hAnsi="Verdana" w:cs="Times New Roman"/>
          <w:sz w:val="20"/>
          <w:szCs w:val="20"/>
          <w:lang w:val="pt-BR"/>
        </w:rPr>
      </w:pPr>
    </w:p>
    <w:p w14:paraId="4992C141" w14:textId="77777777" w:rsidR="000B6B57" w:rsidRPr="000B6B57" w:rsidRDefault="000B6B57" w:rsidP="000B6B57">
      <w:pPr>
        <w:spacing w:after="0" w:line="240" w:lineRule="auto"/>
        <w:jc w:val="both"/>
        <w:rPr>
          <w:rFonts w:ascii="Verdana" w:eastAsia="Times" w:hAnsi="Verdana" w:cs="Times New Roman"/>
          <w:sz w:val="20"/>
          <w:szCs w:val="20"/>
          <w:lang w:val="pt-BR"/>
        </w:rPr>
      </w:pPr>
    </w:p>
    <w:p w14:paraId="1E0CB2A8" w14:textId="77777777" w:rsidR="000B6B57" w:rsidRPr="000B6B57" w:rsidRDefault="000B6B57" w:rsidP="000B6B57">
      <w:pPr>
        <w:spacing w:after="0" w:line="240" w:lineRule="auto"/>
        <w:jc w:val="both"/>
        <w:rPr>
          <w:rFonts w:ascii="Verdana" w:eastAsia="Times" w:hAnsi="Verdana" w:cs="Times New Roman"/>
          <w:sz w:val="20"/>
          <w:szCs w:val="20"/>
          <w:lang w:val="pt-BR"/>
        </w:rPr>
      </w:pPr>
    </w:p>
    <w:p w14:paraId="682E9AEA" w14:textId="77777777" w:rsidR="000B6B57" w:rsidRPr="000B6B57" w:rsidRDefault="000B6B57" w:rsidP="000B6B57">
      <w:pPr>
        <w:spacing w:after="0" w:line="240" w:lineRule="auto"/>
        <w:jc w:val="both"/>
        <w:rPr>
          <w:rFonts w:ascii="Verdana" w:eastAsia="Times" w:hAnsi="Verdana" w:cs="Times New Roman"/>
          <w:sz w:val="20"/>
          <w:szCs w:val="20"/>
          <w:lang w:val="pt-BR"/>
        </w:rPr>
      </w:pPr>
    </w:p>
    <w:p w14:paraId="5EF9F293" w14:textId="77777777" w:rsidR="000B6B57" w:rsidRPr="000B6B57" w:rsidRDefault="000B6B57" w:rsidP="000B6B57">
      <w:pPr>
        <w:spacing w:after="0" w:line="240" w:lineRule="auto"/>
        <w:jc w:val="both"/>
        <w:rPr>
          <w:rFonts w:ascii="Verdana" w:eastAsia="Times" w:hAnsi="Verdana" w:cs="Times New Roman"/>
          <w:sz w:val="20"/>
          <w:szCs w:val="20"/>
          <w:lang w:val="pt-BR"/>
        </w:rPr>
      </w:pPr>
    </w:p>
    <w:p w14:paraId="35DBDD00" w14:textId="77777777" w:rsidR="000B6B57" w:rsidRPr="000B6B57" w:rsidRDefault="000B6B57" w:rsidP="000B6B57">
      <w:pPr>
        <w:spacing w:after="0" w:line="240" w:lineRule="auto"/>
        <w:rPr>
          <w:rFonts w:ascii="Verdana" w:eastAsia="Times" w:hAnsi="Verdana" w:cs="Times New Roman"/>
          <w:sz w:val="20"/>
          <w:szCs w:val="20"/>
          <w:lang w:val="pt-BR"/>
        </w:rPr>
      </w:pPr>
      <w:r w:rsidRPr="000B6B57">
        <w:rPr>
          <w:rFonts w:ascii="Verdana" w:eastAsia="Times" w:hAnsi="Verdana" w:cs="Times New Roman"/>
          <w:sz w:val="20"/>
          <w:szCs w:val="20"/>
          <w:lang w:val="pt-BR"/>
        </w:rPr>
        <w:t>Eduardo Vio Grossi</w:t>
      </w:r>
      <w:r w:rsidRPr="000B6B57">
        <w:rPr>
          <w:rFonts w:ascii="Verdana" w:eastAsia="Times" w:hAnsi="Verdana" w:cs="Times New Roman"/>
          <w:sz w:val="20"/>
          <w:szCs w:val="20"/>
          <w:lang w:val="pt-BR"/>
        </w:rPr>
        <w:tab/>
      </w:r>
      <w:r w:rsidRPr="000B6B57">
        <w:rPr>
          <w:rFonts w:ascii="Verdana" w:eastAsia="Times" w:hAnsi="Verdana" w:cs="Times New Roman"/>
          <w:sz w:val="20"/>
          <w:szCs w:val="20"/>
          <w:lang w:val="pt-BR"/>
        </w:rPr>
        <w:tab/>
      </w:r>
      <w:r w:rsidRPr="000B6B57">
        <w:rPr>
          <w:rFonts w:ascii="Verdana" w:eastAsia="Times" w:hAnsi="Verdana" w:cs="Times New Roman"/>
          <w:sz w:val="20"/>
          <w:szCs w:val="20"/>
          <w:lang w:val="pt-BR"/>
        </w:rPr>
        <w:tab/>
      </w:r>
      <w:r w:rsidRPr="000B6B57">
        <w:rPr>
          <w:rFonts w:ascii="Verdana" w:eastAsia="Times" w:hAnsi="Verdana" w:cs="Times New Roman"/>
          <w:sz w:val="20"/>
          <w:szCs w:val="20"/>
          <w:lang w:val="pt-BR"/>
        </w:rPr>
        <w:tab/>
      </w:r>
      <w:r w:rsidRPr="000B6B57">
        <w:rPr>
          <w:rFonts w:ascii="Verdana" w:eastAsia="Times" w:hAnsi="Verdana" w:cs="Times New Roman"/>
          <w:sz w:val="20"/>
          <w:szCs w:val="20"/>
          <w:lang w:val="pt-BR"/>
        </w:rPr>
        <w:tab/>
      </w:r>
      <w:r w:rsidRPr="000B6B57">
        <w:rPr>
          <w:rFonts w:ascii="Verdana" w:eastAsia="Times" w:hAnsi="Verdana" w:cs="Times New Roman"/>
          <w:sz w:val="20"/>
          <w:szCs w:val="20"/>
          <w:lang w:val="pt-BR"/>
        </w:rPr>
        <w:tab/>
      </w:r>
      <w:r w:rsidRPr="000B6B57">
        <w:rPr>
          <w:rFonts w:ascii="Verdana" w:eastAsia="Times" w:hAnsi="Verdana" w:cs="Times New Roman"/>
          <w:sz w:val="20"/>
          <w:szCs w:val="20"/>
          <w:lang w:val="pt-BR"/>
        </w:rPr>
        <w:tab/>
        <w:t xml:space="preserve">         Roberto F. Caldas</w:t>
      </w:r>
    </w:p>
    <w:p w14:paraId="4EBA1C8B" w14:textId="77777777" w:rsidR="000B6B57" w:rsidRPr="000B6B57" w:rsidRDefault="000B6B57" w:rsidP="000B6B57">
      <w:pPr>
        <w:spacing w:after="0" w:line="240" w:lineRule="auto"/>
        <w:jc w:val="both"/>
        <w:rPr>
          <w:rFonts w:ascii="Verdana" w:eastAsia="Times" w:hAnsi="Verdana" w:cs="Times New Roman"/>
          <w:sz w:val="20"/>
          <w:szCs w:val="20"/>
          <w:lang w:val="pt-BR"/>
        </w:rPr>
      </w:pPr>
    </w:p>
    <w:p w14:paraId="54E5EEA4" w14:textId="77777777" w:rsidR="000B6B57" w:rsidRPr="000B6B57" w:rsidRDefault="000B6B57" w:rsidP="000B6B57">
      <w:pPr>
        <w:spacing w:after="0" w:line="240" w:lineRule="auto"/>
        <w:jc w:val="both"/>
        <w:rPr>
          <w:rFonts w:ascii="Verdana" w:eastAsia="Times" w:hAnsi="Verdana" w:cs="Times New Roman"/>
          <w:sz w:val="20"/>
          <w:szCs w:val="20"/>
          <w:lang w:val="pt-BR"/>
        </w:rPr>
      </w:pPr>
    </w:p>
    <w:p w14:paraId="1400E3DF" w14:textId="77777777" w:rsidR="000B6B57" w:rsidRPr="000B6B57" w:rsidRDefault="000B6B57" w:rsidP="000B6B57">
      <w:pPr>
        <w:spacing w:after="0" w:line="240" w:lineRule="auto"/>
        <w:jc w:val="both"/>
        <w:rPr>
          <w:rFonts w:ascii="Verdana" w:eastAsia="Times" w:hAnsi="Verdana" w:cs="Times New Roman"/>
          <w:sz w:val="20"/>
          <w:szCs w:val="20"/>
          <w:lang w:val="pt-BR"/>
        </w:rPr>
      </w:pPr>
    </w:p>
    <w:p w14:paraId="013290C5" w14:textId="77777777" w:rsidR="000B6B57" w:rsidRPr="000B6B57" w:rsidRDefault="000B6B57" w:rsidP="000B6B57">
      <w:pPr>
        <w:spacing w:after="0" w:line="240" w:lineRule="auto"/>
        <w:jc w:val="both"/>
        <w:rPr>
          <w:rFonts w:ascii="Verdana" w:eastAsia="Times" w:hAnsi="Verdana" w:cs="Times New Roman"/>
          <w:sz w:val="20"/>
          <w:szCs w:val="20"/>
          <w:lang w:val="pt-BR"/>
        </w:rPr>
      </w:pPr>
    </w:p>
    <w:p w14:paraId="0BE8963C" w14:textId="77777777" w:rsidR="000B6B57" w:rsidRPr="000B6B57" w:rsidRDefault="000B6B57" w:rsidP="000B6B57">
      <w:pPr>
        <w:spacing w:after="0" w:line="240" w:lineRule="auto"/>
        <w:jc w:val="both"/>
        <w:rPr>
          <w:rFonts w:ascii="Verdana" w:eastAsia="Times" w:hAnsi="Verdana" w:cs="Times New Roman"/>
          <w:sz w:val="20"/>
          <w:szCs w:val="20"/>
          <w:lang w:val="pt-BR"/>
        </w:rPr>
      </w:pPr>
    </w:p>
    <w:p w14:paraId="74D825E8" w14:textId="77777777" w:rsidR="000B6B57" w:rsidRPr="000B6B57" w:rsidRDefault="000B6B57" w:rsidP="000B6B57">
      <w:pPr>
        <w:spacing w:after="0" w:line="240" w:lineRule="auto"/>
        <w:jc w:val="both"/>
        <w:rPr>
          <w:rFonts w:ascii="Verdana" w:eastAsia="Times" w:hAnsi="Verdana" w:cs="Times New Roman"/>
          <w:sz w:val="20"/>
          <w:szCs w:val="20"/>
          <w:lang w:val="pt-BR"/>
        </w:rPr>
      </w:pPr>
      <w:r w:rsidRPr="000B6B57">
        <w:rPr>
          <w:rFonts w:ascii="Verdana" w:eastAsia="Times" w:hAnsi="Verdana" w:cs="Times New Roman"/>
          <w:sz w:val="20"/>
          <w:szCs w:val="20"/>
          <w:lang w:val="pt-BR"/>
        </w:rPr>
        <w:t>Humberto Antonio Sierra Porto</w:t>
      </w:r>
      <w:r w:rsidRPr="000B6B57">
        <w:rPr>
          <w:rFonts w:ascii="Verdana" w:eastAsia="Times" w:hAnsi="Verdana" w:cs="Times New Roman"/>
          <w:sz w:val="20"/>
          <w:szCs w:val="20"/>
          <w:lang w:val="pt-BR"/>
        </w:rPr>
        <w:tab/>
      </w:r>
      <w:r w:rsidRPr="000B6B57">
        <w:rPr>
          <w:rFonts w:ascii="Verdana" w:eastAsia="Times" w:hAnsi="Verdana" w:cs="Times New Roman"/>
          <w:sz w:val="20"/>
          <w:szCs w:val="20"/>
          <w:lang w:val="pt-BR"/>
        </w:rPr>
        <w:tab/>
      </w:r>
      <w:r w:rsidRPr="000B6B57">
        <w:rPr>
          <w:rFonts w:ascii="Verdana" w:eastAsia="Times" w:hAnsi="Verdana" w:cs="Times New Roman"/>
          <w:sz w:val="20"/>
          <w:szCs w:val="20"/>
          <w:lang w:val="pt-BR"/>
        </w:rPr>
        <w:tab/>
      </w:r>
      <w:r w:rsidRPr="000B6B57">
        <w:rPr>
          <w:rFonts w:ascii="Verdana" w:eastAsia="Times" w:hAnsi="Verdana" w:cs="Times New Roman"/>
          <w:sz w:val="20"/>
          <w:szCs w:val="20"/>
          <w:lang w:val="pt-BR"/>
        </w:rPr>
        <w:tab/>
      </w:r>
      <w:r w:rsidRPr="000B6B57">
        <w:rPr>
          <w:rFonts w:ascii="Verdana" w:eastAsia="Times" w:hAnsi="Verdana" w:cs="Times New Roman"/>
          <w:sz w:val="20"/>
          <w:szCs w:val="20"/>
          <w:lang w:val="pt-BR"/>
        </w:rPr>
        <w:tab/>
        <w:t xml:space="preserve">    Elizabeth Odio Benito</w:t>
      </w:r>
    </w:p>
    <w:p w14:paraId="23331DC5" w14:textId="77777777" w:rsidR="000B6B57" w:rsidRPr="000B6B57" w:rsidRDefault="000B6B57" w:rsidP="000B6B57">
      <w:pPr>
        <w:spacing w:after="0" w:line="240" w:lineRule="auto"/>
        <w:jc w:val="both"/>
        <w:rPr>
          <w:rFonts w:ascii="Verdana" w:eastAsia="Times" w:hAnsi="Verdana" w:cs="Times New Roman"/>
          <w:sz w:val="20"/>
          <w:szCs w:val="20"/>
          <w:lang w:val="pt-BR"/>
        </w:rPr>
      </w:pPr>
    </w:p>
    <w:p w14:paraId="7B09E09C" w14:textId="77777777" w:rsidR="000B6B57" w:rsidRPr="000B6B57" w:rsidRDefault="000B6B57" w:rsidP="000B6B57">
      <w:pPr>
        <w:spacing w:after="0" w:line="240" w:lineRule="auto"/>
        <w:jc w:val="both"/>
        <w:rPr>
          <w:rFonts w:ascii="Verdana" w:eastAsia="Times" w:hAnsi="Verdana" w:cs="Times New Roman"/>
          <w:sz w:val="20"/>
          <w:szCs w:val="20"/>
          <w:lang w:val="pt-BR"/>
        </w:rPr>
      </w:pPr>
    </w:p>
    <w:p w14:paraId="44FABCE7" w14:textId="77777777" w:rsidR="000B6B57" w:rsidRPr="000B6B57" w:rsidRDefault="000B6B57" w:rsidP="000B6B57">
      <w:pPr>
        <w:spacing w:after="0" w:line="240" w:lineRule="auto"/>
        <w:jc w:val="both"/>
        <w:rPr>
          <w:rFonts w:ascii="Verdana" w:eastAsia="Times" w:hAnsi="Verdana" w:cs="Times New Roman"/>
          <w:sz w:val="20"/>
          <w:szCs w:val="20"/>
          <w:lang w:val="pt-BR"/>
        </w:rPr>
      </w:pPr>
    </w:p>
    <w:p w14:paraId="622DC9E6" w14:textId="77777777" w:rsidR="000B6B57" w:rsidRPr="000B6B57" w:rsidRDefault="000B6B57" w:rsidP="000B6B57">
      <w:pPr>
        <w:spacing w:after="0" w:line="240" w:lineRule="auto"/>
        <w:jc w:val="both"/>
        <w:rPr>
          <w:rFonts w:ascii="Verdana" w:eastAsia="Times" w:hAnsi="Verdana" w:cs="Times New Roman"/>
          <w:sz w:val="20"/>
          <w:szCs w:val="20"/>
          <w:lang w:val="pt-BR"/>
        </w:rPr>
      </w:pPr>
    </w:p>
    <w:p w14:paraId="11A7708C" w14:textId="77777777" w:rsidR="000B6B57" w:rsidRPr="000B6B57" w:rsidRDefault="000B6B57" w:rsidP="000B6B57">
      <w:pPr>
        <w:spacing w:after="0" w:line="240" w:lineRule="auto"/>
        <w:jc w:val="both"/>
        <w:rPr>
          <w:rFonts w:ascii="Verdana" w:eastAsia="Times" w:hAnsi="Verdana" w:cs="Times New Roman"/>
          <w:sz w:val="20"/>
          <w:szCs w:val="20"/>
          <w:lang w:val="pt-BR"/>
        </w:rPr>
      </w:pPr>
    </w:p>
    <w:p w14:paraId="5F95653A" w14:textId="77777777" w:rsidR="000B6B57" w:rsidRPr="000B6B57" w:rsidRDefault="000B6B57" w:rsidP="000B6B57">
      <w:pPr>
        <w:spacing w:after="0" w:line="240" w:lineRule="auto"/>
        <w:rPr>
          <w:rFonts w:ascii="Verdana" w:eastAsia="Times" w:hAnsi="Verdana" w:cs="Times New Roman"/>
          <w:sz w:val="20"/>
          <w:szCs w:val="20"/>
          <w:lang w:val="pt-BR"/>
        </w:rPr>
      </w:pPr>
      <w:r w:rsidRPr="000B6B57">
        <w:rPr>
          <w:rFonts w:ascii="Verdana" w:eastAsia="Times" w:hAnsi="Verdana" w:cs="Times New Roman"/>
          <w:sz w:val="20"/>
          <w:szCs w:val="20"/>
          <w:lang w:val="pt-BR"/>
        </w:rPr>
        <w:t xml:space="preserve">Eugenio Raúl Zaffaroni </w:t>
      </w:r>
      <w:r w:rsidRPr="000B6B57">
        <w:rPr>
          <w:rFonts w:ascii="Verdana" w:eastAsia="Times" w:hAnsi="Verdana" w:cs="Times New Roman"/>
          <w:sz w:val="20"/>
          <w:szCs w:val="20"/>
          <w:lang w:val="pt-BR"/>
        </w:rPr>
        <w:tab/>
      </w:r>
      <w:r w:rsidRPr="000B6B57">
        <w:rPr>
          <w:rFonts w:ascii="Verdana" w:eastAsia="Times" w:hAnsi="Verdana" w:cs="Times New Roman"/>
          <w:sz w:val="20"/>
          <w:szCs w:val="20"/>
          <w:lang w:val="pt-BR"/>
        </w:rPr>
        <w:tab/>
      </w:r>
      <w:r w:rsidRPr="000B6B57">
        <w:rPr>
          <w:rFonts w:ascii="Verdana" w:eastAsia="Times" w:hAnsi="Verdana" w:cs="Times New Roman"/>
          <w:sz w:val="20"/>
          <w:szCs w:val="20"/>
          <w:lang w:val="pt-BR"/>
        </w:rPr>
        <w:tab/>
      </w:r>
      <w:r w:rsidRPr="000B6B57">
        <w:rPr>
          <w:rFonts w:ascii="Verdana" w:eastAsia="Times" w:hAnsi="Verdana" w:cs="Times New Roman"/>
          <w:sz w:val="20"/>
          <w:szCs w:val="20"/>
          <w:lang w:val="pt-BR"/>
        </w:rPr>
        <w:tab/>
      </w:r>
      <w:r w:rsidRPr="000B6B57">
        <w:rPr>
          <w:rFonts w:ascii="Verdana" w:eastAsia="Times" w:hAnsi="Verdana" w:cs="Times New Roman"/>
          <w:sz w:val="20"/>
          <w:szCs w:val="20"/>
          <w:lang w:val="pt-BR"/>
        </w:rPr>
        <w:tab/>
        <w:t xml:space="preserve">        L. Patricio Pazmiño Freire</w:t>
      </w:r>
    </w:p>
    <w:p w14:paraId="01594F05" w14:textId="77777777" w:rsidR="000B6B57" w:rsidRPr="000B6B57" w:rsidRDefault="000B6B57" w:rsidP="000B6B57">
      <w:pPr>
        <w:spacing w:after="0" w:line="240" w:lineRule="auto"/>
        <w:jc w:val="both"/>
        <w:rPr>
          <w:rFonts w:ascii="Verdana" w:eastAsia="Times" w:hAnsi="Verdana" w:cs="Times New Roman"/>
          <w:sz w:val="20"/>
          <w:szCs w:val="20"/>
          <w:lang w:val="pt-BR"/>
        </w:rPr>
      </w:pPr>
    </w:p>
    <w:p w14:paraId="5A392A56" w14:textId="77777777" w:rsidR="000B6B57" w:rsidRPr="000B6B57" w:rsidRDefault="000B6B57" w:rsidP="000B6B57">
      <w:pPr>
        <w:spacing w:after="0" w:line="240" w:lineRule="auto"/>
        <w:jc w:val="both"/>
        <w:rPr>
          <w:rFonts w:ascii="Verdana" w:eastAsia="Times" w:hAnsi="Verdana" w:cs="Times New Roman"/>
          <w:sz w:val="20"/>
          <w:szCs w:val="20"/>
          <w:lang w:val="pt-BR"/>
        </w:rPr>
      </w:pPr>
    </w:p>
    <w:p w14:paraId="5E1A15EF" w14:textId="77777777" w:rsidR="000B6B57" w:rsidRPr="000B6B57" w:rsidRDefault="000B6B57" w:rsidP="000B6B57">
      <w:pPr>
        <w:spacing w:after="0" w:line="240" w:lineRule="auto"/>
        <w:jc w:val="both"/>
        <w:rPr>
          <w:rFonts w:ascii="Verdana" w:eastAsia="Times" w:hAnsi="Verdana" w:cs="Times New Roman"/>
          <w:sz w:val="20"/>
          <w:szCs w:val="20"/>
          <w:lang w:val="pt-BR"/>
        </w:rPr>
      </w:pPr>
    </w:p>
    <w:p w14:paraId="29C85E52" w14:textId="77777777" w:rsidR="000B6B57" w:rsidRPr="000B6B57" w:rsidRDefault="000B6B57" w:rsidP="000B6B57">
      <w:pPr>
        <w:spacing w:after="0" w:line="240" w:lineRule="auto"/>
        <w:jc w:val="both"/>
        <w:rPr>
          <w:rFonts w:ascii="Verdana" w:eastAsia="Times" w:hAnsi="Verdana" w:cs="Times New Roman"/>
          <w:sz w:val="20"/>
          <w:szCs w:val="20"/>
          <w:lang w:val="pt-BR"/>
        </w:rPr>
      </w:pPr>
    </w:p>
    <w:p w14:paraId="06D74A3B" w14:textId="77777777" w:rsidR="000B6B57" w:rsidRPr="000B6B57" w:rsidRDefault="000B6B57" w:rsidP="000B6B57">
      <w:pPr>
        <w:spacing w:after="0" w:line="240" w:lineRule="auto"/>
        <w:jc w:val="center"/>
        <w:rPr>
          <w:rFonts w:ascii="Verdana" w:eastAsia="Times" w:hAnsi="Verdana" w:cs="Times New Roman"/>
          <w:sz w:val="20"/>
          <w:szCs w:val="20"/>
          <w:lang w:val="pt-BR"/>
        </w:rPr>
      </w:pPr>
      <w:r w:rsidRPr="000B6B57">
        <w:rPr>
          <w:rFonts w:ascii="Verdana" w:eastAsia="Times" w:hAnsi="Verdana" w:cs="Times New Roman"/>
          <w:sz w:val="20"/>
          <w:szCs w:val="20"/>
          <w:lang w:val="pt-BR"/>
        </w:rPr>
        <w:t>Pablo Saavedra Alessandri</w:t>
      </w:r>
    </w:p>
    <w:p w14:paraId="0C477621" w14:textId="77777777" w:rsidR="000B6B57" w:rsidRPr="000B6B57" w:rsidRDefault="000B6B57" w:rsidP="000B6B57">
      <w:pPr>
        <w:spacing w:after="0" w:line="240" w:lineRule="auto"/>
        <w:jc w:val="center"/>
        <w:rPr>
          <w:rFonts w:ascii="Verdana" w:eastAsia="Times" w:hAnsi="Verdana" w:cs="Times New Roman"/>
          <w:sz w:val="20"/>
          <w:szCs w:val="20"/>
          <w:lang w:val="pt-BR"/>
        </w:rPr>
      </w:pPr>
      <w:r w:rsidRPr="000B6B57">
        <w:rPr>
          <w:rFonts w:ascii="Verdana" w:eastAsia="Times" w:hAnsi="Verdana" w:cs="Times New Roman"/>
          <w:sz w:val="20"/>
          <w:szCs w:val="20"/>
          <w:lang w:val="pt-BR"/>
        </w:rPr>
        <w:t>Secretario</w:t>
      </w:r>
    </w:p>
    <w:p w14:paraId="2C8B8869" w14:textId="77777777" w:rsidR="000B6B57" w:rsidRPr="000B6B57" w:rsidRDefault="000B6B57" w:rsidP="000B6B57">
      <w:pPr>
        <w:spacing w:after="0" w:line="240" w:lineRule="auto"/>
        <w:rPr>
          <w:rFonts w:ascii="Verdana" w:eastAsia="Times" w:hAnsi="Verdana" w:cs="Times New Roman"/>
          <w:sz w:val="20"/>
          <w:szCs w:val="20"/>
          <w:lang w:val="pt-BR"/>
        </w:rPr>
      </w:pPr>
    </w:p>
    <w:p w14:paraId="7FFCF55D" w14:textId="77777777" w:rsidR="000B6B57" w:rsidRPr="000B6B57" w:rsidRDefault="000B6B57" w:rsidP="000B6B57">
      <w:pPr>
        <w:spacing w:after="0" w:line="240" w:lineRule="auto"/>
        <w:jc w:val="both"/>
        <w:rPr>
          <w:rFonts w:ascii="Verdana" w:eastAsia="Times" w:hAnsi="Verdana" w:cs="Times New Roman"/>
          <w:sz w:val="20"/>
          <w:szCs w:val="20"/>
          <w:lang w:val="pt-BR"/>
        </w:rPr>
      </w:pPr>
    </w:p>
    <w:p w14:paraId="265DED18" w14:textId="77777777" w:rsidR="000B6B57" w:rsidRPr="000B6B57" w:rsidRDefault="000B6B57" w:rsidP="000B6B57">
      <w:pPr>
        <w:spacing w:after="0" w:line="240" w:lineRule="auto"/>
        <w:jc w:val="both"/>
        <w:rPr>
          <w:rFonts w:ascii="Verdana" w:eastAsia="Times" w:hAnsi="Verdana" w:cs="Times New Roman"/>
          <w:sz w:val="20"/>
          <w:szCs w:val="20"/>
          <w:lang w:val="pt-BR"/>
        </w:rPr>
      </w:pPr>
      <w:r w:rsidRPr="000B6B57">
        <w:rPr>
          <w:rFonts w:ascii="Verdana" w:eastAsia="Times" w:hAnsi="Verdana" w:cs="Times New Roman"/>
          <w:sz w:val="20"/>
          <w:szCs w:val="20"/>
          <w:lang w:val="pt-BR"/>
        </w:rPr>
        <w:t>Comuníquese y ejecútese,</w:t>
      </w:r>
    </w:p>
    <w:p w14:paraId="7C5D7261" w14:textId="77777777" w:rsidR="000B6B57" w:rsidRPr="000B6B57" w:rsidRDefault="000B6B57" w:rsidP="000B6B57">
      <w:pPr>
        <w:spacing w:after="0" w:line="240" w:lineRule="auto"/>
        <w:jc w:val="both"/>
        <w:rPr>
          <w:rFonts w:ascii="Verdana" w:eastAsia="Times" w:hAnsi="Verdana" w:cs="Times New Roman"/>
          <w:sz w:val="20"/>
          <w:szCs w:val="20"/>
          <w:lang w:val="pt-BR"/>
        </w:rPr>
      </w:pPr>
    </w:p>
    <w:p w14:paraId="27F9EA14" w14:textId="77777777" w:rsidR="000B6B57" w:rsidRPr="000B6B57" w:rsidRDefault="000B6B57" w:rsidP="000B6B57">
      <w:pPr>
        <w:spacing w:after="0" w:line="240" w:lineRule="auto"/>
        <w:jc w:val="both"/>
        <w:rPr>
          <w:rFonts w:ascii="Verdana" w:eastAsia="Times" w:hAnsi="Verdana" w:cs="Times New Roman"/>
          <w:sz w:val="20"/>
          <w:szCs w:val="20"/>
          <w:lang w:val="pt-BR"/>
        </w:rPr>
      </w:pPr>
    </w:p>
    <w:p w14:paraId="3995B7E4" w14:textId="77777777" w:rsidR="000B6B57" w:rsidRPr="000B6B57" w:rsidRDefault="000B6B57" w:rsidP="000B6B57">
      <w:pPr>
        <w:spacing w:after="0" w:line="240" w:lineRule="auto"/>
        <w:jc w:val="both"/>
        <w:rPr>
          <w:rFonts w:ascii="Verdana" w:eastAsia="Times" w:hAnsi="Verdana" w:cs="Times New Roman"/>
          <w:sz w:val="20"/>
          <w:szCs w:val="20"/>
          <w:lang w:val="pt-BR"/>
        </w:rPr>
      </w:pPr>
    </w:p>
    <w:p w14:paraId="3FBC6944" w14:textId="77777777" w:rsidR="000B6B57" w:rsidRPr="000B6B57" w:rsidRDefault="000B6B57" w:rsidP="000B6B57">
      <w:pPr>
        <w:spacing w:after="0" w:line="240" w:lineRule="auto"/>
        <w:jc w:val="both"/>
        <w:rPr>
          <w:rFonts w:ascii="Verdana" w:eastAsia="Times" w:hAnsi="Verdana" w:cs="Times New Roman"/>
          <w:sz w:val="20"/>
          <w:szCs w:val="20"/>
          <w:lang w:val="pt-BR"/>
        </w:rPr>
      </w:pPr>
    </w:p>
    <w:p w14:paraId="3A1F1B76" w14:textId="77777777" w:rsidR="000B6B57" w:rsidRPr="000B6B57" w:rsidRDefault="000B6B57" w:rsidP="000B6B57">
      <w:pPr>
        <w:spacing w:after="0" w:line="240" w:lineRule="auto"/>
        <w:ind w:left="4956"/>
        <w:jc w:val="center"/>
        <w:rPr>
          <w:rFonts w:ascii="Verdana" w:eastAsia="Times" w:hAnsi="Verdana" w:cs="Times New Roman"/>
          <w:sz w:val="20"/>
          <w:szCs w:val="20"/>
          <w:lang w:val="pt-BR"/>
        </w:rPr>
      </w:pPr>
      <w:r w:rsidRPr="000B6B57">
        <w:rPr>
          <w:rFonts w:ascii="Verdana" w:eastAsia="Times" w:hAnsi="Verdana" w:cs="Times New Roman"/>
          <w:sz w:val="20"/>
          <w:szCs w:val="20"/>
          <w:lang w:val="pt-BR"/>
        </w:rPr>
        <w:t xml:space="preserve">Eduardo Ferrer Mac-Gregor Poisot </w:t>
      </w:r>
    </w:p>
    <w:p w14:paraId="566D5BD4" w14:textId="77777777" w:rsidR="000B6B57" w:rsidRPr="000B6B57" w:rsidRDefault="000B6B57" w:rsidP="000B6B57">
      <w:pPr>
        <w:spacing w:after="0" w:line="240" w:lineRule="auto"/>
        <w:ind w:left="4956"/>
        <w:jc w:val="center"/>
        <w:rPr>
          <w:rFonts w:ascii="Verdana" w:eastAsia="Times" w:hAnsi="Verdana" w:cs="Times New Roman"/>
          <w:sz w:val="20"/>
          <w:szCs w:val="20"/>
          <w:lang w:val="pt-BR"/>
        </w:rPr>
      </w:pPr>
      <w:r w:rsidRPr="000B6B57">
        <w:rPr>
          <w:rFonts w:ascii="Verdana" w:eastAsia="Times" w:hAnsi="Verdana" w:cs="Times New Roman"/>
          <w:sz w:val="20"/>
          <w:szCs w:val="20"/>
          <w:lang w:val="pt-BR"/>
        </w:rPr>
        <w:t>Presidente</w:t>
      </w:r>
    </w:p>
    <w:p w14:paraId="3C68A550" w14:textId="77777777" w:rsidR="000B6B57" w:rsidRPr="000B6B57" w:rsidRDefault="000B6B57" w:rsidP="000B6B57">
      <w:pPr>
        <w:spacing w:after="0" w:line="240" w:lineRule="auto"/>
        <w:jc w:val="both"/>
        <w:rPr>
          <w:rFonts w:ascii="Verdana" w:eastAsia="Times" w:hAnsi="Verdana" w:cs="Times New Roman"/>
          <w:sz w:val="20"/>
          <w:szCs w:val="20"/>
          <w:lang w:val="pt-BR"/>
        </w:rPr>
      </w:pPr>
    </w:p>
    <w:p w14:paraId="159ACAFA" w14:textId="77777777" w:rsidR="000B6B57" w:rsidRPr="000B6B57" w:rsidRDefault="000B6B57" w:rsidP="000B6B57">
      <w:pPr>
        <w:spacing w:after="0" w:line="240" w:lineRule="auto"/>
        <w:jc w:val="both"/>
        <w:rPr>
          <w:rFonts w:ascii="Verdana" w:eastAsia="Times" w:hAnsi="Verdana" w:cs="Times New Roman"/>
          <w:sz w:val="20"/>
          <w:szCs w:val="20"/>
          <w:lang w:val="pt-BR"/>
        </w:rPr>
      </w:pPr>
    </w:p>
    <w:p w14:paraId="6E699549" w14:textId="77777777" w:rsidR="000B6B57" w:rsidRPr="000B6B57" w:rsidRDefault="000B6B57" w:rsidP="000B6B57">
      <w:pPr>
        <w:spacing w:after="0" w:line="240" w:lineRule="auto"/>
        <w:jc w:val="both"/>
        <w:rPr>
          <w:rFonts w:ascii="Verdana" w:eastAsia="Times" w:hAnsi="Verdana" w:cs="Times New Roman"/>
          <w:sz w:val="20"/>
          <w:szCs w:val="20"/>
          <w:lang w:val="pt-BR"/>
        </w:rPr>
      </w:pPr>
    </w:p>
    <w:p w14:paraId="639101C3" w14:textId="77777777" w:rsidR="000B6B57" w:rsidRPr="000B6B57" w:rsidRDefault="000B6B57" w:rsidP="000B6B57">
      <w:pPr>
        <w:spacing w:after="0" w:line="240" w:lineRule="auto"/>
        <w:jc w:val="both"/>
        <w:rPr>
          <w:rFonts w:ascii="Verdana" w:eastAsia="Times" w:hAnsi="Verdana" w:cs="Times New Roman"/>
          <w:sz w:val="20"/>
          <w:szCs w:val="20"/>
          <w:lang w:val="pt-BR"/>
        </w:rPr>
      </w:pPr>
    </w:p>
    <w:p w14:paraId="4CFD736D" w14:textId="77777777" w:rsidR="000B6B57" w:rsidRPr="000B6B57" w:rsidRDefault="000B6B57" w:rsidP="000B6B57">
      <w:pPr>
        <w:spacing w:after="0" w:line="240" w:lineRule="auto"/>
        <w:jc w:val="both"/>
        <w:rPr>
          <w:rFonts w:ascii="Verdana" w:eastAsia="Times" w:hAnsi="Verdana" w:cs="Times New Roman"/>
          <w:sz w:val="20"/>
          <w:szCs w:val="20"/>
          <w:lang w:val="es-ES"/>
        </w:rPr>
      </w:pPr>
      <w:r w:rsidRPr="000B6B57">
        <w:rPr>
          <w:rFonts w:ascii="Verdana" w:eastAsia="Times" w:hAnsi="Verdana" w:cs="Times New Roman"/>
          <w:sz w:val="20"/>
          <w:szCs w:val="20"/>
          <w:lang w:val="es-ES"/>
        </w:rPr>
        <w:t>Pablo Saavedra Alessandri</w:t>
      </w:r>
    </w:p>
    <w:p w14:paraId="3241F16B" w14:textId="77777777" w:rsidR="000B6B57" w:rsidRPr="000B6B57" w:rsidRDefault="000B6B57" w:rsidP="000B6B57">
      <w:pPr>
        <w:spacing w:after="0" w:line="240" w:lineRule="auto"/>
        <w:rPr>
          <w:rFonts w:ascii="Verdana" w:eastAsia="Times" w:hAnsi="Verdana" w:cs="Times New Roman"/>
          <w:sz w:val="20"/>
          <w:szCs w:val="20"/>
        </w:rPr>
      </w:pPr>
      <w:r w:rsidRPr="000B6B57">
        <w:rPr>
          <w:rFonts w:ascii="Verdana" w:eastAsia="Times" w:hAnsi="Verdana" w:cs="Times New Roman"/>
          <w:sz w:val="20"/>
          <w:szCs w:val="20"/>
          <w:lang w:val="es-ES"/>
        </w:rPr>
        <w:tab/>
      </w:r>
      <w:r w:rsidRPr="000B6B57">
        <w:rPr>
          <w:rFonts w:ascii="Verdana" w:eastAsia="Times" w:hAnsi="Verdana" w:cs="Times New Roman"/>
          <w:sz w:val="20"/>
          <w:szCs w:val="20"/>
        </w:rPr>
        <w:t>Secretario</w:t>
      </w:r>
    </w:p>
    <w:p w14:paraId="5264BB36" w14:textId="77777777" w:rsidR="000B6B57" w:rsidRDefault="000B6B57" w:rsidP="00C96422">
      <w:pPr>
        <w:pStyle w:val="ListParagraph"/>
        <w:spacing w:after="0" w:line="240" w:lineRule="auto"/>
        <w:ind w:left="0"/>
        <w:contextualSpacing w:val="0"/>
        <w:jc w:val="both"/>
        <w:rPr>
          <w:rFonts w:ascii="Verdana" w:hAnsi="Verdana"/>
          <w:sz w:val="20"/>
          <w:szCs w:val="20"/>
          <w:lang w:val="es-ES_tradnl"/>
        </w:rPr>
        <w:sectPr w:rsidR="000B6B57" w:rsidSect="00143BC1">
          <w:headerReference w:type="default" r:id="rId12"/>
          <w:footerReference w:type="default" r:id="rId13"/>
          <w:headerReference w:type="first" r:id="rId14"/>
          <w:pgSz w:w="12240" w:h="15840" w:code="1"/>
          <w:pgMar w:top="1296" w:right="1296" w:bottom="1296" w:left="1296" w:header="706" w:footer="706" w:gutter="0"/>
          <w:cols w:space="708"/>
          <w:titlePg/>
          <w:docGrid w:linePitch="360"/>
        </w:sectPr>
      </w:pPr>
    </w:p>
    <w:p w14:paraId="4173C882" w14:textId="77777777" w:rsidR="000B6B57" w:rsidRPr="000B6B57" w:rsidRDefault="000B6B57" w:rsidP="000B6B57">
      <w:pPr>
        <w:spacing w:after="0"/>
        <w:jc w:val="center"/>
        <w:rPr>
          <w:rFonts w:ascii="Verdana" w:eastAsia="Times New Roman" w:hAnsi="Verdana" w:cs="Times New Roman"/>
          <w:b/>
          <w:sz w:val="24"/>
          <w:szCs w:val="24"/>
          <w:lang w:val="es-PR"/>
        </w:rPr>
      </w:pPr>
    </w:p>
    <w:p w14:paraId="11E0090F" w14:textId="77777777" w:rsidR="000B6B57" w:rsidRPr="000B6B57" w:rsidRDefault="000B6B57" w:rsidP="000B6B57">
      <w:pPr>
        <w:spacing w:after="0"/>
        <w:jc w:val="center"/>
        <w:rPr>
          <w:rFonts w:ascii="Verdana" w:eastAsia="Times New Roman" w:hAnsi="Verdana" w:cs="Times New Roman"/>
          <w:b/>
          <w:sz w:val="24"/>
          <w:szCs w:val="24"/>
          <w:lang w:val="es-PR"/>
        </w:rPr>
      </w:pPr>
    </w:p>
    <w:p w14:paraId="5AC83227" w14:textId="77777777" w:rsidR="000B6B57" w:rsidRPr="000B6B57" w:rsidRDefault="000B6B57" w:rsidP="000B6B57">
      <w:pPr>
        <w:spacing w:after="0"/>
        <w:jc w:val="center"/>
        <w:rPr>
          <w:rFonts w:ascii="Verdana" w:eastAsia="Times New Roman" w:hAnsi="Verdana" w:cs="Times New Roman"/>
          <w:b/>
          <w:sz w:val="24"/>
          <w:szCs w:val="24"/>
          <w:lang w:val="es-PR"/>
        </w:rPr>
      </w:pPr>
    </w:p>
    <w:p w14:paraId="4D38FABA" w14:textId="77777777" w:rsidR="000B6B57" w:rsidRPr="000B6B57" w:rsidRDefault="000B6B57" w:rsidP="000B6B57">
      <w:pPr>
        <w:spacing w:after="0"/>
        <w:jc w:val="center"/>
        <w:rPr>
          <w:rFonts w:ascii="Verdana" w:eastAsia="Times New Roman" w:hAnsi="Verdana" w:cs="Times New Roman"/>
          <w:b/>
          <w:sz w:val="24"/>
          <w:szCs w:val="24"/>
          <w:lang w:val="es-PR"/>
        </w:rPr>
      </w:pPr>
    </w:p>
    <w:p w14:paraId="1DF79561" w14:textId="77777777" w:rsidR="000B6B57" w:rsidRDefault="000B6B57" w:rsidP="000B6B57">
      <w:pPr>
        <w:spacing w:after="0"/>
        <w:jc w:val="center"/>
        <w:rPr>
          <w:rFonts w:ascii="Verdana" w:eastAsia="Times New Roman" w:hAnsi="Verdana" w:cs="Times New Roman"/>
          <w:b/>
          <w:sz w:val="24"/>
          <w:szCs w:val="24"/>
          <w:lang w:val="es-PR"/>
        </w:rPr>
      </w:pPr>
    </w:p>
    <w:p w14:paraId="3515EEFD" w14:textId="77777777" w:rsidR="00911899" w:rsidRDefault="00911899" w:rsidP="000B6B57">
      <w:pPr>
        <w:spacing w:after="0"/>
        <w:jc w:val="center"/>
        <w:rPr>
          <w:rFonts w:ascii="Verdana" w:eastAsia="Times New Roman" w:hAnsi="Verdana" w:cs="Times New Roman"/>
          <w:b/>
          <w:sz w:val="24"/>
          <w:szCs w:val="24"/>
          <w:lang w:val="es-PR"/>
        </w:rPr>
      </w:pPr>
    </w:p>
    <w:p w14:paraId="257E2D9D" w14:textId="77777777" w:rsidR="00911899" w:rsidRPr="000B6B57" w:rsidRDefault="00911899" w:rsidP="000B6B57">
      <w:pPr>
        <w:spacing w:after="0"/>
        <w:jc w:val="center"/>
        <w:rPr>
          <w:rFonts w:ascii="Verdana" w:eastAsia="Times New Roman" w:hAnsi="Verdana" w:cs="Times New Roman"/>
          <w:b/>
          <w:sz w:val="24"/>
          <w:szCs w:val="24"/>
          <w:lang w:val="es-PR"/>
        </w:rPr>
      </w:pPr>
    </w:p>
    <w:p w14:paraId="3E2A5B9E" w14:textId="77777777" w:rsidR="000B6B57" w:rsidRPr="000B6B57" w:rsidRDefault="000B6B57" w:rsidP="000B6B57">
      <w:pPr>
        <w:spacing w:after="0"/>
        <w:jc w:val="center"/>
        <w:rPr>
          <w:rFonts w:ascii="Verdana" w:eastAsia="Times New Roman" w:hAnsi="Verdana" w:cs="Times New Roman"/>
          <w:b/>
          <w:sz w:val="24"/>
          <w:szCs w:val="24"/>
          <w:lang w:val="es-PR"/>
        </w:rPr>
      </w:pPr>
    </w:p>
    <w:p w14:paraId="7A098AC5" w14:textId="77777777" w:rsidR="000B6B57" w:rsidRPr="000B6B57" w:rsidRDefault="000B6B57" w:rsidP="000B6B57">
      <w:pPr>
        <w:spacing w:after="0"/>
        <w:jc w:val="center"/>
        <w:rPr>
          <w:rFonts w:ascii="Verdana" w:eastAsia="Times New Roman" w:hAnsi="Verdana" w:cs="Times New Roman"/>
          <w:b/>
          <w:sz w:val="24"/>
          <w:szCs w:val="24"/>
          <w:lang w:val="es-PR"/>
        </w:rPr>
      </w:pPr>
    </w:p>
    <w:p w14:paraId="5B1DA79E" w14:textId="77777777" w:rsidR="000B6B57" w:rsidRPr="000B6B57" w:rsidRDefault="000B6B57" w:rsidP="000B6B57">
      <w:pPr>
        <w:spacing w:after="0"/>
        <w:jc w:val="center"/>
        <w:rPr>
          <w:rFonts w:ascii="Verdana" w:eastAsia="Times New Roman" w:hAnsi="Verdana" w:cs="Times New Roman"/>
          <w:b/>
          <w:sz w:val="24"/>
          <w:szCs w:val="24"/>
          <w:lang w:val="es-PR"/>
        </w:rPr>
      </w:pPr>
      <w:r w:rsidRPr="000B6B57">
        <w:rPr>
          <w:rFonts w:ascii="Verdana" w:eastAsia="Times New Roman" w:hAnsi="Verdana" w:cs="Times New Roman"/>
          <w:b/>
          <w:sz w:val="24"/>
          <w:szCs w:val="24"/>
          <w:lang w:val="es-PR"/>
        </w:rPr>
        <w:t>VOTO DISIDENTE DEL JUEZ EDUARDO VIO GROSSI,</w:t>
      </w:r>
    </w:p>
    <w:p w14:paraId="1BB44293" w14:textId="77777777" w:rsidR="000B6B57" w:rsidRPr="000B6B57" w:rsidRDefault="000B6B57" w:rsidP="000B6B57">
      <w:pPr>
        <w:spacing w:after="0"/>
        <w:jc w:val="center"/>
        <w:rPr>
          <w:rFonts w:ascii="Verdana" w:eastAsia="Times New Roman" w:hAnsi="Verdana" w:cs="Times New Roman"/>
          <w:b/>
          <w:sz w:val="24"/>
          <w:szCs w:val="24"/>
          <w:lang w:val="es-PR"/>
        </w:rPr>
      </w:pPr>
      <w:r w:rsidRPr="000B6B57">
        <w:rPr>
          <w:rFonts w:ascii="Verdana" w:eastAsia="Times New Roman" w:hAnsi="Verdana" w:cs="Times New Roman"/>
          <w:b/>
          <w:sz w:val="24"/>
          <w:szCs w:val="24"/>
          <w:lang w:val="es-PR"/>
        </w:rPr>
        <w:t>RESOLUCIÓN DE LA</w:t>
      </w:r>
    </w:p>
    <w:p w14:paraId="6D6AC3A3" w14:textId="77777777" w:rsidR="000B6B57" w:rsidRPr="000B6B57" w:rsidRDefault="000B6B57" w:rsidP="000B6B57">
      <w:pPr>
        <w:spacing w:after="0"/>
        <w:jc w:val="center"/>
        <w:rPr>
          <w:rFonts w:ascii="Verdana" w:eastAsia="Times New Roman" w:hAnsi="Verdana" w:cs="Times New Roman"/>
          <w:b/>
          <w:sz w:val="24"/>
          <w:szCs w:val="24"/>
          <w:lang w:val="es-PR"/>
        </w:rPr>
      </w:pPr>
      <w:r w:rsidRPr="000B6B57">
        <w:rPr>
          <w:rFonts w:ascii="Verdana" w:eastAsia="Times New Roman" w:hAnsi="Verdana" w:cs="Times New Roman"/>
          <w:b/>
          <w:sz w:val="24"/>
          <w:szCs w:val="24"/>
          <w:lang w:val="es-PR"/>
        </w:rPr>
        <w:t>CORTE INTERAMERICANA DE DERECHOS HUMANOS</w:t>
      </w:r>
    </w:p>
    <w:p w14:paraId="33E033EF" w14:textId="77777777" w:rsidR="000B6B57" w:rsidRPr="000B6B57" w:rsidRDefault="000B6B57" w:rsidP="000B6B57">
      <w:pPr>
        <w:spacing w:after="0"/>
        <w:jc w:val="center"/>
        <w:rPr>
          <w:rFonts w:ascii="Verdana" w:eastAsia="Times New Roman" w:hAnsi="Verdana" w:cs="Times New Roman"/>
          <w:b/>
          <w:sz w:val="24"/>
          <w:szCs w:val="24"/>
          <w:lang w:val="es-PR"/>
        </w:rPr>
      </w:pPr>
      <w:r w:rsidRPr="000B6B57">
        <w:rPr>
          <w:rFonts w:ascii="Verdana" w:eastAsia="Times New Roman" w:hAnsi="Verdana" w:cs="Times New Roman"/>
          <w:b/>
          <w:sz w:val="24"/>
          <w:szCs w:val="24"/>
          <w:lang w:val="es-PR"/>
        </w:rPr>
        <w:t>DE 8 DE FEBRERO DE 2018,</w:t>
      </w:r>
    </w:p>
    <w:p w14:paraId="3B352B12" w14:textId="77777777" w:rsidR="000B6B57" w:rsidRPr="000B6B57" w:rsidRDefault="000B6B57" w:rsidP="000B6B57">
      <w:pPr>
        <w:spacing w:after="0"/>
        <w:jc w:val="center"/>
        <w:rPr>
          <w:rFonts w:ascii="Verdana" w:eastAsia="Times New Roman" w:hAnsi="Verdana" w:cs="Times New Roman"/>
          <w:b/>
          <w:sz w:val="24"/>
          <w:szCs w:val="24"/>
          <w:lang w:val="es-PR"/>
        </w:rPr>
      </w:pPr>
      <w:r w:rsidRPr="000B6B57">
        <w:rPr>
          <w:rFonts w:ascii="Verdana" w:eastAsia="Times New Roman" w:hAnsi="Verdana" w:cs="Times New Roman"/>
          <w:b/>
          <w:sz w:val="24"/>
          <w:szCs w:val="24"/>
          <w:lang w:val="es-PR"/>
        </w:rPr>
        <w:t>MEDIDAS PROVISIONALES</w:t>
      </w:r>
    </w:p>
    <w:p w14:paraId="01C223D0" w14:textId="77777777" w:rsidR="000B6B57" w:rsidRPr="000B6B57" w:rsidRDefault="000B6B57" w:rsidP="000B6B57">
      <w:pPr>
        <w:spacing w:after="0"/>
        <w:jc w:val="center"/>
        <w:rPr>
          <w:rFonts w:ascii="Verdana" w:eastAsia="Times New Roman" w:hAnsi="Verdana" w:cs="Times New Roman"/>
          <w:b/>
          <w:sz w:val="24"/>
          <w:szCs w:val="24"/>
          <w:lang w:val="es-PR"/>
        </w:rPr>
      </w:pPr>
      <w:r w:rsidRPr="000B6B57">
        <w:rPr>
          <w:rFonts w:ascii="Verdana" w:eastAsia="Times New Roman" w:hAnsi="Verdana" w:cs="Times New Roman"/>
          <w:b/>
          <w:sz w:val="24"/>
          <w:szCs w:val="24"/>
          <w:lang w:val="es-PR"/>
        </w:rPr>
        <w:t>RESPECTO DEL PERÚ,</w:t>
      </w:r>
    </w:p>
    <w:p w14:paraId="0FE4A6FA" w14:textId="77777777" w:rsidR="000B6B57" w:rsidRPr="000B6B57" w:rsidRDefault="000B6B57" w:rsidP="000B6B57">
      <w:pPr>
        <w:spacing w:after="0"/>
        <w:jc w:val="center"/>
        <w:rPr>
          <w:rFonts w:ascii="Verdana" w:eastAsia="Times New Roman" w:hAnsi="Verdana" w:cs="Times New Roman"/>
          <w:b/>
          <w:bCs/>
          <w:sz w:val="24"/>
          <w:szCs w:val="24"/>
          <w:shd w:val="clear" w:color="auto" w:fill="FFFFFF"/>
          <w:lang w:val="es-PR"/>
        </w:rPr>
      </w:pPr>
    </w:p>
    <w:p w14:paraId="51E67214" w14:textId="77777777" w:rsidR="000B6B57" w:rsidRPr="000B6B57" w:rsidRDefault="000B6B57" w:rsidP="000B6B57">
      <w:pPr>
        <w:spacing w:after="0"/>
        <w:jc w:val="center"/>
        <w:rPr>
          <w:rFonts w:ascii="Verdana" w:eastAsia="Times New Roman" w:hAnsi="Verdana" w:cs="Times New Roman"/>
          <w:b/>
          <w:sz w:val="24"/>
          <w:szCs w:val="24"/>
        </w:rPr>
      </w:pPr>
      <w:r w:rsidRPr="000B6B57">
        <w:rPr>
          <w:rFonts w:ascii="Verdana" w:eastAsia="Times New Roman" w:hAnsi="Verdana" w:cs="Times New Roman"/>
          <w:b/>
          <w:bCs/>
          <w:sz w:val="24"/>
          <w:szCs w:val="24"/>
          <w:shd w:val="clear" w:color="auto" w:fill="FFFFFF"/>
          <w:lang w:val="es-PR"/>
        </w:rPr>
        <w:t>CASO DURAND Y UGARTE</w:t>
      </w:r>
      <w:r w:rsidRPr="000B6B57">
        <w:rPr>
          <w:rFonts w:ascii="Verdana" w:eastAsia="Times New Roman" w:hAnsi="Verdana" w:cs="Times New Roman"/>
          <w:b/>
          <w:sz w:val="24"/>
          <w:szCs w:val="24"/>
          <w:lang w:val="es-PR"/>
        </w:rPr>
        <w:t xml:space="preserve"> </w:t>
      </w:r>
      <w:r w:rsidRPr="000B6B57">
        <w:rPr>
          <w:rFonts w:ascii="Verdana" w:eastAsia="Times New Roman" w:hAnsi="Verdana" w:cs="Times New Roman"/>
          <w:b/>
          <w:i/>
          <w:sz w:val="24"/>
          <w:szCs w:val="24"/>
          <w:lang w:val="es-PR"/>
        </w:rPr>
        <w:t>VS</w:t>
      </w:r>
      <w:r w:rsidRPr="000B6B57">
        <w:rPr>
          <w:rFonts w:ascii="Verdana" w:eastAsia="Times New Roman" w:hAnsi="Verdana" w:cs="Times New Roman"/>
          <w:b/>
          <w:sz w:val="24"/>
          <w:szCs w:val="24"/>
          <w:lang w:val="es-PR"/>
        </w:rPr>
        <w:t xml:space="preserve">. </w:t>
      </w:r>
      <w:r w:rsidRPr="000B6B57">
        <w:rPr>
          <w:rFonts w:ascii="Verdana" w:eastAsia="Times New Roman" w:hAnsi="Verdana" w:cs="Times New Roman"/>
          <w:b/>
          <w:sz w:val="24"/>
          <w:szCs w:val="24"/>
        </w:rPr>
        <w:t>PERÚ.</w:t>
      </w:r>
    </w:p>
    <w:p w14:paraId="10B34F05" w14:textId="77777777" w:rsidR="000B6B57" w:rsidRPr="000B6B57" w:rsidRDefault="000B6B57" w:rsidP="000B6B57">
      <w:pPr>
        <w:spacing w:after="120"/>
        <w:jc w:val="both"/>
        <w:rPr>
          <w:rFonts w:ascii="Verdana" w:eastAsia="Times New Roman" w:hAnsi="Verdana" w:cs="Times New Roman"/>
          <w:sz w:val="24"/>
          <w:szCs w:val="24"/>
        </w:rPr>
      </w:pPr>
    </w:p>
    <w:p w14:paraId="49EB3FEB" w14:textId="77777777" w:rsidR="000B6B57" w:rsidRPr="000B6B57" w:rsidRDefault="000B6B57" w:rsidP="000B6B57">
      <w:pPr>
        <w:spacing w:after="120"/>
        <w:jc w:val="both"/>
        <w:rPr>
          <w:rFonts w:ascii="Verdana" w:eastAsia="Times New Roman" w:hAnsi="Verdana" w:cs="Times New Roman"/>
          <w:b/>
          <w:sz w:val="24"/>
          <w:szCs w:val="24"/>
        </w:rPr>
      </w:pPr>
      <w:r w:rsidRPr="000B6B57">
        <w:rPr>
          <w:rFonts w:ascii="Verdana" w:eastAsia="Times New Roman" w:hAnsi="Verdana" w:cs="Times New Roman"/>
          <w:b/>
          <w:sz w:val="24"/>
          <w:szCs w:val="24"/>
        </w:rPr>
        <w:t>INTRODUCCIÓN.</w:t>
      </w:r>
    </w:p>
    <w:p w14:paraId="60FFF0B0" w14:textId="77777777" w:rsidR="000B6B57" w:rsidRDefault="000B6B57" w:rsidP="007C15A1">
      <w:pPr>
        <w:numPr>
          <w:ilvl w:val="0"/>
          <w:numId w:val="12"/>
        </w:numPr>
        <w:spacing w:before="120" w:after="120"/>
        <w:ind w:left="643"/>
        <w:contextualSpacing/>
        <w:jc w:val="both"/>
        <w:rPr>
          <w:rFonts w:ascii="Verdana" w:eastAsia="Times New Roman" w:hAnsi="Verdana" w:cs="Times New Roman"/>
          <w:b/>
          <w:sz w:val="24"/>
          <w:szCs w:val="24"/>
        </w:rPr>
      </w:pPr>
      <w:r w:rsidRPr="000B6B57">
        <w:rPr>
          <w:rFonts w:ascii="Verdana" w:eastAsia="Times New Roman" w:hAnsi="Verdana" w:cs="Times New Roman"/>
          <w:b/>
          <w:sz w:val="24"/>
          <w:szCs w:val="24"/>
        </w:rPr>
        <w:t>Objeto.</w:t>
      </w:r>
    </w:p>
    <w:p w14:paraId="0BD15BE5" w14:textId="77777777" w:rsidR="000B6B57" w:rsidRPr="000B6B57" w:rsidRDefault="000B6B57" w:rsidP="000B6B57">
      <w:pPr>
        <w:spacing w:before="120" w:after="120" w:line="240" w:lineRule="auto"/>
        <w:ind w:left="643"/>
        <w:contextualSpacing/>
        <w:jc w:val="both"/>
        <w:rPr>
          <w:rFonts w:ascii="Verdana" w:eastAsia="Times New Roman" w:hAnsi="Verdana" w:cs="Times New Roman"/>
          <w:b/>
          <w:sz w:val="24"/>
          <w:szCs w:val="24"/>
        </w:rPr>
      </w:pPr>
    </w:p>
    <w:p w14:paraId="55C1735E" w14:textId="62AA29E4" w:rsidR="000B6B57" w:rsidRPr="000B6B57" w:rsidRDefault="000B6B57" w:rsidP="000B6B57">
      <w:pPr>
        <w:spacing w:after="120"/>
        <w:jc w:val="both"/>
        <w:rPr>
          <w:rFonts w:ascii="Verdana" w:eastAsia="Times New Roman" w:hAnsi="Verdana" w:cs="Times New Roman"/>
          <w:sz w:val="24"/>
          <w:szCs w:val="24"/>
        </w:rPr>
      </w:pPr>
      <w:r w:rsidRPr="000B6B57">
        <w:rPr>
          <w:rFonts w:ascii="Verdana" w:eastAsia="Times New Roman" w:hAnsi="Verdana" w:cs="Times New Roman"/>
          <w:sz w:val="24"/>
          <w:szCs w:val="24"/>
        </w:rPr>
        <w:t>Las razones por las que se emite el presente voto disidente a la Resolución del epígrafe</w:t>
      </w:r>
      <w:r w:rsidRPr="000B6B57">
        <w:rPr>
          <w:rFonts w:ascii="Verdana" w:eastAsia="Times New Roman" w:hAnsi="Verdana" w:cs="Times New Roman"/>
          <w:sz w:val="24"/>
          <w:szCs w:val="24"/>
          <w:vertAlign w:val="superscript"/>
        </w:rPr>
        <w:footnoteReference w:id="42"/>
      </w:r>
      <w:r w:rsidRPr="000B6B57">
        <w:rPr>
          <w:rFonts w:ascii="Verdana" w:eastAsia="Times New Roman" w:hAnsi="Verdana" w:cs="Times New Roman"/>
          <w:sz w:val="24"/>
          <w:szCs w:val="24"/>
        </w:rPr>
        <w:t>, se formulan teniendo muy presente la importancia y respeto  que, para una instancia como la Corte Interamericana de Derechos Humanos</w:t>
      </w:r>
      <w:r w:rsidRPr="000B6B57">
        <w:rPr>
          <w:rFonts w:ascii="Verdana" w:eastAsia="Times New Roman" w:hAnsi="Verdana" w:cs="Times New Roman"/>
          <w:sz w:val="24"/>
          <w:szCs w:val="24"/>
          <w:vertAlign w:val="superscript"/>
        </w:rPr>
        <w:footnoteReference w:id="43"/>
      </w:r>
      <w:r w:rsidRPr="000B6B57">
        <w:rPr>
          <w:rFonts w:ascii="Verdana" w:eastAsia="Times New Roman" w:hAnsi="Verdana" w:cs="Times New Roman"/>
          <w:sz w:val="24"/>
          <w:szCs w:val="24"/>
        </w:rPr>
        <w:t>, revisten y deben tener la independencia y la imparcialidad judiciales. De suerte, por lo tanto, que el presente voto no debe entenderse, bajo pretexto o circunstancia alguna, como una expresión que pretendería, al sostener la improcedencia del otorgamiento en autos de las medidas provisionales en comento, la vulneración las mencionadas independencia e imparcialidad, sino precisamente a garantizarlas en el presente procedimiento.</w:t>
      </w:r>
    </w:p>
    <w:p w14:paraId="7973B868" w14:textId="77777777" w:rsidR="000B6B57" w:rsidRPr="000B6B57" w:rsidRDefault="000B6B57" w:rsidP="007C15A1">
      <w:pPr>
        <w:numPr>
          <w:ilvl w:val="0"/>
          <w:numId w:val="12"/>
        </w:numPr>
        <w:spacing w:after="120"/>
        <w:contextualSpacing/>
        <w:jc w:val="both"/>
        <w:rPr>
          <w:rFonts w:ascii="Verdana" w:eastAsia="Times New Roman" w:hAnsi="Verdana" w:cs="Times New Roman"/>
          <w:sz w:val="24"/>
          <w:szCs w:val="24"/>
        </w:rPr>
      </w:pPr>
      <w:r w:rsidRPr="000B6B57">
        <w:rPr>
          <w:rFonts w:ascii="Verdana" w:eastAsia="Times New Roman" w:hAnsi="Verdana" w:cs="Times New Roman"/>
          <w:b/>
          <w:sz w:val="24"/>
          <w:szCs w:val="24"/>
        </w:rPr>
        <w:t>Razones.</w:t>
      </w:r>
    </w:p>
    <w:p w14:paraId="65FE8423" w14:textId="77777777" w:rsidR="000B6B57" w:rsidRPr="000B6B57" w:rsidRDefault="000B6B57" w:rsidP="000B6B57">
      <w:pPr>
        <w:spacing w:after="120"/>
        <w:ind w:left="785"/>
        <w:contextualSpacing/>
        <w:jc w:val="both"/>
        <w:rPr>
          <w:rFonts w:ascii="Verdana" w:eastAsia="Times New Roman" w:hAnsi="Verdana" w:cs="Times New Roman"/>
          <w:sz w:val="24"/>
          <w:szCs w:val="24"/>
        </w:rPr>
      </w:pPr>
    </w:p>
    <w:p w14:paraId="6776771F" w14:textId="77777777" w:rsidR="000B6B57" w:rsidRPr="000B6B57" w:rsidRDefault="000B6B57" w:rsidP="000B6B57">
      <w:pPr>
        <w:spacing w:after="120"/>
        <w:jc w:val="both"/>
        <w:rPr>
          <w:rFonts w:ascii="Verdana" w:eastAsia="Times New Roman" w:hAnsi="Verdana" w:cs="Times New Roman"/>
          <w:sz w:val="24"/>
          <w:szCs w:val="24"/>
        </w:rPr>
      </w:pPr>
      <w:r w:rsidRPr="000B6B57">
        <w:rPr>
          <w:rFonts w:ascii="Verdana" w:eastAsia="Times New Roman" w:hAnsi="Verdana" w:cs="Times New Roman"/>
          <w:sz w:val="24"/>
          <w:szCs w:val="24"/>
        </w:rPr>
        <w:t xml:space="preserve">Las razones que justifican la presente disidencia se agrupan de acuerdo al esquema que sigue: I. Consideraciones Generales; II. Normas </w:t>
      </w:r>
      <w:r w:rsidRPr="000B6B57">
        <w:rPr>
          <w:rFonts w:ascii="Verdana" w:eastAsia="Times New Roman" w:hAnsi="Verdana" w:cs="Times New Roman"/>
          <w:sz w:val="24"/>
          <w:szCs w:val="24"/>
        </w:rPr>
        <w:lastRenderedPageBreak/>
        <w:t xml:space="preserve">Procesales aplicables; y III. </w:t>
      </w:r>
      <w:r w:rsidRPr="000B6B57">
        <w:rPr>
          <w:rFonts w:ascii="Verdana" w:eastAsia="Times New Roman" w:hAnsi="Verdana" w:cs="Times New Roman"/>
          <w:bCs/>
          <w:color w:val="000000"/>
          <w:sz w:val="24"/>
          <w:szCs w:val="24"/>
          <w:shd w:val="clear" w:color="auto" w:fill="FFFFFF"/>
        </w:rPr>
        <w:t xml:space="preserve">Desvinculación de las medidas provisionales con el </w:t>
      </w:r>
      <w:r w:rsidRPr="000B6B57">
        <w:rPr>
          <w:rFonts w:ascii="Verdana" w:eastAsia="Times New Roman" w:hAnsi="Verdana" w:cs="Times New Roman"/>
          <w:bCs/>
          <w:i/>
          <w:color w:val="000000"/>
          <w:sz w:val="24"/>
          <w:szCs w:val="24"/>
          <w:shd w:val="clear" w:color="auto" w:fill="FFFFFF"/>
        </w:rPr>
        <w:t>Caso Durand y Ugarte Vs. Perú</w:t>
      </w:r>
      <w:r w:rsidRPr="000B6B57">
        <w:rPr>
          <w:rFonts w:ascii="Verdana" w:eastAsia="Times New Roman" w:hAnsi="Verdana" w:cs="Times New Roman"/>
          <w:bCs/>
          <w:i/>
          <w:color w:val="000000"/>
          <w:sz w:val="24"/>
          <w:szCs w:val="24"/>
          <w:shd w:val="clear" w:color="auto" w:fill="FFFFFF"/>
          <w:vertAlign w:val="superscript"/>
        </w:rPr>
        <w:footnoteReference w:id="44"/>
      </w:r>
      <w:r w:rsidRPr="000B6B57">
        <w:rPr>
          <w:rFonts w:ascii="Verdana" w:eastAsia="Times New Roman" w:hAnsi="Verdana" w:cs="Times New Roman"/>
          <w:bCs/>
          <w:i/>
          <w:color w:val="000000"/>
          <w:sz w:val="24"/>
          <w:szCs w:val="24"/>
          <w:shd w:val="clear" w:color="auto" w:fill="FFFFFF"/>
        </w:rPr>
        <w:t>.</w:t>
      </w:r>
      <w:r w:rsidRPr="000B6B57">
        <w:rPr>
          <w:rFonts w:ascii="Verdana" w:eastAsia="Times New Roman" w:hAnsi="Verdana" w:cs="Times New Roman"/>
          <w:sz w:val="24"/>
          <w:szCs w:val="24"/>
        </w:rPr>
        <w:t xml:space="preserve"> </w:t>
      </w:r>
    </w:p>
    <w:p w14:paraId="46C4DE84" w14:textId="77777777" w:rsidR="000B6B57" w:rsidRPr="000B6B57" w:rsidRDefault="000B6B57" w:rsidP="000B6B57">
      <w:pPr>
        <w:spacing w:after="120"/>
        <w:jc w:val="both"/>
        <w:rPr>
          <w:rFonts w:ascii="Verdana" w:eastAsia="Times New Roman" w:hAnsi="Verdana" w:cs="Times New Roman"/>
          <w:bCs/>
          <w:color w:val="000000"/>
          <w:sz w:val="24"/>
          <w:szCs w:val="24"/>
          <w:shd w:val="clear" w:color="auto" w:fill="FFFFFF"/>
        </w:rPr>
      </w:pPr>
    </w:p>
    <w:p w14:paraId="09994A45" w14:textId="77777777" w:rsidR="000B6B57" w:rsidRPr="000B6B57" w:rsidRDefault="000B6B57" w:rsidP="007C15A1">
      <w:pPr>
        <w:numPr>
          <w:ilvl w:val="0"/>
          <w:numId w:val="15"/>
        </w:numPr>
        <w:spacing w:before="120" w:after="120"/>
        <w:ind w:left="720"/>
        <w:contextualSpacing/>
        <w:jc w:val="both"/>
        <w:rPr>
          <w:rFonts w:ascii="Verdana" w:eastAsia="Times New Roman" w:hAnsi="Verdana" w:cs="Times New Roman"/>
          <w:b/>
          <w:sz w:val="24"/>
          <w:szCs w:val="24"/>
        </w:rPr>
      </w:pPr>
      <w:r w:rsidRPr="000B6B57">
        <w:rPr>
          <w:rFonts w:ascii="Verdana" w:eastAsia="Times New Roman" w:hAnsi="Verdana" w:cs="Times New Roman"/>
          <w:b/>
          <w:sz w:val="24"/>
          <w:szCs w:val="24"/>
        </w:rPr>
        <w:t>Consideraciones generales previas.</w:t>
      </w:r>
    </w:p>
    <w:p w14:paraId="58C2E426" w14:textId="77777777" w:rsidR="000B6B57" w:rsidRPr="000B6B57" w:rsidRDefault="000B6B57" w:rsidP="000B6B57">
      <w:pPr>
        <w:spacing w:after="120"/>
        <w:jc w:val="both"/>
        <w:rPr>
          <w:rFonts w:ascii="Verdana" w:eastAsia="Times New Roman" w:hAnsi="Verdana" w:cs="Times New Roman"/>
          <w:sz w:val="24"/>
          <w:szCs w:val="24"/>
        </w:rPr>
      </w:pPr>
      <w:r w:rsidRPr="000B6B57">
        <w:rPr>
          <w:rFonts w:ascii="Verdana" w:eastAsia="Times New Roman" w:hAnsi="Verdana" w:cs="Times New Roman"/>
          <w:sz w:val="24"/>
          <w:szCs w:val="24"/>
        </w:rPr>
        <w:t xml:space="preserve">Las aludidas consideraciones generales previas agrupan aquellos motivos que inspiran a toda la Resolución y se refieren a tres asuntos, en relación a los que se discrepa de cómo las considera. Uno, atinente a la independencia judicial; el otro, relativo a la seguridad jurídica; y el tercero, concerniente al juicio político. </w:t>
      </w:r>
    </w:p>
    <w:p w14:paraId="47B770A7" w14:textId="77777777" w:rsidR="000B6B57" w:rsidRDefault="000B6B57" w:rsidP="007C15A1">
      <w:pPr>
        <w:numPr>
          <w:ilvl w:val="0"/>
          <w:numId w:val="16"/>
        </w:numPr>
        <w:spacing w:before="240" w:after="240"/>
        <w:ind w:left="643"/>
        <w:contextualSpacing/>
        <w:jc w:val="both"/>
        <w:rPr>
          <w:rFonts w:ascii="Verdana" w:eastAsia="Times New Roman" w:hAnsi="Verdana" w:cs="Times New Roman"/>
          <w:b/>
          <w:sz w:val="24"/>
          <w:szCs w:val="24"/>
          <w:lang w:val="es-ES"/>
        </w:rPr>
      </w:pPr>
      <w:r w:rsidRPr="000B6B57">
        <w:rPr>
          <w:rFonts w:ascii="Verdana" w:eastAsia="Times New Roman" w:hAnsi="Verdana" w:cs="Times New Roman"/>
          <w:b/>
          <w:sz w:val="24"/>
          <w:szCs w:val="24"/>
          <w:lang w:val="es-ES"/>
        </w:rPr>
        <w:t>La independencia judicial.</w:t>
      </w:r>
    </w:p>
    <w:p w14:paraId="04FD6341" w14:textId="77777777" w:rsidR="00911899" w:rsidRPr="000B6B57" w:rsidRDefault="00911899" w:rsidP="00911899">
      <w:pPr>
        <w:spacing w:before="240" w:after="240"/>
        <w:ind w:left="643"/>
        <w:contextualSpacing/>
        <w:jc w:val="both"/>
        <w:rPr>
          <w:rFonts w:ascii="Verdana" w:eastAsia="Times New Roman" w:hAnsi="Verdana" w:cs="Times New Roman"/>
          <w:b/>
          <w:sz w:val="24"/>
          <w:szCs w:val="24"/>
          <w:lang w:val="es-ES"/>
        </w:rPr>
      </w:pPr>
    </w:p>
    <w:p w14:paraId="63699141" w14:textId="77777777" w:rsidR="000B6B57" w:rsidRPr="000B6B57" w:rsidRDefault="000B6B57" w:rsidP="000B6B57">
      <w:pPr>
        <w:spacing w:before="120" w:after="120"/>
        <w:jc w:val="both"/>
        <w:rPr>
          <w:rFonts w:ascii="Verdana" w:eastAsia="Times New Roman" w:hAnsi="Verdana" w:cs="Times New Roman"/>
          <w:sz w:val="24"/>
          <w:szCs w:val="24"/>
          <w:lang w:val="es-ES"/>
        </w:rPr>
      </w:pPr>
      <w:r w:rsidRPr="000B6B57">
        <w:rPr>
          <w:rFonts w:ascii="Verdana" w:eastAsia="Times New Roman" w:hAnsi="Verdana" w:cs="Times New Roman"/>
          <w:sz w:val="24"/>
          <w:szCs w:val="24"/>
          <w:lang w:val="es-ES"/>
        </w:rPr>
        <w:t>El resguardo del principio de independencia judicial parece ser la base fundamental de la Resolución. De ello dan cuenta, directa o indirectamente, sus considerandos 7, 27, 29, 31 y 35 a 40.</w:t>
      </w:r>
    </w:p>
    <w:p w14:paraId="63F65B9A" w14:textId="77777777" w:rsidR="000B6B57" w:rsidRPr="000B6B57" w:rsidRDefault="000B6B57" w:rsidP="000B6B57">
      <w:pPr>
        <w:spacing w:before="120" w:after="120"/>
        <w:jc w:val="both"/>
        <w:rPr>
          <w:rFonts w:ascii="Verdana" w:eastAsia="Times New Roman" w:hAnsi="Verdana" w:cs="Verdana"/>
          <w:i/>
          <w:sz w:val="24"/>
          <w:szCs w:val="24"/>
        </w:rPr>
      </w:pPr>
      <w:r w:rsidRPr="000B6B57">
        <w:rPr>
          <w:rFonts w:ascii="Verdana" w:eastAsia="Times New Roman" w:hAnsi="Verdana" w:cs="Times New Roman"/>
          <w:sz w:val="24"/>
          <w:szCs w:val="24"/>
          <w:lang w:val="es-ES"/>
        </w:rPr>
        <w:t>Pero, lo más relevante es que en el Punto Resolutivo N° 1 de la Resolución se requiere “</w:t>
      </w:r>
      <w:r w:rsidRPr="000B6B57">
        <w:rPr>
          <w:rFonts w:ascii="Verdana" w:eastAsia="Times New Roman" w:hAnsi="Verdana" w:cs="Times New Roman"/>
          <w:i/>
          <w:sz w:val="24"/>
          <w:szCs w:val="24"/>
          <w:lang w:val="es-ES"/>
        </w:rPr>
        <w:t>al Estado del Perú que</w:t>
      </w:r>
      <w:r w:rsidRPr="000B6B57">
        <w:rPr>
          <w:rFonts w:ascii="Verdana" w:eastAsia="Times New Roman" w:hAnsi="Verdana" w:cs="Times New Roman"/>
          <w:i/>
          <w:sz w:val="24"/>
          <w:szCs w:val="24"/>
        </w:rPr>
        <w:t>, para garantizar</w:t>
      </w:r>
      <w:r w:rsidRPr="000B6B57">
        <w:rPr>
          <w:rFonts w:ascii="Verdana" w:eastAsia="Times New Roman" w:hAnsi="Verdana" w:cs="Times New Roman"/>
          <w:b/>
          <w:i/>
          <w:sz w:val="24"/>
          <w:szCs w:val="24"/>
        </w:rPr>
        <w:t xml:space="preserve"> </w:t>
      </w:r>
      <w:r w:rsidRPr="000B6B57">
        <w:rPr>
          <w:rFonts w:ascii="Verdana" w:eastAsia="Times New Roman" w:hAnsi="Verdana" w:cs="Verdana"/>
          <w:i/>
          <w:sz w:val="24"/>
          <w:szCs w:val="24"/>
        </w:rPr>
        <w:t xml:space="preserve">el derecho de las víctimas del caso Durand y Ugarte a obtener un acceso a la justicia sin interferencias en la independencia judicial, archive </w:t>
      </w:r>
      <w:r w:rsidRPr="000B6B57">
        <w:rPr>
          <w:rFonts w:ascii="Verdana" w:eastAsia="Times New Roman" w:hAnsi="Verdana" w:cs="Times New Roman"/>
          <w:i/>
          <w:sz w:val="24"/>
          <w:szCs w:val="24"/>
        </w:rPr>
        <w:t>el</w:t>
      </w:r>
      <w:r w:rsidRPr="000B6B57">
        <w:rPr>
          <w:rFonts w:ascii="Verdana" w:eastAsia="Times New Roman" w:hAnsi="Verdana" w:cs="Times New Roman"/>
          <w:b/>
          <w:i/>
          <w:sz w:val="24"/>
          <w:szCs w:val="24"/>
        </w:rPr>
        <w:t xml:space="preserve"> </w:t>
      </w:r>
      <w:r w:rsidRPr="000B6B57">
        <w:rPr>
          <w:rFonts w:ascii="Verdana" w:eastAsia="Times New Roman" w:hAnsi="Verdana" w:cs="Times New Roman"/>
          <w:i/>
          <w:sz w:val="24"/>
          <w:szCs w:val="24"/>
        </w:rPr>
        <w:t>procedimiento de acusación constitucional actualmente seguido ante el Congreso de la República contra los Magistrados</w:t>
      </w:r>
      <w:r w:rsidRPr="000B6B57">
        <w:rPr>
          <w:rFonts w:ascii="Verdana" w:eastAsia="Times New Roman" w:hAnsi="Verdana" w:cs="Verdana"/>
          <w:i/>
          <w:sz w:val="24"/>
          <w:szCs w:val="24"/>
        </w:rPr>
        <w:t xml:space="preserve"> </w:t>
      </w:r>
      <w:r w:rsidRPr="000B6B57">
        <w:rPr>
          <w:rFonts w:ascii="Verdana" w:eastAsia="Times New Roman" w:hAnsi="Verdana" w:cs="Verdana"/>
          <w:i/>
          <w:color w:val="000000"/>
          <w:sz w:val="24"/>
          <w:szCs w:val="24"/>
        </w:rPr>
        <w:t>Manuel Miranda, Marianella Ledesma, Carlos Ramos y Eloy Espinosa-Saldaña</w:t>
      </w:r>
      <w:r w:rsidRPr="000B6B57">
        <w:rPr>
          <w:rFonts w:ascii="Verdana" w:eastAsia="Times New Roman" w:hAnsi="Verdana" w:cs="Verdana"/>
          <w:i/>
          <w:sz w:val="24"/>
          <w:szCs w:val="24"/>
        </w:rPr>
        <w:t xml:space="preserve"> …”.</w:t>
      </w:r>
    </w:p>
    <w:p w14:paraId="7D251FD9" w14:textId="77777777" w:rsidR="000B6B57" w:rsidRPr="000B6B57" w:rsidRDefault="000B6B57" w:rsidP="000B6B57">
      <w:pPr>
        <w:spacing w:before="120" w:after="120"/>
        <w:jc w:val="both"/>
        <w:rPr>
          <w:rFonts w:ascii="Verdana" w:eastAsia="Times New Roman" w:hAnsi="Verdana" w:cs="Times New Roman"/>
          <w:sz w:val="24"/>
          <w:szCs w:val="24"/>
          <w:lang w:val="es-ES_tradnl"/>
        </w:rPr>
      </w:pPr>
      <w:r w:rsidRPr="000B6B57">
        <w:rPr>
          <w:rFonts w:ascii="Verdana" w:eastAsia="Times New Roman" w:hAnsi="Verdana" w:cs="Verdana"/>
          <w:sz w:val="24"/>
          <w:szCs w:val="24"/>
        </w:rPr>
        <w:t>Sin embargo y pese a todas esas referencias a los principios de independencia e imparcialidad judiciales que serían afectados por la eventual destitución de los individualizados magistrados del Tribunal, la consecuencia directa y evidente que el señalado procedimiento tendría en el cumplimiento de la Sentencia</w:t>
      </w:r>
      <w:r w:rsidRPr="000B6B57">
        <w:rPr>
          <w:rFonts w:ascii="Verdana" w:eastAsia="Times New Roman" w:hAnsi="Verdana" w:cs="Verdana"/>
          <w:sz w:val="24"/>
          <w:szCs w:val="24"/>
          <w:vertAlign w:val="superscript"/>
        </w:rPr>
        <w:t xml:space="preserve"> </w:t>
      </w:r>
      <w:r w:rsidRPr="000B6B57">
        <w:rPr>
          <w:rFonts w:ascii="Verdana" w:eastAsia="Times New Roman" w:hAnsi="Verdana" w:cs="Verdana"/>
          <w:sz w:val="24"/>
          <w:szCs w:val="24"/>
        </w:rPr>
        <w:t xml:space="preserve">del </w:t>
      </w:r>
      <w:r w:rsidRPr="000B6B57">
        <w:rPr>
          <w:rFonts w:ascii="Verdana" w:eastAsia="Times New Roman" w:hAnsi="Verdana" w:cs="Times New Roman"/>
          <w:i/>
          <w:sz w:val="24"/>
          <w:szCs w:val="24"/>
          <w:lang w:val="es-ES_tradnl"/>
        </w:rPr>
        <w:t>Caso Durand y Ugarte Vs. Perú</w:t>
      </w:r>
      <w:r w:rsidRPr="000B6B57">
        <w:rPr>
          <w:rFonts w:ascii="Verdana" w:eastAsia="Times New Roman" w:hAnsi="Verdana" w:cs="Times New Roman"/>
          <w:sz w:val="24"/>
          <w:szCs w:val="24"/>
          <w:lang w:val="es-ES_tradnl"/>
        </w:rPr>
        <w:t xml:space="preserve"> no queda</w:t>
      </w:r>
      <w:r w:rsidRPr="000B6B57">
        <w:rPr>
          <w:rFonts w:ascii="Verdana" w:eastAsia="Times New Roman" w:hAnsi="Verdana" w:cs="Times New Roman"/>
          <w:i/>
          <w:sz w:val="24"/>
          <w:szCs w:val="24"/>
          <w:lang w:val="es-ES_tradnl"/>
        </w:rPr>
        <w:t xml:space="preserve"> </w:t>
      </w:r>
      <w:r w:rsidRPr="000B6B57">
        <w:rPr>
          <w:rFonts w:ascii="Verdana" w:eastAsia="Times New Roman" w:hAnsi="Verdana" w:cs="Times New Roman"/>
          <w:sz w:val="24"/>
          <w:szCs w:val="24"/>
          <w:lang w:val="es-ES_tradnl"/>
        </w:rPr>
        <w:t xml:space="preserve">acreditada. </w:t>
      </w:r>
    </w:p>
    <w:p w14:paraId="1443C02B" w14:textId="77777777" w:rsidR="000B6B57" w:rsidRDefault="000B6B57" w:rsidP="007C15A1">
      <w:pPr>
        <w:numPr>
          <w:ilvl w:val="0"/>
          <w:numId w:val="16"/>
        </w:numPr>
        <w:spacing w:before="120" w:after="120"/>
        <w:contextualSpacing/>
        <w:jc w:val="both"/>
        <w:rPr>
          <w:rFonts w:ascii="Verdana" w:eastAsia="Times New Roman" w:hAnsi="Verdana" w:cs="Times New Roman"/>
          <w:b/>
          <w:sz w:val="24"/>
          <w:szCs w:val="24"/>
          <w:lang w:val="es-ES"/>
        </w:rPr>
      </w:pPr>
      <w:r w:rsidRPr="000B6B57">
        <w:rPr>
          <w:rFonts w:ascii="Verdana" w:eastAsia="Times New Roman" w:hAnsi="Verdana" w:cs="Times New Roman"/>
          <w:b/>
          <w:sz w:val="24"/>
          <w:szCs w:val="24"/>
          <w:lang w:val="es-ES"/>
        </w:rPr>
        <w:t>Seguridad jurídica.</w:t>
      </w:r>
    </w:p>
    <w:p w14:paraId="032823F6" w14:textId="77777777" w:rsidR="000B6B57" w:rsidRPr="000B6B57" w:rsidRDefault="000B6B57" w:rsidP="000B6B57">
      <w:pPr>
        <w:spacing w:before="120" w:after="120"/>
        <w:ind w:left="720"/>
        <w:contextualSpacing/>
        <w:jc w:val="both"/>
        <w:rPr>
          <w:rFonts w:ascii="Verdana" w:eastAsia="Times New Roman" w:hAnsi="Verdana" w:cs="Times New Roman"/>
          <w:b/>
          <w:sz w:val="24"/>
          <w:szCs w:val="24"/>
          <w:lang w:val="es-ES"/>
        </w:rPr>
      </w:pPr>
    </w:p>
    <w:p w14:paraId="06300086" w14:textId="77777777" w:rsidR="000B6B57" w:rsidRPr="000B6B57" w:rsidRDefault="000B6B57" w:rsidP="000B6B57">
      <w:pPr>
        <w:spacing w:before="120" w:after="120"/>
        <w:jc w:val="both"/>
        <w:rPr>
          <w:rFonts w:ascii="Verdana" w:eastAsia="Times New Roman" w:hAnsi="Verdana" w:cs="Verdana"/>
          <w:sz w:val="24"/>
          <w:szCs w:val="24"/>
        </w:rPr>
      </w:pPr>
      <w:r w:rsidRPr="000B6B57">
        <w:rPr>
          <w:rFonts w:ascii="Verdana" w:eastAsia="Times New Roman" w:hAnsi="Verdana" w:cs="Times New Roman"/>
          <w:sz w:val="24"/>
          <w:szCs w:val="24"/>
          <w:lang w:val="es-ES_tradnl"/>
        </w:rPr>
        <w:t xml:space="preserve">Por otra parte, es preciso llamar la atención que con ello, la Resolución le da a un hecho que aún no ha acontecido y que pueda que no ocurra, una certeza que, por lo tanto, no parece tal. </w:t>
      </w:r>
    </w:p>
    <w:p w14:paraId="7A90D26B" w14:textId="77777777" w:rsidR="000B6B57" w:rsidRPr="000B6B57" w:rsidRDefault="000B6B57" w:rsidP="000B6B57">
      <w:pPr>
        <w:spacing w:before="120" w:after="120"/>
        <w:jc w:val="both"/>
        <w:rPr>
          <w:rFonts w:ascii="Verdana" w:eastAsia="Times New Roman" w:hAnsi="Verdana" w:cs="Verdana"/>
          <w:sz w:val="24"/>
          <w:szCs w:val="24"/>
        </w:rPr>
      </w:pPr>
      <w:r w:rsidRPr="000B6B57">
        <w:rPr>
          <w:rFonts w:ascii="Verdana" w:eastAsia="Times New Roman" w:hAnsi="Verdana" w:cs="Verdana"/>
          <w:sz w:val="24"/>
          <w:szCs w:val="24"/>
        </w:rPr>
        <w:t xml:space="preserve">Efectivamente, </w:t>
      </w:r>
      <w:r w:rsidRPr="000B6B57">
        <w:rPr>
          <w:rFonts w:ascii="Verdana" w:eastAsia="Times New Roman" w:hAnsi="Verdana" w:cs="Times New Roman"/>
          <w:sz w:val="24"/>
          <w:szCs w:val="24"/>
          <w:lang w:val="es-ES"/>
        </w:rPr>
        <w:t xml:space="preserve">en no pocas ocasiones, la Resolución evoca a la seguridad jurídica, indicando que ella es o sería afectada por lo que </w:t>
      </w:r>
      <w:r w:rsidRPr="000B6B57">
        <w:rPr>
          <w:rFonts w:ascii="Verdana" w:eastAsia="Times New Roman" w:hAnsi="Verdana" w:cs="Times New Roman"/>
          <w:sz w:val="24"/>
          <w:szCs w:val="24"/>
          <w:lang w:val="es-ES"/>
        </w:rPr>
        <w:lastRenderedPageBreak/>
        <w:t>eventualmente se disponga en el juicio político antes referido. Los Considerandos 25, 29,  34 y 40  de la Resolución abordan esta cuestión.</w:t>
      </w:r>
    </w:p>
    <w:p w14:paraId="20E5467D" w14:textId="77777777" w:rsidR="000B6B57" w:rsidRPr="000B6B57" w:rsidRDefault="000B6B57" w:rsidP="000B6B57">
      <w:pPr>
        <w:spacing w:after="160"/>
        <w:jc w:val="both"/>
        <w:rPr>
          <w:rFonts w:ascii="Verdana" w:eastAsia="Times New Roman" w:hAnsi="Verdana" w:cs="Times New Roman"/>
          <w:sz w:val="24"/>
          <w:szCs w:val="24"/>
          <w:lang w:val="es-ES"/>
        </w:rPr>
      </w:pPr>
      <w:r w:rsidRPr="000B6B57">
        <w:rPr>
          <w:rFonts w:ascii="Verdana" w:eastAsia="Times New Roman" w:hAnsi="Verdana" w:cs="Times New Roman"/>
          <w:sz w:val="24"/>
          <w:szCs w:val="24"/>
          <w:lang w:val="es-ES"/>
        </w:rPr>
        <w:t xml:space="preserve">Sin embargo, precisamente es la Resolución la que incorpora un elemento de inseguridad jurídica en la situación de que se trata. Lo hace al referirse, como base o fundamento para decretar las medidas provisionales, a un hecho futuro e incierto, es decir, a uno de los posibles, más no seguro, resultados que podría tener la acusación constitucional en actual trámite, cual es, la sanción a los magistrados. </w:t>
      </w:r>
    </w:p>
    <w:p w14:paraId="16CDE761" w14:textId="77777777" w:rsidR="000B6B57" w:rsidRDefault="000B6B57" w:rsidP="007C15A1">
      <w:pPr>
        <w:numPr>
          <w:ilvl w:val="0"/>
          <w:numId w:val="16"/>
        </w:numPr>
        <w:spacing w:before="120" w:after="120"/>
        <w:ind w:left="643"/>
        <w:contextualSpacing/>
        <w:jc w:val="both"/>
        <w:rPr>
          <w:rFonts w:ascii="Verdana" w:eastAsia="Times New Roman" w:hAnsi="Verdana" w:cs="Times New Roman"/>
          <w:b/>
          <w:sz w:val="24"/>
          <w:szCs w:val="24"/>
          <w:lang w:val="es-ES"/>
        </w:rPr>
      </w:pPr>
      <w:r w:rsidRPr="000B6B57">
        <w:rPr>
          <w:rFonts w:ascii="Verdana" w:eastAsia="Times New Roman" w:hAnsi="Verdana" w:cs="Times New Roman"/>
          <w:b/>
          <w:sz w:val="24"/>
          <w:szCs w:val="24"/>
          <w:lang w:val="es-ES"/>
        </w:rPr>
        <w:t>Juicio político.</w:t>
      </w:r>
    </w:p>
    <w:p w14:paraId="1F8B83C7" w14:textId="77777777" w:rsidR="000B6B57" w:rsidRPr="000B6B57" w:rsidRDefault="000B6B57" w:rsidP="000B6B57">
      <w:pPr>
        <w:spacing w:before="120" w:after="120"/>
        <w:ind w:left="643"/>
        <w:contextualSpacing/>
        <w:jc w:val="both"/>
        <w:rPr>
          <w:rFonts w:ascii="Verdana" w:eastAsia="Times New Roman" w:hAnsi="Verdana" w:cs="Times New Roman"/>
          <w:b/>
          <w:sz w:val="24"/>
          <w:szCs w:val="24"/>
          <w:lang w:val="es-ES"/>
        </w:rPr>
      </w:pPr>
    </w:p>
    <w:p w14:paraId="74323007" w14:textId="77777777" w:rsidR="000B6B57" w:rsidRPr="000B6B57" w:rsidRDefault="000B6B57" w:rsidP="000B6B57">
      <w:pPr>
        <w:spacing w:after="120"/>
        <w:jc w:val="both"/>
        <w:rPr>
          <w:rFonts w:ascii="Verdana" w:eastAsia="Times New Roman" w:hAnsi="Verdana" w:cs="Times New Roman"/>
          <w:sz w:val="24"/>
          <w:szCs w:val="24"/>
          <w:lang w:val="es-ES"/>
        </w:rPr>
      </w:pPr>
      <w:r w:rsidRPr="000B6B57">
        <w:rPr>
          <w:rFonts w:ascii="Verdana" w:eastAsia="Times New Roman" w:hAnsi="Verdana" w:cs="Times New Roman"/>
          <w:sz w:val="24"/>
          <w:szCs w:val="24"/>
          <w:lang w:val="es-ES"/>
        </w:rPr>
        <w:t>La tercera consideración general previa apunta a llamar la atención acerca de que, en definitiva, las medidas provisionales solicitadas y concedidas en autos, lo son respecto del juicio político que se les está siguiendo en el Perú</w:t>
      </w:r>
      <w:r w:rsidRPr="000B6B57">
        <w:rPr>
          <w:rFonts w:ascii="Verdana" w:eastAsia="Times New Roman" w:hAnsi="Verdana" w:cs="Times New Roman"/>
          <w:sz w:val="24"/>
          <w:szCs w:val="24"/>
          <w:vertAlign w:val="superscript"/>
          <w:lang w:val="es-ES"/>
        </w:rPr>
        <w:footnoteReference w:id="45"/>
      </w:r>
      <w:r w:rsidRPr="000B6B57">
        <w:rPr>
          <w:rFonts w:ascii="Verdana" w:eastAsia="Times New Roman" w:hAnsi="Verdana" w:cs="Times New Roman"/>
          <w:sz w:val="24"/>
          <w:szCs w:val="24"/>
          <w:lang w:val="es-ES"/>
        </w:rPr>
        <w:t xml:space="preserve"> a cuatro magistrados del Tribunal Constitucional de ese país</w:t>
      </w:r>
      <w:r w:rsidRPr="000B6B57">
        <w:rPr>
          <w:rFonts w:ascii="Verdana" w:eastAsia="Times New Roman" w:hAnsi="Verdana" w:cs="Times New Roman"/>
          <w:sz w:val="24"/>
          <w:szCs w:val="24"/>
          <w:vertAlign w:val="superscript"/>
          <w:lang w:val="es-ES"/>
        </w:rPr>
        <w:footnoteReference w:id="46"/>
      </w:r>
      <w:r w:rsidRPr="000B6B57">
        <w:rPr>
          <w:rFonts w:ascii="Verdana" w:eastAsia="Times New Roman" w:hAnsi="Verdana" w:cs="Times New Roman"/>
          <w:sz w:val="24"/>
          <w:szCs w:val="24"/>
          <w:lang w:val="es-ES"/>
        </w:rPr>
        <w:t xml:space="preserve">. Los considerandos 26, 29, 31, 32, 39, 40, 42, así como el Resolutivo N°1 transcrito precedentemente, dan cuenta de ello. </w:t>
      </w:r>
    </w:p>
    <w:p w14:paraId="44697ACC" w14:textId="77777777" w:rsidR="000B6B57" w:rsidRPr="000B6B57" w:rsidRDefault="000B6B57" w:rsidP="000B6B57">
      <w:pPr>
        <w:spacing w:after="120"/>
        <w:jc w:val="both"/>
        <w:rPr>
          <w:rFonts w:ascii="Verdana" w:eastAsia="Times New Roman" w:hAnsi="Verdana" w:cs="Times New Roman"/>
          <w:sz w:val="24"/>
          <w:szCs w:val="24"/>
          <w:lang w:val="es-ES"/>
        </w:rPr>
      </w:pPr>
      <w:r w:rsidRPr="000B6B57">
        <w:rPr>
          <w:rFonts w:ascii="Verdana" w:eastAsia="Times New Roman" w:hAnsi="Verdana" w:cs="Times New Roman"/>
          <w:sz w:val="24"/>
          <w:szCs w:val="24"/>
          <w:lang w:val="es-ES"/>
        </w:rPr>
        <w:t>Y, evidentemente, dichas alusiones no podrían ser interpretadas sino en el sentido de que el juicio político incoado en contra de los cuatro magistrados antes mencionados, constituiría un ilícito internacional, que, por tanto, justifica que la Corte adoptara y concediera las citadas medidas provisionales. Con ello y al no proporcionarse detalladamente las peculiaridades del caso de autos, la Resolución estaría sentando un precedente que podría ser aplicable a todo juicio político.</w:t>
      </w:r>
    </w:p>
    <w:p w14:paraId="1D98C080" w14:textId="77777777" w:rsidR="000B6B57" w:rsidRPr="000B6B57" w:rsidRDefault="000B6B57" w:rsidP="000B6B57">
      <w:pPr>
        <w:spacing w:after="120"/>
        <w:jc w:val="both"/>
        <w:rPr>
          <w:rFonts w:ascii="Verdana" w:eastAsia="Times New Roman" w:hAnsi="Verdana" w:cs="Times New Roman"/>
          <w:sz w:val="24"/>
          <w:szCs w:val="24"/>
          <w:lang w:val="es-ES"/>
        </w:rPr>
      </w:pPr>
      <w:r w:rsidRPr="000B6B57">
        <w:rPr>
          <w:rFonts w:ascii="Verdana" w:eastAsia="Times New Roman" w:hAnsi="Verdana" w:cs="Times New Roman"/>
          <w:sz w:val="24"/>
          <w:szCs w:val="24"/>
          <w:lang w:val="es-ES"/>
        </w:rPr>
        <w:t>Sobre este particular, hay que hacer presente que la Resolución no</w:t>
      </w:r>
      <w:r w:rsidRPr="000B6B57">
        <w:rPr>
          <w:rFonts w:ascii="Verdana" w:eastAsia="Times New Roman" w:hAnsi="Verdana" w:cs="Tahoma"/>
          <w:sz w:val="24"/>
          <w:szCs w:val="24"/>
        </w:rPr>
        <w:t xml:space="preserve"> afirma que en el citado juicio político no se estarían respetando las garantías mínimas del debido proceso, previstas en el artículo 8 de la Convención</w:t>
      </w:r>
      <w:r w:rsidRPr="000B6B57">
        <w:rPr>
          <w:rFonts w:ascii="Verdana" w:eastAsia="Times New Roman" w:hAnsi="Verdana" w:cs="Tahoma"/>
          <w:sz w:val="24"/>
          <w:szCs w:val="24"/>
          <w:vertAlign w:val="superscript"/>
          <w:lang w:val="en-US"/>
        </w:rPr>
        <w:footnoteReference w:id="47"/>
      </w:r>
      <w:r w:rsidRPr="000B6B57">
        <w:rPr>
          <w:rFonts w:ascii="Verdana" w:eastAsia="Times New Roman" w:hAnsi="Verdana" w:cs="Tahoma"/>
          <w:sz w:val="24"/>
          <w:szCs w:val="24"/>
        </w:rPr>
        <w:t xml:space="preserve">, ni la debida protección judicial contemplada en el artículo </w:t>
      </w:r>
      <w:r w:rsidRPr="000B6B57">
        <w:rPr>
          <w:rFonts w:ascii="Verdana" w:eastAsia="Times New Roman" w:hAnsi="Verdana" w:cs="Tahoma"/>
          <w:sz w:val="24"/>
          <w:szCs w:val="24"/>
        </w:rPr>
        <w:lastRenderedPageBreak/>
        <w:t>25 de dicho texto</w:t>
      </w:r>
      <w:r w:rsidRPr="000B6B57">
        <w:rPr>
          <w:rFonts w:ascii="Verdana" w:eastAsia="Times New Roman" w:hAnsi="Verdana" w:cs="Tahoma"/>
          <w:sz w:val="24"/>
          <w:szCs w:val="24"/>
          <w:vertAlign w:val="superscript"/>
          <w:lang w:val="en-US"/>
        </w:rPr>
        <w:footnoteReference w:id="48"/>
      </w:r>
      <w:r w:rsidRPr="000B6B57">
        <w:rPr>
          <w:rFonts w:ascii="Verdana" w:eastAsia="Times New Roman" w:hAnsi="Verdana" w:cs="Tahoma"/>
          <w:sz w:val="24"/>
          <w:szCs w:val="24"/>
        </w:rPr>
        <w:t>. Lo que invoca, en cambio, es el probable resultado sancionatorio, que debido a la actual mayoría existente en el Congreso del Perú, podría tener el juicio político en desarrollo.</w:t>
      </w:r>
    </w:p>
    <w:p w14:paraId="081DA08E" w14:textId="77777777" w:rsidR="000B6B57" w:rsidRPr="000B6B57" w:rsidRDefault="000B6B57" w:rsidP="000B6B57">
      <w:pPr>
        <w:spacing w:after="120"/>
        <w:jc w:val="both"/>
        <w:rPr>
          <w:rFonts w:ascii="Verdana" w:eastAsia="Times New Roman" w:hAnsi="Verdana" w:cs="Tahoma"/>
          <w:sz w:val="24"/>
          <w:szCs w:val="24"/>
        </w:rPr>
      </w:pPr>
      <w:r w:rsidRPr="000B6B57">
        <w:rPr>
          <w:rFonts w:ascii="Verdana" w:eastAsia="Times New Roman" w:hAnsi="Verdana" w:cs="Tahoma"/>
          <w:sz w:val="24"/>
          <w:szCs w:val="24"/>
        </w:rPr>
        <w:t>En tal perspectiva, cabría interrogarse si la independencia de que debe gozar toda función jurisdiccional, no debería igualmente respetarse en el caso del juicio político seguido en el ámbito del sistema democrático</w:t>
      </w:r>
      <w:r w:rsidRPr="000B6B57">
        <w:rPr>
          <w:rFonts w:ascii="Verdana" w:eastAsia="Times New Roman" w:hAnsi="Verdana" w:cs="Tahoma"/>
          <w:sz w:val="24"/>
          <w:szCs w:val="24"/>
          <w:vertAlign w:val="superscript"/>
        </w:rPr>
        <w:footnoteReference w:id="49"/>
      </w:r>
      <w:r w:rsidRPr="000B6B57">
        <w:rPr>
          <w:rFonts w:ascii="Verdana" w:eastAsia="Times New Roman" w:hAnsi="Verdana" w:cs="Tahoma"/>
          <w:sz w:val="24"/>
          <w:szCs w:val="24"/>
        </w:rPr>
        <w:t>.</w:t>
      </w:r>
    </w:p>
    <w:p w14:paraId="73A527F2" w14:textId="77777777" w:rsidR="000B6B57" w:rsidRPr="000B6B57" w:rsidRDefault="000B6B57" w:rsidP="007C15A1">
      <w:pPr>
        <w:numPr>
          <w:ilvl w:val="0"/>
          <w:numId w:val="15"/>
        </w:numPr>
        <w:spacing w:before="120" w:after="120"/>
        <w:ind w:left="720"/>
        <w:contextualSpacing/>
        <w:jc w:val="both"/>
        <w:rPr>
          <w:rFonts w:ascii="Verdana" w:eastAsia="Times New Roman" w:hAnsi="Verdana" w:cs="Times New Roman"/>
          <w:b/>
          <w:sz w:val="24"/>
          <w:szCs w:val="24"/>
          <w:lang w:val="es-ES"/>
        </w:rPr>
      </w:pPr>
      <w:r w:rsidRPr="000B6B57">
        <w:rPr>
          <w:rFonts w:ascii="Verdana" w:eastAsia="Times New Roman" w:hAnsi="Verdana" w:cs="Times New Roman"/>
          <w:b/>
          <w:sz w:val="24"/>
          <w:szCs w:val="24"/>
        </w:rPr>
        <w:t>Normas procesales del sistema interamericano de derechos humanos aplicables.</w:t>
      </w:r>
    </w:p>
    <w:p w14:paraId="21FA703E" w14:textId="77777777" w:rsidR="000B6B57" w:rsidRPr="000B6B57" w:rsidRDefault="000B6B57" w:rsidP="000B6B57">
      <w:pPr>
        <w:spacing w:before="120" w:after="120"/>
        <w:ind w:left="720"/>
        <w:contextualSpacing/>
        <w:jc w:val="both"/>
        <w:rPr>
          <w:rFonts w:ascii="Verdana" w:eastAsia="Times New Roman" w:hAnsi="Verdana" w:cs="Times New Roman"/>
          <w:b/>
          <w:sz w:val="24"/>
          <w:szCs w:val="24"/>
          <w:lang w:val="es-ES"/>
        </w:rPr>
      </w:pPr>
    </w:p>
    <w:p w14:paraId="1FB0C1A2" w14:textId="77777777" w:rsidR="000B6B57" w:rsidRDefault="000B6B57" w:rsidP="007C15A1">
      <w:pPr>
        <w:numPr>
          <w:ilvl w:val="0"/>
          <w:numId w:val="17"/>
        </w:numPr>
        <w:spacing w:before="120" w:after="120"/>
        <w:contextualSpacing/>
        <w:jc w:val="both"/>
        <w:rPr>
          <w:rFonts w:ascii="Verdana" w:eastAsia="Times New Roman" w:hAnsi="Verdana" w:cs="Times New Roman"/>
          <w:b/>
          <w:sz w:val="24"/>
          <w:szCs w:val="24"/>
          <w:lang w:val="es-ES"/>
        </w:rPr>
      </w:pPr>
      <w:r w:rsidRPr="000B6B57">
        <w:rPr>
          <w:rFonts w:ascii="Verdana" w:eastAsia="Times New Roman" w:hAnsi="Verdana" w:cs="Times New Roman"/>
          <w:b/>
          <w:sz w:val="24"/>
          <w:szCs w:val="24"/>
          <w:lang w:val="es-ES"/>
        </w:rPr>
        <w:t>Comentario general.</w:t>
      </w:r>
    </w:p>
    <w:p w14:paraId="512F9567" w14:textId="77777777" w:rsidR="000B6B57" w:rsidRPr="000B6B57" w:rsidRDefault="000B6B57" w:rsidP="000B6B57">
      <w:pPr>
        <w:spacing w:before="120" w:after="120"/>
        <w:ind w:left="643"/>
        <w:contextualSpacing/>
        <w:jc w:val="both"/>
        <w:rPr>
          <w:rFonts w:ascii="Verdana" w:eastAsia="Times New Roman" w:hAnsi="Verdana" w:cs="Times New Roman"/>
          <w:b/>
          <w:sz w:val="24"/>
          <w:szCs w:val="24"/>
          <w:lang w:val="es-ES"/>
        </w:rPr>
      </w:pPr>
    </w:p>
    <w:p w14:paraId="5B0125CA" w14:textId="77777777" w:rsidR="000B6B57" w:rsidRPr="000B6B57" w:rsidRDefault="000B6B57" w:rsidP="000B6B57">
      <w:pPr>
        <w:spacing w:before="120" w:after="120"/>
        <w:jc w:val="both"/>
        <w:rPr>
          <w:rFonts w:ascii="Verdana" w:eastAsia="Times New Roman" w:hAnsi="Verdana" w:cs="Times New Roman"/>
          <w:b/>
          <w:sz w:val="24"/>
          <w:szCs w:val="24"/>
          <w:lang w:val="es-ES"/>
        </w:rPr>
      </w:pPr>
      <w:r w:rsidRPr="000B6B57">
        <w:rPr>
          <w:rFonts w:ascii="Verdana" w:eastAsia="Times New Roman" w:hAnsi="Verdana" w:cs="Times New Roman"/>
          <w:sz w:val="24"/>
          <w:szCs w:val="24"/>
          <w:lang w:val="es-ES"/>
        </w:rPr>
        <w:t>En el ámbito interamericano y considerando que, según la Convención Americana sobre Derechos Humanos</w:t>
      </w:r>
      <w:r w:rsidRPr="000B6B57">
        <w:rPr>
          <w:rFonts w:ascii="Verdana" w:eastAsia="Times New Roman" w:hAnsi="Verdana" w:cs="Times New Roman"/>
          <w:sz w:val="24"/>
          <w:szCs w:val="24"/>
          <w:vertAlign w:val="superscript"/>
          <w:lang w:val="es-ES"/>
        </w:rPr>
        <w:footnoteReference w:id="50"/>
      </w:r>
      <w:r w:rsidRPr="000B6B57">
        <w:rPr>
          <w:rFonts w:ascii="Verdana" w:eastAsia="Times New Roman" w:hAnsi="Verdana" w:cs="Times New Roman"/>
          <w:sz w:val="24"/>
          <w:szCs w:val="24"/>
          <w:lang w:val="es-ES"/>
        </w:rPr>
        <w:t xml:space="preserve">, éstos </w:t>
      </w:r>
      <w:r w:rsidRPr="000B6B57">
        <w:rPr>
          <w:rFonts w:ascii="Verdana" w:eastAsia="Times New Roman" w:hAnsi="Verdana" w:cs="Times New Roman"/>
          <w:sz w:val="24"/>
          <w:szCs w:val="24"/>
        </w:rPr>
        <w:t>“</w:t>
      </w:r>
      <w:r w:rsidRPr="000B6B57">
        <w:rPr>
          <w:rFonts w:ascii="Verdana" w:eastAsia="Times New Roman" w:hAnsi="Verdana" w:cs="Times New Roman"/>
          <w:i/>
          <w:sz w:val="24"/>
          <w:szCs w:val="24"/>
          <w:lang w:val="es-ES"/>
        </w:rPr>
        <w:t>tienen como fundamento los atributos de la persona humana</w:t>
      </w:r>
      <w:r w:rsidRPr="000B6B57">
        <w:rPr>
          <w:rFonts w:ascii="Verdana" w:eastAsia="Times New Roman" w:hAnsi="Verdana" w:cs="Times New Roman"/>
          <w:sz w:val="24"/>
          <w:szCs w:val="24"/>
          <w:lang w:val="es-ES"/>
        </w:rPr>
        <w:t>”</w:t>
      </w:r>
      <w:r w:rsidRPr="000B6B57">
        <w:rPr>
          <w:rFonts w:ascii="Verdana" w:eastAsia="Times New Roman" w:hAnsi="Verdana" w:cs="Times New Roman"/>
          <w:sz w:val="24"/>
          <w:szCs w:val="24"/>
          <w:vertAlign w:val="superscript"/>
          <w:lang w:val="es-ES"/>
        </w:rPr>
        <w:footnoteReference w:id="51"/>
      </w:r>
      <w:r w:rsidRPr="000B6B57">
        <w:rPr>
          <w:rFonts w:ascii="Verdana" w:eastAsia="Times New Roman" w:hAnsi="Verdana" w:cs="Times New Roman"/>
          <w:sz w:val="24"/>
          <w:szCs w:val="24"/>
          <w:lang w:val="es-ES"/>
        </w:rPr>
        <w:t xml:space="preserve">. Consecuentemente, ella </w:t>
      </w:r>
      <w:r w:rsidRPr="000B6B57">
        <w:rPr>
          <w:rFonts w:ascii="Verdana" w:eastAsia="Times New Roman" w:hAnsi="Verdana" w:cs="Times New Roman"/>
          <w:sz w:val="24"/>
          <w:szCs w:val="24"/>
          <w:lang w:val="es-ES"/>
        </w:rPr>
        <w:lastRenderedPageBreak/>
        <w:t>únicamente reconoce a algunos de esos derechos</w:t>
      </w:r>
      <w:r w:rsidRPr="000B6B57">
        <w:rPr>
          <w:rFonts w:ascii="Verdana" w:eastAsia="Times New Roman" w:hAnsi="Verdana" w:cs="Times New Roman"/>
          <w:sz w:val="24"/>
          <w:szCs w:val="24"/>
          <w:vertAlign w:val="superscript"/>
          <w:lang w:val="es-ES"/>
        </w:rPr>
        <w:footnoteReference w:id="52"/>
      </w:r>
      <w:r w:rsidRPr="000B6B57">
        <w:rPr>
          <w:rFonts w:ascii="Verdana" w:eastAsia="Times New Roman" w:hAnsi="Verdana" w:cs="Times New Roman"/>
          <w:sz w:val="24"/>
          <w:szCs w:val="24"/>
          <w:lang w:val="es-ES"/>
        </w:rPr>
        <w:t xml:space="preserve"> y lo hace a los efectos de proporcionar </w:t>
      </w:r>
      <w:r w:rsidRPr="000B6B57">
        <w:rPr>
          <w:rFonts w:ascii="Verdana" w:eastAsia="Times New Roman" w:hAnsi="Verdana" w:cs="Times New Roman"/>
          <w:i/>
          <w:sz w:val="24"/>
          <w:szCs w:val="24"/>
          <w:lang w:val="es-ES"/>
        </w:rPr>
        <w:t xml:space="preserve">“una protección internacional, de naturaleza convencional coadyuvante o complementaria de la que ofrece el derecho interno de los Estados americanos”. </w:t>
      </w:r>
      <w:r w:rsidRPr="000B6B57">
        <w:rPr>
          <w:rFonts w:ascii="Verdana" w:eastAsia="Times New Roman" w:hAnsi="Verdana" w:cs="Times New Roman"/>
          <w:sz w:val="24"/>
          <w:szCs w:val="24"/>
          <w:lang w:val="es-ES"/>
        </w:rPr>
        <w:t>De allí, por ende, que</w:t>
      </w:r>
      <w:r w:rsidRPr="000B6B57">
        <w:rPr>
          <w:rFonts w:ascii="Verdana" w:eastAsia="Times New Roman" w:hAnsi="Verdana" w:cs="Times New Roman"/>
          <w:sz w:val="24"/>
          <w:szCs w:val="24"/>
        </w:rPr>
        <w:t xml:space="preserve"> el propósito de la Convención sea asimismo de </w:t>
      </w:r>
      <w:r w:rsidRPr="000B6B57">
        <w:rPr>
          <w:rFonts w:ascii="Verdana" w:eastAsia="Times New Roman" w:hAnsi="Verdana" w:cs="Times New Roman"/>
          <w:sz w:val="24"/>
          <w:szCs w:val="24"/>
          <w:lang w:val="es-ES"/>
        </w:rPr>
        <w:t xml:space="preserve">determinar </w:t>
      </w:r>
      <w:r w:rsidRPr="000B6B57">
        <w:rPr>
          <w:rFonts w:ascii="Verdana" w:eastAsia="Times New Roman" w:hAnsi="Verdana" w:cs="Times New Roman"/>
          <w:i/>
          <w:sz w:val="24"/>
          <w:szCs w:val="24"/>
          <w:lang w:val="es-ES"/>
        </w:rPr>
        <w:t>“la estructura, competencia y procedimiento de los órganos encargados de esa materia”</w:t>
      </w:r>
      <w:r w:rsidRPr="000B6B57">
        <w:rPr>
          <w:rFonts w:ascii="Verdana" w:eastAsia="Times New Roman" w:hAnsi="Verdana" w:cs="Times New Roman"/>
          <w:i/>
          <w:sz w:val="24"/>
          <w:szCs w:val="24"/>
          <w:vertAlign w:val="superscript"/>
          <w:lang w:val="es-ES"/>
        </w:rPr>
        <w:footnoteReference w:id="53"/>
      </w:r>
      <w:r w:rsidRPr="000B6B57">
        <w:rPr>
          <w:rFonts w:ascii="Verdana" w:eastAsia="Times New Roman" w:hAnsi="Verdana" w:cs="Times New Roman"/>
          <w:i/>
          <w:sz w:val="24"/>
          <w:szCs w:val="24"/>
          <w:lang w:val="es-ES"/>
        </w:rPr>
        <w:t>.</w:t>
      </w:r>
    </w:p>
    <w:p w14:paraId="56138A3A" w14:textId="77777777" w:rsidR="000B6B57" w:rsidRPr="000B6B57" w:rsidRDefault="000B6B57" w:rsidP="000B6B57">
      <w:pPr>
        <w:spacing w:after="120"/>
        <w:jc w:val="both"/>
        <w:rPr>
          <w:rFonts w:ascii="Verdana" w:eastAsia="Times New Roman" w:hAnsi="Verdana" w:cs="Times New Roman"/>
          <w:sz w:val="24"/>
          <w:szCs w:val="24"/>
        </w:rPr>
      </w:pPr>
      <w:r w:rsidRPr="000B6B57">
        <w:rPr>
          <w:rFonts w:ascii="Verdana" w:eastAsia="Times New Roman" w:hAnsi="Verdana" w:cs="Times New Roman"/>
          <w:sz w:val="24"/>
          <w:szCs w:val="24"/>
          <w:lang w:val="es-ES"/>
        </w:rPr>
        <w:t xml:space="preserve">Se puede colegir, por tanto, </w:t>
      </w:r>
      <w:r w:rsidRPr="000B6B57">
        <w:rPr>
          <w:rFonts w:ascii="Verdana" w:eastAsia="Times New Roman" w:hAnsi="Verdana" w:cs="Times New Roman"/>
          <w:sz w:val="24"/>
          <w:szCs w:val="24"/>
        </w:rPr>
        <w:t>que el sistema interamericano de derechos humanos no está integrado exclusivamente por las normas que reconocen los referidos derechos, sino que también lo está por aquellas de orden procesal. Unas y otras son igualmente relevantes e indispensables para garantizar el debido y oportuno respeto de los derechos humanos.</w:t>
      </w:r>
    </w:p>
    <w:p w14:paraId="46AAB6BA" w14:textId="77777777" w:rsidR="000B6B57" w:rsidRPr="000B6B57" w:rsidRDefault="000B6B57" w:rsidP="000B6B57">
      <w:pPr>
        <w:spacing w:after="120"/>
        <w:jc w:val="both"/>
        <w:rPr>
          <w:rFonts w:ascii="Verdana" w:eastAsia="Times New Roman" w:hAnsi="Verdana" w:cs="Times New Roman"/>
          <w:sz w:val="24"/>
          <w:szCs w:val="24"/>
          <w:lang w:val="es-ES"/>
        </w:rPr>
      </w:pPr>
      <w:r w:rsidRPr="000B6B57">
        <w:rPr>
          <w:rFonts w:ascii="Verdana" w:eastAsia="Times New Roman" w:hAnsi="Verdana" w:cs="Times New Roman"/>
          <w:sz w:val="24"/>
          <w:szCs w:val="24"/>
        </w:rPr>
        <w:t xml:space="preserve">Lo anterior, es particularmente significativo puesto que la jurisdicción interamericana, empleando términos de la Convención, debe proporcionar a todo el que comparece ante ella, sea persona humana sea Estado, </w:t>
      </w:r>
      <w:r w:rsidRPr="000B6B57">
        <w:rPr>
          <w:rFonts w:ascii="Verdana" w:eastAsia="Times New Roman" w:hAnsi="Verdana" w:cs="Times New Roman"/>
          <w:sz w:val="24"/>
          <w:szCs w:val="24"/>
          <w:lang w:val="es-ES"/>
        </w:rPr>
        <w:t>las “</w:t>
      </w:r>
      <w:r w:rsidRPr="000B6B57">
        <w:rPr>
          <w:rFonts w:ascii="Verdana" w:eastAsia="Times New Roman" w:hAnsi="Verdana" w:cs="Times New Roman"/>
          <w:i/>
          <w:sz w:val="24"/>
          <w:szCs w:val="24"/>
          <w:lang w:val="es-ES"/>
        </w:rPr>
        <w:t>debidas garantías</w:t>
      </w:r>
      <w:r w:rsidRPr="000B6B57">
        <w:rPr>
          <w:rFonts w:ascii="Verdana" w:eastAsia="Times New Roman" w:hAnsi="Verdana" w:cs="Times New Roman"/>
          <w:sz w:val="24"/>
          <w:szCs w:val="24"/>
          <w:lang w:val="es-ES"/>
        </w:rPr>
        <w:t>” de ser un “</w:t>
      </w:r>
      <w:r w:rsidRPr="000B6B57">
        <w:rPr>
          <w:rFonts w:ascii="Verdana" w:eastAsia="Times New Roman" w:hAnsi="Verdana" w:cs="Times New Roman"/>
          <w:i/>
          <w:sz w:val="24"/>
          <w:szCs w:val="24"/>
          <w:lang w:val="es-ES"/>
        </w:rPr>
        <w:t>tribunal competente, independiente e imparcial”</w:t>
      </w:r>
      <w:r w:rsidRPr="000B6B57">
        <w:rPr>
          <w:rFonts w:ascii="Verdana" w:eastAsia="Times New Roman" w:hAnsi="Verdana" w:cs="Times New Roman"/>
          <w:sz w:val="24"/>
          <w:szCs w:val="24"/>
          <w:lang w:val="es-ES"/>
        </w:rPr>
        <w:t xml:space="preserve"> en el ejercicio de su competencia</w:t>
      </w:r>
      <w:r w:rsidRPr="000B6B57">
        <w:rPr>
          <w:rFonts w:ascii="Verdana" w:eastAsia="Times New Roman" w:hAnsi="Verdana" w:cs="Times New Roman"/>
          <w:sz w:val="24"/>
          <w:szCs w:val="24"/>
          <w:vertAlign w:val="superscript"/>
          <w:lang w:val="es-ES"/>
        </w:rPr>
        <w:footnoteReference w:id="54"/>
      </w:r>
      <w:r w:rsidRPr="000B6B57">
        <w:rPr>
          <w:rFonts w:ascii="Verdana" w:eastAsia="Times New Roman" w:hAnsi="Verdana" w:cs="Times New Roman"/>
          <w:sz w:val="24"/>
          <w:szCs w:val="24"/>
          <w:lang w:val="es-ES"/>
        </w:rPr>
        <w:t>, consistente en la “</w:t>
      </w:r>
      <w:r w:rsidRPr="000B6B57">
        <w:rPr>
          <w:rFonts w:ascii="Verdana" w:eastAsia="Times New Roman" w:hAnsi="Verdana" w:cs="Times New Roman"/>
          <w:i/>
          <w:sz w:val="24"/>
          <w:szCs w:val="24"/>
          <w:lang w:val="es-ES"/>
        </w:rPr>
        <w:t>interpretación y aplicación</w:t>
      </w:r>
      <w:r w:rsidRPr="000B6B57">
        <w:rPr>
          <w:rFonts w:ascii="Verdana" w:eastAsia="Times New Roman" w:hAnsi="Verdana" w:cs="Times New Roman"/>
          <w:sz w:val="24"/>
          <w:szCs w:val="24"/>
          <w:lang w:val="es-ES"/>
        </w:rPr>
        <w:t>” de la Convención</w:t>
      </w:r>
      <w:r w:rsidRPr="000B6B57">
        <w:rPr>
          <w:rFonts w:ascii="Verdana" w:eastAsia="Times New Roman" w:hAnsi="Verdana" w:cs="Times New Roman"/>
          <w:sz w:val="24"/>
          <w:szCs w:val="24"/>
          <w:vertAlign w:val="superscript"/>
          <w:lang w:val="es-ES"/>
        </w:rPr>
        <w:footnoteReference w:id="55"/>
      </w:r>
      <w:r w:rsidRPr="000B6B57">
        <w:rPr>
          <w:rFonts w:ascii="Verdana" w:eastAsia="Times New Roman" w:hAnsi="Verdana" w:cs="Times New Roman"/>
          <w:sz w:val="24"/>
          <w:szCs w:val="24"/>
          <w:lang w:val="es-ES"/>
        </w:rPr>
        <w:t>, es decir, impartir justicia en materia de derechos humanos</w:t>
      </w:r>
      <w:r w:rsidRPr="000B6B57">
        <w:rPr>
          <w:rFonts w:ascii="Verdana" w:eastAsia="Times New Roman" w:hAnsi="Verdana" w:cs="Times New Roman"/>
          <w:sz w:val="24"/>
          <w:szCs w:val="24"/>
          <w:vertAlign w:val="superscript"/>
          <w:lang w:val="es-ES"/>
        </w:rPr>
        <w:footnoteReference w:id="56"/>
      </w:r>
      <w:r w:rsidRPr="000B6B57">
        <w:rPr>
          <w:rFonts w:ascii="Verdana" w:eastAsia="Times New Roman" w:hAnsi="Verdana" w:cs="Times New Roman"/>
          <w:sz w:val="24"/>
          <w:szCs w:val="24"/>
          <w:lang w:val="es-ES"/>
        </w:rPr>
        <w:t xml:space="preserve">. </w:t>
      </w:r>
    </w:p>
    <w:p w14:paraId="1E30C761" w14:textId="77777777" w:rsidR="000B6B57" w:rsidRPr="000B6B57" w:rsidRDefault="000B6B57" w:rsidP="000B6B57">
      <w:pPr>
        <w:spacing w:after="120"/>
        <w:jc w:val="both"/>
        <w:rPr>
          <w:rFonts w:ascii="Verdana" w:eastAsia="Times New Roman" w:hAnsi="Verdana" w:cs="Times New Roman"/>
          <w:sz w:val="24"/>
          <w:szCs w:val="24"/>
          <w:lang w:val="es-ES"/>
        </w:rPr>
      </w:pPr>
      <w:r w:rsidRPr="000B6B57">
        <w:rPr>
          <w:rFonts w:ascii="Verdana" w:eastAsia="Times New Roman" w:hAnsi="Verdana" w:cs="Times New Roman"/>
          <w:sz w:val="24"/>
          <w:szCs w:val="24"/>
          <w:lang w:val="es-ES"/>
        </w:rPr>
        <w:t>El objeto y fin de la Convención comprende, entonces, como elemento esencial de los mismos, el estricto respeto de las normas procesales que la rigen. Éstas no son, por ende, prescindibles, sino que son tan necesarias como las sustantivas, en particular, dado que es su respeto por parte de la Corte lo que le suministra a sus decisiones la seguridad jurídica de que han sido adoptadas con la independencia y la imparcialidad requeridas.</w:t>
      </w:r>
    </w:p>
    <w:p w14:paraId="505D847E" w14:textId="77777777" w:rsidR="000B6B57" w:rsidRPr="000B6B57" w:rsidRDefault="000B6B57" w:rsidP="000B6B57">
      <w:pPr>
        <w:spacing w:after="120"/>
        <w:jc w:val="both"/>
        <w:rPr>
          <w:rFonts w:ascii="Verdana" w:eastAsia="Times New Roman" w:hAnsi="Verdana" w:cs="Times New Roman"/>
          <w:sz w:val="24"/>
          <w:szCs w:val="24"/>
          <w:lang w:val="es-ES"/>
        </w:rPr>
      </w:pPr>
    </w:p>
    <w:p w14:paraId="2EB0AEB7" w14:textId="77777777" w:rsidR="000B6B57" w:rsidRPr="000B6B57" w:rsidRDefault="000B6B57" w:rsidP="000B6B57">
      <w:pPr>
        <w:spacing w:after="120"/>
        <w:jc w:val="both"/>
        <w:rPr>
          <w:rFonts w:ascii="Verdana" w:eastAsia="Times New Roman" w:hAnsi="Verdana" w:cs="Times New Roman"/>
          <w:sz w:val="24"/>
          <w:szCs w:val="24"/>
          <w:lang w:val="es-ES"/>
        </w:rPr>
      </w:pPr>
    </w:p>
    <w:p w14:paraId="4B2B6D42" w14:textId="77777777" w:rsidR="000B6B57" w:rsidRPr="000B6B57" w:rsidRDefault="000B6B57" w:rsidP="007C15A1">
      <w:pPr>
        <w:numPr>
          <w:ilvl w:val="0"/>
          <w:numId w:val="17"/>
        </w:numPr>
        <w:spacing w:before="120" w:after="120"/>
        <w:contextualSpacing/>
        <w:jc w:val="both"/>
        <w:rPr>
          <w:rFonts w:ascii="Verdana" w:eastAsia="Times New Roman" w:hAnsi="Verdana" w:cs="Times New Roman"/>
          <w:b/>
          <w:sz w:val="24"/>
          <w:szCs w:val="24"/>
          <w:lang w:val="es-ES"/>
        </w:rPr>
      </w:pPr>
      <w:r w:rsidRPr="000B6B57">
        <w:rPr>
          <w:rFonts w:ascii="Verdana" w:eastAsia="Times New Roman" w:hAnsi="Verdana" w:cs="Times New Roman"/>
          <w:b/>
          <w:sz w:val="24"/>
          <w:szCs w:val="24"/>
          <w:lang w:val="es-ES"/>
        </w:rPr>
        <w:lastRenderedPageBreak/>
        <w:t>Preclusión de la facultad de emitir medidas provisionales.</w:t>
      </w:r>
    </w:p>
    <w:p w14:paraId="5C0B6174" w14:textId="77777777" w:rsidR="000B6B57" w:rsidRPr="000B6B57" w:rsidRDefault="000B6B57" w:rsidP="000B6B57">
      <w:pPr>
        <w:spacing w:after="160"/>
        <w:jc w:val="both"/>
        <w:rPr>
          <w:rFonts w:ascii="Verdana" w:eastAsia="Times New Roman" w:hAnsi="Verdana" w:cs="Times New Roman"/>
          <w:sz w:val="24"/>
          <w:szCs w:val="24"/>
          <w:lang w:val="es-ES"/>
        </w:rPr>
      </w:pPr>
      <w:r w:rsidRPr="000B6B57">
        <w:rPr>
          <w:rFonts w:ascii="Verdana" w:eastAsia="Times New Roman" w:hAnsi="Verdana" w:cs="Times New Roman"/>
          <w:sz w:val="24"/>
          <w:szCs w:val="24"/>
          <w:lang w:val="es-ES"/>
        </w:rPr>
        <w:t>Pues bien, las normas procesales aplicables al asunto en comento son las pertinentes a la preclusión de la facultad de emitir medidas provisionales</w:t>
      </w:r>
      <w:r w:rsidRPr="000B6B57">
        <w:rPr>
          <w:rFonts w:ascii="Verdana" w:eastAsia="Times New Roman" w:hAnsi="Verdana" w:cs="Times New Roman"/>
          <w:sz w:val="24"/>
          <w:szCs w:val="24"/>
          <w:vertAlign w:val="superscript"/>
          <w:lang w:val="es-ES"/>
        </w:rPr>
        <w:footnoteReference w:id="57"/>
      </w:r>
      <w:r w:rsidRPr="000B6B57">
        <w:rPr>
          <w:rFonts w:ascii="Verdana" w:eastAsia="Times New Roman" w:hAnsi="Verdana" w:cs="Times New Roman"/>
          <w:sz w:val="24"/>
          <w:szCs w:val="24"/>
          <w:lang w:val="es-ES"/>
        </w:rPr>
        <w:t xml:space="preserve">. </w:t>
      </w:r>
    </w:p>
    <w:p w14:paraId="3BA68F3C" w14:textId="77777777" w:rsidR="000B6B57" w:rsidRDefault="000B6B57" w:rsidP="007C15A1">
      <w:pPr>
        <w:numPr>
          <w:ilvl w:val="0"/>
          <w:numId w:val="13"/>
        </w:numPr>
        <w:spacing w:before="120" w:after="120"/>
        <w:ind w:left="927"/>
        <w:contextualSpacing/>
        <w:jc w:val="both"/>
        <w:rPr>
          <w:rFonts w:ascii="Verdana" w:eastAsia="Times New Roman" w:hAnsi="Verdana" w:cs="Times New Roman"/>
          <w:b/>
          <w:sz w:val="24"/>
          <w:szCs w:val="24"/>
          <w:lang w:val="es-ES"/>
        </w:rPr>
      </w:pPr>
      <w:r w:rsidRPr="000B6B57">
        <w:rPr>
          <w:rFonts w:ascii="Verdana" w:eastAsia="Times New Roman" w:hAnsi="Verdana" w:cs="Times New Roman"/>
          <w:b/>
          <w:sz w:val="24"/>
          <w:szCs w:val="24"/>
          <w:lang w:val="es-ES"/>
        </w:rPr>
        <w:t>Las normas.</w:t>
      </w:r>
    </w:p>
    <w:p w14:paraId="766140B0" w14:textId="77777777" w:rsidR="00833000" w:rsidRPr="000B6B57" w:rsidRDefault="00833000" w:rsidP="00833000">
      <w:pPr>
        <w:spacing w:before="120" w:after="120"/>
        <w:ind w:left="927"/>
        <w:contextualSpacing/>
        <w:jc w:val="both"/>
        <w:rPr>
          <w:rFonts w:ascii="Verdana" w:eastAsia="Times New Roman" w:hAnsi="Verdana" w:cs="Times New Roman"/>
          <w:b/>
          <w:sz w:val="24"/>
          <w:szCs w:val="24"/>
          <w:lang w:val="es-ES"/>
        </w:rPr>
      </w:pPr>
    </w:p>
    <w:p w14:paraId="7FD1C071" w14:textId="77777777" w:rsidR="000B6B57" w:rsidRPr="000B6B57" w:rsidRDefault="000B6B57" w:rsidP="000B6B57">
      <w:pPr>
        <w:spacing w:after="120"/>
        <w:jc w:val="both"/>
        <w:rPr>
          <w:rFonts w:ascii="Verdana" w:eastAsia="Times New Roman" w:hAnsi="Verdana" w:cs="Times New Roman"/>
          <w:sz w:val="24"/>
          <w:szCs w:val="24"/>
          <w:lang w:val="es-ES"/>
        </w:rPr>
      </w:pPr>
      <w:r w:rsidRPr="000B6B57">
        <w:rPr>
          <w:rFonts w:ascii="Verdana" w:eastAsia="Times New Roman" w:hAnsi="Verdana" w:cs="Times New Roman"/>
          <w:sz w:val="24"/>
          <w:szCs w:val="24"/>
          <w:lang w:val="es-ES"/>
        </w:rPr>
        <w:t>La facultad de la Corte de dictar medidas provisionales está prevista en el artículo 63.2 de la Convención</w:t>
      </w:r>
      <w:r w:rsidRPr="000B6B57">
        <w:rPr>
          <w:rFonts w:ascii="Verdana" w:eastAsia="Times New Roman" w:hAnsi="Verdana" w:cs="Times New Roman"/>
          <w:sz w:val="24"/>
          <w:szCs w:val="24"/>
          <w:vertAlign w:val="superscript"/>
          <w:lang w:val="es-ES"/>
        </w:rPr>
        <w:footnoteReference w:id="58"/>
      </w:r>
      <w:r w:rsidRPr="000B6B57">
        <w:rPr>
          <w:rFonts w:ascii="Verdana" w:eastAsia="Times New Roman" w:hAnsi="Verdana" w:cs="Times New Roman"/>
          <w:sz w:val="24"/>
          <w:szCs w:val="24"/>
          <w:lang w:val="es-ES"/>
        </w:rPr>
        <w:t xml:space="preserve">. Tal disposición distingue entre las medidas provisionales que la Corte puede decretar </w:t>
      </w:r>
      <w:r w:rsidRPr="000B6B57">
        <w:rPr>
          <w:rFonts w:ascii="Verdana" w:eastAsia="Times New Roman" w:hAnsi="Verdana" w:cs="Times New Roman"/>
          <w:i/>
          <w:sz w:val="24"/>
          <w:szCs w:val="24"/>
          <w:lang w:val="es-ES"/>
        </w:rPr>
        <w:t>“en los asuntos que esté conociendo”</w:t>
      </w:r>
      <w:r w:rsidRPr="000B6B57">
        <w:rPr>
          <w:rFonts w:ascii="Verdana" w:eastAsia="Times New Roman" w:hAnsi="Verdana" w:cs="Times New Roman"/>
          <w:sz w:val="24"/>
          <w:szCs w:val="24"/>
          <w:lang w:val="es-ES"/>
        </w:rPr>
        <w:t xml:space="preserve"> y las que puede ordenar en los </w:t>
      </w:r>
      <w:r w:rsidRPr="000B6B57">
        <w:rPr>
          <w:rFonts w:ascii="Verdana" w:eastAsia="Times New Roman" w:hAnsi="Verdana" w:cs="Times New Roman"/>
          <w:i/>
          <w:sz w:val="24"/>
          <w:szCs w:val="24"/>
          <w:lang w:val="es-ES"/>
        </w:rPr>
        <w:t>“asuntos que aún no estén sometidos a su conocimiento”</w:t>
      </w:r>
      <w:r w:rsidRPr="000B6B57">
        <w:rPr>
          <w:rFonts w:ascii="Verdana" w:eastAsia="Times New Roman" w:hAnsi="Verdana" w:cs="Times New Roman"/>
          <w:sz w:val="24"/>
          <w:szCs w:val="24"/>
          <w:vertAlign w:val="superscript"/>
          <w:lang w:val="es-ES"/>
        </w:rPr>
        <w:footnoteReference w:id="59"/>
      </w:r>
      <w:r w:rsidRPr="000B6B57">
        <w:rPr>
          <w:rFonts w:ascii="Verdana" w:eastAsia="Times New Roman" w:hAnsi="Verdana" w:cs="Times New Roman"/>
          <w:i/>
          <w:sz w:val="24"/>
          <w:szCs w:val="24"/>
          <w:lang w:val="es-ES"/>
        </w:rPr>
        <w:t>.</w:t>
      </w:r>
    </w:p>
    <w:p w14:paraId="2CD0B27A" w14:textId="77777777" w:rsidR="000B6B57" w:rsidRPr="000B6B57" w:rsidRDefault="000B6B57" w:rsidP="000B6B57">
      <w:pPr>
        <w:spacing w:after="120"/>
        <w:jc w:val="both"/>
        <w:rPr>
          <w:rFonts w:ascii="Verdana" w:eastAsia="Times New Roman" w:hAnsi="Verdana" w:cs="Tahoma"/>
          <w:sz w:val="24"/>
          <w:szCs w:val="24"/>
        </w:rPr>
      </w:pPr>
      <w:r w:rsidRPr="000B6B57">
        <w:rPr>
          <w:rFonts w:ascii="Verdana" w:eastAsia="Times New Roman" w:hAnsi="Verdana" w:cs="Tahoma"/>
          <w:sz w:val="24"/>
          <w:szCs w:val="24"/>
          <w:lang w:val="es-ES"/>
        </w:rPr>
        <w:t>Respecto de los primeros,</w:t>
      </w:r>
      <w:r w:rsidRPr="000B6B57">
        <w:rPr>
          <w:rFonts w:ascii="Verdana" w:eastAsia="Times New Roman" w:hAnsi="Verdana" w:cs="Tahoma"/>
          <w:sz w:val="24"/>
          <w:szCs w:val="24"/>
        </w:rPr>
        <w:t xml:space="preserve"> habría que llamar la atención, por de pronto, acerca de que la aludida </w:t>
      </w:r>
      <w:r w:rsidRPr="000B6B57">
        <w:rPr>
          <w:rFonts w:ascii="Verdana" w:eastAsia="Times New Roman" w:hAnsi="Verdana" w:cs="Times New Roman"/>
          <w:sz w:val="24"/>
          <w:szCs w:val="24"/>
          <w:lang w:val="es-ES"/>
        </w:rPr>
        <w:t xml:space="preserve">disposición es precedida por </w:t>
      </w:r>
      <w:r w:rsidRPr="000B6B57">
        <w:rPr>
          <w:rFonts w:ascii="Verdana" w:eastAsia="Times New Roman" w:hAnsi="Verdana" w:cs="Tahoma"/>
          <w:sz w:val="24"/>
          <w:szCs w:val="24"/>
        </w:rPr>
        <w:t xml:space="preserve">el artículo 62.3 de </w:t>
      </w:r>
      <w:r w:rsidRPr="000B6B57">
        <w:rPr>
          <w:rFonts w:ascii="Verdana" w:eastAsia="Times New Roman" w:hAnsi="Verdana" w:cs="Tahoma"/>
          <w:sz w:val="24"/>
          <w:szCs w:val="24"/>
        </w:rPr>
        <w:lastRenderedPageBreak/>
        <w:t>la Convención, relativa a la competencia de la Corte</w:t>
      </w:r>
      <w:r w:rsidRPr="000B6B57">
        <w:rPr>
          <w:rFonts w:ascii="Verdana" w:eastAsia="Times New Roman" w:hAnsi="Verdana" w:cs="Tahoma"/>
          <w:sz w:val="24"/>
          <w:szCs w:val="24"/>
          <w:vertAlign w:val="superscript"/>
          <w:lang w:val="en-US"/>
        </w:rPr>
        <w:footnoteReference w:id="60"/>
      </w:r>
      <w:r w:rsidRPr="000B6B57">
        <w:rPr>
          <w:rFonts w:ascii="Verdana" w:eastAsia="Times New Roman" w:hAnsi="Verdana" w:cs="Tahoma"/>
          <w:sz w:val="24"/>
          <w:szCs w:val="24"/>
        </w:rPr>
        <w:t>, y especialmente del artículo 63.1 del mismo texto convencional</w:t>
      </w:r>
      <w:r w:rsidRPr="000B6B57">
        <w:rPr>
          <w:rFonts w:ascii="Verdana" w:eastAsia="Times New Roman" w:hAnsi="Verdana" w:cs="Tahoma"/>
          <w:sz w:val="24"/>
          <w:szCs w:val="24"/>
          <w:vertAlign w:val="superscript"/>
          <w:lang w:val="en-US"/>
        </w:rPr>
        <w:footnoteReference w:id="61"/>
      </w:r>
      <w:r w:rsidRPr="000B6B57">
        <w:rPr>
          <w:rFonts w:ascii="Verdana" w:eastAsia="Times New Roman" w:hAnsi="Verdana" w:cs="Tahoma"/>
          <w:sz w:val="24"/>
          <w:szCs w:val="24"/>
        </w:rPr>
        <w:t xml:space="preserve">. </w:t>
      </w:r>
    </w:p>
    <w:p w14:paraId="5D5BBCB9" w14:textId="77777777" w:rsidR="000B6B57" w:rsidRPr="000B6B57" w:rsidRDefault="000B6B57" w:rsidP="000B6B57">
      <w:pPr>
        <w:spacing w:after="120"/>
        <w:jc w:val="both"/>
        <w:rPr>
          <w:rFonts w:ascii="Verdana" w:eastAsia="Times New Roman" w:hAnsi="Verdana" w:cs="Tahoma"/>
          <w:sz w:val="24"/>
          <w:szCs w:val="24"/>
        </w:rPr>
      </w:pPr>
      <w:r w:rsidRPr="000B6B57">
        <w:rPr>
          <w:rFonts w:ascii="Verdana" w:eastAsia="Times New Roman" w:hAnsi="Verdana" w:cs="Tahoma"/>
          <w:sz w:val="24"/>
          <w:szCs w:val="24"/>
        </w:rPr>
        <w:t xml:space="preserve">De la interpretación armónica de los citados artículos no se puede sino concluir que </w:t>
      </w:r>
      <w:r w:rsidRPr="000B6B57">
        <w:rPr>
          <w:rFonts w:ascii="Verdana" w:eastAsia="Times New Roman" w:hAnsi="Verdana" w:cs="Arial"/>
          <w:sz w:val="24"/>
          <w:szCs w:val="24"/>
        </w:rPr>
        <w:t xml:space="preserve">la Corte dispone de la facultad de dictar </w:t>
      </w:r>
      <w:r w:rsidRPr="000B6B57">
        <w:rPr>
          <w:rFonts w:ascii="Verdana" w:eastAsia="Times New Roman" w:hAnsi="Verdana" w:cs="Tahoma"/>
          <w:sz w:val="24"/>
          <w:szCs w:val="24"/>
        </w:rPr>
        <w:t>medidas provisionales mientras ejerce su competencia contenciosa en el caso de que le fue sometido a fin de que resuelva si hubo o no violación de un derecho o libertad protegidos por la Convención.</w:t>
      </w:r>
    </w:p>
    <w:p w14:paraId="2363ED36" w14:textId="77777777" w:rsidR="000B6B57" w:rsidRPr="000B6B57" w:rsidRDefault="000B6B57" w:rsidP="000B6B57">
      <w:pPr>
        <w:spacing w:after="120"/>
        <w:jc w:val="both"/>
        <w:rPr>
          <w:rFonts w:ascii="Verdana" w:eastAsia="Times New Roman" w:hAnsi="Verdana" w:cs="Times New Roman"/>
          <w:sz w:val="24"/>
          <w:szCs w:val="24"/>
          <w:lang w:val="es-ES"/>
        </w:rPr>
      </w:pPr>
      <w:r w:rsidRPr="000B6B57">
        <w:rPr>
          <w:rFonts w:ascii="Verdana" w:eastAsia="Times New Roman" w:hAnsi="Verdana" w:cs="Times New Roman"/>
          <w:sz w:val="24"/>
          <w:szCs w:val="24"/>
          <w:lang w:val="es-ES"/>
        </w:rPr>
        <w:t xml:space="preserve">Ahora bien, </w:t>
      </w:r>
      <w:r w:rsidRPr="000B6B57">
        <w:rPr>
          <w:rFonts w:ascii="Verdana" w:eastAsia="Times New Roman" w:hAnsi="Verdana" w:cs="Arial"/>
          <w:sz w:val="24"/>
          <w:szCs w:val="24"/>
          <w:lang w:val="es-ES"/>
        </w:rPr>
        <w:t xml:space="preserve">el artículo 63.2 de la Convención prevé también el dictado de medidas provisionales en aquellos asuntos </w:t>
      </w:r>
      <w:r w:rsidRPr="000B6B57">
        <w:rPr>
          <w:rFonts w:ascii="Verdana" w:eastAsia="Times New Roman" w:hAnsi="Verdana" w:cs="Arial"/>
          <w:sz w:val="24"/>
          <w:szCs w:val="24"/>
        </w:rPr>
        <w:t>aún no estén sometidos a su conocimiento</w:t>
      </w:r>
      <w:r w:rsidRPr="000B6B57">
        <w:rPr>
          <w:rFonts w:ascii="Verdana" w:eastAsia="Times New Roman" w:hAnsi="Verdana" w:cs="Arial"/>
          <w:sz w:val="24"/>
          <w:szCs w:val="24"/>
          <w:lang w:val="es-ES"/>
        </w:rPr>
        <w:t xml:space="preserve"> y respecto de los cuales, por lo tanto, aún no ejerce su competencia contenciosa. En tal eventualidad, la Corte solo puede actuar, según lo prescribe la última frase de l</w:t>
      </w:r>
      <w:r w:rsidRPr="000B6B57">
        <w:rPr>
          <w:rFonts w:ascii="Verdana" w:eastAsia="Times New Roman" w:hAnsi="Verdana" w:cs="Arial"/>
          <w:sz w:val="24"/>
          <w:szCs w:val="24"/>
        </w:rPr>
        <w:t xml:space="preserve">a </w:t>
      </w:r>
      <w:r w:rsidRPr="000B6B57">
        <w:rPr>
          <w:rFonts w:ascii="Verdana" w:eastAsia="Times New Roman" w:hAnsi="Verdana" w:cs="Arial"/>
          <w:sz w:val="24"/>
          <w:szCs w:val="24"/>
          <w:lang w:val="es-ES"/>
        </w:rPr>
        <w:t xml:space="preserve">referida disposición, a </w:t>
      </w:r>
      <w:r w:rsidRPr="000B6B57">
        <w:rPr>
          <w:rFonts w:ascii="Verdana" w:eastAsia="Times New Roman" w:hAnsi="Verdana" w:cs="Arial"/>
          <w:sz w:val="24"/>
          <w:szCs w:val="24"/>
        </w:rPr>
        <w:t>solicitud de la Comisión Interamericana de Derechos Humanos</w:t>
      </w:r>
      <w:r w:rsidRPr="000B6B57">
        <w:rPr>
          <w:rFonts w:ascii="Verdana" w:eastAsia="Times New Roman" w:hAnsi="Verdana" w:cs="Arial"/>
          <w:sz w:val="24"/>
          <w:szCs w:val="24"/>
          <w:vertAlign w:val="superscript"/>
          <w:lang w:val="en-US"/>
        </w:rPr>
        <w:footnoteReference w:id="62"/>
      </w:r>
      <w:r w:rsidRPr="000B6B57">
        <w:rPr>
          <w:rFonts w:ascii="Verdana" w:eastAsia="Times New Roman" w:hAnsi="Verdana" w:cs="Arial"/>
          <w:sz w:val="24"/>
          <w:szCs w:val="24"/>
        </w:rPr>
        <w:t xml:space="preserve">, </w:t>
      </w:r>
      <w:r w:rsidRPr="000B6B57">
        <w:rPr>
          <w:rFonts w:ascii="Verdana" w:eastAsia="Times New Roman" w:hAnsi="Verdana" w:cs="Arial"/>
          <w:sz w:val="24"/>
          <w:szCs w:val="24"/>
          <w:lang w:val="es-ES"/>
        </w:rPr>
        <w:t>es decir, respecto de tales asuntos, la Corte puede decretar medidas provisionales únicamente si aquella se lo solicita</w:t>
      </w:r>
      <w:r w:rsidRPr="000B6B57">
        <w:rPr>
          <w:rFonts w:ascii="Verdana" w:eastAsia="Times New Roman" w:hAnsi="Verdana" w:cs="Arial"/>
          <w:sz w:val="24"/>
          <w:szCs w:val="24"/>
        </w:rPr>
        <w:t>.</w:t>
      </w:r>
    </w:p>
    <w:p w14:paraId="4B8FE897" w14:textId="77777777" w:rsidR="000B6B57" w:rsidRPr="000B6B57" w:rsidRDefault="000B6B57" w:rsidP="000B6B57">
      <w:pPr>
        <w:spacing w:after="120"/>
        <w:jc w:val="both"/>
        <w:rPr>
          <w:rFonts w:ascii="Verdana" w:eastAsia="Times New Roman" w:hAnsi="Verdana" w:cs="Times New Roman"/>
          <w:sz w:val="24"/>
          <w:szCs w:val="24"/>
        </w:rPr>
      </w:pPr>
      <w:r w:rsidRPr="000B6B57">
        <w:rPr>
          <w:rFonts w:ascii="Verdana" w:eastAsia="Times New Roman" w:hAnsi="Verdana" w:cs="Times New Roman"/>
          <w:sz w:val="24"/>
          <w:szCs w:val="24"/>
          <w:lang w:val="es-ES" w:eastAsia="es-CL"/>
        </w:rPr>
        <w:t xml:space="preserve">Todo lo indicado precedentemente obviamente también se expresa </w:t>
      </w:r>
      <w:r w:rsidRPr="000B6B57">
        <w:rPr>
          <w:rFonts w:ascii="Verdana" w:eastAsia="Times New Roman" w:hAnsi="Verdana" w:cs="Times New Roman"/>
          <w:sz w:val="24"/>
          <w:szCs w:val="24"/>
          <w:lang w:val="es-ES"/>
        </w:rPr>
        <w:t>en el Reglamento de la Corte</w:t>
      </w:r>
      <w:r w:rsidRPr="000B6B57">
        <w:rPr>
          <w:rFonts w:ascii="Verdana" w:eastAsia="Times New Roman" w:hAnsi="Verdana" w:cs="Times New Roman"/>
          <w:sz w:val="24"/>
          <w:szCs w:val="24"/>
          <w:vertAlign w:val="superscript"/>
          <w:lang w:val="es-ES"/>
        </w:rPr>
        <w:footnoteReference w:id="63"/>
      </w:r>
      <w:r w:rsidRPr="000B6B57">
        <w:rPr>
          <w:rFonts w:ascii="Verdana" w:eastAsia="Times New Roman" w:hAnsi="Verdana" w:cs="Times New Roman"/>
          <w:sz w:val="24"/>
          <w:szCs w:val="24"/>
          <w:lang w:val="es-ES"/>
        </w:rPr>
        <w:t>. Y así, entonces, reproduce en términos similares a los utilizados por el artículo 63.2 de la Convención, la distinción entre asuntos sometidos a conocimiento de la Corte y asuntos aún no sometidos a su conocimiento. Es por ese motivo que la referencia que el numeral 1 del artículo 27 del Reglamento de la Corte hace a “</w:t>
      </w:r>
      <w:r w:rsidRPr="000B6B57">
        <w:rPr>
          <w:rFonts w:ascii="Verdana" w:eastAsia="Times New Roman" w:hAnsi="Verdana" w:cs="Times New Roman"/>
          <w:i/>
          <w:sz w:val="24"/>
          <w:szCs w:val="24"/>
          <w:lang w:val="es-ES"/>
        </w:rPr>
        <w:t>cualquier estado del procedimiento</w:t>
      </w:r>
      <w:r w:rsidRPr="000B6B57">
        <w:rPr>
          <w:rFonts w:ascii="Verdana" w:eastAsia="Times New Roman" w:hAnsi="Verdana" w:cs="Times New Roman"/>
          <w:sz w:val="24"/>
          <w:szCs w:val="24"/>
          <w:lang w:val="es-ES"/>
        </w:rPr>
        <w:t>”, únicamente puede entenderse en el sentido de que este último se lleva a cabo respecto de asuntos</w:t>
      </w:r>
      <w:r w:rsidRPr="000B6B57">
        <w:rPr>
          <w:rFonts w:ascii="Verdana" w:eastAsia="Times New Roman" w:hAnsi="Verdana" w:cs="Tahoma"/>
          <w:sz w:val="24"/>
          <w:szCs w:val="24"/>
        </w:rPr>
        <w:t xml:space="preserve"> en </w:t>
      </w:r>
      <w:r w:rsidRPr="000B6B57">
        <w:rPr>
          <w:rFonts w:ascii="Verdana" w:eastAsia="Times New Roman" w:hAnsi="Verdana" w:cs="Tahoma"/>
          <w:sz w:val="24"/>
          <w:szCs w:val="24"/>
          <w:lang w:val="es-ES"/>
        </w:rPr>
        <w:t>que la Corte está en ejercicio de su competencia contenciosa</w:t>
      </w:r>
      <w:r w:rsidRPr="000B6B57">
        <w:rPr>
          <w:rFonts w:ascii="Verdana" w:eastAsia="Times New Roman" w:hAnsi="Verdana" w:cs="Tahoma"/>
          <w:i/>
          <w:sz w:val="24"/>
          <w:szCs w:val="24"/>
          <w:lang w:val="es-ES"/>
        </w:rPr>
        <w:t>.</w:t>
      </w:r>
      <w:r w:rsidRPr="000B6B57">
        <w:rPr>
          <w:rFonts w:ascii="Verdana" w:eastAsia="Times New Roman" w:hAnsi="Verdana" w:cs="Times New Roman"/>
          <w:sz w:val="24"/>
          <w:szCs w:val="24"/>
          <w:lang w:val="es-ES"/>
        </w:rPr>
        <w:t xml:space="preserve"> </w:t>
      </w:r>
    </w:p>
    <w:p w14:paraId="0BFB9BF3" w14:textId="77777777" w:rsidR="00833000" w:rsidRDefault="00833000" w:rsidP="000B6B57">
      <w:pPr>
        <w:spacing w:after="120"/>
        <w:jc w:val="both"/>
        <w:rPr>
          <w:rFonts w:ascii="Verdana" w:eastAsia="Times New Roman" w:hAnsi="Verdana" w:cs="Times New Roman"/>
          <w:sz w:val="24"/>
          <w:szCs w:val="24"/>
          <w:lang w:val="es-ES"/>
        </w:rPr>
      </w:pPr>
    </w:p>
    <w:p w14:paraId="6ADAB6A1" w14:textId="77777777" w:rsidR="000B6B57" w:rsidRPr="000B6B57" w:rsidRDefault="000B6B57" w:rsidP="000B6B57">
      <w:pPr>
        <w:spacing w:after="120"/>
        <w:jc w:val="both"/>
        <w:rPr>
          <w:rFonts w:ascii="Verdana" w:eastAsia="Times New Roman" w:hAnsi="Verdana" w:cs="Times New Roman"/>
          <w:sz w:val="24"/>
          <w:szCs w:val="24"/>
        </w:rPr>
      </w:pPr>
      <w:r w:rsidRPr="000B6B57">
        <w:rPr>
          <w:rFonts w:ascii="Verdana" w:eastAsia="Times New Roman" w:hAnsi="Verdana" w:cs="Times New Roman"/>
          <w:sz w:val="24"/>
          <w:szCs w:val="24"/>
          <w:lang w:val="es-ES"/>
        </w:rPr>
        <w:lastRenderedPageBreak/>
        <w:t xml:space="preserve">Y en autos, se ha demandado y se ha decretado la adopción de medidas provisionales con relación al </w:t>
      </w:r>
      <w:r w:rsidRPr="000B6B57">
        <w:rPr>
          <w:rFonts w:ascii="Verdana" w:eastAsia="Times New Roman" w:hAnsi="Verdana" w:cs="Times New Roman"/>
          <w:bCs/>
          <w:i/>
          <w:color w:val="000000"/>
          <w:sz w:val="24"/>
          <w:szCs w:val="24"/>
          <w:shd w:val="clear" w:color="auto" w:fill="FFFFFF"/>
        </w:rPr>
        <w:t xml:space="preserve">Caso Durand y Ugarte Vs. Perú, </w:t>
      </w:r>
      <w:r w:rsidRPr="000B6B57">
        <w:rPr>
          <w:rFonts w:ascii="Verdana" w:eastAsia="Times New Roman" w:hAnsi="Verdana" w:cs="Times New Roman"/>
          <w:bCs/>
          <w:color w:val="000000"/>
          <w:sz w:val="24"/>
          <w:szCs w:val="24"/>
          <w:shd w:val="clear" w:color="auto" w:fill="FFFFFF"/>
        </w:rPr>
        <w:t>en el cual ya se dictó sentencia definitiva</w:t>
      </w:r>
      <w:r w:rsidRPr="000B6B57">
        <w:rPr>
          <w:rFonts w:ascii="Verdana" w:eastAsia="Times New Roman" w:hAnsi="Verdana" w:cs="Times New Roman"/>
          <w:bCs/>
          <w:color w:val="000000"/>
          <w:sz w:val="24"/>
          <w:szCs w:val="24"/>
          <w:shd w:val="clear" w:color="auto" w:fill="FFFFFF"/>
          <w:vertAlign w:val="superscript"/>
          <w:lang w:val="en-US"/>
        </w:rPr>
        <w:footnoteReference w:id="64"/>
      </w:r>
      <w:r w:rsidRPr="000B6B57">
        <w:rPr>
          <w:rFonts w:ascii="Verdana" w:eastAsia="Times New Roman" w:hAnsi="Verdana" w:cs="Times New Roman"/>
          <w:bCs/>
          <w:color w:val="000000"/>
          <w:sz w:val="24"/>
          <w:szCs w:val="24"/>
          <w:shd w:val="clear" w:color="auto" w:fill="FFFFFF"/>
        </w:rPr>
        <w:t>, vale decir, no se solicitaron y no se dictaron dichas medidas en un caso que la Corte “</w:t>
      </w:r>
      <w:r w:rsidRPr="000B6B57">
        <w:rPr>
          <w:rFonts w:ascii="Verdana" w:eastAsia="Times New Roman" w:hAnsi="Verdana" w:cs="Times New Roman"/>
          <w:bCs/>
          <w:i/>
          <w:color w:val="000000"/>
          <w:sz w:val="24"/>
          <w:szCs w:val="24"/>
          <w:shd w:val="clear" w:color="auto" w:fill="FFFFFF"/>
        </w:rPr>
        <w:t>esté conociendo</w:t>
      </w:r>
      <w:r w:rsidRPr="000B6B57">
        <w:rPr>
          <w:rFonts w:ascii="Verdana" w:eastAsia="Times New Roman" w:hAnsi="Verdana" w:cs="Times New Roman"/>
          <w:bCs/>
          <w:color w:val="000000"/>
          <w:sz w:val="24"/>
          <w:szCs w:val="24"/>
          <w:shd w:val="clear" w:color="auto" w:fill="FFFFFF"/>
        </w:rPr>
        <w:t>”</w:t>
      </w:r>
      <w:r w:rsidRPr="000B6B57">
        <w:rPr>
          <w:rFonts w:ascii="Verdana" w:eastAsia="Times New Roman" w:hAnsi="Verdana" w:cs="Times New Roman"/>
          <w:bCs/>
          <w:color w:val="000000"/>
          <w:sz w:val="24"/>
          <w:szCs w:val="24"/>
          <w:shd w:val="clear" w:color="auto" w:fill="FFFFFF"/>
          <w:vertAlign w:val="superscript"/>
          <w:lang w:val="en-US"/>
        </w:rPr>
        <w:footnoteReference w:id="65"/>
      </w:r>
      <w:r w:rsidRPr="000B6B57">
        <w:rPr>
          <w:rFonts w:ascii="Verdana" w:eastAsia="Times New Roman" w:hAnsi="Verdana" w:cs="Times New Roman"/>
          <w:bCs/>
          <w:color w:val="000000"/>
          <w:sz w:val="24"/>
          <w:szCs w:val="24"/>
          <w:shd w:val="clear" w:color="auto" w:fill="FFFFFF"/>
        </w:rPr>
        <w:t xml:space="preserve"> sino en un asunto que ha dejado de conocer.</w:t>
      </w:r>
      <w:r w:rsidRPr="000B6B57">
        <w:rPr>
          <w:rFonts w:ascii="Verdana" w:eastAsia="Times New Roman" w:hAnsi="Verdana" w:cs="Times New Roman"/>
          <w:sz w:val="24"/>
          <w:szCs w:val="24"/>
        </w:rPr>
        <w:t xml:space="preserve"> </w:t>
      </w:r>
    </w:p>
    <w:p w14:paraId="639D2D28" w14:textId="77777777" w:rsidR="000B6B57" w:rsidRPr="000B6B57" w:rsidRDefault="000B6B57" w:rsidP="007C15A1">
      <w:pPr>
        <w:numPr>
          <w:ilvl w:val="0"/>
          <w:numId w:val="13"/>
        </w:numPr>
        <w:spacing w:after="120"/>
        <w:ind w:left="927"/>
        <w:contextualSpacing/>
        <w:jc w:val="both"/>
        <w:rPr>
          <w:rFonts w:ascii="Verdana" w:eastAsia="Times New Roman" w:hAnsi="Verdana" w:cs="Times New Roman"/>
          <w:b/>
          <w:sz w:val="24"/>
          <w:szCs w:val="24"/>
          <w:lang w:val="es-ES"/>
        </w:rPr>
      </w:pPr>
      <w:r w:rsidRPr="000B6B57">
        <w:rPr>
          <w:rFonts w:ascii="Verdana" w:eastAsia="Times New Roman" w:hAnsi="Verdana" w:cs="Times New Roman"/>
          <w:b/>
          <w:sz w:val="24"/>
          <w:szCs w:val="24"/>
          <w:lang w:val="es-ES"/>
        </w:rPr>
        <w:t>Facultades de la Corte una vez dictada sentencia.</w:t>
      </w:r>
    </w:p>
    <w:p w14:paraId="1FDA3C50" w14:textId="77777777" w:rsidR="000B6B57" w:rsidRPr="000B6B57" w:rsidRDefault="000B6B57" w:rsidP="000B6B57">
      <w:pPr>
        <w:spacing w:after="120"/>
        <w:jc w:val="both"/>
        <w:rPr>
          <w:rFonts w:ascii="Verdana" w:eastAsia="Times New Roman" w:hAnsi="Verdana" w:cs="Times New Roman"/>
          <w:sz w:val="24"/>
          <w:szCs w:val="24"/>
        </w:rPr>
      </w:pPr>
      <w:r w:rsidRPr="000B6B57">
        <w:rPr>
          <w:rFonts w:ascii="Verdana" w:eastAsia="Times New Roman" w:hAnsi="Verdana" w:cs="Times New Roman"/>
          <w:sz w:val="24"/>
          <w:szCs w:val="24"/>
          <w:lang w:val="es-ES"/>
        </w:rPr>
        <w:t xml:space="preserve">Determinado, entonces, que </w:t>
      </w:r>
      <w:r w:rsidRPr="000B6B57">
        <w:rPr>
          <w:rFonts w:ascii="Verdana" w:eastAsia="Times New Roman" w:hAnsi="Verdana" w:cs="Times New Roman"/>
          <w:sz w:val="24"/>
          <w:szCs w:val="24"/>
        </w:rPr>
        <w:t>la Corte puede decretar de oficio medidas provisionales mientras esté ejerciendo su competencia contenciosa en relación al respectivo caso que le ha sido sometido, procede recordar que éste finaliza, según lo dispuesto en la primera frase del artículo 67 de la Convención</w:t>
      </w:r>
      <w:r w:rsidRPr="000B6B57">
        <w:rPr>
          <w:rFonts w:ascii="Verdana" w:eastAsia="Times New Roman" w:hAnsi="Verdana" w:cs="Times New Roman"/>
          <w:sz w:val="24"/>
          <w:szCs w:val="24"/>
          <w:vertAlign w:val="superscript"/>
          <w:lang w:val="en-US"/>
        </w:rPr>
        <w:footnoteReference w:id="66"/>
      </w:r>
      <w:r w:rsidRPr="000B6B57">
        <w:rPr>
          <w:rFonts w:ascii="Verdana" w:eastAsia="Times New Roman" w:hAnsi="Verdana" w:cs="Times New Roman"/>
          <w:sz w:val="24"/>
          <w:szCs w:val="24"/>
        </w:rPr>
        <w:t xml:space="preserve">, con la sentencia correspondiente, la que, por lo tanto, genera el efecto de cosa juzgada, no pudiendo, por lo tanto, </w:t>
      </w:r>
      <w:r w:rsidRPr="000B6B57">
        <w:rPr>
          <w:rFonts w:ascii="Verdana" w:eastAsia="Times New Roman" w:hAnsi="Verdana" w:cs="Times New Roman"/>
          <w:sz w:val="24"/>
          <w:szCs w:val="24"/>
          <w:lang w:val="es-ES"/>
        </w:rPr>
        <w:t>ser modificada ni aún por la propia Corte.</w:t>
      </w:r>
    </w:p>
    <w:p w14:paraId="1248884E" w14:textId="77777777" w:rsidR="000B6B57" w:rsidRPr="000B6B57" w:rsidRDefault="000B6B57" w:rsidP="000B6B57">
      <w:pPr>
        <w:spacing w:after="120"/>
        <w:jc w:val="both"/>
        <w:rPr>
          <w:rFonts w:ascii="Verdana" w:eastAsia="Times New Roman" w:hAnsi="Verdana" w:cs="Times New Roman"/>
          <w:sz w:val="24"/>
          <w:szCs w:val="24"/>
          <w:lang w:val="es-ES"/>
        </w:rPr>
      </w:pPr>
      <w:r w:rsidRPr="000B6B57">
        <w:rPr>
          <w:rFonts w:ascii="Verdana" w:eastAsia="Times New Roman" w:hAnsi="Verdana" w:cs="Times New Roman"/>
          <w:sz w:val="24"/>
          <w:szCs w:val="24"/>
          <w:lang w:val="es-ES"/>
        </w:rPr>
        <w:t>Efectivamente, en mérito de la necesidad de certeza o de seguridad jurídica y en consideración al principio de derecho público de que únicamente se puede hacer lo que la norma dispone, la Corte solo puede decretar respecto de su sentencia alguna de las resoluciones que inequívocamente se desprenden de las facultades que taxativamente le han sido conferidas.</w:t>
      </w:r>
    </w:p>
    <w:p w14:paraId="03A1D781" w14:textId="77777777" w:rsidR="000B6B57" w:rsidRPr="000B6B57" w:rsidRDefault="000B6B57" w:rsidP="000B6B57">
      <w:pPr>
        <w:spacing w:after="120"/>
        <w:jc w:val="both"/>
        <w:rPr>
          <w:rFonts w:ascii="Verdana" w:eastAsia="Times New Roman" w:hAnsi="Verdana" w:cs="Times New Roman"/>
          <w:sz w:val="24"/>
          <w:szCs w:val="24"/>
          <w:lang w:val="es-ES"/>
        </w:rPr>
      </w:pPr>
      <w:r w:rsidRPr="000B6B57">
        <w:rPr>
          <w:rFonts w:ascii="Verdana" w:eastAsia="Times New Roman" w:hAnsi="Verdana" w:cs="Times New Roman"/>
          <w:sz w:val="24"/>
          <w:szCs w:val="24"/>
          <w:lang w:val="es-ES"/>
        </w:rPr>
        <w:t>Y así, dictada la sentencia de fondo en un caso, la Corte solo puede emitir, si no lo ha hecho, la sentencia de reparaciones y costas</w:t>
      </w:r>
      <w:r w:rsidRPr="000B6B57">
        <w:rPr>
          <w:rFonts w:ascii="Verdana" w:eastAsia="Times New Roman" w:hAnsi="Verdana" w:cs="Times New Roman"/>
          <w:sz w:val="24"/>
          <w:szCs w:val="24"/>
          <w:vertAlign w:val="superscript"/>
          <w:lang w:val="es-ES"/>
        </w:rPr>
        <w:footnoteReference w:id="67"/>
      </w:r>
      <w:r w:rsidRPr="000B6B57">
        <w:rPr>
          <w:rFonts w:ascii="Verdana" w:eastAsia="Times New Roman" w:hAnsi="Verdana" w:cs="Times New Roman"/>
          <w:sz w:val="24"/>
          <w:szCs w:val="24"/>
          <w:lang w:val="es-ES"/>
        </w:rPr>
        <w:t>;</w:t>
      </w:r>
      <w:r w:rsidRPr="000B6B57">
        <w:rPr>
          <w:rFonts w:ascii="Verdana" w:eastAsia="Times New Roman" w:hAnsi="Verdana" w:cs="Arial"/>
          <w:sz w:val="24"/>
          <w:szCs w:val="24"/>
        </w:rPr>
        <w:t xml:space="preserve"> interpretarla</w:t>
      </w:r>
      <w:r w:rsidRPr="000B6B57">
        <w:rPr>
          <w:rFonts w:ascii="Verdana" w:eastAsia="Times New Roman" w:hAnsi="Verdana" w:cs="Arial"/>
          <w:sz w:val="24"/>
          <w:szCs w:val="24"/>
          <w:vertAlign w:val="superscript"/>
          <w:lang w:val="en-US"/>
        </w:rPr>
        <w:footnoteReference w:id="68"/>
      </w:r>
      <w:r w:rsidRPr="000B6B57">
        <w:rPr>
          <w:rFonts w:ascii="Verdana" w:eastAsia="Times New Roman" w:hAnsi="Verdana" w:cs="Arial"/>
          <w:sz w:val="24"/>
          <w:szCs w:val="24"/>
        </w:rPr>
        <w:t>;</w:t>
      </w:r>
      <w:r w:rsidRPr="000B6B57">
        <w:rPr>
          <w:rFonts w:ascii="Verdana" w:eastAsia="Times New Roman" w:hAnsi="Verdana" w:cs="Times New Roman"/>
          <w:sz w:val="24"/>
          <w:szCs w:val="24"/>
          <w:lang w:val="es-ES"/>
        </w:rPr>
        <w:t xml:space="preserve"> </w:t>
      </w:r>
      <w:r w:rsidRPr="000B6B57">
        <w:rPr>
          <w:rFonts w:ascii="Verdana" w:eastAsia="Times New Roman" w:hAnsi="Verdana" w:cs="Arial"/>
          <w:sz w:val="24"/>
          <w:szCs w:val="24"/>
        </w:rPr>
        <w:t xml:space="preserve">enmendar </w:t>
      </w:r>
      <w:r w:rsidRPr="000B6B57">
        <w:rPr>
          <w:rFonts w:ascii="Verdana" w:eastAsia="Times New Roman" w:hAnsi="Verdana" w:cs="Arial"/>
          <w:sz w:val="24"/>
          <w:szCs w:val="24"/>
          <w:lang w:val="es-ES"/>
        </w:rPr>
        <w:t xml:space="preserve">sus errores </w:t>
      </w:r>
      <w:r w:rsidRPr="000B6B57">
        <w:rPr>
          <w:rFonts w:ascii="Verdana" w:eastAsia="Times New Roman" w:hAnsi="Verdana" w:cs="Arial"/>
          <w:sz w:val="24"/>
          <w:szCs w:val="24"/>
        </w:rPr>
        <w:t>notorios, de edición o de cálculo</w:t>
      </w:r>
      <w:r w:rsidRPr="000B6B57">
        <w:rPr>
          <w:rFonts w:ascii="Verdana" w:eastAsia="Times New Roman" w:hAnsi="Verdana" w:cs="Arial"/>
          <w:sz w:val="24"/>
          <w:szCs w:val="24"/>
          <w:vertAlign w:val="superscript"/>
        </w:rPr>
        <w:footnoteReference w:id="69"/>
      </w:r>
      <w:r w:rsidRPr="000B6B57">
        <w:rPr>
          <w:rFonts w:ascii="Verdana" w:eastAsia="Times New Roman" w:hAnsi="Verdana" w:cs="Arial"/>
          <w:sz w:val="24"/>
          <w:szCs w:val="24"/>
        </w:rPr>
        <w:t xml:space="preserve">; </w:t>
      </w:r>
      <w:r w:rsidRPr="000B6B57">
        <w:rPr>
          <w:rFonts w:ascii="Verdana" w:eastAsia="Times New Roman" w:hAnsi="Verdana" w:cs="Times New Roman"/>
          <w:sz w:val="24"/>
          <w:szCs w:val="24"/>
          <w:lang w:val="es-ES"/>
        </w:rPr>
        <w:t>supervisar su cumplimiento</w:t>
      </w:r>
      <w:r w:rsidRPr="000B6B57">
        <w:rPr>
          <w:rFonts w:ascii="Verdana" w:eastAsia="Times New Roman" w:hAnsi="Verdana" w:cs="Times New Roman"/>
          <w:sz w:val="24"/>
          <w:szCs w:val="24"/>
          <w:vertAlign w:val="superscript"/>
          <w:lang w:val="es-ES"/>
        </w:rPr>
        <w:footnoteReference w:id="70"/>
      </w:r>
      <w:r w:rsidRPr="000B6B57">
        <w:rPr>
          <w:rFonts w:ascii="Verdana" w:eastAsia="Times New Roman" w:hAnsi="Verdana" w:cs="Times New Roman"/>
          <w:sz w:val="24"/>
          <w:szCs w:val="24"/>
          <w:lang w:val="es-ES"/>
        </w:rPr>
        <w:t xml:space="preserve"> </w:t>
      </w:r>
      <w:r w:rsidRPr="000B6B57">
        <w:rPr>
          <w:rFonts w:ascii="Verdana" w:eastAsia="Times New Roman" w:hAnsi="Verdana" w:cs="Arial"/>
          <w:sz w:val="24"/>
          <w:szCs w:val="24"/>
        </w:rPr>
        <w:t xml:space="preserve">y, finalmente, incluir en el </w:t>
      </w:r>
      <w:r w:rsidRPr="000B6B57">
        <w:rPr>
          <w:rFonts w:ascii="Verdana" w:eastAsia="Times New Roman" w:hAnsi="Verdana" w:cs="Arial"/>
          <w:sz w:val="24"/>
          <w:szCs w:val="24"/>
        </w:rPr>
        <w:lastRenderedPageBreak/>
        <w:t>Informe Anual que debe remitir a la Asamblea General de los Estados Americanos los casos cuyas sentencias no han sido cumplidas</w:t>
      </w:r>
      <w:r w:rsidRPr="000B6B57">
        <w:rPr>
          <w:rFonts w:ascii="Verdana" w:eastAsia="Times New Roman" w:hAnsi="Verdana" w:cs="Arial"/>
          <w:sz w:val="24"/>
          <w:szCs w:val="24"/>
          <w:vertAlign w:val="superscript"/>
        </w:rPr>
        <w:footnoteReference w:id="71"/>
      </w:r>
      <w:r w:rsidRPr="000B6B57">
        <w:rPr>
          <w:rFonts w:ascii="Verdana" w:eastAsia="Times New Roman" w:hAnsi="Verdana" w:cs="Arial"/>
          <w:sz w:val="24"/>
          <w:szCs w:val="24"/>
        </w:rPr>
        <w:t xml:space="preserve">. </w:t>
      </w:r>
    </w:p>
    <w:p w14:paraId="72D5280F" w14:textId="77777777" w:rsidR="000B6B57" w:rsidRPr="000B6B57" w:rsidRDefault="000B6B57" w:rsidP="000B6B57">
      <w:pPr>
        <w:spacing w:after="120"/>
        <w:jc w:val="both"/>
        <w:rPr>
          <w:rFonts w:ascii="Verdana" w:eastAsia="Times New Roman" w:hAnsi="Verdana" w:cs="Arial"/>
          <w:sz w:val="24"/>
          <w:szCs w:val="24"/>
          <w:lang w:val="es-ES"/>
        </w:rPr>
      </w:pPr>
      <w:r w:rsidRPr="000B6B57">
        <w:rPr>
          <w:rFonts w:ascii="Verdana" w:eastAsia="Times New Roman" w:hAnsi="Verdana" w:cs="Arial"/>
          <w:sz w:val="24"/>
          <w:szCs w:val="24"/>
          <w:lang w:val="es-ES"/>
        </w:rPr>
        <w:t>Se reitera, entonces, que, como puede desprenderse de lo expuesto, las providencias que la Corte puede llevar a cabo o disponer con posterioridad al pronunciamiento de su respectiva sentencia definitiva e inapelable, son expresamente previstas en la normativa aplicable, la que no comprende la  posibilidad de decretar medidas provisionales en tal eventualidad.</w:t>
      </w:r>
    </w:p>
    <w:p w14:paraId="766EAA20" w14:textId="77777777" w:rsidR="000B6B57" w:rsidRPr="000B6B57" w:rsidRDefault="000B6B57" w:rsidP="000B6B57">
      <w:pPr>
        <w:spacing w:after="120"/>
        <w:jc w:val="both"/>
        <w:rPr>
          <w:rFonts w:ascii="Verdana" w:eastAsia="Times New Roman" w:hAnsi="Verdana" w:cs="Arial"/>
          <w:sz w:val="24"/>
          <w:szCs w:val="24"/>
          <w:lang w:val="es-ES"/>
        </w:rPr>
      </w:pPr>
      <w:r w:rsidRPr="000B6B57">
        <w:rPr>
          <w:rFonts w:ascii="Verdana" w:eastAsia="Times New Roman" w:hAnsi="Verdana" w:cs="Arial"/>
          <w:sz w:val="24"/>
          <w:szCs w:val="24"/>
          <w:lang w:val="es-ES"/>
        </w:rPr>
        <w:t>En otras palabras, visto que la posibilidad de dictar medidas provisionales con relación a un caso en donde ya se ha dictado sentencia definitiva e inapelable no se encuentra contemplada en norma alguna, se concluye que la Corte carece de facultad para proceder en tal sentido.</w:t>
      </w:r>
    </w:p>
    <w:p w14:paraId="0E81965F" w14:textId="77777777" w:rsidR="000B6B57" w:rsidRPr="000B6B57" w:rsidRDefault="000B6B57" w:rsidP="000B6B57">
      <w:pPr>
        <w:spacing w:after="120"/>
        <w:jc w:val="both"/>
        <w:rPr>
          <w:rFonts w:ascii="Verdana" w:eastAsia="Times New Roman" w:hAnsi="Verdana" w:cs="Times New Roman"/>
          <w:sz w:val="24"/>
          <w:szCs w:val="24"/>
          <w:lang w:val="es-ES"/>
        </w:rPr>
      </w:pPr>
      <w:r w:rsidRPr="000B6B57">
        <w:rPr>
          <w:rFonts w:ascii="Verdana" w:eastAsia="Times New Roman" w:hAnsi="Verdana" w:cs="Times New Roman"/>
          <w:sz w:val="24"/>
          <w:szCs w:val="24"/>
          <w:lang w:val="es-ES"/>
        </w:rPr>
        <w:t xml:space="preserve">Lo indicado implica, igualmente, que es en ejercicio de su competencia contenciosa que la Corte decreta tanto sentencias como medidas provisionales y que estas últimas son concebidas, no solo como excepcionales, sino también como transitorias hasta que la Corte resuelva el correspondiente caso. </w:t>
      </w:r>
    </w:p>
    <w:p w14:paraId="1C728106" w14:textId="77777777" w:rsidR="000B6B57" w:rsidRDefault="000B6B57" w:rsidP="000B6B57">
      <w:pPr>
        <w:spacing w:after="120"/>
        <w:jc w:val="both"/>
        <w:rPr>
          <w:rFonts w:ascii="Verdana" w:eastAsia="Times New Roman" w:hAnsi="Verdana" w:cs="Times New Roman"/>
          <w:bCs/>
          <w:color w:val="000000"/>
          <w:sz w:val="24"/>
          <w:szCs w:val="24"/>
          <w:shd w:val="clear" w:color="auto" w:fill="FFFFFF"/>
        </w:rPr>
      </w:pPr>
      <w:r w:rsidRPr="000B6B57">
        <w:rPr>
          <w:rFonts w:ascii="Verdana" w:eastAsia="Times New Roman" w:hAnsi="Verdana" w:cs="Times New Roman"/>
          <w:sz w:val="24"/>
          <w:szCs w:val="24"/>
          <w:lang w:val="es-ES"/>
        </w:rPr>
        <w:t xml:space="preserve">Pues bien, en mérito de que las medidas provisionales en cuestión fueron requeridas y concedidas en autos con relación al </w:t>
      </w:r>
      <w:r w:rsidRPr="000B6B57">
        <w:rPr>
          <w:rFonts w:ascii="Verdana" w:eastAsia="Times New Roman" w:hAnsi="Verdana" w:cs="Times New Roman"/>
          <w:bCs/>
          <w:i/>
          <w:color w:val="000000"/>
          <w:sz w:val="24"/>
          <w:szCs w:val="24"/>
          <w:shd w:val="clear" w:color="auto" w:fill="FFFFFF"/>
        </w:rPr>
        <w:t>Caso Durand y Ugarte Vs. Perú</w:t>
      </w:r>
      <w:r w:rsidRPr="000B6B57">
        <w:rPr>
          <w:rFonts w:ascii="Verdana" w:eastAsia="Times New Roman" w:hAnsi="Verdana" w:cs="Times New Roman"/>
          <w:bCs/>
          <w:color w:val="000000"/>
          <w:sz w:val="24"/>
          <w:szCs w:val="24"/>
          <w:shd w:val="clear" w:color="auto" w:fill="FFFFFF"/>
        </w:rPr>
        <w:t xml:space="preserve"> en el que ya se había dictado sentencia definitiva</w:t>
      </w:r>
      <w:r w:rsidRPr="000B6B57">
        <w:rPr>
          <w:rFonts w:ascii="Verdana" w:eastAsia="Times New Roman" w:hAnsi="Verdana" w:cs="Times New Roman"/>
          <w:bCs/>
          <w:color w:val="000000"/>
          <w:sz w:val="24"/>
          <w:szCs w:val="24"/>
          <w:shd w:val="clear" w:color="auto" w:fill="FFFFFF"/>
          <w:vertAlign w:val="superscript"/>
          <w:lang w:val="en-US"/>
        </w:rPr>
        <w:footnoteReference w:id="72"/>
      </w:r>
      <w:r w:rsidRPr="000B6B57">
        <w:rPr>
          <w:rFonts w:ascii="Verdana" w:eastAsia="Times New Roman" w:hAnsi="Verdana" w:cs="Times New Roman"/>
          <w:bCs/>
          <w:color w:val="000000"/>
          <w:sz w:val="24"/>
          <w:szCs w:val="24"/>
          <w:shd w:val="clear" w:color="auto" w:fill="FFFFFF"/>
        </w:rPr>
        <w:t>, resulta evidente que ellas no eran procedentes.</w:t>
      </w:r>
    </w:p>
    <w:p w14:paraId="0A745AD8" w14:textId="77777777" w:rsidR="00833000" w:rsidRPr="000B6B57" w:rsidRDefault="00833000" w:rsidP="000B6B57">
      <w:pPr>
        <w:spacing w:after="120"/>
        <w:jc w:val="both"/>
        <w:rPr>
          <w:rFonts w:ascii="Verdana" w:eastAsia="Times New Roman" w:hAnsi="Verdana" w:cs="Times New Roman"/>
          <w:bCs/>
          <w:color w:val="000000"/>
          <w:sz w:val="24"/>
          <w:szCs w:val="24"/>
          <w:shd w:val="clear" w:color="auto" w:fill="FFFFFF"/>
        </w:rPr>
      </w:pPr>
    </w:p>
    <w:p w14:paraId="6FCC73BB" w14:textId="77777777" w:rsidR="000B6B57" w:rsidRPr="000B6B57" w:rsidRDefault="000B6B57" w:rsidP="000B6B57">
      <w:pPr>
        <w:spacing w:after="120"/>
        <w:jc w:val="both"/>
        <w:rPr>
          <w:rFonts w:ascii="Verdana" w:eastAsia="Times New Roman" w:hAnsi="Verdana" w:cs="Times New Roman"/>
          <w:sz w:val="24"/>
          <w:szCs w:val="24"/>
          <w:lang w:val="es-ES"/>
        </w:rPr>
      </w:pPr>
    </w:p>
    <w:p w14:paraId="1180C1C0" w14:textId="77777777" w:rsidR="000B6B57" w:rsidRPr="000B6B57" w:rsidRDefault="000B6B57" w:rsidP="007C15A1">
      <w:pPr>
        <w:numPr>
          <w:ilvl w:val="0"/>
          <w:numId w:val="13"/>
        </w:numPr>
        <w:spacing w:before="120" w:after="120"/>
        <w:contextualSpacing/>
        <w:jc w:val="both"/>
        <w:rPr>
          <w:rFonts w:ascii="Verdana" w:eastAsia="Times New Roman" w:hAnsi="Verdana" w:cs="Times New Roman"/>
          <w:b/>
          <w:sz w:val="24"/>
          <w:szCs w:val="24"/>
          <w:lang w:val="es-ES"/>
        </w:rPr>
      </w:pPr>
      <w:r w:rsidRPr="000B6B57">
        <w:rPr>
          <w:rFonts w:ascii="Verdana" w:eastAsia="Times New Roman" w:hAnsi="Verdana" w:cs="Times New Roman"/>
          <w:b/>
          <w:sz w:val="24"/>
          <w:szCs w:val="24"/>
          <w:lang w:val="es-ES"/>
        </w:rPr>
        <w:lastRenderedPageBreak/>
        <w:t>Algunas consecuencias de la dictación de medidas provisionales con posterioridad a la sentencia.</w:t>
      </w:r>
    </w:p>
    <w:p w14:paraId="13959D1F" w14:textId="77777777" w:rsidR="000B6B57" w:rsidRPr="000B6B57" w:rsidRDefault="000B6B57" w:rsidP="000B6B57">
      <w:pPr>
        <w:spacing w:after="120"/>
        <w:jc w:val="both"/>
        <w:rPr>
          <w:rFonts w:ascii="Verdana" w:eastAsia="Times New Roman" w:hAnsi="Verdana" w:cs="Arial"/>
          <w:sz w:val="24"/>
          <w:szCs w:val="24"/>
        </w:rPr>
      </w:pPr>
      <w:r w:rsidRPr="000B6B57">
        <w:rPr>
          <w:rFonts w:ascii="Verdana" w:eastAsia="Times New Roman" w:hAnsi="Verdana" w:cs="Arial"/>
          <w:sz w:val="24"/>
          <w:szCs w:val="24"/>
        </w:rPr>
        <w:t>A mayor abundamiento y en términos generales, se podría sostener que, de aceptarse que la Corte tendría la facultad de disponer medidas provisionales una vez ya dictada la Sentencia, como acontece en autos, ello podría acarrear consecuencias no deseadas o improcedentes, algunas de las cuales se detallan seguidamente.</w:t>
      </w:r>
    </w:p>
    <w:p w14:paraId="6DB974D7" w14:textId="77777777" w:rsidR="000B6B57" w:rsidRPr="000B6B57" w:rsidRDefault="000B6B57" w:rsidP="000B6B57">
      <w:pPr>
        <w:spacing w:after="120"/>
        <w:jc w:val="both"/>
        <w:rPr>
          <w:rFonts w:ascii="Verdana" w:eastAsia="Times New Roman" w:hAnsi="Verdana" w:cs="Arial"/>
          <w:sz w:val="24"/>
          <w:szCs w:val="24"/>
        </w:rPr>
      </w:pPr>
      <w:r w:rsidRPr="000B6B57">
        <w:rPr>
          <w:rFonts w:ascii="Verdana" w:eastAsia="Times New Roman" w:hAnsi="Verdana" w:cs="Arial"/>
          <w:sz w:val="24"/>
          <w:szCs w:val="24"/>
        </w:rPr>
        <w:t xml:space="preserve">Por de pronto, en tal eventualidad, las medidas provisionales no serían tales, es decir, no estarían limitadas en el tiempo, no serían transitorias, pasajeras, temporales (o) circunstanciales, que es lo que las caracteriza. En otras palabras, al dictarse a pesar de que el </w:t>
      </w:r>
      <w:r w:rsidRPr="000B6B57">
        <w:rPr>
          <w:rFonts w:ascii="Verdana" w:eastAsia="Times New Roman" w:hAnsi="Verdana" w:cs="Times New Roman"/>
          <w:bCs/>
          <w:i/>
          <w:color w:val="000000"/>
          <w:sz w:val="24"/>
          <w:szCs w:val="24"/>
          <w:shd w:val="clear" w:color="auto" w:fill="FFFFFF"/>
        </w:rPr>
        <w:t>Caso Durand y Ugarte Vs. Perú</w:t>
      </w:r>
      <w:r w:rsidRPr="000B6B57">
        <w:rPr>
          <w:rFonts w:ascii="Verdana" w:eastAsia="Times New Roman" w:hAnsi="Verdana" w:cs="Arial"/>
          <w:sz w:val="24"/>
          <w:szCs w:val="24"/>
        </w:rPr>
        <w:t xml:space="preserve"> haya terminado por sentencia definitiva e inapelable, no hay parámetro que permita determinar la provisionalidad de aquellas, lo que hace que se transformen, en realidad, en permanentes.</w:t>
      </w:r>
    </w:p>
    <w:p w14:paraId="7EC4605A" w14:textId="77777777" w:rsidR="000B6B57" w:rsidRPr="000B6B57" w:rsidRDefault="000B6B57" w:rsidP="000B6B57">
      <w:pPr>
        <w:spacing w:after="120"/>
        <w:jc w:val="both"/>
        <w:rPr>
          <w:rFonts w:ascii="Verdana" w:eastAsia="Times New Roman" w:hAnsi="Verdana" w:cs="Tahoma"/>
          <w:i/>
          <w:sz w:val="24"/>
          <w:szCs w:val="24"/>
        </w:rPr>
      </w:pPr>
      <w:r w:rsidRPr="000B6B57">
        <w:rPr>
          <w:rFonts w:ascii="Verdana" w:eastAsia="Times New Roman" w:hAnsi="Verdana" w:cs="Arial"/>
          <w:sz w:val="24"/>
          <w:szCs w:val="24"/>
        </w:rPr>
        <w:t>Por otra parte, con lo resuelto, el juicio ya finalizado por sentencia definitiva e inapelable, en la práctica se prolonga despojando a esta última de su principal efecto, cual es, precisamente el de finalizar el correspondiente caso, otorgándole el efecto de cosa juzgada.</w:t>
      </w:r>
      <w:r w:rsidRPr="000B6B57">
        <w:rPr>
          <w:rFonts w:ascii="Verdana" w:eastAsia="Times New Roman" w:hAnsi="Verdana" w:cs="Tahoma"/>
          <w:i/>
          <w:sz w:val="24"/>
          <w:szCs w:val="24"/>
        </w:rPr>
        <w:t xml:space="preserve"> </w:t>
      </w:r>
    </w:p>
    <w:p w14:paraId="4EB14D76" w14:textId="77777777" w:rsidR="000B6B57" w:rsidRPr="000B6B57" w:rsidRDefault="000B6B57" w:rsidP="000B6B57">
      <w:pPr>
        <w:spacing w:after="120"/>
        <w:jc w:val="both"/>
        <w:rPr>
          <w:rFonts w:ascii="Verdana" w:eastAsia="Times New Roman" w:hAnsi="Verdana" w:cs="Tahoma"/>
          <w:sz w:val="24"/>
          <w:szCs w:val="24"/>
        </w:rPr>
      </w:pPr>
      <w:r w:rsidRPr="000B6B57">
        <w:rPr>
          <w:rFonts w:ascii="Verdana" w:eastAsia="Times New Roman" w:hAnsi="Verdana" w:cs="Tahoma"/>
          <w:sz w:val="24"/>
          <w:szCs w:val="24"/>
        </w:rPr>
        <w:t>Es decir, la adopción de medidas provisionales con relación al</w:t>
      </w:r>
      <w:r w:rsidRPr="000B6B57">
        <w:rPr>
          <w:rFonts w:ascii="Verdana" w:eastAsia="Times New Roman" w:hAnsi="Verdana" w:cs="Times New Roman"/>
          <w:bCs/>
          <w:i/>
          <w:color w:val="000000"/>
          <w:sz w:val="24"/>
          <w:szCs w:val="24"/>
          <w:shd w:val="clear" w:color="auto" w:fill="FFFFFF"/>
        </w:rPr>
        <w:t xml:space="preserve"> Caso Durand y Ugarte Vs. Perú,</w:t>
      </w:r>
      <w:r w:rsidRPr="000B6B57">
        <w:rPr>
          <w:rFonts w:ascii="Verdana" w:eastAsia="Times New Roman" w:hAnsi="Verdana" w:cs="Tahoma"/>
          <w:sz w:val="24"/>
          <w:szCs w:val="24"/>
        </w:rPr>
        <w:t xml:space="preserve"> es una demostración indiscutible de que la dictación de la sentencia definitiva e inapelable en él</w:t>
      </w:r>
      <w:r w:rsidRPr="000B6B57">
        <w:rPr>
          <w:rFonts w:ascii="Verdana" w:eastAsia="Times New Roman" w:hAnsi="Verdana" w:cs="Times New Roman"/>
          <w:bCs/>
          <w:i/>
          <w:color w:val="000000"/>
          <w:sz w:val="24"/>
          <w:szCs w:val="24"/>
          <w:shd w:val="clear" w:color="auto" w:fill="FFFFFF"/>
        </w:rPr>
        <w:t>,</w:t>
      </w:r>
      <w:r w:rsidRPr="000B6B57">
        <w:rPr>
          <w:rFonts w:ascii="Verdana" w:eastAsia="Times New Roman" w:hAnsi="Verdana" w:cs="Times New Roman"/>
          <w:bCs/>
          <w:color w:val="000000"/>
          <w:sz w:val="24"/>
          <w:szCs w:val="24"/>
          <w:shd w:val="clear" w:color="auto" w:fill="FFFFFF"/>
        </w:rPr>
        <w:t xml:space="preserve"> </w:t>
      </w:r>
      <w:r w:rsidRPr="000B6B57">
        <w:rPr>
          <w:rFonts w:ascii="Verdana" w:eastAsia="Times New Roman" w:hAnsi="Verdana" w:cs="Tahoma"/>
          <w:sz w:val="24"/>
          <w:szCs w:val="24"/>
        </w:rPr>
        <w:t xml:space="preserve">fue insuficiente para lograr que </w:t>
      </w:r>
      <w:r w:rsidRPr="000B6B57">
        <w:rPr>
          <w:rFonts w:ascii="Verdana" w:eastAsia="Times New Roman" w:hAnsi="Verdana" w:cs="Arial"/>
          <w:sz w:val="24"/>
          <w:szCs w:val="24"/>
        </w:rPr>
        <w:t>“</w:t>
      </w:r>
      <w:r w:rsidRPr="000B6B57">
        <w:rPr>
          <w:rFonts w:ascii="Verdana" w:eastAsia="Times New Roman" w:hAnsi="Verdana" w:cs="Tahoma"/>
          <w:i/>
          <w:sz w:val="24"/>
          <w:szCs w:val="24"/>
        </w:rPr>
        <w:t>se garantice al lesionado en el goce de su derecho o libertad conculcado(s)”</w:t>
      </w:r>
      <w:r w:rsidRPr="000B6B57">
        <w:rPr>
          <w:rFonts w:ascii="Verdana" w:eastAsia="Times New Roman" w:hAnsi="Verdana" w:cs="Tahoma"/>
          <w:i/>
          <w:sz w:val="24"/>
          <w:szCs w:val="24"/>
          <w:vertAlign w:val="superscript"/>
          <w:lang w:val="en-US"/>
        </w:rPr>
        <w:footnoteReference w:id="73"/>
      </w:r>
      <w:r w:rsidRPr="000B6B57">
        <w:rPr>
          <w:rFonts w:ascii="Verdana" w:eastAsia="Times New Roman" w:hAnsi="Verdana" w:cs="Tahoma"/>
          <w:i/>
          <w:sz w:val="24"/>
          <w:szCs w:val="24"/>
        </w:rPr>
        <w:t>.</w:t>
      </w:r>
    </w:p>
    <w:p w14:paraId="02F58FF2" w14:textId="77777777" w:rsidR="000B6B57" w:rsidRPr="000B6B57" w:rsidRDefault="000B6B57" w:rsidP="007C15A1">
      <w:pPr>
        <w:numPr>
          <w:ilvl w:val="0"/>
          <w:numId w:val="15"/>
        </w:numPr>
        <w:spacing w:after="120"/>
        <w:ind w:left="1003"/>
        <w:contextualSpacing/>
        <w:jc w:val="both"/>
        <w:rPr>
          <w:rFonts w:ascii="Verdana" w:eastAsia="Times New Roman" w:hAnsi="Verdana" w:cs="Times New Roman"/>
          <w:b/>
          <w:bCs/>
          <w:color w:val="000000"/>
          <w:sz w:val="24"/>
          <w:szCs w:val="24"/>
          <w:shd w:val="clear" w:color="auto" w:fill="FFFFFF"/>
        </w:rPr>
      </w:pPr>
      <w:r w:rsidRPr="000B6B57">
        <w:rPr>
          <w:rFonts w:ascii="Verdana" w:eastAsia="Times New Roman" w:hAnsi="Verdana" w:cs="Times New Roman"/>
          <w:b/>
          <w:bCs/>
          <w:color w:val="000000"/>
          <w:sz w:val="24"/>
          <w:szCs w:val="24"/>
          <w:shd w:val="clear" w:color="auto" w:fill="FFFFFF"/>
        </w:rPr>
        <w:t>Desvinculación de las medidas provisionales con el Caso Durand y Ugarte Vs. Perú.</w:t>
      </w:r>
    </w:p>
    <w:p w14:paraId="219FF5DB" w14:textId="77777777" w:rsidR="000B6B57" w:rsidRPr="000B6B57" w:rsidRDefault="000B6B57" w:rsidP="000B6B57">
      <w:pPr>
        <w:spacing w:after="120"/>
        <w:jc w:val="both"/>
        <w:rPr>
          <w:rFonts w:ascii="Verdana" w:eastAsia="Times New Roman" w:hAnsi="Verdana" w:cs="Tahoma"/>
          <w:sz w:val="24"/>
          <w:szCs w:val="24"/>
        </w:rPr>
      </w:pPr>
      <w:r w:rsidRPr="000B6B57">
        <w:rPr>
          <w:rFonts w:ascii="Verdana" w:eastAsia="Times New Roman" w:hAnsi="Verdana" w:cs="Times New Roman"/>
          <w:bCs/>
          <w:color w:val="000000"/>
          <w:sz w:val="24"/>
          <w:szCs w:val="24"/>
          <w:shd w:val="clear" w:color="auto" w:fill="FFFFFF"/>
        </w:rPr>
        <w:t xml:space="preserve">Por otra parte, se debe tener presente que las medidas provisionales de autos no tienen vinculación con el </w:t>
      </w:r>
      <w:r w:rsidRPr="000B6B57">
        <w:rPr>
          <w:rFonts w:ascii="Verdana" w:eastAsia="Times New Roman" w:hAnsi="Verdana" w:cs="Times New Roman"/>
          <w:bCs/>
          <w:i/>
          <w:color w:val="000000"/>
          <w:sz w:val="24"/>
          <w:szCs w:val="24"/>
          <w:shd w:val="clear" w:color="auto" w:fill="FFFFFF"/>
        </w:rPr>
        <w:t>Caso Durand y Ugarte Vs. Perú.</w:t>
      </w:r>
      <w:r w:rsidRPr="000B6B57">
        <w:rPr>
          <w:rFonts w:ascii="Verdana" w:eastAsia="Times New Roman" w:hAnsi="Verdana" w:cs="Times New Roman"/>
          <w:bCs/>
          <w:color w:val="000000"/>
          <w:sz w:val="24"/>
          <w:szCs w:val="24"/>
          <w:shd w:val="clear" w:color="auto" w:fill="FFFFFF"/>
        </w:rPr>
        <w:t xml:space="preserve"> Ello queda en evidencia al considerarse los beneficiarios de aquellas, su objeto o finalidad y </w:t>
      </w:r>
      <w:r w:rsidRPr="000B6B57">
        <w:rPr>
          <w:rFonts w:ascii="Verdana" w:eastAsia="Times New Roman" w:hAnsi="Verdana" w:cs="Tahoma"/>
          <w:sz w:val="24"/>
          <w:szCs w:val="24"/>
        </w:rPr>
        <w:t>el momento procesal en que se decretan.</w:t>
      </w:r>
    </w:p>
    <w:p w14:paraId="10A79C38" w14:textId="77777777" w:rsidR="000B6B57" w:rsidRPr="000B6B57" w:rsidRDefault="000B6B57" w:rsidP="007C15A1">
      <w:pPr>
        <w:numPr>
          <w:ilvl w:val="0"/>
          <w:numId w:val="14"/>
        </w:numPr>
        <w:spacing w:before="120" w:after="120"/>
        <w:ind w:left="643"/>
        <w:contextualSpacing/>
        <w:jc w:val="both"/>
        <w:rPr>
          <w:rFonts w:ascii="Verdana" w:eastAsia="Times New Roman" w:hAnsi="Verdana" w:cs="Times New Roman"/>
          <w:bCs/>
          <w:color w:val="000000"/>
          <w:sz w:val="24"/>
          <w:szCs w:val="24"/>
          <w:shd w:val="clear" w:color="auto" w:fill="FFFFFF"/>
        </w:rPr>
      </w:pPr>
      <w:r w:rsidRPr="000B6B57">
        <w:rPr>
          <w:rFonts w:ascii="Verdana" w:eastAsia="Times New Roman" w:hAnsi="Verdana" w:cs="Times New Roman"/>
          <w:b/>
          <w:bCs/>
          <w:color w:val="000000"/>
          <w:sz w:val="24"/>
          <w:szCs w:val="24"/>
          <w:shd w:val="clear" w:color="auto" w:fill="FFFFFF"/>
        </w:rPr>
        <w:t>Beneficiarios.</w:t>
      </w:r>
    </w:p>
    <w:p w14:paraId="2CCDBBA1" w14:textId="77777777" w:rsidR="00833000" w:rsidRDefault="000B6B57" w:rsidP="000B6B57">
      <w:pPr>
        <w:spacing w:after="120"/>
        <w:jc w:val="both"/>
        <w:rPr>
          <w:rFonts w:ascii="Verdana" w:eastAsia="Times New Roman" w:hAnsi="Verdana" w:cs="Tahoma"/>
          <w:sz w:val="24"/>
          <w:szCs w:val="24"/>
        </w:rPr>
      </w:pPr>
      <w:r w:rsidRPr="000B6B57">
        <w:rPr>
          <w:rFonts w:ascii="Verdana" w:eastAsia="Times New Roman" w:hAnsi="Verdana" w:cs="Tahoma"/>
          <w:sz w:val="24"/>
          <w:szCs w:val="24"/>
        </w:rPr>
        <w:t>Como ya se afirmó, las medidas provisionales decretadas en autos, formalmente lo fueron en beneficio de</w:t>
      </w:r>
      <w:r w:rsidRPr="000B6B57">
        <w:rPr>
          <w:rFonts w:ascii="Verdana" w:eastAsia="Times New Roman" w:hAnsi="Verdana" w:cs="Times New Roman"/>
          <w:bCs/>
          <w:color w:val="000000"/>
          <w:sz w:val="24"/>
          <w:szCs w:val="24"/>
          <w:shd w:val="clear" w:color="auto" w:fill="FFFFFF"/>
        </w:rPr>
        <w:t xml:space="preserve"> las víctimas</w:t>
      </w:r>
      <w:r w:rsidRPr="000B6B57">
        <w:rPr>
          <w:rFonts w:ascii="Verdana" w:eastAsia="Times New Roman" w:hAnsi="Verdana" w:cs="Tahoma"/>
          <w:sz w:val="24"/>
          <w:szCs w:val="24"/>
        </w:rPr>
        <w:t xml:space="preserve"> del </w:t>
      </w:r>
      <w:r w:rsidRPr="000B6B57">
        <w:rPr>
          <w:rFonts w:ascii="Verdana" w:eastAsia="Times New Roman" w:hAnsi="Verdana" w:cs="Times New Roman"/>
          <w:bCs/>
          <w:i/>
          <w:color w:val="000000"/>
          <w:sz w:val="24"/>
          <w:szCs w:val="24"/>
          <w:shd w:val="clear" w:color="auto" w:fill="FFFFFF"/>
        </w:rPr>
        <w:t>Caso Durand y Ugarte Vs. Perú</w:t>
      </w:r>
      <w:r w:rsidRPr="000B6B57">
        <w:rPr>
          <w:rFonts w:ascii="Verdana" w:eastAsia="Times New Roman" w:hAnsi="Verdana" w:cs="Times New Roman"/>
          <w:bCs/>
          <w:i/>
          <w:color w:val="000000"/>
          <w:sz w:val="24"/>
          <w:szCs w:val="24"/>
          <w:shd w:val="clear" w:color="auto" w:fill="FFFFFF"/>
          <w:vertAlign w:val="superscript"/>
        </w:rPr>
        <w:footnoteReference w:id="74"/>
      </w:r>
      <w:r w:rsidRPr="000B6B57">
        <w:rPr>
          <w:rFonts w:ascii="Verdana" w:eastAsia="Times New Roman" w:hAnsi="Verdana" w:cs="Times New Roman"/>
          <w:bCs/>
          <w:color w:val="000000"/>
          <w:sz w:val="24"/>
          <w:szCs w:val="24"/>
          <w:shd w:val="clear" w:color="auto" w:fill="FFFFFF"/>
        </w:rPr>
        <w:t xml:space="preserve">, en circunstancia de que, </w:t>
      </w:r>
      <w:r w:rsidRPr="000B6B57">
        <w:rPr>
          <w:rFonts w:ascii="Verdana" w:eastAsia="Times New Roman" w:hAnsi="Verdana" w:cs="Tahoma"/>
          <w:sz w:val="24"/>
          <w:szCs w:val="24"/>
        </w:rPr>
        <w:t xml:space="preserve">en realidad, los beneficiarios </w:t>
      </w:r>
    </w:p>
    <w:p w14:paraId="0920C9AB" w14:textId="6BA3DAF0" w:rsidR="000B6B57" w:rsidRPr="000B6B57" w:rsidRDefault="000B6B57" w:rsidP="000B6B57">
      <w:pPr>
        <w:spacing w:after="120"/>
        <w:jc w:val="both"/>
        <w:rPr>
          <w:rFonts w:ascii="Verdana" w:eastAsia="Times New Roman" w:hAnsi="Verdana" w:cs="Times New Roman"/>
          <w:bCs/>
          <w:color w:val="000000"/>
          <w:sz w:val="24"/>
          <w:szCs w:val="24"/>
          <w:shd w:val="clear" w:color="auto" w:fill="FFFFFF"/>
        </w:rPr>
      </w:pPr>
      <w:r w:rsidRPr="000B6B57">
        <w:rPr>
          <w:rFonts w:ascii="Verdana" w:eastAsia="Times New Roman" w:hAnsi="Verdana" w:cs="Tahoma"/>
          <w:sz w:val="24"/>
          <w:szCs w:val="24"/>
        </w:rPr>
        <w:lastRenderedPageBreak/>
        <w:t>son los cuatro magistrados del Tribunal Constitucional del Perú</w:t>
      </w:r>
      <w:r w:rsidRPr="000B6B57">
        <w:rPr>
          <w:rFonts w:ascii="Verdana" w:eastAsia="Times New Roman" w:hAnsi="Verdana" w:cs="Times New Roman"/>
          <w:sz w:val="24"/>
          <w:szCs w:val="24"/>
          <w:vertAlign w:val="superscript"/>
        </w:rPr>
        <w:footnoteReference w:id="75"/>
      </w:r>
      <w:r w:rsidRPr="000B6B57">
        <w:rPr>
          <w:rFonts w:ascii="Verdana" w:eastAsia="Times New Roman" w:hAnsi="Verdana" w:cs="Tahoma"/>
          <w:sz w:val="24"/>
          <w:szCs w:val="24"/>
        </w:rPr>
        <w:t>, dado que la medida decretada, es decir, el archivo de la acusación constitucional</w:t>
      </w:r>
      <w:r w:rsidRPr="000B6B57">
        <w:rPr>
          <w:rFonts w:ascii="Verdana" w:eastAsia="Times New Roman" w:hAnsi="Verdana" w:cs="Tahoma"/>
          <w:sz w:val="24"/>
          <w:szCs w:val="24"/>
          <w:vertAlign w:val="superscript"/>
        </w:rPr>
        <w:footnoteReference w:id="76"/>
      </w:r>
      <w:r w:rsidRPr="000B6B57">
        <w:rPr>
          <w:rFonts w:ascii="Verdana" w:eastAsia="Times New Roman" w:hAnsi="Verdana" w:cs="Tahoma"/>
          <w:sz w:val="24"/>
          <w:szCs w:val="24"/>
        </w:rPr>
        <w:t>, les aprovecha directamente a ellos al impedir de ese modo que sean sancionados. Es por tal motivo que se puede sostener que la Resolución incurre en error al señalar que la medida provisional los beneficia “</w:t>
      </w:r>
      <w:r w:rsidRPr="000B6B57">
        <w:rPr>
          <w:rFonts w:ascii="Verdana" w:eastAsia="Times New Roman" w:hAnsi="Verdana" w:cs="Tahoma"/>
          <w:i/>
          <w:sz w:val="24"/>
          <w:szCs w:val="24"/>
        </w:rPr>
        <w:t>de manera  indirecta</w:t>
      </w:r>
      <w:r w:rsidRPr="000B6B57">
        <w:rPr>
          <w:rFonts w:ascii="Verdana" w:eastAsia="Times New Roman" w:hAnsi="Verdana" w:cs="Tahoma"/>
          <w:sz w:val="24"/>
          <w:szCs w:val="24"/>
        </w:rPr>
        <w:t xml:space="preserve">”, desconociendo que, por el contrario, lo hace directamente y que son las víctimas del señalado caso las que podrían indirectamente obtener provecho de las eventuales consecuencias </w:t>
      </w:r>
      <w:r w:rsidRPr="000B6B57">
        <w:rPr>
          <w:rFonts w:ascii="Verdana" w:eastAsia="Times New Roman" w:hAnsi="Verdana" w:cs="Times New Roman"/>
          <w:bCs/>
          <w:color w:val="000000"/>
          <w:sz w:val="24"/>
          <w:szCs w:val="24"/>
          <w:shd w:val="clear" w:color="auto" w:fill="FFFFFF"/>
        </w:rPr>
        <w:t>de la misma.</w:t>
      </w:r>
    </w:p>
    <w:p w14:paraId="49E556E0" w14:textId="77777777" w:rsidR="000B6B57" w:rsidRPr="000B6B57" w:rsidRDefault="000B6B57" w:rsidP="007C15A1">
      <w:pPr>
        <w:numPr>
          <w:ilvl w:val="0"/>
          <w:numId w:val="14"/>
        </w:numPr>
        <w:spacing w:after="120"/>
        <w:ind w:left="643"/>
        <w:contextualSpacing/>
        <w:jc w:val="both"/>
        <w:rPr>
          <w:rFonts w:ascii="Verdana" w:eastAsia="Times New Roman" w:hAnsi="Verdana" w:cs="Tahoma"/>
          <w:b/>
          <w:sz w:val="24"/>
          <w:szCs w:val="24"/>
        </w:rPr>
      </w:pPr>
      <w:r w:rsidRPr="000B6B57">
        <w:rPr>
          <w:rFonts w:ascii="Verdana" w:eastAsia="Times New Roman" w:hAnsi="Verdana" w:cs="Times New Roman"/>
          <w:b/>
          <w:bCs/>
          <w:color w:val="000000"/>
          <w:sz w:val="24"/>
          <w:szCs w:val="24"/>
          <w:shd w:val="clear" w:color="auto" w:fill="FFFFFF"/>
        </w:rPr>
        <w:t>Objeto o finalidad.</w:t>
      </w:r>
    </w:p>
    <w:p w14:paraId="7E429A3A" w14:textId="77777777" w:rsidR="000B6B57" w:rsidRPr="000B6B57" w:rsidRDefault="000B6B57" w:rsidP="000B6B57">
      <w:pPr>
        <w:spacing w:after="120"/>
        <w:jc w:val="both"/>
        <w:rPr>
          <w:rFonts w:ascii="Verdana" w:eastAsia="Times New Roman" w:hAnsi="Verdana" w:cs="Times New Roman"/>
          <w:bCs/>
          <w:color w:val="000000"/>
          <w:sz w:val="24"/>
          <w:szCs w:val="24"/>
          <w:shd w:val="clear" w:color="auto" w:fill="FFFFFF"/>
        </w:rPr>
      </w:pPr>
      <w:r w:rsidRPr="000B6B57">
        <w:rPr>
          <w:rFonts w:ascii="Verdana" w:eastAsia="Times New Roman" w:hAnsi="Verdana" w:cs="Tahoma"/>
          <w:sz w:val="24"/>
          <w:szCs w:val="24"/>
        </w:rPr>
        <w:t>El objeto o finalidad</w:t>
      </w:r>
      <w:r w:rsidRPr="000B6B57">
        <w:rPr>
          <w:rFonts w:ascii="Verdana" w:eastAsia="Times New Roman" w:hAnsi="Verdana" w:cs="Times New Roman"/>
          <w:bCs/>
          <w:color w:val="000000"/>
          <w:sz w:val="24"/>
          <w:szCs w:val="24"/>
          <w:shd w:val="clear" w:color="auto" w:fill="FFFFFF"/>
        </w:rPr>
        <w:t xml:space="preserve"> de la medida provisional decretada tampoco se relaciona directamente con el </w:t>
      </w:r>
      <w:r w:rsidRPr="000B6B57">
        <w:rPr>
          <w:rFonts w:ascii="Verdana" w:eastAsia="Times New Roman" w:hAnsi="Verdana" w:cs="Times New Roman"/>
          <w:bCs/>
          <w:i/>
          <w:color w:val="000000"/>
          <w:sz w:val="24"/>
          <w:szCs w:val="24"/>
          <w:shd w:val="clear" w:color="auto" w:fill="FFFFFF"/>
        </w:rPr>
        <w:t xml:space="preserve">Caso Durand y Ugarte Vs. Perú. </w:t>
      </w:r>
      <w:r w:rsidRPr="000B6B57">
        <w:rPr>
          <w:rFonts w:ascii="Verdana" w:eastAsia="Times New Roman" w:hAnsi="Verdana" w:cs="Times New Roman"/>
          <w:bCs/>
          <w:color w:val="000000"/>
          <w:sz w:val="24"/>
          <w:szCs w:val="24"/>
          <w:shd w:val="clear" w:color="auto" w:fill="FFFFFF"/>
        </w:rPr>
        <w:t>En efecto, de la medida provisional que ordena al Estado que“</w:t>
      </w:r>
      <w:r w:rsidRPr="000B6B57">
        <w:rPr>
          <w:rFonts w:ascii="Verdana" w:eastAsia="Times New Roman" w:hAnsi="Verdana" w:cs="Times New Roman"/>
          <w:bCs/>
          <w:i/>
          <w:color w:val="000000"/>
          <w:sz w:val="24"/>
          <w:szCs w:val="24"/>
          <w:shd w:val="clear" w:color="auto" w:fill="FFFFFF"/>
        </w:rPr>
        <w:t>archive el procedimiento de acusación constitucional actualmente seguido ante el Congreso de la República</w:t>
      </w:r>
      <w:r w:rsidRPr="000B6B57">
        <w:rPr>
          <w:rFonts w:ascii="Verdana" w:eastAsia="Times New Roman" w:hAnsi="Verdana" w:cs="Times New Roman"/>
          <w:i/>
          <w:sz w:val="24"/>
          <w:szCs w:val="24"/>
        </w:rPr>
        <w:t xml:space="preserve"> contra los </w:t>
      </w:r>
      <w:r w:rsidRPr="000B6B57">
        <w:rPr>
          <w:rFonts w:ascii="Verdana" w:eastAsia="Times New Roman" w:hAnsi="Verdana" w:cs="Times New Roman"/>
          <w:sz w:val="24"/>
          <w:szCs w:val="24"/>
        </w:rPr>
        <w:t>(aludidos)</w:t>
      </w:r>
      <w:r w:rsidRPr="000B6B57">
        <w:rPr>
          <w:rFonts w:ascii="Verdana" w:eastAsia="Times New Roman" w:hAnsi="Verdana" w:cs="Times New Roman"/>
          <w:i/>
          <w:sz w:val="24"/>
          <w:szCs w:val="24"/>
        </w:rPr>
        <w:t xml:space="preserve"> Magistrados</w:t>
      </w:r>
      <w:r w:rsidRPr="000B6B57">
        <w:rPr>
          <w:rFonts w:ascii="Verdana" w:eastAsia="Times New Roman" w:hAnsi="Verdana" w:cs="Times New Roman"/>
          <w:bCs/>
          <w:color w:val="000000"/>
          <w:sz w:val="24"/>
          <w:szCs w:val="24"/>
          <w:shd w:val="clear" w:color="auto" w:fill="FFFFFF"/>
        </w:rPr>
        <w:t>” del Tribunal Constitucional, la Resolución infiere que la mera continuidad de dichos magistrados en sus cargos, garantizaría que los hechos consignados en la causa serían estimados como crímenes de lesa humanidad</w:t>
      </w:r>
      <w:r w:rsidRPr="000B6B57">
        <w:rPr>
          <w:rFonts w:ascii="Verdana" w:eastAsia="Times New Roman" w:hAnsi="Verdana" w:cs="Times New Roman"/>
          <w:bCs/>
          <w:color w:val="000000"/>
          <w:sz w:val="24"/>
          <w:szCs w:val="24"/>
          <w:shd w:val="clear" w:color="auto" w:fill="FFFFFF"/>
          <w:vertAlign w:val="superscript"/>
          <w:lang w:val="en-US"/>
        </w:rPr>
        <w:footnoteReference w:id="77"/>
      </w:r>
      <w:r w:rsidRPr="000B6B57">
        <w:rPr>
          <w:rFonts w:ascii="Verdana" w:eastAsia="Times New Roman" w:hAnsi="Verdana" w:cs="Times New Roman"/>
          <w:bCs/>
          <w:color w:val="000000"/>
          <w:sz w:val="24"/>
          <w:szCs w:val="24"/>
          <w:shd w:val="clear" w:color="auto" w:fill="FFFFFF"/>
        </w:rPr>
        <w:t>, favoreciendo así a las víctimas del citado caso. Sin embargo, el único objeto cierto y seguro de la medida provisional dispuesta, es el archivo de la acusación constitucional en comento y, por tanto, la permanencia de los individualizados magistrados en sus cargos sería una de sus consecuencias.</w:t>
      </w:r>
    </w:p>
    <w:p w14:paraId="5C238E84" w14:textId="77777777" w:rsidR="000B6B57" w:rsidRPr="000B6B57" w:rsidRDefault="000B6B57" w:rsidP="000B6B57">
      <w:pPr>
        <w:spacing w:after="120"/>
        <w:ind w:left="567"/>
        <w:jc w:val="both"/>
        <w:rPr>
          <w:rFonts w:ascii="Verdana" w:eastAsia="Times New Roman" w:hAnsi="Verdana" w:cs="Tahoma"/>
          <w:b/>
          <w:sz w:val="24"/>
          <w:szCs w:val="24"/>
        </w:rPr>
      </w:pPr>
      <w:r w:rsidRPr="000B6B57">
        <w:rPr>
          <w:rFonts w:ascii="Verdana" w:eastAsia="Times New Roman" w:hAnsi="Verdana" w:cs="Times New Roman"/>
          <w:b/>
          <w:bCs/>
          <w:color w:val="000000"/>
          <w:sz w:val="24"/>
          <w:szCs w:val="24"/>
          <w:shd w:val="clear" w:color="auto" w:fill="FFFFFF"/>
        </w:rPr>
        <w:t>C.</w:t>
      </w:r>
      <w:r w:rsidRPr="000B6B57">
        <w:rPr>
          <w:rFonts w:ascii="Verdana" w:eastAsia="Times New Roman" w:hAnsi="Verdana" w:cs="Tahoma"/>
          <w:b/>
          <w:sz w:val="24"/>
          <w:szCs w:val="24"/>
        </w:rPr>
        <w:t xml:space="preserve"> Momento procesal oportuno.</w:t>
      </w:r>
    </w:p>
    <w:p w14:paraId="5B1F49EC" w14:textId="77777777" w:rsidR="000B6B57" w:rsidRPr="000B6B57" w:rsidRDefault="000B6B57" w:rsidP="000B6B57">
      <w:pPr>
        <w:spacing w:after="120"/>
        <w:jc w:val="both"/>
        <w:rPr>
          <w:rFonts w:ascii="Verdana" w:eastAsia="Times New Roman" w:hAnsi="Verdana" w:cs="Tahoma"/>
          <w:sz w:val="24"/>
          <w:szCs w:val="24"/>
        </w:rPr>
      </w:pPr>
      <w:r w:rsidRPr="000B6B57">
        <w:rPr>
          <w:rFonts w:ascii="Verdana" w:eastAsia="Times New Roman" w:hAnsi="Verdana" w:cs="Tahoma"/>
          <w:sz w:val="24"/>
          <w:szCs w:val="24"/>
        </w:rPr>
        <w:t>En tercer lugar, la petición de medidas provisionales ha sido planteada y éstas han sido concedidas en momento procesal inoportuno. Efectivamente, lo han sido con respecto de una acusación constitucional actualmente en curso, esto es, de un juicio político aún no finalizado</w:t>
      </w:r>
      <w:r w:rsidRPr="000B6B57">
        <w:rPr>
          <w:rFonts w:ascii="Verdana" w:eastAsia="Times New Roman" w:hAnsi="Verdana" w:cs="Tahoma"/>
          <w:sz w:val="24"/>
          <w:szCs w:val="24"/>
          <w:vertAlign w:val="superscript"/>
          <w:lang w:val="en-US"/>
        </w:rPr>
        <w:footnoteReference w:id="78"/>
      </w:r>
      <w:r w:rsidRPr="000B6B57">
        <w:rPr>
          <w:rFonts w:ascii="Verdana" w:eastAsia="Times New Roman" w:hAnsi="Verdana" w:cs="Tahoma"/>
          <w:sz w:val="24"/>
          <w:szCs w:val="24"/>
        </w:rPr>
        <w:t>.</w:t>
      </w:r>
    </w:p>
    <w:p w14:paraId="5A63D91F" w14:textId="77777777" w:rsidR="000B6B57" w:rsidRPr="000B6B57" w:rsidRDefault="000B6B57" w:rsidP="000B6B57">
      <w:pPr>
        <w:spacing w:after="120"/>
        <w:jc w:val="both"/>
        <w:rPr>
          <w:rFonts w:ascii="Verdana" w:eastAsia="Times New Roman" w:hAnsi="Verdana" w:cs="Tahoma"/>
          <w:sz w:val="24"/>
          <w:szCs w:val="24"/>
        </w:rPr>
      </w:pPr>
      <w:r w:rsidRPr="000B6B57">
        <w:rPr>
          <w:rFonts w:ascii="Verdana" w:eastAsia="Times New Roman" w:hAnsi="Verdana" w:cs="Tahoma"/>
          <w:sz w:val="24"/>
          <w:szCs w:val="24"/>
        </w:rPr>
        <w:lastRenderedPageBreak/>
        <w:t xml:space="preserve">En consecuencia, ello podría significar un precedente en cuanto a la facultad que tendría la Corte de intervenir en vigentes juicios políticos y también administrativos y, lo que es más significativo todavía, en  propiamente judiciales. </w:t>
      </w:r>
    </w:p>
    <w:p w14:paraId="438D53CD" w14:textId="77777777" w:rsidR="000B6B57" w:rsidRPr="000B6B57" w:rsidRDefault="000B6B57" w:rsidP="000B6B57">
      <w:pPr>
        <w:spacing w:after="120"/>
        <w:jc w:val="both"/>
        <w:rPr>
          <w:rFonts w:ascii="Verdana" w:eastAsia="Times New Roman" w:hAnsi="Verdana" w:cs="Tahoma"/>
          <w:sz w:val="24"/>
          <w:szCs w:val="24"/>
        </w:rPr>
      </w:pPr>
      <w:r w:rsidRPr="000B6B57">
        <w:rPr>
          <w:rFonts w:ascii="Verdana" w:eastAsia="Times New Roman" w:hAnsi="Verdana" w:cs="Tahoma"/>
          <w:sz w:val="24"/>
          <w:szCs w:val="24"/>
        </w:rPr>
        <w:t>Asimismo, con ello se estaría afectando el carácter de “</w:t>
      </w:r>
      <w:r w:rsidRPr="000B6B57">
        <w:rPr>
          <w:rFonts w:ascii="Verdana" w:eastAsia="Times New Roman" w:hAnsi="Verdana" w:cs="Tahoma"/>
          <w:i/>
          <w:sz w:val="24"/>
          <w:szCs w:val="24"/>
        </w:rPr>
        <w:t>coadyuvante o complementaria</w:t>
      </w:r>
      <w:r w:rsidRPr="000B6B57">
        <w:rPr>
          <w:rFonts w:ascii="Verdana" w:eastAsia="Times New Roman" w:hAnsi="Verdana" w:cs="Tahoma"/>
          <w:sz w:val="24"/>
          <w:szCs w:val="24"/>
        </w:rPr>
        <w:t>” que tiene la jurisdicción interamericana</w:t>
      </w:r>
      <w:r w:rsidRPr="000B6B57">
        <w:rPr>
          <w:rFonts w:ascii="Verdana" w:eastAsia="Times New Roman" w:hAnsi="Verdana" w:cs="Tahoma"/>
          <w:sz w:val="24"/>
          <w:szCs w:val="24"/>
          <w:vertAlign w:val="superscript"/>
          <w:lang w:val="en-US"/>
        </w:rPr>
        <w:footnoteReference w:id="79"/>
      </w:r>
      <w:r w:rsidRPr="000B6B57">
        <w:rPr>
          <w:rFonts w:ascii="Verdana" w:eastAsia="Times New Roman" w:hAnsi="Verdana" w:cs="Tahoma"/>
          <w:sz w:val="24"/>
          <w:szCs w:val="24"/>
        </w:rPr>
        <w:t xml:space="preserve"> y se haría innecesario el cumplimiento del requisito del previo agotamiento de los recursos internos en el evento de que se presente, en cuanto a los hechos invocados, una denuncia ante la Comisión</w:t>
      </w:r>
      <w:r w:rsidRPr="000B6B57">
        <w:rPr>
          <w:rFonts w:ascii="Verdana" w:eastAsia="Times New Roman" w:hAnsi="Verdana" w:cs="Tahoma"/>
          <w:sz w:val="24"/>
          <w:szCs w:val="24"/>
          <w:vertAlign w:val="superscript"/>
          <w:lang w:val="en-US"/>
        </w:rPr>
        <w:footnoteReference w:id="80"/>
      </w:r>
      <w:r w:rsidRPr="000B6B57">
        <w:rPr>
          <w:rFonts w:ascii="Verdana" w:eastAsia="Times New Roman" w:hAnsi="Verdana" w:cs="Tahoma"/>
          <w:sz w:val="24"/>
          <w:szCs w:val="24"/>
        </w:rPr>
        <w:t xml:space="preserve"> que pueda derivar en la Corte.</w:t>
      </w:r>
    </w:p>
    <w:p w14:paraId="1FD4BBA3" w14:textId="77777777" w:rsidR="000B6B57" w:rsidRPr="000B6B57" w:rsidRDefault="000B6B57" w:rsidP="000B6B57">
      <w:pPr>
        <w:spacing w:after="120"/>
        <w:jc w:val="both"/>
        <w:rPr>
          <w:rFonts w:ascii="Verdana" w:eastAsia="Times New Roman" w:hAnsi="Verdana" w:cs="Tahoma"/>
          <w:sz w:val="24"/>
          <w:szCs w:val="24"/>
        </w:rPr>
      </w:pPr>
      <w:r w:rsidRPr="000B6B57">
        <w:rPr>
          <w:rFonts w:ascii="Verdana" w:eastAsia="Times New Roman" w:hAnsi="Verdana" w:cs="Tahoma"/>
          <w:sz w:val="24"/>
          <w:szCs w:val="24"/>
        </w:rPr>
        <w:t>En ese sentido, la Corte estaría interviniendo, en el presente asunto, antes de que se tenga la certeza de que se ha incurrido o que se incurrirá en un ilícito internacional que, por ende, podría generar la responsabilidad internacional del Estado. Es decir, se puede sostener que, en el asunto de autos, todavía no se configura el hecho ilícito internacional ni hay certeza jurídica de que ocurra, que podría dar lugar a la responsabilidad internacional del Estado y que justificaría la intervención “</w:t>
      </w:r>
      <w:r w:rsidRPr="000B6B57">
        <w:rPr>
          <w:rFonts w:ascii="Verdana" w:eastAsia="Times New Roman" w:hAnsi="Verdana" w:cs="Tahoma"/>
          <w:i/>
          <w:sz w:val="24"/>
          <w:szCs w:val="24"/>
        </w:rPr>
        <w:t>coadyuvante o complementaria</w:t>
      </w:r>
      <w:r w:rsidRPr="000B6B57">
        <w:rPr>
          <w:rFonts w:ascii="Verdana" w:eastAsia="Times New Roman" w:hAnsi="Verdana" w:cs="Tahoma"/>
          <w:sz w:val="24"/>
          <w:szCs w:val="24"/>
        </w:rPr>
        <w:t>” del sistema interamericano de derechos humanos.</w:t>
      </w:r>
    </w:p>
    <w:p w14:paraId="3F2F1FBA" w14:textId="77777777" w:rsidR="000B6B57" w:rsidRPr="000B6B57" w:rsidRDefault="000B6B57" w:rsidP="000B6B57">
      <w:pPr>
        <w:spacing w:after="120"/>
        <w:jc w:val="both"/>
        <w:rPr>
          <w:rFonts w:ascii="Verdana" w:eastAsia="Times New Roman" w:hAnsi="Verdana" w:cs="Times New Roman"/>
          <w:sz w:val="24"/>
          <w:szCs w:val="24"/>
          <w:lang w:val="es-ES"/>
        </w:rPr>
      </w:pPr>
      <w:r w:rsidRPr="000B6B57">
        <w:rPr>
          <w:rFonts w:ascii="Verdana" w:eastAsia="Times New Roman" w:hAnsi="Verdana" w:cs="Times New Roman"/>
          <w:sz w:val="24"/>
          <w:szCs w:val="24"/>
          <w:lang w:val="es-ES"/>
        </w:rPr>
        <w:t>Adicionalmente, hay que subrayar que la medida provisional de “</w:t>
      </w:r>
      <w:r w:rsidRPr="000B6B57">
        <w:rPr>
          <w:rFonts w:ascii="Verdana" w:eastAsia="Times New Roman" w:hAnsi="Verdana" w:cs="Times New Roman"/>
          <w:i/>
          <w:sz w:val="24"/>
          <w:szCs w:val="24"/>
          <w:lang w:val="es-ES"/>
        </w:rPr>
        <w:t>archivar el procedimiento de acusación constitucional actualmente seguido ante el Congreso de la República</w:t>
      </w:r>
      <w:r w:rsidRPr="000B6B57">
        <w:rPr>
          <w:rFonts w:ascii="Verdana" w:eastAsia="Times New Roman" w:hAnsi="Verdana" w:cs="Times New Roman"/>
          <w:sz w:val="24"/>
          <w:szCs w:val="24"/>
          <w:lang w:val="es-ES"/>
        </w:rPr>
        <w:t>” del Perú, “</w:t>
      </w:r>
      <w:r w:rsidRPr="000B6B57">
        <w:rPr>
          <w:rFonts w:ascii="Verdana" w:eastAsia="Times New Roman" w:hAnsi="Verdana" w:cs="Times New Roman"/>
          <w:i/>
          <w:sz w:val="24"/>
          <w:szCs w:val="24"/>
          <w:lang w:val="es-ES"/>
        </w:rPr>
        <w:t>contra los magistrados</w:t>
      </w:r>
      <w:r w:rsidRPr="000B6B57">
        <w:rPr>
          <w:rFonts w:ascii="Verdana" w:eastAsia="Times New Roman" w:hAnsi="Verdana" w:cs="Times New Roman"/>
          <w:sz w:val="24"/>
          <w:szCs w:val="24"/>
          <w:lang w:val="es-ES"/>
        </w:rPr>
        <w:t>” antes individualizados, no hace más que resolver, por lo demás, sin forma de juicio, la controversia que se origina por la petición de aquella. Además, transforma a la medida provisional en permanente al dar, con el archivo del procedimiento de acusación constitucional, por finalizado este último. Así, entonces, la Corte sustituye al Congreso del Perú en esta materia.</w:t>
      </w:r>
    </w:p>
    <w:p w14:paraId="0DE0EF4D" w14:textId="77777777" w:rsidR="000B6B57" w:rsidRPr="000B6B57" w:rsidRDefault="000B6B57" w:rsidP="000B6B57">
      <w:pPr>
        <w:spacing w:after="120"/>
        <w:jc w:val="both"/>
        <w:rPr>
          <w:rFonts w:ascii="Verdana" w:eastAsia="Times New Roman" w:hAnsi="Verdana" w:cs="Tahoma"/>
          <w:b/>
          <w:sz w:val="24"/>
          <w:szCs w:val="24"/>
        </w:rPr>
      </w:pPr>
    </w:p>
    <w:p w14:paraId="09491074" w14:textId="77777777" w:rsidR="000B6B57" w:rsidRPr="000B6B57" w:rsidRDefault="000B6B57" w:rsidP="000B6B57">
      <w:pPr>
        <w:spacing w:after="120"/>
        <w:jc w:val="both"/>
        <w:rPr>
          <w:rFonts w:ascii="Verdana" w:eastAsia="Times New Roman" w:hAnsi="Verdana" w:cs="Tahoma"/>
          <w:b/>
          <w:sz w:val="24"/>
          <w:szCs w:val="24"/>
        </w:rPr>
      </w:pPr>
      <w:r w:rsidRPr="000B6B57">
        <w:rPr>
          <w:rFonts w:ascii="Verdana" w:eastAsia="Times New Roman" w:hAnsi="Verdana" w:cs="Tahoma"/>
          <w:b/>
          <w:sz w:val="24"/>
          <w:szCs w:val="24"/>
        </w:rPr>
        <w:lastRenderedPageBreak/>
        <w:t>CONCLUSIÓN.</w:t>
      </w:r>
    </w:p>
    <w:p w14:paraId="5308DD73" w14:textId="77777777" w:rsidR="000B6B57" w:rsidRPr="000B6B57" w:rsidRDefault="000B6B57" w:rsidP="000B6B57">
      <w:pPr>
        <w:spacing w:after="120"/>
        <w:jc w:val="both"/>
        <w:rPr>
          <w:rFonts w:ascii="Verdana" w:eastAsia="Times New Roman" w:hAnsi="Verdana" w:cs="Tahoma"/>
          <w:sz w:val="24"/>
          <w:szCs w:val="24"/>
        </w:rPr>
      </w:pPr>
      <w:r w:rsidRPr="000B6B57">
        <w:rPr>
          <w:rFonts w:ascii="Verdana" w:eastAsia="Times New Roman" w:hAnsi="Verdana" w:cs="Tahoma"/>
          <w:sz w:val="24"/>
          <w:szCs w:val="24"/>
        </w:rPr>
        <w:t>En definitiva, lo que en el presente voto disidente se plantea es que lo procedente era que, en el asunto de autos y en virtud de lo previsto en el artículo 63.2 de la Convención, la Comisión le hubiese solicitado a la Corte la adopción de las medidas provisionales correspondientes, lo que no aconteció. Por el contrario, en la audiencia pública llevada a cabo el viernes 2 de febrero de 2018, la Comisión expresamente no hizo suya la petición de medidas provisionales formulada en autos y agregó que tampoco se ha pronunciado sobre la solicitud de medidas cautelares que, en términos similares, se le hizo llegar con fecha 12 de octubre de 2017</w:t>
      </w:r>
      <w:r w:rsidRPr="000B6B57">
        <w:rPr>
          <w:rFonts w:ascii="Verdana" w:eastAsia="Times New Roman" w:hAnsi="Verdana" w:cs="Tahoma"/>
          <w:sz w:val="24"/>
          <w:szCs w:val="24"/>
          <w:vertAlign w:val="superscript"/>
          <w:lang w:val="en-US"/>
        </w:rPr>
        <w:footnoteReference w:id="81"/>
      </w:r>
      <w:r w:rsidRPr="000B6B57">
        <w:rPr>
          <w:rFonts w:ascii="Verdana" w:eastAsia="Times New Roman" w:hAnsi="Verdana" w:cs="Tahoma"/>
          <w:sz w:val="24"/>
          <w:szCs w:val="24"/>
        </w:rPr>
        <w:t>.</w:t>
      </w:r>
    </w:p>
    <w:p w14:paraId="16245E2B" w14:textId="77777777" w:rsidR="000B6B57" w:rsidRPr="000B6B57" w:rsidRDefault="000B6B57" w:rsidP="000B6B57">
      <w:pPr>
        <w:spacing w:after="120"/>
        <w:jc w:val="both"/>
        <w:rPr>
          <w:rFonts w:ascii="Verdana" w:eastAsia="Times New Roman" w:hAnsi="Verdana" w:cs="Times New Roman"/>
          <w:bCs/>
          <w:i/>
          <w:color w:val="000000"/>
          <w:sz w:val="24"/>
          <w:szCs w:val="24"/>
          <w:shd w:val="clear" w:color="auto" w:fill="FFFFFF"/>
        </w:rPr>
      </w:pPr>
      <w:r w:rsidRPr="000B6B57">
        <w:rPr>
          <w:rFonts w:ascii="Verdana" w:eastAsia="Times New Roman" w:hAnsi="Verdana" w:cs="Tahoma"/>
          <w:sz w:val="24"/>
          <w:szCs w:val="24"/>
        </w:rPr>
        <w:t xml:space="preserve">Además, lo que también se puede desprender de lo expuesto en este escrito, es que, para que la Corte hubiese podido adoptar medidas provisionales en relación al </w:t>
      </w:r>
      <w:r w:rsidRPr="000B6B57">
        <w:rPr>
          <w:rFonts w:ascii="Verdana" w:eastAsia="Times New Roman" w:hAnsi="Verdana" w:cs="Times New Roman"/>
          <w:bCs/>
          <w:i/>
          <w:color w:val="000000"/>
          <w:sz w:val="24"/>
          <w:szCs w:val="24"/>
          <w:shd w:val="clear" w:color="auto" w:fill="FFFFFF"/>
        </w:rPr>
        <w:t>Caso Durand y Ugarte Vs. Perú</w:t>
      </w:r>
      <w:r w:rsidRPr="000B6B57">
        <w:rPr>
          <w:rFonts w:ascii="Verdana" w:eastAsia="Times New Roman" w:hAnsi="Verdana" w:cs="Tahoma"/>
          <w:sz w:val="24"/>
          <w:szCs w:val="24"/>
        </w:rPr>
        <w:t xml:space="preserve">, se debería haber demostrado, más allá de toda duda, la vinculación de aquellas con éste </w:t>
      </w:r>
      <w:r w:rsidRPr="000B6B57">
        <w:rPr>
          <w:rFonts w:ascii="Verdana" w:eastAsia="Times New Roman" w:hAnsi="Verdana" w:cs="Times New Roman"/>
          <w:bCs/>
          <w:color w:val="000000"/>
          <w:sz w:val="24"/>
          <w:szCs w:val="24"/>
          <w:shd w:val="clear" w:color="auto" w:fill="FFFFFF"/>
        </w:rPr>
        <w:t>o bien,</w:t>
      </w:r>
      <w:r w:rsidRPr="000B6B57">
        <w:rPr>
          <w:rFonts w:ascii="Verdana" w:eastAsia="Times New Roman" w:hAnsi="Verdana" w:cs="Times New Roman"/>
          <w:bCs/>
          <w:i/>
          <w:color w:val="000000"/>
          <w:sz w:val="24"/>
          <w:szCs w:val="24"/>
          <w:shd w:val="clear" w:color="auto" w:fill="FFFFFF"/>
        </w:rPr>
        <w:t xml:space="preserve"> </w:t>
      </w:r>
      <w:r w:rsidRPr="000B6B57">
        <w:rPr>
          <w:rFonts w:ascii="Verdana" w:eastAsia="Times New Roman" w:hAnsi="Verdana" w:cs="Tahoma"/>
          <w:sz w:val="24"/>
          <w:szCs w:val="24"/>
        </w:rPr>
        <w:t xml:space="preserve">esperado a que el juicio político en actual desarrollo finalizara. Y en esta segunda hipótesis, las medidas que podrían haberse recabado, deberían haber tenido estrecha y directa relación únicamente con el resultado del mismo. </w:t>
      </w:r>
    </w:p>
    <w:p w14:paraId="0C3D65DA" w14:textId="77777777" w:rsidR="000B6B57" w:rsidRPr="000B6B57" w:rsidRDefault="000B6B57" w:rsidP="000B6B57">
      <w:pPr>
        <w:spacing w:after="120"/>
        <w:jc w:val="both"/>
        <w:rPr>
          <w:rFonts w:ascii="Verdana" w:eastAsia="Times New Roman" w:hAnsi="Verdana" w:cs="Tahoma"/>
          <w:sz w:val="24"/>
          <w:szCs w:val="24"/>
        </w:rPr>
      </w:pPr>
    </w:p>
    <w:p w14:paraId="2A790196" w14:textId="77777777" w:rsidR="000B6B57" w:rsidRPr="000B6B57" w:rsidRDefault="000B6B57" w:rsidP="000B6B57">
      <w:pPr>
        <w:spacing w:after="0"/>
        <w:jc w:val="right"/>
        <w:rPr>
          <w:rFonts w:ascii="Verdana" w:eastAsia="Times New Roman" w:hAnsi="Verdana" w:cs="Tahoma"/>
          <w:sz w:val="24"/>
          <w:szCs w:val="24"/>
        </w:rPr>
      </w:pPr>
    </w:p>
    <w:p w14:paraId="7F3EA377" w14:textId="77777777" w:rsidR="000B6B57" w:rsidRPr="000B6B57" w:rsidRDefault="000B6B57" w:rsidP="000B6B57">
      <w:pPr>
        <w:spacing w:after="0"/>
        <w:jc w:val="right"/>
        <w:rPr>
          <w:rFonts w:ascii="Verdana" w:eastAsia="Times New Roman" w:hAnsi="Verdana" w:cs="Tahoma"/>
          <w:sz w:val="24"/>
          <w:szCs w:val="24"/>
        </w:rPr>
      </w:pPr>
    </w:p>
    <w:p w14:paraId="2112137A" w14:textId="77777777" w:rsidR="000B6B57" w:rsidRPr="000B6B57" w:rsidRDefault="000B6B57" w:rsidP="000B6B57">
      <w:pPr>
        <w:spacing w:after="0"/>
        <w:jc w:val="right"/>
        <w:rPr>
          <w:rFonts w:ascii="Verdana" w:eastAsia="Times New Roman" w:hAnsi="Verdana" w:cs="Tahoma"/>
          <w:sz w:val="24"/>
          <w:szCs w:val="24"/>
        </w:rPr>
      </w:pPr>
      <w:r w:rsidRPr="000B6B57">
        <w:rPr>
          <w:rFonts w:ascii="Verdana" w:eastAsia="Times New Roman" w:hAnsi="Verdana" w:cs="Tahoma"/>
          <w:sz w:val="24"/>
          <w:szCs w:val="24"/>
        </w:rPr>
        <w:t>Eduardo Vio Grossi</w:t>
      </w:r>
    </w:p>
    <w:p w14:paraId="4D8203EA" w14:textId="77777777" w:rsidR="000B6B57" w:rsidRPr="000B6B57" w:rsidRDefault="000B6B57" w:rsidP="000B6B57">
      <w:pPr>
        <w:spacing w:after="0"/>
        <w:jc w:val="right"/>
        <w:rPr>
          <w:rFonts w:ascii="Verdana" w:eastAsia="Times New Roman" w:hAnsi="Verdana" w:cs="Tahoma"/>
          <w:sz w:val="24"/>
          <w:szCs w:val="24"/>
        </w:rPr>
      </w:pPr>
      <w:r w:rsidRPr="000B6B57">
        <w:rPr>
          <w:rFonts w:ascii="Verdana" w:eastAsia="Times New Roman" w:hAnsi="Verdana" w:cs="Tahoma"/>
          <w:sz w:val="24"/>
          <w:szCs w:val="24"/>
        </w:rPr>
        <w:t>Juez</w:t>
      </w:r>
    </w:p>
    <w:p w14:paraId="0FDD049F" w14:textId="77777777" w:rsidR="000B6B57" w:rsidRPr="000B6B57" w:rsidRDefault="000B6B57" w:rsidP="000B6B57">
      <w:pPr>
        <w:spacing w:after="0"/>
        <w:jc w:val="both"/>
        <w:rPr>
          <w:rFonts w:ascii="Verdana" w:eastAsia="Times New Roman" w:hAnsi="Verdana" w:cs="Tahoma"/>
          <w:sz w:val="24"/>
          <w:szCs w:val="24"/>
        </w:rPr>
      </w:pPr>
    </w:p>
    <w:p w14:paraId="2D070EB8" w14:textId="77777777" w:rsidR="000B6B57" w:rsidRPr="000B6B57" w:rsidRDefault="000B6B57" w:rsidP="000B6B57">
      <w:pPr>
        <w:spacing w:after="0"/>
        <w:jc w:val="both"/>
        <w:rPr>
          <w:rFonts w:ascii="Verdana" w:eastAsia="Times New Roman" w:hAnsi="Verdana" w:cs="Tahoma"/>
          <w:sz w:val="24"/>
          <w:szCs w:val="24"/>
        </w:rPr>
      </w:pPr>
    </w:p>
    <w:p w14:paraId="02CC8336" w14:textId="77777777" w:rsidR="000B6B57" w:rsidRPr="000B6B57" w:rsidRDefault="000B6B57" w:rsidP="000B6B57">
      <w:pPr>
        <w:spacing w:after="0"/>
        <w:jc w:val="both"/>
        <w:rPr>
          <w:rFonts w:ascii="Verdana" w:eastAsia="Times New Roman" w:hAnsi="Verdana" w:cs="Tahoma"/>
          <w:sz w:val="24"/>
          <w:szCs w:val="24"/>
        </w:rPr>
      </w:pPr>
      <w:r w:rsidRPr="000B6B57">
        <w:rPr>
          <w:rFonts w:ascii="Verdana" w:eastAsia="Times New Roman" w:hAnsi="Verdana" w:cs="Tahoma"/>
          <w:sz w:val="24"/>
          <w:szCs w:val="24"/>
        </w:rPr>
        <w:t>Pablo Saavedra Alessandri</w:t>
      </w:r>
    </w:p>
    <w:p w14:paraId="7AD26456" w14:textId="77777777" w:rsidR="000B6B57" w:rsidRPr="000B6B57" w:rsidRDefault="000B6B57" w:rsidP="000B6B57">
      <w:pPr>
        <w:spacing w:after="0"/>
        <w:jc w:val="both"/>
        <w:rPr>
          <w:rFonts w:ascii="Verdana" w:eastAsia="Times New Roman" w:hAnsi="Verdana" w:cs="Times New Roman"/>
          <w:sz w:val="24"/>
          <w:szCs w:val="24"/>
          <w:lang w:val="es-ES"/>
        </w:rPr>
      </w:pPr>
      <w:r w:rsidRPr="00911899">
        <w:rPr>
          <w:rFonts w:ascii="Verdana" w:eastAsia="Times New Roman" w:hAnsi="Verdana" w:cs="Tahoma"/>
          <w:sz w:val="24"/>
          <w:szCs w:val="24"/>
        </w:rPr>
        <w:t>Secretario</w:t>
      </w:r>
    </w:p>
    <w:p w14:paraId="737DD740" w14:textId="77777777" w:rsidR="0070389B" w:rsidRDefault="0070389B" w:rsidP="00C96422">
      <w:pPr>
        <w:pStyle w:val="ListParagraph"/>
        <w:spacing w:after="0" w:line="240" w:lineRule="auto"/>
        <w:ind w:left="0"/>
        <w:contextualSpacing w:val="0"/>
        <w:jc w:val="both"/>
        <w:rPr>
          <w:rFonts w:ascii="Verdana" w:hAnsi="Verdana"/>
          <w:sz w:val="20"/>
          <w:szCs w:val="20"/>
          <w:lang w:val="es-ES_tradnl"/>
        </w:rPr>
        <w:sectPr w:rsidR="0070389B" w:rsidSect="00911899">
          <w:headerReference w:type="default" r:id="rId15"/>
          <w:footerReference w:type="default" r:id="rId16"/>
          <w:footnotePr>
            <w:numRestart w:val="eachSect"/>
          </w:footnotePr>
          <w:type w:val="continuous"/>
          <w:pgSz w:w="12240" w:h="15840" w:code="1"/>
          <w:pgMar w:top="1418" w:right="1701" w:bottom="1418" w:left="1701" w:header="709" w:footer="709" w:gutter="0"/>
          <w:pgNumType w:start="0"/>
          <w:cols w:space="708"/>
          <w:docGrid w:linePitch="360"/>
        </w:sectPr>
      </w:pPr>
    </w:p>
    <w:p w14:paraId="6E13CCCE" w14:textId="77777777" w:rsidR="0070389B" w:rsidRPr="0070389B" w:rsidRDefault="0070389B" w:rsidP="0070389B">
      <w:pPr>
        <w:spacing w:after="0" w:line="240" w:lineRule="auto"/>
        <w:jc w:val="center"/>
        <w:rPr>
          <w:rFonts w:ascii="Verdana" w:eastAsia="Cambria" w:hAnsi="Verdana" w:cs="Times New Roman"/>
          <w:b/>
          <w:sz w:val="20"/>
          <w:szCs w:val="20"/>
          <w:lang w:val="es-ES_tradnl"/>
        </w:rPr>
      </w:pPr>
    </w:p>
    <w:p w14:paraId="08A4F772" w14:textId="77777777" w:rsidR="0070389B" w:rsidRPr="0070389B" w:rsidRDefault="0070389B" w:rsidP="0070389B">
      <w:pPr>
        <w:spacing w:after="0" w:line="240" w:lineRule="auto"/>
        <w:jc w:val="center"/>
        <w:rPr>
          <w:rFonts w:ascii="Verdana" w:eastAsia="Cambria" w:hAnsi="Verdana" w:cs="Times New Roman"/>
          <w:b/>
          <w:sz w:val="20"/>
          <w:szCs w:val="20"/>
          <w:lang w:val="es-ES_tradnl"/>
        </w:rPr>
      </w:pPr>
    </w:p>
    <w:p w14:paraId="3BB58696" w14:textId="77777777" w:rsidR="0070389B" w:rsidRPr="0070389B" w:rsidRDefault="0070389B" w:rsidP="0070389B">
      <w:pPr>
        <w:spacing w:after="0" w:line="240" w:lineRule="auto"/>
        <w:jc w:val="center"/>
        <w:rPr>
          <w:rFonts w:ascii="Verdana" w:eastAsia="Cambria" w:hAnsi="Verdana" w:cs="Times New Roman"/>
          <w:b/>
          <w:sz w:val="20"/>
          <w:szCs w:val="20"/>
          <w:lang w:val="es-ES_tradnl"/>
        </w:rPr>
      </w:pPr>
    </w:p>
    <w:p w14:paraId="3DF90ED8" w14:textId="77777777" w:rsidR="0070389B" w:rsidRPr="0070389B" w:rsidRDefault="0070389B" w:rsidP="0070389B">
      <w:pPr>
        <w:spacing w:after="0" w:line="240" w:lineRule="auto"/>
        <w:jc w:val="center"/>
        <w:rPr>
          <w:rFonts w:ascii="Verdana" w:eastAsia="Cambria" w:hAnsi="Verdana" w:cs="Times New Roman"/>
          <w:b/>
          <w:sz w:val="20"/>
          <w:szCs w:val="20"/>
          <w:lang w:val="es-ES_tradnl"/>
        </w:rPr>
      </w:pPr>
    </w:p>
    <w:p w14:paraId="16BB52F5" w14:textId="77777777" w:rsidR="0070389B" w:rsidRPr="0070389B" w:rsidRDefault="0070389B" w:rsidP="0070389B">
      <w:pPr>
        <w:spacing w:after="0" w:line="240" w:lineRule="auto"/>
        <w:jc w:val="center"/>
        <w:rPr>
          <w:rFonts w:ascii="Verdana" w:eastAsia="Cambria" w:hAnsi="Verdana" w:cs="Times New Roman"/>
          <w:b/>
          <w:sz w:val="20"/>
          <w:szCs w:val="20"/>
          <w:lang w:val="es-ES_tradnl"/>
        </w:rPr>
      </w:pPr>
    </w:p>
    <w:p w14:paraId="2B6A365B" w14:textId="77777777" w:rsidR="0070389B" w:rsidRPr="0070389B" w:rsidRDefault="0070389B" w:rsidP="0070389B">
      <w:pPr>
        <w:tabs>
          <w:tab w:val="left" w:pos="709"/>
        </w:tabs>
        <w:spacing w:line="240" w:lineRule="auto"/>
        <w:jc w:val="center"/>
        <w:rPr>
          <w:rFonts w:ascii="Verdana" w:eastAsia="Cambria" w:hAnsi="Verdana" w:cs="Times New Roman"/>
          <w:b/>
          <w:sz w:val="20"/>
          <w:szCs w:val="20"/>
        </w:rPr>
      </w:pPr>
      <w:r w:rsidRPr="0070389B">
        <w:rPr>
          <w:rFonts w:ascii="Verdana" w:eastAsia="Cambria" w:hAnsi="Verdana" w:cs="Times New Roman"/>
          <w:b/>
          <w:sz w:val="20"/>
          <w:szCs w:val="20"/>
        </w:rPr>
        <w:t xml:space="preserve">VOTO DISIDENTE DEL </w:t>
      </w:r>
    </w:p>
    <w:p w14:paraId="24B40120" w14:textId="77777777" w:rsidR="0070389B" w:rsidRPr="0070389B" w:rsidRDefault="0070389B" w:rsidP="0070389B">
      <w:pPr>
        <w:tabs>
          <w:tab w:val="left" w:pos="709"/>
        </w:tabs>
        <w:spacing w:line="240" w:lineRule="auto"/>
        <w:jc w:val="center"/>
        <w:rPr>
          <w:rFonts w:ascii="Verdana" w:eastAsia="Cambria" w:hAnsi="Verdana" w:cs="Times New Roman"/>
          <w:b/>
          <w:sz w:val="20"/>
          <w:szCs w:val="20"/>
        </w:rPr>
      </w:pPr>
      <w:r w:rsidRPr="0070389B">
        <w:rPr>
          <w:rFonts w:ascii="Verdana" w:eastAsia="Cambria" w:hAnsi="Verdana" w:cs="Times New Roman"/>
          <w:b/>
          <w:sz w:val="20"/>
          <w:szCs w:val="20"/>
        </w:rPr>
        <w:t>JUEZ HUMBERTO ANTONIO SIERRA PORTO</w:t>
      </w:r>
    </w:p>
    <w:p w14:paraId="289BE7B7" w14:textId="77777777" w:rsidR="0070389B" w:rsidRPr="0070389B" w:rsidRDefault="0070389B" w:rsidP="0070389B">
      <w:pPr>
        <w:spacing w:after="0" w:line="240" w:lineRule="auto"/>
        <w:jc w:val="center"/>
        <w:rPr>
          <w:rFonts w:ascii="Verdana" w:eastAsia="Cambria" w:hAnsi="Verdana" w:cs="Times New Roman"/>
          <w:b/>
          <w:sz w:val="20"/>
          <w:szCs w:val="20"/>
          <w:lang w:val="es-ES_tradnl"/>
        </w:rPr>
      </w:pPr>
    </w:p>
    <w:p w14:paraId="00152F13" w14:textId="77777777" w:rsidR="0070389B" w:rsidRPr="0070389B" w:rsidRDefault="0070389B" w:rsidP="0070389B">
      <w:pPr>
        <w:spacing w:after="0" w:line="240" w:lineRule="auto"/>
        <w:jc w:val="center"/>
        <w:rPr>
          <w:rFonts w:ascii="Verdana" w:eastAsia="Cambria" w:hAnsi="Verdana" w:cs="Times New Roman"/>
          <w:b/>
          <w:sz w:val="20"/>
          <w:szCs w:val="20"/>
          <w:lang w:val="es-ES_tradnl"/>
        </w:rPr>
      </w:pPr>
      <w:r w:rsidRPr="0070389B">
        <w:rPr>
          <w:rFonts w:ascii="Verdana" w:eastAsia="Cambria" w:hAnsi="Verdana" w:cs="Times New Roman"/>
          <w:b/>
          <w:sz w:val="20"/>
          <w:szCs w:val="20"/>
          <w:lang w:val="es-ES_tradnl"/>
        </w:rPr>
        <w:t>RESOLUCIÓN DE LA</w:t>
      </w:r>
    </w:p>
    <w:p w14:paraId="47BBAC57" w14:textId="77777777" w:rsidR="0070389B" w:rsidRPr="0070389B" w:rsidRDefault="0070389B" w:rsidP="0070389B">
      <w:pPr>
        <w:spacing w:after="0" w:line="240" w:lineRule="auto"/>
        <w:jc w:val="center"/>
        <w:rPr>
          <w:rFonts w:ascii="Verdana" w:eastAsia="Cambria" w:hAnsi="Verdana" w:cs="Times New Roman"/>
          <w:b/>
          <w:sz w:val="20"/>
          <w:szCs w:val="20"/>
          <w:lang w:val="es-ES_tradnl"/>
        </w:rPr>
      </w:pPr>
      <w:r w:rsidRPr="0070389B">
        <w:rPr>
          <w:rFonts w:ascii="Verdana" w:eastAsia="Cambria" w:hAnsi="Verdana" w:cs="Times New Roman"/>
          <w:b/>
          <w:sz w:val="20"/>
          <w:szCs w:val="20"/>
          <w:lang w:val="es-ES_tradnl"/>
        </w:rPr>
        <w:t>CORTE INTERAMERICANA DE DERECHOS HUMANOS</w:t>
      </w:r>
    </w:p>
    <w:p w14:paraId="05CF678B" w14:textId="77777777" w:rsidR="0070389B" w:rsidRPr="0070389B" w:rsidRDefault="0070389B" w:rsidP="0070389B">
      <w:pPr>
        <w:spacing w:after="0" w:line="240" w:lineRule="auto"/>
        <w:jc w:val="center"/>
        <w:rPr>
          <w:rFonts w:ascii="Verdana" w:eastAsia="Cambria" w:hAnsi="Verdana" w:cs="Times New Roman"/>
          <w:b/>
          <w:sz w:val="20"/>
          <w:szCs w:val="20"/>
          <w:lang w:val="es-ES_tradnl"/>
        </w:rPr>
      </w:pPr>
    </w:p>
    <w:p w14:paraId="00C3E9C3" w14:textId="77777777" w:rsidR="0070389B" w:rsidRPr="0070389B" w:rsidRDefault="0070389B" w:rsidP="0070389B">
      <w:pPr>
        <w:spacing w:after="0" w:line="240" w:lineRule="auto"/>
        <w:jc w:val="center"/>
        <w:rPr>
          <w:rFonts w:ascii="Verdana" w:eastAsia="Cambria" w:hAnsi="Verdana" w:cs="Times New Roman"/>
          <w:b/>
          <w:sz w:val="20"/>
          <w:szCs w:val="20"/>
          <w:lang w:val="es-ES_tradnl"/>
        </w:rPr>
      </w:pPr>
      <w:r w:rsidRPr="0070389B">
        <w:rPr>
          <w:rFonts w:ascii="Verdana" w:eastAsia="Cambria" w:hAnsi="Verdana" w:cs="Times New Roman"/>
          <w:b/>
          <w:sz w:val="20"/>
          <w:szCs w:val="20"/>
          <w:lang w:val="es-ES_tradnl"/>
        </w:rPr>
        <w:t>DE 8 DE FEBRERO DE 2018</w:t>
      </w:r>
    </w:p>
    <w:p w14:paraId="76EB7C08" w14:textId="77777777" w:rsidR="0070389B" w:rsidRPr="0070389B" w:rsidRDefault="0070389B" w:rsidP="0070389B">
      <w:pPr>
        <w:spacing w:after="0" w:line="240" w:lineRule="auto"/>
        <w:jc w:val="center"/>
        <w:rPr>
          <w:rFonts w:ascii="Verdana" w:eastAsia="Cambria" w:hAnsi="Verdana" w:cs="Times New Roman"/>
          <w:b/>
          <w:sz w:val="20"/>
          <w:szCs w:val="20"/>
          <w:lang w:val="es-ES_tradnl"/>
        </w:rPr>
      </w:pPr>
    </w:p>
    <w:p w14:paraId="430246D4" w14:textId="77777777" w:rsidR="0070389B" w:rsidRPr="0070389B" w:rsidRDefault="0070389B" w:rsidP="0070389B">
      <w:pPr>
        <w:widowControl w:val="0"/>
        <w:spacing w:after="0" w:line="240" w:lineRule="auto"/>
        <w:jc w:val="center"/>
        <w:rPr>
          <w:rFonts w:ascii="Verdana" w:eastAsia="Cambria" w:hAnsi="Verdana" w:cs="Times New Roman"/>
          <w:b/>
          <w:sz w:val="20"/>
          <w:szCs w:val="20"/>
          <w:lang w:val="es-ES_tradnl"/>
        </w:rPr>
      </w:pPr>
      <w:r w:rsidRPr="0070389B">
        <w:rPr>
          <w:rFonts w:ascii="Verdana" w:eastAsia="Cambria" w:hAnsi="Verdana" w:cs="Times New Roman"/>
          <w:b/>
          <w:sz w:val="20"/>
          <w:szCs w:val="20"/>
          <w:lang w:val="es-ES_tradnl"/>
        </w:rPr>
        <w:t>SOLICITUD DE MEDIDAS PROVISIONALES</w:t>
      </w:r>
    </w:p>
    <w:p w14:paraId="49640510" w14:textId="77777777" w:rsidR="0070389B" w:rsidRPr="0070389B" w:rsidRDefault="0070389B" w:rsidP="0070389B">
      <w:pPr>
        <w:widowControl w:val="0"/>
        <w:spacing w:after="0" w:line="240" w:lineRule="auto"/>
        <w:jc w:val="center"/>
        <w:rPr>
          <w:rFonts w:ascii="Verdana" w:eastAsia="Cambria" w:hAnsi="Verdana" w:cs="Times New Roman"/>
          <w:b/>
          <w:sz w:val="20"/>
          <w:szCs w:val="20"/>
          <w:lang w:val="es-ES_tradnl"/>
        </w:rPr>
      </w:pPr>
    </w:p>
    <w:p w14:paraId="1D230CAF" w14:textId="77777777" w:rsidR="0070389B" w:rsidRPr="0070389B" w:rsidRDefault="0070389B" w:rsidP="0070389B">
      <w:pPr>
        <w:widowControl w:val="0"/>
        <w:spacing w:after="0" w:line="240" w:lineRule="auto"/>
        <w:jc w:val="center"/>
        <w:rPr>
          <w:rFonts w:ascii="Verdana" w:eastAsia="Cambria" w:hAnsi="Verdana" w:cs="Times New Roman"/>
          <w:b/>
          <w:sz w:val="20"/>
          <w:szCs w:val="20"/>
          <w:lang w:val="es-ES_tradnl"/>
        </w:rPr>
      </w:pPr>
      <w:r w:rsidRPr="0070389B">
        <w:rPr>
          <w:rFonts w:ascii="Verdana" w:eastAsia="Cambria" w:hAnsi="Verdana" w:cs="Times New Roman"/>
          <w:b/>
          <w:sz w:val="20"/>
          <w:szCs w:val="20"/>
          <w:lang w:val="es-ES_tradnl"/>
        </w:rPr>
        <w:t>CASO DURAND Y UGARTE VS. PERÚ</w:t>
      </w:r>
    </w:p>
    <w:p w14:paraId="64AA4F31" w14:textId="77777777" w:rsidR="0070389B" w:rsidRPr="0070389B" w:rsidRDefault="0070389B" w:rsidP="0070389B">
      <w:pPr>
        <w:widowControl w:val="0"/>
        <w:spacing w:after="0" w:line="240" w:lineRule="auto"/>
        <w:jc w:val="center"/>
        <w:rPr>
          <w:rFonts w:ascii="Verdana" w:eastAsia="Cambria" w:hAnsi="Verdana" w:cs="Times New Roman"/>
          <w:b/>
          <w:sz w:val="20"/>
          <w:szCs w:val="20"/>
          <w:lang w:val="es-ES_tradnl"/>
        </w:rPr>
      </w:pPr>
    </w:p>
    <w:p w14:paraId="74ACFEC9" w14:textId="77777777" w:rsidR="0070389B" w:rsidRPr="0070389B" w:rsidRDefault="0070389B" w:rsidP="0070389B">
      <w:pPr>
        <w:numPr>
          <w:ilvl w:val="0"/>
          <w:numId w:val="18"/>
        </w:numPr>
        <w:spacing w:after="0" w:line="240" w:lineRule="auto"/>
        <w:ind w:left="0" w:firstLine="0"/>
        <w:contextualSpacing/>
        <w:jc w:val="both"/>
        <w:rPr>
          <w:rFonts w:ascii="Verdana" w:eastAsia="Calibri" w:hAnsi="Verdana" w:cs="Arial"/>
          <w:sz w:val="20"/>
          <w:szCs w:val="20"/>
          <w:lang w:val="es-ES_tradnl"/>
        </w:rPr>
      </w:pPr>
      <w:r w:rsidRPr="0070389B">
        <w:rPr>
          <w:rFonts w:ascii="Verdana" w:eastAsia="Calibri" w:hAnsi="Verdana" w:cs="Arial"/>
          <w:sz w:val="20"/>
          <w:szCs w:val="20"/>
          <w:lang w:val="es-ES_tradnl"/>
        </w:rPr>
        <w:t xml:space="preserve">Con el acostumbrado respeto por las decisiones de la Corte, me permito formular a continuación el presente voto disidente de la resolución mediante la cual se “Ratific[a] la Resolución del Presidente de la Corte Interamericana de Derechos Humanos de 17 de diciembre de 2017 y requerir al Estado del Perú que, para garantizar el derecho de las víctimas del caso Durand y Ugarte a obtener un acceso a la justicia sin interferencias en la independencia judicial, archive el procedimiento de acusación constitucional actualmente seguido ante el Congreso de la República contra los Magistrados Manuel Miranda, Marianella Ledesma, Carlos Ramos y Eloy Espinosa-Saldaña”. </w:t>
      </w:r>
    </w:p>
    <w:p w14:paraId="2BB76C1E" w14:textId="77777777" w:rsidR="0070389B" w:rsidRPr="0070389B" w:rsidRDefault="0070389B" w:rsidP="0070389B">
      <w:pPr>
        <w:spacing w:after="0" w:line="240" w:lineRule="auto"/>
        <w:contextualSpacing/>
        <w:jc w:val="both"/>
        <w:rPr>
          <w:rFonts w:ascii="Verdana" w:eastAsia="Calibri" w:hAnsi="Verdana" w:cs="Arial"/>
          <w:sz w:val="20"/>
          <w:szCs w:val="20"/>
          <w:lang w:val="es-ES_tradnl"/>
        </w:rPr>
      </w:pPr>
    </w:p>
    <w:p w14:paraId="36BB818F" w14:textId="77777777" w:rsidR="0070389B" w:rsidRPr="0070389B" w:rsidRDefault="0070389B" w:rsidP="0070389B">
      <w:pPr>
        <w:numPr>
          <w:ilvl w:val="0"/>
          <w:numId w:val="18"/>
        </w:numPr>
        <w:spacing w:after="0" w:line="240" w:lineRule="auto"/>
        <w:ind w:left="0" w:firstLine="0"/>
        <w:contextualSpacing/>
        <w:jc w:val="both"/>
        <w:rPr>
          <w:rFonts w:ascii="Verdana" w:eastAsia="Calibri" w:hAnsi="Verdana" w:cs="Arial"/>
          <w:sz w:val="20"/>
          <w:szCs w:val="20"/>
          <w:lang w:val="es-ES_tradnl"/>
        </w:rPr>
      </w:pPr>
      <w:r w:rsidRPr="0070389B">
        <w:rPr>
          <w:rFonts w:ascii="Verdana" w:eastAsia="Calibri" w:hAnsi="Verdana" w:cs="Arial"/>
          <w:sz w:val="20"/>
          <w:szCs w:val="20"/>
          <w:lang w:val="es-ES_tradnl"/>
        </w:rPr>
        <w:t>Como punto previo, aclaro que no cuestiono la competencia de la Corte IDH para adoptar medidas provisionales durante la fase de supervisión de cumplimiento de sentencias, no obstante encuentro que en este caso no se cumplían los requisitos para adoptarlas debido a que: (i) las medidas realmente se adoptan a favor de los magistrados del Tribunal Constitucional quienes no son las víctimas del caso Durand y Ugarte, (ii) no se ha demostrado la relación directa entre las medidas adoptadas y la supervisión de la sentencia del caso de la referencia, (iii) las resoluciones que se adoptan tiene carácter definitivo lo que va en contra de la naturaleza jurídica y el espíritu que anima las medidas provisionales. Coincido con mis colegas en que los hechos que fueron sometidos a esta Corte con relación a los magistrados del Tribunal Constitucional del Perú, particularmente, el juicio político que se está llevando a cabo en su contra, pueden eventualmente afectar la independencia judicial y de paso poner en riesgo el principio de separación de poderes. No obstante, considero que este eventual afectación debe ser examinada en el marco de una petición específica que surta el procedimiento previsto por la Convención Americana y no de manera forzada en el marco del trámite de la supervisión de cumplimiento de sentencias.</w:t>
      </w:r>
    </w:p>
    <w:p w14:paraId="52660970" w14:textId="77777777" w:rsidR="0070389B" w:rsidRPr="0070389B" w:rsidRDefault="0070389B" w:rsidP="0070389B">
      <w:pPr>
        <w:spacing w:after="0" w:line="240" w:lineRule="auto"/>
        <w:contextualSpacing/>
        <w:jc w:val="both"/>
        <w:rPr>
          <w:rFonts w:ascii="Verdana" w:eastAsia="Calibri" w:hAnsi="Verdana" w:cs="Arial"/>
          <w:sz w:val="20"/>
          <w:szCs w:val="20"/>
          <w:lang w:val="es-ES_tradnl"/>
        </w:rPr>
      </w:pPr>
    </w:p>
    <w:p w14:paraId="2F84FA43" w14:textId="77777777" w:rsidR="0070389B" w:rsidRPr="0070389B" w:rsidRDefault="0070389B" w:rsidP="0070389B">
      <w:pPr>
        <w:numPr>
          <w:ilvl w:val="0"/>
          <w:numId w:val="18"/>
        </w:numPr>
        <w:spacing w:after="0" w:line="240" w:lineRule="auto"/>
        <w:ind w:left="0" w:firstLine="0"/>
        <w:contextualSpacing/>
        <w:jc w:val="both"/>
        <w:rPr>
          <w:rFonts w:ascii="Verdana" w:eastAsia="Calibri" w:hAnsi="Verdana" w:cs="Arial"/>
          <w:sz w:val="20"/>
          <w:szCs w:val="20"/>
          <w:lang w:val="es-ES_tradnl"/>
        </w:rPr>
      </w:pPr>
      <w:r w:rsidRPr="0070389B">
        <w:rPr>
          <w:rFonts w:ascii="Verdana" w:eastAsia="Calibri" w:hAnsi="Verdana" w:cs="Arial"/>
          <w:sz w:val="20"/>
          <w:szCs w:val="20"/>
          <w:lang w:val="es-ES_tradnl"/>
        </w:rPr>
        <w:t xml:space="preserve">En efecto, la Corte IDH puede adoptar medidas provisionales bajo diferentes supuestos, cuando se trata de un asunto que no está bajo su conocimiento, cuando se trata de un caso que está tramitando pero respecto del aún no ha emitido sentencia y finalmente en la etapa de supervisión de cumplimiento de sentencias. Considero que en este último supuesto los requisitos para adoptar medidas </w:t>
      </w:r>
      <w:r w:rsidRPr="0070389B">
        <w:rPr>
          <w:rFonts w:ascii="Verdana" w:eastAsia="Calibri" w:hAnsi="Verdana" w:cs="Arial"/>
          <w:sz w:val="20"/>
          <w:szCs w:val="20"/>
          <w:lang w:val="es-ES_tradnl"/>
        </w:rPr>
        <w:lastRenderedPageBreak/>
        <w:t>provisionales deben ser examinados con especial rigor, pues de no ser así se desnaturalizaría esta etapa y la Corte IDH se arrogaría una competencia omnímoda para introducir nuevos hechos y nuevas víctimas so pretexto de velar por el cumplimiento de sus fallos.</w:t>
      </w:r>
    </w:p>
    <w:p w14:paraId="1B819763" w14:textId="77777777" w:rsidR="0070389B" w:rsidRPr="0070389B" w:rsidRDefault="0070389B" w:rsidP="0070389B">
      <w:pPr>
        <w:spacing w:after="0" w:line="240" w:lineRule="auto"/>
        <w:ind w:left="720"/>
        <w:contextualSpacing/>
        <w:rPr>
          <w:rFonts w:ascii="Verdana" w:eastAsia="Calibri" w:hAnsi="Verdana" w:cs="Arial"/>
          <w:sz w:val="20"/>
          <w:szCs w:val="20"/>
          <w:lang w:val="es-ES_tradnl"/>
        </w:rPr>
      </w:pPr>
    </w:p>
    <w:p w14:paraId="55996989" w14:textId="77777777" w:rsidR="0070389B" w:rsidRPr="0070389B" w:rsidRDefault="0070389B" w:rsidP="0070389B">
      <w:pPr>
        <w:numPr>
          <w:ilvl w:val="0"/>
          <w:numId w:val="18"/>
        </w:numPr>
        <w:spacing w:after="0" w:line="240" w:lineRule="auto"/>
        <w:ind w:left="0" w:firstLine="0"/>
        <w:contextualSpacing/>
        <w:jc w:val="both"/>
        <w:rPr>
          <w:rFonts w:ascii="Verdana" w:eastAsia="Calibri" w:hAnsi="Verdana" w:cs="Arial"/>
          <w:sz w:val="20"/>
          <w:szCs w:val="20"/>
          <w:lang w:val="es-ES_tradnl"/>
        </w:rPr>
      </w:pPr>
      <w:r w:rsidRPr="0070389B">
        <w:rPr>
          <w:rFonts w:ascii="Verdana" w:eastAsia="Calibri" w:hAnsi="Verdana" w:cs="Arial"/>
          <w:sz w:val="20"/>
          <w:szCs w:val="20"/>
          <w:lang w:val="es-ES_tradnl"/>
        </w:rPr>
        <w:t xml:space="preserve">Para justificar mi posición a continuación me referiré a: (i) Los beneficiarios de las medidas adoptadas, (ii) La falta de conexidad entre las medidas solicitadas y el caso en concreto, y su reflejo en el cumplimiento de los requisitos establecidos en el artículo 63.2 de la Convención, (iv) La ausencia de los requisitos de extrema gravedad y urgencia y (iii) El carácter definitivo de la protección concedida por la Corte. </w:t>
      </w:r>
    </w:p>
    <w:p w14:paraId="79728BED" w14:textId="77777777" w:rsidR="0070389B" w:rsidRPr="0070389B" w:rsidRDefault="0070389B" w:rsidP="0070389B">
      <w:pPr>
        <w:spacing w:after="0" w:line="240" w:lineRule="auto"/>
        <w:contextualSpacing/>
        <w:jc w:val="both"/>
        <w:rPr>
          <w:rFonts w:ascii="Verdana" w:eastAsia="Calibri" w:hAnsi="Verdana" w:cs="Arial"/>
          <w:sz w:val="20"/>
          <w:szCs w:val="20"/>
          <w:lang w:val="es-ES_tradnl"/>
        </w:rPr>
      </w:pPr>
    </w:p>
    <w:p w14:paraId="3A6EF72A" w14:textId="77777777" w:rsidR="0070389B" w:rsidRPr="0070389B" w:rsidRDefault="0070389B" w:rsidP="0070389B">
      <w:pPr>
        <w:spacing w:after="0" w:line="240" w:lineRule="auto"/>
        <w:contextualSpacing/>
        <w:jc w:val="both"/>
        <w:rPr>
          <w:rFonts w:ascii="Verdana" w:eastAsia="Calibri" w:hAnsi="Verdana" w:cs="Arial"/>
          <w:sz w:val="20"/>
          <w:szCs w:val="20"/>
          <w:lang w:val="es-ES_tradnl"/>
        </w:rPr>
      </w:pPr>
    </w:p>
    <w:p w14:paraId="4E0CC7AB" w14:textId="77777777" w:rsidR="0070389B" w:rsidRPr="0070389B" w:rsidRDefault="0070389B" w:rsidP="0070389B">
      <w:pPr>
        <w:spacing w:after="240"/>
        <w:ind w:left="360"/>
        <w:jc w:val="both"/>
        <w:rPr>
          <w:rFonts w:ascii="Verdana" w:eastAsia="Cambria" w:hAnsi="Verdana" w:cs="Arial"/>
          <w:sz w:val="20"/>
          <w:szCs w:val="20"/>
        </w:rPr>
      </w:pPr>
      <w:r w:rsidRPr="0070389B">
        <w:rPr>
          <w:rFonts w:ascii="Verdana" w:eastAsia="Cambria" w:hAnsi="Verdana" w:cs="Arial"/>
          <w:b/>
          <w:sz w:val="20"/>
          <w:szCs w:val="20"/>
        </w:rPr>
        <w:t>I. Los beneficiarios de las medidas adoptadas</w:t>
      </w:r>
    </w:p>
    <w:p w14:paraId="5B54DAEA" w14:textId="77777777" w:rsidR="0070389B" w:rsidRPr="0070389B" w:rsidRDefault="0070389B" w:rsidP="0070389B">
      <w:pPr>
        <w:numPr>
          <w:ilvl w:val="0"/>
          <w:numId w:val="18"/>
        </w:numPr>
        <w:spacing w:after="0" w:line="240" w:lineRule="auto"/>
        <w:ind w:left="0" w:firstLine="0"/>
        <w:contextualSpacing/>
        <w:jc w:val="both"/>
        <w:rPr>
          <w:rFonts w:ascii="Verdana" w:eastAsia="Calibri" w:hAnsi="Verdana" w:cs="Arial"/>
          <w:sz w:val="20"/>
          <w:szCs w:val="20"/>
          <w:lang w:val="es-ES_tradnl"/>
        </w:rPr>
      </w:pPr>
      <w:r w:rsidRPr="0070389B">
        <w:rPr>
          <w:rFonts w:ascii="Verdana" w:eastAsia="Calibri" w:hAnsi="Verdana" w:cs="Arial"/>
          <w:sz w:val="20"/>
          <w:szCs w:val="20"/>
          <w:lang w:val="es-ES_tradnl"/>
        </w:rPr>
        <w:t>Si bien a lo largo de la resolución se afirma que los beneficiarios de las medidas son los familiares de las víctimas de la masacre del Frontón, cuyo derecho de acceso a la justicia supuestamente se vería afectado por la eventual sanción que se impondría a los magistrados del Tribunal Constitucional, esta construcción es en realidad una mera ficción que no consigue disimular lo evidente: la medida fue adoptada en favor de Manuel Miranda, Marianella Ledesma, Carlos Ramos y Eloy Espinosa-Saldaña</w:t>
      </w:r>
      <w:r w:rsidRPr="0070389B">
        <w:rPr>
          <w:rFonts w:ascii="Verdana" w:eastAsia="Calibri" w:hAnsi="Verdana" w:cs="Arial"/>
          <w:sz w:val="20"/>
          <w:szCs w:val="20"/>
        </w:rPr>
        <w:t>.</w:t>
      </w:r>
    </w:p>
    <w:p w14:paraId="615F1D25" w14:textId="77777777" w:rsidR="0070389B" w:rsidRPr="0070389B" w:rsidRDefault="0070389B" w:rsidP="0070389B">
      <w:pPr>
        <w:spacing w:after="0" w:line="240" w:lineRule="auto"/>
        <w:contextualSpacing/>
        <w:jc w:val="both"/>
        <w:rPr>
          <w:rFonts w:ascii="Verdana" w:eastAsia="Calibri" w:hAnsi="Verdana" w:cs="Arial"/>
          <w:sz w:val="20"/>
          <w:szCs w:val="20"/>
          <w:lang w:val="es-ES_tradnl"/>
        </w:rPr>
      </w:pPr>
    </w:p>
    <w:p w14:paraId="18EE01FD" w14:textId="77777777" w:rsidR="0070389B" w:rsidRPr="0070389B" w:rsidRDefault="0070389B" w:rsidP="0070389B">
      <w:pPr>
        <w:numPr>
          <w:ilvl w:val="0"/>
          <w:numId w:val="18"/>
        </w:numPr>
        <w:spacing w:after="0" w:line="240" w:lineRule="auto"/>
        <w:ind w:left="0" w:firstLine="0"/>
        <w:contextualSpacing/>
        <w:jc w:val="both"/>
        <w:rPr>
          <w:rFonts w:ascii="Verdana" w:eastAsia="Calibri" w:hAnsi="Verdana" w:cs="Arial"/>
          <w:sz w:val="20"/>
          <w:szCs w:val="20"/>
          <w:lang w:val="es-ES_tradnl"/>
        </w:rPr>
      </w:pPr>
      <w:r w:rsidRPr="0070389B">
        <w:rPr>
          <w:rFonts w:ascii="Verdana" w:eastAsia="Calibri" w:hAnsi="Verdana" w:cs="Arial"/>
          <w:sz w:val="20"/>
          <w:szCs w:val="20"/>
          <w:lang w:val="es-ES_tradnl"/>
        </w:rPr>
        <w:t>Para justificar la anterior ficción en la Resolución de la cual disiento se sostiene que: “aun cuando una medida provisional beneficie de forma indirecta a cuatro magistrados del Tribunal Constitucional, el derecho que se estaría tutelando es el de los familiares de los señores Durand y Ugarte a acceder a la justicia en el juzgamiento y eventual sanción de los responsables de las graves violaciones perpetradas, protegido en los artículos 8 y 25 de la Convención Americana, que exige que las determinaciones y sentencias sean realizadas por un juez o tribunal independiente e imparcial”.</w:t>
      </w:r>
    </w:p>
    <w:p w14:paraId="7DCF0FD0" w14:textId="77777777" w:rsidR="0070389B" w:rsidRPr="0070389B" w:rsidRDefault="0070389B" w:rsidP="0070389B">
      <w:pPr>
        <w:spacing w:after="0" w:line="240" w:lineRule="auto"/>
        <w:contextualSpacing/>
        <w:jc w:val="both"/>
        <w:rPr>
          <w:rFonts w:ascii="Verdana" w:eastAsia="Calibri" w:hAnsi="Verdana" w:cs="Arial"/>
          <w:sz w:val="20"/>
          <w:szCs w:val="20"/>
          <w:lang w:val="es-ES_tradnl"/>
        </w:rPr>
      </w:pPr>
    </w:p>
    <w:p w14:paraId="0B9E94A7" w14:textId="77777777" w:rsidR="0070389B" w:rsidRPr="0070389B" w:rsidRDefault="0070389B" w:rsidP="0070389B">
      <w:pPr>
        <w:numPr>
          <w:ilvl w:val="0"/>
          <w:numId w:val="18"/>
        </w:numPr>
        <w:spacing w:after="0" w:line="240" w:lineRule="auto"/>
        <w:ind w:left="0" w:firstLine="0"/>
        <w:contextualSpacing/>
        <w:jc w:val="both"/>
        <w:rPr>
          <w:rFonts w:ascii="Verdana" w:eastAsia="Calibri" w:hAnsi="Verdana" w:cs="Arial"/>
          <w:sz w:val="20"/>
          <w:szCs w:val="20"/>
          <w:lang w:val="es-ES_tradnl"/>
        </w:rPr>
      </w:pPr>
      <w:r w:rsidRPr="0070389B">
        <w:rPr>
          <w:rFonts w:ascii="Verdana" w:eastAsia="Calibri" w:hAnsi="Verdana" w:cs="Arial"/>
          <w:sz w:val="20"/>
          <w:szCs w:val="20"/>
          <w:lang w:val="es-ES_tradnl"/>
        </w:rPr>
        <w:t xml:space="preserve">Cabe recordar que mediante la sentencia de </w:t>
      </w:r>
      <w:r w:rsidRPr="0070389B">
        <w:rPr>
          <w:rFonts w:ascii="Verdana" w:eastAsia="Calibri" w:hAnsi="Verdana" w:cs="Times New Roman"/>
          <w:sz w:val="20"/>
          <w:szCs w:val="20"/>
        </w:rPr>
        <w:t xml:space="preserve">16 de agosto de 2000 la Corte Interamericana de Derechos Humanos declaró responsable internacionalmente a la República del Perú por la violación a los derechos a las garantías judiciales y protección judicial de </w:t>
      </w:r>
      <w:r w:rsidRPr="0070389B">
        <w:rPr>
          <w:rFonts w:ascii="Verdana" w:eastAsia="Calibri" w:hAnsi="Verdana" w:cs="Times New Roman"/>
          <w:b/>
          <w:sz w:val="20"/>
          <w:szCs w:val="20"/>
        </w:rPr>
        <w:t>los familiares del señor Durand y del señor Ugarte</w:t>
      </w:r>
      <w:r w:rsidRPr="0070389B">
        <w:rPr>
          <w:rFonts w:ascii="Verdana" w:eastAsia="Calibri" w:hAnsi="Verdana" w:cs="Times New Roman"/>
          <w:sz w:val="20"/>
          <w:szCs w:val="20"/>
        </w:rPr>
        <w:t xml:space="preserve">, debido a que las autoridades estatales no les garantizaron una investigación de la desaparición y muerte de los referidos señores. Tanto en la Sentencia de fondo como en la posterior sentencia de reparaciones, el Tribunal dispuso que el Estado debía cumplir con su obligación de investigar, juzgar y sancionar. </w:t>
      </w:r>
    </w:p>
    <w:p w14:paraId="5DB98855" w14:textId="77777777" w:rsidR="0070389B" w:rsidRPr="0070389B" w:rsidRDefault="0070389B" w:rsidP="0070389B">
      <w:pPr>
        <w:spacing w:after="0" w:line="240" w:lineRule="auto"/>
        <w:ind w:left="720"/>
        <w:contextualSpacing/>
        <w:rPr>
          <w:rFonts w:ascii="Verdana" w:eastAsia="Calibri" w:hAnsi="Verdana" w:cs="Arial"/>
          <w:sz w:val="20"/>
          <w:szCs w:val="20"/>
          <w:lang w:val="es-ES_tradnl"/>
        </w:rPr>
      </w:pPr>
    </w:p>
    <w:p w14:paraId="31B01187" w14:textId="77777777" w:rsidR="0070389B" w:rsidRPr="0070389B" w:rsidRDefault="0070389B" w:rsidP="0070389B">
      <w:pPr>
        <w:numPr>
          <w:ilvl w:val="0"/>
          <w:numId w:val="18"/>
        </w:numPr>
        <w:spacing w:after="0" w:line="240" w:lineRule="auto"/>
        <w:ind w:left="0" w:firstLine="0"/>
        <w:contextualSpacing/>
        <w:jc w:val="both"/>
        <w:rPr>
          <w:rFonts w:ascii="Verdana" w:eastAsia="Calibri" w:hAnsi="Verdana" w:cs="Arial"/>
          <w:sz w:val="20"/>
          <w:szCs w:val="20"/>
          <w:lang w:val="es-ES_tradnl"/>
        </w:rPr>
      </w:pPr>
      <w:r w:rsidRPr="0070389B">
        <w:rPr>
          <w:rFonts w:ascii="Verdana" w:eastAsia="Calibri" w:hAnsi="Verdana" w:cs="Arial"/>
          <w:sz w:val="20"/>
          <w:szCs w:val="20"/>
          <w:lang w:val="es-ES_tradnl"/>
        </w:rPr>
        <w:t xml:space="preserve">Entonces, este es el universo de los eventuales beneficiarios de las medidas provisionales que puede adoptar la Corte en el marco de la supervisión del cumplimiento de esta sentencia: </w:t>
      </w:r>
      <w:r w:rsidRPr="0070389B">
        <w:rPr>
          <w:rFonts w:ascii="Verdana" w:eastAsia="Calibri" w:hAnsi="Verdana" w:cs="Arial"/>
          <w:b/>
          <w:sz w:val="20"/>
          <w:szCs w:val="20"/>
          <w:lang w:val="es-ES_tradnl"/>
        </w:rPr>
        <w:t>los familiares de los señores Duran y Ugarte</w:t>
      </w:r>
      <w:r w:rsidRPr="0070389B">
        <w:rPr>
          <w:rFonts w:ascii="Verdana" w:eastAsia="Calibri" w:hAnsi="Verdana" w:cs="Arial"/>
          <w:sz w:val="20"/>
          <w:szCs w:val="20"/>
          <w:lang w:val="es-ES_tradnl"/>
        </w:rPr>
        <w:t xml:space="preserve">. Desde esa perspectiva es claro que los magistrados del Tribunal Constitucional no eran víctimas reconocidas en la sentencia y por lo tanto no podía ser beneficiarios de medidas adoptadas en el curso de la supervisión del cumplimiento de sentencia. A lo que se suma otra cuestión que no es de menor entidad: la falta de legitimación de los representantes de las víctimas para solicitar medidas provisionales a favor de terceros, que no fueron parte del caso y a quienes por lo tanto no están legitimados para representar ante la Corte. </w:t>
      </w:r>
    </w:p>
    <w:p w14:paraId="4A9D2A0E" w14:textId="77777777" w:rsidR="0070389B" w:rsidRPr="0070389B" w:rsidRDefault="0070389B" w:rsidP="0070389B">
      <w:pPr>
        <w:spacing w:after="0" w:line="240" w:lineRule="auto"/>
        <w:ind w:left="720"/>
        <w:contextualSpacing/>
        <w:rPr>
          <w:rFonts w:ascii="Verdana" w:eastAsia="Calibri" w:hAnsi="Verdana" w:cs="Arial"/>
          <w:sz w:val="20"/>
          <w:szCs w:val="20"/>
          <w:lang w:val="es-ES_tradnl"/>
        </w:rPr>
      </w:pPr>
    </w:p>
    <w:p w14:paraId="0A6335E7" w14:textId="77777777" w:rsidR="0070389B" w:rsidRPr="0070389B" w:rsidRDefault="0070389B" w:rsidP="0070389B">
      <w:pPr>
        <w:numPr>
          <w:ilvl w:val="0"/>
          <w:numId w:val="18"/>
        </w:numPr>
        <w:spacing w:after="0" w:line="240" w:lineRule="auto"/>
        <w:ind w:left="0" w:firstLine="0"/>
        <w:contextualSpacing/>
        <w:jc w:val="both"/>
        <w:rPr>
          <w:rFonts w:ascii="Verdana" w:eastAsia="Calibri" w:hAnsi="Verdana" w:cs="Arial"/>
          <w:sz w:val="20"/>
          <w:szCs w:val="20"/>
          <w:lang w:val="es-ES_tradnl"/>
        </w:rPr>
      </w:pPr>
      <w:r w:rsidRPr="0070389B">
        <w:rPr>
          <w:rFonts w:ascii="Verdana" w:eastAsia="Calibri" w:hAnsi="Verdana" w:cs="Arial"/>
          <w:sz w:val="20"/>
          <w:szCs w:val="20"/>
          <w:lang w:val="es-ES_tradnl"/>
        </w:rPr>
        <w:lastRenderedPageBreak/>
        <w:t>Esta arrogación de la representación de los magistrados resulta indiscutible al examinar el escrito de los representantes de las víctimas de diciembre de 2017, en el cual solicitaron la “</w:t>
      </w:r>
      <w:r w:rsidRPr="0070389B">
        <w:rPr>
          <w:rFonts w:ascii="Verdana" w:eastAsia="Cambria" w:hAnsi="Verdana" w:cs="Verdana"/>
          <w:color w:val="000000"/>
          <w:sz w:val="20"/>
          <w:szCs w:val="20"/>
          <w:lang w:val="es-ES_tradnl"/>
        </w:rPr>
        <w:t>interposición de una medida provisional en tutela de la estabilidad en sus puestos” de los referidos magistrados.</w:t>
      </w:r>
    </w:p>
    <w:p w14:paraId="1B179817" w14:textId="77777777" w:rsidR="0070389B" w:rsidRPr="0070389B" w:rsidRDefault="0070389B" w:rsidP="0070389B">
      <w:pPr>
        <w:spacing w:after="0" w:line="240" w:lineRule="auto"/>
        <w:contextualSpacing/>
        <w:jc w:val="both"/>
        <w:rPr>
          <w:rFonts w:ascii="Verdana" w:eastAsia="Calibri" w:hAnsi="Verdana" w:cs="Arial"/>
          <w:sz w:val="20"/>
          <w:szCs w:val="20"/>
          <w:lang w:val="es-ES_tradnl"/>
        </w:rPr>
      </w:pPr>
    </w:p>
    <w:p w14:paraId="73327488" w14:textId="77777777" w:rsidR="0070389B" w:rsidRPr="0070389B" w:rsidRDefault="0070389B" w:rsidP="0070389B">
      <w:pPr>
        <w:numPr>
          <w:ilvl w:val="0"/>
          <w:numId w:val="18"/>
        </w:numPr>
        <w:spacing w:after="0" w:line="240" w:lineRule="auto"/>
        <w:ind w:left="0" w:firstLine="0"/>
        <w:contextualSpacing/>
        <w:jc w:val="both"/>
        <w:rPr>
          <w:rFonts w:ascii="Verdana" w:eastAsia="Calibri" w:hAnsi="Verdana" w:cs="Arial"/>
          <w:sz w:val="20"/>
          <w:szCs w:val="20"/>
          <w:lang w:val="es-ES_tradnl"/>
        </w:rPr>
      </w:pPr>
      <w:r w:rsidRPr="0070389B">
        <w:rPr>
          <w:rFonts w:ascii="Verdana" w:eastAsia="Calibri" w:hAnsi="Verdana" w:cs="Arial"/>
          <w:sz w:val="20"/>
          <w:szCs w:val="20"/>
          <w:lang w:val="es-ES_tradnl"/>
        </w:rPr>
        <w:t xml:space="preserve">A lo largo de la Resolución no hay ninguna reflexión sobre este aspecto que a mi juicio resulta fundamental pues rebasa consideraciones meramente formales  e implica un problema sustancia: la idea de que los representantes de las víctimas pueden presentar solicitudes en nombre de terceros, cuando consideren que guardan alguna relación directa o indirecta de la sentencia que está en etapa de cumplimiento. </w:t>
      </w:r>
    </w:p>
    <w:p w14:paraId="71AD7EDD" w14:textId="77777777" w:rsidR="0070389B" w:rsidRPr="0070389B" w:rsidRDefault="0070389B" w:rsidP="0070389B">
      <w:pPr>
        <w:spacing w:after="0" w:line="240" w:lineRule="auto"/>
        <w:contextualSpacing/>
        <w:jc w:val="both"/>
        <w:rPr>
          <w:rFonts w:ascii="Verdana" w:eastAsia="Calibri" w:hAnsi="Verdana" w:cs="Arial"/>
          <w:sz w:val="20"/>
          <w:szCs w:val="20"/>
          <w:lang w:val="es-ES_tradnl"/>
        </w:rPr>
      </w:pPr>
    </w:p>
    <w:p w14:paraId="27E8CF0F" w14:textId="77777777" w:rsidR="0070389B" w:rsidRPr="0070389B" w:rsidRDefault="0070389B" w:rsidP="0070389B">
      <w:pPr>
        <w:numPr>
          <w:ilvl w:val="0"/>
          <w:numId w:val="18"/>
        </w:numPr>
        <w:spacing w:after="0" w:line="240" w:lineRule="auto"/>
        <w:ind w:left="0" w:firstLine="0"/>
        <w:contextualSpacing/>
        <w:jc w:val="both"/>
        <w:rPr>
          <w:rFonts w:ascii="Verdana" w:eastAsia="Calibri" w:hAnsi="Verdana" w:cs="Arial"/>
          <w:sz w:val="20"/>
          <w:szCs w:val="20"/>
          <w:lang w:val="es-ES_tradnl"/>
        </w:rPr>
      </w:pPr>
      <w:r w:rsidRPr="0070389B">
        <w:rPr>
          <w:rFonts w:ascii="Verdana" w:eastAsia="Calibri" w:hAnsi="Verdana" w:cs="Arial"/>
          <w:sz w:val="20"/>
          <w:szCs w:val="20"/>
          <w:lang w:val="es-ES_tradnl"/>
        </w:rPr>
        <w:t>Las anteriores reflexiones guardan una relación estrecha con el punto que abordaré a continuación: la falta de conexidad entre las medidas adoptadas y la obligación estatal de investigar, juzgar y sancionar a los responsables de las violaciones declaradas en la sentencia del año 2000.</w:t>
      </w:r>
    </w:p>
    <w:p w14:paraId="295C4625" w14:textId="77777777" w:rsidR="0070389B" w:rsidRPr="0070389B" w:rsidRDefault="0070389B" w:rsidP="0070389B">
      <w:pPr>
        <w:spacing w:after="0" w:line="240" w:lineRule="auto"/>
        <w:contextualSpacing/>
        <w:jc w:val="both"/>
        <w:rPr>
          <w:rFonts w:ascii="Verdana" w:eastAsia="Calibri" w:hAnsi="Verdana" w:cs="Arial"/>
          <w:sz w:val="20"/>
          <w:szCs w:val="20"/>
          <w:lang w:val="es-ES_tradnl"/>
        </w:rPr>
      </w:pPr>
    </w:p>
    <w:p w14:paraId="53FBCF29" w14:textId="77777777" w:rsidR="0070389B" w:rsidRPr="0070389B" w:rsidRDefault="0070389B" w:rsidP="0070389B">
      <w:pPr>
        <w:spacing w:after="0" w:line="240" w:lineRule="auto"/>
        <w:contextualSpacing/>
        <w:jc w:val="both"/>
        <w:rPr>
          <w:rFonts w:ascii="Verdana" w:eastAsia="Calibri" w:hAnsi="Verdana" w:cs="Arial"/>
          <w:sz w:val="20"/>
          <w:szCs w:val="20"/>
          <w:lang w:val="es-ES_tradnl"/>
        </w:rPr>
      </w:pPr>
    </w:p>
    <w:p w14:paraId="7E4729F0" w14:textId="77777777" w:rsidR="0070389B" w:rsidRPr="0070389B" w:rsidRDefault="0070389B" w:rsidP="0070389B">
      <w:pPr>
        <w:spacing w:after="0" w:line="240" w:lineRule="auto"/>
        <w:contextualSpacing/>
        <w:jc w:val="both"/>
        <w:rPr>
          <w:rFonts w:ascii="Verdana" w:eastAsia="Calibri" w:hAnsi="Verdana" w:cs="Arial"/>
          <w:sz w:val="20"/>
          <w:szCs w:val="20"/>
          <w:lang w:val="es-ES_tradnl"/>
        </w:rPr>
      </w:pPr>
    </w:p>
    <w:p w14:paraId="0B20D86C" w14:textId="77777777" w:rsidR="0070389B" w:rsidRPr="0070389B" w:rsidRDefault="0070389B" w:rsidP="0070389B">
      <w:pPr>
        <w:spacing w:after="0" w:line="240" w:lineRule="auto"/>
        <w:ind w:left="720"/>
        <w:contextualSpacing/>
        <w:jc w:val="both"/>
        <w:rPr>
          <w:rFonts w:ascii="Verdana" w:eastAsia="Calibri" w:hAnsi="Verdana" w:cs="Arial"/>
          <w:b/>
          <w:sz w:val="20"/>
          <w:szCs w:val="20"/>
          <w:lang w:val="es-ES_tradnl"/>
        </w:rPr>
      </w:pPr>
      <w:r w:rsidRPr="0070389B">
        <w:rPr>
          <w:rFonts w:ascii="Verdana" w:eastAsia="Calibri" w:hAnsi="Verdana" w:cs="Arial"/>
          <w:b/>
          <w:sz w:val="20"/>
          <w:szCs w:val="20"/>
          <w:lang w:val="es-ES_tradnl"/>
        </w:rPr>
        <w:t xml:space="preserve">II. La falta de conexidad entre las medidas solicitadas y el caso en concreto </w:t>
      </w:r>
    </w:p>
    <w:p w14:paraId="061B60DC" w14:textId="77777777" w:rsidR="0070389B" w:rsidRPr="0070389B" w:rsidRDefault="0070389B" w:rsidP="0070389B">
      <w:pPr>
        <w:spacing w:after="0" w:line="240" w:lineRule="auto"/>
        <w:contextualSpacing/>
        <w:jc w:val="both"/>
        <w:rPr>
          <w:rFonts w:ascii="Verdana" w:eastAsia="Calibri" w:hAnsi="Verdana" w:cs="Arial"/>
          <w:sz w:val="20"/>
          <w:szCs w:val="20"/>
          <w:lang w:val="es-ES_tradnl"/>
        </w:rPr>
      </w:pPr>
    </w:p>
    <w:p w14:paraId="635F7F2F" w14:textId="77777777" w:rsidR="0070389B" w:rsidRPr="0070389B" w:rsidRDefault="0070389B" w:rsidP="0070389B">
      <w:pPr>
        <w:numPr>
          <w:ilvl w:val="0"/>
          <w:numId w:val="18"/>
        </w:numPr>
        <w:spacing w:after="0" w:line="240" w:lineRule="auto"/>
        <w:ind w:left="0" w:firstLine="0"/>
        <w:contextualSpacing/>
        <w:jc w:val="both"/>
        <w:rPr>
          <w:rFonts w:ascii="Verdana" w:eastAsia="Calibri" w:hAnsi="Verdana" w:cs="Arial"/>
          <w:sz w:val="20"/>
          <w:szCs w:val="20"/>
          <w:lang w:val="es-ES_tradnl"/>
        </w:rPr>
      </w:pPr>
      <w:r w:rsidRPr="0070389B">
        <w:rPr>
          <w:rFonts w:ascii="Verdana" w:eastAsia="Calibri" w:hAnsi="Verdana" w:cs="Arial"/>
          <w:sz w:val="20"/>
          <w:szCs w:val="20"/>
          <w:lang w:val="es-ES_tradnl"/>
        </w:rPr>
        <w:t>Difícilmente se puede argumentar que existió un vínculo entre la medida de reparación correspondiente a la obligación de investigar y el proceso de acusación constitucional llevado a cabo en contra de los cuatro jueces del Tribunal Constitucional.  La obligación de investigar dispuesta en el punto dispositivo 4.c de la Sentencia de Reparaciones requería al Estado “investigar y sancionar a los responsables de los hechos, en virtud del punto resolutivo séptimo de la sentencia de fondo dictada por la Corte el 16 de agosto de 2000, y seguir impulsando la investigación que se tramita ante la 41 Fiscalía Penal de Lima, por el delito de homicidio en perjuicio de 30 personas, entre las cuales se encuentran Nolberto Durand Ugarte y Gabriel Pablo Ugarte Rivera”.</w:t>
      </w:r>
      <w:r w:rsidRPr="0070389B">
        <w:rPr>
          <w:rFonts w:ascii="Verdana" w:eastAsia="Calibri" w:hAnsi="Verdana" w:cs="Times New Roman"/>
          <w:sz w:val="18"/>
          <w:szCs w:val="18"/>
          <w:lang w:val="es-ES"/>
        </w:rPr>
        <w:t xml:space="preserve"> </w:t>
      </w:r>
      <w:r w:rsidRPr="0070389B">
        <w:rPr>
          <w:rFonts w:ascii="Verdana" w:eastAsia="Calibri" w:hAnsi="Verdana" w:cs="Arial"/>
          <w:sz w:val="20"/>
          <w:szCs w:val="20"/>
          <w:lang w:val="es-ES_tradnl"/>
        </w:rPr>
        <w:t xml:space="preserve"> </w:t>
      </w:r>
    </w:p>
    <w:p w14:paraId="619F0ECE" w14:textId="77777777" w:rsidR="0070389B" w:rsidRPr="0070389B" w:rsidRDefault="0070389B" w:rsidP="0070389B">
      <w:pPr>
        <w:spacing w:after="0" w:line="240" w:lineRule="auto"/>
        <w:ind w:left="720"/>
        <w:contextualSpacing/>
        <w:rPr>
          <w:rFonts w:ascii="Verdana" w:eastAsia="Calibri" w:hAnsi="Verdana" w:cs="Arial"/>
          <w:sz w:val="20"/>
          <w:szCs w:val="20"/>
          <w:lang w:val="es-ES_tradnl"/>
        </w:rPr>
      </w:pPr>
    </w:p>
    <w:p w14:paraId="2E07E1C8" w14:textId="77777777" w:rsidR="0070389B" w:rsidRPr="0070389B" w:rsidRDefault="0070389B" w:rsidP="0070389B">
      <w:pPr>
        <w:numPr>
          <w:ilvl w:val="0"/>
          <w:numId w:val="18"/>
        </w:numPr>
        <w:spacing w:after="0" w:line="240" w:lineRule="auto"/>
        <w:ind w:left="0" w:firstLine="0"/>
        <w:contextualSpacing/>
        <w:jc w:val="both"/>
        <w:rPr>
          <w:rFonts w:ascii="Verdana" w:eastAsia="Calibri" w:hAnsi="Verdana" w:cs="Arial"/>
          <w:sz w:val="20"/>
          <w:szCs w:val="20"/>
          <w:lang w:val="es-ES_tradnl"/>
        </w:rPr>
      </w:pPr>
      <w:r w:rsidRPr="0070389B">
        <w:rPr>
          <w:rFonts w:ascii="Verdana" w:eastAsia="Calibri" w:hAnsi="Verdana" w:cs="Arial"/>
          <w:sz w:val="20"/>
          <w:szCs w:val="20"/>
          <w:lang w:val="es-ES_tradnl"/>
        </w:rPr>
        <w:t xml:space="preserve">De la información proporcionada por las partes, no se desprende la conexidad entre el referido deber de investigar los hechos del caso Durand y Ugarte, y la decisión de 2013 del Tribunal Constitucional que motivó el proceso de acusación constitucional que actualmente persiste. La controversia originada por la interpretación subsecuente del voto del magistrado Vergara Gotelli, que dio lugar al proceso de acusación constitucional que actualmente se adelanta contra los magistrados, no tiene una incidencia práctica y concreta sobre la investigación ordenada en la Sentencia de reparaciones. </w:t>
      </w:r>
    </w:p>
    <w:p w14:paraId="7F6D938A" w14:textId="77777777" w:rsidR="0070389B" w:rsidRPr="0070389B" w:rsidRDefault="0070389B" w:rsidP="0070389B">
      <w:pPr>
        <w:spacing w:after="0" w:line="240" w:lineRule="auto"/>
        <w:ind w:left="720"/>
        <w:contextualSpacing/>
        <w:rPr>
          <w:rFonts w:ascii="Verdana" w:eastAsia="Calibri" w:hAnsi="Verdana" w:cs="Arial"/>
          <w:sz w:val="20"/>
          <w:szCs w:val="20"/>
          <w:lang w:val="es-ES_tradnl"/>
        </w:rPr>
      </w:pPr>
    </w:p>
    <w:p w14:paraId="29C205D4" w14:textId="77777777" w:rsidR="0070389B" w:rsidRPr="0070389B" w:rsidRDefault="0070389B" w:rsidP="0070389B">
      <w:pPr>
        <w:numPr>
          <w:ilvl w:val="0"/>
          <w:numId w:val="18"/>
        </w:numPr>
        <w:spacing w:after="0" w:line="240" w:lineRule="auto"/>
        <w:ind w:left="0" w:firstLine="0"/>
        <w:contextualSpacing/>
        <w:jc w:val="both"/>
        <w:rPr>
          <w:rFonts w:ascii="Verdana" w:eastAsia="Calibri" w:hAnsi="Verdana" w:cs="Arial"/>
          <w:sz w:val="20"/>
          <w:szCs w:val="20"/>
          <w:lang w:val="es-ES_tradnl"/>
        </w:rPr>
      </w:pPr>
      <w:r w:rsidRPr="0070389B">
        <w:rPr>
          <w:rFonts w:ascii="Verdana" w:eastAsia="Calibri" w:hAnsi="Verdana" w:cs="Arial"/>
          <w:sz w:val="20"/>
          <w:szCs w:val="20"/>
          <w:lang w:val="es-ES_tradnl"/>
        </w:rPr>
        <w:t xml:space="preserve">De hecho, la propia decisión de 2013, en su punto resolutivo 2, dispuso que: </w:t>
      </w:r>
      <w:r w:rsidRPr="0070389B">
        <w:rPr>
          <w:rFonts w:ascii="Verdana" w:eastAsia="Cambria" w:hAnsi="Verdana" w:cs="Verdana"/>
          <w:color w:val="000000"/>
          <w:sz w:val="20"/>
          <w:szCs w:val="20"/>
          <w:lang w:val="es-ES_tradnl"/>
        </w:rPr>
        <w:t>se “</w:t>
      </w:r>
      <w:r w:rsidRPr="0070389B">
        <w:rPr>
          <w:rFonts w:ascii="Verdana" w:eastAsia="Calibri" w:hAnsi="Verdana" w:cs="Arial"/>
          <w:sz w:val="20"/>
          <w:szCs w:val="20"/>
          <w:lang w:val="es-ES_tradnl"/>
        </w:rPr>
        <w:t>continúe</w:t>
      </w:r>
      <w:r w:rsidRPr="0070389B">
        <w:rPr>
          <w:rFonts w:ascii="Verdana" w:eastAsia="Cambria" w:hAnsi="Verdana" w:cs="Verdana"/>
          <w:color w:val="000000"/>
          <w:sz w:val="20"/>
          <w:szCs w:val="20"/>
          <w:lang w:val="es-ES_tradnl"/>
        </w:rPr>
        <w:t xml:space="preserve"> con el proceso penal a fin de que el Estado peruano cumpla con sus compromisos internacionales”. Entonces, el Tribunal Constitucional determinó que no podía aplicarse la prescripción de la acción penal respecto al proceso penal actualmente en trámite con base en que: “conforme a lo determinado por la Corte Interamericana, en el caso se habría violado el derecho a la protección judicial” y en que “no puede utilizarse la prescripción de la acción penal para avalar situaciones de impunidad generadas desde el propio Estado”. Esta disposición permite la continuación de la investigación de los hechos indicados en el caso Durand y Ugarte.</w:t>
      </w:r>
      <w:r w:rsidRPr="0070389B">
        <w:rPr>
          <w:rFonts w:ascii="Verdana" w:eastAsia="Calibri" w:hAnsi="Verdana" w:cs="Arial"/>
          <w:sz w:val="20"/>
          <w:szCs w:val="20"/>
          <w:lang w:val="es-ES_tradnl"/>
        </w:rPr>
        <w:t xml:space="preserve">  Así, la decisión de 2016 con base en la cual posteriormente se inicia el juicio político en contra de cuatro de los magistrados del Tribunal Constitucional no modificó los </w:t>
      </w:r>
      <w:r w:rsidRPr="0070389B">
        <w:rPr>
          <w:rFonts w:ascii="Verdana" w:eastAsia="Calibri" w:hAnsi="Verdana" w:cs="Arial"/>
          <w:sz w:val="20"/>
          <w:szCs w:val="20"/>
          <w:lang w:val="es-ES_tradnl"/>
        </w:rPr>
        <w:lastRenderedPageBreak/>
        <w:t>puntos resolutivos segundo y tercero de la sentencia de 2013 (aquellos que tienen que ver con el cumplimiento de la sentencia del Caso Durand y Ugarte) sino que únicamente modificó lo relativo a no haber calificado los hechos como crímenes de lesa humanidad.</w:t>
      </w:r>
    </w:p>
    <w:p w14:paraId="136650B0" w14:textId="77777777" w:rsidR="0070389B" w:rsidRPr="0070389B" w:rsidRDefault="0070389B" w:rsidP="0070389B">
      <w:pPr>
        <w:spacing w:after="0" w:line="240" w:lineRule="auto"/>
        <w:contextualSpacing/>
        <w:jc w:val="both"/>
        <w:rPr>
          <w:rFonts w:ascii="Verdana" w:eastAsia="Calibri" w:hAnsi="Verdana" w:cs="Arial"/>
          <w:sz w:val="20"/>
          <w:szCs w:val="20"/>
          <w:lang w:val="es-ES_tradnl"/>
        </w:rPr>
      </w:pPr>
    </w:p>
    <w:p w14:paraId="57322C07" w14:textId="77777777" w:rsidR="0070389B" w:rsidRPr="0070389B" w:rsidRDefault="0070389B" w:rsidP="0070389B">
      <w:pPr>
        <w:numPr>
          <w:ilvl w:val="0"/>
          <w:numId w:val="18"/>
        </w:numPr>
        <w:spacing w:after="0" w:line="240" w:lineRule="auto"/>
        <w:ind w:left="0" w:firstLine="0"/>
        <w:contextualSpacing/>
        <w:jc w:val="both"/>
        <w:rPr>
          <w:rFonts w:ascii="Verdana" w:eastAsia="Calibri" w:hAnsi="Verdana" w:cs="Arial"/>
          <w:sz w:val="20"/>
          <w:szCs w:val="20"/>
          <w:lang w:val="es-ES_tradnl"/>
        </w:rPr>
      </w:pPr>
      <w:r w:rsidRPr="0070389B">
        <w:rPr>
          <w:rFonts w:ascii="Verdana" w:eastAsia="Calibri" w:hAnsi="Verdana" w:cs="Arial"/>
          <w:sz w:val="20"/>
          <w:szCs w:val="20"/>
          <w:lang w:val="es-ES_tradnl"/>
        </w:rPr>
        <w:t xml:space="preserve">Resulta claro entonces que la solicitud de las medidas provisionales no guarda relación directa ni indirecta con la </w:t>
      </w:r>
      <w:r w:rsidRPr="0070389B">
        <w:rPr>
          <w:rFonts w:ascii="Verdana" w:eastAsia="Calibri" w:hAnsi="Verdana" w:cs="Times New Roman"/>
          <w:sz w:val="20"/>
          <w:szCs w:val="20"/>
        </w:rPr>
        <w:t xml:space="preserve">obligación de investigar, juzgar y sancionar, objeto de la supervisión de cumplimiento. Por lo tanto la decisión mayoritaria tiene el efecto ampliar casi que ilimitadamente el alcance de los asuntos susceptibles de ser examinados en esta etapa procesal, pues cualquier aspecto que guarde una conexidad hipotética o incluso eventual con las resoluciones adoptadas en una sentencia puede ser puesto en conocimiento de la Corte por los representantes de las víctimas, y este Tribunal a su vez puede asumir competencia para examinarlo y llegar incluso a adoptar medidas provisionales.  Como antes sostuve, de esta forma se desnaturaliza la etapa de supervisión de cumplimiento de sentencia, la cual a su vez corre el riesgo de volverse una fase de duración infinita en la cual se debatan asuntos de la más variada índole que no gradan ninguna relación con la sentencia proferida por este Tribunal. </w:t>
      </w:r>
    </w:p>
    <w:p w14:paraId="3ACFFC4F" w14:textId="77777777" w:rsidR="0070389B" w:rsidRPr="0070389B" w:rsidRDefault="0070389B" w:rsidP="0070389B">
      <w:pPr>
        <w:spacing w:after="0" w:line="240" w:lineRule="auto"/>
        <w:contextualSpacing/>
        <w:jc w:val="both"/>
        <w:rPr>
          <w:rFonts w:ascii="Verdana" w:eastAsia="Calibri" w:hAnsi="Verdana" w:cs="Arial"/>
          <w:sz w:val="20"/>
          <w:szCs w:val="20"/>
          <w:lang w:val="es-ES_tradnl"/>
        </w:rPr>
      </w:pPr>
    </w:p>
    <w:p w14:paraId="580F2E87" w14:textId="77777777" w:rsidR="0070389B" w:rsidRPr="0070389B" w:rsidRDefault="0070389B" w:rsidP="0070389B">
      <w:pPr>
        <w:spacing w:after="0" w:line="240" w:lineRule="auto"/>
        <w:contextualSpacing/>
        <w:jc w:val="both"/>
        <w:rPr>
          <w:rFonts w:ascii="Verdana" w:eastAsia="Calibri" w:hAnsi="Verdana" w:cs="Arial"/>
          <w:sz w:val="20"/>
          <w:szCs w:val="20"/>
          <w:lang w:val="es-ES_tradnl"/>
        </w:rPr>
      </w:pPr>
    </w:p>
    <w:p w14:paraId="5978C3FD" w14:textId="77777777" w:rsidR="0070389B" w:rsidRPr="0070389B" w:rsidRDefault="0070389B" w:rsidP="0070389B">
      <w:pPr>
        <w:spacing w:after="0" w:line="240" w:lineRule="auto"/>
        <w:ind w:left="720"/>
        <w:contextualSpacing/>
        <w:jc w:val="both"/>
        <w:rPr>
          <w:rFonts w:ascii="Verdana" w:eastAsia="Calibri" w:hAnsi="Verdana" w:cs="Arial"/>
          <w:b/>
          <w:sz w:val="20"/>
          <w:szCs w:val="20"/>
          <w:lang w:val="es-ES_tradnl"/>
        </w:rPr>
      </w:pPr>
      <w:r w:rsidRPr="0070389B">
        <w:rPr>
          <w:rFonts w:ascii="Verdana" w:eastAsia="Calibri" w:hAnsi="Verdana" w:cs="Arial"/>
          <w:b/>
          <w:sz w:val="20"/>
          <w:szCs w:val="20"/>
          <w:lang w:val="es-ES_tradnl"/>
        </w:rPr>
        <w:t>III. Ausencia de los requisitos establecidos convencionalmente para decretar medidas provisionales</w:t>
      </w:r>
    </w:p>
    <w:p w14:paraId="09039DAD" w14:textId="77777777" w:rsidR="0070389B" w:rsidRPr="0070389B" w:rsidRDefault="0070389B" w:rsidP="0070389B">
      <w:pPr>
        <w:spacing w:after="0" w:line="240" w:lineRule="auto"/>
        <w:ind w:left="720"/>
        <w:contextualSpacing/>
        <w:rPr>
          <w:rFonts w:ascii="Verdana" w:eastAsia="Calibri" w:hAnsi="Verdana" w:cs="Arial"/>
          <w:sz w:val="20"/>
          <w:szCs w:val="20"/>
          <w:lang w:val="es-ES_tradnl"/>
        </w:rPr>
      </w:pPr>
    </w:p>
    <w:p w14:paraId="6AC4A460" w14:textId="77777777" w:rsidR="0070389B" w:rsidRPr="0070389B" w:rsidRDefault="0070389B" w:rsidP="0070389B">
      <w:pPr>
        <w:numPr>
          <w:ilvl w:val="0"/>
          <w:numId w:val="18"/>
        </w:numPr>
        <w:spacing w:after="0" w:line="240" w:lineRule="auto"/>
        <w:ind w:left="0" w:firstLine="0"/>
        <w:contextualSpacing/>
        <w:jc w:val="both"/>
        <w:rPr>
          <w:rFonts w:ascii="Verdana" w:eastAsia="Calibri" w:hAnsi="Verdana" w:cs="Arial"/>
          <w:sz w:val="20"/>
          <w:szCs w:val="20"/>
          <w:lang w:val="es-ES_tradnl"/>
        </w:rPr>
      </w:pPr>
      <w:r w:rsidRPr="0070389B">
        <w:rPr>
          <w:rFonts w:ascii="Verdana" w:eastAsia="Calibri" w:hAnsi="Verdana" w:cs="Arial"/>
          <w:sz w:val="20"/>
          <w:szCs w:val="20"/>
          <w:lang w:val="es-ES_tradnl"/>
        </w:rPr>
        <w:t xml:space="preserve">Finalmente, las medidas adoptadas no cumplen los requisitos de extrema gravedad, urgencia e irreparabilidad del daño exigidos por la Convención. En efecto, tal como se ha argumentado a lo largo de este Voto estos requisitos deben ser verificados en relación con el objeto de la supervisión de cumplimiento: la obligación de investigar los hechos y juzgar y sancionar a los responsables de la desaparición forzada de los señores Durand y Ugarte. Sin embargo, en la resolución se confunde este análisis con el examen de la situación que enfrentan los magistrados del Tribunal Constitucional por el procedimiento de acusación constitucional que actualmente enfrentan. </w:t>
      </w:r>
    </w:p>
    <w:p w14:paraId="14E2EF5D" w14:textId="77777777" w:rsidR="0070389B" w:rsidRPr="0070389B" w:rsidRDefault="0070389B" w:rsidP="0070389B">
      <w:pPr>
        <w:spacing w:after="0" w:line="240" w:lineRule="auto"/>
        <w:contextualSpacing/>
        <w:jc w:val="both"/>
        <w:rPr>
          <w:rFonts w:ascii="Verdana" w:eastAsia="Calibri" w:hAnsi="Verdana" w:cs="Arial"/>
          <w:sz w:val="20"/>
          <w:szCs w:val="20"/>
          <w:lang w:val="es-ES_tradnl"/>
        </w:rPr>
      </w:pPr>
    </w:p>
    <w:p w14:paraId="61057942" w14:textId="77777777" w:rsidR="0070389B" w:rsidRPr="0070389B" w:rsidRDefault="0070389B" w:rsidP="0070389B">
      <w:pPr>
        <w:numPr>
          <w:ilvl w:val="0"/>
          <w:numId w:val="18"/>
        </w:numPr>
        <w:spacing w:after="0" w:line="240" w:lineRule="auto"/>
        <w:ind w:left="0" w:firstLine="0"/>
        <w:contextualSpacing/>
        <w:jc w:val="both"/>
        <w:rPr>
          <w:rFonts w:ascii="Verdana" w:eastAsia="Calibri" w:hAnsi="Verdana" w:cs="Arial"/>
          <w:sz w:val="20"/>
          <w:szCs w:val="20"/>
          <w:lang w:val="es-ES_tradnl"/>
        </w:rPr>
      </w:pPr>
      <w:r w:rsidRPr="0070389B">
        <w:rPr>
          <w:rFonts w:ascii="Verdana" w:eastAsia="Calibri" w:hAnsi="Verdana" w:cs="Arial"/>
          <w:sz w:val="20"/>
          <w:szCs w:val="20"/>
          <w:lang w:val="es-ES_tradnl"/>
        </w:rPr>
        <w:t xml:space="preserve">Es aquí donde los razonamientos plasmados en la resolución resultan claramente hipotéticos: Una eventual afectación a la independencia del Tribunal Constitucional puede tener repercusiones en los distintos procesos llevados a cabo bajo la jurisdicción del Perú, entre ellos el proceso penal que se adelanta para juzgar a los presuntos responsables de la desaparición forzada de los señores Durand y Ugarte. Nunca se explica cuál sería el impacto específico de la  acusación constitucional sobre la obligación de investigar, de manera tal que en la Resolución no se cumple con el deber de motivar adecuadamente como se cumple el estándar de extrema gravedad y urgencia, ni el carácter irreversible e irreparable del daño que se podría infligir a las víctimas. </w:t>
      </w:r>
    </w:p>
    <w:p w14:paraId="2A09B4D7" w14:textId="77777777" w:rsidR="0070389B" w:rsidRPr="0070389B" w:rsidRDefault="0070389B" w:rsidP="0070389B">
      <w:pPr>
        <w:spacing w:after="0" w:line="240" w:lineRule="auto"/>
        <w:ind w:left="720"/>
        <w:contextualSpacing/>
        <w:rPr>
          <w:rFonts w:ascii="Verdana" w:eastAsia="Calibri" w:hAnsi="Verdana" w:cs="Arial"/>
          <w:sz w:val="20"/>
          <w:szCs w:val="20"/>
          <w:lang w:val="es-ES_tradnl"/>
        </w:rPr>
      </w:pPr>
    </w:p>
    <w:p w14:paraId="516B6A1B" w14:textId="77777777" w:rsidR="0070389B" w:rsidRPr="0070389B" w:rsidRDefault="0070389B" w:rsidP="0070389B">
      <w:pPr>
        <w:numPr>
          <w:ilvl w:val="0"/>
          <w:numId w:val="18"/>
        </w:numPr>
        <w:spacing w:after="0" w:line="240" w:lineRule="auto"/>
        <w:ind w:left="0" w:firstLine="0"/>
        <w:contextualSpacing/>
        <w:jc w:val="both"/>
        <w:rPr>
          <w:rFonts w:ascii="Verdana" w:eastAsia="Calibri" w:hAnsi="Verdana" w:cs="Arial"/>
          <w:sz w:val="20"/>
          <w:szCs w:val="20"/>
          <w:lang w:val="es-GT"/>
        </w:rPr>
      </w:pPr>
      <w:r w:rsidRPr="0070389B">
        <w:rPr>
          <w:rFonts w:ascii="Verdana" w:eastAsia="Calibri" w:hAnsi="Verdana" w:cs="Arial"/>
          <w:sz w:val="20"/>
          <w:szCs w:val="20"/>
          <w:lang w:val="es-ES_tradnl"/>
        </w:rPr>
        <w:t>Pero más allá de esa evidente falta de motivación, en todo caso era imposible que se cumpliera con dicho estándar, pues como se ha puesto de manifiesto a lo largo de este voto la falta d</w:t>
      </w:r>
      <w:r w:rsidRPr="0070389B">
        <w:rPr>
          <w:rFonts w:ascii="Verdana" w:eastAsia="Calibri" w:hAnsi="Verdana" w:cs="Arial"/>
          <w:sz w:val="20"/>
          <w:szCs w:val="20"/>
          <w:lang w:val="es-GT"/>
        </w:rPr>
        <w:t xml:space="preserve">e conexidad del proceso de acusación constitucional llevado a cabo en contra de los jueces del Tribunal Constitucional con la supervisión del cumplimiento de la sentencia del Caso Durand y Ugarte, repercute en que las medidas adoptadas no cumplan con  los requisitos establecidos en el artículo 27.3 del Reglamento de la Corte y 63.2 de la Convención Americana. </w:t>
      </w:r>
    </w:p>
    <w:p w14:paraId="20D26B06" w14:textId="77777777" w:rsidR="0070389B" w:rsidRPr="0070389B" w:rsidRDefault="0070389B" w:rsidP="0070389B">
      <w:pPr>
        <w:spacing w:after="0" w:line="240" w:lineRule="auto"/>
        <w:contextualSpacing/>
        <w:jc w:val="both"/>
        <w:rPr>
          <w:rFonts w:ascii="Verdana" w:eastAsia="Calibri" w:hAnsi="Verdana" w:cs="Arial"/>
          <w:sz w:val="20"/>
          <w:szCs w:val="20"/>
          <w:lang w:val="es-GT"/>
        </w:rPr>
      </w:pPr>
    </w:p>
    <w:p w14:paraId="43607728" w14:textId="77777777" w:rsidR="0070389B" w:rsidRPr="0070389B" w:rsidRDefault="0070389B" w:rsidP="0070389B">
      <w:pPr>
        <w:spacing w:after="0" w:line="240" w:lineRule="auto"/>
        <w:rPr>
          <w:rFonts w:ascii="Verdana" w:eastAsia="Calibri" w:hAnsi="Verdana" w:cs="Arial"/>
          <w:sz w:val="20"/>
          <w:szCs w:val="20"/>
          <w:lang w:val="es-GT"/>
        </w:rPr>
      </w:pPr>
      <w:r w:rsidRPr="0070389B">
        <w:rPr>
          <w:rFonts w:ascii="Verdana" w:eastAsia="Cambria" w:hAnsi="Verdana" w:cs="Arial"/>
          <w:sz w:val="20"/>
          <w:szCs w:val="20"/>
          <w:lang w:val="es-GT"/>
        </w:rPr>
        <w:br w:type="page"/>
      </w:r>
    </w:p>
    <w:p w14:paraId="66C8194A" w14:textId="77777777" w:rsidR="0070389B" w:rsidRPr="0070389B" w:rsidRDefault="0070389B" w:rsidP="0070389B">
      <w:pPr>
        <w:spacing w:after="0" w:line="240" w:lineRule="auto"/>
        <w:ind w:left="720"/>
        <w:contextualSpacing/>
        <w:rPr>
          <w:rFonts w:ascii="Verdana" w:eastAsia="Calibri" w:hAnsi="Verdana" w:cs="Arial"/>
          <w:sz w:val="20"/>
          <w:szCs w:val="20"/>
          <w:lang w:val="es-GT"/>
        </w:rPr>
      </w:pPr>
    </w:p>
    <w:p w14:paraId="257F0AF8" w14:textId="77777777" w:rsidR="0070389B" w:rsidRPr="0070389B" w:rsidRDefault="0070389B" w:rsidP="0070389B">
      <w:pPr>
        <w:spacing w:after="0" w:line="240" w:lineRule="auto"/>
        <w:ind w:left="720"/>
        <w:contextualSpacing/>
        <w:jc w:val="both"/>
        <w:rPr>
          <w:rFonts w:ascii="Verdana" w:eastAsia="Calibri" w:hAnsi="Verdana" w:cs="Arial"/>
          <w:b/>
          <w:sz w:val="20"/>
          <w:szCs w:val="20"/>
          <w:lang w:val="es-ES_tradnl"/>
        </w:rPr>
      </w:pPr>
      <w:r w:rsidRPr="0070389B">
        <w:rPr>
          <w:rFonts w:ascii="Verdana" w:eastAsia="Calibri" w:hAnsi="Verdana" w:cs="Arial"/>
          <w:b/>
          <w:sz w:val="20"/>
          <w:szCs w:val="20"/>
          <w:lang w:val="es-GT"/>
        </w:rPr>
        <w:t>IV</w:t>
      </w:r>
      <w:r w:rsidRPr="0070389B">
        <w:rPr>
          <w:rFonts w:ascii="Verdana" w:eastAsia="Calibri" w:hAnsi="Verdana" w:cs="Arial"/>
          <w:b/>
          <w:sz w:val="20"/>
          <w:szCs w:val="20"/>
          <w:lang w:val="es-ES_tradnl"/>
        </w:rPr>
        <w:t>. El carácter definitivo de las medidas otorgadas a favor de los cuatro jueces del Tribunal Constitucional</w:t>
      </w:r>
    </w:p>
    <w:p w14:paraId="15D492D4" w14:textId="77777777" w:rsidR="0070389B" w:rsidRPr="0070389B" w:rsidRDefault="0070389B" w:rsidP="0070389B">
      <w:pPr>
        <w:spacing w:after="0" w:line="240" w:lineRule="auto"/>
        <w:ind w:left="720"/>
        <w:contextualSpacing/>
        <w:rPr>
          <w:rFonts w:ascii="Verdana" w:eastAsia="Calibri" w:hAnsi="Verdana" w:cs="Arial"/>
          <w:sz w:val="20"/>
          <w:szCs w:val="20"/>
          <w:lang w:val="es-ES_tradnl"/>
        </w:rPr>
      </w:pPr>
    </w:p>
    <w:p w14:paraId="1711947A" w14:textId="77777777" w:rsidR="0070389B" w:rsidRPr="0070389B" w:rsidRDefault="0070389B" w:rsidP="0070389B">
      <w:pPr>
        <w:spacing w:after="0" w:line="240" w:lineRule="auto"/>
        <w:ind w:left="720"/>
        <w:contextualSpacing/>
        <w:rPr>
          <w:rFonts w:ascii="Verdana" w:eastAsia="Calibri" w:hAnsi="Verdana" w:cs="Arial"/>
          <w:sz w:val="20"/>
          <w:szCs w:val="20"/>
          <w:lang w:val="es-GT"/>
        </w:rPr>
      </w:pPr>
      <w:r w:rsidRPr="0070389B">
        <w:rPr>
          <w:rFonts w:ascii="Verdana" w:eastAsia="Calibri" w:hAnsi="Verdana" w:cs="Arial"/>
          <w:sz w:val="20"/>
          <w:szCs w:val="20"/>
          <w:lang w:val="es-GT"/>
        </w:rPr>
        <w:t xml:space="preserve"> </w:t>
      </w:r>
    </w:p>
    <w:p w14:paraId="1879CE69" w14:textId="77777777" w:rsidR="0070389B" w:rsidRPr="0070389B" w:rsidRDefault="0070389B" w:rsidP="0070389B">
      <w:pPr>
        <w:numPr>
          <w:ilvl w:val="0"/>
          <w:numId w:val="18"/>
        </w:numPr>
        <w:spacing w:after="0" w:line="240" w:lineRule="auto"/>
        <w:ind w:left="0" w:firstLine="0"/>
        <w:contextualSpacing/>
        <w:jc w:val="both"/>
        <w:rPr>
          <w:rFonts w:ascii="Verdana" w:eastAsia="Calibri" w:hAnsi="Verdana" w:cs="Arial"/>
          <w:sz w:val="20"/>
          <w:szCs w:val="20"/>
          <w:lang w:val="es-GT"/>
        </w:rPr>
      </w:pPr>
      <w:r w:rsidRPr="0070389B">
        <w:rPr>
          <w:rFonts w:ascii="Verdana" w:eastAsia="Calibri" w:hAnsi="Verdana" w:cs="Arial"/>
          <w:sz w:val="20"/>
          <w:szCs w:val="20"/>
          <w:lang w:val="es-GT"/>
        </w:rPr>
        <w:t xml:space="preserve"> En la Resolución objeto del presente análisis, la Corte: </w:t>
      </w:r>
    </w:p>
    <w:p w14:paraId="13F04D91" w14:textId="77777777" w:rsidR="0070389B" w:rsidRPr="0070389B" w:rsidRDefault="0070389B" w:rsidP="0070389B">
      <w:pPr>
        <w:spacing w:after="0" w:line="240" w:lineRule="auto"/>
        <w:contextualSpacing/>
        <w:jc w:val="both"/>
        <w:rPr>
          <w:rFonts w:ascii="Verdana" w:eastAsia="Calibri" w:hAnsi="Verdana" w:cs="Arial"/>
          <w:sz w:val="20"/>
          <w:szCs w:val="20"/>
          <w:lang w:val="es-GT"/>
        </w:rPr>
      </w:pPr>
    </w:p>
    <w:p w14:paraId="04DC68BB" w14:textId="77777777" w:rsidR="0070389B" w:rsidRPr="0070389B" w:rsidRDefault="0070389B" w:rsidP="0070389B">
      <w:pPr>
        <w:spacing w:after="0" w:line="240" w:lineRule="auto"/>
        <w:ind w:left="720" w:right="645"/>
        <w:jc w:val="both"/>
        <w:rPr>
          <w:rFonts w:ascii="Verdana" w:eastAsia="Cambria" w:hAnsi="Verdana" w:cs="Times New Roman"/>
          <w:sz w:val="16"/>
          <w:szCs w:val="16"/>
        </w:rPr>
      </w:pPr>
      <w:r w:rsidRPr="0070389B">
        <w:rPr>
          <w:rFonts w:ascii="Verdana" w:eastAsia="Cambria" w:hAnsi="Verdana" w:cs="Times New Roman"/>
          <w:sz w:val="16"/>
          <w:szCs w:val="16"/>
        </w:rPr>
        <w:t>reitera que las medidas que adopte en esta oportunidad no deben ser evaluadas desde el punto de vista de la lógica de la protección de los magistrados del Tribunal Constitucional sino desde de la protección efectiva de los derechos de las víctimas al acceso a la justicia ante una situación particular como lo es la posible afectación a su derecho a contar con jueces independientes</w:t>
      </w:r>
    </w:p>
    <w:p w14:paraId="16AA7220" w14:textId="77777777" w:rsidR="0070389B" w:rsidRPr="0070389B" w:rsidRDefault="0070389B" w:rsidP="0070389B">
      <w:pPr>
        <w:spacing w:after="0" w:line="240" w:lineRule="auto"/>
        <w:contextualSpacing/>
        <w:jc w:val="both"/>
        <w:rPr>
          <w:rFonts w:ascii="Verdana" w:eastAsia="Calibri" w:hAnsi="Verdana" w:cs="Arial"/>
          <w:sz w:val="20"/>
          <w:szCs w:val="20"/>
          <w:lang w:val="es-GT"/>
        </w:rPr>
      </w:pPr>
    </w:p>
    <w:p w14:paraId="23E90533" w14:textId="77777777" w:rsidR="0070389B" w:rsidRPr="0070389B" w:rsidRDefault="0070389B" w:rsidP="0070389B">
      <w:pPr>
        <w:numPr>
          <w:ilvl w:val="0"/>
          <w:numId w:val="18"/>
        </w:numPr>
        <w:spacing w:after="0" w:line="240" w:lineRule="auto"/>
        <w:ind w:left="0" w:firstLine="0"/>
        <w:contextualSpacing/>
        <w:jc w:val="both"/>
        <w:rPr>
          <w:rFonts w:ascii="Verdana" w:eastAsia="Calibri" w:hAnsi="Verdana" w:cs="Arial"/>
          <w:sz w:val="20"/>
          <w:szCs w:val="20"/>
          <w:lang w:val="es-GT"/>
        </w:rPr>
      </w:pPr>
      <w:r w:rsidRPr="0070389B">
        <w:rPr>
          <w:rFonts w:ascii="Verdana" w:eastAsia="Calibri" w:hAnsi="Verdana" w:cs="Arial"/>
          <w:sz w:val="20"/>
          <w:szCs w:val="20"/>
          <w:lang w:val="es-GT"/>
        </w:rPr>
        <w:t xml:space="preserve">En consecuencia de lo anterior, la Corte determinó proceder a ordenar el archivo definitivo del juicio político que se llevó a cabo en contra de los magistrados del Tribunal Constitucional. </w:t>
      </w:r>
    </w:p>
    <w:p w14:paraId="3D794B9F" w14:textId="77777777" w:rsidR="0070389B" w:rsidRPr="0070389B" w:rsidRDefault="0070389B" w:rsidP="0070389B">
      <w:pPr>
        <w:spacing w:after="0" w:line="240" w:lineRule="auto"/>
        <w:contextualSpacing/>
        <w:jc w:val="both"/>
        <w:rPr>
          <w:rFonts w:ascii="Verdana" w:eastAsia="Calibri" w:hAnsi="Verdana" w:cs="Arial"/>
          <w:sz w:val="20"/>
          <w:szCs w:val="20"/>
          <w:lang w:val="es-GT"/>
        </w:rPr>
      </w:pPr>
    </w:p>
    <w:p w14:paraId="7156E149" w14:textId="77777777" w:rsidR="0070389B" w:rsidRPr="0070389B" w:rsidRDefault="0070389B" w:rsidP="0070389B">
      <w:pPr>
        <w:numPr>
          <w:ilvl w:val="0"/>
          <w:numId w:val="18"/>
        </w:numPr>
        <w:spacing w:after="0" w:line="240" w:lineRule="auto"/>
        <w:ind w:left="0" w:firstLine="0"/>
        <w:contextualSpacing/>
        <w:jc w:val="both"/>
        <w:rPr>
          <w:rFonts w:ascii="Verdana" w:eastAsia="Calibri" w:hAnsi="Verdana" w:cs="Arial"/>
          <w:sz w:val="20"/>
          <w:szCs w:val="20"/>
          <w:lang w:val="es-GT"/>
        </w:rPr>
      </w:pPr>
      <w:r w:rsidRPr="0070389B">
        <w:rPr>
          <w:rFonts w:ascii="Verdana" w:eastAsia="Calibri" w:hAnsi="Verdana" w:cs="Arial"/>
          <w:sz w:val="20"/>
          <w:szCs w:val="20"/>
          <w:lang w:val="es-GT"/>
        </w:rPr>
        <w:t>Los términos absolutos en los cuales se ordena el archivo del juicio político incoado en contra de los jueces del Tribunal Constitucional se corresponden con una reparación que esta Corte Interamericana podría dictar en el marco de un proceso específico de índole contencioso. De esta forma, de ser este análisis realizado en un proceso de fondo, no existiría obstáculo alguno para que la Corte Interamericana, en el marco de sus competencias, ordene el archivo en los términos que se realizó en la presente Resolución.</w:t>
      </w:r>
    </w:p>
    <w:p w14:paraId="2D0D9526" w14:textId="77777777" w:rsidR="0070389B" w:rsidRPr="0070389B" w:rsidRDefault="0070389B" w:rsidP="0070389B">
      <w:pPr>
        <w:spacing w:after="0" w:line="240" w:lineRule="auto"/>
        <w:ind w:left="720"/>
        <w:contextualSpacing/>
        <w:rPr>
          <w:rFonts w:ascii="Verdana" w:eastAsia="Calibri" w:hAnsi="Verdana" w:cs="Arial"/>
          <w:sz w:val="20"/>
          <w:szCs w:val="20"/>
          <w:lang w:val="es-GT"/>
        </w:rPr>
      </w:pPr>
    </w:p>
    <w:p w14:paraId="7D1F8E5F" w14:textId="77777777" w:rsidR="0070389B" w:rsidRPr="0070389B" w:rsidRDefault="0070389B" w:rsidP="0070389B">
      <w:pPr>
        <w:spacing w:after="0" w:line="240" w:lineRule="auto"/>
        <w:ind w:left="720"/>
        <w:contextualSpacing/>
        <w:rPr>
          <w:rFonts w:ascii="Verdana" w:eastAsia="Calibri" w:hAnsi="Verdana" w:cs="Arial"/>
          <w:sz w:val="20"/>
          <w:szCs w:val="20"/>
          <w:lang w:val="es-GT"/>
        </w:rPr>
      </w:pPr>
    </w:p>
    <w:p w14:paraId="3EA5BBDC" w14:textId="77777777" w:rsidR="0070389B" w:rsidRPr="0070389B" w:rsidRDefault="0070389B" w:rsidP="0070389B">
      <w:pPr>
        <w:numPr>
          <w:ilvl w:val="0"/>
          <w:numId w:val="18"/>
        </w:numPr>
        <w:spacing w:after="0" w:line="240" w:lineRule="auto"/>
        <w:ind w:left="0" w:firstLine="0"/>
        <w:contextualSpacing/>
        <w:jc w:val="both"/>
        <w:rPr>
          <w:rFonts w:ascii="Verdana" w:eastAsia="Calibri" w:hAnsi="Verdana" w:cs="Arial"/>
          <w:sz w:val="20"/>
          <w:szCs w:val="20"/>
          <w:lang w:val="es-GT"/>
        </w:rPr>
      </w:pPr>
      <w:r w:rsidRPr="0070389B">
        <w:rPr>
          <w:rFonts w:ascii="Verdana" w:eastAsia="Calibri" w:hAnsi="Verdana" w:cs="Arial"/>
          <w:sz w:val="20"/>
          <w:szCs w:val="20"/>
          <w:lang w:val="es-GT"/>
        </w:rPr>
        <w:t xml:space="preserve">Sin embargo, las solicitudes de medidas provisionales deben ser, por su propia naturaleza, provisionales. En consecuencia, deberían estar sujetas a algún elemento de temporalidad, al menos, en principio.  </w:t>
      </w:r>
    </w:p>
    <w:p w14:paraId="7724CF98" w14:textId="77777777" w:rsidR="0070389B" w:rsidRPr="0070389B" w:rsidRDefault="0070389B" w:rsidP="0070389B">
      <w:pPr>
        <w:spacing w:after="0" w:line="240" w:lineRule="auto"/>
        <w:ind w:left="720"/>
        <w:contextualSpacing/>
        <w:rPr>
          <w:rFonts w:ascii="Verdana" w:eastAsia="Calibri" w:hAnsi="Verdana" w:cs="Arial"/>
          <w:sz w:val="20"/>
          <w:szCs w:val="20"/>
          <w:lang w:val="es-GT"/>
        </w:rPr>
      </w:pPr>
    </w:p>
    <w:p w14:paraId="5A3CF0E7" w14:textId="77777777" w:rsidR="0070389B" w:rsidRPr="0070389B" w:rsidRDefault="0070389B" w:rsidP="0070389B">
      <w:pPr>
        <w:spacing w:after="0" w:line="240" w:lineRule="auto"/>
        <w:ind w:left="720"/>
        <w:contextualSpacing/>
        <w:rPr>
          <w:rFonts w:ascii="Verdana" w:eastAsia="Calibri" w:hAnsi="Verdana" w:cs="Arial"/>
          <w:sz w:val="20"/>
          <w:szCs w:val="20"/>
          <w:lang w:val="es-GT"/>
        </w:rPr>
      </w:pPr>
    </w:p>
    <w:p w14:paraId="6EF2C354" w14:textId="77777777" w:rsidR="0070389B" w:rsidRPr="0070389B" w:rsidRDefault="0070389B" w:rsidP="0070389B">
      <w:pPr>
        <w:numPr>
          <w:ilvl w:val="0"/>
          <w:numId w:val="18"/>
        </w:numPr>
        <w:spacing w:after="0" w:line="240" w:lineRule="auto"/>
        <w:ind w:left="0" w:firstLine="0"/>
        <w:contextualSpacing/>
        <w:jc w:val="both"/>
        <w:rPr>
          <w:rFonts w:ascii="Verdana" w:eastAsia="Calibri" w:hAnsi="Verdana" w:cs="Arial"/>
          <w:sz w:val="20"/>
          <w:szCs w:val="20"/>
          <w:lang w:val="es-GT"/>
        </w:rPr>
      </w:pPr>
      <w:r w:rsidRPr="0070389B">
        <w:rPr>
          <w:rFonts w:ascii="Verdana" w:eastAsia="Calibri" w:hAnsi="Verdana" w:cs="Arial"/>
          <w:sz w:val="20"/>
          <w:szCs w:val="20"/>
          <w:lang w:val="es-GT"/>
        </w:rPr>
        <w:t xml:space="preserve">No obstante lo anterior, en el análisis concreto, la Corte no resuelve el problema de la falta de temporalidad de la medida concedida. Al contrario, dispone el archivo definitivo del proceso político al cual estaban sometidos los jueces del Tribunal Constitucional, sin analizar su conformidad a la Convención Americana, y de esta forma, concluyendo de forma definitiva un hecho que debería ser analizado a través de un proceso de fondo.   </w:t>
      </w:r>
    </w:p>
    <w:p w14:paraId="723C5F8E" w14:textId="77777777" w:rsidR="0070389B" w:rsidRPr="0070389B" w:rsidRDefault="0070389B" w:rsidP="0070389B">
      <w:pPr>
        <w:spacing w:after="0" w:line="240" w:lineRule="auto"/>
        <w:ind w:left="720"/>
        <w:contextualSpacing/>
        <w:rPr>
          <w:rFonts w:ascii="Verdana" w:eastAsia="Calibri" w:hAnsi="Verdana" w:cs="Arial"/>
          <w:sz w:val="20"/>
          <w:szCs w:val="20"/>
          <w:lang w:val="es-GT"/>
        </w:rPr>
      </w:pPr>
    </w:p>
    <w:p w14:paraId="112AB5F6" w14:textId="77777777" w:rsidR="0070389B" w:rsidRPr="0070389B" w:rsidRDefault="0070389B" w:rsidP="0070389B">
      <w:pPr>
        <w:spacing w:after="0" w:line="240" w:lineRule="auto"/>
        <w:ind w:left="720"/>
        <w:contextualSpacing/>
        <w:rPr>
          <w:rFonts w:ascii="Verdana" w:eastAsia="Calibri" w:hAnsi="Verdana" w:cs="Arial"/>
          <w:sz w:val="20"/>
          <w:szCs w:val="20"/>
          <w:lang w:val="es-GT"/>
        </w:rPr>
      </w:pPr>
    </w:p>
    <w:p w14:paraId="2E935D15" w14:textId="77777777" w:rsidR="0070389B" w:rsidRPr="0070389B" w:rsidRDefault="0070389B" w:rsidP="0070389B">
      <w:pPr>
        <w:numPr>
          <w:ilvl w:val="0"/>
          <w:numId w:val="18"/>
        </w:numPr>
        <w:spacing w:after="0" w:line="240" w:lineRule="auto"/>
        <w:ind w:left="0" w:firstLine="0"/>
        <w:contextualSpacing/>
        <w:jc w:val="both"/>
        <w:rPr>
          <w:rFonts w:ascii="Verdana" w:eastAsia="Calibri" w:hAnsi="Verdana" w:cs="Arial"/>
          <w:sz w:val="20"/>
          <w:szCs w:val="20"/>
          <w:lang w:val="es-GT"/>
        </w:rPr>
      </w:pPr>
      <w:r w:rsidRPr="0070389B">
        <w:rPr>
          <w:rFonts w:ascii="Verdana" w:eastAsia="Calibri" w:hAnsi="Verdana" w:cs="Arial"/>
          <w:sz w:val="20"/>
          <w:szCs w:val="20"/>
          <w:lang w:val="es-GT"/>
        </w:rPr>
        <w:t xml:space="preserve">Las medidas provisionales en el sistema interamericano deben ser destinadas a procurar que los efectos jurídicos de una eventual Sentencia del sistema interamericano no resulten ilusorias, pero no deben constituir decisiones definitivas de fondo que cesen una controversia, cuando ni siquiera  se ha valorado su conformidad al derecho internacional de los derechos humanos, sino una eventual afectación </w:t>
      </w:r>
      <w:r w:rsidRPr="0070389B">
        <w:rPr>
          <w:rFonts w:ascii="Verdana" w:eastAsia="Calibri" w:hAnsi="Verdana" w:cs="Arial"/>
          <w:i/>
          <w:sz w:val="20"/>
          <w:szCs w:val="20"/>
          <w:lang w:val="es-GT"/>
        </w:rPr>
        <w:t>prima facie</w:t>
      </w:r>
      <w:r w:rsidRPr="0070389B">
        <w:rPr>
          <w:rFonts w:ascii="Verdana" w:eastAsia="Calibri" w:hAnsi="Verdana" w:cs="Arial"/>
          <w:sz w:val="20"/>
          <w:szCs w:val="20"/>
          <w:lang w:val="es-GT"/>
        </w:rPr>
        <w:t xml:space="preserve"> a derechos establecidos en la Convención que debería ser de extrema gravedad, urgente e irreparable. </w:t>
      </w:r>
    </w:p>
    <w:p w14:paraId="6666C9BD" w14:textId="77777777" w:rsidR="0070389B" w:rsidRPr="0070389B" w:rsidRDefault="0070389B" w:rsidP="0070389B">
      <w:pPr>
        <w:spacing w:after="0" w:line="240" w:lineRule="auto"/>
        <w:ind w:left="720"/>
        <w:contextualSpacing/>
        <w:rPr>
          <w:rFonts w:ascii="Verdana" w:eastAsia="Calibri" w:hAnsi="Verdana" w:cs="Arial"/>
          <w:sz w:val="20"/>
          <w:szCs w:val="20"/>
          <w:lang w:val="es-GT"/>
        </w:rPr>
      </w:pPr>
    </w:p>
    <w:p w14:paraId="10565312" w14:textId="77777777" w:rsidR="0070389B" w:rsidRPr="0070389B" w:rsidRDefault="0070389B" w:rsidP="0070389B">
      <w:pPr>
        <w:spacing w:after="0" w:line="240" w:lineRule="auto"/>
        <w:ind w:left="720"/>
        <w:contextualSpacing/>
        <w:rPr>
          <w:rFonts w:ascii="Verdana" w:eastAsia="Calibri" w:hAnsi="Verdana" w:cs="Arial"/>
          <w:sz w:val="20"/>
          <w:szCs w:val="20"/>
          <w:lang w:val="es-GT"/>
        </w:rPr>
      </w:pPr>
    </w:p>
    <w:p w14:paraId="5ABD933C" w14:textId="77777777" w:rsidR="0070389B" w:rsidRPr="0070389B" w:rsidRDefault="0070389B" w:rsidP="0070389B">
      <w:pPr>
        <w:numPr>
          <w:ilvl w:val="0"/>
          <w:numId w:val="18"/>
        </w:numPr>
        <w:spacing w:after="0" w:line="240" w:lineRule="auto"/>
        <w:ind w:left="0" w:firstLine="0"/>
        <w:contextualSpacing/>
        <w:jc w:val="both"/>
        <w:rPr>
          <w:rFonts w:ascii="Verdana" w:eastAsia="Calibri" w:hAnsi="Verdana" w:cs="Arial"/>
          <w:sz w:val="20"/>
          <w:szCs w:val="20"/>
          <w:lang w:val="es-GT"/>
        </w:rPr>
      </w:pPr>
      <w:r w:rsidRPr="0070389B">
        <w:rPr>
          <w:rFonts w:ascii="Verdana" w:eastAsia="Calibri" w:hAnsi="Verdana" w:cs="Arial"/>
          <w:sz w:val="20"/>
          <w:szCs w:val="20"/>
          <w:lang w:val="es-GT"/>
        </w:rPr>
        <w:t xml:space="preserve">Con la presente medida otorgada en la Resolución, se incumple con dicho fin, tutelando derechos de fondo y no propiamente las resultas de un eventual caso que sea sometido a la Corte Interamericana, o que pudiese ser resuelto en la propia jurisdicción peruana.  </w:t>
      </w:r>
    </w:p>
    <w:p w14:paraId="35C63964" w14:textId="77777777" w:rsidR="0070389B" w:rsidRPr="0070389B" w:rsidRDefault="0070389B" w:rsidP="0070389B">
      <w:pPr>
        <w:spacing w:after="0" w:line="240" w:lineRule="auto"/>
        <w:ind w:left="720"/>
        <w:contextualSpacing/>
        <w:rPr>
          <w:rFonts w:ascii="Verdana" w:eastAsia="Calibri" w:hAnsi="Verdana" w:cs="Arial"/>
          <w:sz w:val="20"/>
          <w:szCs w:val="20"/>
          <w:lang w:val="es-GT"/>
        </w:rPr>
      </w:pPr>
    </w:p>
    <w:p w14:paraId="10948DF1" w14:textId="77777777" w:rsidR="0070389B" w:rsidRPr="0070389B" w:rsidRDefault="0070389B" w:rsidP="0070389B">
      <w:pPr>
        <w:numPr>
          <w:ilvl w:val="0"/>
          <w:numId w:val="18"/>
        </w:numPr>
        <w:spacing w:after="0" w:line="240" w:lineRule="auto"/>
        <w:ind w:left="0" w:firstLine="0"/>
        <w:contextualSpacing/>
        <w:jc w:val="both"/>
        <w:rPr>
          <w:rFonts w:ascii="Verdana" w:eastAsia="Calibri" w:hAnsi="Verdana" w:cs="Arial"/>
          <w:sz w:val="20"/>
          <w:szCs w:val="20"/>
          <w:lang w:val="es-GT"/>
        </w:rPr>
      </w:pPr>
      <w:r w:rsidRPr="0070389B">
        <w:rPr>
          <w:rFonts w:ascii="Verdana" w:eastAsia="Calibri" w:hAnsi="Verdana" w:cs="Arial"/>
          <w:sz w:val="20"/>
          <w:szCs w:val="20"/>
          <w:lang w:val="es-GT"/>
        </w:rPr>
        <w:lastRenderedPageBreak/>
        <w:t xml:space="preserve">En este sentido, una formulación distinta que podría cumplir con los requisitos de provisionalidad habría sido que se mantenga a dichos jueces en sus cargos hasta tanto se resuelva sobre la convencionalidad de dicha destitución ante las instancias nacionales e internacionales competentes. Sin embargo, la mayoría de la Corte decidió adoptar una decisión definitiva, en contravención con el carácter provisional de las medidas.  </w:t>
      </w:r>
    </w:p>
    <w:p w14:paraId="2E161D82" w14:textId="77777777" w:rsidR="0070389B" w:rsidRPr="0070389B" w:rsidRDefault="0070389B" w:rsidP="0070389B">
      <w:pPr>
        <w:spacing w:after="0" w:line="240" w:lineRule="auto"/>
        <w:ind w:left="720"/>
        <w:contextualSpacing/>
        <w:rPr>
          <w:rFonts w:ascii="Verdana" w:eastAsia="Calibri" w:hAnsi="Verdana" w:cs="Arial"/>
          <w:sz w:val="20"/>
          <w:szCs w:val="20"/>
          <w:lang w:val="es-GT"/>
        </w:rPr>
      </w:pPr>
    </w:p>
    <w:p w14:paraId="2176DE98" w14:textId="77777777" w:rsidR="0070389B" w:rsidRPr="0070389B" w:rsidRDefault="0070389B" w:rsidP="0070389B">
      <w:pPr>
        <w:spacing w:after="0" w:line="240" w:lineRule="auto"/>
        <w:contextualSpacing/>
        <w:jc w:val="both"/>
        <w:rPr>
          <w:rFonts w:ascii="Verdana" w:eastAsia="Calibri" w:hAnsi="Verdana" w:cs="Arial"/>
          <w:b/>
          <w:sz w:val="20"/>
          <w:szCs w:val="20"/>
          <w:lang w:val="es-GT"/>
        </w:rPr>
      </w:pPr>
    </w:p>
    <w:p w14:paraId="684622F1" w14:textId="77777777" w:rsidR="0070389B" w:rsidRPr="0070389B" w:rsidRDefault="0070389B" w:rsidP="0070389B">
      <w:pPr>
        <w:spacing w:after="0" w:line="240" w:lineRule="auto"/>
        <w:ind w:left="2124" w:right="96" w:firstLine="708"/>
        <w:jc w:val="right"/>
        <w:rPr>
          <w:rFonts w:ascii="Verdana" w:eastAsia="Calibri" w:hAnsi="Verdana" w:cs="Times New Roman"/>
          <w:sz w:val="20"/>
          <w:szCs w:val="20"/>
        </w:rPr>
      </w:pPr>
    </w:p>
    <w:p w14:paraId="65B75A74" w14:textId="77777777" w:rsidR="0070389B" w:rsidRPr="0070389B" w:rsidRDefault="0070389B" w:rsidP="0070389B">
      <w:pPr>
        <w:spacing w:after="0" w:line="240" w:lineRule="auto"/>
        <w:ind w:left="2124" w:right="96" w:firstLine="708"/>
        <w:jc w:val="right"/>
        <w:rPr>
          <w:rFonts w:ascii="Verdana" w:eastAsia="Calibri" w:hAnsi="Verdana" w:cs="Times New Roman"/>
          <w:sz w:val="20"/>
          <w:szCs w:val="20"/>
        </w:rPr>
      </w:pPr>
    </w:p>
    <w:p w14:paraId="46160B5A" w14:textId="77777777" w:rsidR="0070389B" w:rsidRPr="0070389B" w:rsidRDefault="0070389B" w:rsidP="0070389B">
      <w:pPr>
        <w:spacing w:after="0" w:line="240" w:lineRule="auto"/>
        <w:ind w:left="2124" w:right="96" w:firstLine="708"/>
        <w:jc w:val="right"/>
        <w:rPr>
          <w:rFonts w:ascii="Verdana" w:eastAsia="Calibri" w:hAnsi="Verdana" w:cs="Times New Roman"/>
          <w:sz w:val="20"/>
          <w:szCs w:val="20"/>
        </w:rPr>
      </w:pPr>
    </w:p>
    <w:p w14:paraId="56BE5529" w14:textId="77777777" w:rsidR="0070389B" w:rsidRPr="0070389B" w:rsidRDefault="0070389B" w:rsidP="0070389B">
      <w:pPr>
        <w:spacing w:after="0" w:line="240" w:lineRule="auto"/>
        <w:ind w:left="2124" w:right="96" w:firstLine="708"/>
        <w:jc w:val="right"/>
        <w:rPr>
          <w:rFonts w:ascii="Verdana" w:eastAsia="Calibri" w:hAnsi="Verdana" w:cs="Times New Roman"/>
          <w:sz w:val="20"/>
          <w:szCs w:val="20"/>
        </w:rPr>
      </w:pPr>
      <w:r w:rsidRPr="0070389B">
        <w:rPr>
          <w:rFonts w:ascii="Verdana" w:eastAsia="Calibri" w:hAnsi="Verdana" w:cs="Times New Roman"/>
          <w:sz w:val="20"/>
          <w:szCs w:val="20"/>
        </w:rPr>
        <w:t>Humberto A. Sierra Porto</w:t>
      </w:r>
    </w:p>
    <w:p w14:paraId="5ED5DB16" w14:textId="77777777" w:rsidR="0070389B" w:rsidRPr="0070389B" w:rsidRDefault="0070389B" w:rsidP="0070389B">
      <w:pPr>
        <w:spacing w:after="0" w:line="240" w:lineRule="auto"/>
        <w:ind w:left="3540" w:right="1548" w:firstLine="708"/>
        <w:jc w:val="right"/>
        <w:rPr>
          <w:rFonts w:ascii="Verdana" w:eastAsia="Calibri" w:hAnsi="Verdana" w:cs="Times New Roman"/>
          <w:sz w:val="20"/>
          <w:szCs w:val="20"/>
        </w:rPr>
      </w:pPr>
      <w:r w:rsidRPr="0070389B">
        <w:rPr>
          <w:rFonts w:ascii="Verdana" w:eastAsia="Calibri" w:hAnsi="Verdana" w:cs="Times New Roman"/>
          <w:sz w:val="20"/>
          <w:szCs w:val="20"/>
        </w:rPr>
        <w:t>Juez</w:t>
      </w:r>
    </w:p>
    <w:p w14:paraId="4D42C8FD" w14:textId="77777777" w:rsidR="0070389B" w:rsidRPr="0070389B" w:rsidRDefault="0070389B" w:rsidP="0070389B">
      <w:pPr>
        <w:spacing w:after="0" w:line="240" w:lineRule="auto"/>
        <w:rPr>
          <w:rFonts w:ascii="Verdana" w:eastAsia="Cambria" w:hAnsi="Verdana" w:cs="Times New Roman"/>
          <w:sz w:val="20"/>
          <w:szCs w:val="20"/>
        </w:rPr>
      </w:pPr>
    </w:p>
    <w:p w14:paraId="16255E44" w14:textId="77777777" w:rsidR="0070389B" w:rsidRPr="0070389B" w:rsidRDefault="0070389B" w:rsidP="0070389B">
      <w:pPr>
        <w:spacing w:after="0" w:line="240" w:lineRule="auto"/>
        <w:rPr>
          <w:rFonts w:ascii="Verdana" w:eastAsia="Cambria" w:hAnsi="Verdana" w:cs="Times New Roman"/>
          <w:sz w:val="20"/>
          <w:szCs w:val="20"/>
        </w:rPr>
      </w:pPr>
    </w:p>
    <w:p w14:paraId="329E0DB4" w14:textId="77777777" w:rsidR="0070389B" w:rsidRPr="0070389B" w:rsidRDefault="0070389B" w:rsidP="0070389B">
      <w:pPr>
        <w:spacing w:after="0" w:line="240" w:lineRule="auto"/>
        <w:rPr>
          <w:rFonts w:ascii="Verdana" w:eastAsia="Cambria" w:hAnsi="Verdana" w:cs="Times New Roman"/>
          <w:sz w:val="20"/>
          <w:szCs w:val="20"/>
        </w:rPr>
      </w:pPr>
      <w:r w:rsidRPr="0070389B">
        <w:rPr>
          <w:rFonts w:ascii="Verdana" w:eastAsia="Cambria" w:hAnsi="Verdana" w:cs="Times New Roman"/>
          <w:sz w:val="20"/>
          <w:szCs w:val="20"/>
        </w:rPr>
        <w:t>Pablo Saavedra Alessandri</w:t>
      </w:r>
    </w:p>
    <w:p w14:paraId="7480724D" w14:textId="77777777" w:rsidR="0070389B" w:rsidRPr="0070389B" w:rsidRDefault="0070389B" w:rsidP="0070389B">
      <w:pPr>
        <w:spacing w:after="0" w:line="240" w:lineRule="auto"/>
        <w:rPr>
          <w:rFonts w:ascii="Verdana" w:eastAsia="Cambria" w:hAnsi="Verdana" w:cs="Arial"/>
          <w:sz w:val="20"/>
          <w:szCs w:val="20"/>
        </w:rPr>
      </w:pPr>
      <w:r w:rsidRPr="0070389B">
        <w:rPr>
          <w:rFonts w:ascii="Verdana" w:eastAsia="Cambria" w:hAnsi="Verdana" w:cs="Times New Roman"/>
          <w:sz w:val="20"/>
          <w:szCs w:val="20"/>
        </w:rPr>
        <w:tab/>
        <w:t xml:space="preserve">  Secretario</w:t>
      </w:r>
    </w:p>
    <w:p w14:paraId="7EADF1D9" w14:textId="77777777" w:rsidR="0070389B" w:rsidRPr="0070389B" w:rsidRDefault="0070389B" w:rsidP="0070389B">
      <w:pPr>
        <w:spacing w:after="0" w:line="240" w:lineRule="auto"/>
        <w:ind w:left="720"/>
        <w:contextualSpacing/>
        <w:rPr>
          <w:rFonts w:ascii="Verdana" w:eastAsia="Calibri" w:hAnsi="Verdana" w:cs="Arial"/>
          <w:sz w:val="20"/>
          <w:szCs w:val="20"/>
          <w:lang w:val="es-GT"/>
        </w:rPr>
      </w:pPr>
    </w:p>
    <w:p w14:paraId="699C056E" w14:textId="1FA76296" w:rsidR="000B6B57" w:rsidRPr="00F148B5" w:rsidRDefault="000B6B57" w:rsidP="00C96422">
      <w:pPr>
        <w:pStyle w:val="ListParagraph"/>
        <w:spacing w:after="0" w:line="240" w:lineRule="auto"/>
        <w:ind w:left="0"/>
        <w:contextualSpacing w:val="0"/>
        <w:jc w:val="both"/>
        <w:rPr>
          <w:rFonts w:ascii="Verdana" w:hAnsi="Verdana"/>
          <w:sz w:val="20"/>
          <w:szCs w:val="20"/>
          <w:lang w:val="es-ES_tradnl"/>
        </w:rPr>
      </w:pPr>
    </w:p>
    <w:sectPr w:rsidR="000B6B57" w:rsidRPr="00F148B5" w:rsidSect="0070389B">
      <w:headerReference w:type="default" r:id="rId17"/>
      <w:footerReference w:type="default" r:id="rId18"/>
      <w:pgSz w:w="12240" w:h="15840" w:code="1"/>
      <w:pgMar w:top="1440" w:right="1800" w:bottom="1440" w:left="1800" w:header="708" w:footer="708" w:gutter="0"/>
      <w:pgNumType w:start="1"/>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4068617" w15:done="0"/>
  <w15:commentEx w15:paraId="1E46FF49" w15:paraIdParent="44068617" w15:done="0"/>
  <w15:commentEx w15:paraId="60A3803F" w15:done="0"/>
  <w15:commentEx w15:paraId="0A0397B2" w15:paraIdParent="60A3803F" w15:done="0"/>
  <w15:commentEx w15:paraId="1FDA4D0C" w15:done="0"/>
  <w15:commentEx w15:paraId="1770016F" w15:paraIdParent="1FDA4D0C" w15:done="0"/>
  <w15:commentEx w15:paraId="0AB5EA97" w15:done="0"/>
  <w15:commentEx w15:paraId="4DC90D14" w15:paraIdParent="0AB5EA97" w15:done="0"/>
  <w15:commentEx w15:paraId="481F064C" w15:done="0"/>
  <w15:commentEx w15:paraId="44154332" w15:paraIdParent="481F064C" w15:done="0"/>
  <w15:commentEx w15:paraId="05BCB067" w15:done="0"/>
  <w15:commentEx w15:paraId="63239C62" w15:paraIdParent="05BCB067" w15:done="0"/>
  <w15:commentEx w15:paraId="27834D6C" w15:done="0"/>
  <w15:commentEx w15:paraId="0B3170AB" w15:paraIdParent="27834D6C" w15:done="0"/>
  <w15:commentEx w15:paraId="1E52BEC4" w15:done="0"/>
  <w15:commentEx w15:paraId="18B3A851" w15:paraIdParent="1E52BEC4" w15:done="0"/>
  <w15:commentEx w15:paraId="6F28E073" w15:done="0"/>
  <w15:commentEx w15:paraId="7F1DD9D5" w15:done="0"/>
  <w15:commentEx w15:paraId="090BE3BA" w15:paraIdParent="7F1DD9D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4068617" w16cid:durableId="1DE0ED54"/>
  <w16cid:commentId w16cid:paraId="1E46FF49" w16cid:durableId="1DE0EE15"/>
  <w16cid:commentId w16cid:paraId="60A3803F" w16cid:durableId="1DE0ED55"/>
  <w16cid:commentId w16cid:paraId="0A0397B2" w16cid:durableId="1DE0EDC6"/>
  <w16cid:commentId w16cid:paraId="1FDA4D0C" w16cid:durableId="1DE0ED56"/>
  <w16cid:commentId w16cid:paraId="1770016F" w16cid:durableId="1DE0EE3F"/>
  <w16cid:commentId w16cid:paraId="0AB5EA97" w16cid:durableId="1DE0ED57"/>
  <w16cid:commentId w16cid:paraId="4DC90D14" w16cid:durableId="1DE0EF57"/>
  <w16cid:commentId w16cid:paraId="481F064C" w16cid:durableId="1DE0ED58"/>
  <w16cid:commentId w16cid:paraId="44154332" w16cid:durableId="1DE0EF92"/>
  <w16cid:commentId w16cid:paraId="05BCB067" w16cid:durableId="1DE0ED59"/>
  <w16cid:commentId w16cid:paraId="63239C62" w16cid:durableId="1DE0F066"/>
  <w16cid:commentId w16cid:paraId="27834D6C" w16cid:durableId="1DE0ED5A"/>
  <w16cid:commentId w16cid:paraId="0B3170AB" w16cid:durableId="1DE0F0C4"/>
  <w16cid:commentId w16cid:paraId="1E52BEC4" w16cid:durableId="1DE0ED5B"/>
  <w16cid:commentId w16cid:paraId="18B3A851" w16cid:durableId="1DE0F20F"/>
  <w16cid:commentId w16cid:paraId="6F28E073" w16cid:durableId="1DE0ED5C"/>
  <w16cid:commentId w16cid:paraId="7F1DD9D5" w16cid:durableId="1DE0ED5D"/>
  <w16cid:commentId w16cid:paraId="090BE3BA" w16cid:durableId="1DE0F26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BF52B8" w14:textId="77777777" w:rsidR="00BC0FD5" w:rsidRDefault="00BC0FD5" w:rsidP="004F5E47">
      <w:pPr>
        <w:spacing w:after="0" w:line="240" w:lineRule="auto"/>
      </w:pPr>
      <w:r>
        <w:separator/>
      </w:r>
    </w:p>
  </w:endnote>
  <w:endnote w:type="continuationSeparator" w:id="0">
    <w:p w14:paraId="18AC594D" w14:textId="77777777" w:rsidR="00BC0FD5" w:rsidRDefault="00BC0FD5" w:rsidP="004F5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Vrinda">
    <w:panose1 w:val="020B0502040204020203"/>
    <w:charset w:val="00"/>
    <w:family w:val="swiss"/>
    <w:pitch w:val="variable"/>
    <w:sig w:usb0="0001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261DD6" w14:textId="77777777" w:rsidR="000B6B57" w:rsidRPr="00192D33" w:rsidRDefault="000B6B57" w:rsidP="00507D8A">
    <w:pPr>
      <w:pStyle w:val="Footer"/>
      <w:tabs>
        <w:tab w:val="center" w:pos="5490"/>
        <w:tab w:val="right" w:pos="10980"/>
      </w:tabs>
      <w:ind w:right="720"/>
      <w:jc w:val="center"/>
      <w:rPr>
        <w:sz w:val="20"/>
        <w:lang w:val="es-E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5297610"/>
      <w:docPartObj>
        <w:docPartGallery w:val="Page Numbers (Bottom of Page)"/>
        <w:docPartUnique/>
      </w:docPartObj>
    </w:sdtPr>
    <w:sdtEndPr/>
    <w:sdtContent>
      <w:p w14:paraId="36B63048" w14:textId="77777777" w:rsidR="000B6B57" w:rsidRDefault="000B6B57">
        <w:pPr>
          <w:pStyle w:val="Footer"/>
          <w:jc w:val="right"/>
        </w:pPr>
        <w:r>
          <w:fldChar w:fldCharType="begin"/>
        </w:r>
        <w:r>
          <w:instrText>PAGE   \* MERGEFORMAT</w:instrText>
        </w:r>
        <w:r>
          <w:fldChar w:fldCharType="separate"/>
        </w:r>
        <w:r w:rsidR="009F6212" w:rsidRPr="009F6212">
          <w:rPr>
            <w:noProof/>
            <w:lang w:val="es-ES"/>
          </w:rPr>
          <w:t>13</w:t>
        </w:r>
        <w:r>
          <w:fldChar w:fldCharType="end"/>
        </w:r>
      </w:p>
    </w:sdtContent>
  </w:sdt>
  <w:p w14:paraId="06671B91" w14:textId="77777777" w:rsidR="000B6B57" w:rsidRDefault="000B6B5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5CA66B" w14:textId="62B6728B" w:rsidR="00660A91" w:rsidRDefault="00660A91">
    <w:pPr>
      <w:pStyle w:val="Footer"/>
      <w:jc w:val="right"/>
    </w:pPr>
  </w:p>
  <w:p w14:paraId="3469203A" w14:textId="77777777" w:rsidR="00660A91" w:rsidRDefault="00660A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F48A23" w14:textId="77777777" w:rsidR="00BC0FD5" w:rsidRDefault="00BC0FD5" w:rsidP="004F5E47">
      <w:pPr>
        <w:spacing w:after="0" w:line="240" w:lineRule="auto"/>
      </w:pPr>
      <w:r>
        <w:separator/>
      </w:r>
    </w:p>
  </w:footnote>
  <w:footnote w:type="continuationSeparator" w:id="0">
    <w:p w14:paraId="35DA3CCA" w14:textId="77777777" w:rsidR="00BC0FD5" w:rsidRDefault="00BC0FD5" w:rsidP="004F5E47">
      <w:pPr>
        <w:spacing w:after="0" w:line="240" w:lineRule="auto"/>
      </w:pPr>
      <w:r>
        <w:continuationSeparator/>
      </w:r>
    </w:p>
  </w:footnote>
  <w:footnote w:id="1">
    <w:p w14:paraId="4251467E" w14:textId="1E76CDFF" w:rsidR="000B6B57" w:rsidRPr="00B24B86" w:rsidRDefault="000B6B57" w:rsidP="00911899">
      <w:pPr>
        <w:pStyle w:val="FootnoteText"/>
        <w:rPr>
          <w:szCs w:val="16"/>
          <w:lang w:val="es-ES_tradnl"/>
        </w:rPr>
      </w:pPr>
      <w:r w:rsidRPr="00B24B86">
        <w:rPr>
          <w:rStyle w:val="FootnoteReference"/>
          <w:szCs w:val="16"/>
        </w:rPr>
        <w:footnoteRef/>
      </w:r>
      <w:r w:rsidRPr="00D07B4A">
        <w:rPr>
          <w:szCs w:val="16"/>
          <w:lang w:val="es-CR"/>
        </w:rPr>
        <w:t xml:space="preserve"> </w:t>
      </w:r>
      <w:r w:rsidRPr="00B24B86">
        <w:rPr>
          <w:szCs w:val="16"/>
          <w:lang w:val="es-ES_tradnl"/>
        </w:rPr>
        <w:tab/>
      </w:r>
      <w:r w:rsidRPr="00656BB3">
        <w:rPr>
          <w:i/>
          <w:szCs w:val="16"/>
          <w:lang w:val="es-ES_tradnl"/>
        </w:rPr>
        <w:t>Cfr. Caso Durand y Ugarte Vs. Perú. Fondo</w:t>
      </w:r>
      <w:r w:rsidRPr="00656BB3">
        <w:rPr>
          <w:szCs w:val="16"/>
          <w:lang w:val="es-ES_tradnl"/>
        </w:rPr>
        <w:t xml:space="preserve">. Sentencia de 16 de agosto de 2000. Serie C No. 68, disponible en: </w:t>
      </w:r>
      <w:hyperlink r:id="rId1" w:history="1">
        <w:r w:rsidRPr="00656BB3">
          <w:rPr>
            <w:rStyle w:val="Hyperlink"/>
            <w:sz w:val="16"/>
            <w:szCs w:val="16"/>
            <w:lang w:val="es-ES_tradnl"/>
          </w:rPr>
          <w:t>http://www.corteidh.or.cr/docs/casos/articulos/Seriec_68_esp.pdf</w:t>
        </w:r>
      </w:hyperlink>
      <w:r w:rsidRPr="00656BB3">
        <w:rPr>
          <w:szCs w:val="16"/>
          <w:lang w:val="es-ES_tradnl"/>
        </w:rPr>
        <w:t>.</w:t>
      </w:r>
    </w:p>
  </w:footnote>
  <w:footnote w:id="2">
    <w:p w14:paraId="33ED5A30" w14:textId="36E3F558" w:rsidR="000B6B57" w:rsidRPr="00B24B86" w:rsidRDefault="000B6B57" w:rsidP="00911899">
      <w:pPr>
        <w:pStyle w:val="FootnoteText"/>
        <w:rPr>
          <w:szCs w:val="16"/>
          <w:lang w:val="es-ES_tradnl"/>
        </w:rPr>
      </w:pPr>
      <w:r w:rsidRPr="00B24B86">
        <w:rPr>
          <w:rStyle w:val="FootnoteReference"/>
          <w:szCs w:val="16"/>
        </w:rPr>
        <w:footnoteRef/>
      </w:r>
      <w:r w:rsidRPr="00D07B4A">
        <w:rPr>
          <w:szCs w:val="16"/>
          <w:lang w:val="es-CR"/>
        </w:rPr>
        <w:t xml:space="preserve"> </w:t>
      </w:r>
      <w:r w:rsidRPr="00B24B86">
        <w:rPr>
          <w:szCs w:val="16"/>
          <w:lang w:val="es-ES_tradnl"/>
        </w:rPr>
        <w:tab/>
      </w:r>
      <w:r w:rsidRPr="00656BB3">
        <w:rPr>
          <w:i/>
          <w:szCs w:val="16"/>
          <w:lang w:val="es-ES_tradnl"/>
        </w:rPr>
        <w:t xml:space="preserve">Cfr. Caso Durand y Ugarte Vs. Perú. Reparaciones y Costas. </w:t>
      </w:r>
      <w:r w:rsidRPr="00656BB3">
        <w:rPr>
          <w:szCs w:val="16"/>
          <w:lang w:val="es-ES_tradnl"/>
        </w:rPr>
        <w:t xml:space="preserve">Sentencia de 3 de diciembre de 2001. Serie C No. 89, disponible en: </w:t>
      </w:r>
      <w:hyperlink r:id="rId2" w:history="1">
        <w:r w:rsidRPr="00656BB3">
          <w:rPr>
            <w:rStyle w:val="Hyperlink"/>
            <w:sz w:val="16"/>
            <w:szCs w:val="16"/>
            <w:lang w:val="es-ES_tradnl"/>
          </w:rPr>
          <w:t>http://www.corteidh.or.cr/docs/casos/articulos/Seriec_89_esp.pdf</w:t>
        </w:r>
      </w:hyperlink>
      <w:r w:rsidRPr="00656BB3">
        <w:rPr>
          <w:szCs w:val="16"/>
          <w:lang w:val="es-ES_tradnl"/>
        </w:rPr>
        <w:t>.</w:t>
      </w:r>
    </w:p>
  </w:footnote>
  <w:footnote w:id="3">
    <w:p w14:paraId="326E5C6F" w14:textId="401FFC9A" w:rsidR="000B6B57" w:rsidRPr="00B24B86" w:rsidRDefault="000B6B57" w:rsidP="00911899">
      <w:pPr>
        <w:pStyle w:val="FootnoteText"/>
        <w:rPr>
          <w:szCs w:val="16"/>
          <w:lang w:val="es-ES_tradnl"/>
        </w:rPr>
      </w:pPr>
      <w:r w:rsidRPr="00B24B86">
        <w:rPr>
          <w:rStyle w:val="FootnoteReference"/>
          <w:szCs w:val="16"/>
        </w:rPr>
        <w:footnoteRef/>
      </w:r>
      <w:r w:rsidRPr="00D07B4A">
        <w:rPr>
          <w:szCs w:val="16"/>
          <w:lang w:val="es-CR"/>
        </w:rPr>
        <w:t xml:space="preserve"> </w:t>
      </w:r>
      <w:r w:rsidRPr="00B24B86">
        <w:rPr>
          <w:szCs w:val="16"/>
          <w:lang w:val="es-ES_tradnl"/>
        </w:rPr>
        <w:tab/>
      </w:r>
      <w:r w:rsidRPr="00656BB3">
        <w:rPr>
          <w:i/>
          <w:szCs w:val="16"/>
          <w:lang w:val="es-ES_tradnl"/>
        </w:rPr>
        <w:t>Cfr. Caso Durand y Ugarte Vs. Perú. Supervisión de Cumplimiento de Sentencia</w:t>
      </w:r>
      <w:r w:rsidRPr="00656BB3">
        <w:rPr>
          <w:szCs w:val="16"/>
          <w:lang w:val="es-ES_tradnl"/>
        </w:rPr>
        <w:t xml:space="preserve">. Resolución de la Corte Interamericana de Derechos Humanos de 27 de noviembre de 2002 y </w:t>
      </w:r>
      <w:r w:rsidRPr="00656BB3">
        <w:rPr>
          <w:i/>
          <w:szCs w:val="16"/>
          <w:lang w:val="es-ES_tradnl"/>
        </w:rPr>
        <w:t xml:space="preserve">Caso Durand y Ugarte Vs. Perú. Supervisión de Cumplimiento de Sentencia. </w:t>
      </w:r>
      <w:r w:rsidRPr="00656BB3">
        <w:rPr>
          <w:szCs w:val="16"/>
          <w:lang w:val="es-ES_tradnl"/>
        </w:rPr>
        <w:t>Resolución de la Corte Interamericana de Derechos Humanos de 5 de agosto de 2008, disponibles en:</w:t>
      </w:r>
      <w:r w:rsidRPr="00656BB3">
        <w:rPr>
          <w:szCs w:val="16"/>
          <w:lang w:val="es-CR"/>
        </w:rPr>
        <w:t xml:space="preserve"> </w:t>
      </w:r>
      <w:hyperlink r:id="rId3" w:history="1">
        <w:r w:rsidRPr="00656BB3">
          <w:rPr>
            <w:rStyle w:val="Hyperlink"/>
            <w:sz w:val="16"/>
            <w:szCs w:val="16"/>
            <w:lang w:val="es-ES_tradnl"/>
          </w:rPr>
          <w:t>http://www.corteidh.or.cr/cf/Jurisprudencia2/busqueda_supervision_cumplimiento.cfm?lang=es</w:t>
        </w:r>
      </w:hyperlink>
    </w:p>
  </w:footnote>
  <w:footnote w:id="4">
    <w:p w14:paraId="2A3EC2D0" w14:textId="29129A9B" w:rsidR="000B6B57" w:rsidRPr="00B24B86" w:rsidRDefault="000B6B57" w:rsidP="00911899">
      <w:pPr>
        <w:pStyle w:val="FootnoteText"/>
        <w:rPr>
          <w:szCs w:val="16"/>
          <w:lang w:val="es-CR"/>
        </w:rPr>
      </w:pPr>
      <w:r w:rsidRPr="00B24B86">
        <w:rPr>
          <w:rStyle w:val="FootnoteReference"/>
          <w:szCs w:val="16"/>
        </w:rPr>
        <w:footnoteRef/>
      </w:r>
      <w:r w:rsidRPr="00B24B86">
        <w:rPr>
          <w:szCs w:val="16"/>
          <w:lang w:val="es-CR"/>
        </w:rPr>
        <w:t xml:space="preserve"> </w:t>
      </w:r>
      <w:r w:rsidRPr="00B24B86">
        <w:rPr>
          <w:szCs w:val="16"/>
          <w:lang w:val="es-CR"/>
        </w:rPr>
        <w:tab/>
        <w:t>La</w:t>
      </w:r>
      <w:r>
        <w:rPr>
          <w:szCs w:val="16"/>
          <w:lang w:val="es-CR"/>
        </w:rPr>
        <w:t>s organizaciones</w:t>
      </w:r>
      <w:r w:rsidRPr="00B24B86">
        <w:rPr>
          <w:szCs w:val="16"/>
          <w:lang w:val="es-CR"/>
        </w:rPr>
        <w:t xml:space="preserve"> no gubernamental</w:t>
      </w:r>
      <w:r>
        <w:rPr>
          <w:szCs w:val="16"/>
          <w:lang w:val="es-CR"/>
        </w:rPr>
        <w:t>es</w:t>
      </w:r>
      <w:r w:rsidRPr="00B24B86">
        <w:rPr>
          <w:szCs w:val="16"/>
          <w:lang w:val="es-CR"/>
        </w:rPr>
        <w:t xml:space="preserve"> Instituto de Defensa Legal</w:t>
      </w:r>
      <w:r>
        <w:rPr>
          <w:szCs w:val="16"/>
          <w:lang w:val="es-CR"/>
        </w:rPr>
        <w:t xml:space="preserve"> (IDL) y </w:t>
      </w:r>
      <w:r w:rsidRPr="00BA3AA6">
        <w:rPr>
          <w:szCs w:val="16"/>
          <w:lang w:val="es-CR"/>
        </w:rPr>
        <w:t>Centro por la Justicia y el Derecho Internacional (CEJIL)</w:t>
      </w:r>
      <w:r w:rsidRPr="00B24B86">
        <w:rPr>
          <w:szCs w:val="16"/>
          <w:lang w:val="es-CR"/>
        </w:rPr>
        <w:t>.</w:t>
      </w:r>
    </w:p>
  </w:footnote>
  <w:footnote w:id="5">
    <w:p w14:paraId="4EDCCC84" w14:textId="5B3CCECF" w:rsidR="000B6B57" w:rsidRPr="00243B12" w:rsidRDefault="000B6B57" w:rsidP="00911899">
      <w:pPr>
        <w:pStyle w:val="FootnoteText"/>
        <w:rPr>
          <w:lang w:val="es-CR"/>
        </w:rPr>
      </w:pPr>
      <w:r>
        <w:rPr>
          <w:rStyle w:val="FootnoteReference"/>
        </w:rPr>
        <w:footnoteRef/>
      </w:r>
      <w:r w:rsidRPr="00243B12">
        <w:rPr>
          <w:lang w:val="es-CR"/>
        </w:rPr>
        <w:t xml:space="preserve"> </w:t>
      </w:r>
      <w:r>
        <w:rPr>
          <w:lang w:val="es-CR"/>
        </w:rPr>
        <w:tab/>
      </w:r>
      <w:r w:rsidRPr="00656BB3">
        <w:rPr>
          <w:i/>
          <w:szCs w:val="16"/>
          <w:lang w:val="es-CR"/>
        </w:rPr>
        <w:t xml:space="preserve">Cfr. Caso Durand y Ugarte Vs. Perú. Medidas </w:t>
      </w:r>
      <w:r w:rsidRPr="00656BB3">
        <w:rPr>
          <w:szCs w:val="16"/>
          <w:lang w:val="es-CR"/>
        </w:rPr>
        <w:t xml:space="preserve">Urgentes. Resolución del Presidente de la Corte Interamericana de Derechos Humanos de 17 de diciembre de 2017, disponible en: </w:t>
      </w:r>
      <w:hyperlink r:id="rId4" w:history="1">
        <w:r w:rsidRPr="00656BB3">
          <w:rPr>
            <w:rStyle w:val="Hyperlink"/>
            <w:sz w:val="16"/>
            <w:szCs w:val="16"/>
            <w:lang w:val="es-CR"/>
          </w:rPr>
          <w:t>http://www.corteidh.or.cr/docs/medidas/durand_se_01.pdf</w:t>
        </w:r>
      </w:hyperlink>
      <w:r w:rsidRPr="00656BB3">
        <w:rPr>
          <w:szCs w:val="16"/>
          <w:lang w:val="es-CR"/>
        </w:rPr>
        <w:t xml:space="preserve">. </w:t>
      </w:r>
      <w:r>
        <w:rPr>
          <w:lang w:val="es-CR"/>
        </w:rPr>
        <w:t xml:space="preserve"> </w:t>
      </w:r>
    </w:p>
  </w:footnote>
  <w:footnote w:id="6">
    <w:p w14:paraId="6E853631" w14:textId="46DD722A" w:rsidR="000B6B57" w:rsidRPr="00462439" w:rsidRDefault="000B6B57" w:rsidP="00911899">
      <w:pPr>
        <w:pStyle w:val="FootnoteText"/>
        <w:rPr>
          <w:b/>
          <w:lang w:val="es-CR"/>
        </w:rPr>
      </w:pPr>
      <w:r>
        <w:rPr>
          <w:rStyle w:val="FootnoteReference"/>
        </w:rPr>
        <w:footnoteRef/>
      </w:r>
      <w:r w:rsidRPr="006A1FFF">
        <w:rPr>
          <w:lang w:val="es-CR"/>
        </w:rPr>
        <w:t xml:space="preserve"> </w:t>
      </w:r>
      <w:r>
        <w:rPr>
          <w:lang w:val="es-CR"/>
        </w:rPr>
        <w:tab/>
      </w:r>
      <w:r w:rsidRPr="006A1FFF">
        <w:rPr>
          <w:lang w:val="es-CR"/>
        </w:rPr>
        <w:t xml:space="preserve">Fue </w:t>
      </w:r>
      <w:r>
        <w:rPr>
          <w:lang w:val="es-CR"/>
        </w:rPr>
        <w:t>suscrito por las referidas trece personas. Los señores Ágreda Huamán, Bryson De La Barrera, Casusol Martínez, Curzo Ramírez, Dioses Lupu, Martínez Cárdenas, Puerta Calderón, Rojas Poma, Romero Saldaña, Sanabria Payano y Silva Torres son once de las veintitrés personas que presentaron un recurso de agravio constitucional ante el Tribunal Constitucional, resuelto mediante sentencia de 14 de junio de 2013 (</w:t>
      </w:r>
      <w:r>
        <w:rPr>
          <w:i/>
          <w:lang w:val="es-CR"/>
        </w:rPr>
        <w:t xml:space="preserve">infra </w:t>
      </w:r>
      <w:r>
        <w:rPr>
          <w:lang w:val="es-CR"/>
        </w:rPr>
        <w:t xml:space="preserve">Considerando 21), mientras que los señores Tapia y Abanto son sus abogados. </w:t>
      </w:r>
      <w:r w:rsidRPr="006A1FFF">
        <w:rPr>
          <w:lang w:val="es-CR"/>
        </w:rPr>
        <w:t>En el referido escrito expusieron múltiples argumentos con base</w:t>
      </w:r>
      <w:r>
        <w:rPr>
          <w:lang w:val="es-CR"/>
        </w:rPr>
        <w:t xml:space="preserve"> en los cuales concluyeron que: i) “</w:t>
      </w:r>
      <w:r w:rsidRPr="006A1FFF">
        <w:rPr>
          <w:lang w:val="es-CR"/>
        </w:rPr>
        <w:t>[e]l</w:t>
      </w:r>
      <w:r>
        <w:rPr>
          <w:lang w:val="es-CR"/>
        </w:rPr>
        <w:t xml:space="preserve"> Estado peruano ha cumplido íntegramente la obligación de investigar, encontrándose en proceso de cumplimiento las obligaciones de juzgar y, de ser el caso, sancionar a los responsables, dado que el proceso penal […] se encuentra en la etapa de juicio oral”; ii) la sentencia del Tribunal Constitucional de 14 de junio de 2013 “jamás entrañó el peligro de que se impidiera el cumplimiento de la reparación pendiente relativa a investigar, juzgar y, de ser el caso, sancionar”; iii) “[l]os magistrados constitucionales [en el auto de 5 de abril de 2016] no se limitaron a constatar un error en el conteo de votos [de la referida sentencia de 14 de junio de 2013], sino que suplantaron la voluntad del magistrado Vergara Gotelli”; iv) “[l]a Constitución ordena a la Comisión Permanente [del Congreso de la República del Perú] acusar ante el Congreso a los magistrados constitucionales por infracción de la Constitución y por todo delito que cometan en el ejercicio de sus funciones”; v) [l]a acción de los magistrados constitucionales denunciados vulneró la garantía de la cosa juzgada”; vi) “el magistrado constitucional que prevarica no se halla protegido por la inamovilidad de su cargo”, y vii) “[e]l procedimiento parlamentario de acusación constitucional, cuando se inicia a instancia de un particular </w:t>
      </w:r>
      <w:r w:rsidRPr="006A1FFF">
        <w:rPr>
          <w:lang w:val="es-CR"/>
        </w:rPr>
        <w:t>a</w:t>
      </w:r>
      <w:r>
        <w:rPr>
          <w:lang w:val="es-CR"/>
        </w:rPr>
        <w:t>graviado en sus derechos fundamentales, resulta una concreción del recurso sencillo y rápido previsto en” la Convención Americana sobre Derechos Humanos</w:t>
      </w:r>
      <w:r w:rsidRPr="006A1FFF">
        <w:rPr>
          <w:lang w:val="es-CR"/>
        </w:rPr>
        <w:t>.</w:t>
      </w:r>
    </w:p>
  </w:footnote>
  <w:footnote w:id="7">
    <w:p w14:paraId="077CF99A" w14:textId="225193A3" w:rsidR="000B6B57" w:rsidRPr="00646D55" w:rsidRDefault="000B6B57" w:rsidP="00911899">
      <w:pPr>
        <w:pStyle w:val="FootnoteText"/>
        <w:rPr>
          <w:lang w:val="es-CR"/>
        </w:rPr>
      </w:pPr>
      <w:r>
        <w:rPr>
          <w:rStyle w:val="FootnoteReference"/>
        </w:rPr>
        <w:footnoteRef/>
      </w:r>
      <w:r w:rsidRPr="00646D55">
        <w:rPr>
          <w:lang w:val="es-CR"/>
        </w:rPr>
        <w:t xml:space="preserve"> </w:t>
      </w:r>
      <w:r>
        <w:rPr>
          <w:lang w:val="es-CR"/>
        </w:rPr>
        <w:tab/>
      </w:r>
      <w:r w:rsidRPr="00646D55">
        <w:rPr>
          <w:lang w:val="es-CR"/>
        </w:rPr>
        <w:t>A esta audiencia comparecieron: a) por el Estado: Jaime Cacho-Sousa Velázquez, Embajador del Perú e</w:t>
      </w:r>
      <w:r>
        <w:rPr>
          <w:lang w:val="es-CR"/>
        </w:rPr>
        <w:t xml:space="preserve">n Costa Rica; </w:t>
      </w:r>
      <w:r w:rsidRPr="00646D55">
        <w:rPr>
          <w:lang w:val="es-CR"/>
        </w:rPr>
        <w:t>Lu</w:t>
      </w:r>
      <w:r>
        <w:rPr>
          <w:lang w:val="es-CR"/>
        </w:rPr>
        <w:t xml:space="preserve">is Alberto Mejía Lecca, Agente; Martín Torres López, Agente; </w:t>
      </w:r>
      <w:r w:rsidRPr="00646D55">
        <w:rPr>
          <w:lang w:val="es-CR"/>
        </w:rPr>
        <w:t>Sofía Janett Donaires Vega, Procuradora Pública Adjunta Especializada Supranacional, y</w:t>
      </w:r>
      <w:r>
        <w:rPr>
          <w:lang w:val="es-CR"/>
        </w:rPr>
        <w:t xml:space="preserve"> </w:t>
      </w:r>
      <w:r w:rsidRPr="00646D55">
        <w:rPr>
          <w:lang w:val="es-CR"/>
        </w:rPr>
        <w:t xml:space="preserve">Helmut Andrés Olivera Torres, Abogado de la Procuraduría Pública Especializada </w:t>
      </w:r>
      <w:r>
        <w:rPr>
          <w:lang w:val="es-CR"/>
        </w:rPr>
        <w:t>Supranacional</w:t>
      </w:r>
      <w:r w:rsidRPr="00646D55">
        <w:rPr>
          <w:lang w:val="es-CR"/>
        </w:rPr>
        <w:t>; b) por los representantes de las víctimas: Carlos Rivera Paz, Director General del Instituto de Defensa Legal (IDL);</w:t>
      </w:r>
      <w:r>
        <w:rPr>
          <w:lang w:val="es-CR"/>
        </w:rPr>
        <w:t xml:space="preserve"> </w:t>
      </w:r>
      <w:r w:rsidRPr="00646D55">
        <w:rPr>
          <w:lang w:val="es-CR"/>
        </w:rPr>
        <w:t xml:space="preserve">Francisco Quintana, Director del Programa para la Región Andina, Norteamérica y el Caribe </w:t>
      </w:r>
      <w:r>
        <w:rPr>
          <w:lang w:val="es-CR"/>
        </w:rPr>
        <w:t xml:space="preserve">del </w:t>
      </w:r>
      <w:r w:rsidRPr="00BA3AA6">
        <w:rPr>
          <w:szCs w:val="16"/>
          <w:lang w:val="es-CR"/>
        </w:rPr>
        <w:t>Centro por la Justicia y el Derecho Internacional (CEJIL)</w:t>
      </w:r>
      <w:r w:rsidRPr="00646D55">
        <w:rPr>
          <w:lang w:val="es-CR"/>
        </w:rPr>
        <w:t>;</w:t>
      </w:r>
      <w:r>
        <w:rPr>
          <w:lang w:val="es-CR"/>
        </w:rPr>
        <w:t xml:space="preserve"> </w:t>
      </w:r>
      <w:r w:rsidRPr="00646D55">
        <w:rPr>
          <w:lang w:val="es-CR"/>
        </w:rPr>
        <w:t>Els</w:t>
      </w:r>
      <w:r>
        <w:rPr>
          <w:lang w:val="es-CR"/>
        </w:rPr>
        <w:t>a Meany, Abogada Senior (CEJIL)</w:t>
      </w:r>
      <w:r w:rsidRPr="00646D55">
        <w:rPr>
          <w:lang w:val="es-CR"/>
        </w:rPr>
        <w:t>, y</w:t>
      </w:r>
      <w:r>
        <w:rPr>
          <w:lang w:val="es-CR"/>
        </w:rPr>
        <w:t xml:space="preserve"> </w:t>
      </w:r>
      <w:r w:rsidRPr="00646D55">
        <w:rPr>
          <w:lang w:val="es-CR"/>
        </w:rPr>
        <w:t xml:space="preserve">Alexandra McAnarney, </w:t>
      </w:r>
      <w:r>
        <w:rPr>
          <w:lang w:val="es-CR"/>
        </w:rPr>
        <w:t>Oficial de Comunicación (CEJIL)</w:t>
      </w:r>
      <w:r w:rsidRPr="00646D55">
        <w:rPr>
          <w:lang w:val="es-CR"/>
        </w:rPr>
        <w:t xml:space="preserve">, y c) por la Comisión Interamericana: Esmeralda Arosemena de Troitiño, Segunda Vice-Presidenta de la Comisión; </w:t>
      </w:r>
      <w:r w:rsidRPr="009F136A">
        <w:rPr>
          <w:lang w:val="es-CR"/>
        </w:rPr>
        <w:t>Paulo Abrão</w:t>
      </w:r>
      <w:r w:rsidRPr="00646D55">
        <w:rPr>
          <w:lang w:val="es-CR"/>
        </w:rPr>
        <w:t>, Secretario Ejecutivo, y</w:t>
      </w:r>
      <w:r>
        <w:rPr>
          <w:lang w:val="es-CR"/>
        </w:rPr>
        <w:t xml:space="preserve"> </w:t>
      </w:r>
      <w:r w:rsidRPr="00646D55">
        <w:rPr>
          <w:lang w:val="es-CR"/>
        </w:rPr>
        <w:t xml:space="preserve">Silvia Serrano Guzmán, abogada de la Secretaría Ejecutiva. La grabación de la audiencia pública se encuentra disponible en el siguiente enlace: </w:t>
      </w:r>
      <w:hyperlink r:id="rId5" w:history="1">
        <w:r w:rsidRPr="004A7C0E">
          <w:rPr>
            <w:rStyle w:val="Hyperlink"/>
            <w:sz w:val="16"/>
            <w:szCs w:val="22"/>
            <w:lang w:val="es-CR"/>
          </w:rPr>
          <w:t>https://vimeo.com/album/4963002</w:t>
        </w:r>
      </w:hyperlink>
      <w:r>
        <w:rPr>
          <w:lang w:val="es-CR"/>
        </w:rPr>
        <w:t>.</w:t>
      </w:r>
    </w:p>
  </w:footnote>
  <w:footnote w:id="8">
    <w:p w14:paraId="60804FE7" w14:textId="3FFFEC8A" w:rsidR="000B6B57" w:rsidRPr="00C66E77" w:rsidRDefault="000B6B57" w:rsidP="00911899">
      <w:pPr>
        <w:widowControl w:val="0"/>
        <w:spacing w:after="0" w:line="240" w:lineRule="auto"/>
        <w:ind w:right="9"/>
        <w:jc w:val="both"/>
        <w:rPr>
          <w:rFonts w:ascii="Verdana" w:hAnsi="Verdana" w:cs="Arial"/>
          <w:sz w:val="16"/>
          <w:szCs w:val="16"/>
        </w:rPr>
      </w:pPr>
      <w:r w:rsidRPr="00B24B86">
        <w:rPr>
          <w:rStyle w:val="FootnoteReference"/>
          <w:rFonts w:ascii="Verdana" w:hAnsi="Verdana"/>
          <w:sz w:val="16"/>
          <w:szCs w:val="16"/>
        </w:rPr>
        <w:footnoteRef/>
      </w:r>
      <w:r w:rsidRPr="00B24B86">
        <w:rPr>
          <w:rFonts w:ascii="Verdana" w:hAnsi="Verdana"/>
          <w:sz w:val="16"/>
          <w:szCs w:val="16"/>
        </w:rPr>
        <w:t xml:space="preserve"> </w:t>
      </w:r>
      <w:r w:rsidRPr="00B24B86">
        <w:rPr>
          <w:rFonts w:ascii="Verdana" w:hAnsi="Verdana"/>
          <w:sz w:val="16"/>
          <w:szCs w:val="16"/>
        </w:rPr>
        <w:tab/>
      </w:r>
      <w:r w:rsidRPr="002B2FF4">
        <w:rPr>
          <w:rFonts w:ascii="Verdana" w:hAnsi="Verdana"/>
          <w:sz w:val="16"/>
          <w:szCs w:val="16"/>
        </w:rPr>
        <w:t xml:space="preserve">En la Sentencia de fondo la Corte </w:t>
      </w:r>
      <w:r>
        <w:rPr>
          <w:rFonts w:ascii="Verdana" w:hAnsi="Verdana"/>
          <w:sz w:val="16"/>
          <w:szCs w:val="16"/>
        </w:rPr>
        <w:t>dispu</w:t>
      </w:r>
      <w:r w:rsidRPr="002B2FF4">
        <w:rPr>
          <w:rFonts w:ascii="Verdana" w:hAnsi="Verdana"/>
          <w:sz w:val="16"/>
          <w:szCs w:val="16"/>
        </w:rPr>
        <w:t xml:space="preserve">so que “el Estado está obligado a hacer todo el esfuerzo posible para localizar e identificar los restos de las víctimas y entregarlos a sus familiares, así como para investigar los hechos y procesar y sancionar a los responsables”. Asimismo, en la Sentencia de reparaciones </w:t>
      </w:r>
      <w:r>
        <w:rPr>
          <w:rFonts w:ascii="Verdana" w:hAnsi="Verdana"/>
          <w:sz w:val="16"/>
          <w:szCs w:val="16"/>
        </w:rPr>
        <w:t xml:space="preserve">y costas </w:t>
      </w:r>
      <w:r w:rsidRPr="002B2FF4">
        <w:rPr>
          <w:rFonts w:ascii="Verdana" w:hAnsi="Verdana"/>
          <w:sz w:val="16"/>
          <w:szCs w:val="16"/>
        </w:rPr>
        <w:t xml:space="preserve">el Tribunal homologó el acuerdo que disponía </w:t>
      </w:r>
      <w:r w:rsidRPr="002B2FF4">
        <w:rPr>
          <w:rFonts w:ascii="Verdana" w:hAnsi="Verdana" w:cs="Arial"/>
          <w:sz w:val="16"/>
          <w:szCs w:val="16"/>
        </w:rPr>
        <w:t>“investigar y sancionar a los responsables de los hechos</w:t>
      </w:r>
      <w:r>
        <w:rPr>
          <w:rFonts w:ascii="Verdana" w:hAnsi="Verdana" w:cs="Arial"/>
          <w:sz w:val="16"/>
          <w:szCs w:val="16"/>
        </w:rPr>
        <w:t>,</w:t>
      </w:r>
      <w:r w:rsidRPr="002B2FF4">
        <w:rPr>
          <w:rFonts w:ascii="Verdana" w:hAnsi="Verdana" w:cs="Arial"/>
          <w:sz w:val="16"/>
          <w:szCs w:val="16"/>
        </w:rPr>
        <w:t xml:space="preserve"> </w:t>
      </w:r>
      <w:r w:rsidRPr="002B2FF4">
        <w:rPr>
          <w:rFonts w:ascii="Verdana" w:hAnsi="Verdana"/>
          <w:sz w:val="16"/>
          <w:szCs w:val="16"/>
        </w:rPr>
        <w:t>en virtud del punto resolutivo séptimo de la sentencia de fondo dictada por la Corte el 16 de agosto de 2000,</w:t>
      </w:r>
      <w:r w:rsidRPr="002B2FF4" w:rsidDel="00E91080">
        <w:rPr>
          <w:rFonts w:ascii="Verdana" w:hAnsi="Verdana" w:cs="Arial"/>
          <w:sz w:val="16"/>
          <w:szCs w:val="16"/>
        </w:rPr>
        <w:t xml:space="preserve"> </w:t>
      </w:r>
      <w:r w:rsidRPr="002B2FF4">
        <w:rPr>
          <w:rFonts w:ascii="Verdana" w:hAnsi="Verdana" w:cs="Arial"/>
          <w:sz w:val="16"/>
          <w:szCs w:val="16"/>
        </w:rPr>
        <w:t>y seguir impulsando la investigación que se tramita ante la 41 Fiscalía Penal de Lima, por el delito de homicidio en perjuicio de 30 personas, en</w:t>
      </w:r>
      <w:r>
        <w:rPr>
          <w:rFonts w:ascii="Verdana" w:hAnsi="Verdana" w:cs="Arial"/>
          <w:sz w:val="16"/>
          <w:szCs w:val="16"/>
        </w:rPr>
        <w:t>tre las cuales se encuentran Nol</w:t>
      </w:r>
      <w:r w:rsidRPr="002B2FF4">
        <w:rPr>
          <w:rFonts w:ascii="Verdana" w:hAnsi="Verdana" w:cs="Arial"/>
          <w:sz w:val="16"/>
          <w:szCs w:val="16"/>
        </w:rPr>
        <w:t>berto Durand Ugarte y Gabriel Pablo Ugarte Rivera”.</w:t>
      </w:r>
      <w:r w:rsidRPr="00B24B86">
        <w:rPr>
          <w:rFonts w:ascii="Verdana" w:hAnsi="Verdana" w:cs="Arial"/>
          <w:sz w:val="16"/>
          <w:szCs w:val="16"/>
        </w:rPr>
        <w:t xml:space="preserve"> </w:t>
      </w:r>
      <w:r>
        <w:rPr>
          <w:rFonts w:ascii="Verdana" w:hAnsi="Verdana" w:cs="Arial"/>
          <w:i/>
          <w:sz w:val="16"/>
          <w:szCs w:val="16"/>
        </w:rPr>
        <w:t>Cfr.</w:t>
      </w:r>
      <w:r w:rsidRPr="00C66E77">
        <w:rPr>
          <w:rFonts w:ascii="Verdana" w:hAnsi="Verdana" w:cs="Arial"/>
          <w:i/>
          <w:sz w:val="16"/>
          <w:szCs w:val="16"/>
        </w:rPr>
        <w:t xml:space="preserve"> Caso D</w:t>
      </w:r>
      <w:r>
        <w:rPr>
          <w:rFonts w:ascii="Verdana" w:hAnsi="Verdana" w:cs="Arial"/>
          <w:i/>
          <w:sz w:val="16"/>
          <w:szCs w:val="16"/>
        </w:rPr>
        <w:t xml:space="preserve">urand y Ugarte Vs. Perú. Fondo, supra </w:t>
      </w:r>
      <w:r>
        <w:rPr>
          <w:rFonts w:ascii="Verdana" w:hAnsi="Verdana" w:cs="Arial"/>
          <w:sz w:val="16"/>
          <w:szCs w:val="16"/>
        </w:rPr>
        <w:t xml:space="preserve">nota 1, punto dispositivo 7 y </w:t>
      </w:r>
      <w:r w:rsidRPr="00C66E77">
        <w:rPr>
          <w:rFonts w:ascii="Verdana" w:hAnsi="Verdana" w:cs="Arial"/>
          <w:i/>
          <w:sz w:val="16"/>
          <w:szCs w:val="16"/>
        </w:rPr>
        <w:t>Caso Durand y Ugarte Vs. Perú. Reparaciones y Costas</w:t>
      </w:r>
      <w:r>
        <w:rPr>
          <w:rFonts w:ascii="Verdana" w:hAnsi="Verdana" w:cs="Arial"/>
          <w:i/>
          <w:sz w:val="16"/>
          <w:szCs w:val="16"/>
        </w:rPr>
        <w:t xml:space="preserve">, supra </w:t>
      </w:r>
      <w:r>
        <w:rPr>
          <w:rFonts w:ascii="Verdana" w:hAnsi="Verdana" w:cs="Arial"/>
          <w:sz w:val="16"/>
          <w:szCs w:val="16"/>
        </w:rPr>
        <w:t>nota 2,</w:t>
      </w:r>
      <w:r w:rsidRPr="00B44748">
        <w:t xml:space="preserve"> </w:t>
      </w:r>
      <w:r w:rsidRPr="00B44748">
        <w:rPr>
          <w:rFonts w:ascii="Verdana" w:hAnsi="Verdana" w:cs="Arial"/>
          <w:sz w:val="16"/>
          <w:szCs w:val="16"/>
        </w:rPr>
        <w:t>punto dispositivo 4.c</w:t>
      </w:r>
      <w:r>
        <w:rPr>
          <w:rFonts w:ascii="Verdana" w:hAnsi="Verdana" w:cs="Arial"/>
          <w:sz w:val="16"/>
          <w:szCs w:val="16"/>
        </w:rPr>
        <w:t xml:space="preserve">. </w:t>
      </w:r>
    </w:p>
  </w:footnote>
  <w:footnote w:id="9">
    <w:p w14:paraId="35862B48" w14:textId="48CE2213" w:rsidR="000B6B57" w:rsidRPr="00A71C93" w:rsidRDefault="000B6B57" w:rsidP="00911899">
      <w:pPr>
        <w:pStyle w:val="FootnoteText"/>
        <w:rPr>
          <w:lang w:val="es-CR"/>
        </w:rPr>
      </w:pPr>
      <w:r>
        <w:rPr>
          <w:rStyle w:val="FootnoteReference"/>
        </w:rPr>
        <w:footnoteRef/>
      </w:r>
      <w:r w:rsidRPr="00A71C93">
        <w:rPr>
          <w:lang w:val="es-CR"/>
        </w:rPr>
        <w:t xml:space="preserve"> </w:t>
      </w:r>
      <w:r>
        <w:rPr>
          <w:lang w:val="es-CR"/>
        </w:rPr>
        <w:tab/>
        <w:t>Este recurso de agravio constitucional lo interpusieron después de que les fue declarada infundada una demanda de hábeas corpus por la Segunda Sala Especializada en lo Penal para Procesos con Reos Libres de la Corte Superior de Justicia de Lima.</w:t>
      </w:r>
    </w:p>
  </w:footnote>
  <w:footnote w:id="10">
    <w:p w14:paraId="42924987" w14:textId="15A2A077" w:rsidR="000B6B57" w:rsidRPr="0015556C" w:rsidRDefault="000B6B57" w:rsidP="00911899">
      <w:pPr>
        <w:tabs>
          <w:tab w:val="left" w:pos="567"/>
        </w:tabs>
        <w:spacing w:after="0" w:line="240" w:lineRule="auto"/>
        <w:jc w:val="both"/>
        <w:rPr>
          <w:rFonts w:ascii="Verdana" w:hAnsi="Verdana"/>
          <w:bCs/>
          <w:color w:val="000000"/>
          <w:sz w:val="16"/>
          <w:szCs w:val="16"/>
        </w:rPr>
      </w:pPr>
      <w:r w:rsidRPr="00B24B86">
        <w:rPr>
          <w:rStyle w:val="FootnoteReference"/>
          <w:rFonts w:ascii="Verdana" w:hAnsi="Verdana"/>
          <w:sz w:val="16"/>
          <w:szCs w:val="16"/>
        </w:rPr>
        <w:footnoteRef/>
      </w:r>
      <w:r w:rsidRPr="00B24B86">
        <w:rPr>
          <w:rFonts w:ascii="Verdana" w:hAnsi="Verdana"/>
          <w:sz w:val="16"/>
          <w:szCs w:val="16"/>
        </w:rPr>
        <w:t xml:space="preserve"> </w:t>
      </w:r>
      <w:r w:rsidRPr="00B24B86">
        <w:rPr>
          <w:rFonts w:ascii="Verdana" w:hAnsi="Verdana"/>
          <w:sz w:val="16"/>
          <w:szCs w:val="16"/>
        </w:rPr>
        <w:tab/>
      </w:r>
      <w:r w:rsidRPr="00656BB3">
        <w:rPr>
          <w:rFonts w:ascii="Verdana" w:hAnsi="Verdana"/>
          <w:i/>
          <w:sz w:val="16"/>
          <w:szCs w:val="16"/>
        </w:rPr>
        <w:t>Cfr.</w:t>
      </w:r>
      <w:r w:rsidRPr="00656BB3">
        <w:rPr>
          <w:rFonts w:ascii="Verdana" w:hAnsi="Verdana"/>
          <w:sz w:val="16"/>
          <w:szCs w:val="16"/>
        </w:rPr>
        <w:t xml:space="preserve"> </w:t>
      </w:r>
      <w:r w:rsidRPr="00656BB3">
        <w:rPr>
          <w:rFonts w:ascii="Verdana" w:hAnsi="Verdana"/>
          <w:i/>
          <w:sz w:val="16"/>
          <w:szCs w:val="16"/>
        </w:rPr>
        <w:t>Caso Herrera Ulloa respecto de Costa Rica.</w:t>
      </w:r>
      <w:r w:rsidRPr="00656BB3">
        <w:rPr>
          <w:rFonts w:ascii="Verdana" w:hAnsi="Verdana"/>
          <w:sz w:val="16"/>
          <w:szCs w:val="16"/>
        </w:rPr>
        <w:t xml:space="preserve"> Medidas Provisionales. Resolución de la Corte Interamericana de Derechos Humanos de 7 de septiembre de 2001, Considerando 4, </w:t>
      </w:r>
      <w:r w:rsidRPr="00656BB3">
        <w:rPr>
          <w:rFonts w:ascii="Verdana" w:hAnsi="Verdana"/>
          <w:bCs/>
          <w:color w:val="000000"/>
          <w:sz w:val="16"/>
          <w:szCs w:val="16"/>
        </w:rPr>
        <w:t xml:space="preserve">y </w:t>
      </w:r>
      <w:r w:rsidRPr="00656BB3">
        <w:rPr>
          <w:rFonts w:ascii="Verdana" w:hAnsi="Verdana"/>
          <w:bCs/>
          <w:i/>
          <w:color w:val="000000"/>
          <w:sz w:val="16"/>
          <w:szCs w:val="16"/>
        </w:rPr>
        <w:t xml:space="preserve">Asunto Milagro Sala respecto de Argentina. </w:t>
      </w:r>
      <w:r w:rsidRPr="00656BB3">
        <w:rPr>
          <w:rFonts w:ascii="Verdana" w:hAnsi="Verdana"/>
          <w:bCs/>
          <w:color w:val="000000"/>
          <w:sz w:val="16"/>
          <w:szCs w:val="16"/>
        </w:rPr>
        <w:t xml:space="preserve">Medidas Provisionales. Resolución de la Corte Interamericana de Derechos Humanos de 23 de noviembre de 2017, Considerando 3. </w:t>
      </w:r>
    </w:p>
  </w:footnote>
  <w:footnote w:id="11">
    <w:p w14:paraId="27836039" w14:textId="182E8A37" w:rsidR="000B6B57" w:rsidRPr="00733BDC" w:rsidRDefault="000B6B57" w:rsidP="00911899">
      <w:pPr>
        <w:pStyle w:val="FootnoteText"/>
        <w:rPr>
          <w:lang w:val="es-CR"/>
        </w:rPr>
      </w:pPr>
      <w:r w:rsidRPr="00143BC1">
        <w:rPr>
          <w:rStyle w:val="FootnoteReference"/>
        </w:rPr>
        <w:footnoteRef/>
      </w:r>
      <w:r w:rsidRPr="00F76A9E">
        <w:rPr>
          <w:lang w:val="pt-BR"/>
        </w:rPr>
        <w:t xml:space="preserve"> </w:t>
      </w:r>
      <w:r w:rsidRPr="00F76A9E">
        <w:rPr>
          <w:lang w:val="pt-BR"/>
        </w:rPr>
        <w:tab/>
      </w:r>
      <w:r w:rsidRPr="00733BDC">
        <w:rPr>
          <w:i/>
          <w:szCs w:val="16"/>
          <w:lang w:val="es-CR"/>
        </w:rPr>
        <w:t>Cfr.</w:t>
      </w:r>
      <w:r w:rsidRPr="00733BDC">
        <w:rPr>
          <w:szCs w:val="16"/>
          <w:lang w:val="es-CR"/>
        </w:rPr>
        <w:t xml:space="preserve"> </w:t>
      </w:r>
      <w:r w:rsidRPr="00764D5A">
        <w:rPr>
          <w:rFonts w:eastAsia="Times New Roman" w:cs="Times New Roman"/>
          <w:bCs/>
          <w:i/>
          <w:color w:val="000000"/>
          <w:szCs w:val="16"/>
          <w:lang w:val="es-CR"/>
        </w:rPr>
        <w:t>Caso Herrera Ulloa respecto de Costa Rica</w:t>
      </w:r>
      <w:r w:rsidRPr="00764D5A">
        <w:rPr>
          <w:rFonts w:eastAsia="Times New Roman" w:cs="Times New Roman"/>
          <w:bCs/>
          <w:color w:val="000000"/>
          <w:szCs w:val="16"/>
          <w:lang w:val="es-CR"/>
        </w:rPr>
        <w:t xml:space="preserve">. </w:t>
      </w:r>
      <w:r w:rsidRPr="00733BDC">
        <w:rPr>
          <w:rFonts w:eastAsia="Times New Roman" w:cs="Times New Roman"/>
          <w:bCs/>
          <w:color w:val="000000"/>
          <w:szCs w:val="16"/>
          <w:lang w:val="es-CR"/>
        </w:rPr>
        <w:t xml:space="preserve">Medidas Provisionales. Resolución de la Corte Interamericana de Derechos Humanos de 7 de septiembre de 2001, Considerando 11, y </w:t>
      </w:r>
      <w:r w:rsidRPr="00733BDC">
        <w:rPr>
          <w:bCs/>
          <w:i/>
          <w:color w:val="000000"/>
          <w:szCs w:val="16"/>
          <w:lang w:val="es-CR"/>
        </w:rPr>
        <w:t xml:space="preserve">Asunto Milagro Sala respecto de Argentina. </w:t>
      </w:r>
      <w:r w:rsidRPr="00733BDC">
        <w:rPr>
          <w:bCs/>
          <w:color w:val="000000"/>
          <w:szCs w:val="16"/>
          <w:lang w:val="es-CR"/>
        </w:rPr>
        <w:t>Medidas Provisionales. Resolución de la Corte Interamericana de Derechos Humanos de 23 de noviembre de 2017, Considerando 34.</w:t>
      </w:r>
    </w:p>
  </w:footnote>
  <w:footnote w:id="12">
    <w:p w14:paraId="1E683E6E" w14:textId="0157CB51" w:rsidR="000B6B57" w:rsidRDefault="000B6B57" w:rsidP="00911899">
      <w:pPr>
        <w:pStyle w:val="FootnoteText"/>
        <w:tabs>
          <w:tab w:val="left" w:pos="426"/>
        </w:tabs>
        <w:ind w:right="-7"/>
        <w:rPr>
          <w:rFonts w:eastAsia="Times New Roman"/>
          <w:szCs w:val="16"/>
          <w:lang w:val="es-CR"/>
        </w:rPr>
      </w:pPr>
      <w:r>
        <w:rPr>
          <w:rStyle w:val="FootnoteReference"/>
          <w:szCs w:val="16"/>
          <w:lang w:val="es-CR"/>
        </w:rPr>
        <w:footnoteRef/>
      </w:r>
      <w:r>
        <w:rPr>
          <w:szCs w:val="16"/>
          <w:lang w:val="es-CR"/>
        </w:rPr>
        <w:t xml:space="preserve"> </w:t>
      </w:r>
      <w:r>
        <w:rPr>
          <w:szCs w:val="16"/>
          <w:lang w:val="es-CR"/>
        </w:rPr>
        <w:tab/>
      </w:r>
      <w:r>
        <w:rPr>
          <w:szCs w:val="16"/>
          <w:lang w:val="es-CR"/>
        </w:rPr>
        <w:tab/>
      </w:r>
      <w:r w:rsidRPr="00656BB3">
        <w:rPr>
          <w:i/>
          <w:szCs w:val="16"/>
          <w:lang w:val="es-VE"/>
        </w:rPr>
        <w:t>Cfr.</w:t>
      </w:r>
      <w:r w:rsidRPr="00656BB3">
        <w:rPr>
          <w:szCs w:val="16"/>
          <w:lang w:val="es-VE"/>
        </w:rPr>
        <w:t xml:space="preserve"> </w:t>
      </w:r>
      <w:r w:rsidRPr="00656BB3">
        <w:rPr>
          <w:i/>
          <w:iCs/>
          <w:szCs w:val="16"/>
          <w:lang w:val="es-CR"/>
        </w:rPr>
        <w:t xml:space="preserve">Asunto James y otros respecto Trinidad y Tobago. </w:t>
      </w:r>
      <w:r w:rsidRPr="00656BB3">
        <w:rPr>
          <w:i/>
          <w:szCs w:val="16"/>
          <w:lang w:val="es-CR"/>
        </w:rPr>
        <w:t>Medidas Provisionales</w:t>
      </w:r>
      <w:r w:rsidRPr="00656BB3">
        <w:rPr>
          <w:szCs w:val="16"/>
          <w:lang w:val="es-CR"/>
        </w:rPr>
        <w:t xml:space="preserve">. </w:t>
      </w:r>
      <w:r w:rsidRPr="00656BB3">
        <w:rPr>
          <w:bCs/>
          <w:color w:val="000000"/>
          <w:szCs w:val="16"/>
          <w:lang w:val="es-CR"/>
        </w:rPr>
        <w:t>Resolución de la Corte Interamericana de Derechos Humanos</w:t>
      </w:r>
      <w:r w:rsidRPr="00656BB3">
        <w:rPr>
          <w:szCs w:val="16"/>
          <w:lang w:val="es-CR"/>
        </w:rPr>
        <w:t xml:space="preserve"> de 14 de junio de 1998, Considerando 6, </w:t>
      </w:r>
      <w:r w:rsidRPr="00656BB3">
        <w:rPr>
          <w:bCs/>
          <w:color w:val="000000"/>
          <w:szCs w:val="16"/>
          <w:lang w:val="es-CR"/>
        </w:rPr>
        <w:t xml:space="preserve">y </w:t>
      </w:r>
      <w:r w:rsidRPr="00656BB3">
        <w:rPr>
          <w:bCs/>
          <w:i/>
          <w:color w:val="000000"/>
          <w:szCs w:val="16"/>
          <w:lang w:val="es-CR"/>
        </w:rPr>
        <w:t xml:space="preserve">Asunto Milagro Sala respecto de Argentina. </w:t>
      </w:r>
      <w:r w:rsidRPr="00656BB3">
        <w:rPr>
          <w:bCs/>
          <w:color w:val="000000"/>
          <w:szCs w:val="16"/>
          <w:lang w:val="es-CR"/>
        </w:rPr>
        <w:t>Medidas Provisionales. Resolución de la Corte Interamericana de Derechos Humanos de 23 de noviembre de 2017, Considerando 4.</w:t>
      </w:r>
      <w:r w:rsidRPr="00656BB3">
        <w:rPr>
          <w:szCs w:val="16"/>
          <w:lang w:val="es-CR"/>
        </w:rPr>
        <w:t xml:space="preserve"> </w:t>
      </w:r>
      <w:r>
        <w:rPr>
          <w:szCs w:val="16"/>
          <w:lang w:val="es-CR"/>
        </w:rPr>
        <w:t xml:space="preserve"> </w:t>
      </w:r>
    </w:p>
  </w:footnote>
  <w:footnote w:id="13">
    <w:p w14:paraId="202FD2D0" w14:textId="6389DB90" w:rsidR="000B6B57" w:rsidRPr="008F70B1" w:rsidRDefault="000B6B57" w:rsidP="00911899">
      <w:pPr>
        <w:pStyle w:val="FootnoteText"/>
        <w:rPr>
          <w:i/>
          <w:lang w:val="es-CR"/>
        </w:rPr>
      </w:pPr>
      <w:r>
        <w:rPr>
          <w:rStyle w:val="FootnoteReference"/>
        </w:rPr>
        <w:footnoteRef/>
      </w:r>
      <w:r w:rsidRPr="008F70B1">
        <w:rPr>
          <w:lang w:val="es-CR"/>
        </w:rPr>
        <w:t xml:space="preserve"> </w:t>
      </w:r>
      <w:r>
        <w:rPr>
          <w:lang w:val="es-CR"/>
        </w:rPr>
        <w:tab/>
      </w:r>
      <w:r w:rsidRPr="00733BDC">
        <w:rPr>
          <w:szCs w:val="16"/>
          <w:lang w:val="es-CR"/>
        </w:rPr>
        <w:t>Los hechos y argumentos planteados por los representantes de las víctimas en la referida solicitud de medidas provisionales se encuentran en los Considerandos 7 a 9 de la referida Resolución.</w:t>
      </w:r>
      <w:r w:rsidRPr="00733BDC">
        <w:rPr>
          <w:i/>
          <w:szCs w:val="16"/>
          <w:lang w:val="es-CR"/>
        </w:rPr>
        <w:t xml:space="preserve"> Cfr. Caso Durand y Ugarte Vs. Perú. Medidas Urgentes</w:t>
      </w:r>
      <w:r w:rsidRPr="00733BDC">
        <w:rPr>
          <w:szCs w:val="16"/>
          <w:lang w:val="es-CR"/>
        </w:rPr>
        <w:t xml:space="preserve">, </w:t>
      </w:r>
      <w:r w:rsidRPr="00733BDC">
        <w:rPr>
          <w:i/>
          <w:szCs w:val="16"/>
          <w:lang w:val="es-CR"/>
        </w:rPr>
        <w:t>supra</w:t>
      </w:r>
      <w:r w:rsidRPr="00733BDC">
        <w:rPr>
          <w:szCs w:val="16"/>
          <w:lang w:val="es-CR"/>
        </w:rPr>
        <w:t xml:space="preserve"> nota 5.</w:t>
      </w:r>
      <w:r>
        <w:rPr>
          <w:lang w:val="es-CR"/>
        </w:rPr>
        <w:t xml:space="preserve"> </w:t>
      </w:r>
    </w:p>
  </w:footnote>
  <w:footnote w:id="14">
    <w:p w14:paraId="65B728A9" w14:textId="77777777" w:rsidR="000B6B57" w:rsidRPr="00085D15" w:rsidRDefault="000B6B57" w:rsidP="00911899">
      <w:pPr>
        <w:pStyle w:val="FootnoteText"/>
        <w:rPr>
          <w:lang w:val="es-CR"/>
        </w:rPr>
      </w:pPr>
      <w:r>
        <w:rPr>
          <w:rStyle w:val="FootnoteReference"/>
        </w:rPr>
        <w:footnoteRef/>
      </w:r>
      <w:r w:rsidRPr="00085D15">
        <w:rPr>
          <w:lang w:val="es-CR"/>
        </w:rPr>
        <w:t xml:space="preserve"> </w:t>
      </w:r>
      <w:r>
        <w:rPr>
          <w:lang w:val="es-CR"/>
        </w:rPr>
        <w:tab/>
        <w:t xml:space="preserve">Las observaciones del Estado y la Comisión a la solicitud de medidas provisionales se pueden verificar en los Considerandos 10 a 12 de dicha Resolución. </w:t>
      </w:r>
      <w:r>
        <w:rPr>
          <w:i/>
          <w:lang w:val="es-CR"/>
        </w:rPr>
        <w:t xml:space="preserve">Cfr. </w:t>
      </w:r>
      <w:r w:rsidRPr="00243B12">
        <w:rPr>
          <w:i/>
          <w:lang w:val="es-CR"/>
        </w:rPr>
        <w:t>Caso Durand y Ugarte Vs. Perú. Medidas Provisionales</w:t>
      </w:r>
      <w:r>
        <w:rPr>
          <w:lang w:val="es-CR"/>
        </w:rPr>
        <w:t xml:space="preserve">, </w:t>
      </w:r>
      <w:r w:rsidRPr="008F70B1">
        <w:rPr>
          <w:i/>
          <w:lang w:val="es-CR"/>
        </w:rPr>
        <w:t>supra</w:t>
      </w:r>
      <w:r>
        <w:rPr>
          <w:lang w:val="es-CR"/>
        </w:rPr>
        <w:t xml:space="preserve"> nota 4.</w:t>
      </w:r>
    </w:p>
  </w:footnote>
  <w:footnote w:id="15">
    <w:p w14:paraId="718586B9" w14:textId="77777777" w:rsidR="000B6B57" w:rsidRPr="00615DCD" w:rsidRDefault="000B6B57" w:rsidP="00911899">
      <w:pPr>
        <w:pStyle w:val="FootnoteText"/>
        <w:rPr>
          <w:lang w:val="es-CR"/>
        </w:rPr>
      </w:pPr>
      <w:r>
        <w:rPr>
          <w:rStyle w:val="FootnoteReference"/>
        </w:rPr>
        <w:footnoteRef/>
      </w:r>
      <w:r w:rsidRPr="00692115">
        <w:rPr>
          <w:lang w:val="es-CR"/>
        </w:rPr>
        <w:t xml:space="preserve"> </w:t>
      </w:r>
      <w:r>
        <w:rPr>
          <w:lang w:val="es-CR"/>
        </w:rPr>
        <w:tab/>
      </w:r>
      <w:r>
        <w:rPr>
          <w:i/>
          <w:lang w:val="es-CR"/>
        </w:rPr>
        <w:t xml:space="preserve">Cfr. </w:t>
      </w:r>
      <w:r w:rsidRPr="00243B12">
        <w:rPr>
          <w:i/>
          <w:lang w:val="es-CR"/>
        </w:rPr>
        <w:t>Caso Durand y Ugarte Vs. Perú. Medidas Provisionales</w:t>
      </w:r>
      <w:r>
        <w:rPr>
          <w:lang w:val="es-CR"/>
        </w:rPr>
        <w:t xml:space="preserve">, </w:t>
      </w:r>
      <w:r w:rsidRPr="00615DCD">
        <w:rPr>
          <w:i/>
          <w:lang w:val="es-CR"/>
        </w:rPr>
        <w:t>supra</w:t>
      </w:r>
      <w:r w:rsidRPr="00615DCD">
        <w:rPr>
          <w:lang w:val="es-CR"/>
        </w:rPr>
        <w:t xml:space="preserve"> nota 4, Considerando 25. </w:t>
      </w:r>
    </w:p>
  </w:footnote>
  <w:footnote w:id="16">
    <w:p w14:paraId="7E6DFFA4" w14:textId="6AA70273" w:rsidR="000B6B57" w:rsidRPr="008F3CDD" w:rsidRDefault="000B6B57" w:rsidP="00911899">
      <w:pPr>
        <w:pStyle w:val="FootnoteText"/>
        <w:rPr>
          <w:szCs w:val="16"/>
          <w:lang w:val="es-CR"/>
        </w:rPr>
      </w:pPr>
      <w:r w:rsidRPr="00615DCD">
        <w:rPr>
          <w:rStyle w:val="FootnoteReference"/>
          <w:szCs w:val="16"/>
        </w:rPr>
        <w:footnoteRef/>
      </w:r>
      <w:r w:rsidRPr="00615DCD">
        <w:rPr>
          <w:szCs w:val="16"/>
          <w:lang w:val="es-CR"/>
        </w:rPr>
        <w:t xml:space="preserve"> </w:t>
      </w:r>
      <w:r w:rsidRPr="00615DCD">
        <w:rPr>
          <w:szCs w:val="16"/>
          <w:lang w:val="es-CR"/>
        </w:rPr>
        <w:tab/>
        <w:t>Se solicitó al Estado que remitiera “copia de la normativa interna que rige el procedimiento de acusación constitucional ante el Congreso de la República, la cual fue citada en sus escritos”.</w:t>
      </w:r>
    </w:p>
  </w:footnote>
  <w:footnote w:id="17">
    <w:p w14:paraId="71EA4811" w14:textId="5B9BA1E7" w:rsidR="000B6B57" w:rsidRPr="000D681F" w:rsidRDefault="000B6B57" w:rsidP="00911899">
      <w:pPr>
        <w:spacing w:after="0" w:line="240" w:lineRule="auto"/>
        <w:jc w:val="both"/>
        <w:rPr>
          <w:rFonts w:ascii="Verdana" w:hAnsi="Verdana"/>
          <w:sz w:val="16"/>
          <w:szCs w:val="16"/>
        </w:rPr>
      </w:pPr>
      <w:r w:rsidRPr="000D681F">
        <w:rPr>
          <w:rStyle w:val="FootnoteReference"/>
          <w:rFonts w:ascii="Verdana" w:hAnsi="Verdana"/>
          <w:sz w:val="16"/>
          <w:szCs w:val="16"/>
        </w:rPr>
        <w:footnoteRef/>
      </w:r>
      <w:r w:rsidRPr="000D681F">
        <w:rPr>
          <w:rFonts w:ascii="Verdana" w:hAnsi="Verdana"/>
          <w:sz w:val="16"/>
          <w:szCs w:val="16"/>
        </w:rPr>
        <w:t xml:space="preserve"> </w:t>
      </w:r>
      <w:r w:rsidRPr="000D681F">
        <w:rPr>
          <w:rFonts w:ascii="Verdana" w:hAnsi="Verdana"/>
          <w:sz w:val="16"/>
          <w:szCs w:val="16"/>
          <w:lang w:val="es-ES_tradnl"/>
        </w:rPr>
        <w:tab/>
      </w:r>
      <w:r w:rsidRPr="000D681F">
        <w:rPr>
          <w:rFonts w:ascii="Verdana" w:hAnsi="Verdana"/>
          <w:i/>
          <w:sz w:val="16"/>
          <w:szCs w:val="16"/>
        </w:rPr>
        <w:t>Cfr. Caso Durand y Ugarte Vs. Perú. Medidas Urgentes</w:t>
      </w:r>
      <w:r w:rsidRPr="000D681F">
        <w:rPr>
          <w:rFonts w:ascii="Verdana" w:hAnsi="Verdana"/>
          <w:sz w:val="16"/>
          <w:szCs w:val="16"/>
        </w:rPr>
        <w:t xml:space="preserve">, </w:t>
      </w:r>
      <w:r w:rsidRPr="000D681F">
        <w:rPr>
          <w:rFonts w:ascii="Verdana" w:hAnsi="Verdana"/>
          <w:i/>
          <w:sz w:val="16"/>
          <w:szCs w:val="16"/>
        </w:rPr>
        <w:t>supra</w:t>
      </w:r>
      <w:r w:rsidRPr="000D681F">
        <w:rPr>
          <w:rFonts w:ascii="Verdana" w:hAnsi="Verdana"/>
          <w:sz w:val="16"/>
          <w:szCs w:val="16"/>
        </w:rPr>
        <w:t xml:space="preserve"> nota 5, Considerandos 7 a 12.</w:t>
      </w:r>
    </w:p>
    <w:p w14:paraId="15F31C0F" w14:textId="67A821C3" w:rsidR="000B6B57" w:rsidRPr="000D681F" w:rsidRDefault="000B6B57" w:rsidP="00911899">
      <w:pPr>
        <w:pStyle w:val="FootnoteText"/>
        <w:rPr>
          <w:lang w:val="es-CR"/>
        </w:rPr>
      </w:pPr>
    </w:p>
  </w:footnote>
  <w:footnote w:id="18">
    <w:p w14:paraId="60465492" w14:textId="77777777" w:rsidR="000B6B57" w:rsidRPr="00A36B73" w:rsidRDefault="000B6B57" w:rsidP="00911899">
      <w:pPr>
        <w:pStyle w:val="FootnoteText"/>
        <w:rPr>
          <w:lang w:val="es-CR"/>
        </w:rPr>
      </w:pPr>
      <w:r>
        <w:rPr>
          <w:rStyle w:val="FootnoteReference"/>
        </w:rPr>
        <w:footnoteRef/>
      </w:r>
      <w:r w:rsidRPr="00A36B73">
        <w:rPr>
          <w:lang w:val="es-CR"/>
        </w:rPr>
        <w:t xml:space="preserve"> </w:t>
      </w:r>
      <w:r>
        <w:rPr>
          <w:lang w:val="es-CR"/>
        </w:rPr>
        <w:tab/>
        <w:t xml:space="preserve">Entre otros argumentos, indicaron que en el 2013 </w:t>
      </w:r>
      <w:r w:rsidRPr="00A36B73">
        <w:rPr>
          <w:lang w:val="es-CR"/>
        </w:rPr>
        <w:t xml:space="preserve">se redactó un proyecto </w:t>
      </w:r>
      <w:r>
        <w:rPr>
          <w:lang w:val="es-CR"/>
        </w:rPr>
        <w:t xml:space="preserve">en el Tribunal Constitucional </w:t>
      </w:r>
      <w:r w:rsidRPr="00A36B73">
        <w:rPr>
          <w:lang w:val="es-CR"/>
        </w:rPr>
        <w:t xml:space="preserve">“donde claramente el Presidente de ese entonces </w:t>
      </w:r>
      <w:r>
        <w:rPr>
          <w:lang w:val="es-CR"/>
        </w:rPr>
        <w:t xml:space="preserve">[…] </w:t>
      </w:r>
      <w:r w:rsidRPr="00A36B73">
        <w:rPr>
          <w:lang w:val="es-CR"/>
        </w:rPr>
        <w:t xml:space="preserve">se dio cuenta de que el Magistrado Vergara no había votado a favor” de declarar que los hechos de “El Frontón” no eran delitos de lesa humanidad. </w:t>
      </w:r>
    </w:p>
  </w:footnote>
  <w:footnote w:id="19">
    <w:p w14:paraId="60E6E941" w14:textId="77777777" w:rsidR="000B6B57" w:rsidRPr="006B0234" w:rsidRDefault="000B6B57" w:rsidP="00911899">
      <w:pPr>
        <w:pStyle w:val="FootnoteText"/>
        <w:rPr>
          <w:lang w:val="es-CR"/>
        </w:rPr>
      </w:pPr>
      <w:r w:rsidRPr="000D681F">
        <w:rPr>
          <w:rStyle w:val="FootnoteReference"/>
        </w:rPr>
        <w:footnoteRef/>
      </w:r>
      <w:r w:rsidRPr="000D681F">
        <w:rPr>
          <w:lang w:val="es-CR"/>
        </w:rPr>
        <w:t xml:space="preserve"> </w:t>
      </w:r>
      <w:r w:rsidRPr="000D681F">
        <w:rPr>
          <w:lang w:val="es-CR"/>
        </w:rPr>
        <w:tab/>
        <w:t>En cuanto al tema de la destitución de un solo magistrado, el Estado aclaró que “no [ha] querido decir o minimizar que la destitución de uno sea de menos valor”, sino que “lo que se trata de demostrar es que esto suponga la existencia de una extrema gravedad y la inminencia de poner en riesgo alguna situación direccionada principalmente al objeto del caso, que es la protección o garantizar el seguimiento de investigación del proceso penal y evitar de que se produzca o que se materialice algún peligro que suponga el incumplimiento de esa obligación”.</w:t>
      </w:r>
    </w:p>
  </w:footnote>
  <w:footnote w:id="20">
    <w:p w14:paraId="6078D015" w14:textId="77777777" w:rsidR="000B6B57" w:rsidRPr="00C7018D" w:rsidRDefault="000B6B57" w:rsidP="00911899">
      <w:pPr>
        <w:pStyle w:val="FootnoteText"/>
        <w:rPr>
          <w:szCs w:val="16"/>
          <w:lang w:val="es-CR"/>
        </w:rPr>
      </w:pPr>
      <w:r w:rsidRPr="006D5CEF">
        <w:rPr>
          <w:rStyle w:val="FootnoteReference"/>
          <w:szCs w:val="16"/>
        </w:rPr>
        <w:footnoteRef/>
      </w:r>
      <w:r w:rsidRPr="006D5CEF">
        <w:rPr>
          <w:szCs w:val="16"/>
          <w:lang w:val="es-CR"/>
        </w:rPr>
        <w:t xml:space="preserve"> </w:t>
      </w:r>
      <w:r w:rsidRPr="006D5CEF">
        <w:rPr>
          <w:szCs w:val="16"/>
          <w:lang w:val="es-CR"/>
        </w:rPr>
        <w:tab/>
        <w:t xml:space="preserve">También señaló que “la Corte podría optar por el mecanismo que estime más conveniente y efectivo para abordar esta preocupante situación, bien sea a través del mecanismo de supervisión de cumplimiento de sentencia en el caso </w:t>
      </w:r>
      <w:r w:rsidRPr="006D5CEF">
        <w:rPr>
          <w:i/>
          <w:szCs w:val="16"/>
          <w:lang w:val="es-CR"/>
        </w:rPr>
        <w:t xml:space="preserve">Durand y Ugarte, </w:t>
      </w:r>
      <w:r w:rsidRPr="006D5CEF">
        <w:rPr>
          <w:szCs w:val="16"/>
          <w:lang w:val="es-CR"/>
        </w:rPr>
        <w:t>o a través del otorgamiento de la medida provisional solicitada por los representantes de las víctimas; sin que se advierta que los mismos resultan necesariamente excluyentes”.</w:t>
      </w:r>
    </w:p>
  </w:footnote>
  <w:footnote w:id="21">
    <w:p w14:paraId="2A931B87" w14:textId="144831ED" w:rsidR="000B6B57" w:rsidRPr="00B24B86" w:rsidRDefault="000B6B57" w:rsidP="00911899">
      <w:pPr>
        <w:pStyle w:val="FootnoteText"/>
        <w:rPr>
          <w:szCs w:val="16"/>
          <w:lang w:val="es-CR"/>
        </w:rPr>
      </w:pPr>
      <w:r w:rsidRPr="00B24B86">
        <w:rPr>
          <w:rStyle w:val="FootnoteReference"/>
          <w:szCs w:val="16"/>
        </w:rPr>
        <w:footnoteRef/>
      </w:r>
      <w:r w:rsidRPr="00B24B86">
        <w:rPr>
          <w:szCs w:val="16"/>
          <w:lang w:val="es-CR"/>
        </w:rPr>
        <w:t xml:space="preserve"> </w:t>
      </w:r>
      <w:r w:rsidRPr="00B24B86">
        <w:rPr>
          <w:szCs w:val="16"/>
          <w:lang w:val="es-CR"/>
        </w:rPr>
        <w:tab/>
      </w:r>
      <w:r>
        <w:rPr>
          <w:i/>
          <w:szCs w:val="16"/>
          <w:lang w:val="es-CR"/>
        </w:rPr>
        <w:t xml:space="preserve">Cfr. </w:t>
      </w:r>
      <w:r w:rsidRPr="00B24B86">
        <w:rPr>
          <w:i/>
          <w:szCs w:val="16"/>
          <w:lang w:val="es-CR"/>
        </w:rPr>
        <w:t>Caso Carpio Nicolle y otros respecto Guatemala. Medidas Provisionales.</w:t>
      </w:r>
      <w:r w:rsidRPr="00B24B86">
        <w:rPr>
          <w:szCs w:val="16"/>
          <w:lang w:val="es-CR"/>
        </w:rPr>
        <w:t xml:space="preserve"> Resolución de la Corte Interamericana de Derechos Humanos de 6 de julio de 2009, Considerando 14, y </w:t>
      </w:r>
      <w:r w:rsidRPr="00B24B86">
        <w:rPr>
          <w:i/>
          <w:szCs w:val="16"/>
          <w:lang w:val="es-CR"/>
        </w:rPr>
        <w:t xml:space="preserve">Asunto Milagro Sala respecto de Argentina. </w:t>
      </w:r>
      <w:r>
        <w:rPr>
          <w:i/>
          <w:szCs w:val="16"/>
          <w:lang w:val="es-CR"/>
        </w:rPr>
        <w:t xml:space="preserve">Medidas Provisionales, </w:t>
      </w:r>
      <w:r w:rsidRPr="000D681F">
        <w:rPr>
          <w:bCs/>
          <w:color w:val="000000"/>
          <w:szCs w:val="16"/>
          <w:lang w:val="es-CR"/>
        </w:rPr>
        <w:t xml:space="preserve">Resolución de la Corte Interamericana de Derechos Humanos de 23 de noviembre de 2017, </w:t>
      </w:r>
      <w:r>
        <w:rPr>
          <w:szCs w:val="16"/>
          <w:lang w:val="es-CR"/>
        </w:rPr>
        <w:t>Considerando 24</w:t>
      </w:r>
      <w:r w:rsidRPr="00B24B86">
        <w:rPr>
          <w:szCs w:val="16"/>
          <w:lang w:val="es-CR"/>
        </w:rPr>
        <w:t>.</w:t>
      </w:r>
    </w:p>
  </w:footnote>
  <w:footnote w:id="22">
    <w:p w14:paraId="0C5DC97E" w14:textId="02005583" w:rsidR="000B6B57" w:rsidRPr="00B24B86" w:rsidRDefault="000B6B57" w:rsidP="00911899">
      <w:pPr>
        <w:tabs>
          <w:tab w:val="left" w:pos="567"/>
        </w:tabs>
        <w:spacing w:after="0" w:line="240" w:lineRule="auto"/>
        <w:jc w:val="both"/>
        <w:rPr>
          <w:rFonts w:ascii="Verdana" w:hAnsi="Verdana"/>
          <w:sz w:val="16"/>
          <w:szCs w:val="16"/>
          <w:lang w:val="es-ES_tradnl"/>
        </w:rPr>
      </w:pPr>
      <w:r w:rsidRPr="00B24B86">
        <w:rPr>
          <w:rStyle w:val="FootnoteReference"/>
          <w:sz w:val="16"/>
          <w:szCs w:val="16"/>
        </w:rPr>
        <w:footnoteRef/>
      </w:r>
      <w:r w:rsidRPr="00B24B86">
        <w:rPr>
          <w:rFonts w:ascii="Verdana" w:hAnsi="Verdana"/>
          <w:sz w:val="16"/>
          <w:szCs w:val="16"/>
        </w:rPr>
        <w:tab/>
      </w:r>
      <w:r w:rsidRPr="004836E8">
        <w:rPr>
          <w:rFonts w:ascii="Verdana" w:hAnsi="Verdana"/>
          <w:i/>
          <w:iCs/>
          <w:sz w:val="16"/>
          <w:szCs w:val="16"/>
          <w:lang w:val="es-ES"/>
        </w:rPr>
        <w:t xml:space="preserve">Cfr. Asunto Belfort Istúriz y otros respecto Venezuela. Medidas Provisionales. </w:t>
      </w:r>
      <w:r w:rsidRPr="00227870">
        <w:rPr>
          <w:rFonts w:ascii="Verdana" w:hAnsi="Verdana"/>
          <w:iCs/>
          <w:sz w:val="16"/>
          <w:szCs w:val="16"/>
          <w:lang w:val="es-ES"/>
        </w:rPr>
        <w:t>Resolución de la Corte de 15 de</w:t>
      </w:r>
      <w:r>
        <w:rPr>
          <w:rFonts w:ascii="Verdana" w:hAnsi="Verdana"/>
          <w:iCs/>
          <w:sz w:val="16"/>
          <w:szCs w:val="16"/>
          <w:lang w:val="es-ES"/>
        </w:rPr>
        <w:t xml:space="preserve"> </w:t>
      </w:r>
      <w:r w:rsidRPr="00227870">
        <w:rPr>
          <w:rFonts w:ascii="Verdana" w:hAnsi="Verdana"/>
          <w:iCs/>
          <w:sz w:val="16"/>
          <w:szCs w:val="16"/>
          <w:lang w:val="es-ES"/>
        </w:rPr>
        <w:t>abril de 2010, Considerando 5</w:t>
      </w:r>
      <w:r w:rsidRPr="000A1F3E">
        <w:rPr>
          <w:rFonts w:ascii="Verdana" w:hAnsi="Verdana"/>
          <w:iCs/>
          <w:sz w:val="16"/>
          <w:szCs w:val="16"/>
          <w:lang w:val="es-ES"/>
        </w:rPr>
        <w:t>,</w:t>
      </w:r>
      <w:r w:rsidRPr="00B24B86">
        <w:rPr>
          <w:rFonts w:ascii="Verdana" w:hAnsi="Verdana"/>
          <w:sz w:val="16"/>
          <w:szCs w:val="16"/>
          <w:lang w:val="es-ES_tradnl"/>
        </w:rPr>
        <w:t xml:space="preserve"> y </w:t>
      </w:r>
      <w:r w:rsidRPr="00956B4C">
        <w:rPr>
          <w:rFonts w:ascii="Verdana" w:hAnsi="Verdana"/>
          <w:i/>
          <w:sz w:val="16"/>
          <w:szCs w:val="16"/>
          <w:lang w:val="es-ES_tradnl"/>
        </w:rPr>
        <w:t xml:space="preserve">Asunto Milagro Sala respecto de Argentina. Medidas Provisionales, </w:t>
      </w:r>
      <w:r w:rsidRPr="00656BB3">
        <w:rPr>
          <w:rFonts w:ascii="Verdana" w:hAnsi="Verdana"/>
          <w:bCs/>
          <w:color w:val="000000"/>
          <w:sz w:val="16"/>
          <w:szCs w:val="16"/>
        </w:rPr>
        <w:t xml:space="preserve">Resolución de la Corte Interamericana de Derechos Humanos de 23 de noviembre de 2017, </w:t>
      </w:r>
      <w:r w:rsidRPr="00956B4C">
        <w:rPr>
          <w:rFonts w:ascii="Verdana" w:hAnsi="Verdana"/>
          <w:sz w:val="16"/>
          <w:szCs w:val="16"/>
          <w:lang w:val="es-ES_tradnl"/>
        </w:rPr>
        <w:t>Considerando 24.</w:t>
      </w:r>
    </w:p>
  </w:footnote>
  <w:footnote w:id="23">
    <w:p w14:paraId="0507A39E" w14:textId="36CAC7A1" w:rsidR="000B6B57" w:rsidRPr="000C27A1" w:rsidRDefault="000B6B57" w:rsidP="00911899">
      <w:pPr>
        <w:tabs>
          <w:tab w:val="left" w:pos="567"/>
        </w:tabs>
        <w:spacing w:after="0" w:line="240" w:lineRule="auto"/>
        <w:jc w:val="both"/>
        <w:rPr>
          <w:rFonts w:ascii="Verdana" w:hAnsi="Verdana"/>
          <w:sz w:val="16"/>
          <w:szCs w:val="16"/>
        </w:rPr>
      </w:pPr>
      <w:r w:rsidRPr="00B24B86">
        <w:rPr>
          <w:rStyle w:val="FootnoteReference"/>
          <w:sz w:val="16"/>
          <w:szCs w:val="16"/>
        </w:rPr>
        <w:footnoteRef/>
      </w:r>
      <w:r w:rsidRPr="00B24B86">
        <w:rPr>
          <w:rFonts w:ascii="Verdana" w:hAnsi="Verdana"/>
          <w:sz w:val="16"/>
          <w:szCs w:val="16"/>
        </w:rPr>
        <w:t xml:space="preserve"> </w:t>
      </w:r>
      <w:r w:rsidRPr="00B24B86">
        <w:rPr>
          <w:rFonts w:ascii="Verdana" w:hAnsi="Verdana"/>
          <w:sz w:val="16"/>
          <w:szCs w:val="16"/>
        </w:rPr>
        <w:tab/>
      </w:r>
      <w:r w:rsidRPr="008B7BF0">
        <w:rPr>
          <w:rFonts w:ascii="Verdana" w:hAnsi="Verdana"/>
          <w:i/>
          <w:sz w:val="16"/>
          <w:szCs w:val="16"/>
        </w:rPr>
        <w:t>Cfr. Asuntos Internado Judicial de Monagas (“La Pica”) respecto de Venezuela. Medidas Provisionales</w:t>
      </w:r>
      <w:r w:rsidRPr="008B7BF0">
        <w:rPr>
          <w:rFonts w:ascii="Verdana" w:hAnsi="Verdana"/>
          <w:sz w:val="16"/>
          <w:szCs w:val="16"/>
        </w:rPr>
        <w:t xml:space="preserve">. Resolución de la Corte Interamericana de Derechos Humanos de 24 de noviembre de 2009, Considerando 3, y </w:t>
      </w:r>
      <w:r w:rsidRPr="008B7BF0">
        <w:rPr>
          <w:rFonts w:ascii="Verdana" w:hAnsi="Verdana"/>
          <w:i/>
          <w:sz w:val="16"/>
          <w:szCs w:val="16"/>
        </w:rPr>
        <w:t xml:space="preserve">Asunto Milagro Sala respecto de Argentina. Medidas Provisionales, </w:t>
      </w:r>
      <w:r w:rsidRPr="008B7BF0">
        <w:rPr>
          <w:rFonts w:ascii="Verdana" w:hAnsi="Verdana"/>
          <w:bCs/>
          <w:color w:val="000000"/>
          <w:sz w:val="16"/>
          <w:szCs w:val="16"/>
        </w:rPr>
        <w:t xml:space="preserve">Resolución de la Corte Interamericana de Derechos Humanos de 23 de noviembre de 2017, </w:t>
      </w:r>
      <w:r w:rsidRPr="008B7BF0">
        <w:rPr>
          <w:rFonts w:ascii="Verdana" w:hAnsi="Verdana"/>
          <w:sz w:val="16"/>
          <w:szCs w:val="16"/>
        </w:rPr>
        <w:t>Considerando 25.</w:t>
      </w:r>
    </w:p>
  </w:footnote>
  <w:footnote w:id="24">
    <w:p w14:paraId="111CAAC2" w14:textId="04D88334" w:rsidR="000B6B57" w:rsidRPr="00812358" w:rsidRDefault="000B6B57" w:rsidP="00911899">
      <w:pPr>
        <w:tabs>
          <w:tab w:val="left" w:pos="567"/>
          <w:tab w:val="left" w:pos="1215"/>
        </w:tabs>
        <w:spacing w:after="0" w:line="240" w:lineRule="auto"/>
        <w:jc w:val="both"/>
        <w:rPr>
          <w:rFonts w:ascii="Verdana" w:hAnsi="Verdana"/>
          <w:sz w:val="16"/>
          <w:szCs w:val="16"/>
        </w:rPr>
      </w:pPr>
      <w:r w:rsidRPr="00B24B86">
        <w:rPr>
          <w:rStyle w:val="FootnoteReference"/>
          <w:rFonts w:cs="Arial"/>
          <w:sz w:val="16"/>
          <w:szCs w:val="16"/>
        </w:rPr>
        <w:footnoteRef/>
      </w:r>
      <w:r w:rsidRPr="00B24B86">
        <w:rPr>
          <w:rFonts w:ascii="Verdana" w:hAnsi="Verdana"/>
          <w:sz w:val="16"/>
          <w:szCs w:val="16"/>
        </w:rPr>
        <w:tab/>
      </w:r>
      <w:r w:rsidRPr="008B7BF0">
        <w:rPr>
          <w:rFonts w:ascii="Verdana" w:hAnsi="Verdana"/>
          <w:i/>
          <w:sz w:val="16"/>
          <w:szCs w:val="16"/>
        </w:rPr>
        <w:t xml:space="preserve">Cfr. </w:t>
      </w:r>
      <w:r w:rsidRPr="008B7BF0">
        <w:rPr>
          <w:rFonts w:ascii="Verdana" w:hAnsi="Verdana"/>
          <w:i/>
          <w:sz w:val="16"/>
          <w:szCs w:val="16"/>
          <w:lang w:bidi="en-US"/>
        </w:rPr>
        <w:t xml:space="preserve">Caso Carpio Nicolle. </w:t>
      </w:r>
      <w:r w:rsidRPr="008B7BF0">
        <w:rPr>
          <w:rFonts w:ascii="Verdana" w:hAnsi="Verdana"/>
          <w:sz w:val="16"/>
          <w:szCs w:val="16"/>
          <w:lang w:bidi="en-US"/>
        </w:rPr>
        <w:t xml:space="preserve">Medidas Provisionales respecto de Guatemala, </w:t>
      </w:r>
      <w:r w:rsidRPr="008B7BF0">
        <w:rPr>
          <w:rFonts w:ascii="Verdana" w:hAnsi="Verdana"/>
          <w:sz w:val="16"/>
          <w:szCs w:val="16"/>
        </w:rPr>
        <w:t xml:space="preserve">Resolución de la Corte Interamericana de Derechos Humanos de 6 de julio de 2009, </w:t>
      </w:r>
      <w:r w:rsidRPr="008B7BF0">
        <w:rPr>
          <w:rFonts w:ascii="Verdana" w:hAnsi="Verdana"/>
          <w:sz w:val="16"/>
          <w:szCs w:val="16"/>
          <w:lang w:bidi="en-US"/>
        </w:rPr>
        <w:t>Considerando 14</w:t>
      </w:r>
      <w:r w:rsidRPr="008B7BF0">
        <w:rPr>
          <w:rFonts w:ascii="Verdana" w:hAnsi="Verdana"/>
          <w:sz w:val="16"/>
          <w:szCs w:val="16"/>
          <w:lang w:val="es-GT"/>
        </w:rPr>
        <w:t xml:space="preserve">, y </w:t>
      </w:r>
      <w:r w:rsidRPr="008B7BF0">
        <w:rPr>
          <w:rFonts w:ascii="Verdana" w:hAnsi="Verdana"/>
          <w:i/>
          <w:sz w:val="16"/>
          <w:szCs w:val="16"/>
          <w:lang w:val="es-ES_tradnl"/>
        </w:rPr>
        <w:t xml:space="preserve">Caso </w:t>
      </w:r>
      <w:r w:rsidRPr="008B7BF0">
        <w:rPr>
          <w:rFonts w:ascii="Verdana" w:hAnsi="Verdana"/>
          <w:i/>
          <w:sz w:val="16"/>
          <w:szCs w:val="16"/>
        </w:rPr>
        <w:t xml:space="preserve">Asunto Milagro Sala respecto de Argentina. Medidas Provisionales, </w:t>
      </w:r>
      <w:r w:rsidRPr="008B7BF0">
        <w:rPr>
          <w:rFonts w:ascii="Verdana" w:hAnsi="Verdana"/>
          <w:bCs/>
          <w:color w:val="000000"/>
          <w:sz w:val="16"/>
          <w:szCs w:val="16"/>
        </w:rPr>
        <w:t xml:space="preserve">Resolución de la Corte Interamericana de Derechos Humanos de 23 de noviembre de 2017, </w:t>
      </w:r>
      <w:r w:rsidRPr="008B7BF0">
        <w:rPr>
          <w:rFonts w:ascii="Verdana" w:hAnsi="Verdana"/>
          <w:sz w:val="16"/>
          <w:szCs w:val="16"/>
        </w:rPr>
        <w:t>Considerando 24.</w:t>
      </w:r>
    </w:p>
  </w:footnote>
  <w:footnote w:id="25">
    <w:p w14:paraId="687B28A9" w14:textId="3D68E958" w:rsidR="000B6B57" w:rsidRPr="007E21E5" w:rsidRDefault="000B6B57" w:rsidP="00911899">
      <w:pPr>
        <w:spacing w:after="0" w:line="240" w:lineRule="auto"/>
        <w:jc w:val="both"/>
        <w:rPr>
          <w:rFonts w:ascii="Verdana" w:hAnsi="Verdana" w:cs="Verdana"/>
          <w:color w:val="000000"/>
          <w:sz w:val="16"/>
          <w:szCs w:val="16"/>
        </w:rPr>
      </w:pPr>
      <w:r w:rsidRPr="00BB5D02">
        <w:rPr>
          <w:rStyle w:val="FootnoteReference"/>
          <w:rFonts w:ascii="Verdana" w:hAnsi="Verdana"/>
          <w:sz w:val="16"/>
          <w:szCs w:val="16"/>
        </w:rPr>
        <w:footnoteRef/>
      </w:r>
      <w:r w:rsidRPr="00BB5D02">
        <w:rPr>
          <w:rFonts w:ascii="Verdana" w:hAnsi="Verdana"/>
          <w:sz w:val="16"/>
          <w:szCs w:val="16"/>
        </w:rPr>
        <w:t xml:space="preserve"> </w:t>
      </w:r>
      <w:r w:rsidRPr="00BB5D02">
        <w:rPr>
          <w:rFonts w:ascii="Verdana" w:hAnsi="Verdana"/>
          <w:sz w:val="16"/>
          <w:szCs w:val="16"/>
        </w:rPr>
        <w:tab/>
      </w:r>
      <w:r w:rsidRPr="004E502B">
        <w:rPr>
          <w:rFonts w:ascii="Verdana" w:hAnsi="Verdana"/>
          <w:sz w:val="16"/>
          <w:szCs w:val="16"/>
        </w:rPr>
        <w:t>Mediante auto emitido el 5 de abril de 2016, el Tribunal Constitucional se pronunció sobre “las solicitudes presentadas por el procurador de la Procuraduría Pública Especializada Supranacional, el abogado del Instituto de Defensa Legal, la Secretaría Ejecutiva de la Coordinadora Nacional de Derechos Humanos y la Directora de la Asociación Pro Derechos Humanos, en las que se pide subsanar de oficio diversos errores materiales recaídos en la sentencia de fe</w:t>
      </w:r>
      <w:r>
        <w:rPr>
          <w:rFonts w:ascii="Verdana" w:hAnsi="Verdana"/>
          <w:sz w:val="16"/>
          <w:szCs w:val="16"/>
        </w:rPr>
        <w:t>cha 14 de junio de 2013”</w:t>
      </w:r>
      <w:r w:rsidRPr="007E21E5">
        <w:rPr>
          <w:rFonts w:ascii="Verdana" w:hAnsi="Verdana"/>
          <w:sz w:val="16"/>
          <w:szCs w:val="16"/>
        </w:rPr>
        <w:t xml:space="preserve">. </w:t>
      </w:r>
      <w:r w:rsidRPr="004E502B">
        <w:rPr>
          <w:rFonts w:ascii="Verdana" w:hAnsi="Verdana"/>
          <w:sz w:val="16"/>
          <w:szCs w:val="16"/>
        </w:rPr>
        <w:t>El Tribunal Constitucional indica que se pronuncia “atendiendo a que” “</w:t>
      </w:r>
      <w:r w:rsidRPr="004E502B">
        <w:rPr>
          <w:rFonts w:ascii="Verdana" w:hAnsi="Verdana" w:cs="Verdana"/>
          <w:color w:val="000000"/>
          <w:sz w:val="16"/>
          <w:szCs w:val="16"/>
        </w:rPr>
        <w:t>[e]l artículo 121 del Código Procesal Constitucional prevé expresamente que el Tribunal Constitucional tiene competencia para subsanar sus resoluciones cuando estas hubieran incurrido en algún error”.</w:t>
      </w:r>
    </w:p>
    <w:p w14:paraId="57D3DB72" w14:textId="77777777" w:rsidR="000B6B57" w:rsidRPr="004E502B" w:rsidRDefault="000B6B57" w:rsidP="00911899">
      <w:pPr>
        <w:spacing w:after="0" w:line="240" w:lineRule="auto"/>
        <w:jc w:val="both"/>
        <w:rPr>
          <w:rFonts w:ascii="Verdana" w:eastAsia="Times New Roman" w:hAnsi="Verdana" w:cs="Times New Roman"/>
          <w:color w:val="000000"/>
          <w:sz w:val="16"/>
          <w:szCs w:val="16"/>
        </w:rPr>
      </w:pPr>
      <w:r w:rsidRPr="004E502B">
        <w:rPr>
          <w:rFonts w:ascii="Verdana" w:eastAsia="Times New Roman" w:hAnsi="Verdana" w:cs="Times New Roman"/>
          <w:color w:val="000000"/>
          <w:sz w:val="16"/>
          <w:szCs w:val="16"/>
          <w:lang w:val="uz-Cyrl-UZ"/>
        </w:rPr>
        <w:tab/>
        <w:t>Ante ese auto de abril de 2016, la defensa legal de uno de los imputados en el proceso penal interpuso un recurso solicitando que se declarara la nulidad de ese auto de 5 de abril de 2016. El Tribunal Constitucional resolvió dicho recurso, mediante auto de 8 d</w:t>
      </w:r>
      <w:r>
        <w:rPr>
          <w:rFonts w:ascii="Verdana" w:eastAsia="Times New Roman" w:hAnsi="Verdana" w:cs="Times New Roman"/>
          <w:color w:val="000000"/>
          <w:sz w:val="16"/>
          <w:szCs w:val="16"/>
          <w:lang w:val="uz-Cyrl-UZ"/>
        </w:rPr>
        <w:t xml:space="preserve">e marzo de 2017, </w:t>
      </w:r>
      <w:r w:rsidRPr="004E502B">
        <w:rPr>
          <w:rFonts w:ascii="Verdana" w:eastAsia="Times New Roman" w:hAnsi="Verdana" w:cs="Times New Roman"/>
          <w:color w:val="000000"/>
          <w:sz w:val="16"/>
          <w:szCs w:val="16"/>
          <w:lang w:val="uz-Cyrl-UZ"/>
        </w:rPr>
        <w:t>declarar</w:t>
      </w:r>
      <w:r>
        <w:rPr>
          <w:rFonts w:ascii="Verdana" w:eastAsia="Times New Roman" w:hAnsi="Verdana" w:cs="Times New Roman"/>
          <w:color w:val="000000"/>
          <w:sz w:val="16"/>
          <w:szCs w:val="16"/>
        </w:rPr>
        <w:t>ando</w:t>
      </w:r>
      <w:r w:rsidRPr="004E502B">
        <w:rPr>
          <w:rFonts w:ascii="Verdana" w:eastAsia="Times New Roman" w:hAnsi="Verdana" w:cs="Times New Roman"/>
          <w:color w:val="000000"/>
          <w:sz w:val="16"/>
          <w:szCs w:val="16"/>
          <w:lang w:val="uz-Cyrl-UZ"/>
        </w:rPr>
        <w:t xml:space="preserve"> improcedente el pedido de nulidad</w:t>
      </w:r>
      <w:r>
        <w:rPr>
          <w:rFonts w:ascii="Verdana" w:eastAsia="Times New Roman" w:hAnsi="Verdana" w:cs="Times New Roman"/>
          <w:color w:val="000000"/>
          <w:sz w:val="16"/>
          <w:szCs w:val="16"/>
        </w:rPr>
        <w:t xml:space="preserve">. Entre otros fundamentos, </w:t>
      </w:r>
      <w:r>
        <w:rPr>
          <w:rFonts w:ascii="Verdana" w:eastAsia="Times New Roman" w:hAnsi="Verdana" w:cs="Times New Roman"/>
          <w:color w:val="000000"/>
          <w:sz w:val="16"/>
          <w:szCs w:val="16"/>
          <w:lang w:val="uz-Cyrl-UZ"/>
        </w:rPr>
        <w:t>señal</w:t>
      </w:r>
      <w:r>
        <w:rPr>
          <w:rFonts w:ascii="Verdana" w:eastAsia="Times New Roman" w:hAnsi="Verdana" w:cs="Times New Roman"/>
          <w:color w:val="000000"/>
          <w:sz w:val="16"/>
          <w:szCs w:val="16"/>
        </w:rPr>
        <w:t>ó</w:t>
      </w:r>
      <w:r>
        <w:rPr>
          <w:rFonts w:ascii="Verdana" w:eastAsia="Times New Roman" w:hAnsi="Verdana" w:cs="Times New Roman"/>
          <w:color w:val="000000"/>
          <w:sz w:val="16"/>
          <w:szCs w:val="16"/>
          <w:lang w:val="uz-Cyrl-UZ"/>
        </w:rPr>
        <w:t xml:space="preserve"> que </w:t>
      </w:r>
      <w:r>
        <w:rPr>
          <w:rFonts w:ascii="Verdana" w:eastAsia="Times New Roman" w:hAnsi="Verdana" w:cs="Times New Roman"/>
          <w:color w:val="000000"/>
          <w:sz w:val="16"/>
          <w:szCs w:val="16"/>
        </w:rPr>
        <w:t>“</w:t>
      </w:r>
      <w:r w:rsidRPr="004E502B">
        <w:rPr>
          <w:rFonts w:ascii="Verdana" w:eastAsia="Times New Roman" w:hAnsi="Verdana" w:cs="Times New Roman"/>
          <w:color w:val="000000"/>
          <w:sz w:val="16"/>
          <w:szCs w:val="16"/>
          <w:lang w:val="uz-Cyrl-UZ"/>
        </w:rPr>
        <w:t xml:space="preserve">el artículo 121 del Código Procesal Constitucional prevé la competencia de[l] Tribunal Constitucional ‘para aclarar algún concepto o subsanar cualquier error material u omisión en que hubiese incurrido en sus resoluciones’”. </w:t>
      </w:r>
      <w:r>
        <w:rPr>
          <w:rFonts w:ascii="Verdana" w:eastAsia="Times New Roman" w:hAnsi="Verdana" w:cs="Times New Roman"/>
          <w:color w:val="000000"/>
          <w:sz w:val="16"/>
          <w:szCs w:val="16"/>
        </w:rPr>
        <w:t>Asimismo, sostuvo que “[d]</w:t>
      </w:r>
      <w:r w:rsidRPr="004E502B">
        <w:rPr>
          <w:rFonts w:ascii="Verdana" w:eastAsia="Times New Roman" w:hAnsi="Verdana" w:cs="Times New Roman"/>
          <w:color w:val="000000"/>
          <w:sz w:val="16"/>
          <w:szCs w:val="16"/>
          <w:lang w:val="uz-Cyrl-UZ"/>
        </w:rPr>
        <w:t>ebe tenerse en cuenta, asimismo, que quienes presentaron en su momento las solicitudes de subsanación o nulidad en ningún momento pidieron ser admitidos como partes o partícipes, sino que únicamente pusieron en conocimiento del Tribunal los vicios que detectaron, con la finalidad de que el órgano colegiado emita un pronunciamiento de oficio, forma de actuación del Tribunal que constitucionalmente está habilitada en este tipo de situaciones</w:t>
      </w:r>
      <w:r>
        <w:rPr>
          <w:rFonts w:ascii="Verdana" w:eastAsia="Times New Roman" w:hAnsi="Verdana" w:cs="Times New Roman"/>
          <w:color w:val="000000"/>
          <w:sz w:val="16"/>
          <w:szCs w:val="16"/>
        </w:rPr>
        <w:t>”</w:t>
      </w:r>
      <w:r w:rsidRPr="004E502B">
        <w:rPr>
          <w:rFonts w:ascii="Verdana" w:eastAsia="Times New Roman" w:hAnsi="Verdana" w:cs="Times New Roman"/>
          <w:color w:val="000000"/>
          <w:sz w:val="16"/>
          <w:szCs w:val="16"/>
          <w:lang w:val="uz-Cyrl-UZ"/>
        </w:rPr>
        <w:t xml:space="preserve">. </w:t>
      </w:r>
      <w:r>
        <w:rPr>
          <w:rFonts w:ascii="Verdana" w:eastAsia="Times New Roman" w:hAnsi="Verdana" w:cs="Times New Roman"/>
          <w:color w:val="000000"/>
          <w:sz w:val="16"/>
          <w:szCs w:val="16"/>
        </w:rPr>
        <w:t>El tribunal indicó, a</w:t>
      </w:r>
      <w:r w:rsidRPr="004E502B">
        <w:rPr>
          <w:rFonts w:ascii="Verdana" w:eastAsia="Times New Roman" w:hAnsi="Verdana" w:cs="Times New Roman"/>
          <w:color w:val="000000"/>
          <w:sz w:val="16"/>
          <w:szCs w:val="16"/>
          <w:lang w:val="uz-Cyrl-UZ"/>
        </w:rPr>
        <w:t xml:space="preserve">demás, </w:t>
      </w:r>
      <w:r>
        <w:rPr>
          <w:rFonts w:ascii="Verdana" w:eastAsia="Times New Roman" w:hAnsi="Verdana" w:cs="Times New Roman"/>
          <w:color w:val="000000"/>
          <w:sz w:val="16"/>
          <w:szCs w:val="16"/>
        </w:rPr>
        <w:t>que “</w:t>
      </w:r>
      <w:r w:rsidRPr="004E502B">
        <w:rPr>
          <w:rFonts w:ascii="Verdana" w:eastAsia="Times New Roman" w:hAnsi="Verdana" w:cs="Times New Roman"/>
          <w:color w:val="000000"/>
          <w:sz w:val="16"/>
          <w:szCs w:val="16"/>
          <w:lang w:val="uz-Cyrl-UZ"/>
        </w:rPr>
        <w:t>conforme a los cargos de notificación que obran en los actuados, la sentencia de 2013 fue notificada entre los días 6 y 16 de setiembre de ese mismo año, por lo que no es cierto que se trató de un pedido extemporáneo, conforme se verifica a fojas 80 del cuadernillo del Tribunal Constitucional (pedido de aclaración de</w:t>
      </w:r>
      <w:r>
        <w:rPr>
          <w:rFonts w:ascii="Verdana" w:eastAsia="Times New Roman" w:hAnsi="Verdana" w:cs="Times New Roman"/>
          <w:color w:val="000000"/>
          <w:sz w:val="16"/>
          <w:szCs w:val="16"/>
          <w:lang w:val="uz-Cyrl-UZ"/>
        </w:rPr>
        <w:t xml:space="preserve"> fecha 16 de setiembre de 2013)</w:t>
      </w:r>
      <w:r>
        <w:rPr>
          <w:rFonts w:ascii="Verdana" w:eastAsia="Times New Roman" w:hAnsi="Verdana" w:cs="Times New Roman"/>
          <w:color w:val="000000"/>
          <w:sz w:val="16"/>
          <w:szCs w:val="16"/>
        </w:rPr>
        <w:t>”</w:t>
      </w:r>
      <w:r w:rsidRPr="004E502B">
        <w:rPr>
          <w:rFonts w:ascii="Verdana" w:eastAsia="Times New Roman" w:hAnsi="Verdana" w:cs="Times New Roman"/>
          <w:color w:val="000000"/>
          <w:sz w:val="16"/>
          <w:szCs w:val="16"/>
          <w:lang w:val="uz-Cyrl-UZ"/>
        </w:rPr>
        <w:t>.</w:t>
      </w:r>
      <w:r>
        <w:rPr>
          <w:rFonts w:ascii="Verdana" w:eastAsia="Times New Roman" w:hAnsi="Verdana" w:cs="Times New Roman"/>
          <w:color w:val="000000"/>
          <w:sz w:val="16"/>
          <w:szCs w:val="16"/>
        </w:rPr>
        <w:t xml:space="preserve"> </w:t>
      </w:r>
    </w:p>
    <w:p w14:paraId="75968E82" w14:textId="77777777" w:rsidR="000B6B57" w:rsidRPr="00BB5D02" w:rsidRDefault="000B6B57" w:rsidP="00911899">
      <w:pPr>
        <w:spacing w:after="0" w:line="240" w:lineRule="auto"/>
        <w:ind w:firstLine="708"/>
        <w:jc w:val="both"/>
        <w:rPr>
          <w:rFonts w:ascii="Verdana" w:hAnsi="Verdana"/>
          <w:sz w:val="16"/>
          <w:szCs w:val="16"/>
        </w:rPr>
      </w:pPr>
      <w:r w:rsidRPr="00BB5D02">
        <w:rPr>
          <w:rFonts w:ascii="Verdana" w:hAnsi="Verdana"/>
          <w:sz w:val="16"/>
          <w:szCs w:val="16"/>
        </w:rPr>
        <w:t>L</w:t>
      </w:r>
      <w:r>
        <w:rPr>
          <w:rFonts w:ascii="Verdana" w:hAnsi="Verdana"/>
          <w:sz w:val="16"/>
          <w:szCs w:val="16"/>
        </w:rPr>
        <w:t xml:space="preserve">a </w:t>
      </w:r>
      <w:r w:rsidRPr="00E60E7D">
        <w:rPr>
          <w:rFonts w:ascii="Verdana" w:hAnsi="Verdana" w:cs="Verdana"/>
          <w:color w:val="000000"/>
          <w:sz w:val="16"/>
          <w:szCs w:val="16"/>
        </w:rPr>
        <w:t xml:space="preserve">sentencia </w:t>
      </w:r>
      <w:r>
        <w:rPr>
          <w:rFonts w:ascii="Verdana" w:hAnsi="Verdana" w:cs="Verdana"/>
          <w:color w:val="000000"/>
          <w:sz w:val="16"/>
          <w:szCs w:val="16"/>
        </w:rPr>
        <w:t>de 14 de junio</w:t>
      </w:r>
      <w:r w:rsidRPr="00E60E7D">
        <w:rPr>
          <w:rFonts w:ascii="Verdana" w:hAnsi="Verdana" w:cs="Verdana"/>
          <w:color w:val="000000"/>
          <w:sz w:val="16"/>
          <w:szCs w:val="16"/>
        </w:rPr>
        <w:t xml:space="preserve"> 2013 </w:t>
      </w:r>
      <w:r>
        <w:rPr>
          <w:rFonts w:ascii="Verdana" w:hAnsi="Verdana" w:cs="Verdana"/>
          <w:color w:val="000000"/>
          <w:sz w:val="16"/>
          <w:szCs w:val="16"/>
        </w:rPr>
        <w:t>y l</w:t>
      </w:r>
      <w:r w:rsidRPr="00BB5D02">
        <w:rPr>
          <w:rFonts w:ascii="Verdana" w:hAnsi="Verdana"/>
          <w:sz w:val="16"/>
          <w:szCs w:val="16"/>
        </w:rPr>
        <w:t xml:space="preserve">os autos emitidos por el Tribunal Constitucional el 5 de abril de 2016 y 8 de marzo de 2017 no fueron aportados por las partes. Esta Presidencia tuvo acceso a los mismos a través de su publicación </w:t>
      </w:r>
      <w:r>
        <w:rPr>
          <w:rFonts w:ascii="Verdana" w:hAnsi="Verdana"/>
          <w:sz w:val="16"/>
          <w:szCs w:val="16"/>
        </w:rPr>
        <w:t xml:space="preserve">en la página web oficial del Tribunal Constitucional </w:t>
      </w:r>
      <w:hyperlink r:id="rId6" w:history="1">
        <w:r w:rsidRPr="00D60B84">
          <w:rPr>
            <w:rStyle w:val="Hyperlink"/>
            <w:rFonts w:ascii="Verdana" w:hAnsi="Verdana"/>
            <w:color w:val="auto"/>
            <w:sz w:val="16"/>
            <w:szCs w:val="16"/>
          </w:rPr>
          <w:t>http://www.tc.gob.pe/tc/public/causas/exp-a57ae20285ce9e0612e0e14499ea57fb</w:t>
        </w:r>
      </w:hyperlink>
      <w:r w:rsidRPr="00D60B84">
        <w:rPr>
          <w:rFonts w:ascii="Verdana" w:hAnsi="Verdana"/>
          <w:sz w:val="16"/>
          <w:szCs w:val="16"/>
        </w:rPr>
        <w:t xml:space="preserve"> </w:t>
      </w:r>
    </w:p>
  </w:footnote>
  <w:footnote w:id="26">
    <w:p w14:paraId="2BE61939" w14:textId="77777777" w:rsidR="000B6B57" w:rsidRPr="00E60E7D" w:rsidRDefault="000B6B57" w:rsidP="00911899">
      <w:pPr>
        <w:autoSpaceDE w:val="0"/>
        <w:autoSpaceDN w:val="0"/>
        <w:adjustRightInd w:val="0"/>
        <w:spacing w:after="0" w:line="240" w:lineRule="auto"/>
        <w:jc w:val="both"/>
        <w:rPr>
          <w:rFonts w:ascii="Verdana" w:hAnsi="Verdana" w:cs="Verdana"/>
          <w:color w:val="000000"/>
          <w:sz w:val="16"/>
          <w:szCs w:val="16"/>
        </w:rPr>
      </w:pPr>
      <w:r w:rsidRPr="00E60E7D">
        <w:rPr>
          <w:rStyle w:val="FootnoteReference"/>
          <w:rFonts w:ascii="Verdana" w:hAnsi="Verdana"/>
          <w:sz w:val="16"/>
          <w:szCs w:val="16"/>
        </w:rPr>
        <w:footnoteRef/>
      </w:r>
      <w:r w:rsidRPr="00E60E7D">
        <w:rPr>
          <w:rFonts w:ascii="Verdana" w:hAnsi="Verdana"/>
          <w:sz w:val="16"/>
          <w:szCs w:val="16"/>
        </w:rPr>
        <w:t xml:space="preserve"> </w:t>
      </w:r>
      <w:r w:rsidRPr="00E60E7D">
        <w:rPr>
          <w:rFonts w:ascii="Verdana" w:hAnsi="Verdana"/>
          <w:sz w:val="16"/>
          <w:szCs w:val="16"/>
        </w:rPr>
        <w:tab/>
      </w:r>
      <w:r w:rsidRPr="00E60E7D">
        <w:rPr>
          <w:rFonts w:ascii="Verdana" w:hAnsi="Verdana" w:cs="Verdana"/>
          <w:color w:val="000000"/>
          <w:sz w:val="16"/>
          <w:szCs w:val="16"/>
        </w:rPr>
        <w:t>La sentencia emitida por e</w:t>
      </w:r>
      <w:r>
        <w:rPr>
          <w:rFonts w:ascii="Verdana" w:hAnsi="Verdana" w:cs="Verdana"/>
          <w:color w:val="000000"/>
          <w:sz w:val="16"/>
          <w:szCs w:val="16"/>
        </w:rPr>
        <w:t xml:space="preserve">l Tribunal Constitucional en el 14 de junio de </w:t>
      </w:r>
      <w:r w:rsidRPr="00E60E7D">
        <w:rPr>
          <w:rFonts w:ascii="Verdana" w:hAnsi="Verdana" w:cs="Verdana"/>
          <w:color w:val="000000"/>
          <w:sz w:val="16"/>
          <w:szCs w:val="16"/>
        </w:rPr>
        <w:t>2013 contiene las siguientes decisiones:</w:t>
      </w:r>
    </w:p>
    <w:p w14:paraId="35626D42" w14:textId="77777777" w:rsidR="000B6B57" w:rsidRPr="00E60E7D" w:rsidRDefault="000B6B57" w:rsidP="00911899">
      <w:pPr>
        <w:pStyle w:val="ListParagraph"/>
        <w:numPr>
          <w:ilvl w:val="0"/>
          <w:numId w:val="6"/>
        </w:numPr>
        <w:autoSpaceDE w:val="0"/>
        <w:autoSpaceDN w:val="0"/>
        <w:adjustRightInd w:val="0"/>
        <w:spacing w:after="0" w:line="240" w:lineRule="auto"/>
        <w:ind w:left="567" w:hanging="283"/>
        <w:jc w:val="both"/>
        <w:rPr>
          <w:rFonts w:ascii="Verdana" w:hAnsi="Verdana" w:cs="Verdana"/>
          <w:sz w:val="16"/>
          <w:szCs w:val="16"/>
          <w:lang w:val="es-CR"/>
        </w:rPr>
      </w:pPr>
      <w:r w:rsidRPr="00E60E7D">
        <w:rPr>
          <w:rFonts w:ascii="Verdana" w:hAnsi="Verdana" w:cs="Verdana"/>
          <w:color w:val="000000"/>
          <w:sz w:val="16"/>
          <w:szCs w:val="16"/>
          <w:lang w:val="es-CR"/>
        </w:rPr>
        <w:t xml:space="preserve">En el </w:t>
      </w:r>
      <w:r w:rsidRPr="00E60E7D">
        <w:rPr>
          <w:rFonts w:ascii="Verdana" w:hAnsi="Verdana" w:cs="Verdana"/>
          <w:i/>
          <w:color w:val="000000"/>
          <w:sz w:val="16"/>
          <w:szCs w:val="16"/>
          <w:lang w:val="es-CR"/>
        </w:rPr>
        <w:t>punto resolutivo primero</w:t>
      </w:r>
      <w:r w:rsidRPr="00E60E7D">
        <w:rPr>
          <w:rFonts w:ascii="Verdana" w:hAnsi="Verdana" w:cs="Verdana"/>
          <w:color w:val="000000"/>
          <w:sz w:val="16"/>
          <w:szCs w:val="16"/>
          <w:lang w:val="es-CR"/>
        </w:rPr>
        <w:t xml:space="preserve"> se declaraba “fundada en parte la demanda; en consecuencia NULO el auto de apertura de instrucción emitido por el juez del Cuarto Juzgado Penal Supraprovincial […] en el extremo que declara que los hechos materia del proceso penal constituyen crímenes de lesa humanidad, manteniéndose subsistentes los demás extremos de la imputación”. En el fundamento 68 concluyó que “los hechos no pueden ser calificados como crimen de lesa humanidad, y en consecuencia terminado el proceso penal opera la prescripción, sin posibilidad de nuevos procesamientos”. </w:t>
      </w:r>
    </w:p>
    <w:p w14:paraId="1C0656BE" w14:textId="77777777" w:rsidR="000B6B57" w:rsidRPr="004822E8" w:rsidRDefault="000B6B57" w:rsidP="00911899">
      <w:pPr>
        <w:pStyle w:val="ListParagraph"/>
        <w:numPr>
          <w:ilvl w:val="0"/>
          <w:numId w:val="6"/>
        </w:numPr>
        <w:autoSpaceDE w:val="0"/>
        <w:autoSpaceDN w:val="0"/>
        <w:adjustRightInd w:val="0"/>
        <w:spacing w:after="0" w:line="240" w:lineRule="auto"/>
        <w:ind w:left="567" w:hanging="283"/>
        <w:jc w:val="both"/>
        <w:rPr>
          <w:lang w:val="es-CR"/>
        </w:rPr>
      </w:pPr>
      <w:r w:rsidRPr="00E60E7D">
        <w:rPr>
          <w:rFonts w:ascii="Verdana" w:hAnsi="Verdana" w:cs="Verdana"/>
          <w:color w:val="000000"/>
          <w:sz w:val="16"/>
          <w:szCs w:val="16"/>
          <w:lang w:val="es-CR"/>
        </w:rPr>
        <w:t xml:space="preserve">en el </w:t>
      </w:r>
      <w:r w:rsidRPr="00E60E7D">
        <w:rPr>
          <w:rFonts w:ascii="Verdana" w:hAnsi="Verdana" w:cs="Verdana"/>
          <w:i/>
          <w:color w:val="000000"/>
          <w:sz w:val="16"/>
          <w:szCs w:val="16"/>
          <w:lang w:val="es-CR"/>
        </w:rPr>
        <w:t>punto resolutivo segundo</w:t>
      </w:r>
      <w:r w:rsidRPr="00E60E7D">
        <w:rPr>
          <w:rFonts w:ascii="Verdana" w:hAnsi="Verdana" w:cs="Verdana"/>
          <w:color w:val="000000"/>
          <w:sz w:val="16"/>
          <w:szCs w:val="16"/>
          <w:lang w:val="es-CR"/>
        </w:rPr>
        <w:t xml:space="preserve"> se declara “infundada la demanda en el extremo que cuestiona el haberse abierto proceso penal” y ordena que se “continúe con el proceso penal a fin de que el Estado peruano cumpla con sus compromisos internacionales”. El Tribunal Constitucional determinó que no podía aplicarse la prescripción de la acción penal respecto al proceso penal actualmente en trámite con base en que: “conforme a lo determinado por la Corte Interamericana, en el caso se habría violado el derecho a la protección judicial” y en que “no puede utilizarse la prescripción de la acción penal para avalar situaciones de impunidad generadas desde el propio Estado”. Asimismo, en el punto resolutivo tercero se ordenó “que en un plazo razonable el Poder Judicial dicte sentencia firme en el proceso que se le sigue” a los imputados. Los autos de 2016 y 2017 del Tribunal Constitucional no se refieren a los puntos resolutivos segundo y tercero de la sentencia de 2013.</w:t>
      </w:r>
    </w:p>
  </w:footnote>
  <w:footnote w:id="27">
    <w:p w14:paraId="3A3A81BA" w14:textId="77777777" w:rsidR="000B6B57" w:rsidRPr="00353E22" w:rsidRDefault="000B6B57" w:rsidP="00911899">
      <w:pPr>
        <w:pStyle w:val="FootnoteText"/>
        <w:rPr>
          <w:lang w:val="es-CR"/>
        </w:rPr>
      </w:pPr>
      <w:r>
        <w:rPr>
          <w:rStyle w:val="FootnoteReference"/>
        </w:rPr>
        <w:footnoteRef/>
      </w:r>
      <w:r w:rsidRPr="00353E22">
        <w:rPr>
          <w:lang w:val="es-CR"/>
        </w:rPr>
        <w:t xml:space="preserve"> </w:t>
      </w:r>
      <w:r>
        <w:rPr>
          <w:lang w:val="es-CR"/>
        </w:rPr>
        <w:tab/>
        <w:t xml:space="preserve">Este recurso de agravio constitucional lo interpusieron después de que les fue declarada infundada la demanda de hábeas corpus por la Segunda Sala Especializada en lo Penal para Procesos con Reos Libres de la Corte Superior de Justicia de Lima. </w:t>
      </w:r>
    </w:p>
  </w:footnote>
  <w:footnote w:id="28">
    <w:p w14:paraId="1357A1FF" w14:textId="4DEA0974" w:rsidR="000B6B57" w:rsidRPr="006D76F6" w:rsidRDefault="000B6B57" w:rsidP="00911899">
      <w:pPr>
        <w:spacing w:after="0" w:line="240" w:lineRule="auto"/>
        <w:jc w:val="both"/>
        <w:rPr>
          <w:rFonts w:ascii="Verdana" w:hAnsi="Verdana"/>
          <w:b/>
          <w:sz w:val="16"/>
          <w:szCs w:val="16"/>
        </w:rPr>
      </w:pPr>
      <w:r w:rsidRPr="004B71BB">
        <w:rPr>
          <w:rStyle w:val="FootnoteReference"/>
          <w:rFonts w:ascii="Verdana" w:hAnsi="Verdana"/>
          <w:sz w:val="16"/>
          <w:szCs w:val="16"/>
        </w:rPr>
        <w:footnoteRef/>
      </w:r>
      <w:r w:rsidRPr="004B71BB">
        <w:rPr>
          <w:rFonts w:ascii="Verdana" w:hAnsi="Verdana"/>
          <w:sz w:val="16"/>
          <w:szCs w:val="16"/>
        </w:rPr>
        <w:t xml:space="preserve"> </w:t>
      </w:r>
      <w:r w:rsidRPr="004B71BB">
        <w:rPr>
          <w:rFonts w:ascii="Verdana" w:hAnsi="Verdana"/>
          <w:sz w:val="16"/>
          <w:szCs w:val="16"/>
        </w:rPr>
        <w:tab/>
        <w:t xml:space="preserve">Este Tribunal ha señalado que los familiares de las víctimas de violaciones de derechos humanos tienen el derecho de acceso a la justicia para conocer la verdad de lo sucedido, establecer las respectivas responsabilidades y sancionar a los responsables. </w:t>
      </w:r>
      <w:r w:rsidRPr="004B71BB">
        <w:rPr>
          <w:rFonts w:ascii="Verdana" w:hAnsi="Verdana"/>
          <w:i/>
          <w:sz w:val="16"/>
          <w:szCs w:val="16"/>
        </w:rPr>
        <w:t>Cfr</w:t>
      </w:r>
      <w:r w:rsidRPr="004B71BB">
        <w:rPr>
          <w:rFonts w:ascii="Verdana" w:hAnsi="Verdana"/>
          <w:i/>
          <w:iCs/>
          <w:spacing w:val="-4"/>
          <w:sz w:val="16"/>
          <w:szCs w:val="16"/>
          <w:lang w:val="es-EC"/>
        </w:rPr>
        <w:t>. inter alia, Caso Goiburú y otros vs. Paraguay</w:t>
      </w:r>
      <w:r w:rsidRPr="004B71BB">
        <w:rPr>
          <w:rFonts w:ascii="Verdana" w:hAnsi="Verdana"/>
          <w:spacing w:val="-4"/>
          <w:sz w:val="16"/>
          <w:szCs w:val="16"/>
          <w:lang w:val="es-EC"/>
        </w:rPr>
        <w:t xml:space="preserve">. </w:t>
      </w:r>
      <w:r w:rsidRPr="004B71BB">
        <w:rPr>
          <w:rFonts w:ascii="Verdana" w:hAnsi="Verdana"/>
          <w:i/>
          <w:spacing w:val="-4"/>
          <w:sz w:val="16"/>
          <w:szCs w:val="16"/>
          <w:lang w:val="es-EC"/>
        </w:rPr>
        <w:t>Fondo, Reparaciones y Costas.</w:t>
      </w:r>
      <w:r w:rsidRPr="004B71BB">
        <w:rPr>
          <w:rFonts w:ascii="Verdana" w:hAnsi="Verdana"/>
          <w:spacing w:val="-4"/>
          <w:sz w:val="16"/>
          <w:szCs w:val="16"/>
          <w:lang w:val="es-EC"/>
        </w:rPr>
        <w:t xml:space="preserve"> Sentencia de 22 de septiembre de 2006. Serie C No. 153, párr. 131; </w:t>
      </w:r>
      <w:r w:rsidRPr="004B71BB">
        <w:rPr>
          <w:rFonts w:ascii="Verdana" w:hAnsi="Verdana"/>
          <w:i/>
          <w:sz w:val="16"/>
          <w:szCs w:val="16"/>
        </w:rPr>
        <w:t>Caso Bulacio Vs. Argentina. Fondo, Reparaciones y Costas</w:t>
      </w:r>
      <w:r w:rsidRPr="004B71BB">
        <w:rPr>
          <w:rFonts w:ascii="Verdana" w:hAnsi="Verdana"/>
          <w:sz w:val="16"/>
          <w:szCs w:val="16"/>
        </w:rPr>
        <w:t xml:space="preserve">. Sentencia de 18 de septiembre de 2003. Serie C No. 100, párr. 114, y </w:t>
      </w:r>
      <w:r w:rsidRPr="004B71BB">
        <w:rPr>
          <w:rFonts w:ascii="Verdana" w:hAnsi="Verdana"/>
          <w:bCs/>
          <w:i/>
          <w:spacing w:val="-4"/>
          <w:sz w:val="16"/>
        </w:rPr>
        <w:t>Caso I.V. Vs. Bolivia. Excepciones Preliminares, Fondo, Reparaciones y Costas</w:t>
      </w:r>
      <w:r w:rsidRPr="004B71BB">
        <w:rPr>
          <w:rFonts w:ascii="Verdana" w:hAnsi="Verdana"/>
          <w:bCs/>
          <w:spacing w:val="-4"/>
          <w:sz w:val="16"/>
        </w:rPr>
        <w:t>. Sentencia de 30 de noviembre de 2016. Serie C No. 329</w:t>
      </w:r>
      <w:r w:rsidRPr="004B71BB">
        <w:rPr>
          <w:rFonts w:ascii="Verdana" w:hAnsi="Verdana"/>
          <w:spacing w:val="-4"/>
          <w:sz w:val="16"/>
        </w:rPr>
        <w:t xml:space="preserve">, párr. 292, y </w:t>
      </w:r>
      <w:r w:rsidRPr="004B71BB">
        <w:rPr>
          <w:rFonts w:ascii="Verdana" w:hAnsi="Verdana"/>
          <w:i/>
          <w:spacing w:val="-4"/>
          <w:sz w:val="16"/>
        </w:rPr>
        <w:t>C</w:t>
      </w:r>
      <w:r w:rsidRPr="004B71BB">
        <w:rPr>
          <w:rStyle w:val="Strong"/>
          <w:rFonts w:ascii="Verdana" w:hAnsi="Verdana"/>
          <w:b w:val="0"/>
          <w:i/>
          <w:color w:val="000000"/>
          <w:sz w:val="16"/>
          <w:szCs w:val="16"/>
          <w:shd w:val="clear" w:color="auto" w:fill="FFFFFF"/>
        </w:rPr>
        <w:t>aso Gutiérrez Hernández y otros Vs. Guatemala</w:t>
      </w:r>
      <w:r w:rsidRPr="004B71BB">
        <w:rPr>
          <w:rStyle w:val="Strong"/>
          <w:rFonts w:ascii="Verdana" w:hAnsi="Verdana"/>
          <w:b w:val="0"/>
          <w:color w:val="000000"/>
          <w:sz w:val="16"/>
          <w:szCs w:val="16"/>
          <w:shd w:val="clear" w:color="auto" w:fill="FFFFFF"/>
        </w:rPr>
        <w:t xml:space="preserve">. Excepciones Preliminares, Fondo, Reparaciones y Costas. Sentencia de 24 de agosto de 2017. Serie C No. 339, párr. </w:t>
      </w:r>
      <w:r w:rsidRPr="004B71BB">
        <w:rPr>
          <w:rFonts w:ascii="Verdana" w:hAnsi="Verdana"/>
          <w:iCs/>
          <w:spacing w:val="-4"/>
          <w:sz w:val="16"/>
          <w:szCs w:val="16"/>
          <w:lang w:val="es-EC"/>
        </w:rPr>
        <w:t>147</w:t>
      </w:r>
      <w:r w:rsidRPr="004B71BB">
        <w:rPr>
          <w:rFonts w:ascii="Verdana" w:hAnsi="Verdana"/>
          <w:i/>
          <w:iCs/>
          <w:spacing w:val="-4"/>
          <w:sz w:val="16"/>
          <w:szCs w:val="16"/>
          <w:lang w:val="es-EC"/>
        </w:rPr>
        <w:t>.</w:t>
      </w:r>
    </w:p>
  </w:footnote>
  <w:footnote w:id="29">
    <w:p w14:paraId="367B3FC6" w14:textId="77777777" w:rsidR="000B6B57" w:rsidRPr="00D35582" w:rsidRDefault="000B6B57" w:rsidP="00911899">
      <w:pPr>
        <w:pStyle w:val="Heading2"/>
        <w:shd w:val="clear" w:color="auto" w:fill="FFFFFF"/>
        <w:spacing w:before="0" w:beforeAutospacing="0" w:after="0" w:afterAutospacing="0"/>
        <w:jc w:val="both"/>
        <w:rPr>
          <w:rFonts w:ascii="Verdana" w:eastAsia="Times New Roman" w:hAnsi="Verdana" w:cs="Arial"/>
          <w:sz w:val="16"/>
          <w:szCs w:val="16"/>
          <w:lang w:val="uz-Cyrl-UZ"/>
        </w:rPr>
      </w:pPr>
      <w:r w:rsidRPr="00D35582">
        <w:rPr>
          <w:rStyle w:val="FootnoteReference"/>
          <w:rFonts w:ascii="Verdana" w:hAnsi="Verdana" w:cs="Arial"/>
          <w:b w:val="0"/>
          <w:sz w:val="16"/>
          <w:szCs w:val="16"/>
        </w:rPr>
        <w:footnoteRef/>
      </w:r>
      <w:r w:rsidRPr="00D35582">
        <w:rPr>
          <w:rFonts w:ascii="Verdana" w:hAnsi="Verdana" w:cs="Arial"/>
          <w:sz w:val="16"/>
          <w:szCs w:val="16"/>
          <w:lang w:val="es-CR"/>
        </w:rPr>
        <w:tab/>
      </w:r>
      <w:r w:rsidRPr="00D35582">
        <w:rPr>
          <w:rFonts w:ascii="Verdana" w:hAnsi="Verdana" w:cs="Arial"/>
          <w:b w:val="0"/>
          <w:sz w:val="16"/>
          <w:szCs w:val="16"/>
          <w:lang w:val="uz-Cyrl-UZ"/>
        </w:rPr>
        <w:t>Principios Básicos de Naciones Unidas relativos a la independencia de la judicatura (adoptados por el Séptimo Congreso de las Naciones Unidas sobre Prevención del Delito y Tratamiento del Delincuente, celebrado en Milán del 26 deagosto al 6 de septiembre de 1985, y confirmados por la Asamblea General en sus resoluciones 40/32 de 29 de noviembre de 1985 y 40/146 de 13 de diciembre de 1985), considerando séptimo y principio 6.</w:t>
      </w:r>
    </w:p>
  </w:footnote>
  <w:footnote w:id="30">
    <w:p w14:paraId="4297E7F8" w14:textId="060E0497" w:rsidR="000B6B57" w:rsidRPr="008B532B" w:rsidRDefault="000B6B57" w:rsidP="00911899">
      <w:pPr>
        <w:pStyle w:val="FootnoteText"/>
        <w:rPr>
          <w:lang w:val="es-ES_tradnl"/>
        </w:rPr>
      </w:pPr>
      <w:r>
        <w:rPr>
          <w:rStyle w:val="FootnoteReference"/>
        </w:rPr>
        <w:footnoteRef/>
      </w:r>
      <w:r w:rsidRPr="00BC00D5">
        <w:rPr>
          <w:lang w:val="es-CR"/>
        </w:rPr>
        <w:t xml:space="preserve"> </w:t>
      </w:r>
      <w:r>
        <w:rPr>
          <w:lang w:val="es-ES_tradnl"/>
        </w:rPr>
        <w:tab/>
        <w:t xml:space="preserve">Punto resolutivo 4.c. </w:t>
      </w:r>
    </w:p>
  </w:footnote>
  <w:footnote w:id="31">
    <w:p w14:paraId="13CF9D76" w14:textId="77777777" w:rsidR="000B6B57" w:rsidRPr="00F57ED5" w:rsidRDefault="000B6B57" w:rsidP="00911899">
      <w:pPr>
        <w:spacing w:after="0" w:line="240" w:lineRule="auto"/>
        <w:jc w:val="both"/>
        <w:rPr>
          <w:sz w:val="16"/>
          <w:szCs w:val="16"/>
        </w:rPr>
      </w:pPr>
      <w:r w:rsidRPr="00F57ED5">
        <w:rPr>
          <w:rStyle w:val="FootnoteReference"/>
          <w:rFonts w:ascii="Verdana" w:hAnsi="Verdana"/>
          <w:sz w:val="16"/>
          <w:szCs w:val="16"/>
        </w:rPr>
        <w:footnoteRef/>
      </w:r>
      <w:r w:rsidRPr="00F57ED5">
        <w:rPr>
          <w:rFonts w:ascii="Verdana" w:hAnsi="Verdana"/>
          <w:sz w:val="16"/>
          <w:szCs w:val="16"/>
        </w:rPr>
        <w:t xml:space="preserve"> </w:t>
      </w:r>
      <w:r w:rsidRPr="00F57ED5">
        <w:rPr>
          <w:rFonts w:ascii="Verdana" w:hAnsi="Verdana"/>
          <w:sz w:val="16"/>
          <w:szCs w:val="16"/>
        </w:rPr>
        <w:tab/>
      </w:r>
      <w:r w:rsidRPr="00F57ED5">
        <w:rPr>
          <w:rFonts w:ascii="Verdana" w:hAnsi="Verdana"/>
          <w:i/>
          <w:iCs/>
          <w:sz w:val="16"/>
          <w:szCs w:val="16"/>
        </w:rPr>
        <w:t>Cfr.</w:t>
      </w:r>
      <w:r w:rsidRPr="00F57ED5">
        <w:rPr>
          <w:rFonts w:ascii="Verdana" w:hAnsi="Verdana"/>
          <w:sz w:val="16"/>
          <w:szCs w:val="16"/>
        </w:rPr>
        <w:t xml:space="preserve"> </w:t>
      </w:r>
      <w:r w:rsidRPr="00F57ED5">
        <w:rPr>
          <w:rFonts w:ascii="Verdana" w:hAnsi="Verdana"/>
          <w:i/>
          <w:iCs/>
          <w:sz w:val="16"/>
          <w:szCs w:val="16"/>
        </w:rPr>
        <w:t>inter alia</w:t>
      </w:r>
      <w:r w:rsidRPr="00F57ED5">
        <w:rPr>
          <w:rFonts w:ascii="Verdana" w:hAnsi="Verdana"/>
          <w:sz w:val="16"/>
          <w:szCs w:val="16"/>
        </w:rPr>
        <w:t xml:space="preserve">: </w:t>
      </w:r>
      <w:r w:rsidRPr="00F57ED5">
        <w:rPr>
          <w:rFonts w:ascii="Verdana" w:hAnsi="Verdana"/>
          <w:i/>
          <w:iCs/>
          <w:sz w:val="16"/>
          <w:szCs w:val="16"/>
        </w:rPr>
        <w:t>Caso Barrios Altos Vs. Perú. Fondo.</w:t>
      </w:r>
      <w:r w:rsidRPr="00F57ED5">
        <w:rPr>
          <w:rFonts w:ascii="Verdana" w:hAnsi="Verdana"/>
          <w:sz w:val="16"/>
          <w:szCs w:val="16"/>
        </w:rPr>
        <w:t xml:space="preserve"> Sentencia de 14 de marzo de 2001. Serie C No. 75, párr. 41;</w:t>
      </w:r>
      <w:r w:rsidRPr="00F57ED5">
        <w:rPr>
          <w:rFonts w:ascii="Verdana" w:hAnsi="Verdana"/>
          <w:i/>
          <w:iCs/>
          <w:sz w:val="16"/>
          <w:szCs w:val="16"/>
        </w:rPr>
        <w:t xml:space="preserve"> </w:t>
      </w:r>
      <w:r w:rsidRPr="00F57ED5">
        <w:rPr>
          <w:rStyle w:val="Strong"/>
          <w:rFonts w:ascii="Verdana" w:hAnsi="Verdana"/>
          <w:b w:val="0"/>
          <w:bCs w:val="0"/>
          <w:i/>
          <w:iCs/>
          <w:color w:val="000000"/>
          <w:sz w:val="16"/>
          <w:szCs w:val="16"/>
          <w:shd w:val="clear" w:color="auto" w:fill="FFFFFF"/>
        </w:rPr>
        <w:t>Caso Montero Aranguren y otros (Retén de Catia) Vs. Venezuela. Excepción Preliminar, Fondo, Reparaciones y Costas.</w:t>
      </w:r>
      <w:r w:rsidRPr="00F57ED5">
        <w:rPr>
          <w:rStyle w:val="Strong"/>
          <w:rFonts w:ascii="Verdana" w:hAnsi="Verdana"/>
          <w:b w:val="0"/>
          <w:bCs w:val="0"/>
          <w:color w:val="000000"/>
          <w:sz w:val="16"/>
          <w:szCs w:val="16"/>
          <w:shd w:val="clear" w:color="auto" w:fill="FFFFFF"/>
        </w:rPr>
        <w:t xml:space="preserve"> Sentencia de 5 de julio de 2006. Serie C No. 150, párr. 141; </w:t>
      </w:r>
      <w:r w:rsidRPr="00F57ED5">
        <w:rPr>
          <w:rStyle w:val="Strong"/>
          <w:rFonts w:ascii="Verdana" w:hAnsi="Verdana"/>
          <w:b w:val="0"/>
          <w:bCs w:val="0"/>
          <w:i/>
          <w:iCs/>
          <w:color w:val="000000"/>
          <w:sz w:val="16"/>
          <w:szCs w:val="16"/>
          <w:shd w:val="clear" w:color="auto" w:fill="FFFFFF"/>
        </w:rPr>
        <w:t>Caso Osorio Rivera y familiares Vs. Perú. Excepciones Preliminares, Fondo, Reparaciones y Costas.</w:t>
      </w:r>
      <w:r w:rsidRPr="00F57ED5">
        <w:rPr>
          <w:rStyle w:val="Strong"/>
          <w:rFonts w:ascii="Verdana" w:hAnsi="Verdana"/>
          <w:b w:val="0"/>
          <w:bCs w:val="0"/>
          <w:color w:val="000000"/>
          <w:sz w:val="16"/>
          <w:szCs w:val="16"/>
          <w:shd w:val="clear" w:color="auto" w:fill="FFFFFF"/>
        </w:rPr>
        <w:t xml:space="preserve"> Sentencia de 26 de noviembre de 2013. Serie C No. 274, párr. 344; </w:t>
      </w:r>
      <w:r w:rsidRPr="00F57ED5">
        <w:rPr>
          <w:rFonts w:ascii="Verdana" w:hAnsi="Verdana"/>
          <w:i/>
          <w:iCs/>
          <w:color w:val="000000"/>
          <w:sz w:val="16"/>
          <w:szCs w:val="16"/>
          <w:shd w:val="clear" w:color="auto" w:fill="FFFFFF"/>
        </w:rPr>
        <w:t>Caso J. Vs. Perú. Excepción Preliminar, Fondo, Reparaciones y Costas.</w:t>
      </w:r>
      <w:r w:rsidRPr="00F57ED5">
        <w:rPr>
          <w:rFonts w:ascii="Verdana" w:hAnsi="Verdana"/>
          <w:color w:val="000000"/>
          <w:sz w:val="16"/>
          <w:szCs w:val="16"/>
          <w:shd w:val="clear" w:color="auto" w:fill="FFFFFF"/>
        </w:rPr>
        <w:t xml:space="preserve"> Sentencia de 27 de noviembre de 2013. Serie C No. 275, párr. 267; </w:t>
      </w:r>
      <w:r w:rsidRPr="00F57ED5">
        <w:rPr>
          <w:rStyle w:val="Strong"/>
          <w:rFonts w:ascii="Verdana" w:hAnsi="Verdana"/>
          <w:b w:val="0"/>
          <w:bCs w:val="0"/>
          <w:i/>
          <w:iCs/>
          <w:color w:val="000000"/>
          <w:sz w:val="16"/>
          <w:szCs w:val="16"/>
          <w:shd w:val="clear" w:color="auto" w:fill="FFFFFF"/>
        </w:rPr>
        <w:t xml:space="preserve">Caso Espinoza Gonzáles Vs. Perú. Excepciones Preliminares, Fondo, Reparaciones y Costas. </w:t>
      </w:r>
      <w:r w:rsidRPr="00F57ED5">
        <w:rPr>
          <w:rStyle w:val="Strong"/>
          <w:rFonts w:ascii="Verdana" w:hAnsi="Verdana"/>
          <w:b w:val="0"/>
          <w:bCs w:val="0"/>
          <w:color w:val="000000"/>
          <w:sz w:val="16"/>
          <w:szCs w:val="16"/>
          <w:shd w:val="clear" w:color="auto" w:fill="FFFFFF"/>
        </w:rPr>
        <w:t xml:space="preserve">Sentencia de 20 de noviembre de 2014. </w:t>
      </w:r>
      <w:r w:rsidRPr="000B2D48">
        <w:rPr>
          <w:rStyle w:val="Strong"/>
          <w:rFonts w:ascii="Verdana" w:hAnsi="Verdana"/>
          <w:b w:val="0"/>
          <w:bCs w:val="0"/>
          <w:color w:val="000000"/>
          <w:sz w:val="16"/>
          <w:szCs w:val="16"/>
          <w:shd w:val="clear" w:color="auto" w:fill="FFFFFF"/>
        </w:rPr>
        <w:t xml:space="preserve">Serie C No. 289, párr. 309, y </w:t>
      </w:r>
      <w:r w:rsidRPr="00F57ED5">
        <w:rPr>
          <w:rFonts w:ascii="Verdana" w:hAnsi="Verdana"/>
          <w:i/>
          <w:iCs/>
          <w:color w:val="000000"/>
          <w:sz w:val="16"/>
          <w:szCs w:val="16"/>
        </w:rPr>
        <w:t>Caso Tenorio Roca y otros Vs. Perú. Excepciones Preliminares, Fondo, Reparaciones y Costas</w:t>
      </w:r>
      <w:r w:rsidRPr="00F57ED5">
        <w:rPr>
          <w:rFonts w:ascii="Verdana" w:hAnsi="Verdana"/>
          <w:color w:val="000000"/>
          <w:sz w:val="16"/>
          <w:szCs w:val="16"/>
        </w:rPr>
        <w:t>. Sentencia de 22 de ju</w:t>
      </w:r>
      <w:r>
        <w:rPr>
          <w:rFonts w:ascii="Verdana" w:hAnsi="Verdana"/>
          <w:color w:val="000000"/>
          <w:sz w:val="16"/>
          <w:szCs w:val="16"/>
        </w:rPr>
        <w:t>nio de 2016. Serie C No. 314, pá</w:t>
      </w:r>
      <w:r w:rsidRPr="00F57ED5">
        <w:rPr>
          <w:rFonts w:ascii="Verdana" w:hAnsi="Verdana"/>
          <w:color w:val="000000"/>
          <w:sz w:val="16"/>
          <w:szCs w:val="16"/>
        </w:rPr>
        <w:t>rr. 268.</w:t>
      </w:r>
    </w:p>
  </w:footnote>
  <w:footnote w:id="32">
    <w:p w14:paraId="1C9862E7" w14:textId="77777777" w:rsidR="000B6B57" w:rsidRDefault="000B6B57" w:rsidP="00911899">
      <w:pPr>
        <w:spacing w:after="0" w:line="240" w:lineRule="auto"/>
        <w:jc w:val="both"/>
        <w:rPr>
          <w:rFonts w:ascii="Verdana" w:hAnsi="Verdana"/>
          <w:sz w:val="16"/>
          <w:szCs w:val="16"/>
        </w:rPr>
      </w:pPr>
      <w:r w:rsidRPr="005A4AC5">
        <w:rPr>
          <w:rStyle w:val="FootnoteReference"/>
          <w:rFonts w:ascii="Verdana" w:hAnsi="Verdana"/>
          <w:sz w:val="16"/>
          <w:szCs w:val="16"/>
        </w:rPr>
        <w:footnoteRef/>
      </w:r>
      <w:r w:rsidRPr="005A4AC5">
        <w:rPr>
          <w:rFonts w:ascii="Verdana" w:hAnsi="Verdana"/>
          <w:sz w:val="16"/>
          <w:szCs w:val="16"/>
        </w:rPr>
        <w:t xml:space="preserve"> </w:t>
      </w:r>
      <w:r w:rsidRPr="005A4AC5">
        <w:rPr>
          <w:rFonts w:ascii="Verdana" w:hAnsi="Verdana"/>
          <w:sz w:val="16"/>
          <w:szCs w:val="16"/>
        </w:rPr>
        <w:tab/>
      </w:r>
      <w:r w:rsidRPr="00455D68">
        <w:rPr>
          <w:rFonts w:ascii="Verdana" w:hAnsi="Verdana"/>
          <w:sz w:val="16"/>
          <w:szCs w:val="16"/>
          <w:u w:val="single"/>
        </w:rPr>
        <w:t>Artículo 99</w:t>
      </w:r>
      <w:r w:rsidRPr="005A4AC5">
        <w:rPr>
          <w:rFonts w:ascii="Verdana" w:hAnsi="Verdana"/>
          <w:sz w:val="16"/>
          <w:szCs w:val="16"/>
        </w:rPr>
        <w:t xml:space="preserve">°.- Corresponde a la Comisión Permanente acusar ante el Congreso: al Presidente de la República; a los representantes a Congreso; a los Ministros de Estado; a los miembros del Tribunal Constitucional; a los miembros del Consejo Nacional de la Magistratura; a los vocales de la Corte Suprema; a los fiscales supremos; al Defensor del Pueblo y al Contralor General por infracción de la Constitución y por todo delito que cometan en el ejercicio de sus funciones y hasta cinco años después de que hayan cesado en éstas. </w:t>
      </w:r>
    </w:p>
    <w:p w14:paraId="1D1703E6" w14:textId="77777777" w:rsidR="000B6B57" w:rsidRDefault="000B6B57" w:rsidP="00911899">
      <w:pPr>
        <w:spacing w:after="0" w:line="240" w:lineRule="auto"/>
        <w:jc w:val="both"/>
        <w:rPr>
          <w:rFonts w:ascii="Verdana" w:hAnsi="Verdana"/>
          <w:sz w:val="16"/>
          <w:szCs w:val="16"/>
        </w:rPr>
      </w:pPr>
    </w:p>
    <w:p w14:paraId="16FD4914" w14:textId="77777777" w:rsidR="000B6B57" w:rsidRDefault="000B6B57" w:rsidP="00911899">
      <w:pPr>
        <w:spacing w:after="0" w:line="240" w:lineRule="auto"/>
        <w:jc w:val="both"/>
        <w:rPr>
          <w:rFonts w:ascii="Verdana" w:hAnsi="Verdana"/>
          <w:sz w:val="16"/>
          <w:szCs w:val="16"/>
        </w:rPr>
      </w:pPr>
      <w:r w:rsidRPr="005A4AC5">
        <w:rPr>
          <w:rFonts w:ascii="Verdana" w:hAnsi="Verdana"/>
          <w:sz w:val="16"/>
          <w:szCs w:val="16"/>
        </w:rPr>
        <w:t xml:space="preserve">La Constitución Política del Perú no fue aportada por las partes. Esta Corte tuvo acceso a la misma través de su publicación en la página </w:t>
      </w:r>
      <w:r w:rsidRPr="005A4AC5">
        <w:rPr>
          <w:rFonts w:ascii="Verdana" w:hAnsi="Verdana"/>
          <w:i/>
          <w:sz w:val="16"/>
          <w:szCs w:val="16"/>
        </w:rPr>
        <w:t>web</w:t>
      </w:r>
      <w:r w:rsidRPr="005A4AC5">
        <w:rPr>
          <w:rFonts w:ascii="Verdana" w:hAnsi="Verdana"/>
          <w:sz w:val="16"/>
          <w:szCs w:val="16"/>
        </w:rPr>
        <w:t xml:space="preserve"> oficial del Congreso de la República:  </w:t>
      </w:r>
      <w:hyperlink r:id="rId7" w:history="1">
        <w:r w:rsidRPr="005A4AC5">
          <w:rPr>
            <w:rStyle w:val="Hyperlink"/>
            <w:rFonts w:ascii="Verdana" w:eastAsia="Times New Roman" w:hAnsi="Verdana" w:cs="Tahoma"/>
            <w:sz w:val="16"/>
            <w:szCs w:val="16"/>
          </w:rPr>
          <w:t>http://www4.congreso.gob.pe/ntley/Imagenes/Constitu/Cons1993.pdf</w:t>
        </w:r>
      </w:hyperlink>
    </w:p>
    <w:p w14:paraId="4DCF4850" w14:textId="2679755E" w:rsidR="000B6B57" w:rsidRPr="005A4AC5" w:rsidRDefault="000B6B57" w:rsidP="00911899">
      <w:pPr>
        <w:spacing w:after="0" w:line="240" w:lineRule="auto"/>
        <w:jc w:val="both"/>
        <w:rPr>
          <w:rFonts w:ascii="Verdana" w:eastAsia="Times New Roman" w:hAnsi="Verdana" w:cs="Tahoma"/>
          <w:color w:val="000000"/>
          <w:sz w:val="16"/>
          <w:szCs w:val="16"/>
        </w:rPr>
      </w:pPr>
    </w:p>
  </w:footnote>
  <w:footnote w:id="33">
    <w:p w14:paraId="6503299E" w14:textId="77777777" w:rsidR="000B6B57" w:rsidRDefault="000B6B57" w:rsidP="00911899">
      <w:pPr>
        <w:spacing w:after="0" w:line="240" w:lineRule="auto"/>
        <w:jc w:val="both"/>
        <w:rPr>
          <w:rFonts w:ascii="Verdana" w:eastAsia="Times New Roman" w:hAnsi="Verdana" w:cs="Times New Roman"/>
          <w:color w:val="000000"/>
          <w:sz w:val="16"/>
          <w:szCs w:val="16"/>
        </w:rPr>
      </w:pPr>
      <w:r w:rsidRPr="005A4AC5">
        <w:rPr>
          <w:rStyle w:val="FootnoteReference"/>
          <w:rFonts w:ascii="Verdana" w:hAnsi="Verdana"/>
          <w:sz w:val="16"/>
          <w:szCs w:val="16"/>
        </w:rPr>
        <w:footnoteRef/>
      </w:r>
      <w:r w:rsidRPr="005A4AC5">
        <w:rPr>
          <w:rFonts w:ascii="Verdana" w:hAnsi="Verdana"/>
          <w:sz w:val="16"/>
          <w:szCs w:val="16"/>
        </w:rPr>
        <w:t xml:space="preserve"> </w:t>
      </w:r>
      <w:r w:rsidRPr="005A4AC5">
        <w:rPr>
          <w:rFonts w:ascii="Verdana" w:hAnsi="Verdana"/>
          <w:sz w:val="16"/>
          <w:szCs w:val="16"/>
        </w:rPr>
        <w:tab/>
      </w:r>
      <w:r w:rsidRPr="008B7BF0">
        <w:rPr>
          <w:rFonts w:ascii="Verdana" w:eastAsia="Times New Roman" w:hAnsi="Verdana" w:cs="Times New Roman"/>
          <w:color w:val="000000"/>
          <w:sz w:val="16"/>
          <w:szCs w:val="16"/>
          <w:u w:val="single"/>
        </w:rPr>
        <w:t>Artículo 93°</w:t>
      </w:r>
      <w:r w:rsidRPr="005A4AC5">
        <w:rPr>
          <w:rFonts w:ascii="Verdana" w:eastAsia="Times New Roman" w:hAnsi="Verdana" w:cs="Times New Roman"/>
          <w:color w:val="000000"/>
          <w:sz w:val="16"/>
          <w:szCs w:val="16"/>
        </w:rPr>
        <w:t xml:space="preserve">.- Los congresistas representan a la Nación. No están sujetos a mandato imperativo ni a interpelación. </w:t>
      </w:r>
    </w:p>
    <w:p w14:paraId="45607049" w14:textId="77777777" w:rsidR="000B6B57" w:rsidRDefault="000B6B57" w:rsidP="00911899">
      <w:pPr>
        <w:spacing w:after="0" w:line="240" w:lineRule="auto"/>
        <w:jc w:val="both"/>
        <w:rPr>
          <w:rFonts w:ascii="Verdana" w:eastAsia="Times New Roman" w:hAnsi="Verdana" w:cs="Times New Roman"/>
          <w:color w:val="000000"/>
          <w:sz w:val="16"/>
          <w:szCs w:val="16"/>
        </w:rPr>
      </w:pPr>
      <w:r w:rsidRPr="00A44523">
        <w:rPr>
          <w:rFonts w:ascii="Verdana" w:eastAsia="Times New Roman" w:hAnsi="Verdana" w:cs="Times New Roman"/>
          <w:bCs/>
          <w:color w:val="000000"/>
          <w:sz w:val="16"/>
          <w:szCs w:val="16"/>
        </w:rPr>
        <w:t>No son responsables ante autoridad ni órgano jurisdiccional alguno por las opiniones y votos que emiten en el ejercicio de sus funciones</w:t>
      </w:r>
      <w:r w:rsidRPr="00A44523">
        <w:rPr>
          <w:rFonts w:ascii="Verdana" w:eastAsia="Times New Roman" w:hAnsi="Verdana" w:cs="Times New Roman"/>
          <w:color w:val="000000"/>
          <w:sz w:val="16"/>
          <w:szCs w:val="16"/>
        </w:rPr>
        <w:t>.</w:t>
      </w:r>
      <w:r w:rsidRPr="005A4AC5">
        <w:rPr>
          <w:rFonts w:ascii="Verdana" w:eastAsia="Times New Roman" w:hAnsi="Verdana" w:cs="Times New Roman"/>
          <w:color w:val="000000"/>
          <w:sz w:val="16"/>
          <w:szCs w:val="16"/>
        </w:rPr>
        <w:t xml:space="preserve"> </w:t>
      </w:r>
    </w:p>
    <w:p w14:paraId="1FC06ADA" w14:textId="77777777" w:rsidR="000B6B57" w:rsidRPr="005A4AC5" w:rsidRDefault="000B6B57" w:rsidP="00911899">
      <w:pPr>
        <w:spacing w:after="0" w:line="240" w:lineRule="auto"/>
        <w:jc w:val="both"/>
        <w:rPr>
          <w:rFonts w:ascii="Verdana" w:eastAsia="Times New Roman" w:hAnsi="Verdana" w:cs="Times New Roman"/>
          <w:color w:val="000000"/>
          <w:sz w:val="16"/>
          <w:szCs w:val="16"/>
        </w:rPr>
      </w:pPr>
      <w:r w:rsidRPr="005A4AC5">
        <w:rPr>
          <w:rFonts w:ascii="Verdana" w:eastAsia="Times New Roman" w:hAnsi="Verdana" w:cs="Times New Roman"/>
          <w:color w:val="000000"/>
          <w:sz w:val="16"/>
          <w:szCs w:val="16"/>
        </w:rPr>
        <w:t>No pueden ser procesados ni presos sin previa autorización del Congreso o de la Comisión Permanente, desde que son elegidos hasta un mes después de haber cesado en sus funciones, excepto por delito flagrante, caso en el cual son puestos a disposición del Congreso o de la Comisión Permanente dentro de las veinticuatro horas, a fin de que se autorice o no la privación de la libertad y el enjuiciamiento.</w:t>
      </w:r>
    </w:p>
    <w:p w14:paraId="33CFE7DE" w14:textId="77777777" w:rsidR="000B6B57" w:rsidRDefault="000B6B57" w:rsidP="00911899">
      <w:pPr>
        <w:spacing w:after="0" w:line="240" w:lineRule="auto"/>
        <w:jc w:val="both"/>
        <w:rPr>
          <w:rFonts w:ascii="Verdana" w:eastAsia="Times New Roman" w:hAnsi="Verdana" w:cs="Times New Roman"/>
          <w:color w:val="000000"/>
          <w:sz w:val="16"/>
          <w:szCs w:val="16"/>
        </w:rPr>
      </w:pPr>
    </w:p>
    <w:p w14:paraId="49FEEBBE" w14:textId="77777777" w:rsidR="000B6B57" w:rsidRDefault="000B6B57" w:rsidP="00911899">
      <w:pPr>
        <w:spacing w:after="0" w:line="240" w:lineRule="auto"/>
        <w:jc w:val="both"/>
        <w:rPr>
          <w:rFonts w:ascii="Verdana" w:eastAsia="Times New Roman" w:hAnsi="Verdana" w:cs="Times New Roman"/>
          <w:color w:val="000000"/>
          <w:sz w:val="16"/>
          <w:szCs w:val="16"/>
        </w:rPr>
      </w:pPr>
      <w:r w:rsidRPr="008B7BF0">
        <w:rPr>
          <w:rFonts w:ascii="Verdana" w:eastAsia="Times New Roman" w:hAnsi="Verdana" w:cs="Times New Roman"/>
          <w:color w:val="000000"/>
          <w:sz w:val="16"/>
          <w:szCs w:val="16"/>
          <w:u w:val="single"/>
        </w:rPr>
        <w:t>Artículo 201</w:t>
      </w:r>
      <w:r w:rsidRPr="005A4AC5">
        <w:rPr>
          <w:rFonts w:ascii="Verdana" w:eastAsia="Times New Roman" w:hAnsi="Verdana" w:cs="Times New Roman"/>
          <w:color w:val="000000"/>
          <w:sz w:val="16"/>
          <w:szCs w:val="16"/>
        </w:rPr>
        <w:t xml:space="preserve">°.- El Tribunal Constitucional es el órgano de control de la Constitución. Es autónomo e independiente. Se compone de siete miembros elegidos por cinco años. </w:t>
      </w:r>
    </w:p>
    <w:p w14:paraId="53A6A56C" w14:textId="77777777" w:rsidR="000B6B57" w:rsidRDefault="000B6B57" w:rsidP="00911899">
      <w:pPr>
        <w:spacing w:after="0" w:line="240" w:lineRule="auto"/>
        <w:jc w:val="both"/>
        <w:rPr>
          <w:rFonts w:ascii="Verdana" w:eastAsia="Times New Roman" w:hAnsi="Verdana" w:cs="Times New Roman"/>
          <w:color w:val="000000"/>
          <w:sz w:val="16"/>
          <w:szCs w:val="16"/>
        </w:rPr>
      </w:pPr>
      <w:r w:rsidRPr="005A4AC5">
        <w:rPr>
          <w:rFonts w:ascii="Verdana" w:eastAsia="Times New Roman" w:hAnsi="Verdana" w:cs="Times New Roman"/>
          <w:color w:val="000000"/>
          <w:sz w:val="16"/>
          <w:szCs w:val="16"/>
        </w:rPr>
        <w:t xml:space="preserve">Para ser miembro del Tribunal Constitucional, se exigen los mismos requisitos que para ser vocal de la Corte Suprema. </w:t>
      </w:r>
      <w:r w:rsidRPr="00A44523">
        <w:rPr>
          <w:rFonts w:ascii="Verdana" w:eastAsia="Times New Roman" w:hAnsi="Verdana" w:cs="Times New Roman"/>
          <w:bCs/>
          <w:color w:val="000000"/>
          <w:sz w:val="16"/>
          <w:szCs w:val="16"/>
        </w:rPr>
        <w:t>Los miembros del Tribunal Constitucional gozan de la misma inmunidad y de las mismas prerrogativas que los congresistas.</w:t>
      </w:r>
      <w:r w:rsidRPr="005A4AC5">
        <w:rPr>
          <w:rFonts w:ascii="Verdana" w:eastAsia="Times New Roman" w:hAnsi="Verdana" w:cs="Times New Roman"/>
          <w:b/>
          <w:bCs/>
          <w:color w:val="000000"/>
          <w:sz w:val="16"/>
          <w:szCs w:val="16"/>
        </w:rPr>
        <w:t xml:space="preserve"> </w:t>
      </w:r>
      <w:r w:rsidRPr="005A4AC5">
        <w:rPr>
          <w:rFonts w:ascii="Verdana" w:eastAsia="Times New Roman" w:hAnsi="Verdana" w:cs="Times New Roman"/>
          <w:color w:val="000000"/>
          <w:sz w:val="16"/>
          <w:szCs w:val="16"/>
        </w:rPr>
        <w:t xml:space="preserve">Les alcanzan las mismas incompatibilidades. No hay reelección inmediata. </w:t>
      </w:r>
    </w:p>
    <w:p w14:paraId="7D98564A" w14:textId="050E5B43" w:rsidR="000B6B57" w:rsidRPr="005A4AC5" w:rsidRDefault="000B6B57" w:rsidP="00911899">
      <w:pPr>
        <w:spacing w:after="0" w:line="240" w:lineRule="auto"/>
        <w:jc w:val="both"/>
        <w:rPr>
          <w:rFonts w:ascii="Verdana" w:hAnsi="Verdana"/>
          <w:color w:val="000000"/>
          <w:sz w:val="16"/>
          <w:szCs w:val="16"/>
        </w:rPr>
      </w:pPr>
      <w:r w:rsidRPr="005A4AC5">
        <w:rPr>
          <w:rFonts w:ascii="Verdana" w:eastAsia="Times New Roman" w:hAnsi="Verdana" w:cs="Times New Roman"/>
          <w:color w:val="000000"/>
          <w:sz w:val="16"/>
          <w:szCs w:val="16"/>
        </w:rPr>
        <w:t>Los miembros del Tribunal Constitucional son elegidos por el Congreso de la República con el voto favorable de los dos tercios del número legal de sus miembros. No pueden ser elegidos magistrados del Tribunal Constitucional los jueces o fiscales que no han dejado el cargo con un año de anticipación.</w:t>
      </w:r>
      <w:r>
        <w:rPr>
          <w:rFonts w:ascii="Verdana" w:hAnsi="Verdana"/>
          <w:color w:val="000000"/>
          <w:sz w:val="16"/>
          <w:szCs w:val="16"/>
        </w:rPr>
        <w:t xml:space="preserve"> </w:t>
      </w:r>
    </w:p>
  </w:footnote>
  <w:footnote w:id="34">
    <w:p w14:paraId="171E5828" w14:textId="7C8B15F8" w:rsidR="000B6B57" w:rsidRPr="00F94ED5" w:rsidRDefault="000B6B57" w:rsidP="00911899">
      <w:pPr>
        <w:pStyle w:val="NormalWeb"/>
        <w:spacing w:before="0" w:beforeAutospacing="0" w:after="0" w:afterAutospacing="0"/>
        <w:jc w:val="both"/>
        <w:rPr>
          <w:rFonts w:ascii="Verdana" w:hAnsi="Verdana"/>
          <w:sz w:val="16"/>
          <w:szCs w:val="16"/>
          <w:lang w:val="es-CR"/>
        </w:rPr>
      </w:pPr>
      <w:r w:rsidRPr="0086399C">
        <w:rPr>
          <w:rStyle w:val="FootnoteReference"/>
          <w:rFonts w:ascii="Verdana" w:hAnsi="Verdana"/>
          <w:sz w:val="16"/>
          <w:szCs w:val="16"/>
        </w:rPr>
        <w:footnoteRef/>
      </w:r>
      <w:r w:rsidRPr="00990CE5">
        <w:rPr>
          <w:rFonts w:ascii="Verdana" w:hAnsi="Verdana"/>
          <w:sz w:val="16"/>
          <w:szCs w:val="16"/>
          <w:lang w:val="es-CR"/>
        </w:rPr>
        <w:t xml:space="preserve"> </w:t>
      </w:r>
      <w:r w:rsidRPr="0086399C">
        <w:rPr>
          <w:rFonts w:ascii="Verdana" w:hAnsi="Verdana"/>
          <w:sz w:val="16"/>
          <w:szCs w:val="16"/>
          <w:lang w:val="es-ES_tradnl"/>
        </w:rPr>
        <w:tab/>
      </w:r>
      <w:r w:rsidRPr="00990CE5">
        <w:rPr>
          <w:rFonts w:ascii="Verdana" w:hAnsi="Verdana"/>
          <w:sz w:val="16"/>
          <w:szCs w:val="16"/>
          <w:lang w:val="es-CR"/>
        </w:rPr>
        <w:t xml:space="preserve">Con posterioridad a la decisión de marzo de 2017, la defensa legal de imputados en la causa penal planteó un recurso de reposición ante el Tribunal Constitucional, el cual se encuentra pendiente de pronunciamiento. </w:t>
      </w:r>
    </w:p>
  </w:footnote>
  <w:footnote w:id="35">
    <w:p w14:paraId="1ED86833" w14:textId="77777777" w:rsidR="000B6B57" w:rsidRPr="00B24B86" w:rsidRDefault="000B6B57" w:rsidP="00911899">
      <w:pPr>
        <w:pStyle w:val="FootnoteText"/>
        <w:rPr>
          <w:szCs w:val="16"/>
          <w:lang w:val="es-CR"/>
        </w:rPr>
      </w:pPr>
      <w:r w:rsidRPr="00F57ED5">
        <w:rPr>
          <w:rStyle w:val="FootnoteReference"/>
          <w:szCs w:val="16"/>
        </w:rPr>
        <w:footnoteRef/>
      </w:r>
      <w:r w:rsidRPr="00F57ED5">
        <w:rPr>
          <w:szCs w:val="16"/>
          <w:lang w:val="es-CR"/>
        </w:rPr>
        <w:t xml:space="preserve"> </w:t>
      </w:r>
      <w:r w:rsidRPr="00F57ED5">
        <w:rPr>
          <w:szCs w:val="16"/>
          <w:lang w:val="es-CR"/>
        </w:rPr>
        <w:tab/>
      </w:r>
      <w:r w:rsidRPr="00F57ED5">
        <w:rPr>
          <w:i/>
          <w:szCs w:val="16"/>
          <w:lang w:val="es-CR"/>
        </w:rPr>
        <w:t>Cfr.</w:t>
      </w:r>
      <w:r w:rsidRPr="00F57ED5">
        <w:rPr>
          <w:szCs w:val="16"/>
          <w:lang w:val="es-CR"/>
        </w:rPr>
        <w:t xml:space="preserve"> </w:t>
      </w:r>
      <w:r w:rsidRPr="00F57ED5">
        <w:rPr>
          <w:i/>
          <w:szCs w:val="16"/>
          <w:lang w:val="es-CR"/>
        </w:rPr>
        <w:t>Caso de la Corte Suprema de Justicia (Quintana Coello y otros) Vs. Ecuador. Excepción Preliminar, Fondo, Reparaciones y Costas</w:t>
      </w:r>
      <w:r w:rsidRPr="00F57ED5">
        <w:rPr>
          <w:szCs w:val="16"/>
          <w:lang w:val="es-CR"/>
        </w:rPr>
        <w:t>. Sentencia de 23 de agosto de 2013. Serie C No. 266, párr. 147 y</w:t>
      </w:r>
      <w:r w:rsidRPr="00F57ED5">
        <w:rPr>
          <w:i/>
          <w:szCs w:val="16"/>
          <w:lang w:val="es-CR"/>
        </w:rPr>
        <w:t xml:space="preserve"> Caso del Tribunal Constitucional (Camba Campos y otros) Vs. Ecuador. Excepciones Preliminares, Fondo, Reparaciones y Costas</w:t>
      </w:r>
      <w:r w:rsidRPr="00F57ED5">
        <w:rPr>
          <w:szCs w:val="16"/>
          <w:lang w:val="es-CR"/>
        </w:rPr>
        <w:t>. Sentencia de 28 de agosto de 2013. Serie C No. 268, párrs. 191 y 107</w:t>
      </w:r>
      <w:r w:rsidRPr="00B24B86">
        <w:rPr>
          <w:szCs w:val="16"/>
          <w:lang w:val="es-CR"/>
        </w:rPr>
        <w:t>.</w:t>
      </w:r>
    </w:p>
  </w:footnote>
  <w:footnote w:id="36">
    <w:p w14:paraId="6F222612" w14:textId="77777777" w:rsidR="000B6B57" w:rsidRPr="00B24B86" w:rsidRDefault="000B6B57" w:rsidP="00911899">
      <w:pPr>
        <w:pStyle w:val="FootnoteText"/>
        <w:rPr>
          <w:szCs w:val="16"/>
          <w:lang w:val="es-CR"/>
        </w:rPr>
      </w:pPr>
      <w:r w:rsidRPr="00B24B86">
        <w:rPr>
          <w:rStyle w:val="FootnoteReference"/>
          <w:szCs w:val="16"/>
        </w:rPr>
        <w:footnoteRef/>
      </w:r>
      <w:r w:rsidRPr="00B24B86">
        <w:rPr>
          <w:szCs w:val="16"/>
          <w:lang w:val="es-CR"/>
        </w:rPr>
        <w:t xml:space="preserve"> </w:t>
      </w:r>
      <w:r w:rsidRPr="00B24B86">
        <w:rPr>
          <w:szCs w:val="16"/>
          <w:lang w:val="es-CR"/>
        </w:rPr>
        <w:tab/>
      </w:r>
      <w:r w:rsidRPr="00B24B86">
        <w:rPr>
          <w:i/>
          <w:szCs w:val="16"/>
          <w:lang w:val="es-CR"/>
        </w:rPr>
        <w:t xml:space="preserve">Cfr. Caso del Tribunal Constitucional Vs. Perú. Fondo, Reparaciones y Costas. </w:t>
      </w:r>
      <w:r w:rsidRPr="00B24B86">
        <w:rPr>
          <w:szCs w:val="16"/>
          <w:lang w:val="es-CR"/>
        </w:rPr>
        <w:t>Sentencia de 31 de enero de 2001. Serie C No. 71, párr. 75.</w:t>
      </w:r>
    </w:p>
  </w:footnote>
  <w:footnote w:id="37">
    <w:p w14:paraId="0C1B6D90" w14:textId="728E7116" w:rsidR="000B6B57" w:rsidRPr="00B24B86" w:rsidRDefault="000B6B57" w:rsidP="00911899">
      <w:pPr>
        <w:pStyle w:val="FootnoteText"/>
        <w:rPr>
          <w:szCs w:val="16"/>
          <w:lang w:val="es-CR"/>
        </w:rPr>
      </w:pPr>
      <w:r w:rsidRPr="00B24B86">
        <w:rPr>
          <w:rStyle w:val="FootnoteReference"/>
          <w:szCs w:val="16"/>
        </w:rPr>
        <w:footnoteRef/>
      </w:r>
      <w:r w:rsidRPr="00B24B86">
        <w:rPr>
          <w:szCs w:val="16"/>
          <w:lang w:val="es-CR"/>
        </w:rPr>
        <w:t xml:space="preserve"> </w:t>
      </w:r>
      <w:r w:rsidRPr="00B24B86">
        <w:rPr>
          <w:szCs w:val="16"/>
          <w:lang w:val="es-CR"/>
        </w:rPr>
        <w:tab/>
      </w:r>
      <w:r w:rsidRPr="00F94ED5">
        <w:rPr>
          <w:rFonts w:eastAsia="Times New Roman" w:cs="Times New Roman"/>
          <w:i/>
          <w:color w:val="000000"/>
          <w:szCs w:val="16"/>
          <w:lang w:val="es-CR"/>
        </w:rPr>
        <w:t>Caso del Tribunal Constitucional (Camba Campos y otros) Vs. Ecuador, Vs. Ecuador. Excepciones Preliminares, Fondo, Reparaciones y Costas</w:t>
      </w:r>
      <w:r w:rsidRPr="00F94ED5">
        <w:rPr>
          <w:rFonts w:eastAsia="Times New Roman" w:cs="Times New Roman"/>
          <w:color w:val="000000"/>
          <w:szCs w:val="16"/>
          <w:lang w:val="es-CR"/>
        </w:rPr>
        <w:t>. Sentencia de 28 de agosto de 2013. Serie C No. 268, párrs</w:t>
      </w:r>
      <w:r w:rsidRPr="00F94ED5">
        <w:rPr>
          <w:szCs w:val="16"/>
          <w:lang w:val="es-CR"/>
        </w:rPr>
        <w:t xml:space="preserve">. 198 y 199. En igual sentido </w:t>
      </w:r>
      <w:r w:rsidRPr="00F94ED5">
        <w:rPr>
          <w:i/>
          <w:szCs w:val="16"/>
          <w:lang w:val="es-CR"/>
        </w:rPr>
        <w:t xml:space="preserve">Cfr. Caso Apitz Barbera y otros (“Corte Primera de lo Contencioso Administrativo”) Vs. Venezuela. Excepción Preliminar, Fondo, Reparaciones y Costas. </w:t>
      </w:r>
      <w:r w:rsidRPr="00F94ED5">
        <w:rPr>
          <w:szCs w:val="16"/>
          <w:lang w:val="es-CR"/>
        </w:rPr>
        <w:t xml:space="preserve">Sentencia de 5 de agosto de 2008. Serie C No. 182, párr. 55; </w:t>
      </w:r>
      <w:r w:rsidRPr="00F94ED5">
        <w:rPr>
          <w:i/>
          <w:szCs w:val="16"/>
          <w:lang w:val="es-CR"/>
        </w:rPr>
        <w:t>Caso Reverón Trujillo Vs. Venezuela. Excepción Preliminar, Fondo, Reparaciones y Costas</w:t>
      </w:r>
      <w:r w:rsidRPr="00F94ED5">
        <w:rPr>
          <w:szCs w:val="16"/>
          <w:lang w:val="es-CR"/>
        </w:rPr>
        <w:t xml:space="preserve">. Sentencia de 30 de junio de 2009. Serie C No. 197, párr. 67 y </w:t>
      </w:r>
      <w:r w:rsidRPr="00F94ED5">
        <w:rPr>
          <w:i/>
          <w:szCs w:val="16"/>
          <w:lang w:val="es-CR"/>
        </w:rPr>
        <w:t xml:space="preserve">Caso de la Corte Suprema de Justicia (Quintana Coello y otros) Vs. Ecuador. </w:t>
      </w:r>
      <w:r w:rsidRPr="00764D5A">
        <w:rPr>
          <w:rFonts w:eastAsia="Times New Roman" w:cs="Times New Roman"/>
          <w:bCs/>
          <w:i/>
          <w:color w:val="000000"/>
          <w:szCs w:val="16"/>
          <w:lang w:val="es-CR"/>
        </w:rPr>
        <w:t>Excepción Preliminar, Fondo, Reparaciones y Costas.</w:t>
      </w:r>
      <w:r w:rsidRPr="00764D5A">
        <w:rPr>
          <w:rFonts w:eastAsia="Times New Roman" w:cs="Times New Roman"/>
          <w:b/>
          <w:bCs/>
          <w:color w:val="000000"/>
          <w:szCs w:val="16"/>
          <w:lang w:val="es-CR"/>
        </w:rPr>
        <w:t xml:space="preserve"> </w:t>
      </w:r>
      <w:r w:rsidRPr="00764D5A">
        <w:rPr>
          <w:rFonts w:eastAsia="Times New Roman" w:cs="Times New Roman"/>
          <w:bCs/>
          <w:color w:val="000000"/>
          <w:szCs w:val="16"/>
          <w:lang w:val="es-CR"/>
        </w:rPr>
        <w:t xml:space="preserve">Sentencia de 23 de agosto de 2013. </w:t>
      </w:r>
      <w:r w:rsidRPr="003504A3">
        <w:rPr>
          <w:rFonts w:eastAsia="Times New Roman" w:cs="Times New Roman"/>
          <w:bCs/>
          <w:color w:val="000000"/>
          <w:szCs w:val="16"/>
          <w:lang w:val="es-CR"/>
        </w:rPr>
        <w:t>Serie C No. 266</w:t>
      </w:r>
      <w:r w:rsidRPr="003504A3">
        <w:rPr>
          <w:szCs w:val="16"/>
          <w:lang w:val="es-CR"/>
        </w:rPr>
        <w:t>, párr. 154.</w:t>
      </w:r>
    </w:p>
  </w:footnote>
  <w:footnote w:id="38">
    <w:p w14:paraId="1346EBE1" w14:textId="77777777" w:rsidR="000B6B57" w:rsidRPr="00F322E4" w:rsidRDefault="000B6B57" w:rsidP="00911899">
      <w:pPr>
        <w:pStyle w:val="FootnoteText"/>
        <w:rPr>
          <w:szCs w:val="16"/>
          <w:lang w:val="es-ES_tradnl"/>
        </w:rPr>
      </w:pPr>
      <w:r w:rsidRPr="00D43273">
        <w:rPr>
          <w:rStyle w:val="FootnoteReference"/>
        </w:rPr>
        <w:footnoteRef/>
      </w:r>
      <w:r w:rsidRPr="00C225E5">
        <w:rPr>
          <w:lang w:val="es-CR"/>
        </w:rPr>
        <w:t xml:space="preserve"> </w:t>
      </w:r>
      <w:r w:rsidRPr="00C225E5">
        <w:rPr>
          <w:lang w:val="es-CR"/>
        </w:rPr>
        <w:tab/>
      </w:r>
      <w:r w:rsidRPr="00F910E5">
        <w:rPr>
          <w:i/>
          <w:szCs w:val="16"/>
          <w:lang w:val="es-ES_tradnl"/>
        </w:rPr>
        <w:t>Cfr.</w:t>
      </w:r>
      <w:r w:rsidRPr="00F910E5">
        <w:rPr>
          <w:szCs w:val="16"/>
          <w:lang w:val="es-ES_tradnl"/>
        </w:rPr>
        <w:t xml:space="preserve"> </w:t>
      </w:r>
      <w:r w:rsidRPr="00F322E4">
        <w:rPr>
          <w:szCs w:val="16"/>
          <w:lang w:val="es-ES_tradnl"/>
        </w:rPr>
        <w:t>Comité de Derechos Humanos. Observación General No. 32, Artículo 14: El Derecho a un Juicio Imparcial y a la Igualdad ante los Tribunales y Cortes de Justicia, CCPR/C/GC/32, 23 de agosto de 2007, párr. 19.</w:t>
      </w:r>
    </w:p>
  </w:footnote>
  <w:footnote w:id="39">
    <w:p w14:paraId="22F3F384" w14:textId="4228EC18" w:rsidR="000B6B57" w:rsidRPr="00382A19" w:rsidRDefault="000B6B57" w:rsidP="00911899">
      <w:pPr>
        <w:pStyle w:val="FootnoteText"/>
        <w:rPr>
          <w:b/>
          <w:lang w:val="es-CR"/>
        </w:rPr>
      </w:pPr>
      <w:r w:rsidRPr="00382A19">
        <w:rPr>
          <w:rStyle w:val="FootnoteReference"/>
          <w:b/>
        </w:rPr>
        <w:footnoteRef/>
      </w:r>
      <w:r w:rsidRPr="00382A19">
        <w:rPr>
          <w:b/>
          <w:lang w:val="es-CR"/>
        </w:rPr>
        <w:t xml:space="preserve"> </w:t>
      </w:r>
      <w:r w:rsidRPr="00382A19">
        <w:rPr>
          <w:b/>
          <w:lang w:val="es-CR"/>
        </w:rPr>
        <w:tab/>
      </w:r>
      <w:r w:rsidRPr="00382A19">
        <w:rPr>
          <w:rStyle w:val="Strong"/>
          <w:b w:val="0"/>
          <w:i/>
          <w:color w:val="000000"/>
          <w:szCs w:val="16"/>
          <w:shd w:val="clear" w:color="auto" w:fill="FFFFFF"/>
          <w:lang w:val="es-CR"/>
        </w:rPr>
        <w:t>Caso Reverón Trujillo Vs. Venezuela. Excepción Preliminar, Fondo, Reparaciones y Costas</w:t>
      </w:r>
      <w:r w:rsidRPr="00382A19">
        <w:rPr>
          <w:rStyle w:val="Strong"/>
          <w:color w:val="000000"/>
          <w:szCs w:val="16"/>
          <w:shd w:val="clear" w:color="auto" w:fill="FFFFFF"/>
          <w:lang w:val="es-CR"/>
        </w:rPr>
        <w:t xml:space="preserve">, </w:t>
      </w:r>
      <w:r w:rsidRPr="00382A19">
        <w:rPr>
          <w:szCs w:val="16"/>
          <w:lang w:val="es-CR"/>
        </w:rPr>
        <w:t xml:space="preserve">Sentencia de 30 de junio de 2009. </w:t>
      </w:r>
      <w:r w:rsidRPr="003504A3">
        <w:rPr>
          <w:szCs w:val="16"/>
          <w:lang w:val="es-CR"/>
        </w:rPr>
        <w:t>Serie C No. 197,</w:t>
      </w:r>
      <w:r w:rsidRPr="003504A3">
        <w:rPr>
          <w:b/>
          <w:szCs w:val="16"/>
          <w:lang w:val="es-CR"/>
        </w:rPr>
        <w:t xml:space="preserve"> </w:t>
      </w:r>
      <w:r w:rsidRPr="003504A3">
        <w:rPr>
          <w:rStyle w:val="Strong"/>
          <w:b w:val="0"/>
          <w:color w:val="000000"/>
          <w:szCs w:val="16"/>
          <w:shd w:val="clear" w:color="auto" w:fill="FFFFFF"/>
          <w:lang w:val="es-CR"/>
        </w:rPr>
        <w:t>párrs. 67 y 68.</w:t>
      </w:r>
    </w:p>
  </w:footnote>
  <w:footnote w:id="40">
    <w:p w14:paraId="35DB654B" w14:textId="498C6113" w:rsidR="000B6B57" w:rsidRPr="004D6538" w:rsidRDefault="000B6B57" w:rsidP="00911899">
      <w:pPr>
        <w:pStyle w:val="FootnoteText"/>
        <w:rPr>
          <w:b/>
          <w:lang w:val="es-CR"/>
        </w:rPr>
      </w:pPr>
      <w:r w:rsidRPr="004D6538">
        <w:rPr>
          <w:rStyle w:val="FootnoteReference"/>
        </w:rPr>
        <w:footnoteRef/>
      </w:r>
      <w:r w:rsidRPr="004D6538">
        <w:rPr>
          <w:lang w:val="es-CR"/>
        </w:rPr>
        <w:t xml:space="preserve"> </w:t>
      </w:r>
      <w:r w:rsidRPr="004D6538">
        <w:rPr>
          <w:b/>
          <w:lang w:val="es-CR"/>
        </w:rPr>
        <w:tab/>
      </w:r>
      <w:r w:rsidRPr="004D6538">
        <w:rPr>
          <w:rStyle w:val="Strong"/>
          <w:b w:val="0"/>
          <w:i/>
          <w:color w:val="000000"/>
          <w:szCs w:val="16"/>
          <w:shd w:val="clear" w:color="auto" w:fill="FFFFFF"/>
          <w:lang w:val="es-CR"/>
        </w:rPr>
        <w:t>Caso Reverón Trujillo Vs. Venezuela. Excepción Preliminar, Fondo, Reparaciones y Costas</w:t>
      </w:r>
      <w:r w:rsidRPr="004D6538">
        <w:rPr>
          <w:rStyle w:val="Strong"/>
          <w:b w:val="0"/>
          <w:color w:val="000000"/>
          <w:szCs w:val="16"/>
          <w:shd w:val="clear" w:color="auto" w:fill="FFFFFF"/>
          <w:lang w:val="es-CR"/>
        </w:rPr>
        <w:t xml:space="preserve">, </w:t>
      </w:r>
      <w:r w:rsidRPr="004D6538">
        <w:rPr>
          <w:szCs w:val="16"/>
          <w:lang w:val="es-CR"/>
        </w:rPr>
        <w:t xml:space="preserve">Sentencia de 30 de junio de 2009. </w:t>
      </w:r>
      <w:r w:rsidRPr="003C4936">
        <w:rPr>
          <w:szCs w:val="16"/>
          <w:lang w:val="es-CR"/>
        </w:rPr>
        <w:t xml:space="preserve">Serie C No. 197, </w:t>
      </w:r>
      <w:r w:rsidRPr="003C4936">
        <w:rPr>
          <w:rStyle w:val="Strong"/>
          <w:b w:val="0"/>
          <w:color w:val="000000"/>
          <w:szCs w:val="16"/>
          <w:shd w:val="clear" w:color="auto" w:fill="FFFFFF"/>
          <w:lang w:val="es-CR"/>
        </w:rPr>
        <w:t>párr. 67.</w:t>
      </w:r>
    </w:p>
  </w:footnote>
  <w:footnote w:id="41">
    <w:p w14:paraId="42185A1F" w14:textId="08062BFE" w:rsidR="000B6B57" w:rsidRPr="003C4936" w:rsidRDefault="000B6B57" w:rsidP="00911899">
      <w:pPr>
        <w:pStyle w:val="FootnoteText"/>
        <w:rPr>
          <w:szCs w:val="16"/>
          <w:lang w:val="es-CR"/>
        </w:rPr>
      </w:pPr>
      <w:r w:rsidRPr="003C4936">
        <w:rPr>
          <w:rStyle w:val="FootnoteReference"/>
          <w:szCs w:val="16"/>
        </w:rPr>
        <w:footnoteRef/>
      </w:r>
      <w:r w:rsidRPr="003C4936">
        <w:rPr>
          <w:szCs w:val="16"/>
          <w:lang w:val="es-CR"/>
        </w:rPr>
        <w:t xml:space="preserve"> </w:t>
      </w:r>
      <w:r w:rsidRPr="003C4936">
        <w:rPr>
          <w:szCs w:val="16"/>
          <w:lang w:val="es-CR"/>
        </w:rPr>
        <w:tab/>
        <w:t>De conformidad con el artículo 89 del Reglamento del Congreso del Perú, así como la información aportada por el Estado y los representantes de las víctimas durante la audiencia pública, después de la aprobación del informe final por parte de la Subcomisión de Acusaciones Constitucionales, estaría pendiente el conocimiento y votación del referido informe por la Comisión Permanente y, en caso de ser aprobado, por el pleno del Congreso.</w:t>
      </w:r>
    </w:p>
  </w:footnote>
  <w:footnote w:id="42">
    <w:p w14:paraId="74604083" w14:textId="77777777" w:rsidR="000B6B57" w:rsidRPr="001E3C83" w:rsidRDefault="000B6B57" w:rsidP="00911899">
      <w:pPr>
        <w:pStyle w:val="FootnoteText"/>
        <w:rPr>
          <w:szCs w:val="16"/>
          <w:lang w:val="es-CR"/>
        </w:rPr>
      </w:pPr>
      <w:r w:rsidRPr="00C53468">
        <w:rPr>
          <w:rStyle w:val="FootnoteReference"/>
          <w:szCs w:val="16"/>
        </w:rPr>
        <w:footnoteRef/>
      </w:r>
      <w:r w:rsidRPr="001E3C83">
        <w:rPr>
          <w:szCs w:val="16"/>
          <w:lang w:val="es-CR"/>
        </w:rPr>
        <w:t xml:space="preserve"> En adelante, la Resolución</w:t>
      </w:r>
      <w:r>
        <w:rPr>
          <w:szCs w:val="16"/>
          <w:lang w:val="es-CR"/>
        </w:rPr>
        <w:t>.</w:t>
      </w:r>
    </w:p>
  </w:footnote>
  <w:footnote w:id="43">
    <w:p w14:paraId="2B97C95E" w14:textId="77777777" w:rsidR="000B6B57" w:rsidRPr="001E3C83" w:rsidRDefault="000B6B57" w:rsidP="00911899">
      <w:pPr>
        <w:pStyle w:val="FootnoteText"/>
        <w:rPr>
          <w:szCs w:val="16"/>
          <w:lang w:val="es-CR"/>
        </w:rPr>
      </w:pPr>
      <w:r w:rsidRPr="00C53468">
        <w:rPr>
          <w:rStyle w:val="FootnoteReference"/>
          <w:szCs w:val="16"/>
        </w:rPr>
        <w:footnoteRef/>
      </w:r>
      <w:r w:rsidRPr="001E3C83">
        <w:rPr>
          <w:szCs w:val="16"/>
          <w:lang w:val="es-CR"/>
        </w:rPr>
        <w:t xml:space="preserve"> En adelante, la Corte.</w:t>
      </w:r>
    </w:p>
  </w:footnote>
  <w:footnote w:id="44">
    <w:p w14:paraId="7914E4A6" w14:textId="77777777" w:rsidR="000B6B57" w:rsidRPr="001E3C83" w:rsidRDefault="000B6B57" w:rsidP="00911899">
      <w:pPr>
        <w:pStyle w:val="FootnoteText"/>
        <w:rPr>
          <w:szCs w:val="16"/>
          <w:lang w:val="es-CR"/>
        </w:rPr>
      </w:pPr>
      <w:r w:rsidRPr="00C53468">
        <w:rPr>
          <w:rStyle w:val="FootnoteReference"/>
          <w:szCs w:val="16"/>
        </w:rPr>
        <w:footnoteRef/>
      </w:r>
      <w:r w:rsidRPr="001E3C83">
        <w:rPr>
          <w:szCs w:val="16"/>
          <w:lang w:val="es-CR"/>
        </w:rPr>
        <w:t xml:space="preserve"> </w:t>
      </w:r>
      <w:r w:rsidRPr="00C53468">
        <w:rPr>
          <w:i/>
          <w:szCs w:val="16"/>
          <w:lang w:val="es-ES_tradnl"/>
        </w:rPr>
        <w:t>Caso Durand y Ugarte Vs. Perú. Fondo</w:t>
      </w:r>
      <w:r w:rsidRPr="00C53468">
        <w:rPr>
          <w:szCs w:val="16"/>
          <w:lang w:val="es-ES_tradnl"/>
        </w:rPr>
        <w:t>. Sentencia de 16 de agosto de 2000. Serie C No. 6</w:t>
      </w:r>
      <w:r>
        <w:rPr>
          <w:szCs w:val="16"/>
          <w:lang w:val="es-ES_tradnl"/>
        </w:rPr>
        <w:t>.</w:t>
      </w:r>
    </w:p>
  </w:footnote>
  <w:footnote w:id="45">
    <w:p w14:paraId="3194BBC7" w14:textId="77777777" w:rsidR="000B6B57" w:rsidRPr="001E3C83" w:rsidRDefault="000B6B57" w:rsidP="00911899">
      <w:pPr>
        <w:pStyle w:val="FootnoteText"/>
        <w:rPr>
          <w:szCs w:val="16"/>
          <w:lang w:val="es-CR"/>
        </w:rPr>
      </w:pPr>
      <w:r w:rsidRPr="00C53468">
        <w:rPr>
          <w:rStyle w:val="FootnoteReference"/>
          <w:szCs w:val="16"/>
        </w:rPr>
        <w:footnoteRef/>
      </w:r>
      <w:r w:rsidRPr="001E3C83">
        <w:rPr>
          <w:szCs w:val="16"/>
          <w:lang w:val="es-CR"/>
        </w:rPr>
        <w:t xml:space="preserve"> En adelante, el Estado.</w:t>
      </w:r>
    </w:p>
  </w:footnote>
  <w:footnote w:id="46">
    <w:p w14:paraId="31F4845B" w14:textId="77777777" w:rsidR="000B6B57" w:rsidRPr="001E3C83" w:rsidRDefault="000B6B57" w:rsidP="00911899">
      <w:pPr>
        <w:pStyle w:val="FootnoteText"/>
        <w:rPr>
          <w:szCs w:val="16"/>
          <w:lang w:val="es-CR"/>
        </w:rPr>
      </w:pPr>
      <w:r w:rsidRPr="007E39BC">
        <w:rPr>
          <w:rStyle w:val="FootnoteReference"/>
          <w:szCs w:val="16"/>
        </w:rPr>
        <w:footnoteRef/>
      </w:r>
      <w:r w:rsidRPr="007E39BC">
        <w:rPr>
          <w:szCs w:val="16"/>
          <w:lang w:val="es-CR"/>
        </w:rPr>
        <w:t xml:space="preserve"> Párrs. 3° de Visto y Considerandos 2, 7</w:t>
      </w:r>
      <w:r>
        <w:rPr>
          <w:szCs w:val="16"/>
          <w:lang w:val="es-CR"/>
        </w:rPr>
        <w:t xml:space="preserve"> y</w:t>
      </w:r>
      <w:r w:rsidRPr="007E39BC">
        <w:rPr>
          <w:szCs w:val="16"/>
          <w:lang w:val="es-CR"/>
        </w:rPr>
        <w:t xml:space="preserve"> </w:t>
      </w:r>
      <w:r>
        <w:rPr>
          <w:szCs w:val="16"/>
          <w:lang w:val="es-CR"/>
        </w:rPr>
        <w:t>12</w:t>
      </w:r>
      <w:r w:rsidRPr="007E39BC">
        <w:rPr>
          <w:szCs w:val="16"/>
          <w:lang w:val="es-CR"/>
        </w:rPr>
        <w:t xml:space="preserve"> todos de la Resolución</w:t>
      </w:r>
      <w:r w:rsidRPr="001E3C83">
        <w:rPr>
          <w:szCs w:val="16"/>
          <w:lang w:val="es-CR"/>
        </w:rPr>
        <w:t>. En adelante, cada vez que se indique “párr.”, lo será al párrafo pertinente de la Resolución.</w:t>
      </w:r>
    </w:p>
  </w:footnote>
  <w:footnote w:id="47">
    <w:p w14:paraId="0C866058" w14:textId="77777777" w:rsidR="000B6B57" w:rsidRPr="00C53468" w:rsidRDefault="000B6B57" w:rsidP="00911899">
      <w:pPr>
        <w:spacing w:after="0"/>
        <w:jc w:val="both"/>
        <w:rPr>
          <w:rFonts w:ascii="Verdana" w:hAnsi="Verdana"/>
          <w:i/>
          <w:sz w:val="16"/>
          <w:szCs w:val="16"/>
          <w:lang w:val="es-ES"/>
        </w:rPr>
      </w:pPr>
      <w:r w:rsidRPr="00C53468">
        <w:rPr>
          <w:rStyle w:val="FootnoteReference"/>
          <w:rFonts w:ascii="Verdana" w:hAnsi="Verdana"/>
          <w:sz w:val="16"/>
          <w:szCs w:val="16"/>
        </w:rPr>
        <w:footnoteRef/>
      </w:r>
      <w:r w:rsidRPr="001E3C83">
        <w:rPr>
          <w:rFonts w:ascii="Verdana" w:hAnsi="Verdana"/>
          <w:sz w:val="16"/>
          <w:szCs w:val="16"/>
        </w:rPr>
        <w:t xml:space="preserve"> </w:t>
      </w:r>
      <w:r w:rsidRPr="00C53468">
        <w:rPr>
          <w:rFonts w:ascii="Verdana" w:hAnsi="Verdana"/>
          <w:i/>
          <w:sz w:val="16"/>
          <w:szCs w:val="16"/>
          <w:lang w:val="es-ES"/>
        </w:rPr>
        <w:t>Garantías Judiciales.1. Toda persona tiene derecho a ser oída, con las debidas garantías y dentro de un plazo razonable, por un juez o tribunal competente, independiente e imparcial, establecido con anterioridad por la ley, en la sustanciación de cualquier acusación penal formulada contra ella, o para la determinación de sus derechos y obligaciones de orden civil, laboral, fiscal o de cualquier otro carácter.</w:t>
      </w:r>
    </w:p>
    <w:p w14:paraId="1A2AB5CF" w14:textId="77777777" w:rsidR="000B6B57" w:rsidRPr="00C53468" w:rsidRDefault="000B6B57" w:rsidP="00911899">
      <w:pPr>
        <w:spacing w:after="0"/>
        <w:jc w:val="both"/>
        <w:rPr>
          <w:rFonts w:ascii="Verdana" w:hAnsi="Verdana"/>
          <w:i/>
          <w:sz w:val="16"/>
          <w:szCs w:val="16"/>
          <w:lang w:val="es-ES"/>
        </w:rPr>
      </w:pPr>
      <w:r w:rsidRPr="00C53468">
        <w:rPr>
          <w:rFonts w:ascii="Verdana" w:hAnsi="Verdana"/>
          <w:i/>
          <w:sz w:val="16"/>
          <w:szCs w:val="16"/>
          <w:lang w:val="es-ES"/>
        </w:rPr>
        <w:t>2. Toda persona inculpada de delito tiene derecho a que se presuma su inocencia mientras no se establezca legalmente su culpabilidad.  Durante el proceso, toda persona tiene derecho, en plena igualdad, a las siguientes garantías mínimas:</w:t>
      </w:r>
    </w:p>
    <w:p w14:paraId="738D959F" w14:textId="77777777" w:rsidR="000B6B57" w:rsidRPr="00C53468" w:rsidRDefault="000B6B57" w:rsidP="00911899">
      <w:pPr>
        <w:spacing w:after="0"/>
        <w:jc w:val="both"/>
        <w:rPr>
          <w:rFonts w:ascii="Verdana" w:hAnsi="Verdana"/>
          <w:i/>
          <w:sz w:val="16"/>
          <w:szCs w:val="16"/>
          <w:lang w:val="es-ES"/>
        </w:rPr>
      </w:pPr>
      <w:r w:rsidRPr="00C53468">
        <w:rPr>
          <w:rFonts w:ascii="Verdana" w:hAnsi="Verdana"/>
          <w:i/>
          <w:sz w:val="16"/>
          <w:szCs w:val="16"/>
          <w:lang w:val="es-ES"/>
        </w:rPr>
        <w:t>a) derecho del inculpado de ser asistido gratuitamente por el traductor o intérprete, si no comprende o no habla el idioma del juzgado o tribunal;</w:t>
      </w:r>
    </w:p>
    <w:p w14:paraId="19B1E349" w14:textId="77777777" w:rsidR="000B6B57" w:rsidRPr="00C53468" w:rsidRDefault="000B6B57" w:rsidP="00911899">
      <w:pPr>
        <w:spacing w:after="0"/>
        <w:jc w:val="both"/>
        <w:rPr>
          <w:rFonts w:ascii="Verdana" w:hAnsi="Verdana"/>
          <w:i/>
          <w:sz w:val="16"/>
          <w:szCs w:val="16"/>
          <w:lang w:val="es-ES"/>
        </w:rPr>
      </w:pPr>
      <w:r w:rsidRPr="00C53468">
        <w:rPr>
          <w:rFonts w:ascii="Verdana" w:hAnsi="Verdana"/>
          <w:i/>
          <w:sz w:val="16"/>
          <w:szCs w:val="16"/>
          <w:lang w:val="es-ES"/>
        </w:rPr>
        <w:t>b) comunicación previa y detallada al inculpado de la acusación formulada;</w:t>
      </w:r>
    </w:p>
    <w:p w14:paraId="586917FF" w14:textId="77777777" w:rsidR="000B6B57" w:rsidRDefault="000B6B57" w:rsidP="00911899">
      <w:pPr>
        <w:spacing w:after="0"/>
        <w:jc w:val="both"/>
        <w:rPr>
          <w:rFonts w:ascii="Verdana" w:hAnsi="Verdana"/>
          <w:i/>
          <w:sz w:val="16"/>
          <w:szCs w:val="16"/>
          <w:lang w:val="es-ES"/>
        </w:rPr>
      </w:pPr>
      <w:r w:rsidRPr="00C53468">
        <w:rPr>
          <w:rFonts w:ascii="Verdana" w:hAnsi="Verdana"/>
          <w:i/>
          <w:sz w:val="16"/>
          <w:szCs w:val="16"/>
          <w:lang w:val="es-ES"/>
        </w:rPr>
        <w:t>c) concesión al inculpado del tiempo y de los medios adecuados para la preparación de su defensa;</w:t>
      </w:r>
    </w:p>
    <w:p w14:paraId="35F839E8" w14:textId="77777777" w:rsidR="000B6B57" w:rsidRDefault="000B6B57" w:rsidP="00911899">
      <w:pPr>
        <w:spacing w:after="0"/>
        <w:jc w:val="both"/>
        <w:rPr>
          <w:rFonts w:ascii="Verdana" w:hAnsi="Verdana"/>
          <w:i/>
          <w:sz w:val="16"/>
          <w:szCs w:val="16"/>
          <w:lang w:val="es-ES"/>
        </w:rPr>
      </w:pPr>
    </w:p>
    <w:p w14:paraId="0ED25333" w14:textId="77777777" w:rsidR="000B6B57" w:rsidRDefault="000B6B57" w:rsidP="00911899">
      <w:pPr>
        <w:spacing w:after="0"/>
        <w:jc w:val="both"/>
        <w:rPr>
          <w:rFonts w:ascii="Verdana" w:hAnsi="Verdana"/>
          <w:i/>
          <w:sz w:val="16"/>
          <w:szCs w:val="16"/>
          <w:lang w:val="es-ES"/>
        </w:rPr>
      </w:pPr>
    </w:p>
    <w:p w14:paraId="35CE94CF" w14:textId="77777777" w:rsidR="000B6B57" w:rsidRPr="00C53468" w:rsidRDefault="000B6B57" w:rsidP="00911899">
      <w:pPr>
        <w:spacing w:after="0"/>
        <w:jc w:val="both"/>
        <w:rPr>
          <w:rFonts w:ascii="Verdana" w:hAnsi="Verdana"/>
          <w:i/>
          <w:sz w:val="16"/>
          <w:szCs w:val="16"/>
          <w:lang w:val="es-ES"/>
        </w:rPr>
      </w:pPr>
    </w:p>
    <w:p w14:paraId="52CA7F7B" w14:textId="77777777" w:rsidR="000B6B57" w:rsidRPr="00C53468" w:rsidRDefault="000B6B57" w:rsidP="00911899">
      <w:pPr>
        <w:spacing w:after="0"/>
        <w:jc w:val="both"/>
        <w:rPr>
          <w:rFonts w:ascii="Verdana" w:hAnsi="Verdana"/>
          <w:i/>
          <w:sz w:val="16"/>
          <w:szCs w:val="16"/>
          <w:lang w:val="es-ES"/>
        </w:rPr>
      </w:pPr>
      <w:r w:rsidRPr="00C53468">
        <w:rPr>
          <w:rFonts w:ascii="Verdana" w:hAnsi="Verdana"/>
          <w:i/>
          <w:sz w:val="16"/>
          <w:szCs w:val="16"/>
          <w:lang w:val="es-ES"/>
        </w:rPr>
        <w:t>d) derecho del inculpado de defenderse personalmente o de ser asistido por un defensor de su elección y de comunicarse libre y privadamente con su defensor;</w:t>
      </w:r>
    </w:p>
    <w:p w14:paraId="3D897676" w14:textId="77777777" w:rsidR="000B6B57" w:rsidRPr="00C53468" w:rsidRDefault="000B6B57" w:rsidP="00911899">
      <w:pPr>
        <w:spacing w:after="0"/>
        <w:jc w:val="both"/>
        <w:rPr>
          <w:rFonts w:ascii="Verdana" w:hAnsi="Verdana"/>
          <w:i/>
          <w:sz w:val="16"/>
          <w:szCs w:val="16"/>
          <w:lang w:val="es-ES"/>
        </w:rPr>
      </w:pPr>
      <w:r w:rsidRPr="00C53468">
        <w:rPr>
          <w:rFonts w:ascii="Verdana" w:hAnsi="Verdana"/>
          <w:i/>
          <w:sz w:val="16"/>
          <w:szCs w:val="16"/>
          <w:lang w:val="es-ES"/>
        </w:rPr>
        <w:t>e) derecho irrenunciable de ser asistido por un defensor proporcionado por el Estado, remunerado o no según la legislación interna, si el inculpado no se defendiere por sí mismo ni nombrare defensor dentro del plazo establecido por la ley;</w:t>
      </w:r>
    </w:p>
    <w:p w14:paraId="5D927278" w14:textId="77777777" w:rsidR="000B6B57" w:rsidRPr="00C53468" w:rsidRDefault="000B6B57" w:rsidP="00911899">
      <w:pPr>
        <w:spacing w:after="0"/>
        <w:jc w:val="both"/>
        <w:rPr>
          <w:rFonts w:ascii="Verdana" w:hAnsi="Verdana"/>
          <w:i/>
          <w:sz w:val="16"/>
          <w:szCs w:val="16"/>
          <w:lang w:val="es-ES"/>
        </w:rPr>
      </w:pPr>
      <w:r w:rsidRPr="00C53468">
        <w:rPr>
          <w:rFonts w:ascii="Verdana" w:hAnsi="Verdana"/>
          <w:i/>
          <w:sz w:val="16"/>
          <w:szCs w:val="16"/>
          <w:lang w:val="es-ES"/>
        </w:rPr>
        <w:t>f) derecho de la defensa de interrogar a los testigos presentes en el tribunal y de obtener la comparecencia, como testigos o peritos, de otras personas que puedan arrojar luz sobre los hechos;</w:t>
      </w:r>
    </w:p>
    <w:p w14:paraId="563E4B1F" w14:textId="77777777" w:rsidR="000B6B57" w:rsidRPr="00C53468" w:rsidRDefault="000B6B57" w:rsidP="00911899">
      <w:pPr>
        <w:spacing w:after="0"/>
        <w:jc w:val="both"/>
        <w:rPr>
          <w:rFonts w:ascii="Verdana" w:hAnsi="Verdana"/>
          <w:i/>
          <w:sz w:val="16"/>
          <w:szCs w:val="16"/>
          <w:lang w:val="es-ES"/>
        </w:rPr>
      </w:pPr>
      <w:r w:rsidRPr="00C53468">
        <w:rPr>
          <w:rFonts w:ascii="Verdana" w:hAnsi="Verdana"/>
          <w:i/>
          <w:sz w:val="16"/>
          <w:szCs w:val="16"/>
          <w:lang w:val="es-ES"/>
        </w:rPr>
        <w:t>g) derecho a no ser obligado a declarar contra sí mismo ni a declararse culpable, y</w:t>
      </w:r>
    </w:p>
    <w:p w14:paraId="2ED4C2D3" w14:textId="77777777" w:rsidR="000B6B57" w:rsidRPr="00C53468" w:rsidRDefault="000B6B57" w:rsidP="00911899">
      <w:pPr>
        <w:spacing w:after="0"/>
        <w:jc w:val="both"/>
        <w:rPr>
          <w:rFonts w:ascii="Verdana" w:hAnsi="Verdana"/>
          <w:i/>
          <w:sz w:val="16"/>
          <w:szCs w:val="16"/>
          <w:lang w:val="es-ES"/>
        </w:rPr>
      </w:pPr>
      <w:r w:rsidRPr="00C53468">
        <w:rPr>
          <w:rFonts w:ascii="Verdana" w:hAnsi="Verdana"/>
          <w:i/>
          <w:sz w:val="16"/>
          <w:szCs w:val="16"/>
          <w:lang w:val="es-ES"/>
        </w:rPr>
        <w:t>h) derecho de recurrir del fallo ante juez o tribunal superior.</w:t>
      </w:r>
    </w:p>
    <w:p w14:paraId="3342D4F9" w14:textId="77777777" w:rsidR="000B6B57" w:rsidRPr="00C53468" w:rsidRDefault="000B6B57" w:rsidP="00911899">
      <w:pPr>
        <w:spacing w:after="0"/>
        <w:jc w:val="both"/>
        <w:rPr>
          <w:rFonts w:ascii="Verdana" w:hAnsi="Verdana"/>
          <w:i/>
          <w:sz w:val="16"/>
          <w:szCs w:val="16"/>
          <w:lang w:val="es-ES"/>
        </w:rPr>
      </w:pPr>
      <w:r w:rsidRPr="00C53468">
        <w:rPr>
          <w:rFonts w:ascii="Verdana" w:hAnsi="Verdana"/>
          <w:i/>
          <w:sz w:val="16"/>
          <w:szCs w:val="16"/>
          <w:lang w:val="es-ES"/>
        </w:rPr>
        <w:t>3. La confesión del inculpado solamente es válida si es hecha sin coacción de ninguna naturaleza.</w:t>
      </w:r>
    </w:p>
    <w:p w14:paraId="25F11067" w14:textId="77777777" w:rsidR="000B6B57" w:rsidRPr="00C53468" w:rsidRDefault="000B6B57" w:rsidP="00911899">
      <w:pPr>
        <w:spacing w:after="0"/>
        <w:jc w:val="both"/>
        <w:rPr>
          <w:rFonts w:ascii="Verdana" w:hAnsi="Verdana"/>
          <w:i/>
          <w:sz w:val="16"/>
          <w:szCs w:val="16"/>
          <w:lang w:val="es-ES"/>
        </w:rPr>
      </w:pPr>
      <w:r w:rsidRPr="00C53468">
        <w:rPr>
          <w:rFonts w:ascii="Verdana" w:hAnsi="Verdana"/>
          <w:i/>
          <w:sz w:val="16"/>
          <w:szCs w:val="16"/>
          <w:lang w:val="es-ES"/>
        </w:rPr>
        <w:t>4. El inculpado absuelto por una sentencia firme no podrá ser sometido a nuevo juicio por los mismos hechos.</w:t>
      </w:r>
    </w:p>
    <w:p w14:paraId="2C0EFEE2" w14:textId="77777777" w:rsidR="000B6B57" w:rsidRPr="00C53468" w:rsidRDefault="000B6B57" w:rsidP="00911899">
      <w:pPr>
        <w:spacing w:after="0"/>
        <w:jc w:val="both"/>
        <w:rPr>
          <w:rFonts w:ascii="Verdana" w:hAnsi="Verdana"/>
          <w:i/>
          <w:sz w:val="16"/>
          <w:szCs w:val="16"/>
          <w:lang w:val="es-ES"/>
        </w:rPr>
      </w:pPr>
      <w:r w:rsidRPr="00C53468">
        <w:rPr>
          <w:rFonts w:ascii="Verdana" w:hAnsi="Verdana"/>
          <w:i/>
          <w:sz w:val="16"/>
          <w:szCs w:val="16"/>
          <w:lang w:val="es-ES"/>
        </w:rPr>
        <w:t>5. El proceso penal debe ser público, salvo en lo que sea necesario para preservar los intereses de la justicia.”</w:t>
      </w:r>
    </w:p>
  </w:footnote>
  <w:footnote w:id="48">
    <w:p w14:paraId="5654F82C" w14:textId="77777777" w:rsidR="000B6B57" w:rsidRPr="00C53468" w:rsidRDefault="000B6B57" w:rsidP="00911899">
      <w:pPr>
        <w:spacing w:after="0"/>
        <w:jc w:val="both"/>
        <w:rPr>
          <w:rFonts w:ascii="Verdana" w:hAnsi="Verdana"/>
          <w:i/>
          <w:sz w:val="16"/>
          <w:szCs w:val="16"/>
          <w:lang w:val="es-ES"/>
        </w:rPr>
      </w:pPr>
      <w:r w:rsidRPr="00C53468">
        <w:rPr>
          <w:rStyle w:val="FootnoteReference"/>
          <w:rFonts w:ascii="Verdana" w:hAnsi="Verdana"/>
          <w:sz w:val="16"/>
          <w:szCs w:val="16"/>
        </w:rPr>
        <w:footnoteRef/>
      </w:r>
      <w:r w:rsidRPr="001E3C83">
        <w:rPr>
          <w:rFonts w:ascii="Verdana" w:hAnsi="Verdana"/>
          <w:sz w:val="16"/>
          <w:szCs w:val="16"/>
        </w:rPr>
        <w:t xml:space="preserve"> “</w:t>
      </w:r>
      <w:r w:rsidRPr="00C53468">
        <w:rPr>
          <w:rFonts w:ascii="Verdana" w:hAnsi="Verdana"/>
          <w:i/>
          <w:sz w:val="16"/>
          <w:szCs w:val="16"/>
          <w:lang w:val="es-ES"/>
        </w:rPr>
        <w:t>Protección Judicial. 1. Toda persona tiene derecho a un recurso sencillo y rápido o a cualquier otro recurso efectivo ante los jueces o tribunales competentes, que la ampare contra actos que violen sus derechos fundamentales reconocidos por la Constitución, la ley o la presente Convención, aun cuando tal violación sea cometida por personas que actúen en ejercicio de sus funciones oficiales.</w:t>
      </w:r>
      <w:r>
        <w:rPr>
          <w:rFonts w:ascii="Verdana" w:hAnsi="Verdana"/>
          <w:i/>
          <w:sz w:val="16"/>
          <w:szCs w:val="16"/>
          <w:lang w:val="es-ES"/>
        </w:rPr>
        <w:t>”</w:t>
      </w:r>
    </w:p>
    <w:p w14:paraId="14C1822F" w14:textId="77777777" w:rsidR="000B6B57" w:rsidRPr="00C53468" w:rsidRDefault="000B6B57" w:rsidP="00911899">
      <w:pPr>
        <w:spacing w:after="0"/>
        <w:jc w:val="both"/>
        <w:rPr>
          <w:rFonts w:ascii="Verdana" w:hAnsi="Verdana"/>
          <w:i/>
          <w:sz w:val="16"/>
          <w:szCs w:val="16"/>
          <w:lang w:val="es-ES"/>
        </w:rPr>
      </w:pPr>
      <w:r w:rsidRPr="00C53468">
        <w:rPr>
          <w:rFonts w:ascii="Verdana" w:hAnsi="Verdana"/>
          <w:i/>
          <w:sz w:val="16"/>
          <w:szCs w:val="16"/>
          <w:lang w:val="es-ES"/>
        </w:rPr>
        <w:t xml:space="preserve">2. </w:t>
      </w:r>
      <w:r>
        <w:rPr>
          <w:rFonts w:ascii="Verdana" w:hAnsi="Verdana"/>
          <w:i/>
          <w:sz w:val="16"/>
          <w:szCs w:val="16"/>
          <w:lang w:val="es-ES"/>
        </w:rPr>
        <w:t>“</w:t>
      </w:r>
      <w:r w:rsidRPr="00C53468">
        <w:rPr>
          <w:rFonts w:ascii="Verdana" w:hAnsi="Verdana"/>
          <w:i/>
          <w:sz w:val="16"/>
          <w:szCs w:val="16"/>
          <w:lang w:val="es-ES"/>
        </w:rPr>
        <w:t>Los Estados Partes se comprometen:</w:t>
      </w:r>
    </w:p>
    <w:p w14:paraId="5EAC0284" w14:textId="77777777" w:rsidR="000B6B57" w:rsidRPr="00C53468" w:rsidRDefault="000B6B57" w:rsidP="00911899">
      <w:pPr>
        <w:spacing w:after="0"/>
        <w:jc w:val="both"/>
        <w:rPr>
          <w:rFonts w:ascii="Verdana" w:hAnsi="Verdana"/>
          <w:i/>
          <w:sz w:val="16"/>
          <w:szCs w:val="16"/>
          <w:lang w:val="es-ES"/>
        </w:rPr>
      </w:pPr>
      <w:r w:rsidRPr="00C53468">
        <w:rPr>
          <w:rFonts w:ascii="Verdana" w:hAnsi="Verdana"/>
          <w:i/>
          <w:sz w:val="16"/>
          <w:szCs w:val="16"/>
          <w:lang w:val="es-ES"/>
        </w:rPr>
        <w:t xml:space="preserve"> a) a garantizar que la autoridad competente prevista por el sistema legal del Estado decidirá sobre los derechos de toda persona que interponga tal recurso;</w:t>
      </w:r>
    </w:p>
    <w:p w14:paraId="07E959B3" w14:textId="77777777" w:rsidR="000B6B57" w:rsidRPr="00C53468" w:rsidRDefault="000B6B57" w:rsidP="00911899">
      <w:pPr>
        <w:spacing w:after="0"/>
        <w:jc w:val="both"/>
        <w:rPr>
          <w:rFonts w:ascii="Verdana" w:hAnsi="Verdana"/>
          <w:i/>
          <w:sz w:val="16"/>
          <w:szCs w:val="16"/>
          <w:lang w:val="es-ES"/>
        </w:rPr>
      </w:pPr>
      <w:r w:rsidRPr="00C53468">
        <w:rPr>
          <w:rFonts w:ascii="Verdana" w:hAnsi="Verdana"/>
          <w:i/>
          <w:sz w:val="16"/>
          <w:szCs w:val="16"/>
          <w:lang w:val="es-ES"/>
        </w:rPr>
        <w:t xml:space="preserve"> b) a desarrollar las posibilidades de recurso judicial, y</w:t>
      </w:r>
    </w:p>
    <w:p w14:paraId="1E22D00B" w14:textId="77777777" w:rsidR="000B6B57" w:rsidRPr="00C53468" w:rsidRDefault="000B6B57" w:rsidP="00911899">
      <w:pPr>
        <w:spacing w:after="0"/>
        <w:jc w:val="both"/>
        <w:rPr>
          <w:rFonts w:ascii="Verdana" w:hAnsi="Verdana"/>
          <w:i/>
          <w:sz w:val="16"/>
          <w:szCs w:val="16"/>
          <w:lang w:val="es-ES"/>
        </w:rPr>
      </w:pPr>
      <w:r w:rsidRPr="00C53468">
        <w:rPr>
          <w:rFonts w:ascii="Verdana" w:hAnsi="Verdana"/>
          <w:i/>
          <w:sz w:val="16"/>
          <w:szCs w:val="16"/>
          <w:lang w:val="es-ES"/>
        </w:rPr>
        <w:t xml:space="preserve"> c) a garantizar el cumplimiento, por las autoridades competentes, de toda decisión en que se haya estimado procedente el recurso.”</w:t>
      </w:r>
    </w:p>
  </w:footnote>
  <w:footnote w:id="49">
    <w:p w14:paraId="3893E953" w14:textId="77777777" w:rsidR="000B6B57" w:rsidRPr="00015C8E" w:rsidRDefault="000B6B57" w:rsidP="00911899">
      <w:pPr>
        <w:pStyle w:val="FootnoteText"/>
        <w:rPr>
          <w:szCs w:val="16"/>
          <w:lang w:val="es-CR"/>
        </w:rPr>
      </w:pPr>
      <w:r w:rsidRPr="00015C8E">
        <w:rPr>
          <w:rStyle w:val="FootnoteReference"/>
          <w:szCs w:val="16"/>
        </w:rPr>
        <w:footnoteRef/>
      </w:r>
      <w:r w:rsidRPr="00015C8E">
        <w:rPr>
          <w:szCs w:val="16"/>
          <w:lang w:val="es-CR"/>
        </w:rPr>
        <w:t xml:space="preserve"> Esta Corte ha establecido que “cualquier órgano del Estado que ejerza funciones de carácter materialmente jurisdiccional, tiene la obligación de adoptar resoluciones apegadas a las garantías del debido proceso legal en los términos del artículo 8 de la Convención Americana”. </w:t>
      </w:r>
      <w:r w:rsidRPr="00015C8E">
        <w:rPr>
          <w:i/>
          <w:szCs w:val="16"/>
          <w:lang w:val="es-CR"/>
        </w:rPr>
        <w:t>Cfr. Caso del Tribunal Constitucional Vs. Perú. Fondo, Reparaciones y Costas.</w:t>
      </w:r>
      <w:r w:rsidRPr="00015C8E">
        <w:rPr>
          <w:szCs w:val="16"/>
          <w:lang w:val="es-CR"/>
        </w:rPr>
        <w:t xml:space="preserve"> Sentencia de 31 de enero de 2001. Serie C No. 71, párr. 77, y </w:t>
      </w:r>
      <w:r w:rsidRPr="00015C8E">
        <w:rPr>
          <w:bCs/>
          <w:i/>
          <w:szCs w:val="16"/>
          <w:shd w:val="clear" w:color="auto" w:fill="FFFFFF"/>
          <w:lang w:val="es-CR"/>
        </w:rPr>
        <w:t xml:space="preserve">Caso del Tribunal Constitucional (Camba Campos y otros) Vs. Ecuador. Excepciones Preliminares, Fondo, Reparaciones y Costas. </w:t>
      </w:r>
      <w:r w:rsidRPr="00015C8E">
        <w:rPr>
          <w:bCs/>
          <w:szCs w:val="16"/>
          <w:shd w:val="clear" w:color="auto" w:fill="FFFFFF"/>
          <w:lang w:val="es-CR"/>
        </w:rPr>
        <w:t xml:space="preserve">Sentencia de 28 de agosto de 2013. </w:t>
      </w:r>
      <w:r w:rsidRPr="008941AA">
        <w:rPr>
          <w:bCs/>
          <w:szCs w:val="16"/>
          <w:shd w:val="clear" w:color="auto" w:fill="FFFFFF"/>
          <w:lang w:val="es-CR"/>
        </w:rPr>
        <w:t>Serie C No. 268, párr. 166.</w:t>
      </w:r>
    </w:p>
  </w:footnote>
  <w:footnote w:id="50">
    <w:p w14:paraId="1D6AD8E4" w14:textId="77777777" w:rsidR="000B6B57" w:rsidRPr="001E3C83" w:rsidRDefault="000B6B57" w:rsidP="00911899">
      <w:pPr>
        <w:pStyle w:val="FootnoteText"/>
        <w:rPr>
          <w:szCs w:val="16"/>
          <w:lang w:val="es-CR"/>
        </w:rPr>
      </w:pPr>
      <w:r w:rsidRPr="00C53468">
        <w:rPr>
          <w:rStyle w:val="FootnoteReference"/>
          <w:szCs w:val="16"/>
        </w:rPr>
        <w:footnoteRef/>
      </w:r>
      <w:r w:rsidRPr="001E3C83">
        <w:rPr>
          <w:szCs w:val="16"/>
          <w:lang w:val="es-CR"/>
        </w:rPr>
        <w:t xml:space="preserve"> En adelante, la Convención.</w:t>
      </w:r>
    </w:p>
  </w:footnote>
  <w:footnote w:id="51">
    <w:p w14:paraId="270F5E19" w14:textId="77777777" w:rsidR="000B6B57" w:rsidRPr="001E3C83" w:rsidRDefault="000B6B57" w:rsidP="00911899">
      <w:pPr>
        <w:pStyle w:val="FootnoteText"/>
        <w:rPr>
          <w:szCs w:val="16"/>
          <w:lang w:val="es-CR"/>
        </w:rPr>
      </w:pPr>
      <w:r w:rsidRPr="00C53468">
        <w:rPr>
          <w:rStyle w:val="FootnoteReference"/>
          <w:szCs w:val="16"/>
        </w:rPr>
        <w:footnoteRef/>
      </w:r>
      <w:r w:rsidRPr="001E3C83">
        <w:rPr>
          <w:szCs w:val="16"/>
          <w:lang w:val="es-CR"/>
        </w:rPr>
        <w:t xml:space="preserve"> Párr. 3° del Preámbulo de la Convención.</w:t>
      </w:r>
    </w:p>
  </w:footnote>
  <w:footnote w:id="52">
    <w:p w14:paraId="1399B290" w14:textId="77777777" w:rsidR="000B6B57" w:rsidRPr="00C53468" w:rsidRDefault="000B6B57" w:rsidP="00911899">
      <w:pPr>
        <w:spacing w:after="0"/>
        <w:jc w:val="both"/>
        <w:rPr>
          <w:rFonts w:ascii="Verdana" w:hAnsi="Verdana"/>
          <w:i/>
          <w:sz w:val="16"/>
          <w:szCs w:val="16"/>
          <w:lang w:val="es-ES"/>
        </w:rPr>
      </w:pPr>
      <w:r w:rsidRPr="00C53468">
        <w:rPr>
          <w:rStyle w:val="FootnoteReference"/>
          <w:rFonts w:ascii="Verdana" w:hAnsi="Verdana"/>
          <w:sz w:val="16"/>
          <w:szCs w:val="16"/>
        </w:rPr>
        <w:footnoteRef/>
      </w:r>
      <w:r w:rsidRPr="001E3C83">
        <w:rPr>
          <w:rFonts w:ascii="Verdana" w:hAnsi="Verdana"/>
          <w:sz w:val="16"/>
          <w:szCs w:val="16"/>
        </w:rPr>
        <w:t xml:space="preserve"> </w:t>
      </w:r>
      <w:r w:rsidRPr="00C53468">
        <w:rPr>
          <w:rFonts w:ascii="Verdana" w:hAnsi="Verdana"/>
          <w:i/>
          <w:sz w:val="16"/>
          <w:szCs w:val="16"/>
          <w:lang w:val="es-ES"/>
        </w:rPr>
        <w:t>Voto Parcialmente disidente del juez Eduardo Vio Grossi, Corte Interamericana de Derechos Humanos, Caso Lagos del Campo Vs.</w:t>
      </w:r>
      <w:r>
        <w:rPr>
          <w:rFonts w:ascii="Verdana" w:hAnsi="Verdana"/>
          <w:i/>
          <w:sz w:val="16"/>
          <w:szCs w:val="16"/>
          <w:lang w:val="es-ES"/>
        </w:rPr>
        <w:t xml:space="preserve"> </w:t>
      </w:r>
      <w:r w:rsidRPr="00C53468">
        <w:rPr>
          <w:rFonts w:ascii="Verdana" w:hAnsi="Verdana"/>
          <w:i/>
          <w:sz w:val="16"/>
          <w:szCs w:val="16"/>
          <w:lang w:val="es-ES"/>
        </w:rPr>
        <w:t>Perú,</w:t>
      </w:r>
      <w:r w:rsidRPr="00C53468">
        <w:rPr>
          <w:rFonts w:ascii="Verdana" w:hAnsi="Verdana"/>
          <w:b/>
          <w:sz w:val="16"/>
          <w:szCs w:val="16"/>
          <w:lang w:val="es-ES"/>
        </w:rPr>
        <w:t xml:space="preserve"> </w:t>
      </w:r>
      <w:r w:rsidRPr="00C53468">
        <w:rPr>
          <w:rFonts w:ascii="Verdana" w:hAnsi="Verdana"/>
          <w:i/>
          <w:sz w:val="16"/>
          <w:szCs w:val="16"/>
          <w:lang w:val="es-ES"/>
        </w:rPr>
        <w:t>Sentencia de 31 de diciembre de 2017, (Excepciones Preliminares, Fondo, Reparaciones y Costas).</w:t>
      </w:r>
    </w:p>
  </w:footnote>
  <w:footnote w:id="53">
    <w:p w14:paraId="0A63EAC0" w14:textId="77777777" w:rsidR="000B6B57" w:rsidRPr="001E3C83" w:rsidRDefault="000B6B57" w:rsidP="00911899">
      <w:pPr>
        <w:pStyle w:val="FootnoteText"/>
        <w:rPr>
          <w:szCs w:val="16"/>
          <w:lang w:val="es-CR"/>
        </w:rPr>
      </w:pPr>
      <w:r w:rsidRPr="00C53468">
        <w:rPr>
          <w:rStyle w:val="FootnoteReference"/>
          <w:szCs w:val="16"/>
        </w:rPr>
        <w:footnoteRef/>
      </w:r>
      <w:r w:rsidRPr="001E3C83">
        <w:rPr>
          <w:szCs w:val="16"/>
          <w:lang w:val="es-CR"/>
        </w:rPr>
        <w:t xml:space="preserve"> Párrs. 3° y 6° del Preámbulo de la Convención.</w:t>
      </w:r>
      <w:bookmarkStart w:id="1" w:name="_GoBack"/>
      <w:bookmarkEnd w:id="1"/>
    </w:p>
  </w:footnote>
  <w:footnote w:id="54">
    <w:p w14:paraId="36317036" w14:textId="77777777" w:rsidR="000B6B57" w:rsidRPr="001E3C83" w:rsidRDefault="000B6B57" w:rsidP="00911899">
      <w:pPr>
        <w:pStyle w:val="FootnoteText"/>
        <w:rPr>
          <w:szCs w:val="16"/>
          <w:lang w:val="es-CR"/>
        </w:rPr>
      </w:pPr>
      <w:r w:rsidRPr="00C53468">
        <w:rPr>
          <w:rStyle w:val="FootnoteReference"/>
          <w:szCs w:val="16"/>
        </w:rPr>
        <w:footnoteRef/>
      </w:r>
      <w:r w:rsidRPr="001E3C83">
        <w:rPr>
          <w:szCs w:val="16"/>
          <w:lang w:val="es-CR"/>
        </w:rPr>
        <w:t xml:space="preserve"> Arts.8 y 25.</w:t>
      </w:r>
    </w:p>
  </w:footnote>
  <w:footnote w:id="55">
    <w:p w14:paraId="21AAA4C1" w14:textId="77777777" w:rsidR="000B6B57" w:rsidRPr="001E3C83" w:rsidRDefault="000B6B57" w:rsidP="00911899">
      <w:pPr>
        <w:pStyle w:val="FootnoteText"/>
        <w:rPr>
          <w:szCs w:val="16"/>
          <w:lang w:val="es-CR"/>
        </w:rPr>
      </w:pPr>
      <w:r w:rsidRPr="00C53468">
        <w:rPr>
          <w:rStyle w:val="FootnoteReference"/>
          <w:szCs w:val="16"/>
        </w:rPr>
        <w:footnoteRef/>
      </w:r>
      <w:r w:rsidRPr="001E3C83">
        <w:rPr>
          <w:szCs w:val="16"/>
          <w:lang w:val="es-CR"/>
        </w:rPr>
        <w:t xml:space="preserve"> Arts.8 y 62.</w:t>
      </w:r>
    </w:p>
  </w:footnote>
  <w:footnote w:id="56">
    <w:p w14:paraId="2A7F517D" w14:textId="77777777" w:rsidR="000B6B57" w:rsidRPr="001E3C83" w:rsidRDefault="000B6B57" w:rsidP="00911899">
      <w:pPr>
        <w:pStyle w:val="FootnoteText"/>
        <w:rPr>
          <w:szCs w:val="16"/>
          <w:lang w:val="es-CR"/>
        </w:rPr>
      </w:pPr>
      <w:r w:rsidRPr="00C53468">
        <w:rPr>
          <w:rStyle w:val="FootnoteReference"/>
          <w:szCs w:val="16"/>
        </w:rPr>
        <w:footnoteRef/>
      </w:r>
      <w:r w:rsidRPr="001E3C83">
        <w:rPr>
          <w:szCs w:val="16"/>
          <w:lang w:val="es-CR"/>
        </w:rPr>
        <w:t xml:space="preserve"> </w:t>
      </w:r>
      <w:r w:rsidRPr="00C53468">
        <w:rPr>
          <w:szCs w:val="16"/>
          <w:lang w:val="es-ES"/>
        </w:rPr>
        <w:t>Dicha función es diferente a la asignada al otro órgano competente “</w:t>
      </w:r>
      <w:r w:rsidRPr="00C53468">
        <w:rPr>
          <w:i/>
          <w:szCs w:val="16"/>
          <w:lang w:val="es-ES"/>
        </w:rPr>
        <w:t>para conocer de los asuntos relacionados con el cumplimiento de los compromisos contraídos por los Estados Partes”</w:t>
      </w:r>
      <w:r w:rsidRPr="00C53468">
        <w:rPr>
          <w:szCs w:val="16"/>
          <w:lang w:val="es-ES"/>
        </w:rPr>
        <w:t xml:space="preserve"> de la  Convención, es decir, la Comisión Interamericana de Derechos Humanos, la que “</w:t>
      </w:r>
      <w:r w:rsidRPr="00C53468">
        <w:rPr>
          <w:i/>
          <w:szCs w:val="16"/>
          <w:lang w:val="es-ES"/>
        </w:rPr>
        <w:t>tiene la función principal de promover la observancia y la defensa de los derechos humanos”</w:t>
      </w:r>
      <w:r w:rsidRPr="00C53468">
        <w:rPr>
          <w:szCs w:val="16"/>
          <w:lang w:val="es-ES"/>
        </w:rPr>
        <w:t>.</w:t>
      </w:r>
    </w:p>
  </w:footnote>
  <w:footnote w:id="57">
    <w:p w14:paraId="7165E5EC" w14:textId="77777777" w:rsidR="000B6B57" w:rsidRPr="00833000" w:rsidRDefault="000B6B57" w:rsidP="00911899">
      <w:pPr>
        <w:spacing w:after="0"/>
        <w:jc w:val="both"/>
        <w:rPr>
          <w:rFonts w:ascii="Verdana" w:hAnsi="Verdana"/>
          <w:sz w:val="16"/>
          <w:szCs w:val="16"/>
          <w:lang w:val="es-MX"/>
        </w:rPr>
      </w:pPr>
      <w:r w:rsidRPr="00833000">
        <w:rPr>
          <w:rStyle w:val="FootnoteReference"/>
          <w:rFonts w:ascii="Verdana" w:hAnsi="Verdana"/>
          <w:sz w:val="16"/>
          <w:szCs w:val="16"/>
        </w:rPr>
        <w:footnoteRef/>
      </w:r>
      <w:r w:rsidRPr="00833000">
        <w:rPr>
          <w:rFonts w:ascii="Verdana" w:hAnsi="Verdana"/>
          <w:sz w:val="16"/>
          <w:szCs w:val="16"/>
        </w:rPr>
        <w:t xml:space="preserve"> Las </w:t>
      </w:r>
      <w:r w:rsidRPr="00833000">
        <w:rPr>
          <w:rFonts w:ascii="Verdana" w:hAnsi="Verdana"/>
          <w:sz w:val="16"/>
          <w:szCs w:val="16"/>
          <w:lang w:val="es-ES"/>
        </w:rPr>
        <w:t>razones en que se sustenta el presente voto disidente han sido expuestas también, en términos similares, en otros votos emitidos por el infrascrito, a saber</w:t>
      </w:r>
      <w:r w:rsidRPr="00833000">
        <w:rPr>
          <w:rFonts w:ascii="Verdana" w:hAnsi="Verdana"/>
          <w:sz w:val="16"/>
          <w:szCs w:val="16"/>
          <w:lang w:val="es-MX"/>
        </w:rPr>
        <w:t xml:space="preserve">: </w:t>
      </w:r>
      <w:r w:rsidRPr="00833000">
        <w:rPr>
          <w:rFonts w:ascii="Verdana" w:hAnsi="Verdana"/>
          <w:i/>
          <w:iCs/>
          <w:sz w:val="16"/>
          <w:szCs w:val="16"/>
          <w:lang w:val="es-MX"/>
        </w:rPr>
        <w:t xml:space="preserve">Caso Gutiérrez Soler. </w:t>
      </w:r>
      <w:r w:rsidRPr="00833000">
        <w:rPr>
          <w:rFonts w:ascii="Verdana" w:hAnsi="Verdana"/>
          <w:sz w:val="16"/>
          <w:szCs w:val="16"/>
          <w:lang w:val="es-MX"/>
        </w:rPr>
        <w:t xml:space="preserve">Medidas Provisionales respecto de Colombia. Resolución de la Corte de 30 de junio de 2011; </w:t>
      </w:r>
      <w:r w:rsidRPr="00833000">
        <w:rPr>
          <w:rFonts w:ascii="Verdana" w:hAnsi="Verdana"/>
          <w:i/>
          <w:iCs/>
          <w:sz w:val="16"/>
          <w:szCs w:val="16"/>
          <w:lang w:val="es-MX"/>
        </w:rPr>
        <w:t xml:space="preserve">Caso Rosendo Cantú y otra. </w:t>
      </w:r>
      <w:r w:rsidRPr="00833000">
        <w:rPr>
          <w:rFonts w:ascii="Verdana" w:hAnsi="Verdana"/>
          <w:sz w:val="16"/>
          <w:szCs w:val="16"/>
          <w:lang w:val="es-MX"/>
        </w:rPr>
        <w:t xml:space="preserve">Medidas Provisionales respecto de México. Resolución de la Corte de 1 de julio de 2011; </w:t>
      </w:r>
      <w:r w:rsidRPr="00833000">
        <w:rPr>
          <w:rFonts w:ascii="Verdana" w:hAnsi="Verdana"/>
          <w:i/>
          <w:iCs/>
          <w:sz w:val="16"/>
          <w:szCs w:val="16"/>
          <w:lang w:val="es-MX"/>
        </w:rPr>
        <w:t xml:space="preserve">Caso Kawas Fernández. </w:t>
      </w:r>
      <w:r w:rsidRPr="00833000">
        <w:rPr>
          <w:rFonts w:ascii="Verdana" w:hAnsi="Verdana"/>
          <w:sz w:val="16"/>
          <w:szCs w:val="16"/>
          <w:lang w:val="es-MX"/>
        </w:rPr>
        <w:t>Medidas Provisionales respecto de Honduras. Resolución de la Corte de 5 de julio de 2011</w:t>
      </w:r>
      <w:r w:rsidRPr="00833000">
        <w:rPr>
          <w:rFonts w:ascii="Verdana" w:hAnsi="Verdana"/>
          <w:sz w:val="16"/>
          <w:szCs w:val="16"/>
          <w:lang w:val="es-ES"/>
        </w:rPr>
        <w:t>;</w:t>
      </w:r>
      <w:r w:rsidRPr="00833000">
        <w:rPr>
          <w:rFonts w:ascii="Verdana" w:hAnsi="Verdana"/>
          <w:bCs/>
          <w:sz w:val="16"/>
          <w:szCs w:val="16"/>
          <w:lang w:val="es-ES"/>
        </w:rPr>
        <w:t xml:space="preserve"> </w:t>
      </w:r>
      <w:r w:rsidRPr="00833000">
        <w:rPr>
          <w:rStyle w:val="Strong"/>
          <w:rFonts w:ascii="Verdana" w:hAnsi="Verdana"/>
          <w:b w:val="0"/>
          <w:i/>
          <w:iCs/>
          <w:sz w:val="16"/>
          <w:szCs w:val="16"/>
          <w:shd w:val="clear" w:color="auto" w:fill="FFFFFF"/>
        </w:rPr>
        <w:t>Caso Pacheco Teruel y otros.</w:t>
      </w:r>
      <w:r w:rsidRPr="00833000">
        <w:rPr>
          <w:rStyle w:val="Strong"/>
          <w:rFonts w:ascii="Verdana" w:hAnsi="Verdana"/>
          <w:b w:val="0"/>
          <w:sz w:val="16"/>
          <w:szCs w:val="16"/>
          <w:shd w:val="clear" w:color="auto" w:fill="FFFFFF"/>
        </w:rPr>
        <w:t xml:space="preserve"> Medidas Provisionales respecto de Honduras. Resolución de la Corte de 13 de febrero de 2013; </w:t>
      </w:r>
      <w:r w:rsidRPr="00833000">
        <w:rPr>
          <w:rStyle w:val="Strong"/>
          <w:rFonts w:ascii="Verdana" w:hAnsi="Verdana"/>
          <w:b w:val="0"/>
          <w:i/>
          <w:iCs/>
          <w:sz w:val="16"/>
          <w:szCs w:val="16"/>
          <w:shd w:val="clear" w:color="auto" w:fill="FFFFFF"/>
        </w:rPr>
        <w:t xml:space="preserve">Caso Familia Barrios. </w:t>
      </w:r>
      <w:r w:rsidRPr="00833000">
        <w:rPr>
          <w:rStyle w:val="Strong"/>
          <w:rFonts w:ascii="Verdana" w:hAnsi="Verdana"/>
          <w:b w:val="0"/>
          <w:sz w:val="16"/>
          <w:szCs w:val="16"/>
          <w:shd w:val="clear" w:color="auto" w:fill="FFFFFF"/>
        </w:rPr>
        <w:t xml:space="preserve">Medidas Provisionales respecto de Venezuela. Resolución de la Corte de 13 de febrero de 2013; </w:t>
      </w:r>
      <w:r w:rsidRPr="00833000">
        <w:rPr>
          <w:rStyle w:val="Strong"/>
          <w:rFonts w:ascii="Verdana" w:hAnsi="Verdana"/>
          <w:b w:val="0"/>
          <w:i/>
          <w:iCs/>
          <w:sz w:val="16"/>
          <w:szCs w:val="16"/>
          <w:shd w:val="clear" w:color="auto" w:fill="FFFFFF"/>
        </w:rPr>
        <w:t>Asunto</w:t>
      </w:r>
      <w:r w:rsidRPr="00833000">
        <w:rPr>
          <w:rStyle w:val="Strong"/>
          <w:rFonts w:ascii="Verdana" w:hAnsi="Verdana"/>
          <w:b w:val="0"/>
          <w:sz w:val="16"/>
          <w:szCs w:val="16"/>
          <w:shd w:val="clear" w:color="auto" w:fill="FFFFFF"/>
        </w:rPr>
        <w:t xml:space="preserve"> </w:t>
      </w:r>
      <w:r w:rsidRPr="00833000">
        <w:rPr>
          <w:rStyle w:val="Strong"/>
          <w:rFonts w:ascii="Verdana" w:hAnsi="Verdana"/>
          <w:b w:val="0"/>
          <w:i/>
          <w:iCs/>
          <w:sz w:val="16"/>
          <w:szCs w:val="16"/>
          <w:shd w:val="clear" w:color="auto" w:fill="FFFFFF"/>
        </w:rPr>
        <w:t xml:space="preserve">Millacura Llaipén y otros. </w:t>
      </w:r>
      <w:r w:rsidRPr="00833000">
        <w:rPr>
          <w:rStyle w:val="Strong"/>
          <w:rFonts w:ascii="Verdana" w:hAnsi="Verdana"/>
          <w:b w:val="0"/>
          <w:sz w:val="16"/>
          <w:szCs w:val="16"/>
          <w:shd w:val="clear" w:color="auto" w:fill="FFFFFF"/>
        </w:rPr>
        <w:t xml:space="preserve">Medidas Provisionales respecto de Argentina. Resolución de la Corte de 13 de febrero de 2013; </w:t>
      </w:r>
      <w:r w:rsidRPr="00833000">
        <w:rPr>
          <w:rStyle w:val="Strong"/>
          <w:rFonts w:ascii="Verdana" w:hAnsi="Verdana"/>
          <w:b w:val="0"/>
          <w:i/>
          <w:iCs/>
          <w:sz w:val="16"/>
          <w:szCs w:val="16"/>
          <w:shd w:val="clear" w:color="auto" w:fill="FFFFFF"/>
        </w:rPr>
        <w:t xml:space="preserve">Caso Familia Barrios. </w:t>
      </w:r>
      <w:r w:rsidRPr="00833000">
        <w:rPr>
          <w:rStyle w:val="Strong"/>
          <w:rFonts w:ascii="Verdana" w:hAnsi="Verdana"/>
          <w:b w:val="0"/>
          <w:sz w:val="16"/>
          <w:szCs w:val="16"/>
          <w:shd w:val="clear" w:color="auto" w:fill="FFFFFF"/>
        </w:rPr>
        <w:t>Medidas Provisionales respecto de Venezuela. Resolución</w:t>
      </w:r>
      <w:r w:rsidRPr="00833000">
        <w:rPr>
          <w:rStyle w:val="Strong"/>
          <w:rFonts w:ascii="Verdana" w:hAnsi="Verdana"/>
          <w:b w:val="0"/>
          <w:i/>
          <w:iCs/>
          <w:sz w:val="16"/>
          <w:szCs w:val="16"/>
          <w:shd w:val="clear" w:color="auto" w:fill="FFFFFF"/>
        </w:rPr>
        <w:t xml:space="preserve"> </w:t>
      </w:r>
      <w:r w:rsidRPr="00833000">
        <w:rPr>
          <w:rStyle w:val="Strong"/>
          <w:rFonts w:ascii="Verdana" w:hAnsi="Verdana"/>
          <w:b w:val="0"/>
          <w:sz w:val="16"/>
          <w:szCs w:val="16"/>
          <w:shd w:val="clear" w:color="auto" w:fill="FFFFFF"/>
        </w:rPr>
        <w:t xml:space="preserve">de la Corte de 30 de mayo de 2013; </w:t>
      </w:r>
      <w:r w:rsidRPr="00833000">
        <w:rPr>
          <w:rStyle w:val="Strong"/>
          <w:rFonts w:ascii="Verdana" w:hAnsi="Verdana"/>
          <w:b w:val="0"/>
          <w:i/>
          <w:iCs/>
          <w:sz w:val="16"/>
          <w:szCs w:val="16"/>
          <w:shd w:val="clear" w:color="auto" w:fill="FFFFFF"/>
        </w:rPr>
        <w:t xml:space="preserve">Caso Artavia Murillo y otros (“Fecundación in vitro”). </w:t>
      </w:r>
      <w:r w:rsidRPr="00833000">
        <w:rPr>
          <w:rStyle w:val="Strong"/>
          <w:rFonts w:ascii="Verdana" w:hAnsi="Verdana"/>
          <w:b w:val="0"/>
          <w:sz w:val="16"/>
          <w:szCs w:val="16"/>
          <w:shd w:val="clear" w:color="auto" w:fill="FFFFFF"/>
        </w:rPr>
        <w:t>Solicitud de Medidas Provisionales respecto de Costa Rica. Resolución de la Corte de 31 de marzo de 2014;</w:t>
      </w:r>
      <w:r w:rsidRPr="00833000">
        <w:rPr>
          <w:rFonts w:ascii="Verdana" w:hAnsi="Verdana"/>
          <w:sz w:val="16"/>
          <w:szCs w:val="16"/>
        </w:rPr>
        <w:t xml:space="preserve"> </w:t>
      </w:r>
      <w:r w:rsidRPr="00833000">
        <w:rPr>
          <w:rFonts w:ascii="Verdana" w:hAnsi="Verdana"/>
          <w:i/>
          <w:iCs/>
          <w:sz w:val="16"/>
          <w:szCs w:val="16"/>
          <w:lang w:val="es-MX"/>
        </w:rPr>
        <w:t xml:space="preserve">Caso García Prieto y otros. </w:t>
      </w:r>
      <w:r w:rsidRPr="00833000">
        <w:rPr>
          <w:rFonts w:ascii="Verdana" w:hAnsi="Verdana"/>
          <w:sz w:val="16"/>
          <w:szCs w:val="16"/>
          <w:lang w:val="es-MX"/>
        </w:rPr>
        <w:t xml:space="preserve">Medidas Provisionales respecto de El Salvador. Resolución de la Corte de 26 enero de 2015; </w:t>
      </w:r>
      <w:r w:rsidRPr="00833000">
        <w:rPr>
          <w:rFonts w:ascii="Verdana" w:hAnsi="Verdana"/>
          <w:i/>
          <w:iCs/>
          <w:sz w:val="16"/>
          <w:szCs w:val="16"/>
          <w:lang w:val="es-MX"/>
        </w:rPr>
        <w:t xml:space="preserve">Caso Mack Chang y otros. </w:t>
      </w:r>
      <w:r w:rsidRPr="00833000">
        <w:rPr>
          <w:rFonts w:ascii="Verdana" w:hAnsi="Verdana"/>
          <w:sz w:val="16"/>
          <w:szCs w:val="16"/>
          <w:lang w:val="es-MX"/>
        </w:rPr>
        <w:t>Medidas Provisionales respecto de Guatemala. Resolución de la Corte de 26 de enero de 2015, y del mismo tenor que el presente voto y en el escrito</w:t>
      </w:r>
      <w:r w:rsidRPr="00833000">
        <w:rPr>
          <w:rFonts w:ascii="Verdana" w:hAnsi="Verdana"/>
          <w:bCs/>
          <w:sz w:val="16"/>
          <w:szCs w:val="16"/>
          <w:lang w:val="es-MX"/>
        </w:rPr>
        <w:t xml:space="preserve"> </w:t>
      </w:r>
      <w:r w:rsidRPr="00833000">
        <w:rPr>
          <w:rFonts w:ascii="Verdana" w:hAnsi="Verdana"/>
          <w:sz w:val="16"/>
          <w:szCs w:val="16"/>
          <w:lang w:val="es-MX"/>
        </w:rPr>
        <w:t xml:space="preserve">de </w:t>
      </w:r>
      <w:r w:rsidRPr="00833000">
        <w:rPr>
          <w:rFonts w:ascii="Verdana" w:hAnsi="Verdana"/>
          <w:i/>
          <w:iCs/>
          <w:sz w:val="16"/>
          <w:szCs w:val="16"/>
          <w:lang w:val="es-MX"/>
        </w:rPr>
        <w:t>Constancia de Queja</w:t>
      </w:r>
      <w:r w:rsidRPr="00833000">
        <w:rPr>
          <w:rFonts w:ascii="Verdana" w:hAnsi="Verdana"/>
          <w:sz w:val="16"/>
          <w:szCs w:val="16"/>
          <w:lang w:val="es-MX"/>
        </w:rPr>
        <w:t xml:space="preserve"> que, relacionado con las primeras Resoluciones mencionadas, presentó ante la Corte el 17 de agosto de 2011.</w:t>
      </w:r>
    </w:p>
  </w:footnote>
  <w:footnote w:id="58">
    <w:p w14:paraId="6D3293CE" w14:textId="77777777" w:rsidR="000B6B57" w:rsidRPr="00833000" w:rsidRDefault="000B6B57" w:rsidP="00911899">
      <w:pPr>
        <w:spacing w:after="0"/>
        <w:jc w:val="both"/>
        <w:rPr>
          <w:rFonts w:ascii="Verdana" w:hAnsi="Verdana"/>
          <w:sz w:val="16"/>
          <w:szCs w:val="16"/>
          <w:lang w:val="es-ES"/>
        </w:rPr>
      </w:pPr>
      <w:r w:rsidRPr="00833000">
        <w:rPr>
          <w:rStyle w:val="FootnoteReference"/>
          <w:rFonts w:ascii="Verdana" w:hAnsi="Verdana"/>
          <w:sz w:val="16"/>
          <w:szCs w:val="16"/>
        </w:rPr>
        <w:footnoteRef/>
      </w:r>
      <w:r w:rsidRPr="00833000">
        <w:rPr>
          <w:rFonts w:ascii="Verdana" w:hAnsi="Verdana"/>
          <w:sz w:val="16"/>
          <w:szCs w:val="16"/>
        </w:rPr>
        <w:t xml:space="preserve"> </w:t>
      </w:r>
      <w:r w:rsidRPr="00833000">
        <w:rPr>
          <w:rFonts w:ascii="Verdana" w:hAnsi="Verdana"/>
          <w:i/>
          <w:sz w:val="16"/>
          <w:szCs w:val="16"/>
        </w:rPr>
        <w:t>“</w:t>
      </w:r>
      <w:r w:rsidRPr="00833000">
        <w:rPr>
          <w:rFonts w:ascii="Verdana" w:hAnsi="Verdana"/>
          <w:i/>
          <w:sz w:val="16"/>
          <w:szCs w:val="16"/>
          <w:lang w:val="es-ES"/>
        </w:rPr>
        <w:t>En casos de extrema gravedad y urgencia, y cuando se haga necesario evitar daños irreparables a las personas, la Corte, en los asuntos que esté conociendo, podrá tomar las medidas provisionales que considere pertinentes.  Si se tratare de asuntos que aún no estén sometidos a su conocimiento, podrá actuar a solicitud de la Comisión.”</w:t>
      </w:r>
    </w:p>
  </w:footnote>
  <w:footnote w:id="59">
    <w:p w14:paraId="485D3674" w14:textId="77777777" w:rsidR="000B6B57" w:rsidRPr="00C53468" w:rsidRDefault="000B6B57" w:rsidP="00911899">
      <w:pPr>
        <w:pStyle w:val="FootnoteText"/>
        <w:rPr>
          <w:rFonts w:cs="Arial"/>
          <w:szCs w:val="16"/>
          <w:lang w:val="es-CR"/>
        </w:rPr>
      </w:pPr>
      <w:r w:rsidRPr="00833000">
        <w:rPr>
          <w:rStyle w:val="FootnoteReference"/>
          <w:szCs w:val="16"/>
        </w:rPr>
        <w:footnoteRef/>
      </w:r>
      <w:r w:rsidRPr="00833000">
        <w:rPr>
          <w:szCs w:val="16"/>
          <w:lang w:val="es-CR"/>
        </w:rPr>
        <w:t xml:space="preserve"> “</w:t>
      </w:r>
      <w:r w:rsidRPr="00833000">
        <w:rPr>
          <w:i/>
          <w:szCs w:val="16"/>
          <w:lang w:val="es-CR"/>
        </w:rPr>
        <w:t>Caso</w:t>
      </w:r>
      <w:r w:rsidRPr="00833000">
        <w:rPr>
          <w:szCs w:val="16"/>
          <w:lang w:val="es-CR"/>
        </w:rPr>
        <w:t xml:space="preserve">” y </w:t>
      </w:r>
      <w:r w:rsidRPr="00833000">
        <w:rPr>
          <w:i/>
          <w:szCs w:val="16"/>
          <w:lang w:val="es-CR"/>
        </w:rPr>
        <w:t>“asunto”</w:t>
      </w:r>
      <w:r w:rsidRPr="00833000">
        <w:rPr>
          <w:szCs w:val="16"/>
          <w:lang w:val="es-CR"/>
        </w:rPr>
        <w:t xml:space="preserve"> son, a estos efectos, sinónimos de acuerdo a la Convención</w:t>
      </w:r>
      <w:r w:rsidRPr="00833000">
        <w:rPr>
          <w:szCs w:val="16"/>
          <w:lang w:val="es-ES"/>
        </w:rPr>
        <w:t xml:space="preserve">, </w:t>
      </w:r>
      <w:r w:rsidRPr="00833000">
        <w:rPr>
          <w:szCs w:val="16"/>
          <w:lang w:val="es-CR"/>
        </w:rPr>
        <w:t>la que</w:t>
      </w:r>
      <w:r w:rsidRPr="00833000">
        <w:rPr>
          <w:rFonts w:cs="Arial"/>
          <w:szCs w:val="16"/>
          <w:lang w:val="es-CR"/>
        </w:rPr>
        <w:t xml:space="preserve"> alude a “</w:t>
      </w:r>
      <w:r w:rsidRPr="00833000">
        <w:rPr>
          <w:rFonts w:cs="Arial"/>
          <w:i/>
          <w:szCs w:val="16"/>
          <w:lang w:val="es-CR"/>
        </w:rPr>
        <w:t xml:space="preserve">asuntos” </w:t>
      </w:r>
      <w:r w:rsidRPr="00833000">
        <w:rPr>
          <w:rFonts w:cs="Arial"/>
          <w:szCs w:val="16"/>
          <w:lang w:val="es-CR"/>
        </w:rPr>
        <w:t>únicamente</w:t>
      </w:r>
      <w:r w:rsidRPr="00833000">
        <w:rPr>
          <w:rFonts w:cs="Arial"/>
          <w:i/>
          <w:szCs w:val="16"/>
          <w:lang w:val="es-CR"/>
        </w:rPr>
        <w:t xml:space="preserve"> </w:t>
      </w:r>
      <w:r w:rsidRPr="00833000">
        <w:rPr>
          <w:rFonts w:cs="Arial"/>
          <w:szCs w:val="16"/>
          <w:lang w:val="es-CR"/>
        </w:rPr>
        <w:t>en su transcrito artículo 63.2,</w:t>
      </w:r>
      <w:r w:rsidRPr="00833000">
        <w:rPr>
          <w:szCs w:val="16"/>
          <w:lang w:val="es-CR"/>
        </w:rPr>
        <w:t xml:space="preserve"> mientras que en otras</w:t>
      </w:r>
      <w:r w:rsidRPr="00833000">
        <w:rPr>
          <w:rFonts w:cs="Arial"/>
          <w:szCs w:val="16"/>
          <w:lang w:val="es-CR"/>
        </w:rPr>
        <w:t xml:space="preserve"> cinco de sus disposiciones se refiere a “casos” (artículo 57: a la facultad de la Comisión de recurrir ante ella; artículo 61: a la competencia de la Corte; artículo 65: a la obligación de informar anualmente de la labor de la Corte a la Asamblea General de la Organización de Estados Americanos; artículo 68.1: a la obligatoriedad de sus fallos, y artículo 69: a la notificación de los mismos). Pero también lo es según el Estatuto de la Corte, en el que si bien en dos de sus disposiciones se refieren a “asuntos”, una de ellas lo hace respecto de las funciones del Presidente de la Corte, que bien pueden ser atingentes a la función consultiva de la Corte e incluso a cuestiones administrativas (artículo 12.2), en las otras lo hace en cuanto a la competencia contenciosa (artículo 19, incisos 1, 2 y 3, que se refiere a los impedimentos e inhabilidades de los jueces en asuntos contenciosos). Y aún más, el propio Reglamento de la Corte, aprobado por ella misma, emplea el vocablo “caso” en 32 de sus artículos (artículos 2.3, 2.17, 16, </w:t>
      </w:r>
      <w:r w:rsidRPr="00833000">
        <w:rPr>
          <w:rFonts w:cs="Arial"/>
          <w:bCs/>
          <w:szCs w:val="16"/>
          <w:lang w:val="es-CR"/>
        </w:rPr>
        <w:t xml:space="preserve">17, 19, </w:t>
      </w:r>
      <w:r w:rsidRPr="00833000">
        <w:rPr>
          <w:rFonts w:cs="Arial"/>
          <w:szCs w:val="16"/>
          <w:lang w:val="es-CR"/>
        </w:rPr>
        <w:t xml:space="preserve"> </w:t>
      </w:r>
      <w:r w:rsidRPr="00833000">
        <w:rPr>
          <w:rFonts w:cs="Arial"/>
          <w:bCs/>
          <w:szCs w:val="16"/>
          <w:lang w:val="es-CR"/>
        </w:rPr>
        <w:t xml:space="preserve">20, </w:t>
      </w:r>
      <w:r w:rsidRPr="00833000">
        <w:rPr>
          <w:rFonts w:cs="Arial"/>
          <w:szCs w:val="16"/>
          <w:lang w:val="es-CR"/>
        </w:rPr>
        <w:t xml:space="preserve"> </w:t>
      </w:r>
      <w:r w:rsidRPr="00833000">
        <w:rPr>
          <w:rFonts w:cs="Arial"/>
          <w:bCs/>
          <w:szCs w:val="16"/>
          <w:lang w:val="es-CR"/>
        </w:rPr>
        <w:t xml:space="preserve">21, 22, 23, </w:t>
      </w:r>
      <w:r w:rsidRPr="00833000">
        <w:rPr>
          <w:rFonts w:cs="Arial"/>
          <w:szCs w:val="16"/>
          <w:lang w:val="es-CR"/>
        </w:rPr>
        <w:t xml:space="preserve"> </w:t>
      </w:r>
      <w:r w:rsidRPr="00833000">
        <w:rPr>
          <w:rFonts w:cs="Arial"/>
          <w:bCs/>
          <w:szCs w:val="16"/>
          <w:lang w:val="es-CR"/>
        </w:rPr>
        <w:t>25, 26,</w:t>
      </w:r>
      <w:r w:rsidRPr="00833000">
        <w:rPr>
          <w:rFonts w:cs="Arial"/>
          <w:szCs w:val="16"/>
          <w:lang w:val="es-CR"/>
        </w:rPr>
        <w:t xml:space="preserve"> 27.3, </w:t>
      </w:r>
      <w:r w:rsidRPr="00833000">
        <w:rPr>
          <w:rFonts w:cs="Arial"/>
          <w:bCs/>
          <w:szCs w:val="16"/>
          <w:lang w:val="es-CR"/>
        </w:rPr>
        <w:t xml:space="preserve">30, </w:t>
      </w:r>
      <w:r w:rsidRPr="00833000">
        <w:rPr>
          <w:rFonts w:cs="Arial"/>
          <w:szCs w:val="16"/>
          <w:lang w:val="es-CR"/>
        </w:rPr>
        <w:t xml:space="preserve"> </w:t>
      </w:r>
      <w:r w:rsidRPr="00833000">
        <w:rPr>
          <w:rFonts w:cs="Arial"/>
          <w:bCs/>
          <w:szCs w:val="16"/>
          <w:lang w:val="es-CR"/>
        </w:rPr>
        <w:t xml:space="preserve">32, 34, </w:t>
      </w:r>
      <w:r w:rsidRPr="00833000">
        <w:rPr>
          <w:rFonts w:cs="Arial"/>
          <w:szCs w:val="16"/>
          <w:lang w:val="es-CR"/>
        </w:rPr>
        <w:t xml:space="preserve"> </w:t>
      </w:r>
      <w:r w:rsidRPr="00833000">
        <w:rPr>
          <w:rFonts w:cs="Arial"/>
          <w:bCs/>
          <w:szCs w:val="16"/>
          <w:lang w:val="es-CR"/>
        </w:rPr>
        <w:t xml:space="preserve">35, 36, 37, 38, </w:t>
      </w:r>
      <w:r w:rsidRPr="00833000">
        <w:rPr>
          <w:rFonts w:cs="Arial"/>
          <w:szCs w:val="16"/>
          <w:lang w:val="es-CR"/>
        </w:rPr>
        <w:t xml:space="preserve"> </w:t>
      </w:r>
      <w:r w:rsidRPr="00833000">
        <w:rPr>
          <w:rFonts w:cs="Arial"/>
          <w:bCs/>
          <w:szCs w:val="16"/>
          <w:lang w:val="es-CR"/>
        </w:rPr>
        <w:t xml:space="preserve">39.1, 39.2, 39.4, 40.1, 40.2,  41.2, </w:t>
      </w:r>
      <w:r w:rsidRPr="00833000">
        <w:rPr>
          <w:rFonts w:cs="Arial"/>
          <w:szCs w:val="16"/>
          <w:lang w:val="es-CR"/>
        </w:rPr>
        <w:t xml:space="preserve"> </w:t>
      </w:r>
      <w:r w:rsidRPr="00833000">
        <w:rPr>
          <w:rFonts w:cs="Arial"/>
          <w:bCs/>
          <w:szCs w:val="16"/>
          <w:lang w:val="es-CR"/>
        </w:rPr>
        <w:t xml:space="preserve">42.6, </w:t>
      </w:r>
      <w:r w:rsidRPr="00833000">
        <w:rPr>
          <w:rFonts w:cs="Arial"/>
          <w:szCs w:val="16"/>
          <w:lang w:val="es-CR"/>
        </w:rPr>
        <w:t xml:space="preserve"> </w:t>
      </w:r>
      <w:r w:rsidRPr="00833000">
        <w:rPr>
          <w:rFonts w:cs="Arial"/>
          <w:bCs/>
          <w:szCs w:val="16"/>
          <w:lang w:val="es-CR"/>
        </w:rPr>
        <w:t>43, 44.1, 44.3, 48.1, incisos b, d y e, 51.1 y 51.10)</w:t>
      </w:r>
      <w:r w:rsidRPr="00833000">
        <w:rPr>
          <w:rFonts w:cs="Arial"/>
          <w:szCs w:val="16"/>
          <w:vertAlign w:val="superscript"/>
          <w:lang w:val="es-CR"/>
        </w:rPr>
        <w:t xml:space="preserve"> </w:t>
      </w:r>
      <w:r w:rsidRPr="00833000">
        <w:rPr>
          <w:rFonts w:cs="Arial"/>
          <w:szCs w:val="16"/>
          <w:lang w:val="es-CR"/>
        </w:rPr>
        <w:t>y solo en uno, precisamente el artículo 27.2, relativo a las medidas provisionales decretadas a solicitud de la Comisión, utiliza el término “asunto”.</w:t>
      </w:r>
    </w:p>
  </w:footnote>
  <w:footnote w:id="60">
    <w:p w14:paraId="3AFEDA48" w14:textId="77777777" w:rsidR="000B6B57" w:rsidRPr="001E3C83" w:rsidRDefault="000B6B57" w:rsidP="00911899">
      <w:pPr>
        <w:pStyle w:val="NormalWeb"/>
        <w:spacing w:before="0" w:beforeAutospacing="0" w:after="0" w:afterAutospacing="0"/>
        <w:jc w:val="both"/>
        <w:rPr>
          <w:rFonts w:ascii="Verdana" w:hAnsi="Verdana"/>
          <w:i/>
          <w:sz w:val="16"/>
          <w:szCs w:val="16"/>
          <w:lang w:val="es-CR"/>
        </w:rPr>
      </w:pPr>
      <w:r w:rsidRPr="00C53468">
        <w:rPr>
          <w:rStyle w:val="FootnoteReference"/>
          <w:rFonts w:ascii="Verdana" w:hAnsi="Verdana"/>
          <w:sz w:val="16"/>
          <w:szCs w:val="16"/>
        </w:rPr>
        <w:footnoteRef/>
      </w:r>
      <w:r w:rsidRPr="001E3C83">
        <w:rPr>
          <w:rFonts w:ascii="Verdana" w:hAnsi="Verdana"/>
          <w:sz w:val="16"/>
          <w:szCs w:val="16"/>
          <w:lang w:val="es-CR"/>
        </w:rPr>
        <w:t xml:space="preserve"> </w:t>
      </w:r>
      <w:r w:rsidRPr="001E3C83">
        <w:rPr>
          <w:rFonts w:ascii="Verdana" w:hAnsi="Verdana" w:cs="Tahoma"/>
          <w:i/>
          <w:sz w:val="16"/>
          <w:szCs w:val="16"/>
          <w:lang w:val="es-CR"/>
        </w:rPr>
        <w:t>“La Corte tiene competencia para conocer de cualquier caso relativo a la interpretación y aplicación de las disposiciones de esta Convención que le sea sometido, siempre que los Estados Partes en el caso hayan reconocido o reconozcan dicha competencia, ora por declaración especial, como se indica en los incisos anteriores, ora por convención especial”.</w:t>
      </w:r>
    </w:p>
  </w:footnote>
  <w:footnote w:id="61">
    <w:p w14:paraId="5E08C356" w14:textId="77777777" w:rsidR="000B6B57" w:rsidRPr="001E3C83" w:rsidRDefault="000B6B57" w:rsidP="00911899">
      <w:pPr>
        <w:pStyle w:val="NormalWeb"/>
        <w:spacing w:before="0" w:beforeAutospacing="0" w:after="0" w:afterAutospacing="0"/>
        <w:jc w:val="both"/>
        <w:rPr>
          <w:rFonts w:ascii="Verdana" w:hAnsi="Verdana" w:cs="Tahoma"/>
          <w:i/>
          <w:sz w:val="16"/>
          <w:szCs w:val="16"/>
          <w:lang w:val="es-CR"/>
        </w:rPr>
      </w:pPr>
      <w:r w:rsidRPr="00C53468">
        <w:rPr>
          <w:rStyle w:val="FootnoteReference"/>
          <w:rFonts w:ascii="Verdana" w:hAnsi="Verdana"/>
          <w:sz w:val="16"/>
          <w:szCs w:val="16"/>
        </w:rPr>
        <w:footnoteRef/>
      </w:r>
      <w:r w:rsidRPr="001E3C83">
        <w:rPr>
          <w:rFonts w:ascii="Verdana" w:hAnsi="Verdana"/>
          <w:sz w:val="16"/>
          <w:szCs w:val="16"/>
          <w:lang w:val="es-CR"/>
        </w:rPr>
        <w:t xml:space="preserve"> </w:t>
      </w:r>
      <w:r w:rsidRPr="001E3C83">
        <w:rPr>
          <w:rFonts w:ascii="Verdana" w:hAnsi="Verdana" w:cs="Tahoma"/>
          <w:i/>
          <w:sz w:val="16"/>
          <w:szCs w:val="16"/>
          <w:lang w:val="es-CR"/>
        </w:rPr>
        <w:t>“Cuando decida que hubo violación de un derecho o libertad protegidos en esta Convención, la Corte dispondrá que se garantice al lesionado en el goce de su derecho o libertad conculcados. Dispondrá asimismo, si ello fuera procedente, que se reparen las consecuencias de la medida o situación que ha configurado la vulneración de esos derechos y el pago de una justa indemnización a la parte lesionada”.</w:t>
      </w:r>
    </w:p>
  </w:footnote>
  <w:footnote w:id="62">
    <w:p w14:paraId="113AA984" w14:textId="77777777" w:rsidR="000B6B57" w:rsidRPr="007A2C32" w:rsidRDefault="000B6B57" w:rsidP="00911899">
      <w:pPr>
        <w:pStyle w:val="FootnoteText"/>
        <w:rPr>
          <w:lang w:val="es-CL"/>
        </w:rPr>
      </w:pPr>
      <w:r>
        <w:rPr>
          <w:rStyle w:val="FootnoteReference"/>
        </w:rPr>
        <w:footnoteRef/>
      </w:r>
      <w:r w:rsidRPr="001E3C83">
        <w:rPr>
          <w:lang w:val="es-CR"/>
        </w:rPr>
        <w:t xml:space="preserve"> </w:t>
      </w:r>
      <w:r>
        <w:rPr>
          <w:lang w:val="es-CL"/>
        </w:rPr>
        <w:t>En adelante, la Comisión.</w:t>
      </w:r>
    </w:p>
  </w:footnote>
  <w:footnote w:id="63">
    <w:p w14:paraId="1285D651" w14:textId="77777777" w:rsidR="000B6B57" w:rsidRPr="001E3C83" w:rsidRDefault="000B6B57" w:rsidP="00911899">
      <w:pPr>
        <w:spacing w:after="0"/>
        <w:jc w:val="both"/>
        <w:rPr>
          <w:rFonts w:ascii="Verdana" w:hAnsi="Verdana"/>
          <w:sz w:val="16"/>
          <w:szCs w:val="16"/>
        </w:rPr>
      </w:pPr>
      <w:r w:rsidRPr="00C53468">
        <w:rPr>
          <w:rStyle w:val="FootnoteReference"/>
          <w:rFonts w:ascii="Verdana" w:hAnsi="Verdana"/>
          <w:sz w:val="16"/>
          <w:szCs w:val="16"/>
        </w:rPr>
        <w:footnoteRef/>
      </w:r>
      <w:r w:rsidRPr="001E3C83">
        <w:rPr>
          <w:rFonts w:ascii="Verdana" w:hAnsi="Verdana"/>
          <w:sz w:val="16"/>
          <w:szCs w:val="16"/>
        </w:rPr>
        <w:t xml:space="preserve"> </w:t>
      </w:r>
      <w:r w:rsidRPr="00C53468">
        <w:rPr>
          <w:rFonts w:ascii="Verdana" w:hAnsi="Verdana"/>
          <w:sz w:val="16"/>
          <w:szCs w:val="16"/>
          <w:lang w:val="es-ES"/>
        </w:rPr>
        <w:t xml:space="preserve">Art. </w:t>
      </w:r>
      <w:r w:rsidRPr="001E3C83">
        <w:rPr>
          <w:rFonts w:ascii="Verdana" w:hAnsi="Verdana"/>
          <w:sz w:val="16"/>
          <w:szCs w:val="16"/>
        </w:rPr>
        <w:t>27:</w:t>
      </w:r>
      <w:r w:rsidRPr="001E3C83">
        <w:rPr>
          <w:rFonts w:ascii="Verdana" w:hAnsi="Verdana"/>
          <w:i/>
          <w:sz w:val="16"/>
          <w:szCs w:val="16"/>
        </w:rPr>
        <w:t>”1. En cualquier estado del procedimiento, siempre que se trate de casos de extrema gravedad y urgencia y cuando sea necesario para evitar daños irreparables a las personas, la Corte, de oficio, podrá ordenar las medidas provisionales que considere pertinentes, en los términos del artículo 63.2 de la Convención.</w:t>
      </w:r>
    </w:p>
    <w:p w14:paraId="337B9F18" w14:textId="77777777" w:rsidR="000B6B57" w:rsidRPr="00C53468" w:rsidRDefault="000B6B57" w:rsidP="00911899">
      <w:pPr>
        <w:pStyle w:val="FootnoteText"/>
        <w:rPr>
          <w:i/>
          <w:szCs w:val="16"/>
          <w:lang w:val="es-CR"/>
        </w:rPr>
      </w:pPr>
      <w:r w:rsidRPr="001E3C83">
        <w:rPr>
          <w:i/>
          <w:szCs w:val="16"/>
          <w:lang w:val="es-CR"/>
        </w:rPr>
        <w:t>2. Si se tratare de asuntos aún no sometidos a su conocimiento, la Corte podrá actuar a solicitud de la Comisión”</w:t>
      </w:r>
      <w:r w:rsidRPr="00C53468">
        <w:rPr>
          <w:i/>
          <w:szCs w:val="16"/>
          <w:lang w:val="es-CR"/>
        </w:rPr>
        <w:t>.</w:t>
      </w:r>
    </w:p>
  </w:footnote>
  <w:footnote w:id="64">
    <w:p w14:paraId="28932201" w14:textId="77777777" w:rsidR="000B6B57" w:rsidRPr="001E3C83" w:rsidRDefault="000B6B57" w:rsidP="00911899">
      <w:pPr>
        <w:pStyle w:val="FootnoteText"/>
        <w:rPr>
          <w:szCs w:val="16"/>
          <w:lang w:val="es-CR"/>
        </w:rPr>
      </w:pPr>
      <w:r w:rsidRPr="00C53468">
        <w:rPr>
          <w:rStyle w:val="FootnoteReference"/>
          <w:szCs w:val="16"/>
        </w:rPr>
        <w:footnoteRef/>
      </w:r>
      <w:r w:rsidRPr="001E3C83">
        <w:rPr>
          <w:szCs w:val="16"/>
          <w:lang w:val="es-CR"/>
        </w:rPr>
        <w:t xml:space="preserve"> </w:t>
      </w:r>
      <w:r w:rsidRPr="001E3C83">
        <w:rPr>
          <w:i/>
          <w:szCs w:val="16"/>
          <w:lang w:val="es-CR"/>
        </w:rPr>
        <w:t>Supra</w:t>
      </w:r>
      <w:r w:rsidRPr="001E3C83">
        <w:rPr>
          <w:szCs w:val="16"/>
          <w:lang w:val="es-CR"/>
        </w:rPr>
        <w:t xml:space="preserve">, Nota N° </w:t>
      </w:r>
      <w:r>
        <w:rPr>
          <w:szCs w:val="16"/>
          <w:lang w:val="es-CR"/>
        </w:rPr>
        <w:t>3</w:t>
      </w:r>
      <w:r w:rsidRPr="001E3C83">
        <w:rPr>
          <w:szCs w:val="16"/>
          <w:lang w:val="es-CR"/>
        </w:rPr>
        <w:t>.</w:t>
      </w:r>
    </w:p>
  </w:footnote>
  <w:footnote w:id="65">
    <w:p w14:paraId="2F8C4260" w14:textId="77777777" w:rsidR="000B6B57" w:rsidRPr="001E3C83" w:rsidRDefault="000B6B57" w:rsidP="00911899">
      <w:pPr>
        <w:pStyle w:val="FootnoteText"/>
        <w:rPr>
          <w:szCs w:val="16"/>
          <w:lang w:val="es-CR"/>
        </w:rPr>
      </w:pPr>
      <w:r w:rsidRPr="00C53468">
        <w:rPr>
          <w:rStyle w:val="FootnoteReference"/>
          <w:szCs w:val="16"/>
        </w:rPr>
        <w:footnoteRef/>
      </w:r>
      <w:r w:rsidRPr="001E3C83">
        <w:rPr>
          <w:szCs w:val="16"/>
          <w:lang w:val="es-CR"/>
        </w:rPr>
        <w:t xml:space="preserve"> Art. 63.2.</w:t>
      </w:r>
    </w:p>
  </w:footnote>
  <w:footnote w:id="66">
    <w:p w14:paraId="32DB37B0" w14:textId="77777777" w:rsidR="000B6B57" w:rsidRPr="001E3C83" w:rsidRDefault="000B6B57" w:rsidP="00911899">
      <w:pPr>
        <w:spacing w:after="0"/>
        <w:jc w:val="both"/>
        <w:rPr>
          <w:rFonts w:ascii="Verdana" w:hAnsi="Verdana"/>
          <w:sz w:val="16"/>
          <w:szCs w:val="16"/>
        </w:rPr>
      </w:pPr>
      <w:r w:rsidRPr="00C53468">
        <w:rPr>
          <w:rStyle w:val="FootnoteReference"/>
          <w:rFonts w:ascii="Verdana" w:hAnsi="Verdana"/>
          <w:sz w:val="16"/>
          <w:szCs w:val="16"/>
        </w:rPr>
        <w:footnoteRef/>
      </w:r>
      <w:r w:rsidRPr="001E3C83">
        <w:rPr>
          <w:rFonts w:ascii="Verdana" w:hAnsi="Verdana"/>
          <w:sz w:val="16"/>
          <w:szCs w:val="16"/>
        </w:rPr>
        <w:t xml:space="preserve"> </w:t>
      </w:r>
      <w:r w:rsidRPr="001E3C83">
        <w:rPr>
          <w:rFonts w:ascii="Verdana" w:hAnsi="Verdana" w:cs="Tahoma"/>
          <w:i/>
          <w:sz w:val="16"/>
          <w:szCs w:val="16"/>
        </w:rPr>
        <w:t>“El fallo de la Corte será definitivo e inapelable</w:t>
      </w:r>
      <w:r w:rsidRPr="001E3C83">
        <w:rPr>
          <w:rFonts w:ascii="Verdana" w:hAnsi="Verdana" w:cs="Tahoma"/>
          <w:sz w:val="16"/>
          <w:szCs w:val="16"/>
        </w:rPr>
        <w:t>”.</w:t>
      </w:r>
    </w:p>
  </w:footnote>
  <w:footnote w:id="67">
    <w:p w14:paraId="1EF43A79" w14:textId="77777777" w:rsidR="000B6B57" w:rsidRPr="00C53468" w:rsidRDefault="000B6B57" w:rsidP="00911899">
      <w:pPr>
        <w:pStyle w:val="FootnoteText"/>
        <w:rPr>
          <w:rFonts w:cs="Arial"/>
          <w:i/>
          <w:szCs w:val="16"/>
          <w:lang w:val="es-CR"/>
        </w:rPr>
      </w:pPr>
      <w:r w:rsidRPr="00C53468">
        <w:rPr>
          <w:rStyle w:val="FootnoteReference"/>
          <w:szCs w:val="16"/>
        </w:rPr>
        <w:footnoteRef/>
      </w:r>
      <w:r w:rsidRPr="001E3C83">
        <w:rPr>
          <w:szCs w:val="16"/>
          <w:lang w:val="es-CR"/>
        </w:rPr>
        <w:t xml:space="preserve"> </w:t>
      </w:r>
      <w:r w:rsidRPr="00C53468">
        <w:rPr>
          <w:szCs w:val="16"/>
          <w:lang w:val="es-ES"/>
        </w:rPr>
        <w:t xml:space="preserve">Artículo </w:t>
      </w:r>
      <w:r w:rsidRPr="00C53468">
        <w:rPr>
          <w:rFonts w:cs="Arial"/>
          <w:szCs w:val="16"/>
          <w:lang w:val="es-CR"/>
        </w:rPr>
        <w:t>66 del Reglamento de la Corte:</w:t>
      </w:r>
      <w:r w:rsidRPr="00C53468">
        <w:rPr>
          <w:rFonts w:cs="Arial"/>
          <w:i/>
          <w:szCs w:val="16"/>
          <w:lang w:val="es-CR"/>
        </w:rPr>
        <w:t xml:space="preserve"> “1. Cuando en la sentencia de fondo no se hubiere decidido específicamente sobre reparaciones y costas, la Corte fijará la oportunidad para su posterior decisión y determinará el procedimiento.  </w:t>
      </w:r>
    </w:p>
    <w:p w14:paraId="1A73FE23" w14:textId="77777777" w:rsidR="000B6B57" w:rsidRPr="00C53468" w:rsidRDefault="000B6B57" w:rsidP="00911899">
      <w:pPr>
        <w:pStyle w:val="FootnoteText"/>
        <w:rPr>
          <w:rFonts w:cs="Arial"/>
          <w:szCs w:val="16"/>
          <w:lang w:val="es-CR"/>
        </w:rPr>
      </w:pPr>
      <w:r w:rsidRPr="00C53468">
        <w:rPr>
          <w:rFonts w:cs="Arial"/>
          <w:i/>
          <w:szCs w:val="16"/>
          <w:lang w:val="es-CR"/>
        </w:rPr>
        <w:t>2. Si la Corte fuere informada de que las víctimas o sus representantes y el Estado demandado y, en su caso, el Estado demandante, han llegado a un acuerdo respecto al cumplimiento de la sentencia sobre el fondo, verificará que el acuerdo sea conforme con la Convención y dispondrá lo conducente”.</w:t>
      </w:r>
      <w:r w:rsidRPr="00C53468">
        <w:rPr>
          <w:rFonts w:cs="Arial"/>
          <w:szCs w:val="16"/>
          <w:lang w:val="es-CR"/>
        </w:rPr>
        <w:t xml:space="preserve"> </w:t>
      </w:r>
    </w:p>
  </w:footnote>
  <w:footnote w:id="68">
    <w:p w14:paraId="6EE957CF" w14:textId="77777777" w:rsidR="000B6B57" w:rsidRPr="001E3C83" w:rsidRDefault="000B6B57" w:rsidP="00911899">
      <w:pPr>
        <w:pStyle w:val="FootnoteText"/>
        <w:rPr>
          <w:rFonts w:cs="Tahoma"/>
          <w:i/>
          <w:szCs w:val="16"/>
          <w:lang w:val="es-CR"/>
        </w:rPr>
      </w:pPr>
      <w:r w:rsidRPr="00C53468">
        <w:rPr>
          <w:rStyle w:val="FootnoteReference"/>
          <w:szCs w:val="16"/>
        </w:rPr>
        <w:footnoteRef/>
      </w:r>
      <w:r w:rsidRPr="001E3C83">
        <w:rPr>
          <w:szCs w:val="16"/>
          <w:lang w:val="es-CR"/>
        </w:rPr>
        <w:t xml:space="preserve"> </w:t>
      </w:r>
      <w:r w:rsidRPr="00C53468">
        <w:rPr>
          <w:rFonts w:cs="Arial"/>
          <w:szCs w:val="16"/>
          <w:lang w:val="es-CR"/>
        </w:rPr>
        <w:t>Artículo 67, segunda frase:</w:t>
      </w:r>
      <w:r w:rsidRPr="001E3C83">
        <w:rPr>
          <w:rFonts w:cs="Tahoma"/>
          <w:szCs w:val="16"/>
          <w:lang w:val="es-CR"/>
        </w:rPr>
        <w:t xml:space="preserve"> “</w:t>
      </w:r>
      <w:r w:rsidRPr="001E3C83">
        <w:rPr>
          <w:rFonts w:cs="Tahoma"/>
          <w:i/>
          <w:szCs w:val="16"/>
          <w:lang w:val="es-CR"/>
        </w:rPr>
        <w:t>En caso de desacuerdo sobre el sentido o alcance del fallo, la Corte lo interpretará a solicitud de cualquiera de las partes, siempre que dicha solicitud se presente dentro de los noventa días a partir de la fecha de la notificación del fallo”.</w:t>
      </w:r>
    </w:p>
  </w:footnote>
  <w:footnote w:id="69">
    <w:p w14:paraId="08DA8AE7" w14:textId="77777777" w:rsidR="000B6B57" w:rsidRPr="00C53468" w:rsidRDefault="000B6B57" w:rsidP="00911899">
      <w:pPr>
        <w:pStyle w:val="FootnoteText"/>
        <w:rPr>
          <w:rFonts w:cs="Arial"/>
          <w:szCs w:val="16"/>
          <w:lang w:val="es-CR"/>
        </w:rPr>
      </w:pPr>
      <w:r w:rsidRPr="00C53468">
        <w:rPr>
          <w:rStyle w:val="FootnoteReference"/>
          <w:szCs w:val="16"/>
        </w:rPr>
        <w:footnoteRef/>
      </w:r>
      <w:r w:rsidRPr="001E3C83">
        <w:rPr>
          <w:szCs w:val="16"/>
          <w:lang w:val="es-CR"/>
        </w:rPr>
        <w:t xml:space="preserve"> </w:t>
      </w:r>
      <w:r w:rsidRPr="00C53468">
        <w:rPr>
          <w:rFonts w:cs="Arial"/>
          <w:szCs w:val="16"/>
          <w:lang w:val="es-CR"/>
        </w:rPr>
        <w:t xml:space="preserve">Artículo 76 del Reglamento de la Corte: </w:t>
      </w:r>
      <w:r w:rsidRPr="001E3C83">
        <w:rPr>
          <w:i/>
          <w:szCs w:val="16"/>
          <w:lang w:val="es-CR"/>
        </w:rPr>
        <w:t>“</w:t>
      </w:r>
      <w:r w:rsidRPr="00C53468">
        <w:rPr>
          <w:rFonts w:cs="Arial"/>
          <w:i/>
          <w:szCs w:val="16"/>
          <w:lang w:val="es-CR"/>
        </w:rPr>
        <w:t>La Corte podrá, a iniciativa propia o a solicitud de parte, presentada dentro del mes siguiente a la notificación de la sentencia o resolución de que se trate, rectificar errores notorios, de edición o de cálculo. De efectuarse alguna rectificación la Corte la notificará a la Comisión, a las víctimas o sus representantes, al Estado demandado y, en su caso, al Estado demandante”.</w:t>
      </w:r>
    </w:p>
  </w:footnote>
  <w:footnote w:id="70">
    <w:p w14:paraId="4E9A5E11" w14:textId="77777777" w:rsidR="00833000" w:rsidRDefault="000B6B57" w:rsidP="00911899">
      <w:pPr>
        <w:pStyle w:val="FootnoteText"/>
        <w:rPr>
          <w:rFonts w:cs="Arial"/>
          <w:i/>
          <w:szCs w:val="16"/>
          <w:lang w:val="es-CR"/>
        </w:rPr>
      </w:pPr>
      <w:r w:rsidRPr="00C53468">
        <w:rPr>
          <w:rStyle w:val="FootnoteReference"/>
          <w:szCs w:val="16"/>
        </w:rPr>
        <w:footnoteRef/>
      </w:r>
      <w:r w:rsidRPr="007F224B">
        <w:rPr>
          <w:szCs w:val="16"/>
          <w:lang w:val="es-CR"/>
        </w:rPr>
        <w:t xml:space="preserve"> </w:t>
      </w:r>
      <w:r w:rsidRPr="00C53468">
        <w:rPr>
          <w:szCs w:val="16"/>
          <w:lang w:val="es-ES"/>
        </w:rPr>
        <w:t xml:space="preserve">Artículo 69 del Reglamento: </w:t>
      </w:r>
      <w:r w:rsidRPr="00C53468">
        <w:rPr>
          <w:rFonts w:cs="Arial"/>
          <w:i/>
          <w:szCs w:val="16"/>
          <w:lang w:val="es-CR"/>
        </w:rPr>
        <w:t>“1. La supervisión de las sentencias y demás decisiones de la Corte se realizará mediante la presentación de informes estatales y de las correspondientes observaciones a dichos informes por parte de las víctimas o sus representantes. La Comisión deberá presentar observaciones al informe del Estado y a las observaciones de las víctimas o sus representantes.</w:t>
      </w:r>
    </w:p>
    <w:p w14:paraId="430F6635" w14:textId="13179323" w:rsidR="000B6B57" w:rsidRPr="00C53468" w:rsidRDefault="000B6B57" w:rsidP="00911899">
      <w:pPr>
        <w:pStyle w:val="FootnoteText"/>
        <w:rPr>
          <w:szCs w:val="16"/>
          <w:lang w:val="es-ES"/>
        </w:rPr>
      </w:pPr>
      <w:r w:rsidRPr="00C53468">
        <w:rPr>
          <w:rFonts w:cs="Arial"/>
          <w:i/>
          <w:szCs w:val="16"/>
          <w:lang w:val="es-CR"/>
        </w:rPr>
        <w:t xml:space="preserve"> </w:t>
      </w:r>
    </w:p>
    <w:p w14:paraId="40D0D220" w14:textId="77777777" w:rsidR="000B6B57" w:rsidRPr="00C53468" w:rsidRDefault="000B6B57" w:rsidP="00911899">
      <w:pPr>
        <w:pStyle w:val="FootnoteText"/>
        <w:rPr>
          <w:rFonts w:cs="Arial"/>
          <w:i/>
          <w:szCs w:val="16"/>
          <w:lang w:val="es-CR"/>
        </w:rPr>
      </w:pPr>
      <w:r w:rsidRPr="00C53468">
        <w:rPr>
          <w:rFonts w:cs="Arial"/>
          <w:i/>
          <w:szCs w:val="16"/>
          <w:lang w:val="es-CR"/>
        </w:rPr>
        <w:t xml:space="preserve">2. La Corte podrá requerir a otras fuentes de información datos relevantes sobre el caso, que permitan apreciar el cumplimiento. Para los mismos efectos podrá también requerir los peritajes e informes que considere oportunos. </w:t>
      </w:r>
    </w:p>
    <w:p w14:paraId="2619EB6B" w14:textId="77777777" w:rsidR="000B6B57" w:rsidRPr="00C53468" w:rsidRDefault="000B6B57" w:rsidP="00911899">
      <w:pPr>
        <w:pStyle w:val="FootnoteText"/>
        <w:rPr>
          <w:rFonts w:cs="Arial"/>
          <w:i/>
          <w:szCs w:val="16"/>
          <w:lang w:val="es-CR"/>
        </w:rPr>
      </w:pPr>
      <w:r w:rsidRPr="00C53468">
        <w:rPr>
          <w:rFonts w:cs="Arial"/>
          <w:i/>
          <w:szCs w:val="16"/>
          <w:lang w:val="es-CR"/>
        </w:rPr>
        <w:t xml:space="preserve">3. Cuando lo considere pertinente, el Tribunal podrá convocar al Estado y a los representantes de las víctimas a una audiencia para supervisar el cumplimiento de sus decisiones, y en ésta escuchará el parecer de la Comisión. </w:t>
      </w:r>
    </w:p>
    <w:p w14:paraId="4B6940E3" w14:textId="77777777" w:rsidR="000B6B57" w:rsidRPr="00C53468" w:rsidRDefault="000B6B57" w:rsidP="00911899">
      <w:pPr>
        <w:spacing w:after="0"/>
        <w:jc w:val="both"/>
        <w:rPr>
          <w:rFonts w:ascii="Verdana" w:hAnsi="Verdana"/>
          <w:b/>
          <w:sz w:val="16"/>
          <w:szCs w:val="16"/>
          <w:lang w:val="es-ES"/>
        </w:rPr>
      </w:pPr>
      <w:r w:rsidRPr="00C53468">
        <w:rPr>
          <w:rFonts w:ascii="Verdana" w:hAnsi="Verdana" w:cs="Arial"/>
          <w:i/>
          <w:sz w:val="16"/>
          <w:szCs w:val="16"/>
        </w:rPr>
        <w:t>4. Una vez que el Tribunal cuente con la información pertinente, determinará el estado del cumplimiento de lo resuelto y emitirá las resoluciones que estime pertinentes.</w:t>
      </w:r>
    </w:p>
    <w:p w14:paraId="1FEB1637" w14:textId="77777777" w:rsidR="000B6B57" w:rsidRPr="00C53468" w:rsidRDefault="000B6B57" w:rsidP="00911899">
      <w:pPr>
        <w:pStyle w:val="FootnoteText"/>
        <w:rPr>
          <w:rFonts w:cs="Arial"/>
          <w:i/>
          <w:szCs w:val="16"/>
          <w:lang w:val="es-CR"/>
        </w:rPr>
      </w:pPr>
      <w:r w:rsidRPr="00C53468">
        <w:rPr>
          <w:rFonts w:cs="Arial"/>
          <w:i/>
          <w:szCs w:val="16"/>
          <w:lang w:val="es-CR"/>
        </w:rPr>
        <w:t>5. Estas disposiciones se aplican también para casos no sometidos por la Comisión”.</w:t>
      </w:r>
    </w:p>
  </w:footnote>
  <w:footnote w:id="71">
    <w:p w14:paraId="18BFF5FA" w14:textId="77777777" w:rsidR="000B6B57" w:rsidRPr="00C53468" w:rsidRDefault="000B6B57" w:rsidP="00911899">
      <w:pPr>
        <w:pStyle w:val="FootnoteText"/>
        <w:rPr>
          <w:rFonts w:cs="Tahoma"/>
          <w:i/>
          <w:szCs w:val="16"/>
          <w:lang w:val="es-ES"/>
        </w:rPr>
      </w:pPr>
      <w:r w:rsidRPr="00C53468">
        <w:rPr>
          <w:rStyle w:val="FootnoteReference"/>
          <w:szCs w:val="16"/>
        </w:rPr>
        <w:footnoteRef/>
      </w:r>
      <w:r w:rsidRPr="001E3C83">
        <w:rPr>
          <w:szCs w:val="16"/>
          <w:lang w:val="es-CR"/>
        </w:rPr>
        <w:t xml:space="preserve"> </w:t>
      </w:r>
      <w:r w:rsidRPr="00C53468">
        <w:rPr>
          <w:rFonts w:cs="Arial"/>
          <w:szCs w:val="16"/>
          <w:lang w:val="es-CR"/>
        </w:rPr>
        <w:t>Artículo 65</w:t>
      </w:r>
      <w:r w:rsidRPr="001E3C83">
        <w:rPr>
          <w:rFonts w:cs="Arial"/>
          <w:szCs w:val="16"/>
          <w:lang w:val="es-CR"/>
        </w:rPr>
        <w:t xml:space="preserve">: </w:t>
      </w:r>
      <w:r w:rsidRPr="00C53468">
        <w:rPr>
          <w:rFonts w:cs="Arial"/>
          <w:szCs w:val="16"/>
          <w:lang w:val="es-CR"/>
        </w:rPr>
        <w:t>“</w:t>
      </w:r>
      <w:r w:rsidRPr="001E3C83">
        <w:rPr>
          <w:rFonts w:cs="Tahoma"/>
          <w:i/>
          <w:szCs w:val="16"/>
          <w:lang w:val="es-CR"/>
        </w:rPr>
        <w:t>La Corte someterá a la consideración de la Asamblea General de la Organización en cada período ordinario de sesiones un informe sobre su labor en el año anterior. De manera especial y con las recomendaciones pertinentes, señalará los casos en que un Estado no haya dado cumplimiento a sus fallos”</w:t>
      </w:r>
      <w:r w:rsidRPr="00C53468">
        <w:rPr>
          <w:rFonts w:cs="Tahoma"/>
          <w:i/>
          <w:szCs w:val="16"/>
          <w:lang w:val="es-ES"/>
        </w:rPr>
        <w:t>.</w:t>
      </w:r>
    </w:p>
    <w:p w14:paraId="174C41ED" w14:textId="77777777" w:rsidR="000B6B57" w:rsidRPr="00C53468" w:rsidRDefault="000B6B57" w:rsidP="00911899">
      <w:pPr>
        <w:pStyle w:val="FootnoteText"/>
        <w:rPr>
          <w:rFonts w:cs="Times New Roman"/>
          <w:i/>
          <w:szCs w:val="16"/>
          <w:lang w:val="es-ES"/>
        </w:rPr>
      </w:pPr>
      <w:r w:rsidRPr="00C53468">
        <w:rPr>
          <w:rFonts w:cs="Arial"/>
          <w:szCs w:val="16"/>
          <w:lang w:val="es-ES"/>
        </w:rPr>
        <w:t>Artículo</w:t>
      </w:r>
      <w:r w:rsidRPr="00C53468">
        <w:rPr>
          <w:rFonts w:cs="Arial"/>
          <w:szCs w:val="16"/>
          <w:lang w:val="es-CR"/>
        </w:rPr>
        <w:t xml:space="preserve"> 30 del Estatuto de la Corte</w:t>
      </w:r>
      <w:r w:rsidRPr="001E3C83">
        <w:rPr>
          <w:szCs w:val="16"/>
          <w:lang w:val="es-CR"/>
        </w:rPr>
        <w:t>:</w:t>
      </w:r>
      <w:r w:rsidRPr="00C53468">
        <w:rPr>
          <w:i/>
          <w:szCs w:val="16"/>
          <w:lang w:val="es-CR"/>
        </w:rPr>
        <w:t xml:space="preserve"> “</w:t>
      </w:r>
      <w:r w:rsidRPr="001E3C83">
        <w:rPr>
          <w:i/>
          <w:szCs w:val="16"/>
          <w:lang w:val="es-CR"/>
        </w:rPr>
        <w:t>La Corte someterá a la Asamblea General de la OEA, en cada período ordinario de sesiones, un informe de su labor en el año anterior. Señalará los casos en que un Estado no haya dado cumplimiento a sus fallos. Podrá también someter a la Asamblea General de la OEA proposiciones o recomendaciones para el mejoramiento del sistema interamericano de derechos humanos, en lo relacionado con el trabajo de la Corte”</w:t>
      </w:r>
      <w:r w:rsidRPr="00C53468">
        <w:rPr>
          <w:i/>
          <w:szCs w:val="16"/>
          <w:lang w:val="es-ES"/>
        </w:rPr>
        <w:t>.</w:t>
      </w:r>
    </w:p>
  </w:footnote>
  <w:footnote w:id="72">
    <w:p w14:paraId="6389ED39" w14:textId="77777777" w:rsidR="000B6B57" w:rsidRPr="001E3C83" w:rsidRDefault="000B6B57" w:rsidP="00911899">
      <w:pPr>
        <w:pStyle w:val="FootnoteText"/>
        <w:rPr>
          <w:szCs w:val="16"/>
          <w:lang w:val="pt-BR"/>
        </w:rPr>
      </w:pPr>
      <w:r w:rsidRPr="00C53468">
        <w:rPr>
          <w:rStyle w:val="FootnoteReference"/>
          <w:szCs w:val="16"/>
        </w:rPr>
        <w:footnoteRef/>
      </w:r>
      <w:r w:rsidRPr="001E3C83">
        <w:rPr>
          <w:szCs w:val="16"/>
          <w:lang w:val="pt-BR"/>
        </w:rPr>
        <w:t xml:space="preserve"> </w:t>
      </w:r>
      <w:r w:rsidRPr="001E3C83">
        <w:rPr>
          <w:i/>
          <w:szCs w:val="16"/>
          <w:lang w:val="pt-BR"/>
        </w:rPr>
        <w:t>Supra,</w:t>
      </w:r>
      <w:r w:rsidRPr="001E3C83">
        <w:rPr>
          <w:szCs w:val="16"/>
          <w:lang w:val="pt-BR"/>
        </w:rPr>
        <w:t xml:space="preserve"> Nota N° </w:t>
      </w:r>
      <w:r>
        <w:rPr>
          <w:szCs w:val="16"/>
          <w:lang w:val="pt-BR"/>
        </w:rPr>
        <w:t>3</w:t>
      </w:r>
      <w:r w:rsidRPr="001E3C83">
        <w:rPr>
          <w:szCs w:val="16"/>
          <w:lang w:val="pt-BR"/>
        </w:rPr>
        <w:t>.</w:t>
      </w:r>
    </w:p>
  </w:footnote>
  <w:footnote w:id="73">
    <w:p w14:paraId="3D5E9287" w14:textId="77777777" w:rsidR="000B6B57" w:rsidRPr="001E3C83" w:rsidRDefault="000B6B57" w:rsidP="00911899">
      <w:pPr>
        <w:pStyle w:val="FootnoteText"/>
        <w:rPr>
          <w:szCs w:val="16"/>
          <w:lang w:val="pt-BR"/>
        </w:rPr>
      </w:pPr>
      <w:r w:rsidRPr="00C53468">
        <w:rPr>
          <w:rStyle w:val="FootnoteReference"/>
          <w:szCs w:val="16"/>
        </w:rPr>
        <w:footnoteRef/>
      </w:r>
      <w:r w:rsidRPr="001E3C83">
        <w:rPr>
          <w:szCs w:val="16"/>
          <w:lang w:val="pt-BR"/>
        </w:rPr>
        <w:t xml:space="preserve"> Art.63.1.</w:t>
      </w:r>
    </w:p>
  </w:footnote>
  <w:footnote w:id="74">
    <w:p w14:paraId="70281151" w14:textId="77777777" w:rsidR="000B6B57" w:rsidRPr="001E3C83" w:rsidRDefault="000B6B57" w:rsidP="00911899">
      <w:pPr>
        <w:pStyle w:val="FootnoteText"/>
        <w:rPr>
          <w:szCs w:val="16"/>
          <w:lang w:val="pt-BR"/>
        </w:rPr>
      </w:pPr>
      <w:r w:rsidRPr="00C53468">
        <w:rPr>
          <w:rStyle w:val="FootnoteReference"/>
          <w:szCs w:val="16"/>
        </w:rPr>
        <w:footnoteRef/>
      </w:r>
      <w:r w:rsidRPr="001E3C83">
        <w:rPr>
          <w:szCs w:val="16"/>
          <w:lang w:val="pt-BR"/>
        </w:rPr>
        <w:t xml:space="preserve"> Resolutivo N°1.</w:t>
      </w:r>
    </w:p>
  </w:footnote>
  <w:footnote w:id="75">
    <w:p w14:paraId="4C2D4D2E" w14:textId="77777777" w:rsidR="000B6B57" w:rsidRPr="001E3C83" w:rsidRDefault="000B6B57" w:rsidP="00911899">
      <w:pPr>
        <w:pStyle w:val="FootnoteText"/>
        <w:tabs>
          <w:tab w:val="center" w:pos="4419"/>
        </w:tabs>
        <w:rPr>
          <w:szCs w:val="16"/>
          <w:lang w:val="pt-BR"/>
        </w:rPr>
      </w:pPr>
      <w:r w:rsidRPr="00C53468">
        <w:rPr>
          <w:rStyle w:val="FootnoteReference"/>
          <w:szCs w:val="16"/>
        </w:rPr>
        <w:footnoteRef/>
      </w:r>
      <w:r w:rsidRPr="001E3C83">
        <w:rPr>
          <w:szCs w:val="16"/>
          <w:lang w:val="pt-BR"/>
        </w:rPr>
        <w:t xml:space="preserve"> </w:t>
      </w:r>
      <w:r w:rsidRPr="001E3C83">
        <w:rPr>
          <w:i/>
          <w:szCs w:val="16"/>
          <w:lang w:val="pt-BR"/>
        </w:rPr>
        <w:t xml:space="preserve">Supra </w:t>
      </w:r>
      <w:r>
        <w:rPr>
          <w:szCs w:val="16"/>
          <w:lang w:val="pt-BR"/>
        </w:rPr>
        <w:t>Nota N° 1.</w:t>
      </w:r>
    </w:p>
  </w:footnote>
  <w:footnote w:id="76">
    <w:p w14:paraId="00F6C830" w14:textId="77777777" w:rsidR="000B6B57" w:rsidRPr="001E3C83" w:rsidRDefault="000B6B57" w:rsidP="00911899">
      <w:pPr>
        <w:pStyle w:val="FootnoteText"/>
        <w:rPr>
          <w:szCs w:val="16"/>
          <w:lang w:val="pt-BR"/>
        </w:rPr>
      </w:pPr>
      <w:r w:rsidRPr="00C53468">
        <w:rPr>
          <w:rStyle w:val="FootnoteReference"/>
          <w:szCs w:val="16"/>
        </w:rPr>
        <w:footnoteRef/>
      </w:r>
      <w:r w:rsidRPr="001E3C83">
        <w:rPr>
          <w:szCs w:val="16"/>
          <w:lang w:val="pt-BR"/>
        </w:rPr>
        <w:t xml:space="preserve"> Resolutivo N° 1</w:t>
      </w:r>
      <w:r>
        <w:rPr>
          <w:szCs w:val="16"/>
          <w:lang w:val="pt-BR"/>
        </w:rPr>
        <w:t>.</w:t>
      </w:r>
    </w:p>
  </w:footnote>
  <w:footnote w:id="77">
    <w:p w14:paraId="166A9130" w14:textId="77777777" w:rsidR="000B6B57" w:rsidRPr="004B672E" w:rsidRDefault="000B6B57" w:rsidP="00911899">
      <w:pPr>
        <w:pStyle w:val="FootnoteText"/>
        <w:rPr>
          <w:szCs w:val="16"/>
          <w:lang w:val="es-CR"/>
        </w:rPr>
      </w:pPr>
      <w:r w:rsidRPr="00C53468">
        <w:rPr>
          <w:rStyle w:val="FootnoteReference"/>
          <w:szCs w:val="16"/>
        </w:rPr>
        <w:footnoteRef/>
      </w:r>
      <w:r w:rsidRPr="004B672E">
        <w:rPr>
          <w:szCs w:val="16"/>
          <w:lang w:val="es-CR"/>
        </w:rPr>
        <w:t xml:space="preserve"> </w:t>
      </w:r>
      <w:r>
        <w:rPr>
          <w:szCs w:val="16"/>
          <w:lang w:val="es-CR"/>
        </w:rPr>
        <w:t>Considerando 25.</w:t>
      </w:r>
    </w:p>
  </w:footnote>
  <w:footnote w:id="78">
    <w:p w14:paraId="11509750" w14:textId="77777777" w:rsidR="000B6B57" w:rsidRPr="001E3C83" w:rsidRDefault="000B6B57" w:rsidP="00911899">
      <w:pPr>
        <w:pStyle w:val="FootnoteText"/>
        <w:rPr>
          <w:szCs w:val="16"/>
          <w:lang w:val="es-CR"/>
        </w:rPr>
      </w:pPr>
      <w:r w:rsidRPr="00C53468">
        <w:rPr>
          <w:rStyle w:val="FootnoteReference"/>
          <w:szCs w:val="16"/>
        </w:rPr>
        <w:footnoteRef/>
      </w:r>
      <w:r w:rsidRPr="001E3C83">
        <w:rPr>
          <w:szCs w:val="16"/>
          <w:lang w:val="es-CR"/>
        </w:rPr>
        <w:t xml:space="preserve"> Art. 99° de la Constitución Política del Perú: “</w:t>
      </w:r>
      <w:r w:rsidRPr="001E3C83">
        <w:rPr>
          <w:i/>
          <w:szCs w:val="16"/>
          <w:lang w:val="es-CR"/>
        </w:rPr>
        <w:t>Corresponde a la Comisión Permanente acusar ante el Congreso: al Presidente de la República; a los representantes a Congreso; a los Ministros de Estado; a los miembros del Tribunal Constitucional; a los miembros del Consejo Nacional de la Magistratura; a los vocales de la Corte Suprema; a los fiscales supremos; al Defensor del Pueblo y al Contralor General por infracción de la Constitución y por todo delito que cometan en el ejercicio de sus funciones y hasta cinco años después de que hayan cesado en éstas</w:t>
      </w:r>
      <w:r w:rsidRPr="001E3C83">
        <w:rPr>
          <w:szCs w:val="16"/>
          <w:lang w:val="es-CR"/>
        </w:rPr>
        <w:t xml:space="preserve">”. </w:t>
      </w:r>
    </w:p>
    <w:p w14:paraId="5BC991DE" w14:textId="77777777" w:rsidR="000B6B57" w:rsidRDefault="000B6B57" w:rsidP="00911899">
      <w:pPr>
        <w:pStyle w:val="FootnoteText"/>
        <w:rPr>
          <w:i/>
          <w:szCs w:val="16"/>
          <w:lang w:val="es-CR"/>
        </w:rPr>
      </w:pPr>
      <w:r>
        <w:rPr>
          <w:szCs w:val="16"/>
          <w:lang w:val="es-CR"/>
        </w:rPr>
        <w:t>Art. 100° del mismo texto: “</w:t>
      </w:r>
      <w:r w:rsidRPr="001E3C83">
        <w:rPr>
          <w:i/>
          <w:szCs w:val="16"/>
          <w:lang w:val="es-CR"/>
        </w:rPr>
        <w:t xml:space="preserve">Corresponde al Congreso, sin participación de la Comisión Permanente, suspender o no al funcionario acusado o inhabilitarlo para el ejercicio de la función pública hasta por diez años, o destituirlo de su función sin perjuicio de cualquiera otra responsabilidad. </w:t>
      </w:r>
    </w:p>
    <w:p w14:paraId="08132606" w14:textId="77777777" w:rsidR="00833000" w:rsidRDefault="00833000" w:rsidP="00911899">
      <w:pPr>
        <w:pStyle w:val="FootnoteText"/>
        <w:rPr>
          <w:i/>
          <w:szCs w:val="16"/>
          <w:lang w:val="es-CR"/>
        </w:rPr>
      </w:pPr>
    </w:p>
    <w:p w14:paraId="5EEDE3E0" w14:textId="77777777" w:rsidR="000B6B57" w:rsidRDefault="000B6B57" w:rsidP="00911899">
      <w:pPr>
        <w:pStyle w:val="FootnoteText"/>
        <w:rPr>
          <w:i/>
          <w:szCs w:val="16"/>
          <w:lang w:val="es-CR"/>
        </w:rPr>
      </w:pPr>
      <w:r w:rsidRPr="001E3C83">
        <w:rPr>
          <w:i/>
          <w:szCs w:val="16"/>
          <w:lang w:val="es-CR"/>
        </w:rPr>
        <w:t xml:space="preserve">El acusado tiene derecho, en este trámite, a la defensa por sí mismo y con asistencia de abogado ante la Comisión Permanente y ante el Pleno del Congreso. </w:t>
      </w:r>
    </w:p>
    <w:p w14:paraId="674BF206" w14:textId="77777777" w:rsidR="000B6B57" w:rsidRDefault="000B6B57" w:rsidP="00911899">
      <w:pPr>
        <w:pStyle w:val="FootnoteText"/>
        <w:rPr>
          <w:i/>
          <w:szCs w:val="16"/>
          <w:lang w:val="es-CR"/>
        </w:rPr>
      </w:pPr>
      <w:r w:rsidRPr="001E3C83">
        <w:rPr>
          <w:i/>
          <w:szCs w:val="16"/>
          <w:lang w:val="es-CR"/>
        </w:rPr>
        <w:t xml:space="preserve">En caso de resolución acusatoria de contenido penal, el Fiscal de la Nación formula denuncia ante la Corte Suprema en el plazo de cinco días. El Vocal Supremo Penal abre la instrucción correspondiente. </w:t>
      </w:r>
    </w:p>
    <w:p w14:paraId="6790AE5D" w14:textId="77777777" w:rsidR="000B6B57" w:rsidRDefault="000B6B57" w:rsidP="00911899">
      <w:pPr>
        <w:pStyle w:val="FootnoteText"/>
        <w:rPr>
          <w:i/>
          <w:szCs w:val="16"/>
          <w:lang w:val="es-CR"/>
        </w:rPr>
      </w:pPr>
      <w:r w:rsidRPr="001E3C83">
        <w:rPr>
          <w:i/>
          <w:szCs w:val="16"/>
          <w:lang w:val="es-CR"/>
        </w:rPr>
        <w:t xml:space="preserve">La sentencia absolutoria de la Corte Suprema devuelve al acusado sus derechos políticos. </w:t>
      </w:r>
    </w:p>
    <w:p w14:paraId="347E0BFD" w14:textId="77777777" w:rsidR="000B6B57" w:rsidRPr="001E3C83" w:rsidRDefault="000B6B57" w:rsidP="00911899">
      <w:pPr>
        <w:pStyle w:val="FootnoteText"/>
        <w:rPr>
          <w:szCs w:val="16"/>
          <w:lang w:val="es-CR"/>
        </w:rPr>
      </w:pPr>
      <w:r w:rsidRPr="001E3C83">
        <w:rPr>
          <w:i/>
          <w:szCs w:val="16"/>
          <w:lang w:val="es-CR"/>
        </w:rPr>
        <w:t>Los términos de la denuncia fiscal y del auto apertorio de instrucción no pueden exceder ni reducir los términos de la acusación del Congreso</w:t>
      </w:r>
      <w:r w:rsidRPr="001E3C83">
        <w:rPr>
          <w:szCs w:val="16"/>
          <w:lang w:val="es-CR"/>
        </w:rPr>
        <w:t>”.</w:t>
      </w:r>
    </w:p>
  </w:footnote>
  <w:footnote w:id="79">
    <w:p w14:paraId="629EB975" w14:textId="77777777" w:rsidR="000B6B57" w:rsidRPr="001E3C83" w:rsidRDefault="000B6B57" w:rsidP="00911899">
      <w:pPr>
        <w:pStyle w:val="FootnoteText"/>
        <w:rPr>
          <w:szCs w:val="16"/>
          <w:lang w:val="es-CR"/>
        </w:rPr>
      </w:pPr>
      <w:r w:rsidRPr="00C53468">
        <w:rPr>
          <w:rStyle w:val="FootnoteReference"/>
          <w:szCs w:val="16"/>
        </w:rPr>
        <w:footnoteRef/>
      </w:r>
      <w:r w:rsidRPr="001E3C83">
        <w:rPr>
          <w:szCs w:val="16"/>
          <w:lang w:val="es-CR"/>
        </w:rPr>
        <w:t xml:space="preserve"> Párr.3° del Preámbulo de la Convención.</w:t>
      </w:r>
    </w:p>
  </w:footnote>
  <w:footnote w:id="80">
    <w:p w14:paraId="7E3DA174" w14:textId="77777777" w:rsidR="000B6B57" w:rsidRPr="009F7831" w:rsidRDefault="000B6B57" w:rsidP="00911899">
      <w:pPr>
        <w:spacing w:after="0"/>
        <w:jc w:val="both"/>
        <w:rPr>
          <w:rFonts w:ascii="Verdana" w:hAnsi="Verdana"/>
          <w:i/>
          <w:sz w:val="16"/>
          <w:szCs w:val="16"/>
          <w:lang w:val="es-ES"/>
        </w:rPr>
      </w:pPr>
      <w:r w:rsidRPr="00C53468">
        <w:rPr>
          <w:rStyle w:val="FootnoteReference"/>
          <w:rFonts w:ascii="Verdana" w:hAnsi="Verdana"/>
          <w:sz w:val="16"/>
          <w:szCs w:val="16"/>
        </w:rPr>
        <w:footnoteRef/>
      </w:r>
      <w:r w:rsidRPr="009F7831">
        <w:rPr>
          <w:rFonts w:ascii="Verdana" w:hAnsi="Verdana"/>
          <w:sz w:val="16"/>
          <w:szCs w:val="16"/>
        </w:rPr>
        <w:t xml:space="preserve"> Art. 46.1.a): “</w:t>
      </w:r>
      <w:r w:rsidRPr="00C53468">
        <w:rPr>
          <w:rFonts w:ascii="Verdana" w:hAnsi="Verdana"/>
          <w:i/>
          <w:sz w:val="16"/>
          <w:szCs w:val="16"/>
          <w:lang w:val="es-ES"/>
        </w:rPr>
        <w:t>1. Para que una petición o comunicación presentada conforme a los artículos 44 ó 45 sea admitida por la Comisión, se requerirá: a) que se hayan interpuesto y agotado los recursos de jurisdicción interna, conforme a los principios del Derecho Internacional generalmente reconocidos</w:t>
      </w:r>
      <w:r w:rsidRPr="00C53468">
        <w:rPr>
          <w:rFonts w:ascii="Verdana" w:hAnsi="Verdana"/>
          <w:sz w:val="16"/>
          <w:szCs w:val="16"/>
          <w:lang w:val="es-ES"/>
        </w:rPr>
        <w:t>;”</w:t>
      </w:r>
    </w:p>
  </w:footnote>
  <w:footnote w:id="81">
    <w:p w14:paraId="1D67EB2F" w14:textId="77777777" w:rsidR="000B6B57" w:rsidRPr="00C53468" w:rsidRDefault="000B6B57" w:rsidP="00911899">
      <w:pPr>
        <w:pStyle w:val="FootnoteText"/>
        <w:rPr>
          <w:szCs w:val="16"/>
          <w:lang w:val="es-CL"/>
        </w:rPr>
      </w:pPr>
      <w:r w:rsidRPr="00C53468">
        <w:rPr>
          <w:rStyle w:val="FootnoteReference"/>
          <w:szCs w:val="16"/>
        </w:rPr>
        <w:footnoteRef/>
      </w:r>
      <w:r w:rsidRPr="00C53468">
        <w:rPr>
          <w:szCs w:val="16"/>
        </w:rPr>
        <w:t xml:space="preserve"> </w:t>
      </w:r>
      <w:r w:rsidRPr="00C53468">
        <w:rPr>
          <w:szCs w:val="16"/>
          <w:lang w:val="es-CL"/>
        </w:rPr>
        <w:t>Considerando 14</w:t>
      </w:r>
      <w:r>
        <w:rPr>
          <w:szCs w:val="16"/>
          <w:lang w:val="es-C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3185975"/>
      <w:docPartObj>
        <w:docPartGallery w:val="Page Numbers (Top of Page)"/>
        <w:docPartUnique/>
      </w:docPartObj>
    </w:sdtPr>
    <w:sdtEndPr>
      <w:rPr>
        <w:noProof/>
      </w:rPr>
    </w:sdtEndPr>
    <w:sdtContent>
      <w:p w14:paraId="12E3E0F2" w14:textId="77777777" w:rsidR="000B6B57" w:rsidRDefault="000B6B57">
        <w:pPr>
          <w:pStyle w:val="Header"/>
          <w:jc w:val="center"/>
        </w:pPr>
        <w:r>
          <w:t>-</w:t>
        </w:r>
        <w:r>
          <w:fldChar w:fldCharType="begin"/>
        </w:r>
        <w:r>
          <w:instrText xml:space="preserve"> PAGE   \* MERGEFORMAT </w:instrText>
        </w:r>
        <w:r>
          <w:fldChar w:fldCharType="separate"/>
        </w:r>
        <w:r w:rsidR="00911899">
          <w:rPr>
            <w:noProof/>
          </w:rPr>
          <w:t>20</w:t>
        </w:r>
        <w:r>
          <w:rPr>
            <w:noProof/>
          </w:rPr>
          <w:fldChar w:fldCharType="end"/>
        </w:r>
        <w:r>
          <w:rPr>
            <w:noProof/>
          </w:rPr>
          <w:t>-</w:t>
        </w:r>
      </w:p>
    </w:sdtContent>
  </w:sdt>
  <w:p w14:paraId="4B394E2C" w14:textId="77777777" w:rsidR="000B6B57" w:rsidRPr="00495FBB" w:rsidRDefault="000B6B57" w:rsidP="00495FBB">
    <w:pPr>
      <w:pStyle w:val="Header"/>
      <w:jc w:val="right"/>
      <w:rPr>
        <w:rFonts w:ascii="Calibri Light" w:hAnsi="Calibri Light"/>
        <w:i/>
        <w:sz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0AC484" w14:textId="03CD31BC" w:rsidR="000B6B57" w:rsidRPr="00495FBB" w:rsidRDefault="000B6B57" w:rsidP="00495FBB">
    <w:pPr>
      <w:pStyle w:val="Header"/>
      <w:jc w:val="right"/>
      <w:rPr>
        <w:rFonts w:ascii="Calibri Light" w:hAnsi="Calibri Light"/>
        <w:i/>
        <w:sz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4AB902" w14:textId="6B7E5C76" w:rsidR="000B6B57" w:rsidRDefault="000B6B57">
    <w:pPr>
      <w:pStyle w:val="Header"/>
      <w:jc w:val="center"/>
    </w:pPr>
  </w:p>
  <w:p w14:paraId="00A855F3" w14:textId="77777777" w:rsidR="000B6B57" w:rsidRPr="00495FBB" w:rsidRDefault="000B6B57" w:rsidP="00495FBB">
    <w:pPr>
      <w:pStyle w:val="Header"/>
      <w:jc w:val="right"/>
      <w:rPr>
        <w:rFonts w:ascii="Calibri Light" w:hAnsi="Calibri Light"/>
        <w:i/>
        <w:sz w:val="1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4719826"/>
      <w:docPartObj>
        <w:docPartGallery w:val="Page Numbers (Top of Page)"/>
        <w:docPartUnique/>
      </w:docPartObj>
    </w:sdtPr>
    <w:sdtEndPr/>
    <w:sdtContent>
      <w:p w14:paraId="72241807" w14:textId="77777777" w:rsidR="00666206" w:rsidRDefault="00BC0FD5">
        <w:pPr>
          <w:pStyle w:val="Header"/>
          <w:jc w:val="center"/>
        </w:pPr>
        <w:r>
          <w:fldChar w:fldCharType="begin"/>
        </w:r>
        <w:r>
          <w:instrText>PAGE   \* MERGEFORMAT</w:instrText>
        </w:r>
        <w:r>
          <w:fldChar w:fldCharType="separate"/>
        </w:r>
        <w:r w:rsidR="003C7E0B" w:rsidRPr="003C7E0B">
          <w:rPr>
            <w:noProof/>
            <w:lang w:val="es-ES"/>
          </w:rPr>
          <w:t>6</w:t>
        </w:r>
        <w:r>
          <w:fldChar w:fldCharType="end"/>
        </w:r>
      </w:p>
    </w:sdtContent>
  </w:sdt>
  <w:p w14:paraId="6DBAAAAB" w14:textId="77777777" w:rsidR="00A37D36" w:rsidRPr="00A37D36" w:rsidRDefault="003C7E0B" w:rsidP="00A37D36">
    <w:pPr>
      <w:pStyle w:val="Header"/>
      <w:jc w:val="right"/>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F7339"/>
    <w:multiLevelType w:val="hybridMultilevel"/>
    <w:tmpl w:val="F76470A4"/>
    <w:lvl w:ilvl="0" w:tplc="A0961EF0">
      <w:start w:val="1"/>
      <w:numFmt w:val="lowerLetter"/>
      <w:lvlText w:val="%1)"/>
      <w:lvlJc w:val="left"/>
      <w:pPr>
        <w:ind w:left="720" w:hanging="360"/>
      </w:pPr>
      <w:rPr>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nsid w:val="04195713"/>
    <w:multiLevelType w:val="hybridMultilevel"/>
    <w:tmpl w:val="67165128"/>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nsid w:val="0506645E"/>
    <w:multiLevelType w:val="hybridMultilevel"/>
    <w:tmpl w:val="B3065B72"/>
    <w:lvl w:ilvl="0" w:tplc="AD6A39EC">
      <w:start w:val="1"/>
      <w:numFmt w:val="decimal"/>
      <w:lvlText w:val="%1."/>
      <w:lvlJc w:val="left"/>
      <w:pPr>
        <w:ind w:left="540" w:hanging="360"/>
      </w:pPr>
      <w:rPr>
        <w:rFonts w:ascii="Verdana" w:hAnsi="Verdana" w:hint="default"/>
        <w:b w:val="0"/>
        <w:sz w:val="20"/>
        <w:szCs w:val="20"/>
      </w:rPr>
    </w:lvl>
    <w:lvl w:ilvl="1" w:tplc="C972902A">
      <w:start w:val="1"/>
      <w:numFmt w:val="lowerLetter"/>
      <w:lvlText w:val="%2."/>
      <w:lvlJc w:val="left"/>
      <w:pPr>
        <w:ind w:left="1080" w:hanging="360"/>
      </w:pPr>
      <w:rPr>
        <w:rFonts w:ascii="Verdana" w:eastAsiaTheme="minorHAnsi" w:hAnsi="Verdana" w:cs="Verdana"/>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0B1D0619"/>
    <w:multiLevelType w:val="hybridMultilevel"/>
    <w:tmpl w:val="57CA5D12"/>
    <w:lvl w:ilvl="0" w:tplc="0F3A81AC">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D711F08"/>
    <w:multiLevelType w:val="hybridMultilevel"/>
    <w:tmpl w:val="F20A1548"/>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36C73FA2"/>
    <w:multiLevelType w:val="hybridMultilevel"/>
    <w:tmpl w:val="9BCC744E"/>
    <w:lvl w:ilvl="0" w:tplc="6EB243F4">
      <w:start w:val="1"/>
      <w:numFmt w:val="decimal"/>
      <w:lvlText w:val="%1."/>
      <w:lvlJc w:val="left"/>
      <w:pPr>
        <w:ind w:left="785"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49273404"/>
    <w:multiLevelType w:val="hybridMultilevel"/>
    <w:tmpl w:val="32040DAC"/>
    <w:lvl w:ilvl="0" w:tplc="20EEC668">
      <w:start w:val="1"/>
      <w:numFmt w:val="upperLetter"/>
      <w:lvlText w:val="%1."/>
      <w:lvlJc w:val="left"/>
      <w:pPr>
        <w:ind w:left="643" w:hanging="360"/>
      </w:pPr>
      <w:rPr>
        <w:rFonts w:hint="default"/>
      </w:rPr>
    </w:lvl>
    <w:lvl w:ilvl="1" w:tplc="340A0019" w:tentative="1">
      <w:start w:val="1"/>
      <w:numFmt w:val="lowerLetter"/>
      <w:lvlText w:val="%2."/>
      <w:lvlJc w:val="left"/>
      <w:pPr>
        <w:ind w:left="1363" w:hanging="360"/>
      </w:pPr>
    </w:lvl>
    <w:lvl w:ilvl="2" w:tplc="340A001B" w:tentative="1">
      <w:start w:val="1"/>
      <w:numFmt w:val="lowerRoman"/>
      <w:lvlText w:val="%3."/>
      <w:lvlJc w:val="right"/>
      <w:pPr>
        <w:ind w:left="2083" w:hanging="180"/>
      </w:pPr>
    </w:lvl>
    <w:lvl w:ilvl="3" w:tplc="340A000F" w:tentative="1">
      <w:start w:val="1"/>
      <w:numFmt w:val="decimal"/>
      <w:lvlText w:val="%4."/>
      <w:lvlJc w:val="left"/>
      <w:pPr>
        <w:ind w:left="2803" w:hanging="360"/>
      </w:pPr>
    </w:lvl>
    <w:lvl w:ilvl="4" w:tplc="340A0019" w:tentative="1">
      <w:start w:val="1"/>
      <w:numFmt w:val="lowerLetter"/>
      <w:lvlText w:val="%5."/>
      <w:lvlJc w:val="left"/>
      <w:pPr>
        <w:ind w:left="3523" w:hanging="360"/>
      </w:pPr>
    </w:lvl>
    <w:lvl w:ilvl="5" w:tplc="340A001B" w:tentative="1">
      <w:start w:val="1"/>
      <w:numFmt w:val="lowerRoman"/>
      <w:lvlText w:val="%6."/>
      <w:lvlJc w:val="right"/>
      <w:pPr>
        <w:ind w:left="4243" w:hanging="180"/>
      </w:pPr>
    </w:lvl>
    <w:lvl w:ilvl="6" w:tplc="340A000F" w:tentative="1">
      <w:start w:val="1"/>
      <w:numFmt w:val="decimal"/>
      <w:lvlText w:val="%7."/>
      <w:lvlJc w:val="left"/>
      <w:pPr>
        <w:ind w:left="4963" w:hanging="360"/>
      </w:pPr>
    </w:lvl>
    <w:lvl w:ilvl="7" w:tplc="340A0019" w:tentative="1">
      <w:start w:val="1"/>
      <w:numFmt w:val="lowerLetter"/>
      <w:lvlText w:val="%8."/>
      <w:lvlJc w:val="left"/>
      <w:pPr>
        <w:ind w:left="5683" w:hanging="360"/>
      </w:pPr>
    </w:lvl>
    <w:lvl w:ilvl="8" w:tplc="340A001B" w:tentative="1">
      <w:start w:val="1"/>
      <w:numFmt w:val="lowerRoman"/>
      <w:lvlText w:val="%9."/>
      <w:lvlJc w:val="right"/>
      <w:pPr>
        <w:ind w:left="6403" w:hanging="180"/>
      </w:pPr>
    </w:lvl>
  </w:abstractNum>
  <w:abstractNum w:abstractNumId="7">
    <w:nsid w:val="4A9739E2"/>
    <w:multiLevelType w:val="hybridMultilevel"/>
    <w:tmpl w:val="06346FDC"/>
    <w:lvl w:ilvl="0" w:tplc="EC2ABBBE">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nsid w:val="57FA4E55"/>
    <w:multiLevelType w:val="hybridMultilevel"/>
    <w:tmpl w:val="C8BED6AA"/>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nsid w:val="623A19C3"/>
    <w:multiLevelType w:val="hybridMultilevel"/>
    <w:tmpl w:val="38B25AC8"/>
    <w:lvl w:ilvl="0" w:tplc="5EBAA234">
      <w:start w:val="1"/>
      <w:numFmt w:val="upp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6A0518E5"/>
    <w:multiLevelType w:val="hybridMultilevel"/>
    <w:tmpl w:val="67165128"/>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nsid w:val="6CE02291"/>
    <w:multiLevelType w:val="hybridMultilevel"/>
    <w:tmpl w:val="EEF4C08C"/>
    <w:lvl w:ilvl="0" w:tplc="2C9A56D0">
      <w:start w:val="199"/>
      <w:numFmt w:val="decimal"/>
      <w:lvlText w:val="%1."/>
      <w:lvlJc w:val="left"/>
      <w:pPr>
        <w:ind w:left="2265" w:hanging="375"/>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2">
    <w:nsid w:val="6DA11262"/>
    <w:multiLevelType w:val="hybridMultilevel"/>
    <w:tmpl w:val="BF583CE4"/>
    <w:lvl w:ilvl="0" w:tplc="570AA9B8">
      <w:start w:val="1"/>
      <w:numFmt w:val="decimal"/>
      <w:lvlText w:val="%1."/>
      <w:lvlJc w:val="left"/>
      <w:pPr>
        <w:ind w:left="540" w:hanging="360"/>
      </w:pPr>
      <w:rPr>
        <w:b w:val="0"/>
        <w:i w:val="0"/>
        <w:strike w:val="0"/>
        <w:sz w:val="20"/>
        <w:lang w:val="es-CR"/>
      </w:rPr>
    </w:lvl>
    <w:lvl w:ilvl="1" w:tplc="140A0017">
      <w:start w:val="1"/>
      <w:numFmt w:val="lowerLetter"/>
      <w:lvlText w:val="%2)"/>
      <w:lvlJc w:val="left"/>
      <w:pPr>
        <w:ind w:left="1080" w:hanging="360"/>
      </w:pPr>
      <w:rPr>
        <w:b w:val="0"/>
        <w:i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nsid w:val="705A6F5C"/>
    <w:multiLevelType w:val="hybridMultilevel"/>
    <w:tmpl w:val="8ADCBDF8"/>
    <w:lvl w:ilvl="0" w:tplc="891A315C">
      <w:start w:val="1"/>
      <w:numFmt w:val="decimal"/>
      <w:pStyle w:val="Numberedparagraphs"/>
      <w:lvlText w:val="%1."/>
      <w:lvlJc w:val="left"/>
      <w:pPr>
        <w:tabs>
          <w:tab w:val="num" w:pos="720"/>
        </w:tabs>
        <w:ind w:left="0" w:firstLine="0"/>
      </w:pPr>
      <w:rPr>
        <w:rFonts w:ascii="Verdana" w:hAnsi="Verdana" w:hint="default"/>
        <w:b w:val="0"/>
        <w:i w:val="0"/>
        <w:strike w:val="0"/>
        <w:color w:val="auto"/>
        <w:sz w:val="20"/>
        <w:szCs w:val="20"/>
        <w:lang w:val="es-CR"/>
      </w:rPr>
    </w:lvl>
    <w:lvl w:ilvl="1" w:tplc="68BECEB8">
      <w:start w:val="1"/>
      <w:numFmt w:val="lowerLetter"/>
      <w:lvlText w:val="%2."/>
      <w:lvlJc w:val="left"/>
      <w:pPr>
        <w:ind w:left="2160" w:hanging="360"/>
      </w:pPr>
      <w:rPr>
        <w:rFonts w:hint="default"/>
        <w:b w:val="0"/>
      </w:rPr>
    </w:lvl>
    <w:lvl w:ilvl="2" w:tplc="0409001B">
      <w:start w:val="1"/>
      <w:numFmt w:val="lowerRoman"/>
      <w:lvlText w:val="%3."/>
      <w:lvlJc w:val="right"/>
      <w:pPr>
        <w:ind w:left="2880" w:hanging="180"/>
      </w:pPr>
    </w:lvl>
    <w:lvl w:ilvl="3" w:tplc="FA4A8440">
      <w:start w:val="1"/>
      <w:numFmt w:val="lowerLetter"/>
      <w:lvlText w:val="%4)"/>
      <w:lvlJc w:val="left"/>
      <w:pPr>
        <w:ind w:left="3960" w:hanging="72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72FB47F6"/>
    <w:multiLevelType w:val="hybridMultilevel"/>
    <w:tmpl w:val="07FA4B68"/>
    <w:lvl w:ilvl="0" w:tplc="5A34F1FA">
      <w:start w:val="1"/>
      <w:numFmt w:val="decimal"/>
      <w:lvlText w:val="%1."/>
      <w:lvlJc w:val="left"/>
      <w:pPr>
        <w:ind w:left="1068" w:hanging="360"/>
      </w:pPr>
      <w:rPr>
        <w:rFonts w:ascii="Verdana" w:hAnsi="Verdana" w:hint="default"/>
        <w:color w:val="000000"/>
        <w:sz w:val="16"/>
        <w:szCs w:val="16"/>
      </w:rPr>
    </w:lvl>
    <w:lvl w:ilvl="1" w:tplc="140A0019" w:tentative="1">
      <w:start w:val="1"/>
      <w:numFmt w:val="lowerLetter"/>
      <w:lvlText w:val="%2."/>
      <w:lvlJc w:val="left"/>
      <w:pPr>
        <w:ind w:left="1788" w:hanging="360"/>
      </w:pPr>
    </w:lvl>
    <w:lvl w:ilvl="2" w:tplc="140A001B" w:tentative="1">
      <w:start w:val="1"/>
      <w:numFmt w:val="lowerRoman"/>
      <w:lvlText w:val="%3."/>
      <w:lvlJc w:val="right"/>
      <w:pPr>
        <w:ind w:left="2508" w:hanging="180"/>
      </w:pPr>
    </w:lvl>
    <w:lvl w:ilvl="3" w:tplc="140A000F" w:tentative="1">
      <w:start w:val="1"/>
      <w:numFmt w:val="decimal"/>
      <w:lvlText w:val="%4."/>
      <w:lvlJc w:val="left"/>
      <w:pPr>
        <w:ind w:left="3228" w:hanging="360"/>
      </w:pPr>
    </w:lvl>
    <w:lvl w:ilvl="4" w:tplc="140A0019" w:tentative="1">
      <w:start w:val="1"/>
      <w:numFmt w:val="lowerLetter"/>
      <w:lvlText w:val="%5."/>
      <w:lvlJc w:val="left"/>
      <w:pPr>
        <w:ind w:left="3948" w:hanging="360"/>
      </w:pPr>
    </w:lvl>
    <w:lvl w:ilvl="5" w:tplc="140A001B" w:tentative="1">
      <w:start w:val="1"/>
      <w:numFmt w:val="lowerRoman"/>
      <w:lvlText w:val="%6."/>
      <w:lvlJc w:val="right"/>
      <w:pPr>
        <w:ind w:left="4668" w:hanging="180"/>
      </w:pPr>
    </w:lvl>
    <w:lvl w:ilvl="6" w:tplc="140A000F" w:tentative="1">
      <w:start w:val="1"/>
      <w:numFmt w:val="decimal"/>
      <w:lvlText w:val="%7."/>
      <w:lvlJc w:val="left"/>
      <w:pPr>
        <w:ind w:left="5388" w:hanging="360"/>
      </w:pPr>
    </w:lvl>
    <w:lvl w:ilvl="7" w:tplc="140A0019" w:tentative="1">
      <w:start w:val="1"/>
      <w:numFmt w:val="lowerLetter"/>
      <w:lvlText w:val="%8."/>
      <w:lvlJc w:val="left"/>
      <w:pPr>
        <w:ind w:left="6108" w:hanging="360"/>
      </w:pPr>
    </w:lvl>
    <w:lvl w:ilvl="8" w:tplc="140A001B" w:tentative="1">
      <w:start w:val="1"/>
      <w:numFmt w:val="lowerRoman"/>
      <w:lvlText w:val="%9."/>
      <w:lvlJc w:val="right"/>
      <w:pPr>
        <w:ind w:left="6828" w:hanging="180"/>
      </w:pPr>
    </w:lvl>
  </w:abstractNum>
  <w:abstractNum w:abstractNumId="15">
    <w:nsid w:val="7A902B73"/>
    <w:multiLevelType w:val="hybridMultilevel"/>
    <w:tmpl w:val="33F830D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nsid w:val="7D2D73A7"/>
    <w:multiLevelType w:val="hybridMultilevel"/>
    <w:tmpl w:val="AD0E994A"/>
    <w:lvl w:ilvl="0" w:tplc="15CC9FEA">
      <w:start w:val="1"/>
      <w:numFmt w:val="decimal"/>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7">
    <w:nsid w:val="7D352ADE"/>
    <w:multiLevelType w:val="hybridMultilevel"/>
    <w:tmpl w:val="831C2B36"/>
    <w:lvl w:ilvl="0" w:tplc="88943F76">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12"/>
  </w:num>
  <w:num w:numId="4">
    <w:abstractNumId w:val="7"/>
  </w:num>
  <w:num w:numId="5">
    <w:abstractNumId w:val="11"/>
  </w:num>
  <w:num w:numId="6">
    <w:abstractNumId w:val="14"/>
  </w:num>
  <w:num w:numId="7">
    <w:abstractNumId w:val="0"/>
  </w:num>
  <w:num w:numId="8">
    <w:abstractNumId w:val="10"/>
  </w:num>
  <w:num w:numId="9">
    <w:abstractNumId w:val="1"/>
  </w:num>
  <w:num w:numId="10">
    <w:abstractNumId w:val="8"/>
  </w:num>
  <w:num w:numId="11">
    <w:abstractNumId w:val="13"/>
  </w:num>
  <w:num w:numId="12">
    <w:abstractNumId w:val="5"/>
  </w:num>
  <w:num w:numId="13">
    <w:abstractNumId w:val="15"/>
  </w:num>
  <w:num w:numId="14">
    <w:abstractNumId w:val="9"/>
  </w:num>
  <w:num w:numId="15">
    <w:abstractNumId w:val="17"/>
  </w:num>
  <w:num w:numId="16">
    <w:abstractNumId w:val="4"/>
  </w:num>
  <w:num w:numId="17">
    <w:abstractNumId w:val="6"/>
  </w:num>
  <w:num w:numId="18">
    <w:abstractNumId w:val="3"/>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oberto Caldas">
    <w15:presenceInfo w15:providerId="None" w15:userId="Roberto Calda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E47"/>
    <w:rsid w:val="00001516"/>
    <w:rsid w:val="0000252B"/>
    <w:rsid w:val="00004B13"/>
    <w:rsid w:val="00005A78"/>
    <w:rsid w:val="000062F1"/>
    <w:rsid w:val="00010CE4"/>
    <w:rsid w:val="00011077"/>
    <w:rsid w:val="00011376"/>
    <w:rsid w:val="000134D7"/>
    <w:rsid w:val="00013D65"/>
    <w:rsid w:val="000157CF"/>
    <w:rsid w:val="000169C5"/>
    <w:rsid w:val="000207D5"/>
    <w:rsid w:val="00020E10"/>
    <w:rsid w:val="00021245"/>
    <w:rsid w:val="000237D5"/>
    <w:rsid w:val="000258F8"/>
    <w:rsid w:val="0002611F"/>
    <w:rsid w:val="00027408"/>
    <w:rsid w:val="000318EA"/>
    <w:rsid w:val="00040DC0"/>
    <w:rsid w:val="0004611C"/>
    <w:rsid w:val="000469F1"/>
    <w:rsid w:val="0005214D"/>
    <w:rsid w:val="00052F8B"/>
    <w:rsid w:val="00053BF4"/>
    <w:rsid w:val="00053D7F"/>
    <w:rsid w:val="00054895"/>
    <w:rsid w:val="00056C14"/>
    <w:rsid w:val="00056C90"/>
    <w:rsid w:val="000625A2"/>
    <w:rsid w:val="00062F28"/>
    <w:rsid w:val="00065A8A"/>
    <w:rsid w:val="00066566"/>
    <w:rsid w:val="00066850"/>
    <w:rsid w:val="0006791F"/>
    <w:rsid w:val="00071D1F"/>
    <w:rsid w:val="000753D6"/>
    <w:rsid w:val="00075905"/>
    <w:rsid w:val="00075F01"/>
    <w:rsid w:val="00076BC7"/>
    <w:rsid w:val="00076C9D"/>
    <w:rsid w:val="0008374C"/>
    <w:rsid w:val="00083874"/>
    <w:rsid w:val="00083D64"/>
    <w:rsid w:val="00084928"/>
    <w:rsid w:val="00084AE4"/>
    <w:rsid w:val="00085483"/>
    <w:rsid w:val="00085D15"/>
    <w:rsid w:val="000869D0"/>
    <w:rsid w:val="000903A4"/>
    <w:rsid w:val="0009099D"/>
    <w:rsid w:val="00091B58"/>
    <w:rsid w:val="00092007"/>
    <w:rsid w:val="00092C0B"/>
    <w:rsid w:val="00094204"/>
    <w:rsid w:val="0009453A"/>
    <w:rsid w:val="00095D56"/>
    <w:rsid w:val="000960F7"/>
    <w:rsid w:val="00097592"/>
    <w:rsid w:val="000A0C0D"/>
    <w:rsid w:val="000A1BCB"/>
    <w:rsid w:val="000A1F3E"/>
    <w:rsid w:val="000A2DF9"/>
    <w:rsid w:val="000A4D4F"/>
    <w:rsid w:val="000B2D48"/>
    <w:rsid w:val="000B358A"/>
    <w:rsid w:val="000B47E3"/>
    <w:rsid w:val="000B5CEB"/>
    <w:rsid w:val="000B5E15"/>
    <w:rsid w:val="000B6B39"/>
    <w:rsid w:val="000B6B57"/>
    <w:rsid w:val="000B7C8B"/>
    <w:rsid w:val="000C0AA7"/>
    <w:rsid w:val="000C16F3"/>
    <w:rsid w:val="000C1D30"/>
    <w:rsid w:val="000C23A8"/>
    <w:rsid w:val="000C27A1"/>
    <w:rsid w:val="000C2908"/>
    <w:rsid w:val="000C3832"/>
    <w:rsid w:val="000C40E9"/>
    <w:rsid w:val="000C578C"/>
    <w:rsid w:val="000C59EC"/>
    <w:rsid w:val="000C5ACD"/>
    <w:rsid w:val="000D08B8"/>
    <w:rsid w:val="000D17C0"/>
    <w:rsid w:val="000D3062"/>
    <w:rsid w:val="000D38F2"/>
    <w:rsid w:val="000D3ED5"/>
    <w:rsid w:val="000D4F63"/>
    <w:rsid w:val="000D5367"/>
    <w:rsid w:val="000D640C"/>
    <w:rsid w:val="000D66E4"/>
    <w:rsid w:val="000D681F"/>
    <w:rsid w:val="000E06D2"/>
    <w:rsid w:val="000E1376"/>
    <w:rsid w:val="000E1E73"/>
    <w:rsid w:val="000E2708"/>
    <w:rsid w:val="000E484E"/>
    <w:rsid w:val="000E6508"/>
    <w:rsid w:val="000E6D5A"/>
    <w:rsid w:val="000E6F84"/>
    <w:rsid w:val="000F0341"/>
    <w:rsid w:val="000F15DC"/>
    <w:rsid w:val="000F4653"/>
    <w:rsid w:val="000F56D1"/>
    <w:rsid w:val="000F62F3"/>
    <w:rsid w:val="000F645E"/>
    <w:rsid w:val="00101BC8"/>
    <w:rsid w:val="00101EFC"/>
    <w:rsid w:val="001029A7"/>
    <w:rsid w:val="00102ED7"/>
    <w:rsid w:val="00107FDB"/>
    <w:rsid w:val="00111745"/>
    <w:rsid w:val="00112825"/>
    <w:rsid w:val="00113619"/>
    <w:rsid w:val="00113A87"/>
    <w:rsid w:val="00117142"/>
    <w:rsid w:val="001178FD"/>
    <w:rsid w:val="001211B1"/>
    <w:rsid w:val="00121F3C"/>
    <w:rsid w:val="00122E17"/>
    <w:rsid w:val="00123498"/>
    <w:rsid w:val="00123A60"/>
    <w:rsid w:val="00125148"/>
    <w:rsid w:val="001326AC"/>
    <w:rsid w:val="00132986"/>
    <w:rsid w:val="001369A0"/>
    <w:rsid w:val="00136F52"/>
    <w:rsid w:val="00141988"/>
    <w:rsid w:val="001433CE"/>
    <w:rsid w:val="00143BC1"/>
    <w:rsid w:val="00145356"/>
    <w:rsid w:val="00145DEC"/>
    <w:rsid w:val="00146045"/>
    <w:rsid w:val="001463D9"/>
    <w:rsid w:val="00146D2C"/>
    <w:rsid w:val="00147F34"/>
    <w:rsid w:val="00150C48"/>
    <w:rsid w:val="00150EB6"/>
    <w:rsid w:val="00153EBC"/>
    <w:rsid w:val="0015556C"/>
    <w:rsid w:val="0015795E"/>
    <w:rsid w:val="00162C8E"/>
    <w:rsid w:val="00162CCD"/>
    <w:rsid w:val="00162D03"/>
    <w:rsid w:val="001634E6"/>
    <w:rsid w:val="00163B5C"/>
    <w:rsid w:val="0016539F"/>
    <w:rsid w:val="00165477"/>
    <w:rsid w:val="00166CBD"/>
    <w:rsid w:val="001744A2"/>
    <w:rsid w:val="00176FB7"/>
    <w:rsid w:val="00184EB9"/>
    <w:rsid w:val="00186766"/>
    <w:rsid w:val="00190A05"/>
    <w:rsid w:val="0019224A"/>
    <w:rsid w:val="001942B3"/>
    <w:rsid w:val="0019512B"/>
    <w:rsid w:val="00196E0E"/>
    <w:rsid w:val="001974A9"/>
    <w:rsid w:val="001A0821"/>
    <w:rsid w:val="001A0CA6"/>
    <w:rsid w:val="001A3056"/>
    <w:rsid w:val="001A30CE"/>
    <w:rsid w:val="001A4AFB"/>
    <w:rsid w:val="001A4CCD"/>
    <w:rsid w:val="001A7B68"/>
    <w:rsid w:val="001B0A7B"/>
    <w:rsid w:val="001B0F88"/>
    <w:rsid w:val="001B169E"/>
    <w:rsid w:val="001B17F1"/>
    <w:rsid w:val="001B19C4"/>
    <w:rsid w:val="001B2922"/>
    <w:rsid w:val="001B3109"/>
    <w:rsid w:val="001B4180"/>
    <w:rsid w:val="001C7A2F"/>
    <w:rsid w:val="001D12DA"/>
    <w:rsid w:val="001D25D6"/>
    <w:rsid w:val="001D3CD5"/>
    <w:rsid w:val="001D42D2"/>
    <w:rsid w:val="001D487B"/>
    <w:rsid w:val="001D5C2F"/>
    <w:rsid w:val="001D5D69"/>
    <w:rsid w:val="001D5F9E"/>
    <w:rsid w:val="001D65F3"/>
    <w:rsid w:val="001D7716"/>
    <w:rsid w:val="001E3DC1"/>
    <w:rsid w:val="001E5D17"/>
    <w:rsid w:val="001E6132"/>
    <w:rsid w:val="001F2EDC"/>
    <w:rsid w:val="001F3073"/>
    <w:rsid w:val="001F3AB0"/>
    <w:rsid w:val="001F40A9"/>
    <w:rsid w:val="001F452A"/>
    <w:rsid w:val="001F7439"/>
    <w:rsid w:val="002020D5"/>
    <w:rsid w:val="0021617F"/>
    <w:rsid w:val="002169CD"/>
    <w:rsid w:val="0022028C"/>
    <w:rsid w:val="002213EC"/>
    <w:rsid w:val="00222066"/>
    <w:rsid w:val="0022438B"/>
    <w:rsid w:val="0022450F"/>
    <w:rsid w:val="002252AC"/>
    <w:rsid w:val="00227870"/>
    <w:rsid w:val="00227F34"/>
    <w:rsid w:val="00231C31"/>
    <w:rsid w:val="00233880"/>
    <w:rsid w:val="0023606B"/>
    <w:rsid w:val="002370D3"/>
    <w:rsid w:val="00243B12"/>
    <w:rsid w:val="00243C06"/>
    <w:rsid w:val="00243CA5"/>
    <w:rsid w:val="00247966"/>
    <w:rsid w:val="00247A42"/>
    <w:rsid w:val="002506CF"/>
    <w:rsid w:val="002516BD"/>
    <w:rsid w:val="00251A6E"/>
    <w:rsid w:val="00251D39"/>
    <w:rsid w:val="00253684"/>
    <w:rsid w:val="00253DD8"/>
    <w:rsid w:val="00254851"/>
    <w:rsid w:val="00254C85"/>
    <w:rsid w:val="00256539"/>
    <w:rsid w:val="00256D75"/>
    <w:rsid w:val="00257C5B"/>
    <w:rsid w:val="00260524"/>
    <w:rsid w:val="00264118"/>
    <w:rsid w:val="00265055"/>
    <w:rsid w:val="002658BA"/>
    <w:rsid w:val="002672C4"/>
    <w:rsid w:val="00271528"/>
    <w:rsid w:val="00274F39"/>
    <w:rsid w:val="00274F60"/>
    <w:rsid w:val="00275236"/>
    <w:rsid w:val="002761A1"/>
    <w:rsid w:val="00277345"/>
    <w:rsid w:val="00277CFC"/>
    <w:rsid w:val="00280415"/>
    <w:rsid w:val="00282841"/>
    <w:rsid w:val="00284B5D"/>
    <w:rsid w:val="0028589B"/>
    <w:rsid w:val="00285FF4"/>
    <w:rsid w:val="00286846"/>
    <w:rsid w:val="002875CD"/>
    <w:rsid w:val="002904E1"/>
    <w:rsid w:val="002932DD"/>
    <w:rsid w:val="00295FE3"/>
    <w:rsid w:val="002960BB"/>
    <w:rsid w:val="00297FB5"/>
    <w:rsid w:val="002A0B31"/>
    <w:rsid w:val="002A1106"/>
    <w:rsid w:val="002A195D"/>
    <w:rsid w:val="002A4024"/>
    <w:rsid w:val="002A6CFE"/>
    <w:rsid w:val="002A6F79"/>
    <w:rsid w:val="002B21C9"/>
    <w:rsid w:val="002B2B74"/>
    <w:rsid w:val="002B2FF4"/>
    <w:rsid w:val="002B382E"/>
    <w:rsid w:val="002B46DA"/>
    <w:rsid w:val="002B6B5A"/>
    <w:rsid w:val="002C1EBF"/>
    <w:rsid w:val="002C2816"/>
    <w:rsid w:val="002C2953"/>
    <w:rsid w:val="002C3114"/>
    <w:rsid w:val="002C330F"/>
    <w:rsid w:val="002C3696"/>
    <w:rsid w:val="002C3B6D"/>
    <w:rsid w:val="002C40AD"/>
    <w:rsid w:val="002C4AEE"/>
    <w:rsid w:val="002C4B26"/>
    <w:rsid w:val="002C5A3D"/>
    <w:rsid w:val="002C5E76"/>
    <w:rsid w:val="002C6FDC"/>
    <w:rsid w:val="002C71A1"/>
    <w:rsid w:val="002C733B"/>
    <w:rsid w:val="002D1129"/>
    <w:rsid w:val="002D3952"/>
    <w:rsid w:val="002D4176"/>
    <w:rsid w:val="002D4E3B"/>
    <w:rsid w:val="002D4FF6"/>
    <w:rsid w:val="002E0AC2"/>
    <w:rsid w:val="002E0FE8"/>
    <w:rsid w:val="002E173C"/>
    <w:rsid w:val="002E5066"/>
    <w:rsid w:val="002E5B0E"/>
    <w:rsid w:val="002E77DC"/>
    <w:rsid w:val="002E7FE5"/>
    <w:rsid w:val="002F2271"/>
    <w:rsid w:val="002F55AB"/>
    <w:rsid w:val="00300165"/>
    <w:rsid w:val="00300974"/>
    <w:rsid w:val="00300CEB"/>
    <w:rsid w:val="00300D10"/>
    <w:rsid w:val="00301C55"/>
    <w:rsid w:val="003053AC"/>
    <w:rsid w:val="00310307"/>
    <w:rsid w:val="00314E1B"/>
    <w:rsid w:val="00316710"/>
    <w:rsid w:val="0031755B"/>
    <w:rsid w:val="00317A4F"/>
    <w:rsid w:val="00322469"/>
    <w:rsid w:val="00322EC7"/>
    <w:rsid w:val="00322EFA"/>
    <w:rsid w:val="00324EDF"/>
    <w:rsid w:val="00325C86"/>
    <w:rsid w:val="00326004"/>
    <w:rsid w:val="00327962"/>
    <w:rsid w:val="00334CBF"/>
    <w:rsid w:val="00336CC2"/>
    <w:rsid w:val="00336ED4"/>
    <w:rsid w:val="003454FE"/>
    <w:rsid w:val="0034578C"/>
    <w:rsid w:val="0034627B"/>
    <w:rsid w:val="00346570"/>
    <w:rsid w:val="0034660E"/>
    <w:rsid w:val="00347A60"/>
    <w:rsid w:val="003504A3"/>
    <w:rsid w:val="00351815"/>
    <w:rsid w:val="0035275B"/>
    <w:rsid w:val="00353263"/>
    <w:rsid w:val="00353CE0"/>
    <w:rsid w:val="00353E22"/>
    <w:rsid w:val="00354C56"/>
    <w:rsid w:val="00357134"/>
    <w:rsid w:val="00357839"/>
    <w:rsid w:val="00363D9C"/>
    <w:rsid w:val="00365751"/>
    <w:rsid w:val="00370578"/>
    <w:rsid w:val="00371E96"/>
    <w:rsid w:val="003726E2"/>
    <w:rsid w:val="00372C78"/>
    <w:rsid w:val="00373C85"/>
    <w:rsid w:val="003764FB"/>
    <w:rsid w:val="00377C3D"/>
    <w:rsid w:val="003800D2"/>
    <w:rsid w:val="003807AD"/>
    <w:rsid w:val="0038190D"/>
    <w:rsid w:val="00382502"/>
    <w:rsid w:val="00382A19"/>
    <w:rsid w:val="003842BF"/>
    <w:rsid w:val="003859A5"/>
    <w:rsid w:val="00385D68"/>
    <w:rsid w:val="00390058"/>
    <w:rsid w:val="003901FF"/>
    <w:rsid w:val="003904E0"/>
    <w:rsid w:val="00392394"/>
    <w:rsid w:val="003964C7"/>
    <w:rsid w:val="003A0CD1"/>
    <w:rsid w:val="003A23E5"/>
    <w:rsid w:val="003A3326"/>
    <w:rsid w:val="003A46DE"/>
    <w:rsid w:val="003A471C"/>
    <w:rsid w:val="003A525D"/>
    <w:rsid w:val="003A5F36"/>
    <w:rsid w:val="003A7BD7"/>
    <w:rsid w:val="003B023F"/>
    <w:rsid w:val="003B1890"/>
    <w:rsid w:val="003B1A19"/>
    <w:rsid w:val="003B3CC6"/>
    <w:rsid w:val="003C2A4D"/>
    <w:rsid w:val="003C2EC0"/>
    <w:rsid w:val="003C4936"/>
    <w:rsid w:val="003C4E20"/>
    <w:rsid w:val="003C56C7"/>
    <w:rsid w:val="003C5EB8"/>
    <w:rsid w:val="003C5F2B"/>
    <w:rsid w:val="003C68CC"/>
    <w:rsid w:val="003C6F0C"/>
    <w:rsid w:val="003C7E0B"/>
    <w:rsid w:val="003C7EC4"/>
    <w:rsid w:val="003D0391"/>
    <w:rsid w:val="003D0652"/>
    <w:rsid w:val="003D44FB"/>
    <w:rsid w:val="003D582D"/>
    <w:rsid w:val="003E071E"/>
    <w:rsid w:val="003E1A93"/>
    <w:rsid w:val="003E4EED"/>
    <w:rsid w:val="003E5DF5"/>
    <w:rsid w:val="003E61C1"/>
    <w:rsid w:val="003F2DC0"/>
    <w:rsid w:val="003F362E"/>
    <w:rsid w:val="003F551C"/>
    <w:rsid w:val="003F665A"/>
    <w:rsid w:val="003F7031"/>
    <w:rsid w:val="004036DE"/>
    <w:rsid w:val="00405343"/>
    <w:rsid w:val="0040685C"/>
    <w:rsid w:val="00407571"/>
    <w:rsid w:val="004102D5"/>
    <w:rsid w:val="004112D7"/>
    <w:rsid w:val="00414B4B"/>
    <w:rsid w:val="00415044"/>
    <w:rsid w:val="0042011D"/>
    <w:rsid w:val="00421966"/>
    <w:rsid w:val="004222CF"/>
    <w:rsid w:val="00422355"/>
    <w:rsid w:val="0042282A"/>
    <w:rsid w:val="00422E15"/>
    <w:rsid w:val="004328AB"/>
    <w:rsid w:val="00434E18"/>
    <w:rsid w:val="00435835"/>
    <w:rsid w:val="00436489"/>
    <w:rsid w:val="004367D7"/>
    <w:rsid w:val="004368CC"/>
    <w:rsid w:val="00440749"/>
    <w:rsid w:val="00440C9C"/>
    <w:rsid w:val="004414E1"/>
    <w:rsid w:val="004418A3"/>
    <w:rsid w:val="00444124"/>
    <w:rsid w:val="004457D3"/>
    <w:rsid w:val="004516A3"/>
    <w:rsid w:val="004521CA"/>
    <w:rsid w:val="0045250E"/>
    <w:rsid w:val="004538A3"/>
    <w:rsid w:val="00456B07"/>
    <w:rsid w:val="00460D41"/>
    <w:rsid w:val="00462439"/>
    <w:rsid w:val="00466E8A"/>
    <w:rsid w:val="004674B7"/>
    <w:rsid w:val="004710FC"/>
    <w:rsid w:val="00475EFB"/>
    <w:rsid w:val="00480255"/>
    <w:rsid w:val="00481E13"/>
    <w:rsid w:val="00482286"/>
    <w:rsid w:val="004822E8"/>
    <w:rsid w:val="004836E8"/>
    <w:rsid w:val="004856C4"/>
    <w:rsid w:val="00485E7F"/>
    <w:rsid w:val="00485FAD"/>
    <w:rsid w:val="00487800"/>
    <w:rsid w:val="00487943"/>
    <w:rsid w:val="00491B97"/>
    <w:rsid w:val="00492733"/>
    <w:rsid w:val="00492BFC"/>
    <w:rsid w:val="0049360F"/>
    <w:rsid w:val="004943A7"/>
    <w:rsid w:val="00495294"/>
    <w:rsid w:val="004956E4"/>
    <w:rsid w:val="00495FBB"/>
    <w:rsid w:val="00496095"/>
    <w:rsid w:val="00497896"/>
    <w:rsid w:val="004A0762"/>
    <w:rsid w:val="004A0AD1"/>
    <w:rsid w:val="004A178A"/>
    <w:rsid w:val="004A1969"/>
    <w:rsid w:val="004A4B70"/>
    <w:rsid w:val="004A5B94"/>
    <w:rsid w:val="004A6A91"/>
    <w:rsid w:val="004A7120"/>
    <w:rsid w:val="004A7C0F"/>
    <w:rsid w:val="004B01C9"/>
    <w:rsid w:val="004B0827"/>
    <w:rsid w:val="004B1B58"/>
    <w:rsid w:val="004B41B6"/>
    <w:rsid w:val="004B42C5"/>
    <w:rsid w:val="004B5305"/>
    <w:rsid w:val="004B71BB"/>
    <w:rsid w:val="004B737F"/>
    <w:rsid w:val="004C3159"/>
    <w:rsid w:val="004C5589"/>
    <w:rsid w:val="004C7661"/>
    <w:rsid w:val="004D4713"/>
    <w:rsid w:val="004D4A25"/>
    <w:rsid w:val="004D5CAB"/>
    <w:rsid w:val="004D5FAF"/>
    <w:rsid w:val="004D62CA"/>
    <w:rsid w:val="004D6538"/>
    <w:rsid w:val="004D6F00"/>
    <w:rsid w:val="004E104C"/>
    <w:rsid w:val="004E380A"/>
    <w:rsid w:val="004E3E32"/>
    <w:rsid w:val="004E40C4"/>
    <w:rsid w:val="004E502B"/>
    <w:rsid w:val="004E60DB"/>
    <w:rsid w:val="004E6435"/>
    <w:rsid w:val="004E7C65"/>
    <w:rsid w:val="004F40C2"/>
    <w:rsid w:val="004F5E47"/>
    <w:rsid w:val="004F76DF"/>
    <w:rsid w:val="00501B41"/>
    <w:rsid w:val="00502F46"/>
    <w:rsid w:val="00503B2C"/>
    <w:rsid w:val="00507183"/>
    <w:rsid w:val="00507D8A"/>
    <w:rsid w:val="00511BFA"/>
    <w:rsid w:val="005122A7"/>
    <w:rsid w:val="0051315A"/>
    <w:rsid w:val="005153C8"/>
    <w:rsid w:val="00516F25"/>
    <w:rsid w:val="00516F2C"/>
    <w:rsid w:val="005217AB"/>
    <w:rsid w:val="00521F17"/>
    <w:rsid w:val="00522E51"/>
    <w:rsid w:val="00523EB7"/>
    <w:rsid w:val="0052483B"/>
    <w:rsid w:val="005258B5"/>
    <w:rsid w:val="00525949"/>
    <w:rsid w:val="00525958"/>
    <w:rsid w:val="00533A18"/>
    <w:rsid w:val="00534E43"/>
    <w:rsid w:val="005355DF"/>
    <w:rsid w:val="00536B7A"/>
    <w:rsid w:val="00537813"/>
    <w:rsid w:val="00537817"/>
    <w:rsid w:val="005409E9"/>
    <w:rsid w:val="00541265"/>
    <w:rsid w:val="005421EA"/>
    <w:rsid w:val="00543952"/>
    <w:rsid w:val="00543BD4"/>
    <w:rsid w:val="00543D92"/>
    <w:rsid w:val="00550A0E"/>
    <w:rsid w:val="005511EE"/>
    <w:rsid w:val="0055133D"/>
    <w:rsid w:val="0055452D"/>
    <w:rsid w:val="00554CA7"/>
    <w:rsid w:val="005550E3"/>
    <w:rsid w:val="00555327"/>
    <w:rsid w:val="00560122"/>
    <w:rsid w:val="00560989"/>
    <w:rsid w:val="00560EFE"/>
    <w:rsid w:val="00562639"/>
    <w:rsid w:val="00563B4E"/>
    <w:rsid w:val="00565E0A"/>
    <w:rsid w:val="00570F9B"/>
    <w:rsid w:val="005725FB"/>
    <w:rsid w:val="00573CA3"/>
    <w:rsid w:val="005758D9"/>
    <w:rsid w:val="00581181"/>
    <w:rsid w:val="005811F1"/>
    <w:rsid w:val="00581806"/>
    <w:rsid w:val="00582057"/>
    <w:rsid w:val="0058269D"/>
    <w:rsid w:val="00582A20"/>
    <w:rsid w:val="00585057"/>
    <w:rsid w:val="00585E3B"/>
    <w:rsid w:val="00586AF3"/>
    <w:rsid w:val="0058781A"/>
    <w:rsid w:val="005909D4"/>
    <w:rsid w:val="00591AEF"/>
    <w:rsid w:val="00591B48"/>
    <w:rsid w:val="00591B9A"/>
    <w:rsid w:val="0059305A"/>
    <w:rsid w:val="0059352D"/>
    <w:rsid w:val="005937F7"/>
    <w:rsid w:val="00593EE2"/>
    <w:rsid w:val="0059456D"/>
    <w:rsid w:val="00596ACB"/>
    <w:rsid w:val="00597A86"/>
    <w:rsid w:val="005A128F"/>
    <w:rsid w:val="005A1903"/>
    <w:rsid w:val="005A3018"/>
    <w:rsid w:val="005A4460"/>
    <w:rsid w:val="005A4FD7"/>
    <w:rsid w:val="005A597B"/>
    <w:rsid w:val="005B377E"/>
    <w:rsid w:val="005B4746"/>
    <w:rsid w:val="005B50A4"/>
    <w:rsid w:val="005B6286"/>
    <w:rsid w:val="005B67E6"/>
    <w:rsid w:val="005B7886"/>
    <w:rsid w:val="005C2073"/>
    <w:rsid w:val="005C372A"/>
    <w:rsid w:val="005C5FD9"/>
    <w:rsid w:val="005D02AD"/>
    <w:rsid w:val="005D1085"/>
    <w:rsid w:val="005D1693"/>
    <w:rsid w:val="005D2F71"/>
    <w:rsid w:val="005D3751"/>
    <w:rsid w:val="005D5301"/>
    <w:rsid w:val="005D6140"/>
    <w:rsid w:val="005D6346"/>
    <w:rsid w:val="005D65DE"/>
    <w:rsid w:val="005D6C95"/>
    <w:rsid w:val="005D7251"/>
    <w:rsid w:val="005D76A8"/>
    <w:rsid w:val="005D77AB"/>
    <w:rsid w:val="005E0634"/>
    <w:rsid w:val="005E243E"/>
    <w:rsid w:val="005E3B75"/>
    <w:rsid w:val="005F1485"/>
    <w:rsid w:val="005F2F45"/>
    <w:rsid w:val="005F517B"/>
    <w:rsid w:val="005F5271"/>
    <w:rsid w:val="00600481"/>
    <w:rsid w:val="0060055D"/>
    <w:rsid w:val="00601FD2"/>
    <w:rsid w:val="00602D96"/>
    <w:rsid w:val="0060315C"/>
    <w:rsid w:val="006033C4"/>
    <w:rsid w:val="006041E9"/>
    <w:rsid w:val="00605695"/>
    <w:rsid w:val="00605C85"/>
    <w:rsid w:val="0060709D"/>
    <w:rsid w:val="0060726D"/>
    <w:rsid w:val="00612492"/>
    <w:rsid w:val="00615DCD"/>
    <w:rsid w:val="006208A4"/>
    <w:rsid w:val="006208B0"/>
    <w:rsid w:val="006228C0"/>
    <w:rsid w:val="0062346F"/>
    <w:rsid w:val="00632D52"/>
    <w:rsid w:val="00633CCF"/>
    <w:rsid w:val="00634133"/>
    <w:rsid w:val="00637E56"/>
    <w:rsid w:val="00646D55"/>
    <w:rsid w:val="00647802"/>
    <w:rsid w:val="00650C04"/>
    <w:rsid w:val="00660A77"/>
    <w:rsid w:val="00660A91"/>
    <w:rsid w:val="00661AB5"/>
    <w:rsid w:val="00662404"/>
    <w:rsid w:val="006633C6"/>
    <w:rsid w:val="006639ED"/>
    <w:rsid w:val="00663D06"/>
    <w:rsid w:val="00664505"/>
    <w:rsid w:val="00665A63"/>
    <w:rsid w:val="00666C02"/>
    <w:rsid w:val="00670B70"/>
    <w:rsid w:val="006715E4"/>
    <w:rsid w:val="00673BA4"/>
    <w:rsid w:val="00676752"/>
    <w:rsid w:val="00677360"/>
    <w:rsid w:val="006817AE"/>
    <w:rsid w:val="006834D3"/>
    <w:rsid w:val="006838A5"/>
    <w:rsid w:val="00683CE7"/>
    <w:rsid w:val="00692115"/>
    <w:rsid w:val="00697E5C"/>
    <w:rsid w:val="006A0776"/>
    <w:rsid w:val="006A0F3A"/>
    <w:rsid w:val="006A1FFF"/>
    <w:rsid w:val="006A21DB"/>
    <w:rsid w:val="006A3770"/>
    <w:rsid w:val="006A5220"/>
    <w:rsid w:val="006A55E4"/>
    <w:rsid w:val="006A64DB"/>
    <w:rsid w:val="006A6CBB"/>
    <w:rsid w:val="006A6E3A"/>
    <w:rsid w:val="006A7824"/>
    <w:rsid w:val="006B0234"/>
    <w:rsid w:val="006B0F9C"/>
    <w:rsid w:val="006B237A"/>
    <w:rsid w:val="006B2E6E"/>
    <w:rsid w:val="006B33E3"/>
    <w:rsid w:val="006B33F1"/>
    <w:rsid w:val="006B3645"/>
    <w:rsid w:val="006B6846"/>
    <w:rsid w:val="006B7E6B"/>
    <w:rsid w:val="006C0CE2"/>
    <w:rsid w:val="006C1532"/>
    <w:rsid w:val="006C1C40"/>
    <w:rsid w:val="006C40E2"/>
    <w:rsid w:val="006C7804"/>
    <w:rsid w:val="006C7A4A"/>
    <w:rsid w:val="006D08B4"/>
    <w:rsid w:val="006D1929"/>
    <w:rsid w:val="006D21A8"/>
    <w:rsid w:val="006D5A72"/>
    <w:rsid w:val="006D5CEF"/>
    <w:rsid w:val="006D76F6"/>
    <w:rsid w:val="006E179F"/>
    <w:rsid w:val="006E191A"/>
    <w:rsid w:val="006E1E9E"/>
    <w:rsid w:val="006E48D6"/>
    <w:rsid w:val="006E57E0"/>
    <w:rsid w:val="006E59FD"/>
    <w:rsid w:val="006F16A1"/>
    <w:rsid w:val="006F2940"/>
    <w:rsid w:val="006F6B62"/>
    <w:rsid w:val="0070035C"/>
    <w:rsid w:val="0070049A"/>
    <w:rsid w:val="00700C24"/>
    <w:rsid w:val="007012DA"/>
    <w:rsid w:val="007017EF"/>
    <w:rsid w:val="00703600"/>
    <w:rsid w:val="0070389B"/>
    <w:rsid w:val="00703D13"/>
    <w:rsid w:val="0070401A"/>
    <w:rsid w:val="00707C3F"/>
    <w:rsid w:val="0071088E"/>
    <w:rsid w:val="00710B29"/>
    <w:rsid w:val="00710B64"/>
    <w:rsid w:val="0071404C"/>
    <w:rsid w:val="00714717"/>
    <w:rsid w:val="00714B21"/>
    <w:rsid w:val="00715748"/>
    <w:rsid w:val="007161C9"/>
    <w:rsid w:val="007173A0"/>
    <w:rsid w:val="007174CE"/>
    <w:rsid w:val="0072114B"/>
    <w:rsid w:val="007213FB"/>
    <w:rsid w:val="007245B1"/>
    <w:rsid w:val="00726B56"/>
    <w:rsid w:val="00730804"/>
    <w:rsid w:val="0073189C"/>
    <w:rsid w:val="007333E1"/>
    <w:rsid w:val="00733BDC"/>
    <w:rsid w:val="00734139"/>
    <w:rsid w:val="00735CE4"/>
    <w:rsid w:val="00741587"/>
    <w:rsid w:val="00746104"/>
    <w:rsid w:val="0075367F"/>
    <w:rsid w:val="00753A18"/>
    <w:rsid w:val="007604E9"/>
    <w:rsid w:val="00760CE6"/>
    <w:rsid w:val="0076316F"/>
    <w:rsid w:val="007656E2"/>
    <w:rsid w:val="00766F18"/>
    <w:rsid w:val="007672F9"/>
    <w:rsid w:val="007705E5"/>
    <w:rsid w:val="00771CC5"/>
    <w:rsid w:val="007721D8"/>
    <w:rsid w:val="0077369C"/>
    <w:rsid w:val="00774F63"/>
    <w:rsid w:val="007754A8"/>
    <w:rsid w:val="00775F54"/>
    <w:rsid w:val="00777F0E"/>
    <w:rsid w:val="0078021F"/>
    <w:rsid w:val="0078290E"/>
    <w:rsid w:val="0078678D"/>
    <w:rsid w:val="007906FC"/>
    <w:rsid w:val="00792ACA"/>
    <w:rsid w:val="007933C6"/>
    <w:rsid w:val="00793F95"/>
    <w:rsid w:val="007940EC"/>
    <w:rsid w:val="00794312"/>
    <w:rsid w:val="007949EE"/>
    <w:rsid w:val="007A1BCB"/>
    <w:rsid w:val="007A317D"/>
    <w:rsid w:val="007A583F"/>
    <w:rsid w:val="007A7100"/>
    <w:rsid w:val="007A7878"/>
    <w:rsid w:val="007B0728"/>
    <w:rsid w:val="007B7431"/>
    <w:rsid w:val="007B7867"/>
    <w:rsid w:val="007B7A3C"/>
    <w:rsid w:val="007C15A1"/>
    <w:rsid w:val="007C2727"/>
    <w:rsid w:val="007C29B9"/>
    <w:rsid w:val="007C29F6"/>
    <w:rsid w:val="007C2BE8"/>
    <w:rsid w:val="007C321C"/>
    <w:rsid w:val="007C3FF6"/>
    <w:rsid w:val="007D00E7"/>
    <w:rsid w:val="007D3B47"/>
    <w:rsid w:val="007D45B8"/>
    <w:rsid w:val="007D634B"/>
    <w:rsid w:val="007D75F5"/>
    <w:rsid w:val="007E0C5F"/>
    <w:rsid w:val="007E1000"/>
    <w:rsid w:val="007E15DF"/>
    <w:rsid w:val="007E21E5"/>
    <w:rsid w:val="007E39ED"/>
    <w:rsid w:val="007E4775"/>
    <w:rsid w:val="007E6BF1"/>
    <w:rsid w:val="007E703F"/>
    <w:rsid w:val="007E7B66"/>
    <w:rsid w:val="007F2BA5"/>
    <w:rsid w:val="007F4197"/>
    <w:rsid w:val="007F5970"/>
    <w:rsid w:val="007F79C7"/>
    <w:rsid w:val="007F7FB3"/>
    <w:rsid w:val="0080029B"/>
    <w:rsid w:val="00800413"/>
    <w:rsid w:val="00803C9C"/>
    <w:rsid w:val="00803D9C"/>
    <w:rsid w:val="008100E3"/>
    <w:rsid w:val="00811C54"/>
    <w:rsid w:val="00811D5E"/>
    <w:rsid w:val="00812358"/>
    <w:rsid w:val="00814518"/>
    <w:rsid w:val="00815460"/>
    <w:rsid w:val="00815D7C"/>
    <w:rsid w:val="008226CB"/>
    <w:rsid w:val="00822994"/>
    <w:rsid w:val="0083014D"/>
    <w:rsid w:val="008302D0"/>
    <w:rsid w:val="00830A91"/>
    <w:rsid w:val="00833000"/>
    <w:rsid w:val="00835A14"/>
    <w:rsid w:val="008378EA"/>
    <w:rsid w:val="00840F3D"/>
    <w:rsid w:val="00843637"/>
    <w:rsid w:val="00844A1E"/>
    <w:rsid w:val="00844A21"/>
    <w:rsid w:val="00845FAC"/>
    <w:rsid w:val="00850332"/>
    <w:rsid w:val="0085053D"/>
    <w:rsid w:val="008527B2"/>
    <w:rsid w:val="00854A46"/>
    <w:rsid w:val="0085511D"/>
    <w:rsid w:val="008570C4"/>
    <w:rsid w:val="00857A74"/>
    <w:rsid w:val="00860F6C"/>
    <w:rsid w:val="008622A4"/>
    <w:rsid w:val="008630F9"/>
    <w:rsid w:val="0086399C"/>
    <w:rsid w:val="00863A1F"/>
    <w:rsid w:val="00865CA0"/>
    <w:rsid w:val="00866394"/>
    <w:rsid w:val="00867BE9"/>
    <w:rsid w:val="00870BDA"/>
    <w:rsid w:val="0087175C"/>
    <w:rsid w:val="00871784"/>
    <w:rsid w:val="0087251E"/>
    <w:rsid w:val="00873019"/>
    <w:rsid w:val="00873C38"/>
    <w:rsid w:val="00875131"/>
    <w:rsid w:val="008810F5"/>
    <w:rsid w:val="00882981"/>
    <w:rsid w:val="008833F1"/>
    <w:rsid w:val="008845AB"/>
    <w:rsid w:val="00885A46"/>
    <w:rsid w:val="00885B45"/>
    <w:rsid w:val="00887338"/>
    <w:rsid w:val="00890A49"/>
    <w:rsid w:val="00890BC5"/>
    <w:rsid w:val="00890F77"/>
    <w:rsid w:val="008927F5"/>
    <w:rsid w:val="00892FA7"/>
    <w:rsid w:val="00894D9F"/>
    <w:rsid w:val="00897296"/>
    <w:rsid w:val="008A0591"/>
    <w:rsid w:val="008A06F0"/>
    <w:rsid w:val="008A1515"/>
    <w:rsid w:val="008A396F"/>
    <w:rsid w:val="008A4FB8"/>
    <w:rsid w:val="008A57EE"/>
    <w:rsid w:val="008A7CD0"/>
    <w:rsid w:val="008B204E"/>
    <w:rsid w:val="008B3B04"/>
    <w:rsid w:val="008B43B9"/>
    <w:rsid w:val="008B532B"/>
    <w:rsid w:val="008B726D"/>
    <w:rsid w:val="008C0540"/>
    <w:rsid w:val="008C0AEB"/>
    <w:rsid w:val="008C2A33"/>
    <w:rsid w:val="008C3666"/>
    <w:rsid w:val="008C6C40"/>
    <w:rsid w:val="008C6E41"/>
    <w:rsid w:val="008D1AEF"/>
    <w:rsid w:val="008D220E"/>
    <w:rsid w:val="008D5FA4"/>
    <w:rsid w:val="008E095B"/>
    <w:rsid w:val="008E1FF7"/>
    <w:rsid w:val="008E3E78"/>
    <w:rsid w:val="008E6CD1"/>
    <w:rsid w:val="008F3552"/>
    <w:rsid w:val="008F3CDD"/>
    <w:rsid w:val="008F4081"/>
    <w:rsid w:val="008F525E"/>
    <w:rsid w:val="008F57E1"/>
    <w:rsid w:val="008F7052"/>
    <w:rsid w:val="008F70B1"/>
    <w:rsid w:val="00900506"/>
    <w:rsid w:val="00901365"/>
    <w:rsid w:val="009034DF"/>
    <w:rsid w:val="009042AD"/>
    <w:rsid w:val="00904550"/>
    <w:rsid w:val="0090494F"/>
    <w:rsid w:val="009064F6"/>
    <w:rsid w:val="0090733A"/>
    <w:rsid w:val="00910C49"/>
    <w:rsid w:val="00911899"/>
    <w:rsid w:val="00912320"/>
    <w:rsid w:val="00913099"/>
    <w:rsid w:val="0091561B"/>
    <w:rsid w:val="00916916"/>
    <w:rsid w:val="00917145"/>
    <w:rsid w:val="009171AC"/>
    <w:rsid w:val="00921887"/>
    <w:rsid w:val="00922380"/>
    <w:rsid w:val="00930BAD"/>
    <w:rsid w:val="00936878"/>
    <w:rsid w:val="00937688"/>
    <w:rsid w:val="00940DD3"/>
    <w:rsid w:val="00940F64"/>
    <w:rsid w:val="00942B48"/>
    <w:rsid w:val="009449AB"/>
    <w:rsid w:val="00946582"/>
    <w:rsid w:val="00950834"/>
    <w:rsid w:val="009512BC"/>
    <w:rsid w:val="009514A8"/>
    <w:rsid w:val="00951588"/>
    <w:rsid w:val="0095314A"/>
    <w:rsid w:val="0095440E"/>
    <w:rsid w:val="00956AEA"/>
    <w:rsid w:val="00956B4C"/>
    <w:rsid w:val="009573E1"/>
    <w:rsid w:val="00957A57"/>
    <w:rsid w:val="00963310"/>
    <w:rsid w:val="00965970"/>
    <w:rsid w:val="00967416"/>
    <w:rsid w:val="00967956"/>
    <w:rsid w:val="00973258"/>
    <w:rsid w:val="0097534C"/>
    <w:rsid w:val="00980175"/>
    <w:rsid w:val="00981580"/>
    <w:rsid w:val="009815F6"/>
    <w:rsid w:val="0098261C"/>
    <w:rsid w:val="00986184"/>
    <w:rsid w:val="00986F85"/>
    <w:rsid w:val="009877AE"/>
    <w:rsid w:val="00990CE5"/>
    <w:rsid w:val="00994383"/>
    <w:rsid w:val="009A14E2"/>
    <w:rsid w:val="009A4F55"/>
    <w:rsid w:val="009A5085"/>
    <w:rsid w:val="009A6273"/>
    <w:rsid w:val="009A71A1"/>
    <w:rsid w:val="009B021C"/>
    <w:rsid w:val="009B0DEF"/>
    <w:rsid w:val="009B10EF"/>
    <w:rsid w:val="009B597B"/>
    <w:rsid w:val="009B7B63"/>
    <w:rsid w:val="009C394F"/>
    <w:rsid w:val="009C4C3C"/>
    <w:rsid w:val="009C4D69"/>
    <w:rsid w:val="009D2105"/>
    <w:rsid w:val="009D42D3"/>
    <w:rsid w:val="009D7F18"/>
    <w:rsid w:val="009D7FE3"/>
    <w:rsid w:val="009E1B23"/>
    <w:rsid w:val="009E34F3"/>
    <w:rsid w:val="009E4A63"/>
    <w:rsid w:val="009E4CAA"/>
    <w:rsid w:val="009E6325"/>
    <w:rsid w:val="009E6F36"/>
    <w:rsid w:val="009E7470"/>
    <w:rsid w:val="009E7D6C"/>
    <w:rsid w:val="009F12C3"/>
    <w:rsid w:val="009F133D"/>
    <w:rsid w:val="009F136A"/>
    <w:rsid w:val="009F17B3"/>
    <w:rsid w:val="009F1B9F"/>
    <w:rsid w:val="009F1E7C"/>
    <w:rsid w:val="009F2CFB"/>
    <w:rsid w:val="009F3DDB"/>
    <w:rsid w:val="009F6212"/>
    <w:rsid w:val="00A02410"/>
    <w:rsid w:val="00A02E5B"/>
    <w:rsid w:val="00A030C1"/>
    <w:rsid w:val="00A04281"/>
    <w:rsid w:val="00A062ED"/>
    <w:rsid w:val="00A0676A"/>
    <w:rsid w:val="00A067C8"/>
    <w:rsid w:val="00A079A2"/>
    <w:rsid w:val="00A11F49"/>
    <w:rsid w:val="00A13C42"/>
    <w:rsid w:val="00A1546F"/>
    <w:rsid w:val="00A16614"/>
    <w:rsid w:val="00A210C4"/>
    <w:rsid w:val="00A215ED"/>
    <w:rsid w:val="00A22584"/>
    <w:rsid w:val="00A22FCF"/>
    <w:rsid w:val="00A23EFD"/>
    <w:rsid w:val="00A24530"/>
    <w:rsid w:val="00A25298"/>
    <w:rsid w:val="00A257EE"/>
    <w:rsid w:val="00A27BCA"/>
    <w:rsid w:val="00A344D9"/>
    <w:rsid w:val="00A345AB"/>
    <w:rsid w:val="00A35BC7"/>
    <w:rsid w:val="00A361BC"/>
    <w:rsid w:val="00A36B73"/>
    <w:rsid w:val="00A41EC8"/>
    <w:rsid w:val="00A436A9"/>
    <w:rsid w:val="00A44523"/>
    <w:rsid w:val="00A50227"/>
    <w:rsid w:val="00A516BC"/>
    <w:rsid w:val="00A532E5"/>
    <w:rsid w:val="00A55F29"/>
    <w:rsid w:val="00A55F8A"/>
    <w:rsid w:val="00A56E93"/>
    <w:rsid w:val="00A6096A"/>
    <w:rsid w:val="00A617ED"/>
    <w:rsid w:val="00A6187F"/>
    <w:rsid w:val="00A6429C"/>
    <w:rsid w:val="00A7193A"/>
    <w:rsid w:val="00A71C93"/>
    <w:rsid w:val="00A73026"/>
    <w:rsid w:val="00A739DC"/>
    <w:rsid w:val="00A76E38"/>
    <w:rsid w:val="00A770B1"/>
    <w:rsid w:val="00A8269C"/>
    <w:rsid w:val="00A826E4"/>
    <w:rsid w:val="00A82AE8"/>
    <w:rsid w:val="00A871BB"/>
    <w:rsid w:val="00A87E1E"/>
    <w:rsid w:val="00A93173"/>
    <w:rsid w:val="00A9579A"/>
    <w:rsid w:val="00A96938"/>
    <w:rsid w:val="00A96BE6"/>
    <w:rsid w:val="00A96C7E"/>
    <w:rsid w:val="00AA0F9C"/>
    <w:rsid w:val="00AA2633"/>
    <w:rsid w:val="00AA33E2"/>
    <w:rsid w:val="00AA3CEA"/>
    <w:rsid w:val="00AA526A"/>
    <w:rsid w:val="00AA6ED1"/>
    <w:rsid w:val="00AA757C"/>
    <w:rsid w:val="00AA7717"/>
    <w:rsid w:val="00AA7B70"/>
    <w:rsid w:val="00AB1DED"/>
    <w:rsid w:val="00AB381D"/>
    <w:rsid w:val="00AB3E3D"/>
    <w:rsid w:val="00AB47E7"/>
    <w:rsid w:val="00AB6622"/>
    <w:rsid w:val="00AB7DF2"/>
    <w:rsid w:val="00AC125B"/>
    <w:rsid w:val="00AC1C50"/>
    <w:rsid w:val="00AC3979"/>
    <w:rsid w:val="00AC3AE1"/>
    <w:rsid w:val="00AC4335"/>
    <w:rsid w:val="00AC79FB"/>
    <w:rsid w:val="00AD07A6"/>
    <w:rsid w:val="00AD0F68"/>
    <w:rsid w:val="00AD5B05"/>
    <w:rsid w:val="00AD5E43"/>
    <w:rsid w:val="00AE1238"/>
    <w:rsid w:val="00AE23C9"/>
    <w:rsid w:val="00AE25A3"/>
    <w:rsid w:val="00AE29C7"/>
    <w:rsid w:val="00AE4E81"/>
    <w:rsid w:val="00AE5AC2"/>
    <w:rsid w:val="00AE7B11"/>
    <w:rsid w:val="00AF3441"/>
    <w:rsid w:val="00AF3FDF"/>
    <w:rsid w:val="00AF6050"/>
    <w:rsid w:val="00AF6C6D"/>
    <w:rsid w:val="00B00B59"/>
    <w:rsid w:val="00B01B2D"/>
    <w:rsid w:val="00B02A8A"/>
    <w:rsid w:val="00B0390C"/>
    <w:rsid w:val="00B039D4"/>
    <w:rsid w:val="00B06D8D"/>
    <w:rsid w:val="00B15BC6"/>
    <w:rsid w:val="00B16E6E"/>
    <w:rsid w:val="00B17EA4"/>
    <w:rsid w:val="00B21830"/>
    <w:rsid w:val="00B21D6A"/>
    <w:rsid w:val="00B22459"/>
    <w:rsid w:val="00B2253A"/>
    <w:rsid w:val="00B23A66"/>
    <w:rsid w:val="00B24B86"/>
    <w:rsid w:val="00B26236"/>
    <w:rsid w:val="00B2691F"/>
    <w:rsid w:val="00B26D63"/>
    <w:rsid w:val="00B272CF"/>
    <w:rsid w:val="00B3126F"/>
    <w:rsid w:val="00B3140F"/>
    <w:rsid w:val="00B31BD1"/>
    <w:rsid w:val="00B327C4"/>
    <w:rsid w:val="00B332DC"/>
    <w:rsid w:val="00B34DD5"/>
    <w:rsid w:val="00B35429"/>
    <w:rsid w:val="00B44748"/>
    <w:rsid w:val="00B522FD"/>
    <w:rsid w:val="00B53688"/>
    <w:rsid w:val="00B55ECF"/>
    <w:rsid w:val="00B57951"/>
    <w:rsid w:val="00B6034F"/>
    <w:rsid w:val="00B60714"/>
    <w:rsid w:val="00B624D3"/>
    <w:rsid w:val="00B627DE"/>
    <w:rsid w:val="00B63818"/>
    <w:rsid w:val="00B63B91"/>
    <w:rsid w:val="00B670C5"/>
    <w:rsid w:val="00B67788"/>
    <w:rsid w:val="00B70773"/>
    <w:rsid w:val="00B711FA"/>
    <w:rsid w:val="00B72821"/>
    <w:rsid w:val="00B73FD9"/>
    <w:rsid w:val="00B755F6"/>
    <w:rsid w:val="00B76083"/>
    <w:rsid w:val="00B80744"/>
    <w:rsid w:val="00B81F5B"/>
    <w:rsid w:val="00B83024"/>
    <w:rsid w:val="00B86295"/>
    <w:rsid w:val="00B87AC5"/>
    <w:rsid w:val="00B91E6D"/>
    <w:rsid w:val="00B96B10"/>
    <w:rsid w:val="00B96F70"/>
    <w:rsid w:val="00BA2A84"/>
    <w:rsid w:val="00BA2F38"/>
    <w:rsid w:val="00BA31DE"/>
    <w:rsid w:val="00BA3AA6"/>
    <w:rsid w:val="00BA54AB"/>
    <w:rsid w:val="00BA64C0"/>
    <w:rsid w:val="00BB291C"/>
    <w:rsid w:val="00BB2C32"/>
    <w:rsid w:val="00BB5CEA"/>
    <w:rsid w:val="00BB5D02"/>
    <w:rsid w:val="00BB739F"/>
    <w:rsid w:val="00BC00D5"/>
    <w:rsid w:val="00BC0FD5"/>
    <w:rsid w:val="00BC173E"/>
    <w:rsid w:val="00BC29E3"/>
    <w:rsid w:val="00BD049B"/>
    <w:rsid w:val="00BD14D9"/>
    <w:rsid w:val="00BD1E6D"/>
    <w:rsid w:val="00BD2BE3"/>
    <w:rsid w:val="00BD418A"/>
    <w:rsid w:val="00BD6A61"/>
    <w:rsid w:val="00BE4224"/>
    <w:rsid w:val="00BE4D8E"/>
    <w:rsid w:val="00BF02D1"/>
    <w:rsid w:val="00BF03B6"/>
    <w:rsid w:val="00BF1AAA"/>
    <w:rsid w:val="00BF4B9C"/>
    <w:rsid w:val="00BF4E79"/>
    <w:rsid w:val="00BF5DDB"/>
    <w:rsid w:val="00BF66E9"/>
    <w:rsid w:val="00C00A20"/>
    <w:rsid w:val="00C00A4A"/>
    <w:rsid w:val="00C04527"/>
    <w:rsid w:val="00C10B7A"/>
    <w:rsid w:val="00C1140F"/>
    <w:rsid w:val="00C1165A"/>
    <w:rsid w:val="00C123E9"/>
    <w:rsid w:val="00C136D9"/>
    <w:rsid w:val="00C152E6"/>
    <w:rsid w:val="00C178AD"/>
    <w:rsid w:val="00C17D92"/>
    <w:rsid w:val="00C20129"/>
    <w:rsid w:val="00C20CEC"/>
    <w:rsid w:val="00C21B43"/>
    <w:rsid w:val="00C225E5"/>
    <w:rsid w:val="00C22D48"/>
    <w:rsid w:val="00C324E1"/>
    <w:rsid w:val="00C3261C"/>
    <w:rsid w:val="00C32F74"/>
    <w:rsid w:val="00C33181"/>
    <w:rsid w:val="00C33E9E"/>
    <w:rsid w:val="00C341EE"/>
    <w:rsid w:val="00C345CD"/>
    <w:rsid w:val="00C36C7E"/>
    <w:rsid w:val="00C374CD"/>
    <w:rsid w:val="00C3799B"/>
    <w:rsid w:val="00C40915"/>
    <w:rsid w:val="00C41892"/>
    <w:rsid w:val="00C41D8E"/>
    <w:rsid w:val="00C42BAC"/>
    <w:rsid w:val="00C46567"/>
    <w:rsid w:val="00C47C56"/>
    <w:rsid w:val="00C47CB2"/>
    <w:rsid w:val="00C505E0"/>
    <w:rsid w:val="00C53C15"/>
    <w:rsid w:val="00C55B79"/>
    <w:rsid w:val="00C578CF"/>
    <w:rsid w:val="00C61D5C"/>
    <w:rsid w:val="00C65307"/>
    <w:rsid w:val="00C667B2"/>
    <w:rsid w:val="00C66E77"/>
    <w:rsid w:val="00C677F5"/>
    <w:rsid w:val="00C7018D"/>
    <w:rsid w:val="00C71361"/>
    <w:rsid w:val="00C71F62"/>
    <w:rsid w:val="00C71F69"/>
    <w:rsid w:val="00C72D9D"/>
    <w:rsid w:val="00C74734"/>
    <w:rsid w:val="00C761C5"/>
    <w:rsid w:val="00C80891"/>
    <w:rsid w:val="00C828B5"/>
    <w:rsid w:val="00C83158"/>
    <w:rsid w:val="00C83830"/>
    <w:rsid w:val="00C86C46"/>
    <w:rsid w:val="00C873B3"/>
    <w:rsid w:val="00C90A0F"/>
    <w:rsid w:val="00C94BCC"/>
    <w:rsid w:val="00C9536F"/>
    <w:rsid w:val="00C96422"/>
    <w:rsid w:val="00C96F0E"/>
    <w:rsid w:val="00C9769A"/>
    <w:rsid w:val="00CA0427"/>
    <w:rsid w:val="00CA07A4"/>
    <w:rsid w:val="00CA0A36"/>
    <w:rsid w:val="00CA153C"/>
    <w:rsid w:val="00CA1FF6"/>
    <w:rsid w:val="00CA28CB"/>
    <w:rsid w:val="00CA28D3"/>
    <w:rsid w:val="00CA3516"/>
    <w:rsid w:val="00CA3F80"/>
    <w:rsid w:val="00CA763F"/>
    <w:rsid w:val="00CA7853"/>
    <w:rsid w:val="00CB09F9"/>
    <w:rsid w:val="00CB7CCD"/>
    <w:rsid w:val="00CC2DC7"/>
    <w:rsid w:val="00CC50A3"/>
    <w:rsid w:val="00CC526D"/>
    <w:rsid w:val="00CC72A0"/>
    <w:rsid w:val="00CC7932"/>
    <w:rsid w:val="00CD055F"/>
    <w:rsid w:val="00CD056B"/>
    <w:rsid w:val="00CD0FF5"/>
    <w:rsid w:val="00CD273E"/>
    <w:rsid w:val="00CD49E0"/>
    <w:rsid w:val="00CD6B66"/>
    <w:rsid w:val="00CE03D4"/>
    <w:rsid w:val="00CE090C"/>
    <w:rsid w:val="00CE441C"/>
    <w:rsid w:val="00CE6BB8"/>
    <w:rsid w:val="00CE78AA"/>
    <w:rsid w:val="00CF0CD7"/>
    <w:rsid w:val="00CF2BC5"/>
    <w:rsid w:val="00CF340C"/>
    <w:rsid w:val="00D0071C"/>
    <w:rsid w:val="00D01670"/>
    <w:rsid w:val="00D03178"/>
    <w:rsid w:val="00D03D4C"/>
    <w:rsid w:val="00D0635D"/>
    <w:rsid w:val="00D071EE"/>
    <w:rsid w:val="00D07B4A"/>
    <w:rsid w:val="00D1049C"/>
    <w:rsid w:val="00D10595"/>
    <w:rsid w:val="00D10FAF"/>
    <w:rsid w:val="00D1188B"/>
    <w:rsid w:val="00D13557"/>
    <w:rsid w:val="00D13D3F"/>
    <w:rsid w:val="00D202A4"/>
    <w:rsid w:val="00D21960"/>
    <w:rsid w:val="00D24023"/>
    <w:rsid w:val="00D24DCB"/>
    <w:rsid w:val="00D25F56"/>
    <w:rsid w:val="00D2700C"/>
    <w:rsid w:val="00D30697"/>
    <w:rsid w:val="00D30D4A"/>
    <w:rsid w:val="00D3377E"/>
    <w:rsid w:val="00D35582"/>
    <w:rsid w:val="00D42475"/>
    <w:rsid w:val="00D435A2"/>
    <w:rsid w:val="00D445AD"/>
    <w:rsid w:val="00D451A4"/>
    <w:rsid w:val="00D46278"/>
    <w:rsid w:val="00D466E5"/>
    <w:rsid w:val="00D504F2"/>
    <w:rsid w:val="00D524A9"/>
    <w:rsid w:val="00D60B84"/>
    <w:rsid w:val="00D63D7C"/>
    <w:rsid w:val="00D64080"/>
    <w:rsid w:val="00D641A4"/>
    <w:rsid w:val="00D65DD1"/>
    <w:rsid w:val="00D671D9"/>
    <w:rsid w:val="00D6785E"/>
    <w:rsid w:val="00D70286"/>
    <w:rsid w:val="00D70DB4"/>
    <w:rsid w:val="00D714BA"/>
    <w:rsid w:val="00D71567"/>
    <w:rsid w:val="00D71990"/>
    <w:rsid w:val="00D72170"/>
    <w:rsid w:val="00D73456"/>
    <w:rsid w:val="00D75B3D"/>
    <w:rsid w:val="00D76599"/>
    <w:rsid w:val="00D76903"/>
    <w:rsid w:val="00D77318"/>
    <w:rsid w:val="00D77632"/>
    <w:rsid w:val="00D77CA2"/>
    <w:rsid w:val="00D8171E"/>
    <w:rsid w:val="00D83039"/>
    <w:rsid w:val="00D84626"/>
    <w:rsid w:val="00D84801"/>
    <w:rsid w:val="00D86FF8"/>
    <w:rsid w:val="00D879BD"/>
    <w:rsid w:val="00D97BDC"/>
    <w:rsid w:val="00DA5852"/>
    <w:rsid w:val="00DA6512"/>
    <w:rsid w:val="00DA78CE"/>
    <w:rsid w:val="00DB1F9F"/>
    <w:rsid w:val="00DB2981"/>
    <w:rsid w:val="00DB2B46"/>
    <w:rsid w:val="00DB4781"/>
    <w:rsid w:val="00DB48D4"/>
    <w:rsid w:val="00DB497E"/>
    <w:rsid w:val="00DB535E"/>
    <w:rsid w:val="00DB5568"/>
    <w:rsid w:val="00DB6166"/>
    <w:rsid w:val="00DB6A8C"/>
    <w:rsid w:val="00DC2A7A"/>
    <w:rsid w:val="00DC366D"/>
    <w:rsid w:val="00DC3AB4"/>
    <w:rsid w:val="00DC44AD"/>
    <w:rsid w:val="00DC4EFC"/>
    <w:rsid w:val="00DC5B13"/>
    <w:rsid w:val="00DD0F8D"/>
    <w:rsid w:val="00DD435C"/>
    <w:rsid w:val="00DD5F56"/>
    <w:rsid w:val="00DD678D"/>
    <w:rsid w:val="00DD67EE"/>
    <w:rsid w:val="00DD7275"/>
    <w:rsid w:val="00DE01E5"/>
    <w:rsid w:val="00DE0870"/>
    <w:rsid w:val="00DE130A"/>
    <w:rsid w:val="00DE4C62"/>
    <w:rsid w:val="00DE4F75"/>
    <w:rsid w:val="00DE5157"/>
    <w:rsid w:val="00DF29C0"/>
    <w:rsid w:val="00DF2A09"/>
    <w:rsid w:val="00DF2A31"/>
    <w:rsid w:val="00DF2A76"/>
    <w:rsid w:val="00DF3A2C"/>
    <w:rsid w:val="00DF3C0A"/>
    <w:rsid w:val="00DF5AB7"/>
    <w:rsid w:val="00DF5F7C"/>
    <w:rsid w:val="00DF6545"/>
    <w:rsid w:val="00DF7761"/>
    <w:rsid w:val="00E0338B"/>
    <w:rsid w:val="00E03643"/>
    <w:rsid w:val="00E03FCA"/>
    <w:rsid w:val="00E1314A"/>
    <w:rsid w:val="00E15829"/>
    <w:rsid w:val="00E16E60"/>
    <w:rsid w:val="00E17D06"/>
    <w:rsid w:val="00E20A4F"/>
    <w:rsid w:val="00E22034"/>
    <w:rsid w:val="00E251EF"/>
    <w:rsid w:val="00E25320"/>
    <w:rsid w:val="00E25474"/>
    <w:rsid w:val="00E2621E"/>
    <w:rsid w:val="00E2672A"/>
    <w:rsid w:val="00E26F53"/>
    <w:rsid w:val="00E318D9"/>
    <w:rsid w:val="00E33A4E"/>
    <w:rsid w:val="00E41DB1"/>
    <w:rsid w:val="00E4218F"/>
    <w:rsid w:val="00E45441"/>
    <w:rsid w:val="00E478B9"/>
    <w:rsid w:val="00E50232"/>
    <w:rsid w:val="00E50FD2"/>
    <w:rsid w:val="00E52F55"/>
    <w:rsid w:val="00E535C3"/>
    <w:rsid w:val="00E575F4"/>
    <w:rsid w:val="00E57E44"/>
    <w:rsid w:val="00E60E7D"/>
    <w:rsid w:val="00E63405"/>
    <w:rsid w:val="00E635C8"/>
    <w:rsid w:val="00E6424B"/>
    <w:rsid w:val="00E6496F"/>
    <w:rsid w:val="00E64C9C"/>
    <w:rsid w:val="00E706C2"/>
    <w:rsid w:val="00E773DE"/>
    <w:rsid w:val="00E809E3"/>
    <w:rsid w:val="00E81695"/>
    <w:rsid w:val="00E829A1"/>
    <w:rsid w:val="00E84BC1"/>
    <w:rsid w:val="00E852A2"/>
    <w:rsid w:val="00E87B8D"/>
    <w:rsid w:val="00E927D7"/>
    <w:rsid w:val="00E93A4C"/>
    <w:rsid w:val="00E93E75"/>
    <w:rsid w:val="00E96377"/>
    <w:rsid w:val="00EA0059"/>
    <w:rsid w:val="00EA0AA8"/>
    <w:rsid w:val="00EA237A"/>
    <w:rsid w:val="00EA2CDA"/>
    <w:rsid w:val="00EA426E"/>
    <w:rsid w:val="00EA6882"/>
    <w:rsid w:val="00EB42E0"/>
    <w:rsid w:val="00EB61C1"/>
    <w:rsid w:val="00EB67E5"/>
    <w:rsid w:val="00EB6F73"/>
    <w:rsid w:val="00EC306B"/>
    <w:rsid w:val="00EC3123"/>
    <w:rsid w:val="00EC32CB"/>
    <w:rsid w:val="00EC3FE4"/>
    <w:rsid w:val="00EC471D"/>
    <w:rsid w:val="00EC5CC2"/>
    <w:rsid w:val="00EC68E2"/>
    <w:rsid w:val="00ED1939"/>
    <w:rsid w:val="00ED1A27"/>
    <w:rsid w:val="00ED21D6"/>
    <w:rsid w:val="00ED356D"/>
    <w:rsid w:val="00ED3B8D"/>
    <w:rsid w:val="00ED4A7C"/>
    <w:rsid w:val="00ED4F51"/>
    <w:rsid w:val="00ED52F7"/>
    <w:rsid w:val="00ED5B3F"/>
    <w:rsid w:val="00ED6225"/>
    <w:rsid w:val="00ED6EB7"/>
    <w:rsid w:val="00ED7C20"/>
    <w:rsid w:val="00EE16E8"/>
    <w:rsid w:val="00EE18E7"/>
    <w:rsid w:val="00EE6438"/>
    <w:rsid w:val="00EE7164"/>
    <w:rsid w:val="00EF038E"/>
    <w:rsid w:val="00EF1463"/>
    <w:rsid w:val="00EF1C24"/>
    <w:rsid w:val="00EF21D7"/>
    <w:rsid w:val="00EF2309"/>
    <w:rsid w:val="00EF4C79"/>
    <w:rsid w:val="00EF5110"/>
    <w:rsid w:val="00EF7270"/>
    <w:rsid w:val="00F0032E"/>
    <w:rsid w:val="00F0202D"/>
    <w:rsid w:val="00F02493"/>
    <w:rsid w:val="00F04FEB"/>
    <w:rsid w:val="00F052DC"/>
    <w:rsid w:val="00F10C7B"/>
    <w:rsid w:val="00F13A79"/>
    <w:rsid w:val="00F148B5"/>
    <w:rsid w:val="00F14ACE"/>
    <w:rsid w:val="00F21255"/>
    <w:rsid w:val="00F213AE"/>
    <w:rsid w:val="00F22375"/>
    <w:rsid w:val="00F22E13"/>
    <w:rsid w:val="00F237C3"/>
    <w:rsid w:val="00F2430A"/>
    <w:rsid w:val="00F248E6"/>
    <w:rsid w:val="00F2694A"/>
    <w:rsid w:val="00F26953"/>
    <w:rsid w:val="00F27A5E"/>
    <w:rsid w:val="00F3082F"/>
    <w:rsid w:val="00F30D73"/>
    <w:rsid w:val="00F31709"/>
    <w:rsid w:val="00F322E4"/>
    <w:rsid w:val="00F34710"/>
    <w:rsid w:val="00F35AF2"/>
    <w:rsid w:val="00F379AF"/>
    <w:rsid w:val="00F411A9"/>
    <w:rsid w:val="00F4281F"/>
    <w:rsid w:val="00F449BD"/>
    <w:rsid w:val="00F44F56"/>
    <w:rsid w:val="00F464A4"/>
    <w:rsid w:val="00F46EF2"/>
    <w:rsid w:val="00F477C5"/>
    <w:rsid w:val="00F47C0F"/>
    <w:rsid w:val="00F50E10"/>
    <w:rsid w:val="00F5402D"/>
    <w:rsid w:val="00F54EDD"/>
    <w:rsid w:val="00F5510C"/>
    <w:rsid w:val="00F55C3F"/>
    <w:rsid w:val="00F5679D"/>
    <w:rsid w:val="00F56B7F"/>
    <w:rsid w:val="00F57ED5"/>
    <w:rsid w:val="00F60488"/>
    <w:rsid w:val="00F6557E"/>
    <w:rsid w:val="00F66AB4"/>
    <w:rsid w:val="00F66E66"/>
    <w:rsid w:val="00F66F0F"/>
    <w:rsid w:val="00F7020A"/>
    <w:rsid w:val="00F71E7E"/>
    <w:rsid w:val="00F7251C"/>
    <w:rsid w:val="00F727B4"/>
    <w:rsid w:val="00F73152"/>
    <w:rsid w:val="00F752D0"/>
    <w:rsid w:val="00F7651B"/>
    <w:rsid w:val="00F76A9E"/>
    <w:rsid w:val="00F77AF9"/>
    <w:rsid w:val="00F77C31"/>
    <w:rsid w:val="00F8105C"/>
    <w:rsid w:val="00F82A2E"/>
    <w:rsid w:val="00F82F3B"/>
    <w:rsid w:val="00F84C2F"/>
    <w:rsid w:val="00F910E5"/>
    <w:rsid w:val="00F92AB1"/>
    <w:rsid w:val="00F92F10"/>
    <w:rsid w:val="00F93DAF"/>
    <w:rsid w:val="00F941F9"/>
    <w:rsid w:val="00F9424B"/>
    <w:rsid w:val="00F94ED5"/>
    <w:rsid w:val="00F97201"/>
    <w:rsid w:val="00FA41C0"/>
    <w:rsid w:val="00FA4960"/>
    <w:rsid w:val="00FA52AA"/>
    <w:rsid w:val="00FA7601"/>
    <w:rsid w:val="00FB06F1"/>
    <w:rsid w:val="00FB129D"/>
    <w:rsid w:val="00FB1EA0"/>
    <w:rsid w:val="00FB20BE"/>
    <w:rsid w:val="00FB320B"/>
    <w:rsid w:val="00FB4005"/>
    <w:rsid w:val="00FB4267"/>
    <w:rsid w:val="00FB45D3"/>
    <w:rsid w:val="00FB474E"/>
    <w:rsid w:val="00FB6816"/>
    <w:rsid w:val="00FC093B"/>
    <w:rsid w:val="00FC27F6"/>
    <w:rsid w:val="00FC5620"/>
    <w:rsid w:val="00FC69E2"/>
    <w:rsid w:val="00FC78E1"/>
    <w:rsid w:val="00FD1FFB"/>
    <w:rsid w:val="00FD2B74"/>
    <w:rsid w:val="00FD39EB"/>
    <w:rsid w:val="00FE2C37"/>
    <w:rsid w:val="00FE444A"/>
    <w:rsid w:val="00FE56E7"/>
    <w:rsid w:val="00FF21F9"/>
    <w:rsid w:val="00FF23CE"/>
  </w:rsids>
  <m:mathPr>
    <m:mathFont m:val="Cambria Math"/>
    <m:brkBin m:val="before"/>
    <m:brkBinSub m:val="--"/>
    <m:smallFrac m:val="0"/>
    <m:dispDef/>
    <m:lMargin m:val="0"/>
    <m:rMargin m:val="0"/>
    <m:defJc m:val="centerGroup"/>
    <m:wrapIndent m:val="1440"/>
    <m:intLim m:val="subSup"/>
    <m:naryLim m:val="undOvr"/>
  </m:mathPr>
  <w:themeFontLang w:val="es-C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376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R" w:eastAsia="en-US" w:bidi="ar-SA"/>
      </w:rPr>
    </w:rPrDefault>
    <w:pPrDefault>
      <w:pPr>
        <w:spacing w:after="48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B74"/>
  </w:style>
  <w:style w:type="paragraph" w:styleId="Heading2">
    <w:name w:val="heading 2"/>
    <w:basedOn w:val="Normal"/>
    <w:link w:val="Heading2Char"/>
    <w:uiPriority w:val="9"/>
    <w:qFormat/>
    <w:rsid w:val="00EB67E5"/>
    <w:pPr>
      <w:spacing w:before="100" w:beforeAutospacing="1" w:after="100" w:afterAutospacing="1" w:line="240" w:lineRule="auto"/>
      <w:outlineLvl w:val="1"/>
    </w:pPr>
    <w:rPr>
      <w:rFonts w:ascii="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5E47"/>
    <w:rPr>
      <w:strike w:val="0"/>
      <w:dstrike w:val="0"/>
      <w:color w:val="5383A9"/>
      <w:sz w:val="18"/>
      <w:szCs w:val="18"/>
      <w:u w:val="none"/>
      <w:effect w:val="none"/>
    </w:rPr>
  </w:style>
  <w:style w:type="character" w:customStyle="1" w:styleId="FootnoteTextChar">
    <w:name w:val="Footnote Text Char"/>
    <w:aliases w:val="FA Fu Char,Footnote Text Char Char Char Char Char Char,Footnote Text Char Char Char Char Char1,Footnote reference Char,Footnote Text Char Char Char Char1,Footnote Text Cha Char,FA Fußnotentext Char,FA Fuﬂnotentext Char,FA Fu Car Char"/>
    <w:basedOn w:val="DefaultParagraphFont"/>
    <w:link w:val="FootnoteText"/>
    <w:uiPriority w:val="99"/>
    <w:qFormat/>
    <w:locked/>
    <w:rsid w:val="00FD2B74"/>
    <w:rPr>
      <w:rFonts w:ascii="Verdana" w:hAnsi="Verdana"/>
      <w:sz w:val="16"/>
      <w:lang w:val="en-US"/>
    </w:rPr>
  </w:style>
  <w:style w:type="paragraph" w:styleId="FootnoteText">
    <w:name w:val="footnote text"/>
    <w:aliases w:val="FA Fu,Footnote Text Char Char Char Char Char,Footnote Text Char Char Char Char,Footnote reference,Footnote Text Char Char Char,Footnote Text Cha,FA Fußnotentext,FA Fuﬂnotentext,Footnote Text Char Char,FA Fu Car,Ca,ft,C,FA Fu?notentext"/>
    <w:basedOn w:val="Normal"/>
    <w:link w:val="FootnoteTextChar"/>
    <w:uiPriority w:val="99"/>
    <w:unhideWhenUsed/>
    <w:qFormat/>
    <w:rsid w:val="00FD2B74"/>
    <w:pPr>
      <w:spacing w:after="0" w:line="240" w:lineRule="auto"/>
      <w:jc w:val="both"/>
    </w:pPr>
    <w:rPr>
      <w:rFonts w:ascii="Verdana" w:hAnsi="Verdana"/>
      <w:sz w:val="16"/>
      <w:lang w:val="en-US"/>
    </w:rPr>
  </w:style>
  <w:style w:type="character" w:customStyle="1" w:styleId="TextonotapieCar">
    <w:name w:val="Texto nota pie Car"/>
    <w:aliases w:val="Footnote Text Char Char Char Char Char Car1,Footnote Text Char Char Char Char Car1,Footnote reference Car1,Footnote Text Char Char Char Car1,Footnote Text Cha Car1,FA Fußnotentext Car1,FA Fuﬂnotentext Car1"/>
    <w:basedOn w:val="DefaultParagraphFont"/>
    <w:uiPriority w:val="99"/>
    <w:rsid w:val="004F5E47"/>
    <w:rPr>
      <w:sz w:val="20"/>
      <w:szCs w:val="20"/>
    </w:rPr>
  </w:style>
  <w:style w:type="paragraph" w:styleId="ListParagraph">
    <w:name w:val="List Paragraph"/>
    <w:aliases w:val="Footnote,Párrafo de lista1,Colorful List - Accent 11,Cuadrícula clara - Énfasis 31"/>
    <w:basedOn w:val="Normal"/>
    <w:link w:val="ListParagraphChar"/>
    <w:qFormat/>
    <w:rsid w:val="004F5E47"/>
    <w:pPr>
      <w:ind w:left="720"/>
      <w:contextualSpacing/>
    </w:pPr>
    <w:rPr>
      <w:rFonts w:ascii="Calibri" w:eastAsia="Calibri" w:hAnsi="Calibri" w:cs="Times New Roman"/>
      <w:lang w:val="en-US"/>
    </w:rPr>
  </w:style>
  <w:style w:type="character" w:styleId="FootnoteReference">
    <w:name w:val="footnote reference"/>
    <w:aliases w:val="Texto de nota al pie,Appel note de bas de page,Footnotes refss,Footnote number,referencia nota al pie,BVI fnr,f,4_G,16 Point,Superscript 6 Point,Texto nota al pie,Footnote Reference Char3,Footnote Reference Char1 Char,Ref. de nota al"/>
    <w:basedOn w:val="DefaultParagraphFont"/>
    <w:link w:val="4GChar"/>
    <w:uiPriority w:val="99"/>
    <w:unhideWhenUsed/>
    <w:qFormat/>
    <w:rsid w:val="004F5E47"/>
    <w:rPr>
      <w:vertAlign w:val="superscript"/>
    </w:rPr>
  </w:style>
  <w:style w:type="character" w:customStyle="1" w:styleId="eacep">
    <w:name w:val="eacep"/>
    <w:basedOn w:val="DefaultParagraphFont"/>
    <w:rsid w:val="004F5E47"/>
  </w:style>
  <w:style w:type="character" w:styleId="Emphasis">
    <w:name w:val="Emphasis"/>
    <w:basedOn w:val="DefaultParagraphFont"/>
    <w:qFormat/>
    <w:rsid w:val="004F5E47"/>
    <w:rPr>
      <w:i/>
      <w:iCs/>
    </w:rPr>
  </w:style>
  <w:style w:type="character" w:customStyle="1" w:styleId="ListParagraphChar">
    <w:name w:val="List Paragraph Char"/>
    <w:aliases w:val="Footnote Char,Párrafo de lista1 Char,Colorful List - Accent 11 Char,Cuadrícula clara - Énfasis 31 Char"/>
    <w:link w:val="ListParagraph"/>
    <w:locked/>
    <w:rsid w:val="004F5E47"/>
    <w:rPr>
      <w:rFonts w:ascii="Calibri" w:eastAsia="Calibri" w:hAnsi="Calibri" w:cs="Times New Roman"/>
      <w:lang w:val="en-US"/>
    </w:rPr>
  </w:style>
  <w:style w:type="character" w:styleId="Strong">
    <w:name w:val="Strong"/>
    <w:basedOn w:val="DefaultParagraphFont"/>
    <w:uiPriority w:val="22"/>
    <w:qFormat/>
    <w:rsid w:val="004F5E47"/>
    <w:rPr>
      <w:b/>
      <w:bCs/>
    </w:rPr>
  </w:style>
  <w:style w:type="paragraph" w:customStyle="1" w:styleId="sq">
    <w:name w:val="sq"/>
    <w:basedOn w:val="Normal"/>
    <w:uiPriority w:val="99"/>
    <w:rsid w:val="004F5E4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s>
      <w:spacing w:after="0" w:line="240" w:lineRule="auto"/>
      <w:jc w:val="both"/>
    </w:pPr>
    <w:rPr>
      <w:rFonts w:ascii="Garamond" w:eastAsia="Times New Roman" w:hAnsi="Garamond" w:cs="Times New Roman"/>
      <w:sz w:val="24"/>
      <w:szCs w:val="20"/>
      <w:lang w:val="en-US"/>
    </w:rPr>
  </w:style>
  <w:style w:type="character" w:customStyle="1" w:styleId="CharAttribute1">
    <w:name w:val="CharAttribute1"/>
    <w:rsid w:val="004F5E47"/>
    <w:rPr>
      <w:rFonts w:ascii="Verdana" w:eastAsia="Verdana" w:hAnsi="Verdana"/>
      <w:b/>
    </w:rPr>
  </w:style>
  <w:style w:type="paragraph" w:styleId="Header">
    <w:name w:val="header"/>
    <w:basedOn w:val="Normal"/>
    <w:link w:val="HeaderChar"/>
    <w:uiPriority w:val="99"/>
    <w:unhideWhenUsed/>
    <w:rsid w:val="004F5E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5E47"/>
  </w:style>
  <w:style w:type="paragraph" w:styleId="BalloonText">
    <w:name w:val="Balloon Text"/>
    <w:basedOn w:val="Normal"/>
    <w:link w:val="BalloonTextChar"/>
    <w:uiPriority w:val="99"/>
    <w:semiHidden/>
    <w:unhideWhenUsed/>
    <w:rsid w:val="007F59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5970"/>
    <w:rPr>
      <w:rFonts w:ascii="Tahoma" w:hAnsi="Tahoma" w:cs="Tahoma"/>
      <w:sz w:val="16"/>
      <w:szCs w:val="16"/>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rsid w:val="00B17EA4"/>
    <w:pPr>
      <w:spacing w:after="0" w:line="240" w:lineRule="auto"/>
      <w:jc w:val="both"/>
    </w:pPr>
    <w:rPr>
      <w:vertAlign w:val="superscript"/>
    </w:rPr>
  </w:style>
  <w:style w:type="paragraph" w:styleId="Footer">
    <w:name w:val="footer"/>
    <w:basedOn w:val="Normal"/>
    <w:link w:val="FooterChar"/>
    <w:unhideWhenUsed/>
    <w:rsid w:val="000F62F3"/>
    <w:pPr>
      <w:tabs>
        <w:tab w:val="center" w:pos="4680"/>
        <w:tab w:val="right" w:pos="9360"/>
      </w:tabs>
      <w:spacing w:after="0" w:line="240" w:lineRule="auto"/>
    </w:pPr>
  </w:style>
  <w:style w:type="character" w:customStyle="1" w:styleId="FooterChar">
    <w:name w:val="Footer Char"/>
    <w:basedOn w:val="DefaultParagraphFont"/>
    <w:link w:val="Footer"/>
    <w:rsid w:val="000F62F3"/>
  </w:style>
  <w:style w:type="character" w:styleId="CommentReference">
    <w:name w:val="annotation reference"/>
    <w:basedOn w:val="DefaultParagraphFont"/>
    <w:uiPriority w:val="99"/>
    <w:semiHidden/>
    <w:unhideWhenUsed/>
    <w:rsid w:val="007B0728"/>
    <w:rPr>
      <w:sz w:val="16"/>
      <w:szCs w:val="16"/>
    </w:rPr>
  </w:style>
  <w:style w:type="paragraph" w:styleId="CommentText">
    <w:name w:val="annotation text"/>
    <w:basedOn w:val="Normal"/>
    <w:link w:val="CommentTextChar"/>
    <w:uiPriority w:val="99"/>
    <w:unhideWhenUsed/>
    <w:rsid w:val="007B0728"/>
    <w:pPr>
      <w:spacing w:line="240" w:lineRule="auto"/>
    </w:pPr>
    <w:rPr>
      <w:sz w:val="20"/>
      <w:szCs w:val="20"/>
    </w:rPr>
  </w:style>
  <w:style w:type="character" w:customStyle="1" w:styleId="CommentTextChar">
    <w:name w:val="Comment Text Char"/>
    <w:basedOn w:val="DefaultParagraphFont"/>
    <w:link w:val="CommentText"/>
    <w:uiPriority w:val="99"/>
    <w:rsid w:val="007B0728"/>
    <w:rPr>
      <w:sz w:val="20"/>
      <w:szCs w:val="20"/>
    </w:rPr>
  </w:style>
  <w:style w:type="paragraph" w:styleId="CommentSubject">
    <w:name w:val="annotation subject"/>
    <w:basedOn w:val="CommentText"/>
    <w:next w:val="CommentText"/>
    <w:link w:val="CommentSubjectChar"/>
    <w:uiPriority w:val="99"/>
    <w:semiHidden/>
    <w:unhideWhenUsed/>
    <w:rsid w:val="007B0728"/>
    <w:rPr>
      <w:b/>
      <w:bCs/>
    </w:rPr>
  </w:style>
  <w:style w:type="character" w:customStyle="1" w:styleId="CommentSubjectChar">
    <w:name w:val="Comment Subject Char"/>
    <w:basedOn w:val="CommentTextChar"/>
    <w:link w:val="CommentSubject"/>
    <w:uiPriority w:val="99"/>
    <w:semiHidden/>
    <w:rsid w:val="007B0728"/>
    <w:rPr>
      <w:b/>
      <w:bCs/>
      <w:sz w:val="20"/>
      <w:szCs w:val="20"/>
    </w:rPr>
  </w:style>
  <w:style w:type="paragraph" w:styleId="Revision">
    <w:name w:val="Revision"/>
    <w:hidden/>
    <w:uiPriority w:val="99"/>
    <w:semiHidden/>
    <w:rsid w:val="00A56E93"/>
    <w:pPr>
      <w:spacing w:after="0" w:line="240" w:lineRule="auto"/>
    </w:pPr>
  </w:style>
  <w:style w:type="character" w:styleId="LineNumber">
    <w:name w:val="line number"/>
    <w:basedOn w:val="DefaultParagraphFont"/>
    <w:uiPriority w:val="99"/>
    <w:semiHidden/>
    <w:unhideWhenUsed/>
    <w:rsid w:val="006715E4"/>
  </w:style>
  <w:style w:type="paragraph" w:styleId="NormalWeb">
    <w:name w:val="Normal (Web)"/>
    <w:basedOn w:val="Normal"/>
    <w:uiPriority w:val="99"/>
    <w:unhideWhenUsed/>
    <w:rsid w:val="00A8269C"/>
    <w:pPr>
      <w:spacing w:before="100" w:beforeAutospacing="1" w:after="100" w:afterAutospacing="1" w:line="240" w:lineRule="auto"/>
    </w:pPr>
    <w:rPr>
      <w:rFonts w:ascii="Times" w:hAnsi="Times" w:cs="Times New Roman"/>
      <w:sz w:val="20"/>
      <w:szCs w:val="20"/>
      <w:lang w:val="en-US"/>
    </w:rPr>
  </w:style>
  <w:style w:type="paragraph" w:styleId="BodyText">
    <w:name w:val="Body Text"/>
    <w:basedOn w:val="Normal"/>
    <w:link w:val="BodyTextChar"/>
    <w:rsid w:val="001F3073"/>
    <w:pPr>
      <w:spacing w:after="120" w:line="240" w:lineRule="auto"/>
    </w:pPr>
    <w:rPr>
      <w:rFonts w:ascii="Times" w:eastAsia="Times" w:hAnsi="Times" w:cs="Times New Roman"/>
      <w:sz w:val="24"/>
      <w:szCs w:val="20"/>
      <w:lang w:val="es-ES_tradnl"/>
    </w:rPr>
  </w:style>
  <w:style w:type="character" w:customStyle="1" w:styleId="BodyTextChar">
    <w:name w:val="Body Text Char"/>
    <w:basedOn w:val="DefaultParagraphFont"/>
    <w:link w:val="BodyText"/>
    <w:rsid w:val="001F3073"/>
    <w:rPr>
      <w:rFonts w:ascii="Times" w:eastAsia="Times" w:hAnsi="Times" w:cs="Times New Roman"/>
      <w:sz w:val="24"/>
      <w:szCs w:val="20"/>
      <w:lang w:val="es-ES_tradnl"/>
    </w:rPr>
  </w:style>
  <w:style w:type="paragraph" w:customStyle="1" w:styleId="Default">
    <w:name w:val="Default"/>
    <w:rsid w:val="00917145"/>
    <w:pPr>
      <w:autoSpaceDE w:val="0"/>
      <w:autoSpaceDN w:val="0"/>
      <w:adjustRightInd w:val="0"/>
      <w:spacing w:after="0" w:line="240" w:lineRule="auto"/>
    </w:pPr>
    <w:rPr>
      <w:rFonts w:ascii="Verdana" w:hAnsi="Verdana" w:cs="Verdana"/>
      <w:color w:val="000000"/>
      <w:sz w:val="24"/>
      <w:szCs w:val="24"/>
    </w:rPr>
  </w:style>
  <w:style w:type="character" w:customStyle="1" w:styleId="Heading2Char">
    <w:name w:val="Heading 2 Char"/>
    <w:basedOn w:val="DefaultParagraphFont"/>
    <w:link w:val="Heading2"/>
    <w:uiPriority w:val="9"/>
    <w:rsid w:val="00EB67E5"/>
    <w:rPr>
      <w:rFonts w:ascii="Times New Roman" w:hAnsi="Times New Roman" w:cs="Times New Roman"/>
      <w:b/>
      <w:bCs/>
      <w:sz w:val="36"/>
      <w:szCs w:val="36"/>
      <w:lang w:val="en-US"/>
    </w:rPr>
  </w:style>
  <w:style w:type="character" w:customStyle="1" w:styleId="apple-converted-space">
    <w:name w:val="apple-converted-space"/>
    <w:basedOn w:val="DefaultParagraphFont"/>
    <w:rsid w:val="005A597B"/>
  </w:style>
  <w:style w:type="character" w:styleId="FollowedHyperlink">
    <w:name w:val="FollowedHyperlink"/>
    <w:basedOn w:val="DefaultParagraphFont"/>
    <w:uiPriority w:val="99"/>
    <w:semiHidden/>
    <w:unhideWhenUsed/>
    <w:rsid w:val="004E502B"/>
    <w:rPr>
      <w:color w:val="800080" w:themeColor="followedHyperlink"/>
      <w:u w:val="single"/>
    </w:rPr>
  </w:style>
  <w:style w:type="paragraph" w:customStyle="1" w:styleId="Numberedparagraphs">
    <w:name w:val="Numbered paragraphs"/>
    <w:basedOn w:val="Normal"/>
    <w:link w:val="NumberedparagraphsCar"/>
    <w:qFormat/>
    <w:rsid w:val="00485FAD"/>
    <w:pPr>
      <w:numPr>
        <w:numId w:val="11"/>
      </w:numPr>
      <w:spacing w:after="0" w:line="240" w:lineRule="auto"/>
      <w:jc w:val="both"/>
    </w:pPr>
    <w:rPr>
      <w:rFonts w:ascii="Verdana" w:eastAsia="MS Mincho" w:hAnsi="Verdana" w:cs="Times New Roman"/>
      <w:color w:val="000000"/>
      <w:sz w:val="20"/>
      <w:szCs w:val="20"/>
      <w:lang w:val="es-ES_tradnl"/>
    </w:rPr>
  </w:style>
  <w:style w:type="character" w:customStyle="1" w:styleId="NumberedparagraphsCar">
    <w:name w:val="Numbered paragraphs Car"/>
    <w:basedOn w:val="DefaultParagraphFont"/>
    <w:link w:val="Numberedparagraphs"/>
    <w:rsid w:val="00485FAD"/>
    <w:rPr>
      <w:rFonts w:ascii="Verdana" w:eastAsia="MS Mincho" w:hAnsi="Verdana" w:cs="Times New Roman"/>
      <w:color w:val="000000"/>
      <w:sz w:val="20"/>
      <w:szCs w:val="20"/>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48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B74"/>
  </w:style>
  <w:style w:type="paragraph" w:styleId="Heading2">
    <w:name w:val="heading 2"/>
    <w:basedOn w:val="Normal"/>
    <w:link w:val="Heading2Char"/>
    <w:uiPriority w:val="9"/>
    <w:qFormat/>
    <w:rsid w:val="00EB67E5"/>
    <w:pPr>
      <w:spacing w:before="100" w:beforeAutospacing="1" w:after="100" w:afterAutospacing="1" w:line="240" w:lineRule="auto"/>
      <w:outlineLvl w:val="1"/>
    </w:pPr>
    <w:rPr>
      <w:rFonts w:ascii="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5E47"/>
    <w:rPr>
      <w:strike w:val="0"/>
      <w:dstrike w:val="0"/>
      <w:color w:val="5383A9"/>
      <w:sz w:val="18"/>
      <w:szCs w:val="18"/>
      <w:u w:val="none"/>
      <w:effect w:val="none"/>
    </w:rPr>
  </w:style>
  <w:style w:type="character" w:customStyle="1" w:styleId="FootnoteTextChar">
    <w:name w:val="Footnote Text Char"/>
    <w:aliases w:val="FA Fu Char,Footnote Text Char Char Char Char Char Char,Footnote Text Char Char Char Char Char1,Footnote reference Char,Footnote Text Char Char Char Char1,Footnote Text Cha Char,FA Fußnotentext Char,FA Fuﬂnotentext Char,FA Fu Car Char"/>
    <w:basedOn w:val="DefaultParagraphFont"/>
    <w:link w:val="FootnoteText"/>
    <w:uiPriority w:val="99"/>
    <w:qFormat/>
    <w:locked/>
    <w:rsid w:val="00FD2B74"/>
    <w:rPr>
      <w:rFonts w:ascii="Verdana" w:hAnsi="Verdana"/>
      <w:sz w:val="16"/>
      <w:lang w:val="en-US"/>
    </w:rPr>
  </w:style>
  <w:style w:type="paragraph" w:styleId="FootnoteText">
    <w:name w:val="footnote text"/>
    <w:aliases w:val="FA Fu,Footnote Text Char Char Char Char Char,Footnote Text Char Char Char Char,Footnote reference,Footnote Text Char Char Char,Footnote Text Cha,FA Fußnotentext,FA Fuﬂnotentext,Footnote Text Char Char,FA Fu Car,Ca,ft,C,FA Fu?notentext"/>
    <w:basedOn w:val="Normal"/>
    <w:link w:val="FootnoteTextChar"/>
    <w:uiPriority w:val="99"/>
    <w:unhideWhenUsed/>
    <w:qFormat/>
    <w:rsid w:val="00FD2B74"/>
    <w:pPr>
      <w:spacing w:after="0" w:line="240" w:lineRule="auto"/>
      <w:jc w:val="both"/>
    </w:pPr>
    <w:rPr>
      <w:rFonts w:ascii="Verdana" w:hAnsi="Verdana"/>
      <w:sz w:val="16"/>
      <w:lang w:val="en-US"/>
    </w:rPr>
  </w:style>
  <w:style w:type="character" w:customStyle="1" w:styleId="TextonotapieCar">
    <w:name w:val="Texto nota pie Car"/>
    <w:aliases w:val="Footnote Text Char Char Char Char Char Car1,Footnote Text Char Char Char Char Car1,Footnote reference Car1,Footnote Text Char Char Char Car1,Footnote Text Cha Car1,FA Fußnotentext Car1,FA Fuﬂnotentext Car1"/>
    <w:basedOn w:val="DefaultParagraphFont"/>
    <w:uiPriority w:val="99"/>
    <w:rsid w:val="004F5E47"/>
    <w:rPr>
      <w:sz w:val="20"/>
      <w:szCs w:val="20"/>
    </w:rPr>
  </w:style>
  <w:style w:type="paragraph" w:styleId="ListParagraph">
    <w:name w:val="List Paragraph"/>
    <w:aliases w:val="Footnote,Párrafo de lista1,Colorful List - Accent 11,Cuadrícula clara - Énfasis 31"/>
    <w:basedOn w:val="Normal"/>
    <w:link w:val="ListParagraphChar"/>
    <w:qFormat/>
    <w:rsid w:val="004F5E47"/>
    <w:pPr>
      <w:ind w:left="720"/>
      <w:contextualSpacing/>
    </w:pPr>
    <w:rPr>
      <w:rFonts w:ascii="Calibri" w:eastAsia="Calibri" w:hAnsi="Calibri" w:cs="Times New Roman"/>
      <w:lang w:val="en-US"/>
    </w:rPr>
  </w:style>
  <w:style w:type="character" w:styleId="FootnoteReference">
    <w:name w:val="footnote reference"/>
    <w:aliases w:val="Texto de nota al pie,Appel note de bas de page,Footnotes refss,Footnote number,referencia nota al pie,BVI fnr,f,4_G,16 Point,Superscript 6 Point,Texto nota al pie,Footnote Reference Char3,Footnote Reference Char1 Char,Ref. de nota al"/>
    <w:basedOn w:val="DefaultParagraphFont"/>
    <w:link w:val="4GChar"/>
    <w:uiPriority w:val="99"/>
    <w:unhideWhenUsed/>
    <w:qFormat/>
    <w:rsid w:val="004F5E47"/>
    <w:rPr>
      <w:vertAlign w:val="superscript"/>
    </w:rPr>
  </w:style>
  <w:style w:type="character" w:customStyle="1" w:styleId="eacep">
    <w:name w:val="eacep"/>
    <w:basedOn w:val="DefaultParagraphFont"/>
    <w:rsid w:val="004F5E47"/>
  </w:style>
  <w:style w:type="character" w:styleId="Emphasis">
    <w:name w:val="Emphasis"/>
    <w:basedOn w:val="DefaultParagraphFont"/>
    <w:qFormat/>
    <w:rsid w:val="004F5E47"/>
    <w:rPr>
      <w:i/>
      <w:iCs/>
    </w:rPr>
  </w:style>
  <w:style w:type="character" w:customStyle="1" w:styleId="ListParagraphChar">
    <w:name w:val="List Paragraph Char"/>
    <w:aliases w:val="Footnote Char,Párrafo de lista1 Char,Colorful List - Accent 11 Char,Cuadrícula clara - Énfasis 31 Char"/>
    <w:link w:val="ListParagraph"/>
    <w:locked/>
    <w:rsid w:val="004F5E47"/>
    <w:rPr>
      <w:rFonts w:ascii="Calibri" w:eastAsia="Calibri" w:hAnsi="Calibri" w:cs="Times New Roman"/>
      <w:lang w:val="en-US"/>
    </w:rPr>
  </w:style>
  <w:style w:type="character" w:styleId="Strong">
    <w:name w:val="Strong"/>
    <w:basedOn w:val="DefaultParagraphFont"/>
    <w:uiPriority w:val="22"/>
    <w:qFormat/>
    <w:rsid w:val="004F5E47"/>
    <w:rPr>
      <w:b/>
      <w:bCs/>
    </w:rPr>
  </w:style>
  <w:style w:type="paragraph" w:customStyle="1" w:styleId="sq">
    <w:name w:val="sq"/>
    <w:basedOn w:val="Normal"/>
    <w:uiPriority w:val="99"/>
    <w:rsid w:val="004F5E4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s>
      <w:spacing w:after="0" w:line="240" w:lineRule="auto"/>
      <w:jc w:val="both"/>
    </w:pPr>
    <w:rPr>
      <w:rFonts w:ascii="Garamond" w:eastAsia="Times New Roman" w:hAnsi="Garamond" w:cs="Times New Roman"/>
      <w:sz w:val="24"/>
      <w:szCs w:val="20"/>
      <w:lang w:val="en-US"/>
    </w:rPr>
  </w:style>
  <w:style w:type="character" w:customStyle="1" w:styleId="CharAttribute1">
    <w:name w:val="CharAttribute1"/>
    <w:rsid w:val="004F5E47"/>
    <w:rPr>
      <w:rFonts w:ascii="Verdana" w:eastAsia="Verdana" w:hAnsi="Verdana"/>
      <w:b/>
    </w:rPr>
  </w:style>
  <w:style w:type="paragraph" w:styleId="Header">
    <w:name w:val="header"/>
    <w:basedOn w:val="Normal"/>
    <w:link w:val="HeaderChar"/>
    <w:uiPriority w:val="99"/>
    <w:unhideWhenUsed/>
    <w:rsid w:val="004F5E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5E47"/>
  </w:style>
  <w:style w:type="paragraph" w:styleId="BalloonText">
    <w:name w:val="Balloon Text"/>
    <w:basedOn w:val="Normal"/>
    <w:link w:val="BalloonTextChar"/>
    <w:uiPriority w:val="99"/>
    <w:semiHidden/>
    <w:unhideWhenUsed/>
    <w:rsid w:val="007F59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5970"/>
    <w:rPr>
      <w:rFonts w:ascii="Tahoma" w:hAnsi="Tahoma" w:cs="Tahoma"/>
      <w:sz w:val="16"/>
      <w:szCs w:val="16"/>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rsid w:val="00B17EA4"/>
    <w:pPr>
      <w:spacing w:after="0" w:line="240" w:lineRule="auto"/>
      <w:jc w:val="both"/>
    </w:pPr>
    <w:rPr>
      <w:vertAlign w:val="superscript"/>
    </w:rPr>
  </w:style>
  <w:style w:type="paragraph" w:styleId="Footer">
    <w:name w:val="footer"/>
    <w:basedOn w:val="Normal"/>
    <w:link w:val="FooterChar"/>
    <w:unhideWhenUsed/>
    <w:rsid w:val="000F62F3"/>
    <w:pPr>
      <w:tabs>
        <w:tab w:val="center" w:pos="4680"/>
        <w:tab w:val="right" w:pos="9360"/>
      </w:tabs>
      <w:spacing w:after="0" w:line="240" w:lineRule="auto"/>
    </w:pPr>
  </w:style>
  <w:style w:type="character" w:customStyle="1" w:styleId="FooterChar">
    <w:name w:val="Footer Char"/>
    <w:basedOn w:val="DefaultParagraphFont"/>
    <w:link w:val="Footer"/>
    <w:rsid w:val="000F62F3"/>
  </w:style>
  <w:style w:type="character" w:styleId="CommentReference">
    <w:name w:val="annotation reference"/>
    <w:basedOn w:val="DefaultParagraphFont"/>
    <w:uiPriority w:val="99"/>
    <w:semiHidden/>
    <w:unhideWhenUsed/>
    <w:rsid w:val="007B0728"/>
    <w:rPr>
      <w:sz w:val="16"/>
      <w:szCs w:val="16"/>
    </w:rPr>
  </w:style>
  <w:style w:type="paragraph" w:styleId="CommentText">
    <w:name w:val="annotation text"/>
    <w:basedOn w:val="Normal"/>
    <w:link w:val="CommentTextChar"/>
    <w:uiPriority w:val="99"/>
    <w:unhideWhenUsed/>
    <w:rsid w:val="007B0728"/>
    <w:pPr>
      <w:spacing w:line="240" w:lineRule="auto"/>
    </w:pPr>
    <w:rPr>
      <w:sz w:val="20"/>
      <w:szCs w:val="20"/>
    </w:rPr>
  </w:style>
  <w:style w:type="character" w:customStyle="1" w:styleId="CommentTextChar">
    <w:name w:val="Comment Text Char"/>
    <w:basedOn w:val="DefaultParagraphFont"/>
    <w:link w:val="CommentText"/>
    <w:uiPriority w:val="99"/>
    <w:rsid w:val="007B0728"/>
    <w:rPr>
      <w:sz w:val="20"/>
      <w:szCs w:val="20"/>
    </w:rPr>
  </w:style>
  <w:style w:type="paragraph" w:styleId="CommentSubject">
    <w:name w:val="annotation subject"/>
    <w:basedOn w:val="CommentText"/>
    <w:next w:val="CommentText"/>
    <w:link w:val="CommentSubjectChar"/>
    <w:uiPriority w:val="99"/>
    <w:semiHidden/>
    <w:unhideWhenUsed/>
    <w:rsid w:val="007B0728"/>
    <w:rPr>
      <w:b/>
      <w:bCs/>
    </w:rPr>
  </w:style>
  <w:style w:type="character" w:customStyle="1" w:styleId="CommentSubjectChar">
    <w:name w:val="Comment Subject Char"/>
    <w:basedOn w:val="CommentTextChar"/>
    <w:link w:val="CommentSubject"/>
    <w:uiPriority w:val="99"/>
    <w:semiHidden/>
    <w:rsid w:val="007B0728"/>
    <w:rPr>
      <w:b/>
      <w:bCs/>
      <w:sz w:val="20"/>
      <w:szCs w:val="20"/>
    </w:rPr>
  </w:style>
  <w:style w:type="paragraph" w:styleId="Revision">
    <w:name w:val="Revision"/>
    <w:hidden/>
    <w:uiPriority w:val="99"/>
    <w:semiHidden/>
    <w:rsid w:val="00A56E93"/>
    <w:pPr>
      <w:spacing w:after="0" w:line="240" w:lineRule="auto"/>
    </w:pPr>
  </w:style>
  <w:style w:type="character" w:styleId="LineNumber">
    <w:name w:val="line number"/>
    <w:basedOn w:val="DefaultParagraphFont"/>
    <w:uiPriority w:val="99"/>
    <w:semiHidden/>
    <w:unhideWhenUsed/>
    <w:rsid w:val="006715E4"/>
  </w:style>
  <w:style w:type="paragraph" w:styleId="NormalWeb">
    <w:name w:val="Normal (Web)"/>
    <w:basedOn w:val="Normal"/>
    <w:uiPriority w:val="99"/>
    <w:unhideWhenUsed/>
    <w:rsid w:val="00A8269C"/>
    <w:pPr>
      <w:spacing w:before="100" w:beforeAutospacing="1" w:after="100" w:afterAutospacing="1" w:line="240" w:lineRule="auto"/>
    </w:pPr>
    <w:rPr>
      <w:rFonts w:ascii="Times" w:hAnsi="Times" w:cs="Times New Roman"/>
      <w:sz w:val="20"/>
      <w:szCs w:val="20"/>
      <w:lang w:val="en-US"/>
    </w:rPr>
  </w:style>
  <w:style w:type="paragraph" w:styleId="BodyText">
    <w:name w:val="Body Text"/>
    <w:basedOn w:val="Normal"/>
    <w:link w:val="BodyTextChar"/>
    <w:rsid w:val="001F3073"/>
    <w:pPr>
      <w:spacing w:after="120" w:line="240" w:lineRule="auto"/>
    </w:pPr>
    <w:rPr>
      <w:rFonts w:ascii="Times" w:eastAsia="Times" w:hAnsi="Times" w:cs="Times New Roman"/>
      <w:sz w:val="24"/>
      <w:szCs w:val="20"/>
      <w:lang w:val="es-ES_tradnl"/>
    </w:rPr>
  </w:style>
  <w:style w:type="character" w:customStyle="1" w:styleId="BodyTextChar">
    <w:name w:val="Body Text Char"/>
    <w:basedOn w:val="DefaultParagraphFont"/>
    <w:link w:val="BodyText"/>
    <w:rsid w:val="001F3073"/>
    <w:rPr>
      <w:rFonts w:ascii="Times" w:eastAsia="Times" w:hAnsi="Times" w:cs="Times New Roman"/>
      <w:sz w:val="24"/>
      <w:szCs w:val="20"/>
      <w:lang w:val="es-ES_tradnl"/>
    </w:rPr>
  </w:style>
  <w:style w:type="paragraph" w:customStyle="1" w:styleId="Default">
    <w:name w:val="Default"/>
    <w:rsid w:val="00917145"/>
    <w:pPr>
      <w:autoSpaceDE w:val="0"/>
      <w:autoSpaceDN w:val="0"/>
      <w:adjustRightInd w:val="0"/>
      <w:spacing w:after="0" w:line="240" w:lineRule="auto"/>
    </w:pPr>
    <w:rPr>
      <w:rFonts w:ascii="Verdana" w:hAnsi="Verdana" w:cs="Verdana"/>
      <w:color w:val="000000"/>
      <w:sz w:val="24"/>
      <w:szCs w:val="24"/>
    </w:rPr>
  </w:style>
  <w:style w:type="character" w:customStyle="1" w:styleId="Heading2Char">
    <w:name w:val="Heading 2 Char"/>
    <w:basedOn w:val="DefaultParagraphFont"/>
    <w:link w:val="Heading2"/>
    <w:uiPriority w:val="9"/>
    <w:rsid w:val="00EB67E5"/>
    <w:rPr>
      <w:rFonts w:ascii="Times New Roman" w:hAnsi="Times New Roman" w:cs="Times New Roman"/>
      <w:b/>
      <w:bCs/>
      <w:sz w:val="36"/>
      <w:szCs w:val="36"/>
      <w:lang w:val="en-US"/>
    </w:rPr>
  </w:style>
  <w:style w:type="character" w:customStyle="1" w:styleId="apple-converted-space">
    <w:name w:val="apple-converted-space"/>
    <w:basedOn w:val="DefaultParagraphFont"/>
    <w:rsid w:val="005A597B"/>
  </w:style>
  <w:style w:type="character" w:styleId="FollowedHyperlink">
    <w:name w:val="FollowedHyperlink"/>
    <w:basedOn w:val="DefaultParagraphFont"/>
    <w:uiPriority w:val="99"/>
    <w:semiHidden/>
    <w:unhideWhenUsed/>
    <w:rsid w:val="004E502B"/>
    <w:rPr>
      <w:color w:val="800080" w:themeColor="followedHyperlink"/>
      <w:u w:val="single"/>
    </w:rPr>
  </w:style>
  <w:style w:type="paragraph" w:customStyle="1" w:styleId="Numberedparagraphs">
    <w:name w:val="Numbered paragraphs"/>
    <w:basedOn w:val="Normal"/>
    <w:link w:val="NumberedparagraphsCar"/>
    <w:qFormat/>
    <w:rsid w:val="00485FAD"/>
    <w:pPr>
      <w:numPr>
        <w:numId w:val="11"/>
      </w:numPr>
      <w:spacing w:after="0" w:line="240" w:lineRule="auto"/>
      <w:jc w:val="both"/>
    </w:pPr>
    <w:rPr>
      <w:rFonts w:ascii="Verdana" w:eastAsia="MS Mincho" w:hAnsi="Verdana" w:cs="Times New Roman"/>
      <w:color w:val="000000"/>
      <w:sz w:val="20"/>
      <w:szCs w:val="20"/>
      <w:lang w:val="es-ES_tradnl"/>
    </w:rPr>
  </w:style>
  <w:style w:type="character" w:customStyle="1" w:styleId="NumberedparagraphsCar">
    <w:name w:val="Numbered paragraphs Car"/>
    <w:basedOn w:val="DefaultParagraphFont"/>
    <w:link w:val="Numberedparagraphs"/>
    <w:rsid w:val="00485FAD"/>
    <w:rPr>
      <w:rFonts w:ascii="Verdana" w:eastAsia="MS Mincho" w:hAnsi="Verdana" w:cs="Times New Roman"/>
      <w:color w:val="000000"/>
      <w:sz w:val="20"/>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86179">
      <w:bodyDiv w:val="1"/>
      <w:marLeft w:val="0"/>
      <w:marRight w:val="0"/>
      <w:marTop w:val="0"/>
      <w:marBottom w:val="0"/>
      <w:divBdr>
        <w:top w:val="none" w:sz="0" w:space="0" w:color="auto"/>
        <w:left w:val="none" w:sz="0" w:space="0" w:color="auto"/>
        <w:bottom w:val="none" w:sz="0" w:space="0" w:color="auto"/>
        <w:right w:val="none" w:sz="0" w:space="0" w:color="auto"/>
      </w:divBdr>
    </w:div>
    <w:div w:id="55860624">
      <w:bodyDiv w:val="1"/>
      <w:marLeft w:val="0"/>
      <w:marRight w:val="0"/>
      <w:marTop w:val="0"/>
      <w:marBottom w:val="0"/>
      <w:divBdr>
        <w:top w:val="none" w:sz="0" w:space="0" w:color="auto"/>
        <w:left w:val="none" w:sz="0" w:space="0" w:color="auto"/>
        <w:bottom w:val="none" w:sz="0" w:space="0" w:color="auto"/>
        <w:right w:val="none" w:sz="0" w:space="0" w:color="auto"/>
      </w:divBdr>
    </w:div>
    <w:div w:id="83963930">
      <w:bodyDiv w:val="1"/>
      <w:marLeft w:val="0"/>
      <w:marRight w:val="0"/>
      <w:marTop w:val="0"/>
      <w:marBottom w:val="0"/>
      <w:divBdr>
        <w:top w:val="none" w:sz="0" w:space="0" w:color="auto"/>
        <w:left w:val="none" w:sz="0" w:space="0" w:color="auto"/>
        <w:bottom w:val="none" w:sz="0" w:space="0" w:color="auto"/>
        <w:right w:val="none" w:sz="0" w:space="0" w:color="auto"/>
      </w:divBdr>
    </w:div>
    <w:div w:id="119419666">
      <w:bodyDiv w:val="1"/>
      <w:marLeft w:val="0"/>
      <w:marRight w:val="0"/>
      <w:marTop w:val="0"/>
      <w:marBottom w:val="0"/>
      <w:divBdr>
        <w:top w:val="none" w:sz="0" w:space="0" w:color="auto"/>
        <w:left w:val="none" w:sz="0" w:space="0" w:color="auto"/>
        <w:bottom w:val="none" w:sz="0" w:space="0" w:color="auto"/>
        <w:right w:val="none" w:sz="0" w:space="0" w:color="auto"/>
      </w:divBdr>
    </w:div>
    <w:div w:id="277302781">
      <w:bodyDiv w:val="1"/>
      <w:marLeft w:val="0"/>
      <w:marRight w:val="0"/>
      <w:marTop w:val="0"/>
      <w:marBottom w:val="0"/>
      <w:divBdr>
        <w:top w:val="none" w:sz="0" w:space="0" w:color="auto"/>
        <w:left w:val="none" w:sz="0" w:space="0" w:color="auto"/>
        <w:bottom w:val="none" w:sz="0" w:space="0" w:color="auto"/>
        <w:right w:val="none" w:sz="0" w:space="0" w:color="auto"/>
      </w:divBdr>
    </w:div>
    <w:div w:id="316882700">
      <w:bodyDiv w:val="1"/>
      <w:marLeft w:val="0"/>
      <w:marRight w:val="0"/>
      <w:marTop w:val="0"/>
      <w:marBottom w:val="0"/>
      <w:divBdr>
        <w:top w:val="none" w:sz="0" w:space="0" w:color="auto"/>
        <w:left w:val="none" w:sz="0" w:space="0" w:color="auto"/>
        <w:bottom w:val="none" w:sz="0" w:space="0" w:color="auto"/>
        <w:right w:val="none" w:sz="0" w:space="0" w:color="auto"/>
      </w:divBdr>
    </w:div>
    <w:div w:id="490759731">
      <w:bodyDiv w:val="1"/>
      <w:marLeft w:val="0"/>
      <w:marRight w:val="0"/>
      <w:marTop w:val="0"/>
      <w:marBottom w:val="0"/>
      <w:divBdr>
        <w:top w:val="none" w:sz="0" w:space="0" w:color="auto"/>
        <w:left w:val="none" w:sz="0" w:space="0" w:color="auto"/>
        <w:bottom w:val="none" w:sz="0" w:space="0" w:color="auto"/>
        <w:right w:val="none" w:sz="0" w:space="0" w:color="auto"/>
      </w:divBdr>
    </w:div>
    <w:div w:id="515577364">
      <w:bodyDiv w:val="1"/>
      <w:marLeft w:val="0"/>
      <w:marRight w:val="0"/>
      <w:marTop w:val="0"/>
      <w:marBottom w:val="0"/>
      <w:divBdr>
        <w:top w:val="none" w:sz="0" w:space="0" w:color="auto"/>
        <w:left w:val="none" w:sz="0" w:space="0" w:color="auto"/>
        <w:bottom w:val="none" w:sz="0" w:space="0" w:color="auto"/>
        <w:right w:val="none" w:sz="0" w:space="0" w:color="auto"/>
      </w:divBdr>
    </w:div>
    <w:div w:id="552350319">
      <w:bodyDiv w:val="1"/>
      <w:marLeft w:val="0"/>
      <w:marRight w:val="0"/>
      <w:marTop w:val="0"/>
      <w:marBottom w:val="0"/>
      <w:divBdr>
        <w:top w:val="none" w:sz="0" w:space="0" w:color="auto"/>
        <w:left w:val="none" w:sz="0" w:space="0" w:color="auto"/>
        <w:bottom w:val="none" w:sz="0" w:space="0" w:color="auto"/>
        <w:right w:val="none" w:sz="0" w:space="0" w:color="auto"/>
      </w:divBdr>
    </w:div>
    <w:div w:id="563181855">
      <w:bodyDiv w:val="1"/>
      <w:marLeft w:val="0"/>
      <w:marRight w:val="0"/>
      <w:marTop w:val="0"/>
      <w:marBottom w:val="0"/>
      <w:divBdr>
        <w:top w:val="none" w:sz="0" w:space="0" w:color="auto"/>
        <w:left w:val="none" w:sz="0" w:space="0" w:color="auto"/>
        <w:bottom w:val="none" w:sz="0" w:space="0" w:color="auto"/>
        <w:right w:val="none" w:sz="0" w:space="0" w:color="auto"/>
      </w:divBdr>
    </w:div>
    <w:div w:id="643630436">
      <w:bodyDiv w:val="1"/>
      <w:marLeft w:val="0"/>
      <w:marRight w:val="0"/>
      <w:marTop w:val="0"/>
      <w:marBottom w:val="0"/>
      <w:divBdr>
        <w:top w:val="none" w:sz="0" w:space="0" w:color="auto"/>
        <w:left w:val="none" w:sz="0" w:space="0" w:color="auto"/>
        <w:bottom w:val="none" w:sz="0" w:space="0" w:color="auto"/>
        <w:right w:val="none" w:sz="0" w:space="0" w:color="auto"/>
      </w:divBdr>
    </w:div>
    <w:div w:id="749238152">
      <w:bodyDiv w:val="1"/>
      <w:marLeft w:val="0"/>
      <w:marRight w:val="0"/>
      <w:marTop w:val="0"/>
      <w:marBottom w:val="0"/>
      <w:divBdr>
        <w:top w:val="none" w:sz="0" w:space="0" w:color="auto"/>
        <w:left w:val="none" w:sz="0" w:space="0" w:color="auto"/>
        <w:bottom w:val="none" w:sz="0" w:space="0" w:color="auto"/>
        <w:right w:val="none" w:sz="0" w:space="0" w:color="auto"/>
      </w:divBdr>
      <w:divsChild>
        <w:div w:id="1540165741">
          <w:marLeft w:val="0"/>
          <w:marRight w:val="0"/>
          <w:marTop w:val="0"/>
          <w:marBottom w:val="0"/>
          <w:divBdr>
            <w:top w:val="none" w:sz="0" w:space="0" w:color="auto"/>
            <w:left w:val="none" w:sz="0" w:space="0" w:color="auto"/>
            <w:bottom w:val="none" w:sz="0" w:space="0" w:color="auto"/>
            <w:right w:val="none" w:sz="0" w:space="0" w:color="auto"/>
          </w:divBdr>
          <w:divsChild>
            <w:div w:id="797142196">
              <w:marLeft w:val="0"/>
              <w:marRight w:val="0"/>
              <w:marTop w:val="0"/>
              <w:marBottom w:val="0"/>
              <w:divBdr>
                <w:top w:val="none" w:sz="0" w:space="0" w:color="auto"/>
                <w:left w:val="none" w:sz="0" w:space="0" w:color="auto"/>
                <w:bottom w:val="none" w:sz="0" w:space="0" w:color="auto"/>
                <w:right w:val="none" w:sz="0" w:space="0" w:color="auto"/>
              </w:divBdr>
              <w:divsChild>
                <w:div w:id="119958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273227">
      <w:bodyDiv w:val="1"/>
      <w:marLeft w:val="0"/>
      <w:marRight w:val="0"/>
      <w:marTop w:val="0"/>
      <w:marBottom w:val="0"/>
      <w:divBdr>
        <w:top w:val="none" w:sz="0" w:space="0" w:color="auto"/>
        <w:left w:val="none" w:sz="0" w:space="0" w:color="auto"/>
        <w:bottom w:val="none" w:sz="0" w:space="0" w:color="auto"/>
        <w:right w:val="none" w:sz="0" w:space="0" w:color="auto"/>
      </w:divBdr>
    </w:div>
    <w:div w:id="793325749">
      <w:bodyDiv w:val="1"/>
      <w:marLeft w:val="0"/>
      <w:marRight w:val="0"/>
      <w:marTop w:val="0"/>
      <w:marBottom w:val="0"/>
      <w:divBdr>
        <w:top w:val="none" w:sz="0" w:space="0" w:color="auto"/>
        <w:left w:val="none" w:sz="0" w:space="0" w:color="auto"/>
        <w:bottom w:val="none" w:sz="0" w:space="0" w:color="auto"/>
        <w:right w:val="none" w:sz="0" w:space="0" w:color="auto"/>
      </w:divBdr>
    </w:div>
    <w:div w:id="976181879">
      <w:bodyDiv w:val="1"/>
      <w:marLeft w:val="0"/>
      <w:marRight w:val="0"/>
      <w:marTop w:val="0"/>
      <w:marBottom w:val="0"/>
      <w:divBdr>
        <w:top w:val="none" w:sz="0" w:space="0" w:color="auto"/>
        <w:left w:val="none" w:sz="0" w:space="0" w:color="auto"/>
        <w:bottom w:val="none" w:sz="0" w:space="0" w:color="auto"/>
        <w:right w:val="none" w:sz="0" w:space="0" w:color="auto"/>
      </w:divBdr>
    </w:div>
    <w:div w:id="1058211503">
      <w:bodyDiv w:val="1"/>
      <w:marLeft w:val="0"/>
      <w:marRight w:val="0"/>
      <w:marTop w:val="0"/>
      <w:marBottom w:val="0"/>
      <w:divBdr>
        <w:top w:val="none" w:sz="0" w:space="0" w:color="auto"/>
        <w:left w:val="none" w:sz="0" w:space="0" w:color="auto"/>
        <w:bottom w:val="none" w:sz="0" w:space="0" w:color="auto"/>
        <w:right w:val="none" w:sz="0" w:space="0" w:color="auto"/>
      </w:divBdr>
    </w:div>
    <w:div w:id="1135174334">
      <w:bodyDiv w:val="1"/>
      <w:marLeft w:val="0"/>
      <w:marRight w:val="0"/>
      <w:marTop w:val="0"/>
      <w:marBottom w:val="0"/>
      <w:divBdr>
        <w:top w:val="none" w:sz="0" w:space="0" w:color="auto"/>
        <w:left w:val="none" w:sz="0" w:space="0" w:color="auto"/>
        <w:bottom w:val="none" w:sz="0" w:space="0" w:color="auto"/>
        <w:right w:val="none" w:sz="0" w:space="0" w:color="auto"/>
      </w:divBdr>
    </w:div>
    <w:div w:id="1207569217">
      <w:bodyDiv w:val="1"/>
      <w:marLeft w:val="0"/>
      <w:marRight w:val="0"/>
      <w:marTop w:val="0"/>
      <w:marBottom w:val="0"/>
      <w:divBdr>
        <w:top w:val="none" w:sz="0" w:space="0" w:color="auto"/>
        <w:left w:val="none" w:sz="0" w:space="0" w:color="auto"/>
        <w:bottom w:val="none" w:sz="0" w:space="0" w:color="auto"/>
        <w:right w:val="none" w:sz="0" w:space="0" w:color="auto"/>
      </w:divBdr>
    </w:div>
    <w:div w:id="1415785231">
      <w:bodyDiv w:val="1"/>
      <w:marLeft w:val="0"/>
      <w:marRight w:val="0"/>
      <w:marTop w:val="0"/>
      <w:marBottom w:val="0"/>
      <w:divBdr>
        <w:top w:val="none" w:sz="0" w:space="0" w:color="auto"/>
        <w:left w:val="none" w:sz="0" w:space="0" w:color="auto"/>
        <w:bottom w:val="none" w:sz="0" w:space="0" w:color="auto"/>
        <w:right w:val="none" w:sz="0" w:space="0" w:color="auto"/>
      </w:divBdr>
    </w:div>
    <w:div w:id="1416125219">
      <w:bodyDiv w:val="1"/>
      <w:marLeft w:val="0"/>
      <w:marRight w:val="0"/>
      <w:marTop w:val="0"/>
      <w:marBottom w:val="0"/>
      <w:divBdr>
        <w:top w:val="none" w:sz="0" w:space="0" w:color="auto"/>
        <w:left w:val="none" w:sz="0" w:space="0" w:color="auto"/>
        <w:bottom w:val="none" w:sz="0" w:space="0" w:color="auto"/>
        <w:right w:val="none" w:sz="0" w:space="0" w:color="auto"/>
      </w:divBdr>
    </w:div>
    <w:div w:id="1421178623">
      <w:bodyDiv w:val="1"/>
      <w:marLeft w:val="0"/>
      <w:marRight w:val="0"/>
      <w:marTop w:val="0"/>
      <w:marBottom w:val="0"/>
      <w:divBdr>
        <w:top w:val="none" w:sz="0" w:space="0" w:color="auto"/>
        <w:left w:val="none" w:sz="0" w:space="0" w:color="auto"/>
        <w:bottom w:val="none" w:sz="0" w:space="0" w:color="auto"/>
        <w:right w:val="none" w:sz="0" w:space="0" w:color="auto"/>
      </w:divBdr>
    </w:div>
    <w:div w:id="1439256758">
      <w:bodyDiv w:val="1"/>
      <w:marLeft w:val="0"/>
      <w:marRight w:val="0"/>
      <w:marTop w:val="0"/>
      <w:marBottom w:val="0"/>
      <w:divBdr>
        <w:top w:val="none" w:sz="0" w:space="0" w:color="auto"/>
        <w:left w:val="none" w:sz="0" w:space="0" w:color="auto"/>
        <w:bottom w:val="none" w:sz="0" w:space="0" w:color="auto"/>
        <w:right w:val="none" w:sz="0" w:space="0" w:color="auto"/>
      </w:divBdr>
    </w:div>
    <w:div w:id="1480878911">
      <w:bodyDiv w:val="1"/>
      <w:marLeft w:val="0"/>
      <w:marRight w:val="0"/>
      <w:marTop w:val="0"/>
      <w:marBottom w:val="0"/>
      <w:divBdr>
        <w:top w:val="none" w:sz="0" w:space="0" w:color="auto"/>
        <w:left w:val="none" w:sz="0" w:space="0" w:color="auto"/>
        <w:bottom w:val="none" w:sz="0" w:space="0" w:color="auto"/>
        <w:right w:val="none" w:sz="0" w:space="0" w:color="auto"/>
      </w:divBdr>
      <w:divsChild>
        <w:div w:id="1357342629">
          <w:marLeft w:val="0"/>
          <w:marRight w:val="0"/>
          <w:marTop w:val="0"/>
          <w:marBottom w:val="0"/>
          <w:divBdr>
            <w:top w:val="none" w:sz="0" w:space="0" w:color="auto"/>
            <w:left w:val="none" w:sz="0" w:space="0" w:color="auto"/>
            <w:bottom w:val="none" w:sz="0" w:space="0" w:color="auto"/>
            <w:right w:val="none" w:sz="0" w:space="0" w:color="auto"/>
          </w:divBdr>
          <w:divsChild>
            <w:div w:id="1184587571">
              <w:marLeft w:val="0"/>
              <w:marRight w:val="0"/>
              <w:marTop w:val="0"/>
              <w:marBottom w:val="0"/>
              <w:divBdr>
                <w:top w:val="none" w:sz="0" w:space="0" w:color="auto"/>
                <w:left w:val="none" w:sz="0" w:space="0" w:color="auto"/>
                <w:bottom w:val="none" w:sz="0" w:space="0" w:color="auto"/>
                <w:right w:val="none" w:sz="0" w:space="0" w:color="auto"/>
              </w:divBdr>
              <w:divsChild>
                <w:div w:id="54856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705338">
      <w:bodyDiv w:val="1"/>
      <w:marLeft w:val="0"/>
      <w:marRight w:val="0"/>
      <w:marTop w:val="0"/>
      <w:marBottom w:val="0"/>
      <w:divBdr>
        <w:top w:val="none" w:sz="0" w:space="0" w:color="auto"/>
        <w:left w:val="none" w:sz="0" w:space="0" w:color="auto"/>
        <w:bottom w:val="none" w:sz="0" w:space="0" w:color="auto"/>
        <w:right w:val="none" w:sz="0" w:space="0" w:color="auto"/>
      </w:divBdr>
    </w:div>
    <w:div w:id="1543708011">
      <w:bodyDiv w:val="1"/>
      <w:marLeft w:val="0"/>
      <w:marRight w:val="0"/>
      <w:marTop w:val="0"/>
      <w:marBottom w:val="0"/>
      <w:divBdr>
        <w:top w:val="none" w:sz="0" w:space="0" w:color="auto"/>
        <w:left w:val="none" w:sz="0" w:space="0" w:color="auto"/>
        <w:bottom w:val="none" w:sz="0" w:space="0" w:color="auto"/>
        <w:right w:val="none" w:sz="0" w:space="0" w:color="auto"/>
      </w:divBdr>
    </w:div>
    <w:div w:id="1566143363">
      <w:bodyDiv w:val="1"/>
      <w:marLeft w:val="0"/>
      <w:marRight w:val="0"/>
      <w:marTop w:val="0"/>
      <w:marBottom w:val="0"/>
      <w:divBdr>
        <w:top w:val="none" w:sz="0" w:space="0" w:color="auto"/>
        <w:left w:val="none" w:sz="0" w:space="0" w:color="auto"/>
        <w:bottom w:val="none" w:sz="0" w:space="0" w:color="auto"/>
        <w:right w:val="none" w:sz="0" w:space="0" w:color="auto"/>
      </w:divBdr>
      <w:divsChild>
        <w:div w:id="419449795">
          <w:marLeft w:val="0"/>
          <w:marRight w:val="0"/>
          <w:marTop w:val="0"/>
          <w:marBottom w:val="0"/>
          <w:divBdr>
            <w:top w:val="none" w:sz="0" w:space="0" w:color="auto"/>
            <w:left w:val="none" w:sz="0" w:space="0" w:color="auto"/>
            <w:bottom w:val="none" w:sz="0" w:space="0" w:color="auto"/>
            <w:right w:val="none" w:sz="0" w:space="0" w:color="auto"/>
          </w:divBdr>
        </w:div>
        <w:div w:id="530461915">
          <w:marLeft w:val="0"/>
          <w:marRight w:val="0"/>
          <w:marTop w:val="0"/>
          <w:marBottom w:val="0"/>
          <w:divBdr>
            <w:top w:val="none" w:sz="0" w:space="0" w:color="auto"/>
            <w:left w:val="none" w:sz="0" w:space="0" w:color="auto"/>
            <w:bottom w:val="none" w:sz="0" w:space="0" w:color="auto"/>
            <w:right w:val="none" w:sz="0" w:space="0" w:color="auto"/>
          </w:divBdr>
        </w:div>
      </w:divsChild>
    </w:div>
    <w:div w:id="1657146489">
      <w:bodyDiv w:val="1"/>
      <w:marLeft w:val="0"/>
      <w:marRight w:val="0"/>
      <w:marTop w:val="0"/>
      <w:marBottom w:val="0"/>
      <w:divBdr>
        <w:top w:val="none" w:sz="0" w:space="0" w:color="auto"/>
        <w:left w:val="none" w:sz="0" w:space="0" w:color="auto"/>
        <w:bottom w:val="none" w:sz="0" w:space="0" w:color="auto"/>
        <w:right w:val="none" w:sz="0" w:space="0" w:color="auto"/>
      </w:divBdr>
    </w:div>
    <w:div w:id="1720394619">
      <w:bodyDiv w:val="1"/>
      <w:marLeft w:val="0"/>
      <w:marRight w:val="0"/>
      <w:marTop w:val="0"/>
      <w:marBottom w:val="0"/>
      <w:divBdr>
        <w:top w:val="none" w:sz="0" w:space="0" w:color="auto"/>
        <w:left w:val="none" w:sz="0" w:space="0" w:color="auto"/>
        <w:bottom w:val="none" w:sz="0" w:space="0" w:color="auto"/>
        <w:right w:val="none" w:sz="0" w:space="0" w:color="auto"/>
      </w:divBdr>
    </w:div>
    <w:div w:id="1842620840">
      <w:bodyDiv w:val="1"/>
      <w:marLeft w:val="0"/>
      <w:marRight w:val="0"/>
      <w:marTop w:val="0"/>
      <w:marBottom w:val="0"/>
      <w:divBdr>
        <w:top w:val="none" w:sz="0" w:space="0" w:color="auto"/>
        <w:left w:val="none" w:sz="0" w:space="0" w:color="auto"/>
        <w:bottom w:val="none" w:sz="0" w:space="0" w:color="auto"/>
        <w:right w:val="none" w:sz="0" w:space="0" w:color="auto"/>
      </w:divBdr>
    </w:div>
    <w:div w:id="1877966493">
      <w:bodyDiv w:val="1"/>
      <w:marLeft w:val="0"/>
      <w:marRight w:val="0"/>
      <w:marTop w:val="0"/>
      <w:marBottom w:val="0"/>
      <w:divBdr>
        <w:top w:val="none" w:sz="0" w:space="0" w:color="auto"/>
        <w:left w:val="none" w:sz="0" w:space="0" w:color="auto"/>
        <w:bottom w:val="none" w:sz="0" w:space="0" w:color="auto"/>
        <w:right w:val="none" w:sz="0" w:space="0" w:color="auto"/>
      </w:divBdr>
      <w:divsChild>
        <w:div w:id="1503818423">
          <w:marLeft w:val="0"/>
          <w:marRight w:val="0"/>
          <w:marTop w:val="0"/>
          <w:marBottom w:val="0"/>
          <w:divBdr>
            <w:top w:val="none" w:sz="0" w:space="0" w:color="auto"/>
            <w:left w:val="none" w:sz="0" w:space="0" w:color="auto"/>
            <w:bottom w:val="none" w:sz="0" w:space="0" w:color="auto"/>
            <w:right w:val="none" w:sz="0" w:space="0" w:color="auto"/>
          </w:divBdr>
        </w:div>
        <w:div w:id="161706548">
          <w:marLeft w:val="0"/>
          <w:marRight w:val="0"/>
          <w:marTop w:val="0"/>
          <w:marBottom w:val="0"/>
          <w:divBdr>
            <w:top w:val="none" w:sz="0" w:space="0" w:color="auto"/>
            <w:left w:val="none" w:sz="0" w:space="0" w:color="auto"/>
            <w:bottom w:val="none" w:sz="0" w:space="0" w:color="auto"/>
            <w:right w:val="none" w:sz="0" w:space="0" w:color="auto"/>
          </w:divBdr>
        </w:div>
      </w:divsChild>
    </w:div>
    <w:div w:id="1908757717">
      <w:bodyDiv w:val="1"/>
      <w:marLeft w:val="0"/>
      <w:marRight w:val="0"/>
      <w:marTop w:val="0"/>
      <w:marBottom w:val="0"/>
      <w:divBdr>
        <w:top w:val="none" w:sz="0" w:space="0" w:color="auto"/>
        <w:left w:val="none" w:sz="0" w:space="0" w:color="auto"/>
        <w:bottom w:val="none" w:sz="0" w:space="0" w:color="auto"/>
        <w:right w:val="none" w:sz="0" w:space="0" w:color="auto"/>
      </w:divBdr>
    </w:div>
    <w:div w:id="2052418963">
      <w:bodyDiv w:val="1"/>
      <w:marLeft w:val="0"/>
      <w:marRight w:val="0"/>
      <w:marTop w:val="0"/>
      <w:marBottom w:val="0"/>
      <w:divBdr>
        <w:top w:val="none" w:sz="0" w:space="0" w:color="auto"/>
        <w:left w:val="none" w:sz="0" w:space="0" w:color="auto"/>
        <w:bottom w:val="none" w:sz="0" w:space="0" w:color="auto"/>
        <w:right w:val="none" w:sz="0" w:space="0" w:color="auto"/>
      </w:divBdr>
    </w:div>
    <w:div w:id="2072075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21" Type="http://schemas.microsoft.com/office/2016/09/relationships/commentsIds" Target="commentsIds.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3.xml"/><Relationship Id="rId23" Type="http://schemas.microsoft.com/office/2011/relationships/commentsExtended" Target="commentsExtended.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microsoft.com/office/2011/relationships/people" Target="people.xml"/></Relationships>
</file>

<file path=word/_rels/footnotes.xml.rels><?xml version="1.0" encoding="UTF-8" standalone="yes"?>
<Relationships xmlns="http://schemas.openxmlformats.org/package/2006/relationships"><Relationship Id="rId3" Type="http://schemas.openxmlformats.org/officeDocument/2006/relationships/hyperlink" Target="http://www.corteidh.or.cr/cf/Jurisprudencia2/busqueda_supervision_cumplimiento.cfm?lang=es" TargetMode="External"/><Relationship Id="rId7" Type="http://schemas.openxmlformats.org/officeDocument/2006/relationships/hyperlink" Target="http://www4.congreso.gob.pe/ntley/Imagenes/Constitu/Cons1993.pdf" TargetMode="External"/><Relationship Id="rId2" Type="http://schemas.openxmlformats.org/officeDocument/2006/relationships/hyperlink" Target="http://www.corteidh.or.cr/docs/casos/articulos/Seriec_89_esp.pdf" TargetMode="External"/><Relationship Id="rId1" Type="http://schemas.openxmlformats.org/officeDocument/2006/relationships/hyperlink" Target="http://www.corteidh.or.cr/docs/casos/articulos/Seriec_68_esp.pdf" TargetMode="External"/><Relationship Id="rId6" Type="http://schemas.openxmlformats.org/officeDocument/2006/relationships/hyperlink" Target="http://www.tc.gob.pe/tc/public/causas/exp-a57ae20285ce9e0612e0e14499ea57fb" TargetMode="External"/><Relationship Id="rId5" Type="http://schemas.openxmlformats.org/officeDocument/2006/relationships/hyperlink" Target="https://vimeo.com/album/4963002" TargetMode="External"/><Relationship Id="rId4" Type="http://schemas.openxmlformats.org/officeDocument/2006/relationships/hyperlink" Target="http://www.corteidh.or.cr/docs/medidas/durand_se_01.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65DE0E31EAF2439D287EEF21B08142" ma:contentTypeVersion="0" ma:contentTypeDescription="Create a new document." ma:contentTypeScope="" ma:versionID="01638f88f95378e84390226ee62acf8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875C92-ED99-49CF-A192-E7DF83291E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02B1122-2D71-4C76-8A29-DC630CD7964F}">
  <ds:schemaRefs>
    <ds:schemaRef ds:uri="http://schemas.microsoft.com/sharepoint/v3/contenttype/forms"/>
  </ds:schemaRefs>
</ds:datastoreItem>
</file>

<file path=customXml/itemProps3.xml><?xml version="1.0" encoding="utf-8"?>
<ds:datastoreItem xmlns:ds="http://schemas.openxmlformats.org/officeDocument/2006/customXml" ds:itemID="{456DF196-505E-4B31-A222-6360EA151A00}">
  <ds:schemaRefs>
    <ds:schemaRef ds:uri="http://purl.org/dc/dcmitype/"/>
    <ds:schemaRef ds:uri="http://schemas.openxmlformats.org/package/2006/metadata/core-properties"/>
    <ds:schemaRef ds:uri="http://www.w3.org/XML/1998/namespace"/>
    <ds:schemaRef ds:uri="http://schemas.microsoft.com/office/2006/documentManagement/types"/>
    <ds:schemaRef ds:uri="http://purl.org/dc/terms/"/>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E676D2FD-32A6-4957-A6D7-27FF7939D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14334</Words>
  <Characters>78843</Characters>
  <Application>Microsoft Office Word</Application>
  <DocSecurity>0</DocSecurity>
  <Lines>657</Lines>
  <Paragraphs>185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92992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Ana Rita Ramirez</cp:lastModifiedBy>
  <cp:revision>2</cp:revision>
  <cp:lastPrinted>2018-02-09T18:50:00Z</cp:lastPrinted>
  <dcterms:created xsi:type="dcterms:W3CDTF">2018-02-09T22:45:00Z</dcterms:created>
  <dcterms:modified xsi:type="dcterms:W3CDTF">2018-02-09T22:45:00Z</dcterms:modified>
</cp:coreProperties>
</file>