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A" w:rsidRDefault="00A8163A" w:rsidP="00A8163A">
      <w:pPr>
        <w:tabs>
          <w:tab w:val="left" w:pos="720"/>
        </w:tabs>
        <w:rPr>
          <w:rFonts w:ascii="Verdana" w:hAnsi="Verdana"/>
          <w:b/>
          <w:sz w:val="20"/>
          <w:szCs w:val="20"/>
          <w:lang w:val="es-ES"/>
        </w:rPr>
      </w:pPr>
    </w:p>
    <w:p w:rsidR="00A70A93" w:rsidRDefault="00A70A93" w:rsidP="00A8163A">
      <w:pPr>
        <w:tabs>
          <w:tab w:val="left" w:pos="720"/>
        </w:tabs>
        <w:rPr>
          <w:rFonts w:ascii="Verdana" w:hAnsi="Verdana"/>
          <w:b/>
          <w:sz w:val="20"/>
          <w:szCs w:val="20"/>
          <w:lang w:val="es-ES"/>
        </w:rPr>
      </w:pPr>
    </w:p>
    <w:p w:rsidR="00A70A93" w:rsidRDefault="00A70A93" w:rsidP="00A8163A">
      <w:pPr>
        <w:tabs>
          <w:tab w:val="left" w:pos="720"/>
        </w:tabs>
        <w:rPr>
          <w:rFonts w:ascii="Verdana" w:hAnsi="Verdana"/>
          <w:b/>
          <w:sz w:val="20"/>
          <w:szCs w:val="20"/>
          <w:lang w:val="es-ES"/>
        </w:rPr>
      </w:pPr>
    </w:p>
    <w:p w:rsidR="00A70A93" w:rsidRDefault="00A70A93" w:rsidP="00A8163A">
      <w:pPr>
        <w:tabs>
          <w:tab w:val="left" w:pos="720"/>
        </w:tabs>
        <w:rPr>
          <w:rFonts w:ascii="Verdana" w:hAnsi="Verdana"/>
          <w:b/>
          <w:sz w:val="20"/>
          <w:szCs w:val="20"/>
          <w:lang w:val="es-ES"/>
        </w:rPr>
      </w:pPr>
    </w:p>
    <w:p w:rsidR="00A70A93" w:rsidRDefault="00A70A93" w:rsidP="00A8163A">
      <w:pPr>
        <w:tabs>
          <w:tab w:val="left" w:pos="720"/>
        </w:tabs>
        <w:rPr>
          <w:rFonts w:ascii="Verdana" w:hAnsi="Verdana"/>
          <w:b/>
          <w:sz w:val="20"/>
          <w:szCs w:val="20"/>
          <w:lang w:val="es-ES"/>
        </w:rPr>
      </w:pPr>
    </w:p>
    <w:p w:rsidR="00A70A93" w:rsidRDefault="00A70A93" w:rsidP="00A8163A">
      <w:pPr>
        <w:tabs>
          <w:tab w:val="left" w:pos="720"/>
        </w:tabs>
        <w:rPr>
          <w:rFonts w:ascii="Verdana" w:hAnsi="Verdana"/>
          <w:b/>
          <w:sz w:val="20"/>
          <w:szCs w:val="20"/>
          <w:lang w:val="es-ES"/>
        </w:rPr>
      </w:pPr>
    </w:p>
    <w:p w:rsidR="00A70A93" w:rsidRDefault="00A70A93" w:rsidP="00A8163A">
      <w:pPr>
        <w:tabs>
          <w:tab w:val="left" w:pos="720"/>
        </w:tabs>
        <w:rPr>
          <w:rFonts w:ascii="Verdana" w:hAnsi="Verdana"/>
          <w:b/>
          <w:sz w:val="20"/>
          <w:szCs w:val="20"/>
          <w:lang w:val="es-ES"/>
        </w:rPr>
      </w:pPr>
    </w:p>
    <w:p w:rsidR="00A8163A" w:rsidRPr="00F34041" w:rsidRDefault="00A8163A" w:rsidP="00A8163A">
      <w:pPr>
        <w:tabs>
          <w:tab w:val="left" w:pos="720"/>
        </w:tabs>
        <w:jc w:val="center"/>
        <w:rPr>
          <w:rFonts w:ascii="Verdana" w:hAnsi="Verdana"/>
          <w:b/>
          <w:sz w:val="20"/>
          <w:szCs w:val="20"/>
          <w:lang w:val="es-ES"/>
        </w:rPr>
      </w:pPr>
      <w:r w:rsidRPr="00F34041">
        <w:rPr>
          <w:rFonts w:ascii="Verdana" w:hAnsi="Verdana"/>
          <w:b/>
          <w:sz w:val="20"/>
          <w:szCs w:val="20"/>
          <w:lang w:val="es-ES"/>
        </w:rPr>
        <w:t>RESOLUCIÓN DE LA</w:t>
      </w:r>
    </w:p>
    <w:p w:rsidR="00A8163A" w:rsidRPr="00F34041" w:rsidRDefault="00A8163A" w:rsidP="00A8163A">
      <w:pPr>
        <w:tabs>
          <w:tab w:val="left" w:pos="720"/>
        </w:tabs>
        <w:spacing w:before="120"/>
        <w:jc w:val="center"/>
        <w:rPr>
          <w:rFonts w:ascii="Verdana" w:hAnsi="Verdana"/>
          <w:b/>
          <w:sz w:val="20"/>
          <w:szCs w:val="20"/>
          <w:lang w:val="es-ES"/>
        </w:rPr>
      </w:pPr>
      <w:r w:rsidRPr="00F34041">
        <w:rPr>
          <w:rFonts w:ascii="Verdana" w:hAnsi="Verdana"/>
          <w:b/>
          <w:sz w:val="20"/>
          <w:szCs w:val="20"/>
          <w:lang w:val="es-ES"/>
        </w:rPr>
        <w:t>CORTE INTERAMERICANA DE DERECHOS HUMANOS</w:t>
      </w:r>
      <w:r w:rsidRPr="00F34041">
        <w:rPr>
          <w:rStyle w:val="FootnoteReference"/>
        </w:rPr>
        <w:footnoteReference w:customMarkFollows="1" w:id="1"/>
        <w:sym w:font="Symbol" w:char="F02A"/>
      </w:r>
      <w:r w:rsidRPr="00F34041">
        <w:rPr>
          <w:rFonts w:ascii="Verdana" w:hAnsi="Verdana"/>
          <w:b/>
          <w:sz w:val="20"/>
          <w:szCs w:val="20"/>
          <w:lang w:val="es-ES"/>
        </w:rPr>
        <w:t xml:space="preserve"> </w:t>
      </w:r>
    </w:p>
    <w:p w:rsidR="00A8163A" w:rsidRPr="00F34041" w:rsidRDefault="001240D6" w:rsidP="00A8163A">
      <w:pPr>
        <w:tabs>
          <w:tab w:val="left" w:pos="720"/>
        </w:tabs>
        <w:spacing w:before="120"/>
        <w:jc w:val="center"/>
        <w:rPr>
          <w:rFonts w:ascii="Verdana" w:hAnsi="Verdana"/>
          <w:b/>
          <w:sz w:val="20"/>
          <w:szCs w:val="20"/>
          <w:lang w:val="es-ES"/>
        </w:rPr>
      </w:pPr>
      <w:r>
        <w:rPr>
          <w:rFonts w:ascii="Verdana" w:hAnsi="Verdana"/>
          <w:b/>
          <w:sz w:val="20"/>
          <w:szCs w:val="20"/>
          <w:lang w:val="es-ES"/>
        </w:rPr>
        <w:t>DE 2</w:t>
      </w:r>
      <w:r w:rsidR="00B71ED1">
        <w:rPr>
          <w:rFonts w:ascii="Verdana" w:hAnsi="Verdana"/>
          <w:b/>
          <w:sz w:val="20"/>
          <w:szCs w:val="20"/>
          <w:lang w:val="es-ES"/>
        </w:rPr>
        <w:t>0</w:t>
      </w:r>
      <w:r w:rsidR="00A8163A" w:rsidRPr="00F34041">
        <w:rPr>
          <w:rFonts w:ascii="Verdana" w:hAnsi="Verdana"/>
          <w:b/>
          <w:sz w:val="20"/>
          <w:szCs w:val="20"/>
          <w:lang w:val="es-ES"/>
        </w:rPr>
        <w:t xml:space="preserve"> DE NOVIEMBRE DE 2015</w:t>
      </w:r>
    </w:p>
    <w:p w:rsidR="00A8163A" w:rsidRPr="00F34041" w:rsidRDefault="00A8163A" w:rsidP="00A8163A">
      <w:pPr>
        <w:tabs>
          <w:tab w:val="left" w:pos="720"/>
        </w:tabs>
        <w:spacing w:before="120"/>
        <w:jc w:val="center"/>
        <w:rPr>
          <w:rFonts w:ascii="Verdana" w:hAnsi="Verdana"/>
          <w:b/>
          <w:sz w:val="20"/>
          <w:szCs w:val="20"/>
          <w:u w:val="single"/>
          <w:lang w:val="es-ES"/>
        </w:rPr>
      </w:pPr>
      <w:r w:rsidRPr="00F34041">
        <w:rPr>
          <w:rFonts w:ascii="Verdana" w:hAnsi="Verdana"/>
          <w:b/>
          <w:sz w:val="20"/>
          <w:szCs w:val="20"/>
          <w:lang w:val="es-ES"/>
        </w:rPr>
        <w:t>MEDIDAS PROVISIONALES RESPECTO DE EL SALVADOR</w:t>
      </w:r>
    </w:p>
    <w:p w:rsidR="00A8163A" w:rsidRPr="00F34041" w:rsidRDefault="00A8163A" w:rsidP="00A8163A">
      <w:pPr>
        <w:tabs>
          <w:tab w:val="left" w:pos="720"/>
        </w:tabs>
        <w:spacing w:before="120"/>
        <w:jc w:val="center"/>
        <w:rPr>
          <w:rFonts w:ascii="Verdana" w:hAnsi="Verdana"/>
          <w:b/>
          <w:sz w:val="20"/>
          <w:szCs w:val="20"/>
          <w:lang w:val="es-ES"/>
        </w:rPr>
      </w:pPr>
      <w:r w:rsidRPr="00F34041">
        <w:rPr>
          <w:rFonts w:ascii="Verdana" w:hAnsi="Verdana"/>
          <w:b/>
          <w:sz w:val="20"/>
          <w:szCs w:val="20"/>
          <w:lang w:val="es-ES"/>
        </w:rPr>
        <w:t xml:space="preserve">CASO GARCÍA PRIETO Y OTROS </w:t>
      </w:r>
    </w:p>
    <w:p w:rsidR="00A8163A" w:rsidRDefault="00A8163A" w:rsidP="00A8163A">
      <w:pPr>
        <w:spacing w:before="120" w:after="120"/>
        <w:ind w:right="-8"/>
        <w:jc w:val="both"/>
        <w:rPr>
          <w:rFonts w:ascii="Verdana" w:hAnsi="Verdana"/>
          <w:b/>
          <w:sz w:val="20"/>
          <w:szCs w:val="20"/>
        </w:rPr>
      </w:pPr>
    </w:p>
    <w:p w:rsidR="00A8163A" w:rsidRPr="00F34041" w:rsidRDefault="00A8163A" w:rsidP="00A8163A">
      <w:pPr>
        <w:spacing w:before="120" w:after="120"/>
        <w:ind w:right="-8"/>
        <w:jc w:val="both"/>
        <w:rPr>
          <w:rFonts w:ascii="Verdana" w:hAnsi="Verdana"/>
          <w:b/>
          <w:sz w:val="20"/>
          <w:szCs w:val="20"/>
        </w:rPr>
      </w:pPr>
      <w:r>
        <w:rPr>
          <w:rFonts w:ascii="Verdana" w:hAnsi="Verdana"/>
          <w:b/>
          <w:sz w:val="20"/>
          <w:szCs w:val="20"/>
        </w:rPr>
        <w:br/>
      </w:r>
      <w:r w:rsidRPr="00F34041">
        <w:rPr>
          <w:rFonts w:ascii="Verdana" w:hAnsi="Verdana"/>
          <w:b/>
          <w:sz w:val="20"/>
          <w:szCs w:val="20"/>
        </w:rPr>
        <w:t>VISTO:</w:t>
      </w:r>
      <w:r w:rsidRPr="00F34041">
        <w:rPr>
          <w:rFonts w:ascii="Verdana" w:hAnsi="Verdana"/>
          <w:b/>
          <w:sz w:val="20"/>
          <w:szCs w:val="20"/>
        </w:rPr>
        <w:br/>
      </w:r>
    </w:p>
    <w:p w:rsidR="00A8163A" w:rsidRPr="00F34041" w:rsidRDefault="00A8163A" w:rsidP="00A8163A">
      <w:pPr>
        <w:numPr>
          <w:ilvl w:val="0"/>
          <w:numId w:val="1"/>
        </w:numPr>
        <w:ind w:left="0" w:right="-8" w:firstLine="0"/>
        <w:jc w:val="both"/>
        <w:rPr>
          <w:rFonts w:ascii="Verdana" w:hAnsi="Verdana"/>
          <w:sz w:val="20"/>
          <w:szCs w:val="20"/>
        </w:rPr>
      </w:pPr>
      <w:bookmarkStart w:id="0" w:name="_Ref357331584"/>
      <w:r w:rsidRPr="00F34041">
        <w:rPr>
          <w:rFonts w:ascii="Verdana" w:hAnsi="Verdana"/>
          <w:sz w:val="20"/>
          <w:szCs w:val="20"/>
        </w:rPr>
        <w:t>Las Resoluciones de la Corte Interamericana de Derechos Humanos (en adelante también “la Corte Interamericana”, “la Corte” o “el Tribunal”) emitidas el 26 de septiembre de 2006, 27 de enero de 2007, 3 de febrero de 2010 y 26 de enero de 2015, y las resoluciones del Presidente de la Corte emitidas el 3 de diciembre de 2006 y 18 de diciembre de 2009. En su última resolución la Corte resolvió:</w:t>
      </w:r>
      <w:bookmarkEnd w:id="0"/>
    </w:p>
    <w:p w:rsidR="00A8163A" w:rsidRPr="00F34041" w:rsidRDefault="00A8163A" w:rsidP="00A8163A">
      <w:pPr>
        <w:autoSpaceDE w:val="0"/>
        <w:autoSpaceDN w:val="0"/>
        <w:adjustRightInd w:val="0"/>
        <w:jc w:val="both"/>
        <w:rPr>
          <w:rFonts w:ascii="Verdana" w:eastAsia="Calibri" w:hAnsi="Verdana" w:cs="Verdana"/>
          <w:b/>
          <w:bCs/>
          <w:sz w:val="20"/>
          <w:szCs w:val="20"/>
          <w:lang w:val="es-CR"/>
        </w:rPr>
      </w:pPr>
    </w:p>
    <w:p w:rsidR="00A8163A" w:rsidRPr="00F34041" w:rsidRDefault="00A8163A" w:rsidP="00A8163A">
      <w:pPr>
        <w:pStyle w:val="ListParagraph"/>
        <w:rPr>
          <w:rFonts w:ascii="Verdana" w:eastAsia="Calibri" w:hAnsi="Verdana" w:cs="Verdana"/>
          <w:sz w:val="16"/>
          <w:szCs w:val="16"/>
          <w:lang w:val="es-CR"/>
        </w:rPr>
      </w:pPr>
    </w:p>
    <w:p w:rsidR="0039686B" w:rsidRDefault="00A8163A" w:rsidP="0039686B">
      <w:pPr>
        <w:pStyle w:val="ParaAttribute3"/>
        <w:numPr>
          <w:ilvl w:val="0"/>
          <w:numId w:val="2"/>
        </w:numPr>
        <w:wordWrap/>
        <w:ind w:left="900" w:right="612" w:firstLine="0"/>
        <w:rPr>
          <w:rFonts w:ascii="Verdana" w:eastAsia="Calibri" w:hAnsi="Verdana" w:cs="Verdana"/>
          <w:sz w:val="16"/>
          <w:szCs w:val="16"/>
          <w:lang w:val="es-CR"/>
        </w:rPr>
      </w:pPr>
      <w:r w:rsidRPr="00F34041">
        <w:rPr>
          <w:rFonts w:ascii="Verdana" w:eastAsia="Calibri" w:hAnsi="Verdana" w:cs="Verdana"/>
          <w:sz w:val="16"/>
          <w:szCs w:val="16"/>
          <w:lang w:val="es-CR"/>
        </w:rPr>
        <w:t xml:space="preserve">Levantar las medidas provisionales ordenadas por la Corte Interamericana de Derechos Humanos el 26 de septiembre de 2006, el 27 de enero de 2007, y el 3 de febrero de 2010 a favor de María de los Ángeles García Prieto de </w:t>
      </w:r>
      <w:proofErr w:type="spellStart"/>
      <w:r w:rsidRPr="00F34041">
        <w:rPr>
          <w:rFonts w:ascii="Verdana" w:eastAsia="Calibri" w:hAnsi="Verdana" w:cs="Verdana"/>
          <w:sz w:val="16"/>
          <w:szCs w:val="16"/>
          <w:lang w:val="es-CR"/>
        </w:rPr>
        <w:t>Charur</w:t>
      </w:r>
      <w:proofErr w:type="spellEnd"/>
      <w:r w:rsidRPr="00F34041">
        <w:rPr>
          <w:rFonts w:ascii="Verdana" w:eastAsia="Calibri" w:hAnsi="Verdana" w:cs="Verdana"/>
          <w:sz w:val="16"/>
          <w:szCs w:val="16"/>
          <w:lang w:val="es-CR"/>
        </w:rPr>
        <w:t>, José Benjamín Cuéllar Martínez y Ricar</w:t>
      </w:r>
      <w:r w:rsidR="003B7414">
        <w:rPr>
          <w:rFonts w:ascii="Verdana" w:eastAsia="Calibri" w:hAnsi="Verdana" w:cs="Verdana"/>
          <w:sz w:val="16"/>
          <w:szCs w:val="16"/>
          <w:lang w:val="es-CR"/>
        </w:rPr>
        <w:t xml:space="preserve">do Alberto Iglesias Herrera. </w:t>
      </w:r>
    </w:p>
    <w:p w:rsidR="0039686B" w:rsidRDefault="0039686B" w:rsidP="0039686B">
      <w:pPr>
        <w:pStyle w:val="ParaAttribute3"/>
        <w:wordWrap/>
        <w:ind w:left="900" w:right="612"/>
        <w:rPr>
          <w:rFonts w:ascii="Verdana" w:eastAsia="Calibri" w:hAnsi="Verdana" w:cs="Verdana"/>
          <w:sz w:val="16"/>
          <w:szCs w:val="16"/>
          <w:lang w:val="es-CR"/>
        </w:rPr>
      </w:pPr>
    </w:p>
    <w:p w:rsidR="00A8163A" w:rsidRDefault="003B7414" w:rsidP="0039686B">
      <w:pPr>
        <w:pStyle w:val="ParaAttribute3"/>
        <w:wordWrap/>
        <w:ind w:left="900" w:right="612"/>
        <w:rPr>
          <w:rFonts w:ascii="Verdana" w:eastAsia="Calibri" w:hAnsi="Verdana" w:cs="Verdana"/>
          <w:sz w:val="16"/>
          <w:szCs w:val="16"/>
          <w:lang w:val="es-CR"/>
        </w:rPr>
      </w:pPr>
      <w:r>
        <w:rPr>
          <w:rFonts w:ascii="Verdana" w:eastAsia="Calibri" w:hAnsi="Verdana" w:cs="Verdana"/>
          <w:sz w:val="16"/>
          <w:szCs w:val="16"/>
          <w:lang w:val="es-CR"/>
        </w:rPr>
        <w:t>[…]</w:t>
      </w:r>
    </w:p>
    <w:p w:rsidR="00A8163A" w:rsidRDefault="00A8163A" w:rsidP="0039686B">
      <w:pPr>
        <w:pStyle w:val="ParaAttribute3"/>
        <w:wordWrap/>
        <w:ind w:left="900" w:right="612"/>
        <w:rPr>
          <w:rFonts w:ascii="Verdana" w:eastAsia="Calibri" w:hAnsi="Verdana" w:cs="Verdana"/>
          <w:sz w:val="16"/>
          <w:szCs w:val="16"/>
          <w:lang w:val="es-CR"/>
        </w:rPr>
      </w:pPr>
    </w:p>
    <w:p w:rsidR="00A8163A" w:rsidRPr="0003005F" w:rsidRDefault="00A8163A" w:rsidP="0039686B">
      <w:pPr>
        <w:pStyle w:val="ParaAttribute3"/>
        <w:numPr>
          <w:ilvl w:val="0"/>
          <w:numId w:val="6"/>
        </w:numPr>
        <w:wordWrap/>
        <w:ind w:left="900" w:right="612" w:firstLine="0"/>
        <w:rPr>
          <w:rFonts w:ascii="Verdana" w:eastAsia="Calibri" w:hAnsi="Verdana" w:cs="Verdana"/>
          <w:sz w:val="16"/>
          <w:szCs w:val="16"/>
          <w:lang w:val="es-CR"/>
        </w:rPr>
      </w:pPr>
      <w:r w:rsidRPr="0003005F">
        <w:rPr>
          <w:rFonts w:ascii="Verdana" w:eastAsia="Calibri" w:hAnsi="Verdana" w:cs="Verdana"/>
          <w:sz w:val="16"/>
          <w:szCs w:val="16"/>
          <w:lang w:val="es-CR"/>
        </w:rPr>
        <w:t xml:space="preserve">Mantener, en lo pertinente, las medidas provisionales ordenadas por la Corte Interamericana de Derechos Humanos a favor de Gloria Giralt de García Prieto y José Mauricio García Prieto </w:t>
      </w:r>
      <w:proofErr w:type="spellStart"/>
      <w:r w:rsidRPr="0003005F">
        <w:rPr>
          <w:rFonts w:ascii="Verdana" w:eastAsia="Calibri" w:hAnsi="Verdana" w:cs="Verdana"/>
          <w:sz w:val="16"/>
          <w:szCs w:val="16"/>
          <w:lang w:val="es-CR"/>
        </w:rPr>
        <w:t>Hirlemann</w:t>
      </w:r>
      <w:proofErr w:type="spellEnd"/>
      <w:r w:rsidRPr="0003005F">
        <w:rPr>
          <w:rFonts w:ascii="Verdana" w:eastAsia="Calibri" w:hAnsi="Verdana" w:cs="Verdana"/>
          <w:sz w:val="16"/>
          <w:szCs w:val="16"/>
          <w:lang w:val="es-CR"/>
        </w:rPr>
        <w:t xml:space="preserve">, por un período adicional que vence el 21 de noviembre de 2015, luego del cual el Tribunal evaluará la pertinencia de mantenerlas vigentes. </w:t>
      </w:r>
    </w:p>
    <w:p w:rsidR="00A8163A" w:rsidRPr="00F34041" w:rsidRDefault="00A8163A" w:rsidP="0039686B">
      <w:pPr>
        <w:pStyle w:val="ListParagraph"/>
        <w:ind w:left="900"/>
        <w:rPr>
          <w:rFonts w:ascii="Verdana" w:eastAsia="Calibri" w:hAnsi="Verdana" w:cs="Verdana"/>
          <w:sz w:val="16"/>
          <w:szCs w:val="16"/>
          <w:lang w:val="es-CR"/>
        </w:rPr>
      </w:pPr>
    </w:p>
    <w:p w:rsidR="00A8163A" w:rsidRPr="00F34041" w:rsidRDefault="00A8163A" w:rsidP="0039686B">
      <w:pPr>
        <w:pStyle w:val="ParaAttribute3"/>
        <w:ind w:left="900" w:right="612"/>
        <w:rPr>
          <w:rFonts w:ascii="Verdana" w:eastAsia="Calibri" w:hAnsi="Verdana" w:cs="Verdana"/>
          <w:sz w:val="16"/>
          <w:szCs w:val="16"/>
          <w:lang w:val="es-CR"/>
        </w:rPr>
      </w:pPr>
      <w:r w:rsidRPr="00F34041">
        <w:rPr>
          <w:rFonts w:ascii="Verdana" w:eastAsia="Calibri" w:hAnsi="Verdana" w:cs="Verdana"/>
          <w:sz w:val="16"/>
          <w:szCs w:val="16"/>
          <w:lang w:val="es-CR"/>
        </w:rPr>
        <w:t>[…]</w:t>
      </w:r>
    </w:p>
    <w:p w:rsidR="00A8163A" w:rsidRPr="00F34041" w:rsidRDefault="00A8163A" w:rsidP="00A8163A">
      <w:pPr>
        <w:autoSpaceDE w:val="0"/>
        <w:autoSpaceDN w:val="0"/>
        <w:adjustRightInd w:val="0"/>
        <w:jc w:val="both"/>
        <w:rPr>
          <w:rFonts w:ascii="Verdana" w:eastAsia="Calibri" w:hAnsi="Verdana" w:cs="Verdana"/>
          <w:sz w:val="20"/>
          <w:szCs w:val="20"/>
          <w:lang w:val="es-CR"/>
        </w:rPr>
      </w:pPr>
    </w:p>
    <w:p w:rsidR="00A8163A" w:rsidRPr="00F34041" w:rsidRDefault="00A8163A" w:rsidP="00A8163A">
      <w:pPr>
        <w:numPr>
          <w:ilvl w:val="0"/>
          <w:numId w:val="3"/>
        </w:numPr>
        <w:autoSpaceDE w:val="0"/>
        <w:autoSpaceDN w:val="0"/>
        <w:adjustRightInd w:val="0"/>
        <w:ind w:left="0" w:right="19" w:firstLine="0"/>
        <w:jc w:val="both"/>
        <w:rPr>
          <w:rFonts w:ascii="Verdana" w:hAnsi="Verdana"/>
          <w:sz w:val="20"/>
          <w:szCs w:val="20"/>
          <w:lang w:val="es-ES"/>
        </w:rPr>
      </w:pPr>
      <w:r w:rsidRPr="00F34041">
        <w:rPr>
          <w:rFonts w:ascii="Verdana" w:eastAsia="Calibri" w:hAnsi="Verdana" w:cs="Verdana"/>
          <w:sz w:val="20"/>
          <w:szCs w:val="20"/>
          <w:lang w:val="es-CR"/>
        </w:rPr>
        <w:t xml:space="preserve">Los escritos de </w:t>
      </w:r>
      <w:r>
        <w:rPr>
          <w:rFonts w:ascii="Verdana" w:eastAsia="Calibri" w:hAnsi="Verdana" w:cs="Verdana"/>
          <w:sz w:val="20"/>
          <w:szCs w:val="20"/>
          <w:lang w:val="es-CR"/>
        </w:rPr>
        <w:t>29</w:t>
      </w:r>
      <w:r w:rsidRPr="00F34041">
        <w:rPr>
          <w:rFonts w:ascii="Verdana" w:hAnsi="Verdana"/>
          <w:sz w:val="20"/>
          <w:szCs w:val="20"/>
          <w:lang w:val="es-ES"/>
        </w:rPr>
        <w:t xml:space="preserve"> de abril</w:t>
      </w:r>
      <w:r w:rsidR="00F3543C">
        <w:rPr>
          <w:rFonts w:ascii="Verdana" w:hAnsi="Verdana"/>
          <w:sz w:val="20"/>
          <w:szCs w:val="20"/>
          <w:lang w:val="es-ES"/>
        </w:rPr>
        <w:t>, 22 de junio, 31 de julio y 13 de octubre de 2015</w:t>
      </w:r>
      <w:r w:rsidRPr="00F34041">
        <w:rPr>
          <w:rFonts w:ascii="Verdana" w:hAnsi="Verdana"/>
          <w:sz w:val="20"/>
          <w:szCs w:val="20"/>
          <w:lang w:val="es-ES"/>
        </w:rPr>
        <w:t xml:space="preserve">, mediante los cuales la República de El Salvador (en adelante “El Salvador” o “el Estado”) </w:t>
      </w:r>
      <w:r w:rsidRPr="00F34041">
        <w:rPr>
          <w:rFonts w:ascii="Verdana" w:hAnsi="Verdana" w:cs="Verdana"/>
          <w:sz w:val="20"/>
          <w:szCs w:val="20"/>
        </w:rPr>
        <w:t>presentó información sobre la implementación de las medidas provisionales.</w:t>
      </w:r>
    </w:p>
    <w:p w:rsidR="00A8163A" w:rsidRPr="00F34041" w:rsidRDefault="00A8163A" w:rsidP="00A8163A">
      <w:pPr>
        <w:autoSpaceDE w:val="0"/>
        <w:autoSpaceDN w:val="0"/>
        <w:adjustRightInd w:val="0"/>
        <w:ind w:right="19"/>
        <w:jc w:val="both"/>
        <w:rPr>
          <w:rFonts w:ascii="Verdana" w:hAnsi="Verdana"/>
          <w:sz w:val="20"/>
          <w:szCs w:val="20"/>
          <w:lang w:val="es-ES"/>
        </w:rPr>
      </w:pPr>
    </w:p>
    <w:p w:rsidR="00A8163A" w:rsidRPr="00F34041" w:rsidRDefault="00A8163A" w:rsidP="00A8163A">
      <w:pPr>
        <w:numPr>
          <w:ilvl w:val="0"/>
          <w:numId w:val="3"/>
        </w:numPr>
        <w:autoSpaceDE w:val="0"/>
        <w:autoSpaceDN w:val="0"/>
        <w:adjustRightInd w:val="0"/>
        <w:ind w:left="0" w:right="19" w:firstLine="0"/>
        <w:jc w:val="both"/>
        <w:rPr>
          <w:rFonts w:ascii="Verdana" w:hAnsi="Verdana" w:cs="Verdana"/>
          <w:sz w:val="20"/>
          <w:szCs w:val="20"/>
        </w:rPr>
      </w:pPr>
      <w:r w:rsidRPr="00F34041">
        <w:rPr>
          <w:rStyle w:val="FootnoteReference"/>
          <w:sz w:val="20"/>
          <w:szCs w:val="20"/>
          <w:vertAlign w:val="baseline"/>
          <w:lang w:val="es-CR"/>
        </w:rPr>
        <w:t xml:space="preserve">Los escritos de </w:t>
      </w:r>
      <w:r w:rsidR="00F3543C">
        <w:rPr>
          <w:rFonts w:ascii="Verdana" w:hAnsi="Verdana"/>
          <w:sz w:val="20"/>
          <w:szCs w:val="20"/>
          <w:lang w:val="es-CR"/>
        </w:rPr>
        <w:t>5 de febrero</w:t>
      </w:r>
      <w:r>
        <w:rPr>
          <w:rFonts w:ascii="Verdana" w:hAnsi="Verdana"/>
          <w:sz w:val="20"/>
          <w:szCs w:val="20"/>
          <w:lang w:val="es-CR"/>
        </w:rPr>
        <w:t>, 5</w:t>
      </w:r>
      <w:r w:rsidR="00F3543C">
        <w:rPr>
          <w:rFonts w:ascii="Verdana" w:hAnsi="Verdana"/>
          <w:sz w:val="20"/>
          <w:szCs w:val="20"/>
          <w:lang w:val="es-CR"/>
        </w:rPr>
        <w:t xml:space="preserve"> de junio</w:t>
      </w:r>
      <w:r w:rsidRPr="00F34041">
        <w:rPr>
          <w:rFonts w:ascii="Verdana" w:hAnsi="Verdana"/>
          <w:sz w:val="20"/>
          <w:szCs w:val="20"/>
          <w:lang w:val="es-CR"/>
        </w:rPr>
        <w:t xml:space="preserve">, </w:t>
      </w:r>
      <w:r w:rsidRPr="00F34041">
        <w:rPr>
          <w:rFonts w:ascii="Verdana" w:hAnsi="Verdana" w:cs="Verdana"/>
          <w:sz w:val="20"/>
          <w:szCs w:val="20"/>
        </w:rPr>
        <w:t>3 de septiembre</w:t>
      </w:r>
      <w:r w:rsidRPr="00F34041">
        <w:rPr>
          <w:rFonts w:ascii="Verdana" w:hAnsi="Verdana"/>
          <w:sz w:val="20"/>
          <w:szCs w:val="20"/>
          <w:lang w:val="es-CR"/>
        </w:rPr>
        <w:t xml:space="preserve"> </w:t>
      </w:r>
      <w:r>
        <w:rPr>
          <w:rFonts w:ascii="Verdana" w:hAnsi="Verdana"/>
          <w:sz w:val="20"/>
          <w:szCs w:val="20"/>
          <w:lang w:val="es-CR"/>
        </w:rPr>
        <w:t xml:space="preserve">y 12 de noviembre </w:t>
      </w:r>
      <w:r w:rsidRPr="00F34041">
        <w:rPr>
          <w:rFonts w:ascii="Verdana" w:hAnsi="Verdana"/>
          <w:sz w:val="20"/>
          <w:szCs w:val="20"/>
          <w:lang w:val="es-CR"/>
        </w:rPr>
        <w:t xml:space="preserve">de 2015, </w:t>
      </w:r>
      <w:r w:rsidRPr="00F34041">
        <w:rPr>
          <w:rFonts w:ascii="Verdana" w:hAnsi="Verdana" w:cs="Verdana"/>
          <w:sz w:val="20"/>
          <w:szCs w:val="20"/>
        </w:rPr>
        <w:t>mediante los cuales los representantes de las personas beneficiarias</w:t>
      </w:r>
      <w:r w:rsidRPr="00F34041">
        <w:rPr>
          <w:rFonts w:ascii="Verdana" w:hAnsi="Verdana" w:cs="Verdana"/>
          <w:b/>
          <w:sz w:val="20"/>
          <w:szCs w:val="20"/>
        </w:rPr>
        <w:t xml:space="preserve"> </w:t>
      </w:r>
      <w:r w:rsidRPr="00F34041">
        <w:rPr>
          <w:rFonts w:ascii="Verdana" w:hAnsi="Verdana" w:cs="Verdana"/>
          <w:sz w:val="20"/>
          <w:szCs w:val="20"/>
        </w:rPr>
        <w:t>(en adelante “los representantes”)</w:t>
      </w:r>
      <w:r w:rsidRPr="00901D67">
        <w:rPr>
          <w:rStyle w:val="FootnoteReference"/>
          <w:sz w:val="20"/>
          <w:szCs w:val="20"/>
        </w:rPr>
        <w:footnoteReference w:id="2"/>
      </w:r>
      <w:r w:rsidRPr="00F34041">
        <w:rPr>
          <w:rFonts w:ascii="Verdana" w:hAnsi="Verdana" w:cs="Verdana"/>
          <w:sz w:val="20"/>
          <w:szCs w:val="20"/>
        </w:rPr>
        <w:t xml:space="preserve"> se refirieron a la implementación de las medidas provisionales y a la situación de los beneficiarios de las mismas.</w:t>
      </w:r>
      <w:r>
        <w:rPr>
          <w:rFonts w:ascii="Verdana" w:hAnsi="Verdana" w:cs="Verdana"/>
          <w:sz w:val="20"/>
          <w:szCs w:val="20"/>
        </w:rPr>
        <w:t xml:space="preserve"> </w:t>
      </w:r>
    </w:p>
    <w:p w:rsidR="00A8163A" w:rsidRPr="00F34041" w:rsidRDefault="00A8163A" w:rsidP="00A8163A">
      <w:pPr>
        <w:autoSpaceDE w:val="0"/>
        <w:autoSpaceDN w:val="0"/>
        <w:adjustRightInd w:val="0"/>
        <w:ind w:right="19"/>
        <w:jc w:val="both"/>
        <w:rPr>
          <w:rFonts w:ascii="Verdana" w:hAnsi="Verdana" w:cs="Verdana"/>
          <w:sz w:val="20"/>
          <w:szCs w:val="20"/>
        </w:rPr>
      </w:pPr>
    </w:p>
    <w:p w:rsidR="00A8163A" w:rsidRPr="00F34041" w:rsidRDefault="00F3543C" w:rsidP="00A8163A">
      <w:pPr>
        <w:numPr>
          <w:ilvl w:val="0"/>
          <w:numId w:val="3"/>
        </w:numPr>
        <w:autoSpaceDE w:val="0"/>
        <w:autoSpaceDN w:val="0"/>
        <w:adjustRightInd w:val="0"/>
        <w:ind w:left="0" w:right="19" w:firstLine="0"/>
        <w:jc w:val="both"/>
        <w:rPr>
          <w:rFonts w:ascii="Verdana" w:hAnsi="Verdana" w:cs="Verdana"/>
          <w:sz w:val="20"/>
          <w:szCs w:val="20"/>
        </w:rPr>
      </w:pPr>
      <w:r>
        <w:rPr>
          <w:rFonts w:ascii="Verdana" w:hAnsi="Verdana" w:cs="Verdana"/>
          <w:sz w:val="20"/>
          <w:szCs w:val="20"/>
        </w:rPr>
        <w:lastRenderedPageBreak/>
        <w:t>Los escritos de 26 de marzo, 25 de junio, 22 de julio</w:t>
      </w:r>
      <w:r w:rsidR="00A8163A">
        <w:rPr>
          <w:rFonts w:ascii="Verdana" w:hAnsi="Verdana" w:cs="Verdana"/>
          <w:sz w:val="20"/>
          <w:szCs w:val="20"/>
        </w:rPr>
        <w:t>,</w:t>
      </w:r>
      <w:r w:rsidR="00A8163A" w:rsidRPr="00F34041">
        <w:rPr>
          <w:rFonts w:ascii="Verdana" w:hAnsi="Verdana" w:cs="Verdana"/>
          <w:sz w:val="20"/>
          <w:szCs w:val="20"/>
        </w:rPr>
        <w:t xml:space="preserve"> 30 de septiembre </w:t>
      </w:r>
      <w:r w:rsidR="00A8163A">
        <w:rPr>
          <w:rFonts w:ascii="Verdana" w:hAnsi="Verdana" w:cs="Verdana"/>
          <w:sz w:val="20"/>
          <w:szCs w:val="20"/>
        </w:rPr>
        <w:t>y 5</w:t>
      </w:r>
      <w:r w:rsidR="00A8163A" w:rsidRPr="00F34041">
        <w:rPr>
          <w:rFonts w:ascii="Verdana" w:hAnsi="Verdana" w:cs="Verdana"/>
          <w:sz w:val="20"/>
          <w:szCs w:val="20"/>
        </w:rPr>
        <w:t xml:space="preserve"> de noviembre de 2015</w:t>
      </w:r>
      <w:r w:rsidR="00A8163A" w:rsidRPr="00A8163A">
        <w:rPr>
          <w:rStyle w:val="CharAttribute1"/>
          <w:b w:val="0"/>
          <w:sz w:val="20"/>
          <w:szCs w:val="20"/>
          <w:lang w:val="es-CR"/>
        </w:rPr>
        <w:t>,</w:t>
      </w:r>
      <w:r w:rsidR="00A8163A" w:rsidRPr="00F34041">
        <w:rPr>
          <w:rStyle w:val="CharAttribute1"/>
          <w:sz w:val="20"/>
          <w:szCs w:val="20"/>
          <w:lang w:val="es-CR"/>
        </w:rPr>
        <w:t xml:space="preserve"> </w:t>
      </w:r>
      <w:r w:rsidR="00A8163A" w:rsidRPr="00F34041">
        <w:rPr>
          <w:rFonts w:ascii="Verdana" w:hAnsi="Verdana" w:cs="Verdana"/>
          <w:sz w:val="20"/>
          <w:szCs w:val="20"/>
        </w:rPr>
        <w:t xml:space="preserve">mediante los cuales </w:t>
      </w:r>
      <w:r w:rsidR="00A8163A" w:rsidRPr="00F34041">
        <w:rPr>
          <w:rFonts w:ascii="Verdana" w:hAnsi="Verdana"/>
          <w:sz w:val="20"/>
          <w:szCs w:val="20"/>
        </w:rPr>
        <w:t xml:space="preserve">la Comisión </w:t>
      </w:r>
      <w:r w:rsidR="00A8163A" w:rsidRPr="00F34041">
        <w:rPr>
          <w:rFonts w:ascii="Verdana" w:hAnsi="Verdana"/>
          <w:sz w:val="20"/>
          <w:szCs w:val="20"/>
          <w:lang w:val="es-ES"/>
        </w:rPr>
        <w:t xml:space="preserve">Interamericana de Derechos Humanos (en adelante también “la Comisión Interamericana” o “la Comisión”) </w:t>
      </w:r>
      <w:r w:rsidR="00A8163A" w:rsidRPr="00F34041">
        <w:rPr>
          <w:rFonts w:ascii="Verdana" w:hAnsi="Verdana"/>
          <w:sz w:val="20"/>
          <w:szCs w:val="20"/>
        </w:rPr>
        <w:t xml:space="preserve">se refirió a la implementación de las medidas provisionales </w:t>
      </w:r>
      <w:r w:rsidR="00A8163A" w:rsidRPr="00F34041">
        <w:rPr>
          <w:rFonts w:ascii="Verdana" w:hAnsi="Verdana" w:cs="Verdana"/>
          <w:sz w:val="20"/>
          <w:szCs w:val="20"/>
        </w:rPr>
        <w:t>y a la situación de los beneficiarios</w:t>
      </w:r>
      <w:r w:rsidR="00A8163A" w:rsidRPr="00F34041">
        <w:rPr>
          <w:rFonts w:ascii="Verdana" w:hAnsi="Verdana"/>
          <w:sz w:val="20"/>
          <w:szCs w:val="20"/>
        </w:rPr>
        <w:t xml:space="preserve"> de las mismas</w:t>
      </w:r>
      <w:r w:rsidR="00A8163A" w:rsidRPr="00F34041">
        <w:rPr>
          <w:rFonts w:ascii="Verdana" w:hAnsi="Verdana" w:cs="Verdana"/>
          <w:sz w:val="20"/>
          <w:szCs w:val="20"/>
        </w:rPr>
        <w:t xml:space="preserve">. </w:t>
      </w:r>
    </w:p>
    <w:p w:rsidR="00F3543C" w:rsidRPr="00F34041" w:rsidRDefault="00F3543C" w:rsidP="00A8163A">
      <w:pPr>
        <w:autoSpaceDE w:val="0"/>
        <w:autoSpaceDN w:val="0"/>
        <w:adjustRightInd w:val="0"/>
        <w:ind w:right="19"/>
        <w:jc w:val="both"/>
        <w:rPr>
          <w:rFonts w:ascii="Verdana" w:hAnsi="Verdana" w:cs="Verdana"/>
          <w:sz w:val="20"/>
          <w:szCs w:val="20"/>
        </w:rPr>
      </w:pPr>
    </w:p>
    <w:p w:rsidR="00A8163A" w:rsidRPr="00F34041" w:rsidRDefault="00A8163A" w:rsidP="00A8163A">
      <w:pPr>
        <w:pStyle w:val="Heading4"/>
        <w:spacing w:before="0" w:after="0"/>
        <w:jc w:val="both"/>
        <w:rPr>
          <w:rFonts w:ascii="Verdana" w:hAnsi="Verdana"/>
          <w:caps/>
          <w:sz w:val="20"/>
          <w:szCs w:val="20"/>
        </w:rPr>
      </w:pPr>
      <w:r w:rsidRPr="00F34041">
        <w:rPr>
          <w:rFonts w:ascii="Verdana" w:hAnsi="Verdana"/>
          <w:caps/>
          <w:sz w:val="20"/>
          <w:szCs w:val="20"/>
        </w:rPr>
        <w:t>Considerando que:</w:t>
      </w:r>
    </w:p>
    <w:p w:rsidR="00A8163A" w:rsidRPr="00F34041" w:rsidRDefault="00A8163A" w:rsidP="00A8163A">
      <w:pPr>
        <w:autoSpaceDE w:val="0"/>
        <w:autoSpaceDN w:val="0"/>
        <w:adjustRightInd w:val="0"/>
        <w:ind w:right="19"/>
        <w:jc w:val="both"/>
        <w:rPr>
          <w:rFonts w:ascii="Verdana" w:hAnsi="Verdana" w:cs="Verdana"/>
          <w:sz w:val="20"/>
          <w:szCs w:val="20"/>
        </w:rPr>
      </w:pPr>
    </w:p>
    <w:p w:rsidR="00A8163A" w:rsidRPr="006E2245" w:rsidRDefault="00A8163A" w:rsidP="006E2245">
      <w:pPr>
        <w:pStyle w:val="ListParagraph"/>
        <w:numPr>
          <w:ilvl w:val="0"/>
          <w:numId w:val="8"/>
        </w:numPr>
        <w:ind w:left="0" w:right="-8" w:firstLine="0"/>
        <w:jc w:val="both"/>
        <w:rPr>
          <w:rFonts w:ascii="Verdana" w:hAnsi="Verdana"/>
          <w:sz w:val="20"/>
          <w:szCs w:val="20"/>
        </w:rPr>
      </w:pPr>
      <w:r w:rsidRPr="006E2245">
        <w:rPr>
          <w:rFonts w:ascii="Verdana" w:hAnsi="Verdana"/>
          <w:sz w:val="20"/>
          <w:szCs w:val="20"/>
        </w:rPr>
        <w:t>El Salvador es Estado Parte en la Convención Americana sobre Derechos Humanos (en adelante “la Convención Americana” o “la Convención”) desde el 23 de junio de 1978 y reconoció la competencia contenciosa de la Corte el 6 de junio de 1995.</w:t>
      </w:r>
    </w:p>
    <w:p w:rsidR="00A8163A" w:rsidRPr="00F34041" w:rsidRDefault="00A8163A" w:rsidP="00A8163A">
      <w:pPr>
        <w:tabs>
          <w:tab w:val="left" w:pos="0"/>
        </w:tabs>
        <w:ind w:right="-8"/>
        <w:jc w:val="both"/>
        <w:rPr>
          <w:rFonts w:ascii="Verdana" w:hAnsi="Verdana"/>
          <w:sz w:val="20"/>
          <w:szCs w:val="20"/>
        </w:rPr>
      </w:pPr>
    </w:p>
    <w:p w:rsidR="00A8163A" w:rsidRPr="00F34041" w:rsidRDefault="00A8163A" w:rsidP="006E2245">
      <w:pPr>
        <w:numPr>
          <w:ilvl w:val="0"/>
          <w:numId w:val="8"/>
        </w:numPr>
        <w:tabs>
          <w:tab w:val="left" w:pos="0"/>
        </w:tabs>
        <w:ind w:left="0" w:right="-8" w:firstLine="0"/>
        <w:jc w:val="both"/>
        <w:rPr>
          <w:rFonts w:ascii="Verdana" w:hAnsi="Verdana"/>
          <w:sz w:val="20"/>
          <w:szCs w:val="20"/>
        </w:rPr>
      </w:pPr>
      <w:r>
        <w:rPr>
          <w:rFonts w:ascii="Verdana" w:hAnsi="Verdana"/>
          <w:bCs/>
          <w:sz w:val="20"/>
          <w:lang w:val="es-MX"/>
        </w:rPr>
        <w:t>E</w:t>
      </w:r>
      <w:r w:rsidRPr="00F34041">
        <w:rPr>
          <w:rFonts w:ascii="Verdana" w:hAnsi="Verdana"/>
          <w:bCs/>
          <w:sz w:val="20"/>
          <w:lang w:val="es-MX"/>
        </w:rPr>
        <w:t xml:space="preserve">n </w:t>
      </w:r>
      <w:r w:rsidRPr="00F34041">
        <w:rPr>
          <w:rFonts w:ascii="Verdana" w:hAnsi="Verdana" w:cs="Arial"/>
          <w:sz w:val="20"/>
          <w:lang w:val="es-CR"/>
        </w:rPr>
        <w:t xml:space="preserve">razón de su competencia, en el marco de medidas provisionales </w:t>
      </w:r>
      <w:r>
        <w:rPr>
          <w:rFonts w:ascii="Verdana" w:hAnsi="Verdana" w:cs="Arial"/>
          <w:sz w:val="20"/>
          <w:lang w:val="es-CR"/>
        </w:rPr>
        <w:t xml:space="preserve">la Corte </w:t>
      </w:r>
      <w:r w:rsidRPr="00F34041">
        <w:rPr>
          <w:rFonts w:ascii="Verdana" w:hAnsi="Verdana" w:cs="Arial"/>
          <w:sz w:val="20"/>
          <w:lang w:val="es-CR"/>
        </w:rPr>
        <w:t xml:space="preserve">debe considerar únicamente aquellos argumentos que se relacionen estricta y directamente con la extrema gravedad, urgencia y necesidad </w:t>
      </w:r>
      <w:r w:rsidRPr="00F34041">
        <w:rPr>
          <w:rFonts w:ascii="Verdana" w:hAnsi="Verdana"/>
          <w:sz w:val="20"/>
          <w:lang w:val="es-CR"/>
        </w:rPr>
        <w:t>de</w:t>
      </w:r>
      <w:r w:rsidRPr="00F34041">
        <w:rPr>
          <w:rFonts w:ascii="Verdana" w:hAnsi="Verdana" w:cs="Arial"/>
          <w:sz w:val="20"/>
          <w:lang w:val="es-CR"/>
        </w:rPr>
        <w:t xml:space="preserve"> evitar daños irreparables a las personas. </w:t>
      </w:r>
      <w:r w:rsidRPr="00F34041">
        <w:rPr>
          <w:rFonts w:ascii="Verdana" w:hAnsi="Verdana"/>
          <w:sz w:val="20"/>
          <w:lang w:val="es-CR"/>
        </w:rPr>
        <w:t>Cualquier otro hecho o argumento solo puede ser analizado y resuelto por la Corte mediante la consideración del fondo de un caso contencioso o dentro del proceso de supervisión de cumplimiento de la sentencia respectiva</w:t>
      </w:r>
      <w:r w:rsidRPr="00F34041">
        <w:rPr>
          <w:rFonts w:ascii="Verdana" w:hAnsi="Verdana" w:cs="Arial"/>
          <w:sz w:val="20"/>
          <w:vertAlign w:val="superscript"/>
          <w:lang w:val="es-CR"/>
        </w:rPr>
        <w:footnoteReference w:id="3"/>
      </w:r>
      <w:r w:rsidRPr="00F34041">
        <w:rPr>
          <w:rFonts w:ascii="Verdana" w:hAnsi="Verdana"/>
          <w:sz w:val="20"/>
          <w:lang w:val="es-CR"/>
        </w:rPr>
        <w:t>.</w:t>
      </w:r>
      <w:r w:rsidRPr="000B48CB">
        <w:rPr>
          <w:rFonts w:ascii="Verdana" w:hAnsi="Verdana"/>
          <w:sz w:val="20"/>
          <w:lang w:val="es-ES"/>
        </w:rPr>
        <w:t xml:space="preserve"> </w:t>
      </w:r>
      <w:r w:rsidRPr="00F34041">
        <w:rPr>
          <w:rFonts w:ascii="Verdana" w:hAnsi="Verdana"/>
          <w:sz w:val="20"/>
          <w:lang w:val="es-ES"/>
        </w:rPr>
        <w:t>Es así que, a efectos de decidir si se mantiene la vigencia de las medidas provisionales, este Tribunal debe analizar si persiste la situación de extrema gravedad y urgencia que determinó su adopción, o bien, si nuevas circunstancias igualmente graves y urgentes ameritan su mantenimiento</w:t>
      </w:r>
      <w:r w:rsidRPr="00F34041">
        <w:rPr>
          <w:rFonts w:ascii="Verdana" w:hAnsi="Verdana"/>
          <w:sz w:val="20"/>
          <w:vertAlign w:val="superscript"/>
          <w:lang w:val="es-ES"/>
        </w:rPr>
        <w:footnoteReference w:id="4"/>
      </w:r>
      <w:r w:rsidRPr="00F34041">
        <w:rPr>
          <w:rFonts w:ascii="Verdana" w:hAnsi="Verdana"/>
          <w:sz w:val="20"/>
          <w:lang w:val="es-ES"/>
        </w:rPr>
        <w:t>.</w:t>
      </w:r>
    </w:p>
    <w:p w:rsidR="00A8163A" w:rsidRPr="00F34041" w:rsidRDefault="00A8163A" w:rsidP="00A8163A">
      <w:pPr>
        <w:pStyle w:val="ListParagraph"/>
        <w:tabs>
          <w:tab w:val="left" w:pos="0"/>
        </w:tabs>
        <w:ind w:left="0"/>
        <w:rPr>
          <w:rFonts w:ascii="Verdana" w:hAnsi="Verdana"/>
          <w:sz w:val="20"/>
          <w:szCs w:val="20"/>
        </w:rPr>
      </w:pPr>
    </w:p>
    <w:p w:rsidR="00A8163A" w:rsidRPr="00F34041" w:rsidRDefault="00A8163A" w:rsidP="006E2245">
      <w:pPr>
        <w:numPr>
          <w:ilvl w:val="0"/>
          <w:numId w:val="8"/>
        </w:numPr>
        <w:tabs>
          <w:tab w:val="left" w:pos="0"/>
        </w:tabs>
        <w:ind w:left="0" w:right="-8" w:firstLine="0"/>
        <w:jc w:val="both"/>
        <w:rPr>
          <w:rFonts w:ascii="Verdana" w:hAnsi="Verdana"/>
          <w:sz w:val="20"/>
          <w:szCs w:val="20"/>
        </w:rPr>
      </w:pPr>
      <w:r w:rsidRPr="00F34041">
        <w:rPr>
          <w:rFonts w:ascii="Verdana" w:hAnsi="Verdana"/>
          <w:sz w:val="20"/>
          <w:szCs w:val="20"/>
        </w:rPr>
        <w:t>De conformidad con la Re</w:t>
      </w:r>
      <w:r>
        <w:rPr>
          <w:rFonts w:ascii="Verdana" w:hAnsi="Verdana"/>
          <w:sz w:val="20"/>
          <w:szCs w:val="20"/>
        </w:rPr>
        <w:t>solución de 26 de enero de</w:t>
      </w:r>
      <w:r w:rsidRPr="00F34041">
        <w:rPr>
          <w:rFonts w:ascii="Verdana" w:hAnsi="Verdana"/>
          <w:sz w:val="20"/>
          <w:szCs w:val="20"/>
        </w:rPr>
        <w:t xml:space="preserve"> 2015 las medidas decretadas</w:t>
      </w:r>
      <w:r>
        <w:rPr>
          <w:rFonts w:ascii="Verdana" w:hAnsi="Verdana"/>
          <w:sz w:val="20"/>
          <w:szCs w:val="20"/>
        </w:rPr>
        <w:t xml:space="preserve"> deben mantenerse por un período que</w:t>
      </w:r>
      <w:r w:rsidRPr="00F34041">
        <w:rPr>
          <w:rFonts w:ascii="Verdana" w:hAnsi="Verdana"/>
          <w:sz w:val="20"/>
          <w:szCs w:val="20"/>
        </w:rPr>
        <w:t xml:space="preserve"> venc</w:t>
      </w:r>
      <w:r>
        <w:rPr>
          <w:rFonts w:ascii="Verdana" w:hAnsi="Verdana"/>
          <w:sz w:val="20"/>
          <w:szCs w:val="20"/>
        </w:rPr>
        <w:t>ió</w:t>
      </w:r>
      <w:r w:rsidRPr="00F34041">
        <w:rPr>
          <w:rFonts w:ascii="Verdana" w:hAnsi="Verdana"/>
          <w:sz w:val="20"/>
          <w:szCs w:val="20"/>
        </w:rPr>
        <w:t xml:space="preserve"> el 21 de noviembre de 2015,</w:t>
      </w:r>
      <w:r>
        <w:rPr>
          <w:rFonts w:ascii="Verdana" w:hAnsi="Verdana"/>
          <w:sz w:val="20"/>
          <w:szCs w:val="20"/>
        </w:rPr>
        <w:t xml:space="preserve"> luego del cual</w:t>
      </w:r>
      <w:r w:rsidRPr="00F34041">
        <w:rPr>
          <w:rFonts w:ascii="Verdana" w:hAnsi="Verdana"/>
          <w:sz w:val="20"/>
          <w:szCs w:val="20"/>
        </w:rPr>
        <w:t xml:space="preserve"> </w:t>
      </w:r>
      <w:r>
        <w:rPr>
          <w:rFonts w:ascii="Verdana" w:hAnsi="Verdana"/>
          <w:sz w:val="20"/>
          <w:szCs w:val="20"/>
        </w:rPr>
        <w:t xml:space="preserve">corresponde que </w:t>
      </w:r>
      <w:r w:rsidRPr="00F34041">
        <w:rPr>
          <w:rFonts w:ascii="Verdana" w:hAnsi="Verdana"/>
          <w:sz w:val="20"/>
          <w:szCs w:val="20"/>
        </w:rPr>
        <w:t>el Tribunal eval</w:t>
      </w:r>
      <w:r>
        <w:rPr>
          <w:rFonts w:ascii="Verdana" w:hAnsi="Verdana"/>
          <w:sz w:val="20"/>
          <w:szCs w:val="20"/>
        </w:rPr>
        <w:t>uar</w:t>
      </w:r>
      <w:r w:rsidRPr="00F34041">
        <w:rPr>
          <w:rFonts w:ascii="Verdana" w:hAnsi="Verdana"/>
          <w:sz w:val="20"/>
          <w:szCs w:val="20"/>
        </w:rPr>
        <w:t xml:space="preserve"> la pertinencia de mantenerlas o no. </w:t>
      </w:r>
    </w:p>
    <w:p w:rsidR="00A8163A" w:rsidRPr="00F34041" w:rsidRDefault="00A8163A" w:rsidP="00A8163A">
      <w:pPr>
        <w:ind w:right="-8"/>
        <w:jc w:val="both"/>
        <w:rPr>
          <w:rFonts w:ascii="Verdana" w:hAnsi="Verdana"/>
          <w:sz w:val="20"/>
          <w:szCs w:val="20"/>
        </w:rPr>
      </w:pPr>
    </w:p>
    <w:p w:rsidR="00A8163A" w:rsidRDefault="00A8163A" w:rsidP="00A8163A">
      <w:pPr>
        <w:pStyle w:val="BodyText3"/>
        <w:numPr>
          <w:ilvl w:val="0"/>
          <w:numId w:val="4"/>
        </w:numPr>
        <w:ind w:right="0"/>
        <w:jc w:val="both"/>
        <w:rPr>
          <w:rFonts w:ascii="Verdana" w:hAnsi="Verdana"/>
          <w:i/>
          <w:sz w:val="20"/>
          <w:lang w:val="es-ES"/>
        </w:rPr>
      </w:pPr>
      <w:r>
        <w:rPr>
          <w:rFonts w:ascii="Verdana" w:hAnsi="Verdana"/>
          <w:i/>
          <w:sz w:val="20"/>
          <w:lang w:val="es-ES"/>
        </w:rPr>
        <w:t xml:space="preserve">Informes y observaciones. </w:t>
      </w:r>
    </w:p>
    <w:p w:rsidR="00A8163A" w:rsidRDefault="00A8163A" w:rsidP="00A8163A">
      <w:pPr>
        <w:pStyle w:val="BodyText3"/>
        <w:ind w:left="1080" w:right="0"/>
        <w:jc w:val="both"/>
        <w:rPr>
          <w:rFonts w:ascii="Verdana" w:hAnsi="Verdana"/>
          <w:i/>
          <w:sz w:val="20"/>
          <w:lang w:val="es-ES"/>
        </w:rPr>
      </w:pPr>
    </w:p>
    <w:p w:rsidR="00A8163A" w:rsidRPr="0045762C" w:rsidRDefault="00A8163A" w:rsidP="00A8163A">
      <w:pPr>
        <w:pStyle w:val="BodyText3"/>
        <w:ind w:left="1080" w:right="0"/>
        <w:jc w:val="both"/>
        <w:rPr>
          <w:rFonts w:ascii="Verdana" w:hAnsi="Verdana"/>
          <w:b w:val="0"/>
          <w:i/>
          <w:sz w:val="20"/>
          <w:lang w:val="es-ES"/>
        </w:rPr>
      </w:pPr>
      <w:r w:rsidRPr="0045762C">
        <w:rPr>
          <w:rFonts w:ascii="Verdana" w:hAnsi="Verdana"/>
          <w:b w:val="0"/>
          <w:i/>
          <w:sz w:val="20"/>
          <w:lang w:val="es-ES"/>
        </w:rPr>
        <w:t xml:space="preserve">A.1. Sobre la implementación de las medidas provisionales vigentes respecto de la señora Gloria Giralt de García Prieto y el señor José Mauricio García Prieto </w:t>
      </w:r>
      <w:proofErr w:type="spellStart"/>
      <w:r w:rsidRPr="0045762C">
        <w:rPr>
          <w:rFonts w:ascii="Verdana" w:hAnsi="Verdana"/>
          <w:b w:val="0"/>
          <w:i/>
          <w:sz w:val="20"/>
          <w:lang w:val="es-ES"/>
        </w:rPr>
        <w:t>Hirlermann</w:t>
      </w:r>
      <w:proofErr w:type="spellEnd"/>
    </w:p>
    <w:p w:rsidR="00A8163A" w:rsidRPr="00F34041" w:rsidRDefault="00A8163A" w:rsidP="00A8163A">
      <w:pPr>
        <w:pStyle w:val="BodyText3"/>
        <w:ind w:left="1080" w:right="0"/>
        <w:jc w:val="both"/>
        <w:rPr>
          <w:rFonts w:ascii="Verdana" w:hAnsi="Verdana"/>
          <w:i/>
          <w:sz w:val="20"/>
          <w:lang w:val="es-ES"/>
        </w:rPr>
      </w:pPr>
    </w:p>
    <w:p w:rsidR="00A8163A" w:rsidRPr="00F34041" w:rsidRDefault="00A8163A" w:rsidP="006E2245">
      <w:pPr>
        <w:pStyle w:val="BodyText3"/>
        <w:numPr>
          <w:ilvl w:val="0"/>
          <w:numId w:val="8"/>
        </w:numPr>
        <w:ind w:left="0" w:right="0" w:firstLine="0"/>
        <w:jc w:val="both"/>
        <w:rPr>
          <w:rFonts w:ascii="Verdana" w:eastAsia="Verdana" w:hAnsi="Verdana"/>
          <w:b w:val="0"/>
          <w:i/>
          <w:sz w:val="20"/>
          <w:lang w:val="es-CR"/>
        </w:rPr>
      </w:pPr>
      <w:r>
        <w:rPr>
          <w:rFonts w:ascii="Verdana" w:hAnsi="Verdana" w:cs="Helvetica"/>
          <w:b w:val="0"/>
          <w:sz w:val="20"/>
          <w:lang w:val="es-ES" w:bidi="en-US"/>
        </w:rPr>
        <w:t>C</w:t>
      </w:r>
      <w:r w:rsidRPr="00F34041">
        <w:rPr>
          <w:rFonts w:ascii="Verdana" w:hAnsi="Verdana" w:cs="Helvetica"/>
          <w:b w:val="0"/>
          <w:sz w:val="20"/>
          <w:lang w:val="es-ES" w:bidi="en-US"/>
        </w:rPr>
        <w:t xml:space="preserve">on respecto a la seguridad de la señora Gloria Giralt de García Prieto y el señor José Mauricio García Prieto </w:t>
      </w:r>
      <w:proofErr w:type="spellStart"/>
      <w:r w:rsidRPr="00F34041">
        <w:rPr>
          <w:rFonts w:ascii="Verdana" w:hAnsi="Verdana" w:cs="Helvetica"/>
          <w:b w:val="0"/>
          <w:sz w:val="20"/>
          <w:lang w:val="es-ES" w:bidi="en-US"/>
        </w:rPr>
        <w:t>Hirlermann</w:t>
      </w:r>
      <w:proofErr w:type="spellEnd"/>
      <w:r w:rsidRPr="00F34041">
        <w:rPr>
          <w:rFonts w:ascii="Verdana" w:hAnsi="Verdana" w:cs="Helvetica"/>
          <w:b w:val="0"/>
          <w:sz w:val="20"/>
          <w:lang w:val="es-ES" w:bidi="en-US"/>
        </w:rPr>
        <w:t xml:space="preserve"> a lo largo de los informes presentados (</w:t>
      </w:r>
      <w:r w:rsidRPr="00F34041">
        <w:rPr>
          <w:rFonts w:ascii="Verdana" w:hAnsi="Verdana" w:cs="Helvetica"/>
          <w:b w:val="0"/>
          <w:i/>
          <w:sz w:val="20"/>
          <w:lang w:val="es-ES" w:bidi="en-US"/>
        </w:rPr>
        <w:t>supra</w:t>
      </w:r>
      <w:r>
        <w:rPr>
          <w:rFonts w:ascii="Verdana" w:hAnsi="Verdana" w:cs="Helvetica"/>
          <w:b w:val="0"/>
          <w:sz w:val="20"/>
          <w:lang w:val="es-ES" w:bidi="en-US"/>
        </w:rPr>
        <w:t xml:space="preserve"> Visto</w:t>
      </w:r>
      <w:r w:rsidRPr="00F34041">
        <w:rPr>
          <w:rFonts w:ascii="Verdana" w:hAnsi="Verdana" w:cs="Helvetica"/>
          <w:b w:val="0"/>
          <w:sz w:val="20"/>
          <w:lang w:val="es-ES" w:bidi="en-US"/>
        </w:rPr>
        <w:t xml:space="preserve"> 2)</w:t>
      </w:r>
      <w:r>
        <w:rPr>
          <w:rFonts w:ascii="Verdana" w:hAnsi="Verdana" w:cs="Helvetica"/>
          <w:b w:val="0"/>
          <w:sz w:val="20"/>
          <w:lang w:val="es-ES" w:bidi="en-US"/>
        </w:rPr>
        <w:t xml:space="preserve">, el </w:t>
      </w:r>
      <w:r w:rsidRPr="0045762C">
        <w:rPr>
          <w:rFonts w:ascii="Verdana" w:hAnsi="Verdana" w:cs="Helvetica"/>
          <w:i/>
          <w:sz w:val="20"/>
          <w:lang w:val="es-ES" w:bidi="en-US"/>
        </w:rPr>
        <w:t>Estado</w:t>
      </w:r>
      <w:r>
        <w:rPr>
          <w:rFonts w:ascii="Verdana" w:hAnsi="Verdana" w:cs="Helvetica"/>
          <w:b w:val="0"/>
          <w:sz w:val="20"/>
          <w:lang w:val="es-ES" w:bidi="en-US"/>
        </w:rPr>
        <w:t xml:space="preserve"> i</w:t>
      </w:r>
      <w:r w:rsidRPr="00F34041">
        <w:rPr>
          <w:rFonts w:ascii="Verdana" w:hAnsi="Verdana" w:cs="Helvetica"/>
          <w:b w:val="0"/>
          <w:sz w:val="20"/>
          <w:lang w:val="es-ES" w:bidi="en-US"/>
        </w:rPr>
        <w:t>ndicó que ha garantizado una correcta implementación de las medidas provisionales ordenadas en su beneficio</w:t>
      </w:r>
      <w:r>
        <w:rPr>
          <w:rFonts w:ascii="Verdana" w:hAnsi="Verdana" w:cs="Helvetica"/>
          <w:b w:val="0"/>
          <w:sz w:val="20"/>
          <w:lang w:val="es-ES" w:bidi="en-US"/>
        </w:rPr>
        <w:t>, detallando que “se continúa con la implementación de su seguridad a través de la División de Protección de Personalidades, con</w:t>
      </w:r>
      <w:r w:rsidR="00F3543C">
        <w:rPr>
          <w:rFonts w:ascii="Verdana" w:hAnsi="Verdana" w:cs="Helvetica"/>
          <w:b w:val="0"/>
          <w:sz w:val="20"/>
          <w:lang w:val="es-ES" w:bidi="en-US"/>
        </w:rPr>
        <w:t xml:space="preserve"> un equipo de cuatro personas”.</w:t>
      </w:r>
      <w:r w:rsidRPr="00FE7C15">
        <w:rPr>
          <w:rFonts w:ascii="Verdana" w:hAnsi="Verdana" w:cs="Helvetica"/>
          <w:b w:val="0"/>
          <w:sz w:val="20"/>
          <w:lang w:val="es-ES" w:bidi="en-US"/>
        </w:rPr>
        <w:t xml:space="preserve"> </w:t>
      </w:r>
      <w:r>
        <w:rPr>
          <w:rFonts w:ascii="Verdana" w:hAnsi="Verdana" w:cs="Helvetica"/>
          <w:b w:val="0"/>
          <w:sz w:val="20"/>
          <w:lang w:val="es-ES" w:bidi="en-US"/>
        </w:rPr>
        <w:t xml:space="preserve">Los </w:t>
      </w:r>
      <w:r w:rsidRPr="0045762C">
        <w:rPr>
          <w:rFonts w:ascii="Verdana" w:hAnsi="Verdana" w:cs="Helvetica"/>
          <w:i/>
          <w:sz w:val="20"/>
          <w:lang w:val="es-ES" w:bidi="en-US"/>
        </w:rPr>
        <w:t>representantes</w:t>
      </w:r>
      <w:r w:rsidRPr="00F34041">
        <w:rPr>
          <w:rFonts w:ascii="Verdana" w:hAnsi="Verdana" w:cs="Helvetica"/>
          <w:b w:val="0"/>
          <w:sz w:val="20"/>
          <w:lang w:val="es-ES" w:bidi="en-US"/>
        </w:rPr>
        <w:t xml:space="preserve"> </w:t>
      </w:r>
      <w:r>
        <w:rPr>
          <w:rFonts w:ascii="Verdana" w:hAnsi="Verdana" w:cs="Helvetica"/>
          <w:b w:val="0"/>
          <w:sz w:val="20"/>
          <w:lang w:val="es-ES" w:bidi="en-US"/>
        </w:rPr>
        <w:t>confirmaron en sus observaciones (</w:t>
      </w:r>
      <w:r w:rsidRPr="00FE7C15">
        <w:rPr>
          <w:rFonts w:ascii="Verdana" w:hAnsi="Verdana" w:cs="Helvetica"/>
          <w:b w:val="0"/>
          <w:i/>
          <w:sz w:val="20"/>
          <w:lang w:val="es-ES" w:bidi="en-US"/>
        </w:rPr>
        <w:t>supra</w:t>
      </w:r>
      <w:r>
        <w:rPr>
          <w:rFonts w:ascii="Verdana" w:hAnsi="Verdana" w:cs="Helvetica"/>
          <w:b w:val="0"/>
          <w:sz w:val="20"/>
          <w:lang w:val="es-ES" w:bidi="en-US"/>
        </w:rPr>
        <w:t xml:space="preserve"> Visto 3) </w:t>
      </w:r>
      <w:r w:rsidRPr="00FE7C15">
        <w:rPr>
          <w:rFonts w:ascii="Verdana" w:hAnsi="Verdana" w:cs="Helvetica"/>
          <w:b w:val="0"/>
          <w:sz w:val="20"/>
          <w:lang w:val="es-ES" w:bidi="en-US"/>
        </w:rPr>
        <w:t>que</w:t>
      </w:r>
      <w:r w:rsidRPr="00F34041">
        <w:rPr>
          <w:rFonts w:ascii="Verdana" w:hAnsi="Verdana" w:cs="Helvetica"/>
          <w:b w:val="0"/>
          <w:sz w:val="20"/>
          <w:lang w:val="es-ES" w:bidi="en-US"/>
        </w:rPr>
        <w:t xml:space="preserve"> la implementación de las medidas por parte del Estado ha sido adecuad</w:t>
      </w:r>
      <w:r w:rsidRPr="001240D6">
        <w:rPr>
          <w:rFonts w:ascii="Verdana" w:hAnsi="Verdana" w:cs="Helvetica"/>
          <w:b w:val="0"/>
          <w:sz w:val="20"/>
          <w:lang w:val="es-ES" w:bidi="en-US"/>
        </w:rPr>
        <w:t>a</w:t>
      </w:r>
      <w:r w:rsidR="00330793" w:rsidRPr="001240D6">
        <w:rPr>
          <w:rFonts w:ascii="Verdana" w:hAnsi="Verdana" w:cs="Helvetica"/>
          <w:b w:val="0"/>
          <w:sz w:val="20"/>
          <w:lang w:val="es-ES" w:bidi="en-US"/>
        </w:rPr>
        <w:t>,</w:t>
      </w:r>
      <w:r w:rsidR="00330793" w:rsidRPr="00330793">
        <w:rPr>
          <w:rFonts w:ascii="Verdana" w:hAnsi="Verdana" w:cs="Helvetica"/>
          <w:sz w:val="20"/>
          <w:lang w:val="es-ES" w:bidi="en-US"/>
        </w:rPr>
        <w:t xml:space="preserve"> </w:t>
      </w:r>
      <w:r w:rsidR="00330793" w:rsidRPr="001240D6">
        <w:rPr>
          <w:rFonts w:ascii="Verdana" w:hAnsi="Verdana" w:cs="Helvetica"/>
          <w:b w:val="0"/>
          <w:sz w:val="20"/>
          <w:lang w:val="es-ES" w:bidi="en-US"/>
        </w:rPr>
        <w:t>y que se ha efectuado “en los términos acordados con las personas ben</w:t>
      </w:r>
      <w:r w:rsidR="00F3543C">
        <w:rPr>
          <w:rFonts w:ascii="Verdana" w:hAnsi="Verdana" w:cs="Helvetica"/>
          <w:b w:val="0"/>
          <w:sz w:val="20"/>
          <w:lang w:val="es-ES" w:bidi="en-US"/>
        </w:rPr>
        <w:t>eficiarias y sus representantes”</w:t>
      </w:r>
      <w:r w:rsidRPr="00F34041">
        <w:rPr>
          <w:rFonts w:ascii="Verdana" w:hAnsi="Verdana" w:cs="Helvetica"/>
          <w:b w:val="0"/>
          <w:sz w:val="20"/>
          <w:lang w:val="es-ES" w:bidi="en-US"/>
        </w:rPr>
        <w:t xml:space="preserve">. </w:t>
      </w:r>
      <w:r w:rsidRPr="00F34041">
        <w:rPr>
          <w:rStyle w:val="CharAttribute0"/>
          <w:b w:val="0"/>
          <w:sz w:val="20"/>
          <w:lang w:val="es-CR"/>
        </w:rPr>
        <w:t xml:space="preserve">La </w:t>
      </w:r>
      <w:r w:rsidRPr="0045762C">
        <w:rPr>
          <w:rStyle w:val="CharAttribute0"/>
          <w:i/>
          <w:sz w:val="20"/>
          <w:lang w:val="es-CR"/>
        </w:rPr>
        <w:t>Comisión</w:t>
      </w:r>
      <w:r w:rsidRPr="00F34041">
        <w:rPr>
          <w:rStyle w:val="CharAttribute0"/>
          <w:b w:val="0"/>
          <w:sz w:val="20"/>
          <w:lang w:val="es-CR"/>
        </w:rPr>
        <w:t xml:space="preserve"> por su parte indicó</w:t>
      </w:r>
      <w:r>
        <w:rPr>
          <w:rStyle w:val="CharAttribute0"/>
          <w:b w:val="0"/>
          <w:sz w:val="20"/>
          <w:lang w:val="es-CR"/>
        </w:rPr>
        <w:t xml:space="preserve"> en sus presentaciones (</w:t>
      </w:r>
      <w:r>
        <w:rPr>
          <w:rStyle w:val="CharAttribute0"/>
          <w:b w:val="0"/>
          <w:i/>
          <w:sz w:val="20"/>
          <w:lang w:val="es-CR"/>
        </w:rPr>
        <w:t>supra</w:t>
      </w:r>
      <w:r>
        <w:rPr>
          <w:rStyle w:val="CharAttribute0"/>
          <w:b w:val="0"/>
          <w:sz w:val="20"/>
          <w:lang w:val="es-CR"/>
        </w:rPr>
        <w:t xml:space="preserve"> Visto 4)</w:t>
      </w:r>
      <w:r w:rsidRPr="00F34041">
        <w:rPr>
          <w:rStyle w:val="CharAttribute0"/>
          <w:b w:val="0"/>
          <w:sz w:val="20"/>
          <w:lang w:val="es-CR"/>
        </w:rPr>
        <w:t xml:space="preserve"> que “valora las medidas adoptadas por el Estado, así como su compromiso con cumplir con las medidas provisionales”</w:t>
      </w:r>
      <w:r>
        <w:rPr>
          <w:rStyle w:val="CharAttribute0"/>
          <w:b w:val="0"/>
          <w:sz w:val="20"/>
          <w:lang w:val="es-CR"/>
        </w:rPr>
        <w:t xml:space="preserve">. </w:t>
      </w:r>
    </w:p>
    <w:p w:rsidR="00A8163A" w:rsidRPr="0045762C" w:rsidRDefault="00A8163A" w:rsidP="00A8163A">
      <w:pPr>
        <w:pStyle w:val="BodyText3"/>
        <w:ind w:right="0"/>
        <w:jc w:val="both"/>
        <w:rPr>
          <w:rFonts w:ascii="Verdana" w:eastAsia="Verdana" w:hAnsi="Verdana"/>
          <w:b w:val="0"/>
          <w:i/>
          <w:sz w:val="20"/>
          <w:lang w:val="es-CR"/>
        </w:rPr>
      </w:pPr>
    </w:p>
    <w:p w:rsidR="00A8163A" w:rsidRPr="0045762C" w:rsidRDefault="00A8163A" w:rsidP="006E2245">
      <w:pPr>
        <w:pStyle w:val="BodyText3"/>
        <w:numPr>
          <w:ilvl w:val="0"/>
          <w:numId w:val="8"/>
        </w:numPr>
        <w:ind w:left="0" w:right="0" w:firstLine="0"/>
        <w:jc w:val="both"/>
        <w:rPr>
          <w:rFonts w:ascii="Verdana" w:eastAsia="Verdana" w:hAnsi="Verdana"/>
          <w:b w:val="0"/>
          <w:i/>
          <w:sz w:val="20"/>
          <w:szCs w:val="24"/>
          <w:lang w:val="es-CR" w:eastAsia="en-US"/>
        </w:rPr>
      </w:pPr>
      <w:r>
        <w:rPr>
          <w:rFonts w:ascii="Verdana" w:hAnsi="Verdana" w:cs="Helvetica"/>
          <w:b w:val="0"/>
          <w:sz w:val="20"/>
          <w:lang w:val="es-ES" w:bidi="en-US"/>
        </w:rPr>
        <w:lastRenderedPageBreak/>
        <w:t>Por otra parte, respecto de personas que dejaron de ser beneficiarias de medidas provisionales en virtud de la Resolución de la Corte de</w:t>
      </w:r>
      <w:r w:rsidRPr="00F34041">
        <w:rPr>
          <w:rFonts w:ascii="Verdana" w:hAnsi="Verdana" w:cs="Helvetica"/>
          <w:b w:val="0"/>
          <w:sz w:val="20"/>
          <w:lang w:val="es-ES" w:bidi="en-US"/>
        </w:rPr>
        <w:t xml:space="preserve"> 26 de enero del 2015, el </w:t>
      </w:r>
      <w:r w:rsidRPr="0045762C">
        <w:rPr>
          <w:rFonts w:ascii="Verdana" w:hAnsi="Verdana" w:cs="Helvetica"/>
          <w:i/>
          <w:sz w:val="20"/>
          <w:lang w:val="es-ES" w:bidi="en-US"/>
        </w:rPr>
        <w:t>Estado</w:t>
      </w:r>
      <w:r w:rsidRPr="0045762C">
        <w:rPr>
          <w:rFonts w:ascii="Verdana" w:hAnsi="Verdana" w:cs="Helvetica"/>
          <w:sz w:val="20"/>
          <w:lang w:val="es-ES" w:bidi="en-US"/>
        </w:rPr>
        <w:t xml:space="preserve"> </w:t>
      </w:r>
      <w:r>
        <w:rPr>
          <w:rFonts w:ascii="Verdana" w:hAnsi="Verdana" w:cs="Helvetica"/>
          <w:b w:val="0"/>
          <w:sz w:val="20"/>
          <w:lang w:val="es-ES" w:bidi="en-US"/>
        </w:rPr>
        <w:t>también presentó información. Indicó que</w:t>
      </w:r>
      <w:r w:rsidRPr="00F34041">
        <w:rPr>
          <w:rFonts w:ascii="Verdana" w:hAnsi="Verdana" w:cs="Helvetica"/>
          <w:b w:val="0"/>
          <w:sz w:val="20"/>
          <w:lang w:val="es-ES" w:bidi="en-US"/>
        </w:rPr>
        <w:t xml:space="preserve"> luego de haber realizado las verificaciones internas del caso</w:t>
      </w:r>
      <w:r>
        <w:rPr>
          <w:rFonts w:ascii="Verdana" w:hAnsi="Verdana" w:cs="Helvetica"/>
          <w:b w:val="0"/>
          <w:sz w:val="20"/>
          <w:lang w:val="es-ES" w:bidi="en-US"/>
        </w:rPr>
        <w:t>,</w:t>
      </w:r>
      <w:r w:rsidRPr="00F34041">
        <w:rPr>
          <w:rFonts w:ascii="Verdana" w:hAnsi="Verdana" w:cs="Helvetica"/>
          <w:b w:val="0"/>
          <w:sz w:val="20"/>
          <w:lang w:val="es-ES" w:bidi="en-US"/>
        </w:rPr>
        <w:t xml:space="preserve"> procedió a suspender </w:t>
      </w:r>
      <w:r>
        <w:rPr>
          <w:rFonts w:ascii="Verdana" w:hAnsi="Verdana" w:cs="Helvetica"/>
          <w:b w:val="0"/>
          <w:sz w:val="20"/>
          <w:lang w:val="es-ES" w:bidi="en-US"/>
        </w:rPr>
        <w:t>la</w:t>
      </w:r>
      <w:r w:rsidRPr="00F34041">
        <w:rPr>
          <w:rFonts w:ascii="Verdana" w:hAnsi="Verdana" w:cs="Helvetica"/>
          <w:b w:val="0"/>
          <w:sz w:val="20"/>
          <w:lang w:val="es-ES" w:bidi="en-US"/>
        </w:rPr>
        <w:t xml:space="preserve"> seguridad</w:t>
      </w:r>
      <w:r>
        <w:rPr>
          <w:rFonts w:ascii="Verdana" w:hAnsi="Verdana" w:cs="Helvetica"/>
          <w:b w:val="0"/>
          <w:sz w:val="20"/>
          <w:lang w:val="es-ES" w:bidi="en-US"/>
        </w:rPr>
        <w:t xml:space="preserve"> respecto a </w:t>
      </w:r>
      <w:r w:rsidRPr="00F34041">
        <w:rPr>
          <w:rFonts w:ascii="Verdana" w:hAnsi="Verdana" w:cs="Helvetica"/>
          <w:b w:val="0"/>
          <w:sz w:val="20"/>
          <w:lang w:val="es-ES" w:bidi="en-US"/>
        </w:rPr>
        <w:t xml:space="preserve">la señora María de los Ángeles García Prieto de </w:t>
      </w:r>
      <w:proofErr w:type="spellStart"/>
      <w:r w:rsidRPr="00F34041">
        <w:rPr>
          <w:rFonts w:ascii="Verdana" w:hAnsi="Verdana" w:cs="Helvetica"/>
          <w:b w:val="0"/>
          <w:sz w:val="20"/>
          <w:lang w:val="es-ES" w:bidi="en-US"/>
        </w:rPr>
        <w:t>Charur</w:t>
      </w:r>
      <w:proofErr w:type="spellEnd"/>
      <w:r>
        <w:rPr>
          <w:rFonts w:ascii="Verdana" w:hAnsi="Verdana" w:cs="Helvetica"/>
          <w:b w:val="0"/>
          <w:sz w:val="20"/>
          <w:lang w:val="es-ES" w:bidi="en-US"/>
        </w:rPr>
        <w:t>.</w:t>
      </w:r>
      <w:r w:rsidRPr="00F34041">
        <w:rPr>
          <w:rFonts w:ascii="Verdana" w:hAnsi="Verdana" w:cs="Helvetica"/>
          <w:b w:val="0"/>
          <w:sz w:val="20"/>
          <w:lang w:val="es-ES" w:bidi="en-US"/>
        </w:rPr>
        <w:t xml:space="preserve"> </w:t>
      </w:r>
      <w:r w:rsidRPr="00BF56C4">
        <w:rPr>
          <w:rFonts w:ascii="Verdana" w:hAnsi="Verdana" w:cs="Helvetica"/>
          <w:b w:val="0"/>
          <w:sz w:val="20"/>
          <w:lang w:val="es-ES" w:bidi="en-US"/>
        </w:rPr>
        <w:t>En relación con el señor José Benjamín Cuéllar Martínez, el 28 de abril de 2015 manifestó que “</w:t>
      </w:r>
      <w:proofErr w:type="gramStart"/>
      <w:r w:rsidRPr="00BF56C4">
        <w:rPr>
          <w:rFonts w:ascii="Verdana" w:hAnsi="Verdana" w:cs="Helvetica"/>
          <w:b w:val="0"/>
          <w:sz w:val="20"/>
          <w:lang w:val="es-ES" w:bidi="en-US"/>
        </w:rPr>
        <w:t>evaluar[</w:t>
      </w:r>
      <w:proofErr w:type="spellStart"/>
      <w:proofErr w:type="gramEnd"/>
      <w:r w:rsidRPr="00BF56C4">
        <w:rPr>
          <w:rFonts w:ascii="Verdana" w:hAnsi="Verdana" w:cs="Helvetica"/>
          <w:b w:val="0"/>
          <w:sz w:val="20"/>
          <w:lang w:val="es-ES" w:bidi="en-US"/>
        </w:rPr>
        <w:t>ía</w:t>
      </w:r>
      <w:proofErr w:type="spellEnd"/>
      <w:r w:rsidRPr="00BF56C4">
        <w:rPr>
          <w:rFonts w:ascii="Verdana" w:hAnsi="Verdana" w:cs="Helvetica"/>
          <w:b w:val="0"/>
          <w:sz w:val="20"/>
          <w:lang w:val="es-ES" w:bidi="en-US"/>
        </w:rPr>
        <w:t>] el mantenimiento o finalización de su servicio de protección” una vez que cuente con un informe de la entidad responsable de la implementación de medidas a su favor</w:t>
      </w:r>
      <w:r w:rsidRPr="00BF56C4">
        <w:rPr>
          <w:rStyle w:val="FootnoteReference"/>
          <w:b w:val="0"/>
          <w:sz w:val="20"/>
          <w:lang w:val="es-ES" w:bidi="en-US"/>
        </w:rPr>
        <w:footnoteReference w:id="5"/>
      </w:r>
      <w:r w:rsidR="006E2245" w:rsidRPr="00BF56C4">
        <w:rPr>
          <w:rFonts w:ascii="Verdana" w:hAnsi="Verdana" w:cs="Helvetica"/>
          <w:b w:val="0"/>
          <w:sz w:val="20"/>
          <w:lang w:val="es-ES" w:bidi="en-US"/>
        </w:rPr>
        <w:t>.</w:t>
      </w:r>
      <w:r>
        <w:rPr>
          <w:rFonts w:ascii="Verdana" w:hAnsi="Verdana" w:cs="Helvetica"/>
          <w:b w:val="0"/>
          <w:sz w:val="20"/>
          <w:lang w:val="es-ES" w:bidi="en-US"/>
        </w:rPr>
        <w:t xml:space="preserve"> E</w:t>
      </w:r>
      <w:r w:rsidRPr="00BF56C4">
        <w:rPr>
          <w:rFonts w:ascii="Verdana" w:hAnsi="Verdana" w:cs="Helvetica"/>
          <w:b w:val="0"/>
          <w:sz w:val="20"/>
          <w:lang w:val="es-ES" w:bidi="en-US"/>
        </w:rPr>
        <w:t>n el informe de El Salvador de 13 de octubre de 2015 indicó su “disposición” de atender “solicitudes de información respecto de personas que ya no cuentan con medidas provisionales vigente</w:t>
      </w:r>
      <w:r w:rsidRPr="00EE3DCD">
        <w:rPr>
          <w:rFonts w:ascii="Verdana" w:hAnsi="Verdana" w:cs="Helvetica"/>
          <w:b w:val="0"/>
          <w:sz w:val="20"/>
          <w:lang w:val="es-ES" w:bidi="en-US"/>
        </w:rPr>
        <w:t>s”</w:t>
      </w:r>
      <w:r w:rsidRPr="000A396E">
        <w:rPr>
          <w:rFonts w:ascii="Verdana" w:hAnsi="Verdana" w:cs="Helvetica"/>
          <w:b w:val="0"/>
          <w:sz w:val="20"/>
          <w:lang w:val="es-ES" w:bidi="en-US"/>
        </w:rPr>
        <w:t>.</w:t>
      </w:r>
      <w:r w:rsidRPr="00F34041">
        <w:rPr>
          <w:rFonts w:ascii="Verdana" w:hAnsi="Verdana" w:cs="Helvetica"/>
          <w:b w:val="0"/>
          <w:sz w:val="20"/>
          <w:lang w:val="es-ES" w:bidi="en-US"/>
        </w:rPr>
        <w:t xml:space="preserve"> </w:t>
      </w:r>
      <w:r>
        <w:rPr>
          <w:rFonts w:ascii="Verdana" w:hAnsi="Verdana" w:cs="Helvetica"/>
          <w:b w:val="0"/>
          <w:sz w:val="20"/>
          <w:lang w:val="es-ES" w:bidi="en-US"/>
        </w:rPr>
        <w:t>L</w:t>
      </w:r>
      <w:r w:rsidRPr="00F34041">
        <w:rPr>
          <w:rFonts w:ascii="Verdana" w:hAnsi="Verdana" w:cs="Helvetica"/>
          <w:b w:val="0"/>
          <w:sz w:val="20"/>
          <w:lang w:val="es-ES" w:bidi="en-US"/>
        </w:rPr>
        <w:t xml:space="preserve">os </w:t>
      </w:r>
      <w:r w:rsidRPr="0045762C">
        <w:rPr>
          <w:rFonts w:ascii="Verdana" w:hAnsi="Verdana" w:cs="Helvetica"/>
          <w:i/>
          <w:sz w:val="20"/>
          <w:lang w:val="es-ES" w:bidi="en-US"/>
        </w:rPr>
        <w:t>representantes</w:t>
      </w:r>
      <w:r w:rsidRPr="00F34041">
        <w:rPr>
          <w:rFonts w:ascii="Verdana" w:hAnsi="Verdana" w:cs="Helvetica"/>
          <w:b w:val="0"/>
          <w:sz w:val="20"/>
          <w:lang w:val="es-ES" w:bidi="en-US"/>
        </w:rPr>
        <w:t xml:space="preserve"> “</w:t>
      </w:r>
      <w:proofErr w:type="gramStart"/>
      <w:r w:rsidRPr="00F34041">
        <w:rPr>
          <w:rFonts w:ascii="Verdana" w:hAnsi="Verdana" w:cs="Helvetica"/>
          <w:b w:val="0"/>
          <w:sz w:val="20"/>
          <w:lang w:val="es-ES" w:bidi="en-US"/>
        </w:rPr>
        <w:t>valora[</w:t>
      </w:r>
      <w:proofErr w:type="gramEnd"/>
      <w:r>
        <w:rPr>
          <w:rFonts w:ascii="Verdana" w:hAnsi="Verdana" w:cs="Helvetica"/>
          <w:b w:val="0"/>
          <w:sz w:val="20"/>
          <w:lang w:val="es-ES" w:bidi="en-US"/>
        </w:rPr>
        <w:t>ro</w:t>
      </w:r>
      <w:r w:rsidRPr="00F34041">
        <w:rPr>
          <w:rFonts w:ascii="Verdana" w:hAnsi="Verdana" w:cs="Helvetica"/>
          <w:b w:val="0"/>
          <w:sz w:val="20"/>
          <w:lang w:val="es-ES" w:bidi="en-US"/>
        </w:rPr>
        <w:t>n] muy positivamente la disposición mostrada por el Estado para evaluar el riesgo en que se encuentran las personas respecto de las cuales la Corte Interamericana determinó el levantamiento de las medidas de protección, previo a determinar la suspensión de las mismas”</w:t>
      </w:r>
      <w:r w:rsidR="00330793" w:rsidRPr="001240D6">
        <w:rPr>
          <w:rFonts w:ascii="Verdana" w:hAnsi="Verdana" w:cs="Helvetica"/>
          <w:b w:val="0"/>
          <w:sz w:val="20"/>
          <w:lang w:val="es-ES" w:bidi="en-US"/>
        </w:rPr>
        <w:t>, y expresaron que el Estado “se encuentra implementando el servicio de e</w:t>
      </w:r>
      <w:r w:rsidR="00D86330" w:rsidRPr="001240D6">
        <w:rPr>
          <w:rFonts w:ascii="Verdana" w:hAnsi="Verdana" w:cs="Helvetica"/>
          <w:b w:val="0"/>
          <w:sz w:val="20"/>
          <w:lang w:val="es-ES" w:bidi="en-US"/>
        </w:rPr>
        <w:t>scolta a favor del señor […] Cué</w:t>
      </w:r>
      <w:r w:rsidR="00330793" w:rsidRPr="001240D6">
        <w:rPr>
          <w:rFonts w:ascii="Verdana" w:hAnsi="Verdana" w:cs="Helvetica"/>
          <w:b w:val="0"/>
          <w:sz w:val="20"/>
          <w:lang w:val="es-ES" w:bidi="en-US"/>
        </w:rPr>
        <w:t xml:space="preserve">llar”, “por lo que […] </w:t>
      </w:r>
      <w:proofErr w:type="spellStart"/>
      <w:r w:rsidR="00330793" w:rsidRPr="001240D6">
        <w:rPr>
          <w:rFonts w:ascii="Verdana" w:hAnsi="Verdana" w:cs="Helvetica"/>
          <w:b w:val="0"/>
          <w:sz w:val="20"/>
          <w:lang w:val="es-ES" w:bidi="en-US"/>
        </w:rPr>
        <w:t>reconoc</w:t>
      </w:r>
      <w:proofErr w:type="spellEnd"/>
      <w:r w:rsidR="00330793" w:rsidRPr="001240D6">
        <w:rPr>
          <w:rFonts w:ascii="Verdana" w:hAnsi="Verdana" w:cs="Helvetica"/>
          <w:b w:val="0"/>
          <w:sz w:val="20"/>
          <w:lang w:val="es-ES" w:bidi="en-US"/>
        </w:rPr>
        <w:t>[</w:t>
      </w:r>
      <w:proofErr w:type="spellStart"/>
      <w:r w:rsidR="00330793" w:rsidRPr="001240D6">
        <w:rPr>
          <w:rFonts w:ascii="Verdana" w:hAnsi="Verdana" w:cs="Helvetica"/>
          <w:b w:val="0"/>
          <w:sz w:val="20"/>
          <w:lang w:val="es-ES" w:bidi="en-US"/>
        </w:rPr>
        <w:t>ieron</w:t>
      </w:r>
      <w:proofErr w:type="spellEnd"/>
      <w:r w:rsidR="00330793" w:rsidRPr="001240D6">
        <w:rPr>
          <w:rFonts w:ascii="Verdana" w:hAnsi="Verdana" w:cs="Helvetica"/>
          <w:b w:val="0"/>
          <w:sz w:val="20"/>
          <w:lang w:val="es-ES" w:bidi="en-US"/>
        </w:rPr>
        <w:t>] la buena fe y voluntad del Estado”</w:t>
      </w:r>
      <w:r w:rsidR="00330793" w:rsidRPr="001240D6">
        <w:rPr>
          <w:rStyle w:val="FootnoteReference"/>
          <w:b w:val="0"/>
          <w:sz w:val="20"/>
          <w:lang w:val="es-ES" w:bidi="en-US"/>
        </w:rPr>
        <w:footnoteReference w:id="6"/>
      </w:r>
      <w:r w:rsidR="00330793" w:rsidRPr="001240D6">
        <w:rPr>
          <w:rFonts w:ascii="Verdana" w:hAnsi="Verdana" w:cs="Helvetica"/>
          <w:b w:val="0"/>
          <w:sz w:val="20"/>
          <w:lang w:val="es-ES" w:bidi="en-US"/>
        </w:rPr>
        <w:t>.</w:t>
      </w:r>
      <w:r w:rsidRPr="0045762C">
        <w:rPr>
          <w:rFonts w:ascii="Verdana" w:hAnsi="Verdana" w:cs="Helvetica"/>
          <w:b w:val="0"/>
          <w:sz w:val="20"/>
          <w:lang w:val="es-ES" w:bidi="en-US"/>
        </w:rPr>
        <w:t xml:space="preserve"> En igual sentido, la </w:t>
      </w:r>
      <w:r w:rsidRPr="00AF0F85">
        <w:rPr>
          <w:rFonts w:ascii="Verdana" w:hAnsi="Verdana" w:cs="Helvetica"/>
          <w:i/>
          <w:sz w:val="20"/>
          <w:lang w:val="es-ES" w:bidi="en-US"/>
        </w:rPr>
        <w:t>Comisión</w:t>
      </w:r>
      <w:r w:rsidRPr="0045762C">
        <w:rPr>
          <w:rFonts w:ascii="Verdana" w:hAnsi="Verdana" w:cs="Helvetica"/>
          <w:b w:val="0"/>
          <w:sz w:val="20"/>
          <w:lang w:val="es-ES" w:bidi="en-US"/>
        </w:rPr>
        <w:t xml:space="preserve"> “valor[</w:t>
      </w:r>
      <w:proofErr w:type="spellStart"/>
      <w:r w:rsidRPr="0045762C">
        <w:rPr>
          <w:rFonts w:ascii="Verdana" w:hAnsi="Verdana" w:cs="Helvetica"/>
          <w:b w:val="0"/>
          <w:sz w:val="20"/>
          <w:lang w:val="es-ES" w:bidi="en-US"/>
        </w:rPr>
        <w:t>ó</w:t>
      </w:r>
      <w:proofErr w:type="spellEnd"/>
      <w:r w:rsidRPr="0045762C">
        <w:rPr>
          <w:rFonts w:ascii="Verdana" w:hAnsi="Verdana" w:cs="Helvetica"/>
          <w:b w:val="0"/>
          <w:sz w:val="20"/>
          <w:lang w:val="es-ES" w:bidi="en-US"/>
        </w:rPr>
        <w:t>]”</w:t>
      </w:r>
      <w:r w:rsidRPr="00EE3DCD">
        <w:rPr>
          <w:rFonts w:ascii="Verdana" w:hAnsi="Verdana" w:cs="Helvetica"/>
          <w:b w:val="0"/>
          <w:sz w:val="20"/>
          <w:lang w:val="es-ES" w:bidi="en-US"/>
        </w:rPr>
        <w:t xml:space="preserve"> </w:t>
      </w:r>
      <w:r w:rsidRPr="00F34041">
        <w:rPr>
          <w:rStyle w:val="CharAttribute0"/>
          <w:b w:val="0"/>
          <w:sz w:val="20"/>
          <w:lang w:val="es-CR"/>
        </w:rPr>
        <w:t>el mantenimiento de las medidas en beneficio de señor Cué</w:t>
      </w:r>
      <w:r>
        <w:rPr>
          <w:rStyle w:val="CharAttribute0"/>
          <w:b w:val="0"/>
          <w:sz w:val="20"/>
          <w:lang w:val="es-CR"/>
        </w:rPr>
        <w:t xml:space="preserve">llar </w:t>
      </w:r>
      <w:r w:rsidRPr="00F34041">
        <w:rPr>
          <w:rStyle w:val="CharAttribute0"/>
          <w:b w:val="0"/>
          <w:sz w:val="20"/>
          <w:lang w:val="es-CR"/>
        </w:rPr>
        <w:t>(</w:t>
      </w:r>
      <w:r w:rsidRPr="00F34041">
        <w:rPr>
          <w:rStyle w:val="CharAttribute0"/>
          <w:b w:val="0"/>
          <w:i/>
          <w:sz w:val="20"/>
          <w:lang w:val="es-CR"/>
        </w:rPr>
        <w:t xml:space="preserve">supra </w:t>
      </w:r>
      <w:r>
        <w:rPr>
          <w:rStyle w:val="CharAttribute0"/>
          <w:b w:val="0"/>
          <w:sz w:val="20"/>
          <w:lang w:val="es-CR"/>
        </w:rPr>
        <w:t>Visto</w:t>
      </w:r>
      <w:r w:rsidRPr="00F34041">
        <w:rPr>
          <w:rStyle w:val="CharAttribute0"/>
          <w:b w:val="0"/>
          <w:sz w:val="20"/>
          <w:lang w:val="es-CR"/>
        </w:rPr>
        <w:t xml:space="preserve"> 4).</w:t>
      </w:r>
      <w:r>
        <w:rPr>
          <w:rStyle w:val="CharAttribute0"/>
          <w:b w:val="0"/>
          <w:sz w:val="20"/>
          <w:lang w:val="es-CR"/>
        </w:rPr>
        <w:t xml:space="preserve"> </w:t>
      </w:r>
    </w:p>
    <w:p w:rsidR="00A8163A" w:rsidRPr="00F34041" w:rsidRDefault="00A8163A" w:rsidP="00A8163A">
      <w:pPr>
        <w:pStyle w:val="BodyText3"/>
        <w:ind w:left="720" w:right="0" w:firstLine="360"/>
        <w:jc w:val="both"/>
        <w:rPr>
          <w:rFonts w:ascii="Verdana" w:hAnsi="Verdana"/>
          <w:b w:val="0"/>
          <w:i/>
          <w:sz w:val="20"/>
          <w:lang w:val="es-ES"/>
        </w:rPr>
      </w:pPr>
    </w:p>
    <w:p w:rsidR="00A8163A" w:rsidRPr="00947E23" w:rsidRDefault="00A8163A" w:rsidP="00A8163A">
      <w:pPr>
        <w:pStyle w:val="BodyText3"/>
        <w:ind w:left="720" w:right="0" w:firstLine="360"/>
        <w:jc w:val="both"/>
        <w:rPr>
          <w:rFonts w:ascii="Verdana" w:hAnsi="Verdana"/>
          <w:b w:val="0"/>
          <w:i/>
          <w:sz w:val="20"/>
          <w:lang w:val="es-ES"/>
        </w:rPr>
      </w:pPr>
      <w:r>
        <w:rPr>
          <w:rFonts w:ascii="Verdana" w:hAnsi="Verdana"/>
          <w:b w:val="0"/>
          <w:i/>
          <w:sz w:val="20"/>
          <w:lang w:val="es-ES"/>
        </w:rPr>
        <w:t>A</w:t>
      </w:r>
      <w:r w:rsidRPr="00F34041">
        <w:rPr>
          <w:rFonts w:ascii="Verdana" w:hAnsi="Verdana"/>
          <w:b w:val="0"/>
          <w:i/>
          <w:sz w:val="20"/>
          <w:lang w:val="es-ES"/>
        </w:rPr>
        <w:t>.</w:t>
      </w:r>
      <w:r>
        <w:rPr>
          <w:rFonts w:ascii="Verdana" w:hAnsi="Verdana"/>
          <w:b w:val="0"/>
          <w:i/>
          <w:sz w:val="20"/>
          <w:lang w:val="es-ES"/>
        </w:rPr>
        <w:t>2</w:t>
      </w:r>
      <w:r w:rsidR="009F71EB">
        <w:rPr>
          <w:rFonts w:ascii="Verdana" w:hAnsi="Verdana"/>
          <w:b w:val="0"/>
          <w:i/>
          <w:sz w:val="20"/>
          <w:lang w:val="es-ES"/>
        </w:rPr>
        <w:t>.</w:t>
      </w:r>
      <w:r w:rsidRPr="00F34041">
        <w:rPr>
          <w:rFonts w:ascii="Verdana" w:hAnsi="Verdana"/>
          <w:b w:val="0"/>
          <w:i/>
          <w:sz w:val="20"/>
          <w:lang w:val="es-ES"/>
        </w:rPr>
        <w:t xml:space="preserve"> </w:t>
      </w:r>
      <w:r>
        <w:rPr>
          <w:rFonts w:ascii="Verdana" w:hAnsi="Verdana"/>
          <w:b w:val="0"/>
          <w:i/>
          <w:sz w:val="20"/>
          <w:lang w:val="es-ES"/>
        </w:rPr>
        <w:t>Sobre la situación de las personas beneficiarias de las medidas provisionales</w:t>
      </w:r>
      <w:r w:rsidRPr="00F34041">
        <w:rPr>
          <w:rFonts w:ascii="Verdana" w:hAnsi="Verdana"/>
          <w:b w:val="0"/>
          <w:i/>
          <w:sz w:val="20"/>
          <w:lang w:val="es-ES"/>
        </w:rPr>
        <w:t xml:space="preserve"> </w:t>
      </w:r>
    </w:p>
    <w:p w:rsidR="00A8163A" w:rsidRPr="00F34041" w:rsidRDefault="00A8163A" w:rsidP="00A8163A">
      <w:pPr>
        <w:pStyle w:val="BodyText3"/>
        <w:ind w:right="0"/>
        <w:jc w:val="both"/>
        <w:rPr>
          <w:rFonts w:ascii="Verdana" w:eastAsia="Verdana" w:hAnsi="Verdana"/>
          <w:i/>
          <w:sz w:val="20"/>
          <w:lang w:val="es-CR"/>
        </w:rPr>
      </w:pPr>
    </w:p>
    <w:p w:rsidR="00A8163A" w:rsidRPr="00901D67" w:rsidRDefault="00A8163A" w:rsidP="006E2245">
      <w:pPr>
        <w:pStyle w:val="BodyText3"/>
        <w:numPr>
          <w:ilvl w:val="0"/>
          <w:numId w:val="8"/>
        </w:numPr>
        <w:ind w:left="0" w:right="0" w:firstLine="0"/>
        <w:jc w:val="both"/>
        <w:rPr>
          <w:rFonts w:ascii="Verdana" w:eastAsia="Verdana" w:hAnsi="Verdana"/>
          <w:i/>
          <w:sz w:val="20"/>
          <w:lang w:val="es-CR"/>
        </w:rPr>
      </w:pPr>
      <w:r w:rsidRPr="00F34041">
        <w:rPr>
          <w:rFonts w:ascii="Verdana" w:eastAsia="Verdana" w:hAnsi="Verdana"/>
          <w:b w:val="0"/>
          <w:sz w:val="20"/>
          <w:lang w:val="es-CR"/>
        </w:rPr>
        <w:t>Respecto de la situación de las personas beneficiarias de las medidas provisionales</w:t>
      </w:r>
      <w:r>
        <w:rPr>
          <w:rFonts w:ascii="Verdana" w:eastAsia="Verdana" w:hAnsi="Verdana"/>
          <w:b w:val="0"/>
          <w:sz w:val="20"/>
          <w:lang w:val="es-CR"/>
        </w:rPr>
        <w:t>,</w:t>
      </w:r>
      <w:r w:rsidRPr="00F34041">
        <w:rPr>
          <w:rFonts w:ascii="Verdana" w:eastAsia="Verdana" w:hAnsi="Verdana"/>
          <w:b w:val="0"/>
          <w:sz w:val="20"/>
          <w:lang w:val="es-CR"/>
        </w:rPr>
        <w:t xml:space="preserve"> el </w:t>
      </w:r>
      <w:r w:rsidRPr="0045762C">
        <w:rPr>
          <w:rFonts w:ascii="Verdana" w:eastAsia="Verdana" w:hAnsi="Verdana"/>
          <w:i/>
          <w:sz w:val="20"/>
          <w:lang w:val="es-CR"/>
        </w:rPr>
        <w:t>Estado</w:t>
      </w:r>
      <w:r w:rsidRPr="00F34041">
        <w:rPr>
          <w:rFonts w:ascii="Verdana" w:eastAsia="Verdana" w:hAnsi="Verdana"/>
          <w:b w:val="0"/>
          <w:sz w:val="20"/>
          <w:lang w:val="es-CR"/>
        </w:rPr>
        <w:t xml:space="preserve"> ha manifestado que se percibe una ausencia de “novedades </w:t>
      </w:r>
      <w:r>
        <w:rPr>
          <w:rFonts w:ascii="Verdana" w:eastAsia="Verdana" w:hAnsi="Verdana"/>
          <w:b w:val="0"/>
          <w:sz w:val="20"/>
          <w:lang w:val="es-CR"/>
        </w:rPr>
        <w:t>relevantes o</w:t>
      </w:r>
      <w:r w:rsidR="00F3543C">
        <w:rPr>
          <w:rFonts w:ascii="Verdana" w:eastAsia="Verdana" w:hAnsi="Verdana"/>
          <w:b w:val="0"/>
          <w:sz w:val="20"/>
          <w:lang w:val="es-CR"/>
        </w:rPr>
        <w:t xml:space="preserve"> incidentes”</w:t>
      </w:r>
      <w:r w:rsidRPr="00F34041">
        <w:rPr>
          <w:rFonts w:ascii="Verdana" w:eastAsia="Verdana" w:hAnsi="Verdana"/>
          <w:b w:val="0"/>
          <w:sz w:val="20"/>
          <w:lang w:val="es-CR"/>
        </w:rPr>
        <w:t>, aclarando que no ha recibido comunicaciones de incidentes o amenazas en perjuicio de los beneficiaros, lo cual incluso ha sido confirmado por la Policía Nacional Civil</w:t>
      </w:r>
      <w:r w:rsidRPr="00947E23">
        <w:rPr>
          <w:rStyle w:val="FootnoteReference"/>
          <w:rFonts w:eastAsia="Verdana"/>
          <w:b w:val="0"/>
          <w:sz w:val="20"/>
          <w:lang w:val="es-CR"/>
        </w:rPr>
        <w:footnoteReference w:id="7"/>
      </w:r>
      <w:r w:rsidRPr="00947E23">
        <w:rPr>
          <w:rFonts w:ascii="Verdana" w:eastAsia="Verdana" w:hAnsi="Verdana"/>
          <w:b w:val="0"/>
          <w:sz w:val="20"/>
          <w:lang w:val="es-CR"/>
        </w:rPr>
        <w:t>.</w:t>
      </w:r>
      <w:r w:rsidRPr="00F34041">
        <w:rPr>
          <w:rFonts w:ascii="Verdana" w:eastAsia="Verdana" w:hAnsi="Verdana"/>
          <w:b w:val="0"/>
          <w:sz w:val="20"/>
          <w:lang w:val="es-CR"/>
        </w:rPr>
        <w:t xml:space="preserve"> </w:t>
      </w:r>
      <w:r>
        <w:rPr>
          <w:rFonts w:ascii="Verdana" w:eastAsia="Verdana" w:hAnsi="Verdana"/>
          <w:b w:val="0"/>
          <w:sz w:val="20"/>
          <w:lang w:val="es-CR"/>
        </w:rPr>
        <w:t xml:space="preserve">Por ello, </w:t>
      </w:r>
      <w:r w:rsidRPr="00F34041">
        <w:rPr>
          <w:rFonts w:ascii="Verdana" w:eastAsia="Verdana" w:hAnsi="Verdana"/>
          <w:b w:val="0"/>
          <w:sz w:val="20"/>
          <w:lang w:val="es-CR"/>
        </w:rPr>
        <w:t>según su criterio no existe una situación de riesgo</w:t>
      </w:r>
      <w:r>
        <w:rPr>
          <w:rFonts w:ascii="Verdana" w:eastAsia="Verdana" w:hAnsi="Verdana"/>
          <w:b w:val="0"/>
          <w:sz w:val="20"/>
          <w:lang w:val="es-CR"/>
        </w:rPr>
        <w:t>.</w:t>
      </w:r>
      <w:r w:rsidRPr="00F34041">
        <w:rPr>
          <w:rFonts w:ascii="Verdana" w:eastAsia="Verdana" w:hAnsi="Verdana"/>
          <w:b w:val="0"/>
          <w:sz w:val="20"/>
          <w:lang w:val="es-CR"/>
        </w:rPr>
        <w:t xml:space="preserve"> Finalmente indicó </w:t>
      </w:r>
      <w:r>
        <w:rPr>
          <w:rFonts w:ascii="Verdana" w:eastAsia="Verdana" w:hAnsi="Verdana"/>
          <w:b w:val="0"/>
          <w:sz w:val="20"/>
          <w:lang w:val="es-CR"/>
        </w:rPr>
        <w:t>que han transcurrido nueve</w:t>
      </w:r>
      <w:r w:rsidRPr="00F34041">
        <w:rPr>
          <w:rFonts w:ascii="Verdana" w:eastAsia="Verdana" w:hAnsi="Verdana"/>
          <w:b w:val="0"/>
          <w:sz w:val="20"/>
          <w:lang w:val="es-CR"/>
        </w:rPr>
        <w:t xml:space="preserve"> años desde el otorgamiento de las medidas provisionales, las cuales fueron dictadas por concurrir tres condiciones, a saber la extrema gravedad, la urgencia y la procedencia de evitar daños irreparables, considerando que “</w:t>
      </w:r>
      <w:r>
        <w:rPr>
          <w:rFonts w:ascii="Verdana" w:eastAsia="Verdana" w:hAnsi="Verdana"/>
          <w:b w:val="0"/>
          <w:sz w:val="20"/>
          <w:lang w:val="es-CR"/>
        </w:rPr>
        <w:t>[t]ales condiciones […]</w:t>
      </w:r>
      <w:r w:rsidRPr="00F34041">
        <w:rPr>
          <w:rFonts w:ascii="Verdana" w:eastAsia="Verdana" w:hAnsi="Verdana"/>
          <w:b w:val="0"/>
          <w:sz w:val="20"/>
          <w:lang w:val="es-CR"/>
        </w:rPr>
        <w:t xml:space="preserve"> deben persistir para que la Corte mantenga las protección ordenada.” </w:t>
      </w:r>
    </w:p>
    <w:p w:rsidR="00A8163A" w:rsidRPr="0045762C" w:rsidRDefault="00A8163A" w:rsidP="00A8163A">
      <w:pPr>
        <w:pStyle w:val="BodyText3"/>
        <w:ind w:right="0"/>
        <w:jc w:val="both"/>
        <w:rPr>
          <w:rFonts w:ascii="Verdana" w:eastAsia="Verdana" w:hAnsi="Verdana"/>
          <w:i/>
          <w:sz w:val="20"/>
          <w:lang w:val="es-CR"/>
        </w:rPr>
      </w:pPr>
    </w:p>
    <w:p w:rsidR="00A8163A" w:rsidRPr="00F34041" w:rsidRDefault="00A8163A" w:rsidP="006E2245">
      <w:pPr>
        <w:pStyle w:val="BodyText3"/>
        <w:numPr>
          <w:ilvl w:val="0"/>
          <w:numId w:val="8"/>
        </w:numPr>
        <w:ind w:left="0" w:right="0" w:firstLine="0"/>
        <w:jc w:val="both"/>
        <w:rPr>
          <w:rFonts w:ascii="Verdana" w:eastAsia="Verdana" w:hAnsi="Verdana"/>
          <w:i/>
          <w:sz w:val="20"/>
          <w:lang w:val="es-CR"/>
        </w:rPr>
      </w:pPr>
      <w:r>
        <w:rPr>
          <w:rFonts w:ascii="Verdana" w:eastAsia="Verdana" w:hAnsi="Verdana"/>
          <w:b w:val="0"/>
          <w:sz w:val="20"/>
          <w:lang w:val="es-CR"/>
        </w:rPr>
        <w:t xml:space="preserve"> En cuanto a la referencia hecha por los </w:t>
      </w:r>
      <w:r w:rsidRPr="003264C2">
        <w:rPr>
          <w:rFonts w:ascii="Verdana" w:eastAsia="Verdana" w:hAnsi="Verdana"/>
          <w:b w:val="0"/>
          <w:sz w:val="20"/>
          <w:lang w:val="es-CR"/>
        </w:rPr>
        <w:t xml:space="preserve">representantes </w:t>
      </w:r>
      <w:r>
        <w:rPr>
          <w:rFonts w:ascii="Verdana" w:eastAsia="Verdana" w:hAnsi="Verdana"/>
          <w:b w:val="0"/>
          <w:sz w:val="20"/>
          <w:lang w:val="es-CR"/>
        </w:rPr>
        <w:t>respecto a la liberación de una persona condenada por el asesinato del hijo de los beneficiarios (</w:t>
      </w:r>
      <w:r>
        <w:rPr>
          <w:rFonts w:ascii="Verdana" w:eastAsia="Verdana" w:hAnsi="Verdana"/>
          <w:b w:val="0"/>
          <w:i/>
          <w:sz w:val="20"/>
          <w:lang w:val="es-CR"/>
        </w:rPr>
        <w:t>infra</w:t>
      </w:r>
      <w:r>
        <w:rPr>
          <w:rFonts w:ascii="Verdana" w:eastAsia="Verdana" w:hAnsi="Verdana"/>
          <w:b w:val="0"/>
          <w:sz w:val="20"/>
          <w:lang w:val="es-CR"/>
        </w:rPr>
        <w:t xml:space="preserve"> párr. </w:t>
      </w:r>
      <w:r w:rsidR="003264C2">
        <w:rPr>
          <w:rFonts w:ascii="Verdana" w:eastAsia="Verdana" w:hAnsi="Verdana"/>
          <w:b w:val="0"/>
          <w:sz w:val="20"/>
          <w:lang w:val="es-CR"/>
        </w:rPr>
        <w:t>8</w:t>
      </w:r>
      <w:r>
        <w:rPr>
          <w:rFonts w:ascii="Verdana" w:eastAsia="Verdana" w:hAnsi="Verdana"/>
          <w:b w:val="0"/>
          <w:sz w:val="20"/>
          <w:lang w:val="es-CR"/>
        </w:rPr>
        <w:t xml:space="preserve">), el Estado explicó que </w:t>
      </w:r>
      <w:r w:rsidRPr="00F34041">
        <w:rPr>
          <w:rFonts w:ascii="Verdana" w:eastAsia="Verdana" w:hAnsi="Verdana"/>
          <w:b w:val="0"/>
          <w:sz w:val="20"/>
          <w:lang w:val="es-CR"/>
        </w:rPr>
        <w:t xml:space="preserve">los beneficios y requisitos para </w:t>
      </w:r>
      <w:r>
        <w:rPr>
          <w:rFonts w:ascii="Verdana" w:eastAsia="Verdana" w:hAnsi="Verdana"/>
          <w:b w:val="0"/>
          <w:sz w:val="20"/>
          <w:lang w:val="es-CR"/>
        </w:rPr>
        <w:t xml:space="preserve">la libertad condicional </w:t>
      </w:r>
      <w:r w:rsidRPr="00F34041">
        <w:rPr>
          <w:rFonts w:ascii="Verdana" w:eastAsia="Verdana" w:hAnsi="Verdana"/>
          <w:b w:val="0"/>
          <w:sz w:val="20"/>
          <w:lang w:val="es-CR"/>
        </w:rPr>
        <w:t>son los establecidos en los artículos 85 del Código Penal  51 de la Ley Penitenciaria</w:t>
      </w:r>
      <w:r>
        <w:rPr>
          <w:rFonts w:ascii="Verdana" w:eastAsia="Verdana" w:hAnsi="Verdana"/>
          <w:b w:val="0"/>
          <w:sz w:val="20"/>
          <w:lang w:val="es-CR"/>
        </w:rPr>
        <w:t>,</w:t>
      </w:r>
      <w:r w:rsidRPr="00F34041">
        <w:rPr>
          <w:rFonts w:ascii="Verdana" w:eastAsia="Verdana" w:hAnsi="Verdana"/>
          <w:b w:val="0"/>
          <w:sz w:val="20"/>
          <w:lang w:val="es-CR"/>
        </w:rPr>
        <w:t xml:space="preserve"> siendo el ente competente para declararlo los Jueces para Vigilancia y Ejecución de la Pena, y </w:t>
      </w:r>
      <w:r>
        <w:rPr>
          <w:rFonts w:ascii="Verdana" w:eastAsia="Verdana" w:hAnsi="Verdana"/>
          <w:b w:val="0"/>
          <w:sz w:val="20"/>
          <w:lang w:val="es-CR"/>
        </w:rPr>
        <w:t>señaló</w:t>
      </w:r>
      <w:r w:rsidRPr="00F34041">
        <w:rPr>
          <w:rFonts w:ascii="Verdana" w:eastAsia="Verdana" w:hAnsi="Verdana"/>
          <w:b w:val="0"/>
          <w:sz w:val="20"/>
          <w:lang w:val="es-CR"/>
        </w:rPr>
        <w:t xml:space="preserve"> que la vinculación de una persona a un caso tramitado en el sistema interamericano no es una exclusión para la aplicación de tales beneficios de conformidad con la legislación interna</w:t>
      </w:r>
      <w:r w:rsidR="00F3543C">
        <w:rPr>
          <w:rFonts w:ascii="Verdana" w:eastAsia="Verdana" w:hAnsi="Verdana"/>
          <w:b w:val="0"/>
          <w:sz w:val="20"/>
          <w:lang w:val="es-CR"/>
        </w:rPr>
        <w:t>.</w:t>
      </w:r>
    </w:p>
    <w:p w:rsidR="00A8163A" w:rsidRPr="00F34041" w:rsidRDefault="00A8163A" w:rsidP="00A8163A">
      <w:pPr>
        <w:pStyle w:val="BodyText3"/>
        <w:tabs>
          <w:tab w:val="num" w:pos="270"/>
        </w:tabs>
        <w:ind w:right="0"/>
        <w:jc w:val="both"/>
        <w:rPr>
          <w:rFonts w:ascii="Verdana" w:eastAsia="Verdana" w:hAnsi="Verdana"/>
          <w:b w:val="0"/>
          <w:i/>
          <w:sz w:val="20"/>
          <w:lang w:val="es-CR"/>
        </w:rPr>
      </w:pPr>
    </w:p>
    <w:p w:rsidR="00A8163A" w:rsidRPr="0045762C" w:rsidRDefault="00A8163A" w:rsidP="006E2245">
      <w:pPr>
        <w:pStyle w:val="BodyText3"/>
        <w:numPr>
          <w:ilvl w:val="0"/>
          <w:numId w:val="8"/>
        </w:numPr>
        <w:ind w:left="0" w:firstLine="0"/>
        <w:jc w:val="both"/>
        <w:rPr>
          <w:rFonts w:ascii="Verdana" w:eastAsia="Verdana" w:hAnsi="Verdana"/>
          <w:b w:val="0"/>
          <w:sz w:val="20"/>
          <w:lang w:val="es-CR"/>
        </w:rPr>
      </w:pPr>
      <w:r w:rsidRPr="00F34041">
        <w:rPr>
          <w:rFonts w:ascii="Verdana" w:eastAsia="Verdana" w:hAnsi="Verdana"/>
          <w:b w:val="0"/>
          <w:sz w:val="20"/>
          <w:lang w:val="es-CR"/>
        </w:rPr>
        <w:t xml:space="preserve">Por su parte, los </w:t>
      </w:r>
      <w:r w:rsidRPr="003264C2">
        <w:rPr>
          <w:rFonts w:ascii="Verdana" w:eastAsia="Verdana" w:hAnsi="Verdana"/>
          <w:i/>
          <w:sz w:val="20"/>
          <w:lang w:val="es-CR"/>
        </w:rPr>
        <w:t>representantes</w:t>
      </w:r>
      <w:r>
        <w:rPr>
          <w:rFonts w:ascii="Verdana" w:eastAsia="Verdana" w:hAnsi="Verdana"/>
          <w:b w:val="0"/>
          <w:sz w:val="20"/>
          <w:lang w:val="es-CR"/>
        </w:rPr>
        <w:t xml:space="preserve"> manifestaron</w:t>
      </w:r>
      <w:r w:rsidRPr="00F34041">
        <w:rPr>
          <w:rFonts w:ascii="Verdana" w:eastAsia="Verdana" w:hAnsi="Verdana"/>
          <w:b w:val="0"/>
          <w:sz w:val="20"/>
          <w:lang w:val="es-CR"/>
        </w:rPr>
        <w:t xml:space="preserve"> su preocupación en cuanto a que “el señor José Raúl Argueta Rivas, condenado a 26 años de cárcel por </w:t>
      </w:r>
      <w:r>
        <w:rPr>
          <w:rFonts w:ascii="Verdana" w:eastAsia="Verdana" w:hAnsi="Verdana"/>
          <w:b w:val="0"/>
          <w:sz w:val="20"/>
          <w:lang w:val="es-CR"/>
        </w:rPr>
        <w:t xml:space="preserve">ser uno de los </w:t>
      </w:r>
      <w:r>
        <w:rPr>
          <w:rFonts w:ascii="Verdana" w:eastAsia="Verdana" w:hAnsi="Verdana"/>
          <w:b w:val="0"/>
          <w:sz w:val="20"/>
          <w:lang w:val="es-CR"/>
        </w:rPr>
        <w:lastRenderedPageBreak/>
        <w:t>autores materiales d</w:t>
      </w:r>
      <w:r w:rsidRPr="00F34041">
        <w:rPr>
          <w:rFonts w:ascii="Verdana" w:eastAsia="Verdana" w:hAnsi="Verdana"/>
          <w:b w:val="0"/>
          <w:sz w:val="20"/>
          <w:lang w:val="es-CR"/>
        </w:rPr>
        <w:t>el asesinato de Ramón Mauricio García Prieto, hijo de los señores García Prieto</w:t>
      </w:r>
      <w:r>
        <w:rPr>
          <w:rFonts w:ascii="Verdana" w:eastAsia="Verdana" w:hAnsi="Verdana"/>
          <w:b w:val="0"/>
          <w:sz w:val="20"/>
          <w:lang w:val="es-CR"/>
        </w:rPr>
        <w:t xml:space="preserve">” </w:t>
      </w:r>
      <w:r w:rsidRPr="00F34041">
        <w:rPr>
          <w:rFonts w:ascii="Verdana" w:eastAsia="Verdana" w:hAnsi="Verdana"/>
          <w:b w:val="0"/>
          <w:sz w:val="20"/>
          <w:lang w:val="es-CR"/>
        </w:rPr>
        <w:t>ha accedido al beneficio de libertad condicional</w:t>
      </w:r>
      <w:r w:rsidRPr="00947E23">
        <w:rPr>
          <w:rStyle w:val="FootnoteReference"/>
          <w:rFonts w:eastAsia="Verdana"/>
          <w:b w:val="0"/>
          <w:sz w:val="20"/>
          <w:lang w:val="es-CR"/>
        </w:rPr>
        <w:footnoteReference w:id="8"/>
      </w:r>
      <w:r w:rsidRPr="00947E23">
        <w:rPr>
          <w:rFonts w:ascii="Verdana" w:eastAsia="Verdana" w:hAnsi="Verdana"/>
          <w:b w:val="0"/>
          <w:sz w:val="20"/>
          <w:lang w:val="es-CR"/>
        </w:rPr>
        <w:t>.</w:t>
      </w:r>
      <w:r w:rsidRPr="00F34041">
        <w:rPr>
          <w:rFonts w:ascii="Verdana" w:eastAsia="Verdana" w:hAnsi="Verdana"/>
          <w:b w:val="0"/>
          <w:sz w:val="20"/>
          <w:lang w:val="es-CR"/>
        </w:rPr>
        <w:t xml:space="preserve"> </w:t>
      </w:r>
      <w:r w:rsidRPr="00E20600">
        <w:rPr>
          <w:rFonts w:ascii="Verdana" w:eastAsia="Verdana" w:hAnsi="Verdana"/>
          <w:b w:val="0"/>
          <w:sz w:val="20"/>
          <w:lang w:val="es-CR"/>
        </w:rPr>
        <w:t>Además</w:t>
      </w:r>
      <w:r w:rsidRPr="00E20600">
        <w:rPr>
          <w:rFonts w:ascii="Verdana" w:hAnsi="Verdana" w:cs="Helvetica"/>
          <w:b w:val="0"/>
          <w:sz w:val="20"/>
          <w:lang w:val="es-ES" w:bidi="en-US"/>
        </w:rPr>
        <w:t xml:space="preserve"> </w:t>
      </w:r>
      <w:r w:rsidRPr="00E20600">
        <w:rPr>
          <w:rFonts w:ascii="Verdana" w:eastAsia="Verdana" w:hAnsi="Verdana"/>
          <w:b w:val="0"/>
          <w:sz w:val="20"/>
          <w:lang w:val="es-CR"/>
        </w:rPr>
        <w:t>destacaron que once años después de que la representante del Instituto de Derechos Humanos de la Universidad Centroamericana “José Simeón Cañas” (IDHUCA) solicitara la interdicción del Fiscal General “por la falta de investigación en el caso, no ha sido hasta el 15 de junio de los corrientes que la Comisión de Justicia y Derechos Humanos de la Asamblea Legisla</w:t>
      </w:r>
      <w:r w:rsidR="00F3543C">
        <w:rPr>
          <w:rFonts w:ascii="Verdana" w:eastAsia="Verdana" w:hAnsi="Verdana"/>
          <w:b w:val="0"/>
          <w:sz w:val="20"/>
          <w:lang w:val="es-CR"/>
        </w:rPr>
        <w:t xml:space="preserve">tiva ha decidido reactivarla”, </w:t>
      </w:r>
      <w:r w:rsidRPr="00E20600">
        <w:rPr>
          <w:rFonts w:ascii="Verdana" w:eastAsia="Verdana" w:hAnsi="Verdana"/>
          <w:b w:val="0"/>
          <w:sz w:val="20"/>
          <w:lang w:val="es-CR"/>
        </w:rPr>
        <w:t>considerando que tal investigación se vería afectada por la liberación del señor Argueta, y con ello se pondría nuevamente en riesgo la seguridad de las personas beneficiarias de las medidas.</w:t>
      </w:r>
    </w:p>
    <w:p w:rsidR="00A8163A" w:rsidRPr="0045762C" w:rsidRDefault="00A8163A" w:rsidP="00A8163A">
      <w:pPr>
        <w:pStyle w:val="BodyText3"/>
        <w:jc w:val="both"/>
        <w:rPr>
          <w:rFonts w:ascii="Verdana" w:eastAsia="Verdana" w:hAnsi="Verdana"/>
          <w:b w:val="0"/>
          <w:sz w:val="20"/>
          <w:lang w:val="es-CR"/>
        </w:rPr>
      </w:pPr>
    </w:p>
    <w:p w:rsidR="00A8163A" w:rsidRPr="00E20600" w:rsidRDefault="00A8163A" w:rsidP="006E2245">
      <w:pPr>
        <w:pStyle w:val="BodyText3"/>
        <w:numPr>
          <w:ilvl w:val="0"/>
          <w:numId w:val="8"/>
        </w:numPr>
        <w:ind w:left="0" w:firstLine="0"/>
        <w:jc w:val="both"/>
        <w:rPr>
          <w:rFonts w:ascii="Verdana" w:eastAsia="Verdana" w:hAnsi="Verdana"/>
          <w:b w:val="0"/>
          <w:sz w:val="20"/>
          <w:lang w:val="es-CR"/>
        </w:rPr>
      </w:pPr>
      <w:r>
        <w:rPr>
          <w:rFonts w:ascii="Verdana" w:hAnsi="Verdana" w:cs="Helvetica"/>
          <w:b w:val="0"/>
          <w:sz w:val="20"/>
          <w:lang w:val="es-ES" w:bidi="en-US"/>
        </w:rPr>
        <w:t>Señalaron</w:t>
      </w:r>
      <w:r w:rsidRPr="00F34041">
        <w:rPr>
          <w:rFonts w:ascii="Verdana" w:hAnsi="Verdana" w:cs="Helvetica"/>
          <w:b w:val="0"/>
          <w:sz w:val="20"/>
          <w:lang w:val="es-ES" w:bidi="en-US"/>
        </w:rPr>
        <w:t xml:space="preserve"> </w:t>
      </w:r>
      <w:r>
        <w:rPr>
          <w:rFonts w:ascii="Verdana" w:hAnsi="Verdana" w:cs="Helvetica"/>
          <w:b w:val="0"/>
          <w:sz w:val="20"/>
          <w:lang w:val="es-ES" w:bidi="en-US"/>
        </w:rPr>
        <w:t xml:space="preserve">también los representantes </w:t>
      </w:r>
      <w:r w:rsidRPr="00F34041">
        <w:rPr>
          <w:rFonts w:ascii="Verdana" w:hAnsi="Verdana" w:cs="Helvetica"/>
          <w:b w:val="0"/>
          <w:sz w:val="20"/>
          <w:lang w:val="es-ES" w:bidi="en-US"/>
        </w:rPr>
        <w:t xml:space="preserve">que </w:t>
      </w:r>
      <w:r>
        <w:rPr>
          <w:rFonts w:ascii="Verdana" w:hAnsi="Verdana" w:cs="Helvetica"/>
          <w:b w:val="0"/>
          <w:sz w:val="20"/>
          <w:lang w:val="es-ES" w:bidi="en-US"/>
        </w:rPr>
        <w:t>según les indicara el señor Cué</w:t>
      </w:r>
      <w:r w:rsidRPr="00F34041">
        <w:rPr>
          <w:rFonts w:ascii="Verdana" w:hAnsi="Verdana" w:cs="Helvetica"/>
          <w:b w:val="0"/>
          <w:sz w:val="20"/>
          <w:lang w:val="es-ES" w:bidi="en-US"/>
        </w:rPr>
        <w:t>llar Martínez</w:t>
      </w:r>
      <w:r>
        <w:rPr>
          <w:rFonts w:ascii="Verdana" w:hAnsi="Verdana" w:cs="Helvetica"/>
          <w:b w:val="0"/>
          <w:sz w:val="20"/>
          <w:lang w:val="es-ES" w:bidi="en-US"/>
        </w:rPr>
        <w:t>, anteriormente beneficiario de medidas provisionales,</w:t>
      </w:r>
      <w:r w:rsidRPr="00F34041">
        <w:rPr>
          <w:rFonts w:ascii="Verdana" w:hAnsi="Verdana" w:cs="Helvetica"/>
          <w:b w:val="0"/>
          <w:sz w:val="20"/>
          <w:lang w:val="es-ES" w:bidi="en-US"/>
        </w:rPr>
        <w:t xml:space="preserve"> un</w:t>
      </w:r>
      <w:r>
        <w:rPr>
          <w:rFonts w:ascii="Verdana" w:hAnsi="Verdana" w:cs="Helvetica"/>
          <w:b w:val="0"/>
          <w:sz w:val="20"/>
          <w:lang w:val="es-ES" w:bidi="en-US"/>
        </w:rPr>
        <w:t>a</w:t>
      </w:r>
      <w:r w:rsidRPr="00F34041">
        <w:rPr>
          <w:rFonts w:ascii="Verdana" w:hAnsi="Verdana" w:cs="Helvetica"/>
          <w:b w:val="0"/>
          <w:sz w:val="20"/>
          <w:lang w:val="es-ES" w:bidi="en-US"/>
        </w:rPr>
        <w:t xml:space="preserve"> de las personas señaladas como responsables intelectuales del homicidio de Ramón Mauricio García Prieto había sido nombrado Diputado de la República, por lo que gozaría de inmunidad parlamentaria, y esto significar</w:t>
      </w:r>
      <w:r>
        <w:rPr>
          <w:rFonts w:ascii="Verdana" w:hAnsi="Verdana" w:cs="Helvetica"/>
          <w:b w:val="0"/>
          <w:sz w:val="20"/>
          <w:lang w:val="es-ES" w:bidi="en-US"/>
        </w:rPr>
        <w:t>ía, según criterio del señor Cué</w:t>
      </w:r>
      <w:r w:rsidRPr="00F34041">
        <w:rPr>
          <w:rFonts w:ascii="Verdana" w:hAnsi="Verdana" w:cs="Helvetica"/>
          <w:b w:val="0"/>
          <w:sz w:val="20"/>
          <w:lang w:val="es-ES" w:bidi="en-US"/>
        </w:rPr>
        <w:t>llar, que el riesgo que implicó la implantación de</w:t>
      </w:r>
      <w:r w:rsidR="00F3543C">
        <w:rPr>
          <w:rFonts w:ascii="Verdana" w:hAnsi="Verdana" w:cs="Helvetica"/>
          <w:b w:val="0"/>
          <w:sz w:val="20"/>
          <w:lang w:val="es-ES" w:bidi="en-US"/>
        </w:rPr>
        <w:t xml:space="preserve"> las medidas seguiría latente. </w:t>
      </w:r>
    </w:p>
    <w:p w:rsidR="00A8163A" w:rsidRPr="00F34041" w:rsidRDefault="00A8163A" w:rsidP="00A8163A">
      <w:pPr>
        <w:pStyle w:val="BodyText3"/>
        <w:jc w:val="both"/>
        <w:rPr>
          <w:rFonts w:ascii="Verdana" w:eastAsia="Verdana" w:hAnsi="Verdana"/>
          <w:sz w:val="20"/>
          <w:lang w:val="es-CR"/>
        </w:rPr>
      </w:pPr>
    </w:p>
    <w:p w:rsidR="00A8163A" w:rsidRPr="00F34041" w:rsidRDefault="00A8163A" w:rsidP="006E2245">
      <w:pPr>
        <w:pStyle w:val="BodyText3"/>
        <w:numPr>
          <w:ilvl w:val="0"/>
          <w:numId w:val="8"/>
        </w:numPr>
        <w:ind w:left="0" w:right="0" w:firstLine="0"/>
        <w:jc w:val="both"/>
        <w:rPr>
          <w:rFonts w:ascii="Verdana" w:eastAsia="Verdana" w:hAnsi="Verdana"/>
          <w:b w:val="0"/>
          <w:sz w:val="20"/>
          <w:lang w:val="es-CR"/>
        </w:rPr>
      </w:pPr>
      <w:r>
        <w:rPr>
          <w:rFonts w:ascii="Verdana" w:hAnsi="Verdana"/>
          <w:b w:val="0"/>
          <w:sz w:val="20"/>
          <w:lang w:val="es-CR"/>
        </w:rPr>
        <w:t>L</w:t>
      </w:r>
      <w:r w:rsidRPr="00F34041">
        <w:rPr>
          <w:rFonts w:ascii="Verdana" w:hAnsi="Verdana"/>
          <w:b w:val="0"/>
          <w:sz w:val="20"/>
          <w:lang w:val="es-CR"/>
        </w:rPr>
        <w:t xml:space="preserve">os </w:t>
      </w:r>
      <w:r w:rsidRPr="0045762C">
        <w:rPr>
          <w:rFonts w:ascii="Verdana" w:hAnsi="Verdana"/>
          <w:b w:val="0"/>
          <w:sz w:val="20"/>
          <w:lang w:val="es-CR"/>
        </w:rPr>
        <w:t>representantes</w:t>
      </w:r>
      <w:r>
        <w:rPr>
          <w:rFonts w:ascii="Verdana" w:hAnsi="Verdana"/>
          <w:b w:val="0"/>
          <w:sz w:val="20"/>
          <w:lang w:val="es-CR"/>
        </w:rPr>
        <w:t xml:space="preserve"> se refirieron a</w:t>
      </w:r>
      <w:r w:rsidRPr="00F34041">
        <w:rPr>
          <w:rFonts w:ascii="Verdana" w:hAnsi="Verdana"/>
          <w:b w:val="0"/>
          <w:sz w:val="20"/>
          <w:lang w:val="es-CR"/>
        </w:rPr>
        <w:t xml:space="preserve"> la importancia de continuar con la implementación de las medidas provisionales</w:t>
      </w:r>
      <w:r>
        <w:rPr>
          <w:rFonts w:ascii="Verdana" w:hAnsi="Verdana"/>
          <w:b w:val="0"/>
          <w:sz w:val="20"/>
          <w:lang w:val="es-CR"/>
        </w:rPr>
        <w:t xml:space="preserve"> pese a la falta de incidentes</w:t>
      </w:r>
      <w:r w:rsidRPr="00F34041">
        <w:rPr>
          <w:rFonts w:ascii="Verdana" w:hAnsi="Verdana"/>
          <w:b w:val="0"/>
          <w:sz w:val="20"/>
          <w:lang w:val="es-CR"/>
        </w:rPr>
        <w:t xml:space="preserve">, considerando que </w:t>
      </w:r>
      <w:r>
        <w:rPr>
          <w:rFonts w:ascii="Verdana" w:hAnsi="Verdana"/>
          <w:b w:val="0"/>
          <w:sz w:val="20"/>
          <w:lang w:val="es-CR"/>
        </w:rPr>
        <w:t>l</w:t>
      </w:r>
      <w:r w:rsidRPr="00F34041">
        <w:rPr>
          <w:rFonts w:ascii="Verdana" w:eastAsia="Verdana" w:hAnsi="Verdana"/>
          <w:b w:val="0"/>
          <w:sz w:val="20"/>
          <w:lang w:val="es-CR"/>
        </w:rPr>
        <w:t xml:space="preserve">a ausencia de </w:t>
      </w:r>
      <w:r>
        <w:rPr>
          <w:rFonts w:ascii="Verdana" w:eastAsia="Verdana" w:hAnsi="Verdana"/>
          <w:b w:val="0"/>
          <w:sz w:val="20"/>
          <w:lang w:val="es-CR"/>
        </w:rPr>
        <w:t>acontecimientos</w:t>
      </w:r>
      <w:r w:rsidRPr="00F34041">
        <w:rPr>
          <w:rFonts w:ascii="Verdana" w:eastAsia="Verdana" w:hAnsi="Verdana"/>
          <w:b w:val="0"/>
          <w:sz w:val="20"/>
          <w:lang w:val="es-CR"/>
        </w:rPr>
        <w:t xml:space="preserve"> que pon</w:t>
      </w:r>
      <w:r>
        <w:rPr>
          <w:rFonts w:ascii="Verdana" w:eastAsia="Verdana" w:hAnsi="Verdana"/>
          <w:b w:val="0"/>
          <w:sz w:val="20"/>
          <w:lang w:val="es-CR"/>
        </w:rPr>
        <w:t>gan en riesgo la seguridad de lo</w:t>
      </w:r>
      <w:r w:rsidRPr="00F34041">
        <w:rPr>
          <w:rFonts w:ascii="Verdana" w:eastAsia="Verdana" w:hAnsi="Verdana"/>
          <w:b w:val="0"/>
          <w:sz w:val="20"/>
          <w:lang w:val="es-CR"/>
        </w:rPr>
        <w:t>s beneficiarios deriva de la correcta aplicación de las medidas decretadas. Asimismo, manifestaron que otros factores que han favorecido la ausencia de incidentes son, el hecho de que “no se hayan realizado investigaciones serias y profesionales por parte del Estado salvadoreño para establecer quiénes son todos los responsables de los hechos que originaron las medidas de protección”</w:t>
      </w:r>
      <w:r w:rsidR="00F3543C">
        <w:rPr>
          <w:rFonts w:ascii="Verdana" w:eastAsia="Verdana" w:hAnsi="Verdana"/>
          <w:b w:val="0"/>
          <w:sz w:val="20"/>
          <w:lang w:val="es-CR"/>
        </w:rPr>
        <w:t xml:space="preserve">. </w:t>
      </w:r>
      <w:r w:rsidR="00241AFC" w:rsidRPr="001240D6">
        <w:rPr>
          <w:rFonts w:ascii="Verdana" w:eastAsia="Verdana" w:hAnsi="Verdana"/>
          <w:b w:val="0"/>
          <w:sz w:val="20"/>
          <w:lang w:val="es-CR"/>
        </w:rPr>
        <w:t xml:space="preserve">Asimismo, respecto a la investigación </w:t>
      </w:r>
      <w:r w:rsidR="000020F9" w:rsidRPr="001240D6">
        <w:rPr>
          <w:rFonts w:ascii="Verdana" w:eastAsia="Verdana" w:hAnsi="Verdana"/>
          <w:b w:val="0"/>
          <w:sz w:val="20"/>
          <w:lang w:val="es-CR"/>
        </w:rPr>
        <w:t>del homicidio del hijo de los beneficiarios y de amenazas y hostigamientos contra ellos, ordenada en la Sentencia sobre el caso contencioso, afirmaron que “el Estado […] no ha informado”.</w:t>
      </w:r>
      <w:r w:rsidR="000020F9">
        <w:rPr>
          <w:rFonts w:ascii="Verdana" w:eastAsia="Verdana" w:hAnsi="Verdana"/>
          <w:b w:val="0"/>
          <w:sz w:val="20"/>
          <w:lang w:val="es-CR"/>
        </w:rPr>
        <w:t xml:space="preserve"> </w:t>
      </w:r>
      <w:r>
        <w:rPr>
          <w:rFonts w:ascii="Verdana" w:eastAsia="Verdana" w:hAnsi="Verdana"/>
          <w:b w:val="0"/>
          <w:sz w:val="20"/>
          <w:lang w:val="es-CR"/>
        </w:rPr>
        <w:t>Además resaltaron</w:t>
      </w:r>
      <w:r w:rsidRPr="00F34041">
        <w:rPr>
          <w:rFonts w:ascii="Verdana" w:eastAsia="Verdana" w:hAnsi="Verdana"/>
          <w:b w:val="0"/>
          <w:sz w:val="20"/>
          <w:lang w:val="es-CR"/>
        </w:rPr>
        <w:t xml:space="preserve"> la llegada al Poder Ejecutivo del partido Frente Farabundo Martí para la Liberación Nacional, ya que </w:t>
      </w:r>
      <w:r>
        <w:rPr>
          <w:rFonts w:ascii="Verdana" w:eastAsia="Verdana" w:hAnsi="Verdana"/>
          <w:b w:val="0"/>
          <w:sz w:val="20"/>
          <w:lang w:val="es-CR"/>
        </w:rPr>
        <w:t xml:space="preserve">en su consideración este gobierno no ha cumplido con la investigación de los hechos, lo que “puede haber alejado posibles temores abrigados por los autores intelectuales del asesinato de </w:t>
      </w:r>
      <w:r w:rsidRPr="00F34041">
        <w:rPr>
          <w:rFonts w:ascii="Verdana" w:eastAsia="Verdana" w:hAnsi="Verdana"/>
          <w:b w:val="0"/>
          <w:sz w:val="20"/>
          <w:lang w:val="es-CR"/>
        </w:rPr>
        <w:t>Ramón Mauricio García Prieto</w:t>
      </w:r>
      <w:r>
        <w:rPr>
          <w:rFonts w:ascii="Verdana" w:eastAsia="Verdana" w:hAnsi="Verdana"/>
          <w:b w:val="0"/>
          <w:sz w:val="20"/>
          <w:lang w:val="es-CR"/>
        </w:rPr>
        <w:t xml:space="preserve"> y, en consecuencia, suspender los hostigamientos y amenazas”. Afirmaron que “[p]ara el cese de esos hechos intimidatorios puede haber influido, de igual forma, “</w:t>
      </w:r>
      <w:r w:rsidRPr="00F34041">
        <w:rPr>
          <w:rFonts w:ascii="Verdana" w:eastAsia="Verdana" w:hAnsi="Verdana"/>
          <w:b w:val="0"/>
          <w:sz w:val="20"/>
          <w:lang w:val="es-CR"/>
        </w:rPr>
        <w:t>el acceso a un cargo en el Congreso por parte de una de las personas referidas como posible autor intelectual del homicidio de Ramón Mauricio García Prieto,</w:t>
      </w:r>
      <w:r>
        <w:rPr>
          <w:rFonts w:ascii="Verdana" w:eastAsia="Verdana" w:hAnsi="Verdana"/>
          <w:b w:val="0"/>
          <w:sz w:val="20"/>
          <w:lang w:val="es-CR"/>
        </w:rPr>
        <w:t xml:space="preserve"> puesto que “[e]n tal condición puede sentir mayor seguridad de que no será investigado”</w:t>
      </w:r>
      <w:r w:rsidR="00F3543C">
        <w:rPr>
          <w:rFonts w:ascii="Verdana" w:eastAsia="Verdana" w:hAnsi="Verdana"/>
          <w:b w:val="0"/>
          <w:sz w:val="20"/>
          <w:lang w:val="es-CR"/>
        </w:rPr>
        <w:t>.</w:t>
      </w:r>
    </w:p>
    <w:p w:rsidR="00A8163A" w:rsidRDefault="00A8163A" w:rsidP="00A8163A">
      <w:pPr>
        <w:pStyle w:val="ListParagraph"/>
        <w:ind w:left="0"/>
        <w:rPr>
          <w:rFonts w:ascii="Verdana" w:eastAsia="Verdana" w:hAnsi="Verdana"/>
          <w:b/>
          <w:sz w:val="20"/>
          <w:lang w:val="es-CR"/>
        </w:rPr>
      </w:pPr>
    </w:p>
    <w:p w:rsidR="00A8163A" w:rsidRPr="00020A08" w:rsidRDefault="00A8163A" w:rsidP="006E2245">
      <w:pPr>
        <w:pStyle w:val="BodyText3"/>
        <w:numPr>
          <w:ilvl w:val="0"/>
          <w:numId w:val="8"/>
        </w:numPr>
        <w:ind w:left="0" w:right="0" w:firstLine="0"/>
        <w:jc w:val="both"/>
        <w:rPr>
          <w:rFonts w:ascii="Verdana" w:eastAsia="Verdana" w:hAnsi="Verdana"/>
          <w:b w:val="0"/>
          <w:sz w:val="20"/>
          <w:lang w:val="es-CR"/>
        </w:rPr>
      </w:pPr>
      <w:r>
        <w:rPr>
          <w:rFonts w:ascii="Verdana" w:eastAsia="Verdana" w:hAnsi="Verdana"/>
          <w:b w:val="0"/>
          <w:sz w:val="20"/>
          <w:lang w:val="es-CR"/>
        </w:rPr>
        <w:t xml:space="preserve">Al respecto, la </w:t>
      </w:r>
      <w:r w:rsidRPr="0045762C">
        <w:rPr>
          <w:rFonts w:ascii="Verdana" w:eastAsia="Verdana" w:hAnsi="Verdana"/>
          <w:i/>
          <w:sz w:val="20"/>
          <w:lang w:val="es-CR"/>
        </w:rPr>
        <w:t>Comisión</w:t>
      </w:r>
      <w:r>
        <w:rPr>
          <w:rFonts w:ascii="Verdana" w:eastAsia="Verdana" w:hAnsi="Verdana"/>
          <w:b w:val="0"/>
          <w:sz w:val="20"/>
          <w:lang w:val="es-CR"/>
        </w:rPr>
        <w:t xml:space="preserve"> indicó atenerse a la información que remitida los representantes de los beneficiarios. </w:t>
      </w:r>
    </w:p>
    <w:p w:rsidR="00A8163A" w:rsidRDefault="00A8163A" w:rsidP="00A8163A">
      <w:pPr>
        <w:pStyle w:val="BodyText3"/>
        <w:ind w:left="1080" w:right="0"/>
        <w:jc w:val="both"/>
        <w:rPr>
          <w:rFonts w:ascii="Verdana" w:hAnsi="Verdana"/>
          <w:b w:val="0"/>
          <w:i/>
          <w:sz w:val="20"/>
          <w:lang w:val="es-ES"/>
        </w:rPr>
      </w:pPr>
    </w:p>
    <w:p w:rsidR="00A8163A" w:rsidRPr="003E3459" w:rsidRDefault="00A8163A" w:rsidP="00A8163A">
      <w:pPr>
        <w:pStyle w:val="BodyText3"/>
        <w:ind w:left="1080" w:right="0"/>
        <w:jc w:val="both"/>
        <w:rPr>
          <w:rFonts w:ascii="Verdana" w:hAnsi="Verdana"/>
          <w:b w:val="0"/>
          <w:i/>
          <w:sz w:val="20"/>
          <w:lang w:val="es-ES"/>
        </w:rPr>
      </w:pPr>
      <w:r>
        <w:rPr>
          <w:rFonts w:ascii="Verdana" w:hAnsi="Verdana"/>
          <w:b w:val="0"/>
          <w:i/>
          <w:sz w:val="20"/>
          <w:lang w:val="es-ES"/>
        </w:rPr>
        <w:t>A</w:t>
      </w:r>
      <w:r w:rsidRPr="003E3459">
        <w:rPr>
          <w:rFonts w:ascii="Verdana" w:hAnsi="Verdana"/>
          <w:b w:val="0"/>
          <w:i/>
          <w:sz w:val="20"/>
          <w:lang w:val="es-ES"/>
        </w:rPr>
        <w:t>.</w:t>
      </w:r>
      <w:r>
        <w:rPr>
          <w:rFonts w:ascii="Verdana" w:hAnsi="Verdana"/>
          <w:b w:val="0"/>
          <w:i/>
          <w:sz w:val="20"/>
          <w:lang w:val="es-ES"/>
        </w:rPr>
        <w:t>3</w:t>
      </w:r>
      <w:r w:rsidR="009F71EB">
        <w:rPr>
          <w:rFonts w:ascii="Verdana" w:hAnsi="Verdana"/>
          <w:b w:val="0"/>
          <w:i/>
          <w:sz w:val="20"/>
          <w:lang w:val="es-ES"/>
        </w:rPr>
        <w:t>.</w:t>
      </w:r>
      <w:r w:rsidRPr="003E3459">
        <w:rPr>
          <w:rFonts w:ascii="Verdana" w:hAnsi="Verdana"/>
          <w:b w:val="0"/>
          <w:i/>
          <w:sz w:val="20"/>
          <w:lang w:val="es-ES"/>
        </w:rPr>
        <w:t xml:space="preserve"> </w:t>
      </w:r>
      <w:r>
        <w:rPr>
          <w:rFonts w:ascii="Verdana" w:hAnsi="Verdana"/>
          <w:b w:val="0"/>
          <w:i/>
          <w:sz w:val="20"/>
          <w:lang w:val="es-ES"/>
        </w:rPr>
        <w:t>Sobre la investigación de los hechos</w:t>
      </w:r>
      <w:r w:rsidRPr="003E3459">
        <w:rPr>
          <w:rFonts w:ascii="Verdana" w:hAnsi="Verdana"/>
          <w:b w:val="0"/>
          <w:i/>
          <w:sz w:val="20"/>
          <w:lang w:val="es-ES"/>
        </w:rPr>
        <w:t xml:space="preserve"> </w:t>
      </w:r>
    </w:p>
    <w:p w:rsidR="00A8163A" w:rsidRDefault="00A8163A" w:rsidP="00A8163A">
      <w:pPr>
        <w:rPr>
          <w:rFonts w:ascii="Verdana" w:hAnsi="Verdana" w:cs="Helvetica"/>
          <w:sz w:val="20"/>
          <w:lang w:val="es-ES" w:bidi="en-US"/>
        </w:rPr>
      </w:pPr>
    </w:p>
    <w:p w:rsidR="00A8163A" w:rsidRPr="00CB65F6" w:rsidRDefault="00A8163A" w:rsidP="006E2245">
      <w:pPr>
        <w:pStyle w:val="BodyText3"/>
        <w:numPr>
          <w:ilvl w:val="0"/>
          <w:numId w:val="8"/>
        </w:numPr>
        <w:ind w:left="0" w:right="0" w:firstLine="0"/>
        <w:jc w:val="both"/>
        <w:rPr>
          <w:rFonts w:ascii="Verdana" w:eastAsia="Verdana" w:hAnsi="Verdana"/>
          <w:b w:val="0"/>
          <w:sz w:val="20"/>
          <w:lang w:val="es-CR"/>
        </w:rPr>
      </w:pPr>
      <w:r>
        <w:rPr>
          <w:rFonts w:ascii="Verdana" w:eastAsia="Verdana" w:hAnsi="Verdana"/>
          <w:b w:val="0"/>
          <w:sz w:val="20"/>
          <w:lang w:val="es-CR"/>
        </w:rPr>
        <w:t>Antes</w:t>
      </w:r>
      <w:r w:rsidRPr="00CB65F6">
        <w:rPr>
          <w:rFonts w:ascii="Verdana" w:eastAsia="Verdana" w:hAnsi="Verdana"/>
          <w:b w:val="0"/>
          <w:sz w:val="20"/>
          <w:lang w:val="es-CR"/>
        </w:rPr>
        <w:t xml:space="preserve"> de la anterior Resolución de la Corte (</w:t>
      </w:r>
      <w:r w:rsidRPr="00CB65F6">
        <w:rPr>
          <w:rFonts w:ascii="Verdana" w:eastAsia="Verdana" w:hAnsi="Verdana"/>
          <w:b w:val="0"/>
          <w:i/>
          <w:sz w:val="20"/>
          <w:lang w:val="es-CR"/>
        </w:rPr>
        <w:t>supra</w:t>
      </w:r>
      <w:r w:rsidRPr="00CB65F6">
        <w:rPr>
          <w:rFonts w:ascii="Verdana" w:eastAsia="Verdana" w:hAnsi="Verdana"/>
          <w:b w:val="0"/>
          <w:sz w:val="20"/>
          <w:lang w:val="es-CR"/>
        </w:rPr>
        <w:t xml:space="preserve"> Visto 1)</w:t>
      </w:r>
      <w:r>
        <w:rPr>
          <w:rFonts w:ascii="Verdana" w:eastAsia="Verdana" w:hAnsi="Verdana"/>
          <w:b w:val="0"/>
          <w:sz w:val="20"/>
          <w:lang w:val="es-CR"/>
        </w:rPr>
        <w:t>,</w:t>
      </w:r>
      <w:r w:rsidRPr="00CB65F6">
        <w:rPr>
          <w:rFonts w:ascii="Verdana" w:eastAsia="Verdana" w:hAnsi="Verdana"/>
          <w:b w:val="0"/>
          <w:sz w:val="20"/>
          <w:lang w:val="es-CR"/>
        </w:rPr>
        <w:t xml:space="preserve"> el </w:t>
      </w:r>
      <w:r w:rsidRPr="00DB0B93">
        <w:rPr>
          <w:rFonts w:ascii="Verdana" w:eastAsia="Verdana" w:hAnsi="Verdana"/>
          <w:i/>
          <w:sz w:val="20"/>
          <w:lang w:val="es-CR"/>
        </w:rPr>
        <w:t>Estado</w:t>
      </w:r>
      <w:r w:rsidRPr="00CB65F6">
        <w:rPr>
          <w:rFonts w:ascii="Verdana" w:eastAsia="Verdana" w:hAnsi="Verdana"/>
          <w:b w:val="0"/>
          <w:sz w:val="20"/>
          <w:lang w:val="es-CR"/>
        </w:rPr>
        <w:t xml:space="preserve"> fue conteste a lo largo de los informes presentados en cuanto a que no se acreditó la efectiva comisión del delito de amenazas en perjuicio de los beneficiarios de las medidas</w:t>
      </w:r>
      <w:r w:rsidRPr="00CB65F6">
        <w:rPr>
          <w:rStyle w:val="FootnoteReference"/>
          <w:rFonts w:eastAsia="Verdana"/>
          <w:b w:val="0"/>
          <w:sz w:val="20"/>
          <w:lang w:val="es-CR"/>
        </w:rPr>
        <w:footnoteReference w:id="9"/>
      </w:r>
      <w:r w:rsidRPr="00CB65F6">
        <w:rPr>
          <w:rFonts w:ascii="Verdana" w:eastAsia="Verdana" w:hAnsi="Verdana"/>
          <w:b w:val="0"/>
          <w:sz w:val="20"/>
          <w:lang w:val="es-CR"/>
        </w:rPr>
        <w:t xml:space="preserve">, no </w:t>
      </w:r>
      <w:r w:rsidRPr="00CB65F6">
        <w:rPr>
          <w:rFonts w:ascii="Verdana" w:eastAsia="Verdana" w:hAnsi="Verdana"/>
          <w:b w:val="0"/>
          <w:sz w:val="20"/>
          <w:lang w:val="es-CR"/>
        </w:rPr>
        <w:lastRenderedPageBreak/>
        <w:t xml:space="preserve">habiendo logrado derivar de las pericias de investigación realizadas sindicado alguno de los hechos señalados como agraviantes por aquellos. </w:t>
      </w:r>
    </w:p>
    <w:p w:rsidR="00A8163A" w:rsidRDefault="00A8163A" w:rsidP="00A8163A">
      <w:pPr>
        <w:pStyle w:val="BodyText3"/>
        <w:ind w:right="0"/>
        <w:jc w:val="both"/>
        <w:rPr>
          <w:rFonts w:ascii="Verdana" w:eastAsia="Verdana" w:hAnsi="Verdana"/>
          <w:b w:val="0"/>
          <w:sz w:val="20"/>
          <w:lang w:val="es-CR"/>
        </w:rPr>
      </w:pPr>
    </w:p>
    <w:p w:rsidR="00A8163A" w:rsidRDefault="00A8163A" w:rsidP="006E2245">
      <w:pPr>
        <w:pStyle w:val="BodyText3"/>
        <w:numPr>
          <w:ilvl w:val="0"/>
          <w:numId w:val="8"/>
        </w:numPr>
        <w:ind w:left="0" w:right="0" w:firstLine="0"/>
        <w:jc w:val="both"/>
        <w:rPr>
          <w:rFonts w:ascii="Verdana" w:eastAsia="Verdana" w:hAnsi="Verdana"/>
          <w:sz w:val="20"/>
          <w:lang w:val="es-CR"/>
        </w:rPr>
      </w:pPr>
      <w:r>
        <w:rPr>
          <w:rFonts w:ascii="Verdana" w:eastAsia="Verdana" w:hAnsi="Verdana"/>
          <w:b w:val="0"/>
          <w:sz w:val="20"/>
          <w:lang w:val="es-CR"/>
        </w:rPr>
        <w:t xml:space="preserve">Los </w:t>
      </w:r>
      <w:r w:rsidRPr="00DB0B93">
        <w:rPr>
          <w:rFonts w:ascii="Verdana" w:eastAsia="Verdana" w:hAnsi="Verdana"/>
          <w:i/>
          <w:sz w:val="20"/>
          <w:lang w:val="es-CR"/>
        </w:rPr>
        <w:t>representantes</w:t>
      </w:r>
      <w:r>
        <w:rPr>
          <w:rFonts w:ascii="Verdana" w:eastAsia="Verdana" w:hAnsi="Verdana"/>
          <w:b w:val="0"/>
          <w:i/>
          <w:sz w:val="20"/>
          <w:lang w:val="es-CR"/>
        </w:rPr>
        <w:t xml:space="preserve"> </w:t>
      </w:r>
      <w:r w:rsidRPr="00CB65F6">
        <w:rPr>
          <w:rFonts w:ascii="Verdana" w:eastAsia="Verdana" w:hAnsi="Verdana"/>
          <w:b w:val="0"/>
          <w:sz w:val="20"/>
          <w:lang w:val="es-CR"/>
        </w:rPr>
        <w:t xml:space="preserve">consideraron </w:t>
      </w:r>
    </w:p>
    <w:p w:rsidR="00A8163A" w:rsidRDefault="00A8163A" w:rsidP="00A8163A">
      <w:pPr>
        <w:pStyle w:val="BodyText3"/>
        <w:ind w:right="0"/>
        <w:jc w:val="both"/>
        <w:rPr>
          <w:rFonts w:ascii="Verdana" w:eastAsia="Verdana" w:hAnsi="Verdana"/>
          <w:b w:val="0"/>
          <w:sz w:val="20"/>
          <w:lang w:val="es-CR"/>
        </w:rPr>
      </w:pPr>
    </w:p>
    <w:p w:rsidR="00A8163A" w:rsidRPr="0045762C" w:rsidRDefault="00A8163A" w:rsidP="00A8163A">
      <w:pPr>
        <w:pStyle w:val="BodyText3"/>
        <w:ind w:left="567" w:right="567"/>
        <w:jc w:val="both"/>
        <w:rPr>
          <w:rFonts w:ascii="Verdana" w:eastAsia="Verdana" w:hAnsi="Verdana"/>
          <w:b w:val="0"/>
          <w:sz w:val="20"/>
          <w:lang w:val="es-CR"/>
        </w:rPr>
      </w:pPr>
      <w:proofErr w:type="gramStart"/>
      <w:r w:rsidRPr="0045762C">
        <w:rPr>
          <w:rFonts w:ascii="Verdana" w:hAnsi="Verdana"/>
          <w:b w:val="0"/>
          <w:sz w:val="16"/>
          <w:szCs w:val="16"/>
          <w:lang w:val="es-ES"/>
        </w:rPr>
        <w:t>alarmante</w:t>
      </w:r>
      <w:proofErr w:type="gramEnd"/>
      <w:r w:rsidRPr="0045762C">
        <w:rPr>
          <w:rFonts w:ascii="Verdana" w:hAnsi="Verdana"/>
          <w:b w:val="0"/>
          <w:sz w:val="16"/>
          <w:szCs w:val="16"/>
          <w:lang w:val="es-ES"/>
        </w:rPr>
        <w:t xml:space="preserve"> que el Estado insista en no dar por probada la existencia de las amenazas que motivaron el otorgamiento de las presentes medidas […] resulta improcedente que […] persista en poner en duda la existencia de los hechos que la propia Corte IDH dio por probados en el caso Ramón Mauricio García</w:t>
      </w:r>
      <w:r>
        <w:rPr>
          <w:rFonts w:ascii="Verdana" w:hAnsi="Verdana"/>
          <w:b w:val="0"/>
          <w:sz w:val="16"/>
          <w:szCs w:val="16"/>
          <w:lang w:val="es-ES"/>
        </w:rPr>
        <w:t xml:space="preserve"> Prieto y otros vs. El Salvador</w:t>
      </w:r>
      <w:r w:rsidRPr="0045762C">
        <w:rPr>
          <w:rFonts w:ascii="Verdana" w:hAnsi="Verdana"/>
          <w:b w:val="0"/>
          <w:sz w:val="16"/>
          <w:szCs w:val="16"/>
          <w:lang w:val="es-ES"/>
        </w:rPr>
        <w:t xml:space="preserve"> […] en dicha oportunidad, la Honorable Corte determinó que la falta de una actuación diligente en las investigaciones por parte de los agentes estatales ha permitido la continuidad de las amenazas y ho</w:t>
      </w:r>
      <w:r w:rsidR="00F3543C">
        <w:rPr>
          <w:rFonts w:ascii="Verdana" w:hAnsi="Verdana"/>
          <w:b w:val="0"/>
          <w:sz w:val="16"/>
          <w:szCs w:val="16"/>
          <w:lang w:val="es-ES"/>
        </w:rPr>
        <w:t>stigamientos hasta el presente.</w:t>
      </w:r>
    </w:p>
    <w:p w:rsidR="00A8163A" w:rsidRDefault="00A8163A" w:rsidP="00A8163A">
      <w:pPr>
        <w:pStyle w:val="BodyText3"/>
        <w:ind w:right="0"/>
        <w:jc w:val="both"/>
        <w:rPr>
          <w:rFonts w:ascii="Verdana" w:eastAsia="Verdana" w:hAnsi="Verdana"/>
          <w:b w:val="0"/>
          <w:sz w:val="20"/>
          <w:lang w:val="es-CR"/>
        </w:rPr>
      </w:pPr>
    </w:p>
    <w:p w:rsidR="00A8163A" w:rsidRPr="007C5CF2" w:rsidRDefault="00A8163A" w:rsidP="006E2245">
      <w:pPr>
        <w:pStyle w:val="BodyText3"/>
        <w:numPr>
          <w:ilvl w:val="0"/>
          <w:numId w:val="8"/>
        </w:numPr>
        <w:ind w:left="0" w:right="0" w:firstLine="0"/>
        <w:jc w:val="both"/>
        <w:rPr>
          <w:rFonts w:ascii="Verdana" w:eastAsia="Verdana" w:hAnsi="Verdana"/>
          <w:b w:val="0"/>
          <w:sz w:val="20"/>
          <w:lang w:val="es-CR"/>
        </w:rPr>
      </w:pPr>
      <w:r>
        <w:rPr>
          <w:rFonts w:ascii="Verdana" w:eastAsia="Verdana" w:hAnsi="Verdana"/>
          <w:b w:val="0"/>
          <w:sz w:val="20"/>
          <w:lang w:val="es-CR"/>
        </w:rPr>
        <w:t xml:space="preserve">Además, </w:t>
      </w:r>
      <w:r w:rsidRPr="007C5CF2">
        <w:rPr>
          <w:rFonts w:ascii="Verdana" w:eastAsia="Verdana" w:hAnsi="Verdana"/>
          <w:b w:val="0"/>
          <w:sz w:val="20"/>
          <w:lang w:val="es-CR"/>
        </w:rPr>
        <w:t>insist</w:t>
      </w:r>
      <w:r>
        <w:rPr>
          <w:rFonts w:ascii="Verdana" w:eastAsia="Verdana" w:hAnsi="Verdana"/>
          <w:b w:val="0"/>
          <w:sz w:val="20"/>
          <w:lang w:val="es-CR"/>
        </w:rPr>
        <w:t>ieron</w:t>
      </w:r>
      <w:r w:rsidRPr="007C5CF2">
        <w:rPr>
          <w:rFonts w:ascii="Verdana" w:eastAsia="Verdana" w:hAnsi="Verdana"/>
          <w:b w:val="0"/>
          <w:sz w:val="20"/>
          <w:lang w:val="es-CR"/>
        </w:rPr>
        <w:t xml:space="preserve"> en </w:t>
      </w:r>
      <w:r>
        <w:rPr>
          <w:rFonts w:ascii="Verdana" w:eastAsia="Verdana" w:hAnsi="Verdana"/>
          <w:b w:val="0"/>
          <w:sz w:val="20"/>
          <w:lang w:val="es-CR"/>
        </w:rPr>
        <w:t xml:space="preserve">cuanto a </w:t>
      </w:r>
      <w:r w:rsidRPr="007C5CF2">
        <w:rPr>
          <w:rFonts w:ascii="Verdana" w:eastAsia="Verdana" w:hAnsi="Verdana"/>
          <w:b w:val="0"/>
          <w:sz w:val="20"/>
          <w:lang w:val="es-CR"/>
        </w:rPr>
        <w:t xml:space="preserve">la importancia de investigar de manera efectiva los hechos que justifican la permanencia de las medidas, considerando que “el hecho </w:t>
      </w:r>
      <w:r>
        <w:rPr>
          <w:rFonts w:ascii="Verdana" w:eastAsia="Verdana" w:hAnsi="Verdana"/>
          <w:b w:val="0"/>
          <w:sz w:val="20"/>
          <w:lang w:val="es-CR"/>
        </w:rPr>
        <w:t>[</w:t>
      </w:r>
      <w:r w:rsidRPr="007C5CF2">
        <w:rPr>
          <w:rFonts w:ascii="Verdana" w:eastAsia="Verdana" w:hAnsi="Verdana"/>
          <w:b w:val="0"/>
          <w:sz w:val="20"/>
          <w:lang w:val="es-CR"/>
        </w:rPr>
        <w:t>de</w:t>
      </w:r>
      <w:r>
        <w:rPr>
          <w:rFonts w:ascii="Verdana" w:eastAsia="Verdana" w:hAnsi="Verdana"/>
          <w:b w:val="0"/>
          <w:sz w:val="20"/>
          <w:lang w:val="es-CR"/>
        </w:rPr>
        <w:t>]</w:t>
      </w:r>
      <w:r w:rsidRPr="007C5CF2">
        <w:rPr>
          <w:rFonts w:ascii="Verdana" w:eastAsia="Verdana" w:hAnsi="Verdana"/>
          <w:b w:val="0"/>
          <w:sz w:val="20"/>
          <w:lang w:val="es-CR"/>
        </w:rPr>
        <w:t xml:space="preserve"> que no se hayan producido más amenazas, no implica que el riesgo haya de</w:t>
      </w:r>
      <w:r>
        <w:rPr>
          <w:rFonts w:ascii="Verdana" w:eastAsia="Verdana" w:hAnsi="Verdana"/>
          <w:b w:val="0"/>
          <w:sz w:val="20"/>
          <w:lang w:val="es-CR"/>
        </w:rPr>
        <w:t>saparecido completamente por lo</w:t>
      </w:r>
      <w:r w:rsidRPr="007C5CF2">
        <w:rPr>
          <w:rFonts w:ascii="Verdana" w:eastAsia="Verdana" w:hAnsi="Verdana"/>
          <w:b w:val="0"/>
          <w:sz w:val="20"/>
          <w:lang w:val="es-CR"/>
        </w:rPr>
        <w:t xml:space="preserve"> que podrían darse de nuevo en el futuro, especialmente si las amenazas que dieron origen a la protección no han sido debidamente investigadas y sancionados</w:t>
      </w:r>
      <w:r w:rsidR="00F3543C">
        <w:rPr>
          <w:rFonts w:ascii="Verdana" w:eastAsia="Verdana" w:hAnsi="Verdana"/>
          <w:b w:val="0"/>
          <w:sz w:val="20"/>
          <w:lang w:val="es-CR"/>
        </w:rPr>
        <w:t xml:space="preserve">”. </w:t>
      </w:r>
      <w:r w:rsidRPr="00F63A19">
        <w:rPr>
          <w:rFonts w:ascii="Verdana" w:eastAsia="Verdana" w:hAnsi="Verdana"/>
          <w:b w:val="0"/>
          <w:sz w:val="20"/>
          <w:lang w:val="es-CR"/>
        </w:rPr>
        <w:t>Agregaron que “de la información aportada [por el Estado] no es posible afirmar la pertinencia de las diligencias ni mucho menos que hayan contribuido a minimizar el riesgo que corre</w:t>
      </w:r>
      <w:r w:rsidR="00F3543C">
        <w:rPr>
          <w:rFonts w:ascii="Verdana" w:eastAsia="Verdana" w:hAnsi="Verdana"/>
          <w:b w:val="0"/>
          <w:sz w:val="20"/>
          <w:lang w:val="es-CR"/>
        </w:rPr>
        <w:t>n las personas beneficiarias”.</w:t>
      </w:r>
      <w:r w:rsidRPr="00F63A19">
        <w:rPr>
          <w:rFonts w:ascii="Verdana" w:hAnsi="Verdana"/>
          <w:b w:val="0"/>
          <w:sz w:val="20"/>
          <w:lang w:val="es-ES"/>
        </w:rPr>
        <w:t xml:space="preserve"> </w:t>
      </w:r>
      <w:r>
        <w:rPr>
          <w:rFonts w:ascii="Verdana" w:hAnsi="Verdana"/>
          <w:b w:val="0"/>
          <w:sz w:val="20"/>
          <w:lang w:val="es-ES"/>
        </w:rPr>
        <w:t>C</w:t>
      </w:r>
      <w:r w:rsidRPr="00F63A19">
        <w:rPr>
          <w:rFonts w:ascii="Verdana" w:hAnsi="Verdana"/>
          <w:b w:val="0"/>
          <w:sz w:val="20"/>
          <w:lang w:val="es-ES"/>
        </w:rPr>
        <w:t>oncluyeron que “la actual falta de investigación por parte del Estado, hace que el riesgo de las personas beneficiarias se encuentre, por el momento, en estado latente”. En las o</w:t>
      </w:r>
      <w:r>
        <w:rPr>
          <w:rFonts w:ascii="Verdana" w:hAnsi="Verdana"/>
          <w:b w:val="0"/>
          <w:sz w:val="20"/>
          <w:lang w:val="es-ES"/>
        </w:rPr>
        <w:t>bservaciones de</w:t>
      </w:r>
      <w:r w:rsidRPr="00F63A19">
        <w:rPr>
          <w:rFonts w:ascii="Verdana" w:hAnsi="Verdana"/>
          <w:b w:val="0"/>
          <w:sz w:val="20"/>
          <w:lang w:val="es-ES"/>
        </w:rPr>
        <w:t xml:space="preserve"> 5 de junio </w:t>
      </w:r>
      <w:r>
        <w:rPr>
          <w:rFonts w:ascii="Verdana" w:hAnsi="Verdana"/>
          <w:b w:val="0"/>
          <w:sz w:val="20"/>
          <w:lang w:val="es-ES"/>
        </w:rPr>
        <w:t xml:space="preserve">de 2015 </w:t>
      </w:r>
      <w:r w:rsidRPr="00F63A19">
        <w:rPr>
          <w:rFonts w:ascii="Verdana" w:hAnsi="Verdana"/>
          <w:b w:val="0"/>
          <w:sz w:val="20"/>
          <w:lang w:val="es-ES"/>
        </w:rPr>
        <w:t xml:space="preserve">y siguientes los representantes insistieron en la importancia de que el Estado informe sobre el avance de las investigaciones y la definición de un </w:t>
      </w:r>
      <w:r w:rsidR="00F3543C">
        <w:rPr>
          <w:rFonts w:ascii="Verdana" w:hAnsi="Verdana"/>
          <w:b w:val="0"/>
          <w:sz w:val="20"/>
          <w:lang w:val="es-ES"/>
        </w:rPr>
        <w:t>plan de investigación concreto.</w:t>
      </w:r>
    </w:p>
    <w:p w:rsidR="00A8163A" w:rsidRDefault="00A8163A" w:rsidP="00A8163A">
      <w:pPr>
        <w:pStyle w:val="ListParagraph"/>
        <w:ind w:left="0"/>
        <w:rPr>
          <w:rFonts w:ascii="Arial" w:hAnsi="Arial" w:cs="Arial"/>
          <w:sz w:val="23"/>
          <w:szCs w:val="23"/>
          <w:lang w:val="es-ES"/>
        </w:rPr>
      </w:pPr>
    </w:p>
    <w:p w:rsidR="00A8163A" w:rsidRPr="00901D67" w:rsidRDefault="00A8163A" w:rsidP="006E2245">
      <w:pPr>
        <w:pStyle w:val="BodyText3"/>
        <w:numPr>
          <w:ilvl w:val="0"/>
          <w:numId w:val="8"/>
        </w:numPr>
        <w:ind w:left="0" w:right="0" w:firstLine="0"/>
        <w:jc w:val="both"/>
        <w:rPr>
          <w:rFonts w:ascii="Verdana" w:eastAsia="Verdana" w:hAnsi="Verdana"/>
          <w:sz w:val="20"/>
          <w:lang w:val="es-CR"/>
        </w:rPr>
      </w:pPr>
      <w:r>
        <w:rPr>
          <w:rFonts w:ascii="Verdana" w:hAnsi="Verdana" w:cs="Arial"/>
          <w:b w:val="0"/>
          <w:sz w:val="20"/>
          <w:lang w:val="es-ES"/>
        </w:rPr>
        <w:t xml:space="preserve">Asimismo, en las observaciones de 5 de febrero, 5 de junio y 3 de septiembre todas del 2015, los representantes llamaron la atención sobre la omisión del Estado de </w:t>
      </w:r>
      <w:r w:rsidRPr="000F6F67">
        <w:rPr>
          <w:rFonts w:ascii="Verdana" w:hAnsi="Verdana" w:cs="Arial"/>
          <w:b w:val="0"/>
          <w:sz w:val="20"/>
          <w:lang w:val="es-ES"/>
        </w:rPr>
        <w:t>informar sobre las averiguaciones realizadas respecto de “otros hechos</w:t>
      </w:r>
      <w:r w:rsidRPr="000F6F67">
        <w:rPr>
          <w:rFonts w:ascii="Verdana" w:hAnsi="Verdana"/>
          <w:b w:val="0"/>
          <w:sz w:val="20"/>
          <w:lang w:val="es-ES"/>
        </w:rPr>
        <w:t xml:space="preserve"> </w:t>
      </w:r>
      <w:r w:rsidRPr="000F6F67">
        <w:rPr>
          <w:rFonts w:ascii="Verdana" w:hAnsi="Verdana" w:cs="Arial"/>
          <w:b w:val="0"/>
          <w:sz w:val="20"/>
          <w:lang w:val="es-ES"/>
        </w:rPr>
        <w:t>como el incendio ocurrido en el año 2004 en una de las propiedades de la familia García</w:t>
      </w:r>
      <w:r w:rsidRPr="000F6F67">
        <w:rPr>
          <w:rFonts w:ascii="Verdana" w:hAnsi="Verdana"/>
          <w:b w:val="0"/>
          <w:sz w:val="20"/>
          <w:lang w:val="es-ES"/>
        </w:rPr>
        <w:t xml:space="preserve"> </w:t>
      </w:r>
      <w:r w:rsidRPr="000F6F67">
        <w:rPr>
          <w:rFonts w:ascii="Verdana" w:hAnsi="Verdana" w:cs="Arial"/>
          <w:b w:val="0"/>
          <w:sz w:val="20"/>
          <w:lang w:val="es-ES"/>
        </w:rPr>
        <w:t>Prieto</w:t>
      </w:r>
      <w:r w:rsidRPr="000F6F67">
        <w:rPr>
          <w:rFonts w:ascii="Verdana" w:hAnsi="Verdana"/>
          <w:b w:val="0"/>
          <w:sz w:val="20"/>
          <w:lang w:val="es-ES"/>
        </w:rPr>
        <w:t xml:space="preserve">, </w:t>
      </w:r>
      <w:r w:rsidRPr="000F6F67">
        <w:rPr>
          <w:rFonts w:ascii="Verdana" w:hAnsi="Verdana" w:cs="Arial"/>
          <w:b w:val="0"/>
          <w:sz w:val="20"/>
          <w:lang w:val="es-ES"/>
        </w:rPr>
        <w:t>el atentado en contra del señor José Mauricio García Prieto en el que dos</w:t>
      </w:r>
      <w:r w:rsidRPr="000F6F67">
        <w:rPr>
          <w:rFonts w:ascii="Verdana" w:hAnsi="Verdana"/>
          <w:b w:val="0"/>
          <w:sz w:val="20"/>
          <w:lang w:val="es-ES"/>
        </w:rPr>
        <w:t xml:space="preserve"> </w:t>
      </w:r>
      <w:r w:rsidRPr="000F6F67">
        <w:rPr>
          <w:rFonts w:ascii="Verdana" w:hAnsi="Verdana" w:cs="Arial"/>
          <w:b w:val="0"/>
          <w:sz w:val="20"/>
          <w:lang w:val="es-ES"/>
        </w:rPr>
        <w:t>sujetos le apuntaron con un arma de fuego</w:t>
      </w:r>
      <w:r w:rsidRPr="000F6F67">
        <w:rPr>
          <w:rFonts w:ascii="Verdana" w:hAnsi="Verdana"/>
          <w:b w:val="0"/>
          <w:sz w:val="20"/>
          <w:lang w:val="es-ES"/>
        </w:rPr>
        <w:t xml:space="preserve"> </w:t>
      </w:r>
      <w:r w:rsidRPr="000F6F67">
        <w:rPr>
          <w:rFonts w:ascii="Verdana" w:hAnsi="Verdana" w:cs="Arial"/>
          <w:b w:val="0"/>
          <w:sz w:val="20"/>
          <w:lang w:val="es-ES"/>
        </w:rPr>
        <w:t>y el robo de su arma</w:t>
      </w:r>
      <w:r w:rsidRPr="000F6F67">
        <w:rPr>
          <w:rFonts w:ascii="Verdana" w:hAnsi="Verdana"/>
          <w:b w:val="0"/>
          <w:sz w:val="20"/>
          <w:lang w:val="es-ES"/>
        </w:rPr>
        <w:t xml:space="preserve">, </w:t>
      </w:r>
      <w:r w:rsidRPr="000F6F67">
        <w:rPr>
          <w:rFonts w:ascii="Verdana" w:hAnsi="Verdana" w:cs="Arial"/>
          <w:b w:val="0"/>
          <w:sz w:val="20"/>
          <w:lang w:val="es-ES"/>
        </w:rPr>
        <w:t>o las persecuciones en motorizadas que ocurrieron a finales del año 2011 en perjuicio de la señora Gloria Giralt</w:t>
      </w:r>
      <w:r>
        <w:rPr>
          <w:rFonts w:ascii="Verdana" w:hAnsi="Verdana" w:cs="Arial"/>
          <w:b w:val="0"/>
          <w:sz w:val="20"/>
          <w:lang w:val="es-ES"/>
        </w:rPr>
        <w:t>.”</w:t>
      </w:r>
      <w:r w:rsidRPr="000F6F67">
        <w:rPr>
          <w:rFonts w:ascii="Verdana" w:hAnsi="Verdana"/>
          <w:b w:val="0"/>
          <w:sz w:val="20"/>
          <w:lang w:val="es-ES"/>
        </w:rPr>
        <w:t xml:space="preserve"> </w:t>
      </w:r>
      <w:r w:rsidRPr="001A2CE4">
        <w:rPr>
          <w:rFonts w:ascii="Verdana" w:eastAsia="Verdana" w:hAnsi="Verdana"/>
          <w:b w:val="0"/>
          <w:sz w:val="20"/>
          <w:lang w:val="es-CR"/>
        </w:rPr>
        <w:t xml:space="preserve">Los representantes alegaron que la inexistencia de investigaciones efectivas genera un ámbito de impunidad que a su vez deriva en el mantenimiento de un peligro latente en perjuicio de los beneficiarios de las medidas. </w:t>
      </w:r>
    </w:p>
    <w:p w:rsidR="00A8163A" w:rsidRDefault="00A8163A" w:rsidP="00A8163A">
      <w:pPr>
        <w:pStyle w:val="ListParagraph"/>
        <w:ind w:left="0"/>
        <w:rPr>
          <w:rFonts w:ascii="Verdana" w:eastAsia="Verdana" w:hAnsi="Verdana"/>
          <w:b/>
          <w:sz w:val="20"/>
          <w:lang w:val="es-CR"/>
        </w:rPr>
      </w:pPr>
    </w:p>
    <w:p w:rsidR="00A8163A" w:rsidRPr="00940735" w:rsidRDefault="00A8163A" w:rsidP="006E2245">
      <w:pPr>
        <w:pStyle w:val="BodyText3"/>
        <w:numPr>
          <w:ilvl w:val="0"/>
          <w:numId w:val="8"/>
        </w:numPr>
        <w:ind w:left="0" w:right="0" w:firstLine="0"/>
        <w:jc w:val="both"/>
        <w:rPr>
          <w:rFonts w:ascii="Verdana" w:eastAsia="Verdana" w:hAnsi="Verdana"/>
          <w:b w:val="0"/>
          <w:sz w:val="20"/>
          <w:lang w:val="es-CR"/>
        </w:rPr>
      </w:pPr>
      <w:r>
        <w:rPr>
          <w:rFonts w:ascii="Verdana" w:eastAsia="Verdana" w:hAnsi="Verdana"/>
          <w:b w:val="0"/>
          <w:sz w:val="20"/>
          <w:lang w:val="es-CR"/>
        </w:rPr>
        <w:t xml:space="preserve">Por su parte, la </w:t>
      </w:r>
      <w:r w:rsidRPr="00DB0B93">
        <w:rPr>
          <w:rFonts w:ascii="Verdana" w:eastAsia="Verdana" w:hAnsi="Verdana"/>
          <w:i/>
          <w:sz w:val="20"/>
          <w:lang w:val="es-CR"/>
        </w:rPr>
        <w:t>Comisión</w:t>
      </w:r>
      <w:r>
        <w:rPr>
          <w:rFonts w:ascii="Verdana" w:eastAsia="Verdana" w:hAnsi="Verdana"/>
          <w:b w:val="0"/>
          <w:i/>
          <w:sz w:val="20"/>
          <w:lang w:val="es-CR"/>
        </w:rPr>
        <w:t xml:space="preserve"> </w:t>
      </w:r>
      <w:r>
        <w:rPr>
          <w:rFonts w:ascii="Verdana" w:eastAsia="Verdana" w:hAnsi="Verdana"/>
          <w:b w:val="0"/>
          <w:sz w:val="20"/>
          <w:lang w:val="es-CR"/>
        </w:rPr>
        <w:t>observó la falta de avance en la investigación de los hechos que motivaron las medidas provisionales, así como de otros hechos posteriores (</w:t>
      </w:r>
      <w:r w:rsidRPr="00AA27CF">
        <w:rPr>
          <w:rFonts w:ascii="Verdana" w:eastAsia="Verdana" w:hAnsi="Verdana"/>
          <w:b w:val="0"/>
          <w:i/>
          <w:sz w:val="20"/>
          <w:lang w:val="es-CR"/>
        </w:rPr>
        <w:t xml:space="preserve">supra </w:t>
      </w:r>
      <w:r>
        <w:rPr>
          <w:rFonts w:ascii="Verdana" w:eastAsia="Verdana" w:hAnsi="Verdana"/>
          <w:b w:val="0"/>
          <w:sz w:val="20"/>
          <w:lang w:val="es-CR"/>
        </w:rPr>
        <w:t>párr. 4).</w:t>
      </w:r>
    </w:p>
    <w:p w:rsidR="00A8163A" w:rsidRDefault="00A8163A" w:rsidP="00A8163A">
      <w:pPr>
        <w:pStyle w:val="ListParagraph"/>
        <w:ind w:left="0"/>
        <w:rPr>
          <w:rFonts w:ascii="Verdana" w:hAnsi="Verdana"/>
          <w:sz w:val="20"/>
          <w:lang w:val="es-CR"/>
        </w:rPr>
      </w:pPr>
    </w:p>
    <w:p w:rsidR="00A8163A" w:rsidRPr="0045762C" w:rsidRDefault="00A8163A" w:rsidP="00A8163A">
      <w:pPr>
        <w:pStyle w:val="BodyText3"/>
        <w:numPr>
          <w:ilvl w:val="0"/>
          <w:numId w:val="4"/>
        </w:numPr>
        <w:ind w:right="0" w:firstLine="90"/>
        <w:jc w:val="both"/>
        <w:rPr>
          <w:rFonts w:ascii="Verdana" w:hAnsi="Verdana"/>
          <w:i/>
          <w:sz w:val="20"/>
          <w:lang w:val="es-ES"/>
        </w:rPr>
      </w:pPr>
      <w:r w:rsidRPr="0045762C">
        <w:rPr>
          <w:rFonts w:ascii="Verdana" w:hAnsi="Verdana"/>
          <w:i/>
          <w:sz w:val="20"/>
          <w:lang w:val="es-ES"/>
        </w:rPr>
        <w:t xml:space="preserve">Consideraciones de la Corte </w:t>
      </w:r>
    </w:p>
    <w:p w:rsidR="00A8163A" w:rsidRPr="003E3459" w:rsidRDefault="00A8163A" w:rsidP="00A8163A">
      <w:pPr>
        <w:pStyle w:val="BodyText3"/>
        <w:ind w:left="1170" w:right="0"/>
        <w:jc w:val="both"/>
        <w:rPr>
          <w:rFonts w:ascii="Verdana" w:hAnsi="Verdana"/>
          <w:b w:val="0"/>
          <w:i/>
          <w:sz w:val="20"/>
          <w:lang w:val="es-ES"/>
        </w:rPr>
      </w:pPr>
    </w:p>
    <w:p w:rsidR="00A8163A" w:rsidRPr="00CB65F6" w:rsidRDefault="00A8163A" w:rsidP="006E2245">
      <w:pPr>
        <w:pStyle w:val="ListParagraph"/>
        <w:numPr>
          <w:ilvl w:val="0"/>
          <w:numId w:val="8"/>
        </w:numPr>
        <w:ind w:left="0" w:firstLine="0"/>
        <w:jc w:val="both"/>
        <w:rPr>
          <w:rFonts w:ascii="Verdana" w:hAnsi="Verdana"/>
          <w:sz w:val="20"/>
          <w:szCs w:val="20"/>
          <w:lang w:val="es-PR"/>
        </w:rPr>
      </w:pPr>
      <w:r w:rsidRPr="00CB65F6">
        <w:rPr>
          <w:rFonts w:ascii="Verdana" w:hAnsi="Verdana"/>
          <w:sz w:val="20"/>
          <w:szCs w:val="20"/>
          <w:lang w:val="es-PR"/>
        </w:rPr>
        <w:t xml:space="preserve">En cuanto a la implementación de las medidas, </w:t>
      </w:r>
      <w:r w:rsidRPr="00CB65F6">
        <w:rPr>
          <w:rFonts w:ascii="Verdana" w:hAnsi="Verdana"/>
          <w:sz w:val="20"/>
          <w:szCs w:val="20"/>
          <w:lang w:val="es-ES"/>
        </w:rPr>
        <w:t xml:space="preserve">la </w:t>
      </w:r>
      <w:r w:rsidRPr="00D406A7">
        <w:rPr>
          <w:rFonts w:ascii="Verdana" w:hAnsi="Verdana"/>
          <w:b/>
          <w:i/>
          <w:sz w:val="20"/>
          <w:szCs w:val="20"/>
          <w:lang w:val="es-ES"/>
        </w:rPr>
        <w:t>Corte</w:t>
      </w:r>
      <w:r w:rsidRPr="00CB65F6">
        <w:rPr>
          <w:rFonts w:ascii="Verdana" w:hAnsi="Verdana"/>
          <w:sz w:val="20"/>
          <w:szCs w:val="20"/>
          <w:lang w:val="es-ES"/>
        </w:rPr>
        <w:t xml:space="preserve"> estima relevante resaltar la labor adecuada y oportuna de las autoridades estatales para dar cumplimiento a las medidas provisionales que fueron ordenadas, lo cual ha sido ratificado tanto por la Comisión como por los representantes. Además destaca el hecho </w:t>
      </w:r>
      <w:r>
        <w:rPr>
          <w:rFonts w:ascii="Verdana" w:hAnsi="Verdana"/>
          <w:sz w:val="20"/>
          <w:szCs w:val="20"/>
          <w:lang w:val="es-ES"/>
        </w:rPr>
        <w:t xml:space="preserve">de </w:t>
      </w:r>
      <w:r w:rsidRPr="00CB65F6">
        <w:rPr>
          <w:rFonts w:ascii="Verdana" w:hAnsi="Verdana"/>
          <w:sz w:val="20"/>
          <w:szCs w:val="20"/>
          <w:lang w:val="es-ES"/>
        </w:rPr>
        <w:t>que el Estado</w:t>
      </w:r>
      <w:r>
        <w:rPr>
          <w:rFonts w:ascii="Verdana" w:hAnsi="Verdana"/>
          <w:sz w:val="20"/>
          <w:szCs w:val="20"/>
          <w:lang w:val="es-ES"/>
        </w:rPr>
        <w:t>,</w:t>
      </w:r>
      <w:r w:rsidRPr="00CB65F6">
        <w:rPr>
          <w:rFonts w:ascii="Verdana" w:hAnsi="Verdana"/>
          <w:sz w:val="20"/>
          <w:szCs w:val="20"/>
          <w:lang w:val="es-ES"/>
        </w:rPr>
        <w:t xml:space="preserve"> antes de proceder con el levantamiento de las medidas a favor dos de</w:t>
      </w:r>
      <w:r>
        <w:rPr>
          <w:rFonts w:ascii="Verdana" w:hAnsi="Verdana"/>
          <w:sz w:val="20"/>
          <w:szCs w:val="20"/>
          <w:lang w:val="es-ES"/>
        </w:rPr>
        <w:t xml:space="preserve"> los beneficiarios, de acuerdo con</w:t>
      </w:r>
      <w:r w:rsidRPr="00CB65F6">
        <w:rPr>
          <w:rFonts w:ascii="Verdana" w:hAnsi="Verdana"/>
          <w:sz w:val="20"/>
          <w:szCs w:val="20"/>
          <w:lang w:val="es-ES"/>
        </w:rPr>
        <w:t xml:space="preserve"> la Resolución de 26 de enero de 2015, ha realizado verificaciones internas, </w:t>
      </w:r>
      <w:r w:rsidRPr="00CB65F6">
        <w:rPr>
          <w:rFonts w:ascii="Verdana" w:hAnsi="Verdana"/>
          <w:sz w:val="20"/>
          <w:szCs w:val="20"/>
          <w:lang w:val="es-ES"/>
        </w:rPr>
        <w:lastRenderedPageBreak/>
        <w:t>lo que confirma su compromiso de cumplir con las obligaciones que derivan del artículo 1.1 de la Convención Americana.</w:t>
      </w:r>
    </w:p>
    <w:p w:rsidR="00A8163A" w:rsidRPr="0045762C" w:rsidRDefault="00A8163A" w:rsidP="00A8163A">
      <w:pPr>
        <w:pStyle w:val="ListParagraph"/>
        <w:ind w:left="0"/>
        <w:jc w:val="both"/>
        <w:rPr>
          <w:rFonts w:ascii="Verdana" w:hAnsi="Verdana"/>
          <w:sz w:val="22"/>
          <w:szCs w:val="22"/>
          <w:lang w:val="es-PR"/>
        </w:rPr>
      </w:pPr>
    </w:p>
    <w:p w:rsidR="00A8163A" w:rsidRPr="00D23E43" w:rsidRDefault="00A8163A" w:rsidP="006E2245">
      <w:pPr>
        <w:pStyle w:val="ListParagraph"/>
        <w:numPr>
          <w:ilvl w:val="0"/>
          <w:numId w:val="8"/>
        </w:numPr>
        <w:ind w:left="0" w:firstLine="0"/>
        <w:jc w:val="both"/>
        <w:rPr>
          <w:rFonts w:ascii="Verdana" w:hAnsi="Verdana"/>
          <w:sz w:val="20"/>
          <w:szCs w:val="20"/>
          <w:lang w:val="es-PR"/>
        </w:rPr>
      </w:pPr>
      <w:r w:rsidRPr="00D23E43">
        <w:rPr>
          <w:rFonts w:ascii="Verdana" w:hAnsi="Verdana"/>
          <w:sz w:val="20"/>
          <w:szCs w:val="20"/>
          <w:lang w:val="es-ES"/>
        </w:rPr>
        <w:t xml:space="preserve"> Por otra parte, en lo que hace a la situación de las personas ben</w:t>
      </w:r>
      <w:r w:rsidR="001240D6">
        <w:rPr>
          <w:rFonts w:ascii="Verdana" w:hAnsi="Verdana"/>
          <w:sz w:val="20"/>
          <w:szCs w:val="20"/>
          <w:lang w:val="es-ES"/>
        </w:rPr>
        <w:t>eficiarias, también hay</w:t>
      </w:r>
      <w:r w:rsidR="001240D6" w:rsidRPr="001240D6">
        <w:rPr>
          <w:rFonts w:ascii="Verdana" w:hAnsi="Verdana"/>
          <w:b/>
          <w:sz w:val="20"/>
          <w:szCs w:val="20"/>
          <w:lang w:val="es-ES"/>
        </w:rPr>
        <w:t xml:space="preserve"> </w:t>
      </w:r>
      <w:r w:rsidR="001240D6" w:rsidRPr="00F3543C">
        <w:rPr>
          <w:rFonts w:ascii="Verdana" w:hAnsi="Verdana"/>
          <w:sz w:val="20"/>
          <w:szCs w:val="20"/>
          <w:lang w:val="es-ES"/>
        </w:rPr>
        <w:t>coincidencia</w:t>
      </w:r>
      <w:r w:rsidR="001240D6">
        <w:rPr>
          <w:rFonts w:ascii="Verdana" w:hAnsi="Verdana"/>
          <w:sz w:val="20"/>
          <w:szCs w:val="20"/>
          <w:lang w:val="es-ES"/>
        </w:rPr>
        <w:t xml:space="preserve"> </w:t>
      </w:r>
      <w:r w:rsidRPr="00D23E43">
        <w:rPr>
          <w:rFonts w:ascii="Verdana" w:hAnsi="Verdana"/>
          <w:sz w:val="20"/>
          <w:szCs w:val="20"/>
          <w:lang w:val="es-ES"/>
        </w:rPr>
        <w:t>entre el Estado, los representantes y la Comisión en que no se han presentado nuevos hechos de agresiones, amenazas u hostigamientos luego de dictada la Resolución de este Tribunal de 26 de enero de 2015. En la misma consta además que el último hecho de esa índole, según información de los representantes, tuvo lugar el 12 de noviembre de 2012</w:t>
      </w:r>
      <w:r w:rsidRPr="00D23E43">
        <w:rPr>
          <w:rStyle w:val="FootnoteReference"/>
          <w:sz w:val="20"/>
          <w:szCs w:val="20"/>
          <w:lang w:val="es-ES"/>
        </w:rPr>
        <w:footnoteReference w:id="10"/>
      </w:r>
      <w:r w:rsidRPr="00D23E43">
        <w:rPr>
          <w:rFonts w:ascii="Verdana" w:hAnsi="Verdana"/>
          <w:sz w:val="20"/>
          <w:szCs w:val="20"/>
          <w:lang w:val="es-ES"/>
        </w:rPr>
        <w:t>. Es decir</w:t>
      </w:r>
      <w:r>
        <w:rPr>
          <w:rFonts w:ascii="Verdana" w:hAnsi="Verdana"/>
          <w:sz w:val="20"/>
          <w:szCs w:val="20"/>
          <w:lang w:val="es-ES"/>
        </w:rPr>
        <w:t>,</w:t>
      </w:r>
      <w:r w:rsidRPr="00D23E43">
        <w:rPr>
          <w:rFonts w:ascii="Verdana" w:hAnsi="Verdana"/>
          <w:sz w:val="20"/>
          <w:szCs w:val="20"/>
          <w:lang w:val="es-ES"/>
        </w:rPr>
        <w:t xml:space="preserve"> que la Corte no tiene información que indique que se hayan producido hechos que denotaran un riesgo en perjuicio de las p</w:t>
      </w:r>
      <w:r>
        <w:rPr>
          <w:rFonts w:ascii="Verdana" w:hAnsi="Verdana"/>
          <w:sz w:val="20"/>
          <w:szCs w:val="20"/>
          <w:lang w:val="es-ES"/>
        </w:rPr>
        <w:t>ersonas beneficiarias en un perí</w:t>
      </w:r>
      <w:r w:rsidRPr="00D23E43">
        <w:rPr>
          <w:rFonts w:ascii="Verdana" w:hAnsi="Verdana"/>
          <w:sz w:val="20"/>
          <w:szCs w:val="20"/>
          <w:lang w:val="es-ES"/>
        </w:rPr>
        <w:t xml:space="preserve">odo algo mayor a los últimos tres años.  </w:t>
      </w:r>
    </w:p>
    <w:p w:rsidR="00A8163A" w:rsidRPr="00D23E43" w:rsidRDefault="00A8163A" w:rsidP="00A8163A">
      <w:pPr>
        <w:pStyle w:val="ListParagraph"/>
        <w:rPr>
          <w:rFonts w:ascii="Verdana" w:hAnsi="Verdana"/>
          <w:sz w:val="20"/>
          <w:szCs w:val="20"/>
          <w:lang w:val="es-PR"/>
        </w:rPr>
      </w:pPr>
    </w:p>
    <w:p w:rsidR="00A8163A" w:rsidRDefault="00A8163A" w:rsidP="006E2245">
      <w:pPr>
        <w:pStyle w:val="ListParagraph"/>
        <w:numPr>
          <w:ilvl w:val="0"/>
          <w:numId w:val="8"/>
        </w:numPr>
        <w:ind w:left="0" w:firstLine="0"/>
        <w:jc w:val="both"/>
        <w:rPr>
          <w:rFonts w:ascii="Verdana" w:hAnsi="Verdana"/>
          <w:sz w:val="20"/>
          <w:szCs w:val="20"/>
          <w:lang w:val="es-PR"/>
        </w:rPr>
      </w:pPr>
      <w:r w:rsidRPr="00D23E43">
        <w:rPr>
          <w:rFonts w:ascii="Verdana" w:hAnsi="Verdana"/>
          <w:sz w:val="20"/>
          <w:szCs w:val="20"/>
          <w:lang w:val="es-PR"/>
        </w:rPr>
        <w:t xml:space="preserve">En cuanto a las investigaciones, en su anterior Resolución este Tribunal manifestó </w:t>
      </w:r>
    </w:p>
    <w:p w:rsidR="00A8163A" w:rsidRPr="00382809" w:rsidRDefault="00A8163A" w:rsidP="00A8163A">
      <w:pPr>
        <w:pStyle w:val="ListParagraph"/>
        <w:rPr>
          <w:rFonts w:ascii="Verdana" w:hAnsi="Verdana"/>
          <w:sz w:val="20"/>
          <w:szCs w:val="20"/>
          <w:lang w:val="es-PR"/>
        </w:rPr>
      </w:pPr>
    </w:p>
    <w:p w:rsidR="00A8163A" w:rsidRPr="00DF09F9" w:rsidRDefault="00A8163A" w:rsidP="00A8163A">
      <w:pPr>
        <w:pStyle w:val="ListParagraph"/>
        <w:ind w:left="567" w:right="567"/>
        <w:jc w:val="both"/>
        <w:rPr>
          <w:rFonts w:ascii="Verdana" w:hAnsi="Verdana"/>
          <w:sz w:val="16"/>
          <w:szCs w:val="16"/>
          <w:lang w:val="es-PR"/>
        </w:rPr>
      </w:pPr>
      <w:proofErr w:type="gramStart"/>
      <w:r w:rsidRPr="00DF09F9">
        <w:rPr>
          <w:rFonts w:ascii="Verdana" w:hAnsi="Verdana"/>
          <w:sz w:val="16"/>
          <w:szCs w:val="16"/>
          <w:lang w:val="es-PR"/>
        </w:rPr>
        <w:t>que</w:t>
      </w:r>
      <w:proofErr w:type="gramEnd"/>
      <w:r w:rsidRPr="00DF09F9">
        <w:rPr>
          <w:rFonts w:ascii="Verdana" w:hAnsi="Verdana"/>
          <w:sz w:val="16"/>
          <w:szCs w:val="16"/>
          <w:lang w:val="es-PR"/>
        </w:rPr>
        <w:t xml:space="preserve"> </w:t>
      </w:r>
      <w:r>
        <w:rPr>
          <w:rFonts w:ascii="Verdana" w:hAnsi="Verdana"/>
          <w:sz w:val="16"/>
          <w:szCs w:val="16"/>
          <w:lang w:val="es-PR"/>
        </w:rPr>
        <w:t>“</w:t>
      </w:r>
      <w:r w:rsidRPr="00DF09F9">
        <w:rPr>
          <w:rFonts w:ascii="Verdana" w:hAnsi="Verdana"/>
          <w:sz w:val="16"/>
          <w:szCs w:val="16"/>
          <w:lang w:val="es-PR"/>
        </w:rPr>
        <w:t>el análisis de la efectividad de las investigaciones y procedimientos referentes a los hechos que motiva[n las] medidas provisionales corresponde […] al examen del fondo del caso[. …E</w:t>
      </w:r>
      <w:proofErr w:type="gramStart"/>
      <w:r w:rsidRPr="00DF09F9">
        <w:rPr>
          <w:rFonts w:ascii="Verdana" w:hAnsi="Verdana"/>
          <w:sz w:val="16"/>
          <w:szCs w:val="16"/>
          <w:lang w:val="es-PR"/>
        </w:rPr>
        <w:t>]l</w:t>
      </w:r>
      <w:proofErr w:type="gramEnd"/>
      <w:r w:rsidRPr="00DF09F9">
        <w:rPr>
          <w:rFonts w:ascii="Verdana" w:hAnsi="Verdana"/>
          <w:sz w:val="16"/>
          <w:szCs w:val="16"/>
          <w:lang w:val="es-PR"/>
        </w:rPr>
        <w:t xml:space="preserve"> incumplimiento del deber de investigar no es </w:t>
      </w:r>
      <w:r w:rsidRPr="00DF09F9">
        <w:rPr>
          <w:rFonts w:ascii="Verdana" w:hAnsi="Verdana"/>
          <w:i/>
          <w:sz w:val="16"/>
          <w:szCs w:val="16"/>
          <w:lang w:val="es-PR"/>
        </w:rPr>
        <w:t>per se</w:t>
      </w:r>
      <w:r w:rsidRPr="00DF09F9">
        <w:rPr>
          <w:rFonts w:ascii="Verdana" w:hAnsi="Verdana"/>
          <w:sz w:val="16"/>
          <w:szCs w:val="16"/>
          <w:lang w:val="es-PR"/>
        </w:rPr>
        <w:t xml:space="preserve"> </w:t>
      </w:r>
      <w:proofErr w:type="spellStart"/>
      <w:r w:rsidRPr="00DF09F9">
        <w:rPr>
          <w:rFonts w:ascii="Verdana" w:hAnsi="Verdana"/>
          <w:sz w:val="16"/>
          <w:szCs w:val="16"/>
          <w:lang w:val="es-PR"/>
        </w:rPr>
        <w:t>motivo</w:t>
      </w:r>
      <w:proofErr w:type="spellEnd"/>
      <w:r w:rsidRPr="00DF09F9">
        <w:rPr>
          <w:rFonts w:ascii="Verdana" w:hAnsi="Verdana"/>
          <w:sz w:val="16"/>
          <w:szCs w:val="16"/>
          <w:lang w:val="es-PR"/>
        </w:rPr>
        <w:t xml:space="preserve"> suficiente para mantener las medidas provisionales’. Por ello, el Tribunal no considerará las informaciones y observaciones relativas a investigaciones”</w:t>
      </w:r>
      <w:r>
        <w:rPr>
          <w:rStyle w:val="FootnoteReference"/>
          <w:szCs w:val="16"/>
          <w:lang w:val="es-PR"/>
        </w:rPr>
        <w:footnoteReference w:id="11"/>
      </w:r>
      <w:r w:rsidRPr="00DF09F9">
        <w:rPr>
          <w:rFonts w:ascii="Verdana" w:hAnsi="Verdana"/>
          <w:sz w:val="16"/>
          <w:szCs w:val="16"/>
          <w:lang w:val="es-PR"/>
        </w:rPr>
        <w:t xml:space="preserve">. </w:t>
      </w:r>
    </w:p>
    <w:p w:rsidR="00A8163A" w:rsidRDefault="00A8163A" w:rsidP="00A8163A">
      <w:pPr>
        <w:pStyle w:val="ListParagraph"/>
        <w:ind w:left="0"/>
        <w:jc w:val="both"/>
        <w:rPr>
          <w:rFonts w:ascii="Verdana" w:hAnsi="Verdana"/>
          <w:sz w:val="20"/>
          <w:szCs w:val="20"/>
          <w:lang w:val="es-PR"/>
        </w:rPr>
      </w:pPr>
    </w:p>
    <w:p w:rsidR="00A8163A" w:rsidRPr="00382809" w:rsidRDefault="00A8163A" w:rsidP="006E2245">
      <w:pPr>
        <w:pStyle w:val="ListParagraph"/>
        <w:numPr>
          <w:ilvl w:val="0"/>
          <w:numId w:val="8"/>
        </w:numPr>
        <w:ind w:left="0" w:firstLine="0"/>
        <w:jc w:val="both"/>
        <w:rPr>
          <w:rFonts w:ascii="Verdana" w:hAnsi="Verdana"/>
          <w:sz w:val="20"/>
          <w:szCs w:val="20"/>
          <w:lang w:val="es-PR"/>
        </w:rPr>
      </w:pPr>
      <w:r w:rsidRPr="00382809">
        <w:rPr>
          <w:rFonts w:ascii="Verdana" w:hAnsi="Verdana"/>
          <w:sz w:val="20"/>
          <w:szCs w:val="20"/>
          <w:lang w:val="es-PR"/>
        </w:rPr>
        <w:t xml:space="preserve"> La Corte</w:t>
      </w:r>
      <w:r>
        <w:rPr>
          <w:rFonts w:ascii="Verdana" w:hAnsi="Verdana"/>
          <w:sz w:val="20"/>
          <w:szCs w:val="20"/>
          <w:lang w:val="es-PR"/>
        </w:rPr>
        <w:t xml:space="preserve"> confirma el criterio anterior y</w:t>
      </w:r>
      <w:r>
        <w:rPr>
          <w:rFonts w:ascii="Verdana" w:hAnsi="Verdana"/>
          <w:sz w:val="20"/>
          <w:szCs w:val="20"/>
          <w:lang w:val="es-ES"/>
        </w:rPr>
        <w:t xml:space="preserve"> reitera</w:t>
      </w:r>
      <w:r w:rsidRPr="00382809">
        <w:rPr>
          <w:rFonts w:ascii="Verdana" w:hAnsi="Verdana"/>
          <w:sz w:val="20"/>
          <w:szCs w:val="20"/>
          <w:lang w:val="es-ES"/>
        </w:rPr>
        <w:t xml:space="preserve"> que:</w:t>
      </w:r>
      <w:r w:rsidRPr="00382809">
        <w:rPr>
          <w:sz w:val="20"/>
          <w:szCs w:val="20"/>
          <w:lang w:val="es-ES"/>
        </w:rPr>
        <w:t xml:space="preserve"> </w:t>
      </w:r>
    </w:p>
    <w:p w:rsidR="00A8163A" w:rsidRDefault="00A8163A" w:rsidP="00A8163A">
      <w:pPr>
        <w:pStyle w:val="ListParagraph"/>
        <w:ind w:left="0"/>
        <w:jc w:val="both"/>
        <w:rPr>
          <w:rFonts w:ascii="Verdana" w:hAnsi="Verdana"/>
          <w:sz w:val="20"/>
          <w:szCs w:val="20"/>
          <w:lang w:val="es-PR"/>
        </w:rPr>
      </w:pPr>
    </w:p>
    <w:p w:rsidR="00A8163A" w:rsidRPr="00D23E43" w:rsidRDefault="00A8163A" w:rsidP="00A8163A">
      <w:pPr>
        <w:pStyle w:val="Default"/>
        <w:ind w:left="567" w:right="576"/>
        <w:jc w:val="both"/>
        <w:rPr>
          <w:sz w:val="20"/>
          <w:szCs w:val="20"/>
          <w:lang w:val="es-PR"/>
        </w:rPr>
      </w:pPr>
      <w:proofErr w:type="gramStart"/>
      <w:r>
        <w:rPr>
          <w:sz w:val="16"/>
          <w:szCs w:val="16"/>
          <w:lang w:val="es-ES"/>
        </w:rPr>
        <w:t>una</w:t>
      </w:r>
      <w:proofErr w:type="gramEnd"/>
      <w:r>
        <w:rPr>
          <w:sz w:val="16"/>
          <w:szCs w:val="16"/>
          <w:lang w:val="es-ES"/>
        </w:rPr>
        <w:t xml:space="preserve"> supuesta falta de investigación por parte de un Estado no necesariamente constituye una circunstancia de extrema gravedad y urgencia que amerite el mantenimiento de las medidas provisionales. Además, el deber de investigar en ciertas ocasiones puede prolongarse por un período considerable de tiempo, durante el cual la amenaza o riesgo no necesariamente se mantiene extremo y urgente</w:t>
      </w:r>
      <w:r>
        <w:rPr>
          <w:rStyle w:val="FootnoteReference"/>
          <w:szCs w:val="16"/>
          <w:lang w:val="es-ES"/>
        </w:rPr>
        <w:footnoteReference w:id="12"/>
      </w:r>
      <w:r>
        <w:rPr>
          <w:sz w:val="16"/>
          <w:szCs w:val="16"/>
          <w:lang w:val="es-ES"/>
        </w:rPr>
        <w:t xml:space="preserve">. </w:t>
      </w:r>
    </w:p>
    <w:p w:rsidR="00A8163A" w:rsidRPr="00382809" w:rsidRDefault="00A8163A" w:rsidP="00A8163A">
      <w:pPr>
        <w:pStyle w:val="ListParagraph"/>
        <w:ind w:left="0"/>
        <w:jc w:val="both"/>
        <w:rPr>
          <w:rFonts w:ascii="Verdana" w:hAnsi="Verdana"/>
          <w:sz w:val="20"/>
          <w:szCs w:val="20"/>
          <w:lang w:val="es-PR"/>
        </w:rPr>
      </w:pPr>
    </w:p>
    <w:p w:rsidR="00A8163A" w:rsidRPr="00382809" w:rsidRDefault="00A8163A" w:rsidP="006E2245">
      <w:pPr>
        <w:pStyle w:val="ListParagraph"/>
        <w:numPr>
          <w:ilvl w:val="0"/>
          <w:numId w:val="8"/>
        </w:numPr>
        <w:ind w:left="0" w:firstLine="0"/>
        <w:jc w:val="both"/>
        <w:rPr>
          <w:rFonts w:ascii="Verdana" w:hAnsi="Verdana"/>
          <w:sz w:val="20"/>
          <w:szCs w:val="20"/>
          <w:lang w:val="es-PR"/>
        </w:rPr>
      </w:pPr>
      <w:r>
        <w:rPr>
          <w:rFonts w:ascii="Verdana" w:hAnsi="Verdana"/>
          <w:sz w:val="20"/>
          <w:szCs w:val="20"/>
          <w:lang w:val="es-PR"/>
        </w:rPr>
        <w:t xml:space="preserve">De modo adicional, cabe resaltar que la información atinente a la investigación </w:t>
      </w:r>
      <w:r w:rsidRPr="00F3543C">
        <w:rPr>
          <w:rFonts w:ascii="Verdana" w:hAnsi="Verdana"/>
          <w:sz w:val="20"/>
          <w:szCs w:val="20"/>
          <w:lang w:val="es-PR"/>
        </w:rPr>
        <w:t xml:space="preserve">de los hechos </w:t>
      </w:r>
      <w:r w:rsidR="001240D6" w:rsidRPr="00F3543C">
        <w:rPr>
          <w:rFonts w:ascii="Verdana" w:hAnsi="Verdana"/>
          <w:sz w:val="20"/>
          <w:szCs w:val="20"/>
          <w:lang w:val="es-PR"/>
        </w:rPr>
        <w:t>d</w:t>
      </w:r>
      <w:r w:rsidRPr="00F3543C">
        <w:rPr>
          <w:rFonts w:ascii="Verdana" w:hAnsi="Verdana"/>
          <w:sz w:val="20"/>
          <w:szCs w:val="20"/>
          <w:lang w:val="es-PR"/>
        </w:rPr>
        <w:t>el caso, es analizada en el marco de la supervisión de la Sentencia dictada</w:t>
      </w:r>
      <w:r>
        <w:rPr>
          <w:rFonts w:ascii="Verdana" w:hAnsi="Verdana"/>
          <w:sz w:val="20"/>
          <w:szCs w:val="20"/>
          <w:lang w:val="es-PR"/>
        </w:rPr>
        <w:t xml:space="preserve"> por este Tribunal</w:t>
      </w:r>
      <w:r w:rsidRPr="00863CE2">
        <w:rPr>
          <w:rStyle w:val="FootnoteReference"/>
          <w:sz w:val="20"/>
          <w:szCs w:val="20"/>
          <w:lang w:val="es-PR"/>
        </w:rPr>
        <w:footnoteReference w:id="13"/>
      </w:r>
      <w:r>
        <w:rPr>
          <w:rFonts w:ascii="Verdana" w:hAnsi="Verdana"/>
          <w:sz w:val="20"/>
          <w:szCs w:val="20"/>
          <w:lang w:val="es-PR"/>
        </w:rPr>
        <w:t xml:space="preserve">. </w:t>
      </w:r>
    </w:p>
    <w:p w:rsidR="00A8163A" w:rsidRPr="00EA67D2" w:rsidRDefault="00A8163A" w:rsidP="00A8163A">
      <w:pPr>
        <w:pStyle w:val="ListParagraph"/>
        <w:ind w:left="0"/>
        <w:jc w:val="both"/>
        <w:rPr>
          <w:rFonts w:ascii="Verdana" w:hAnsi="Verdana"/>
          <w:sz w:val="22"/>
          <w:szCs w:val="22"/>
          <w:lang w:val="es-PR"/>
        </w:rPr>
      </w:pPr>
    </w:p>
    <w:p w:rsidR="00A8163A" w:rsidRPr="00D23E43" w:rsidRDefault="00A8163A" w:rsidP="006E2245">
      <w:pPr>
        <w:pStyle w:val="ListParagraph"/>
        <w:numPr>
          <w:ilvl w:val="0"/>
          <w:numId w:val="8"/>
        </w:numPr>
        <w:ind w:left="0" w:firstLine="0"/>
        <w:jc w:val="both"/>
        <w:rPr>
          <w:rFonts w:ascii="Verdana" w:hAnsi="Verdana"/>
          <w:sz w:val="20"/>
          <w:szCs w:val="20"/>
          <w:lang w:val="es-PR"/>
        </w:rPr>
      </w:pPr>
      <w:r w:rsidRPr="00D23E43">
        <w:rPr>
          <w:rFonts w:ascii="Verdana" w:hAnsi="Verdana"/>
          <w:sz w:val="20"/>
          <w:szCs w:val="20"/>
          <w:lang w:val="es-ES"/>
        </w:rPr>
        <w:t>Ahora bien, en lo que respecta al mantenimiento o no de las presentes medidas provisionales, e</w:t>
      </w:r>
      <w:r w:rsidRPr="00D23E43">
        <w:rPr>
          <w:rFonts w:ascii="Verdana" w:eastAsiaTheme="minorHAnsi" w:hAnsi="Verdana" w:cs="Verdana"/>
          <w:color w:val="000000"/>
          <w:sz w:val="20"/>
          <w:szCs w:val="20"/>
          <w:lang w:val="es-ES"/>
        </w:rPr>
        <w:t xml:space="preserve">ste </w:t>
      </w:r>
      <w:r w:rsidRPr="00D406A7">
        <w:rPr>
          <w:rFonts w:ascii="Verdana" w:eastAsiaTheme="minorHAnsi" w:hAnsi="Verdana" w:cs="Verdana"/>
          <w:bCs/>
          <w:iCs/>
          <w:color w:val="000000"/>
          <w:sz w:val="20"/>
          <w:szCs w:val="20"/>
          <w:lang w:val="es-ES"/>
        </w:rPr>
        <w:t>Tribunal</w:t>
      </w:r>
      <w:r w:rsidRPr="00D23E43">
        <w:rPr>
          <w:rFonts w:ascii="Verdana" w:eastAsiaTheme="minorHAnsi" w:hAnsi="Verdana" w:cs="Verdana"/>
          <w:b/>
          <w:bCs/>
          <w:i/>
          <w:iCs/>
          <w:color w:val="000000"/>
          <w:sz w:val="20"/>
          <w:szCs w:val="20"/>
          <w:lang w:val="es-ES"/>
        </w:rPr>
        <w:t xml:space="preserve"> </w:t>
      </w:r>
      <w:r w:rsidRPr="00D23E43">
        <w:rPr>
          <w:rFonts w:ascii="Verdana" w:eastAsiaTheme="minorHAnsi" w:hAnsi="Verdana" w:cs="Verdana"/>
          <w:color w:val="000000"/>
          <w:sz w:val="20"/>
          <w:szCs w:val="20"/>
          <w:lang w:val="es-ES"/>
        </w:rPr>
        <w:t>considera oportuno reiterar que las medidas provisionales tienen un carácter excepcional, son dictadas en función de las necesidades de protección y, una vez ordenadas, deben mantenerse siempre y cuando la Corte considere que subsisten los requisitos básicos de la extrema gravedad y urgencia, y de la necesidad de las medidas para evitar daños irreparables a los derechos de las personas protegidas por ellas</w:t>
      </w:r>
      <w:r w:rsidRPr="00D23E43">
        <w:rPr>
          <w:rFonts w:ascii="Verdana" w:hAnsi="Verdana"/>
          <w:sz w:val="20"/>
          <w:szCs w:val="20"/>
          <w:vertAlign w:val="superscript"/>
          <w:lang w:val="es-ES"/>
        </w:rPr>
        <w:footnoteReference w:id="14"/>
      </w:r>
      <w:r w:rsidRPr="00D23E43">
        <w:rPr>
          <w:rFonts w:ascii="Verdana" w:eastAsiaTheme="minorHAnsi" w:hAnsi="Verdana" w:cs="Verdana"/>
          <w:color w:val="000000"/>
          <w:sz w:val="20"/>
          <w:szCs w:val="20"/>
          <w:lang w:val="es-ES"/>
        </w:rPr>
        <w:t xml:space="preserve">. Si uno de los requisitos señalados ha dejado de tener vigencia, corresponderá a la </w:t>
      </w:r>
      <w:r w:rsidRPr="00D23E43">
        <w:rPr>
          <w:rFonts w:ascii="Verdana" w:eastAsiaTheme="minorHAnsi" w:hAnsi="Verdana" w:cs="Verdana"/>
          <w:color w:val="000000"/>
          <w:sz w:val="20"/>
          <w:szCs w:val="20"/>
          <w:lang w:val="es-ES"/>
        </w:rPr>
        <w:lastRenderedPageBreak/>
        <w:t>Corte valorar la pertinencia de continuar con la protección ordenada</w:t>
      </w:r>
      <w:r w:rsidRPr="00D23E43">
        <w:rPr>
          <w:rFonts w:ascii="Verdana" w:hAnsi="Verdana"/>
          <w:sz w:val="20"/>
          <w:szCs w:val="20"/>
          <w:vertAlign w:val="superscript"/>
          <w:lang w:val="es-ES"/>
        </w:rPr>
        <w:footnoteReference w:id="15"/>
      </w:r>
      <w:r w:rsidRPr="00D23E43">
        <w:rPr>
          <w:rFonts w:ascii="Verdana" w:eastAsiaTheme="minorHAnsi" w:hAnsi="Verdana" w:cs="Verdana"/>
          <w:color w:val="000000"/>
          <w:sz w:val="20"/>
          <w:szCs w:val="20"/>
          <w:lang w:val="es-ES"/>
        </w:rPr>
        <w:t>. “[E]l transcurso de un razonable período de tiempo sin amenazas o intimidaciones, sumado a la falta de un riesgo inminente, puede conllevar el levantamiento de las medidas provisionales</w:t>
      </w:r>
      <w:r w:rsidRPr="00D23E43">
        <w:rPr>
          <w:rFonts w:ascii="Verdana" w:hAnsi="Verdana"/>
          <w:sz w:val="20"/>
          <w:szCs w:val="20"/>
          <w:vertAlign w:val="superscript"/>
          <w:lang w:val="es-ES"/>
        </w:rPr>
        <w:footnoteReference w:id="16"/>
      </w:r>
      <w:r w:rsidRPr="00D23E43">
        <w:rPr>
          <w:rFonts w:ascii="Verdana" w:eastAsiaTheme="minorHAnsi" w:hAnsi="Verdana" w:cs="Verdana"/>
          <w:color w:val="000000"/>
          <w:sz w:val="20"/>
          <w:szCs w:val="20"/>
          <w:lang w:val="es-ES"/>
        </w:rPr>
        <w:t xml:space="preserve">. </w:t>
      </w:r>
    </w:p>
    <w:p w:rsidR="00A8163A" w:rsidRPr="00D23E43" w:rsidRDefault="00A8163A" w:rsidP="00A8163A">
      <w:pPr>
        <w:pStyle w:val="ListParagraph"/>
        <w:jc w:val="both"/>
        <w:rPr>
          <w:rFonts w:ascii="Verdana" w:hAnsi="Verdana"/>
          <w:sz w:val="20"/>
          <w:szCs w:val="20"/>
        </w:rPr>
      </w:pPr>
    </w:p>
    <w:p w:rsidR="00A8163A" w:rsidRPr="004E73FC" w:rsidRDefault="00A8163A" w:rsidP="006E2245">
      <w:pPr>
        <w:pStyle w:val="ListParagraph"/>
        <w:numPr>
          <w:ilvl w:val="0"/>
          <w:numId w:val="8"/>
        </w:numPr>
        <w:ind w:left="0" w:firstLine="0"/>
        <w:jc w:val="both"/>
        <w:rPr>
          <w:rFonts w:ascii="Verdana" w:hAnsi="Verdana"/>
          <w:sz w:val="20"/>
          <w:szCs w:val="20"/>
          <w:lang w:val="es-PR"/>
        </w:rPr>
      </w:pPr>
      <w:r>
        <w:rPr>
          <w:rFonts w:ascii="Verdana" w:hAnsi="Verdana"/>
          <w:sz w:val="20"/>
          <w:szCs w:val="20"/>
          <w:lang w:val="es-ES"/>
        </w:rPr>
        <w:t>E</w:t>
      </w:r>
      <w:r w:rsidRPr="00D23E43">
        <w:rPr>
          <w:rFonts w:ascii="Verdana" w:hAnsi="Verdana"/>
          <w:sz w:val="20"/>
          <w:szCs w:val="20"/>
          <w:lang w:val="es-ES"/>
        </w:rPr>
        <w:t>n sus informes</w:t>
      </w:r>
      <w:r>
        <w:rPr>
          <w:rFonts w:ascii="Verdana" w:hAnsi="Verdana"/>
          <w:sz w:val="20"/>
          <w:szCs w:val="20"/>
          <w:lang w:val="es-ES"/>
        </w:rPr>
        <w:t>,</w:t>
      </w:r>
      <w:r w:rsidRPr="00D23E43">
        <w:rPr>
          <w:rFonts w:ascii="Verdana" w:hAnsi="Verdana"/>
          <w:sz w:val="20"/>
          <w:szCs w:val="20"/>
          <w:lang w:val="es-ES"/>
        </w:rPr>
        <w:t xml:space="preserve"> </w:t>
      </w:r>
      <w:r>
        <w:rPr>
          <w:rFonts w:ascii="Verdana" w:hAnsi="Verdana"/>
          <w:sz w:val="20"/>
          <w:szCs w:val="20"/>
          <w:lang w:val="es-ES"/>
        </w:rPr>
        <w:t xml:space="preserve">el Estado </w:t>
      </w:r>
      <w:r w:rsidRPr="00D23E43">
        <w:rPr>
          <w:rFonts w:ascii="Verdana" w:hAnsi="Verdana"/>
          <w:sz w:val="20"/>
          <w:szCs w:val="20"/>
          <w:lang w:val="es-ES"/>
        </w:rPr>
        <w:t xml:space="preserve">indicó que se percibe una ausencia de novedades, incidentes o amenazas en perjuicio de los beneficiarios de las medidas. </w:t>
      </w:r>
      <w:r>
        <w:rPr>
          <w:rFonts w:ascii="Verdana" w:hAnsi="Verdana"/>
          <w:sz w:val="20"/>
          <w:szCs w:val="20"/>
          <w:lang w:val="es-ES"/>
        </w:rPr>
        <w:t>L</w:t>
      </w:r>
      <w:r w:rsidRPr="00D23E43">
        <w:rPr>
          <w:rFonts w:ascii="Verdana" w:hAnsi="Verdana"/>
          <w:sz w:val="20"/>
          <w:szCs w:val="20"/>
          <w:lang w:val="es-ES"/>
        </w:rPr>
        <w:t>os representantes</w:t>
      </w:r>
      <w:r>
        <w:rPr>
          <w:rFonts w:ascii="Verdana" w:hAnsi="Verdana"/>
          <w:sz w:val="20"/>
          <w:szCs w:val="20"/>
          <w:lang w:val="es-ES"/>
        </w:rPr>
        <w:t>,</w:t>
      </w:r>
      <w:r w:rsidRPr="00D23E43">
        <w:rPr>
          <w:rFonts w:ascii="Verdana" w:hAnsi="Verdana"/>
          <w:sz w:val="20"/>
          <w:szCs w:val="20"/>
          <w:lang w:val="es-ES"/>
        </w:rPr>
        <w:t xml:space="preserve"> si bien reconocen que no han ocurrido nuevos hechos de hostigamiento o amenazas, indicaron que dicha situación ha sido favorecida porque: a) no se han realizado las investigaciones </w:t>
      </w:r>
      <w:r>
        <w:rPr>
          <w:rFonts w:ascii="Verdana" w:hAnsi="Verdana"/>
          <w:sz w:val="20"/>
          <w:szCs w:val="20"/>
          <w:lang w:val="es-ES"/>
        </w:rPr>
        <w:t xml:space="preserve">sobre hechos </w:t>
      </w:r>
      <w:r w:rsidRPr="00D23E43">
        <w:rPr>
          <w:rFonts w:ascii="Verdana" w:hAnsi="Verdana"/>
          <w:sz w:val="20"/>
          <w:szCs w:val="20"/>
          <w:lang w:val="es-ES"/>
        </w:rPr>
        <w:t xml:space="preserve">que dieron </w:t>
      </w:r>
      <w:r>
        <w:rPr>
          <w:rFonts w:ascii="Verdana" w:hAnsi="Verdana"/>
          <w:sz w:val="20"/>
          <w:szCs w:val="20"/>
          <w:lang w:val="es-ES"/>
        </w:rPr>
        <w:t>origen a las presentes medidas (</w:t>
      </w:r>
      <w:r w:rsidRPr="00901D67">
        <w:rPr>
          <w:rFonts w:ascii="Verdana" w:hAnsi="Verdana"/>
          <w:i/>
          <w:sz w:val="20"/>
          <w:szCs w:val="20"/>
          <w:lang w:val="es-ES"/>
        </w:rPr>
        <w:t xml:space="preserve">supra </w:t>
      </w:r>
      <w:r>
        <w:rPr>
          <w:rFonts w:ascii="Verdana" w:hAnsi="Verdana"/>
          <w:sz w:val="20"/>
          <w:szCs w:val="20"/>
          <w:lang w:val="es-CR"/>
        </w:rPr>
        <w:t>Considerando</w:t>
      </w:r>
      <w:r w:rsidR="003264C2">
        <w:rPr>
          <w:rFonts w:ascii="Verdana" w:hAnsi="Verdana"/>
          <w:sz w:val="20"/>
          <w:szCs w:val="20"/>
          <w:lang w:val="es-ES"/>
        </w:rPr>
        <w:t xml:space="preserve"> 10</w:t>
      </w:r>
      <w:r>
        <w:rPr>
          <w:rFonts w:ascii="Verdana" w:hAnsi="Verdana"/>
          <w:sz w:val="20"/>
          <w:szCs w:val="20"/>
          <w:lang w:val="es-ES"/>
        </w:rPr>
        <w:t>), y b) el nombramiento como diputado de un presunto responsable (</w:t>
      </w:r>
      <w:r w:rsidRPr="00901D67">
        <w:rPr>
          <w:rFonts w:ascii="Verdana" w:hAnsi="Verdana"/>
          <w:i/>
          <w:sz w:val="20"/>
          <w:szCs w:val="20"/>
          <w:lang w:val="es-ES"/>
        </w:rPr>
        <w:t xml:space="preserve">supra </w:t>
      </w:r>
      <w:r>
        <w:rPr>
          <w:rFonts w:ascii="Verdana" w:hAnsi="Verdana"/>
          <w:sz w:val="20"/>
          <w:szCs w:val="20"/>
          <w:lang w:val="es-CR"/>
        </w:rPr>
        <w:t>Considerando</w:t>
      </w:r>
      <w:r w:rsidR="003264C2">
        <w:rPr>
          <w:rFonts w:ascii="Verdana" w:hAnsi="Verdana"/>
          <w:sz w:val="20"/>
          <w:szCs w:val="20"/>
          <w:lang w:val="es-ES"/>
        </w:rPr>
        <w:t xml:space="preserve"> 9</w:t>
      </w:r>
      <w:r>
        <w:rPr>
          <w:rFonts w:ascii="Verdana" w:hAnsi="Verdana"/>
          <w:sz w:val="20"/>
          <w:szCs w:val="20"/>
          <w:lang w:val="es-ES"/>
        </w:rPr>
        <w:t xml:space="preserve">), lo que da cierta seguridad de que no se realizará la investigación, </w:t>
      </w:r>
      <w:r w:rsidRPr="00D23E43">
        <w:rPr>
          <w:rFonts w:ascii="Verdana" w:hAnsi="Verdana"/>
          <w:sz w:val="20"/>
          <w:szCs w:val="20"/>
          <w:lang w:val="es-ES"/>
        </w:rPr>
        <w:t xml:space="preserve">pero </w:t>
      </w:r>
      <w:r>
        <w:rPr>
          <w:rFonts w:ascii="Verdana" w:hAnsi="Verdana"/>
          <w:sz w:val="20"/>
          <w:szCs w:val="20"/>
          <w:lang w:val="es-ES"/>
        </w:rPr>
        <w:t xml:space="preserve">afirmaron </w:t>
      </w:r>
      <w:r w:rsidRPr="00D23E43">
        <w:rPr>
          <w:rFonts w:ascii="Verdana" w:hAnsi="Verdana"/>
          <w:sz w:val="20"/>
          <w:szCs w:val="20"/>
          <w:lang w:val="es-ES"/>
        </w:rPr>
        <w:t>que es</w:t>
      </w:r>
      <w:r>
        <w:rPr>
          <w:rFonts w:ascii="Verdana" w:hAnsi="Verdana"/>
          <w:sz w:val="20"/>
          <w:szCs w:val="20"/>
          <w:lang w:val="es-ES"/>
        </w:rPr>
        <w:t>t</w:t>
      </w:r>
      <w:r w:rsidRPr="00D23E43">
        <w:rPr>
          <w:rFonts w:ascii="Verdana" w:hAnsi="Verdana"/>
          <w:sz w:val="20"/>
          <w:szCs w:val="20"/>
          <w:lang w:val="es-ES"/>
        </w:rPr>
        <w:t>o no implica que el riesgo ha desaparecido. En sus observaciones refieren un riesgo latente debido a que uno de los condenados por los hechos ha accedido al beneficio de libertad condicional y un presunto autor intelectual del homicidio de Mauricio García Prieto Giralt ha tenido acceso a un cargo del Congreso, por lo que gozaría de inmunidad parlamentaria.</w:t>
      </w:r>
    </w:p>
    <w:p w:rsidR="00A8163A" w:rsidRPr="004E73FC" w:rsidRDefault="00A8163A" w:rsidP="00A8163A">
      <w:pPr>
        <w:pStyle w:val="ListParagraph"/>
        <w:rPr>
          <w:rFonts w:ascii="Verdana" w:hAnsi="Verdana"/>
          <w:sz w:val="20"/>
          <w:szCs w:val="20"/>
          <w:lang w:val="es-ES"/>
        </w:rPr>
      </w:pPr>
    </w:p>
    <w:p w:rsidR="00A8163A" w:rsidRPr="004E73FC" w:rsidRDefault="00A8163A" w:rsidP="006E2245">
      <w:pPr>
        <w:pStyle w:val="ListParagraph"/>
        <w:numPr>
          <w:ilvl w:val="0"/>
          <w:numId w:val="8"/>
        </w:numPr>
        <w:ind w:left="0" w:firstLine="0"/>
        <w:jc w:val="both"/>
        <w:rPr>
          <w:rFonts w:ascii="Verdana" w:hAnsi="Verdana"/>
          <w:sz w:val="20"/>
          <w:szCs w:val="20"/>
          <w:lang w:val="es-PR"/>
        </w:rPr>
      </w:pPr>
      <w:r w:rsidRPr="004E73FC">
        <w:rPr>
          <w:rFonts w:ascii="Verdana" w:hAnsi="Verdana"/>
          <w:sz w:val="20"/>
          <w:szCs w:val="20"/>
          <w:lang w:val="es-ES"/>
        </w:rPr>
        <w:t xml:space="preserve">La Corte recuerda </w:t>
      </w:r>
      <w:r w:rsidRPr="0045762C">
        <w:rPr>
          <w:rFonts w:ascii="Verdana" w:hAnsi="Verdana"/>
          <w:sz w:val="20"/>
          <w:szCs w:val="20"/>
          <w:lang w:val="es-ES"/>
        </w:rPr>
        <w:t>el carácter esencialmente provisional y temporal que deben tener las medidas de protección</w:t>
      </w:r>
      <w:r w:rsidRPr="004E73FC">
        <w:rPr>
          <w:rStyle w:val="FootnoteReference"/>
          <w:sz w:val="20"/>
          <w:szCs w:val="20"/>
          <w:lang w:val="es-ES"/>
        </w:rPr>
        <w:footnoteReference w:id="17"/>
      </w:r>
      <w:r w:rsidRPr="0045762C">
        <w:rPr>
          <w:rFonts w:ascii="Verdana" w:hAnsi="Verdana"/>
          <w:sz w:val="20"/>
          <w:szCs w:val="20"/>
          <w:lang w:val="es-ES"/>
        </w:rPr>
        <w:t xml:space="preserve">, y que el mantenimiento de las </w:t>
      </w:r>
      <w:r>
        <w:rPr>
          <w:rFonts w:ascii="Verdana" w:hAnsi="Verdana"/>
          <w:sz w:val="20"/>
          <w:szCs w:val="20"/>
          <w:lang w:val="es-ES"/>
        </w:rPr>
        <w:t>mismas</w:t>
      </w:r>
      <w:r w:rsidRPr="0045762C">
        <w:rPr>
          <w:rFonts w:ascii="Verdana" w:hAnsi="Verdana"/>
          <w:sz w:val="20"/>
          <w:szCs w:val="20"/>
          <w:lang w:val="es-ES"/>
        </w:rPr>
        <w:t xml:space="preserve"> exige una evaluación más rigurosa de este Tribunal en cuanto a la persistencia de la situación que </w:t>
      </w:r>
      <w:r>
        <w:rPr>
          <w:rFonts w:ascii="Verdana" w:hAnsi="Verdana"/>
          <w:sz w:val="20"/>
          <w:szCs w:val="20"/>
          <w:lang w:val="es-ES"/>
        </w:rPr>
        <w:t xml:space="preserve">les </w:t>
      </w:r>
      <w:r w:rsidRPr="0045762C">
        <w:rPr>
          <w:rFonts w:ascii="Verdana" w:hAnsi="Verdana"/>
          <w:sz w:val="20"/>
          <w:szCs w:val="20"/>
          <w:lang w:val="es-ES"/>
        </w:rPr>
        <w:t>dio origen</w:t>
      </w:r>
      <w:r w:rsidRPr="004E73FC">
        <w:rPr>
          <w:rStyle w:val="FootnoteReference"/>
          <w:sz w:val="20"/>
          <w:szCs w:val="20"/>
          <w:lang w:val="es-ES"/>
        </w:rPr>
        <w:footnoteReference w:id="18"/>
      </w:r>
      <w:r w:rsidRPr="0045762C">
        <w:rPr>
          <w:rFonts w:ascii="Verdana" w:hAnsi="Verdana"/>
          <w:sz w:val="20"/>
          <w:szCs w:val="20"/>
          <w:lang w:val="es-ES"/>
        </w:rPr>
        <w:t xml:space="preserve">. </w:t>
      </w:r>
      <w:r>
        <w:rPr>
          <w:rFonts w:ascii="Verdana" w:hAnsi="Verdana"/>
          <w:sz w:val="20"/>
          <w:szCs w:val="20"/>
          <w:lang w:val="es-ES"/>
        </w:rPr>
        <w:t xml:space="preserve">Asimismo recuerda </w:t>
      </w:r>
      <w:r w:rsidRPr="004E73FC">
        <w:rPr>
          <w:rFonts w:ascii="Verdana" w:hAnsi="Verdana"/>
          <w:sz w:val="20"/>
          <w:szCs w:val="20"/>
          <w:lang w:val="es-ES"/>
        </w:rPr>
        <w:t>que</w:t>
      </w:r>
      <w:r>
        <w:rPr>
          <w:rFonts w:ascii="Verdana" w:hAnsi="Verdana"/>
          <w:sz w:val="20"/>
          <w:szCs w:val="20"/>
          <w:lang w:val="es-ES"/>
        </w:rPr>
        <w:t>,</w:t>
      </w:r>
      <w:r w:rsidRPr="004E73FC">
        <w:rPr>
          <w:rFonts w:ascii="Verdana" w:hAnsi="Verdana"/>
          <w:sz w:val="20"/>
          <w:szCs w:val="20"/>
          <w:lang w:val="es-ES"/>
        </w:rPr>
        <w:t xml:space="preserve"> </w:t>
      </w:r>
    </w:p>
    <w:p w:rsidR="00A8163A" w:rsidRDefault="00A8163A" w:rsidP="00A8163A">
      <w:pPr>
        <w:pStyle w:val="ListParagraph"/>
        <w:ind w:left="0"/>
        <w:jc w:val="both"/>
        <w:rPr>
          <w:rFonts w:ascii="Verdana" w:hAnsi="Verdana"/>
          <w:sz w:val="20"/>
          <w:szCs w:val="20"/>
          <w:lang w:val="es-PR"/>
        </w:rPr>
      </w:pPr>
    </w:p>
    <w:p w:rsidR="00A8163A" w:rsidRPr="004E73FC" w:rsidRDefault="00A8163A" w:rsidP="00A8163A">
      <w:pPr>
        <w:pStyle w:val="ListParagraph"/>
        <w:ind w:left="567" w:right="567"/>
        <w:jc w:val="both"/>
        <w:rPr>
          <w:rFonts w:ascii="Verdana" w:hAnsi="Verdana"/>
          <w:sz w:val="16"/>
          <w:szCs w:val="16"/>
          <w:lang w:val="es-PR"/>
        </w:rPr>
      </w:pPr>
      <w:proofErr w:type="gramStart"/>
      <w:r w:rsidRPr="004E73FC">
        <w:rPr>
          <w:rFonts w:ascii="Verdana" w:hAnsi="Verdana"/>
          <w:sz w:val="16"/>
          <w:szCs w:val="16"/>
          <w:lang w:val="es-CR"/>
        </w:rPr>
        <w:t>en</w:t>
      </w:r>
      <w:proofErr w:type="gramEnd"/>
      <w:r w:rsidRPr="004E73FC">
        <w:rPr>
          <w:rFonts w:ascii="Verdana" w:hAnsi="Verdana"/>
          <w:sz w:val="16"/>
          <w:szCs w:val="16"/>
          <w:lang w:val="es-CR"/>
        </w:rPr>
        <w:t xml:space="preserve">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w:t>
      </w:r>
      <w:r w:rsidRPr="004E73FC">
        <w:rPr>
          <w:rFonts w:ascii="Verdana" w:hAnsi="Verdana"/>
          <w:sz w:val="16"/>
          <w:szCs w:val="16"/>
        </w:rPr>
        <w:t>[…E]</w:t>
      </w:r>
      <w:r w:rsidRPr="004E73FC">
        <w:rPr>
          <w:rFonts w:ascii="Verdana" w:hAnsi="Verdana"/>
          <w:sz w:val="16"/>
          <w:szCs w:val="16"/>
          <w:lang w:val="es-CR"/>
        </w:rPr>
        <w:t>n lo que refiere al daño, debe existir una probabilidad razonable de que se materialice y no debe recaer en bienes o intereses jurídicos que puedan ser reparables</w:t>
      </w:r>
      <w:r w:rsidRPr="004E73FC">
        <w:rPr>
          <w:rFonts w:ascii="Verdana" w:hAnsi="Verdana"/>
          <w:sz w:val="16"/>
          <w:szCs w:val="16"/>
          <w:vertAlign w:val="superscript"/>
          <w:lang w:val="es-CR"/>
        </w:rPr>
        <w:footnoteReference w:id="19"/>
      </w:r>
      <w:r w:rsidRPr="004E73FC">
        <w:rPr>
          <w:rFonts w:ascii="Verdana" w:hAnsi="Verdana"/>
          <w:sz w:val="16"/>
          <w:szCs w:val="16"/>
          <w:lang w:val="es-CR"/>
        </w:rPr>
        <w:t>.</w:t>
      </w:r>
    </w:p>
    <w:p w:rsidR="00A8163A" w:rsidRDefault="00A8163A" w:rsidP="00A8163A">
      <w:pPr>
        <w:pStyle w:val="Default"/>
        <w:jc w:val="both"/>
        <w:rPr>
          <w:sz w:val="20"/>
          <w:szCs w:val="20"/>
        </w:rPr>
      </w:pPr>
    </w:p>
    <w:p w:rsidR="00A8163A" w:rsidRPr="0045762C" w:rsidRDefault="00A8163A" w:rsidP="006E2245">
      <w:pPr>
        <w:pStyle w:val="ListParagraph"/>
        <w:numPr>
          <w:ilvl w:val="0"/>
          <w:numId w:val="8"/>
        </w:numPr>
        <w:ind w:left="0" w:firstLine="0"/>
        <w:jc w:val="both"/>
        <w:rPr>
          <w:rFonts w:ascii="Verdana" w:hAnsi="Verdana"/>
          <w:sz w:val="20"/>
          <w:szCs w:val="20"/>
          <w:lang w:val="es-PR"/>
        </w:rPr>
      </w:pPr>
      <w:r>
        <w:rPr>
          <w:rFonts w:ascii="Verdana" w:hAnsi="Verdana"/>
          <w:sz w:val="20"/>
          <w:szCs w:val="20"/>
          <w:lang w:val="es-CR"/>
        </w:rPr>
        <w:t>E</w:t>
      </w:r>
      <w:proofErr w:type="spellStart"/>
      <w:r w:rsidRPr="00D23E43">
        <w:rPr>
          <w:rFonts w:ascii="Verdana" w:hAnsi="Verdana"/>
          <w:sz w:val="20"/>
          <w:szCs w:val="20"/>
          <w:lang w:val="es-ES"/>
        </w:rPr>
        <w:t>ste</w:t>
      </w:r>
      <w:proofErr w:type="spellEnd"/>
      <w:r w:rsidRPr="00D23E43">
        <w:rPr>
          <w:rFonts w:ascii="Verdana" w:hAnsi="Verdana"/>
          <w:sz w:val="20"/>
          <w:szCs w:val="20"/>
          <w:lang w:val="es-ES"/>
        </w:rPr>
        <w:t xml:space="preserve"> Tribunal </w:t>
      </w:r>
      <w:r>
        <w:rPr>
          <w:rFonts w:ascii="Verdana" w:hAnsi="Verdana"/>
          <w:sz w:val="20"/>
          <w:szCs w:val="20"/>
          <w:lang w:val="es-ES"/>
        </w:rPr>
        <w:t>constata que las presentes medidas provisionales han tenido vigencia por un tiempo prolongado, mayor a nueve años, y como se ha dicho (</w:t>
      </w:r>
      <w:r w:rsidRPr="0097271C">
        <w:rPr>
          <w:rFonts w:ascii="Verdana" w:hAnsi="Verdana"/>
          <w:i/>
          <w:sz w:val="20"/>
          <w:szCs w:val="20"/>
          <w:lang w:val="es-ES"/>
        </w:rPr>
        <w:t>supra</w:t>
      </w:r>
      <w:r w:rsidRPr="0097271C">
        <w:rPr>
          <w:rFonts w:ascii="Verdana" w:hAnsi="Verdana"/>
          <w:sz w:val="20"/>
          <w:szCs w:val="20"/>
        </w:rPr>
        <w:t xml:space="preserve"> </w:t>
      </w:r>
      <w:r w:rsidRPr="0045762C">
        <w:rPr>
          <w:rFonts w:ascii="Verdana" w:hAnsi="Verdana"/>
          <w:sz w:val="20"/>
          <w:szCs w:val="20"/>
        </w:rPr>
        <w:t xml:space="preserve">Considerando </w:t>
      </w:r>
      <w:r w:rsidR="003264C2">
        <w:rPr>
          <w:rFonts w:ascii="Verdana" w:hAnsi="Verdana"/>
          <w:sz w:val="20"/>
          <w:szCs w:val="20"/>
        </w:rPr>
        <w:t>18</w:t>
      </w:r>
      <w:r w:rsidRPr="0045762C">
        <w:rPr>
          <w:rFonts w:ascii="Verdana" w:hAnsi="Verdana"/>
          <w:sz w:val="20"/>
          <w:szCs w:val="20"/>
        </w:rPr>
        <w:t>)</w:t>
      </w:r>
      <w:r>
        <w:rPr>
          <w:rFonts w:ascii="Verdana" w:hAnsi="Verdana"/>
          <w:sz w:val="20"/>
          <w:szCs w:val="20"/>
          <w:lang w:val="es-ES"/>
        </w:rPr>
        <w:t xml:space="preserve">, en un período mayor a los últimos tres años no se ha allegado información a la Corte sobre nuevos hechos de amenazas, agresiones u hostigamientos. </w:t>
      </w:r>
    </w:p>
    <w:p w:rsidR="00A8163A" w:rsidRPr="0045762C" w:rsidRDefault="00A8163A" w:rsidP="00A8163A">
      <w:pPr>
        <w:pStyle w:val="ListParagraph"/>
        <w:ind w:left="0"/>
        <w:jc w:val="both"/>
        <w:rPr>
          <w:rFonts w:ascii="Verdana" w:hAnsi="Verdana"/>
          <w:sz w:val="20"/>
          <w:szCs w:val="20"/>
          <w:lang w:val="es-PR"/>
        </w:rPr>
      </w:pPr>
    </w:p>
    <w:p w:rsidR="00A8163A" w:rsidRPr="00CB65F6" w:rsidRDefault="00A8163A" w:rsidP="006E2245">
      <w:pPr>
        <w:pStyle w:val="ListParagraph"/>
        <w:numPr>
          <w:ilvl w:val="0"/>
          <w:numId w:val="8"/>
        </w:numPr>
        <w:ind w:left="0" w:firstLine="0"/>
        <w:jc w:val="both"/>
        <w:rPr>
          <w:rFonts w:ascii="Verdana" w:hAnsi="Verdana"/>
          <w:sz w:val="20"/>
          <w:szCs w:val="20"/>
          <w:lang w:val="es-PR"/>
        </w:rPr>
      </w:pPr>
      <w:r w:rsidRPr="00CB65F6">
        <w:rPr>
          <w:rFonts w:ascii="Verdana" w:hAnsi="Verdana"/>
          <w:sz w:val="20"/>
          <w:szCs w:val="20"/>
          <w:lang w:val="es-ES"/>
        </w:rPr>
        <w:t xml:space="preserve">Si bien es cierto que la </w:t>
      </w:r>
      <w:r w:rsidRPr="00CB65F6">
        <w:rPr>
          <w:rFonts w:ascii="Verdana" w:hAnsi="Verdana"/>
          <w:sz w:val="20"/>
          <w:szCs w:val="20"/>
          <w:lang w:val="es-CR"/>
        </w:rPr>
        <w:t xml:space="preserve">falta de amenazas no necesariamente implica que no haya riesgo para una persona, en el presente caso la Corte no encuentra, de acuerdo a la información proporcionada, que la situación planteada coloque a los beneficiarios en una </w:t>
      </w:r>
      <w:r w:rsidRPr="00CB65F6">
        <w:rPr>
          <w:rFonts w:ascii="Verdana" w:hAnsi="Verdana"/>
          <w:sz w:val="20"/>
          <w:szCs w:val="20"/>
          <w:lang w:val="es-CR"/>
        </w:rPr>
        <w:lastRenderedPageBreak/>
        <w:t>situación de “gravedad” y “urgencia” que debería ser “extrema”, en los términos expresados (</w:t>
      </w:r>
      <w:r w:rsidRPr="00CB65F6">
        <w:rPr>
          <w:rFonts w:ascii="Verdana" w:hAnsi="Verdana"/>
          <w:i/>
          <w:sz w:val="20"/>
          <w:szCs w:val="20"/>
          <w:lang w:val="es-CR"/>
        </w:rPr>
        <w:t>supra</w:t>
      </w:r>
      <w:r w:rsidRPr="00CB65F6">
        <w:rPr>
          <w:rFonts w:ascii="Verdana" w:hAnsi="Verdana"/>
          <w:sz w:val="20"/>
          <w:szCs w:val="20"/>
          <w:lang w:val="es-CR"/>
        </w:rPr>
        <w:t xml:space="preserve"> Considerando </w:t>
      </w:r>
      <w:r w:rsidR="00863CE2">
        <w:rPr>
          <w:rFonts w:ascii="Verdana" w:hAnsi="Verdana"/>
          <w:sz w:val="20"/>
          <w:szCs w:val="20"/>
          <w:lang w:val="es-CR"/>
        </w:rPr>
        <w:t>22</w:t>
      </w:r>
      <w:r w:rsidRPr="00CB65F6">
        <w:rPr>
          <w:rFonts w:ascii="Verdana" w:hAnsi="Verdana"/>
          <w:sz w:val="20"/>
          <w:szCs w:val="20"/>
          <w:lang w:val="es-CR"/>
        </w:rPr>
        <w:t xml:space="preserve">), para justificar el mantenimiento de la orden de adopción de medidas provisionales. </w:t>
      </w:r>
    </w:p>
    <w:p w:rsidR="00A8163A" w:rsidRPr="00CB65F6" w:rsidRDefault="00A8163A" w:rsidP="00A8163A">
      <w:pPr>
        <w:pStyle w:val="ListParagraph"/>
        <w:ind w:left="0"/>
        <w:jc w:val="both"/>
        <w:rPr>
          <w:rFonts w:ascii="Verdana" w:hAnsi="Verdana"/>
          <w:sz w:val="20"/>
          <w:szCs w:val="20"/>
          <w:lang w:val="es-PR"/>
        </w:rPr>
      </w:pPr>
    </w:p>
    <w:p w:rsidR="00A8163A" w:rsidRPr="00D23E43" w:rsidRDefault="00A8163A" w:rsidP="006E2245">
      <w:pPr>
        <w:pStyle w:val="ListParagraph"/>
        <w:numPr>
          <w:ilvl w:val="0"/>
          <w:numId w:val="8"/>
        </w:numPr>
        <w:ind w:left="0" w:firstLine="0"/>
        <w:jc w:val="both"/>
        <w:rPr>
          <w:rFonts w:ascii="Verdana" w:hAnsi="Verdana"/>
          <w:sz w:val="20"/>
          <w:szCs w:val="20"/>
          <w:lang w:val="es-PR"/>
        </w:rPr>
      </w:pPr>
      <w:r>
        <w:rPr>
          <w:rFonts w:ascii="Verdana" w:hAnsi="Verdana"/>
          <w:sz w:val="20"/>
          <w:szCs w:val="20"/>
          <w:lang w:val="es-PR"/>
        </w:rPr>
        <w:t>L</w:t>
      </w:r>
      <w:r w:rsidRPr="00D23E43">
        <w:rPr>
          <w:rFonts w:ascii="Verdana" w:hAnsi="Verdana"/>
          <w:sz w:val="20"/>
          <w:szCs w:val="20"/>
          <w:lang w:val="es-ES"/>
        </w:rPr>
        <w:t xml:space="preserve">os </w:t>
      </w:r>
      <w:r>
        <w:rPr>
          <w:rFonts w:ascii="Verdana" w:hAnsi="Verdana"/>
          <w:sz w:val="20"/>
          <w:szCs w:val="20"/>
          <w:lang w:val="es-ES"/>
        </w:rPr>
        <w:t xml:space="preserve">argumentos de los </w:t>
      </w:r>
      <w:r w:rsidRPr="00D23E43">
        <w:rPr>
          <w:rFonts w:ascii="Verdana" w:hAnsi="Verdana"/>
          <w:sz w:val="20"/>
          <w:szCs w:val="20"/>
          <w:lang w:val="es-ES"/>
        </w:rPr>
        <w:t xml:space="preserve">representantes </w:t>
      </w:r>
      <w:r>
        <w:rPr>
          <w:rFonts w:ascii="Verdana" w:hAnsi="Verdana"/>
          <w:sz w:val="20"/>
          <w:szCs w:val="20"/>
          <w:lang w:val="es-ES"/>
        </w:rPr>
        <w:t>sobre la supuesta</w:t>
      </w:r>
      <w:r w:rsidRPr="00D23E43">
        <w:rPr>
          <w:rFonts w:ascii="Verdana" w:hAnsi="Verdana"/>
          <w:sz w:val="20"/>
          <w:szCs w:val="20"/>
          <w:lang w:val="es-ES"/>
        </w:rPr>
        <w:t xml:space="preserve"> situación de rie</w:t>
      </w:r>
      <w:r>
        <w:rPr>
          <w:rFonts w:ascii="Verdana" w:hAnsi="Verdana"/>
          <w:sz w:val="20"/>
          <w:szCs w:val="20"/>
          <w:lang w:val="es-ES"/>
        </w:rPr>
        <w:t>sgo actual de los beneficiarios</w:t>
      </w:r>
      <w:r w:rsidRPr="00D23E43">
        <w:rPr>
          <w:rFonts w:ascii="Verdana" w:hAnsi="Verdana"/>
          <w:sz w:val="20"/>
          <w:szCs w:val="20"/>
          <w:lang w:val="es-ES"/>
        </w:rPr>
        <w:t xml:space="preserve"> </w:t>
      </w:r>
      <w:r>
        <w:rPr>
          <w:rFonts w:ascii="Verdana" w:hAnsi="Verdana"/>
          <w:sz w:val="20"/>
          <w:szCs w:val="20"/>
          <w:lang w:val="es-ES"/>
        </w:rPr>
        <w:t xml:space="preserve">se </w:t>
      </w:r>
      <w:r w:rsidRPr="00D23E43">
        <w:rPr>
          <w:rFonts w:ascii="Verdana" w:hAnsi="Verdana"/>
          <w:sz w:val="20"/>
          <w:szCs w:val="20"/>
          <w:lang w:val="es-ES"/>
        </w:rPr>
        <w:t xml:space="preserve">refieren a </w:t>
      </w:r>
      <w:r>
        <w:rPr>
          <w:rFonts w:ascii="Verdana" w:hAnsi="Verdana"/>
          <w:sz w:val="20"/>
          <w:szCs w:val="20"/>
          <w:lang w:val="es-ES"/>
        </w:rPr>
        <w:t xml:space="preserve">hechos (la liberación de una persona, la llegada al poder de cierto partido político y el nombramiento de una persona como congresista) que no denotan en forma directa o clara tal estado de riesgo; por el contrario, el riesgo se pretende vincular a tales hechos de modo meramente </w:t>
      </w:r>
      <w:r w:rsidRPr="00D23E43">
        <w:rPr>
          <w:rFonts w:ascii="Verdana" w:hAnsi="Verdana"/>
          <w:sz w:val="20"/>
          <w:szCs w:val="20"/>
          <w:lang w:val="es-ES"/>
        </w:rPr>
        <w:t>hipotétic</w:t>
      </w:r>
      <w:r>
        <w:rPr>
          <w:rFonts w:ascii="Verdana" w:hAnsi="Verdana"/>
          <w:sz w:val="20"/>
          <w:szCs w:val="20"/>
          <w:lang w:val="es-ES"/>
        </w:rPr>
        <w:t>o</w:t>
      </w:r>
      <w:r w:rsidRPr="00D23E43">
        <w:rPr>
          <w:rFonts w:ascii="Verdana" w:hAnsi="Verdana"/>
          <w:sz w:val="20"/>
          <w:szCs w:val="20"/>
          <w:lang w:val="es-ES"/>
        </w:rPr>
        <w:t xml:space="preserve"> o conjetura</w:t>
      </w:r>
      <w:r>
        <w:rPr>
          <w:rFonts w:ascii="Verdana" w:hAnsi="Verdana"/>
          <w:sz w:val="20"/>
          <w:szCs w:val="20"/>
          <w:lang w:val="es-ES"/>
        </w:rPr>
        <w:t>l.</w:t>
      </w:r>
      <w:r w:rsidRPr="00D23E43">
        <w:rPr>
          <w:rFonts w:ascii="Verdana" w:hAnsi="Verdana"/>
          <w:sz w:val="20"/>
          <w:szCs w:val="20"/>
          <w:lang w:val="es-ES"/>
        </w:rPr>
        <w:t xml:space="preserve"> </w:t>
      </w:r>
      <w:r>
        <w:rPr>
          <w:rFonts w:ascii="Verdana" w:hAnsi="Verdana"/>
          <w:sz w:val="20"/>
          <w:szCs w:val="20"/>
          <w:lang w:val="es-ES"/>
        </w:rPr>
        <w:t xml:space="preserve">Por ello, de tales hechos y argumentos, </w:t>
      </w:r>
      <w:r w:rsidRPr="00D23E43">
        <w:rPr>
          <w:rFonts w:ascii="Verdana" w:hAnsi="Verdana"/>
          <w:sz w:val="20"/>
          <w:szCs w:val="20"/>
          <w:lang w:val="es-ES"/>
        </w:rPr>
        <w:t xml:space="preserve">no se desprende que se configure una situación de grado </w:t>
      </w:r>
      <w:r>
        <w:rPr>
          <w:rFonts w:ascii="Verdana" w:hAnsi="Verdana"/>
          <w:sz w:val="20"/>
          <w:szCs w:val="20"/>
          <w:lang w:val="es-ES"/>
        </w:rPr>
        <w:t>“extremo” de “gravedad” y “urgencia”</w:t>
      </w:r>
      <w:r w:rsidRPr="00D23E43">
        <w:rPr>
          <w:rFonts w:ascii="Verdana" w:hAnsi="Verdana"/>
          <w:sz w:val="20"/>
          <w:szCs w:val="20"/>
          <w:lang w:val="es-ES"/>
        </w:rPr>
        <w:t xml:space="preserve"> que se encuad</w:t>
      </w:r>
      <w:r>
        <w:rPr>
          <w:rFonts w:ascii="Verdana" w:hAnsi="Verdana"/>
          <w:sz w:val="20"/>
          <w:szCs w:val="20"/>
          <w:lang w:val="es-ES"/>
        </w:rPr>
        <w:t>re en</w:t>
      </w:r>
      <w:r w:rsidRPr="00D23E43">
        <w:rPr>
          <w:rFonts w:ascii="Verdana" w:hAnsi="Verdana"/>
          <w:sz w:val="20"/>
          <w:szCs w:val="20"/>
          <w:lang w:val="es-ES"/>
        </w:rPr>
        <w:t xml:space="preserve"> los términos exigidos en el artículo 63.2 de la Convención.</w:t>
      </w:r>
    </w:p>
    <w:p w:rsidR="00A8163A" w:rsidRPr="00D23E43" w:rsidRDefault="00A8163A" w:rsidP="00A8163A">
      <w:pPr>
        <w:jc w:val="both"/>
        <w:rPr>
          <w:rFonts w:ascii="Verdana" w:hAnsi="Verdana"/>
          <w:sz w:val="20"/>
          <w:szCs w:val="20"/>
        </w:rPr>
      </w:pPr>
    </w:p>
    <w:p w:rsidR="00A8163A" w:rsidRPr="0028016E" w:rsidRDefault="00A8163A" w:rsidP="006E2245">
      <w:pPr>
        <w:pStyle w:val="ListParagraph"/>
        <w:numPr>
          <w:ilvl w:val="0"/>
          <w:numId w:val="8"/>
        </w:numPr>
        <w:ind w:left="0" w:right="-8" w:firstLine="0"/>
        <w:contextualSpacing w:val="0"/>
        <w:jc w:val="both"/>
        <w:rPr>
          <w:rFonts w:ascii="Verdana" w:hAnsi="Verdana"/>
          <w:b/>
          <w:sz w:val="20"/>
          <w:szCs w:val="20"/>
        </w:rPr>
      </w:pPr>
      <w:r w:rsidRPr="00AD346E">
        <w:rPr>
          <w:rFonts w:ascii="Verdana" w:hAnsi="Verdana"/>
          <w:sz w:val="20"/>
          <w:szCs w:val="20"/>
        </w:rPr>
        <w:t>Por lo anterior, la Corte considera razonable presumir que la situación respecto de dichos beneficiarios ya no se enmarca dentro de los presupuestos señalados en el artículo 63.2 de la Convención. En consecuencia, este Tribunal estima pertinente levantar las medidas a favor de</w:t>
      </w:r>
      <w:r w:rsidRPr="00AD346E">
        <w:rPr>
          <w:rFonts w:ascii="Verdana" w:hAnsi="Verdana" w:cs="Helvetica"/>
          <w:sz w:val="20"/>
          <w:szCs w:val="20"/>
          <w:lang w:val="es-ES" w:bidi="en-US"/>
        </w:rPr>
        <w:t xml:space="preserve"> la señora Gloria Giralt de García Prieto y el señor José Mauricio García Prieto </w:t>
      </w:r>
      <w:proofErr w:type="spellStart"/>
      <w:r w:rsidRPr="00AD346E">
        <w:rPr>
          <w:rFonts w:ascii="Verdana" w:hAnsi="Verdana" w:cs="Helvetica"/>
          <w:sz w:val="20"/>
          <w:szCs w:val="20"/>
          <w:lang w:val="es-ES" w:bidi="en-US"/>
        </w:rPr>
        <w:t>Hirlermann</w:t>
      </w:r>
      <w:proofErr w:type="spellEnd"/>
      <w:r w:rsidRPr="00AD346E">
        <w:rPr>
          <w:rFonts w:ascii="Verdana" w:hAnsi="Verdana" w:cs="Helvetica"/>
          <w:sz w:val="20"/>
          <w:szCs w:val="20"/>
          <w:lang w:val="es-ES" w:bidi="en-US"/>
        </w:rPr>
        <w:t>.</w:t>
      </w:r>
    </w:p>
    <w:p w:rsidR="00A8163A" w:rsidRPr="0028016E" w:rsidRDefault="00A8163A" w:rsidP="00A8163A">
      <w:pPr>
        <w:pStyle w:val="ListParagraph"/>
        <w:rPr>
          <w:rFonts w:ascii="Verdana" w:eastAsiaTheme="minorHAnsi" w:hAnsi="Verdana"/>
          <w:lang w:val="es-CR"/>
        </w:rPr>
      </w:pPr>
    </w:p>
    <w:p w:rsidR="00A8163A" w:rsidRPr="0028016E" w:rsidRDefault="00A8163A" w:rsidP="006E2245">
      <w:pPr>
        <w:pStyle w:val="ListParagraph"/>
        <w:numPr>
          <w:ilvl w:val="0"/>
          <w:numId w:val="8"/>
        </w:numPr>
        <w:ind w:left="0" w:right="-8" w:firstLine="0"/>
        <w:contextualSpacing w:val="0"/>
        <w:jc w:val="both"/>
        <w:rPr>
          <w:rFonts w:ascii="Verdana" w:hAnsi="Verdana"/>
          <w:b/>
          <w:sz w:val="20"/>
          <w:szCs w:val="20"/>
        </w:rPr>
      </w:pPr>
      <w:r w:rsidRPr="0028016E">
        <w:rPr>
          <w:rFonts w:ascii="Verdana" w:hAnsi="Verdana"/>
          <w:sz w:val="20"/>
          <w:szCs w:val="20"/>
        </w:rPr>
        <w:t>No obstante lo decidido, la Corte recuerda que el artículo 1.1 de la Convención establece las obligaciones generales que tienen los Estados Parte de respetar los derechos y libertades en ella consagrados y de garantizar su libre y pleno ejercicio a toda persona que esté sujeta a su jurisdicción, las cuales se imponen no sólo en relación con el poder del Estado sino también en relación con actuaciones de terceros particulares</w:t>
      </w:r>
      <w:r w:rsidRPr="00863CE2">
        <w:rPr>
          <w:rFonts w:ascii="Verdana" w:hAnsi="Verdana"/>
          <w:sz w:val="20"/>
          <w:szCs w:val="20"/>
          <w:vertAlign w:val="superscript"/>
          <w:lang w:val="es-CR"/>
        </w:rPr>
        <w:footnoteReference w:id="20"/>
      </w:r>
      <w:r w:rsidRPr="0028016E">
        <w:rPr>
          <w:rFonts w:ascii="Verdana" w:hAnsi="Verdana"/>
          <w:sz w:val="20"/>
          <w:szCs w:val="20"/>
        </w:rPr>
        <w:t>. Por ello, el Estado se encuentra obligado a garantizar los derechos de las personas mencionadas a través de los mecanismos internos existentes para ello</w:t>
      </w:r>
      <w:r w:rsidRPr="00863CE2">
        <w:rPr>
          <w:rFonts w:ascii="Verdana" w:hAnsi="Verdana"/>
          <w:sz w:val="20"/>
          <w:szCs w:val="20"/>
          <w:vertAlign w:val="superscript"/>
          <w:lang w:val="es-CR"/>
        </w:rPr>
        <w:footnoteReference w:id="21"/>
      </w:r>
      <w:r w:rsidRPr="00863CE2">
        <w:rPr>
          <w:rFonts w:ascii="Verdana" w:hAnsi="Verdana"/>
          <w:sz w:val="20"/>
          <w:szCs w:val="20"/>
        </w:rPr>
        <w:t>.</w:t>
      </w:r>
    </w:p>
    <w:p w:rsidR="00A8163A" w:rsidRDefault="00A8163A" w:rsidP="00A8163A">
      <w:pPr>
        <w:pStyle w:val="BodyText3"/>
        <w:ind w:right="0"/>
        <w:jc w:val="both"/>
        <w:rPr>
          <w:rFonts w:ascii="Verdana" w:eastAsia="Verdana" w:hAnsi="Verdana"/>
          <w:b w:val="0"/>
          <w:sz w:val="20"/>
          <w:lang w:val="es-CR"/>
        </w:rPr>
      </w:pPr>
    </w:p>
    <w:p w:rsidR="003B7414" w:rsidRPr="00F16C36" w:rsidRDefault="003B7414" w:rsidP="00A8163A">
      <w:pPr>
        <w:pStyle w:val="BodyText3"/>
        <w:ind w:right="0"/>
        <w:jc w:val="both"/>
        <w:rPr>
          <w:rFonts w:ascii="Verdana" w:eastAsia="Verdana" w:hAnsi="Verdana"/>
          <w:b w:val="0"/>
          <w:sz w:val="20"/>
          <w:lang w:val="es-CR"/>
        </w:rPr>
      </w:pPr>
    </w:p>
    <w:p w:rsidR="00A8163A" w:rsidRPr="00F16C36" w:rsidRDefault="00A8163A" w:rsidP="00A8163A">
      <w:pPr>
        <w:spacing w:afterLines="60" w:after="144"/>
        <w:jc w:val="both"/>
        <w:rPr>
          <w:rFonts w:ascii="Verdana" w:hAnsi="Verdana"/>
          <w:b/>
          <w:smallCaps/>
          <w:sz w:val="20"/>
        </w:rPr>
      </w:pPr>
      <w:r w:rsidRPr="00F16C36">
        <w:rPr>
          <w:rFonts w:ascii="Verdana" w:hAnsi="Verdana"/>
          <w:b/>
          <w:smallCaps/>
          <w:sz w:val="20"/>
        </w:rPr>
        <w:t xml:space="preserve">POR TANTO </w:t>
      </w:r>
    </w:p>
    <w:p w:rsidR="00A8163A" w:rsidRPr="00F16C36" w:rsidRDefault="00A8163A" w:rsidP="00A8163A">
      <w:pPr>
        <w:jc w:val="both"/>
        <w:rPr>
          <w:rFonts w:ascii="Verdana" w:hAnsi="Verdana"/>
          <w:b/>
          <w:smallCaps/>
          <w:sz w:val="20"/>
          <w:lang w:val="es-CR"/>
        </w:rPr>
      </w:pPr>
    </w:p>
    <w:p w:rsidR="00A8163A" w:rsidRDefault="00A8163A" w:rsidP="00A8163A">
      <w:pPr>
        <w:spacing w:afterLines="60" w:after="144"/>
        <w:jc w:val="both"/>
        <w:rPr>
          <w:rFonts w:ascii="Verdana" w:hAnsi="Verdana"/>
          <w:b/>
          <w:smallCaps/>
          <w:sz w:val="20"/>
        </w:rPr>
      </w:pPr>
      <w:r w:rsidRPr="00C06602">
        <w:rPr>
          <w:rFonts w:ascii="Verdana" w:hAnsi="Verdana"/>
          <w:b/>
          <w:smallCaps/>
          <w:sz w:val="20"/>
        </w:rPr>
        <w:t xml:space="preserve">LA CORTE INTERAMERICANA DE DERECHOS HUMANOS, </w:t>
      </w:r>
    </w:p>
    <w:p w:rsidR="003B7414" w:rsidRDefault="003B7414" w:rsidP="00A8163A">
      <w:pPr>
        <w:spacing w:afterLines="60" w:after="144"/>
        <w:jc w:val="both"/>
        <w:rPr>
          <w:rFonts w:ascii="Verdana" w:hAnsi="Verdana"/>
          <w:b/>
          <w:smallCaps/>
          <w:sz w:val="20"/>
        </w:rPr>
      </w:pPr>
    </w:p>
    <w:p w:rsidR="00A8163A" w:rsidRDefault="00A8163A" w:rsidP="00A8163A">
      <w:pPr>
        <w:pStyle w:val="BodyText"/>
        <w:spacing w:afterLines="60" w:after="144"/>
        <w:jc w:val="both"/>
        <w:rPr>
          <w:rFonts w:ascii="Verdana" w:hAnsi="Verdana"/>
          <w:sz w:val="20"/>
        </w:rPr>
      </w:pPr>
      <w:r w:rsidRPr="00C06602">
        <w:rPr>
          <w:rFonts w:ascii="Verdana" w:hAnsi="Verdana"/>
          <w:sz w:val="20"/>
        </w:rPr>
        <w:t>En el ejercicio de las atribuciones que le confieren los artículos 63.2 de la Convención Americana sobre Derechos Humanos</w:t>
      </w:r>
      <w:r>
        <w:rPr>
          <w:rFonts w:ascii="Verdana" w:hAnsi="Verdana"/>
          <w:sz w:val="20"/>
        </w:rPr>
        <w:t>,</w:t>
      </w:r>
      <w:r w:rsidRPr="00C06602">
        <w:rPr>
          <w:rFonts w:ascii="Verdana" w:hAnsi="Verdana"/>
          <w:sz w:val="20"/>
        </w:rPr>
        <w:t xml:space="preserve"> y 27 y 31 del Reglamento</w:t>
      </w:r>
      <w:r>
        <w:rPr>
          <w:rFonts w:ascii="Verdana" w:hAnsi="Verdana"/>
          <w:sz w:val="20"/>
        </w:rPr>
        <w:t xml:space="preserve"> de la Corte</w:t>
      </w:r>
      <w:r w:rsidRPr="00C06602">
        <w:rPr>
          <w:rFonts w:ascii="Verdana" w:hAnsi="Verdana"/>
          <w:sz w:val="20"/>
        </w:rPr>
        <w:t>,</w:t>
      </w:r>
    </w:p>
    <w:p w:rsidR="003B7414" w:rsidRDefault="003B7414" w:rsidP="00A8163A">
      <w:pPr>
        <w:pStyle w:val="BodyText"/>
        <w:spacing w:afterLines="60" w:after="144"/>
        <w:jc w:val="both"/>
        <w:rPr>
          <w:rFonts w:ascii="Verdana" w:hAnsi="Verdana"/>
          <w:sz w:val="20"/>
        </w:rPr>
      </w:pPr>
    </w:p>
    <w:p w:rsidR="00A8163A" w:rsidRDefault="00A8163A" w:rsidP="00A8163A">
      <w:pPr>
        <w:spacing w:afterLines="60" w:after="144"/>
        <w:jc w:val="both"/>
        <w:rPr>
          <w:rFonts w:ascii="Verdana" w:hAnsi="Verdana"/>
          <w:b/>
          <w:smallCaps/>
          <w:sz w:val="20"/>
        </w:rPr>
      </w:pPr>
      <w:r w:rsidRPr="00C06602">
        <w:rPr>
          <w:rFonts w:ascii="Verdana" w:hAnsi="Verdana"/>
          <w:b/>
          <w:smallCaps/>
          <w:sz w:val="20"/>
        </w:rPr>
        <w:t>RESUELVE:</w:t>
      </w:r>
    </w:p>
    <w:p w:rsidR="003B7414" w:rsidRPr="0045762C" w:rsidRDefault="003B7414" w:rsidP="00A8163A">
      <w:pPr>
        <w:spacing w:afterLines="60" w:after="144"/>
        <w:jc w:val="both"/>
        <w:rPr>
          <w:rFonts w:ascii="Verdana" w:hAnsi="Verdana"/>
          <w:b/>
          <w:smallCaps/>
          <w:sz w:val="20"/>
        </w:rPr>
      </w:pPr>
    </w:p>
    <w:p w:rsidR="00E21059" w:rsidRPr="00E21059" w:rsidRDefault="00A8163A" w:rsidP="00E21059">
      <w:pPr>
        <w:pStyle w:val="BodyText"/>
        <w:numPr>
          <w:ilvl w:val="0"/>
          <w:numId w:val="5"/>
        </w:numPr>
        <w:tabs>
          <w:tab w:val="clear" w:pos="644"/>
        </w:tabs>
        <w:spacing w:afterLines="60" w:after="144"/>
        <w:ind w:left="0" w:firstLine="0"/>
        <w:jc w:val="both"/>
        <w:rPr>
          <w:rFonts w:ascii="Verdana" w:hAnsi="Verdana" w:cs="Helvetica"/>
          <w:sz w:val="20"/>
          <w:lang w:val="es-CR" w:bidi="en-US"/>
        </w:rPr>
      </w:pPr>
      <w:r w:rsidRPr="00E21059">
        <w:rPr>
          <w:rFonts w:ascii="Verdana" w:hAnsi="Verdana"/>
          <w:sz w:val="20"/>
        </w:rPr>
        <w:t>Levantar las medidas provisionales ordenadas po</w:t>
      </w:r>
      <w:r w:rsidR="00E21059" w:rsidRPr="00E21059">
        <w:rPr>
          <w:rFonts w:ascii="Verdana" w:hAnsi="Verdana"/>
          <w:sz w:val="20"/>
        </w:rPr>
        <w:t>r la Corte Interamericana de Der</w:t>
      </w:r>
      <w:r w:rsidRPr="00E21059">
        <w:rPr>
          <w:rFonts w:ascii="Verdana" w:hAnsi="Verdana"/>
          <w:sz w:val="20"/>
        </w:rPr>
        <w:t>echos Humanos el 26 de septiembre de 2006, el 27 de enero de 2007,</w:t>
      </w:r>
      <w:r w:rsidR="00AC0DA8" w:rsidRPr="00E21059">
        <w:rPr>
          <w:rFonts w:ascii="Verdana" w:hAnsi="Verdana"/>
          <w:sz w:val="20"/>
        </w:rPr>
        <w:t xml:space="preserve"> y el 3 de febrero de </w:t>
      </w:r>
      <w:r w:rsidRPr="00E21059">
        <w:rPr>
          <w:rFonts w:ascii="Verdana" w:hAnsi="Verdana"/>
          <w:sz w:val="20"/>
        </w:rPr>
        <w:t xml:space="preserve">2010 y 26 de enero de 2015 a favor de la señora Gloria Giralt de García Prieto y el señor José Mauricio García Prieto </w:t>
      </w:r>
      <w:proofErr w:type="spellStart"/>
      <w:r w:rsidRPr="00E21059">
        <w:rPr>
          <w:rFonts w:ascii="Verdana" w:hAnsi="Verdana"/>
          <w:sz w:val="20"/>
        </w:rPr>
        <w:t>Hirlermann</w:t>
      </w:r>
      <w:proofErr w:type="spellEnd"/>
      <w:r w:rsidRPr="00E21059">
        <w:rPr>
          <w:rFonts w:ascii="Verdana" w:hAnsi="Verdana"/>
          <w:sz w:val="20"/>
        </w:rPr>
        <w:t>.</w:t>
      </w:r>
    </w:p>
    <w:p w:rsidR="00E21059" w:rsidRPr="00E21059" w:rsidRDefault="00A8163A" w:rsidP="00A8163A">
      <w:pPr>
        <w:pStyle w:val="BodyText"/>
        <w:numPr>
          <w:ilvl w:val="0"/>
          <w:numId w:val="5"/>
        </w:numPr>
        <w:tabs>
          <w:tab w:val="clear" w:pos="644"/>
        </w:tabs>
        <w:spacing w:afterLines="60" w:after="144"/>
        <w:ind w:left="0" w:firstLine="0"/>
        <w:jc w:val="both"/>
        <w:rPr>
          <w:rFonts w:ascii="Verdana" w:hAnsi="Verdana"/>
          <w:sz w:val="20"/>
        </w:rPr>
      </w:pPr>
      <w:r w:rsidRPr="00E21059">
        <w:rPr>
          <w:rFonts w:ascii="Verdana" w:hAnsi="Verdana"/>
          <w:sz w:val="20"/>
        </w:rPr>
        <w:lastRenderedPageBreak/>
        <w:t xml:space="preserve">En los términos del artículo 1.1. de la Convención Americana, el levantamiento de las medidas provisionales en este caso no implica que el Estado quede relevado de sus obligaciones convencionales de protección, de conformidad con el Considerando 36 de la presente Resolución. </w:t>
      </w:r>
    </w:p>
    <w:p w:rsidR="00A8163A" w:rsidRPr="00E21059" w:rsidRDefault="00A8163A" w:rsidP="00E21059">
      <w:pPr>
        <w:pStyle w:val="BodyText"/>
        <w:numPr>
          <w:ilvl w:val="0"/>
          <w:numId w:val="5"/>
        </w:numPr>
        <w:tabs>
          <w:tab w:val="clear" w:pos="644"/>
        </w:tabs>
        <w:spacing w:afterLines="60" w:after="144"/>
        <w:ind w:left="0" w:firstLine="0"/>
        <w:jc w:val="both"/>
        <w:rPr>
          <w:rFonts w:ascii="Verdana" w:hAnsi="Verdana"/>
          <w:sz w:val="20"/>
        </w:rPr>
      </w:pPr>
      <w:r w:rsidRPr="00E21059">
        <w:rPr>
          <w:rFonts w:ascii="Verdana" w:hAnsi="Verdana"/>
          <w:sz w:val="20"/>
        </w:rPr>
        <w:t>Disponer que la Secretaría de la Corte Interamericana de Derechos Humanos notifique la presente Resolución a El Salvador, a la Comisión Interamericana de Derechos Humanos y a los representantes.</w:t>
      </w:r>
    </w:p>
    <w:p w:rsidR="00A8163A" w:rsidRPr="00FC7AFB" w:rsidRDefault="00A8163A" w:rsidP="00A8163A">
      <w:pPr>
        <w:pStyle w:val="ParaAttribute3"/>
        <w:numPr>
          <w:ilvl w:val="0"/>
          <w:numId w:val="5"/>
        </w:numPr>
        <w:ind w:left="0" w:firstLine="0"/>
        <w:rPr>
          <w:rFonts w:ascii="Verdana" w:hAnsi="Verdana" w:cs="Helvetica"/>
          <w:lang w:val="es-CR" w:bidi="en-US"/>
        </w:rPr>
      </w:pPr>
      <w:r>
        <w:rPr>
          <w:rFonts w:ascii="Verdana" w:hAnsi="Verdana" w:cs="Helvetica"/>
          <w:lang w:val="es-CR" w:bidi="en-US"/>
        </w:rPr>
        <w:t>Archivar este expediente.</w:t>
      </w:r>
    </w:p>
    <w:p w:rsidR="00E21059" w:rsidRDefault="00E21059" w:rsidP="00A8163A">
      <w:pPr>
        <w:pStyle w:val="ParaAttribute3"/>
        <w:rPr>
          <w:rFonts w:ascii="Verdana" w:hAnsi="Verdana" w:cs="Helvetica"/>
          <w:lang w:val="es-CR" w:bidi="en-US"/>
        </w:rPr>
      </w:pPr>
    </w:p>
    <w:p w:rsidR="00547BFF" w:rsidRPr="00C43D53" w:rsidRDefault="00547BFF" w:rsidP="00A8163A">
      <w:pPr>
        <w:pStyle w:val="ParaAttribute3"/>
        <w:rPr>
          <w:rFonts w:ascii="Verdana" w:hAnsi="Verdana" w:cs="Helvetica"/>
          <w:lang w:val="es-CR" w:bidi="en-US"/>
        </w:rPr>
      </w:pPr>
    </w:p>
    <w:p w:rsidR="00006B6E" w:rsidRDefault="00006B6E" w:rsidP="00C4175F">
      <w:pPr>
        <w:jc w:val="both"/>
        <w:rPr>
          <w:rFonts w:ascii="Verdana" w:hAnsi="Verdana"/>
          <w:sz w:val="20"/>
          <w:szCs w:val="20"/>
        </w:rPr>
      </w:pPr>
      <w:r w:rsidRPr="00C4175F">
        <w:rPr>
          <w:rFonts w:ascii="Verdana" w:hAnsi="Verdana"/>
          <w:sz w:val="20"/>
          <w:szCs w:val="20"/>
        </w:rPr>
        <w:t>El Juez Eduardo Vio Grossi hizo conocer a la Corte su Voto Concurrente, el cual se acompaña a la presente Resolución.</w:t>
      </w:r>
    </w:p>
    <w:p w:rsidR="005C3D2B" w:rsidRDefault="005C3D2B">
      <w:pPr>
        <w:spacing w:after="200" w:line="276" w:lineRule="auto"/>
        <w:rPr>
          <w:rFonts w:ascii="Verdana" w:hAnsi="Verdana"/>
          <w:sz w:val="20"/>
          <w:szCs w:val="20"/>
        </w:rPr>
      </w:pPr>
      <w:r>
        <w:rPr>
          <w:rFonts w:ascii="Verdana" w:hAnsi="Verdana"/>
          <w:sz w:val="20"/>
          <w:szCs w:val="20"/>
        </w:rPr>
        <w:br w:type="page"/>
      </w:r>
    </w:p>
    <w:p w:rsidR="005C3D2B" w:rsidRDefault="005C3D2B" w:rsidP="005C3D2B">
      <w:pPr>
        <w:jc w:val="both"/>
        <w:rPr>
          <w:rFonts w:ascii="Verdana" w:hAnsi="Verdana"/>
          <w:sz w:val="20"/>
          <w:lang w:val="es-CR"/>
        </w:rPr>
      </w:pPr>
    </w:p>
    <w:p w:rsidR="005C3D2B" w:rsidRDefault="005C3D2B" w:rsidP="005C3D2B">
      <w:pPr>
        <w:jc w:val="both"/>
        <w:rPr>
          <w:rFonts w:ascii="Verdana" w:hAnsi="Verdana"/>
          <w:sz w:val="20"/>
          <w:lang w:val="es-CR"/>
        </w:rPr>
      </w:pPr>
    </w:p>
    <w:p w:rsidR="005C3D2B" w:rsidRPr="007C7838" w:rsidRDefault="005C3D2B" w:rsidP="005C3D2B">
      <w:pPr>
        <w:jc w:val="both"/>
        <w:rPr>
          <w:rFonts w:ascii="Verdana" w:hAnsi="Verdana"/>
          <w:sz w:val="20"/>
          <w:lang w:val="es-CR"/>
        </w:rPr>
      </w:pPr>
    </w:p>
    <w:p w:rsidR="005C3D2B" w:rsidRDefault="005C3D2B" w:rsidP="005C3D2B">
      <w:pPr>
        <w:jc w:val="center"/>
        <w:rPr>
          <w:rFonts w:ascii="Verdana" w:hAnsi="Verdana"/>
          <w:sz w:val="20"/>
          <w:lang w:val="es-ES"/>
        </w:rPr>
      </w:pPr>
      <w:r>
        <w:rPr>
          <w:rFonts w:ascii="Verdana" w:hAnsi="Verdana"/>
          <w:sz w:val="20"/>
          <w:lang w:val="es-ES"/>
        </w:rPr>
        <w:t>Humberto Antonio Sierra Porto</w:t>
      </w:r>
    </w:p>
    <w:p w:rsidR="005C3D2B" w:rsidRPr="00370276" w:rsidRDefault="005C3D2B" w:rsidP="005C3D2B">
      <w:pPr>
        <w:jc w:val="center"/>
        <w:rPr>
          <w:rFonts w:ascii="Verdana" w:hAnsi="Verdana"/>
          <w:sz w:val="20"/>
          <w:lang w:val="es-ES"/>
        </w:rPr>
      </w:pPr>
      <w:r>
        <w:rPr>
          <w:rFonts w:ascii="Verdana" w:hAnsi="Verdana"/>
          <w:sz w:val="20"/>
          <w:lang w:val="es-ES"/>
        </w:rPr>
        <w:t xml:space="preserve">Presidente </w:t>
      </w: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r>
        <w:rPr>
          <w:rFonts w:ascii="Verdana" w:hAnsi="Verdana"/>
          <w:sz w:val="20"/>
          <w:lang w:val="es-ES"/>
        </w:rPr>
        <w:t>Roberto F. Caldas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Manuel E. Ventura Robles</w:t>
      </w: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r>
        <w:rPr>
          <w:rFonts w:ascii="Verdana" w:hAnsi="Verdana"/>
          <w:sz w:val="20"/>
          <w:lang w:val="es-ES"/>
        </w:rPr>
        <w:t>Diego García-Sayán</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Alberto Pérez </w:t>
      </w:r>
      <w:proofErr w:type="spellStart"/>
      <w:r>
        <w:rPr>
          <w:rFonts w:ascii="Verdana" w:hAnsi="Verdana"/>
          <w:sz w:val="20"/>
          <w:lang w:val="es-ES"/>
        </w:rPr>
        <w:t>Pérez</w:t>
      </w:r>
      <w:proofErr w:type="spellEnd"/>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p>
    <w:p w:rsidR="005C3D2B" w:rsidRPr="00370276" w:rsidRDefault="005C3D2B" w:rsidP="005C3D2B">
      <w:pPr>
        <w:rPr>
          <w:rFonts w:ascii="Verdana" w:hAnsi="Verdana"/>
          <w:sz w:val="20"/>
          <w:lang w:val="es-ES"/>
        </w:rPr>
      </w:pPr>
      <w:r>
        <w:rPr>
          <w:rFonts w:ascii="Verdana" w:hAnsi="Verdana"/>
          <w:sz w:val="20"/>
          <w:lang w:val="es-ES"/>
        </w:rPr>
        <w:t>Eduardo Vio Grossi                                               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5C3D2B" w:rsidRPr="007C06A1" w:rsidRDefault="005C3D2B" w:rsidP="005C3D2B">
      <w:pPr>
        <w:rPr>
          <w:rFonts w:ascii="Verdana" w:hAnsi="Verdana"/>
          <w:sz w:val="20"/>
          <w:lang w:val="es-ES"/>
        </w:rPr>
      </w:pPr>
    </w:p>
    <w:p w:rsidR="005C3D2B" w:rsidRPr="00154412" w:rsidRDefault="005C3D2B" w:rsidP="005C3D2B">
      <w:pPr>
        <w:rPr>
          <w:rFonts w:ascii="Verdana" w:hAnsi="Verdana"/>
          <w:sz w:val="20"/>
          <w:lang w:val="es-CR"/>
        </w:rPr>
      </w:pPr>
    </w:p>
    <w:p w:rsidR="005C3D2B" w:rsidRDefault="005C3D2B" w:rsidP="005C3D2B">
      <w:pPr>
        <w:jc w:val="both"/>
        <w:rPr>
          <w:rFonts w:ascii="Verdana" w:hAnsi="Verdana"/>
          <w:sz w:val="20"/>
          <w:lang w:val="es-CR"/>
        </w:rPr>
      </w:pPr>
    </w:p>
    <w:p w:rsidR="005C3D2B" w:rsidRDefault="005C3D2B" w:rsidP="005C3D2B">
      <w:pPr>
        <w:jc w:val="both"/>
        <w:rPr>
          <w:rFonts w:ascii="Verdana" w:hAnsi="Verdana"/>
          <w:sz w:val="20"/>
          <w:lang w:val="es-CR"/>
        </w:rPr>
      </w:pPr>
    </w:p>
    <w:p w:rsidR="005C3D2B" w:rsidRPr="00370276" w:rsidRDefault="005C3D2B" w:rsidP="005C3D2B">
      <w:pPr>
        <w:jc w:val="both"/>
        <w:rPr>
          <w:rFonts w:ascii="Verdana" w:hAnsi="Verdana"/>
          <w:sz w:val="20"/>
          <w:lang w:val="es-ES"/>
        </w:rPr>
      </w:pPr>
    </w:p>
    <w:p w:rsidR="005C3D2B" w:rsidRPr="00370276" w:rsidRDefault="005C3D2B" w:rsidP="005C3D2B">
      <w:pPr>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5C3D2B" w:rsidRPr="00370276" w:rsidRDefault="005C3D2B" w:rsidP="005C3D2B">
      <w:pPr>
        <w:jc w:val="center"/>
        <w:rPr>
          <w:rFonts w:ascii="Verdana" w:hAnsi="Verdana"/>
          <w:sz w:val="20"/>
          <w:lang w:val="es-ES"/>
        </w:rPr>
      </w:pPr>
      <w:r w:rsidRPr="00370276">
        <w:rPr>
          <w:rFonts w:ascii="Verdana" w:hAnsi="Verdana"/>
          <w:sz w:val="20"/>
          <w:lang w:val="es-ES"/>
        </w:rPr>
        <w:t>Secretario</w:t>
      </w:r>
    </w:p>
    <w:p w:rsidR="005C3D2B" w:rsidRPr="00370276" w:rsidRDefault="005C3D2B" w:rsidP="005C3D2B">
      <w:pPr>
        <w:rPr>
          <w:rFonts w:ascii="Verdana" w:hAnsi="Verdana"/>
          <w:sz w:val="20"/>
          <w:lang w:val="es-ES"/>
        </w:rPr>
      </w:pPr>
    </w:p>
    <w:p w:rsidR="005C3D2B" w:rsidRDefault="005C3D2B" w:rsidP="005C3D2B">
      <w:pPr>
        <w:pStyle w:val="FootnoteText"/>
        <w:rPr>
          <w:lang w:val="es-ES"/>
        </w:rPr>
      </w:pPr>
    </w:p>
    <w:p w:rsidR="005C3D2B" w:rsidRDefault="005C3D2B" w:rsidP="005C3D2B">
      <w:pPr>
        <w:pStyle w:val="FootnoteText"/>
        <w:rPr>
          <w:lang w:val="es-ES"/>
        </w:rPr>
      </w:pPr>
    </w:p>
    <w:p w:rsidR="005C3D2B" w:rsidRPr="00370276" w:rsidRDefault="005C3D2B" w:rsidP="005C3D2B">
      <w:pPr>
        <w:pStyle w:val="FootnoteText"/>
        <w:rPr>
          <w:lang w:val="es-ES"/>
        </w:rPr>
      </w:pPr>
    </w:p>
    <w:p w:rsidR="005C3D2B" w:rsidRPr="00370276" w:rsidRDefault="005C3D2B" w:rsidP="005C3D2B">
      <w:pPr>
        <w:jc w:val="both"/>
        <w:rPr>
          <w:rFonts w:ascii="Verdana" w:hAnsi="Verdana"/>
          <w:sz w:val="20"/>
          <w:lang w:val="es-ES"/>
        </w:rPr>
      </w:pPr>
      <w:r w:rsidRPr="00370276">
        <w:rPr>
          <w:rFonts w:ascii="Verdana" w:hAnsi="Verdana"/>
          <w:sz w:val="20"/>
          <w:lang w:val="es-ES"/>
        </w:rPr>
        <w:t>Comuníquese y ejecútese,</w:t>
      </w: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Pr="001510B7" w:rsidRDefault="005C3D2B" w:rsidP="005C3D2B">
      <w:pPr>
        <w:jc w:val="both"/>
        <w:rPr>
          <w:rFonts w:ascii="Verdana" w:hAnsi="Verdana"/>
          <w:sz w:val="20"/>
          <w:lang w:val="es-CR"/>
        </w:rPr>
      </w:pPr>
    </w:p>
    <w:p w:rsidR="005C3D2B" w:rsidRDefault="005C3D2B" w:rsidP="005C3D2B">
      <w:pPr>
        <w:ind w:left="5040"/>
        <w:rPr>
          <w:rFonts w:ascii="Verdana" w:hAnsi="Verdana"/>
          <w:sz w:val="20"/>
          <w:lang w:val="es-ES"/>
        </w:rPr>
      </w:pPr>
      <w:r>
        <w:rPr>
          <w:rFonts w:ascii="Verdana" w:hAnsi="Verdana"/>
          <w:sz w:val="20"/>
          <w:lang w:val="es-ES"/>
        </w:rPr>
        <w:t xml:space="preserve">       Humberto Antonio Sierra Porto</w:t>
      </w:r>
      <w:r w:rsidRPr="00370276">
        <w:rPr>
          <w:rFonts w:ascii="Verdana" w:hAnsi="Verdana"/>
          <w:sz w:val="20"/>
          <w:lang w:val="es-ES"/>
        </w:rPr>
        <w:tab/>
      </w:r>
    </w:p>
    <w:p w:rsidR="005C3D2B" w:rsidRPr="00370276" w:rsidRDefault="005C3D2B" w:rsidP="005C3D2B">
      <w:pPr>
        <w:ind w:left="5760"/>
        <w:jc w:val="center"/>
        <w:rPr>
          <w:rFonts w:ascii="Verdana" w:hAnsi="Verdana"/>
          <w:sz w:val="20"/>
          <w:lang w:val="es-ES"/>
        </w:rPr>
      </w:pPr>
      <w:r>
        <w:rPr>
          <w:rFonts w:ascii="Verdana" w:hAnsi="Verdana"/>
          <w:sz w:val="20"/>
          <w:lang w:val="es-ES"/>
        </w:rPr>
        <w:t>Presidente</w:t>
      </w: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Pr="00370276" w:rsidRDefault="005C3D2B" w:rsidP="005C3D2B">
      <w:pPr>
        <w:jc w:val="both"/>
        <w:rPr>
          <w:rFonts w:ascii="Verdana" w:hAnsi="Verdana"/>
          <w:sz w:val="20"/>
          <w:lang w:val="es-ES"/>
        </w:rPr>
      </w:pPr>
    </w:p>
    <w:p w:rsidR="005C3D2B" w:rsidRDefault="005C3D2B" w:rsidP="005C3D2B">
      <w:pPr>
        <w:jc w:val="both"/>
        <w:rPr>
          <w:rFonts w:ascii="Verdana" w:hAnsi="Verdana"/>
          <w:sz w:val="20"/>
          <w:lang w:val="es-ES"/>
        </w:rPr>
      </w:pPr>
      <w:r w:rsidRPr="00370276">
        <w:rPr>
          <w:rFonts w:ascii="Verdana" w:hAnsi="Verdana"/>
          <w:sz w:val="20"/>
          <w:lang w:val="es-ES"/>
        </w:rPr>
        <w:t>Pablo Saavedra Alessandri</w:t>
      </w:r>
    </w:p>
    <w:p w:rsidR="005C3D2B" w:rsidRDefault="005C3D2B" w:rsidP="005C3D2B">
      <w:pPr>
        <w:rPr>
          <w:rFonts w:ascii="Verdana" w:hAnsi="Verdana"/>
          <w:sz w:val="20"/>
        </w:rPr>
      </w:pPr>
      <w:r w:rsidRPr="00370276">
        <w:rPr>
          <w:rFonts w:ascii="Verdana" w:hAnsi="Verdana"/>
          <w:sz w:val="20"/>
          <w:lang w:val="es-ES"/>
        </w:rPr>
        <w:tab/>
      </w:r>
      <w:r>
        <w:rPr>
          <w:rFonts w:ascii="Verdana" w:hAnsi="Verdana"/>
          <w:sz w:val="20"/>
        </w:rPr>
        <w:t>Secretario</w:t>
      </w:r>
    </w:p>
    <w:p w:rsidR="009104DA" w:rsidRDefault="009104DA" w:rsidP="00C4175F">
      <w:pPr>
        <w:jc w:val="both"/>
        <w:rPr>
          <w:rFonts w:ascii="Verdana" w:hAnsi="Verdana"/>
          <w:sz w:val="20"/>
          <w:szCs w:val="20"/>
        </w:rPr>
        <w:sectPr w:rsidR="009104DA" w:rsidSect="001022A8">
          <w:headerReference w:type="default" r:id="rId9"/>
          <w:footnotePr>
            <w:numRestart w:val="eachSect"/>
          </w:footnotePr>
          <w:pgSz w:w="12240" w:h="15840"/>
          <w:pgMar w:top="1440" w:right="1584" w:bottom="1440" w:left="1584" w:header="720" w:footer="720" w:gutter="0"/>
          <w:pgNumType w:start="1"/>
          <w:cols w:space="720"/>
          <w:titlePg/>
          <w:docGrid w:linePitch="360"/>
        </w:sectPr>
      </w:pPr>
    </w:p>
    <w:p w:rsidR="009104DA" w:rsidRPr="00AC2B06" w:rsidRDefault="009104DA" w:rsidP="009104DA">
      <w:pPr>
        <w:jc w:val="center"/>
        <w:rPr>
          <w:rFonts w:ascii="Verdana" w:hAnsi="Verdana"/>
          <w:b/>
          <w:sz w:val="20"/>
          <w:szCs w:val="20"/>
          <w:lang w:val="es-ES"/>
        </w:rPr>
      </w:pPr>
    </w:p>
    <w:p w:rsidR="009104DA" w:rsidRPr="00AC2B06" w:rsidRDefault="009104DA" w:rsidP="009104DA">
      <w:pPr>
        <w:jc w:val="center"/>
        <w:rPr>
          <w:rFonts w:ascii="Verdana" w:hAnsi="Verdana"/>
          <w:b/>
          <w:sz w:val="20"/>
          <w:szCs w:val="20"/>
          <w:lang w:val="es-ES"/>
        </w:rPr>
      </w:pPr>
    </w:p>
    <w:p w:rsidR="009104DA" w:rsidRDefault="009104DA" w:rsidP="009104DA">
      <w:pPr>
        <w:jc w:val="center"/>
        <w:rPr>
          <w:rFonts w:ascii="Verdana" w:hAnsi="Verdana"/>
          <w:b/>
          <w:sz w:val="20"/>
          <w:szCs w:val="20"/>
          <w:lang w:val="es-ES"/>
        </w:rPr>
      </w:pPr>
    </w:p>
    <w:p w:rsidR="009104DA" w:rsidRPr="00AC2B06" w:rsidRDefault="009104DA" w:rsidP="009104DA">
      <w:pPr>
        <w:jc w:val="center"/>
        <w:rPr>
          <w:rFonts w:ascii="Verdana" w:hAnsi="Verdana"/>
          <w:b/>
          <w:sz w:val="20"/>
          <w:szCs w:val="20"/>
          <w:lang w:val="es-ES"/>
        </w:rPr>
      </w:pPr>
    </w:p>
    <w:p w:rsidR="009104DA" w:rsidRPr="00AC2B06" w:rsidRDefault="009104DA" w:rsidP="009104DA">
      <w:pPr>
        <w:jc w:val="center"/>
        <w:rPr>
          <w:rFonts w:ascii="Verdana" w:hAnsi="Verdana"/>
          <w:b/>
          <w:sz w:val="20"/>
          <w:szCs w:val="20"/>
          <w:lang w:val="es-ES"/>
        </w:rPr>
      </w:pPr>
      <w:r w:rsidRPr="00AC2B06">
        <w:rPr>
          <w:rFonts w:ascii="Verdana" w:hAnsi="Verdana"/>
          <w:b/>
          <w:sz w:val="20"/>
          <w:szCs w:val="20"/>
          <w:lang w:val="es-ES"/>
        </w:rPr>
        <w:t>VOTO CONCURRENTE DEL JUEZ EDUARDO VIO GROSSI,</w:t>
      </w:r>
    </w:p>
    <w:p w:rsidR="009104DA" w:rsidRPr="00AC2B06" w:rsidRDefault="009104DA" w:rsidP="009104DA">
      <w:pPr>
        <w:jc w:val="center"/>
        <w:rPr>
          <w:rFonts w:ascii="Verdana" w:hAnsi="Verdana"/>
          <w:b/>
          <w:sz w:val="20"/>
          <w:szCs w:val="20"/>
          <w:lang w:val="es-ES"/>
        </w:rPr>
      </w:pPr>
      <w:r w:rsidRPr="00AC2B06">
        <w:rPr>
          <w:rFonts w:ascii="Verdana" w:hAnsi="Verdana"/>
          <w:b/>
          <w:sz w:val="20"/>
          <w:szCs w:val="20"/>
          <w:lang w:val="es-ES"/>
        </w:rPr>
        <w:t>RESOLUCIÓN DE LA CORTE INTERAMERICANA DE DERECHOS HUMANOS</w:t>
      </w:r>
    </w:p>
    <w:p w:rsidR="009104DA" w:rsidRPr="00AC2B06" w:rsidRDefault="009104DA" w:rsidP="009104DA">
      <w:pPr>
        <w:jc w:val="center"/>
        <w:rPr>
          <w:rStyle w:val="Strong"/>
          <w:color w:val="000000"/>
          <w:sz w:val="20"/>
          <w:szCs w:val="20"/>
          <w:shd w:val="clear" w:color="auto" w:fill="FFFFFF"/>
        </w:rPr>
      </w:pPr>
      <w:r w:rsidRPr="00AC2B06">
        <w:rPr>
          <w:rFonts w:ascii="Verdana" w:hAnsi="Verdana"/>
          <w:b/>
          <w:sz w:val="20"/>
          <w:szCs w:val="20"/>
          <w:lang w:val="es-ES"/>
        </w:rPr>
        <w:t>DE 2</w:t>
      </w:r>
      <w:r>
        <w:rPr>
          <w:rFonts w:ascii="Verdana" w:hAnsi="Verdana"/>
          <w:b/>
          <w:sz w:val="20"/>
          <w:szCs w:val="20"/>
          <w:lang w:val="es-ES"/>
        </w:rPr>
        <w:t>0</w:t>
      </w:r>
      <w:r w:rsidRPr="00AC2B06">
        <w:rPr>
          <w:rFonts w:ascii="Verdana" w:hAnsi="Verdana"/>
          <w:b/>
          <w:sz w:val="20"/>
          <w:szCs w:val="20"/>
          <w:lang w:val="es-ES"/>
        </w:rPr>
        <w:t xml:space="preserve"> DE NOVIEMBRE DE 2015,</w:t>
      </w:r>
      <w:r w:rsidRPr="00AC2B06">
        <w:rPr>
          <w:rFonts w:ascii="Verdana" w:hAnsi="Verdana"/>
          <w:color w:val="000000"/>
          <w:sz w:val="20"/>
          <w:szCs w:val="20"/>
          <w:shd w:val="clear" w:color="auto" w:fill="FFFFFF"/>
        </w:rPr>
        <w:t xml:space="preserve"> </w:t>
      </w:r>
    </w:p>
    <w:p w:rsidR="009104DA" w:rsidRPr="00AC2B06" w:rsidRDefault="009104DA" w:rsidP="009104DA">
      <w:pPr>
        <w:jc w:val="center"/>
        <w:rPr>
          <w:rFonts w:ascii="Verdana" w:hAnsi="Verdana"/>
          <w:b/>
          <w:sz w:val="20"/>
          <w:szCs w:val="20"/>
          <w:lang w:val="es-ES"/>
        </w:rPr>
      </w:pPr>
      <w:r w:rsidRPr="00AC2B06">
        <w:rPr>
          <w:rFonts w:ascii="Verdana" w:hAnsi="Verdana"/>
          <w:b/>
          <w:sz w:val="20"/>
          <w:szCs w:val="20"/>
          <w:lang w:val="es-ES"/>
        </w:rPr>
        <w:t>MEDIDAS PROVISIONALES RESPECTO DE EL SALVADOR</w:t>
      </w:r>
    </w:p>
    <w:p w:rsidR="009104DA" w:rsidRPr="00AC2B06" w:rsidRDefault="009104DA" w:rsidP="009104DA">
      <w:pPr>
        <w:jc w:val="center"/>
        <w:rPr>
          <w:rFonts w:ascii="Verdana" w:hAnsi="Verdana"/>
          <w:b/>
          <w:sz w:val="20"/>
          <w:szCs w:val="20"/>
          <w:lang w:val="es-ES"/>
        </w:rPr>
      </w:pPr>
      <w:r w:rsidRPr="00AC2B06">
        <w:rPr>
          <w:rFonts w:ascii="Verdana" w:hAnsi="Verdana"/>
          <w:b/>
          <w:sz w:val="20"/>
          <w:szCs w:val="20"/>
          <w:lang w:val="es-ES"/>
        </w:rPr>
        <w:t>CASO GARCÍA PRIETO Y OTROS.</w:t>
      </w:r>
    </w:p>
    <w:p w:rsidR="009104DA" w:rsidRPr="00AC2B06" w:rsidRDefault="009104DA" w:rsidP="009104DA">
      <w:pPr>
        <w:jc w:val="both"/>
        <w:rPr>
          <w:rFonts w:ascii="Verdana" w:hAnsi="Verdana"/>
          <w:sz w:val="20"/>
          <w:szCs w:val="20"/>
          <w:lang w:val="es-ES"/>
        </w:rPr>
      </w:pPr>
    </w:p>
    <w:p w:rsidR="009104DA" w:rsidRPr="00AC2B06" w:rsidRDefault="009104DA" w:rsidP="009104DA">
      <w:pPr>
        <w:jc w:val="both"/>
        <w:rPr>
          <w:rFonts w:ascii="Verdana" w:hAnsi="Verdana"/>
          <w:sz w:val="20"/>
          <w:szCs w:val="20"/>
          <w:lang w:val="es-ES"/>
        </w:rPr>
      </w:pPr>
      <w:r w:rsidRPr="00AC2B06">
        <w:rPr>
          <w:rFonts w:ascii="Verdana" w:hAnsi="Verdana"/>
          <w:sz w:val="20"/>
          <w:szCs w:val="20"/>
          <w:lang w:val="es-ES"/>
        </w:rPr>
        <w:t>El presente voto concurrente obedece a que la Resolución del epígrafe levanta las medidas provisionales ordenadas en el caso de autos, con lo que así coincide, en la práctica, con lo sostenido en el Voto Disidente del suscrito, de fecha 26 de enero de 2015, emitido con relación al establecimiento de las referidas medidas.</w:t>
      </w:r>
      <w:r w:rsidRPr="00AC2B06">
        <w:rPr>
          <w:rStyle w:val="FootnoteReference"/>
          <w:sz w:val="20"/>
          <w:szCs w:val="20"/>
          <w:lang w:val="es-ES"/>
        </w:rPr>
        <w:footnoteReference w:id="22"/>
      </w:r>
    </w:p>
    <w:p w:rsidR="009104DA" w:rsidRPr="00AC2B06" w:rsidRDefault="009104DA" w:rsidP="009104DA">
      <w:pPr>
        <w:jc w:val="both"/>
        <w:rPr>
          <w:rFonts w:ascii="Verdana" w:hAnsi="Verdana"/>
          <w:sz w:val="20"/>
          <w:szCs w:val="20"/>
          <w:lang w:val="es-ES"/>
        </w:rPr>
      </w:pPr>
      <w:r w:rsidRPr="00AC2B06">
        <w:rPr>
          <w:rFonts w:ascii="Verdana" w:hAnsi="Verdana"/>
          <w:sz w:val="20"/>
          <w:szCs w:val="20"/>
          <w:lang w:val="es-ES"/>
        </w:rPr>
        <w:t>En efecto, en el citado voto disidente, así como en otros</w:t>
      </w:r>
      <w:r w:rsidRPr="00AC2B06">
        <w:rPr>
          <w:rStyle w:val="FootnoteReference"/>
          <w:sz w:val="20"/>
          <w:szCs w:val="20"/>
          <w:lang w:val="es-ES"/>
        </w:rPr>
        <w:footnoteReference w:id="23"/>
      </w:r>
      <w:r w:rsidRPr="00AC2B06">
        <w:rPr>
          <w:rFonts w:ascii="Verdana" w:hAnsi="Verdana"/>
          <w:sz w:val="20"/>
          <w:szCs w:val="20"/>
          <w:lang w:val="es-ES"/>
        </w:rPr>
        <w:t xml:space="preserve">, se sostuvo que, atendida la circunstancia de que en el caso en cuestión se emitió la correspondiente sentencia definitiva e inapelable, la facultad de la Corte Interamericana de Derechos Humanos de dictar medidas provisionales en el mismo había </w:t>
      </w:r>
      <w:proofErr w:type="spellStart"/>
      <w:r w:rsidRPr="00AC2B06">
        <w:rPr>
          <w:rFonts w:ascii="Verdana" w:hAnsi="Verdana"/>
          <w:sz w:val="20"/>
          <w:szCs w:val="20"/>
          <w:lang w:val="es-ES"/>
        </w:rPr>
        <w:t>precluido</w:t>
      </w:r>
      <w:proofErr w:type="spellEnd"/>
      <w:r w:rsidRPr="00AC2B06">
        <w:rPr>
          <w:rFonts w:ascii="Verdana" w:hAnsi="Verdana"/>
          <w:sz w:val="20"/>
          <w:szCs w:val="20"/>
          <w:lang w:val="es-ES"/>
        </w:rPr>
        <w:t>, por lo que no procedía ordenar estas últimas y, por ende, lo procedente era que ellas no existieran.</w:t>
      </w:r>
    </w:p>
    <w:p w:rsidR="009104DA" w:rsidRPr="00AC2B06" w:rsidRDefault="009104DA" w:rsidP="009104DA">
      <w:pPr>
        <w:jc w:val="both"/>
        <w:rPr>
          <w:rFonts w:ascii="Verdana" w:hAnsi="Verdana"/>
          <w:sz w:val="20"/>
          <w:szCs w:val="20"/>
          <w:lang w:val="es-ES"/>
        </w:rPr>
      </w:pPr>
      <w:r w:rsidRPr="00AC2B06">
        <w:rPr>
          <w:rFonts w:ascii="Verdana" w:hAnsi="Verdana"/>
          <w:sz w:val="20"/>
          <w:szCs w:val="20"/>
          <w:lang w:val="es-ES"/>
        </w:rPr>
        <w:t xml:space="preserve">Con la Resolución a la que se concurre, la situación </w:t>
      </w:r>
      <w:r w:rsidRPr="00AC2B06">
        <w:rPr>
          <w:rFonts w:ascii="Verdana" w:hAnsi="Verdana"/>
          <w:i/>
          <w:sz w:val="20"/>
          <w:szCs w:val="20"/>
          <w:lang w:val="es-ES"/>
        </w:rPr>
        <w:t>de facto</w:t>
      </w:r>
      <w:r w:rsidRPr="00AC2B06">
        <w:rPr>
          <w:rFonts w:ascii="Verdana" w:hAnsi="Verdana"/>
          <w:sz w:val="20"/>
          <w:szCs w:val="20"/>
          <w:lang w:val="es-ES"/>
        </w:rPr>
        <w:t xml:space="preserve"> es que, como resultado de lo dispuesto en aquella,  no se dictan medidas provisionales ni se prorrogan las que se habían decretado.</w:t>
      </w:r>
    </w:p>
    <w:p w:rsidR="009104DA" w:rsidRDefault="009104DA" w:rsidP="009104DA">
      <w:pPr>
        <w:jc w:val="both"/>
        <w:rPr>
          <w:rFonts w:ascii="Verdana" w:hAnsi="Verdana"/>
          <w:sz w:val="20"/>
          <w:szCs w:val="20"/>
          <w:lang w:val="es-ES"/>
        </w:rPr>
      </w:pPr>
    </w:p>
    <w:p w:rsidR="009104DA" w:rsidRPr="00AC2B06" w:rsidRDefault="009104DA" w:rsidP="009104DA">
      <w:pPr>
        <w:jc w:val="both"/>
        <w:rPr>
          <w:rFonts w:ascii="Verdana" w:hAnsi="Verdana"/>
          <w:sz w:val="20"/>
          <w:szCs w:val="20"/>
          <w:lang w:val="es-ES"/>
        </w:rPr>
      </w:pPr>
    </w:p>
    <w:p w:rsidR="009104DA" w:rsidRPr="00AC2B06" w:rsidRDefault="009104DA" w:rsidP="009104DA">
      <w:pPr>
        <w:jc w:val="right"/>
        <w:rPr>
          <w:rFonts w:ascii="Verdana" w:hAnsi="Verdana"/>
          <w:sz w:val="20"/>
          <w:szCs w:val="20"/>
          <w:lang w:val="es-ES"/>
        </w:rPr>
      </w:pPr>
    </w:p>
    <w:p w:rsidR="009104DA" w:rsidRPr="00AC2B06" w:rsidRDefault="009104DA" w:rsidP="009104DA">
      <w:pPr>
        <w:jc w:val="right"/>
        <w:rPr>
          <w:rFonts w:ascii="Verdana" w:hAnsi="Verdana"/>
          <w:sz w:val="20"/>
          <w:szCs w:val="20"/>
          <w:lang w:val="es-ES"/>
        </w:rPr>
      </w:pPr>
      <w:r w:rsidRPr="00AC2B06">
        <w:rPr>
          <w:rFonts w:ascii="Verdana" w:hAnsi="Verdana"/>
          <w:sz w:val="20"/>
          <w:szCs w:val="20"/>
          <w:lang w:val="es-ES"/>
        </w:rPr>
        <w:t>Eduardo Vio Grossi</w:t>
      </w:r>
    </w:p>
    <w:p w:rsidR="009104DA" w:rsidRPr="00AC2B06" w:rsidRDefault="009104DA" w:rsidP="009104DA">
      <w:pPr>
        <w:jc w:val="right"/>
        <w:rPr>
          <w:rFonts w:ascii="Verdana" w:hAnsi="Verdana"/>
          <w:sz w:val="20"/>
          <w:szCs w:val="20"/>
          <w:lang w:val="es-ES"/>
        </w:rPr>
      </w:pPr>
      <w:r w:rsidRPr="00AC2B06">
        <w:rPr>
          <w:rFonts w:ascii="Verdana" w:hAnsi="Verdana"/>
          <w:sz w:val="20"/>
          <w:szCs w:val="20"/>
          <w:lang w:val="es-ES"/>
        </w:rPr>
        <w:t>Juez</w:t>
      </w:r>
    </w:p>
    <w:p w:rsidR="009104DA" w:rsidRPr="00AC2B06" w:rsidRDefault="009104DA" w:rsidP="009104DA">
      <w:pPr>
        <w:widowControl w:val="0"/>
        <w:adjustRightInd w:val="0"/>
        <w:jc w:val="both"/>
        <w:rPr>
          <w:rFonts w:ascii="Verdana" w:eastAsia="Times New Roman" w:hAnsi="Verdana" w:cs="Verdana"/>
          <w:spacing w:val="-4"/>
          <w:sz w:val="20"/>
          <w:szCs w:val="20"/>
          <w:lang w:val="es-CR" w:eastAsia="es-CR"/>
        </w:rPr>
      </w:pPr>
      <w:r w:rsidRPr="00AC2B06">
        <w:rPr>
          <w:rFonts w:ascii="Verdana" w:eastAsia="Times New Roman" w:hAnsi="Verdana" w:cs="Verdana"/>
          <w:spacing w:val="-4"/>
          <w:sz w:val="20"/>
          <w:szCs w:val="20"/>
          <w:lang w:val="es-CR" w:eastAsia="es-CR"/>
        </w:rPr>
        <w:t>Pablo Saavedra Alessandri</w:t>
      </w:r>
    </w:p>
    <w:p w:rsidR="009104DA" w:rsidRPr="00AC2B06" w:rsidRDefault="009104DA" w:rsidP="009104DA">
      <w:pPr>
        <w:widowControl w:val="0"/>
        <w:adjustRightInd w:val="0"/>
        <w:jc w:val="both"/>
        <w:rPr>
          <w:rFonts w:ascii="Verdana" w:eastAsia="Times New Roman" w:hAnsi="Verdana" w:cs="Verdana"/>
          <w:spacing w:val="-4"/>
          <w:sz w:val="20"/>
          <w:szCs w:val="20"/>
          <w:lang w:val="es-CR" w:eastAsia="es-CR"/>
        </w:rPr>
      </w:pPr>
      <w:r w:rsidRPr="00AC2B06">
        <w:rPr>
          <w:rFonts w:ascii="Verdana" w:eastAsia="Times New Roman" w:hAnsi="Verdana" w:cs="Verdana"/>
          <w:spacing w:val="-4"/>
          <w:sz w:val="20"/>
          <w:szCs w:val="20"/>
          <w:lang w:val="es-CR" w:eastAsia="es-CR"/>
        </w:rPr>
        <w:tab/>
        <w:t>Secretario</w:t>
      </w:r>
    </w:p>
    <w:p w:rsidR="005C3D2B" w:rsidRPr="003B7414" w:rsidRDefault="005C3D2B" w:rsidP="00C4175F">
      <w:pPr>
        <w:jc w:val="both"/>
        <w:rPr>
          <w:rFonts w:ascii="Verdana" w:hAnsi="Verdana"/>
          <w:sz w:val="20"/>
          <w:szCs w:val="20"/>
        </w:rPr>
      </w:pPr>
    </w:p>
    <w:sectPr w:rsidR="005C3D2B" w:rsidRPr="003B7414" w:rsidSect="009104DA">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27" w:rsidRDefault="00154927" w:rsidP="00A8163A">
      <w:r>
        <w:separator/>
      </w:r>
    </w:p>
  </w:endnote>
  <w:endnote w:type="continuationSeparator" w:id="0">
    <w:p w:rsidR="00154927" w:rsidRDefault="00154927" w:rsidP="00A8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27" w:rsidRDefault="00154927" w:rsidP="00A8163A">
      <w:r>
        <w:separator/>
      </w:r>
    </w:p>
  </w:footnote>
  <w:footnote w:type="continuationSeparator" w:id="0">
    <w:p w:rsidR="00154927" w:rsidRDefault="00154927" w:rsidP="00A8163A">
      <w:r>
        <w:continuationSeparator/>
      </w:r>
    </w:p>
  </w:footnote>
  <w:footnote w:id="1">
    <w:p w:rsidR="00A8163A" w:rsidRPr="00DE3FD2" w:rsidRDefault="00A8163A" w:rsidP="00A8163A">
      <w:pPr>
        <w:tabs>
          <w:tab w:val="left" w:pos="567"/>
        </w:tabs>
        <w:spacing w:after="120"/>
        <w:jc w:val="both"/>
        <w:rPr>
          <w:rFonts w:cs="Arial"/>
          <w:b/>
          <w:sz w:val="16"/>
          <w:szCs w:val="16"/>
          <w:lang w:val="es-CR"/>
        </w:rPr>
      </w:pPr>
    </w:p>
  </w:footnote>
  <w:footnote w:id="2">
    <w:p w:rsidR="00A8163A" w:rsidRPr="00A354EF" w:rsidRDefault="00A8163A" w:rsidP="00A8163A">
      <w:pPr>
        <w:pStyle w:val="FootnoteText"/>
      </w:pPr>
      <w:r w:rsidRPr="00A354EF">
        <w:rPr>
          <w:rStyle w:val="FootnoteReference"/>
        </w:rPr>
        <w:footnoteRef/>
      </w:r>
      <w:r w:rsidRPr="00A354EF">
        <w:tab/>
        <w:t xml:space="preserve">La representación de las personas beneficiarias está a cargo del Centro </w:t>
      </w:r>
      <w:r>
        <w:t xml:space="preserve">por </w:t>
      </w:r>
      <w:r w:rsidRPr="00A354EF">
        <w:t xml:space="preserve">la Justicia y el Derecho Internacional (CEJIL) y del Instituto de Derechos Humanos de la Universidad de </w:t>
      </w:r>
      <w:r>
        <w:t>Centroamericana</w:t>
      </w:r>
      <w:r w:rsidRPr="00A354EF">
        <w:t xml:space="preserve"> “José Simeón Cañas”</w:t>
      </w:r>
      <w:r w:rsidRPr="00A354EF">
        <w:rPr>
          <w:rStyle w:val="CharAttribute0"/>
          <w:lang w:val="es-CR"/>
        </w:rPr>
        <w:t xml:space="preserve"> (IDHUCA).</w:t>
      </w:r>
    </w:p>
  </w:footnote>
  <w:footnote w:id="3">
    <w:p w:rsidR="00A8163A" w:rsidRDefault="00A8163A" w:rsidP="00A8163A">
      <w:pPr>
        <w:pStyle w:val="FootnoteText"/>
        <w:spacing w:before="0" w:after="0"/>
        <w:rPr>
          <w:rFonts w:cs="Verdana"/>
          <w:lang w:val="es-ES"/>
        </w:rPr>
      </w:pPr>
      <w:r w:rsidRPr="00C1764A">
        <w:rPr>
          <w:rStyle w:val="FootnoteReference"/>
          <w:rFonts w:cs="Arial"/>
        </w:rPr>
        <w:footnoteRef/>
      </w:r>
      <w:r w:rsidRPr="00C1764A">
        <w:rPr>
          <w:lang w:val="es-ES"/>
        </w:rPr>
        <w:tab/>
      </w:r>
      <w:r w:rsidRPr="00C1764A">
        <w:rPr>
          <w:i/>
          <w:lang w:val="es-ES"/>
        </w:rPr>
        <w:t>Cfr. Asunto James y otros</w:t>
      </w:r>
      <w:r>
        <w:rPr>
          <w:lang w:val="es-ES"/>
        </w:rPr>
        <w:t xml:space="preserve"> </w:t>
      </w:r>
      <w:r w:rsidRPr="004915A7">
        <w:rPr>
          <w:i/>
          <w:lang w:val="es-ES"/>
        </w:rPr>
        <w:t>respecto de Trinidad y Tobago</w:t>
      </w:r>
      <w:r>
        <w:rPr>
          <w:lang w:val="es-ES"/>
        </w:rPr>
        <w:t>. Medidas Provisionales</w:t>
      </w:r>
      <w:r w:rsidR="00F3543C">
        <w:rPr>
          <w:lang w:val="es-ES"/>
        </w:rPr>
        <w:t>.</w:t>
      </w:r>
      <w:r>
        <w:rPr>
          <w:lang w:val="es-ES"/>
        </w:rPr>
        <w:t xml:space="preserve"> Resolución de la Corte de 29 de agosto de 1998</w:t>
      </w:r>
      <w:r w:rsidRPr="00C1764A">
        <w:rPr>
          <w:lang w:val="es-ES"/>
        </w:rPr>
        <w:t>, Considerando 6,</w:t>
      </w:r>
      <w:r w:rsidRPr="00C1764A">
        <w:rPr>
          <w:lang w:val="es-CR"/>
        </w:rPr>
        <w:t xml:space="preserve"> </w:t>
      </w:r>
      <w:r w:rsidRPr="00924988">
        <w:rPr>
          <w:lang w:val="es-CR"/>
        </w:rPr>
        <w:t>y</w:t>
      </w:r>
      <w:r w:rsidRPr="00924988">
        <w:rPr>
          <w:lang w:val="es-MX"/>
        </w:rPr>
        <w:t xml:space="preserve"> </w:t>
      </w:r>
      <w:r w:rsidRPr="00924988">
        <w:rPr>
          <w:i/>
          <w:lang w:val="es-MX"/>
        </w:rPr>
        <w:t>Caso Rosendo Cantú y otra respecto de México</w:t>
      </w:r>
      <w:r w:rsidRPr="00924988">
        <w:rPr>
          <w:lang w:val="es-MX"/>
        </w:rPr>
        <w:t>.</w:t>
      </w:r>
      <w:r w:rsidR="00EC5F58">
        <w:rPr>
          <w:lang w:val="es-MX"/>
        </w:rPr>
        <w:t xml:space="preserve"> </w:t>
      </w:r>
      <w:r w:rsidR="00EC5F58">
        <w:rPr>
          <w:lang w:val="es-ES"/>
        </w:rPr>
        <w:t>Medidas Provisionales,</w:t>
      </w:r>
      <w:r w:rsidRPr="00924988">
        <w:rPr>
          <w:lang w:val="es-MX"/>
        </w:rPr>
        <w:t xml:space="preserve"> </w:t>
      </w:r>
      <w:r w:rsidRPr="004F2BB3">
        <w:rPr>
          <w:rStyle w:val="Strong"/>
          <w:b w:val="0"/>
        </w:rPr>
        <w:t>Resolución de la Corte de 23 de junio de 2015</w:t>
      </w:r>
      <w:r w:rsidRPr="006E2245">
        <w:rPr>
          <w:rFonts w:cs="Arial"/>
          <w:lang w:val="es-MX"/>
        </w:rPr>
        <w:t>,</w:t>
      </w:r>
      <w:r w:rsidRPr="00924988">
        <w:rPr>
          <w:rFonts w:cs="Verdana"/>
          <w:lang w:val="es-ES"/>
        </w:rPr>
        <w:t xml:space="preserve"> Considerando 2.</w:t>
      </w:r>
    </w:p>
    <w:p w:rsidR="00A8163A" w:rsidRPr="00AF6422" w:rsidRDefault="00A8163A" w:rsidP="00A8163A">
      <w:pPr>
        <w:pStyle w:val="FootnoteText"/>
        <w:spacing w:before="0" w:after="0"/>
        <w:rPr>
          <w:lang w:val="es-ES"/>
        </w:rPr>
      </w:pPr>
    </w:p>
  </w:footnote>
  <w:footnote w:id="4">
    <w:p w:rsidR="00A8163A" w:rsidRPr="00706EFE" w:rsidRDefault="00A8163A" w:rsidP="00A8163A">
      <w:pPr>
        <w:jc w:val="both"/>
        <w:rPr>
          <w:rFonts w:ascii="Verdana" w:hAnsi="Verdana"/>
          <w:bCs/>
          <w:sz w:val="16"/>
          <w:szCs w:val="16"/>
          <w:lang w:val="es-CR"/>
        </w:rPr>
      </w:pPr>
      <w:r w:rsidRPr="00AF6422">
        <w:rPr>
          <w:rStyle w:val="FootnoteReference"/>
        </w:rPr>
        <w:footnoteRef/>
      </w:r>
      <w:r w:rsidRPr="00AF6422">
        <w:rPr>
          <w:rFonts w:ascii="Verdana" w:hAnsi="Verdana"/>
          <w:sz w:val="16"/>
          <w:szCs w:val="16"/>
          <w:lang w:val="es-CR"/>
        </w:rPr>
        <w:t xml:space="preserve"> </w:t>
      </w:r>
      <w:r w:rsidRPr="00AF6422">
        <w:rPr>
          <w:rFonts w:ascii="Verdana" w:hAnsi="Verdana"/>
          <w:sz w:val="16"/>
          <w:szCs w:val="16"/>
          <w:lang w:val="es-CR"/>
        </w:rPr>
        <w:tab/>
      </w:r>
      <w:r w:rsidRPr="002E1D96">
        <w:rPr>
          <w:rFonts w:ascii="Verdana" w:hAnsi="Verdana" w:cs="Verdana"/>
          <w:i/>
          <w:iCs/>
          <w:sz w:val="16"/>
          <w:szCs w:val="16"/>
          <w:lang w:val="es-ES"/>
        </w:rPr>
        <w:t>C</w:t>
      </w:r>
      <w:r w:rsidRPr="00706EFE">
        <w:rPr>
          <w:rFonts w:ascii="Verdana" w:hAnsi="Verdana" w:cs="Verdana"/>
          <w:i/>
          <w:iCs/>
          <w:sz w:val="16"/>
          <w:szCs w:val="16"/>
          <w:lang w:val="es-ES"/>
        </w:rPr>
        <w:t>fr</w:t>
      </w:r>
      <w:r w:rsidRPr="00706EFE">
        <w:rPr>
          <w:rFonts w:ascii="Verdana" w:hAnsi="Verdana" w:cs="Verdana"/>
          <w:iCs/>
          <w:sz w:val="16"/>
          <w:szCs w:val="16"/>
          <w:lang w:val="es-ES"/>
        </w:rPr>
        <w:t xml:space="preserve">. </w:t>
      </w:r>
      <w:r w:rsidRPr="00706EFE">
        <w:rPr>
          <w:rFonts w:ascii="Verdana" w:hAnsi="Verdana" w:cs="Verdana"/>
          <w:i/>
          <w:iCs/>
          <w:sz w:val="16"/>
          <w:szCs w:val="16"/>
          <w:lang w:val="es-ES"/>
        </w:rPr>
        <w:t>Asunto James y otros</w:t>
      </w:r>
      <w:r w:rsidRPr="00706EFE">
        <w:rPr>
          <w:rFonts w:ascii="Verdana" w:hAnsi="Verdana"/>
          <w:i/>
          <w:sz w:val="16"/>
          <w:szCs w:val="16"/>
          <w:lang w:val="es-ES"/>
        </w:rPr>
        <w:t xml:space="preserve"> respecto de Trinidad y Tobago.</w:t>
      </w:r>
      <w:r w:rsidRPr="00706EFE">
        <w:rPr>
          <w:rFonts w:ascii="Verdana" w:hAnsi="Verdana"/>
          <w:sz w:val="16"/>
          <w:szCs w:val="16"/>
          <w:lang w:val="es-ES"/>
        </w:rPr>
        <w:t xml:space="preserve"> </w:t>
      </w:r>
      <w:r>
        <w:rPr>
          <w:rFonts w:ascii="Verdana" w:hAnsi="Verdana"/>
          <w:sz w:val="16"/>
          <w:szCs w:val="16"/>
          <w:lang w:val="es-ES"/>
        </w:rPr>
        <w:t xml:space="preserve">Medidas Provisionales. </w:t>
      </w:r>
      <w:r w:rsidRPr="00706EFE">
        <w:rPr>
          <w:rFonts w:ascii="Verdana" w:hAnsi="Verdana"/>
          <w:sz w:val="16"/>
          <w:szCs w:val="16"/>
          <w:lang w:val="es-ES"/>
        </w:rPr>
        <w:t xml:space="preserve">Resolución de la Corte de 29 </w:t>
      </w:r>
      <w:r w:rsidRPr="00924988">
        <w:rPr>
          <w:rFonts w:ascii="Verdana" w:hAnsi="Verdana"/>
          <w:sz w:val="16"/>
          <w:szCs w:val="16"/>
          <w:lang w:val="es-ES"/>
        </w:rPr>
        <w:t xml:space="preserve">de agosto de 1998, </w:t>
      </w:r>
      <w:r w:rsidRPr="00924988">
        <w:rPr>
          <w:rFonts w:ascii="Verdana" w:eastAsia="Calibri" w:hAnsi="Verdana"/>
          <w:sz w:val="16"/>
          <w:szCs w:val="16"/>
        </w:rPr>
        <w:t xml:space="preserve">Considerando 6, y </w:t>
      </w:r>
      <w:r w:rsidRPr="00924988">
        <w:rPr>
          <w:rFonts w:ascii="Verdana" w:eastAsia="Calibri" w:hAnsi="Verdana"/>
          <w:i/>
          <w:sz w:val="16"/>
          <w:szCs w:val="16"/>
        </w:rPr>
        <w:t xml:space="preserve">Caso </w:t>
      </w:r>
      <w:r w:rsidRPr="00924988">
        <w:rPr>
          <w:rFonts w:ascii="Verdana" w:hAnsi="Verdana"/>
          <w:i/>
          <w:sz w:val="16"/>
          <w:szCs w:val="16"/>
          <w:lang w:val="es-MX"/>
        </w:rPr>
        <w:t>Rosendo Cantú y otra respecto de México</w:t>
      </w:r>
      <w:r w:rsidR="00EC5F58">
        <w:rPr>
          <w:rFonts w:ascii="Verdana" w:hAnsi="Verdana"/>
          <w:i/>
          <w:sz w:val="16"/>
          <w:szCs w:val="16"/>
          <w:lang w:val="es-MX"/>
        </w:rPr>
        <w:t>.</w:t>
      </w:r>
      <w:r w:rsidR="00EC5F58" w:rsidRPr="00EC5F58">
        <w:rPr>
          <w:lang w:val="es-ES"/>
        </w:rPr>
        <w:t xml:space="preserve"> </w:t>
      </w:r>
      <w:r w:rsidR="00EC5F58" w:rsidRPr="00F3543C">
        <w:rPr>
          <w:rFonts w:ascii="Verdana" w:eastAsia="Calibri" w:hAnsi="Verdana"/>
          <w:sz w:val="16"/>
          <w:szCs w:val="16"/>
          <w:lang w:val="es-ES"/>
        </w:rPr>
        <w:t>Medidas Provisionales</w:t>
      </w:r>
      <w:r w:rsidRPr="00924988">
        <w:rPr>
          <w:rFonts w:ascii="Verdana" w:hAnsi="Verdana" w:cs="Arial"/>
          <w:sz w:val="16"/>
          <w:szCs w:val="16"/>
          <w:lang w:val="es-MX"/>
        </w:rPr>
        <w:t>,</w:t>
      </w:r>
      <w:r w:rsidRPr="00924988">
        <w:rPr>
          <w:rFonts w:ascii="Verdana" w:hAnsi="Verdana" w:cs="Verdana"/>
          <w:sz w:val="16"/>
          <w:szCs w:val="16"/>
          <w:lang w:val="es-ES"/>
        </w:rPr>
        <w:t xml:space="preserve"> Considerando 4.</w:t>
      </w:r>
      <w:r w:rsidRPr="00706EFE">
        <w:rPr>
          <w:rFonts w:ascii="Verdana" w:hAnsi="Verdana"/>
          <w:bCs/>
          <w:sz w:val="16"/>
          <w:szCs w:val="16"/>
          <w:lang w:val="es-CR"/>
        </w:rPr>
        <w:t xml:space="preserve"> </w:t>
      </w:r>
    </w:p>
    <w:p w:rsidR="00A8163A" w:rsidRPr="00C1764A" w:rsidRDefault="00A8163A" w:rsidP="00A8163A">
      <w:pPr>
        <w:jc w:val="both"/>
        <w:rPr>
          <w:rFonts w:ascii="Verdana" w:hAnsi="Verdana"/>
          <w:sz w:val="16"/>
          <w:szCs w:val="16"/>
          <w:lang w:val="es-CR"/>
        </w:rPr>
      </w:pPr>
    </w:p>
  </w:footnote>
  <w:footnote w:id="5">
    <w:p w:rsidR="00A8163A" w:rsidRPr="00F34041" w:rsidRDefault="00A8163A" w:rsidP="00A8163A">
      <w:pPr>
        <w:pStyle w:val="FootnoteText"/>
        <w:spacing w:before="0" w:after="0"/>
        <w:rPr>
          <w:lang w:val="es-CR"/>
        </w:rPr>
      </w:pPr>
      <w:r>
        <w:rPr>
          <w:rStyle w:val="FootnoteReference"/>
        </w:rPr>
        <w:footnoteRef/>
      </w:r>
      <w:r>
        <w:t xml:space="preserve"> </w:t>
      </w:r>
      <w:r>
        <w:rPr>
          <w:lang w:val="es-CR"/>
        </w:rPr>
        <w:tab/>
        <w:t>Los representantes solicitaron que el Estado entregue los resultados de la evaluación de riesgo del señor Cuéllar. Al respecto, la Comisión tomó nota de dicha solicitud y quedó a la espera de la información.</w:t>
      </w:r>
    </w:p>
  </w:footnote>
  <w:footnote w:id="6">
    <w:p w:rsidR="00330793" w:rsidRPr="004A6F25" w:rsidRDefault="00330793">
      <w:pPr>
        <w:pStyle w:val="FootnoteText"/>
        <w:rPr>
          <w:b/>
        </w:rPr>
      </w:pPr>
      <w:r w:rsidRPr="004A6F25">
        <w:rPr>
          <w:rStyle w:val="FootnoteReference"/>
          <w:b/>
        </w:rPr>
        <w:footnoteRef/>
      </w:r>
      <w:r w:rsidRPr="004A6F25">
        <w:rPr>
          <w:b/>
        </w:rPr>
        <w:t xml:space="preserve"> </w:t>
      </w:r>
      <w:r w:rsidRPr="004A6F25">
        <w:rPr>
          <w:b/>
        </w:rPr>
        <w:tab/>
      </w:r>
      <w:r w:rsidRPr="001240D6">
        <w:t>Sin perjuicio de ello, los representantes indicaron que el Estado “no ha facilitado los resultados de [una] evaluación de ries</w:t>
      </w:r>
      <w:r w:rsidR="00D86330" w:rsidRPr="001240D6">
        <w:t>go” hecha respecto del señor Cué</w:t>
      </w:r>
      <w:r w:rsidRPr="001240D6">
        <w:t>llar, y pidieron que la Corte “requiera al Estado […] continuar con la implementación de la</w:t>
      </w:r>
      <w:r w:rsidR="00D86330" w:rsidRPr="001240D6">
        <w:t>s medidas” a favor del señor Cué</w:t>
      </w:r>
      <w:r w:rsidRPr="001240D6">
        <w:t xml:space="preserve">llar y que </w:t>
      </w:r>
      <w:r w:rsidR="004A6F25" w:rsidRPr="001240D6">
        <w:t>“</w:t>
      </w:r>
      <w:r w:rsidR="003B7414">
        <w:t>aporte la evaluación de riesgo”</w:t>
      </w:r>
      <w:r w:rsidR="004A6F25" w:rsidRPr="001240D6">
        <w:t>. No resulta procedente que la Corte se pronuncie sobre lo expresado por los repre</w:t>
      </w:r>
      <w:r w:rsidR="00D86330" w:rsidRPr="001240D6">
        <w:t>sentantes, en tanto el señor Cué</w:t>
      </w:r>
      <w:r w:rsidR="004A6F25" w:rsidRPr="001240D6">
        <w:t>llar</w:t>
      </w:r>
      <w:r w:rsidR="00EE3DCD" w:rsidRPr="001240D6">
        <w:t xml:space="preserve"> ya</w:t>
      </w:r>
      <w:r w:rsidR="004A6F25" w:rsidRPr="001240D6">
        <w:t xml:space="preserve"> no es beneficiario de medidas provisionales ordenadas por la Corte en el presente caso</w:t>
      </w:r>
      <w:r w:rsidR="001A708B" w:rsidRPr="001240D6">
        <w:t>, de acuerdo a la Resolución de la Corte de 26 de enero de 1995</w:t>
      </w:r>
      <w:r w:rsidR="004A6F25" w:rsidRPr="001240D6">
        <w:t>.</w:t>
      </w:r>
      <w:r w:rsidR="004A6F25" w:rsidRPr="004A6F25">
        <w:rPr>
          <w:b/>
        </w:rPr>
        <w:t xml:space="preserve"> </w:t>
      </w:r>
    </w:p>
  </w:footnote>
  <w:footnote w:id="7">
    <w:p w:rsidR="00A8163A" w:rsidRPr="00901D67" w:rsidRDefault="00A8163A" w:rsidP="00A8163A">
      <w:pPr>
        <w:pStyle w:val="FootnoteText"/>
      </w:pPr>
      <w:r>
        <w:rPr>
          <w:rStyle w:val="FootnoteReference"/>
        </w:rPr>
        <w:footnoteRef/>
      </w:r>
      <w:r>
        <w:t xml:space="preserve"> </w:t>
      </w:r>
      <w:r>
        <w:tab/>
      </w:r>
      <w:r w:rsidRPr="00AD27C4">
        <w:t>I</w:t>
      </w:r>
      <w:proofErr w:type="spellStart"/>
      <w:r w:rsidRPr="00AA27CF">
        <w:rPr>
          <w:rFonts w:eastAsia="Verdana"/>
          <w:lang w:val="es-CR"/>
        </w:rPr>
        <w:t>nformes</w:t>
      </w:r>
      <w:proofErr w:type="spellEnd"/>
      <w:r w:rsidRPr="00AA27CF">
        <w:rPr>
          <w:rFonts w:eastAsia="Verdana"/>
          <w:lang w:val="es-CR"/>
        </w:rPr>
        <w:t xml:space="preserve"> de 31 de julio</w:t>
      </w:r>
      <w:r>
        <w:rPr>
          <w:rFonts w:eastAsia="Verdana"/>
          <w:lang w:val="es-CR"/>
        </w:rPr>
        <w:t xml:space="preserve"> de 2015</w:t>
      </w:r>
      <w:r w:rsidRPr="00AA27CF">
        <w:rPr>
          <w:rFonts w:eastAsia="Verdana"/>
          <w:lang w:val="es-CR"/>
        </w:rPr>
        <w:t xml:space="preserve"> </w:t>
      </w:r>
      <w:r w:rsidRPr="00901D67">
        <w:rPr>
          <w:rFonts w:eastAsia="Verdana"/>
          <w:lang w:val="es-CR"/>
        </w:rPr>
        <w:t>y de 13 de octubre de 2014.</w:t>
      </w:r>
    </w:p>
  </w:footnote>
  <w:footnote w:id="8">
    <w:p w:rsidR="00A8163A" w:rsidRPr="00340B0C" w:rsidRDefault="00A8163A" w:rsidP="00A8163A">
      <w:pPr>
        <w:pStyle w:val="FootnoteText"/>
      </w:pPr>
      <w:r w:rsidRPr="00901D67">
        <w:rPr>
          <w:rStyle w:val="FootnoteReference"/>
        </w:rPr>
        <w:footnoteRef/>
      </w:r>
      <w:r w:rsidRPr="00901D67">
        <w:t xml:space="preserve"> </w:t>
      </w:r>
      <w:r w:rsidRPr="00901D67">
        <w:tab/>
      </w:r>
      <w:r w:rsidRPr="00901D67">
        <w:rPr>
          <w:rFonts w:eastAsia="Verdana"/>
          <w:lang w:val="es-CR"/>
        </w:rPr>
        <w:t>Los representantes indicaron</w:t>
      </w:r>
      <w:r w:rsidRPr="00901D67">
        <w:rPr>
          <w:rFonts w:eastAsia="Verdana"/>
          <w:b/>
          <w:lang w:val="es-CR"/>
        </w:rPr>
        <w:t xml:space="preserve"> </w:t>
      </w:r>
      <w:r w:rsidRPr="00901D67">
        <w:rPr>
          <w:rFonts w:eastAsia="Verdana"/>
          <w:lang w:val="es-CR"/>
        </w:rPr>
        <w:t>que las víctimas no fueron notificadas del otorgamiento de tal beneficio, por lo que se solicita</w:t>
      </w:r>
      <w:r w:rsidR="00F3543C">
        <w:rPr>
          <w:rFonts w:eastAsia="Verdana"/>
          <w:lang w:val="es-CR"/>
        </w:rPr>
        <w:t xml:space="preserve"> requerir información al Estado</w:t>
      </w:r>
      <w:r w:rsidRPr="00901D67">
        <w:rPr>
          <w:rFonts w:eastAsia="Verdana"/>
          <w:lang w:val="es-CR"/>
        </w:rPr>
        <w:t>, posteriormente el Estado aclara que la primera sentencia que acogió el beneficio de ejecución provisional fue revocada ordenando notificar a la única víctima que constaba en autos, a saber la señora Carmen Estrada de García, notificación que no pudo practicarse en virtud de un cam</w:t>
      </w:r>
      <w:r w:rsidR="00F3543C">
        <w:rPr>
          <w:rFonts w:eastAsia="Verdana"/>
          <w:lang w:val="es-CR"/>
        </w:rPr>
        <w:t>bio de domicilio no comunicado.</w:t>
      </w:r>
    </w:p>
  </w:footnote>
  <w:footnote w:id="9">
    <w:p w:rsidR="00A8163A" w:rsidRPr="00D23E43" w:rsidRDefault="00A8163A" w:rsidP="00A8163A">
      <w:pPr>
        <w:pStyle w:val="FootnoteText"/>
      </w:pPr>
      <w:r>
        <w:rPr>
          <w:rStyle w:val="FootnoteReference"/>
        </w:rPr>
        <w:footnoteRef/>
      </w:r>
      <w:r>
        <w:t xml:space="preserve"> </w:t>
      </w:r>
      <w:r w:rsidR="00EC5F58">
        <w:tab/>
      </w:r>
      <w:r>
        <w:rPr>
          <w:lang w:val="es-ES"/>
        </w:rPr>
        <w:t>En el informe de 7 de enero 2015 el Estado detalló la investigación de llamadas telefónicas y eventos que involucran la presencia de vehículos automotores, mismos hechos detallados previamente en el Informe de 14 de octubre de 2014, esto para determinar tanto la existencia de un delito como la participación</w:t>
      </w:r>
      <w:r w:rsidR="00F3543C">
        <w:rPr>
          <w:lang w:val="es-ES"/>
        </w:rPr>
        <w:t xml:space="preserve"> de algún sujeto en su comisión.</w:t>
      </w:r>
      <w:r>
        <w:rPr>
          <w:lang w:val="es-ES"/>
        </w:rPr>
        <w:t xml:space="preserve"> En ambos informes indicó que no fue posible determinar la individualización de presuntos implicados en concreto.</w:t>
      </w:r>
    </w:p>
  </w:footnote>
  <w:footnote w:id="10">
    <w:p w:rsidR="00A8163A" w:rsidRPr="00EB6BCB" w:rsidRDefault="00A8163A" w:rsidP="00A8163A">
      <w:pPr>
        <w:pStyle w:val="FootnoteText"/>
      </w:pPr>
      <w:r>
        <w:rPr>
          <w:rStyle w:val="FootnoteReference"/>
        </w:rPr>
        <w:footnoteRef/>
      </w:r>
      <w:r>
        <w:t xml:space="preserve"> </w:t>
      </w:r>
      <w:r w:rsidR="00EC5F58">
        <w:tab/>
      </w:r>
      <w:r w:rsidRPr="00DF09F9">
        <w:rPr>
          <w:i/>
        </w:rPr>
        <w:t>Caso García Prieto y Otros</w:t>
      </w:r>
      <w:r>
        <w:rPr>
          <w:i/>
        </w:rPr>
        <w:t xml:space="preserve"> </w:t>
      </w:r>
      <w:r w:rsidRPr="004915A7">
        <w:rPr>
          <w:i/>
        </w:rPr>
        <w:t>respecto de El Salvador</w:t>
      </w:r>
      <w:r>
        <w:t xml:space="preserve">. </w:t>
      </w:r>
      <w:r>
        <w:rPr>
          <w:lang w:val="es-ES"/>
        </w:rPr>
        <w:t xml:space="preserve">Medidas Provisionales. </w:t>
      </w:r>
      <w:r>
        <w:t xml:space="preserve">Resolución de la Corte de 26 de enero de 2015, Considerandos 17 y 22. </w:t>
      </w:r>
    </w:p>
  </w:footnote>
  <w:footnote w:id="11">
    <w:p w:rsidR="00A8163A" w:rsidRPr="0045762C" w:rsidRDefault="00A8163A" w:rsidP="00A8163A">
      <w:pPr>
        <w:pStyle w:val="FootnoteText"/>
        <w:rPr>
          <w:i/>
        </w:rPr>
      </w:pPr>
      <w:r>
        <w:rPr>
          <w:rStyle w:val="FootnoteReference"/>
        </w:rPr>
        <w:footnoteRef/>
      </w:r>
      <w:r>
        <w:t xml:space="preserve"> </w:t>
      </w:r>
      <w:r w:rsidR="00EC5F58">
        <w:tab/>
      </w:r>
      <w:r w:rsidRPr="00DF09F9">
        <w:rPr>
          <w:i/>
        </w:rPr>
        <w:t>Caso García Prieto y Otros</w:t>
      </w:r>
      <w:r>
        <w:t xml:space="preserve"> </w:t>
      </w:r>
      <w:r w:rsidRPr="00BF56C4">
        <w:rPr>
          <w:i/>
        </w:rPr>
        <w:t>respecto de El Salvador</w:t>
      </w:r>
      <w:r>
        <w:t xml:space="preserve">. </w:t>
      </w:r>
      <w:r>
        <w:rPr>
          <w:lang w:val="es-ES"/>
        </w:rPr>
        <w:t xml:space="preserve">Medidas Provisionales. </w:t>
      </w:r>
      <w:r>
        <w:t xml:space="preserve">Resolución de la Corte de 26 de enero de 2015, Considerando 5. La Corte citó los siguientes precedentes: </w:t>
      </w:r>
      <w:r>
        <w:rPr>
          <w:i/>
        </w:rPr>
        <w:t>Asunto Pilar Noriega García y otros</w:t>
      </w:r>
      <w:r w:rsidRPr="0045762C">
        <w:t xml:space="preserve"> </w:t>
      </w:r>
      <w:r w:rsidRPr="00BF56C4">
        <w:rPr>
          <w:i/>
        </w:rPr>
        <w:t>respecto de México</w:t>
      </w:r>
      <w:r w:rsidRPr="0045762C">
        <w:t xml:space="preserve">. </w:t>
      </w:r>
      <w:r>
        <w:rPr>
          <w:lang w:val="es-ES"/>
        </w:rPr>
        <w:t xml:space="preserve">Medidas Provisionales. </w:t>
      </w:r>
      <w:r w:rsidRPr="0045762C">
        <w:t>Resolución de la Corte de 6 de febrero de 2008, Considerando 14, y</w:t>
      </w:r>
      <w:r>
        <w:rPr>
          <w:i/>
        </w:rPr>
        <w:t xml:space="preserve"> Asunto Álvarez y otros</w:t>
      </w:r>
      <w:r w:rsidRPr="0045762C">
        <w:t xml:space="preserve"> </w:t>
      </w:r>
      <w:r w:rsidRPr="00BF56C4">
        <w:rPr>
          <w:i/>
        </w:rPr>
        <w:t>respecto de Colombia</w:t>
      </w:r>
      <w:r w:rsidRPr="0045762C">
        <w:t xml:space="preserve">. </w:t>
      </w:r>
      <w:r>
        <w:rPr>
          <w:lang w:val="es-ES"/>
        </w:rPr>
        <w:t xml:space="preserve">Medidas Provisionales. </w:t>
      </w:r>
      <w:r w:rsidRPr="0045762C">
        <w:t>Resolución de la Corte de 22 de mayo de 2013, Considerando 13.</w:t>
      </w:r>
    </w:p>
  </w:footnote>
  <w:footnote w:id="12">
    <w:p w:rsidR="00A8163A" w:rsidRPr="00382809" w:rsidRDefault="00A8163A" w:rsidP="00A8163A">
      <w:pPr>
        <w:pStyle w:val="FootnoteText"/>
      </w:pPr>
      <w:r>
        <w:rPr>
          <w:rStyle w:val="FootnoteReference"/>
        </w:rPr>
        <w:footnoteRef/>
      </w:r>
      <w:r>
        <w:t xml:space="preserve"> </w:t>
      </w:r>
      <w:r w:rsidR="00EC5F58">
        <w:tab/>
      </w:r>
      <w:r w:rsidRPr="00BF56C4">
        <w:rPr>
          <w:i/>
        </w:rPr>
        <w:t xml:space="preserve">Caso Carpio </w:t>
      </w:r>
      <w:proofErr w:type="spellStart"/>
      <w:r w:rsidRPr="00BF56C4">
        <w:rPr>
          <w:i/>
        </w:rPr>
        <w:t>Nicolle</w:t>
      </w:r>
      <w:proofErr w:type="spellEnd"/>
      <w:r w:rsidRPr="00BF56C4">
        <w:rPr>
          <w:i/>
        </w:rPr>
        <w:t xml:space="preserve"> y otros</w:t>
      </w:r>
      <w:r>
        <w:rPr>
          <w:i/>
          <w:iCs/>
        </w:rPr>
        <w:t xml:space="preserve">. </w:t>
      </w:r>
      <w:r>
        <w:rPr>
          <w:lang w:val="es-ES"/>
        </w:rPr>
        <w:t xml:space="preserve">Medidas Provisionales. </w:t>
      </w:r>
      <w:r>
        <w:t>Resolución de la Corte de 6 de julio de 2009, Considerando 24, y</w:t>
      </w:r>
      <w:r>
        <w:rPr>
          <w:i/>
          <w:iCs/>
          <w:lang w:val="es-ES"/>
        </w:rPr>
        <w:t xml:space="preserve"> Asunto Meléndez Quijano y otros respecto de El Salvador</w:t>
      </w:r>
      <w:r>
        <w:rPr>
          <w:lang w:val="es-ES"/>
        </w:rPr>
        <w:t>. Resolución de la Corte de 14 de octubre de 2014, Considerando 28.</w:t>
      </w:r>
    </w:p>
  </w:footnote>
  <w:footnote w:id="13">
    <w:p w:rsidR="00A8163A" w:rsidRPr="0045762C" w:rsidRDefault="00A8163A" w:rsidP="00A8163A">
      <w:pPr>
        <w:pStyle w:val="FootnoteText"/>
        <w:rPr>
          <w:b/>
        </w:rPr>
      </w:pPr>
      <w:r w:rsidRPr="00382809">
        <w:rPr>
          <w:rStyle w:val="FootnoteReference"/>
        </w:rPr>
        <w:footnoteRef/>
      </w:r>
      <w:r w:rsidRPr="0045762C">
        <w:rPr>
          <w:b/>
        </w:rPr>
        <w:t xml:space="preserve"> </w:t>
      </w:r>
      <w:r w:rsidR="00EC5F58">
        <w:rPr>
          <w:b/>
        </w:rPr>
        <w:tab/>
      </w:r>
      <w:r w:rsidRPr="00382809">
        <w:t>En el mismo sentido,</w:t>
      </w:r>
      <w:r w:rsidRPr="0097271C">
        <w:t xml:space="preserve"> </w:t>
      </w:r>
      <w:r w:rsidRPr="000020F9">
        <w:rPr>
          <w:rStyle w:val="Strong"/>
          <w:b w:val="0"/>
          <w:i/>
          <w:color w:val="000000"/>
          <w:shd w:val="clear" w:color="auto" w:fill="FFFFFF"/>
        </w:rPr>
        <w:t xml:space="preserve">Asunto Flores y Otra en relación con el Caso Torres </w:t>
      </w:r>
      <w:proofErr w:type="spellStart"/>
      <w:r w:rsidRPr="000020F9">
        <w:rPr>
          <w:rStyle w:val="Strong"/>
          <w:b w:val="0"/>
          <w:i/>
          <w:color w:val="000000"/>
          <w:shd w:val="clear" w:color="auto" w:fill="FFFFFF"/>
        </w:rPr>
        <w:t>Millacura</w:t>
      </w:r>
      <w:proofErr w:type="spellEnd"/>
      <w:r w:rsidRPr="000020F9">
        <w:rPr>
          <w:rStyle w:val="Strong"/>
          <w:b w:val="0"/>
          <w:i/>
          <w:color w:val="000000"/>
          <w:shd w:val="clear" w:color="auto" w:fill="FFFFFF"/>
        </w:rPr>
        <w:t xml:space="preserve"> y Otros Vs. Argentina.</w:t>
      </w:r>
      <w:r w:rsidRPr="00382809">
        <w:rPr>
          <w:rStyle w:val="Strong"/>
          <w:color w:val="000000"/>
          <w:shd w:val="clear" w:color="auto" w:fill="FFFFFF"/>
        </w:rPr>
        <w:t xml:space="preserve"> </w:t>
      </w:r>
      <w:r>
        <w:rPr>
          <w:lang w:val="es-ES"/>
        </w:rPr>
        <w:t xml:space="preserve">Medidas Provisionales. </w:t>
      </w:r>
      <w:r w:rsidRPr="000020F9">
        <w:rPr>
          <w:rStyle w:val="Strong"/>
          <w:b w:val="0"/>
          <w:color w:val="000000"/>
          <w:shd w:val="clear" w:color="auto" w:fill="FFFFFF"/>
        </w:rPr>
        <w:t>Resolución de la Corte Interamericana de Derechos Humanos de 26 de noviembre de 2013, Considerando 15.</w:t>
      </w:r>
      <w:r w:rsidRPr="00382809">
        <w:rPr>
          <w:rStyle w:val="Strong"/>
          <w:color w:val="000000"/>
          <w:shd w:val="clear" w:color="auto" w:fill="FFFFFF"/>
        </w:rPr>
        <w:t xml:space="preserve"> </w:t>
      </w:r>
    </w:p>
  </w:footnote>
  <w:footnote w:id="14">
    <w:p w:rsidR="00A8163A" w:rsidRPr="008C2EE0" w:rsidRDefault="00A8163A" w:rsidP="00A8163A">
      <w:pPr>
        <w:pStyle w:val="FootnoteText"/>
      </w:pPr>
      <w:r>
        <w:rPr>
          <w:rStyle w:val="FootnoteReference"/>
        </w:rPr>
        <w:footnoteRef/>
      </w:r>
      <w:r>
        <w:t xml:space="preserve"> </w:t>
      </w:r>
      <w:r w:rsidR="00EC5F58">
        <w:tab/>
      </w:r>
      <w:r>
        <w:rPr>
          <w:i/>
          <w:iCs/>
        </w:rPr>
        <w:t>Cfr</w:t>
      </w:r>
      <w:r>
        <w:t xml:space="preserve">. </w:t>
      </w:r>
      <w:r>
        <w:rPr>
          <w:i/>
          <w:iCs/>
        </w:rPr>
        <w:t xml:space="preserve">Asunto James y otros respecto de Trinidad y Tobago. </w:t>
      </w:r>
      <w:r>
        <w:rPr>
          <w:lang w:val="es-ES"/>
        </w:rPr>
        <w:t xml:space="preserve">Medidas Provisionales. </w:t>
      </w:r>
      <w:r>
        <w:t xml:space="preserve">Resolución de la Corte de 29 de agosto de 1998, Considerando 6, y </w:t>
      </w:r>
      <w:r>
        <w:rPr>
          <w:i/>
        </w:rPr>
        <w:t xml:space="preserve">Caso </w:t>
      </w:r>
      <w:proofErr w:type="spellStart"/>
      <w:r>
        <w:rPr>
          <w:i/>
        </w:rPr>
        <w:t>Mack</w:t>
      </w:r>
      <w:proofErr w:type="spellEnd"/>
      <w:r>
        <w:rPr>
          <w:i/>
        </w:rPr>
        <w:t xml:space="preserve"> Chang y otros respecto de Guatemala. </w:t>
      </w:r>
      <w:r>
        <w:rPr>
          <w:lang w:val="es-ES"/>
        </w:rPr>
        <w:t>Medidas Provisionales.</w:t>
      </w:r>
      <w:r>
        <w:rPr>
          <w:i/>
        </w:rPr>
        <w:t xml:space="preserve"> </w:t>
      </w:r>
      <w:r>
        <w:t>Resolución de 26 de enero de 2015, Considerando 5.</w:t>
      </w:r>
    </w:p>
  </w:footnote>
  <w:footnote w:id="15">
    <w:p w:rsidR="00A8163A" w:rsidRPr="000020F9" w:rsidRDefault="00A8163A" w:rsidP="00A8163A">
      <w:pPr>
        <w:pStyle w:val="FootnoteText"/>
      </w:pPr>
      <w:r>
        <w:rPr>
          <w:rStyle w:val="FootnoteReference"/>
        </w:rPr>
        <w:footnoteRef/>
      </w:r>
      <w:r>
        <w:t xml:space="preserve"> </w:t>
      </w:r>
      <w:r w:rsidR="00EC5F58">
        <w:tab/>
      </w:r>
      <w:r>
        <w:rPr>
          <w:i/>
          <w:iCs/>
        </w:rPr>
        <w:t xml:space="preserve">Cfr. Caso Carpio </w:t>
      </w:r>
      <w:proofErr w:type="spellStart"/>
      <w:r>
        <w:rPr>
          <w:i/>
          <w:iCs/>
        </w:rPr>
        <w:t>Nicolle</w:t>
      </w:r>
      <w:proofErr w:type="spellEnd"/>
      <w:r>
        <w:rPr>
          <w:i/>
          <w:iCs/>
        </w:rPr>
        <w:t xml:space="preserve"> y otros. </w:t>
      </w:r>
      <w:r>
        <w:rPr>
          <w:lang w:val="es-ES"/>
        </w:rPr>
        <w:t>Medidas Provisionales</w:t>
      </w:r>
      <w:r>
        <w:t>, Considerando 2</w:t>
      </w:r>
      <w:r>
        <w:rPr>
          <w:i/>
          <w:iCs/>
        </w:rPr>
        <w:t xml:space="preserve">, </w:t>
      </w:r>
      <w:r>
        <w:t xml:space="preserve">y  </w:t>
      </w:r>
      <w:r w:rsidRPr="000020F9">
        <w:rPr>
          <w:rStyle w:val="Strong"/>
          <w:b w:val="0"/>
          <w:i/>
          <w:color w:val="000000"/>
          <w:shd w:val="clear" w:color="auto" w:fill="FFFFFF"/>
        </w:rPr>
        <w:t>Asunto Castro Rodríguez respecto de México</w:t>
      </w:r>
      <w:r w:rsidRPr="000020F9">
        <w:rPr>
          <w:rStyle w:val="Strong"/>
          <w:b w:val="0"/>
          <w:color w:val="000000"/>
          <w:shd w:val="clear" w:color="auto" w:fill="FFFFFF"/>
        </w:rPr>
        <w:t>.</w:t>
      </w:r>
      <w:r w:rsidRPr="000020F9">
        <w:rPr>
          <w:rStyle w:val="Strong"/>
          <w:color w:val="000000"/>
          <w:shd w:val="clear" w:color="auto" w:fill="FFFFFF"/>
        </w:rPr>
        <w:t xml:space="preserve"> </w:t>
      </w:r>
      <w:r w:rsidRPr="000020F9">
        <w:rPr>
          <w:lang w:val="es-ES"/>
        </w:rPr>
        <w:t xml:space="preserve">Medidas Provisionales. </w:t>
      </w:r>
      <w:r w:rsidRPr="000020F9">
        <w:rPr>
          <w:rStyle w:val="Strong"/>
          <w:b w:val="0"/>
          <w:color w:val="000000"/>
          <w:shd w:val="clear" w:color="auto" w:fill="FFFFFF"/>
        </w:rPr>
        <w:t>Resolución de la Corte Interamericana de Derechos Humanos de 23 de junio de 2015</w:t>
      </w:r>
      <w:r w:rsidRPr="000020F9">
        <w:rPr>
          <w:b/>
          <w:i/>
          <w:iCs/>
        </w:rPr>
        <w:t>,</w:t>
      </w:r>
      <w:r w:rsidRPr="000020F9">
        <w:rPr>
          <w:iCs/>
        </w:rPr>
        <w:t xml:space="preserve"> Considerando 2.</w:t>
      </w:r>
    </w:p>
  </w:footnote>
  <w:footnote w:id="16">
    <w:p w:rsidR="00A8163A" w:rsidRPr="00EC093E" w:rsidRDefault="00A8163A" w:rsidP="00A8163A">
      <w:pPr>
        <w:pStyle w:val="FootnoteText"/>
      </w:pPr>
      <w:r>
        <w:rPr>
          <w:rStyle w:val="FootnoteReference"/>
        </w:rPr>
        <w:footnoteRef/>
      </w:r>
      <w:r>
        <w:t xml:space="preserve"> </w:t>
      </w:r>
      <w:r w:rsidR="00EC5F58">
        <w:tab/>
      </w:r>
      <w:r>
        <w:rPr>
          <w:i/>
          <w:iCs/>
        </w:rPr>
        <w:t>Cfr. Caso del Tribunal Constitucional</w:t>
      </w:r>
      <w:r>
        <w:t xml:space="preserve"> </w:t>
      </w:r>
      <w:r w:rsidRPr="00BF56C4">
        <w:rPr>
          <w:i/>
        </w:rPr>
        <w:t>respecto del Perú</w:t>
      </w:r>
      <w:r>
        <w:t xml:space="preserve">. </w:t>
      </w:r>
      <w:r>
        <w:rPr>
          <w:lang w:val="es-ES"/>
        </w:rPr>
        <w:t xml:space="preserve">Medidas Provisionales. </w:t>
      </w:r>
      <w:r>
        <w:t>Resolución de la Corte de 14 de marzo de 2001</w:t>
      </w:r>
      <w:r>
        <w:rPr>
          <w:i/>
          <w:iCs/>
        </w:rPr>
        <w:t xml:space="preserve">, </w:t>
      </w:r>
      <w:r>
        <w:t xml:space="preserve">Considerando 4, y </w:t>
      </w:r>
      <w:r w:rsidRPr="000020F9">
        <w:rPr>
          <w:rStyle w:val="Strong"/>
          <w:b w:val="0"/>
          <w:i/>
          <w:color w:val="000000"/>
          <w:shd w:val="clear" w:color="auto" w:fill="FFFFFF"/>
        </w:rPr>
        <w:t>Caso Rosendo Cantú y Otra respecto de México</w:t>
      </w:r>
      <w:r w:rsidRPr="000020F9">
        <w:rPr>
          <w:rStyle w:val="Strong"/>
          <w:b w:val="0"/>
          <w:color w:val="000000"/>
          <w:shd w:val="clear" w:color="auto" w:fill="FFFFFF"/>
        </w:rPr>
        <w:t>.</w:t>
      </w:r>
      <w:r w:rsidRPr="00865B72">
        <w:rPr>
          <w:rStyle w:val="Strong"/>
          <w:color w:val="000000"/>
          <w:shd w:val="clear" w:color="auto" w:fill="FFFFFF"/>
        </w:rPr>
        <w:t xml:space="preserve"> </w:t>
      </w:r>
      <w:r>
        <w:rPr>
          <w:lang w:val="es-ES"/>
        </w:rPr>
        <w:t xml:space="preserve">Medidas Provisionales. </w:t>
      </w:r>
      <w:r w:rsidRPr="000020F9">
        <w:rPr>
          <w:rStyle w:val="Strong"/>
          <w:b w:val="0"/>
          <w:color w:val="000000"/>
          <w:shd w:val="clear" w:color="auto" w:fill="FFFFFF"/>
        </w:rPr>
        <w:t>Resolución de la Corte Interamericana de Derechos Humanos de 23 de junio de 2015</w:t>
      </w:r>
      <w:r w:rsidRPr="000020F9">
        <w:rPr>
          <w:b/>
          <w:iCs/>
        </w:rPr>
        <w:t>,</w:t>
      </w:r>
      <w:r>
        <w:rPr>
          <w:iCs/>
        </w:rPr>
        <w:t xml:space="preserve"> Considerando 31.</w:t>
      </w:r>
    </w:p>
  </w:footnote>
  <w:footnote w:id="17">
    <w:p w:rsidR="00A8163A" w:rsidRDefault="00A8163A" w:rsidP="00A8163A">
      <w:pPr>
        <w:pStyle w:val="FootnoteText"/>
      </w:pPr>
      <w:r>
        <w:rPr>
          <w:rStyle w:val="FootnoteReference"/>
        </w:rPr>
        <w:footnoteRef/>
      </w:r>
      <w:r>
        <w:t xml:space="preserve"> </w:t>
      </w:r>
      <w:r w:rsidR="00EC5F58">
        <w:tab/>
      </w:r>
      <w:r>
        <w:rPr>
          <w:i/>
          <w:iCs/>
        </w:rPr>
        <w:t xml:space="preserve">Cfr. Asunto Comunidades del </w:t>
      </w:r>
      <w:proofErr w:type="spellStart"/>
      <w:r>
        <w:rPr>
          <w:i/>
          <w:iCs/>
        </w:rPr>
        <w:t>Jiguamiandó</w:t>
      </w:r>
      <w:proofErr w:type="spellEnd"/>
      <w:r>
        <w:rPr>
          <w:i/>
          <w:iCs/>
        </w:rPr>
        <w:t xml:space="preserve"> y del </w:t>
      </w:r>
      <w:proofErr w:type="spellStart"/>
      <w:r>
        <w:rPr>
          <w:i/>
          <w:iCs/>
        </w:rPr>
        <w:t>Curbaradó</w:t>
      </w:r>
      <w:proofErr w:type="spellEnd"/>
      <w:r>
        <w:t xml:space="preserve"> </w:t>
      </w:r>
      <w:r w:rsidRPr="00BF56C4">
        <w:rPr>
          <w:i/>
        </w:rPr>
        <w:t>respecto de Colombia</w:t>
      </w:r>
      <w:r>
        <w:t xml:space="preserve">. </w:t>
      </w:r>
      <w:r>
        <w:rPr>
          <w:lang w:val="es-ES"/>
        </w:rPr>
        <w:t xml:space="preserve">Medidas Provisionales. </w:t>
      </w:r>
      <w:r>
        <w:t xml:space="preserve">Resolución de la Corte de 30 de agosto de 2010, Considerando 70, y </w:t>
      </w:r>
      <w:r>
        <w:rPr>
          <w:i/>
          <w:iCs/>
        </w:rPr>
        <w:t xml:space="preserve">Asunto Meléndez Quijano y otro respecto de El Salvador. </w:t>
      </w:r>
      <w:r>
        <w:rPr>
          <w:lang w:val="es-ES"/>
        </w:rPr>
        <w:t xml:space="preserve">Medidas Provisionales. </w:t>
      </w:r>
      <w:r>
        <w:rPr>
          <w:iCs/>
        </w:rPr>
        <w:t>Resolución de 17 de abril de 2015, Considerando 20.</w:t>
      </w:r>
    </w:p>
  </w:footnote>
  <w:footnote w:id="18">
    <w:p w:rsidR="00A8163A" w:rsidRDefault="00A8163A" w:rsidP="00A8163A">
      <w:pPr>
        <w:pStyle w:val="FootnoteText"/>
      </w:pPr>
      <w:r>
        <w:rPr>
          <w:rStyle w:val="FootnoteReference"/>
        </w:rPr>
        <w:footnoteRef/>
      </w:r>
      <w:r>
        <w:t xml:space="preserve"> </w:t>
      </w:r>
      <w:r w:rsidR="00EC5F58">
        <w:tab/>
      </w:r>
      <w:r w:rsidRPr="00BF56C4">
        <w:rPr>
          <w:i/>
        </w:rPr>
        <w:t xml:space="preserve">Asunto del Pueblo Indígena </w:t>
      </w:r>
      <w:proofErr w:type="spellStart"/>
      <w:r w:rsidRPr="00BF56C4">
        <w:rPr>
          <w:i/>
        </w:rPr>
        <w:t>Kankuamo</w:t>
      </w:r>
      <w:proofErr w:type="spellEnd"/>
      <w:r>
        <w:rPr>
          <w:i/>
        </w:rPr>
        <w:t xml:space="preserve"> </w:t>
      </w:r>
      <w:r w:rsidRPr="00BF56C4">
        <w:rPr>
          <w:i/>
        </w:rPr>
        <w:t>respecto de Colombia</w:t>
      </w:r>
      <w:r>
        <w:t xml:space="preserve">. </w:t>
      </w:r>
      <w:r>
        <w:rPr>
          <w:lang w:val="es-ES"/>
        </w:rPr>
        <w:t xml:space="preserve">Medidas Provisionales. </w:t>
      </w:r>
      <w:r>
        <w:t xml:space="preserve">Resolución de la Corte de 3 de abril de 2009, Considerando 7, </w:t>
      </w:r>
      <w:r w:rsidRPr="0097271C">
        <w:rPr>
          <w:iCs/>
        </w:rPr>
        <w:t>y</w:t>
      </w:r>
      <w:r>
        <w:rPr>
          <w:i/>
          <w:iCs/>
        </w:rPr>
        <w:t xml:space="preserve"> </w:t>
      </w:r>
      <w:r w:rsidRPr="000020F9">
        <w:rPr>
          <w:rStyle w:val="Strong"/>
          <w:b w:val="0"/>
          <w:i/>
          <w:color w:val="000000"/>
          <w:shd w:val="clear" w:color="auto" w:fill="FFFFFF"/>
        </w:rPr>
        <w:t>Caso Rosendo Cantú y Otra respecto de México.</w:t>
      </w:r>
      <w:r>
        <w:rPr>
          <w:rStyle w:val="Strong"/>
          <w:i/>
          <w:color w:val="000000"/>
          <w:shd w:val="clear" w:color="auto" w:fill="FFFFFF"/>
        </w:rPr>
        <w:t xml:space="preserve"> </w:t>
      </w:r>
      <w:r>
        <w:rPr>
          <w:lang w:val="es-ES"/>
        </w:rPr>
        <w:t>Medidas Provisionales</w:t>
      </w:r>
      <w:r>
        <w:t>, Considerando 36.</w:t>
      </w:r>
    </w:p>
  </w:footnote>
  <w:footnote w:id="19">
    <w:p w:rsidR="00A8163A" w:rsidRDefault="00A8163A" w:rsidP="00A8163A">
      <w:pPr>
        <w:pStyle w:val="BodyText"/>
        <w:spacing w:before="120"/>
        <w:jc w:val="both"/>
        <w:rPr>
          <w:rFonts w:ascii="Verdana" w:hAnsi="Verdana"/>
          <w:sz w:val="16"/>
          <w:szCs w:val="16"/>
        </w:rPr>
      </w:pPr>
      <w:r>
        <w:rPr>
          <w:rStyle w:val="FootnoteReference"/>
          <w:rFonts w:cs="Arial"/>
          <w:szCs w:val="16"/>
          <w:lang w:val="es-CR"/>
        </w:rPr>
        <w:footnoteRef/>
      </w:r>
      <w:r>
        <w:rPr>
          <w:rFonts w:ascii="Verdana" w:hAnsi="Verdana" w:cs="Arial"/>
          <w:sz w:val="16"/>
          <w:szCs w:val="16"/>
          <w:lang w:val="es-CR"/>
        </w:rPr>
        <w:t xml:space="preserve"> </w:t>
      </w:r>
      <w:r>
        <w:rPr>
          <w:rFonts w:ascii="Verdana" w:hAnsi="Verdana" w:cs="Arial"/>
          <w:sz w:val="16"/>
          <w:szCs w:val="16"/>
          <w:lang w:val="es-CR"/>
        </w:rPr>
        <w:tab/>
      </w:r>
      <w:r>
        <w:rPr>
          <w:rFonts w:ascii="Verdana" w:hAnsi="Verdana" w:cs="Arial"/>
          <w:i/>
          <w:sz w:val="16"/>
          <w:szCs w:val="16"/>
          <w:lang w:val="es-CR"/>
        </w:rPr>
        <w:t xml:space="preserve">Cfr. Asunto del Centro Penitenciario Región Capital Yare I y Yare II respecto Venezuela. </w:t>
      </w:r>
      <w:r>
        <w:rPr>
          <w:rFonts w:ascii="Verdana" w:hAnsi="Verdana"/>
          <w:sz w:val="16"/>
          <w:szCs w:val="16"/>
          <w:lang w:val="es-ES"/>
        </w:rPr>
        <w:t xml:space="preserve">Medidas Provisionales. </w:t>
      </w:r>
      <w:r>
        <w:rPr>
          <w:rFonts w:ascii="Verdana" w:hAnsi="Verdana" w:cs="Arial"/>
          <w:sz w:val="16"/>
          <w:szCs w:val="16"/>
          <w:lang w:val="es-CR"/>
        </w:rPr>
        <w:t>Resolución de la Corte de 24 de noviembre de 2009</w:t>
      </w:r>
      <w:r>
        <w:rPr>
          <w:rFonts w:ascii="Verdana" w:hAnsi="Verdana"/>
          <w:sz w:val="16"/>
          <w:szCs w:val="16"/>
          <w:lang w:val="es-CR"/>
        </w:rPr>
        <w:t>, Considerando 3</w:t>
      </w:r>
      <w:r>
        <w:rPr>
          <w:rFonts w:ascii="Verdana" w:hAnsi="Verdana" w:cs="Times-Roman"/>
          <w:sz w:val="16"/>
          <w:szCs w:val="16"/>
        </w:rPr>
        <w:t xml:space="preserve">, y </w:t>
      </w:r>
      <w:r w:rsidRPr="000020F9">
        <w:rPr>
          <w:rStyle w:val="Strong"/>
          <w:rFonts w:ascii="Verdana" w:hAnsi="Verdana"/>
          <w:b w:val="0"/>
          <w:i/>
          <w:color w:val="000000"/>
          <w:sz w:val="16"/>
          <w:szCs w:val="16"/>
          <w:shd w:val="clear" w:color="auto" w:fill="FFFFFF"/>
        </w:rPr>
        <w:t xml:space="preserve">Caso Gonzales </w:t>
      </w:r>
      <w:proofErr w:type="spellStart"/>
      <w:r w:rsidRPr="000020F9">
        <w:rPr>
          <w:rStyle w:val="Strong"/>
          <w:rFonts w:ascii="Verdana" w:hAnsi="Verdana"/>
          <w:b w:val="0"/>
          <w:i/>
          <w:color w:val="000000"/>
          <w:sz w:val="16"/>
          <w:szCs w:val="16"/>
          <w:shd w:val="clear" w:color="auto" w:fill="FFFFFF"/>
        </w:rPr>
        <w:t>Lluy</w:t>
      </w:r>
      <w:proofErr w:type="spellEnd"/>
      <w:r w:rsidRPr="000020F9">
        <w:rPr>
          <w:rStyle w:val="Strong"/>
          <w:rFonts w:ascii="Verdana" w:hAnsi="Verdana"/>
          <w:b w:val="0"/>
          <w:i/>
          <w:color w:val="000000"/>
          <w:sz w:val="16"/>
          <w:szCs w:val="16"/>
          <w:shd w:val="clear" w:color="auto" w:fill="FFFFFF"/>
        </w:rPr>
        <w:t xml:space="preserve"> y otros respecto de Ecuador</w:t>
      </w:r>
      <w:r w:rsidRPr="003B7414">
        <w:rPr>
          <w:rStyle w:val="Strong"/>
          <w:rFonts w:ascii="Verdana" w:hAnsi="Verdana"/>
          <w:b w:val="0"/>
          <w:color w:val="000000"/>
          <w:sz w:val="16"/>
          <w:szCs w:val="16"/>
          <w:shd w:val="clear" w:color="auto" w:fill="FFFFFF"/>
        </w:rPr>
        <w:t xml:space="preserve">. </w:t>
      </w:r>
      <w:r w:rsidRPr="003B7414">
        <w:rPr>
          <w:rFonts w:ascii="Verdana" w:hAnsi="Verdana"/>
          <w:sz w:val="16"/>
          <w:szCs w:val="16"/>
          <w:lang w:val="es-ES"/>
        </w:rPr>
        <w:t>M</w:t>
      </w:r>
      <w:r>
        <w:rPr>
          <w:rFonts w:ascii="Verdana" w:hAnsi="Verdana"/>
          <w:sz w:val="16"/>
          <w:szCs w:val="16"/>
          <w:lang w:val="es-ES"/>
        </w:rPr>
        <w:t xml:space="preserve">edidas Provisionales. </w:t>
      </w:r>
      <w:r w:rsidRPr="000020F9">
        <w:rPr>
          <w:rStyle w:val="Strong"/>
          <w:rFonts w:ascii="Verdana" w:hAnsi="Verdana"/>
          <w:b w:val="0"/>
          <w:color w:val="000000"/>
          <w:sz w:val="16"/>
          <w:szCs w:val="16"/>
          <w:shd w:val="clear" w:color="auto" w:fill="FFFFFF"/>
        </w:rPr>
        <w:t>Resolución de la Corte Interamericana de Derechos Humanos de 2 de septiembre de 2015, Considerando 7</w:t>
      </w:r>
      <w:r w:rsidRPr="004E73FC">
        <w:rPr>
          <w:rFonts w:ascii="Verdana" w:hAnsi="Verdana"/>
          <w:sz w:val="16"/>
          <w:szCs w:val="16"/>
        </w:rPr>
        <w:t>.</w:t>
      </w:r>
    </w:p>
  </w:footnote>
  <w:footnote w:id="20">
    <w:p w:rsidR="00A8163A" w:rsidRDefault="00A8163A" w:rsidP="00A8163A">
      <w:pPr>
        <w:pStyle w:val="FootnoteText"/>
        <w:spacing w:before="0" w:after="0"/>
        <w:rPr>
          <w:rFonts w:cs="Arial"/>
        </w:rPr>
      </w:pPr>
      <w:r w:rsidRPr="00A354EF">
        <w:rPr>
          <w:rStyle w:val="FootnoteReference"/>
        </w:rPr>
        <w:footnoteRef/>
      </w:r>
      <w:r w:rsidRPr="00A354EF">
        <w:rPr>
          <w:lang w:val="es-ES"/>
        </w:rPr>
        <w:t xml:space="preserve"> </w:t>
      </w:r>
      <w:r w:rsidRPr="00A354EF">
        <w:rPr>
          <w:lang w:val="es-ES"/>
        </w:rPr>
        <w:tab/>
      </w:r>
      <w:r w:rsidRPr="00A354EF">
        <w:rPr>
          <w:i/>
          <w:lang w:val="es-ES"/>
        </w:rPr>
        <w:t>Cfr. Asunto de la Comunidad de Paz de San José de Apartadó</w:t>
      </w:r>
      <w:r w:rsidRPr="00BF56C4">
        <w:rPr>
          <w:i/>
          <w:lang w:val="es-ES"/>
        </w:rPr>
        <w:t xml:space="preserve"> respecto de Colombia</w:t>
      </w:r>
      <w:r w:rsidRPr="00A354EF">
        <w:rPr>
          <w:lang w:val="es-ES"/>
        </w:rPr>
        <w:t xml:space="preserve">. </w:t>
      </w:r>
      <w:r>
        <w:rPr>
          <w:lang w:val="es-ES"/>
        </w:rPr>
        <w:t xml:space="preserve">Medidas Provisionales. </w:t>
      </w:r>
      <w:r w:rsidRPr="00A354EF">
        <w:rPr>
          <w:lang w:val="es-ES"/>
        </w:rPr>
        <w:t xml:space="preserve">Resolución de la Corte de 18 de junio de 2002, </w:t>
      </w:r>
      <w:r>
        <w:rPr>
          <w:lang w:val="es-ES"/>
        </w:rPr>
        <w:t>C</w:t>
      </w:r>
      <w:r w:rsidRPr="00A354EF">
        <w:rPr>
          <w:lang w:val="es-ES"/>
        </w:rPr>
        <w:t>onsiderando</w:t>
      </w:r>
      <w:r>
        <w:rPr>
          <w:lang w:val="es-ES"/>
        </w:rPr>
        <w:t>11</w:t>
      </w:r>
      <w:r w:rsidRPr="00A354EF">
        <w:rPr>
          <w:lang w:val="es-ES"/>
        </w:rPr>
        <w:t xml:space="preserve">, y </w:t>
      </w:r>
      <w:r w:rsidRPr="000020F9">
        <w:rPr>
          <w:rStyle w:val="Strong"/>
          <w:b w:val="0"/>
          <w:i/>
          <w:color w:val="000000"/>
          <w:shd w:val="clear" w:color="auto" w:fill="FFFFFF"/>
        </w:rPr>
        <w:t xml:space="preserve">Caso Torres </w:t>
      </w:r>
      <w:proofErr w:type="spellStart"/>
      <w:r w:rsidRPr="000020F9">
        <w:rPr>
          <w:rStyle w:val="Strong"/>
          <w:b w:val="0"/>
          <w:i/>
          <w:color w:val="000000"/>
          <w:shd w:val="clear" w:color="auto" w:fill="FFFFFF"/>
        </w:rPr>
        <w:t>Millacura</w:t>
      </w:r>
      <w:proofErr w:type="spellEnd"/>
      <w:r w:rsidRPr="000020F9">
        <w:rPr>
          <w:rStyle w:val="Strong"/>
          <w:b w:val="0"/>
          <w:i/>
          <w:color w:val="000000"/>
          <w:shd w:val="clear" w:color="auto" w:fill="FFFFFF"/>
        </w:rPr>
        <w:t xml:space="preserve"> y otros respecto de Argentina</w:t>
      </w:r>
      <w:r w:rsidRPr="000020F9">
        <w:rPr>
          <w:rStyle w:val="Strong"/>
          <w:b w:val="0"/>
          <w:color w:val="000000"/>
          <w:shd w:val="clear" w:color="auto" w:fill="FFFFFF"/>
        </w:rPr>
        <w:t>. Medidas Provisionales. Resolución de la Corte Interamericana de Derechos Humanos de 23 de junio de 2015</w:t>
      </w:r>
      <w:r>
        <w:rPr>
          <w:rFonts w:cs="Arial"/>
          <w:i/>
        </w:rPr>
        <w:t>,</w:t>
      </w:r>
      <w:r>
        <w:rPr>
          <w:rFonts w:cs="Arial"/>
        </w:rPr>
        <w:t xml:space="preserve"> Considerando 10.</w:t>
      </w:r>
    </w:p>
    <w:p w:rsidR="00A8163A" w:rsidRPr="00A354EF" w:rsidRDefault="00A8163A" w:rsidP="00A8163A">
      <w:pPr>
        <w:pStyle w:val="FootnoteText"/>
        <w:spacing w:before="0" w:after="0"/>
        <w:rPr>
          <w:lang w:val="es-ES"/>
        </w:rPr>
      </w:pPr>
    </w:p>
  </w:footnote>
  <w:footnote w:id="21">
    <w:p w:rsidR="00A8163A" w:rsidRPr="00E20A13" w:rsidRDefault="00A8163A" w:rsidP="00A8163A">
      <w:pPr>
        <w:pStyle w:val="FootnoteText"/>
        <w:spacing w:before="0" w:after="0"/>
        <w:rPr>
          <w:lang w:val="es-MX"/>
        </w:rPr>
      </w:pPr>
      <w:r w:rsidRPr="00A354EF">
        <w:rPr>
          <w:rStyle w:val="FootnoteReference"/>
        </w:rPr>
        <w:footnoteRef/>
      </w:r>
      <w:r w:rsidRPr="00A354EF">
        <w:rPr>
          <w:lang w:val="es-MX"/>
        </w:rPr>
        <w:t xml:space="preserve"> </w:t>
      </w:r>
      <w:r w:rsidRPr="00A354EF">
        <w:rPr>
          <w:lang w:val="es-MX"/>
        </w:rPr>
        <w:tab/>
      </w:r>
      <w:r w:rsidRPr="00A354EF">
        <w:rPr>
          <w:i/>
          <w:lang w:val="es-MX"/>
        </w:rPr>
        <w:t xml:space="preserve">Cfr. Caso Gutiérrez Soler Vs. Colombia. </w:t>
      </w:r>
      <w:r w:rsidR="00EC5F58">
        <w:rPr>
          <w:lang w:val="es-ES"/>
        </w:rPr>
        <w:t xml:space="preserve">Medidas Provisionales. </w:t>
      </w:r>
      <w:r w:rsidRPr="00A354EF">
        <w:rPr>
          <w:lang w:val="es-MX"/>
        </w:rPr>
        <w:t xml:space="preserve">Resolución de la Corte de 23 de octubre de 2012, </w:t>
      </w:r>
      <w:r>
        <w:rPr>
          <w:lang w:val="es-MX"/>
        </w:rPr>
        <w:t>Considerando 21</w:t>
      </w:r>
      <w:r w:rsidRPr="00A354EF">
        <w:rPr>
          <w:lang w:val="es-MX"/>
        </w:rPr>
        <w:t xml:space="preserve">, y </w:t>
      </w:r>
      <w:r w:rsidRPr="000020F9">
        <w:rPr>
          <w:rStyle w:val="Strong"/>
          <w:b w:val="0"/>
          <w:i/>
          <w:color w:val="000000"/>
          <w:shd w:val="clear" w:color="auto" w:fill="FFFFFF"/>
        </w:rPr>
        <w:t xml:space="preserve">Caso Torres </w:t>
      </w:r>
      <w:proofErr w:type="spellStart"/>
      <w:r w:rsidRPr="000020F9">
        <w:rPr>
          <w:rStyle w:val="Strong"/>
          <w:b w:val="0"/>
          <w:i/>
          <w:color w:val="000000"/>
          <w:shd w:val="clear" w:color="auto" w:fill="FFFFFF"/>
        </w:rPr>
        <w:t>Millacura</w:t>
      </w:r>
      <w:proofErr w:type="spellEnd"/>
      <w:r w:rsidRPr="000020F9">
        <w:rPr>
          <w:rStyle w:val="Strong"/>
          <w:b w:val="0"/>
          <w:i/>
          <w:color w:val="000000"/>
          <w:shd w:val="clear" w:color="auto" w:fill="FFFFFF"/>
        </w:rPr>
        <w:t xml:space="preserve"> y otros respecto de Argentina</w:t>
      </w:r>
      <w:r w:rsidRPr="000020F9">
        <w:rPr>
          <w:rStyle w:val="Strong"/>
          <w:b w:val="0"/>
          <w:color w:val="000000"/>
          <w:shd w:val="clear" w:color="auto" w:fill="FFFFFF"/>
        </w:rPr>
        <w:t>. Medidas Provisionales</w:t>
      </w:r>
      <w:r w:rsidRPr="000020F9">
        <w:rPr>
          <w:rFonts w:cs="Arial"/>
          <w:b/>
        </w:rPr>
        <w:t>,</w:t>
      </w:r>
      <w:r>
        <w:rPr>
          <w:rFonts w:cs="Arial"/>
        </w:rPr>
        <w:t xml:space="preserve"> Considerando 10.</w:t>
      </w:r>
    </w:p>
  </w:footnote>
  <w:footnote w:id="22">
    <w:p w:rsidR="009104DA" w:rsidRPr="00CD0D01" w:rsidRDefault="009104DA" w:rsidP="009104DA">
      <w:pPr>
        <w:pStyle w:val="FootnoteText"/>
        <w:rPr>
          <w:lang w:val="es-ES"/>
        </w:rPr>
      </w:pPr>
      <w:r>
        <w:rPr>
          <w:rStyle w:val="FootnoteReference"/>
        </w:rPr>
        <w:footnoteRef/>
      </w:r>
      <w:r>
        <w:t xml:space="preserve"> </w:t>
      </w:r>
      <w:r w:rsidRPr="00AC2B06">
        <w:rPr>
          <w:rFonts w:cs="Calibri"/>
          <w:i/>
          <w:lang w:val="es-MX"/>
        </w:rPr>
        <w:t>Voto Disidente del Juez Eduardo Vio Grossi, Corte Interamericana de Derechos Humanos, de 21 de enero de 2015, Medidas Provisionales respecto de El Salvador Caso García Prie</w:t>
      </w:r>
      <w:bookmarkStart w:id="1" w:name="_GoBack"/>
      <w:bookmarkEnd w:id="1"/>
      <w:r w:rsidRPr="00AC2B06">
        <w:rPr>
          <w:rFonts w:cs="Calibri"/>
          <w:i/>
          <w:lang w:val="es-MX"/>
        </w:rPr>
        <w:t>to y Otros.</w:t>
      </w:r>
    </w:p>
  </w:footnote>
  <w:footnote w:id="23">
    <w:p w:rsidR="009104DA" w:rsidRPr="00A3191D" w:rsidRDefault="009104DA" w:rsidP="009104DA">
      <w:pPr>
        <w:pStyle w:val="FootnoteText"/>
        <w:spacing w:after="240"/>
        <w:rPr>
          <w:lang w:val="es-ES"/>
        </w:rPr>
      </w:pPr>
      <w:r>
        <w:rPr>
          <w:rStyle w:val="FootnoteReference"/>
        </w:rPr>
        <w:footnoteRef/>
      </w:r>
      <w:r>
        <w:t xml:space="preserve"> </w:t>
      </w:r>
      <w:r w:rsidRPr="00A3191D">
        <w:rPr>
          <w:rFonts w:cs="Calibri"/>
          <w:lang w:val="es-MX"/>
        </w:rPr>
        <w:t>Especialmente en los Votos Disidentes relativos a “</w:t>
      </w:r>
      <w:r w:rsidRPr="00A3191D">
        <w:rPr>
          <w:rFonts w:cs="Calibri"/>
          <w:i/>
          <w:lang w:val="es-MX"/>
        </w:rPr>
        <w:t>Medidas Provisionales respecto de la República de Colombia, Caso Gutiérrez Soler Vs. Colombia</w:t>
      </w:r>
      <w:r w:rsidRPr="00A3191D">
        <w:rPr>
          <w:rFonts w:cs="Calibri"/>
          <w:lang w:val="es-MX"/>
        </w:rPr>
        <w:t>”, de 30 de junio de 2011; “</w:t>
      </w:r>
      <w:r w:rsidRPr="00A3191D">
        <w:rPr>
          <w:rFonts w:cs="Calibri"/>
          <w:i/>
          <w:lang w:val="es-MX"/>
        </w:rPr>
        <w:t>Medidas Provisionales respecto de los Estados Unidos Mexicanos, Caso Rosendo Cantú y otra Vs. México</w:t>
      </w:r>
      <w:r w:rsidRPr="00A3191D">
        <w:rPr>
          <w:rFonts w:cs="Calibri"/>
          <w:lang w:val="es-MX"/>
        </w:rPr>
        <w:t>”, de 1 de julio de 2011, “</w:t>
      </w:r>
      <w:r w:rsidRPr="00A3191D">
        <w:rPr>
          <w:rFonts w:cs="Calibri"/>
          <w:i/>
          <w:lang w:val="es-MX"/>
        </w:rPr>
        <w:t xml:space="preserve">Medidas Provisionales respecto de la República de Honduras, Caso </w:t>
      </w:r>
      <w:proofErr w:type="spellStart"/>
      <w:r w:rsidRPr="00A3191D">
        <w:rPr>
          <w:rFonts w:cs="Calibri"/>
          <w:i/>
          <w:lang w:val="es-MX"/>
        </w:rPr>
        <w:t>Kawas</w:t>
      </w:r>
      <w:proofErr w:type="spellEnd"/>
      <w:r w:rsidRPr="00A3191D">
        <w:rPr>
          <w:rFonts w:cs="Calibri"/>
          <w:i/>
          <w:lang w:val="es-MX"/>
        </w:rPr>
        <w:t xml:space="preserve"> Fernández Vs. Honduras</w:t>
      </w:r>
      <w:r w:rsidRPr="00A3191D">
        <w:rPr>
          <w:rFonts w:cs="Calibri"/>
          <w:lang w:val="es-MX"/>
        </w:rPr>
        <w:t xml:space="preserve">”, de 5 de julio de </w:t>
      </w:r>
      <w:r w:rsidRPr="009104DA">
        <w:rPr>
          <w:rFonts w:cs="Calibri"/>
          <w:lang w:val="es-MX"/>
        </w:rPr>
        <w:t>2011</w:t>
      </w:r>
      <w:r w:rsidRPr="009104DA">
        <w:rPr>
          <w:lang w:val="es-ES"/>
        </w:rPr>
        <w:t xml:space="preserve">, </w:t>
      </w:r>
      <w:r w:rsidRPr="009104DA">
        <w:rPr>
          <w:rStyle w:val="Strong"/>
          <w:b w:val="0"/>
          <w:i/>
          <w:color w:val="000000"/>
          <w:shd w:val="clear" w:color="auto" w:fill="FFFFFF"/>
        </w:rPr>
        <w:t>Caso Pacheco Teruel y otros respecto de Honduras</w:t>
      </w:r>
      <w:r w:rsidRPr="009104DA">
        <w:rPr>
          <w:rStyle w:val="Strong"/>
          <w:b w:val="0"/>
          <w:color w:val="000000"/>
          <w:shd w:val="clear" w:color="auto" w:fill="FFFFFF"/>
        </w:rPr>
        <w:t xml:space="preserve">. Resolución de 13 de febrero de 2013. </w:t>
      </w:r>
      <w:r w:rsidRPr="009104DA">
        <w:rPr>
          <w:rStyle w:val="Strong"/>
          <w:b w:val="0"/>
          <w:i/>
          <w:color w:val="000000"/>
          <w:shd w:val="clear" w:color="auto" w:fill="FFFFFF"/>
        </w:rPr>
        <w:t>Caso Familia Barrios respecto de Venezuela</w:t>
      </w:r>
      <w:r w:rsidRPr="009104DA">
        <w:rPr>
          <w:rStyle w:val="Strong"/>
          <w:b w:val="0"/>
          <w:color w:val="000000"/>
          <w:shd w:val="clear" w:color="auto" w:fill="FFFFFF"/>
        </w:rPr>
        <w:t xml:space="preserve">, de 13 de febrero de 2013, Asunto </w:t>
      </w:r>
      <w:proofErr w:type="spellStart"/>
      <w:r w:rsidRPr="009104DA">
        <w:rPr>
          <w:rStyle w:val="Strong"/>
          <w:b w:val="0"/>
          <w:i/>
          <w:color w:val="000000"/>
          <w:shd w:val="clear" w:color="auto" w:fill="FFFFFF"/>
        </w:rPr>
        <w:t>Millacura</w:t>
      </w:r>
      <w:proofErr w:type="spellEnd"/>
      <w:r w:rsidRPr="009104DA">
        <w:rPr>
          <w:rStyle w:val="Strong"/>
          <w:b w:val="0"/>
          <w:i/>
          <w:color w:val="000000"/>
          <w:shd w:val="clear" w:color="auto" w:fill="FFFFFF"/>
        </w:rPr>
        <w:t xml:space="preserve"> </w:t>
      </w:r>
      <w:proofErr w:type="spellStart"/>
      <w:r w:rsidRPr="009104DA">
        <w:rPr>
          <w:rStyle w:val="Strong"/>
          <w:b w:val="0"/>
          <w:i/>
          <w:color w:val="000000"/>
          <w:shd w:val="clear" w:color="auto" w:fill="FFFFFF"/>
        </w:rPr>
        <w:t>Llaipén</w:t>
      </w:r>
      <w:proofErr w:type="spellEnd"/>
      <w:r w:rsidRPr="009104DA">
        <w:rPr>
          <w:rStyle w:val="Strong"/>
          <w:b w:val="0"/>
          <w:i/>
          <w:color w:val="000000"/>
          <w:shd w:val="clear" w:color="auto" w:fill="FFFFFF"/>
        </w:rPr>
        <w:t xml:space="preserve"> y otros respecto de Argentina</w:t>
      </w:r>
      <w:r w:rsidRPr="009104DA">
        <w:rPr>
          <w:rStyle w:val="Strong"/>
          <w:b w:val="0"/>
          <w:color w:val="000000"/>
          <w:shd w:val="clear" w:color="auto" w:fill="FFFFFF"/>
        </w:rPr>
        <w:t xml:space="preserve">, de 13 de febrero de 2013, </w:t>
      </w:r>
      <w:r w:rsidRPr="009104DA">
        <w:rPr>
          <w:rStyle w:val="Strong"/>
          <w:b w:val="0"/>
          <w:i/>
          <w:color w:val="000000"/>
          <w:shd w:val="clear" w:color="auto" w:fill="FFFFFF"/>
        </w:rPr>
        <w:t>Caso Familia Barrios respecto de Venezuela</w:t>
      </w:r>
      <w:r w:rsidRPr="009104DA">
        <w:rPr>
          <w:rStyle w:val="Strong"/>
          <w:b w:val="0"/>
          <w:color w:val="000000"/>
          <w:shd w:val="clear" w:color="auto" w:fill="FFFFFF"/>
        </w:rPr>
        <w:t xml:space="preserve">, de 30 de mayo de 2013, </w:t>
      </w:r>
      <w:r w:rsidRPr="009104DA">
        <w:rPr>
          <w:rStyle w:val="Strong"/>
          <w:b w:val="0"/>
          <w:i/>
          <w:color w:val="000000"/>
          <w:shd w:val="clear" w:color="auto" w:fill="FFFFFF"/>
        </w:rPr>
        <w:t xml:space="preserve">Caso </w:t>
      </w:r>
      <w:proofErr w:type="spellStart"/>
      <w:r w:rsidRPr="009104DA">
        <w:rPr>
          <w:rStyle w:val="Strong"/>
          <w:b w:val="0"/>
          <w:i/>
          <w:color w:val="000000"/>
          <w:shd w:val="clear" w:color="auto" w:fill="FFFFFF"/>
        </w:rPr>
        <w:t>Artavia</w:t>
      </w:r>
      <w:proofErr w:type="spellEnd"/>
      <w:r w:rsidRPr="009104DA">
        <w:rPr>
          <w:rStyle w:val="Strong"/>
          <w:b w:val="0"/>
          <w:i/>
          <w:color w:val="000000"/>
          <w:shd w:val="clear" w:color="auto" w:fill="FFFFFF"/>
        </w:rPr>
        <w:t xml:space="preserve"> Murillo y otros ("Fecundación in vitro") Vs. Costa Rica,</w:t>
      </w:r>
      <w:r w:rsidRPr="009104DA">
        <w:rPr>
          <w:rStyle w:val="Strong"/>
          <w:b w:val="0"/>
          <w:color w:val="000000"/>
          <w:shd w:val="clear" w:color="auto" w:fill="FFFFFF"/>
        </w:rPr>
        <w:t xml:space="preserve"> de 31 de marzo de 2014</w:t>
      </w:r>
      <w:r w:rsidRPr="009104DA">
        <w:t xml:space="preserve"> </w:t>
      </w:r>
      <w:r w:rsidRPr="009104DA">
        <w:rPr>
          <w:rFonts w:cs="Calibri"/>
          <w:lang w:val="es-MX"/>
        </w:rPr>
        <w:t xml:space="preserve">, Medidas Provisionales respecto de El Salvador, Caso García Prieto y otros, de 26 enero de 2015 y del mismo tenor que el presente voto y en el escrito de </w:t>
      </w:r>
      <w:r w:rsidRPr="009104DA">
        <w:rPr>
          <w:rFonts w:cs="Calibri"/>
          <w:i/>
          <w:lang w:val="es-MX"/>
        </w:rPr>
        <w:t>Constancia de Queja</w:t>
      </w:r>
      <w:r w:rsidRPr="009104DA">
        <w:rPr>
          <w:rFonts w:cs="Calibri"/>
          <w:lang w:val="es-MX"/>
        </w:rPr>
        <w:t xml:space="preserve"> que, relacionado con las primeras Resoluciones mencionadas, presentó ante la Corte el 17 de agosto de 2011.</w:t>
      </w:r>
    </w:p>
    <w:p w:rsidR="009104DA" w:rsidRPr="00F22303" w:rsidRDefault="009104DA" w:rsidP="009104DA">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16" w:rsidRDefault="004F2BB3">
    <w:pPr>
      <w:pStyle w:val="Header"/>
      <w:jc w:val="center"/>
    </w:pPr>
    <w:r>
      <w:fldChar w:fldCharType="begin"/>
    </w:r>
    <w:r>
      <w:instrText xml:space="preserve"> PAGE   \* MERGEFORMAT </w:instrText>
    </w:r>
    <w:r>
      <w:fldChar w:fldCharType="separate"/>
    </w:r>
    <w:r w:rsidR="009104DA">
      <w:rPr>
        <w:noProof/>
      </w:rPr>
      <w:t>10</w:t>
    </w:r>
    <w:r>
      <w:rPr>
        <w:noProof/>
      </w:rPr>
      <w:fldChar w:fldCharType="end"/>
    </w:r>
  </w:p>
  <w:p w:rsidR="00184C16" w:rsidRDefault="0015492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0E4"/>
    <w:multiLevelType w:val="hybridMultilevel"/>
    <w:tmpl w:val="FBF0CCFC"/>
    <w:lvl w:ilvl="0" w:tplc="5CEAE530">
      <w:start w:val="1"/>
      <w:numFmt w:val="decimal"/>
      <w:lvlText w:val="%1."/>
      <w:lvlJc w:val="left"/>
      <w:pPr>
        <w:ind w:left="720" w:hanging="360"/>
      </w:pPr>
      <w:rPr>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4BD5D70"/>
    <w:multiLevelType w:val="hybridMultilevel"/>
    <w:tmpl w:val="794236E0"/>
    <w:lvl w:ilvl="0" w:tplc="9402AE14">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4D711F4"/>
    <w:multiLevelType w:val="hybridMultilevel"/>
    <w:tmpl w:val="C2B2A712"/>
    <w:lvl w:ilvl="0" w:tplc="46323CF6">
      <w:start w:val="1"/>
      <w:numFmt w:val="decimal"/>
      <w:lvlText w:val="%1."/>
      <w:lvlJc w:val="left"/>
      <w:pPr>
        <w:tabs>
          <w:tab w:val="num" w:pos="644"/>
        </w:tabs>
        <w:ind w:left="644" w:hanging="360"/>
      </w:pPr>
      <w:rPr>
        <w:rFonts w:ascii="Verdana" w:hAnsi="Verdana" w:hint="default"/>
        <w:b w:val="0"/>
        <w:i w:val="0"/>
        <w:color w:val="auto"/>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73B3CAD"/>
    <w:multiLevelType w:val="hybridMultilevel"/>
    <w:tmpl w:val="C2582340"/>
    <w:lvl w:ilvl="0" w:tplc="CE5E77B6">
      <w:start w:val="2"/>
      <w:numFmt w:val="decimal"/>
      <w:lvlText w:val="%1."/>
      <w:lvlJc w:val="left"/>
      <w:pPr>
        <w:ind w:left="630" w:hanging="360"/>
      </w:pPr>
      <w:rPr>
        <w:rFonts w:cs="Times New Roman"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FC0163C"/>
    <w:multiLevelType w:val="hybridMultilevel"/>
    <w:tmpl w:val="C298C254"/>
    <w:lvl w:ilvl="0" w:tplc="D068CEDE">
      <w:start w:val="1"/>
      <w:numFmt w:val="upp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47DD6"/>
    <w:multiLevelType w:val="hybridMultilevel"/>
    <w:tmpl w:val="B5D094D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742E8"/>
    <w:multiLevelType w:val="hybridMultilevel"/>
    <w:tmpl w:val="E0607824"/>
    <w:lvl w:ilvl="0" w:tplc="8D0A215A">
      <w:start w:val="3"/>
      <w:numFmt w:val="decimal"/>
      <w:lvlText w:val="%1."/>
      <w:lvlJc w:val="left"/>
      <w:pPr>
        <w:ind w:left="1211" w:hanging="360"/>
      </w:pPr>
      <w:rPr>
        <w:rFonts w:hint="default"/>
      </w:rPr>
    </w:lvl>
    <w:lvl w:ilvl="1" w:tplc="140A0019" w:tentative="1">
      <w:start w:val="1"/>
      <w:numFmt w:val="lowerLetter"/>
      <w:lvlText w:val="%2."/>
      <w:lvlJc w:val="left"/>
      <w:pPr>
        <w:ind w:left="491" w:hanging="360"/>
      </w:pPr>
    </w:lvl>
    <w:lvl w:ilvl="2" w:tplc="140A001B" w:tentative="1">
      <w:start w:val="1"/>
      <w:numFmt w:val="lowerRoman"/>
      <w:lvlText w:val="%3."/>
      <w:lvlJc w:val="right"/>
      <w:pPr>
        <w:ind w:left="1211" w:hanging="180"/>
      </w:pPr>
    </w:lvl>
    <w:lvl w:ilvl="3" w:tplc="140A000F" w:tentative="1">
      <w:start w:val="1"/>
      <w:numFmt w:val="decimal"/>
      <w:lvlText w:val="%4."/>
      <w:lvlJc w:val="left"/>
      <w:pPr>
        <w:ind w:left="1931" w:hanging="360"/>
      </w:pPr>
    </w:lvl>
    <w:lvl w:ilvl="4" w:tplc="140A0019" w:tentative="1">
      <w:start w:val="1"/>
      <w:numFmt w:val="lowerLetter"/>
      <w:lvlText w:val="%5."/>
      <w:lvlJc w:val="left"/>
      <w:pPr>
        <w:ind w:left="2651" w:hanging="360"/>
      </w:pPr>
    </w:lvl>
    <w:lvl w:ilvl="5" w:tplc="140A001B" w:tentative="1">
      <w:start w:val="1"/>
      <w:numFmt w:val="lowerRoman"/>
      <w:lvlText w:val="%6."/>
      <w:lvlJc w:val="right"/>
      <w:pPr>
        <w:ind w:left="3371" w:hanging="180"/>
      </w:pPr>
    </w:lvl>
    <w:lvl w:ilvl="6" w:tplc="140A000F" w:tentative="1">
      <w:start w:val="1"/>
      <w:numFmt w:val="decimal"/>
      <w:lvlText w:val="%7."/>
      <w:lvlJc w:val="left"/>
      <w:pPr>
        <w:ind w:left="4091" w:hanging="360"/>
      </w:pPr>
    </w:lvl>
    <w:lvl w:ilvl="7" w:tplc="140A0019" w:tentative="1">
      <w:start w:val="1"/>
      <w:numFmt w:val="lowerLetter"/>
      <w:lvlText w:val="%8."/>
      <w:lvlJc w:val="left"/>
      <w:pPr>
        <w:ind w:left="4811" w:hanging="360"/>
      </w:pPr>
    </w:lvl>
    <w:lvl w:ilvl="8" w:tplc="140A001B" w:tentative="1">
      <w:start w:val="1"/>
      <w:numFmt w:val="lowerRoman"/>
      <w:lvlText w:val="%9."/>
      <w:lvlJc w:val="right"/>
      <w:pPr>
        <w:ind w:left="5531" w:hanging="180"/>
      </w:pPr>
    </w:lvl>
  </w:abstractNum>
  <w:abstractNum w:abstractNumId="7">
    <w:nsid w:val="6D6225B2"/>
    <w:multiLevelType w:val="hybridMultilevel"/>
    <w:tmpl w:val="02445070"/>
    <w:lvl w:ilvl="0" w:tplc="46323CF6">
      <w:start w:val="1"/>
      <w:numFmt w:val="decimal"/>
      <w:lvlText w:val="%1."/>
      <w:lvlJc w:val="left"/>
      <w:pPr>
        <w:tabs>
          <w:tab w:val="num" w:pos="644"/>
        </w:tabs>
        <w:ind w:left="644" w:hanging="360"/>
      </w:pPr>
      <w:rPr>
        <w:rFonts w:ascii="Verdana" w:hAnsi="Verdana" w:hint="default"/>
        <w:b w:val="0"/>
        <w:i w:val="0"/>
        <w:color w:val="auto"/>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A"/>
    <w:rsid w:val="000020F9"/>
    <w:rsid w:val="00006B6E"/>
    <w:rsid w:val="001240D6"/>
    <w:rsid w:val="00154927"/>
    <w:rsid w:val="0016468E"/>
    <w:rsid w:val="001A708B"/>
    <w:rsid w:val="00227139"/>
    <w:rsid w:val="00241AFC"/>
    <w:rsid w:val="0029158B"/>
    <w:rsid w:val="003264C2"/>
    <w:rsid w:val="00330793"/>
    <w:rsid w:val="0039686B"/>
    <w:rsid w:val="003B7414"/>
    <w:rsid w:val="00450FE7"/>
    <w:rsid w:val="004A6F25"/>
    <w:rsid w:val="004F2BB3"/>
    <w:rsid w:val="00547BFF"/>
    <w:rsid w:val="00596330"/>
    <w:rsid w:val="005C3D2B"/>
    <w:rsid w:val="006E2245"/>
    <w:rsid w:val="006F6D0D"/>
    <w:rsid w:val="00704BBD"/>
    <w:rsid w:val="00761D5B"/>
    <w:rsid w:val="00863CE2"/>
    <w:rsid w:val="008A5395"/>
    <w:rsid w:val="009104DA"/>
    <w:rsid w:val="009F71EB"/>
    <w:rsid w:val="00A70A93"/>
    <w:rsid w:val="00A8163A"/>
    <w:rsid w:val="00AC0DA8"/>
    <w:rsid w:val="00B71ED1"/>
    <w:rsid w:val="00BA0C47"/>
    <w:rsid w:val="00BC697A"/>
    <w:rsid w:val="00C4175F"/>
    <w:rsid w:val="00C627AF"/>
    <w:rsid w:val="00C922C7"/>
    <w:rsid w:val="00D86330"/>
    <w:rsid w:val="00DB0B93"/>
    <w:rsid w:val="00E17DCC"/>
    <w:rsid w:val="00E21059"/>
    <w:rsid w:val="00EC5F58"/>
    <w:rsid w:val="00EE3DCD"/>
    <w:rsid w:val="00EE777D"/>
    <w:rsid w:val="00F3543C"/>
    <w:rsid w:val="00FA3E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3A"/>
    <w:pPr>
      <w:spacing w:after="0" w:line="240" w:lineRule="auto"/>
    </w:pPr>
    <w:rPr>
      <w:rFonts w:ascii="Times New Roman" w:eastAsia="MS Mincho" w:hAnsi="Times New Roman" w:cs="Times New Roman"/>
      <w:sz w:val="24"/>
      <w:szCs w:val="24"/>
      <w:lang w:val="es-ES_tradnl"/>
    </w:rPr>
  </w:style>
  <w:style w:type="paragraph" w:styleId="Heading4">
    <w:name w:val="heading 4"/>
    <w:basedOn w:val="Normal"/>
    <w:next w:val="Normal"/>
    <w:link w:val="Heading4Char"/>
    <w:qFormat/>
    <w:rsid w:val="00A8163A"/>
    <w:pPr>
      <w:keepNext/>
      <w:spacing w:before="240" w:after="60"/>
      <w:outlineLvl w:val="3"/>
    </w:pPr>
    <w:rPr>
      <w:rFonts w:eastAsia="Times"/>
      <w:b/>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163A"/>
    <w:rPr>
      <w:rFonts w:ascii="Times New Roman" w:eastAsia="Times" w:hAnsi="Times New Roman" w:cs="Times New Roman"/>
      <w:b/>
      <w:sz w:val="28"/>
      <w:szCs w:val="28"/>
      <w:lang w:val="es-ES_tradnl" w:eastAsia="es-ES"/>
    </w:rPr>
  </w:style>
  <w:style w:type="paragraph" w:styleId="ListParagraph">
    <w:name w:val="List Paragraph"/>
    <w:aliases w:val="Footnote,Párrafo de lista1,Colorful List - Accent 11"/>
    <w:basedOn w:val="Normal"/>
    <w:link w:val="ListParagraphChar"/>
    <w:uiPriority w:val="34"/>
    <w:qFormat/>
    <w:rsid w:val="00A8163A"/>
    <w:pPr>
      <w:ind w:left="720"/>
      <w:contextualSpacing/>
    </w:pPr>
  </w:style>
  <w:style w:type="character" w:customStyle="1" w:styleId="CharAttribute0">
    <w:name w:val="CharAttribute0"/>
    <w:rsid w:val="00A8163A"/>
    <w:rPr>
      <w:rFonts w:ascii="Verdana" w:eastAsia="Verdana" w:hAnsi="Verdana"/>
    </w:rPr>
  </w:style>
  <w:style w:type="character" w:customStyle="1" w:styleId="CharAttribute1">
    <w:name w:val="CharAttribute1"/>
    <w:rsid w:val="00A8163A"/>
    <w:rPr>
      <w:rFonts w:ascii="Verdana" w:eastAsia="Verdana" w:hAnsi="Verdana"/>
      <w:b/>
    </w:rPr>
  </w:style>
  <w:style w:type="paragraph" w:customStyle="1" w:styleId="ParaAttribute3">
    <w:name w:val="ParaAttribute3"/>
    <w:rsid w:val="00A8163A"/>
    <w:pPr>
      <w:widowControl w:val="0"/>
      <w:wordWrap w:val="0"/>
      <w:spacing w:after="0" w:line="240" w:lineRule="auto"/>
      <w:jc w:val="both"/>
    </w:pPr>
    <w:rPr>
      <w:rFonts w:ascii="Times New Roman" w:eastAsia="Batang"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Ca,f1,FA Fu?notent,C"/>
    <w:basedOn w:val="Normal"/>
    <w:link w:val="FootnoteTextChar"/>
    <w:autoRedefine/>
    <w:qFormat/>
    <w:rsid w:val="00A8163A"/>
    <w:pPr>
      <w:tabs>
        <w:tab w:val="left" w:pos="720"/>
      </w:tabs>
      <w:spacing w:before="120" w:after="120"/>
      <w:jc w:val="both"/>
    </w:pPr>
    <w:rPr>
      <w:rFonts w:ascii="Verdana" w:eastAsia="Calibri" w:hAnsi="Verdana"/>
      <w:sz w:val="16"/>
      <w:szCs w:val="16"/>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basedOn w:val="DefaultParagraphFont"/>
    <w:link w:val="FootnoteText"/>
    <w:rsid w:val="00A8163A"/>
    <w:rPr>
      <w:rFonts w:ascii="Verdana" w:eastAsia="Calibri" w:hAnsi="Verdana" w:cs="Times New Roman"/>
      <w:sz w:val="16"/>
      <w:szCs w:val="16"/>
      <w:lang w:val="es-ES_tradn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A8163A"/>
    <w:rPr>
      <w:rFonts w:ascii="Verdana" w:hAnsi="Verdana" w:cs="Times New Roman"/>
      <w:sz w:val="16"/>
      <w:vertAlign w:val="superscript"/>
    </w:rPr>
  </w:style>
  <w:style w:type="paragraph" w:styleId="BodyText3">
    <w:name w:val="Body Text 3"/>
    <w:basedOn w:val="Normal"/>
    <w:link w:val="BodyText3Char"/>
    <w:rsid w:val="00A8163A"/>
    <w:pPr>
      <w:ind w:right="22"/>
      <w:jc w:val="center"/>
    </w:pPr>
    <w:rPr>
      <w:rFonts w:ascii="Garamond" w:eastAsia="Times" w:hAnsi="Garamond"/>
      <w:b/>
      <w:szCs w:val="20"/>
      <w:lang w:eastAsia="es-ES"/>
    </w:rPr>
  </w:style>
  <w:style w:type="character" w:customStyle="1" w:styleId="BodyText3Char">
    <w:name w:val="Body Text 3 Char"/>
    <w:basedOn w:val="DefaultParagraphFont"/>
    <w:link w:val="BodyText3"/>
    <w:rsid w:val="00A8163A"/>
    <w:rPr>
      <w:rFonts w:ascii="Garamond" w:eastAsia="Times" w:hAnsi="Garamond" w:cs="Times New Roman"/>
      <w:b/>
      <w:sz w:val="24"/>
      <w:szCs w:val="20"/>
      <w:lang w:val="es-ES_tradnl" w:eastAsia="es-ES"/>
    </w:rPr>
  </w:style>
  <w:style w:type="paragraph" w:customStyle="1" w:styleId="Default">
    <w:name w:val="Default"/>
    <w:rsid w:val="00A8163A"/>
    <w:pPr>
      <w:autoSpaceDE w:val="0"/>
      <w:autoSpaceDN w:val="0"/>
      <w:adjustRightInd w:val="0"/>
      <w:spacing w:after="0" w:line="240" w:lineRule="auto"/>
    </w:pPr>
    <w:rPr>
      <w:rFonts w:ascii="Verdana" w:eastAsia="Calibri" w:hAnsi="Verdana" w:cs="Verdana"/>
      <w:color w:val="000000"/>
      <w:sz w:val="24"/>
      <w:szCs w:val="24"/>
    </w:rPr>
  </w:style>
  <w:style w:type="paragraph" w:styleId="BodyText">
    <w:name w:val="Body Text"/>
    <w:basedOn w:val="Normal"/>
    <w:link w:val="BodyTextChar"/>
    <w:uiPriority w:val="99"/>
    <w:unhideWhenUsed/>
    <w:rsid w:val="00A8163A"/>
    <w:pPr>
      <w:spacing w:after="120"/>
    </w:pPr>
  </w:style>
  <w:style w:type="character" w:customStyle="1" w:styleId="BodyTextChar">
    <w:name w:val="Body Text Char"/>
    <w:basedOn w:val="DefaultParagraphFont"/>
    <w:link w:val="BodyText"/>
    <w:uiPriority w:val="99"/>
    <w:rsid w:val="00A8163A"/>
    <w:rPr>
      <w:rFonts w:ascii="Times New Roman" w:eastAsia="MS Mincho" w:hAnsi="Times New Roman" w:cs="Times New Roman"/>
      <w:sz w:val="24"/>
      <w:szCs w:val="24"/>
      <w:lang w:val="es-ES_tradnl"/>
    </w:rPr>
  </w:style>
  <w:style w:type="paragraph" w:styleId="Header">
    <w:name w:val="header"/>
    <w:basedOn w:val="Normal"/>
    <w:link w:val="HeaderChar"/>
    <w:uiPriority w:val="99"/>
    <w:unhideWhenUsed/>
    <w:rsid w:val="00A8163A"/>
    <w:pPr>
      <w:tabs>
        <w:tab w:val="center" w:pos="4419"/>
        <w:tab w:val="right" w:pos="8838"/>
      </w:tabs>
    </w:pPr>
  </w:style>
  <w:style w:type="character" w:customStyle="1" w:styleId="HeaderChar">
    <w:name w:val="Header Char"/>
    <w:basedOn w:val="DefaultParagraphFont"/>
    <w:link w:val="Header"/>
    <w:uiPriority w:val="99"/>
    <w:rsid w:val="00A8163A"/>
    <w:rPr>
      <w:rFonts w:ascii="Times New Roman" w:eastAsia="MS Mincho" w:hAnsi="Times New Roman" w:cs="Times New Roman"/>
      <w:sz w:val="24"/>
      <w:szCs w:val="24"/>
      <w:lang w:val="es-ES_tradnl"/>
    </w:rPr>
  </w:style>
  <w:style w:type="character" w:styleId="Strong">
    <w:name w:val="Strong"/>
    <w:uiPriority w:val="22"/>
    <w:qFormat/>
    <w:rsid w:val="00A8163A"/>
    <w:rPr>
      <w:b/>
      <w:bCs/>
    </w:rPr>
  </w:style>
  <w:style w:type="character" w:customStyle="1" w:styleId="ListParagraphChar">
    <w:name w:val="List Paragraph Char"/>
    <w:aliases w:val="Footnote Char,Párrafo de lista1 Char,Colorful List - Accent 11 Char"/>
    <w:link w:val="ListParagraph"/>
    <w:uiPriority w:val="34"/>
    <w:locked/>
    <w:rsid w:val="00A8163A"/>
    <w:rPr>
      <w:rFonts w:ascii="Times New Roman" w:eastAsia="MS Mincho" w:hAnsi="Times New Roman" w:cs="Times New Roman"/>
      <w:sz w:val="24"/>
      <w:szCs w:val="24"/>
      <w:lang w:val="es-ES_tradnl"/>
    </w:rPr>
  </w:style>
  <w:style w:type="paragraph" w:styleId="BalloonText">
    <w:name w:val="Balloon Text"/>
    <w:basedOn w:val="Normal"/>
    <w:link w:val="BalloonTextChar"/>
    <w:uiPriority w:val="99"/>
    <w:semiHidden/>
    <w:unhideWhenUsed/>
    <w:rsid w:val="00EC5F58"/>
    <w:rPr>
      <w:rFonts w:ascii="Tahoma" w:hAnsi="Tahoma" w:cs="Tahoma"/>
      <w:sz w:val="16"/>
      <w:szCs w:val="16"/>
    </w:rPr>
  </w:style>
  <w:style w:type="character" w:customStyle="1" w:styleId="BalloonTextChar">
    <w:name w:val="Balloon Text Char"/>
    <w:basedOn w:val="DefaultParagraphFont"/>
    <w:link w:val="BalloonText"/>
    <w:uiPriority w:val="99"/>
    <w:semiHidden/>
    <w:rsid w:val="00EC5F58"/>
    <w:rPr>
      <w:rFonts w:ascii="Tahoma" w:eastAsia="MS Mincho" w:hAnsi="Tahoma" w:cs="Tahoma"/>
      <w:sz w:val="16"/>
      <w:szCs w:val="16"/>
      <w:lang w:val="es-ES_tradnl"/>
    </w:rPr>
  </w:style>
  <w:style w:type="paragraph" w:styleId="Footer">
    <w:name w:val="footer"/>
    <w:basedOn w:val="Normal"/>
    <w:link w:val="FooterChar"/>
    <w:uiPriority w:val="99"/>
    <w:unhideWhenUsed/>
    <w:rsid w:val="00FA3EC3"/>
    <w:pPr>
      <w:tabs>
        <w:tab w:val="center" w:pos="4680"/>
        <w:tab w:val="right" w:pos="9360"/>
      </w:tabs>
    </w:pPr>
  </w:style>
  <w:style w:type="character" w:customStyle="1" w:styleId="FooterChar">
    <w:name w:val="Footer Char"/>
    <w:basedOn w:val="DefaultParagraphFont"/>
    <w:link w:val="Footer"/>
    <w:uiPriority w:val="99"/>
    <w:rsid w:val="00FA3EC3"/>
    <w:rPr>
      <w:rFonts w:ascii="Times New Roman" w:eastAsia="MS Mincho"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3A"/>
    <w:pPr>
      <w:spacing w:after="0" w:line="240" w:lineRule="auto"/>
    </w:pPr>
    <w:rPr>
      <w:rFonts w:ascii="Times New Roman" w:eastAsia="MS Mincho" w:hAnsi="Times New Roman" w:cs="Times New Roman"/>
      <w:sz w:val="24"/>
      <w:szCs w:val="24"/>
      <w:lang w:val="es-ES_tradnl"/>
    </w:rPr>
  </w:style>
  <w:style w:type="paragraph" w:styleId="Heading4">
    <w:name w:val="heading 4"/>
    <w:basedOn w:val="Normal"/>
    <w:next w:val="Normal"/>
    <w:link w:val="Heading4Char"/>
    <w:qFormat/>
    <w:rsid w:val="00A8163A"/>
    <w:pPr>
      <w:keepNext/>
      <w:spacing w:before="240" w:after="60"/>
      <w:outlineLvl w:val="3"/>
    </w:pPr>
    <w:rPr>
      <w:rFonts w:eastAsia="Times"/>
      <w:b/>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163A"/>
    <w:rPr>
      <w:rFonts w:ascii="Times New Roman" w:eastAsia="Times" w:hAnsi="Times New Roman" w:cs="Times New Roman"/>
      <w:b/>
      <w:sz w:val="28"/>
      <w:szCs w:val="28"/>
      <w:lang w:val="es-ES_tradnl" w:eastAsia="es-ES"/>
    </w:rPr>
  </w:style>
  <w:style w:type="paragraph" w:styleId="ListParagraph">
    <w:name w:val="List Paragraph"/>
    <w:aliases w:val="Footnote,Párrafo de lista1,Colorful List - Accent 11"/>
    <w:basedOn w:val="Normal"/>
    <w:link w:val="ListParagraphChar"/>
    <w:uiPriority w:val="34"/>
    <w:qFormat/>
    <w:rsid w:val="00A8163A"/>
    <w:pPr>
      <w:ind w:left="720"/>
      <w:contextualSpacing/>
    </w:pPr>
  </w:style>
  <w:style w:type="character" w:customStyle="1" w:styleId="CharAttribute0">
    <w:name w:val="CharAttribute0"/>
    <w:rsid w:val="00A8163A"/>
    <w:rPr>
      <w:rFonts w:ascii="Verdana" w:eastAsia="Verdana" w:hAnsi="Verdana"/>
    </w:rPr>
  </w:style>
  <w:style w:type="character" w:customStyle="1" w:styleId="CharAttribute1">
    <w:name w:val="CharAttribute1"/>
    <w:rsid w:val="00A8163A"/>
    <w:rPr>
      <w:rFonts w:ascii="Verdana" w:eastAsia="Verdana" w:hAnsi="Verdana"/>
      <w:b/>
    </w:rPr>
  </w:style>
  <w:style w:type="paragraph" w:customStyle="1" w:styleId="ParaAttribute3">
    <w:name w:val="ParaAttribute3"/>
    <w:rsid w:val="00A8163A"/>
    <w:pPr>
      <w:widowControl w:val="0"/>
      <w:wordWrap w:val="0"/>
      <w:spacing w:after="0" w:line="240" w:lineRule="auto"/>
      <w:jc w:val="both"/>
    </w:pPr>
    <w:rPr>
      <w:rFonts w:ascii="Times New Roman" w:eastAsia="Batang"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Ca,f1,FA Fu?notent,C"/>
    <w:basedOn w:val="Normal"/>
    <w:link w:val="FootnoteTextChar"/>
    <w:autoRedefine/>
    <w:qFormat/>
    <w:rsid w:val="00A8163A"/>
    <w:pPr>
      <w:tabs>
        <w:tab w:val="left" w:pos="720"/>
      </w:tabs>
      <w:spacing w:before="120" w:after="120"/>
      <w:jc w:val="both"/>
    </w:pPr>
    <w:rPr>
      <w:rFonts w:ascii="Verdana" w:eastAsia="Calibri" w:hAnsi="Verdana"/>
      <w:sz w:val="16"/>
      <w:szCs w:val="16"/>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basedOn w:val="DefaultParagraphFont"/>
    <w:link w:val="FootnoteText"/>
    <w:rsid w:val="00A8163A"/>
    <w:rPr>
      <w:rFonts w:ascii="Verdana" w:eastAsia="Calibri" w:hAnsi="Verdana" w:cs="Times New Roman"/>
      <w:sz w:val="16"/>
      <w:szCs w:val="16"/>
      <w:lang w:val="es-ES_tradn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A8163A"/>
    <w:rPr>
      <w:rFonts w:ascii="Verdana" w:hAnsi="Verdana" w:cs="Times New Roman"/>
      <w:sz w:val="16"/>
      <w:vertAlign w:val="superscript"/>
    </w:rPr>
  </w:style>
  <w:style w:type="paragraph" w:styleId="BodyText3">
    <w:name w:val="Body Text 3"/>
    <w:basedOn w:val="Normal"/>
    <w:link w:val="BodyText3Char"/>
    <w:rsid w:val="00A8163A"/>
    <w:pPr>
      <w:ind w:right="22"/>
      <w:jc w:val="center"/>
    </w:pPr>
    <w:rPr>
      <w:rFonts w:ascii="Garamond" w:eastAsia="Times" w:hAnsi="Garamond"/>
      <w:b/>
      <w:szCs w:val="20"/>
      <w:lang w:eastAsia="es-ES"/>
    </w:rPr>
  </w:style>
  <w:style w:type="character" w:customStyle="1" w:styleId="BodyText3Char">
    <w:name w:val="Body Text 3 Char"/>
    <w:basedOn w:val="DefaultParagraphFont"/>
    <w:link w:val="BodyText3"/>
    <w:rsid w:val="00A8163A"/>
    <w:rPr>
      <w:rFonts w:ascii="Garamond" w:eastAsia="Times" w:hAnsi="Garamond" w:cs="Times New Roman"/>
      <w:b/>
      <w:sz w:val="24"/>
      <w:szCs w:val="20"/>
      <w:lang w:val="es-ES_tradnl" w:eastAsia="es-ES"/>
    </w:rPr>
  </w:style>
  <w:style w:type="paragraph" w:customStyle="1" w:styleId="Default">
    <w:name w:val="Default"/>
    <w:rsid w:val="00A8163A"/>
    <w:pPr>
      <w:autoSpaceDE w:val="0"/>
      <w:autoSpaceDN w:val="0"/>
      <w:adjustRightInd w:val="0"/>
      <w:spacing w:after="0" w:line="240" w:lineRule="auto"/>
    </w:pPr>
    <w:rPr>
      <w:rFonts w:ascii="Verdana" w:eastAsia="Calibri" w:hAnsi="Verdana" w:cs="Verdana"/>
      <w:color w:val="000000"/>
      <w:sz w:val="24"/>
      <w:szCs w:val="24"/>
    </w:rPr>
  </w:style>
  <w:style w:type="paragraph" w:styleId="BodyText">
    <w:name w:val="Body Text"/>
    <w:basedOn w:val="Normal"/>
    <w:link w:val="BodyTextChar"/>
    <w:uiPriority w:val="99"/>
    <w:unhideWhenUsed/>
    <w:rsid w:val="00A8163A"/>
    <w:pPr>
      <w:spacing w:after="120"/>
    </w:pPr>
  </w:style>
  <w:style w:type="character" w:customStyle="1" w:styleId="BodyTextChar">
    <w:name w:val="Body Text Char"/>
    <w:basedOn w:val="DefaultParagraphFont"/>
    <w:link w:val="BodyText"/>
    <w:uiPriority w:val="99"/>
    <w:rsid w:val="00A8163A"/>
    <w:rPr>
      <w:rFonts w:ascii="Times New Roman" w:eastAsia="MS Mincho" w:hAnsi="Times New Roman" w:cs="Times New Roman"/>
      <w:sz w:val="24"/>
      <w:szCs w:val="24"/>
      <w:lang w:val="es-ES_tradnl"/>
    </w:rPr>
  </w:style>
  <w:style w:type="paragraph" w:styleId="Header">
    <w:name w:val="header"/>
    <w:basedOn w:val="Normal"/>
    <w:link w:val="HeaderChar"/>
    <w:uiPriority w:val="99"/>
    <w:unhideWhenUsed/>
    <w:rsid w:val="00A8163A"/>
    <w:pPr>
      <w:tabs>
        <w:tab w:val="center" w:pos="4419"/>
        <w:tab w:val="right" w:pos="8838"/>
      </w:tabs>
    </w:pPr>
  </w:style>
  <w:style w:type="character" w:customStyle="1" w:styleId="HeaderChar">
    <w:name w:val="Header Char"/>
    <w:basedOn w:val="DefaultParagraphFont"/>
    <w:link w:val="Header"/>
    <w:uiPriority w:val="99"/>
    <w:rsid w:val="00A8163A"/>
    <w:rPr>
      <w:rFonts w:ascii="Times New Roman" w:eastAsia="MS Mincho" w:hAnsi="Times New Roman" w:cs="Times New Roman"/>
      <w:sz w:val="24"/>
      <w:szCs w:val="24"/>
      <w:lang w:val="es-ES_tradnl"/>
    </w:rPr>
  </w:style>
  <w:style w:type="character" w:styleId="Strong">
    <w:name w:val="Strong"/>
    <w:uiPriority w:val="22"/>
    <w:qFormat/>
    <w:rsid w:val="00A8163A"/>
    <w:rPr>
      <w:b/>
      <w:bCs/>
    </w:rPr>
  </w:style>
  <w:style w:type="character" w:customStyle="1" w:styleId="ListParagraphChar">
    <w:name w:val="List Paragraph Char"/>
    <w:aliases w:val="Footnote Char,Párrafo de lista1 Char,Colorful List - Accent 11 Char"/>
    <w:link w:val="ListParagraph"/>
    <w:uiPriority w:val="34"/>
    <w:locked/>
    <w:rsid w:val="00A8163A"/>
    <w:rPr>
      <w:rFonts w:ascii="Times New Roman" w:eastAsia="MS Mincho" w:hAnsi="Times New Roman" w:cs="Times New Roman"/>
      <w:sz w:val="24"/>
      <w:szCs w:val="24"/>
      <w:lang w:val="es-ES_tradnl"/>
    </w:rPr>
  </w:style>
  <w:style w:type="paragraph" w:styleId="BalloonText">
    <w:name w:val="Balloon Text"/>
    <w:basedOn w:val="Normal"/>
    <w:link w:val="BalloonTextChar"/>
    <w:uiPriority w:val="99"/>
    <w:semiHidden/>
    <w:unhideWhenUsed/>
    <w:rsid w:val="00EC5F58"/>
    <w:rPr>
      <w:rFonts w:ascii="Tahoma" w:hAnsi="Tahoma" w:cs="Tahoma"/>
      <w:sz w:val="16"/>
      <w:szCs w:val="16"/>
    </w:rPr>
  </w:style>
  <w:style w:type="character" w:customStyle="1" w:styleId="BalloonTextChar">
    <w:name w:val="Balloon Text Char"/>
    <w:basedOn w:val="DefaultParagraphFont"/>
    <w:link w:val="BalloonText"/>
    <w:uiPriority w:val="99"/>
    <w:semiHidden/>
    <w:rsid w:val="00EC5F58"/>
    <w:rPr>
      <w:rFonts w:ascii="Tahoma" w:eastAsia="MS Mincho" w:hAnsi="Tahoma" w:cs="Tahoma"/>
      <w:sz w:val="16"/>
      <w:szCs w:val="16"/>
      <w:lang w:val="es-ES_tradnl"/>
    </w:rPr>
  </w:style>
  <w:style w:type="paragraph" w:styleId="Footer">
    <w:name w:val="footer"/>
    <w:basedOn w:val="Normal"/>
    <w:link w:val="FooterChar"/>
    <w:uiPriority w:val="99"/>
    <w:unhideWhenUsed/>
    <w:rsid w:val="00FA3EC3"/>
    <w:pPr>
      <w:tabs>
        <w:tab w:val="center" w:pos="4680"/>
        <w:tab w:val="right" w:pos="9360"/>
      </w:tabs>
    </w:pPr>
  </w:style>
  <w:style w:type="character" w:customStyle="1" w:styleId="FooterChar">
    <w:name w:val="Footer Char"/>
    <w:basedOn w:val="DefaultParagraphFont"/>
    <w:link w:val="Footer"/>
    <w:uiPriority w:val="99"/>
    <w:rsid w:val="00FA3EC3"/>
    <w:rPr>
      <w:rFonts w:ascii="Times New Roman" w:eastAsia="MS Mincho"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DFC1-F9E0-49A4-B9BB-981A4366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3661</Words>
  <Characters>20136</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5</cp:revision>
  <cp:lastPrinted>2015-11-23T23:31:00Z</cp:lastPrinted>
  <dcterms:created xsi:type="dcterms:W3CDTF">2015-11-23T23:31:00Z</dcterms:created>
  <dcterms:modified xsi:type="dcterms:W3CDTF">2015-11-23T23:41:00Z</dcterms:modified>
</cp:coreProperties>
</file>